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29494" w14:textId="77777777" w:rsidR="00027CA9" w:rsidRPr="007F716C" w:rsidRDefault="00027CA9" w:rsidP="00027CA9">
      <w:pPr>
        <w:spacing w:after="0" w:line="240" w:lineRule="auto"/>
        <w:jc w:val="both"/>
        <w:rPr>
          <w:rFonts w:ascii="Verdana" w:eastAsia="Calibri" w:hAnsi="Verdana" w:cs="Arial"/>
          <w:b/>
          <w:bCs/>
          <w:lang w:val="es-ES_tradnl" w:eastAsia="es-ES_tradnl"/>
        </w:rPr>
      </w:pPr>
      <w:bookmarkStart w:id="0" w:name="_Hlk186494164"/>
      <w:r w:rsidRPr="007F716C">
        <w:rPr>
          <w:rFonts w:ascii="Verdana" w:eastAsia="Calibri" w:hAnsi="Verdana" w:cs="Arial"/>
          <w:b/>
          <w:bCs/>
          <w:lang w:val="es-ES_tradnl" w:eastAsia="es-ES_tradnl"/>
        </w:rPr>
        <w:t>PLANEACIÓN CONTRACTUAL – Noción – Obligación de las entidades – Ley 80 de 1993</w:t>
      </w:r>
    </w:p>
    <w:p w14:paraId="101AB1E8" w14:textId="77777777" w:rsidR="00027CA9" w:rsidRPr="00C15FFD" w:rsidRDefault="00027CA9" w:rsidP="00027CA9">
      <w:pPr>
        <w:spacing w:after="0" w:line="240" w:lineRule="auto"/>
        <w:jc w:val="both"/>
        <w:rPr>
          <w:rFonts w:ascii="Verdana" w:eastAsia="Calibri" w:hAnsi="Verdana" w:cs="Arial"/>
          <w:b/>
          <w:bCs/>
          <w:sz w:val="20"/>
          <w:szCs w:val="20"/>
          <w:highlight w:val="yellow"/>
          <w:lang w:val="es-ES_tradnl" w:eastAsia="es-ES_tradnl"/>
        </w:rPr>
      </w:pPr>
    </w:p>
    <w:p w14:paraId="6B27D756" w14:textId="77777777" w:rsidR="00027CA9" w:rsidRDefault="00027CA9" w:rsidP="00027CA9">
      <w:pPr>
        <w:spacing w:after="0" w:line="240" w:lineRule="auto"/>
        <w:jc w:val="both"/>
        <w:rPr>
          <w:rFonts w:ascii="Verdana" w:eastAsia="Aptos" w:hAnsi="Verdana" w:cs="Times New Roman"/>
          <w:sz w:val="20"/>
          <w:szCs w:val="20"/>
        </w:rPr>
      </w:pPr>
      <w:r w:rsidRPr="00024394">
        <w:rPr>
          <w:rFonts w:ascii="Verdana" w:eastAsia="Aptos" w:hAnsi="Verdana" w:cs="Times New Roman"/>
          <w:sz w:val="20"/>
          <w:szCs w:val="20"/>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727CF813" w14:textId="77777777" w:rsidR="00027CA9" w:rsidRDefault="00027CA9" w:rsidP="00027CA9">
      <w:pPr>
        <w:spacing w:after="0" w:line="240" w:lineRule="auto"/>
        <w:jc w:val="both"/>
        <w:rPr>
          <w:rFonts w:ascii="Verdana" w:eastAsia="Aptos" w:hAnsi="Verdana" w:cs="Times New Roman"/>
          <w:sz w:val="20"/>
          <w:szCs w:val="20"/>
        </w:rPr>
      </w:pPr>
    </w:p>
    <w:p w14:paraId="3F45D83B" w14:textId="77777777" w:rsidR="00027CA9" w:rsidRDefault="00027CA9" w:rsidP="00027CA9">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E17369">
        <w:rPr>
          <w:rFonts w:ascii="Verdana" w:eastAsia="Aptos" w:hAnsi="Verdana" w:cs="Times New Roman"/>
          <w:sz w:val="20"/>
          <w:szCs w:val="20"/>
        </w:rPr>
        <w:t>el Estatuto General de Contratación de la Administración Pública, en adelante EGCAP, contiene disposiciones que exigen a las Entidades Estatales el deber de realizar planeación en la etapa precontractual, esto con el fin de que los Procesos de Contratación satisfagan las necesidades de la Administración, cumplan sus fines, logren la continua y eficiente prestación de los servicios públicos y permitan la efectividad de los derechos e intereses de los administrados que colaboran en su consecución.</w:t>
      </w:r>
    </w:p>
    <w:p w14:paraId="7585157D" w14:textId="77777777" w:rsidR="00027CA9" w:rsidRPr="00C15FFD" w:rsidRDefault="00027CA9" w:rsidP="00027CA9">
      <w:pPr>
        <w:spacing w:after="0" w:line="240" w:lineRule="auto"/>
        <w:jc w:val="both"/>
        <w:rPr>
          <w:rFonts w:ascii="Verdana" w:eastAsia="Aptos" w:hAnsi="Verdana" w:cs="Times New Roman"/>
          <w:sz w:val="20"/>
          <w:szCs w:val="20"/>
          <w:highlight w:val="yellow"/>
        </w:rPr>
      </w:pPr>
    </w:p>
    <w:p w14:paraId="0D96563F" w14:textId="77777777" w:rsidR="00027CA9" w:rsidRPr="002B393F" w:rsidRDefault="00027CA9" w:rsidP="00027CA9">
      <w:pPr>
        <w:spacing w:after="0" w:line="240" w:lineRule="auto"/>
        <w:jc w:val="both"/>
        <w:rPr>
          <w:rFonts w:ascii="Verdana" w:eastAsia="Calibri" w:hAnsi="Verdana" w:cs="Arial"/>
          <w:b/>
          <w:bCs/>
          <w:lang w:val="es-ES" w:eastAsia="es-ES"/>
        </w:rPr>
      </w:pPr>
      <w:r w:rsidRPr="002B393F">
        <w:rPr>
          <w:rFonts w:ascii="Verdana" w:eastAsia="Calibri" w:hAnsi="Verdana" w:cs="Arial"/>
          <w:b/>
          <w:bCs/>
          <w:lang w:val="es-ES" w:eastAsia="es-ES"/>
        </w:rPr>
        <w:t xml:space="preserve">ESTUDIOS PREVIOS </w:t>
      </w:r>
      <w:r>
        <w:rPr>
          <w:rFonts w:ascii="Verdana" w:eastAsia="Calibri" w:hAnsi="Verdana" w:cs="Arial"/>
          <w:b/>
          <w:bCs/>
          <w:lang w:val="es-ES" w:eastAsia="es-ES"/>
        </w:rPr>
        <w:t>–</w:t>
      </w:r>
      <w:r w:rsidRPr="002B393F">
        <w:rPr>
          <w:rFonts w:ascii="Verdana" w:eastAsia="Calibri" w:hAnsi="Verdana" w:cs="Arial"/>
          <w:b/>
          <w:bCs/>
          <w:lang w:val="es-ES" w:eastAsia="es-ES"/>
        </w:rPr>
        <w:t xml:space="preserve"> Finalidad</w:t>
      </w:r>
    </w:p>
    <w:p w14:paraId="5B776FD9" w14:textId="77777777" w:rsidR="00027CA9" w:rsidRPr="00C15FFD" w:rsidRDefault="00027CA9" w:rsidP="00027CA9">
      <w:pPr>
        <w:spacing w:after="0" w:line="240" w:lineRule="auto"/>
        <w:jc w:val="both"/>
        <w:rPr>
          <w:rFonts w:ascii="Verdana" w:eastAsia="Calibri" w:hAnsi="Verdana" w:cs="Arial"/>
          <w:b/>
          <w:bCs/>
          <w:sz w:val="20"/>
          <w:szCs w:val="20"/>
          <w:highlight w:val="yellow"/>
          <w:lang w:val="es-ES_tradnl" w:eastAsia="es-ES_tradnl"/>
        </w:rPr>
      </w:pPr>
    </w:p>
    <w:p w14:paraId="100AC42E" w14:textId="77777777" w:rsidR="00027CA9" w:rsidRDefault="00027CA9" w:rsidP="00027CA9">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2B393F">
        <w:rPr>
          <w:rFonts w:ascii="Verdana" w:eastAsia="Aptos" w:hAnsi="Verdana" w:cs="Times New Roman"/>
          <w:sz w:val="20"/>
          <w:szCs w:val="20"/>
        </w:rPr>
        <w:t xml:space="preserve">la Entidad Estatal podrá determinar con los estudios previos: i) la verdadera necesidad de la celebración del contrato; </w:t>
      </w:r>
      <w:proofErr w:type="spellStart"/>
      <w:r w:rsidRPr="002B393F">
        <w:rPr>
          <w:rFonts w:ascii="Verdana" w:eastAsia="Aptos" w:hAnsi="Verdana" w:cs="Times New Roman"/>
          <w:sz w:val="20"/>
          <w:szCs w:val="20"/>
        </w:rPr>
        <w:t>ii</w:t>
      </w:r>
      <w:proofErr w:type="spellEnd"/>
      <w:r w:rsidRPr="002B393F">
        <w:rPr>
          <w:rFonts w:ascii="Verdana" w:eastAsia="Aptos" w:hAnsi="Verdana" w:cs="Times New Roman"/>
          <w:sz w:val="20"/>
          <w:szCs w:val="20"/>
        </w:rPr>
        <w:t xml:space="preserve">) las modalidades existentes para satisfacer esa necesidad y las razones que justifiquen la modalidad o tipo contractual que se escoja; </w:t>
      </w:r>
      <w:proofErr w:type="spellStart"/>
      <w:r w:rsidRPr="002B393F">
        <w:rPr>
          <w:rFonts w:ascii="Verdana" w:eastAsia="Aptos" w:hAnsi="Verdana" w:cs="Times New Roman"/>
          <w:sz w:val="20"/>
          <w:szCs w:val="20"/>
        </w:rPr>
        <w:t>iii</w:t>
      </w:r>
      <w:proofErr w:type="spellEnd"/>
      <w:r w:rsidRPr="002B393F">
        <w:rPr>
          <w:rFonts w:ascii="Verdana" w:eastAsia="Aptos" w:hAnsi="Verdana" w:cs="Times New Roman"/>
          <w:sz w:val="20"/>
          <w:szCs w:val="20"/>
        </w:rPr>
        <w:t xml:space="preserve">) las calidades, especificaciones, cantidades y demás características que puedan o deban reunir los bienes, las obras o los servicios cuya contratación se haya determinado necesaria, </w:t>
      </w:r>
      <w:proofErr w:type="spellStart"/>
      <w:r w:rsidRPr="002B393F">
        <w:rPr>
          <w:rFonts w:ascii="Verdana" w:eastAsia="Aptos" w:hAnsi="Verdana" w:cs="Times New Roman"/>
          <w:sz w:val="20"/>
          <w:szCs w:val="20"/>
        </w:rPr>
        <w:t>iv</w:t>
      </w:r>
      <w:proofErr w:type="spellEnd"/>
      <w:r w:rsidRPr="002B393F">
        <w:rPr>
          <w:rFonts w:ascii="Verdana" w:eastAsia="Aptos" w:hAnsi="Verdana" w:cs="Times New Roman"/>
          <w:sz w:val="20"/>
          <w:szCs w:val="20"/>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2B393F">
        <w:rPr>
          <w:rFonts w:ascii="Verdana" w:eastAsia="Aptos" w:hAnsi="Verdana" w:cs="Times New Roman"/>
          <w:sz w:val="20"/>
          <w:szCs w:val="20"/>
        </w:rPr>
        <w:t>vii</w:t>
      </w:r>
      <w:proofErr w:type="spellEnd"/>
      <w:r w:rsidRPr="002B393F">
        <w:rPr>
          <w:rFonts w:ascii="Verdana" w:eastAsia="Aptos" w:hAnsi="Verdana" w:cs="Times New Roman"/>
          <w:sz w:val="20"/>
          <w:szCs w:val="20"/>
        </w:rPr>
        <w:t>) los procedimientos, trámites y requisitos que deban satisfacerse, reunirse u obtenerse para llevar a cabo la selección del respectivo contratista y la celebración del contrato que se pretenda celebrar. La consideración de todos estos aspectos permite que los contratos resultantes de la planeación cuenten con el sustento técnico, económico y jurídico que incidirá en una adecuada ejecución.</w:t>
      </w:r>
    </w:p>
    <w:p w14:paraId="0814E537" w14:textId="77777777" w:rsidR="00027CA9" w:rsidRDefault="00027CA9" w:rsidP="00027CA9">
      <w:pPr>
        <w:spacing w:after="0" w:line="240" w:lineRule="auto"/>
        <w:rPr>
          <w:rFonts w:ascii="Verdana" w:eastAsia="Aptos" w:hAnsi="Verdana" w:cs="Times New Roman"/>
          <w:sz w:val="20"/>
          <w:szCs w:val="20"/>
        </w:rPr>
      </w:pPr>
    </w:p>
    <w:p w14:paraId="24AA33EB" w14:textId="77777777" w:rsidR="00027CA9" w:rsidRPr="002B393F" w:rsidRDefault="00027CA9" w:rsidP="00027CA9">
      <w:pPr>
        <w:spacing w:after="0" w:line="240" w:lineRule="auto"/>
        <w:jc w:val="both"/>
        <w:rPr>
          <w:rFonts w:ascii="Verdana" w:eastAsia="Calibri" w:hAnsi="Verdana" w:cs="Arial"/>
          <w:b/>
          <w:bCs/>
          <w:lang w:val="es-ES" w:eastAsia="es-ES"/>
        </w:rPr>
      </w:pPr>
      <w:r w:rsidRPr="002B393F">
        <w:rPr>
          <w:rFonts w:ascii="Verdana" w:eastAsia="Calibri" w:hAnsi="Verdana" w:cs="Arial"/>
          <w:b/>
          <w:bCs/>
          <w:lang w:val="es-ES" w:eastAsia="es-ES"/>
        </w:rPr>
        <w:t xml:space="preserve">ESTUDIOS </w:t>
      </w:r>
      <w:r>
        <w:rPr>
          <w:rFonts w:ascii="Verdana" w:eastAsia="Calibri" w:hAnsi="Verdana" w:cs="Arial"/>
          <w:b/>
          <w:bCs/>
          <w:lang w:val="es-ES" w:eastAsia="es-ES"/>
        </w:rPr>
        <w:t>DE MERCADO</w:t>
      </w:r>
      <w:r w:rsidRPr="002B393F">
        <w:rPr>
          <w:rFonts w:ascii="Verdana" w:eastAsia="Calibri" w:hAnsi="Verdana" w:cs="Arial"/>
          <w:b/>
          <w:bCs/>
          <w:lang w:val="es-ES" w:eastAsia="es-ES"/>
        </w:rPr>
        <w:t xml:space="preserve"> </w:t>
      </w:r>
      <w:r>
        <w:rPr>
          <w:rFonts w:ascii="Verdana" w:eastAsia="Calibri" w:hAnsi="Verdana" w:cs="Arial"/>
          <w:b/>
          <w:bCs/>
          <w:lang w:val="es-ES" w:eastAsia="es-ES"/>
        </w:rPr>
        <w:t>–</w:t>
      </w:r>
      <w:r w:rsidRPr="002B393F">
        <w:rPr>
          <w:rFonts w:ascii="Verdana" w:eastAsia="Calibri" w:hAnsi="Verdana" w:cs="Arial"/>
          <w:b/>
          <w:bCs/>
          <w:lang w:val="es-ES" w:eastAsia="es-ES"/>
        </w:rPr>
        <w:t xml:space="preserve"> </w:t>
      </w:r>
      <w:r>
        <w:rPr>
          <w:rFonts w:ascii="Verdana" w:eastAsia="Calibri" w:hAnsi="Verdana" w:cs="Arial"/>
          <w:b/>
          <w:bCs/>
          <w:lang w:val="es-ES" w:eastAsia="es-ES"/>
        </w:rPr>
        <w:t>Finalidad – Recomendaciones – Colombia compra eficiente – Guía de elaboración de estudios del sector</w:t>
      </w:r>
    </w:p>
    <w:p w14:paraId="3096760B" w14:textId="77777777" w:rsidR="00027CA9" w:rsidRDefault="00027CA9" w:rsidP="00027CA9">
      <w:pPr>
        <w:spacing w:after="0" w:line="240" w:lineRule="auto"/>
        <w:rPr>
          <w:rFonts w:ascii="Verdana" w:eastAsia="Aptos" w:hAnsi="Verdana" w:cs="Times New Roman"/>
          <w:sz w:val="20"/>
          <w:szCs w:val="20"/>
        </w:rPr>
      </w:pPr>
    </w:p>
    <w:p w14:paraId="173B5C44" w14:textId="77777777" w:rsidR="00027CA9" w:rsidRDefault="00027CA9" w:rsidP="00027CA9">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4A1D12">
        <w:rPr>
          <w:rFonts w:ascii="Verdana" w:eastAsia="Aptos" w:hAnsi="Verdana" w:cs="Times New Roman"/>
          <w:sz w:val="20"/>
          <w:szCs w:val="20"/>
        </w:rPr>
        <w:t xml:space="preserve">este permite comprender la dinámica de los precios y establecer el presupuesto oficial de la contratación, el cual comprende la realización de un análisis de los diferentes precios de los bienes o servicios a contratar que se registran en el mercado, los cuales pueden consultarse a través de mecanismos como la solicitud de cotizaciones, la consulta </w:t>
      </w:r>
      <w:r w:rsidRPr="004A1D12">
        <w:rPr>
          <w:rFonts w:ascii="Verdana" w:eastAsia="Aptos" w:hAnsi="Verdana" w:cs="Times New Roman"/>
          <w:sz w:val="20"/>
          <w:szCs w:val="20"/>
        </w:rPr>
        <w:lastRenderedPageBreak/>
        <w:t>de bases de datos especializadas y el análisis de precios históricos. Este estudio de mercado debe responder claramente a las dinámicas de precio y, de esta manera, establecer el presupuesto oficial del proceso de contratación.</w:t>
      </w:r>
      <w:r w:rsidRPr="00A562DF">
        <w:t xml:space="preserve"> </w:t>
      </w:r>
      <w:r w:rsidRPr="00A562DF">
        <w:rPr>
          <w:rFonts w:ascii="Verdana" w:eastAsia="Aptos" w:hAnsi="Verdana" w:cs="Times New Roman"/>
          <w:sz w:val="20"/>
          <w:szCs w:val="20"/>
        </w:rPr>
        <w:t>De esta forma, se tiene que, la Guía de Elaboración de Estudios del Sector en el numeral 1.3.4, propone a las Entidades Estatales los siguientes mecanismos para elaborar el estudio de precios de mercado:</w:t>
      </w:r>
      <w:r>
        <w:rPr>
          <w:rFonts w:ascii="Verdana" w:eastAsia="Aptos" w:hAnsi="Verdana" w:cs="Times New Roman"/>
          <w:sz w:val="20"/>
          <w:szCs w:val="20"/>
        </w:rPr>
        <w:t xml:space="preserve"> i</w:t>
      </w:r>
      <w:r w:rsidRPr="00A562DF">
        <w:rPr>
          <w:rFonts w:ascii="Verdana" w:eastAsia="Aptos" w:hAnsi="Verdana" w:cs="Times New Roman"/>
          <w:sz w:val="20"/>
          <w:szCs w:val="20"/>
        </w:rPr>
        <w:t>) Revisión de precios por solicitud de cotizaciones</w:t>
      </w:r>
      <w:r>
        <w:rPr>
          <w:rFonts w:ascii="Verdana" w:eastAsia="Aptos" w:hAnsi="Verdana" w:cs="Times New Roman"/>
          <w:sz w:val="20"/>
          <w:szCs w:val="20"/>
        </w:rPr>
        <w:t xml:space="preserve"> […]. </w:t>
      </w:r>
      <w:proofErr w:type="spellStart"/>
      <w:r>
        <w:rPr>
          <w:rFonts w:ascii="Verdana" w:eastAsia="Aptos" w:hAnsi="Verdana" w:cs="Times New Roman"/>
          <w:sz w:val="20"/>
          <w:szCs w:val="20"/>
        </w:rPr>
        <w:t>ii</w:t>
      </w:r>
      <w:proofErr w:type="spellEnd"/>
      <w:r>
        <w:rPr>
          <w:rFonts w:ascii="Verdana" w:eastAsia="Aptos" w:hAnsi="Verdana" w:cs="Times New Roman"/>
          <w:sz w:val="20"/>
          <w:szCs w:val="20"/>
        </w:rPr>
        <w:t xml:space="preserve">) </w:t>
      </w:r>
      <w:r w:rsidRPr="00A562DF">
        <w:rPr>
          <w:rFonts w:ascii="Verdana" w:eastAsia="Aptos" w:hAnsi="Verdana" w:cs="Times New Roman"/>
          <w:sz w:val="20"/>
          <w:szCs w:val="20"/>
        </w:rPr>
        <w:t>verificarse la ocurrencia de circunstancias que eventualmente pueden distorsionar los precios del mercado</w:t>
      </w:r>
      <w:r>
        <w:rPr>
          <w:rFonts w:ascii="Verdana" w:eastAsia="Aptos" w:hAnsi="Verdana" w:cs="Times New Roman"/>
          <w:sz w:val="20"/>
          <w:szCs w:val="20"/>
        </w:rPr>
        <w:t xml:space="preserve"> […]. </w:t>
      </w:r>
      <w:proofErr w:type="spellStart"/>
      <w:r>
        <w:rPr>
          <w:rFonts w:ascii="Verdana" w:eastAsia="Aptos" w:hAnsi="Verdana" w:cs="Times New Roman"/>
          <w:sz w:val="20"/>
          <w:szCs w:val="20"/>
        </w:rPr>
        <w:t>iii</w:t>
      </w:r>
      <w:proofErr w:type="spellEnd"/>
      <w:r>
        <w:rPr>
          <w:rFonts w:ascii="Verdana" w:eastAsia="Aptos" w:hAnsi="Verdana" w:cs="Times New Roman"/>
          <w:sz w:val="20"/>
          <w:szCs w:val="20"/>
        </w:rPr>
        <w:t>)</w:t>
      </w:r>
      <w:r w:rsidRPr="00A562DF">
        <w:t xml:space="preserve"> </w:t>
      </w:r>
      <w:r w:rsidRPr="00A562DF">
        <w:rPr>
          <w:rFonts w:ascii="Verdana" w:eastAsia="Aptos" w:hAnsi="Verdana" w:cs="Times New Roman"/>
          <w:sz w:val="20"/>
          <w:szCs w:val="20"/>
        </w:rPr>
        <w:t>Revisión de bases de datos especializadas</w:t>
      </w:r>
      <w:r>
        <w:rPr>
          <w:rFonts w:ascii="Verdana" w:eastAsia="Aptos" w:hAnsi="Verdana" w:cs="Times New Roman"/>
          <w:sz w:val="20"/>
          <w:szCs w:val="20"/>
        </w:rPr>
        <w:t xml:space="preserve">. </w:t>
      </w:r>
      <w:proofErr w:type="spellStart"/>
      <w:r>
        <w:rPr>
          <w:rFonts w:ascii="Verdana" w:eastAsia="Aptos" w:hAnsi="Verdana" w:cs="Times New Roman"/>
          <w:sz w:val="20"/>
          <w:szCs w:val="20"/>
        </w:rPr>
        <w:t>iv</w:t>
      </w:r>
      <w:proofErr w:type="spellEnd"/>
      <w:r>
        <w:rPr>
          <w:rFonts w:ascii="Verdana" w:eastAsia="Aptos" w:hAnsi="Verdana" w:cs="Times New Roman"/>
          <w:sz w:val="20"/>
          <w:szCs w:val="20"/>
        </w:rPr>
        <w:t>)</w:t>
      </w:r>
      <w:r w:rsidRPr="0039462C">
        <w:t xml:space="preserve"> </w:t>
      </w:r>
      <w:r w:rsidRPr="0039462C">
        <w:rPr>
          <w:rFonts w:ascii="Verdana" w:eastAsia="Aptos" w:hAnsi="Verdana" w:cs="Times New Roman"/>
          <w:sz w:val="20"/>
          <w:szCs w:val="20"/>
        </w:rPr>
        <w:t>Revisión de precios históricos</w:t>
      </w:r>
      <w:r>
        <w:rPr>
          <w:rFonts w:ascii="Verdana" w:eastAsia="Aptos" w:hAnsi="Verdana" w:cs="Times New Roman"/>
          <w:sz w:val="20"/>
          <w:szCs w:val="20"/>
        </w:rPr>
        <w:t xml:space="preserve"> […]</w:t>
      </w:r>
    </w:p>
    <w:p w14:paraId="5B4F4F21" w14:textId="77777777" w:rsidR="00027CA9" w:rsidRDefault="00027CA9" w:rsidP="00027CA9">
      <w:pPr>
        <w:spacing w:after="0" w:line="240" w:lineRule="auto"/>
        <w:rPr>
          <w:rFonts w:ascii="Verdana" w:eastAsia="Aptos" w:hAnsi="Verdana" w:cs="Times New Roman"/>
          <w:sz w:val="20"/>
          <w:szCs w:val="20"/>
        </w:rPr>
      </w:pPr>
    </w:p>
    <w:p w14:paraId="0C9B8832" w14:textId="77777777" w:rsidR="00027CA9" w:rsidRDefault="00027CA9" w:rsidP="00027CA9">
      <w:pPr>
        <w:spacing w:after="0" w:line="240" w:lineRule="auto"/>
        <w:rPr>
          <w:rFonts w:ascii="Verdana" w:eastAsia="Aptos" w:hAnsi="Verdana" w:cs="Times New Roman"/>
          <w:sz w:val="20"/>
          <w:szCs w:val="20"/>
        </w:rPr>
      </w:pPr>
    </w:p>
    <w:p w14:paraId="45C4AC86" w14:textId="77777777" w:rsidR="00027CA9" w:rsidRDefault="00027CA9" w:rsidP="00027CA9">
      <w:pPr>
        <w:spacing w:after="0" w:line="240" w:lineRule="auto"/>
        <w:rPr>
          <w:rFonts w:ascii="Verdana" w:eastAsia="Aptos" w:hAnsi="Verdana" w:cs="Times New Roman"/>
          <w:sz w:val="20"/>
          <w:szCs w:val="20"/>
        </w:rPr>
      </w:pPr>
    </w:p>
    <w:p w14:paraId="251B59A9" w14:textId="77777777" w:rsidR="00027CA9" w:rsidRDefault="00027CA9" w:rsidP="00027CA9">
      <w:pPr>
        <w:spacing w:after="0" w:line="240" w:lineRule="auto"/>
        <w:rPr>
          <w:rFonts w:ascii="Verdana" w:eastAsia="Aptos" w:hAnsi="Verdana" w:cs="Times New Roman"/>
          <w:sz w:val="20"/>
          <w:szCs w:val="20"/>
        </w:rPr>
      </w:pPr>
    </w:p>
    <w:p w14:paraId="254B7F17" w14:textId="77777777" w:rsidR="00027CA9" w:rsidRDefault="00027CA9" w:rsidP="00027CA9">
      <w:pPr>
        <w:spacing w:after="0" w:line="240" w:lineRule="auto"/>
        <w:rPr>
          <w:rFonts w:ascii="Verdana" w:eastAsia="Aptos" w:hAnsi="Verdana" w:cs="Times New Roman"/>
          <w:sz w:val="20"/>
          <w:szCs w:val="20"/>
        </w:rPr>
      </w:pPr>
    </w:p>
    <w:p w14:paraId="5C574EE6" w14:textId="77777777" w:rsidR="00027CA9" w:rsidRDefault="00027CA9" w:rsidP="00027CA9">
      <w:pPr>
        <w:spacing w:after="0" w:line="240" w:lineRule="auto"/>
        <w:rPr>
          <w:rFonts w:ascii="Verdana" w:eastAsia="Aptos" w:hAnsi="Verdana" w:cs="Times New Roman"/>
          <w:sz w:val="20"/>
          <w:szCs w:val="20"/>
        </w:rPr>
      </w:pPr>
    </w:p>
    <w:p w14:paraId="1C7ABA94" w14:textId="77777777" w:rsidR="00027CA9" w:rsidRDefault="00027CA9" w:rsidP="00027CA9">
      <w:pPr>
        <w:spacing w:after="0" w:line="240" w:lineRule="auto"/>
        <w:rPr>
          <w:rFonts w:ascii="Verdana" w:eastAsia="Aptos" w:hAnsi="Verdana" w:cs="Times New Roman"/>
          <w:sz w:val="20"/>
          <w:szCs w:val="20"/>
        </w:rPr>
      </w:pPr>
    </w:p>
    <w:p w14:paraId="2B547E42" w14:textId="77777777" w:rsidR="00027CA9" w:rsidRDefault="00027CA9" w:rsidP="00027CA9">
      <w:pPr>
        <w:spacing w:after="0" w:line="240" w:lineRule="auto"/>
        <w:rPr>
          <w:rFonts w:ascii="Verdana" w:eastAsia="Aptos" w:hAnsi="Verdana" w:cs="Times New Roman"/>
          <w:sz w:val="20"/>
          <w:szCs w:val="20"/>
        </w:rPr>
      </w:pPr>
    </w:p>
    <w:p w14:paraId="637C702F" w14:textId="77777777" w:rsidR="00027CA9" w:rsidRDefault="00027CA9" w:rsidP="00027CA9">
      <w:pPr>
        <w:spacing w:after="0" w:line="240" w:lineRule="auto"/>
        <w:rPr>
          <w:rFonts w:ascii="Verdana" w:eastAsia="Aptos" w:hAnsi="Verdana" w:cs="Times New Roman"/>
          <w:sz w:val="20"/>
          <w:szCs w:val="20"/>
        </w:rPr>
      </w:pPr>
    </w:p>
    <w:p w14:paraId="37E89C7B" w14:textId="77777777" w:rsidR="00027CA9" w:rsidRDefault="00027CA9" w:rsidP="00027CA9">
      <w:pPr>
        <w:spacing w:after="0" w:line="240" w:lineRule="auto"/>
        <w:rPr>
          <w:rFonts w:ascii="Verdana" w:eastAsia="Aptos" w:hAnsi="Verdana" w:cs="Times New Roman"/>
          <w:sz w:val="20"/>
          <w:szCs w:val="20"/>
        </w:rPr>
      </w:pPr>
    </w:p>
    <w:p w14:paraId="71C7F99D" w14:textId="77777777" w:rsidR="00027CA9" w:rsidRDefault="00027CA9" w:rsidP="00027CA9">
      <w:pPr>
        <w:spacing w:after="0" w:line="240" w:lineRule="auto"/>
        <w:rPr>
          <w:rFonts w:ascii="Verdana" w:eastAsia="Aptos" w:hAnsi="Verdana" w:cs="Times New Roman"/>
          <w:sz w:val="20"/>
          <w:szCs w:val="20"/>
        </w:rPr>
      </w:pPr>
    </w:p>
    <w:p w14:paraId="1FC0018F" w14:textId="77777777" w:rsidR="00027CA9" w:rsidRDefault="00027CA9" w:rsidP="00027CA9">
      <w:pPr>
        <w:spacing w:after="0" w:line="240" w:lineRule="auto"/>
        <w:rPr>
          <w:rFonts w:ascii="Verdana" w:eastAsia="Aptos" w:hAnsi="Verdana" w:cs="Times New Roman"/>
          <w:sz w:val="20"/>
          <w:szCs w:val="20"/>
        </w:rPr>
      </w:pPr>
    </w:p>
    <w:p w14:paraId="240898CD" w14:textId="77777777" w:rsidR="00027CA9" w:rsidRDefault="00027CA9" w:rsidP="00027CA9">
      <w:pPr>
        <w:spacing w:after="0" w:line="240" w:lineRule="auto"/>
        <w:rPr>
          <w:rFonts w:ascii="Verdana" w:eastAsia="Aptos" w:hAnsi="Verdana" w:cs="Times New Roman"/>
          <w:sz w:val="20"/>
          <w:szCs w:val="20"/>
        </w:rPr>
      </w:pPr>
    </w:p>
    <w:p w14:paraId="78DABFBE" w14:textId="77777777" w:rsidR="00027CA9" w:rsidRDefault="00027CA9" w:rsidP="00027CA9">
      <w:pPr>
        <w:spacing w:after="0" w:line="240" w:lineRule="auto"/>
        <w:rPr>
          <w:rFonts w:ascii="Verdana" w:eastAsia="Aptos" w:hAnsi="Verdana" w:cs="Times New Roman"/>
          <w:sz w:val="20"/>
          <w:szCs w:val="20"/>
        </w:rPr>
      </w:pPr>
    </w:p>
    <w:p w14:paraId="7AFAE2F7" w14:textId="77777777" w:rsidR="00027CA9" w:rsidRDefault="00027CA9" w:rsidP="00027CA9">
      <w:pPr>
        <w:spacing w:after="0" w:line="240" w:lineRule="auto"/>
        <w:rPr>
          <w:rFonts w:ascii="Verdana" w:eastAsia="Aptos" w:hAnsi="Verdana" w:cs="Times New Roman"/>
          <w:sz w:val="20"/>
          <w:szCs w:val="20"/>
        </w:rPr>
      </w:pPr>
    </w:p>
    <w:p w14:paraId="05E2232E" w14:textId="77777777" w:rsidR="00027CA9" w:rsidRDefault="00027CA9" w:rsidP="00027CA9">
      <w:pPr>
        <w:spacing w:after="0" w:line="240" w:lineRule="auto"/>
        <w:rPr>
          <w:rFonts w:ascii="Verdana" w:eastAsia="Aptos" w:hAnsi="Verdana" w:cs="Times New Roman"/>
          <w:sz w:val="20"/>
          <w:szCs w:val="20"/>
        </w:rPr>
      </w:pPr>
    </w:p>
    <w:p w14:paraId="4F6C6284" w14:textId="77777777" w:rsidR="00027CA9" w:rsidRDefault="00027CA9" w:rsidP="00027CA9">
      <w:pPr>
        <w:spacing w:after="0" w:line="240" w:lineRule="auto"/>
        <w:rPr>
          <w:rFonts w:ascii="Verdana" w:eastAsia="Aptos" w:hAnsi="Verdana" w:cs="Times New Roman"/>
          <w:sz w:val="20"/>
          <w:szCs w:val="20"/>
        </w:rPr>
      </w:pPr>
    </w:p>
    <w:p w14:paraId="0C0C54BF" w14:textId="77777777" w:rsidR="00027CA9" w:rsidRDefault="00027CA9" w:rsidP="00027CA9">
      <w:pPr>
        <w:spacing w:after="0" w:line="240" w:lineRule="auto"/>
        <w:rPr>
          <w:rFonts w:ascii="Verdana" w:eastAsia="Aptos" w:hAnsi="Verdana" w:cs="Times New Roman"/>
          <w:sz w:val="20"/>
          <w:szCs w:val="20"/>
        </w:rPr>
      </w:pPr>
    </w:p>
    <w:p w14:paraId="501BE15A" w14:textId="77777777" w:rsidR="00027CA9" w:rsidRDefault="00027CA9" w:rsidP="00027CA9">
      <w:pPr>
        <w:spacing w:after="0" w:line="240" w:lineRule="auto"/>
        <w:rPr>
          <w:rFonts w:ascii="Verdana" w:eastAsia="Aptos" w:hAnsi="Verdana" w:cs="Times New Roman"/>
          <w:sz w:val="20"/>
          <w:szCs w:val="20"/>
        </w:rPr>
      </w:pPr>
    </w:p>
    <w:p w14:paraId="58A11BDA" w14:textId="77777777" w:rsidR="00027CA9" w:rsidRDefault="00027CA9" w:rsidP="00027CA9">
      <w:pPr>
        <w:spacing w:after="0" w:line="240" w:lineRule="auto"/>
        <w:rPr>
          <w:rFonts w:ascii="Verdana" w:eastAsia="Aptos" w:hAnsi="Verdana" w:cs="Times New Roman"/>
          <w:sz w:val="20"/>
          <w:szCs w:val="20"/>
        </w:rPr>
      </w:pPr>
    </w:p>
    <w:p w14:paraId="37B65216" w14:textId="77777777" w:rsidR="00027CA9" w:rsidRDefault="00027CA9" w:rsidP="00027CA9">
      <w:pPr>
        <w:spacing w:after="0" w:line="240" w:lineRule="auto"/>
        <w:rPr>
          <w:rFonts w:ascii="Verdana" w:eastAsia="Aptos" w:hAnsi="Verdana" w:cs="Times New Roman"/>
          <w:sz w:val="20"/>
          <w:szCs w:val="20"/>
        </w:rPr>
      </w:pPr>
    </w:p>
    <w:p w14:paraId="6877F24D" w14:textId="77777777" w:rsidR="00027CA9" w:rsidRDefault="00027CA9" w:rsidP="00027CA9">
      <w:pPr>
        <w:spacing w:after="0" w:line="240" w:lineRule="auto"/>
        <w:rPr>
          <w:rFonts w:ascii="Verdana" w:eastAsia="Aptos" w:hAnsi="Verdana" w:cs="Times New Roman"/>
          <w:sz w:val="20"/>
          <w:szCs w:val="20"/>
        </w:rPr>
      </w:pPr>
    </w:p>
    <w:p w14:paraId="5C976BC8" w14:textId="77777777" w:rsidR="00027CA9" w:rsidRDefault="00027CA9" w:rsidP="00027CA9">
      <w:pPr>
        <w:spacing w:after="0" w:line="240" w:lineRule="auto"/>
        <w:rPr>
          <w:rFonts w:ascii="Verdana" w:eastAsia="Aptos" w:hAnsi="Verdana" w:cs="Times New Roman"/>
          <w:sz w:val="20"/>
          <w:szCs w:val="20"/>
        </w:rPr>
      </w:pPr>
    </w:p>
    <w:p w14:paraId="380EC281" w14:textId="77777777" w:rsidR="00027CA9" w:rsidRDefault="00027CA9" w:rsidP="00027CA9">
      <w:pPr>
        <w:spacing w:after="0" w:line="240" w:lineRule="auto"/>
        <w:rPr>
          <w:rFonts w:ascii="Verdana" w:eastAsia="Aptos" w:hAnsi="Verdana" w:cs="Times New Roman"/>
          <w:sz w:val="20"/>
          <w:szCs w:val="20"/>
        </w:rPr>
      </w:pPr>
    </w:p>
    <w:p w14:paraId="2948A974" w14:textId="77777777" w:rsidR="00027CA9" w:rsidRDefault="00027CA9" w:rsidP="00027CA9">
      <w:pPr>
        <w:spacing w:after="0" w:line="240" w:lineRule="auto"/>
        <w:rPr>
          <w:rFonts w:ascii="Verdana" w:eastAsia="Aptos" w:hAnsi="Verdana" w:cs="Times New Roman"/>
          <w:sz w:val="20"/>
          <w:szCs w:val="20"/>
        </w:rPr>
      </w:pPr>
    </w:p>
    <w:p w14:paraId="639991C4" w14:textId="77777777" w:rsidR="00027CA9" w:rsidRDefault="00027CA9" w:rsidP="00027CA9">
      <w:pPr>
        <w:spacing w:after="0" w:line="240" w:lineRule="auto"/>
        <w:rPr>
          <w:rFonts w:ascii="Verdana" w:eastAsia="Aptos" w:hAnsi="Verdana" w:cs="Times New Roman"/>
          <w:sz w:val="20"/>
          <w:szCs w:val="20"/>
        </w:rPr>
      </w:pPr>
    </w:p>
    <w:p w14:paraId="157A091D" w14:textId="77777777" w:rsidR="00027CA9" w:rsidRDefault="00027CA9" w:rsidP="00027CA9">
      <w:pPr>
        <w:spacing w:after="0" w:line="240" w:lineRule="auto"/>
        <w:rPr>
          <w:rFonts w:ascii="Verdana" w:eastAsia="Aptos" w:hAnsi="Verdana" w:cs="Times New Roman"/>
          <w:sz w:val="20"/>
          <w:szCs w:val="20"/>
        </w:rPr>
      </w:pPr>
    </w:p>
    <w:p w14:paraId="05BC4926" w14:textId="77777777" w:rsidR="00027CA9" w:rsidRDefault="00027CA9" w:rsidP="00027CA9">
      <w:pPr>
        <w:spacing w:after="0" w:line="240" w:lineRule="auto"/>
        <w:rPr>
          <w:rFonts w:ascii="Verdana" w:eastAsia="Aptos" w:hAnsi="Verdana" w:cs="Times New Roman"/>
          <w:sz w:val="20"/>
          <w:szCs w:val="20"/>
        </w:rPr>
      </w:pPr>
    </w:p>
    <w:p w14:paraId="234EDF58" w14:textId="77777777" w:rsidR="00027CA9" w:rsidRDefault="00027CA9" w:rsidP="00027CA9">
      <w:pPr>
        <w:spacing w:after="0" w:line="240" w:lineRule="auto"/>
        <w:rPr>
          <w:rFonts w:ascii="Verdana" w:eastAsia="Aptos" w:hAnsi="Verdana" w:cs="Times New Roman"/>
          <w:sz w:val="20"/>
          <w:szCs w:val="20"/>
        </w:rPr>
      </w:pPr>
    </w:p>
    <w:p w14:paraId="23DAF0B6" w14:textId="77777777" w:rsidR="00027CA9" w:rsidRDefault="00027CA9" w:rsidP="00027CA9">
      <w:pPr>
        <w:spacing w:after="0" w:line="240" w:lineRule="auto"/>
        <w:rPr>
          <w:rFonts w:ascii="Verdana" w:eastAsia="Aptos" w:hAnsi="Verdana" w:cs="Times New Roman"/>
          <w:sz w:val="20"/>
          <w:szCs w:val="20"/>
        </w:rPr>
      </w:pPr>
    </w:p>
    <w:p w14:paraId="2151435F" w14:textId="77777777" w:rsidR="00027CA9" w:rsidRDefault="00027CA9" w:rsidP="00027CA9">
      <w:pPr>
        <w:spacing w:after="0" w:line="240" w:lineRule="auto"/>
        <w:rPr>
          <w:rFonts w:ascii="Verdana" w:eastAsia="Aptos" w:hAnsi="Verdana" w:cs="Times New Roman"/>
          <w:sz w:val="20"/>
          <w:szCs w:val="20"/>
        </w:rPr>
      </w:pPr>
    </w:p>
    <w:p w14:paraId="45925167" w14:textId="77777777" w:rsidR="00027CA9" w:rsidRDefault="00027CA9" w:rsidP="00027CA9">
      <w:pPr>
        <w:spacing w:after="0" w:line="240" w:lineRule="auto"/>
        <w:rPr>
          <w:rFonts w:ascii="Verdana" w:eastAsia="Aptos" w:hAnsi="Verdana" w:cs="Times New Roman"/>
          <w:sz w:val="20"/>
          <w:szCs w:val="20"/>
        </w:rPr>
      </w:pPr>
    </w:p>
    <w:p w14:paraId="1949B79C" w14:textId="77777777" w:rsidR="00027CA9" w:rsidRDefault="00027CA9" w:rsidP="00027CA9">
      <w:pPr>
        <w:spacing w:after="0" w:line="240" w:lineRule="auto"/>
        <w:rPr>
          <w:rFonts w:ascii="Verdana" w:eastAsia="Aptos" w:hAnsi="Verdana" w:cs="Times New Roman"/>
          <w:sz w:val="20"/>
          <w:szCs w:val="20"/>
        </w:rPr>
      </w:pPr>
    </w:p>
    <w:p w14:paraId="3C159152" w14:textId="77777777" w:rsidR="00027CA9" w:rsidRDefault="00027CA9" w:rsidP="00027CA9">
      <w:pPr>
        <w:spacing w:after="0" w:line="240" w:lineRule="auto"/>
        <w:rPr>
          <w:rFonts w:ascii="Verdana" w:eastAsia="Aptos" w:hAnsi="Verdana" w:cs="Times New Roman"/>
          <w:sz w:val="20"/>
          <w:szCs w:val="20"/>
        </w:rPr>
      </w:pPr>
    </w:p>
    <w:p w14:paraId="2274D2BA" w14:textId="77777777" w:rsidR="00027CA9" w:rsidRDefault="00027CA9" w:rsidP="00027CA9">
      <w:pPr>
        <w:spacing w:after="0" w:line="240" w:lineRule="auto"/>
        <w:rPr>
          <w:rFonts w:ascii="Verdana" w:eastAsia="Aptos" w:hAnsi="Verdana" w:cs="Times New Roman"/>
          <w:sz w:val="20"/>
          <w:szCs w:val="20"/>
        </w:rPr>
      </w:pPr>
    </w:p>
    <w:p w14:paraId="62E09E0A" w14:textId="77777777" w:rsidR="0047139F" w:rsidRDefault="0047139F" w:rsidP="00337DF3">
      <w:pPr>
        <w:spacing w:after="0" w:line="240" w:lineRule="auto"/>
        <w:rPr>
          <w:rFonts w:ascii="Verdana" w:eastAsia="Geomanist Light" w:hAnsi="Verdana" w:cs="Arial"/>
          <w:color w:val="000000" w:themeColor="text1"/>
        </w:rPr>
      </w:pPr>
    </w:p>
    <w:p w14:paraId="7A3FD2DA" w14:textId="77777777" w:rsidR="00027CA9" w:rsidRDefault="00027CA9" w:rsidP="00337DF3">
      <w:pPr>
        <w:spacing w:after="0" w:line="240" w:lineRule="auto"/>
        <w:rPr>
          <w:rFonts w:ascii="Verdana" w:eastAsia="Geomanist Light" w:hAnsi="Verdana" w:cs="Arial"/>
          <w:color w:val="000000" w:themeColor="text1"/>
        </w:rPr>
      </w:pPr>
    </w:p>
    <w:p w14:paraId="2608EC6F" w14:textId="2B80AE7A" w:rsidR="00337DF3" w:rsidRPr="009B7987" w:rsidRDefault="00337DF3" w:rsidP="00337DF3">
      <w:pPr>
        <w:spacing w:after="0" w:line="240" w:lineRule="auto"/>
        <w:rPr>
          <w:rFonts w:ascii="Verdana" w:eastAsia="Geomanist Light" w:hAnsi="Verdana" w:cs="Arial"/>
          <w:color w:val="201F1E"/>
        </w:rPr>
      </w:pPr>
      <w:r w:rsidRPr="009B7987">
        <w:rPr>
          <w:rFonts w:ascii="Verdana" w:eastAsia="Geomanist Light" w:hAnsi="Verdana" w:cs="Arial"/>
          <w:color w:val="000000" w:themeColor="text1"/>
        </w:rPr>
        <w:lastRenderedPageBreak/>
        <w:t>Bogotá D.C., </w:t>
      </w:r>
      <w:r w:rsidR="00B10D5F">
        <w:rPr>
          <w:rFonts w:ascii="Verdana" w:eastAsia="Geomanist Light" w:hAnsi="Verdana" w:cs="Arial"/>
          <w:color w:val="000000" w:themeColor="text1"/>
        </w:rPr>
        <w:t>5 de marzo de 2025</w:t>
      </w:r>
    </w:p>
    <w:p w14:paraId="3F6329C7" w14:textId="77777777" w:rsidR="00337DF3" w:rsidRDefault="00337DF3" w:rsidP="00B10D5F">
      <w:pPr>
        <w:spacing w:after="0" w:line="240" w:lineRule="auto"/>
        <w:ind w:firstLine="708"/>
        <w:jc w:val="both"/>
        <w:rPr>
          <w:rFonts w:ascii="Verdana" w:eastAsia="Calibri" w:hAnsi="Verdana" w:cs="Arial"/>
          <w:color w:val="000000"/>
        </w:rPr>
      </w:pPr>
    </w:p>
    <w:p w14:paraId="1C264F4C" w14:textId="5149EFEB" w:rsidR="00B10D5F" w:rsidRPr="009B7987" w:rsidRDefault="00B10D5F" w:rsidP="00B10D5F">
      <w:pPr>
        <w:spacing w:after="0" w:line="240" w:lineRule="auto"/>
        <w:ind w:firstLine="708"/>
        <w:jc w:val="right"/>
        <w:rPr>
          <w:rFonts w:ascii="Verdana" w:eastAsia="Calibri" w:hAnsi="Verdana" w:cs="Arial"/>
          <w:color w:val="000000"/>
        </w:rPr>
      </w:pPr>
      <w:r w:rsidRPr="00B10D5F">
        <w:rPr>
          <w:rFonts w:ascii="Verdana" w:eastAsia="Calibri" w:hAnsi="Verdana" w:cs="Arial"/>
          <w:noProof/>
          <w:color w:val="000000"/>
        </w:rPr>
        <w:drawing>
          <wp:inline distT="0" distB="0" distL="0" distR="0" wp14:anchorId="662874EC" wp14:editId="4F6360F4">
            <wp:extent cx="2118360" cy="960120"/>
            <wp:effectExtent l="0" t="0" r="0" b="0"/>
            <wp:docPr id="6196025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8360" cy="960120"/>
                    </a:xfrm>
                    <a:prstGeom prst="rect">
                      <a:avLst/>
                    </a:prstGeom>
                    <a:noFill/>
                    <a:ln>
                      <a:noFill/>
                    </a:ln>
                  </pic:spPr>
                </pic:pic>
              </a:graphicData>
            </a:graphic>
          </wp:inline>
        </w:drawing>
      </w:r>
    </w:p>
    <w:p w14:paraId="5A468DC2" w14:textId="77777777" w:rsidR="00337DF3" w:rsidRPr="009B7987" w:rsidRDefault="00337DF3" w:rsidP="00337DF3">
      <w:pPr>
        <w:spacing w:after="0" w:line="240" w:lineRule="auto"/>
        <w:jc w:val="both"/>
        <w:rPr>
          <w:rFonts w:ascii="Verdana" w:eastAsia="Calibri" w:hAnsi="Verdana" w:cs="Arial"/>
          <w:color w:val="000000"/>
        </w:rPr>
      </w:pPr>
    </w:p>
    <w:p w14:paraId="5FB93CD7" w14:textId="758F810A" w:rsidR="00337DF3" w:rsidRPr="009B7987" w:rsidRDefault="00337DF3" w:rsidP="00337DF3">
      <w:pPr>
        <w:spacing w:after="0" w:line="240" w:lineRule="auto"/>
        <w:jc w:val="both"/>
        <w:rPr>
          <w:rFonts w:ascii="Verdana" w:eastAsia="Calibri" w:hAnsi="Verdana" w:cs="Arial"/>
          <w:lang w:eastAsia="es-ES"/>
        </w:rPr>
      </w:pPr>
      <w:r w:rsidRPr="009B7987">
        <w:rPr>
          <w:rFonts w:ascii="Verdana" w:eastAsia="Calibri" w:hAnsi="Verdana" w:cs="Arial"/>
          <w:lang w:eastAsia="es-ES"/>
        </w:rPr>
        <w:t>Señor</w:t>
      </w:r>
    </w:p>
    <w:p w14:paraId="5C808DD7" w14:textId="78CF22F6" w:rsidR="002C29EB" w:rsidRPr="009B7987" w:rsidRDefault="0081222E" w:rsidP="00337DF3">
      <w:pPr>
        <w:spacing w:after="0" w:line="240" w:lineRule="auto"/>
        <w:rPr>
          <w:rFonts w:ascii="Verdana" w:eastAsia="Calibri" w:hAnsi="Verdana" w:cs="Arial"/>
          <w:b/>
          <w:lang w:eastAsia="es-ES"/>
        </w:rPr>
      </w:pPr>
      <w:r>
        <w:rPr>
          <w:rFonts w:ascii="Verdana" w:eastAsia="Calibri" w:hAnsi="Verdana" w:cs="Arial"/>
          <w:b/>
          <w:lang w:eastAsia="es-ES"/>
        </w:rPr>
        <w:t>Daniel Sosa González</w:t>
      </w:r>
    </w:p>
    <w:p w14:paraId="173757BD" w14:textId="09F90A6B" w:rsidR="007B3264" w:rsidRPr="009B7987" w:rsidRDefault="009A6A7B" w:rsidP="00337DF3">
      <w:pPr>
        <w:spacing w:after="0" w:line="240" w:lineRule="auto"/>
        <w:rPr>
          <w:rFonts w:ascii="Verdana" w:eastAsia="Calibri" w:hAnsi="Verdana" w:cs="Arial"/>
          <w:bCs/>
          <w:lang w:eastAsia="es-ES"/>
        </w:rPr>
      </w:pPr>
      <w:hyperlink r:id="rId12" w:history="1">
        <w:r w:rsidRPr="00F65355">
          <w:rPr>
            <w:rStyle w:val="Hipervnculo"/>
            <w:rFonts w:ascii="Verdana" w:eastAsia="Calibri" w:hAnsi="Verdana" w:cs="Arial"/>
            <w:bCs/>
            <w:lang w:eastAsia="es-ES"/>
          </w:rPr>
          <w:t>dasosag@unal.edu.co</w:t>
        </w:r>
      </w:hyperlink>
      <w:r>
        <w:rPr>
          <w:rFonts w:ascii="Verdana" w:eastAsia="Calibri" w:hAnsi="Verdana" w:cs="Arial"/>
          <w:bCs/>
          <w:lang w:eastAsia="es-ES"/>
        </w:rPr>
        <w:t xml:space="preserve"> </w:t>
      </w:r>
    </w:p>
    <w:p w14:paraId="734F9DD9" w14:textId="3C5043D0" w:rsidR="00337DF3" w:rsidRPr="009A6A7B" w:rsidRDefault="009A6A7B" w:rsidP="00337DF3">
      <w:pPr>
        <w:spacing w:after="0" w:line="240" w:lineRule="auto"/>
        <w:rPr>
          <w:rFonts w:ascii="Verdana" w:eastAsia="Calibri" w:hAnsi="Verdana" w:cs="Arial"/>
          <w:lang w:eastAsia="es-ES"/>
        </w:rPr>
      </w:pPr>
      <w:r w:rsidRPr="009A6A7B">
        <w:rPr>
          <w:rFonts w:ascii="Verdana" w:hAnsi="Verdana"/>
        </w:rPr>
        <w:t xml:space="preserve">Duitama, Boyacá </w:t>
      </w:r>
    </w:p>
    <w:p w14:paraId="506786B1" w14:textId="77777777" w:rsidR="00337DF3" w:rsidRPr="009B7987" w:rsidRDefault="00337DF3" w:rsidP="00337DF3">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37DF3" w:rsidRPr="009B7987" w14:paraId="77A4BFCB" w14:textId="77777777" w:rsidTr="00D154AA">
        <w:trPr>
          <w:trHeight w:val="630"/>
        </w:trPr>
        <w:tc>
          <w:tcPr>
            <w:tcW w:w="2689" w:type="dxa"/>
          </w:tcPr>
          <w:p w14:paraId="2EA70DB1" w14:textId="77777777" w:rsidR="00337DF3" w:rsidRPr="009B7987" w:rsidRDefault="00337DF3" w:rsidP="00D154AA">
            <w:pPr>
              <w:jc w:val="both"/>
              <w:rPr>
                <w:rFonts w:ascii="Verdana" w:eastAsia="Calibri" w:hAnsi="Verdana" w:cs="Arial"/>
                <w:b/>
                <w:bCs/>
                <w:color w:val="7030A0"/>
                <w:lang w:eastAsia="es-ES_tradnl"/>
              </w:rPr>
            </w:pPr>
          </w:p>
        </w:tc>
        <w:tc>
          <w:tcPr>
            <w:tcW w:w="6100" w:type="dxa"/>
          </w:tcPr>
          <w:p w14:paraId="59C50D86" w14:textId="43448D60" w:rsidR="00337DF3" w:rsidRPr="009B7987" w:rsidRDefault="00337DF3" w:rsidP="00D154AA">
            <w:pPr>
              <w:jc w:val="both"/>
              <w:rPr>
                <w:rFonts w:ascii="Verdana" w:eastAsia="Calibri" w:hAnsi="Verdana" w:cs="Arial"/>
                <w:b/>
                <w:bCs/>
                <w:lang w:eastAsia="es-ES"/>
              </w:rPr>
            </w:pPr>
            <w:r w:rsidRPr="009B7987">
              <w:rPr>
                <w:rFonts w:ascii="Verdana" w:eastAsia="Calibri" w:hAnsi="Verdana" w:cs="Arial"/>
                <w:b/>
                <w:bCs/>
                <w:lang w:eastAsia="es-ES"/>
              </w:rPr>
              <w:t xml:space="preserve">Concepto C – </w:t>
            </w:r>
            <w:r w:rsidR="00A211C5">
              <w:rPr>
                <w:rFonts w:ascii="Verdana" w:eastAsia="Calibri" w:hAnsi="Verdana" w:cs="Arial"/>
                <w:b/>
                <w:bCs/>
                <w:lang w:eastAsia="es-ES"/>
              </w:rPr>
              <w:t>101</w:t>
            </w:r>
            <w:r w:rsidRPr="009B7987">
              <w:rPr>
                <w:rFonts w:ascii="Verdana" w:eastAsia="Calibri" w:hAnsi="Verdana" w:cs="Arial"/>
                <w:b/>
                <w:bCs/>
                <w:lang w:eastAsia="es-ES"/>
              </w:rPr>
              <w:t xml:space="preserve"> de 2025</w:t>
            </w:r>
          </w:p>
        </w:tc>
      </w:tr>
      <w:tr w:rsidR="00337DF3" w:rsidRPr="009B7987" w14:paraId="7864FCC3" w14:textId="77777777" w:rsidTr="00D154AA">
        <w:trPr>
          <w:trHeight w:val="884"/>
        </w:trPr>
        <w:tc>
          <w:tcPr>
            <w:tcW w:w="2689" w:type="dxa"/>
          </w:tcPr>
          <w:p w14:paraId="065EC117" w14:textId="77777777" w:rsidR="00337DF3" w:rsidRPr="009B7987" w:rsidRDefault="00337DF3" w:rsidP="00D154AA">
            <w:pPr>
              <w:jc w:val="both"/>
              <w:rPr>
                <w:rFonts w:ascii="Verdana" w:eastAsia="Calibri" w:hAnsi="Verdana" w:cs="Arial"/>
                <w:color w:val="000000"/>
                <w:lang w:eastAsia="es-ES_tradnl"/>
              </w:rPr>
            </w:pPr>
            <w:r w:rsidRPr="009B7987">
              <w:rPr>
                <w:rFonts w:ascii="Verdana" w:eastAsia="Calibri" w:hAnsi="Verdana" w:cs="Arial"/>
                <w:b/>
                <w:color w:val="000000"/>
                <w:lang w:eastAsia="es-ES_tradnl"/>
              </w:rPr>
              <w:t>Temas:</w:t>
            </w:r>
            <w:r w:rsidRPr="009B7987">
              <w:rPr>
                <w:rFonts w:ascii="Verdana" w:eastAsia="Calibri" w:hAnsi="Verdana" w:cs="Arial"/>
                <w:color w:val="000000"/>
                <w:lang w:eastAsia="es-ES_tradnl"/>
              </w:rPr>
              <w:t xml:space="preserve">                   </w:t>
            </w:r>
          </w:p>
        </w:tc>
        <w:tc>
          <w:tcPr>
            <w:tcW w:w="6100" w:type="dxa"/>
          </w:tcPr>
          <w:p w14:paraId="138BC0A6" w14:textId="77777777" w:rsidR="000419D7" w:rsidRDefault="000419D7" w:rsidP="000419D7">
            <w:pPr>
              <w:spacing w:line="276" w:lineRule="auto"/>
              <w:jc w:val="both"/>
              <w:rPr>
                <w:rFonts w:ascii="Verdana" w:eastAsia="Calibri" w:hAnsi="Verdana" w:cs="Arial"/>
                <w:lang w:val="es-ES" w:eastAsia="es-ES"/>
              </w:rPr>
            </w:pPr>
            <w:r w:rsidRPr="0039462C">
              <w:rPr>
                <w:rFonts w:ascii="Verdana" w:eastAsia="Calibri" w:hAnsi="Verdana" w:cs="Arial"/>
                <w:lang w:val="es-ES" w:eastAsia="es-ES"/>
              </w:rPr>
              <w:t>PLANEACIÓN CONTRACTUAL – Noción – Obligación de las entidades – Ley 80 de 1993</w:t>
            </w:r>
            <w:r>
              <w:rPr>
                <w:rFonts w:ascii="Verdana" w:eastAsia="Calibri" w:hAnsi="Verdana" w:cs="Arial"/>
                <w:lang w:val="es-ES" w:eastAsia="es-ES"/>
              </w:rPr>
              <w:t xml:space="preserve"> / </w:t>
            </w:r>
            <w:r w:rsidRPr="0039462C">
              <w:rPr>
                <w:rFonts w:ascii="Verdana" w:eastAsia="Calibri" w:hAnsi="Verdana" w:cs="Arial"/>
                <w:lang w:val="es-ES" w:eastAsia="es-ES"/>
              </w:rPr>
              <w:t xml:space="preserve">ESTUDIOS PREVIOS </w:t>
            </w:r>
            <w:r>
              <w:rPr>
                <w:rFonts w:ascii="Verdana" w:eastAsia="Calibri" w:hAnsi="Verdana" w:cs="Arial"/>
                <w:lang w:val="es-ES" w:eastAsia="es-ES"/>
              </w:rPr>
              <w:t>–</w:t>
            </w:r>
            <w:r w:rsidRPr="0039462C">
              <w:rPr>
                <w:rFonts w:ascii="Verdana" w:eastAsia="Calibri" w:hAnsi="Verdana" w:cs="Arial"/>
                <w:lang w:val="es-ES" w:eastAsia="es-ES"/>
              </w:rPr>
              <w:t xml:space="preserve"> Finalidad</w:t>
            </w:r>
            <w:r>
              <w:rPr>
                <w:rFonts w:ascii="Verdana" w:eastAsia="Calibri" w:hAnsi="Verdana" w:cs="Arial"/>
                <w:lang w:val="es-ES" w:eastAsia="es-ES"/>
              </w:rPr>
              <w:t xml:space="preserve"> / </w:t>
            </w:r>
            <w:r w:rsidRPr="0039462C">
              <w:rPr>
                <w:rFonts w:ascii="Verdana" w:eastAsia="Calibri" w:hAnsi="Verdana" w:cs="Arial"/>
                <w:lang w:val="es-ES" w:eastAsia="es-ES"/>
              </w:rPr>
              <w:t>ESTUDIOS DE MERCADO – Finalidad – Recomendaciones – Colombia compra eficiente – Guía de elaboración de estudios del sector</w:t>
            </w:r>
          </w:p>
          <w:p w14:paraId="4A7EAAA3" w14:textId="77777777" w:rsidR="00337DF3" w:rsidRPr="009B7987" w:rsidRDefault="00337DF3" w:rsidP="000419D7">
            <w:pPr>
              <w:spacing w:line="276" w:lineRule="auto"/>
              <w:jc w:val="both"/>
              <w:rPr>
                <w:rFonts w:ascii="Verdana" w:eastAsia="Calibri" w:hAnsi="Verdana" w:cs="Arial"/>
                <w:lang w:eastAsia="es-ES"/>
              </w:rPr>
            </w:pPr>
          </w:p>
        </w:tc>
      </w:tr>
      <w:tr w:rsidR="00337DF3" w:rsidRPr="009B7987" w14:paraId="20E5B75D" w14:textId="77777777" w:rsidTr="00D154AA">
        <w:tc>
          <w:tcPr>
            <w:tcW w:w="2689" w:type="dxa"/>
          </w:tcPr>
          <w:p w14:paraId="5541C4F7" w14:textId="77777777" w:rsidR="00337DF3" w:rsidRPr="009B7987" w:rsidRDefault="00337DF3" w:rsidP="00D154AA">
            <w:pPr>
              <w:jc w:val="both"/>
              <w:rPr>
                <w:rFonts w:ascii="Verdana" w:eastAsia="Calibri" w:hAnsi="Verdana" w:cs="Arial"/>
                <w:b/>
                <w:lang w:eastAsia="es-ES_tradnl"/>
              </w:rPr>
            </w:pPr>
            <w:r w:rsidRPr="009B7987">
              <w:rPr>
                <w:rFonts w:ascii="Verdana" w:eastAsia="Calibri" w:hAnsi="Verdana" w:cs="Arial"/>
                <w:b/>
                <w:lang w:eastAsia="es-ES_tradnl"/>
              </w:rPr>
              <w:t>Radicación:</w:t>
            </w:r>
            <w:r w:rsidRPr="009B7987">
              <w:rPr>
                <w:rFonts w:ascii="Verdana" w:eastAsia="Calibri" w:hAnsi="Verdana" w:cs="Arial"/>
                <w:lang w:eastAsia="es-ES_tradnl"/>
              </w:rPr>
              <w:t xml:space="preserve">               </w:t>
            </w:r>
          </w:p>
        </w:tc>
        <w:tc>
          <w:tcPr>
            <w:tcW w:w="6100" w:type="dxa"/>
          </w:tcPr>
          <w:p w14:paraId="572E28F2" w14:textId="5C95639E" w:rsidR="00337DF3" w:rsidRPr="009B7987" w:rsidRDefault="00337DF3" w:rsidP="00D154AA">
            <w:pPr>
              <w:jc w:val="both"/>
              <w:rPr>
                <w:rFonts w:ascii="Verdana" w:eastAsia="Calibri" w:hAnsi="Verdana" w:cs="Arial"/>
                <w:lang w:eastAsia="es-ES_tradnl"/>
              </w:rPr>
            </w:pPr>
            <w:r w:rsidRPr="009B7987">
              <w:rPr>
                <w:rFonts w:ascii="Verdana" w:eastAsia="Calibri" w:hAnsi="Verdana" w:cs="Arial"/>
                <w:lang w:eastAsia="es-ES_tradnl"/>
              </w:rPr>
              <w:t xml:space="preserve">Respuesta a la consulta con radicado No.    </w:t>
            </w:r>
            <w:r w:rsidR="00ED6E7A" w:rsidRPr="00ED6E7A">
              <w:rPr>
                <w:rFonts w:ascii="Verdana" w:eastAsia="Calibri" w:hAnsi="Verdana" w:cs="Arial"/>
                <w:lang w:eastAsia="es-ES_tradnl"/>
              </w:rPr>
              <w:t>P20250130000836</w:t>
            </w:r>
            <w:r w:rsidRPr="009B7987">
              <w:rPr>
                <w:rFonts w:ascii="Verdana" w:eastAsia="Calibri" w:hAnsi="Verdana" w:cs="Arial"/>
                <w:lang w:eastAsia="es-ES_tradnl"/>
              </w:rPr>
              <w:t xml:space="preserve">                                </w:t>
            </w:r>
          </w:p>
        </w:tc>
      </w:tr>
    </w:tbl>
    <w:p w14:paraId="27B83065" w14:textId="77777777" w:rsidR="00337DF3" w:rsidRPr="009B7987" w:rsidRDefault="00337DF3" w:rsidP="00337DF3">
      <w:pPr>
        <w:spacing w:after="0" w:line="240" w:lineRule="auto"/>
        <w:jc w:val="both"/>
        <w:rPr>
          <w:rFonts w:ascii="Verdana" w:eastAsia="Calibri" w:hAnsi="Verdana" w:cs="Arial"/>
          <w:color w:val="000000"/>
          <w:lang w:eastAsia="es-ES_tradnl"/>
        </w:rPr>
      </w:pPr>
    </w:p>
    <w:p w14:paraId="602562B7" w14:textId="77777777" w:rsidR="00337DF3" w:rsidRPr="009B7987" w:rsidRDefault="00337DF3" w:rsidP="00337DF3">
      <w:pPr>
        <w:spacing w:after="0" w:line="240" w:lineRule="auto"/>
        <w:jc w:val="both"/>
        <w:rPr>
          <w:rFonts w:ascii="Verdana" w:eastAsia="Calibri" w:hAnsi="Verdana" w:cs="Arial"/>
          <w:color w:val="000000"/>
          <w:lang w:eastAsia="es-ES_tradnl"/>
        </w:rPr>
      </w:pPr>
    </w:p>
    <w:p w14:paraId="1548E006" w14:textId="33563EE9" w:rsidR="00337DF3" w:rsidRPr="009B7987" w:rsidRDefault="00337DF3" w:rsidP="00337DF3">
      <w:pPr>
        <w:spacing w:after="0" w:line="276" w:lineRule="auto"/>
        <w:jc w:val="both"/>
        <w:rPr>
          <w:rFonts w:ascii="Verdana" w:eastAsia="Calibri" w:hAnsi="Verdana" w:cs="Arial"/>
          <w:lang w:eastAsia="es-ES"/>
        </w:rPr>
      </w:pPr>
      <w:r w:rsidRPr="009B7987">
        <w:rPr>
          <w:rFonts w:ascii="Verdana" w:eastAsia="Calibri" w:hAnsi="Verdana" w:cs="Arial"/>
          <w:lang w:eastAsia="es-ES"/>
        </w:rPr>
        <w:t>Estimad</w:t>
      </w:r>
      <w:r w:rsidR="00F82C78">
        <w:rPr>
          <w:rFonts w:ascii="Verdana" w:eastAsia="Calibri" w:hAnsi="Verdana" w:cs="Arial"/>
          <w:lang w:eastAsia="es-ES"/>
        </w:rPr>
        <w:t>o</w:t>
      </w:r>
      <w:r w:rsidRPr="009B7987">
        <w:rPr>
          <w:rFonts w:ascii="Verdana" w:eastAsia="Calibri" w:hAnsi="Verdana" w:cs="Arial"/>
          <w:lang w:eastAsia="es-ES"/>
        </w:rPr>
        <w:t xml:space="preserve"> señor</w:t>
      </w:r>
      <w:r w:rsidR="009B7987">
        <w:rPr>
          <w:rFonts w:ascii="Verdana" w:eastAsia="Calibri" w:hAnsi="Verdana" w:cs="Arial"/>
          <w:lang w:eastAsia="es-ES"/>
        </w:rPr>
        <w:t xml:space="preserve"> </w:t>
      </w:r>
      <w:r w:rsidR="00F82C78">
        <w:rPr>
          <w:rFonts w:ascii="Verdana" w:eastAsia="Calibri" w:hAnsi="Verdana" w:cs="Arial"/>
          <w:lang w:eastAsia="es-ES"/>
        </w:rPr>
        <w:t>Sosa González</w:t>
      </w:r>
      <w:r w:rsidRPr="009B7987">
        <w:rPr>
          <w:rFonts w:ascii="Verdana" w:eastAsia="Calibri" w:hAnsi="Verdana" w:cs="Arial"/>
          <w:lang w:eastAsia="es-ES"/>
        </w:rPr>
        <w:t xml:space="preserve">: </w:t>
      </w:r>
    </w:p>
    <w:p w14:paraId="27C6FBFB" w14:textId="77777777" w:rsidR="00337DF3" w:rsidRPr="009B7987" w:rsidRDefault="00337DF3" w:rsidP="00337DF3">
      <w:pPr>
        <w:tabs>
          <w:tab w:val="left" w:pos="3768"/>
        </w:tabs>
        <w:spacing w:after="0" w:line="276" w:lineRule="auto"/>
        <w:jc w:val="both"/>
        <w:rPr>
          <w:rFonts w:ascii="Verdana" w:eastAsia="Calibri" w:hAnsi="Verdana" w:cs="Arial"/>
          <w:color w:val="000000" w:themeColor="text1"/>
          <w:lang w:eastAsia="es-ES"/>
        </w:rPr>
      </w:pPr>
      <w:r w:rsidRPr="009B7987">
        <w:rPr>
          <w:rFonts w:ascii="Verdana" w:eastAsia="Calibri" w:hAnsi="Verdana" w:cs="Arial"/>
          <w:color w:val="000000" w:themeColor="text1"/>
          <w:lang w:eastAsia="es-ES"/>
        </w:rPr>
        <w:tab/>
      </w:r>
    </w:p>
    <w:p w14:paraId="08E6A373" w14:textId="6E81A18D" w:rsidR="00BF323A" w:rsidRDefault="00337DF3" w:rsidP="00337DF3">
      <w:pPr>
        <w:spacing w:after="120" w:line="276" w:lineRule="auto"/>
        <w:jc w:val="both"/>
        <w:rPr>
          <w:rFonts w:ascii="Verdana" w:eastAsia="Calibri" w:hAnsi="Verdana" w:cs="Arial"/>
          <w:lang w:eastAsia="es-ES"/>
        </w:rPr>
      </w:pPr>
      <w:r w:rsidRPr="009B7987">
        <w:rPr>
          <w:rFonts w:ascii="Verdana" w:eastAsia="Calibri" w:hAnsi="Verdana" w:cs="Arial"/>
          <w:color w:val="000000" w:themeColor="text1"/>
          <w:lang w:eastAsia="es-ES"/>
        </w:rPr>
        <w:t>En ejercicio de la competencia otorgada por los artículos 3, numeral 5º, y 11, numeral 8º, del Decreto Ley 4170 de 2011,</w:t>
      </w:r>
      <w:r w:rsidRPr="009B7987">
        <w:rPr>
          <w:rFonts w:ascii="Verdana" w:eastAsia="Arial MT" w:hAnsi="Verdana" w:cs="Arial MT"/>
          <w:lang w:eastAsia="es-ES"/>
        </w:rPr>
        <w:t xml:space="preserve"> </w:t>
      </w:r>
      <w:r w:rsidRPr="009B7987">
        <w:rPr>
          <w:rFonts w:ascii="Verdana" w:hAnsi="Verdana" w:cs="Arial"/>
        </w:rPr>
        <w:t xml:space="preserve">así como lo establecido en el artículo 4 de la Resolución 1707 de 2018 expedida por esta Entidad, </w:t>
      </w:r>
      <w:r w:rsidRPr="009B7987">
        <w:rPr>
          <w:rFonts w:ascii="Verdana" w:eastAsia="Calibri" w:hAnsi="Verdana" w:cs="Arial"/>
          <w:color w:val="000000" w:themeColor="text1"/>
          <w:lang w:eastAsia="es-ES"/>
        </w:rPr>
        <w:t xml:space="preserve">la Agencia Nacional de Contratación Pública – Colombia Compra Eficiente responde su solicitud del </w:t>
      </w:r>
      <w:r w:rsidR="0089605E">
        <w:rPr>
          <w:rFonts w:ascii="Verdana" w:eastAsia="Calibri" w:hAnsi="Verdana" w:cs="Arial"/>
          <w:color w:val="000000" w:themeColor="text1"/>
          <w:lang w:eastAsia="es-ES"/>
        </w:rPr>
        <w:t>30</w:t>
      </w:r>
      <w:r w:rsidRPr="009B7987">
        <w:rPr>
          <w:rFonts w:ascii="Verdana" w:eastAsia="Calibri" w:hAnsi="Verdana" w:cs="Arial"/>
          <w:lang w:eastAsia="es-ES"/>
        </w:rPr>
        <w:t xml:space="preserve"> de enero de 2025, en la cual consulta sobre lo siguiente: </w:t>
      </w:r>
      <w:bookmarkStart w:id="1" w:name="_Hlk95313578"/>
    </w:p>
    <w:p w14:paraId="483EE08A" w14:textId="77777777" w:rsidR="00BF323A" w:rsidRDefault="00BF323A" w:rsidP="00BF323A">
      <w:pPr>
        <w:spacing w:after="0" w:line="276" w:lineRule="auto"/>
        <w:jc w:val="both"/>
        <w:rPr>
          <w:rFonts w:ascii="Verdana" w:eastAsia="Calibri" w:hAnsi="Verdana" w:cs="Arial"/>
          <w:lang w:eastAsia="es-ES"/>
        </w:rPr>
      </w:pPr>
    </w:p>
    <w:p w14:paraId="58F5929D" w14:textId="77777777" w:rsidR="00E01441" w:rsidRDefault="00337DF3" w:rsidP="006825A6">
      <w:pPr>
        <w:widowControl w:val="0"/>
        <w:autoSpaceDE w:val="0"/>
        <w:autoSpaceDN w:val="0"/>
        <w:spacing w:after="0" w:line="240" w:lineRule="auto"/>
        <w:ind w:left="652" w:right="652"/>
        <w:jc w:val="both"/>
        <w:rPr>
          <w:rFonts w:ascii="Verdana" w:eastAsia="Arial" w:hAnsi="Verdana" w:cs="Arial"/>
          <w:color w:val="000000"/>
          <w:sz w:val="20"/>
          <w:szCs w:val="20"/>
        </w:rPr>
      </w:pPr>
      <w:r w:rsidRPr="00BF323A">
        <w:rPr>
          <w:rFonts w:ascii="Verdana" w:eastAsia="Arial" w:hAnsi="Verdana" w:cs="Arial"/>
          <w:color w:val="000000"/>
          <w:sz w:val="20"/>
          <w:szCs w:val="20"/>
        </w:rPr>
        <w:t>“</w:t>
      </w:r>
      <w:r w:rsidR="006825A6" w:rsidRPr="006825A6">
        <w:rPr>
          <w:rFonts w:ascii="Verdana" w:eastAsia="Arial" w:hAnsi="Verdana" w:cs="Arial"/>
          <w:color w:val="000000"/>
          <w:sz w:val="20"/>
          <w:szCs w:val="20"/>
        </w:rPr>
        <w:t xml:space="preserve">Sucede que, en la elaboración de estudios previos, hay un acápite que trata sobre análisis del mercado, y en este punto solicita allegar AL MENOS tres cotizaciones del bien o servicio que se pretende contratar, resulta que usted ingresa al </w:t>
      </w:r>
      <w:proofErr w:type="spellStart"/>
      <w:r w:rsidR="006825A6" w:rsidRPr="006825A6">
        <w:rPr>
          <w:rFonts w:ascii="Verdana" w:eastAsia="Arial" w:hAnsi="Verdana" w:cs="Arial"/>
          <w:color w:val="000000"/>
          <w:sz w:val="20"/>
          <w:szCs w:val="20"/>
        </w:rPr>
        <w:t>secop</w:t>
      </w:r>
      <w:proofErr w:type="spellEnd"/>
      <w:r w:rsidR="006825A6" w:rsidRPr="006825A6">
        <w:rPr>
          <w:rFonts w:ascii="Verdana" w:eastAsia="Arial" w:hAnsi="Verdana" w:cs="Arial"/>
          <w:color w:val="000000"/>
          <w:sz w:val="20"/>
          <w:szCs w:val="20"/>
        </w:rPr>
        <w:t xml:space="preserve"> busca los proveedores los contacta y les solicita la cotización, a lo que ellos responden que eso es para estudio de mercado y que no les interesa, que cuando el proceso se publique ellos revisan si </w:t>
      </w:r>
      <w:r w:rsidR="006825A6" w:rsidRPr="006825A6">
        <w:rPr>
          <w:rFonts w:ascii="Verdana" w:eastAsia="Arial" w:hAnsi="Verdana" w:cs="Arial"/>
          <w:color w:val="000000"/>
          <w:sz w:val="20"/>
          <w:szCs w:val="20"/>
        </w:rPr>
        <w:lastRenderedPageBreak/>
        <w:t xml:space="preserve">postulan o no. </w:t>
      </w:r>
    </w:p>
    <w:p w14:paraId="74977E81" w14:textId="77777777" w:rsidR="00E01441" w:rsidRDefault="00E01441" w:rsidP="006825A6">
      <w:pPr>
        <w:widowControl w:val="0"/>
        <w:autoSpaceDE w:val="0"/>
        <w:autoSpaceDN w:val="0"/>
        <w:spacing w:after="0" w:line="240" w:lineRule="auto"/>
        <w:ind w:left="652" w:right="652"/>
        <w:jc w:val="both"/>
        <w:rPr>
          <w:rFonts w:ascii="Verdana" w:eastAsia="Arial" w:hAnsi="Verdana" w:cs="Arial"/>
          <w:color w:val="000000"/>
          <w:sz w:val="20"/>
          <w:szCs w:val="20"/>
        </w:rPr>
      </w:pPr>
    </w:p>
    <w:p w14:paraId="17BD8FB2" w14:textId="60068134" w:rsidR="00337DF3" w:rsidRDefault="006825A6" w:rsidP="006825A6">
      <w:pPr>
        <w:widowControl w:val="0"/>
        <w:autoSpaceDE w:val="0"/>
        <w:autoSpaceDN w:val="0"/>
        <w:spacing w:after="0" w:line="240" w:lineRule="auto"/>
        <w:ind w:left="652" w:right="652"/>
        <w:jc w:val="both"/>
        <w:rPr>
          <w:rFonts w:ascii="Verdana" w:eastAsia="Arial" w:hAnsi="Verdana" w:cs="Arial"/>
          <w:color w:val="000000"/>
          <w:sz w:val="20"/>
          <w:szCs w:val="20"/>
        </w:rPr>
      </w:pPr>
      <w:r w:rsidRPr="006825A6">
        <w:rPr>
          <w:rFonts w:ascii="Verdana" w:eastAsia="Arial" w:hAnsi="Verdana" w:cs="Arial"/>
          <w:color w:val="000000"/>
          <w:sz w:val="20"/>
          <w:szCs w:val="20"/>
        </w:rPr>
        <w:t xml:space="preserve">En este evento, sin cotizaciones no se puede hacer estudios previos y por supuesto el proceso contractual nunca se podrá llevar a cabo, les solicitó su conceptualización u orientación frente a las posibilidades para elaborar estudios previos sin acudir a cotizaciones, ya que las áreas de jurídica o contratación argumentan que sin cotizaciones no se puede porque las mismas deben subirse al SECOP, así las </w:t>
      </w:r>
      <w:proofErr w:type="gramStart"/>
      <w:r w:rsidRPr="006825A6">
        <w:rPr>
          <w:rFonts w:ascii="Verdana" w:eastAsia="Arial" w:hAnsi="Verdana" w:cs="Arial"/>
          <w:color w:val="000000"/>
          <w:sz w:val="20"/>
          <w:szCs w:val="20"/>
        </w:rPr>
        <w:t>cosas</w:t>
      </w:r>
      <w:proofErr w:type="gramEnd"/>
      <w:r w:rsidRPr="006825A6">
        <w:rPr>
          <w:rFonts w:ascii="Verdana" w:eastAsia="Arial" w:hAnsi="Verdana" w:cs="Arial"/>
          <w:color w:val="000000"/>
          <w:sz w:val="20"/>
          <w:szCs w:val="20"/>
        </w:rPr>
        <w:t xml:space="preserve"> como se van a elaborar estudios si nadie cotiza</w:t>
      </w:r>
      <w:r w:rsidR="00337DF3" w:rsidRPr="00BF323A">
        <w:rPr>
          <w:rFonts w:ascii="Verdana" w:eastAsia="Arial" w:hAnsi="Verdana" w:cs="Arial"/>
          <w:color w:val="000000"/>
          <w:sz w:val="20"/>
          <w:szCs w:val="20"/>
        </w:rPr>
        <w:t>”</w:t>
      </w:r>
      <w:bookmarkEnd w:id="1"/>
      <w:r w:rsidR="00337DF3" w:rsidRPr="00BF323A">
        <w:rPr>
          <w:rFonts w:ascii="Verdana" w:eastAsia="Arial" w:hAnsi="Verdana" w:cs="Arial"/>
          <w:color w:val="000000"/>
          <w:sz w:val="20"/>
          <w:szCs w:val="20"/>
        </w:rPr>
        <w:t>.</w:t>
      </w:r>
    </w:p>
    <w:p w14:paraId="7EE06E45" w14:textId="77777777" w:rsidR="00BF323A" w:rsidRPr="00BF323A" w:rsidRDefault="00BF323A" w:rsidP="00FA59E0">
      <w:pPr>
        <w:widowControl w:val="0"/>
        <w:autoSpaceDE w:val="0"/>
        <w:autoSpaceDN w:val="0"/>
        <w:spacing w:after="0" w:line="276" w:lineRule="auto"/>
        <w:ind w:left="652" w:right="652"/>
        <w:jc w:val="both"/>
        <w:rPr>
          <w:rFonts w:ascii="Verdana" w:eastAsia="Arial" w:hAnsi="Verdana" w:cs="Arial"/>
          <w:color w:val="000000"/>
          <w:sz w:val="20"/>
          <w:szCs w:val="20"/>
        </w:rPr>
      </w:pPr>
    </w:p>
    <w:p w14:paraId="5E3E6C64" w14:textId="77777777" w:rsidR="00337DF3" w:rsidRPr="009B7987" w:rsidRDefault="00337DF3" w:rsidP="00337DF3">
      <w:pPr>
        <w:spacing w:after="120" w:line="276" w:lineRule="auto"/>
        <w:ind w:firstLine="709"/>
        <w:jc w:val="both"/>
        <w:rPr>
          <w:rFonts w:ascii="Verdana" w:eastAsia="Calibri" w:hAnsi="Verdana" w:cs="Arial"/>
          <w:color w:val="000000"/>
          <w:lang w:eastAsia="es-ES"/>
        </w:rPr>
      </w:pPr>
      <w:r w:rsidRPr="009B7987">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B7987">
        <w:rPr>
          <w:rFonts w:ascii="Verdana" w:eastAsia="Calibri" w:hAnsi="Verdana" w:cs="Arial"/>
          <w:color w:val="000000"/>
          <w:szCs w:val="24"/>
          <w:lang w:eastAsia="es-ES_tradnl"/>
        </w:rPr>
        <w:tab/>
      </w:r>
    </w:p>
    <w:p w14:paraId="1BD1122B" w14:textId="77777777" w:rsidR="00337DF3" w:rsidRPr="009B7987" w:rsidRDefault="00337DF3" w:rsidP="00337DF3">
      <w:pPr>
        <w:spacing w:after="0" w:line="276" w:lineRule="auto"/>
        <w:ind w:firstLine="709"/>
        <w:jc w:val="both"/>
        <w:rPr>
          <w:rFonts w:ascii="Verdana" w:eastAsia="Calibri" w:hAnsi="Verdana" w:cs="Arial"/>
          <w:color w:val="000000"/>
          <w:lang w:eastAsia="es-ES"/>
        </w:rPr>
      </w:pPr>
      <w:r w:rsidRPr="009B7987">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9B7987">
        <w:rPr>
          <w:rFonts w:ascii="Verdana" w:eastAsia="Calibri" w:hAnsi="Verdana" w:cs="Arial"/>
          <w:color w:val="7030A0"/>
          <w:lang w:eastAsia="es-ES"/>
        </w:rPr>
        <w:t xml:space="preserve"> </w:t>
      </w:r>
      <w:r w:rsidRPr="009B7987">
        <w:rPr>
          <w:rFonts w:ascii="Verdana" w:eastAsia="Calibri" w:hAnsi="Verdana" w:cs="Arial"/>
          <w:color w:val="000000"/>
          <w:lang w:eastAsia="es-ES"/>
        </w:rPr>
        <w:t>problema</w:t>
      </w:r>
      <w:r w:rsidRPr="009B7987">
        <w:rPr>
          <w:rFonts w:ascii="Verdana" w:eastAsia="Calibri" w:hAnsi="Verdana" w:cs="Arial"/>
          <w:color w:val="7030A0"/>
          <w:lang w:eastAsia="es-ES"/>
        </w:rPr>
        <w:t xml:space="preserve"> </w:t>
      </w:r>
      <w:r w:rsidRPr="009B7987">
        <w:rPr>
          <w:rFonts w:ascii="Verdana" w:eastAsia="Calibri" w:hAnsi="Verdana" w:cs="Arial"/>
          <w:color w:val="000000"/>
          <w:lang w:eastAsia="es-ES"/>
        </w:rPr>
        <w:t>jurídico</w:t>
      </w:r>
      <w:r w:rsidRPr="009B7987">
        <w:rPr>
          <w:rFonts w:ascii="Verdana" w:eastAsia="Calibri" w:hAnsi="Verdana" w:cs="Arial"/>
          <w:color w:val="7030A0"/>
          <w:lang w:eastAsia="es-ES"/>
        </w:rPr>
        <w:t xml:space="preserve"> </w:t>
      </w:r>
      <w:r w:rsidRPr="009B7987">
        <w:rPr>
          <w:rFonts w:ascii="Verdana" w:eastAsia="Calibri" w:hAnsi="Verdana" w:cs="Arial"/>
          <w:color w:val="000000"/>
          <w:lang w:eastAsia="es-ES"/>
        </w:rPr>
        <w:t xml:space="preserve">de su consulta. </w:t>
      </w:r>
    </w:p>
    <w:p w14:paraId="3EB2CD4B" w14:textId="77777777" w:rsidR="00337DF3" w:rsidRPr="009B7987" w:rsidRDefault="00337DF3" w:rsidP="00337DF3">
      <w:pPr>
        <w:spacing w:after="0" w:line="276" w:lineRule="auto"/>
        <w:ind w:firstLine="709"/>
        <w:jc w:val="both"/>
        <w:rPr>
          <w:rFonts w:ascii="Verdana" w:eastAsia="Calibri" w:hAnsi="Verdana" w:cs="Arial"/>
          <w:color w:val="000000"/>
          <w:lang w:eastAsia="es-ES"/>
        </w:rPr>
      </w:pPr>
    </w:p>
    <w:p w14:paraId="6C7A8FA2" w14:textId="77777777" w:rsidR="00337DF3" w:rsidRPr="009B7987" w:rsidRDefault="00337DF3" w:rsidP="00337DF3">
      <w:pPr>
        <w:numPr>
          <w:ilvl w:val="0"/>
          <w:numId w:val="1"/>
        </w:numPr>
        <w:tabs>
          <w:tab w:val="left" w:pos="142"/>
          <w:tab w:val="left" w:pos="284"/>
        </w:tabs>
        <w:spacing w:after="0" w:line="276" w:lineRule="auto"/>
        <w:contextualSpacing/>
        <w:jc w:val="both"/>
        <w:rPr>
          <w:rFonts w:ascii="Verdana" w:eastAsia="Century Gothic" w:hAnsi="Verdana" w:cs="Century Gothic"/>
          <w:b/>
          <w:bCs/>
        </w:rPr>
      </w:pPr>
      <w:r w:rsidRPr="009B7987">
        <w:rPr>
          <w:rFonts w:ascii="Verdana" w:eastAsia="Century Gothic" w:hAnsi="Verdana" w:cs="Century Gothic"/>
          <w:b/>
          <w:bCs/>
        </w:rPr>
        <w:t>Problemas planteados:</w:t>
      </w:r>
    </w:p>
    <w:p w14:paraId="34E52E71" w14:textId="77777777" w:rsidR="00337DF3" w:rsidRPr="009B7987" w:rsidRDefault="00337DF3" w:rsidP="00337DF3">
      <w:pPr>
        <w:tabs>
          <w:tab w:val="left" w:pos="426"/>
        </w:tabs>
        <w:spacing w:after="0" w:line="276" w:lineRule="auto"/>
        <w:jc w:val="both"/>
        <w:rPr>
          <w:rFonts w:ascii="Verdana" w:eastAsia="Century Gothic" w:hAnsi="Verdana" w:cs="Century Gothic"/>
        </w:rPr>
      </w:pPr>
    </w:p>
    <w:p w14:paraId="573370CD" w14:textId="55720778" w:rsidR="00337DF3" w:rsidRPr="009B7987" w:rsidRDefault="00337DF3" w:rsidP="00337DF3">
      <w:pPr>
        <w:spacing w:after="0" w:line="276" w:lineRule="auto"/>
        <w:jc w:val="both"/>
        <w:rPr>
          <w:rFonts w:ascii="Verdana" w:eastAsia="Century Gothic" w:hAnsi="Verdana" w:cs="Arial"/>
        </w:rPr>
      </w:pPr>
      <w:r w:rsidRPr="009B7987">
        <w:rPr>
          <w:rFonts w:ascii="Verdana" w:eastAsia="Century Gothic" w:hAnsi="Verdana" w:cs="Century Gothic"/>
        </w:rPr>
        <w:t>De acuerdo con el contenido de su solicitud, esta Agencia resolverá el siguiente problema jurídico: “</w:t>
      </w:r>
      <w:r w:rsidR="004F3326">
        <w:rPr>
          <w:rFonts w:ascii="Verdana" w:eastAsia="Century Gothic" w:hAnsi="Verdana" w:cs="Century Gothic"/>
        </w:rPr>
        <w:t>¿</w:t>
      </w:r>
      <w:r w:rsidR="00ED6E7A">
        <w:rPr>
          <w:rFonts w:ascii="Verdana" w:eastAsia="Century Gothic" w:hAnsi="Verdana" w:cs="Century Gothic"/>
        </w:rPr>
        <w:t>C</w:t>
      </w:r>
      <w:r w:rsidR="004F3326">
        <w:rPr>
          <w:rFonts w:ascii="Verdana" w:eastAsia="Century Gothic" w:hAnsi="Verdana" w:cs="Century Gothic"/>
        </w:rPr>
        <w:t>ómo se debe estructurar el estudio de mercado?”</w:t>
      </w:r>
    </w:p>
    <w:p w14:paraId="6B7B5AD0" w14:textId="77777777" w:rsidR="00337DF3" w:rsidRPr="009B7987" w:rsidRDefault="00337DF3" w:rsidP="00337DF3">
      <w:pPr>
        <w:spacing w:after="0" w:line="276" w:lineRule="auto"/>
        <w:jc w:val="both"/>
        <w:rPr>
          <w:rFonts w:ascii="Verdana" w:eastAsia="Calibri" w:hAnsi="Verdana" w:cs="Arial"/>
          <w:color w:val="7030A0"/>
        </w:rPr>
      </w:pPr>
    </w:p>
    <w:p w14:paraId="7657BE71" w14:textId="77777777" w:rsidR="00337DF3" w:rsidRPr="009B7987" w:rsidRDefault="00337DF3" w:rsidP="00337DF3">
      <w:pPr>
        <w:numPr>
          <w:ilvl w:val="0"/>
          <w:numId w:val="1"/>
        </w:numPr>
        <w:tabs>
          <w:tab w:val="left" w:pos="142"/>
          <w:tab w:val="left" w:pos="284"/>
        </w:tabs>
        <w:spacing w:after="0" w:line="276" w:lineRule="auto"/>
        <w:jc w:val="both"/>
        <w:rPr>
          <w:rFonts w:ascii="Verdana" w:eastAsia="Century Gothic" w:hAnsi="Verdana" w:cs="Century Gothic"/>
          <w:b/>
          <w:bCs/>
        </w:rPr>
      </w:pPr>
      <w:r w:rsidRPr="009B7987">
        <w:rPr>
          <w:rFonts w:ascii="Verdana" w:eastAsia="Century Gothic" w:hAnsi="Verdana" w:cs="Century Gothic"/>
          <w:b/>
          <w:bCs/>
        </w:rPr>
        <w:t>Respuestas:</w:t>
      </w:r>
    </w:p>
    <w:p w14:paraId="1F31F003" w14:textId="77777777" w:rsidR="00337DF3" w:rsidRPr="009B7987" w:rsidRDefault="00337DF3" w:rsidP="00337DF3">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37DF3" w:rsidRPr="009B7987" w14:paraId="45BC1C23" w14:textId="77777777" w:rsidTr="00D154AA">
        <w:trPr>
          <w:jc w:val="center"/>
        </w:trPr>
        <w:tc>
          <w:tcPr>
            <w:tcW w:w="8828" w:type="dxa"/>
            <w:shd w:val="clear" w:color="auto" w:fill="auto"/>
          </w:tcPr>
          <w:p w14:paraId="24097708" w14:textId="08646706" w:rsidR="00467AFF" w:rsidRPr="00467AFF" w:rsidRDefault="00467AFF" w:rsidP="00467AFF">
            <w:pPr>
              <w:spacing w:line="276" w:lineRule="auto"/>
              <w:jc w:val="both"/>
              <w:rPr>
                <w:rFonts w:ascii="Verdana" w:eastAsia="Calibri" w:hAnsi="Verdana" w:cs="Arial"/>
                <w:bCs/>
                <w:lang w:val="es-ES_tradnl"/>
              </w:rPr>
            </w:pPr>
            <w:bookmarkStart w:id="2" w:name="_Hlk171694685"/>
            <w:r>
              <w:rPr>
                <w:rFonts w:ascii="Verdana" w:hAnsi="Verdana" w:cs="Arial"/>
              </w:rPr>
              <w:t>l</w:t>
            </w:r>
            <w:r w:rsidRPr="00467AFF">
              <w:rPr>
                <w:rFonts w:ascii="Verdana" w:hAnsi="Verdana" w:cs="Arial"/>
              </w:rPr>
              <w:t xml:space="preserve">os numerales 2 y 4 del artículo 2.2.1.1.2.1.1 del Decreto 1082 de 2015 exigen que en los estudios previos se determine el objeto a contratar con sus </w:t>
            </w:r>
            <w:r w:rsidRPr="00467AFF">
              <w:rPr>
                <w:rFonts w:ascii="Verdana" w:hAnsi="Verdana" w:cs="Arial"/>
              </w:rPr>
              <w:lastRenderedPageBreak/>
              <w:t xml:space="preserve">especificaciones, y se señale el valor estimado del contrato y la justificación </w:t>
            </w:r>
            <w:proofErr w:type="gramStart"/>
            <w:r w:rsidRPr="00467AFF">
              <w:rPr>
                <w:rFonts w:ascii="Verdana" w:hAnsi="Verdana" w:cs="Arial"/>
              </w:rPr>
              <w:t>del mismo</w:t>
            </w:r>
            <w:proofErr w:type="gramEnd"/>
            <w:r w:rsidRPr="00467AFF">
              <w:rPr>
                <w:rFonts w:ascii="Verdana" w:hAnsi="Verdana" w:cs="Arial"/>
              </w:rPr>
              <w:t>. En concordancia, e</w:t>
            </w:r>
            <w:r w:rsidRPr="00467AFF">
              <w:rPr>
                <w:rFonts w:ascii="Verdana" w:eastAsia="Calibri" w:hAnsi="Verdana" w:cs="Arial"/>
                <w:bCs/>
                <w:lang w:val="es-ES_tradnl"/>
              </w:rPr>
              <w:t xml:space="preserve">l artículo 2.2.1.1.1.6.1 del Decreto 1082 de 2015 establece el deber de las entidades de realizar, durante la etapa de planeación, el análisis necesario para conocer el sector relativo al objeto del Proceso de Contratación desde la perspectiva legal, comercial, financiera, organizacional, técnica, y de análisis de Riesgo. La entidad debe dejar constancia de este análisis en los Documentos del Proceso. </w:t>
            </w:r>
          </w:p>
          <w:p w14:paraId="1A283D68" w14:textId="77777777" w:rsidR="00467AFF" w:rsidRPr="00467AFF" w:rsidRDefault="00467AFF" w:rsidP="00467AFF">
            <w:pPr>
              <w:spacing w:before="120" w:line="276" w:lineRule="auto"/>
              <w:ind w:firstLine="709"/>
              <w:jc w:val="both"/>
              <w:rPr>
                <w:rFonts w:ascii="Verdana" w:hAnsi="Verdana" w:cs="Arial"/>
                <w:bCs/>
                <w:lang w:val="es-ES_tradnl"/>
              </w:rPr>
            </w:pPr>
            <w:r w:rsidRPr="00467AFF">
              <w:rPr>
                <w:rFonts w:ascii="Verdana" w:eastAsia="Calibri" w:hAnsi="Verdana" w:cs="Arial"/>
                <w:bCs/>
                <w:lang w:val="es-ES_tradnl"/>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00467AFF">
              <w:rPr>
                <w:rFonts w:ascii="Verdana" w:hAnsi="Verdana" w:cs="Arial"/>
                <w:lang w:eastAsia="es-CO"/>
              </w:rPr>
              <w:t xml:space="preserve">son autónomas para estructurarlo, para lo cual deberán cumplir lo establecido en el artículo </w:t>
            </w:r>
            <w:r w:rsidRPr="00467AFF">
              <w:rPr>
                <w:rFonts w:ascii="Verdana" w:eastAsia="Calibri" w:hAnsi="Verdana" w:cs="Arial"/>
                <w:bCs/>
                <w:lang w:val="es-ES_tradnl"/>
              </w:rPr>
              <w:t xml:space="preserve">2.2.1.1.1.6.1 del Decreto 1082 de 2015 y realizar un análisis integral de planeación que </w:t>
            </w:r>
            <w:r w:rsidRPr="00467AFF">
              <w:rPr>
                <w:rFonts w:ascii="Verdana" w:hAnsi="Verdana" w:cs="Arial"/>
              </w:rPr>
              <w:t xml:space="preserve">sirva de sustento a la decisión de </w:t>
            </w:r>
            <w:r w:rsidRPr="00467AFF">
              <w:rPr>
                <w:rFonts w:ascii="Verdana" w:hAnsi="Verdana" w:cs="Arial"/>
                <w:bCs/>
                <w:lang w:val="es-ES_tradnl"/>
              </w:rPr>
              <w:t>realizar un proceso de contratación.</w:t>
            </w:r>
          </w:p>
          <w:p w14:paraId="14C88DE9" w14:textId="0FF8F348" w:rsidR="00467AFF" w:rsidRPr="00467AFF" w:rsidRDefault="00467AFF" w:rsidP="00467AFF">
            <w:pPr>
              <w:spacing w:before="120" w:line="276" w:lineRule="auto"/>
              <w:ind w:firstLine="709"/>
              <w:jc w:val="both"/>
              <w:rPr>
                <w:rFonts w:ascii="Verdana" w:eastAsia="Calibri" w:hAnsi="Verdana" w:cs="Arial"/>
                <w:bCs/>
                <w:lang w:val="es-ES_tradnl"/>
              </w:rPr>
            </w:pPr>
            <w:r w:rsidRPr="00467AFF">
              <w:rPr>
                <w:rFonts w:ascii="Verdana" w:eastAsia="Calibri" w:hAnsi="Verdana" w:cs="Arial"/>
                <w:bCs/>
                <w:lang w:val="es-ES_tradnl"/>
              </w:rPr>
              <w:t xml:space="preserve">La Agencia Nacional de Contratación Pública – Colombia Compra Eficiente dispone de la </w:t>
            </w:r>
            <w:r w:rsidR="00577904">
              <w:rPr>
                <w:rFonts w:ascii="Verdana" w:eastAsia="Calibri" w:hAnsi="Verdana" w:cs="Arial"/>
                <w:bCs/>
                <w:lang w:val="es-ES_tradnl"/>
              </w:rPr>
              <w:t>“</w:t>
            </w:r>
            <w:r w:rsidRPr="00467AFF">
              <w:rPr>
                <w:rFonts w:ascii="Verdana" w:eastAsia="Calibri" w:hAnsi="Verdana" w:cs="Arial"/>
                <w:bCs/>
                <w:lang w:val="es-ES_tradnl"/>
              </w:rPr>
              <w:t>Guía de Elaboración del Estudio del Sector</w:t>
            </w:r>
            <w:r w:rsidR="00577904">
              <w:rPr>
                <w:rFonts w:ascii="Verdana" w:eastAsia="Calibri" w:hAnsi="Verdana" w:cs="Arial"/>
                <w:bCs/>
                <w:lang w:val="es-ES_tradnl"/>
              </w:rPr>
              <w:t>”</w:t>
            </w:r>
            <w:r w:rsidRPr="00467AFF">
              <w:rPr>
                <w:rFonts w:ascii="Verdana" w:eastAsia="Calibri" w:hAnsi="Verdana" w:cs="Arial"/>
                <w:bCs/>
                <w:lang w:val="es-ES_tradnl"/>
              </w:rPr>
              <w:t>, instrumento que sirve de apoyo para entender el mercado del bien, obra o servicio que la entidad estatal pretende adquirir y diseñar el proceso de contratación con la información necesaria para alcanzar los objetivos de eficacia, eficiencia, economía, promoción de la competencia y manejo del riesgo. Esta Guía es un insumo para realizar el estudio del sector relativo al proceso de contratación, pero carece de fuerza vinculante por lo que su aplicación no exime a las entidades de acatar las normas vigentes.</w:t>
            </w:r>
          </w:p>
          <w:p w14:paraId="6CF8CFED" w14:textId="77777777" w:rsidR="00467AFF" w:rsidRPr="00467AFF" w:rsidRDefault="00467AFF" w:rsidP="00467AFF">
            <w:pPr>
              <w:spacing w:before="120" w:after="120" w:line="276" w:lineRule="auto"/>
              <w:ind w:firstLine="709"/>
              <w:jc w:val="both"/>
              <w:rPr>
                <w:rFonts w:ascii="Verdana" w:eastAsia="Calibri" w:hAnsi="Verdana" w:cs="Arial"/>
                <w:bCs/>
                <w:lang w:val="es-ES"/>
              </w:rPr>
            </w:pPr>
            <w:r w:rsidRPr="00467AFF">
              <w:rPr>
                <w:rFonts w:ascii="Verdana" w:eastAsia="Calibri" w:hAnsi="Verdana" w:cs="Arial"/>
                <w:bCs/>
                <w:lang w:val="es-ES_tradnl"/>
              </w:rPr>
              <w:t>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34291EDC" w14:textId="77777777" w:rsidR="00E9544C" w:rsidRDefault="00467AFF" w:rsidP="00E9544C">
            <w:pPr>
              <w:spacing w:before="120" w:line="276" w:lineRule="auto"/>
              <w:ind w:firstLine="709"/>
              <w:jc w:val="both"/>
              <w:rPr>
                <w:rFonts w:ascii="Verdana" w:eastAsia="Arial" w:hAnsi="Verdana" w:cs="Arial"/>
                <w:lang w:val="es-ES"/>
              </w:rPr>
            </w:pPr>
            <w:r w:rsidRPr="00467AFF">
              <w:rPr>
                <w:rFonts w:ascii="Verdana" w:eastAsia="Calibri" w:hAnsi="Verdana" w:cs="Arial"/>
                <w:bCs/>
                <w:lang w:val="es-ES_tradnl"/>
              </w:rPr>
              <w:t>Asimismo, en la Guía se indica que</w:t>
            </w:r>
            <w:r w:rsidR="00C84BBF">
              <w:rPr>
                <w:rFonts w:ascii="Verdana" w:eastAsia="Calibri" w:hAnsi="Verdana" w:cs="Arial"/>
                <w:bCs/>
                <w:lang w:val="es-ES_tradnl"/>
              </w:rPr>
              <w:t>,</w:t>
            </w:r>
            <w:r w:rsidRPr="00467AFF">
              <w:rPr>
                <w:rFonts w:ascii="Verdana" w:eastAsia="Calibri" w:hAnsi="Verdana" w:cs="Arial"/>
                <w:bCs/>
                <w:lang w:val="es-ES_tradnl"/>
              </w:rPr>
              <w:t xml:space="preserve"> como parte de la estructura del estudio del sector</w:t>
            </w:r>
            <w:r w:rsidR="00C84BBF">
              <w:rPr>
                <w:rFonts w:ascii="Verdana" w:eastAsia="Calibri" w:hAnsi="Verdana" w:cs="Arial"/>
                <w:bCs/>
                <w:lang w:val="es-ES_tradnl"/>
              </w:rPr>
              <w:t>,</w:t>
            </w:r>
            <w:r w:rsidRPr="00467AFF">
              <w:rPr>
                <w:rFonts w:ascii="Verdana" w:eastAsia="Calibri" w:hAnsi="Verdana" w:cs="Arial"/>
                <w:bCs/>
                <w:lang w:val="es-ES_tradnl"/>
              </w:rPr>
              <w:t xml:space="preserve"> se debe realizar un análisis del comportamiento del gasto histórico, el estudio de la oferta y el estudio del mercado. Este último </w:t>
            </w:r>
            <w:r w:rsidRPr="00467AFF">
              <w:rPr>
                <w:rFonts w:ascii="Verdana" w:eastAsia="Calibri" w:hAnsi="Verdana" w:cs="Arial"/>
                <w:color w:val="000000" w:themeColor="text1"/>
                <w:lang w:val="es-ES"/>
              </w:rPr>
              <w:t xml:space="preserve">permite </w:t>
            </w:r>
            <w:r w:rsidRPr="00467AFF">
              <w:rPr>
                <w:rFonts w:ascii="Verdana" w:eastAsia="Calibri" w:hAnsi="Verdana" w:cs="Arial"/>
                <w:color w:val="000000" w:themeColor="text1"/>
                <w:lang w:val="es-ES"/>
              </w:rPr>
              <w:lastRenderedPageBreak/>
              <w:t>comprender la dinámica de los precios y establecer el presupuesto oficial de la contratación, el cual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históricos. Este estudio de mercado debe responder claramente cuáles son las dinámicas de precio y, de esta manera, servir de insumo para establecer el presupuesto oficial del proceso de contratación.</w:t>
            </w:r>
            <w:r w:rsidR="00A54A3E" w:rsidRPr="00467AFF">
              <w:rPr>
                <w:rFonts w:ascii="Verdana" w:eastAsia="Arial" w:hAnsi="Verdana" w:cs="Arial"/>
                <w:lang w:val="es-ES"/>
              </w:rPr>
              <w:t xml:space="preserve"> </w:t>
            </w:r>
          </w:p>
          <w:p w14:paraId="31BD4991" w14:textId="29BCBF57" w:rsidR="00E9544C" w:rsidRPr="00290B64" w:rsidRDefault="00290B64" w:rsidP="00290B64">
            <w:pPr>
              <w:spacing w:before="120" w:line="276" w:lineRule="auto"/>
              <w:ind w:firstLine="709"/>
              <w:jc w:val="both"/>
              <w:rPr>
                <w:rFonts w:ascii="Verdana" w:eastAsia="Arial" w:hAnsi="Verdana" w:cs="Arial"/>
                <w:lang w:val="es-ES"/>
              </w:rPr>
            </w:pPr>
            <w:r>
              <w:rPr>
                <w:rFonts w:ascii="Verdana" w:eastAsia="Calibri" w:hAnsi="Verdana" w:cs="Arial"/>
                <w:color w:val="000000" w:themeColor="text1"/>
                <w:lang w:val="es-ES"/>
              </w:rPr>
              <w:t xml:space="preserve">Finalmente, </w:t>
            </w:r>
            <w:r w:rsidR="00E9544C" w:rsidRPr="007A2CB0">
              <w:rPr>
                <w:rFonts w:ascii="Verdana" w:eastAsia="Calibri" w:hAnsi="Verdana" w:cs="Arial"/>
                <w:color w:val="000000" w:themeColor="text1"/>
                <w:lang w:val="es-ES"/>
              </w:rPr>
              <w:t xml:space="preserve">es pertinente precisar que los mecanismos señalados para realizar el estudio del mercado no están determinados por la ley o el reglamento, por lo que no existen lineamientos obligatorios para su estructuración. De esta manera, </w:t>
            </w:r>
            <w:r w:rsidR="00E9544C" w:rsidRPr="007A2CB0">
              <w:rPr>
                <w:rFonts w:ascii="Verdana" w:eastAsia="Calibri" w:hAnsi="Verdana" w:cs="Arial"/>
                <w:bCs/>
                <w:lang w:val="es-ES_tradnl"/>
              </w:rPr>
              <w:t xml:space="preserve">las entidades </w:t>
            </w:r>
            <w:r w:rsidR="00E9544C" w:rsidRPr="007A2CB0">
              <w:rPr>
                <w:rFonts w:ascii="Verdana" w:hAnsi="Verdana" w:cs="Arial"/>
                <w:lang w:eastAsia="es-CO"/>
              </w:rPr>
              <w:t>son autónomas para establecer la forma en la cual se recopilará la información que sustente el análisis del sector, así como lo referente a la solicitud de cotizaciones</w:t>
            </w:r>
            <w:r>
              <w:rPr>
                <w:rFonts w:ascii="Verdana" w:hAnsi="Verdana" w:cs="Arial"/>
                <w:lang w:eastAsia="es-CO"/>
              </w:rPr>
              <w:t xml:space="preserve"> </w:t>
            </w:r>
            <w:r w:rsidR="00C45830">
              <w:rPr>
                <w:rFonts w:ascii="Verdana" w:hAnsi="Verdana" w:cs="Arial"/>
                <w:lang w:eastAsia="es-CO"/>
              </w:rPr>
              <w:t>o</w:t>
            </w:r>
            <w:r w:rsidR="00B936F8">
              <w:rPr>
                <w:rFonts w:ascii="Verdana" w:hAnsi="Verdana" w:cs="Arial"/>
                <w:lang w:eastAsia="es-CO"/>
              </w:rPr>
              <w:t xml:space="preserve"> la aplicación de</w:t>
            </w:r>
            <w:r>
              <w:rPr>
                <w:rFonts w:ascii="Verdana" w:hAnsi="Verdana" w:cs="Arial"/>
                <w:lang w:eastAsia="es-CO"/>
              </w:rPr>
              <w:t xml:space="preserve"> otros métodos para la estructuración del estudio de mercado</w:t>
            </w:r>
            <w:r w:rsidR="00E9544C" w:rsidRPr="007A2CB0">
              <w:rPr>
                <w:rFonts w:ascii="Verdana" w:hAnsi="Verdana" w:cs="Arial"/>
                <w:lang w:eastAsia="es-CO"/>
              </w:rPr>
              <w:t xml:space="preserve">. Como se mencionó, la </w:t>
            </w:r>
            <w:r w:rsidR="00E9544C">
              <w:rPr>
                <w:rFonts w:ascii="Verdana" w:eastAsia="Calibri" w:hAnsi="Verdana" w:cs="Arial"/>
                <w:bCs/>
                <w:lang w:val="es-ES_tradnl"/>
              </w:rPr>
              <w:t>“</w:t>
            </w:r>
            <w:r w:rsidR="00E9544C" w:rsidRPr="007A2CB0">
              <w:rPr>
                <w:rFonts w:ascii="Verdana" w:eastAsia="Calibri" w:hAnsi="Verdana" w:cs="Arial"/>
                <w:bCs/>
                <w:lang w:val="es-ES_tradnl"/>
              </w:rPr>
              <w:t>Guía de Elaboración del Estudio del Sector</w:t>
            </w:r>
            <w:r w:rsidR="00E9544C">
              <w:rPr>
                <w:rFonts w:ascii="Verdana" w:eastAsia="Calibri" w:hAnsi="Verdana" w:cs="Arial"/>
                <w:bCs/>
                <w:lang w:val="es-ES_tradnl"/>
              </w:rPr>
              <w:t>”</w:t>
            </w:r>
            <w:r w:rsidR="00E9544C" w:rsidRPr="007A2CB0">
              <w:rPr>
                <w:rFonts w:ascii="Verdana" w:eastAsia="Calibri" w:hAnsi="Verdana" w:cs="Arial"/>
                <w:bCs/>
                <w:lang w:val="es-ES_tradnl"/>
              </w:rPr>
              <w:t xml:space="preserve"> desarrolla recomendaciones y buenas prácticas que servirán a las entidades para entender el mercado del bien, obra o servicio que pretende adquirir, pero no es un instrumento vinculante para la entidad. </w:t>
            </w:r>
          </w:p>
        </w:tc>
      </w:tr>
    </w:tbl>
    <w:p w14:paraId="5C904A19" w14:textId="77777777" w:rsidR="00337DF3" w:rsidRPr="009B7987" w:rsidRDefault="00337DF3" w:rsidP="00337DF3">
      <w:pPr>
        <w:tabs>
          <w:tab w:val="left" w:pos="142"/>
          <w:tab w:val="left" w:pos="284"/>
        </w:tabs>
        <w:spacing w:after="0" w:line="276" w:lineRule="auto"/>
        <w:jc w:val="both"/>
        <w:rPr>
          <w:rFonts w:ascii="Verdana" w:eastAsia="Century Gothic" w:hAnsi="Verdana" w:cs="Century Gothic"/>
          <w:b/>
          <w:bCs/>
        </w:rPr>
      </w:pPr>
    </w:p>
    <w:bookmarkEnd w:id="2"/>
    <w:p w14:paraId="267783B1" w14:textId="77777777" w:rsidR="00337DF3" w:rsidRPr="009B7987" w:rsidRDefault="00337DF3" w:rsidP="00337DF3">
      <w:pPr>
        <w:numPr>
          <w:ilvl w:val="0"/>
          <w:numId w:val="1"/>
        </w:numPr>
        <w:tabs>
          <w:tab w:val="left" w:pos="142"/>
          <w:tab w:val="left" w:pos="284"/>
        </w:tabs>
        <w:spacing w:after="0" w:line="276" w:lineRule="auto"/>
        <w:jc w:val="both"/>
        <w:rPr>
          <w:rFonts w:ascii="Verdana" w:eastAsia="Century Gothic" w:hAnsi="Verdana" w:cs="Century Gothic"/>
          <w:b/>
          <w:bCs/>
        </w:rPr>
      </w:pPr>
      <w:r w:rsidRPr="009B7987">
        <w:rPr>
          <w:rFonts w:ascii="Verdana" w:eastAsia="Century Gothic" w:hAnsi="Verdana" w:cs="Century Gothic"/>
          <w:b/>
          <w:bCs/>
        </w:rPr>
        <w:t>Razones de las respuestas:</w:t>
      </w:r>
    </w:p>
    <w:p w14:paraId="5203D246" w14:textId="77777777" w:rsidR="00337DF3" w:rsidRPr="009B7987" w:rsidRDefault="00337DF3" w:rsidP="00337DF3">
      <w:pPr>
        <w:spacing w:after="0" w:line="276" w:lineRule="auto"/>
        <w:jc w:val="both"/>
        <w:rPr>
          <w:rFonts w:ascii="Verdana" w:eastAsia="Calibri" w:hAnsi="Verdana" w:cs="Arial"/>
          <w:color w:val="7030A0"/>
        </w:rPr>
      </w:pPr>
    </w:p>
    <w:p w14:paraId="77A6B160" w14:textId="77777777" w:rsidR="00337DF3" w:rsidRPr="009B7987" w:rsidRDefault="00337DF3" w:rsidP="00337DF3">
      <w:pPr>
        <w:spacing w:after="0" w:line="276" w:lineRule="auto"/>
        <w:jc w:val="both"/>
        <w:rPr>
          <w:rFonts w:ascii="Verdana" w:eastAsia="Calibri" w:hAnsi="Verdana" w:cs="Arial"/>
        </w:rPr>
      </w:pPr>
      <w:r w:rsidRPr="009B7987">
        <w:rPr>
          <w:rFonts w:ascii="Verdana" w:eastAsia="Calibri" w:hAnsi="Verdana" w:cs="Arial"/>
        </w:rPr>
        <w:t>Lo anterior se sustenta en las siguientes consideraciones:</w:t>
      </w:r>
    </w:p>
    <w:p w14:paraId="50EFA9EF" w14:textId="77777777" w:rsidR="00337DF3" w:rsidRPr="009B7987" w:rsidRDefault="00337DF3" w:rsidP="00337DF3">
      <w:pPr>
        <w:spacing w:after="0" w:line="276" w:lineRule="auto"/>
        <w:jc w:val="both"/>
        <w:rPr>
          <w:rFonts w:ascii="Verdana" w:eastAsia="Calibri" w:hAnsi="Verdana" w:cs="Arial"/>
          <w:color w:val="000000" w:themeColor="text1"/>
        </w:rPr>
      </w:pPr>
    </w:p>
    <w:p w14:paraId="52B73EA6" w14:textId="77777777" w:rsidR="007A2CB0" w:rsidRPr="007A2CB0" w:rsidRDefault="007A2CB0" w:rsidP="007A2CB0">
      <w:pPr>
        <w:spacing w:after="120" w:line="276" w:lineRule="auto"/>
        <w:jc w:val="both"/>
        <w:rPr>
          <w:rFonts w:ascii="Verdana" w:hAnsi="Verdana"/>
        </w:rPr>
      </w:pPr>
      <w:r w:rsidRPr="007A2CB0">
        <w:rPr>
          <w:rFonts w:ascii="Verdana" w:eastAsia="Calibri" w:hAnsi="Verdana" w:cs="Arial"/>
          <w:bCs/>
          <w:lang w:val="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1075812F" w14:textId="35B99C37" w:rsidR="007A2CB0" w:rsidRPr="007A2CB0" w:rsidRDefault="007A2CB0" w:rsidP="007A2CB0">
      <w:pPr>
        <w:spacing w:after="120" w:line="276" w:lineRule="auto"/>
        <w:ind w:firstLine="708"/>
        <w:jc w:val="both"/>
        <w:rPr>
          <w:rFonts w:ascii="Verdana" w:eastAsia="Calibri" w:hAnsi="Verdana" w:cs="Arial"/>
          <w:bCs/>
          <w:lang w:val="es-ES"/>
        </w:rPr>
      </w:pPr>
      <w:r w:rsidRPr="007A2CB0">
        <w:rPr>
          <w:rFonts w:ascii="Verdana" w:eastAsia="Calibri" w:hAnsi="Verdana" w:cs="Arial"/>
          <w:bCs/>
          <w:lang w:val="es-MX"/>
        </w:rPr>
        <w:t xml:space="preserve">El Estatuto General de Contratación de la Administración Pública contiene disposiciones que exigen a las entidades estatales el deber de realizar </w:t>
      </w:r>
      <w:r w:rsidRPr="007A2CB0">
        <w:rPr>
          <w:rFonts w:ascii="Verdana" w:eastAsia="Calibri" w:hAnsi="Verdana" w:cs="Arial"/>
          <w:bCs/>
          <w:lang w:val="es-MX"/>
        </w:rPr>
        <w:lastRenderedPageBreak/>
        <w:t xml:space="preserve">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06E99350" w14:textId="77777777" w:rsidR="007A2CB0" w:rsidRPr="007A2CB0" w:rsidRDefault="007A2CB0" w:rsidP="002833F3">
      <w:pPr>
        <w:spacing w:after="0" w:line="276" w:lineRule="auto"/>
        <w:ind w:left="709" w:right="709"/>
        <w:jc w:val="both"/>
        <w:rPr>
          <w:rFonts w:ascii="Verdana" w:eastAsia="Calibri" w:hAnsi="Verdana" w:cs="Arial"/>
          <w:sz w:val="20"/>
          <w:szCs w:val="20"/>
          <w:lang w:val="es-MX"/>
        </w:rPr>
      </w:pPr>
      <w:r w:rsidRPr="007A2CB0">
        <w:rPr>
          <w:rFonts w:ascii="Verdana" w:eastAsia="Calibri" w:hAnsi="Verdana" w:cs="Arial"/>
          <w:sz w:val="20"/>
          <w:szCs w:val="20"/>
          <w:lang w:val="es-MX"/>
        </w:rPr>
        <w:t>7o. La conveniencia o inconveniencia del objeto a contratar y las autorizaciones y aprobaciones para ello, se analizarán o impartirán con antelación al inicio del proceso de selección del contratista o al de la firma del contrato, según el caso.</w:t>
      </w:r>
    </w:p>
    <w:p w14:paraId="49C5101F" w14:textId="77777777" w:rsidR="007A2CB0" w:rsidRPr="007A2CB0" w:rsidRDefault="007A2CB0" w:rsidP="002833F3">
      <w:pPr>
        <w:spacing w:after="0" w:line="276" w:lineRule="auto"/>
        <w:ind w:left="709" w:right="709"/>
        <w:jc w:val="both"/>
        <w:rPr>
          <w:rFonts w:ascii="Verdana" w:eastAsia="Calibri" w:hAnsi="Verdana" w:cs="Arial"/>
          <w:sz w:val="20"/>
          <w:szCs w:val="20"/>
          <w:lang w:val="es-MX"/>
        </w:rPr>
      </w:pPr>
      <w:r w:rsidRPr="007A2CB0">
        <w:rPr>
          <w:rFonts w:ascii="Verdana" w:eastAsia="Calibri" w:hAnsi="Verdana" w:cs="Arial"/>
          <w:sz w:val="20"/>
          <w:szCs w:val="20"/>
          <w:lang w:val="es-MX"/>
        </w:rPr>
        <w:t>[…]</w:t>
      </w:r>
    </w:p>
    <w:p w14:paraId="2808479C" w14:textId="77777777" w:rsidR="007A2CB0" w:rsidRPr="007A2CB0" w:rsidRDefault="007A2CB0" w:rsidP="002833F3">
      <w:pPr>
        <w:spacing w:after="0" w:line="276" w:lineRule="auto"/>
        <w:ind w:left="709" w:right="709"/>
        <w:jc w:val="both"/>
        <w:rPr>
          <w:rFonts w:ascii="Verdana" w:eastAsia="Calibri" w:hAnsi="Verdana" w:cs="Arial"/>
          <w:sz w:val="20"/>
          <w:szCs w:val="20"/>
          <w:lang w:val="es-MX"/>
        </w:rPr>
      </w:pPr>
      <w:r w:rsidRPr="007A2CB0">
        <w:rPr>
          <w:rFonts w:ascii="Verdana" w:eastAsia="Calibri" w:hAnsi="Verdana" w:cs="Arial"/>
          <w:sz w:val="20"/>
          <w:szCs w:val="20"/>
          <w:lang w:val="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60AFF70C" w14:textId="77777777" w:rsidR="007A2CB0" w:rsidRPr="007A2CB0" w:rsidRDefault="007A2CB0" w:rsidP="002833F3">
      <w:pPr>
        <w:spacing w:after="0" w:line="276" w:lineRule="auto"/>
        <w:ind w:left="709" w:right="709"/>
        <w:jc w:val="both"/>
        <w:rPr>
          <w:rFonts w:ascii="Verdana" w:eastAsia="Calibri" w:hAnsi="Verdana" w:cs="Arial"/>
          <w:sz w:val="20"/>
          <w:szCs w:val="20"/>
          <w:lang w:val="es-MX"/>
        </w:rPr>
      </w:pPr>
      <w:r w:rsidRPr="007A2CB0">
        <w:rPr>
          <w:rFonts w:ascii="Verdana" w:eastAsia="Calibri" w:hAnsi="Verdana" w:cs="Arial"/>
          <w:sz w:val="20"/>
          <w:szCs w:val="20"/>
          <w:lang w:val="es-MX"/>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59A57D38" w14:textId="77777777" w:rsidR="007A2CB0" w:rsidRPr="007A2CB0" w:rsidRDefault="007A2CB0" w:rsidP="002833F3">
      <w:pPr>
        <w:spacing w:after="0" w:line="276" w:lineRule="auto"/>
        <w:ind w:left="709" w:right="709"/>
        <w:jc w:val="both"/>
        <w:rPr>
          <w:rFonts w:ascii="Verdana" w:hAnsi="Verdana" w:cs="Arial"/>
          <w:sz w:val="20"/>
          <w:szCs w:val="20"/>
        </w:rPr>
      </w:pPr>
      <w:r w:rsidRPr="007A2CB0">
        <w:rPr>
          <w:rFonts w:ascii="Verdana" w:hAnsi="Verdana" w:cs="Arial"/>
          <w:sz w:val="20"/>
          <w:szCs w:val="20"/>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705C3806" w14:textId="1A59965C" w:rsidR="007A2CB0" w:rsidRDefault="007A2CB0" w:rsidP="002833F3">
      <w:pPr>
        <w:spacing w:after="0" w:line="276" w:lineRule="auto"/>
        <w:ind w:left="709" w:right="709"/>
        <w:jc w:val="both"/>
        <w:rPr>
          <w:rFonts w:ascii="Verdana" w:hAnsi="Verdana" w:cs="Arial"/>
          <w:sz w:val="20"/>
          <w:szCs w:val="20"/>
        </w:rPr>
      </w:pPr>
      <w:r w:rsidRPr="007A2CB0">
        <w:rPr>
          <w:rFonts w:ascii="Verdana" w:hAnsi="Verdana" w:cs="Arial"/>
          <w:sz w:val="20"/>
          <w:szCs w:val="20"/>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599479A1" w14:textId="77777777" w:rsidR="002833F3" w:rsidRPr="007A2CB0" w:rsidRDefault="002833F3" w:rsidP="002833F3">
      <w:pPr>
        <w:spacing w:after="0" w:line="276" w:lineRule="auto"/>
        <w:ind w:left="709" w:right="709"/>
        <w:jc w:val="both"/>
        <w:rPr>
          <w:rFonts w:ascii="Verdana" w:hAnsi="Verdana" w:cs="Arial"/>
          <w:sz w:val="20"/>
          <w:szCs w:val="20"/>
        </w:rPr>
      </w:pPr>
    </w:p>
    <w:p w14:paraId="67AD4702" w14:textId="77777777" w:rsidR="006A0A70" w:rsidRDefault="007A2CB0" w:rsidP="007A2CB0">
      <w:pPr>
        <w:spacing w:after="120" w:line="276" w:lineRule="auto"/>
        <w:ind w:firstLine="709"/>
        <w:jc w:val="both"/>
        <w:rPr>
          <w:rFonts w:ascii="Verdana" w:hAnsi="Verdana" w:cs="Arial"/>
        </w:rPr>
      </w:pPr>
      <w:r w:rsidRPr="007A2CB0">
        <w:rPr>
          <w:rFonts w:ascii="Verdana" w:hAnsi="Verdana" w:cs="Arial"/>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w:t>
      </w:r>
      <w:r w:rsidRPr="007A2CB0">
        <w:rPr>
          <w:rFonts w:ascii="Verdana" w:hAnsi="Verdana" w:cs="Arial"/>
        </w:rPr>
        <w:lastRenderedPageBreak/>
        <w:t xml:space="preserve">afectar el procedimiento de selección, celebración y ejecución del contrato. Tal es la importancia de los estudios y documentos previos que su deficiencia o ausencia, </w:t>
      </w:r>
      <w:r w:rsidR="006A0A70">
        <w:rPr>
          <w:rFonts w:ascii="Verdana" w:hAnsi="Verdana" w:cs="Arial"/>
        </w:rPr>
        <w:t>“</w:t>
      </w:r>
      <w:r w:rsidRPr="007A2CB0">
        <w:rPr>
          <w:rFonts w:ascii="Verdana" w:hAnsi="Verdana" w:cs="Arial"/>
        </w:rPr>
        <w:t>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006A0A70">
        <w:rPr>
          <w:rFonts w:ascii="Verdana" w:hAnsi="Verdana" w:cs="Arial"/>
        </w:rPr>
        <w:t>”</w:t>
      </w:r>
      <w:r w:rsidRPr="007A2CB0">
        <w:rPr>
          <w:rFonts w:ascii="Verdana" w:hAnsi="Verdana" w:cs="Arial"/>
          <w:vertAlign w:val="superscript"/>
        </w:rPr>
        <w:footnoteReference w:id="2"/>
      </w:r>
      <w:r w:rsidRPr="007A2CB0">
        <w:rPr>
          <w:rFonts w:ascii="Verdana" w:hAnsi="Verdana" w:cs="Arial"/>
        </w:rPr>
        <w:t xml:space="preserve">. </w:t>
      </w:r>
    </w:p>
    <w:p w14:paraId="114ED27E" w14:textId="4C594725" w:rsidR="007A2CB0" w:rsidRDefault="007A2CB0" w:rsidP="000A1D06">
      <w:pPr>
        <w:spacing w:after="120" w:line="276" w:lineRule="auto"/>
        <w:ind w:firstLine="709"/>
        <w:jc w:val="both"/>
        <w:rPr>
          <w:rFonts w:ascii="Verdana" w:hAnsi="Verdana" w:cs="Arial"/>
        </w:rPr>
      </w:pPr>
      <w:r w:rsidRPr="007A2CB0">
        <w:rPr>
          <w:rFonts w:ascii="Verdana" w:hAnsi="Verdana" w:cs="Arial"/>
        </w:rPr>
        <w:t>En congruencia con el artículo 25 de la Ley 80 de 1993, el Decreto Único Reglamentario del Sector Administrativo de Planeación Nacional –Decreto 1082 de 2015–, dispone en el artículo 2.2.1.1.2.1.1 el contenido mínimo de los estudios y documentos previos:</w:t>
      </w:r>
    </w:p>
    <w:p w14:paraId="7F08FA2E" w14:textId="77777777" w:rsidR="000A1D06" w:rsidRPr="000A1D06" w:rsidRDefault="000A1D06" w:rsidP="000A1D06">
      <w:pPr>
        <w:spacing w:after="0" w:line="276" w:lineRule="auto"/>
        <w:ind w:firstLine="709"/>
        <w:jc w:val="both"/>
        <w:rPr>
          <w:rFonts w:ascii="Verdana" w:hAnsi="Verdana" w:cs="Arial"/>
        </w:rPr>
      </w:pPr>
    </w:p>
    <w:p w14:paraId="17EDE3F9" w14:textId="77777777" w:rsidR="007A2CB0" w:rsidRPr="007A2CB0" w:rsidRDefault="007A2CB0" w:rsidP="007A2CB0">
      <w:pPr>
        <w:spacing w:after="0" w:line="276" w:lineRule="auto"/>
        <w:ind w:left="709" w:right="709"/>
        <w:jc w:val="both"/>
        <w:rPr>
          <w:rFonts w:ascii="Verdana" w:hAnsi="Verdana" w:cs="Arial"/>
          <w:sz w:val="20"/>
          <w:szCs w:val="20"/>
        </w:rPr>
      </w:pPr>
      <w:r w:rsidRPr="007A2CB0">
        <w:rPr>
          <w:rFonts w:ascii="Verdana" w:hAnsi="Verdana" w:cs="Arial"/>
          <w:sz w:val="20"/>
          <w:szCs w:val="20"/>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1C4F83C7" w14:textId="77777777" w:rsidR="007A2CB0" w:rsidRPr="007A2CB0" w:rsidRDefault="007A2CB0" w:rsidP="007A2CB0">
      <w:pPr>
        <w:spacing w:after="0" w:line="276" w:lineRule="auto"/>
        <w:ind w:left="709" w:right="709"/>
        <w:jc w:val="both"/>
        <w:rPr>
          <w:rFonts w:ascii="Verdana" w:hAnsi="Verdana" w:cs="Arial"/>
          <w:sz w:val="20"/>
          <w:szCs w:val="20"/>
        </w:rPr>
      </w:pPr>
      <w:r w:rsidRPr="007A2CB0">
        <w:rPr>
          <w:rFonts w:ascii="Verdana" w:hAnsi="Verdana" w:cs="Arial"/>
          <w:sz w:val="20"/>
          <w:szCs w:val="20"/>
        </w:rPr>
        <w:t xml:space="preserve">1. La descripción de la necesidad que la Entidad Estatal pretende satisfacer con el Proceso de Contratación. </w:t>
      </w:r>
      <w:r w:rsidRPr="007A2CB0">
        <w:rPr>
          <w:rFonts w:ascii="Arial" w:hAnsi="Arial" w:cs="Arial"/>
          <w:sz w:val="20"/>
          <w:szCs w:val="20"/>
        </w:rPr>
        <w:t>​</w:t>
      </w:r>
    </w:p>
    <w:p w14:paraId="317F253D" w14:textId="77777777" w:rsidR="007A2CB0" w:rsidRPr="007A2CB0" w:rsidRDefault="007A2CB0" w:rsidP="007A2CB0">
      <w:pPr>
        <w:spacing w:after="0" w:line="276" w:lineRule="auto"/>
        <w:ind w:left="709" w:right="709"/>
        <w:jc w:val="both"/>
        <w:rPr>
          <w:rFonts w:ascii="Verdana" w:hAnsi="Verdana" w:cs="Arial"/>
          <w:sz w:val="20"/>
          <w:szCs w:val="20"/>
        </w:rPr>
      </w:pPr>
      <w:r w:rsidRPr="007A2CB0">
        <w:rPr>
          <w:rFonts w:ascii="Verdana" w:hAnsi="Verdana" w:cs="Arial"/>
          <w:sz w:val="20"/>
          <w:szCs w:val="20"/>
        </w:rPr>
        <w:t xml:space="preserve">2. El objeto a contratar, con sus especificaciones, las autorizaciones, permisos y licencias requeridos para su ejecución, y cuando el contrato incluye diseño y construcción, los documentos técnicos para el desarrollo del proyecto. </w:t>
      </w:r>
    </w:p>
    <w:p w14:paraId="75C4549F" w14:textId="77777777" w:rsidR="007A2CB0" w:rsidRPr="007A2CB0" w:rsidRDefault="007A2CB0" w:rsidP="007A2CB0">
      <w:pPr>
        <w:spacing w:after="0" w:line="276" w:lineRule="auto"/>
        <w:ind w:left="709" w:right="709"/>
        <w:jc w:val="both"/>
        <w:rPr>
          <w:rFonts w:ascii="Verdana" w:hAnsi="Verdana" w:cs="Arial"/>
          <w:sz w:val="20"/>
          <w:szCs w:val="20"/>
        </w:rPr>
      </w:pPr>
      <w:r w:rsidRPr="007A2CB0">
        <w:rPr>
          <w:rFonts w:ascii="Verdana" w:hAnsi="Verdana" w:cs="Arial"/>
          <w:sz w:val="20"/>
          <w:szCs w:val="20"/>
        </w:rPr>
        <w:t xml:space="preserve">3. La modalidad de selección del contratista y su justificación, incluyendo los fundamentos jurídicos. </w:t>
      </w:r>
    </w:p>
    <w:p w14:paraId="07EF5233" w14:textId="77777777" w:rsidR="007A2CB0" w:rsidRPr="007A2CB0" w:rsidRDefault="007A2CB0" w:rsidP="007A2CB0">
      <w:pPr>
        <w:spacing w:after="0" w:line="276" w:lineRule="auto"/>
        <w:ind w:left="709" w:right="709"/>
        <w:jc w:val="both"/>
        <w:rPr>
          <w:rFonts w:ascii="Verdana" w:hAnsi="Verdana" w:cs="Arial"/>
          <w:sz w:val="20"/>
          <w:szCs w:val="20"/>
        </w:rPr>
      </w:pPr>
      <w:r w:rsidRPr="007A2CB0">
        <w:rPr>
          <w:rFonts w:ascii="Verdana" w:hAnsi="Verdana" w:cs="Arial"/>
          <w:sz w:val="20"/>
          <w:szCs w:val="20"/>
        </w:rPr>
        <w:t xml:space="preserve">4. El valor estimado del contrato y la justificación </w:t>
      </w:r>
      <w:proofErr w:type="gramStart"/>
      <w:r w:rsidRPr="007A2CB0">
        <w:rPr>
          <w:rFonts w:ascii="Verdana" w:hAnsi="Verdana" w:cs="Arial"/>
          <w:sz w:val="20"/>
          <w:szCs w:val="20"/>
        </w:rPr>
        <w:t>del mismo</w:t>
      </w:r>
      <w:proofErr w:type="gramEnd"/>
      <w:r w:rsidRPr="007A2CB0">
        <w:rPr>
          <w:rFonts w:ascii="Verdana" w:hAnsi="Verdana" w:cs="Arial"/>
          <w:sz w:val="20"/>
          <w:szCs w:val="20"/>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03311A84" w14:textId="77777777" w:rsidR="007A2CB0" w:rsidRPr="007A2CB0" w:rsidRDefault="007A2CB0" w:rsidP="007A2CB0">
      <w:pPr>
        <w:spacing w:after="0" w:line="276" w:lineRule="auto"/>
        <w:ind w:left="709" w:right="709"/>
        <w:jc w:val="both"/>
        <w:rPr>
          <w:rFonts w:ascii="Verdana" w:hAnsi="Verdana" w:cs="Arial"/>
          <w:sz w:val="20"/>
          <w:szCs w:val="20"/>
        </w:rPr>
      </w:pPr>
      <w:r w:rsidRPr="007A2CB0">
        <w:rPr>
          <w:rFonts w:ascii="Verdana" w:hAnsi="Verdana" w:cs="Arial"/>
          <w:sz w:val="20"/>
          <w:szCs w:val="20"/>
        </w:rPr>
        <w:t xml:space="preserve">5. Los criterios para seleccionar la oferta más favorable. </w:t>
      </w:r>
    </w:p>
    <w:p w14:paraId="0DD2DEF9" w14:textId="77777777" w:rsidR="007A2CB0" w:rsidRPr="007A2CB0" w:rsidRDefault="007A2CB0" w:rsidP="007A2CB0">
      <w:pPr>
        <w:spacing w:after="0" w:line="276" w:lineRule="auto"/>
        <w:ind w:left="709" w:right="709"/>
        <w:jc w:val="both"/>
        <w:rPr>
          <w:rFonts w:ascii="Verdana" w:hAnsi="Verdana" w:cs="Arial"/>
          <w:sz w:val="20"/>
          <w:szCs w:val="20"/>
        </w:rPr>
      </w:pPr>
      <w:r w:rsidRPr="007A2CB0">
        <w:rPr>
          <w:rFonts w:ascii="Verdana" w:hAnsi="Verdana" w:cs="Arial"/>
          <w:sz w:val="20"/>
          <w:szCs w:val="20"/>
        </w:rPr>
        <w:t xml:space="preserve">6. El análisis de Riesgo y la forma de mitigarlo. </w:t>
      </w:r>
    </w:p>
    <w:p w14:paraId="6DC09F98" w14:textId="77777777" w:rsidR="007A2CB0" w:rsidRPr="007A2CB0" w:rsidRDefault="007A2CB0" w:rsidP="007A2CB0">
      <w:pPr>
        <w:spacing w:after="0" w:line="276" w:lineRule="auto"/>
        <w:ind w:left="709" w:right="709"/>
        <w:jc w:val="both"/>
        <w:rPr>
          <w:rFonts w:ascii="Verdana" w:hAnsi="Verdana" w:cs="Arial"/>
          <w:sz w:val="20"/>
          <w:szCs w:val="20"/>
        </w:rPr>
      </w:pPr>
      <w:r w:rsidRPr="007A2CB0">
        <w:rPr>
          <w:rFonts w:ascii="Verdana" w:hAnsi="Verdana" w:cs="Arial"/>
          <w:sz w:val="20"/>
          <w:szCs w:val="20"/>
        </w:rPr>
        <w:t xml:space="preserve">7. Las garantías que la Entidad Estatal contempla exigir en el proceso de contratación. </w:t>
      </w:r>
    </w:p>
    <w:p w14:paraId="11B77059" w14:textId="77777777" w:rsidR="007A2CB0" w:rsidRPr="007A2CB0" w:rsidRDefault="007A2CB0" w:rsidP="007A2CB0">
      <w:pPr>
        <w:spacing w:after="0" w:line="276" w:lineRule="auto"/>
        <w:ind w:left="709" w:right="709"/>
        <w:jc w:val="both"/>
        <w:rPr>
          <w:rFonts w:ascii="Verdana" w:hAnsi="Verdana" w:cs="Arial"/>
          <w:sz w:val="20"/>
          <w:szCs w:val="20"/>
        </w:rPr>
      </w:pPr>
      <w:r w:rsidRPr="007A2CB0">
        <w:rPr>
          <w:rFonts w:ascii="Verdana" w:hAnsi="Verdana" w:cs="Arial"/>
          <w:sz w:val="20"/>
          <w:szCs w:val="20"/>
        </w:rPr>
        <w:lastRenderedPageBreak/>
        <w:t xml:space="preserve">8. La indicación de si el proceso de contratación está cobijado por un acuerdo comercial. </w:t>
      </w:r>
    </w:p>
    <w:p w14:paraId="455DCFFD" w14:textId="77777777" w:rsidR="007A2CB0" w:rsidRPr="007A2CB0" w:rsidRDefault="007A2CB0" w:rsidP="007A2CB0">
      <w:pPr>
        <w:spacing w:after="0" w:line="276" w:lineRule="auto"/>
        <w:ind w:left="709" w:right="709"/>
        <w:jc w:val="both"/>
        <w:rPr>
          <w:rFonts w:ascii="Verdana" w:hAnsi="Verdana" w:cs="Arial"/>
          <w:sz w:val="20"/>
          <w:szCs w:val="20"/>
        </w:rPr>
      </w:pPr>
      <w:r w:rsidRPr="007A2CB0">
        <w:rPr>
          <w:rFonts w:ascii="Verdana" w:hAnsi="Verdana" w:cs="Arial"/>
          <w:sz w:val="20"/>
          <w:szCs w:val="20"/>
        </w:rPr>
        <w:t>El presente artículo no es aplicable a la contratación por mínima cuantía.</w:t>
      </w:r>
    </w:p>
    <w:p w14:paraId="3B00E597" w14:textId="77777777" w:rsidR="007A2CB0" w:rsidRPr="007A2CB0" w:rsidRDefault="007A2CB0" w:rsidP="007A2CB0">
      <w:pPr>
        <w:widowControl w:val="0"/>
        <w:tabs>
          <w:tab w:val="left" w:pos="1305"/>
        </w:tabs>
        <w:autoSpaceDE w:val="0"/>
        <w:autoSpaceDN w:val="0"/>
        <w:spacing w:after="0" w:line="276" w:lineRule="auto"/>
        <w:ind w:left="828" w:right="822"/>
        <w:rPr>
          <w:rFonts w:ascii="Verdana" w:eastAsia="Calibri" w:hAnsi="Verdana" w:cs="Arial"/>
          <w:sz w:val="20"/>
          <w:szCs w:val="20"/>
          <w:lang w:val="es-MX"/>
        </w:rPr>
      </w:pPr>
    </w:p>
    <w:p w14:paraId="2C74B30A" w14:textId="77777777" w:rsidR="007A2CB0" w:rsidRPr="007A2CB0" w:rsidRDefault="007A2CB0" w:rsidP="007A2CB0">
      <w:pPr>
        <w:spacing w:after="120" w:line="276" w:lineRule="auto"/>
        <w:ind w:firstLine="709"/>
        <w:jc w:val="both"/>
        <w:rPr>
          <w:rFonts w:ascii="Verdana" w:hAnsi="Verdana" w:cs="Arial"/>
        </w:rPr>
      </w:pPr>
      <w:bookmarkStart w:id="3" w:name="_Hlk54011351"/>
      <w:r w:rsidRPr="007A2CB0">
        <w:rPr>
          <w:rFonts w:ascii="Verdana" w:hAnsi="Verdana" w:cs="Arial"/>
        </w:rPr>
        <w:t xml:space="preserve">De esta manera, antes de iniciar un procedimiento de selección, la entidad estatal podrá determinar con los estudios previos: i) la verdadera necesidad de la celebración del contrato; </w:t>
      </w:r>
      <w:proofErr w:type="spellStart"/>
      <w:r w:rsidRPr="007A2CB0">
        <w:rPr>
          <w:rFonts w:ascii="Verdana" w:hAnsi="Verdana" w:cs="Arial"/>
        </w:rPr>
        <w:t>ii</w:t>
      </w:r>
      <w:proofErr w:type="spellEnd"/>
      <w:r w:rsidRPr="007A2CB0">
        <w:rPr>
          <w:rFonts w:ascii="Verdana" w:hAnsi="Verdana" w:cs="Arial"/>
        </w:rPr>
        <w:t xml:space="preserve">) las modalidades existentes para satisfacer esa necesidad y las razones que justifiquen la modalidad o tipo contractual que se escoja; </w:t>
      </w:r>
      <w:proofErr w:type="spellStart"/>
      <w:r w:rsidRPr="007A2CB0">
        <w:rPr>
          <w:rFonts w:ascii="Verdana" w:hAnsi="Verdana" w:cs="Arial"/>
        </w:rPr>
        <w:t>iii</w:t>
      </w:r>
      <w:proofErr w:type="spellEnd"/>
      <w:r w:rsidRPr="007A2CB0">
        <w:rPr>
          <w:rFonts w:ascii="Verdana" w:hAnsi="Verdana" w:cs="Arial"/>
        </w:rPr>
        <w:t xml:space="preserve">) las calidades, especificaciones, cantidades y demás características que puedan o deban reunir los bienes, las obras o los servicios cuya contratación se haya determinado necesaria, </w:t>
      </w:r>
      <w:proofErr w:type="spellStart"/>
      <w:r w:rsidRPr="007A2CB0">
        <w:rPr>
          <w:rFonts w:ascii="Verdana" w:hAnsi="Verdana" w:cs="Arial"/>
        </w:rPr>
        <w:t>iv</w:t>
      </w:r>
      <w:proofErr w:type="spellEnd"/>
      <w:r w:rsidRPr="007A2CB0">
        <w:rPr>
          <w:rFonts w:ascii="Verdana" w:hAnsi="Verdana" w:cs="Arial"/>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7A2CB0">
        <w:rPr>
          <w:rFonts w:ascii="Verdana" w:hAnsi="Verdana" w:cs="Arial"/>
        </w:rPr>
        <w:t>vii</w:t>
      </w:r>
      <w:proofErr w:type="spellEnd"/>
      <w:r w:rsidRPr="007A2CB0">
        <w:rPr>
          <w:rFonts w:ascii="Verdana" w:hAnsi="Verdana" w:cs="Arial"/>
        </w:rPr>
        <w:t>) los procedimientos, trámites y requisitos que deban satisfacerse, reunirse u obtenerse para llevar a cabo la selección del respectivo contratista y la celebración del contrato que se pretenda celebrar.</w:t>
      </w:r>
    </w:p>
    <w:bookmarkEnd w:id="3"/>
    <w:p w14:paraId="140550AA" w14:textId="77777777" w:rsidR="007A2CB0" w:rsidRPr="007A2CB0" w:rsidRDefault="007A2CB0" w:rsidP="007A2CB0">
      <w:pPr>
        <w:spacing w:after="120" w:line="276" w:lineRule="auto"/>
        <w:ind w:firstLine="709"/>
        <w:jc w:val="both"/>
        <w:rPr>
          <w:rFonts w:ascii="Verdana" w:hAnsi="Verdana" w:cs="Arial"/>
        </w:rPr>
      </w:pPr>
      <w:r w:rsidRPr="007A2CB0">
        <w:rPr>
          <w:rFonts w:ascii="Verdana" w:hAnsi="Verdana" w:cs="Arial"/>
        </w:rPr>
        <w:t xml:space="preserve">Por ello, el hecho que las entidades cumplan con los elementos mínimos establecidos en la norma y aquellos adicionales que identifiquen en la etapa de planeación de los </w:t>
      </w:r>
      <w:r w:rsidRPr="007A2CB0">
        <w:rPr>
          <w:rFonts w:ascii="Verdana" w:eastAsia="Calibri" w:hAnsi="Verdana" w:cs="Arial"/>
          <w:bCs/>
          <w:lang w:val="es-ES_tradnl"/>
        </w:rPr>
        <w:t xml:space="preserve">procedimientos de contratación, permite que los contratos resultantes cuenten con el sustento técnico, económico y jurídico que incidirá </w:t>
      </w:r>
      <w:r w:rsidRPr="007A2CB0">
        <w:rPr>
          <w:rFonts w:ascii="Verdana" w:hAnsi="Verdana" w:cs="Arial"/>
        </w:rPr>
        <w:t>en una adecuada ejecución.</w:t>
      </w:r>
    </w:p>
    <w:p w14:paraId="2AF44EEB" w14:textId="3156867B" w:rsidR="007A2CB0" w:rsidRPr="007A2CB0" w:rsidRDefault="007A2CB0" w:rsidP="007A2CB0">
      <w:pPr>
        <w:spacing w:after="120" w:line="276" w:lineRule="auto"/>
        <w:ind w:right="103" w:firstLine="708"/>
        <w:jc w:val="both"/>
        <w:rPr>
          <w:rFonts w:ascii="Verdana" w:hAnsi="Verdana" w:cs="Arial"/>
        </w:rPr>
      </w:pPr>
      <w:r w:rsidRPr="007A2CB0">
        <w:rPr>
          <w:rFonts w:ascii="Verdana" w:hAnsi="Verdana" w:cs="Arial"/>
        </w:rPr>
        <w:t xml:space="preserve">Mas allá del cumplimiento de la normativa, </w:t>
      </w:r>
      <w:r w:rsidR="00DE31B1">
        <w:rPr>
          <w:rFonts w:ascii="Verdana" w:hAnsi="Verdana" w:cs="Arial"/>
        </w:rPr>
        <w:t>“</w:t>
      </w:r>
      <w:r w:rsidRPr="007A2CB0">
        <w:rPr>
          <w:rFonts w:ascii="Verdana" w:hAnsi="Verdana" w:cs="Arial"/>
        </w:rPr>
        <w:t>los estudios y documentos previos son el soporte para elaborar el proyecto de pliegos, los pliegos de condiciones, y el contrato</w:t>
      </w:r>
      <w:r w:rsidR="00DE31B1">
        <w:rPr>
          <w:rFonts w:ascii="Verdana" w:hAnsi="Verdana" w:cs="Arial"/>
        </w:rPr>
        <w:t>”</w:t>
      </w:r>
      <w:r w:rsidRPr="007A2CB0">
        <w:rPr>
          <w:rFonts w:ascii="Verdana" w:hAnsi="Verdana" w:cs="Arial"/>
          <w:vertAlign w:val="superscript"/>
        </w:rPr>
        <w:footnoteReference w:id="3"/>
      </w:r>
      <w:r w:rsidRPr="007A2CB0">
        <w:rPr>
          <w:rFonts w:ascii="Verdana" w:hAnsi="Verdana" w:cs="Arial"/>
        </w:rPr>
        <w:t>,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657B8B2E" w14:textId="1F414EBA" w:rsidR="007A2CB0" w:rsidRPr="007A2CB0" w:rsidRDefault="007A2CB0" w:rsidP="0010682A">
      <w:pPr>
        <w:spacing w:after="120" w:line="276" w:lineRule="auto"/>
        <w:ind w:right="105" w:firstLine="709"/>
        <w:jc w:val="both"/>
        <w:rPr>
          <w:rFonts w:ascii="Verdana" w:hAnsi="Verdana" w:cs="Arial"/>
        </w:rPr>
      </w:pPr>
      <w:bookmarkStart w:id="5" w:name="_Hlk54011438"/>
      <w:r w:rsidRPr="007A2CB0">
        <w:rPr>
          <w:rFonts w:ascii="Verdana" w:hAnsi="Verdana" w:cs="Arial"/>
        </w:rPr>
        <w:lastRenderedPageBreak/>
        <w:t>De lo explicado se desprende que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5"/>
      <w:r w:rsidRPr="007A2CB0">
        <w:rPr>
          <w:rFonts w:ascii="Verdana" w:hAnsi="Verdana" w:cs="Arial"/>
          <w:vertAlign w:val="superscript"/>
        </w:rPr>
        <w:footnoteReference w:id="4"/>
      </w:r>
      <w:r w:rsidRPr="007A2CB0">
        <w:rPr>
          <w:rFonts w:ascii="Verdana" w:hAnsi="Verdana" w:cs="Arial"/>
        </w:rPr>
        <w:t xml:space="preserve">. </w:t>
      </w:r>
    </w:p>
    <w:p w14:paraId="4F973DB3" w14:textId="4F1FCC38" w:rsidR="007A2CB0" w:rsidRPr="007A2CB0" w:rsidRDefault="007A2CB0" w:rsidP="007A2CB0">
      <w:pPr>
        <w:spacing w:after="120" w:line="276" w:lineRule="auto"/>
        <w:ind w:firstLine="708"/>
        <w:jc w:val="both"/>
        <w:rPr>
          <w:rFonts w:ascii="Verdana" w:eastAsia="Calibri" w:hAnsi="Verdana" w:cs="Arial"/>
          <w:bCs/>
          <w:lang w:val="es-ES_tradnl"/>
        </w:rPr>
      </w:pPr>
      <w:r w:rsidRPr="007A2CB0">
        <w:rPr>
          <w:rFonts w:ascii="Verdana" w:hAnsi="Verdana" w:cs="Arial"/>
        </w:rPr>
        <w:t xml:space="preserve">Por otra parte, los numerales 2 y 4 del artículo 2.2.1.1.2.1.1 del Decreto 1082 de 2015 exigen que en los estudios previos se determine el objeto a contratar con sus especificaciones, y se señale el valor estimado del contrato y la justificación </w:t>
      </w:r>
      <w:proofErr w:type="gramStart"/>
      <w:r w:rsidRPr="007A2CB0">
        <w:rPr>
          <w:rFonts w:ascii="Verdana" w:hAnsi="Verdana" w:cs="Arial"/>
        </w:rPr>
        <w:t>del mismo</w:t>
      </w:r>
      <w:proofErr w:type="gramEnd"/>
      <w:r w:rsidRPr="007A2CB0">
        <w:rPr>
          <w:rFonts w:ascii="Verdana" w:hAnsi="Verdana" w:cs="Arial"/>
        </w:rPr>
        <w:t xml:space="preserve">. </w:t>
      </w:r>
      <w:r w:rsidRPr="007A2CB0">
        <w:rPr>
          <w:rFonts w:ascii="Verdana" w:eastAsia="Calibri" w:hAnsi="Verdana" w:cs="Arial"/>
          <w:bCs/>
          <w:lang w:val="es-ES_tradnl"/>
        </w:rPr>
        <w:t xml:space="preserve">Para cumplir este objetivo es necesario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En este sentido, el artículo </w:t>
      </w:r>
      <w:bookmarkStart w:id="6" w:name="_Hlk36117416"/>
      <w:r w:rsidRPr="007A2CB0">
        <w:rPr>
          <w:rFonts w:ascii="Verdana" w:eastAsia="Calibri" w:hAnsi="Verdana" w:cs="Arial"/>
          <w:bCs/>
          <w:lang w:val="es-ES_tradnl"/>
        </w:rPr>
        <w:t>2.2.1.1.1.6.1 del Decreto 1082 de 2015</w:t>
      </w:r>
      <w:bookmarkEnd w:id="6"/>
      <w:r w:rsidRPr="007A2CB0">
        <w:rPr>
          <w:rFonts w:ascii="Verdana" w:eastAsia="Calibri" w:hAnsi="Verdana" w:cs="Arial"/>
          <w:bCs/>
          <w:lang w:val="es-ES_tradnl"/>
        </w:rPr>
        <w:t xml:space="preserve"> dispone que </w:t>
      </w:r>
      <w:r w:rsidR="008711AE">
        <w:rPr>
          <w:rFonts w:ascii="Verdana" w:eastAsia="Calibri" w:hAnsi="Verdana" w:cs="Arial"/>
          <w:bCs/>
          <w:lang w:val="es-ES_tradnl"/>
        </w:rPr>
        <w:t>“</w:t>
      </w:r>
      <w:r w:rsidRPr="007A2CB0">
        <w:rPr>
          <w:rFonts w:ascii="Verdana" w:eastAsia="Calibri" w:hAnsi="Verdana" w:cs="Arial"/>
          <w:bCs/>
          <w:lang w:val="es-ES_tradnl"/>
        </w:rPr>
        <w:t>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r w:rsidR="008711AE">
        <w:rPr>
          <w:rFonts w:ascii="Verdana" w:eastAsia="Calibri" w:hAnsi="Verdana" w:cs="Arial"/>
          <w:bCs/>
          <w:lang w:val="es-ES_tradnl"/>
        </w:rPr>
        <w:t>”</w:t>
      </w:r>
      <w:r w:rsidRPr="007A2CB0">
        <w:rPr>
          <w:rFonts w:ascii="Verdana" w:eastAsia="Calibri" w:hAnsi="Verdana" w:cs="Arial"/>
          <w:bCs/>
          <w:lang w:val="es-ES_tradnl"/>
        </w:rPr>
        <w:t>.</w:t>
      </w:r>
    </w:p>
    <w:p w14:paraId="7826DBA2" w14:textId="77777777" w:rsidR="007A2CB0" w:rsidRPr="007A2CB0" w:rsidRDefault="007A2CB0" w:rsidP="007A2CB0">
      <w:pPr>
        <w:spacing w:after="120" w:line="276" w:lineRule="auto"/>
        <w:ind w:firstLine="709"/>
        <w:jc w:val="both"/>
        <w:rPr>
          <w:rFonts w:ascii="Verdana" w:eastAsia="Calibri" w:hAnsi="Verdana" w:cs="Arial"/>
          <w:bCs/>
          <w:lang w:val="es-ES_tradnl"/>
        </w:rPr>
      </w:pPr>
      <w:r w:rsidRPr="007A2CB0">
        <w:rPr>
          <w:rFonts w:ascii="Verdana" w:eastAsia="Calibri" w:hAnsi="Verdana" w:cs="Arial"/>
          <w:bCs/>
          <w:lang w:val="es-ES_tradnl"/>
        </w:rPr>
        <w:t xml:space="preserve">De acuerdo con la norma citada, </w:t>
      </w:r>
      <w:bookmarkStart w:id="7" w:name="_Hlk36140682"/>
      <w:r w:rsidRPr="007A2CB0">
        <w:rPr>
          <w:rFonts w:ascii="Verdana" w:eastAsia="Calibri" w:hAnsi="Verdana" w:cs="Arial"/>
          <w:bCs/>
          <w:lang w:val="es-ES_tradnl"/>
        </w:rPr>
        <w:t xml:space="preserve">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w:t>
      </w:r>
      <w:r w:rsidRPr="007A2CB0">
        <w:rPr>
          <w:rFonts w:ascii="Verdana" w:eastAsia="Calibri" w:hAnsi="Verdana" w:cs="Arial"/>
          <w:bCs/>
          <w:lang w:val="es-ES_tradnl"/>
        </w:rPr>
        <w:lastRenderedPageBreak/>
        <w:t>pretende que la entidad estatal entienda cómo están organizados internamente los posibles oferentes y de qué manera realizan sus negocios y operaciones.</w:t>
      </w:r>
    </w:p>
    <w:p w14:paraId="05C4CD5E" w14:textId="77777777" w:rsidR="007A2CB0" w:rsidRPr="007A2CB0" w:rsidRDefault="007A2CB0" w:rsidP="007A2CB0">
      <w:pPr>
        <w:spacing w:after="120" w:line="276" w:lineRule="auto"/>
        <w:ind w:firstLine="709"/>
        <w:jc w:val="both"/>
        <w:rPr>
          <w:rFonts w:ascii="Verdana" w:eastAsia="Calibri" w:hAnsi="Verdana" w:cs="Arial"/>
          <w:bCs/>
          <w:lang w:val="es-ES_tradnl"/>
        </w:rPr>
      </w:pPr>
      <w:r w:rsidRPr="007A2CB0">
        <w:rPr>
          <w:rFonts w:ascii="Verdana" w:eastAsia="Calibri" w:hAnsi="Verdana" w:cs="Arial"/>
          <w:bCs/>
          <w:lang w:val="es-ES_tradnl"/>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6A0737D5" w14:textId="77777777" w:rsidR="007A2CB0" w:rsidRPr="007A2CB0" w:rsidRDefault="007A2CB0" w:rsidP="007A2CB0">
      <w:pPr>
        <w:spacing w:after="120" w:line="276" w:lineRule="auto"/>
        <w:ind w:firstLine="709"/>
        <w:jc w:val="both"/>
        <w:rPr>
          <w:rFonts w:ascii="Verdana" w:eastAsia="Calibri" w:hAnsi="Verdana" w:cs="Arial"/>
          <w:bCs/>
          <w:lang w:val="es-ES_tradnl"/>
        </w:rPr>
      </w:pPr>
      <w:r w:rsidRPr="007A2CB0">
        <w:rPr>
          <w:rFonts w:ascii="Verdana" w:eastAsia="Calibri" w:hAnsi="Verdana" w:cs="Arial"/>
          <w:bCs/>
          <w:lang w:val="es-ES_tradnl"/>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las entidades estatales y los particulares cómo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31F5D86C" w14:textId="77777777" w:rsidR="007A2CB0" w:rsidRPr="007A2CB0" w:rsidRDefault="007A2CB0" w:rsidP="007A2CB0">
      <w:pPr>
        <w:spacing w:after="120" w:line="276" w:lineRule="auto"/>
        <w:ind w:firstLine="709"/>
        <w:jc w:val="both"/>
        <w:rPr>
          <w:rFonts w:ascii="Verdana" w:eastAsia="Calibri" w:hAnsi="Verdana" w:cs="Arial"/>
          <w:bCs/>
          <w:lang w:val="es-ES_tradnl"/>
        </w:rPr>
      </w:pPr>
      <w:r w:rsidRPr="007A2CB0">
        <w:rPr>
          <w:rFonts w:ascii="Verdana" w:eastAsia="Calibri" w:hAnsi="Verdana" w:cs="Arial"/>
          <w:bCs/>
          <w:lang w:val="es-ES_tradnl"/>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007A2CB0">
        <w:rPr>
          <w:rFonts w:ascii="Verdana" w:hAnsi="Verdana" w:cs="Arial"/>
          <w:lang w:eastAsia="es-CO"/>
        </w:rPr>
        <w:t xml:space="preserve">son autónomas para estructurarlo, para lo cual deberán cumplir lo dispuesto en el artículo </w:t>
      </w:r>
      <w:r w:rsidRPr="007A2CB0">
        <w:rPr>
          <w:rFonts w:ascii="Verdana" w:eastAsia="Calibri" w:hAnsi="Verdana" w:cs="Arial"/>
          <w:bCs/>
          <w:lang w:val="es-ES_tradnl"/>
        </w:rPr>
        <w:t xml:space="preserve">2.2.1.1.1.6.1 del Decreto 1082 de 2015 y realizar un análisis integral de planeación que </w:t>
      </w:r>
      <w:r w:rsidRPr="007A2CB0">
        <w:rPr>
          <w:rFonts w:ascii="Verdana" w:hAnsi="Verdana" w:cs="Arial"/>
        </w:rPr>
        <w:t xml:space="preserve">sirva de sustento a la decisión de </w:t>
      </w:r>
      <w:r w:rsidRPr="007A2CB0">
        <w:rPr>
          <w:rFonts w:ascii="Verdana" w:hAnsi="Verdana" w:cs="Arial"/>
          <w:bCs/>
          <w:lang w:val="es-ES_tradnl"/>
        </w:rPr>
        <w:t>realizar un proceso de contratación.</w:t>
      </w:r>
    </w:p>
    <w:bookmarkEnd w:id="7"/>
    <w:p w14:paraId="3F7C6C3E" w14:textId="7BF98FBF" w:rsidR="007A2CB0" w:rsidRPr="007A2CB0" w:rsidRDefault="007A2CB0" w:rsidP="007A2CB0">
      <w:pPr>
        <w:spacing w:after="120" w:line="276" w:lineRule="auto"/>
        <w:ind w:firstLine="709"/>
        <w:jc w:val="both"/>
        <w:rPr>
          <w:rFonts w:ascii="Verdana" w:eastAsia="Calibri" w:hAnsi="Verdana" w:cs="Arial"/>
          <w:bCs/>
          <w:lang w:val="es-ES"/>
        </w:rPr>
      </w:pPr>
      <w:r w:rsidRPr="007A2CB0">
        <w:rPr>
          <w:rFonts w:ascii="Verdana" w:eastAsia="Calibri" w:hAnsi="Verdana" w:cs="Arial"/>
          <w:bCs/>
          <w:lang w:val="es-ES_tradnl"/>
        </w:rPr>
        <w:t xml:space="preserve">La Agencia Nacional de Contratación Pública - Colombia Compra Eficiente dispone de la </w:t>
      </w:r>
      <w:r w:rsidR="008711AE">
        <w:rPr>
          <w:rFonts w:ascii="Verdana" w:eastAsia="Calibri" w:hAnsi="Verdana" w:cs="Arial"/>
          <w:bCs/>
          <w:lang w:val="es-ES_tradnl"/>
        </w:rPr>
        <w:t>“</w:t>
      </w:r>
      <w:r w:rsidRPr="007A2CB0">
        <w:rPr>
          <w:rFonts w:ascii="Verdana" w:eastAsia="Calibri" w:hAnsi="Verdana" w:cs="Arial"/>
          <w:bCs/>
          <w:lang w:val="es-ES_tradnl"/>
        </w:rPr>
        <w:t>Guía de Elaboración del Estudio del Sector</w:t>
      </w:r>
      <w:r w:rsidR="008711AE">
        <w:rPr>
          <w:rFonts w:ascii="Verdana" w:eastAsia="Calibri" w:hAnsi="Verdana" w:cs="Arial"/>
          <w:bCs/>
          <w:lang w:val="es-ES_tradnl"/>
        </w:rPr>
        <w:t>”</w:t>
      </w:r>
      <w:r w:rsidRPr="007A2CB0">
        <w:rPr>
          <w:rFonts w:ascii="Verdana" w:eastAsia="Calibri" w:hAnsi="Verdana" w:cs="Arial"/>
          <w:bCs/>
          <w:lang w:val="es-ES_tradnl"/>
        </w:rPr>
        <w:t xml:space="preserve">, instrumento que sirve de apoyo para entender el mercado del bien, obra o servicio que la entidad </w:t>
      </w:r>
      <w:r w:rsidRPr="007A2CB0">
        <w:rPr>
          <w:rFonts w:ascii="Verdana" w:eastAsia="Calibri" w:hAnsi="Verdana" w:cs="Arial"/>
          <w:bCs/>
          <w:lang w:val="es-ES_tradnl"/>
        </w:rPr>
        <w:lastRenderedPageBreak/>
        <w:t>estatal pretende adquirir y diseñar el proceso de contratación con la información necesaria para alcanzar los objetivos de eficacia, eficiencia, economía, promoción de la competencia y manejo del riesgo</w:t>
      </w:r>
      <w:r w:rsidRPr="007A2CB0">
        <w:rPr>
          <w:rStyle w:val="Refdenotaalpie"/>
          <w:rFonts w:ascii="Verdana" w:eastAsia="Calibri" w:hAnsi="Verdana" w:cs="Arial"/>
          <w:bCs/>
          <w:lang w:val="es-ES_tradnl"/>
        </w:rPr>
        <w:footnoteReference w:id="5"/>
      </w:r>
      <w:r w:rsidRPr="007A2CB0">
        <w:rPr>
          <w:rFonts w:ascii="Verdana" w:eastAsia="Calibri" w:hAnsi="Verdana" w:cs="Arial"/>
          <w:bCs/>
          <w:lang w:val="es-ES_tradnl"/>
        </w:rPr>
        <w:t>. 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7A2CB0">
        <w:rPr>
          <w:rFonts w:ascii="Verdana" w:eastAsia="Calibri" w:hAnsi="Verdana" w:cs="Arial"/>
          <w:bCs/>
          <w:lang w:val="es-ES"/>
        </w:rPr>
        <w:t xml:space="preserve"> recomendaciones generales por lo que no debe aplicarse de manera mecánica, pues la profundidad del estudio del sector depende de la complejidad y particularidades de cada Proceso de Contratación. </w:t>
      </w:r>
    </w:p>
    <w:p w14:paraId="23516B87" w14:textId="77777777" w:rsidR="007A2CB0" w:rsidRPr="007A2CB0" w:rsidRDefault="007A2CB0" w:rsidP="007A2CB0">
      <w:pPr>
        <w:spacing w:after="120" w:line="276" w:lineRule="auto"/>
        <w:ind w:firstLine="709"/>
        <w:jc w:val="both"/>
        <w:rPr>
          <w:rFonts w:ascii="Verdana" w:eastAsia="Calibri" w:hAnsi="Verdana" w:cs="Arial"/>
          <w:bCs/>
          <w:lang w:val="es-ES_tradnl"/>
        </w:rPr>
      </w:pPr>
      <w:r w:rsidRPr="007A2CB0">
        <w:rPr>
          <w:rFonts w:ascii="Verdana" w:eastAsia="Calibri" w:hAnsi="Verdana" w:cs="Arial"/>
          <w:bCs/>
          <w:lang w:val="es-ES_tradnl"/>
        </w:rPr>
        <w:t>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0596EE31" w14:textId="77777777" w:rsidR="007A2CB0" w:rsidRPr="007A2CB0" w:rsidRDefault="007A2CB0" w:rsidP="007A2CB0">
      <w:pPr>
        <w:spacing w:after="120" w:line="276" w:lineRule="auto"/>
        <w:ind w:firstLine="709"/>
        <w:jc w:val="both"/>
        <w:rPr>
          <w:rFonts w:ascii="Verdana" w:eastAsia="Calibri" w:hAnsi="Verdana" w:cs="Arial"/>
          <w:bCs/>
          <w:lang w:val="es-ES_tradnl"/>
        </w:rPr>
      </w:pPr>
      <w:r w:rsidRPr="007A2CB0">
        <w:rPr>
          <w:rFonts w:ascii="Verdana" w:eastAsia="Calibri" w:hAnsi="Verdana" w:cs="Arial"/>
          <w:bCs/>
          <w:lang w:val="es-ES_tradnl"/>
        </w:rPr>
        <w:t xml:space="preserve">Así mismo, en la Guía se indica que como parte de la estructura del estudio del sector se debe realizar un análisis del comportamiento del gasto histórico, el estudio de la oferta y el estudio del mercado. En </w:t>
      </w:r>
      <w:r w:rsidRPr="007A2CB0">
        <w:rPr>
          <w:rFonts w:ascii="Verdana" w:eastAsia="Calibri" w:hAnsi="Verdana" w:cs="Arial"/>
          <w:bCs/>
          <w:lang w:val="es-ES"/>
        </w:rPr>
        <w:t xml:space="preserve">el marco del comportamiento del gasto histórico se recomienda que la entidad analice el comportamiento de sus adquisiciones anteriores del bien, obra o servicio teniendo en cuenta distintas variables como la modalidad de selección, el objeto del contrato, el presupuesto, entre otros. También es importante que se analice la forma en la cual otras entidades o particulares han adquirido bienes y servicios iguales o comparables similares mediante plataformas de información como datos abiertos o las herramientas de visualización </w:t>
      </w:r>
      <w:r w:rsidRPr="007A2CB0">
        <w:rPr>
          <w:rFonts w:ascii="Verdana" w:eastAsia="Arial MT" w:hAnsi="Verdana" w:cs="Arial"/>
          <w:lang w:val="es-ES"/>
        </w:rPr>
        <w:t>desarrolladas por esta Agencia en el marco del modelo de abastecimiento estratégico</w:t>
      </w:r>
      <w:r w:rsidRPr="007A2CB0">
        <w:rPr>
          <w:rStyle w:val="Refdenotaalpie"/>
          <w:rFonts w:ascii="Verdana" w:eastAsia="Arial MT" w:hAnsi="Verdana" w:cs="Arial"/>
          <w:lang w:val="es-ES"/>
        </w:rPr>
        <w:footnoteReference w:id="6"/>
      </w:r>
      <w:r w:rsidRPr="007A2CB0">
        <w:rPr>
          <w:rFonts w:ascii="Verdana" w:eastAsia="Arial MT" w:hAnsi="Verdana" w:cs="Arial"/>
          <w:lang w:val="es-ES"/>
        </w:rPr>
        <w:t xml:space="preserve">. </w:t>
      </w:r>
    </w:p>
    <w:p w14:paraId="2856E246" w14:textId="77777777" w:rsidR="005032E9" w:rsidRDefault="007A2CB0" w:rsidP="00282F1D">
      <w:pPr>
        <w:spacing w:after="120" w:line="276" w:lineRule="auto"/>
        <w:ind w:firstLine="709"/>
        <w:jc w:val="both"/>
        <w:rPr>
          <w:rFonts w:ascii="Verdana" w:eastAsia="Calibri" w:hAnsi="Verdana" w:cs="Arial"/>
          <w:color w:val="000000" w:themeColor="text1"/>
          <w:lang w:val="es-ES"/>
        </w:rPr>
      </w:pPr>
      <w:r w:rsidRPr="007A2CB0">
        <w:rPr>
          <w:rFonts w:ascii="Verdana" w:eastAsia="Calibri" w:hAnsi="Verdana" w:cs="Arial"/>
          <w:color w:val="000000" w:themeColor="text1"/>
          <w:lang w:val="es-ES"/>
        </w:rPr>
        <w:lastRenderedPageBreak/>
        <w:t xml:space="preserve">Por su parte, según la Guía, el </w:t>
      </w:r>
      <w:r w:rsidRPr="007A2CB0">
        <w:rPr>
          <w:rFonts w:ascii="Verdana" w:eastAsia="Calibri" w:hAnsi="Verdana" w:cs="Arial"/>
          <w:i/>
          <w:iCs/>
          <w:color w:val="000000" w:themeColor="text1"/>
          <w:lang w:val="es-ES"/>
        </w:rPr>
        <w:t>estudio de la oferta</w:t>
      </w:r>
      <w:r w:rsidRPr="007A2CB0">
        <w:rPr>
          <w:rFonts w:ascii="Verdana" w:eastAsia="Calibri" w:hAnsi="Verdana" w:cs="Arial"/>
          <w:color w:val="000000" w:themeColor="text1"/>
          <w:lang w:val="es-ES"/>
        </w:rPr>
        <w:t xml:space="preserve"> tiene como objetivo </w:t>
      </w:r>
      <w:r w:rsidRPr="007A2CB0">
        <w:rPr>
          <w:rFonts w:ascii="Verdana" w:eastAsia="Calibri" w:hAnsi="Verdana" w:cs="Arial"/>
          <w:color w:val="000000" w:themeColor="text1"/>
        </w:rPr>
        <w:t>identificar las opciones de suministro para las categorías de compra definidas, y los posibles proveedores que pueden suministrar los bienes, obras o servicios que requiere para satisfacer su necesidad</w:t>
      </w:r>
      <w:r w:rsidRPr="007A2CB0">
        <w:rPr>
          <w:rFonts w:ascii="Verdana" w:eastAsia="Calibri" w:hAnsi="Verdana" w:cs="Arial"/>
          <w:color w:val="000000" w:themeColor="text1"/>
          <w:lang w:val="es-ES"/>
        </w:rPr>
        <w:t xml:space="preserve">. En esta actividad las entidades estatales deben realizar un estudio de la oferta, que responda, entre otras, las siguientes preguntas: i) </w:t>
      </w:r>
      <w:r w:rsidR="008711AE">
        <w:rPr>
          <w:rFonts w:ascii="Verdana" w:eastAsia="Calibri" w:hAnsi="Verdana" w:cs="Arial"/>
          <w:color w:val="000000" w:themeColor="text1"/>
          <w:lang w:val="es-ES"/>
        </w:rPr>
        <w:t>“</w:t>
      </w:r>
      <w:r w:rsidRPr="007A2CB0">
        <w:rPr>
          <w:rFonts w:ascii="Verdana" w:eastAsia="Calibri" w:hAnsi="Verdana" w:cs="Arial"/>
          <w:color w:val="000000" w:themeColor="text1"/>
          <w:lang w:val="es-ES"/>
        </w:rPr>
        <w:t>¿Cuál es la dinámica de producción, distribución y entrega de bienes, obras o servicios?</w:t>
      </w:r>
      <w:r w:rsidR="008711AE">
        <w:rPr>
          <w:rFonts w:ascii="Verdana" w:eastAsia="Calibri" w:hAnsi="Verdana" w:cs="Arial"/>
          <w:color w:val="000000" w:themeColor="text1"/>
          <w:lang w:val="es-ES"/>
        </w:rPr>
        <w:t>”</w:t>
      </w:r>
      <w:r w:rsidRPr="007A2CB0">
        <w:rPr>
          <w:rFonts w:ascii="Verdana" w:eastAsia="Calibri" w:hAnsi="Verdana" w:cs="Arial"/>
          <w:color w:val="000000" w:themeColor="text1"/>
          <w:lang w:val="es-ES"/>
        </w:rPr>
        <w:t xml:space="preserve"> –teniendo en cuenta elementos como la producción, la distribución, transporte etc.– y </w:t>
      </w:r>
      <w:proofErr w:type="spellStart"/>
      <w:r w:rsidRPr="007A2CB0">
        <w:rPr>
          <w:rFonts w:ascii="Verdana" w:eastAsia="Calibri" w:hAnsi="Verdana" w:cs="Arial"/>
          <w:color w:val="000000" w:themeColor="text1"/>
          <w:lang w:val="es-ES"/>
        </w:rPr>
        <w:t>ii</w:t>
      </w:r>
      <w:proofErr w:type="spellEnd"/>
      <w:r w:rsidRPr="007A2CB0">
        <w:rPr>
          <w:rFonts w:ascii="Verdana" w:eastAsia="Calibri" w:hAnsi="Verdana" w:cs="Arial"/>
          <w:color w:val="000000" w:themeColor="text1"/>
          <w:lang w:val="es-ES"/>
        </w:rPr>
        <w:t xml:space="preserve">) </w:t>
      </w:r>
      <w:r w:rsidR="008711AE">
        <w:rPr>
          <w:rFonts w:ascii="Verdana" w:eastAsia="Calibri" w:hAnsi="Verdana" w:cs="Arial"/>
          <w:color w:val="000000" w:themeColor="text1"/>
          <w:lang w:val="es-ES"/>
        </w:rPr>
        <w:t>“</w:t>
      </w:r>
      <w:r w:rsidRPr="007A2CB0">
        <w:rPr>
          <w:rFonts w:ascii="Verdana" w:eastAsia="Calibri" w:hAnsi="Verdana" w:cs="Arial"/>
          <w:color w:val="000000" w:themeColor="text1"/>
          <w:lang w:val="es-ES"/>
        </w:rPr>
        <w:t>¿A quién se va a comprar?</w:t>
      </w:r>
      <w:r w:rsidR="008711AE">
        <w:rPr>
          <w:rFonts w:ascii="Verdana" w:eastAsia="Calibri" w:hAnsi="Verdana" w:cs="Arial"/>
          <w:color w:val="000000" w:themeColor="text1"/>
          <w:lang w:val="es-ES"/>
        </w:rPr>
        <w:t>”</w:t>
      </w:r>
      <w:r w:rsidRPr="007A2CB0">
        <w:rPr>
          <w:rFonts w:ascii="Verdana" w:eastAsia="Calibri" w:hAnsi="Verdana" w:cs="Arial"/>
          <w:color w:val="000000" w:themeColor="text1"/>
          <w:lang w:val="es-ES"/>
        </w:rPr>
        <w:t xml:space="preserve">. En relación con la primera pregunta, la Guía señala que </w:t>
      </w:r>
      <w:r w:rsidR="008711AE">
        <w:rPr>
          <w:rFonts w:ascii="Verdana" w:eastAsia="Calibri" w:hAnsi="Verdana" w:cs="Arial"/>
          <w:color w:val="000000" w:themeColor="text1"/>
          <w:lang w:val="es-ES"/>
        </w:rPr>
        <w:t>“</w:t>
      </w:r>
      <w:r w:rsidRPr="007A2CB0">
        <w:rPr>
          <w:rFonts w:ascii="Verdana" w:eastAsia="Calibri" w:hAnsi="Verdana" w:cs="Arial"/>
          <w:color w:val="000000" w:themeColor="text1"/>
          <w:lang w:val="es-ES"/>
        </w:rPr>
        <w:t>para la Entidad Estatal es importante conocer, entre otras, el proceso de producción, distribución y entrega de los bienes o servicios que pretende adquirir, así como los costos asociados a tales procesos, cuáles son las formas de distribución y entrega de los bienes o suministros del servicio, y demás criterios que apliquen</w:t>
      </w:r>
      <w:r w:rsidR="008711AE">
        <w:rPr>
          <w:rFonts w:ascii="Verdana" w:eastAsia="Calibri" w:hAnsi="Verdana" w:cs="Arial"/>
          <w:color w:val="000000" w:themeColor="text1"/>
          <w:lang w:val="es-ES"/>
        </w:rPr>
        <w:t>”</w:t>
      </w:r>
      <w:r w:rsidRPr="007A2CB0">
        <w:rPr>
          <w:rFonts w:ascii="Verdana" w:eastAsia="Calibri" w:hAnsi="Verdana" w:cs="Arial"/>
          <w:color w:val="000000" w:themeColor="text1"/>
          <w:lang w:val="es-ES"/>
        </w:rPr>
        <w:t xml:space="preserve">. </w:t>
      </w:r>
    </w:p>
    <w:p w14:paraId="63BBE354" w14:textId="59979C60" w:rsidR="00282F1D" w:rsidRDefault="007A2CB0" w:rsidP="00282F1D">
      <w:pPr>
        <w:spacing w:after="120" w:line="276" w:lineRule="auto"/>
        <w:ind w:firstLine="709"/>
        <w:jc w:val="both"/>
        <w:rPr>
          <w:rFonts w:ascii="Verdana" w:eastAsia="Calibri" w:hAnsi="Verdana" w:cs="Arial"/>
          <w:color w:val="000000" w:themeColor="text1"/>
          <w:lang w:val="es-ES"/>
        </w:rPr>
      </w:pPr>
      <w:r w:rsidRPr="007A2CB0">
        <w:rPr>
          <w:rFonts w:ascii="Verdana" w:eastAsia="Calibri" w:hAnsi="Verdana" w:cs="Arial"/>
          <w:color w:val="000000" w:themeColor="text1"/>
          <w:lang w:val="es-ES"/>
        </w:rPr>
        <w:t>Para estos efectos, se recomienda a la entidad diseñar e implementar escenarios y procedimientos de consulta de información abiertos e incluyentes con el mercado, en los cuales se defina qué información, cuándo, por qué medio y a quienes se solicitará.</w:t>
      </w:r>
      <w:bookmarkStart w:id="8" w:name="_Hlk78204338"/>
      <w:r w:rsidRPr="007A2CB0">
        <w:rPr>
          <w:rFonts w:ascii="Verdana" w:eastAsia="Calibri" w:hAnsi="Verdana" w:cs="Arial"/>
          <w:color w:val="000000" w:themeColor="text1"/>
          <w:lang w:val="es-ES"/>
        </w:rPr>
        <w:t xml:space="preserve"> </w:t>
      </w:r>
      <w:r w:rsidR="006B425B">
        <w:rPr>
          <w:rFonts w:ascii="Verdana" w:eastAsia="Calibri" w:hAnsi="Verdana" w:cs="Arial"/>
          <w:color w:val="000000" w:themeColor="text1"/>
          <w:lang w:val="es-ES"/>
        </w:rPr>
        <w:t>L</w:t>
      </w:r>
      <w:r w:rsidRPr="007A2CB0">
        <w:rPr>
          <w:rFonts w:ascii="Verdana" w:eastAsia="Calibri" w:hAnsi="Verdana" w:cs="Arial"/>
          <w:color w:val="000000" w:themeColor="text1"/>
          <w:lang w:val="es-ES"/>
        </w:rPr>
        <w:t>a Guía</w:t>
      </w:r>
      <w:r w:rsidRPr="007A2CB0">
        <w:rPr>
          <w:rFonts w:ascii="Verdana" w:eastAsia="Calibri" w:hAnsi="Verdana" w:cs="Arial"/>
          <w:color w:val="000000" w:themeColor="text1"/>
        </w:rPr>
        <w:t xml:space="preserve"> indica que </w:t>
      </w:r>
      <w:r w:rsidR="006B425B">
        <w:rPr>
          <w:rFonts w:ascii="Verdana" w:eastAsia="Calibri" w:hAnsi="Verdana" w:cs="Arial"/>
          <w:color w:val="000000" w:themeColor="text1"/>
          <w:lang w:val="es-ES"/>
        </w:rPr>
        <w:t>“</w:t>
      </w:r>
      <w:r w:rsidRPr="007A2CB0">
        <w:rPr>
          <w:rFonts w:ascii="Verdana" w:eastAsia="Calibri" w:hAnsi="Verdana" w:cs="Arial"/>
          <w:color w:val="000000" w:themeColor="text1"/>
          <w:lang w:val="es-ES"/>
        </w:rPr>
        <w:t>la Entidad Estatal debe identificar los proveedores en el mercado del bien o servicio, así como sus principales características como tamaño empresarial, ubicación, esquemas de producción y comportamiento financiero</w:t>
      </w:r>
      <w:r w:rsidR="006B425B">
        <w:rPr>
          <w:rFonts w:ascii="Verdana" w:eastAsia="Calibri" w:hAnsi="Verdana" w:cs="Arial"/>
          <w:color w:val="000000" w:themeColor="text1"/>
          <w:lang w:val="es-ES"/>
        </w:rPr>
        <w:t>”</w:t>
      </w:r>
      <w:r w:rsidRPr="007A2CB0">
        <w:rPr>
          <w:rFonts w:ascii="Verdana" w:eastAsia="Calibri" w:hAnsi="Verdana" w:cs="Arial"/>
          <w:color w:val="000000" w:themeColor="text1"/>
        </w:rPr>
        <w:t>.</w:t>
      </w:r>
      <w:bookmarkEnd w:id="8"/>
      <w:r w:rsidRPr="007A2CB0">
        <w:rPr>
          <w:rFonts w:ascii="Verdana" w:eastAsia="Calibri" w:hAnsi="Verdana" w:cs="Arial"/>
          <w:color w:val="000000" w:themeColor="text1"/>
        </w:rPr>
        <w:t xml:space="preserve"> Para la identificación de los proveedores se propone analizar el listado de los proveedores que participaron en los procesos de contratación iguales o similares que haya realizado la entidad y los que hayan realizado otras entidades con objetos comparables.</w:t>
      </w:r>
    </w:p>
    <w:p w14:paraId="77249083" w14:textId="52B04664" w:rsidR="00282F1D" w:rsidRPr="00282F1D" w:rsidRDefault="007A2CB0" w:rsidP="00282F1D">
      <w:pPr>
        <w:spacing w:after="120" w:line="276" w:lineRule="auto"/>
        <w:ind w:firstLine="709"/>
        <w:jc w:val="both"/>
        <w:rPr>
          <w:rFonts w:ascii="Verdana" w:eastAsia="Calibri" w:hAnsi="Verdana" w:cs="Arial"/>
          <w:color w:val="000000" w:themeColor="text1"/>
          <w:lang w:val="es-ES"/>
        </w:rPr>
      </w:pPr>
      <w:r w:rsidRPr="00282F1D">
        <w:rPr>
          <w:rFonts w:ascii="Verdana" w:eastAsia="Calibri" w:hAnsi="Verdana" w:cs="Arial"/>
          <w:color w:val="000000" w:themeColor="text1"/>
          <w:lang w:val="es-ES"/>
        </w:rPr>
        <w:t>Por último, el estudio del mercado permite comprender la dinámica de los precios y establecer el presupuesto oficial de la contratación</w:t>
      </w:r>
      <w:r w:rsidR="00282F1D" w:rsidRPr="00282F1D">
        <w:rPr>
          <w:rFonts w:ascii="Verdana" w:eastAsia="Calibri" w:hAnsi="Verdana" w:cs="Arial"/>
          <w:color w:val="000000" w:themeColor="text1"/>
          <w:lang w:val="es-ES"/>
        </w:rPr>
        <w:t xml:space="preserve">. </w:t>
      </w:r>
      <w:r w:rsidRPr="00282F1D">
        <w:rPr>
          <w:rFonts w:ascii="Verdana" w:eastAsia="Calibri" w:hAnsi="Verdana" w:cs="Arial"/>
          <w:color w:val="000000" w:themeColor="text1"/>
          <w:lang w:val="es-ES"/>
        </w:rPr>
        <w:t xml:space="preserve"> </w:t>
      </w:r>
      <w:r w:rsidR="00282F1D" w:rsidRPr="00282F1D">
        <w:rPr>
          <w:rFonts w:ascii="Verdana" w:eastAsia="Calibri" w:hAnsi="Verdana" w:cs="Arial"/>
          <w:lang w:val="es-ES"/>
        </w:rPr>
        <w:t xml:space="preserve">De esta forma, se tiene que, la Guía de Elaboración de Estudios del Sector en el numeral 1.3.4, propone a las Entidades Estatales los siguientes mecanismos para elaborar el estudio de precios de mercado: </w:t>
      </w:r>
    </w:p>
    <w:p w14:paraId="50C8F025" w14:textId="3CD6F008" w:rsidR="00282F1D" w:rsidRPr="00282F1D" w:rsidRDefault="00282F1D" w:rsidP="00F4021A">
      <w:pPr>
        <w:spacing w:after="0" w:line="240" w:lineRule="auto"/>
        <w:ind w:left="720"/>
        <w:contextualSpacing/>
        <w:rPr>
          <w:rFonts w:ascii="Verdana" w:eastAsia="Calibri" w:hAnsi="Verdana" w:cs="Arial"/>
          <w:lang w:val="es-ES"/>
        </w:rPr>
      </w:pPr>
    </w:p>
    <w:p w14:paraId="693A3F8C" w14:textId="77777777" w:rsidR="00FF0E9E" w:rsidRDefault="00282F1D" w:rsidP="00FF0E9E">
      <w:pPr>
        <w:pStyle w:val="Prrafodelista"/>
        <w:numPr>
          <w:ilvl w:val="0"/>
          <w:numId w:val="16"/>
        </w:numPr>
        <w:ind w:right="616"/>
        <w:jc w:val="both"/>
        <w:rPr>
          <w:rFonts w:ascii="Verdana" w:eastAsia="Calibri" w:hAnsi="Verdana" w:cs="Arial"/>
          <w:sz w:val="20"/>
          <w:szCs w:val="20"/>
          <w:lang w:val="es-ES"/>
        </w:rPr>
      </w:pPr>
      <w:bookmarkStart w:id="9" w:name="_Hlk176860475"/>
      <w:r w:rsidRPr="00FF0E9E">
        <w:rPr>
          <w:rFonts w:ascii="Verdana" w:eastAsia="Calibri" w:hAnsi="Verdana" w:cs="Arial"/>
          <w:sz w:val="20"/>
          <w:szCs w:val="20"/>
          <w:lang w:val="es-ES"/>
        </w:rPr>
        <w:t>Revisión de precios por solicitud de cotizaciones</w:t>
      </w:r>
      <w:bookmarkEnd w:id="9"/>
      <w:r w:rsidRPr="00FF0E9E">
        <w:rPr>
          <w:rFonts w:ascii="Verdana" w:eastAsia="Calibri" w:hAnsi="Verdana" w:cs="Arial"/>
          <w:sz w:val="20"/>
          <w:szCs w:val="20"/>
          <w:lang w:val="es-ES"/>
        </w:rPr>
        <w:t xml:space="preserve">: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 </w:t>
      </w:r>
      <w:proofErr w:type="gramStart"/>
      <w:r w:rsidRPr="00FF0E9E">
        <w:rPr>
          <w:rFonts w:ascii="Verdana" w:eastAsia="Calibri" w:hAnsi="Verdana" w:cs="Arial"/>
          <w:sz w:val="20"/>
          <w:szCs w:val="20"/>
          <w:lang w:val="es-ES"/>
        </w:rPr>
        <w:t>como</w:t>
      </w:r>
      <w:proofErr w:type="gramEnd"/>
      <w:r w:rsidRPr="00FF0E9E">
        <w:rPr>
          <w:rFonts w:ascii="Verdana" w:eastAsia="Calibri" w:hAnsi="Verdana" w:cs="Arial"/>
          <w:sz w:val="20"/>
          <w:szCs w:val="20"/>
          <w:lang w:val="es-ES"/>
        </w:rPr>
        <w:t xml:space="preserve"> por ejemplo, especificaciones técnicas del bien o servicio </w:t>
      </w:r>
      <w:r w:rsidRPr="00FF0E9E">
        <w:rPr>
          <w:rFonts w:ascii="Verdana" w:eastAsia="Calibri" w:hAnsi="Verdana" w:cs="Arial"/>
          <w:sz w:val="20"/>
          <w:szCs w:val="20"/>
          <w:lang w:val="es-ES"/>
        </w:rPr>
        <w:lastRenderedPageBreak/>
        <w:t>a contratar, plazo del contrato, así como toda aquella información relevante que incida en el precio del bien o servicio.</w:t>
      </w:r>
    </w:p>
    <w:p w14:paraId="60D17B0D" w14:textId="77777777" w:rsidR="00F4021A" w:rsidRDefault="00F4021A" w:rsidP="00F4021A">
      <w:pPr>
        <w:pStyle w:val="Prrafodelista"/>
        <w:ind w:left="1069" w:right="616"/>
        <w:jc w:val="both"/>
        <w:rPr>
          <w:rFonts w:ascii="Verdana" w:eastAsia="Calibri" w:hAnsi="Verdana" w:cs="Arial"/>
          <w:sz w:val="20"/>
          <w:szCs w:val="20"/>
          <w:lang w:val="es-ES"/>
        </w:rPr>
      </w:pPr>
    </w:p>
    <w:p w14:paraId="632ABD1A" w14:textId="77777777" w:rsidR="00FF0E9E" w:rsidRDefault="00282F1D" w:rsidP="00FF0E9E">
      <w:pPr>
        <w:pStyle w:val="Prrafodelista"/>
        <w:numPr>
          <w:ilvl w:val="0"/>
          <w:numId w:val="16"/>
        </w:numPr>
        <w:ind w:right="616"/>
        <w:jc w:val="both"/>
        <w:rPr>
          <w:rFonts w:ascii="Verdana" w:eastAsia="Calibri" w:hAnsi="Verdana" w:cs="Arial"/>
          <w:sz w:val="20"/>
          <w:szCs w:val="20"/>
          <w:lang w:val="es-ES"/>
        </w:rPr>
      </w:pPr>
      <w:r w:rsidRPr="00FF0E9E">
        <w:rPr>
          <w:rFonts w:ascii="Verdana" w:eastAsia="Calibri" w:hAnsi="Verdana" w:cs="Arial"/>
          <w:sz w:val="20"/>
          <w:szCs w:val="20"/>
          <w:lang w:val="es-ES"/>
        </w:rPr>
        <w:t>Al recibir las cotizaciones, debe verificarse la ocurrencia de circunstancias que eventualmente pueden distorsionar los precios del mercado, como ofertas especiales de almacenes de cadena, fenómenos de escasez o abundancia del producto, entre otros aspectos.</w:t>
      </w:r>
    </w:p>
    <w:p w14:paraId="2ACB24CD" w14:textId="77777777" w:rsidR="00F4021A" w:rsidRDefault="00F4021A" w:rsidP="00F4021A">
      <w:pPr>
        <w:pStyle w:val="Prrafodelista"/>
        <w:ind w:left="1069" w:right="616"/>
        <w:jc w:val="both"/>
        <w:rPr>
          <w:rFonts w:ascii="Verdana" w:eastAsia="Calibri" w:hAnsi="Verdana" w:cs="Arial"/>
          <w:sz w:val="20"/>
          <w:szCs w:val="20"/>
          <w:lang w:val="es-ES"/>
        </w:rPr>
      </w:pPr>
    </w:p>
    <w:p w14:paraId="63A834A0" w14:textId="77777777" w:rsidR="00FF0E9E" w:rsidRDefault="00282F1D" w:rsidP="00FF0E9E">
      <w:pPr>
        <w:pStyle w:val="Prrafodelista"/>
        <w:numPr>
          <w:ilvl w:val="0"/>
          <w:numId w:val="16"/>
        </w:numPr>
        <w:ind w:right="616"/>
        <w:jc w:val="both"/>
        <w:rPr>
          <w:rFonts w:ascii="Verdana" w:eastAsia="Calibri" w:hAnsi="Verdana" w:cs="Arial"/>
          <w:sz w:val="20"/>
          <w:szCs w:val="20"/>
          <w:lang w:val="es-ES"/>
        </w:rPr>
      </w:pPr>
      <w:r w:rsidRPr="00FF0E9E">
        <w:rPr>
          <w:rFonts w:ascii="Verdana" w:eastAsia="Calibri" w:hAnsi="Verdana" w:cs="Arial"/>
          <w:sz w:val="20"/>
          <w:szCs w:val="20"/>
          <w:lang w:val="es-ES"/>
        </w:rPr>
        <w:t>Revisión de bases de datos especializadas: se adelanta cuando por las condiciones del mercado del bien o servicio a contratar se requiera, y el responsable deberá dejar constancia de las consultas realizadas y de los precios que soportan su estudio. Las bases de datos consultadas deben ser especializadas y representativas en el mercado del bien o servicio a contratar.</w:t>
      </w:r>
    </w:p>
    <w:p w14:paraId="4F7A4ED7" w14:textId="77777777" w:rsidR="00F4021A" w:rsidRDefault="00F4021A" w:rsidP="00F4021A">
      <w:pPr>
        <w:pStyle w:val="Prrafodelista"/>
        <w:ind w:left="1069" w:right="616"/>
        <w:jc w:val="both"/>
        <w:rPr>
          <w:rFonts w:ascii="Verdana" w:eastAsia="Calibri" w:hAnsi="Verdana" w:cs="Arial"/>
          <w:sz w:val="20"/>
          <w:szCs w:val="20"/>
          <w:lang w:val="es-ES"/>
        </w:rPr>
      </w:pPr>
    </w:p>
    <w:p w14:paraId="555AD52D" w14:textId="6C2F0A3A" w:rsidR="00282F1D" w:rsidRPr="00FF0E9E" w:rsidRDefault="00282F1D" w:rsidP="00FF0E9E">
      <w:pPr>
        <w:pStyle w:val="Prrafodelista"/>
        <w:numPr>
          <w:ilvl w:val="0"/>
          <w:numId w:val="16"/>
        </w:numPr>
        <w:ind w:right="616"/>
        <w:jc w:val="both"/>
        <w:rPr>
          <w:rFonts w:ascii="Verdana" w:eastAsia="Calibri" w:hAnsi="Verdana" w:cs="Arial"/>
          <w:sz w:val="20"/>
          <w:szCs w:val="20"/>
          <w:lang w:val="es-ES"/>
        </w:rPr>
      </w:pPr>
      <w:r w:rsidRPr="00FF0E9E">
        <w:rPr>
          <w:rFonts w:ascii="Verdana" w:eastAsia="Calibri" w:hAnsi="Verdana" w:cs="Arial"/>
          <w:sz w:val="20"/>
          <w:szCs w:val="20"/>
          <w:lang w:val="es-ES"/>
        </w:rPr>
        <w:t>Revisión de precios históricos: para emplear el mecanismo se sugiere verificar la variación de los precios históricos derivados del índice de precios al consumidor en cada año, examinando si se han presentado fenómenos económicos que hayan implicado fluctuaciones importantes en el comercio del bien o servicio. Las características del bien o servicio deben ser las mismas entre una contratación y otra.</w:t>
      </w:r>
    </w:p>
    <w:p w14:paraId="054ED7D8" w14:textId="18B0F97D" w:rsidR="006B425B" w:rsidRDefault="006B425B" w:rsidP="00282F1D">
      <w:pPr>
        <w:spacing w:after="120" w:line="276" w:lineRule="auto"/>
        <w:ind w:firstLine="709"/>
        <w:jc w:val="both"/>
        <w:rPr>
          <w:rFonts w:ascii="Verdana" w:eastAsia="Calibri" w:hAnsi="Verdana" w:cs="Arial"/>
          <w:color w:val="000000" w:themeColor="text1"/>
          <w:lang w:val="es-ES"/>
        </w:rPr>
      </w:pPr>
    </w:p>
    <w:p w14:paraId="1F7D2D11" w14:textId="77777777" w:rsidR="00CF5BF1" w:rsidRPr="00CF5BF1" w:rsidRDefault="00CF5BF1" w:rsidP="00CF5BF1">
      <w:pPr>
        <w:spacing w:after="120" w:line="276" w:lineRule="auto"/>
        <w:ind w:firstLine="709"/>
        <w:jc w:val="both"/>
        <w:rPr>
          <w:rFonts w:ascii="Verdana" w:eastAsia="Calibri" w:hAnsi="Verdana" w:cs="Arial"/>
          <w:color w:val="000000" w:themeColor="text1"/>
          <w:lang w:val="es-ES"/>
        </w:rPr>
      </w:pPr>
      <w:bookmarkStart w:id="10" w:name="_Hlk139466471"/>
      <w:r w:rsidRPr="00CF5BF1">
        <w:rPr>
          <w:rFonts w:ascii="Verdana" w:eastAsia="Calibri" w:hAnsi="Verdana" w:cs="Arial"/>
          <w:color w:val="000000" w:themeColor="text1"/>
          <w:lang w:val="es-ES"/>
        </w:rPr>
        <w:t xml:space="preserve">Como se observa, la Guía de Elaboración de Estudios del Sector recomienda como mecanismo para la elaboración de </w:t>
      </w:r>
      <w:r w:rsidRPr="00CF5BF1">
        <w:rPr>
          <w:rFonts w:ascii="Verdana" w:eastAsia="Calibri" w:hAnsi="Verdana" w:cs="Arial"/>
          <w:i/>
          <w:iCs/>
          <w:color w:val="000000" w:themeColor="text1"/>
          <w:lang w:val="es-ES"/>
        </w:rPr>
        <w:t>estudios del mercado</w:t>
      </w:r>
      <w:r w:rsidRPr="00CF5BF1">
        <w:rPr>
          <w:rFonts w:ascii="Verdana" w:eastAsia="Calibri" w:hAnsi="Verdana" w:cs="Arial"/>
          <w:color w:val="000000" w:themeColor="text1"/>
          <w:lang w:val="es-ES"/>
        </w:rPr>
        <w:t>, que sirvan para entender la dinámica de los precios y establecer el presupuesto oficial de la contratación, requerir a los potenciales proveedores a fin de que remitan la información necesaria para determinar diversos aspectos de los bienes o servicios a contratar, entre ellos su valor, especificaciones técnicas, el plazo, entre otra información relevante. En principio, que un potencial proveedor participe en estos estudios del mercado, remitiendo cotizaciones por citar un ejemplo, no implica que en el futuro no pueda participar del Proceso de Contratación que se adelante.</w:t>
      </w:r>
      <w:bookmarkEnd w:id="10"/>
    </w:p>
    <w:p w14:paraId="1231682A" w14:textId="677AEE31" w:rsidR="007A2CB0" w:rsidRPr="007A2CB0" w:rsidRDefault="007A2CB0" w:rsidP="007A2CB0">
      <w:pPr>
        <w:spacing w:after="120" w:line="276" w:lineRule="auto"/>
        <w:ind w:firstLine="709"/>
        <w:jc w:val="both"/>
        <w:rPr>
          <w:rFonts w:ascii="Verdana" w:eastAsia="Calibri" w:hAnsi="Verdana" w:cs="Arial"/>
          <w:bCs/>
          <w:lang w:val="es-ES_tradnl"/>
        </w:rPr>
      </w:pPr>
      <w:r w:rsidRPr="007A2CB0">
        <w:rPr>
          <w:rFonts w:ascii="Verdana" w:eastAsia="Calibri" w:hAnsi="Verdana" w:cs="Arial"/>
          <w:color w:val="000000" w:themeColor="text1"/>
          <w:lang w:val="es-ES"/>
        </w:rPr>
        <w:t xml:space="preserve">Al respecto, es pertinente precisar que los mecanismos señalados para realizar el estudio del mercado no están determinados por la ley o el reglamento, por lo que no existen lineamientos obligatorios para su estructuración. De esta manera, </w:t>
      </w:r>
      <w:r w:rsidRPr="007A2CB0">
        <w:rPr>
          <w:rFonts w:ascii="Verdana" w:eastAsia="Calibri" w:hAnsi="Verdana" w:cs="Arial"/>
          <w:bCs/>
          <w:lang w:val="es-ES_tradnl"/>
        </w:rPr>
        <w:t xml:space="preserve">las entidades </w:t>
      </w:r>
      <w:r w:rsidRPr="007A2CB0">
        <w:rPr>
          <w:rFonts w:ascii="Verdana" w:hAnsi="Verdana" w:cs="Arial"/>
          <w:lang w:eastAsia="es-CO"/>
        </w:rPr>
        <w:t>son autónomas para establecer la forma en la cual se recopilará la información que sustente el análisis del sector, así como lo referente a la solicitud de cotizaciones</w:t>
      </w:r>
      <w:r w:rsidR="00B936F8" w:rsidRPr="00B936F8">
        <w:rPr>
          <w:rFonts w:ascii="Verdana" w:hAnsi="Verdana" w:cs="Arial"/>
          <w:lang w:eastAsia="es-CO"/>
        </w:rPr>
        <w:t xml:space="preserve"> </w:t>
      </w:r>
      <w:r w:rsidR="00B936F8">
        <w:rPr>
          <w:rFonts w:ascii="Verdana" w:hAnsi="Verdana" w:cs="Arial"/>
          <w:lang w:eastAsia="es-CO"/>
        </w:rPr>
        <w:t>o la aplicación de otros métodos para la estructuración del estudio de mercado</w:t>
      </w:r>
      <w:r w:rsidRPr="007A2CB0">
        <w:rPr>
          <w:rFonts w:ascii="Verdana" w:hAnsi="Verdana" w:cs="Arial"/>
          <w:lang w:eastAsia="es-CO"/>
        </w:rPr>
        <w:t xml:space="preserve">. Como se mencionó, la </w:t>
      </w:r>
      <w:r w:rsidR="000906E3">
        <w:rPr>
          <w:rFonts w:ascii="Verdana" w:eastAsia="Calibri" w:hAnsi="Verdana" w:cs="Arial"/>
          <w:bCs/>
          <w:lang w:val="es-ES_tradnl"/>
        </w:rPr>
        <w:t>“</w:t>
      </w:r>
      <w:r w:rsidRPr="007A2CB0">
        <w:rPr>
          <w:rFonts w:ascii="Verdana" w:eastAsia="Calibri" w:hAnsi="Verdana" w:cs="Arial"/>
          <w:bCs/>
          <w:lang w:val="es-ES_tradnl"/>
        </w:rPr>
        <w:t>Guía de Elaboración del Estudio del Sector</w:t>
      </w:r>
      <w:r w:rsidR="000906E3">
        <w:rPr>
          <w:rFonts w:ascii="Verdana" w:eastAsia="Calibri" w:hAnsi="Verdana" w:cs="Arial"/>
          <w:bCs/>
          <w:lang w:val="es-ES_tradnl"/>
        </w:rPr>
        <w:t>”</w:t>
      </w:r>
      <w:r w:rsidRPr="007A2CB0">
        <w:rPr>
          <w:rFonts w:ascii="Verdana" w:eastAsia="Calibri" w:hAnsi="Verdana" w:cs="Arial"/>
          <w:bCs/>
          <w:lang w:val="es-ES_tradnl"/>
        </w:rPr>
        <w:t xml:space="preserve"> desarrolla recomendaciones y buenas </w:t>
      </w:r>
      <w:r w:rsidRPr="007A2CB0">
        <w:rPr>
          <w:rFonts w:ascii="Verdana" w:eastAsia="Calibri" w:hAnsi="Verdana" w:cs="Arial"/>
          <w:bCs/>
          <w:lang w:val="es-ES_tradnl"/>
        </w:rPr>
        <w:lastRenderedPageBreak/>
        <w:t xml:space="preserve">prácticas que servirán a las entidades para entender el mercado del bien, obra o servicio que pretende adquirir, pero no es un instrumento vinculante para la entidad. </w:t>
      </w:r>
    </w:p>
    <w:p w14:paraId="0C75D859" w14:textId="77777777" w:rsidR="007A2CB0" w:rsidRPr="007A2CB0" w:rsidRDefault="007A2CB0" w:rsidP="007A2CB0">
      <w:pPr>
        <w:pStyle w:val="paragraph"/>
        <w:spacing w:before="0" w:beforeAutospacing="0" w:after="120" w:afterAutospacing="0" w:line="276" w:lineRule="auto"/>
        <w:ind w:firstLine="705"/>
        <w:jc w:val="both"/>
        <w:textAlignment w:val="baseline"/>
        <w:rPr>
          <w:rFonts w:ascii="Verdana" w:hAnsi="Verdana" w:cs="Segoe UI"/>
          <w:sz w:val="22"/>
          <w:szCs w:val="22"/>
        </w:rPr>
      </w:pPr>
      <w:r w:rsidRPr="007A2CB0">
        <w:rPr>
          <w:rStyle w:val="normaltextrun"/>
          <w:rFonts w:ascii="Verdana" w:hAnsi="Verdana" w:cs="Arial"/>
          <w:sz w:val="22"/>
          <w:szCs w:val="22"/>
          <w:lang w:val="es-ES"/>
        </w:rPr>
        <w:t>El Consejo de Estado, se pronunció sobre la relación existente entre el estudio del sector y la estimación del valor del contrato, indicando que se deben tener en cuenta las diferentes variables del mercado como los costos de la cadena de producción. Pero, con independencia de esto, la entidad debe obtener el menor precio o uno razonable. En todo caso, el valor debe estar justificado para que no corresponda a sobrecostos ni a precios artificialmente bajos, y que con ello la entidad pague un valor adecuado. Esto se logra con el estudio del mercado y sus costos, el cual debe estar a disposición de los participantes del procedimiento contractual</w:t>
      </w:r>
      <w:r w:rsidRPr="007A2CB0">
        <w:rPr>
          <w:rStyle w:val="Refdenotaalpie"/>
          <w:rFonts w:ascii="Verdana" w:hAnsi="Verdana" w:cs="Arial"/>
          <w:sz w:val="22"/>
          <w:szCs w:val="22"/>
          <w:lang w:val="es-ES"/>
        </w:rPr>
        <w:footnoteReference w:id="7"/>
      </w:r>
      <w:r w:rsidRPr="007A2CB0">
        <w:rPr>
          <w:rStyle w:val="normaltextrun"/>
          <w:rFonts w:ascii="Verdana" w:hAnsi="Verdana" w:cs="Arial"/>
          <w:sz w:val="22"/>
          <w:szCs w:val="22"/>
          <w:lang w:val="es-ES"/>
        </w:rPr>
        <w:t>.</w:t>
      </w:r>
    </w:p>
    <w:p w14:paraId="25AF6FE9" w14:textId="77777777" w:rsidR="00947222" w:rsidRDefault="007A2CB0" w:rsidP="00947222">
      <w:pPr>
        <w:spacing w:after="120" w:line="276" w:lineRule="auto"/>
        <w:ind w:firstLine="708"/>
        <w:jc w:val="both"/>
        <w:rPr>
          <w:rFonts w:ascii="Verdana" w:hAnsi="Verdana" w:cs="Arial"/>
          <w:lang w:val="es-MX"/>
        </w:rPr>
      </w:pPr>
      <w:bookmarkStart w:id="11" w:name="_Hlk91231640"/>
      <w:r w:rsidRPr="007A2CB0">
        <w:rPr>
          <w:rFonts w:ascii="Verdana" w:hAnsi="Verdana" w:cs="Arial"/>
        </w:rPr>
        <w:t xml:space="preserve">En conclusión, el análisis del sector debe ser visto desde una perspectiva funcional, como una labor enfocada a situar la adquisición de bienes y servicios por parte de entidades estatales dentro de las condiciones del mercado o del sector en el que serán adquiridos, el cual constituye una manifestación de los principios de planeación y economía. Dicha labor debe evidenciarse de manera palpable en los </w:t>
      </w:r>
      <w:r w:rsidRPr="007A2CB0">
        <w:rPr>
          <w:rFonts w:ascii="Verdana" w:hAnsi="Verdana" w:cs="Arial"/>
          <w:i/>
          <w:iCs/>
        </w:rPr>
        <w:t>Documentos del Proceso</w:t>
      </w:r>
      <w:r w:rsidRPr="007A2CB0">
        <w:rPr>
          <w:rFonts w:ascii="Verdana" w:hAnsi="Verdana" w:cs="Arial"/>
        </w:rPr>
        <w:t xml:space="preserve">, ya sea dentro de los estudios previos, como documento autónomo o dentro de alguno de los soportes del proceso de contratación, abarcando los campos legal, comercial, financiero, organizacional, técnico y de riesgos, de conformidad con el artículo </w:t>
      </w:r>
      <w:r w:rsidRPr="007A2CB0">
        <w:rPr>
          <w:rFonts w:ascii="Verdana" w:hAnsi="Verdana" w:cs="Arial"/>
          <w:lang w:val="es-MX"/>
        </w:rPr>
        <w:t>2.2.1.1.1.6.1 del Decreto 1082 del 2015.</w:t>
      </w:r>
    </w:p>
    <w:p w14:paraId="7FC8979B" w14:textId="7C35594A" w:rsidR="00947222" w:rsidRPr="00947222" w:rsidRDefault="00947222" w:rsidP="00947222">
      <w:pPr>
        <w:spacing w:after="120" w:line="276" w:lineRule="auto"/>
        <w:ind w:firstLine="708"/>
        <w:jc w:val="both"/>
        <w:rPr>
          <w:rFonts w:ascii="Verdana" w:hAnsi="Verdana" w:cs="Arial"/>
          <w:lang w:val="es-MX"/>
        </w:rPr>
      </w:pPr>
      <w:r w:rsidRPr="00FC49A2">
        <w:rPr>
          <w:rFonts w:ascii="Verdana" w:eastAsia="Calibri" w:hAnsi="Verdana" w:cs="Times New Roman"/>
          <w:lang w:val="es-ES"/>
        </w:rPr>
        <w:t xml:space="preserve">Finalmente, debe destacarse que la Agencia Nacional de Contratación Pública – Colombia Compra Eficiente, </w:t>
      </w:r>
      <w:r>
        <w:rPr>
          <w:rFonts w:ascii="Verdana" w:eastAsia="Calibri" w:hAnsi="Verdana" w:cs="Times New Roman"/>
          <w:lang w:val="es-ES"/>
        </w:rPr>
        <w:t>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bookmarkEnd w:id="11"/>
    <w:p w14:paraId="6ADD536C" w14:textId="77777777" w:rsidR="00562E78" w:rsidRPr="00562E78" w:rsidRDefault="00562E78" w:rsidP="0004508D">
      <w:pPr>
        <w:spacing w:after="0" w:line="276" w:lineRule="auto"/>
        <w:jc w:val="both"/>
        <w:rPr>
          <w:rFonts w:ascii="Verdana" w:eastAsia="Calibri" w:hAnsi="Verdana" w:cs="Arial"/>
          <w:lang w:eastAsia="es-MX"/>
        </w:rPr>
      </w:pPr>
    </w:p>
    <w:p w14:paraId="46FC0E80" w14:textId="77777777" w:rsidR="00337DF3" w:rsidRPr="009B7987" w:rsidRDefault="00337DF3" w:rsidP="00337DF3">
      <w:pPr>
        <w:numPr>
          <w:ilvl w:val="0"/>
          <w:numId w:val="1"/>
        </w:numPr>
        <w:tabs>
          <w:tab w:val="left" w:pos="142"/>
          <w:tab w:val="left" w:pos="284"/>
        </w:tabs>
        <w:spacing w:after="0" w:line="276" w:lineRule="auto"/>
        <w:jc w:val="both"/>
        <w:rPr>
          <w:rFonts w:ascii="Verdana" w:eastAsia="Century Gothic" w:hAnsi="Verdana" w:cs="Century Gothic"/>
          <w:b/>
          <w:bCs/>
        </w:rPr>
      </w:pPr>
      <w:r w:rsidRPr="009B7987">
        <w:rPr>
          <w:rFonts w:ascii="Verdana" w:eastAsia="Century Gothic" w:hAnsi="Verdana" w:cs="Century Gothic"/>
          <w:b/>
          <w:bCs/>
        </w:rPr>
        <w:t>Referencias normativas y jurisprudenciales:</w:t>
      </w:r>
    </w:p>
    <w:p w14:paraId="4EC51AF7" w14:textId="77777777" w:rsidR="00337DF3" w:rsidRPr="009B7987" w:rsidRDefault="00337DF3" w:rsidP="00337DF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37DF3" w:rsidRPr="009B7987" w14:paraId="06311623" w14:textId="77777777" w:rsidTr="00740E86">
        <w:trPr>
          <w:trHeight w:val="856"/>
          <w:jc w:val="center"/>
        </w:trPr>
        <w:tc>
          <w:tcPr>
            <w:tcW w:w="8647" w:type="dxa"/>
          </w:tcPr>
          <w:p w14:paraId="18EFD12E" w14:textId="77777777" w:rsidR="00380868" w:rsidRPr="00380868" w:rsidRDefault="00740E86" w:rsidP="00380868">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B3048B">
              <w:rPr>
                <w:rFonts w:ascii="Verdana" w:eastAsia="Arial MT" w:hAnsi="Verdana" w:cs="Arial"/>
                <w:lang w:eastAsia="es-ES" w:bidi="es-ES"/>
              </w:rPr>
              <w:lastRenderedPageBreak/>
              <w:t xml:space="preserve"> </w:t>
            </w:r>
            <w:r w:rsidR="00380868" w:rsidRPr="00380868">
              <w:rPr>
                <w:rFonts w:ascii="Verdana" w:eastAsia="Calibri" w:hAnsi="Verdana" w:cs="Arial"/>
                <w:lang w:val="es-ES"/>
              </w:rPr>
              <w:t xml:space="preserve">Ley 80 de 1993. Artículo 25 </w:t>
            </w:r>
          </w:p>
          <w:p w14:paraId="43388E07" w14:textId="77777777" w:rsidR="00380868" w:rsidRPr="00380868" w:rsidRDefault="00380868" w:rsidP="00380868">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380868">
              <w:rPr>
                <w:rFonts w:ascii="Verdana" w:eastAsia="Calibri" w:hAnsi="Verdana" w:cs="Arial"/>
                <w:lang w:val="es-ES"/>
              </w:rPr>
              <w:t>Decreto 1082 de 2015. Artículos 2.2.1.1.2.1.1. y 2.2.1.1.1.6.1.</w:t>
            </w:r>
          </w:p>
          <w:p w14:paraId="6BAD84D9" w14:textId="77777777" w:rsidR="00380868" w:rsidRPr="00380868" w:rsidRDefault="00380868" w:rsidP="00380868">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380868">
              <w:rPr>
                <w:rFonts w:ascii="Verdana" w:eastAsia="Calibri" w:hAnsi="Verdana" w:cs="Arial"/>
                <w:lang w:val="es-ES"/>
              </w:rPr>
              <w:t xml:space="preserve">Consejo de Estado. Sección Tercera. Subsección B. Sentencia del 31 de agosto de 2011. </w:t>
            </w:r>
            <w:proofErr w:type="spellStart"/>
            <w:r w:rsidRPr="00380868">
              <w:rPr>
                <w:rFonts w:ascii="Verdana" w:eastAsia="Calibri" w:hAnsi="Verdana" w:cs="Arial"/>
                <w:lang w:val="es-ES"/>
              </w:rPr>
              <w:t>Exp</w:t>
            </w:r>
            <w:proofErr w:type="spellEnd"/>
            <w:r w:rsidRPr="00380868">
              <w:rPr>
                <w:rFonts w:ascii="Verdana" w:eastAsia="Calibri" w:hAnsi="Verdana" w:cs="Arial"/>
                <w:lang w:val="es-ES"/>
              </w:rPr>
              <w:t>. 18.080.</w:t>
            </w:r>
          </w:p>
          <w:p w14:paraId="7ACE5EA8" w14:textId="77777777" w:rsidR="00380868" w:rsidRPr="00380868" w:rsidRDefault="00380868" w:rsidP="00380868">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380868">
              <w:rPr>
                <w:rFonts w:ascii="Verdana" w:eastAsia="Calibri" w:hAnsi="Verdana" w:cs="Arial"/>
                <w:lang w:val="es-ES"/>
              </w:rPr>
              <w:t>Guía de Elaboración de Estudios de Sector:</w:t>
            </w:r>
          </w:p>
          <w:p w14:paraId="4EBEBBA2" w14:textId="23BBFDE0" w:rsidR="00337DF3" w:rsidRPr="00380868" w:rsidRDefault="00380868" w:rsidP="00380868">
            <w:pPr>
              <w:widowControl w:val="0"/>
              <w:autoSpaceDE w:val="0"/>
              <w:autoSpaceDN w:val="0"/>
              <w:spacing w:after="120" w:line="276" w:lineRule="auto"/>
              <w:ind w:left="720"/>
              <w:contextualSpacing/>
              <w:jc w:val="both"/>
              <w:rPr>
                <w:rFonts w:ascii="Verdana" w:eastAsia="Calibri" w:hAnsi="Verdana" w:cs="Arial"/>
                <w:lang w:val="es-ES"/>
              </w:rPr>
            </w:pPr>
            <w:hyperlink r:id="rId13" w:history="1">
              <w:r w:rsidRPr="00380868">
                <w:rPr>
                  <w:rFonts w:ascii="Verdana" w:eastAsia="Calibri" w:hAnsi="Verdana" w:cs="Arial"/>
                  <w:color w:val="0000FF"/>
                  <w:u w:val="single"/>
                  <w:lang w:val="es-ES"/>
                </w:rPr>
                <w:t>https://www.colombiacompra.gov.co/sites/cce_public/files/cce_documentos/cce-eicp-gi-18._gees_v.2_2.pdf</w:t>
              </w:r>
            </w:hyperlink>
            <w:r w:rsidRPr="00380868">
              <w:rPr>
                <w:rFonts w:ascii="Verdana" w:eastAsia="Calibri" w:hAnsi="Verdana" w:cs="Arial"/>
                <w:lang w:val="es-ES"/>
              </w:rPr>
              <w:t xml:space="preserve"> </w:t>
            </w:r>
          </w:p>
        </w:tc>
      </w:tr>
    </w:tbl>
    <w:p w14:paraId="242AFFDA" w14:textId="77777777" w:rsidR="00337DF3" w:rsidRPr="009B7987" w:rsidRDefault="00337DF3" w:rsidP="00337DF3">
      <w:pPr>
        <w:widowControl w:val="0"/>
        <w:autoSpaceDE w:val="0"/>
        <w:autoSpaceDN w:val="0"/>
        <w:spacing w:after="0" w:line="276" w:lineRule="auto"/>
        <w:jc w:val="both"/>
        <w:rPr>
          <w:rFonts w:ascii="Verdana" w:hAnsi="Verdana" w:cs="Arial"/>
        </w:rPr>
      </w:pPr>
    </w:p>
    <w:p w14:paraId="20A61E72" w14:textId="77777777" w:rsidR="00337DF3" w:rsidRPr="009B7987" w:rsidRDefault="00337DF3" w:rsidP="00337DF3">
      <w:pPr>
        <w:numPr>
          <w:ilvl w:val="0"/>
          <w:numId w:val="1"/>
        </w:numPr>
        <w:tabs>
          <w:tab w:val="left" w:pos="142"/>
          <w:tab w:val="left" w:pos="284"/>
        </w:tabs>
        <w:spacing w:after="0" w:line="276" w:lineRule="auto"/>
        <w:jc w:val="both"/>
        <w:rPr>
          <w:rFonts w:ascii="Verdana" w:eastAsia="Century Gothic" w:hAnsi="Verdana" w:cs="Century Gothic"/>
          <w:b/>
          <w:bCs/>
        </w:rPr>
      </w:pPr>
      <w:r w:rsidRPr="009B7987">
        <w:rPr>
          <w:rFonts w:ascii="Verdana" w:eastAsia="Century Gothic" w:hAnsi="Verdana" w:cs="Century Gothic"/>
          <w:b/>
          <w:bCs/>
        </w:rPr>
        <w:t>Doctrina de la Agencia Nacional de Contratación Pública:</w:t>
      </w:r>
    </w:p>
    <w:p w14:paraId="1FEAC37F" w14:textId="77777777" w:rsidR="00337DF3" w:rsidRPr="009B7987" w:rsidRDefault="00337DF3" w:rsidP="00337DF3">
      <w:pPr>
        <w:widowControl w:val="0"/>
        <w:autoSpaceDE w:val="0"/>
        <w:autoSpaceDN w:val="0"/>
        <w:spacing w:after="0" w:line="276" w:lineRule="auto"/>
        <w:jc w:val="both"/>
        <w:rPr>
          <w:rFonts w:ascii="Verdana" w:hAnsi="Verdana" w:cs="Arial"/>
        </w:rPr>
      </w:pPr>
    </w:p>
    <w:p w14:paraId="0C5AAEF0" w14:textId="5BA182D4" w:rsidR="00337DF3" w:rsidRPr="00795706" w:rsidRDefault="00DE0A1B" w:rsidP="00337DF3">
      <w:pPr>
        <w:widowControl w:val="0"/>
        <w:autoSpaceDE w:val="0"/>
        <w:autoSpaceDN w:val="0"/>
        <w:spacing w:after="0" w:line="276" w:lineRule="auto"/>
        <w:jc w:val="both"/>
        <w:rPr>
          <w:rFonts w:ascii="Verdana" w:eastAsia="Calibri" w:hAnsi="Verdana" w:cs="Arial"/>
          <w:color w:val="000000" w:themeColor="text1"/>
          <w:lang w:val="es-ES_tradnl" w:eastAsia="es-ES_tradnl"/>
        </w:rPr>
      </w:pPr>
      <w:r>
        <w:rPr>
          <w:rFonts w:ascii="Verdana" w:eastAsia="Aptos" w:hAnsi="Verdana" w:cs="Arial"/>
          <w:shd w:val="clear" w:color="auto" w:fill="FFFFFF"/>
          <w:lang w:val="es-ES"/>
        </w:rPr>
        <w:t xml:space="preserve">Sobre </w:t>
      </w:r>
      <w:r w:rsidRPr="00B83E79">
        <w:rPr>
          <w:rFonts w:ascii="Verdana" w:eastAsia="Aptos" w:hAnsi="Verdana" w:cs="Arial"/>
          <w:shd w:val="clear" w:color="auto" w:fill="FFFFFF"/>
          <w:lang w:val="es-ES"/>
        </w:rPr>
        <w:t>el deber de elaborar análisis del sector frente a procesos de contratación</w:t>
      </w:r>
      <w:r>
        <w:rPr>
          <w:rFonts w:ascii="Verdana" w:eastAsia="Aptos" w:hAnsi="Verdana" w:cs="Arial"/>
          <w:shd w:val="clear" w:color="auto" w:fill="FFFFFF"/>
          <w:lang w:val="es-ES"/>
        </w:rPr>
        <w:t>,</w:t>
      </w:r>
      <w:r w:rsidRPr="00B83E79">
        <w:rPr>
          <w:rFonts w:ascii="Verdana" w:eastAsia="Aptos" w:hAnsi="Verdana" w:cs="Arial"/>
          <w:shd w:val="clear" w:color="auto" w:fill="FFFFFF"/>
          <w:lang w:val="es-ES"/>
        </w:rPr>
        <w:t xml:space="preserve"> se pronunció esta Subdirección en los conceptos 2202013000000037 del 7 de enero de 2020, C-223 del 29 de abril de 2020 y C-148 de 2021. Igualmente, se reiteran los Conceptos C-387 del 23 de junio de 2020, C-415 del 7 de julio de 2020, C-443 del 7 de julio de 2020, C-387 del 23 de junio de 2020, C-223 del 29 de abril de 2020, C-671 de 2020 de 23 de noviembre de 2020, C-215 del 12 de mayo de 2021, C-742 del 27 de diciembre de 2021, C-519 del 13 de septiembre de 2022, C-716 del 15 de noviembre de 2022, </w:t>
      </w:r>
      <w:r w:rsidR="00D76270">
        <w:rPr>
          <w:rFonts w:ascii="Verdana" w:eastAsia="Aptos" w:hAnsi="Verdana" w:cs="Arial"/>
          <w:shd w:val="clear" w:color="auto" w:fill="FFFFFF"/>
          <w:lang w:val="es-ES"/>
        </w:rPr>
        <w:t xml:space="preserve">C-680 del 19 de septiembre de 2022, </w:t>
      </w:r>
      <w:r w:rsidRPr="00B83E79">
        <w:rPr>
          <w:rFonts w:ascii="Verdana" w:eastAsia="Aptos" w:hAnsi="Verdana" w:cs="Arial"/>
          <w:shd w:val="clear" w:color="auto" w:fill="FFFFFF"/>
          <w:lang w:val="es-ES"/>
        </w:rPr>
        <w:t>C-856 del 13 de diciembre de 2022, C-235 del 5 de julio de 2023</w:t>
      </w:r>
      <w:r>
        <w:rPr>
          <w:rFonts w:ascii="Verdana" w:eastAsia="Aptos" w:hAnsi="Verdana" w:cs="Arial"/>
          <w:shd w:val="clear" w:color="auto" w:fill="FFFFFF"/>
          <w:lang w:val="es-ES"/>
        </w:rPr>
        <w:t>, C-124 del 24 de julio de 2024, C-168 del 25 de julio 2024, C-258 del 12 de agosto de 2024, C-255 del 14 de agosto de 2024,</w:t>
      </w:r>
      <w:r w:rsidR="00D76270">
        <w:rPr>
          <w:rFonts w:ascii="Verdana" w:eastAsia="Aptos" w:hAnsi="Verdana" w:cs="Arial"/>
          <w:shd w:val="clear" w:color="auto" w:fill="FFFFFF"/>
          <w:lang w:val="es-ES"/>
        </w:rPr>
        <w:t xml:space="preserve"> C-</w:t>
      </w:r>
      <w:r w:rsidR="00C62AA0">
        <w:rPr>
          <w:rFonts w:ascii="Verdana" w:eastAsia="Aptos" w:hAnsi="Verdana" w:cs="Arial"/>
          <w:shd w:val="clear" w:color="auto" w:fill="FFFFFF"/>
          <w:lang w:val="es-ES"/>
        </w:rPr>
        <w:t>297 del 11 de septiembre de 2024,</w:t>
      </w:r>
      <w:r>
        <w:rPr>
          <w:rFonts w:ascii="Verdana" w:eastAsia="Aptos" w:hAnsi="Verdana" w:cs="Arial"/>
          <w:shd w:val="clear" w:color="auto" w:fill="FFFFFF"/>
          <w:lang w:val="es-ES"/>
        </w:rPr>
        <w:t xml:space="preserve"> entre otros</w:t>
      </w:r>
      <w:r w:rsidR="00795706">
        <w:rPr>
          <w:rFonts w:ascii="Verdana" w:eastAsia="Calibri" w:hAnsi="Verdana" w:cs="Arial"/>
          <w:color w:val="000000" w:themeColor="text1"/>
          <w:lang w:val="es-ES_tradnl" w:eastAsia="es-ES_tradnl"/>
        </w:rPr>
        <w:t xml:space="preserve">. </w:t>
      </w:r>
      <w:r w:rsidR="00337DF3" w:rsidRPr="009B7987">
        <w:rPr>
          <w:rFonts w:ascii="Verdana" w:hAnsi="Verdana" w:cs="Arial"/>
          <w:shd w:val="clear" w:color="auto" w:fill="FFFFFF"/>
        </w:rPr>
        <w:t>Es</w:t>
      </w:r>
      <w:r w:rsidR="00337DF3" w:rsidRPr="009B7987">
        <w:rPr>
          <w:rFonts w:ascii="Verdana" w:hAnsi="Verdana"/>
        </w:rPr>
        <w:t>tos y otros conceptos se encuentran disponibles para consulta en el Sistema de relatoría de la Agencia, al cual se puede acceder a través del siguiente enlace:</w:t>
      </w:r>
      <w:r w:rsidR="00337DF3" w:rsidRPr="009B7987">
        <w:rPr>
          <w:rFonts w:ascii="Verdana" w:hAnsi="Verdana" w:cs="Arial"/>
          <w:shd w:val="clear" w:color="auto" w:fill="FFFFFF"/>
        </w:rPr>
        <w:t xml:space="preserve"> </w:t>
      </w:r>
      <w:hyperlink r:id="rId14" w:history="1">
        <w:r w:rsidR="00337DF3" w:rsidRPr="009B7987">
          <w:rPr>
            <w:rFonts w:ascii="Verdana" w:hAnsi="Verdana" w:cs="Arial"/>
            <w:color w:val="0563C1" w:themeColor="hyperlink"/>
            <w:u w:val="single"/>
            <w:shd w:val="clear" w:color="auto" w:fill="FFFFFF"/>
          </w:rPr>
          <w:t>https://relatoria.colombiacompra.gov.co/busqueda/conceptos</w:t>
        </w:r>
      </w:hyperlink>
      <w:r w:rsidR="00337DF3" w:rsidRPr="009B7987">
        <w:rPr>
          <w:rFonts w:ascii="Verdana" w:hAnsi="Verdana" w:cs="Arial"/>
          <w:shd w:val="clear" w:color="auto" w:fill="FFFFFF"/>
        </w:rPr>
        <w:t>.</w:t>
      </w:r>
      <w:r w:rsidR="00337DF3" w:rsidRPr="009B7987">
        <w:rPr>
          <w:rFonts w:ascii="Verdana" w:hAnsi="Verdana" w:cs="Arial"/>
          <w:color w:val="FF0000"/>
          <w:shd w:val="clear" w:color="auto" w:fill="FFFFFF"/>
        </w:rPr>
        <w:t xml:space="preserve"> </w:t>
      </w:r>
      <w:r w:rsidR="00337DF3" w:rsidRPr="009B7987">
        <w:rPr>
          <w:rFonts w:ascii="Verdana" w:hAnsi="Verdana" w:cs="Arial"/>
          <w:color w:val="000000" w:themeColor="text1"/>
          <w:shd w:val="clear" w:color="auto" w:fill="FFFFFF"/>
        </w:rPr>
        <w:t>  </w:t>
      </w:r>
    </w:p>
    <w:p w14:paraId="0DF5F1D3" w14:textId="77777777" w:rsidR="00337DF3" w:rsidRPr="009B7987" w:rsidRDefault="00337DF3" w:rsidP="00337DF3">
      <w:pPr>
        <w:widowControl w:val="0"/>
        <w:autoSpaceDE w:val="0"/>
        <w:autoSpaceDN w:val="0"/>
        <w:spacing w:after="0" w:line="276" w:lineRule="auto"/>
        <w:jc w:val="both"/>
        <w:rPr>
          <w:rFonts w:ascii="Verdana" w:eastAsia="Arial" w:hAnsi="Verdana" w:cs="Arial"/>
          <w:lang w:eastAsia="es-ES_tradnl"/>
        </w:rPr>
      </w:pPr>
    </w:p>
    <w:p w14:paraId="2F4AEDD1" w14:textId="77777777" w:rsidR="00337DF3" w:rsidRPr="009B7987" w:rsidRDefault="00337DF3" w:rsidP="00337DF3">
      <w:pPr>
        <w:shd w:val="clear" w:color="auto" w:fill="FFFFFF"/>
        <w:spacing w:after="120" w:line="276" w:lineRule="auto"/>
        <w:ind w:firstLine="709"/>
        <w:jc w:val="both"/>
        <w:textAlignment w:val="baseline"/>
        <w:rPr>
          <w:rFonts w:ascii="Verdana" w:eastAsia="Times New Roman" w:hAnsi="Verdana" w:cs="Times New Roman"/>
          <w:lang w:eastAsia="es-CO"/>
        </w:rPr>
      </w:pPr>
      <w:r w:rsidRPr="009B7987">
        <w:rPr>
          <w:rFonts w:ascii="Verdana" w:eastAsia="Times New Roman" w:hAnsi="Verdana" w:cs="Times New Roman"/>
          <w:color w:val="000000"/>
          <w:bdr w:val="none" w:sz="0" w:space="0" w:color="auto" w:frame="1"/>
          <w:lang w:eastAsia="es-CO"/>
        </w:rPr>
        <w:t>Te informamos que ya se encuentra disponible la </w:t>
      </w:r>
      <w:r w:rsidRPr="009B7987">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9B7987">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5" w:tgtFrame="_blank" w:tooltip="Dirección URL original: https://www.colombiacompra.gov.co/manuales-guias-y-pliegos-tipo/manuales-y-guias/cartilla-para-incentivar-y-fortalecer-el-acceso-las. Haga clic o pulse si confía en este vínculo." w:history="1">
        <w:r w:rsidRPr="009B7987">
          <w:rPr>
            <w:rFonts w:ascii="Verdana" w:eastAsia="Times New Roman" w:hAnsi="Verdana" w:cs="Times New Roman"/>
            <w:color w:val="467886"/>
            <w:u w:val="single"/>
            <w:bdr w:val="none" w:sz="0" w:space="0" w:color="auto" w:frame="1"/>
            <w:lang w:eastAsia="es-CO"/>
          </w:rPr>
          <w:t xml:space="preserve">Cartilla para incentivar y fortalecer el acceso a las compras y contratación pública de los pueblos y comunidades étnicas en </w:t>
        </w:r>
        <w:r w:rsidRPr="009B7987">
          <w:rPr>
            <w:rFonts w:ascii="Verdana" w:eastAsia="Times New Roman" w:hAnsi="Verdana" w:cs="Times New Roman"/>
            <w:color w:val="467886"/>
            <w:u w:val="single"/>
            <w:bdr w:val="none" w:sz="0" w:space="0" w:color="auto" w:frame="1"/>
            <w:lang w:eastAsia="es-CO"/>
          </w:rPr>
          <w:lastRenderedPageBreak/>
          <w:t>Colombia | Colombia Compra Eficiente | Agencia Nacional de Contratación Pública</w:t>
        </w:r>
      </w:hyperlink>
    </w:p>
    <w:p w14:paraId="68922D4F" w14:textId="77777777" w:rsidR="00337DF3" w:rsidRPr="009B7987" w:rsidRDefault="00337DF3" w:rsidP="00337DF3">
      <w:pPr>
        <w:spacing w:after="120" w:line="276" w:lineRule="auto"/>
        <w:ind w:firstLine="709"/>
        <w:jc w:val="both"/>
        <w:textAlignment w:val="baseline"/>
        <w:rPr>
          <w:rFonts w:ascii="Verdana" w:eastAsia="Times New Roman" w:hAnsi="Verdana" w:cs="Times New Roman"/>
          <w:lang w:eastAsia="es-CO"/>
        </w:rPr>
      </w:pPr>
      <w:r w:rsidRPr="009B7987">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9B7987">
        <w:rPr>
          <w:rFonts w:ascii="Verdana" w:eastAsia="Times New Roman" w:hAnsi="Verdana" w:cs="Times New Roman"/>
          <w:b/>
          <w:bCs/>
          <w:color w:val="000000"/>
          <w:bdr w:val="none" w:sz="0" w:space="0" w:color="auto" w:frame="1"/>
          <w:lang w:eastAsia="es-CO"/>
        </w:rPr>
        <w:t>modificaciones y/o actualizaciones realizadas a los Documentos Tipo</w:t>
      </w:r>
      <w:r w:rsidRPr="009B7987">
        <w:rPr>
          <w:rFonts w:ascii="Verdana" w:eastAsia="Times New Roman" w:hAnsi="Verdana" w:cs="Times New Roman"/>
          <w:color w:val="000000"/>
          <w:bdr w:val="none" w:sz="0" w:space="0" w:color="auto" w:frame="1"/>
          <w:lang w:eastAsia="es-CO"/>
        </w:rPr>
        <w:t>, hemos programado una serie de </w:t>
      </w:r>
      <w:r w:rsidRPr="009B7987">
        <w:rPr>
          <w:rFonts w:ascii="Verdana" w:eastAsia="Times New Roman" w:hAnsi="Verdana" w:cs="Times New Roman"/>
          <w:b/>
          <w:bCs/>
          <w:color w:val="000000"/>
          <w:bdr w:val="none" w:sz="0" w:space="0" w:color="auto" w:frame="1"/>
          <w:lang w:eastAsia="es-CO"/>
        </w:rPr>
        <w:t>capacitaciones </w:t>
      </w:r>
      <w:r w:rsidRPr="009B7987">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6" w:tgtFrame="_blank" w:tooltip="Dirección URL original: https://www.colombiacompra.gov.co/ciudadanos/calendario. Haga clic o pulse si confía en este vínculo." w:history="1">
        <w:r w:rsidRPr="009B7987">
          <w:rPr>
            <w:rFonts w:ascii="Verdana" w:eastAsia="Times New Roman" w:hAnsi="Verdana" w:cs="Times New Roman"/>
            <w:color w:val="467886"/>
            <w:u w:val="single"/>
            <w:bdr w:val="none" w:sz="0" w:space="0" w:color="auto" w:frame="1"/>
            <w:lang w:eastAsia="es-CO"/>
          </w:rPr>
          <w:t>Calendario | Colombia Compra Eficiente | Agencia Nacional de Contratación Pública</w:t>
        </w:r>
      </w:hyperlink>
    </w:p>
    <w:p w14:paraId="4AE12D5B" w14:textId="77777777" w:rsidR="00337DF3" w:rsidRPr="009B7987" w:rsidRDefault="00337DF3" w:rsidP="00337DF3">
      <w:pPr>
        <w:spacing w:after="120" w:line="276" w:lineRule="auto"/>
        <w:ind w:firstLine="709"/>
        <w:jc w:val="both"/>
        <w:textAlignment w:val="baseline"/>
        <w:rPr>
          <w:rFonts w:ascii="Verdana" w:eastAsia="Times New Roman" w:hAnsi="Verdana" w:cs="Times New Roman"/>
          <w:lang w:eastAsia="es-CO"/>
        </w:rPr>
      </w:pPr>
      <w:r w:rsidRPr="009B7987">
        <w:rPr>
          <w:rFonts w:ascii="Verdana" w:eastAsia="Times New Roman" w:hAnsi="Verdana" w:cs="Times New Roman"/>
          <w:color w:val="000000"/>
          <w:bdr w:val="none" w:sz="0" w:space="0" w:color="auto" w:frame="1"/>
          <w:lang w:eastAsia="es-CO"/>
        </w:rPr>
        <w:t>También, te contamos que ya publicamos </w:t>
      </w:r>
      <w:r w:rsidRPr="009B7987">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9B7987">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9B7987">
          <w:rPr>
            <w:rFonts w:ascii="Verdana" w:eastAsia="Times New Roman" w:hAnsi="Verdana" w:cs="Times New Roman"/>
            <w:color w:val="467886"/>
            <w:u w:val="single"/>
            <w:bdr w:val="none" w:sz="0" w:space="0" w:color="auto" w:frame="1"/>
            <w:lang w:eastAsia="es-CO"/>
          </w:rPr>
          <w:t>Guía de Contratación Pública Sostenible y Socialmente Responsable | Colombia Compra Eficiente | Agencia Nacional de Contratación Pública</w:t>
        </w:r>
      </w:hyperlink>
    </w:p>
    <w:p w14:paraId="3B95C6FD" w14:textId="77777777" w:rsidR="00337DF3" w:rsidRPr="009B7987" w:rsidRDefault="00337DF3" w:rsidP="00337DF3">
      <w:pPr>
        <w:widowControl w:val="0"/>
        <w:autoSpaceDE w:val="0"/>
        <w:autoSpaceDN w:val="0"/>
        <w:spacing w:after="0" w:line="276" w:lineRule="auto"/>
        <w:jc w:val="both"/>
        <w:rPr>
          <w:rFonts w:ascii="Verdana" w:eastAsia="Calibri" w:hAnsi="Verdana" w:cs="Arial"/>
          <w:color w:val="000000" w:themeColor="text1"/>
        </w:rPr>
      </w:pPr>
    </w:p>
    <w:p w14:paraId="7BFFA3F6" w14:textId="77777777" w:rsidR="00337DF3" w:rsidRPr="009B7987" w:rsidRDefault="00337DF3" w:rsidP="00337DF3">
      <w:pPr>
        <w:widowControl w:val="0"/>
        <w:autoSpaceDE w:val="0"/>
        <w:autoSpaceDN w:val="0"/>
        <w:spacing w:after="0" w:line="276" w:lineRule="auto"/>
        <w:jc w:val="both"/>
        <w:rPr>
          <w:rFonts w:ascii="Verdana" w:hAnsi="Verdana" w:cs="Arial"/>
        </w:rPr>
      </w:pPr>
      <w:r w:rsidRPr="009B7987">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941FC38" w14:textId="77777777" w:rsidR="00337DF3" w:rsidRPr="009B7987" w:rsidRDefault="00337DF3" w:rsidP="00337DF3">
      <w:pPr>
        <w:widowControl w:val="0"/>
        <w:autoSpaceDE w:val="0"/>
        <w:autoSpaceDN w:val="0"/>
        <w:spacing w:after="0" w:line="276" w:lineRule="auto"/>
        <w:jc w:val="both"/>
        <w:rPr>
          <w:rFonts w:ascii="Verdana" w:hAnsi="Verdana" w:cs="Arial"/>
        </w:rPr>
      </w:pPr>
    </w:p>
    <w:p w14:paraId="1375C0E5" w14:textId="77777777" w:rsidR="00337DF3" w:rsidRPr="009B7987" w:rsidRDefault="00337DF3" w:rsidP="00337DF3">
      <w:pPr>
        <w:spacing w:after="0" w:line="240" w:lineRule="auto"/>
        <w:rPr>
          <w:rFonts w:ascii="Verdana" w:hAnsi="Verdana" w:cs="Arial"/>
          <w:lang w:eastAsia="es-CO"/>
        </w:rPr>
      </w:pPr>
      <w:r w:rsidRPr="009B7987">
        <w:rPr>
          <w:rFonts w:ascii="Verdana" w:eastAsia="Times New Roman" w:hAnsi="Verdana" w:cs="Arial"/>
          <w:lang w:eastAsia="es-CO"/>
        </w:rPr>
        <w:t>Atentamente,</w:t>
      </w:r>
      <w:r w:rsidRPr="009B7987">
        <w:rPr>
          <w:rFonts w:ascii="Verdana" w:hAnsi="Verdana" w:cs="Arial"/>
          <w:lang w:eastAsia="es-CO"/>
        </w:rPr>
        <w:t xml:space="preserve"> </w:t>
      </w:r>
    </w:p>
    <w:p w14:paraId="2775CEC9" w14:textId="02ECB4E1" w:rsidR="00337DF3" w:rsidRPr="009B7987" w:rsidRDefault="00CA5EEA" w:rsidP="00337DF3">
      <w:pPr>
        <w:spacing w:line="276" w:lineRule="auto"/>
        <w:jc w:val="center"/>
        <w:rPr>
          <w:rFonts w:ascii="Verdana" w:hAnsi="Verdana" w:cs="Arial"/>
          <w:color w:val="000000"/>
          <w:lang w:eastAsia="es-CO"/>
        </w:rPr>
      </w:pPr>
      <w:r>
        <w:rPr>
          <w:noProof/>
        </w:rPr>
        <w:drawing>
          <wp:inline distT="0" distB="0" distL="0" distR="0" wp14:anchorId="4DE3CB04" wp14:editId="36F049E6">
            <wp:extent cx="3360420" cy="1135380"/>
            <wp:effectExtent l="0" t="0" r="0" b="762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360420" cy="113538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37DF3" w:rsidRPr="009B7987" w14:paraId="2B4C3E32" w14:textId="77777777" w:rsidTr="00D154AA">
        <w:trPr>
          <w:trHeight w:val="315"/>
        </w:trPr>
        <w:tc>
          <w:tcPr>
            <w:tcW w:w="893" w:type="dxa"/>
            <w:vAlign w:val="center"/>
            <w:hideMark/>
          </w:tcPr>
          <w:p w14:paraId="6D8AB455" w14:textId="77777777" w:rsidR="00337DF3" w:rsidRPr="009B7987" w:rsidRDefault="00337DF3" w:rsidP="00D154AA">
            <w:pPr>
              <w:contextualSpacing/>
              <w:rPr>
                <w:rFonts w:ascii="Verdana" w:hAnsi="Verdana" w:cs="Arial"/>
                <w:sz w:val="16"/>
                <w:szCs w:val="16"/>
                <w:lang w:eastAsia="es-ES"/>
              </w:rPr>
            </w:pPr>
            <w:r w:rsidRPr="009B7987">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D350D5F" w14:textId="77777777" w:rsidR="00337DF3" w:rsidRPr="009B7987" w:rsidRDefault="00337DF3" w:rsidP="00D154AA">
            <w:pPr>
              <w:contextualSpacing/>
              <w:rPr>
                <w:rFonts w:ascii="Verdana" w:hAnsi="Verdana"/>
                <w:sz w:val="16"/>
                <w:szCs w:val="16"/>
              </w:rPr>
            </w:pPr>
            <w:r w:rsidRPr="009B7987">
              <w:rPr>
                <w:rFonts w:ascii="Verdana" w:hAnsi="Verdana"/>
                <w:sz w:val="16"/>
                <w:szCs w:val="16"/>
              </w:rPr>
              <w:t>Tatiana Baquero Iguarán</w:t>
            </w:r>
          </w:p>
          <w:p w14:paraId="774EF64F" w14:textId="77777777" w:rsidR="00337DF3" w:rsidRPr="009B7987" w:rsidRDefault="00337DF3" w:rsidP="00D154AA">
            <w:pPr>
              <w:contextualSpacing/>
              <w:rPr>
                <w:rFonts w:ascii="Verdana" w:eastAsia="Arial" w:hAnsi="Verdana" w:cs="Arial"/>
                <w:sz w:val="16"/>
                <w:szCs w:val="16"/>
              </w:rPr>
            </w:pPr>
            <w:r w:rsidRPr="009B7987">
              <w:rPr>
                <w:rFonts w:ascii="Verdana" w:hAnsi="Verdana"/>
                <w:sz w:val="16"/>
                <w:szCs w:val="16"/>
              </w:rPr>
              <w:t>Contratista de la Subdirección de Gestión Contractual</w:t>
            </w:r>
          </w:p>
        </w:tc>
      </w:tr>
      <w:tr w:rsidR="00337DF3" w:rsidRPr="009B7987" w14:paraId="14691253" w14:textId="77777777" w:rsidTr="00D154AA">
        <w:trPr>
          <w:trHeight w:val="330"/>
        </w:trPr>
        <w:tc>
          <w:tcPr>
            <w:tcW w:w="893" w:type="dxa"/>
            <w:vAlign w:val="center"/>
            <w:hideMark/>
          </w:tcPr>
          <w:p w14:paraId="26FAC3A1" w14:textId="77777777" w:rsidR="00337DF3" w:rsidRPr="009B7987" w:rsidRDefault="00337DF3" w:rsidP="00D154AA">
            <w:pPr>
              <w:contextualSpacing/>
              <w:rPr>
                <w:rFonts w:ascii="Verdana" w:hAnsi="Verdana" w:cs="Arial"/>
                <w:sz w:val="16"/>
                <w:szCs w:val="16"/>
                <w:lang w:eastAsia="es-ES"/>
              </w:rPr>
            </w:pPr>
            <w:r w:rsidRPr="009B7987">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D2FCB8E" w14:textId="77777777" w:rsidR="00337DF3" w:rsidRPr="009B7987" w:rsidRDefault="00337DF3" w:rsidP="00D154AA">
            <w:pPr>
              <w:spacing w:before="100" w:beforeAutospacing="1" w:afterAutospacing="1"/>
              <w:contextualSpacing/>
              <w:textAlignment w:val="baseline"/>
              <w:rPr>
                <w:rFonts w:ascii="Verdana" w:eastAsia="Times New Roman" w:hAnsi="Verdana" w:cs="Arial"/>
                <w:sz w:val="16"/>
                <w:szCs w:val="16"/>
                <w:lang w:eastAsia="es-ES_tradnl"/>
              </w:rPr>
            </w:pPr>
            <w:r w:rsidRPr="009B7987">
              <w:rPr>
                <w:rFonts w:ascii="Verdana" w:eastAsia="Times New Roman" w:hAnsi="Verdana" w:cs="Arial"/>
                <w:sz w:val="16"/>
                <w:szCs w:val="16"/>
                <w:lang w:eastAsia="es-ES_tradnl"/>
              </w:rPr>
              <w:t>Alejandro Sarmiento Cantillo</w:t>
            </w:r>
          </w:p>
          <w:p w14:paraId="2DA0FF26" w14:textId="77777777" w:rsidR="00337DF3" w:rsidRPr="009B7987" w:rsidRDefault="00337DF3" w:rsidP="00D154AA">
            <w:pPr>
              <w:contextualSpacing/>
              <w:textAlignment w:val="baseline"/>
              <w:rPr>
                <w:rFonts w:ascii="Verdana" w:eastAsia="Times New Roman" w:hAnsi="Verdana" w:cs="Segoe UI"/>
                <w:sz w:val="16"/>
                <w:szCs w:val="16"/>
                <w:lang w:eastAsia="es-ES_tradnl"/>
              </w:rPr>
            </w:pPr>
            <w:r w:rsidRPr="009B7987">
              <w:rPr>
                <w:rFonts w:ascii="Verdana" w:eastAsia="Times New Roman" w:hAnsi="Verdana" w:cs="Arial"/>
                <w:sz w:val="16"/>
                <w:szCs w:val="16"/>
                <w:lang w:eastAsia="es-ES_tradnl"/>
              </w:rPr>
              <w:t>Gestor T1 ‒ 15 de la Subdirección de Gestión Contractual </w:t>
            </w:r>
          </w:p>
        </w:tc>
      </w:tr>
      <w:tr w:rsidR="00337DF3" w:rsidRPr="009B7987" w14:paraId="7199C4EC" w14:textId="77777777" w:rsidTr="00D154AA">
        <w:trPr>
          <w:trHeight w:val="300"/>
        </w:trPr>
        <w:tc>
          <w:tcPr>
            <w:tcW w:w="893" w:type="dxa"/>
            <w:vAlign w:val="center"/>
          </w:tcPr>
          <w:p w14:paraId="1DF0B280" w14:textId="77777777" w:rsidR="00337DF3" w:rsidRPr="009B7987" w:rsidRDefault="00337DF3" w:rsidP="00D154AA">
            <w:pPr>
              <w:contextualSpacing/>
              <w:rPr>
                <w:rFonts w:ascii="Verdana" w:hAnsi="Verdana" w:cs="Arial"/>
                <w:sz w:val="16"/>
                <w:szCs w:val="16"/>
                <w:lang w:eastAsia="es-ES"/>
              </w:rPr>
            </w:pPr>
            <w:r w:rsidRPr="009B7987">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5FCA2C1" w14:textId="77777777" w:rsidR="00337DF3" w:rsidRPr="009B7987" w:rsidRDefault="00337DF3" w:rsidP="00D154AA">
            <w:pPr>
              <w:contextualSpacing/>
              <w:rPr>
                <w:rFonts w:ascii="Verdana" w:eastAsia="Calibri" w:hAnsi="Verdana" w:cs="Arial"/>
                <w:sz w:val="16"/>
                <w:szCs w:val="16"/>
                <w:lang w:eastAsia="es-ES"/>
              </w:rPr>
            </w:pPr>
            <w:r w:rsidRPr="009B7987">
              <w:rPr>
                <w:rFonts w:ascii="Verdana" w:eastAsia="Calibri" w:hAnsi="Verdana" w:cs="Arial"/>
                <w:sz w:val="16"/>
                <w:szCs w:val="16"/>
                <w:lang w:eastAsia="es-ES"/>
              </w:rPr>
              <w:t xml:space="preserve">Carolina Quintero </w:t>
            </w:r>
            <w:proofErr w:type="spellStart"/>
            <w:r w:rsidRPr="009B7987">
              <w:rPr>
                <w:rFonts w:ascii="Verdana" w:eastAsia="Calibri" w:hAnsi="Verdana" w:cs="Arial"/>
                <w:sz w:val="16"/>
                <w:szCs w:val="16"/>
                <w:lang w:eastAsia="es-ES"/>
              </w:rPr>
              <w:t>Gacharná</w:t>
            </w:r>
            <w:proofErr w:type="spellEnd"/>
          </w:p>
          <w:p w14:paraId="37FCA02E" w14:textId="77777777" w:rsidR="00337DF3" w:rsidRPr="009B7987" w:rsidRDefault="00337DF3" w:rsidP="00D154AA">
            <w:pPr>
              <w:contextualSpacing/>
              <w:rPr>
                <w:rFonts w:ascii="Verdana" w:eastAsia="Calibri" w:hAnsi="Verdana" w:cs="Arial"/>
                <w:sz w:val="16"/>
                <w:szCs w:val="16"/>
                <w:lang w:eastAsia="es-ES"/>
              </w:rPr>
            </w:pPr>
            <w:r w:rsidRPr="009B7987">
              <w:rPr>
                <w:rFonts w:ascii="Verdana" w:eastAsia="Calibri" w:hAnsi="Verdana" w:cs="Arial"/>
                <w:sz w:val="16"/>
                <w:szCs w:val="16"/>
                <w:lang w:eastAsia="es-ES"/>
              </w:rPr>
              <w:t>Subdirectora de Gestión Contractual ANCP – CCE</w:t>
            </w:r>
          </w:p>
        </w:tc>
      </w:tr>
      <w:bookmarkEnd w:id="0"/>
    </w:tbl>
    <w:p w14:paraId="3F05C762" w14:textId="77777777" w:rsidR="007875D7" w:rsidRPr="00337DF3" w:rsidRDefault="007875D7" w:rsidP="00337DF3"/>
    <w:sectPr w:rsidR="007875D7" w:rsidRPr="00337DF3"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A713E" w14:textId="77777777" w:rsidR="00E03C77" w:rsidRPr="009B7987" w:rsidRDefault="00E03C77" w:rsidP="00B30448">
      <w:pPr>
        <w:spacing w:after="0" w:line="240" w:lineRule="auto"/>
      </w:pPr>
      <w:r w:rsidRPr="009B7987">
        <w:separator/>
      </w:r>
    </w:p>
  </w:endnote>
  <w:endnote w:type="continuationSeparator" w:id="0">
    <w:p w14:paraId="681EA22B" w14:textId="77777777" w:rsidR="00E03C77" w:rsidRPr="009B7987" w:rsidRDefault="00E03C77" w:rsidP="00B30448">
      <w:pPr>
        <w:spacing w:after="0" w:line="240" w:lineRule="auto"/>
      </w:pPr>
      <w:r w:rsidRPr="009B7987">
        <w:continuationSeparator/>
      </w:r>
    </w:p>
  </w:endnote>
  <w:endnote w:type="continuationNotice" w:id="1">
    <w:p w14:paraId="0E6D7D8E" w14:textId="77777777" w:rsidR="00E03C77" w:rsidRPr="009B7987" w:rsidRDefault="00E03C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72651" w14:textId="77777777" w:rsidR="00E03C77" w:rsidRPr="009B7987" w:rsidRDefault="00E03C77" w:rsidP="00B30448">
      <w:pPr>
        <w:spacing w:after="0" w:line="240" w:lineRule="auto"/>
      </w:pPr>
      <w:r w:rsidRPr="009B7987">
        <w:separator/>
      </w:r>
    </w:p>
  </w:footnote>
  <w:footnote w:type="continuationSeparator" w:id="0">
    <w:p w14:paraId="487B471F" w14:textId="77777777" w:rsidR="00E03C77" w:rsidRPr="009B7987" w:rsidRDefault="00E03C77" w:rsidP="00B30448">
      <w:pPr>
        <w:spacing w:after="0" w:line="240" w:lineRule="auto"/>
      </w:pPr>
      <w:r w:rsidRPr="009B7987">
        <w:continuationSeparator/>
      </w:r>
    </w:p>
  </w:footnote>
  <w:footnote w:type="continuationNotice" w:id="1">
    <w:p w14:paraId="6F89CCF5" w14:textId="77777777" w:rsidR="00E03C77" w:rsidRPr="009B7987" w:rsidRDefault="00E03C77">
      <w:pPr>
        <w:spacing w:after="0" w:line="240" w:lineRule="auto"/>
      </w:pPr>
    </w:p>
  </w:footnote>
  <w:footnote w:id="2">
    <w:p w14:paraId="40F8E7FD" w14:textId="77777777" w:rsidR="007A2CB0" w:rsidRPr="00797430" w:rsidRDefault="007A2CB0" w:rsidP="00797430">
      <w:pPr>
        <w:spacing w:after="0" w:line="240" w:lineRule="auto"/>
        <w:ind w:firstLine="707"/>
        <w:jc w:val="both"/>
        <w:rPr>
          <w:rFonts w:ascii="Verdana" w:hAnsi="Verdana" w:cs="Arial"/>
          <w:sz w:val="14"/>
          <w:szCs w:val="14"/>
        </w:rPr>
      </w:pPr>
      <w:r w:rsidRPr="00797430">
        <w:rPr>
          <w:rStyle w:val="Refdenotaalpie"/>
          <w:rFonts w:ascii="Verdana" w:hAnsi="Verdana" w:cs="Arial"/>
          <w:sz w:val="14"/>
          <w:szCs w:val="14"/>
        </w:rPr>
        <w:footnoteRef/>
      </w:r>
      <w:r w:rsidRPr="00797430">
        <w:rPr>
          <w:rFonts w:ascii="Verdana" w:hAnsi="Verdana" w:cs="Arial"/>
          <w:position w:val="6"/>
          <w:sz w:val="14"/>
          <w:szCs w:val="14"/>
        </w:rPr>
        <w:t xml:space="preserve"> </w:t>
      </w:r>
      <w:r w:rsidRPr="00797430">
        <w:rPr>
          <w:rFonts w:ascii="Verdana" w:hAnsi="Verdana" w:cs="Arial"/>
          <w:sz w:val="14"/>
          <w:szCs w:val="14"/>
        </w:rPr>
        <w:t>DEIK ACOSTAMADIEDO, Carolina, Guía de Contratación Estatal: Deber de planeación y modalidades de selección, Buenos Aires, 2015, p. 59.</w:t>
      </w:r>
    </w:p>
    <w:p w14:paraId="27E89B92" w14:textId="77777777" w:rsidR="007A2CB0" w:rsidRPr="00797430" w:rsidRDefault="007A2CB0" w:rsidP="00797430">
      <w:pPr>
        <w:pStyle w:val="Textonotapie"/>
        <w:jc w:val="both"/>
        <w:rPr>
          <w:rFonts w:ascii="Verdana" w:hAnsi="Verdana" w:cs="Arial"/>
          <w:sz w:val="14"/>
          <w:szCs w:val="14"/>
        </w:rPr>
      </w:pPr>
    </w:p>
  </w:footnote>
  <w:footnote w:id="3">
    <w:p w14:paraId="21A4EE88" w14:textId="08227913" w:rsidR="007A2CB0" w:rsidRDefault="007A2CB0" w:rsidP="00797430">
      <w:pPr>
        <w:pStyle w:val="Textoindependiente"/>
        <w:spacing w:before="0" w:beforeAutospacing="0" w:after="0" w:afterAutospacing="0"/>
        <w:ind w:firstLine="709"/>
        <w:jc w:val="both"/>
        <w:rPr>
          <w:rFonts w:ascii="Verdana" w:hAnsi="Verdana" w:cs="Arial"/>
          <w:sz w:val="14"/>
          <w:szCs w:val="14"/>
        </w:rPr>
      </w:pPr>
      <w:r w:rsidRPr="00797430">
        <w:rPr>
          <w:rStyle w:val="Refdenotaalpie"/>
          <w:rFonts w:ascii="Verdana" w:hAnsi="Verdana" w:cs="Arial"/>
          <w:sz w:val="14"/>
          <w:szCs w:val="14"/>
        </w:rPr>
        <w:footnoteRef/>
      </w:r>
      <w:r w:rsidRPr="00797430">
        <w:rPr>
          <w:rFonts w:ascii="Verdana" w:hAnsi="Verdana" w:cs="Arial"/>
          <w:sz w:val="14"/>
          <w:szCs w:val="14"/>
        </w:rPr>
        <w:t xml:space="preserve"> </w:t>
      </w:r>
      <w:r w:rsidRPr="00797430">
        <w:rPr>
          <w:rFonts w:ascii="Verdana" w:hAnsi="Verdana" w:cs="Arial"/>
          <w:position w:val="6"/>
          <w:sz w:val="14"/>
          <w:szCs w:val="14"/>
        </w:rPr>
        <w:t xml:space="preserve"> </w:t>
      </w:r>
      <w:r w:rsidR="00797430">
        <w:rPr>
          <w:rFonts w:ascii="Verdana" w:hAnsi="Verdana" w:cs="Arial"/>
          <w:sz w:val="14"/>
          <w:szCs w:val="14"/>
        </w:rPr>
        <w:t>“</w:t>
      </w:r>
      <w:r w:rsidRPr="00797430">
        <w:rPr>
          <w:rFonts w:ascii="Verdana" w:hAnsi="Verdana" w:cs="Arial"/>
          <w:sz w:val="14"/>
          <w:szCs w:val="14"/>
        </w:rPr>
        <w:t xml:space="preserve">Artículo </w:t>
      </w:r>
      <w:bookmarkStart w:id="4" w:name="_Hlk54173885"/>
      <w:r w:rsidRPr="00797430">
        <w:rPr>
          <w:rFonts w:ascii="Verdana" w:hAnsi="Verdana" w:cs="Arial"/>
          <w:sz w:val="14"/>
          <w:szCs w:val="14"/>
        </w:rPr>
        <w:t>2.2.1.1.2.1.1</w:t>
      </w:r>
      <w:bookmarkEnd w:id="4"/>
      <w:r w:rsidRPr="00797430">
        <w:rPr>
          <w:rFonts w:ascii="Verdana" w:hAnsi="Verdana" w:cs="Arial"/>
          <w:sz w:val="14"/>
          <w:szCs w:val="14"/>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r w:rsidR="00797430">
        <w:rPr>
          <w:rFonts w:ascii="Verdana" w:hAnsi="Verdana" w:cs="Arial"/>
          <w:sz w:val="14"/>
          <w:szCs w:val="14"/>
        </w:rPr>
        <w:t>”</w:t>
      </w:r>
      <w:r w:rsidRPr="00797430">
        <w:rPr>
          <w:rFonts w:ascii="Verdana" w:hAnsi="Verdana" w:cs="Arial"/>
          <w:sz w:val="14"/>
          <w:szCs w:val="14"/>
        </w:rPr>
        <w:t>.</w:t>
      </w:r>
    </w:p>
    <w:p w14:paraId="14A93AEF" w14:textId="77777777" w:rsidR="00797430" w:rsidRPr="00797430" w:rsidRDefault="00797430" w:rsidP="00797430">
      <w:pPr>
        <w:pStyle w:val="Textoindependiente"/>
        <w:spacing w:before="0" w:beforeAutospacing="0" w:after="0" w:afterAutospacing="0"/>
        <w:ind w:firstLine="709"/>
        <w:jc w:val="both"/>
        <w:rPr>
          <w:rFonts w:ascii="Verdana" w:hAnsi="Verdana" w:cs="Arial"/>
          <w:sz w:val="14"/>
          <w:szCs w:val="14"/>
        </w:rPr>
      </w:pPr>
    </w:p>
  </w:footnote>
  <w:footnote w:id="4">
    <w:p w14:paraId="4F5F9D9D" w14:textId="229A67CB" w:rsidR="007A2CB0" w:rsidRPr="00797430" w:rsidRDefault="007A2CB0" w:rsidP="00797430">
      <w:pPr>
        <w:pStyle w:val="Textoindependiente"/>
        <w:spacing w:before="0" w:beforeAutospacing="0" w:after="0" w:afterAutospacing="0"/>
        <w:ind w:firstLine="709"/>
        <w:jc w:val="both"/>
        <w:rPr>
          <w:rFonts w:ascii="Verdana" w:hAnsi="Verdana" w:cs="Arial"/>
          <w:sz w:val="14"/>
          <w:szCs w:val="14"/>
        </w:rPr>
      </w:pPr>
      <w:r w:rsidRPr="00797430">
        <w:rPr>
          <w:rStyle w:val="Refdenotaalpie"/>
          <w:rFonts w:ascii="Verdana" w:hAnsi="Verdana" w:cs="Arial"/>
          <w:sz w:val="14"/>
          <w:szCs w:val="14"/>
        </w:rPr>
        <w:footnoteRef/>
      </w:r>
      <w:r w:rsidRPr="00797430">
        <w:rPr>
          <w:rFonts w:ascii="Verdana" w:hAnsi="Verdana" w:cs="Arial"/>
          <w:sz w:val="14"/>
          <w:szCs w:val="14"/>
        </w:rPr>
        <w:t xml:space="preserve"> Consejo de Estado. Sección Tercera. Subsección B. Sentencia del 31 de agosto de 2011. </w:t>
      </w:r>
      <w:proofErr w:type="spellStart"/>
      <w:r w:rsidRPr="00797430">
        <w:rPr>
          <w:rFonts w:ascii="Verdana" w:hAnsi="Verdana" w:cs="Arial"/>
          <w:sz w:val="14"/>
          <w:szCs w:val="14"/>
        </w:rPr>
        <w:t>Exp</w:t>
      </w:r>
      <w:proofErr w:type="spellEnd"/>
      <w:r w:rsidRPr="00797430">
        <w:rPr>
          <w:rFonts w:ascii="Verdana" w:hAnsi="Verdana" w:cs="Arial"/>
          <w:sz w:val="14"/>
          <w:szCs w:val="14"/>
        </w:rPr>
        <w:t xml:space="preserve">. 18.080. C.P. Ruth Stella Correa Palacio: </w:t>
      </w:r>
      <w:r w:rsidR="00797430">
        <w:rPr>
          <w:rFonts w:ascii="Verdana" w:hAnsi="Verdana" w:cs="Arial"/>
          <w:sz w:val="14"/>
          <w:szCs w:val="14"/>
        </w:rPr>
        <w:t>“</w:t>
      </w:r>
      <w:r w:rsidRPr="00797430">
        <w:rPr>
          <w:rFonts w:ascii="Verdana" w:hAnsi="Verdana" w:cs="Arial"/>
          <w:sz w:val="14"/>
          <w:szCs w:val="14"/>
        </w:rPr>
        <w:t>(…)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r w:rsidR="00797430">
        <w:rPr>
          <w:rFonts w:ascii="Verdana" w:hAnsi="Verdana" w:cs="Arial"/>
          <w:sz w:val="14"/>
          <w:szCs w:val="14"/>
        </w:rPr>
        <w:t>”.</w:t>
      </w:r>
    </w:p>
  </w:footnote>
  <w:footnote w:id="5">
    <w:p w14:paraId="222E7172" w14:textId="77777777" w:rsidR="007A2CB0" w:rsidRPr="00797430" w:rsidRDefault="007A2CB0" w:rsidP="00797430">
      <w:pPr>
        <w:pStyle w:val="Textonotapie"/>
        <w:ind w:firstLine="709"/>
        <w:jc w:val="both"/>
        <w:rPr>
          <w:rFonts w:ascii="Verdana" w:hAnsi="Verdana" w:cs="Arial"/>
          <w:color w:val="000000" w:themeColor="text1"/>
          <w:sz w:val="14"/>
          <w:szCs w:val="14"/>
        </w:rPr>
      </w:pPr>
      <w:r w:rsidRPr="00797430">
        <w:rPr>
          <w:rStyle w:val="Refdenotaalpie"/>
          <w:rFonts w:ascii="Verdana" w:hAnsi="Verdana" w:cs="Arial"/>
          <w:sz w:val="14"/>
          <w:szCs w:val="14"/>
        </w:rPr>
        <w:footnoteRef/>
      </w:r>
      <w:r w:rsidRPr="00797430">
        <w:rPr>
          <w:rFonts w:ascii="Verdana" w:hAnsi="Verdana" w:cs="Arial"/>
          <w:sz w:val="14"/>
          <w:szCs w:val="14"/>
        </w:rPr>
        <w:t xml:space="preserve"> </w:t>
      </w:r>
      <w:r w:rsidRPr="00797430">
        <w:rPr>
          <w:rFonts w:ascii="Verdana" w:hAnsi="Verdana" w:cs="Arial"/>
          <w:sz w:val="14"/>
          <w:szCs w:val="14"/>
          <w:lang w:val="es-CO"/>
        </w:rPr>
        <w:t xml:space="preserve">La Versión 02 de esta Guía fue adoptada el 24 de junio de 2022. Disponible en </w:t>
      </w:r>
      <w:hyperlink r:id="rId1" w:history="1">
        <w:r w:rsidRPr="00797430">
          <w:rPr>
            <w:rStyle w:val="Hipervnculo"/>
            <w:rFonts w:ascii="Verdana" w:hAnsi="Verdana" w:cs="Arial"/>
            <w:color w:val="000000" w:themeColor="text1"/>
            <w:sz w:val="14"/>
            <w:szCs w:val="14"/>
          </w:rPr>
          <w:t>https://colombiacompra.gov.co/sites/cce_public/files/cce_documentos/cce-eicp-gi-18._gees_v.2_2.pdf</w:t>
        </w:r>
      </w:hyperlink>
      <w:r w:rsidRPr="00797430">
        <w:rPr>
          <w:rFonts w:ascii="Verdana" w:hAnsi="Verdana" w:cs="Arial"/>
          <w:color w:val="000000" w:themeColor="text1"/>
          <w:sz w:val="14"/>
          <w:szCs w:val="14"/>
        </w:rPr>
        <w:t xml:space="preserve">  </w:t>
      </w:r>
    </w:p>
    <w:p w14:paraId="6AC2DAFC" w14:textId="77777777" w:rsidR="007A2CB0" w:rsidRPr="00797430" w:rsidRDefault="007A2CB0" w:rsidP="00797430">
      <w:pPr>
        <w:pStyle w:val="Textonotapie"/>
        <w:ind w:firstLine="709"/>
        <w:jc w:val="both"/>
        <w:rPr>
          <w:rFonts w:ascii="Verdana" w:hAnsi="Verdana" w:cs="Arial"/>
          <w:sz w:val="14"/>
          <w:szCs w:val="14"/>
          <w:lang w:val="es-CO"/>
        </w:rPr>
      </w:pPr>
    </w:p>
  </w:footnote>
  <w:footnote w:id="6">
    <w:p w14:paraId="5057D4B5" w14:textId="77777777" w:rsidR="007A2CB0" w:rsidRPr="00797430" w:rsidRDefault="007A2CB0" w:rsidP="00797430">
      <w:pPr>
        <w:pStyle w:val="Textonotapie"/>
        <w:ind w:firstLine="709"/>
        <w:jc w:val="both"/>
        <w:rPr>
          <w:rFonts w:ascii="Verdana" w:hAnsi="Verdana" w:cs="Arial"/>
          <w:sz w:val="14"/>
          <w:szCs w:val="14"/>
          <w:lang w:val="es-ES"/>
        </w:rPr>
      </w:pPr>
      <w:r w:rsidRPr="00797430">
        <w:rPr>
          <w:rStyle w:val="Refdenotaalpie"/>
          <w:rFonts w:ascii="Verdana" w:hAnsi="Verdana" w:cs="Arial"/>
          <w:sz w:val="14"/>
          <w:szCs w:val="14"/>
        </w:rPr>
        <w:footnoteRef/>
      </w:r>
      <w:r w:rsidRPr="00797430">
        <w:rPr>
          <w:rFonts w:ascii="Verdana" w:hAnsi="Verdana" w:cs="Arial"/>
          <w:sz w:val="14"/>
          <w:szCs w:val="14"/>
        </w:rPr>
        <w:t xml:space="preserve"> De conformidad con lo indicado en la Guía, e</w:t>
      </w:r>
      <w:r w:rsidRPr="00797430">
        <w:rPr>
          <w:rFonts w:ascii="Verdana" w:hAnsi="Verdana" w:cs="Arial"/>
          <w:sz w:val="14"/>
          <w:szCs w:val="14"/>
          <w:lang w:val="es-ES"/>
        </w:rPr>
        <w:t>l MAE hace parte de la Política de Compras y Contratación Pública, enmarcada dentro del Modelo Integrado de Planeación y Gestión- MIPG, y se articula con las demás buenas prácticas y herramientas usadas en los procesos de compra y contratación estatal que han sido desarrolladas por la Agencia Nacional de Contratación Pública – Colombia Compra Eficiente, con el fin de generar una mayor eficiencia, transparencia y optimización de los recursos del Estado.</w:t>
      </w:r>
    </w:p>
  </w:footnote>
  <w:footnote w:id="7">
    <w:p w14:paraId="5487F174" w14:textId="77777777" w:rsidR="007A2CB0" w:rsidRPr="00797430" w:rsidRDefault="007A2CB0" w:rsidP="00797430">
      <w:pPr>
        <w:pStyle w:val="Textonotapie"/>
        <w:ind w:firstLine="708"/>
        <w:jc w:val="both"/>
        <w:rPr>
          <w:rFonts w:ascii="Verdana" w:hAnsi="Verdana" w:cs="Arial"/>
          <w:sz w:val="14"/>
          <w:szCs w:val="14"/>
        </w:rPr>
      </w:pPr>
      <w:r w:rsidRPr="00797430">
        <w:rPr>
          <w:rStyle w:val="Refdenotaalpie"/>
          <w:rFonts w:ascii="Verdana" w:hAnsi="Verdana" w:cs="Arial"/>
          <w:sz w:val="14"/>
          <w:szCs w:val="14"/>
        </w:rPr>
        <w:footnoteRef/>
      </w:r>
      <w:r w:rsidRPr="00797430">
        <w:rPr>
          <w:rFonts w:ascii="Verdana" w:hAnsi="Verdana" w:cs="Arial"/>
          <w:sz w:val="14"/>
          <w:szCs w:val="14"/>
        </w:rPr>
        <w:t xml:space="preserve"> Consejo de Estado. Sección Tercera. Sentencia del 27 de abril de 2011. </w:t>
      </w:r>
      <w:proofErr w:type="spellStart"/>
      <w:r w:rsidRPr="00797430">
        <w:rPr>
          <w:rFonts w:ascii="Verdana" w:hAnsi="Verdana" w:cs="Arial"/>
          <w:sz w:val="14"/>
          <w:szCs w:val="14"/>
        </w:rPr>
        <w:t>Exp</w:t>
      </w:r>
      <w:proofErr w:type="spellEnd"/>
      <w:r w:rsidRPr="00797430">
        <w:rPr>
          <w:rFonts w:ascii="Verdana" w:hAnsi="Verdana" w:cs="Arial"/>
          <w:sz w:val="14"/>
          <w:szCs w:val="14"/>
        </w:rPr>
        <w:t>. 18.293. C.P. Ruth Stella Correa Palacio.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4"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0"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5"/>
  </w:num>
  <w:num w:numId="3" w16cid:durableId="679089576">
    <w:abstractNumId w:val="8"/>
  </w:num>
  <w:num w:numId="4" w16cid:durableId="893472101">
    <w:abstractNumId w:val="2"/>
  </w:num>
  <w:num w:numId="5" w16cid:durableId="1982299905">
    <w:abstractNumId w:val="15"/>
  </w:num>
  <w:num w:numId="6" w16cid:durableId="130758360">
    <w:abstractNumId w:val="10"/>
  </w:num>
  <w:num w:numId="7" w16cid:durableId="262541512">
    <w:abstractNumId w:val="14"/>
  </w:num>
  <w:num w:numId="8" w16cid:durableId="1947226218">
    <w:abstractNumId w:val="7"/>
  </w:num>
  <w:num w:numId="9" w16cid:durableId="1180706126">
    <w:abstractNumId w:val="9"/>
  </w:num>
  <w:num w:numId="10" w16cid:durableId="2097506960">
    <w:abstractNumId w:val="13"/>
  </w:num>
  <w:num w:numId="11" w16cid:durableId="1977490869">
    <w:abstractNumId w:val="12"/>
  </w:num>
  <w:num w:numId="12" w16cid:durableId="158663248">
    <w:abstractNumId w:val="11"/>
  </w:num>
  <w:num w:numId="13" w16cid:durableId="2024085788">
    <w:abstractNumId w:val="1"/>
  </w:num>
  <w:num w:numId="14" w16cid:durableId="1885099950">
    <w:abstractNumId w:val="6"/>
  </w:num>
  <w:num w:numId="15" w16cid:durableId="32047459">
    <w:abstractNumId w:val="3"/>
  </w:num>
  <w:num w:numId="16" w16cid:durableId="11922618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1025F"/>
    <w:rsid w:val="0001155E"/>
    <w:rsid w:val="00011613"/>
    <w:rsid w:val="00011D3C"/>
    <w:rsid w:val="0001222D"/>
    <w:rsid w:val="00012EDA"/>
    <w:rsid w:val="00013B3F"/>
    <w:rsid w:val="00014981"/>
    <w:rsid w:val="00014B0D"/>
    <w:rsid w:val="00016280"/>
    <w:rsid w:val="0001672C"/>
    <w:rsid w:val="00016F04"/>
    <w:rsid w:val="00017870"/>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3390"/>
    <w:rsid w:val="000361EA"/>
    <w:rsid w:val="000369C0"/>
    <w:rsid w:val="00037A8B"/>
    <w:rsid w:val="00040372"/>
    <w:rsid w:val="000408AD"/>
    <w:rsid w:val="00041469"/>
    <w:rsid w:val="000419D7"/>
    <w:rsid w:val="00042DD7"/>
    <w:rsid w:val="000442CC"/>
    <w:rsid w:val="000442DE"/>
    <w:rsid w:val="00044B24"/>
    <w:rsid w:val="0004508D"/>
    <w:rsid w:val="0004709D"/>
    <w:rsid w:val="000504AA"/>
    <w:rsid w:val="0005086B"/>
    <w:rsid w:val="00050C95"/>
    <w:rsid w:val="00050CAD"/>
    <w:rsid w:val="0005142D"/>
    <w:rsid w:val="00051A3C"/>
    <w:rsid w:val="00051BE4"/>
    <w:rsid w:val="000526A8"/>
    <w:rsid w:val="0005420B"/>
    <w:rsid w:val="000551CB"/>
    <w:rsid w:val="0005620B"/>
    <w:rsid w:val="00057392"/>
    <w:rsid w:val="000577A2"/>
    <w:rsid w:val="000577D3"/>
    <w:rsid w:val="00057963"/>
    <w:rsid w:val="000579AB"/>
    <w:rsid w:val="00060AE4"/>
    <w:rsid w:val="000622B9"/>
    <w:rsid w:val="00064721"/>
    <w:rsid w:val="00065973"/>
    <w:rsid w:val="00065C6D"/>
    <w:rsid w:val="00066646"/>
    <w:rsid w:val="00066C7A"/>
    <w:rsid w:val="000716AB"/>
    <w:rsid w:val="00071AB8"/>
    <w:rsid w:val="0007243A"/>
    <w:rsid w:val="000762C0"/>
    <w:rsid w:val="00076C2B"/>
    <w:rsid w:val="00076C73"/>
    <w:rsid w:val="00076F81"/>
    <w:rsid w:val="000779DE"/>
    <w:rsid w:val="000800B6"/>
    <w:rsid w:val="000847A0"/>
    <w:rsid w:val="00084BFD"/>
    <w:rsid w:val="00087073"/>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85"/>
    <w:rsid w:val="000A021A"/>
    <w:rsid w:val="000A1828"/>
    <w:rsid w:val="000A1D06"/>
    <w:rsid w:val="000A1F38"/>
    <w:rsid w:val="000A2030"/>
    <w:rsid w:val="000A413A"/>
    <w:rsid w:val="000A4F1E"/>
    <w:rsid w:val="000A5881"/>
    <w:rsid w:val="000A66A1"/>
    <w:rsid w:val="000A69FB"/>
    <w:rsid w:val="000B1087"/>
    <w:rsid w:val="000B199A"/>
    <w:rsid w:val="000B1FF7"/>
    <w:rsid w:val="000B2529"/>
    <w:rsid w:val="000B2B7C"/>
    <w:rsid w:val="000B381D"/>
    <w:rsid w:val="000B3DD4"/>
    <w:rsid w:val="000B4024"/>
    <w:rsid w:val="000B44BA"/>
    <w:rsid w:val="000B5313"/>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D0372"/>
    <w:rsid w:val="000D2914"/>
    <w:rsid w:val="000D2E60"/>
    <w:rsid w:val="000D2F50"/>
    <w:rsid w:val="000D3275"/>
    <w:rsid w:val="000D3A1B"/>
    <w:rsid w:val="000D5008"/>
    <w:rsid w:val="000D570C"/>
    <w:rsid w:val="000D5A0F"/>
    <w:rsid w:val="000D5B1E"/>
    <w:rsid w:val="000D5D9B"/>
    <w:rsid w:val="000D5E3F"/>
    <w:rsid w:val="000D6532"/>
    <w:rsid w:val="000D6E33"/>
    <w:rsid w:val="000E0622"/>
    <w:rsid w:val="000E07AA"/>
    <w:rsid w:val="000E1D6F"/>
    <w:rsid w:val="000E3381"/>
    <w:rsid w:val="000E3744"/>
    <w:rsid w:val="000E3CD9"/>
    <w:rsid w:val="000E481D"/>
    <w:rsid w:val="000E4DBF"/>
    <w:rsid w:val="000E4DF2"/>
    <w:rsid w:val="000F0144"/>
    <w:rsid w:val="000F0807"/>
    <w:rsid w:val="000F0B3C"/>
    <w:rsid w:val="000F13D5"/>
    <w:rsid w:val="000F1AD8"/>
    <w:rsid w:val="000F2F4C"/>
    <w:rsid w:val="000F38D9"/>
    <w:rsid w:val="000F3CED"/>
    <w:rsid w:val="000F414C"/>
    <w:rsid w:val="000F64FC"/>
    <w:rsid w:val="000F696E"/>
    <w:rsid w:val="000F718E"/>
    <w:rsid w:val="001001F2"/>
    <w:rsid w:val="00100207"/>
    <w:rsid w:val="001003C6"/>
    <w:rsid w:val="00100682"/>
    <w:rsid w:val="001010D3"/>
    <w:rsid w:val="00101C11"/>
    <w:rsid w:val="00102F4F"/>
    <w:rsid w:val="001034DD"/>
    <w:rsid w:val="00104425"/>
    <w:rsid w:val="00104B4C"/>
    <w:rsid w:val="001055A2"/>
    <w:rsid w:val="0010682A"/>
    <w:rsid w:val="00106C4C"/>
    <w:rsid w:val="00107DEF"/>
    <w:rsid w:val="0011037E"/>
    <w:rsid w:val="00110404"/>
    <w:rsid w:val="00110F73"/>
    <w:rsid w:val="00111E35"/>
    <w:rsid w:val="001128B4"/>
    <w:rsid w:val="00112EBD"/>
    <w:rsid w:val="001132C2"/>
    <w:rsid w:val="0011382D"/>
    <w:rsid w:val="00113AF2"/>
    <w:rsid w:val="00113C17"/>
    <w:rsid w:val="00114051"/>
    <w:rsid w:val="00114FDF"/>
    <w:rsid w:val="0011650B"/>
    <w:rsid w:val="00116616"/>
    <w:rsid w:val="00116FC5"/>
    <w:rsid w:val="00117BBD"/>
    <w:rsid w:val="001213E7"/>
    <w:rsid w:val="001224BA"/>
    <w:rsid w:val="001238BC"/>
    <w:rsid w:val="00124518"/>
    <w:rsid w:val="001248AB"/>
    <w:rsid w:val="00124981"/>
    <w:rsid w:val="00124B2E"/>
    <w:rsid w:val="00125D81"/>
    <w:rsid w:val="00126301"/>
    <w:rsid w:val="0012661F"/>
    <w:rsid w:val="001269B0"/>
    <w:rsid w:val="00126B24"/>
    <w:rsid w:val="00127234"/>
    <w:rsid w:val="001276C4"/>
    <w:rsid w:val="00127C68"/>
    <w:rsid w:val="00127D5B"/>
    <w:rsid w:val="00131373"/>
    <w:rsid w:val="001314A0"/>
    <w:rsid w:val="00131A1F"/>
    <w:rsid w:val="00131A66"/>
    <w:rsid w:val="00131F9C"/>
    <w:rsid w:val="00132336"/>
    <w:rsid w:val="0013280A"/>
    <w:rsid w:val="0013343F"/>
    <w:rsid w:val="001344F9"/>
    <w:rsid w:val="00135F76"/>
    <w:rsid w:val="001360E9"/>
    <w:rsid w:val="001360F4"/>
    <w:rsid w:val="001363C7"/>
    <w:rsid w:val="00136E87"/>
    <w:rsid w:val="00140793"/>
    <w:rsid w:val="001422BD"/>
    <w:rsid w:val="0014286D"/>
    <w:rsid w:val="00143B8E"/>
    <w:rsid w:val="00143F21"/>
    <w:rsid w:val="0014420C"/>
    <w:rsid w:val="001446C3"/>
    <w:rsid w:val="001461A7"/>
    <w:rsid w:val="00146946"/>
    <w:rsid w:val="00146E7C"/>
    <w:rsid w:val="001513CE"/>
    <w:rsid w:val="00151465"/>
    <w:rsid w:val="00151AD8"/>
    <w:rsid w:val="00151E77"/>
    <w:rsid w:val="00153287"/>
    <w:rsid w:val="001538BE"/>
    <w:rsid w:val="00153C33"/>
    <w:rsid w:val="00155198"/>
    <w:rsid w:val="00155EF1"/>
    <w:rsid w:val="00156192"/>
    <w:rsid w:val="00156E57"/>
    <w:rsid w:val="0015710D"/>
    <w:rsid w:val="00157338"/>
    <w:rsid w:val="00157DEB"/>
    <w:rsid w:val="001610BC"/>
    <w:rsid w:val="00161847"/>
    <w:rsid w:val="00161E13"/>
    <w:rsid w:val="001629D8"/>
    <w:rsid w:val="00162B2A"/>
    <w:rsid w:val="00162B8D"/>
    <w:rsid w:val="00162F9F"/>
    <w:rsid w:val="00164803"/>
    <w:rsid w:val="00164AE0"/>
    <w:rsid w:val="00165BF5"/>
    <w:rsid w:val="0016646A"/>
    <w:rsid w:val="00167C43"/>
    <w:rsid w:val="0017120C"/>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65BB"/>
    <w:rsid w:val="0017667E"/>
    <w:rsid w:val="00176AE8"/>
    <w:rsid w:val="00176E76"/>
    <w:rsid w:val="00177570"/>
    <w:rsid w:val="00177E95"/>
    <w:rsid w:val="0018007F"/>
    <w:rsid w:val="001811FC"/>
    <w:rsid w:val="00182338"/>
    <w:rsid w:val="00182348"/>
    <w:rsid w:val="00183F50"/>
    <w:rsid w:val="00184BD9"/>
    <w:rsid w:val="00184ED6"/>
    <w:rsid w:val="00184F13"/>
    <w:rsid w:val="00184FD9"/>
    <w:rsid w:val="00186037"/>
    <w:rsid w:val="00186D14"/>
    <w:rsid w:val="001876D8"/>
    <w:rsid w:val="00190325"/>
    <w:rsid w:val="00190391"/>
    <w:rsid w:val="00191593"/>
    <w:rsid w:val="001918F1"/>
    <w:rsid w:val="0019196E"/>
    <w:rsid w:val="00191FF5"/>
    <w:rsid w:val="001926D7"/>
    <w:rsid w:val="00192CCE"/>
    <w:rsid w:val="0019385B"/>
    <w:rsid w:val="00193F1C"/>
    <w:rsid w:val="001948F5"/>
    <w:rsid w:val="00194958"/>
    <w:rsid w:val="00197205"/>
    <w:rsid w:val="0019793F"/>
    <w:rsid w:val="00197A9D"/>
    <w:rsid w:val="001A17D7"/>
    <w:rsid w:val="001A1FDD"/>
    <w:rsid w:val="001A2D8F"/>
    <w:rsid w:val="001A3D89"/>
    <w:rsid w:val="001A545B"/>
    <w:rsid w:val="001A54DA"/>
    <w:rsid w:val="001A6861"/>
    <w:rsid w:val="001A6FEC"/>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E89"/>
    <w:rsid w:val="001C0125"/>
    <w:rsid w:val="001C1074"/>
    <w:rsid w:val="001C25F5"/>
    <w:rsid w:val="001C34D0"/>
    <w:rsid w:val="001C4249"/>
    <w:rsid w:val="001C4F27"/>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E0902"/>
    <w:rsid w:val="001E1801"/>
    <w:rsid w:val="001E1C73"/>
    <w:rsid w:val="001E1E05"/>
    <w:rsid w:val="001E22D2"/>
    <w:rsid w:val="001E2343"/>
    <w:rsid w:val="001E3A17"/>
    <w:rsid w:val="001E3FCB"/>
    <w:rsid w:val="001E52DF"/>
    <w:rsid w:val="001E6BCB"/>
    <w:rsid w:val="001E783B"/>
    <w:rsid w:val="001E7FBC"/>
    <w:rsid w:val="001F0822"/>
    <w:rsid w:val="001F08CB"/>
    <w:rsid w:val="001F15F6"/>
    <w:rsid w:val="001F179C"/>
    <w:rsid w:val="001F24B7"/>
    <w:rsid w:val="001F2649"/>
    <w:rsid w:val="001F3496"/>
    <w:rsid w:val="001F41CA"/>
    <w:rsid w:val="001F4355"/>
    <w:rsid w:val="001F4819"/>
    <w:rsid w:val="001F61DE"/>
    <w:rsid w:val="001F7054"/>
    <w:rsid w:val="002000AA"/>
    <w:rsid w:val="00201502"/>
    <w:rsid w:val="0020302A"/>
    <w:rsid w:val="002032A0"/>
    <w:rsid w:val="00203532"/>
    <w:rsid w:val="00203AE0"/>
    <w:rsid w:val="00204106"/>
    <w:rsid w:val="00204109"/>
    <w:rsid w:val="00205041"/>
    <w:rsid w:val="0020524C"/>
    <w:rsid w:val="002059E3"/>
    <w:rsid w:val="002118D1"/>
    <w:rsid w:val="00211DCE"/>
    <w:rsid w:val="00212390"/>
    <w:rsid w:val="00212897"/>
    <w:rsid w:val="0021386A"/>
    <w:rsid w:val="00213C44"/>
    <w:rsid w:val="002147EE"/>
    <w:rsid w:val="00215516"/>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5AB"/>
    <w:rsid w:val="002231B0"/>
    <w:rsid w:val="002250D1"/>
    <w:rsid w:val="002267D2"/>
    <w:rsid w:val="00230839"/>
    <w:rsid w:val="00231ADB"/>
    <w:rsid w:val="00232178"/>
    <w:rsid w:val="00232248"/>
    <w:rsid w:val="00232D12"/>
    <w:rsid w:val="00233975"/>
    <w:rsid w:val="002353E3"/>
    <w:rsid w:val="00235F30"/>
    <w:rsid w:val="00236287"/>
    <w:rsid w:val="002363FF"/>
    <w:rsid w:val="00236D10"/>
    <w:rsid w:val="002407CE"/>
    <w:rsid w:val="00242325"/>
    <w:rsid w:val="00243A38"/>
    <w:rsid w:val="0024474F"/>
    <w:rsid w:val="00244761"/>
    <w:rsid w:val="002450F2"/>
    <w:rsid w:val="00245B7F"/>
    <w:rsid w:val="002469C2"/>
    <w:rsid w:val="00247BDE"/>
    <w:rsid w:val="00247DE2"/>
    <w:rsid w:val="002505DE"/>
    <w:rsid w:val="002514FA"/>
    <w:rsid w:val="00252503"/>
    <w:rsid w:val="00252ED7"/>
    <w:rsid w:val="0025393C"/>
    <w:rsid w:val="002549E7"/>
    <w:rsid w:val="00254A7A"/>
    <w:rsid w:val="00254EA4"/>
    <w:rsid w:val="0025509C"/>
    <w:rsid w:val="002552F8"/>
    <w:rsid w:val="0025575F"/>
    <w:rsid w:val="002571E3"/>
    <w:rsid w:val="00260496"/>
    <w:rsid w:val="00260542"/>
    <w:rsid w:val="00260BAD"/>
    <w:rsid w:val="0026224C"/>
    <w:rsid w:val="00264C7C"/>
    <w:rsid w:val="0026650F"/>
    <w:rsid w:val="00266DC3"/>
    <w:rsid w:val="0027029D"/>
    <w:rsid w:val="00270443"/>
    <w:rsid w:val="00270EE2"/>
    <w:rsid w:val="0027138C"/>
    <w:rsid w:val="00272787"/>
    <w:rsid w:val="00272826"/>
    <w:rsid w:val="00272A7B"/>
    <w:rsid w:val="00272C44"/>
    <w:rsid w:val="00273527"/>
    <w:rsid w:val="00273F6B"/>
    <w:rsid w:val="002747EF"/>
    <w:rsid w:val="00274B06"/>
    <w:rsid w:val="002751D6"/>
    <w:rsid w:val="002754D3"/>
    <w:rsid w:val="00276944"/>
    <w:rsid w:val="002769AE"/>
    <w:rsid w:val="002817A6"/>
    <w:rsid w:val="002821E8"/>
    <w:rsid w:val="00282F1D"/>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B64"/>
    <w:rsid w:val="00292E91"/>
    <w:rsid w:val="002930AD"/>
    <w:rsid w:val="00293254"/>
    <w:rsid w:val="00295002"/>
    <w:rsid w:val="0029568E"/>
    <w:rsid w:val="002971C7"/>
    <w:rsid w:val="002971F2"/>
    <w:rsid w:val="00297785"/>
    <w:rsid w:val="00297E05"/>
    <w:rsid w:val="002A0444"/>
    <w:rsid w:val="002A0F8D"/>
    <w:rsid w:val="002A1311"/>
    <w:rsid w:val="002A1377"/>
    <w:rsid w:val="002A211A"/>
    <w:rsid w:val="002A264B"/>
    <w:rsid w:val="002A4A82"/>
    <w:rsid w:val="002A4B33"/>
    <w:rsid w:val="002A5311"/>
    <w:rsid w:val="002A6E9B"/>
    <w:rsid w:val="002A6FBB"/>
    <w:rsid w:val="002B05D1"/>
    <w:rsid w:val="002B1933"/>
    <w:rsid w:val="002B20BD"/>
    <w:rsid w:val="002B2611"/>
    <w:rsid w:val="002B38D2"/>
    <w:rsid w:val="002B3A46"/>
    <w:rsid w:val="002B3F1C"/>
    <w:rsid w:val="002B4ED9"/>
    <w:rsid w:val="002B4EF4"/>
    <w:rsid w:val="002B58C5"/>
    <w:rsid w:val="002B6CA2"/>
    <w:rsid w:val="002B6E44"/>
    <w:rsid w:val="002B6E8A"/>
    <w:rsid w:val="002B726F"/>
    <w:rsid w:val="002B744E"/>
    <w:rsid w:val="002C000B"/>
    <w:rsid w:val="002C016F"/>
    <w:rsid w:val="002C09A8"/>
    <w:rsid w:val="002C103C"/>
    <w:rsid w:val="002C12C7"/>
    <w:rsid w:val="002C1E93"/>
    <w:rsid w:val="002C29EB"/>
    <w:rsid w:val="002C30F0"/>
    <w:rsid w:val="002C401A"/>
    <w:rsid w:val="002C532B"/>
    <w:rsid w:val="002C6D15"/>
    <w:rsid w:val="002C72F4"/>
    <w:rsid w:val="002C7E5B"/>
    <w:rsid w:val="002D0907"/>
    <w:rsid w:val="002D0E9E"/>
    <w:rsid w:val="002D1381"/>
    <w:rsid w:val="002D2D68"/>
    <w:rsid w:val="002D3067"/>
    <w:rsid w:val="002D38D9"/>
    <w:rsid w:val="002D4298"/>
    <w:rsid w:val="002D47E8"/>
    <w:rsid w:val="002D4FCC"/>
    <w:rsid w:val="002D68F4"/>
    <w:rsid w:val="002D7417"/>
    <w:rsid w:val="002D782B"/>
    <w:rsid w:val="002E0D9C"/>
    <w:rsid w:val="002E1247"/>
    <w:rsid w:val="002E26E8"/>
    <w:rsid w:val="002E3DD8"/>
    <w:rsid w:val="002E3ED8"/>
    <w:rsid w:val="002E5A01"/>
    <w:rsid w:val="002E5EA3"/>
    <w:rsid w:val="002E717C"/>
    <w:rsid w:val="002E7533"/>
    <w:rsid w:val="002E7A61"/>
    <w:rsid w:val="002F00B8"/>
    <w:rsid w:val="002F0106"/>
    <w:rsid w:val="002F03C8"/>
    <w:rsid w:val="002F188D"/>
    <w:rsid w:val="002F18A5"/>
    <w:rsid w:val="002F317F"/>
    <w:rsid w:val="002F51A2"/>
    <w:rsid w:val="002F5E95"/>
    <w:rsid w:val="002F63CA"/>
    <w:rsid w:val="002F67B4"/>
    <w:rsid w:val="002F6F73"/>
    <w:rsid w:val="002F7AA9"/>
    <w:rsid w:val="003004E3"/>
    <w:rsid w:val="00301C0D"/>
    <w:rsid w:val="00301D7B"/>
    <w:rsid w:val="00301E19"/>
    <w:rsid w:val="003023DE"/>
    <w:rsid w:val="00303DC4"/>
    <w:rsid w:val="00304676"/>
    <w:rsid w:val="00306BE7"/>
    <w:rsid w:val="00311B66"/>
    <w:rsid w:val="00311F29"/>
    <w:rsid w:val="00314036"/>
    <w:rsid w:val="00314347"/>
    <w:rsid w:val="00314C4F"/>
    <w:rsid w:val="00314FAF"/>
    <w:rsid w:val="003162A5"/>
    <w:rsid w:val="00316591"/>
    <w:rsid w:val="00320C6D"/>
    <w:rsid w:val="003213A8"/>
    <w:rsid w:val="00321FA8"/>
    <w:rsid w:val="00321FFD"/>
    <w:rsid w:val="00322E18"/>
    <w:rsid w:val="00323C3D"/>
    <w:rsid w:val="00323D1D"/>
    <w:rsid w:val="00323F8A"/>
    <w:rsid w:val="00324D73"/>
    <w:rsid w:val="00326011"/>
    <w:rsid w:val="0032643D"/>
    <w:rsid w:val="00326D02"/>
    <w:rsid w:val="00327069"/>
    <w:rsid w:val="00327812"/>
    <w:rsid w:val="00327AFB"/>
    <w:rsid w:val="00327BAF"/>
    <w:rsid w:val="00327D10"/>
    <w:rsid w:val="00332CB8"/>
    <w:rsid w:val="00333428"/>
    <w:rsid w:val="003350B6"/>
    <w:rsid w:val="0033595E"/>
    <w:rsid w:val="0033601B"/>
    <w:rsid w:val="003364B6"/>
    <w:rsid w:val="0033764C"/>
    <w:rsid w:val="00337DF3"/>
    <w:rsid w:val="00340039"/>
    <w:rsid w:val="003400D3"/>
    <w:rsid w:val="0034024F"/>
    <w:rsid w:val="00340A77"/>
    <w:rsid w:val="00340D39"/>
    <w:rsid w:val="00340DFB"/>
    <w:rsid w:val="00341941"/>
    <w:rsid w:val="0034207A"/>
    <w:rsid w:val="0034278F"/>
    <w:rsid w:val="00343B47"/>
    <w:rsid w:val="0034404F"/>
    <w:rsid w:val="00344ACC"/>
    <w:rsid w:val="00345F01"/>
    <w:rsid w:val="0034654F"/>
    <w:rsid w:val="00346B28"/>
    <w:rsid w:val="00347685"/>
    <w:rsid w:val="003509A5"/>
    <w:rsid w:val="00351E21"/>
    <w:rsid w:val="00352327"/>
    <w:rsid w:val="00354062"/>
    <w:rsid w:val="00354405"/>
    <w:rsid w:val="00355A76"/>
    <w:rsid w:val="0035635F"/>
    <w:rsid w:val="00356E0F"/>
    <w:rsid w:val="003607EE"/>
    <w:rsid w:val="00360BC8"/>
    <w:rsid w:val="00360E35"/>
    <w:rsid w:val="003617AE"/>
    <w:rsid w:val="0036215C"/>
    <w:rsid w:val="003630F7"/>
    <w:rsid w:val="00363589"/>
    <w:rsid w:val="00363636"/>
    <w:rsid w:val="003651AC"/>
    <w:rsid w:val="003653AA"/>
    <w:rsid w:val="00366120"/>
    <w:rsid w:val="003661FF"/>
    <w:rsid w:val="00366A0C"/>
    <w:rsid w:val="00367462"/>
    <w:rsid w:val="003677D5"/>
    <w:rsid w:val="003702D9"/>
    <w:rsid w:val="0037034B"/>
    <w:rsid w:val="00370507"/>
    <w:rsid w:val="00370682"/>
    <w:rsid w:val="003718D8"/>
    <w:rsid w:val="00372A01"/>
    <w:rsid w:val="003733DF"/>
    <w:rsid w:val="00373865"/>
    <w:rsid w:val="00373CE8"/>
    <w:rsid w:val="00374DB0"/>
    <w:rsid w:val="003751C7"/>
    <w:rsid w:val="00375C84"/>
    <w:rsid w:val="00376524"/>
    <w:rsid w:val="00376E3B"/>
    <w:rsid w:val="003776FE"/>
    <w:rsid w:val="00380424"/>
    <w:rsid w:val="00380868"/>
    <w:rsid w:val="00380B9B"/>
    <w:rsid w:val="003818B3"/>
    <w:rsid w:val="003819F5"/>
    <w:rsid w:val="00381B57"/>
    <w:rsid w:val="00381D47"/>
    <w:rsid w:val="003821CC"/>
    <w:rsid w:val="003835F0"/>
    <w:rsid w:val="003853B1"/>
    <w:rsid w:val="003853ED"/>
    <w:rsid w:val="00386421"/>
    <w:rsid w:val="00387AA1"/>
    <w:rsid w:val="0039082A"/>
    <w:rsid w:val="0039101F"/>
    <w:rsid w:val="00392EDB"/>
    <w:rsid w:val="00392FAE"/>
    <w:rsid w:val="003931AA"/>
    <w:rsid w:val="00393EEE"/>
    <w:rsid w:val="00394D45"/>
    <w:rsid w:val="00395132"/>
    <w:rsid w:val="00395D99"/>
    <w:rsid w:val="003968DF"/>
    <w:rsid w:val="003976C3"/>
    <w:rsid w:val="00397A64"/>
    <w:rsid w:val="003A099A"/>
    <w:rsid w:val="003A1372"/>
    <w:rsid w:val="003A2B82"/>
    <w:rsid w:val="003A3927"/>
    <w:rsid w:val="003A3FF7"/>
    <w:rsid w:val="003A43D1"/>
    <w:rsid w:val="003A6E29"/>
    <w:rsid w:val="003B0BDB"/>
    <w:rsid w:val="003B0E88"/>
    <w:rsid w:val="003B153F"/>
    <w:rsid w:val="003B17B0"/>
    <w:rsid w:val="003B1844"/>
    <w:rsid w:val="003B211E"/>
    <w:rsid w:val="003B24EA"/>
    <w:rsid w:val="003B2DA7"/>
    <w:rsid w:val="003B3AB7"/>
    <w:rsid w:val="003B3ABC"/>
    <w:rsid w:val="003B3D8E"/>
    <w:rsid w:val="003B3FED"/>
    <w:rsid w:val="003B3FF1"/>
    <w:rsid w:val="003B4217"/>
    <w:rsid w:val="003B59A1"/>
    <w:rsid w:val="003B7541"/>
    <w:rsid w:val="003B7F07"/>
    <w:rsid w:val="003B7FCE"/>
    <w:rsid w:val="003C0F87"/>
    <w:rsid w:val="003C141E"/>
    <w:rsid w:val="003C1B83"/>
    <w:rsid w:val="003C210E"/>
    <w:rsid w:val="003C21B3"/>
    <w:rsid w:val="003C3503"/>
    <w:rsid w:val="003C40DE"/>
    <w:rsid w:val="003C4851"/>
    <w:rsid w:val="003C4C96"/>
    <w:rsid w:val="003C55E0"/>
    <w:rsid w:val="003C5E39"/>
    <w:rsid w:val="003C683A"/>
    <w:rsid w:val="003D0079"/>
    <w:rsid w:val="003D10EC"/>
    <w:rsid w:val="003D29B9"/>
    <w:rsid w:val="003D3500"/>
    <w:rsid w:val="003D37B6"/>
    <w:rsid w:val="003D503A"/>
    <w:rsid w:val="003D71A6"/>
    <w:rsid w:val="003D7709"/>
    <w:rsid w:val="003E0BAF"/>
    <w:rsid w:val="003E0E25"/>
    <w:rsid w:val="003E1409"/>
    <w:rsid w:val="003E16F2"/>
    <w:rsid w:val="003E4A52"/>
    <w:rsid w:val="003E78A9"/>
    <w:rsid w:val="003E7912"/>
    <w:rsid w:val="003F04E6"/>
    <w:rsid w:val="003F2CDD"/>
    <w:rsid w:val="003F5660"/>
    <w:rsid w:val="003F5717"/>
    <w:rsid w:val="003F5A39"/>
    <w:rsid w:val="003F5B56"/>
    <w:rsid w:val="003F5B9F"/>
    <w:rsid w:val="003F5C1A"/>
    <w:rsid w:val="003F6A6A"/>
    <w:rsid w:val="003F738D"/>
    <w:rsid w:val="003F7554"/>
    <w:rsid w:val="003F7FA1"/>
    <w:rsid w:val="00400B4E"/>
    <w:rsid w:val="0040130D"/>
    <w:rsid w:val="00402E56"/>
    <w:rsid w:val="00403634"/>
    <w:rsid w:val="00404592"/>
    <w:rsid w:val="00404B58"/>
    <w:rsid w:val="0040544F"/>
    <w:rsid w:val="0040625C"/>
    <w:rsid w:val="004069D2"/>
    <w:rsid w:val="004076FF"/>
    <w:rsid w:val="00411B17"/>
    <w:rsid w:val="0041222D"/>
    <w:rsid w:val="004124F2"/>
    <w:rsid w:val="00412E6F"/>
    <w:rsid w:val="00413C5C"/>
    <w:rsid w:val="0041413F"/>
    <w:rsid w:val="0041567A"/>
    <w:rsid w:val="00415BCF"/>
    <w:rsid w:val="00416297"/>
    <w:rsid w:val="00417083"/>
    <w:rsid w:val="0042057C"/>
    <w:rsid w:val="00420BDF"/>
    <w:rsid w:val="00421608"/>
    <w:rsid w:val="00421C23"/>
    <w:rsid w:val="0042261E"/>
    <w:rsid w:val="00422749"/>
    <w:rsid w:val="004233DC"/>
    <w:rsid w:val="00424888"/>
    <w:rsid w:val="004255D9"/>
    <w:rsid w:val="00425763"/>
    <w:rsid w:val="00425C3C"/>
    <w:rsid w:val="004306AB"/>
    <w:rsid w:val="0043159D"/>
    <w:rsid w:val="0043171D"/>
    <w:rsid w:val="00432F78"/>
    <w:rsid w:val="004334A2"/>
    <w:rsid w:val="004335BC"/>
    <w:rsid w:val="00434723"/>
    <w:rsid w:val="00434729"/>
    <w:rsid w:val="0043617B"/>
    <w:rsid w:val="00437D17"/>
    <w:rsid w:val="00437D2F"/>
    <w:rsid w:val="0044046D"/>
    <w:rsid w:val="004410D3"/>
    <w:rsid w:val="00441DAF"/>
    <w:rsid w:val="0044270D"/>
    <w:rsid w:val="00442E8C"/>
    <w:rsid w:val="00443310"/>
    <w:rsid w:val="004435D5"/>
    <w:rsid w:val="00443A34"/>
    <w:rsid w:val="00443D38"/>
    <w:rsid w:val="00444140"/>
    <w:rsid w:val="00444BF5"/>
    <w:rsid w:val="00444F43"/>
    <w:rsid w:val="00450744"/>
    <w:rsid w:val="00450BE7"/>
    <w:rsid w:val="00450FE8"/>
    <w:rsid w:val="0045213A"/>
    <w:rsid w:val="0045230E"/>
    <w:rsid w:val="004528FA"/>
    <w:rsid w:val="00452D67"/>
    <w:rsid w:val="00452E53"/>
    <w:rsid w:val="00454EDC"/>
    <w:rsid w:val="00455B00"/>
    <w:rsid w:val="00455B97"/>
    <w:rsid w:val="00456635"/>
    <w:rsid w:val="00456BFD"/>
    <w:rsid w:val="004575D5"/>
    <w:rsid w:val="004607D0"/>
    <w:rsid w:val="00460CE3"/>
    <w:rsid w:val="004612A4"/>
    <w:rsid w:val="004624D2"/>
    <w:rsid w:val="004625C8"/>
    <w:rsid w:val="0046442A"/>
    <w:rsid w:val="00464BF1"/>
    <w:rsid w:val="0046626B"/>
    <w:rsid w:val="004676E4"/>
    <w:rsid w:val="00467AFF"/>
    <w:rsid w:val="00470183"/>
    <w:rsid w:val="004708C9"/>
    <w:rsid w:val="00470C48"/>
    <w:rsid w:val="0047139F"/>
    <w:rsid w:val="00471429"/>
    <w:rsid w:val="004722B1"/>
    <w:rsid w:val="00473A47"/>
    <w:rsid w:val="00473A4F"/>
    <w:rsid w:val="00473C0A"/>
    <w:rsid w:val="00473EEF"/>
    <w:rsid w:val="00474415"/>
    <w:rsid w:val="00474BC1"/>
    <w:rsid w:val="00477459"/>
    <w:rsid w:val="00477CC9"/>
    <w:rsid w:val="0048026E"/>
    <w:rsid w:val="00480303"/>
    <w:rsid w:val="004807A9"/>
    <w:rsid w:val="00480A8A"/>
    <w:rsid w:val="004810E0"/>
    <w:rsid w:val="00481318"/>
    <w:rsid w:val="004813EE"/>
    <w:rsid w:val="00481835"/>
    <w:rsid w:val="00482CDC"/>
    <w:rsid w:val="00482FB0"/>
    <w:rsid w:val="00483B03"/>
    <w:rsid w:val="0048444C"/>
    <w:rsid w:val="00485058"/>
    <w:rsid w:val="00485702"/>
    <w:rsid w:val="004867EC"/>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419E"/>
    <w:rsid w:val="004A6463"/>
    <w:rsid w:val="004A6B58"/>
    <w:rsid w:val="004B06C3"/>
    <w:rsid w:val="004B0917"/>
    <w:rsid w:val="004B0B09"/>
    <w:rsid w:val="004B140F"/>
    <w:rsid w:val="004B21CF"/>
    <w:rsid w:val="004B2DE3"/>
    <w:rsid w:val="004B53F1"/>
    <w:rsid w:val="004B5D6E"/>
    <w:rsid w:val="004B60BA"/>
    <w:rsid w:val="004B6946"/>
    <w:rsid w:val="004B6E81"/>
    <w:rsid w:val="004C136D"/>
    <w:rsid w:val="004C1619"/>
    <w:rsid w:val="004C177F"/>
    <w:rsid w:val="004C1B59"/>
    <w:rsid w:val="004C3C25"/>
    <w:rsid w:val="004C3EEA"/>
    <w:rsid w:val="004C4EA2"/>
    <w:rsid w:val="004C596B"/>
    <w:rsid w:val="004C5E41"/>
    <w:rsid w:val="004C60E7"/>
    <w:rsid w:val="004C7BDE"/>
    <w:rsid w:val="004D0090"/>
    <w:rsid w:val="004D020F"/>
    <w:rsid w:val="004D03D1"/>
    <w:rsid w:val="004D11AF"/>
    <w:rsid w:val="004D2E58"/>
    <w:rsid w:val="004D41A2"/>
    <w:rsid w:val="004D502C"/>
    <w:rsid w:val="004D60A3"/>
    <w:rsid w:val="004D71CA"/>
    <w:rsid w:val="004E016A"/>
    <w:rsid w:val="004E0461"/>
    <w:rsid w:val="004E29B1"/>
    <w:rsid w:val="004E3F87"/>
    <w:rsid w:val="004E461B"/>
    <w:rsid w:val="004E477D"/>
    <w:rsid w:val="004E5890"/>
    <w:rsid w:val="004E7B33"/>
    <w:rsid w:val="004F0368"/>
    <w:rsid w:val="004F0D19"/>
    <w:rsid w:val="004F121B"/>
    <w:rsid w:val="004F2811"/>
    <w:rsid w:val="004F3326"/>
    <w:rsid w:val="004F590E"/>
    <w:rsid w:val="004F5966"/>
    <w:rsid w:val="004F60F4"/>
    <w:rsid w:val="004F62E8"/>
    <w:rsid w:val="004F6C17"/>
    <w:rsid w:val="004F7390"/>
    <w:rsid w:val="004F78F8"/>
    <w:rsid w:val="005001A5"/>
    <w:rsid w:val="00500CCD"/>
    <w:rsid w:val="005019AA"/>
    <w:rsid w:val="005032E9"/>
    <w:rsid w:val="00503C3B"/>
    <w:rsid w:val="00503CE7"/>
    <w:rsid w:val="005040C9"/>
    <w:rsid w:val="005042DB"/>
    <w:rsid w:val="0050458E"/>
    <w:rsid w:val="00505928"/>
    <w:rsid w:val="00505CD6"/>
    <w:rsid w:val="005069B2"/>
    <w:rsid w:val="00510452"/>
    <w:rsid w:val="005108EC"/>
    <w:rsid w:val="00511F8F"/>
    <w:rsid w:val="00513291"/>
    <w:rsid w:val="005147DA"/>
    <w:rsid w:val="005153AC"/>
    <w:rsid w:val="005153C3"/>
    <w:rsid w:val="00515745"/>
    <w:rsid w:val="00515862"/>
    <w:rsid w:val="005165FE"/>
    <w:rsid w:val="00516942"/>
    <w:rsid w:val="00516DC0"/>
    <w:rsid w:val="00516DC5"/>
    <w:rsid w:val="00520BBA"/>
    <w:rsid w:val="005225AC"/>
    <w:rsid w:val="005233F3"/>
    <w:rsid w:val="0052365C"/>
    <w:rsid w:val="005245D2"/>
    <w:rsid w:val="0052488B"/>
    <w:rsid w:val="00524C98"/>
    <w:rsid w:val="00524C9C"/>
    <w:rsid w:val="00524EDD"/>
    <w:rsid w:val="00525B59"/>
    <w:rsid w:val="005269C4"/>
    <w:rsid w:val="00526A20"/>
    <w:rsid w:val="005329DA"/>
    <w:rsid w:val="0053322F"/>
    <w:rsid w:val="00533DBF"/>
    <w:rsid w:val="00534940"/>
    <w:rsid w:val="00535673"/>
    <w:rsid w:val="00535D6B"/>
    <w:rsid w:val="00536442"/>
    <w:rsid w:val="0054053D"/>
    <w:rsid w:val="0054126C"/>
    <w:rsid w:val="005415DD"/>
    <w:rsid w:val="005423F3"/>
    <w:rsid w:val="005426DB"/>
    <w:rsid w:val="005442F1"/>
    <w:rsid w:val="00544A24"/>
    <w:rsid w:val="0054583C"/>
    <w:rsid w:val="00546227"/>
    <w:rsid w:val="005468E2"/>
    <w:rsid w:val="00546D83"/>
    <w:rsid w:val="00550113"/>
    <w:rsid w:val="0055019B"/>
    <w:rsid w:val="005504BE"/>
    <w:rsid w:val="0055082B"/>
    <w:rsid w:val="0055093A"/>
    <w:rsid w:val="00550F00"/>
    <w:rsid w:val="00551ED7"/>
    <w:rsid w:val="0055211C"/>
    <w:rsid w:val="0055263A"/>
    <w:rsid w:val="005526EE"/>
    <w:rsid w:val="00552B57"/>
    <w:rsid w:val="00552E53"/>
    <w:rsid w:val="00553E34"/>
    <w:rsid w:val="005547B7"/>
    <w:rsid w:val="005551E9"/>
    <w:rsid w:val="0055680D"/>
    <w:rsid w:val="00560094"/>
    <w:rsid w:val="00560C62"/>
    <w:rsid w:val="00562A61"/>
    <w:rsid w:val="00562E78"/>
    <w:rsid w:val="005652D5"/>
    <w:rsid w:val="00567227"/>
    <w:rsid w:val="00570C7B"/>
    <w:rsid w:val="00571C77"/>
    <w:rsid w:val="00574614"/>
    <w:rsid w:val="00574A70"/>
    <w:rsid w:val="00574D35"/>
    <w:rsid w:val="00575C75"/>
    <w:rsid w:val="005770CF"/>
    <w:rsid w:val="00577904"/>
    <w:rsid w:val="00577922"/>
    <w:rsid w:val="00577AC3"/>
    <w:rsid w:val="005815A8"/>
    <w:rsid w:val="00581915"/>
    <w:rsid w:val="00583431"/>
    <w:rsid w:val="005846C0"/>
    <w:rsid w:val="00584D04"/>
    <w:rsid w:val="0058567E"/>
    <w:rsid w:val="0058659E"/>
    <w:rsid w:val="005872DD"/>
    <w:rsid w:val="00587CF2"/>
    <w:rsid w:val="00587D3A"/>
    <w:rsid w:val="00590346"/>
    <w:rsid w:val="00590BA2"/>
    <w:rsid w:val="00590CA7"/>
    <w:rsid w:val="00590E93"/>
    <w:rsid w:val="005915E1"/>
    <w:rsid w:val="00591C75"/>
    <w:rsid w:val="00592D10"/>
    <w:rsid w:val="00593A5F"/>
    <w:rsid w:val="0059404E"/>
    <w:rsid w:val="00594269"/>
    <w:rsid w:val="00595539"/>
    <w:rsid w:val="00597108"/>
    <w:rsid w:val="005A3E82"/>
    <w:rsid w:val="005A4DB0"/>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5AB"/>
    <w:rsid w:val="005B4D8F"/>
    <w:rsid w:val="005B6551"/>
    <w:rsid w:val="005B71A8"/>
    <w:rsid w:val="005B744B"/>
    <w:rsid w:val="005C0A6F"/>
    <w:rsid w:val="005C0FA7"/>
    <w:rsid w:val="005C1C0E"/>
    <w:rsid w:val="005C36E2"/>
    <w:rsid w:val="005C3E9E"/>
    <w:rsid w:val="005C400C"/>
    <w:rsid w:val="005C410C"/>
    <w:rsid w:val="005C4BF1"/>
    <w:rsid w:val="005C4BF2"/>
    <w:rsid w:val="005C5BED"/>
    <w:rsid w:val="005C5D86"/>
    <w:rsid w:val="005C6167"/>
    <w:rsid w:val="005C6ADB"/>
    <w:rsid w:val="005C6EE2"/>
    <w:rsid w:val="005C7A07"/>
    <w:rsid w:val="005C7DDC"/>
    <w:rsid w:val="005C7F7C"/>
    <w:rsid w:val="005D107D"/>
    <w:rsid w:val="005D123A"/>
    <w:rsid w:val="005D2506"/>
    <w:rsid w:val="005D3677"/>
    <w:rsid w:val="005D4E4C"/>
    <w:rsid w:val="005D5B5E"/>
    <w:rsid w:val="005D5C85"/>
    <w:rsid w:val="005D5CA0"/>
    <w:rsid w:val="005D72FC"/>
    <w:rsid w:val="005D7DFC"/>
    <w:rsid w:val="005E035A"/>
    <w:rsid w:val="005E0681"/>
    <w:rsid w:val="005E1218"/>
    <w:rsid w:val="005E1B6B"/>
    <w:rsid w:val="005E2281"/>
    <w:rsid w:val="005E236C"/>
    <w:rsid w:val="005E351B"/>
    <w:rsid w:val="005E38A8"/>
    <w:rsid w:val="005E39F9"/>
    <w:rsid w:val="005E4828"/>
    <w:rsid w:val="005E5016"/>
    <w:rsid w:val="005E5231"/>
    <w:rsid w:val="005E55BB"/>
    <w:rsid w:val="005E5D11"/>
    <w:rsid w:val="005E667C"/>
    <w:rsid w:val="005E6A1D"/>
    <w:rsid w:val="005E6F12"/>
    <w:rsid w:val="005E733E"/>
    <w:rsid w:val="005F0694"/>
    <w:rsid w:val="005F06E1"/>
    <w:rsid w:val="005F077C"/>
    <w:rsid w:val="005F0B88"/>
    <w:rsid w:val="005F1735"/>
    <w:rsid w:val="005F187E"/>
    <w:rsid w:val="005F252A"/>
    <w:rsid w:val="005F3CE8"/>
    <w:rsid w:val="005F4F41"/>
    <w:rsid w:val="005F566D"/>
    <w:rsid w:val="005F648F"/>
    <w:rsid w:val="005F68C3"/>
    <w:rsid w:val="005F7D87"/>
    <w:rsid w:val="00601794"/>
    <w:rsid w:val="00601E94"/>
    <w:rsid w:val="006021B1"/>
    <w:rsid w:val="006037C5"/>
    <w:rsid w:val="006040CE"/>
    <w:rsid w:val="0060467D"/>
    <w:rsid w:val="0060585E"/>
    <w:rsid w:val="00605B9D"/>
    <w:rsid w:val="00606213"/>
    <w:rsid w:val="00606B57"/>
    <w:rsid w:val="00606B85"/>
    <w:rsid w:val="00607390"/>
    <w:rsid w:val="006076D8"/>
    <w:rsid w:val="00607E6D"/>
    <w:rsid w:val="0061061D"/>
    <w:rsid w:val="00611A3B"/>
    <w:rsid w:val="00612389"/>
    <w:rsid w:val="00612570"/>
    <w:rsid w:val="00612871"/>
    <w:rsid w:val="00612929"/>
    <w:rsid w:val="00612A44"/>
    <w:rsid w:val="00612A8E"/>
    <w:rsid w:val="00613098"/>
    <w:rsid w:val="006134D9"/>
    <w:rsid w:val="006135DA"/>
    <w:rsid w:val="00613BDC"/>
    <w:rsid w:val="00615564"/>
    <w:rsid w:val="006155E2"/>
    <w:rsid w:val="00615F26"/>
    <w:rsid w:val="00617A81"/>
    <w:rsid w:val="00617DEC"/>
    <w:rsid w:val="00620579"/>
    <w:rsid w:val="006208AA"/>
    <w:rsid w:val="0062258F"/>
    <w:rsid w:val="00622732"/>
    <w:rsid w:val="00622E6D"/>
    <w:rsid w:val="00623BC7"/>
    <w:rsid w:val="00623E70"/>
    <w:rsid w:val="006241D0"/>
    <w:rsid w:val="00624665"/>
    <w:rsid w:val="00625434"/>
    <w:rsid w:val="0062576B"/>
    <w:rsid w:val="00625C5F"/>
    <w:rsid w:val="00626032"/>
    <w:rsid w:val="00627643"/>
    <w:rsid w:val="00627788"/>
    <w:rsid w:val="006300CD"/>
    <w:rsid w:val="0063017E"/>
    <w:rsid w:val="00630EAE"/>
    <w:rsid w:val="006312D0"/>
    <w:rsid w:val="006318A4"/>
    <w:rsid w:val="00631D4F"/>
    <w:rsid w:val="00633496"/>
    <w:rsid w:val="006338D2"/>
    <w:rsid w:val="00633F92"/>
    <w:rsid w:val="0063435E"/>
    <w:rsid w:val="006357E2"/>
    <w:rsid w:val="00635FD8"/>
    <w:rsid w:val="00636651"/>
    <w:rsid w:val="00636F7B"/>
    <w:rsid w:val="0064019C"/>
    <w:rsid w:val="00640288"/>
    <w:rsid w:val="006405AC"/>
    <w:rsid w:val="0064099D"/>
    <w:rsid w:val="006412CD"/>
    <w:rsid w:val="006413D8"/>
    <w:rsid w:val="00641B7B"/>
    <w:rsid w:val="00641C55"/>
    <w:rsid w:val="00642405"/>
    <w:rsid w:val="00642645"/>
    <w:rsid w:val="006437E8"/>
    <w:rsid w:val="006438E0"/>
    <w:rsid w:val="00644BED"/>
    <w:rsid w:val="006455CB"/>
    <w:rsid w:val="00646FD5"/>
    <w:rsid w:val="00647680"/>
    <w:rsid w:val="00647743"/>
    <w:rsid w:val="00652092"/>
    <w:rsid w:val="00652472"/>
    <w:rsid w:val="0065394E"/>
    <w:rsid w:val="00653B38"/>
    <w:rsid w:val="00656385"/>
    <w:rsid w:val="00656F19"/>
    <w:rsid w:val="00657BB7"/>
    <w:rsid w:val="00660552"/>
    <w:rsid w:val="00660DBE"/>
    <w:rsid w:val="00661113"/>
    <w:rsid w:val="0066127D"/>
    <w:rsid w:val="00661AB0"/>
    <w:rsid w:val="006623A4"/>
    <w:rsid w:val="0066351C"/>
    <w:rsid w:val="006635BF"/>
    <w:rsid w:val="00664693"/>
    <w:rsid w:val="00664DC0"/>
    <w:rsid w:val="006651CC"/>
    <w:rsid w:val="0066582B"/>
    <w:rsid w:val="006658DA"/>
    <w:rsid w:val="00665CA1"/>
    <w:rsid w:val="00667421"/>
    <w:rsid w:val="0066780E"/>
    <w:rsid w:val="00667A31"/>
    <w:rsid w:val="00670702"/>
    <w:rsid w:val="006708EB"/>
    <w:rsid w:val="0067147C"/>
    <w:rsid w:val="00672A8A"/>
    <w:rsid w:val="00673F50"/>
    <w:rsid w:val="00674EEA"/>
    <w:rsid w:val="0067549D"/>
    <w:rsid w:val="006759B0"/>
    <w:rsid w:val="00677012"/>
    <w:rsid w:val="00680D0E"/>
    <w:rsid w:val="00680F00"/>
    <w:rsid w:val="006825A6"/>
    <w:rsid w:val="006825B4"/>
    <w:rsid w:val="006829BA"/>
    <w:rsid w:val="00682AF2"/>
    <w:rsid w:val="00682E8A"/>
    <w:rsid w:val="00682FB7"/>
    <w:rsid w:val="006837DE"/>
    <w:rsid w:val="0068537F"/>
    <w:rsid w:val="00686104"/>
    <w:rsid w:val="00686334"/>
    <w:rsid w:val="00686C3A"/>
    <w:rsid w:val="00687628"/>
    <w:rsid w:val="00687CFE"/>
    <w:rsid w:val="0069035A"/>
    <w:rsid w:val="00690EB8"/>
    <w:rsid w:val="006915E5"/>
    <w:rsid w:val="00692401"/>
    <w:rsid w:val="006941CC"/>
    <w:rsid w:val="006945D4"/>
    <w:rsid w:val="00694EC0"/>
    <w:rsid w:val="00695F56"/>
    <w:rsid w:val="0069758B"/>
    <w:rsid w:val="006A0A70"/>
    <w:rsid w:val="006A0B6C"/>
    <w:rsid w:val="006A1692"/>
    <w:rsid w:val="006A16E1"/>
    <w:rsid w:val="006A3293"/>
    <w:rsid w:val="006A3C8A"/>
    <w:rsid w:val="006A3E61"/>
    <w:rsid w:val="006A5213"/>
    <w:rsid w:val="006A6003"/>
    <w:rsid w:val="006A6737"/>
    <w:rsid w:val="006B1E08"/>
    <w:rsid w:val="006B26B1"/>
    <w:rsid w:val="006B2E45"/>
    <w:rsid w:val="006B3875"/>
    <w:rsid w:val="006B425B"/>
    <w:rsid w:val="006B545C"/>
    <w:rsid w:val="006B5AC8"/>
    <w:rsid w:val="006B5D32"/>
    <w:rsid w:val="006B758B"/>
    <w:rsid w:val="006B7BF8"/>
    <w:rsid w:val="006C0F11"/>
    <w:rsid w:val="006C23E1"/>
    <w:rsid w:val="006C25D5"/>
    <w:rsid w:val="006C25F9"/>
    <w:rsid w:val="006C262B"/>
    <w:rsid w:val="006C31C6"/>
    <w:rsid w:val="006C3A2D"/>
    <w:rsid w:val="006C4666"/>
    <w:rsid w:val="006C49BF"/>
    <w:rsid w:val="006C63D7"/>
    <w:rsid w:val="006C6894"/>
    <w:rsid w:val="006C69D9"/>
    <w:rsid w:val="006C7535"/>
    <w:rsid w:val="006C76A6"/>
    <w:rsid w:val="006C796D"/>
    <w:rsid w:val="006D0525"/>
    <w:rsid w:val="006D08DC"/>
    <w:rsid w:val="006D2F09"/>
    <w:rsid w:val="006D2FD2"/>
    <w:rsid w:val="006D33E6"/>
    <w:rsid w:val="006D3DC0"/>
    <w:rsid w:val="006D40C4"/>
    <w:rsid w:val="006D4162"/>
    <w:rsid w:val="006D5303"/>
    <w:rsid w:val="006D5E84"/>
    <w:rsid w:val="006D7A4C"/>
    <w:rsid w:val="006D7C99"/>
    <w:rsid w:val="006E0443"/>
    <w:rsid w:val="006E0C50"/>
    <w:rsid w:val="006E0DCF"/>
    <w:rsid w:val="006E14D6"/>
    <w:rsid w:val="006E1647"/>
    <w:rsid w:val="006E2298"/>
    <w:rsid w:val="006E2F3A"/>
    <w:rsid w:val="006E310A"/>
    <w:rsid w:val="006E3C3E"/>
    <w:rsid w:val="006E3FBD"/>
    <w:rsid w:val="006E429F"/>
    <w:rsid w:val="006E47E0"/>
    <w:rsid w:val="006E6F30"/>
    <w:rsid w:val="006E6FE9"/>
    <w:rsid w:val="006E7082"/>
    <w:rsid w:val="006E709F"/>
    <w:rsid w:val="006E7F73"/>
    <w:rsid w:val="006F030F"/>
    <w:rsid w:val="006F193C"/>
    <w:rsid w:val="006F1B58"/>
    <w:rsid w:val="006F2B89"/>
    <w:rsid w:val="006F36F1"/>
    <w:rsid w:val="006F3B81"/>
    <w:rsid w:val="006F4D59"/>
    <w:rsid w:val="006F4F79"/>
    <w:rsid w:val="006F4F80"/>
    <w:rsid w:val="006F5532"/>
    <w:rsid w:val="006F62CC"/>
    <w:rsid w:val="006F644B"/>
    <w:rsid w:val="006F66C1"/>
    <w:rsid w:val="006F681D"/>
    <w:rsid w:val="006F78E9"/>
    <w:rsid w:val="0070235F"/>
    <w:rsid w:val="00702BC3"/>
    <w:rsid w:val="007032AC"/>
    <w:rsid w:val="00703496"/>
    <w:rsid w:val="007036FE"/>
    <w:rsid w:val="00704614"/>
    <w:rsid w:val="00705B37"/>
    <w:rsid w:val="0070658A"/>
    <w:rsid w:val="00706B65"/>
    <w:rsid w:val="00707C1A"/>
    <w:rsid w:val="00710023"/>
    <w:rsid w:val="00710207"/>
    <w:rsid w:val="0071023D"/>
    <w:rsid w:val="00710530"/>
    <w:rsid w:val="007107BD"/>
    <w:rsid w:val="00711E77"/>
    <w:rsid w:val="00712912"/>
    <w:rsid w:val="007141DC"/>
    <w:rsid w:val="00714B04"/>
    <w:rsid w:val="00714F75"/>
    <w:rsid w:val="007168A0"/>
    <w:rsid w:val="00716BC6"/>
    <w:rsid w:val="00716C95"/>
    <w:rsid w:val="00717762"/>
    <w:rsid w:val="007204DA"/>
    <w:rsid w:val="00721A63"/>
    <w:rsid w:val="00721DED"/>
    <w:rsid w:val="00721FF9"/>
    <w:rsid w:val="0072229E"/>
    <w:rsid w:val="0072337E"/>
    <w:rsid w:val="00723696"/>
    <w:rsid w:val="0072541E"/>
    <w:rsid w:val="00725735"/>
    <w:rsid w:val="0072630D"/>
    <w:rsid w:val="00726A2A"/>
    <w:rsid w:val="007273BC"/>
    <w:rsid w:val="007275FD"/>
    <w:rsid w:val="007276E5"/>
    <w:rsid w:val="00730943"/>
    <w:rsid w:val="00733E5A"/>
    <w:rsid w:val="00733F25"/>
    <w:rsid w:val="00736395"/>
    <w:rsid w:val="00736459"/>
    <w:rsid w:val="0073685F"/>
    <w:rsid w:val="00737821"/>
    <w:rsid w:val="0074058F"/>
    <w:rsid w:val="00740E86"/>
    <w:rsid w:val="00741175"/>
    <w:rsid w:val="007419FB"/>
    <w:rsid w:val="00742606"/>
    <w:rsid w:val="007441FF"/>
    <w:rsid w:val="00744EE8"/>
    <w:rsid w:val="007459F5"/>
    <w:rsid w:val="007467E4"/>
    <w:rsid w:val="00747569"/>
    <w:rsid w:val="00750238"/>
    <w:rsid w:val="0075023C"/>
    <w:rsid w:val="007518E3"/>
    <w:rsid w:val="007518E9"/>
    <w:rsid w:val="00752247"/>
    <w:rsid w:val="007523E7"/>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70C54"/>
    <w:rsid w:val="00771344"/>
    <w:rsid w:val="00772613"/>
    <w:rsid w:val="00772B41"/>
    <w:rsid w:val="00772CED"/>
    <w:rsid w:val="00773EA1"/>
    <w:rsid w:val="00775215"/>
    <w:rsid w:val="00776ACC"/>
    <w:rsid w:val="00777C71"/>
    <w:rsid w:val="00777D6B"/>
    <w:rsid w:val="00777F20"/>
    <w:rsid w:val="00781148"/>
    <w:rsid w:val="00781F98"/>
    <w:rsid w:val="0078265B"/>
    <w:rsid w:val="00782E10"/>
    <w:rsid w:val="00784DB8"/>
    <w:rsid w:val="00784FDD"/>
    <w:rsid w:val="0078508F"/>
    <w:rsid w:val="00786448"/>
    <w:rsid w:val="007875D7"/>
    <w:rsid w:val="007906B2"/>
    <w:rsid w:val="0079134E"/>
    <w:rsid w:val="007925F0"/>
    <w:rsid w:val="0079278E"/>
    <w:rsid w:val="00792DCA"/>
    <w:rsid w:val="00792E3C"/>
    <w:rsid w:val="007930C1"/>
    <w:rsid w:val="0079315D"/>
    <w:rsid w:val="00793B45"/>
    <w:rsid w:val="00795706"/>
    <w:rsid w:val="007960E3"/>
    <w:rsid w:val="00796F7C"/>
    <w:rsid w:val="00797131"/>
    <w:rsid w:val="00797254"/>
    <w:rsid w:val="00797430"/>
    <w:rsid w:val="007A0F8D"/>
    <w:rsid w:val="007A1078"/>
    <w:rsid w:val="007A257D"/>
    <w:rsid w:val="007A2CB0"/>
    <w:rsid w:val="007A343D"/>
    <w:rsid w:val="007A38CE"/>
    <w:rsid w:val="007A3F1C"/>
    <w:rsid w:val="007A5ACE"/>
    <w:rsid w:val="007A5C5C"/>
    <w:rsid w:val="007A6528"/>
    <w:rsid w:val="007A7B48"/>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2F60"/>
    <w:rsid w:val="007C4D8D"/>
    <w:rsid w:val="007C5144"/>
    <w:rsid w:val="007C5613"/>
    <w:rsid w:val="007C6138"/>
    <w:rsid w:val="007C6153"/>
    <w:rsid w:val="007C6849"/>
    <w:rsid w:val="007C6BC6"/>
    <w:rsid w:val="007C6C12"/>
    <w:rsid w:val="007C73B2"/>
    <w:rsid w:val="007D0435"/>
    <w:rsid w:val="007D1B24"/>
    <w:rsid w:val="007D267F"/>
    <w:rsid w:val="007D3A3E"/>
    <w:rsid w:val="007D400A"/>
    <w:rsid w:val="007D4B0E"/>
    <w:rsid w:val="007D4DD2"/>
    <w:rsid w:val="007D5D0F"/>
    <w:rsid w:val="007D6EA8"/>
    <w:rsid w:val="007E1247"/>
    <w:rsid w:val="007E1A44"/>
    <w:rsid w:val="007E2419"/>
    <w:rsid w:val="007E3FF5"/>
    <w:rsid w:val="007E4219"/>
    <w:rsid w:val="007E577E"/>
    <w:rsid w:val="007E635E"/>
    <w:rsid w:val="007E6A9C"/>
    <w:rsid w:val="007E6C0C"/>
    <w:rsid w:val="007E7300"/>
    <w:rsid w:val="007E767B"/>
    <w:rsid w:val="007F038C"/>
    <w:rsid w:val="007F0428"/>
    <w:rsid w:val="007F0F24"/>
    <w:rsid w:val="007F1755"/>
    <w:rsid w:val="007F222B"/>
    <w:rsid w:val="007F3092"/>
    <w:rsid w:val="007F39B8"/>
    <w:rsid w:val="007F3C03"/>
    <w:rsid w:val="007F3E3F"/>
    <w:rsid w:val="007F45DF"/>
    <w:rsid w:val="007F4A6F"/>
    <w:rsid w:val="007F4FBC"/>
    <w:rsid w:val="007F5975"/>
    <w:rsid w:val="007F5AB9"/>
    <w:rsid w:val="007F6497"/>
    <w:rsid w:val="007F6836"/>
    <w:rsid w:val="007F7DF2"/>
    <w:rsid w:val="00800A35"/>
    <w:rsid w:val="00800D91"/>
    <w:rsid w:val="008015F2"/>
    <w:rsid w:val="00801A0E"/>
    <w:rsid w:val="00804E4C"/>
    <w:rsid w:val="0080662C"/>
    <w:rsid w:val="008070B2"/>
    <w:rsid w:val="00807D79"/>
    <w:rsid w:val="00810102"/>
    <w:rsid w:val="008102BC"/>
    <w:rsid w:val="008116F3"/>
    <w:rsid w:val="008117C4"/>
    <w:rsid w:val="0081222E"/>
    <w:rsid w:val="00812461"/>
    <w:rsid w:val="008127E0"/>
    <w:rsid w:val="00812810"/>
    <w:rsid w:val="0081398E"/>
    <w:rsid w:val="008149D8"/>
    <w:rsid w:val="00815714"/>
    <w:rsid w:val="00815A2A"/>
    <w:rsid w:val="0081788A"/>
    <w:rsid w:val="00817927"/>
    <w:rsid w:val="00817CFC"/>
    <w:rsid w:val="00817E82"/>
    <w:rsid w:val="00821D81"/>
    <w:rsid w:val="00822A52"/>
    <w:rsid w:val="00823654"/>
    <w:rsid w:val="00823A90"/>
    <w:rsid w:val="00825C68"/>
    <w:rsid w:val="0082757E"/>
    <w:rsid w:val="00827B6C"/>
    <w:rsid w:val="00827D77"/>
    <w:rsid w:val="00830561"/>
    <w:rsid w:val="00831115"/>
    <w:rsid w:val="0083249C"/>
    <w:rsid w:val="00832D42"/>
    <w:rsid w:val="008333A9"/>
    <w:rsid w:val="00833419"/>
    <w:rsid w:val="008342A5"/>
    <w:rsid w:val="00834BE2"/>
    <w:rsid w:val="00834EA4"/>
    <w:rsid w:val="008354B9"/>
    <w:rsid w:val="00835DCB"/>
    <w:rsid w:val="00836921"/>
    <w:rsid w:val="00837237"/>
    <w:rsid w:val="008376C0"/>
    <w:rsid w:val="0084035D"/>
    <w:rsid w:val="008405F9"/>
    <w:rsid w:val="0084060B"/>
    <w:rsid w:val="0084139B"/>
    <w:rsid w:val="0084143B"/>
    <w:rsid w:val="00842547"/>
    <w:rsid w:val="008427D3"/>
    <w:rsid w:val="008429CF"/>
    <w:rsid w:val="0084324C"/>
    <w:rsid w:val="008451F8"/>
    <w:rsid w:val="008457D2"/>
    <w:rsid w:val="00846212"/>
    <w:rsid w:val="008468E0"/>
    <w:rsid w:val="0084790F"/>
    <w:rsid w:val="00847BE7"/>
    <w:rsid w:val="00850EAB"/>
    <w:rsid w:val="00851D70"/>
    <w:rsid w:val="008529B3"/>
    <w:rsid w:val="00852ADD"/>
    <w:rsid w:val="00853883"/>
    <w:rsid w:val="00854CF7"/>
    <w:rsid w:val="00854DA7"/>
    <w:rsid w:val="008557A0"/>
    <w:rsid w:val="00856607"/>
    <w:rsid w:val="008616A2"/>
    <w:rsid w:val="00861C6C"/>
    <w:rsid w:val="00863862"/>
    <w:rsid w:val="00863AAD"/>
    <w:rsid w:val="00864644"/>
    <w:rsid w:val="00866296"/>
    <w:rsid w:val="008665C7"/>
    <w:rsid w:val="008707A3"/>
    <w:rsid w:val="00870A36"/>
    <w:rsid w:val="008711AE"/>
    <w:rsid w:val="00872F21"/>
    <w:rsid w:val="00873736"/>
    <w:rsid w:val="0087378E"/>
    <w:rsid w:val="008737DF"/>
    <w:rsid w:val="008755E7"/>
    <w:rsid w:val="00875E16"/>
    <w:rsid w:val="00877D03"/>
    <w:rsid w:val="00877E96"/>
    <w:rsid w:val="0088023D"/>
    <w:rsid w:val="008803CE"/>
    <w:rsid w:val="00882077"/>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45D2"/>
    <w:rsid w:val="008959FC"/>
    <w:rsid w:val="0089605E"/>
    <w:rsid w:val="00896668"/>
    <w:rsid w:val="008A1D0E"/>
    <w:rsid w:val="008A25EA"/>
    <w:rsid w:val="008A31C7"/>
    <w:rsid w:val="008A3215"/>
    <w:rsid w:val="008A3E8B"/>
    <w:rsid w:val="008A47BE"/>
    <w:rsid w:val="008A4AEC"/>
    <w:rsid w:val="008A5609"/>
    <w:rsid w:val="008A6DD5"/>
    <w:rsid w:val="008A6DF0"/>
    <w:rsid w:val="008A6FA0"/>
    <w:rsid w:val="008B15CE"/>
    <w:rsid w:val="008B1C8F"/>
    <w:rsid w:val="008B2570"/>
    <w:rsid w:val="008B2B19"/>
    <w:rsid w:val="008B2F40"/>
    <w:rsid w:val="008B2FCD"/>
    <w:rsid w:val="008B3627"/>
    <w:rsid w:val="008B3EAD"/>
    <w:rsid w:val="008B56A0"/>
    <w:rsid w:val="008B5AA1"/>
    <w:rsid w:val="008B5E61"/>
    <w:rsid w:val="008B64CE"/>
    <w:rsid w:val="008B7914"/>
    <w:rsid w:val="008C127A"/>
    <w:rsid w:val="008C18BD"/>
    <w:rsid w:val="008C1932"/>
    <w:rsid w:val="008C2C7F"/>
    <w:rsid w:val="008C2F0D"/>
    <w:rsid w:val="008C500C"/>
    <w:rsid w:val="008C5D2A"/>
    <w:rsid w:val="008C6754"/>
    <w:rsid w:val="008C6C16"/>
    <w:rsid w:val="008C74FB"/>
    <w:rsid w:val="008C7AF4"/>
    <w:rsid w:val="008C7DA4"/>
    <w:rsid w:val="008D0210"/>
    <w:rsid w:val="008D033E"/>
    <w:rsid w:val="008D0851"/>
    <w:rsid w:val="008D0DEF"/>
    <w:rsid w:val="008D0FCD"/>
    <w:rsid w:val="008D1074"/>
    <w:rsid w:val="008D1079"/>
    <w:rsid w:val="008D280F"/>
    <w:rsid w:val="008D318B"/>
    <w:rsid w:val="008D3994"/>
    <w:rsid w:val="008D3C3D"/>
    <w:rsid w:val="008D478E"/>
    <w:rsid w:val="008D534E"/>
    <w:rsid w:val="008D6E81"/>
    <w:rsid w:val="008D7739"/>
    <w:rsid w:val="008D7A64"/>
    <w:rsid w:val="008E0302"/>
    <w:rsid w:val="008E1267"/>
    <w:rsid w:val="008E19FD"/>
    <w:rsid w:val="008E22F8"/>
    <w:rsid w:val="008E39D8"/>
    <w:rsid w:val="008E5D73"/>
    <w:rsid w:val="008E606F"/>
    <w:rsid w:val="008E6AD9"/>
    <w:rsid w:val="008F022A"/>
    <w:rsid w:val="008F06FD"/>
    <w:rsid w:val="008F1172"/>
    <w:rsid w:val="008F27E3"/>
    <w:rsid w:val="008F3485"/>
    <w:rsid w:val="008F3AC3"/>
    <w:rsid w:val="008F51FF"/>
    <w:rsid w:val="008F5DEF"/>
    <w:rsid w:val="008F7C0A"/>
    <w:rsid w:val="00901DBB"/>
    <w:rsid w:val="009026CB"/>
    <w:rsid w:val="00902876"/>
    <w:rsid w:val="00903FB2"/>
    <w:rsid w:val="00904038"/>
    <w:rsid w:val="009041AF"/>
    <w:rsid w:val="009042AA"/>
    <w:rsid w:val="009049AB"/>
    <w:rsid w:val="009050B7"/>
    <w:rsid w:val="00905130"/>
    <w:rsid w:val="009053BD"/>
    <w:rsid w:val="00905728"/>
    <w:rsid w:val="009061B8"/>
    <w:rsid w:val="009064BF"/>
    <w:rsid w:val="009069B8"/>
    <w:rsid w:val="009130CC"/>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383B"/>
    <w:rsid w:val="00924119"/>
    <w:rsid w:val="00925120"/>
    <w:rsid w:val="009255FA"/>
    <w:rsid w:val="009262E4"/>
    <w:rsid w:val="009266D2"/>
    <w:rsid w:val="00927D4E"/>
    <w:rsid w:val="00930AC2"/>
    <w:rsid w:val="00930D2A"/>
    <w:rsid w:val="009312BF"/>
    <w:rsid w:val="00931B84"/>
    <w:rsid w:val="009322B2"/>
    <w:rsid w:val="00932E7E"/>
    <w:rsid w:val="0093442D"/>
    <w:rsid w:val="00934CD2"/>
    <w:rsid w:val="009375E5"/>
    <w:rsid w:val="00937BC5"/>
    <w:rsid w:val="00937D30"/>
    <w:rsid w:val="00941848"/>
    <w:rsid w:val="0094337A"/>
    <w:rsid w:val="009437F2"/>
    <w:rsid w:val="009442E8"/>
    <w:rsid w:val="00944BA7"/>
    <w:rsid w:val="0094636D"/>
    <w:rsid w:val="00947222"/>
    <w:rsid w:val="0094759C"/>
    <w:rsid w:val="009503FE"/>
    <w:rsid w:val="00950448"/>
    <w:rsid w:val="009507D4"/>
    <w:rsid w:val="00950ACD"/>
    <w:rsid w:val="00950E37"/>
    <w:rsid w:val="00951666"/>
    <w:rsid w:val="0095182F"/>
    <w:rsid w:val="00952524"/>
    <w:rsid w:val="0095278F"/>
    <w:rsid w:val="00953EAF"/>
    <w:rsid w:val="0095426C"/>
    <w:rsid w:val="00955EE9"/>
    <w:rsid w:val="00956BF5"/>
    <w:rsid w:val="009571C2"/>
    <w:rsid w:val="009575C3"/>
    <w:rsid w:val="0095770C"/>
    <w:rsid w:val="009579AF"/>
    <w:rsid w:val="00957CC8"/>
    <w:rsid w:val="00957EE7"/>
    <w:rsid w:val="0096086A"/>
    <w:rsid w:val="00961453"/>
    <w:rsid w:val="009616D4"/>
    <w:rsid w:val="00962150"/>
    <w:rsid w:val="00964166"/>
    <w:rsid w:val="009645AD"/>
    <w:rsid w:val="0096475C"/>
    <w:rsid w:val="0096546E"/>
    <w:rsid w:val="0096562A"/>
    <w:rsid w:val="00965865"/>
    <w:rsid w:val="00966096"/>
    <w:rsid w:val="00966A13"/>
    <w:rsid w:val="00967473"/>
    <w:rsid w:val="00967730"/>
    <w:rsid w:val="00970D56"/>
    <w:rsid w:val="00970E50"/>
    <w:rsid w:val="00971074"/>
    <w:rsid w:val="009725B2"/>
    <w:rsid w:val="009747AA"/>
    <w:rsid w:val="00974B99"/>
    <w:rsid w:val="00974BCB"/>
    <w:rsid w:val="0097529C"/>
    <w:rsid w:val="009758CD"/>
    <w:rsid w:val="00975BF2"/>
    <w:rsid w:val="009763E4"/>
    <w:rsid w:val="0097649D"/>
    <w:rsid w:val="0097654D"/>
    <w:rsid w:val="009766B7"/>
    <w:rsid w:val="00980A22"/>
    <w:rsid w:val="00980D85"/>
    <w:rsid w:val="00981E09"/>
    <w:rsid w:val="00983094"/>
    <w:rsid w:val="00983599"/>
    <w:rsid w:val="009843DE"/>
    <w:rsid w:val="0098544F"/>
    <w:rsid w:val="00985B04"/>
    <w:rsid w:val="00986A6D"/>
    <w:rsid w:val="00986BEF"/>
    <w:rsid w:val="00987298"/>
    <w:rsid w:val="00991DF8"/>
    <w:rsid w:val="00992499"/>
    <w:rsid w:val="00992986"/>
    <w:rsid w:val="009936E2"/>
    <w:rsid w:val="00994B55"/>
    <w:rsid w:val="00995D86"/>
    <w:rsid w:val="00995FB2"/>
    <w:rsid w:val="0099781E"/>
    <w:rsid w:val="00997A68"/>
    <w:rsid w:val="009A00EA"/>
    <w:rsid w:val="009A0587"/>
    <w:rsid w:val="009A1F6B"/>
    <w:rsid w:val="009A2C4C"/>
    <w:rsid w:val="009A2DD8"/>
    <w:rsid w:val="009A30DE"/>
    <w:rsid w:val="009A3D29"/>
    <w:rsid w:val="009A509F"/>
    <w:rsid w:val="009A5453"/>
    <w:rsid w:val="009A6A7B"/>
    <w:rsid w:val="009A7532"/>
    <w:rsid w:val="009A7883"/>
    <w:rsid w:val="009B1D50"/>
    <w:rsid w:val="009B237F"/>
    <w:rsid w:val="009B2760"/>
    <w:rsid w:val="009B308D"/>
    <w:rsid w:val="009B38D5"/>
    <w:rsid w:val="009B3B62"/>
    <w:rsid w:val="009B3C8D"/>
    <w:rsid w:val="009B4FFB"/>
    <w:rsid w:val="009B53C7"/>
    <w:rsid w:val="009B7489"/>
    <w:rsid w:val="009B7987"/>
    <w:rsid w:val="009B7B0A"/>
    <w:rsid w:val="009C07C9"/>
    <w:rsid w:val="009C08D7"/>
    <w:rsid w:val="009C1866"/>
    <w:rsid w:val="009C1FDE"/>
    <w:rsid w:val="009C375C"/>
    <w:rsid w:val="009C4E0D"/>
    <w:rsid w:val="009C4F1B"/>
    <w:rsid w:val="009C503B"/>
    <w:rsid w:val="009C5816"/>
    <w:rsid w:val="009C61EA"/>
    <w:rsid w:val="009C63EC"/>
    <w:rsid w:val="009C7DAC"/>
    <w:rsid w:val="009D08A6"/>
    <w:rsid w:val="009D1B69"/>
    <w:rsid w:val="009D1EB3"/>
    <w:rsid w:val="009D2ABF"/>
    <w:rsid w:val="009D3AD2"/>
    <w:rsid w:val="009D3E06"/>
    <w:rsid w:val="009D5843"/>
    <w:rsid w:val="009D638D"/>
    <w:rsid w:val="009D6393"/>
    <w:rsid w:val="009E0885"/>
    <w:rsid w:val="009E1CC8"/>
    <w:rsid w:val="009E2827"/>
    <w:rsid w:val="009E30D2"/>
    <w:rsid w:val="009E4885"/>
    <w:rsid w:val="009E508B"/>
    <w:rsid w:val="009E6A00"/>
    <w:rsid w:val="009F03AB"/>
    <w:rsid w:val="009F0619"/>
    <w:rsid w:val="009F068A"/>
    <w:rsid w:val="009F08C5"/>
    <w:rsid w:val="009F0A85"/>
    <w:rsid w:val="009F1260"/>
    <w:rsid w:val="009F1B71"/>
    <w:rsid w:val="009F220A"/>
    <w:rsid w:val="009F36D6"/>
    <w:rsid w:val="009F6575"/>
    <w:rsid w:val="009F7ADC"/>
    <w:rsid w:val="00A0002A"/>
    <w:rsid w:val="00A0236D"/>
    <w:rsid w:val="00A02985"/>
    <w:rsid w:val="00A02B2B"/>
    <w:rsid w:val="00A02FA8"/>
    <w:rsid w:val="00A03F1A"/>
    <w:rsid w:val="00A03F74"/>
    <w:rsid w:val="00A046BF"/>
    <w:rsid w:val="00A05B25"/>
    <w:rsid w:val="00A05C04"/>
    <w:rsid w:val="00A06254"/>
    <w:rsid w:val="00A06842"/>
    <w:rsid w:val="00A07459"/>
    <w:rsid w:val="00A07DB6"/>
    <w:rsid w:val="00A10972"/>
    <w:rsid w:val="00A11406"/>
    <w:rsid w:val="00A13205"/>
    <w:rsid w:val="00A132A1"/>
    <w:rsid w:val="00A15132"/>
    <w:rsid w:val="00A1554D"/>
    <w:rsid w:val="00A15792"/>
    <w:rsid w:val="00A158E3"/>
    <w:rsid w:val="00A1591A"/>
    <w:rsid w:val="00A172E0"/>
    <w:rsid w:val="00A211C5"/>
    <w:rsid w:val="00A221A3"/>
    <w:rsid w:val="00A223D5"/>
    <w:rsid w:val="00A23F41"/>
    <w:rsid w:val="00A25547"/>
    <w:rsid w:val="00A3003E"/>
    <w:rsid w:val="00A31E14"/>
    <w:rsid w:val="00A34276"/>
    <w:rsid w:val="00A34524"/>
    <w:rsid w:val="00A345B6"/>
    <w:rsid w:val="00A357A4"/>
    <w:rsid w:val="00A36453"/>
    <w:rsid w:val="00A37970"/>
    <w:rsid w:val="00A37A68"/>
    <w:rsid w:val="00A37B0C"/>
    <w:rsid w:val="00A37CE6"/>
    <w:rsid w:val="00A37D1C"/>
    <w:rsid w:val="00A37FFE"/>
    <w:rsid w:val="00A40ECF"/>
    <w:rsid w:val="00A41FEF"/>
    <w:rsid w:val="00A42476"/>
    <w:rsid w:val="00A433CA"/>
    <w:rsid w:val="00A43A1A"/>
    <w:rsid w:val="00A43D48"/>
    <w:rsid w:val="00A43F3C"/>
    <w:rsid w:val="00A447A5"/>
    <w:rsid w:val="00A4646E"/>
    <w:rsid w:val="00A468FD"/>
    <w:rsid w:val="00A46921"/>
    <w:rsid w:val="00A47249"/>
    <w:rsid w:val="00A47E3B"/>
    <w:rsid w:val="00A501C7"/>
    <w:rsid w:val="00A5058A"/>
    <w:rsid w:val="00A50905"/>
    <w:rsid w:val="00A513FD"/>
    <w:rsid w:val="00A5254B"/>
    <w:rsid w:val="00A52BC1"/>
    <w:rsid w:val="00A534A0"/>
    <w:rsid w:val="00A537EA"/>
    <w:rsid w:val="00A539AD"/>
    <w:rsid w:val="00A53E3E"/>
    <w:rsid w:val="00A540B2"/>
    <w:rsid w:val="00A5414D"/>
    <w:rsid w:val="00A54A3E"/>
    <w:rsid w:val="00A56819"/>
    <w:rsid w:val="00A568AC"/>
    <w:rsid w:val="00A6025F"/>
    <w:rsid w:val="00A60E9C"/>
    <w:rsid w:val="00A6131E"/>
    <w:rsid w:val="00A616AF"/>
    <w:rsid w:val="00A61879"/>
    <w:rsid w:val="00A628B4"/>
    <w:rsid w:val="00A63E4E"/>
    <w:rsid w:val="00A6444F"/>
    <w:rsid w:val="00A652FF"/>
    <w:rsid w:val="00A65A0D"/>
    <w:rsid w:val="00A65C27"/>
    <w:rsid w:val="00A65F3C"/>
    <w:rsid w:val="00A66FB3"/>
    <w:rsid w:val="00A714A3"/>
    <w:rsid w:val="00A71B8B"/>
    <w:rsid w:val="00A75089"/>
    <w:rsid w:val="00A75EDC"/>
    <w:rsid w:val="00A80404"/>
    <w:rsid w:val="00A80548"/>
    <w:rsid w:val="00A8085F"/>
    <w:rsid w:val="00A80A3D"/>
    <w:rsid w:val="00A817A8"/>
    <w:rsid w:val="00A81E50"/>
    <w:rsid w:val="00A81F1C"/>
    <w:rsid w:val="00A82602"/>
    <w:rsid w:val="00A82DA0"/>
    <w:rsid w:val="00A83E49"/>
    <w:rsid w:val="00A8401C"/>
    <w:rsid w:val="00A8415A"/>
    <w:rsid w:val="00A841A6"/>
    <w:rsid w:val="00A84221"/>
    <w:rsid w:val="00A84B7A"/>
    <w:rsid w:val="00A86FBC"/>
    <w:rsid w:val="00A879C5"/>
    <w:rsid w:val="00A902AD"/>
    <w:rsid w:val="00A9099E"/>
    <w:rsid w:val="00A91FB7"/>
    <w:rsid w:val="00A9298F"/>
    <w:rsid w:val="00A9301E"/>
    <w:rsid w:val="00A93E3A"/>
    <w:rsid w:val="00A95186"/>
    <w:rsid w:val="00A951AD"/>
    <w:rsid w:val="00A961BD"/>
    <w:rsid w:val="00AA027E"/>
    <w:rsid w:val="00AA1224"/>
    <w:rsid w:val="00AA14F2"/>
    <w:rsid w:val="00AA180B"/>
    <w:rsid w:val="00AA1D43"/>
    <w:rsid w:val="00AA2469"/>
    <w:rsid w:val="00AA2CD7"/>
    <w:rsid w:val="00AA2FA4"/>
    <w:rsid w:val="00AA3301"/>
    <w:rsid w:val="00AA3360"/>
    <w:rsid w:val="00AA386B"/>
    <w:rsid w:val="00AA6384"/>
    <w:rsid w:val="00AA6B93"/>
    <w:rsid w:val="00AA7A06"/>
    <w:rsid w:val="00AA7A7F"/>
    <w:rsid w:val="00AB1984"/>
    <w:rsid w:val="00AB1CBB"/>
    <w:rsid w:val="00AB215B"/>
    <w:rsid w:val="00AB333E"/>
    <w:rsid w:val="00AB37DB"/>
    <w:rsid w:val="00AB3ECC"/>
    <w:rsid w:val="00AB5A73"/>
    <w:rsid w:val="00AB5F48"/>
    <w:rsid w:val="00AB716D"/>
    <w:rsid w:val="00AB72BB"/>
    <w:rsid w:val="00AB7BF3"/>
    <w:rsid w:val="00AC09D5"/>
    <w:rsid w:val="00AC0D8E"/>
    <w:rsid w:val="00AC175B"/>
    <w:rsid w:val="00AC1AA3"/>
    <w:rsid w:val="00AC1F8E"/>
    <w:rsid w:val="00AC22C1"/>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50F8"/>
    <w:rsid w:val="00AD719F"/>
    <w:rsid w:val="00AD7447"/>
    <w:rsid w:val="00AD7D36"/>
    <w:rsid w:val="00AE0DED"/>
    <w:rsid w:val="00AE284A"/>
    <w:rsid w:val="00AE307E"/>
    <w:rsid w:val="00AE3E11"/>
    <w:rsid w:val="00AE40B3"/>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228C"/>
    <w:rsid w:val="00AF2DB9"/>
    <w:rsid w:val="00AF3928"/>
    <w:rsid w:val="00AF3B55"/>
    <w:rsid w:val="00AF3D62"/>
    <w:rsid w:val="00AF4146"/>
    <w:rsid w:val="00AF56FE"/>
    <w:rsid w:val="00AF6AC5"/>
    <w:rsid w:val="00AF7809"/>
    <w:rsid w:val="00AF7F7B"/>
    <w:rsid w:val="00B0104B"/>
    <w:rsid w:val="00B021E0"/>
    <w:rsid w:val="00B03A30"/>
    <w:rsid w:val="00B03A35"/>
    <w:rsid w:val="00B04F99"/>
    <w:rsid w:val="00B057B6"/>
    <w:rsid w:val="00B05A7C"/>
    <w:rsid w:val="00B06361"/>
    <w:rsid w:val="00B0651D"/>
    <w:rsid w:val="00B06955"/>
    <w:rsid w:val="00B07BEA"/>
    <w:rsid w:val="00B07F41"/>
    <w:rsid w:val="00B102F9"/>
    <w:rsid w:val="00B10D5F"/>
    <w:rsid w:val="00B11C80"/>
    <w:rsid w:val="00B12152"/>
    <w:rsid w:val="00B12DCA"/>
    <w:rsid w:val="00B13ECB"/>
    <w:rsid w:val="00B1524F"/>
    <w:rsid w:val="00B15ECF"/>
    <w:rsid w:val="00B16C0A"/>
    <w:rsid w:val="00B17F60"/>
    <w:rsid w:val="00B2039A"/>
    <w:rsid w:val="00B20AC8"/>
    <w:rsid w:val="00B215D5"/>
    <w:rsid w:val="00B225CB"/>
    <w:rsid w:val="00B22870"/>
    <w:rsid w:val="00B22A22"/>
    <w:rsid w:val="00B22AA6"/>
    <w:rsid w:val="00B23F4C"/>
    <w:rsid w:val="00B246DD"/>
    <w:rsid w:val="00B248D8"/>
    <w:rsid w:val="00B24BA7"/>
    <w:rsid w:val="00B268D0"/>
    <w:rsid w:val="00B269D3"/>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704D"/>
    <w:rsid w:val="00B40162"/>
    <w:rsid w:val="00B4054D"/>
    <w:rsid w:val="00B40FDB"/>
    <w:rsid w:val="00B420B2"/>
    <w:rsid w:val="00B42800"/>
    <w:rsid w:val="00B42863"/>
    <w:rsid w:val="00B430F6"/>
    <w:rsid w:val="00B43511"/>
    <w:rsid w:val="00B43CE6"/>
    <w:rsid w:val="00B45528"/>
    <w:rsid w:val="00B478FA"/>
    <w:rsid w:val="00B50156"/>
    <w:rsid w:val="00B501E8"/>
    <w:rsid w:val="00B502A3"/>
    <w:rsid w:val="00B50953"/>
    <w:rsid w:val="00B509AE"/>
    <w:rsid w:val="00B50E13"/>
    <w:rsid w:val="00B51581"/>
    <w:rsid w:val="00B518AD"/>
    <w:rsid w:val="00B51BB6"/>
    <w:rsid w:val="00B52B0E"/>
    <w:rsid w:val="00B52D81"/>
    <w:rsid w:val="00B5355B"/>
    <w:rsid w:val="00B5402E"/>
    <w:rsid w:val="00B540E8"/>
    <w:rsid w:val="00B55852"/>
    <w:rsid w:val="00B560A9"/>
    <w:rsid w:val="00B56866"/>
    <w:rsid w:val="00B56CC4"/>
    <w:rsid w:val="00B604BB"/>
    <w:rsid w:val="00B6062A"/>
    <w:rsid w:val="00B60A96"/>
    <w:rsid w:val="00B60DD7"/>
    <w:rsid w:val="00B60EB6"/>
    <w:rsid w:val="00B60EE5"/>
    <w:rsid w:val="00B616A5"/>
    <w:rsid w:val="00B628BE"/>
    <w:rsid w:val="00B637FB"/>
    <w:rsid w:val="00B6386F"/>
    <w:rsid w:val="00B65D9B"/>
    <w:rsid w:val="00B66E51"/>
    <w:rsid w:val="00B67346"/>
    <w:rsid w:val="00B6793A"/>
    <w:rsid w:val="00B67AC3"/>
    <w:rsid w:val="00B70880"/>
    <w:rsid w:val="00B71486"/>
    <w:rsid w:val="00B71607"/>
    <w:rsid w:val="00B71EF7"/>
    <w:rsid w:val="00B72361"/>
    <w:rsid w:val="00B74AB0"/>
    <w:rsid w:val="00B75345"/>
    <w:rsid w:val="00B76327"/>
    <w:rsid w:val="00B76400"/>
    <w:rsid w:val="00B76C94"/>
    <w:rsid w:val="00B76D4E"/>
    <w:rsid w:val="00B76D6E"/>
    <w:rsid w:val="00B771AA"/>
    <w:rsid w:val="00B772D0"/>
    <w:rsid w:val="00B80A99"/>
    <w:rsid w:val="00B80F4E"/>
    <w:rsid w:val="00B814CF"/>
    <w:rsid w:val="00B81A33"/>
    <w:rsid w:val="00B82B2D"/>
    <w:rsid w:val="00B83117"/>
    <w:rsid w:val="00B8319C"/>
    <w:rsid w:val="00B90351"/>
    <w:rsid w:val="00B906F2"/>
    <w:rsid w:val="00B90D9B"/>
    <w:rsid w:val="00B91259"/>
    <w:rsid w:val="00B91B81"/>
    <w:rsid w:val="00B91FF0"/>
    <w:rsid w:val="00B92FFF"/>
    <w:rsid w:val="00B936F8"/>
    <w:rsid w:val="00B9492E"/>
    <w:rsid w:val="00B96799"/>
    <w:rsid w:val="00B96DE5"/>
    <w:rsid w:val="00B97A76"/>
    <w:rsid w:val="00BA0166"/>
    <w:rsid w:val="00BA0584"/>
    <w:rsid w:val="00BA1E9D"/>
    <w:rsid w:val="00BA249D"/>
    <w:rsid w:val="00BA4D00"/>
    <w:rsid w:val="00BA5665"/>
    <w:rsid w:val="00BB0AB5"/>
    <w:rsid w:val="00BB195B"/>
    <w:rsid w:val="00BB1BBA"/>
    <w:rsid w:val="00BB204A"/>
    <w:rsid w:val="00BB33E9"/>
    <w:rsid w:val="00BB34B7"/>
    <w:rsid w:val="00BB3BE4"/>
    <w:rsid w:val="00BB44DB"/>
    <w:rsid w:val="00BB57D3"/>
    <w:rsid w:val="00BB58EE"/>
    <w:rsid w:val="00BB64EC"/>
    <w:rsid w:val="00BB7589"/>
    <w:rsid w:val="00BC077E"/>
    <w:rsid w:val="00BC0E57"/>
    <w:rsid w:val="00BC1F5F"/>
    <w:rsid w:val="00BC21BE"/>
    <w:rsid w:val="00BC2465"/>
    <w:rsid w:val="00BC3E36"/>
    <w:rsid w:val="00BC4CE8"/>
    <w:rsid w:val="00BC4D54"/>
    <w:rsid w:val="00BC7632"/>
    <w:rsid w:val="00BC7C9E"/>
    <w:rsid w:val="00BD1E79"/>
    <w:rsid w:val="00BD23A5"/>
    <w:rsid w:val="00BD2937"/>
    <w:rsid w:val="00BD2AFC"/>
    <w:rsid w:val="00BD2CD4"/>
    <w:rsid w:val="00BD330C"/>
    <w:rsid w:val="00BD359B"/>
    <w:rsid w:val="00BD3663"/>
    <w:rsid w:val="00BD367F"/>
    <w:rsid w:val="00BD4871"/>
    <w:rsid w:val="00BD48A9"/>
    <w:rsid w:val="00BD5712"/>
    <w:rsid w:val="00BD581A"/>
    <w:rsid w:val="00BD5C02"/>
    <w:rsid w:val="00BD658C"/>
    <w:rsid w:val="00BD6819"/>
    <w:rsid w:val="00BD7EC6"/>
    <w:rsid w:val="00BE0FF2"/>
    <w:rsid w:val="00BE1345"/>
    <w:rsid w:val="00BE18BC"/>
    <w:rsid w:val="00BE2147"/>
    <w:rsid w:val="00BE239E"/>
    <w:rsid w:val="00BE3B83"/>
    <w:rsid w:val="00BE3C67"/>
    <w:rsid w:val="00BE3CF7"/>
    <w:rsid w:val="00BE42FC"/>
    <w:rsid w:val="00BE66FC"/>
    <w:rsid w:val="00BE73FA"/>
    <w:rsid w:val="00BF00D1"/>
    <w:rsid w:val="00BF0353"/>
    <w:rsid w:val="00BF090A"/>
    <w:rsid w:val="00BF2001"/>
    <w:rsid w:val="00BF2575"/>
    <w:rsid w:val="00BF31A0"/>
    <w:rsid w:val="00BF323A"/>
    <w:rsid w:val="00BF36C0"/>
    <w:rsid w:val="00BF3F0A"/>
    <w:rsid w:val="00BF4E35"/>
    <w:rsid w:val="00BF6F82"/>
    <w:rsid w:val="00BF7B9B"/>
    <w:rsid w:val="00C0083F"/>
    <w:rsid w:val="00C00976"/>
    <w:rsid w:val="00C020CD"/>
    <w:rsid w:val="00C02DDE"/>
    <w:rsid w:val="00C0367B"/>
    <w:rsid w:val="00C04E51"/>
    <w:rsid w:val="00C05074"/>
    <w:rsid w:val="00C05AF9"/>
    <w:rsid w:val="00C060A3"/>
    <w:rsid w:val="00C060B0"/>
    <w:rsid w:val="00C06D2C"/>
    <w:rsid w:val="00C072F0"/>
    <w:rsid w:val="00C07344"/>
    <w:rsid w:val="00C079A3"/>
    <w:rsid w:val="00C07C1F"/>
    <w:rsid w:val="00C11A79"/>
    <w:rsid w:val="00C13607"/>
    <w:rsid w:val="00C137B1"/>
    <w:rsid w:val="00C13B43"/>
    <w:rsid w:val="00C15E81"/>
    <w:rsid w:val="00C174C9"/>
    <w:rsid w:val="00C17B6E"/>
    <w:rsid w:val="00C20748"/>
    <w:rsid w:val="00C20754"/>
    <w:rsid w:val="00C21378"/>
    <w:rsid w:val="00C220A5"/>
    <w:rsid w:val="00C22307"/>
    <w:rsid w:val="00C22BB2"/>
    <w:rsid w:val="00C22EAF"/>
    <w:rsid w:val="00C23150"/>
    <w:rsid w:val="00C24580"/>
    <w:rsid w:val="00C24908"/>
    <w:rsid w:val="00C250E8"/>
    <w:rsid w:val="00C2515F"/>
    <w:rsid w:val="00C25DCF"/>
    <w:rsid w:val="00C26AEA"/>
    <w:rsid w:val="00C276EC"/>
    <w:rsid w:val="00C27C0A"/>
    <w:rsid w:val="00C31AD4"/>
    <w:rsid w:val="00C31C63"/>
    <w:rsid w:val="00C32481"/>
    <w:rsid w:val="00C3394C"/>
    <w:rsid w:val="00C34581"/>
    <w:rsid w:val="00C34AD7"/>
    <w:rsid w:val="00C3516D"/>
    <w:rsid w:val="00C361A6"/>
    <w:rsid w:val="00C3670F"/>
    <w:rsid w:val="00C36E1A"/>
    <w:rsid w:val="00C371DF"/>
    <w:rsid w:val="00C37818"/>
    <w:rsid w:val="00C37EFC"/>
    <w:rsid w:val="00C37FF9"/>
    <w:rsid w:val="00C40126"/>
    <w:rsid w:val="00C41099"/>
    <w:rsid w:val="00C41425"/>
    <w:rsid w:val="00C41B4A"/>
    <w:rsid w:val="00C4213A"/>
    <w:rsid w:val="00C42C11"/>
    <w:rsid w:val="00C43ADB"/>
    <w:rsid w:val="00C44949"/>
    <w:rsid w:val="00C44B4C"/>
    <w:rsid w:val="00C450E3"/>
    <w:rsid w:val="00C45830"/>
    <w:rsid w:val="00C45C56"/>
    <w:rsid w:val="00C45CCD"/>
    <w:rsid w:val="00C46734"/>
    <w:rsid w:val="00C5105D"/>
    <w:rsid w:val="00C511F0"/>
    <w:rsid w:val="00C513C7"/>
    <w:rsid w:val="00C51639"/>
    <w:rsid w:val="00C53220"/>
    <w:rsid w:val="00C533A0"/>
    <w:rsid w:val="00C537E7"/>
    <w:rsid w:val="00C53E9D"/>
    <w:rsid w:val="00C5426B"/>
    <w:rsid w:val="00C54C18"/>
    <w:rsid w:val="00C573DA"/>
    <w:rsid w:val="00C5772E"/>
    <w:rsid w:val="00C5781B"/>
    <w:rsid w:val="00C616B4"/>
    <w:rsid w:val="00C621A7"/>
    <w:rsid w:val="00C62AA0"/>
    <w:rsid w:val="00C62BF2"/>
    <w:rsid w:val="00C62D1B"/>
    <w:rsid w:val="00C638A6"/>
    <w:rsid w:val="00C63FB9"/>
    <w:rsid w:val="00C64266"/>
    <w:rsid w:val="00C647DF"/>
    <w:rsid w:val="00C66CE8"/>
    <w:rsid w:val="00C70074"/>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BF"/>
    <w:rsid w:val="00C84BE9"/>
    <w:rsid w:val="00C85DEF"/>
    <w:rsid w:val="00C910F8"/>
    <w:rsid w:val="00C91106"/>
    <w:rsid w:val="00C9117B"/>
    <w:rsid w:val="00C91D19"/>
    <w:rsid w:val="00C93B58"/>
    <w:rsid w:val="00C93C2F"/>
    <w:rsid w:val="00C9437C"/>
    <w:rsid w:val="00C946FF"/>
    <w:rsid w:val="00C94A14"/>
    <w:rsid w:val="00C94CDA"/>
    <w:rsid w:val="00C95BED"/>
    <w:rsid w:val="00C96725"/>
    <w:rsid w:val="00C97A66"/>
    <w:rsid w:val="00CA007B"/>
    <w:rsid w:val="00CA0AA4"/>
    <w:rsid w:val="00CA15B0"/>
    <w:rsid w:val="00CA1D4C"/>
    <w:rsid w:val="00CA1D50"/>
    <w:rsid w:val="00CA1DAB"/>
    <w:rsid w:val="00CA20E0"/>
    <w:rsid w:val="00CA3347"/>
    <w:rsid w:val="00CA523D"/>
    <w:rsid w:val="00CA5EEA"/>
    <w:rsid w:val="00CA6FDA"/>
    <w:rsid w:val="00CA77CF"/>
    <w:rsid w:val="00CA7B58"/>
    <w:rsid w:val="00CB1413"/>
    <w:rsid w:val="00CB2518"/>
    <w:rsid w:val="00CB3920"/>
    <w:rsid w:val="00CB3952"/>
    <w:rsid w:val="00CB4C4C"/>
    <w:rsid w:val="00CB6413"/>
    <w:rsid w:val="00CB696F"/>
    <w:rsid w:val="00CB77F4"/>
    <w:rsid w:val="00CC0F1C"/>
    <w:rsid w:val="00CC299A"/>
    <w:rsid w:val="00CC3039"/>
    <w:rsid w:val="00CC32B7"/>
    <w:rsid w:val="00CC36DE"/>
    <w:rsid w:val="00CC4F99"/>
    <w:rsid w:val="00CC5FC3"/>
    <w:rsid w:val="00CC6369"/>
    <w:rsid w:val="00CC65D6"/>
    <w:rsid w:val="00CC73F3"/>
    <w:rsid w:val="00CD081C"/>
    <w:rsid w:val="00CD14DA"/>
    <w:rsid w:val="00CD1B5A"/>
    <w:rsid w:val="00CD1E9C"/>
    <w:rsid w:val="00CD27DB"/>
    <w:rsid w:val="00CD2E70"/>
    <w:rsid w:val="00CD386B"/>
    <w:rsid w:val="00CD3D06"/>
    <w:rsid w:val="00CD4A09"/>
    <w:rsid w:val="00CD4C67"/>
    <w:rsid w:val="00CD4C7B"/>
    <w:rsid w:val="00CD5397"/>
    <w:rsid w:val="00CD5E93"/>
    <w:rsid w:val="00CE15AE"/>
    <w:rsid w:val="00CE1CFC"/>
    <w:rsid w:val="00CE235A"/>
    <w:rsid w:val="00CE37A3"/>
    <w:rsid w:val="00CE3814"/>
    <w:rsid w:val="00CE56B7"/>
    <w:rsid w:val="00CE6660"/>
    <w:rsid w:val="00CE6855"/>
    <w:rsid w:val="00CE6B6F"/>
    <w:rsid w:val="00CE7033"/>
    <w:rsid w:val="00CE770A"/>
    <w:rsid w:val="00CF02A6"/>
    <w:rsid w:val="00CF05A6"/>
    <w:rsid w:val="00CF06CF"/>
    <w:rsid w:val="00CF101C"/>
    <w:rsid w:val="00CF2DC1"/>
    <w:rsid w:val="00CF2EE2"/>
    <w:rsid w:val="00CF3948"/>
    <w:rsid w:val="00CF3ACF"/>
    <w:rsid w:val="00CF441D"/>
    <w:rsid w:val="00CF4FCF"/>
    <w:rsid w:val="00CF4FDC"/>
    <w:rsid w:val="00CF56AF"/>
    <w:rsid w:val="00CF5BE0"/>
    <w:rsid w:val="00CF5BF1"/>
    <w:rsid w:val="00CF61CB"/>
    <w:rsid w:val="00CF666F"/>
    <w:rsid w:val="00CF686F"/>
    <w:rsid w:val="00CF6E7D"/>
    <w:rsid w:val="00D00175"/>
    <w:rsid w:val="00D00223"/>
    <w:rsid w:val="00D00DBF"/>
    <w:rsid w:val="00D0149B"/>
    <w:rsid w:val="00D01F5D"/>
    <w:rsid w:val="00D01FA9"/>
    <w:rsid w:val="00D03DBE"/>
    <w:rsid w:val="00D03EED"/>
    <w:rsid w:val="00D0597D"/>
    <w:rsid w:val="00D06274"/>
    <w:rsid w:val="00D066D8"/>
    <w:rsid w:val="00D11949"/>
    <w:rsid w:val="00D11A69"/>
    <w:rsid w:val="00D12C98"/>
    <w:rsid w:val="00D12FFC"/>
    <w:rsid w:val="00D1484F"/>
    <w:rsid w:val="00D14BA0"/>
    <w:rsid w:val="00D14D7B"/>
    <w:rsid w:val="00D1516D"/>
    <w:rsid w:val="00D158B0"/>
    <w:rsid w:val="00D1707A"/>
    <w:rsid w:val="00D21435"/>
    <w:rsid w:val="00D2242C"/>
    <w:rsid w:val="00D224FA"/>
    <w:rsid w:val="00D23033"/>
    <w:rsid w:val="00D2402F"/>
    <w:rsid w:val="00D245C2"/>
    <w:rsid w:val="00D25660"/>
    <w:rsid w:val="00D258EB"/>
    <w:rsid w:val="00D271CD"/>
    <w:rsid w:val="00D315CC"/>
    <w:rsid w:val="00D327A3"/>
    <w:rsid w:val="00D34C82"/>
    <w:rsid w:val="00D36550"/>
    <w:rsid w:val="00D379EC"/>
    <w:rsid w:val="00D41E42"/>
    <w:rsid w:val="00D41F6B"/>
    <w:rsid w:val="00D42380"/>
    <w:rsid w:val="00D42C9B"/>
    <w:rsid w:val="00D4348D"/>
    <w:rsid w:val="00D436D7"/>
    <w:rsid w:val="00D44E42"/>
    <w:rsid w:val="00D44FC3"/>
    <w:rsid w:val="00D450E2"/>
    <w:rsid w:val="00D453D7"/>
    <w:rsid w:val="00D462D6"/>
    <w:rsid w:val="00D474AB"/>
    <w:rsid w:val="00D4754E"/>
    <w:rsid w:val="00D50961"/>
    <w:rsid w:val="00D50A02"/>
    <w:rsid w:val="00D512A1"/>
    <w:rsid w:val="00D52AB4"/>
    <w:rsid w:val="00D52F26"/>
    <w:rsid w:val="00D531F5"/>
    <w:rsid w:val="00D538C1"/>
    <w:rsid w:val="00D538D5"/>
    <w:rsid w:val="00D54640"/>
    <w:rsid w:val="00D55455"/>
    <w:rsid w:val="00D559B5"/>
    <w:rsid w:val="00D56420"/>
    <w:rsid w:val="00D56A94"/>
    <w:rsid w:val="00D56C0C"/>
    <w:rsid w:val="00D5798B"/>
    <w:rsid w:val="00D60736"/>
    <w:rsid w:val="00D6170E"/>
    <w:rsid w:val="00D61B58"/>
    <w:rsid w:val="00D6307D"/>
    <w:rsid w:val="00D63632"/>
    <w:rsid w:val="00D63732"/>
    <w:rsid w:val="00D6568E"/>
    <w:rsid w:val="00D65893"/>
    <w:rsid w:val="00D658EC"/>
    <w:rsid w:val="00D6742A"/>
    <w:rsid w:val="00D67B9B"/>
    <w:rsid w:val="00D71733"/>
    <w:rsid w:val="00D718AC"/>
    <w:rsid w:val="00D719A3"/>
    <w:rsid w:val="00D71E7A"/>
    <w:rsid w:val="00D72DE7"/>
    <w:rsid w:val="00D7302F"/>
    <w:rsid w:val="00D73BB2"/>
    <w:rsid w:val="00D74D14"/>
    <w:rsid w:val="00D74F3B"/>
    <w:rsid w:val="00D752E7"/>
    <w:rsid w:val="00D7574B"/>
    <w:rsid w:val="00D75E82"/>
    <w:rsid w:val="00D76270"/>
    <w:rsid w:val="00D769C5"/>
    <w:rsid w:val="00D76E76"/>
    <w:rsid w:val="00D80631"/>
    <w:rsid w:val="00D818EC"/>
    <w:rsid w:val="00D81A20"/>
    <w:rsid w:val="00D81F55"/>
    <w:rsid w:val="00D8321A"/>
    <w:rsid w:val="00D85152"/>
    <w:rsid w:val="00D85F2C"/>
    <w:rsid w:val="00D861BD"/>
    <w:rsid w:val="00D86D55"/>
    <w:rsid w:val="00D8789C"/>
    <w:rsid w:val="00D87B3F"/>
    <w:rsid w:val="00D9003D"/>
    <w:rsid w:val="00D90558"/>
    <w:rsid w:val="00D9082F"/>
    <w:rsid w:val="00D914EB"/>
    <w:rsid w:val="00D94085"/>
    <w:rsid w:val="00D96D4F"/>
    <w:rsid w:val="00DA1806"/>
    <w:rsid w:val="00DA1BD1"/>
    <w:rsid w:val="00DA212B"/>
    <w:rsid w:val="00DA3A76"/>
    <w:rsid w:val="00DA6D6D"/>
    <w:rsid w:val="00DA73C1"/>
    <w:rsid w:val="00DA770D"/>
    <w:rsid w:val="00DA7851"/>
    <w:rsid w:val="00DA7DC1"/>
    <w:rsid w:val="00DB00EE"/>
    <w:rsid w:val="00DB0132"/>
    <w:rsid w:val="00DB2754"/>
    <w:rsid w:val="00DB2D88"/>
    <w:rsid w:val="00DB3687"/>
    <w:rsid w:val="00DB38D1"/>
    <w:rsid w:val="00DB41CB"/>
    <w:rsid w:val="00DB681B"/>
    <w:rsid w:val="00DB7E24"/>
    <w:rsid w:val="00DC0445"/>
    <w:rsid w:val="00DC2082"/>
    <w:rsid w:val="00DC225F"/>
    <w:rsid w:val="00DC2883"/>
    <w:rsid w:val="00DC2C48"/>
    <w:rsid w:val="00DC46B5"/>
    <w:rsid w:val="00DC4B28"/>
    <w:rsid w:val="00DC525E"/>
    <w:rsid w:val="00DC535C"/>
    <w:rsid w:val="00DC5DCB"/>
    <w:rsid w:val="00DC6C0D"/>
    <w:rsid w:val="00DD074A"/>
    <w:rsid w:val="00DD0D70"/>
    <w:rsid w:val="00DD1941"/>
    <w:rsid w:val="00DD26A5"/>
    <w:rsid w:val="00DD2812"/>
    <w:rsid w:val="00DD34F2"/>
    <w:rsid w:val="00DD3C6B"/>
    <w:rsid w:val="00DD54ED"/>
    <w:rsid w:val="00DD697F"/>
    <w:rsid w:val="00DD699C"/>
    <w:rsid w:val="00DD739F"/>
    <w:rsid w:val="00DD7631"/>
    <w:rsid w:val="00DD7762"/>
    <w:rsid w:val="00DD781E"/>
    <w:rsid w:val="00DD7A2C"/>
    <w:rsid w:val="00DD7F63"/>
    <w:rsid w:val="00DE0A1B"/>
    <w:rsid w:val="00DE1238"/>
    <w:rsid w:val="00DE1FFE"/>
    <w:rsid w:val="00DE31B1"/>
    <w:rsid w:val="00DE32E7"/>
    <w:rsid w:val="00DE3BB8"/>
    <w:rsid w:val="00DE40EB"/>
    <w:rsid w:val="00DE5117"/>
    <w:rsid w:val="00DE5648"/>
    <w:rsid w:val="00DE568A"/>
    <w:rsid w:val="00DE595E"/>
    <w:rsid w:val="00DE5CD9"/>
    <w:rsid w:val="00DE6A70"/>
    <w:rsid w:val="00DE70B5"/>
    <w:rsid w:val="00DE7113"/>
    <w:rsid w:val="00DF00F9"/>
    <w:rsid w:val="00DF0576"/>
    <w:rsid w:val="00DF1981"/>
    <w:rsid w:val="00DF1D07"/>
    <w:rsid w:val="00DF1E89"/>
    <w:rsid w:val="00DF2144"/>
    <w:rsid w:val="00DF2EA5"/>
    <w:rsid w:val="00DF310B"/>
    <w:rsid w:val="00DF3E47"/>
    <w:rsid w:val="00DF56E8"/>
    <w:rsid w:val="00DF6EB6"/>
    <w:rsid w:val="00DF7133"/>
    <w:rsid w:val="00DF764C"/>
    <w:rsid w:val="00DF7FBF"/>
    <w:rsid w:val="00E00BB4"/>
    <w:rsid w:val="00E00CAA"/>
    <w:rsid w:val="00E01441"/>
    <w:rsid w:val="00E01682"/>
    <w:rsid w:val="00E01D4A"/>
    <w:rsid w:val="00E02F4B"/>
    <w:rsid w:val="00E03C77"/>
    <w:rsid w:val="00E03D04"/>
    <w:rsid w:val="00E04332"/>
    <w:rsid w:val="00E043BB"/>
    <w:rsid w:val="00E04ECF"/>
    <w:rsid w:val="00E0502A"/>
    <w:rsid w:val="00E05902"/>
    <w:rsid w:val="00E067C4"/>
    <w:rsid w:val="00E06A36"/>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C65"/>
    <w:rsid w:val="00E2307E"/>
    <w:rsid w:val="00E2352B"/>
    <w:rsid w:val="00E23E84"/>
    <w:rsid w:val="00E23F9B"/>
    <w:rsid w:val="00E24D23"/>
    <w:rsid w:val="00E26649"/>
    <w:rsid w:val="00E2703D"/>
    <w:rsid w:val="00E271F9"/>
    <w:rsid w:val="00E27F0A"/>
    <w:rsid w:val="00E309B0"/>
    <w:rsid w:val="00E326E9"/>
    <w:rsid w:val="00E352C3"/>
    <w:rsid w:val="00E35476"/>
    <w:rsid w:val="00E355C0"/>
    <w:rsid w:val="00E359A5"/>
    <w:rsid w:val="00E372F7"/>
    <w:rsid w:val="00E37DC0"/>
    <w:rsid w:val="00E37EC6"/>
    <w:rsid w:val="00E40432"/>
    <w:rsid w:val="00E40850"/>
    <w:rsid w:val="00E40D52"/>
    <w:rsid w:val="00E41187"/>
    <w:rsid w:val="00E411B3"/>
    <w:rsid w:val="00E41585"/>
    <w:rsid w:val="00E4220D"/>
    <w:rsid w:val="00E4231E"/>
    <w:rsid w:val="00E4279A"/>
    <w:rsid w:val="00E44AC7"/>
    <w:rsid w:val="00E45B2D"/>
    <w:rsid w:val="00E468F2"/>
    <w:rsid w:val="00E47A20"/>
    <w:rsid w:val="00E5084C"/>
    <w:rsid w:val="00E50871"/>
    <w:rsid w:val="00E50B4C"/>
    <w:rsid w:val="00E53533"/>
    <w:rsid w:val="00E537ED"/>
    <w:rsid w:val="00E5384D"/>
    <w:rsid w:val="00E53F2E"/>
    <w:rsid w:val="00E54004"/>
    <w:rsid w:val="00E546C9"/>
    <w:rsid w:val="00E54BB9"/>
    <w:rsid w:val="00E54D3F"/>
    <w:rsid w:val="00E55F1F"/>
    <w:rsid w:val="00E56866"/>
    <w:rsid w:val="00E56904"/>
    <w:rsid w:val="00E57DFD"/>
    <w:rsid w:val="00E60423"/>
    <w:rsid w:val="00E607E5"/>
    <w:rsid w:val="00E60A16"/>
    <w:rsid w:val="00E610CB"/>
    <w:rsid w:val="00E6125B"/>
    <w:rsid w:val="00E6170A"/>
    <w:rsid w:val="00E62ADF"/>
    <w:rsid w:val="00E62FA7"/>
    <w:rsid w:val="00E637A3"/>
    <w:rsid w:val="00E659FD"/>
    <w:rsid w:val="00E65B0C"/>
    <w:rsid w:val="00E66B16"/>
    <w:rsid w:val="00E66BA2"/>
    <w:rsid w:val="00E677DB"/>
    <w:rsid w:val="00E700F8"/>
    <w:rsid w:val="00E71C2D"/>
    <w:rsid w:val="00E7266C"/>
    <w:rsid w:val="00E72BB6"/>
    <w:rsid w:val="00E730AC"/>
    <w:rsid w:val="00E734CE"/>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48F0"/>
    <w:rsid w:val="00E84D1C"/>
    <w:rsid w:val="00E84D9C"/>
    <w:rsid w:val="00E8628F"/>
    <w:rsid w:val="00E86888"/>
    <w:rsid w:val="00E92C96"/>
    <w:rsid w:val="00E942B8"/>
    <w:rsid w:val="00E944ED"/>
    <w:rsid w:val="00E945AF"/>
    <w:rsid w:val="00E94A0B"/>
    <w:rsid w:val="00E94A2C"/>
    <w:rsid w:val="00E9544C"/>
    <w:rsid w:val="00E95799"/>
    <w:rsid w:val="00E95D93"/>
    <w:rsid w:val="00E9683D"/>
    <w:rsid w:val="00E970B7"/>
    <w:rsid w:val="00E97D95"/>
    <w:rsid w:val="00EA010D"/>
    <w:rsid w:val="00EA04C5"/>
    <w:rsid w:val="00EA0507"/>
    <w:rsid w:val="00EA0BB5"/>
    <w:rsid w:val="00EA1A8A"/>
    <w:rsid w:val="00EA21FA"/>
    <w:rsid w:val="00EA25EB"/>
    <w:rsid w:val="00EA26D5"/>
    <w:rsid w:val="00EA2775"/>
    <w:rsid w:val="00EA3106"/>
    <w:rsid w:val="00EA3874"/>
    <w:rsid w:val="00EA5AB6"/>
    <w:rsid w:val="00EA612E"/>
    <w:rsid w:val="00EA761C"/>
    <w:rsid w:val="00EA7D7F"/>
    <w:rsid w:val="00EB0810"/>
    <w:rsid w:val="00EB0B5F"/>
    <w:rsid w:val="00EB1CF7"/>
    <w:rsid w:val="00EB25C2"/>
    <w:rsid w:val="00EB2B6F"/>
    <w:rsid w:val="00EB2CAD"/>
    <w:rsid w:val="00EB2FA2"/>
    <w:rsid w:val="00EB3272"/>
    <w:rsid w:val="00EB37B2"/>
    <w:rsid w:val="00EB7352"/>
    <w:rsid w:val="00EB769A"/>
    <w:rsid w:val="00EC11E4"/>
    <w:rsid w:val="00EC14E1"/>
    <w:rsid w:val="00EC2A3F"/>
    <w:rsid w:val="00EC2E64"/>
    <w:rsid w:val="00EC3A35"/>
    <w:rsid w:val="00EC3C52"/>
    <w:rsid w:val="00EC3E69"/>
    <w:rsid w:val="00EC5554"/>
    <w:rsid w:val="00EC572B"/>
    <w:rsid w:val="00EC5B8E"/>
    <w:rsid w:val="00EC7356"/>
    <w:rsid w:val="00EC75F6"/>
    <w:rsid w:val="00ED0065"/>
    <w:rsid w:val="00ED17B5"/>
    <w:rsid w:val="00ED353D"/>
    <w:rsid w:val="00ED588C"/>
    <w:rsid w:val="00ED6E7A"/>
    <w:rsid w:val="00ED6EA1"/>
    <w:rsid w:val="00ED7A7F"/>
    <w:rsid w:val="00EE07AC"/>
    <w:rsid w:val="00EE0891"/>
    <w:rsid w:val="00EE1062"/>
    <w:rsid w:val="00EE17F2"/>
    <w:rsid w:val="00EE188A"/>
    <w:rsid w:val="00EE1B01"/>
    <w:rsid w:val="00EE1DB8"/>
    <w:rsid w:val="00EE2746"/>
    <w:rsid w:val="00EE4759"/>
    <w:rsid w:val="00EE4C20"/>
    <w:rsid w:val="00EE4F2D"/>
    <w:rsid w:val="00EE6755"/>
    <w:rsid w:val="00EF03DC"/>
    <w:rsid w:val="00EF0437"/>
    <w:rsid w:val="00EF0BFE"/>
    <w:rsid w:val="00EF2AC7"/>
    <w:rsid w:val="00EF3397"/>
    <w:rsid w:val="00EF40BF"/>
    <w:rsid w:val="00EF4557"/>
    <w:rsid w:val="00EF493F"/>
    <w:rsid w:val="00EF5E22"/>
    <w:rsid w:val="00EF60CA"/>
    <w:rsid w:val="00EF63C1"/>
    <w:rsid w:val="00EF6C2B"/>
    <w:rsid w:val="00F008BD"/>
    <w:rsid w:val="00F021A9"/>
    <w:rsid w:val="00F02C54"/>
    <w:rsid w:val="00F02D03"/>
    <w:rsid w:val="00F0448C"/>
    <w:rsid w:val="00F0553C"/>
    <w:rsid w:val="00F06BA7"/>
    <w:rsid w:val="00F071BA"/>
    <w:rsid w:val="00F1284F"/>
    <w:rsid w:val="00F136A4"/>
    <w:rsid w:val="00F1377B"/>
    <w:rsid w:val="00F13C5E"/>
    <w:rsid w:val="00F148D5"/>
    <w:rsid w:val="00F1601A"/>
    <w:rsid w:val="00F160BF"/>
    <w:rsid w:val="00F1675C"/>
    <w:rsid w:val="00F16A3C"/>
    <w:rsid w:val="00F17428"/>
    <w:rsid w:val="00F20046"/>
    <w:rsid w:val="00F20D22"/>
    <w:rsid w:val="00F21A58"/>
    <w:rsid w:val="00F23048"/>
    <w:rsid w:val="00F239CD"/>
    <w:rsid w:val="00F23DCC"/>
    <w:rsid w:val="00F24294"/>
    <w:rsid w:val="00F2477C"/>
    <w:rsid w:val="00F24EBB"/>
    <w:rsid w:val="00F27F06"/>
    <w:rsid w:val="00F314E8"/>
    <w:rsid w:val="00F316A2"/>
    <w:rsid w:val="00F323A2"/>
    <w:rsid w:val="00F332D4"/>
    <w:rsid w:val="00F33B57"/>
    <w:rsid w:val="00F33CA8"/>
    <w:rsid w:val="00F33D5C"/>
    <w:rsid w:val="00F356D6"/>
    <w:rsid w:val="00F37D37"/>
    <w:rsid w:val="00F400E3"/>
    <w:rsid w:val="00F4021A"/>
    <w:rsid w:val="00F40876"/>
    <w:rsid w:val="00F44642"/>
    <w:rsid w:val="00F454A2"/>
    <w:rsid w:val="00F45E89"/>
    <w:rsid w:val="00F47845"/>
    <w:rsid w:val="00F47B6C"/>
    <w:rsid w:val="00F50675"/>
    <w:rsid w:val="00F5071D"/>
    <w:rsid w:val="00F50BD6"/>
    <w:rsid w:val="00F50E16"/>
    <w:rsid w:val="00F513B2"/>
    <w:rsid w:val="00F51520"/>
    <w:rsid w:val="00F52140"/>
    <w:rsid w:val="00F521E4"/>
    <w:rsid w:val="00F52CCE"/>
    <w:rsid w:val="00F53151"/>
    <w:rsid w:val="00F535A9"/>
    <w:rsid w:val="00F53F92"/>
    <w:rsid w:val="00F5480F"/>
    <w:rsid w:val="00F552F7"/>
    <w:rsid w:val="00F554EB"/>
    <w:rsid w:val="00F5562D"/>
    <w:rsid w:val="00F566EA"/>
    <w:rsid w:val="00F567A4"/>
    <w:rsid w:val="00F578EB"/>
    <w:rsid w:val="00F605BE"/>
    <w:rsid w:val="00F60DDC"/>
    <w:rsid w:val="00F610A9"/>
    <w:rsid w:val="00F617BE"/>
    <w:rsid w:val="00F61C7A"/>
    <w:rsid w:val="00F625F7"/>
    <w:rsid w:val="00F64D5A"/>
    <w:rsid w:val="00F65399"/>
    <w:rsid w:val="00F65C22"/>
    <w:rsid w:val="00F65EC9"/>
    <w:rsid w:val="00F66CB1"/>
    <w:rsid w:val="00F672BD"/>
    <w:rsid w:val="00F67E15"/>
    <w:rsid w:val="00F67FCA"/>
    <w:rsid w:val="00F70815"/>
    <w:rsid w:val="00F709F4"/>
    <w:rsid w:val="00F71019"/>
    <w:rsid w:val="00F710A9"/>
    <w:rsid w:val="00F7284D"/>
    <w:rsid w:val="00F72CFE"/>
    <w:rsid w:val="00F72FB0"/>
    <w:rsid w:val="00F73423"/>
    <w:rsid w:val="00F7365E"/>
    <w:rsid w:val="00F737A4"/>
    <w:rsid w:val="00F75481"/>
    <w:rsid w:val="00F76A4C"/>
    <w:rsid w:val="00F76AB3"/>
    <w:rsid w:val="00F816A4"/>
    <w:rsid w:val="00F81AE9"/>
    <w:rsid w:val="00F82C78"/>
    <w:rsid w:val="00F82E2E"/>
    <w:rsid w:val="00F83186"/>
    <w:rsid w:val="00F83601"/>
    <w:rsid w:val="00F837E6"/>
    <w:rsid w:val="00F8389A"/>
    <w:rsid w:val="00F83AE9"/>
    <w:rsid w:val="00F843D4"/>
    <w:rsid w:val="00F84A40"/>
    <w:rsid w:val="00F84DBD"/>
    <w:rsid w:val="00F8516E"/>
    <w:rsid w:val="00F852E5"/>
    <w:rsid w:val="00F85C0D"/>
    <w:rsid w:val="00F86741"/>
    <w:rsid w:val="00F86796"/>
    <w:rsid w:val="00F87C5B"/>
    <w:rsid w:val="00F87FEA"/>
    <w:rsid w:val="00F90613"/>
    <w:rsid w:val="00F906F4"/>
    <w:rsid w:val="00F915F3"/>
    <w:rsid w:val="00F91800"/>
    <w:rsid w:val="00F91853"/>
    <w:rsid w:val="00F91987"/>
    <w:rsid w:val="00F9208E"/>
    <w:rsid w:val="00F92571"/>
    <w:rsid w:val="00F93B2F"/>
    <w:rsid w:val="00F93CAE"/>
    <w:rsid w:val="00F95CCE"/>
    <w:rsid w:val="00F9692D"/>
    <w:rsid w:val="00F978BE"/>
    <w:rsid w:val="00F97D7B"/>
    <w:rsid w:val="00FA0013"/>
    <w:rsid w:val="00FA0288"/>
    <w:rsid w:val="00FA0F71"/>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629"/>
    <w:rsid w:val="00FB577F"/>
    <w:rsid w:val="00FB5E5D"/>
    <w:rsid w:val="00FB5FC4"/>
    <w:rsid w:val="00FB6A07"/>
    <w:rsid w:val="00FB6FB1"/>
    <w:rsid w:val="00FB7460"/>
    <w:rsid w:val="00FB7A10"/>
    <w:rsid w:val="00FC0F81"/>
    <w:rsid w:val="00FC3798"/>
    <w:rsid w:val="00FC59AF"/>
    <w:rsid w:val="00FC5F72"/>
    <w:rsid w:val="00FC62B5"/>
    <w:rsid w:val="00FC6D4E"/>
    <w:rsid w:val="00FC7073"/>
    <w:rsid w:val="00FC736F"/>
    <w:rsid w:val="00FD0CDB"/>
    <w:rsid w:val="00FD1FA7"/>
    <w:rsid w:val="00FD2D42"/>
    <w:rsid w:val="00FD30B5"/>
    <w:rsid w:val="00FD3453"/>
    <w:rsid w:val="00FD39CF"/>
    <w:rsid w:val="00FD4D84"/>
    <w:rsid w:val="00FD5468"/>
    <w:rsid w:val="00FD58F5"/>
    <w:rsid w:val="00FD754C"/>
    <w:rsid w:val="00FE0DAE"/>
    <w:rsid w:val="00FE1370"/>
    <w:rsid w:val="00FE1510"/>
    <w:rsid w:val="00FE2121"/>
    <w:rsid w:val="00FE254A"/>
    <w:rsid w:val="00FE321B"/>
    <w:rsid w:val="00FE3D07"/>
    <w:rsid w:val="00FE4B6F"/>
    <w:rsid w:val="00FE6818"/>
    <w:rsid w:val="00FF0CF5"/>
    <w:rsid w:val="00FF0D6F"/>
    <w:rsid w:val="00FF0E9E"/>
    <w:rsid w:val="00FF1103"/>
    <w:rsid w:val="00FF1712"/>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os/cce-eicp-gi-18._gees_v.2_2.pdf"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asosag@unal.edu.co"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eb0fd05604104aa4d3bc08dd4c4ad35e%7C7b09041e245149d08cb179d5e3d8c1be%7C0%7C0%7C638750606445955315%7CUnknown%7CTWFpbGZsb3d8eyJFbXB0eU1hcGkiOnRydWUsIlYiOiIwLjAuMDAwMCIsIlAiOiJXaW4zMiIsIkFOIjoiTWFpbCIsIldUIjoyfQ%3D%3D%7C0%7C%7C%7C&amp;sdata=rg5gIZMXUibmlW0fQooF%2BImy%2B2nR%2B%2FKlCtwBQuhqOtM%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iudadanos%2Fcalendario&amp;data=05%7C02%7Ctatiana.baquero%40colombiacompra.gov.co%7Ceb0fd05604104aa4d3bc08dd4c4ad35e%7C7b09041e245149d08cb179d5e3d8c1be%7C0%7C0%7C638750606445942981%7CUnknown%7CTWFpbGZsb3d8eyJFbXB0eU1hcGkiOnRydWUsIlYiOiIwLjAuMDAwMCIsIlAiOiJXaW4zMiIsIkFOIjoiTWFpbCIsIldUIjoyfQ%3D%3D%7C0%7C%7C%7C&amp;sdata=vELObfe7WBLRkZAqY%2BUNk6oCbo4SVElKFox0kR2OcRM%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cartilla-para-incentivar-y-fortalecer-el-acceso-las&amp;data=05%7C02%7Ctatiana.baquero%40colombiacompra.gov.co%7Ceb0fd05604104aa4d3bc08dd4c4ad35e%7C7b09041e245149d08cb179d5e3d8c1be%7C0%7C0%7C638750606445917849%7CUnknown%7CTWFpbGZsb3d8eyJFbXB0eU1hcGkiOnRydWUsIlYiOiIwLjAuMDAwMCIsIlAiOiJXaW4zMiIsIkFOIjoiTWFpbCIsIldUIjoyfQ%3D%3D%7C0%7C%7C%7C&amp;sdata=CIYlMJvb8%2FkyVQ4wnSJNk2cjQdOhR92iwUE8nmXIOWg%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os/cce-eicp-gi-18._gees_v.2_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6004</Words>
  <Characters>33027</Characters>
  <Application>Microsoft Office Word</Application>
  <DocSecurity>0</DocSecurity>
  <Lines>275</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38954</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cp:lastModifiedBy>
  <cp:revision>4</cp:revision>
  <dcterms:created xsi:type="dcterms:W3CDTF">2025-03-10T19:14:00Z</dcterms:created>
  <dcterms:modified xsi:type="dcterms:W3CDTF">2025-03-10T19:17:00Z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