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734E9" w14:textId="77777777" w:rsidR="00417016" w:rsidRPr="007C11D3" w:rsidRDefault="00417016" w:rsidP="00417016">
      <w:pPr>
        <w:spacing w:after="0" w:line="240" w:lineRule="auto"/>
        <w:rPr>
          <w:rFonts w:ascii="Verdana" w:eastAsia="Calibri" w:hAnsi="Verdana" w:cs="Arial"/>
          <w:b/>
          <w:color w:val="000000" w:themeColor="text1"/>
          <w:lang w:val="es-ES_tradnl"/>
        </w:rPr>
      </w:pPr>
      <w:bookmarkStart w:id="0" w:name="_Hlk143780582"/>
      <w:r w:rsidRPr="007C11D3">
        <w:rPr>
          <w:rFonts w:ascii="Verdana" w:eastAsia="Calibri" w:hAnsi="Verdana" w:cs="Arial"/>
          <w:b/>
          <w:color w:val="000000" w:themeColor="text1"/>
          <w:lang w:val="es-ES_tradnl"/>
        </w:rPr>
        <w:t xml:space="preserve">LEY DE GARANTÍAS ELECTORALES ‒ Tipos de restricciones ‒ Ámbito temporal </w:t>
      </w:r>
    </w:p>
    <w:p w14:paraId="5B359AC5" w14:textId="77777777" w:rsidR="00417016" w:rsidRPr="007C11D3" w:rsidRDefault="00417016" w:rsidP="00417016">
      <w:pPr>
        <w:spacing w:after="0" w:line="240" w:lineRule="auto"/>
        <w:rPr>
          <w:rFonts w:ascii="Verdana" w:eastAsia="Calibri" w:hAnsi="Verdana" w:cs="Arial"/>
          <w:b/>
          <w:color w:val="000000" w:themeColor="text1"/>
          <w:lang w:val="es-ES_tradnl"/>
        </w:rPr>
      </w:pPr>
    </w:p>
    <w:p w14:paraId="327F6663" w14:textId="77777777" w:rsidR="00417016" w:rsidRPr="007C11D3" w:rsidRDefault="00417016" w:rsidP="00417016">
      <w:pPr>
        <w:spacing w:after="0" w:line="240" w:lineRule="auto"/>
        <w:jc w:val="both"/>
        <w:rPr>
          <w:rFonts w:ascii="Verdana" w:eastAsia="Calibri" w:hAnsi="Verdana" w:cs="Arial"/>
          <w:color w:val="000000" w:themeColor="text1"/>
          <w:sz w:val="20"/>
          <w:szCs w:val="20"/>
          <w:lang w:val="es-ES"/>
        </w:rPr>
      </w:pPr>
      <w:r w:rsidRPr="5B89E16D">
        <w:rPr>
          <w:rFonts w:ascii="Verdana" w:eastAsia="Calibri" w:hAnsi="Verdana" w:cs="Arial"/>
          <w:color w:val="000000" w:themeColor="text1"/>
          <w:sz w:val="20"/>
          <w:szCs w:val="20"/>
          <w:lang w:val="es-ES"/>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C87B03E" w14:textId="77777777" w:rsidR="00417016" w:rsidRPr="007C11D3" w:rsidRDefault="00417016" w:rsidP="00417016">
      <w:pPr>
        <w:spacing w:after="0" w:line="240" w:lineRule="auto"/>
        <w:rPr>
          <w:rFonts w:ascii="Verdana" w:eastAsia="Calibri" w:hAnsi="Verdana" w:cs="Arial"/>
          <w:b/>
          <w:color w:val="000000" w:themeColor="text1"/>
          <w:lang w:val="es-ES_tradnl"/>
        </w:rPr>
      </w:pPr>
    </w:p>
    <w:p w14:paraId="5C8110EA" w14:textId="77777777" w:rsidR="00417016" w:rsidRPr="007C11D3" w:rsidRDefault="00417016" w:rsidP="00417016">
      <w:pPr>
        <w:spacing w:after="0" w:line="240" w:lineRule="auto"/>
        <w:rPr>
          <w:rFonts w:ascii="Verdana" w:eastAsia="Calibri" w:hAnsi="Verdana" w:cs="Arial"/>
          <w:b/>
          <w:color w:val="000000" w:themeColor="text1"/>
          <w:lang w:val="es-ES_tradnl"/>
        </w:rPr>
      </w:pPr>
      <w:r w:rsidRPr="007C11D3">
        <w:rPr>
          <w:rFonts w:ascii="Verdana" w:eastAsia="Calibri" w:hAnsi="Verdana" w:cs="Arial"/>
          <w:b/>
          <w:color w:val="000000" w:themeColor="text1"/>
          <w:lang w:val="es-ES_tradnl"/>
        </w:rPr>
        <w:t xml:space="preserve">LEY DE GARANTÍAS ELECTORALES ─ Prohibición ‒ Contratación directa ‒ Alcance – Excepciones </w:t>
      </w:r>
    </w:p>
    <w:p w14:paraId="5E72CB68" w14:textId="77777777" w:rsidR="00417016" w:rsidRPr="007C11D3" w:rsidRDefault="00417016" w:rsidP="00417016">
      <w:pPr>
        <w:spacing w:after="0" w:line="240" w:lineRule="auto"/>
        <w:rPr>
          <w:rFonts w:ascii="Verdana" w:eastAsia="Calibri" w:hAnsi="Verdana" w:cs="Arial"/>
          <w:b/>
          <w:color w:val="000000" w:themeColor="text1"/>
          <w:lang w:val="es-ES_tradnl"/>
        </w:rPr>
      </w:pPr>
    </w:p>
    <w:p w14:paraId="74F22BEC" w14:textId="77777777" w:rsidR="00417016" w:rsidRPr="007C11D3" w:rsidRDefault="00417016" w:rsidP="00417016">
      <w:pPr>
        <w:spacing w:after="0" w:line="240" w:lineRule="auto"/>
        <w:jc w:val="both"/>
        <w:rPr>
          <w:rFonts w:ascii="Verdana" w:eastAsia="Calibri" w:hAnsi="Verdana" w:cs="Arial"/>
          <w:color w:val="000000" w:themeColor="text1"/>
          <w:sz w:val="20"/>
          <w:szCs w:val="20"/>
          <w:lang w:val="es-ES"/>
        </w:rPr>
      </w:pPr>
      <w:r w:rsidRPr="5B89E16D">
        <w:rPr>
          <w:rFonts w:ascii="Verdana" w:eastAsia="Calibri" w:hAnsi="Verdana" w:cs="Arial"/>
          <w:color w:val="000000" w:themeColor="text1"/>
          <w:sz w:val="20"/>
          <w:szCs w:val="20"/>
          <w:lang w:val="es-ES"/>
        </w:rPr>
        <w:t xml:space="preserve">[…]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w:t>
      </w:r>
      <w:proofErr w:type="gramStart"/>
      <w:r w:rsidRPr="5B89E16D">
        <w:rPr>
          <w:rFonts w:ascii="Verdana" w:eastAsia="Calibri" w:hAnsi="Verdana" w:cs="Arial"/>
          <w:color w:val="000000" w:themeColor="text1"/>
          <w:sz w:val="20"/>
          <w:szCs w:val="20"/>
          <w:lang w:val="es-ES"/>
        </w:rPr>
        <w:t>méritos  y</w:t>
      </w:r>
      <w:proofErr w:type="gramEnd"/>
      <w:r w:rsidRPr="5B89E16D">
        <w:rPr>
          <w:rFonts w:ascii="Verdana" w:eastAsia="Calibri" w:hAnsi="Verdana" w:cs="Arial"/>
          <w:color w:val="000000" w:themeColor="text1"/>
          <w:sz w:val="20"/>
          <w:szCs w:val="20"/>
          <w:lang w:val="es-ES"/>
        </w:rPr>
        <w:t xml:space="preserve"> sistematizó las causales de contratación directa.</w:t>
      </w:r>
    </w:p>
    <w:p w14:paraId="098BE018" w14:textId="77777777" w:rsidR="00417016" w:rsidRPr="007C11D3" w:rsidRDefault="00417016" w:rsidP="00417016">
      <w:pPr>
        <w:spacing w:after="0" w:line="240" w:lineRule="auto"/>
        <w:jc w:val="both"/>
        <w:rPr>
          <w:rFonts w:ascii="Verdana" w:eastAsia="Calibri" w:hAnsi="Verdana" w:cs="Arial"/>
          <w:bCs/>
          <w:color w:val="000000" w:themeColor="text1"/>
          <w:sz w:val="20"/>
          <w:szCs w:val="20"/>
          <w:lang w:val="es-ES_tradnl"/>
        </w:rPr>
      </w:pPr>
    </w:p>
    <w:p w14:paraId="5620A6CC" w14:textId="77777777" w:rsidR="00417016" w:rsidRPr="007C11D3" w:rsidRDefault="00417016" w:rsidP="00417016">
      <w:pPr>
        <w:spacing w:after="0" w:line="240" w:lineRule="auto"/>
        <w:jc w:val="both"/>
        <w:rPr>
          <w:rFonts w:ascii="Verdana" w:eastAsia="Calibri" w:hAnsi="Verdana" w:cs="Arial"/>
          <w:color w:val="000000" w:themeColor="text1"/>
          <w:sz w:val="20"/>
          <w:szCs w:val="20"/>
          <w:lang w:val="es-ES"/>
        </w:rPr>
      </w:pPr>
      <w:r w:rsidRPr="5B89E16D">
        <w:rPr>
          <w:rFonts w:ascii="Verdana" w:eastAsia="Calibri" w:hAnsi="Verdana" w:cs="Arial"/>
          <w:color w:val="000000" w:themeColor="text1"/>
          <w:sz w:val="20"/>
          <w:szCs w:val="20"/>
          <w:lang w:val="es-ES"/>
        </w:rPr>
        <w:t xml:space="preserve">[…]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5B89E16D">
        <w:rPr>
          <w:rFonts w:ascii="Verdana" w:eastAsia="Calibri" w:hAnsi="Verdana" w:cs="Arial"/>
          <w:color w:val="000000" w:themeColor="text1"/>
          <w:sz w:val="20"/>
          <w:szCs w:val="20"/>
          <w:lang w:val="es-ES"/>
        </w:rPr>
        <w:t>ii</w:t>
      </w:r>
      <w:proofErr w:type="spellEnd"/>
      <w:r w:rsidRPr="5B89E16D">
        <w:rPr>
          <w:rFonts w:ascii="Verdana" w:eastAsia="Calibri" w:hAnsi="Verdana" w:cs="Arial"/>
          <w:color w:val="000000" w:themeColor="text1"/>
          <w:sz w:val="20"/>
          <w:szCs w:val="20"/>
          <w:lang w:val="es-ES"/>
        </w:rPr>
        <w:t xml:space="preserve">) los contratos de crédito público; </w:t>
      </w:r>
      <w:proofErr w:type="spellStart"/>
      <w:r w:rsidRPr="5B89E16D">
        <w:rPr>
          <w:rFonts w:ascii="Verdana" w:eastAsia="Calibri" w:hAnsi="Verdana" w:cs="Arial"/>
          <w:color w:val="000000" w:themeColor="text1"/>
          <w:sz w:val="20"/>
          <w:szCs w:val="20"/>
          <w:lang w:val="es-ES"/>
        </w:rPr>
        <w:t>iii</w:t>
      </w:r>
      <w:proofErr w:type="spellEnd"/>
      <w:r w:rsidRPr="5B89E16D">
        <w:rPr>
          <w:rFonts w:ascii="Verdana" w:eastAsia="Calibri" w:hAnsi="Verdana" w:cs="Arial"/>
          <w:color w:val="000000" w:themeColor="text1"/>
          <w:sz w:val="20"/>
          <w:szCs w:val="20"/>
          <w:lang w:val="es-ES"/>
        </w:rPr>
        <w:t xml:space="preserve">) los requeridos para cubrir las emergencias educativas, sanitarias y desastres; </w:t>
      </w:r>
      <w:proofErr w:type="spellStart"/>
      <w:r w:rsidRPr="5B89E16D">
        <w:rPr>
          <w:rFonts w:ascii="Verdana" w:eastAsia="Calibri" w:hAnsi="Verdana" w:cs="Arial"/>
          <w:color w:val="000000" w:themeColor="text1"/>
          <w:sz w:val="20"/>
          <w:szCs w:val="20"/>
          <w:lang w:val="es-ES"/>
        </w:rPr>
        <w:t>iv</w:t>
      </w:r>
      <w:proofErr w:type="spellEnd"/>
      <w:r w:rsidRPr="5B89E16D">
        <w:rPr>
          <w:rFonts w:ascii="Verdana" w:eastAsia="Calibri" w:hAnsi="Verdana" w:cs="Arial"/>
          <w:color w:val="000000" w:themeColor="text1"/>
          <w:sz w:val="20"/>
          <w:szCs w:val="20"/>
          <w:lang w:val="es-ES"/>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DABD526" w14:textId="77777777" w:rsidR="00417016" w:rsidRPr="007C11D3" w:rsidRDefault="00417016" w:rsidP="00417016">
      <w:pPr>
        <w:spacing w:after="0" w:line="240" w:lineRule="auto"/>
        <w:jc w:val="both"/>
        <w:rPr>
          <w:rFonts w:ascii="Verdana" w:eastAsia="Calibri" w:hAnsi="Verdana" w:cs="Arial"/>
          <w:b/>
          <w:color w:val="000000" w:themeColor="text1"/>
          <w:lang w:val="es-ES_tradnl"/>
        </w:rPr>
      </w:pPr>
    </w:p>
    <w:p w14:paraId="041CE202" w14:textId="77777777" w:rsidR="00417016" w:rsidRPr="007C11D3" w:rsidRDefault="00417016" w:rsidP="00417016">
      <w:pPr>
        <w:spacing w:after="0" w:line="240" w:lineRule="auto"/>
        <w:jc w:val="both"/>
        <w:rPr>
          <w:rFonts w:ascii="Verdana" w:eastAsia="Calibri" w:hAnsi="Verdana" w:cs="Arial"/>
          <w:b/>
          <w:color w:val="000000" w:themeColor="text1"/>
          <w:lang w:val="es-ES_tradnl"/>
        </w:rPr>
      </w:pPr>
      <w:r w:rsidRPr="007C11D3">
        <w:rPr>
          <w:rFonts w:ascii="Verdana" w:eastAsia="Calibri" w:hAnsi="Verdana" w:cs="Arial"/>
          <w:b/>
          <w:color w:val="000000" w:themeColor="text1"/>
          <w:lang w:val="es-ES_tradnl"/>
        </w:rPr>
        <w:t>LEY DE GARANTÍAS ELECTORALES ‒ Prohibición del artículo 33 ‒ Destinatarios</w:t>
      </w:r>
    </w:p>
    <w:p w14:paraId="631719FA" w14:textId="77777777" w:rsidR="00417016" w:rsidRPr="007C11D3" w:rsidRDefault="00417016" w:rsidP="00417016">
      <w:pPr>
        <w:spacing w:after="0" w:line="240" w:lineRule="auto"/>
        <w:jc w:val="both"/>
        <w:rPr>
          <w:rFonts w:ascii="Verdana" w:eastAsia="Calibri" w:hAnsi="Verdana" w:cs="Arial"/>
          <w:bCs/>
          <w:color w:val="000000" w:themeColor="text1"/>
          <w:lang w:val="es-ES_tradnl"/>
        </w:rPr>
      </w:pPr>
    </w:p>
    <w:p w14:paraId="084C6EF4" w14:textId="06A3ED84" w:rsidR="00417016" w:rsidRPr="007C11D3" w:rsidRDefault="00417016" w:rsidP="00417016">
      <w:pPr>
        <w:spacing w:after="0" w:line="240" w:lineRule="auto"/>
        <w:jc w:val="both"/>
        <w:rPr>
          <w:rFonts w:ascii="Verdana" w:eastAsia="Calibri" w:hAnsi="Verdana" w:cs="Arial"/>
          <w:color w:val="000000" w:themeColor="text1"/>
          <w:sz w:val="20"/>
          <w:szCs w:val="20"/>
          <w:lang w:val="es-ES"/>
        </w:rPr>
      </w:pPr>
      <w:r w:rsidRPr="5B89E16D">
        <w:rPr>
          <w:rFonts w:ascii="Verdana" w:eastAsia="Calibri" w:hAnsi="Verdana" w:cs="Arial"/>
          <w:color w:val="000000" w:themeColor="text1"/>
          <w:sz w:val="20"/>
          <w:szCs w:val="20"/>
          <w:lang w:val="es-ES"/>
        </w:rPr>
        <w:t xml:space="preserve">El artículo 33 de la Ley 996 de 2005 señala expresamente a los destinatarios de la prohibición, en el sentido de que son </w:t>
      </w:r>
      <w:r w:rsidR="00A51781">
        <w:rPr>
          <w:rFonts w:ascii="Verdana" w:eastAsia="Calibri" w:hAnsi="Verdana" w:cs="Arial"/>
          <w:color w:val="000000" w:themeColor="text1"/>
          <w:sz w:val="20"/>
          <w:szCs w:val="20"/>
          <w:lang w:val="es-ES"/>
        </w:rPr>
        <w:t>“</w:t>
      </w:r>
      <w:r w:rsidRPr="5B89E16D">
        <w:rPr>
          <w:rFonts w:ascii="Verdana" w:eastAsia="Calibri" w:hAnsi="Verdana" w:cs="Arial"/>
          <w:color w:val="000000" w:themeColor="text1"/>
          <w:sz w:val="20"/>
          <w:szCs w:val="20"/>
          <w:lang w:val="es-ES"/>
        </w:rPr>
        <w:t>todos los entes del Estado</w:t>
      </w:r>
      <w:r w:rsidR="00A51781">
        <w:rPr>
          <w:rFonts w:ascii="Verdana" w:eastAsia="Calibri" w:hAnsi="Verdana" w:cs="Arial"/>
          <w:color w:val="000000" w:themeColor="text1"/>
          <w:sz w:val="20"/>
          <w:szCs w:val="20"/>
          <w:lang w:val="es-ES"/>
        </w:rPr>
        <w:t>”</w:t>
      </w:r>
      <w:r w:rsidRPr="5B89E16D">
        <w:rPr>
          <w:rFonts w:ascii="Verdana" w:eastAsia="Calibri" w:hAnsi="Verdana" w:cs="Arial"/>
          <w:color w:val="000000" w:themeColor="text1"/>
          <w:sz w:val="20"/>
          <w:szCs w:val="20"/>
          <w:lang w:val="es-ES"/>
        </w:rPr>
        <w:t xml:space="preserve">, expresión que contempla a los diferentes organismos o entidades autorizadas por la ley para suscribir contratos. En efecto, tal como lo ha sostenido el Consejo de Estado, el vocablo </w:t>
      </w:r>
      <w:r w:rsidR="00A51781">
        <w:rPr>
          <w:rFonts w:ascii="Verdana" w:eastAsia="Calibri" w:hAnsi="Verdana" w:cs="Arial"/>
          <w:color w:val="000000" w:themeColor="text1"/>
          <w:sz w:val="20"/>
          <w:szCs w:val="20"/>
          <w:lang w:val="es-ES"/>
        </w:rPr>
        <w:t>“</w:t>
      </w:r>
      <w:r w:rsidRPr="5B89E16D">
        <w:rPr>
          <w:rFonts w:ascii="Verdana" w:eastAsia="Calibri" w:hAnsi="Verdana" w:cs="Arial"/>
          <w:color w:val="000000" w:themeColor="text1"/>
          <w:sz w:val="20"/>
          <w:szCs w:val="20"/>
          <w:lang w:val="es-ES"/>
        </w:rPr>
        <w:t>todos</w:t>
      </w:r>
      <w:r w:rsidR="00A51781">
        <w:rPr>
          <w:rFonts w:ascii="Verdana" w:eastAsia="Calibri" w:hAnsi="Verdana" w:cs="Arial"/>
          <w:color w:val="000000" w:themeColor="text1"/>
          <w:sz w:val="20"/>
          <w:szCs w:val="20"/>
          <w:lang w:val="es-ES"/>
        </w:rPr>
        <w:t>”</w:t>
      </w:r>
      <w:r w:rsidRPr="5B89E16D">
        <w:rPr>
          <w:rFonts w:ascii="Verdana" w:eastAsia="Calibri" w:hAnsi="Verdana" w:cs="Arial"/>
          <w:color w:val="000000" w:themeColor="text1"/>
          <w:sz w:val="20"/>
          <w:szCs w:val="20"/>
          <w:lang w:val="es-ES"/>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649E5451" w14:textId="77777777" w:rsidR="00A51781" w:rsidRPr="00A51781" w:rsidRDefault="00A51781" w:rsidP="00A51781">
      <w:pPr>
        <w:jc w:val="both"/>
        <w:rPr>
          <w:rFonts w:ascii="Verdana" w:eastAsia="Calibri" w:hAnsi="Verdana" w:cs="Arial"/>
          <w:b/>
          <w:bCs/>
          <w:lang w:val="es-ES"/>
        </w:rPr>
      </w:pPr>
    </w:p>
    <w:p w14:paraId="51106E02" w14:textId="618C762C" w:rsidR="00417016" w:rsidRPr="00A51781" w:rsidRDefault="00A51781" w:rsidP="00A51781">
      <w:pPr>
        <w:jc w:val="both"/>
        <w:rPr>
          <w:rFonts w:ascii="Verdana" w:eastAsia="Calibri" w:hAnsi="Verdana" w:cs="Arial"/>
          <w:b/>
          <w:bCs/>
          <w:color w:val="000000" w:themeColor="text1"/>
          <w:lang w:val="es-ES_tradnl"/>
        </w:rPr>
      </w:pPr>
      <w:r w:rsidRPr="00A51781">
        <w:rPr>
          <w:rFonts w:ascii="Verdana" w:eastAsia="Calibri" w:hAnsi="Verdana" w:cs="Arial"/>
          <w:b/>
          <w:bCs/>
          <w:lang w:val="es-ES"/>
        </w:rPr>
        <w:t>UNIVERSIDADES PÚBLICAS – ESTABLECIMIENTO PÚBLICO EDUCATIVO – Diferencias – Aplicación de la Ley 996 de 2005</w:t>
      </w:r>
    </w:p>
    <w:p w14:paraId="19D2C4AF" w14:textId="77777777" w:rsidR="00417016" w:rsidRDefault="00417016" w:rsidP="003D0447">
      <w:pPr>
        <w:spacing w:after="0" w:line="240" w:lineRule="auto"/>
        <w:rPr>
          <w:rFonts w:ascii="Verdana" w:hAnsi="Verdana"/>
        </w:rPr>
      </w:pPr>
    </w:p>
    <w:p w14:paraId="65FAB5D1" w14:textId="77777777" w:rsidR="00A51781" w:rsidRPr="007C11D3" w:rsidRDefault="00A51781" w:rsidP="00A51781">
      <w:pPr>
        <w:spacing w:after="0" w:line="240" w:lineRule="auto"/>
        <w:jc w:val="both"/>
        <w:rPr>
          <w:rFonts w:ascii="Verdana" w:eastAsia="Calibri" w:hAnsi="Verdana" w:cs="Arial"/>
          <w:color w:val="000000" w:themeColor="text1"/>
          <w:sz w:val="20"/>
          <w:szCs w:val="20"/>
          <w:lang w:val="es-ES"/>
        </w:rPr>
      </w:pPr>
      <w:r w:rsidRPr="5B89E16D">
        <w:rPr>
          <w:rFonts w:ascii="Verdana" w:eastAsia="Calibri" w:hAnsi="Verdana" w:cs="Arial"/>
          <w:color w:val="000000" w:themeColor="text1"/>
          <w:sz w:val="20"/>
          <w:szCs w:val="20"/>
          <w:lang w:val="es-ES"/>
        </w:rPr>
        <w:t>[…]</w:t>
      </w:r>
      <w:r>
        <w:rPr>
          <w:rFonts w:ascii="Verdana" w:eastAsia="Calibri" w:hAnsi="Verdana" w:cs="Arial"/>
          <w:color w:val="000000" w:themeColor="text1"/>
          <w:sz w:val="20"/>
          <w:szCs w:val="20"/>
          <w:lang w:val="es-ES"/>
        </w:rPr>
        <w:t xml:space="preserve"> </w:t>
      </w:r>
      <w:r w:rsidRPr="00A51781">
        <w:rPr>
          <w:rFonts w:ascii="Verdana" w:eastAsia="Calibri" w:hAnsi="Verdana" w:cs="Arial"/>
          <w:color w:val="000000" w:themeColor="text1"/>
          <w:sz w:val="20"/>
          <w:szCs w:val="20"/>
          <w:lang w:val="es-ES"/>
        </w:rPr>
        <w:t xml:space="preserve">De acuerdo con lo explicado sobre las restricciones contractuales establecidas por la Ley 996 de 2005, resulta palmario que tanto </w:t>
      </w:r>
      <w:proofErr w:type="gramStart"/>
      <w:r w:rsidRPr="00A51781">
        <w:rPr>
          <w:rFonts w:ascii="Verdana" w:eastAsia="Calibri" w:hAnsi="Verdana" w:cs="Arial"/>
          <w:color w:val="000000" w:themeColor="text1"/>
          <w:sz w:val="20"/>
          <w:szCs w:val="20"/>
          <w:lang w:val="es-ES"/>
        </w:rPr>
        <w:t>universidades públicas como establecimientos públicos</w:t>
      </w:r>
      <w:proofErr w:type="gramEnd"/>
      <w:r w:rsidRPr="00A51781">
        <w:rPr>
          <w:rFonts w:ascii="Verdana" w:eastAsia="Calibri" w:hAnsi="Verdana" w:cs="Arial"/>
          <w:color w:val="000000" w:themeColor="text1"/>
          <w:sz w:val="20"/>
          <w:szCs w:val="20"/>
          <w:lang w:val="es-ES"/>
        </w:rPr>
        <w:t xml:space="preserve"> educativos, dada su irrefutable calidad de “entes del Estado”, se encuentran dentro del ámbito material de la restricción del artículo 33. Sin embargo, la diferencia en la naturaleza jurídica de ambos tipos de entidades hace que la conclusión sobre sobre la aplicabilidad de la restricción del artículo 38 sea una para los entes universitarios autónomos y otra para los establecimientos públicos de educación superior.</w:t>
      </w:r>
      <w:r>
        <w:rPr>
          <w:rFonts w:ascii="Verdana" w:eastAsia="Calibri" w:hAnsi="Verdana" w:cs="Arial"/>
          <w:color w:val="000000" w:themeColor="text1"/>
          <w:sz w:val="20"/>
          <w:szCs w:val="20"/>
          <w:lang w:val="es-ES"/>
        </w:rPr>
        <w:t xml:space="preserve"> </w:t>
      </w:r>
      <w:r w:rsidRPr="5B89E16D">
        <w:rPr>
          <w:rFonts w:ascii="Verdana" w:eastAsia="Calibri" w:hAnsi="Verdana" w:cs="Arial"/>
          <w:color w:val="000000" w:themeColor="text1"/>
          <w:sz w:val="20"/>
          <w:szCs w:val="20"/>
          <w:lang w:val="es-ES"/>
        </w:rPr>
        <w:t>[…]</w:t>
      </w:r>
    </w:p>
    <w:p w14:paraId="3001C7FE" w14:textId="5E1DFBE6" w:rsidR="00A51781" w:rsidRDefault="00A51781" w:rsidP="00A51781">
      <w:pPr>
        <w:spacing w:after="0" w:line="240" w:lineRule="auto"/>
        <w:jc w:val="both"/>
        <w:rPr>
          <w:rFonts w:ascii="Verdana" w:eastAsia="Calibri" w:hAnsi="Verdana" w:cs="Arial"/>
          <w:color w:val="000000" w:themeColor="text1"/>
          <w:sz w:val="20"/>
          <w:szCs w:val="20"/>
          <w:lang w:val="es-ES"/>
        </w:rPr>
      </w:pPr>
    </w:p>
    <w:p w14:paraId="50EBB4AD" w14:textId="77777777" w:rsidR="00A51781" w:rsidRDefault="00A51781" w:rsidP="00A51781">
      <w:pPr>
        <w:spacing w:after="0" w:line="240" w:lineRule="auto"/>
        <w:jc w:val="both"/>
        <w:rPr>
          <w:rFonts w:ascii="Verdana" w:eastAsia="Calibri" w:hAnsi="Verdana" w:cs="Arial"/>
          <w:color w:val="000000" w:themeColor="text1"/>
          <w:sz w:val="20"/>
          <w:szCs w:val="20"/>
          <w:lang w:val="es-ES"/>
        </w:rPr>
      </w:pPr>
    </w:p>
    <w:p w14:paraId="166F6741" w14:textId="77777777" w:rsidR="00A51781" w:rsidRDefault="00A51781" w:rsidP="00A51781">
      <w:pPr>
        <w:spacing w:after="0" w:line="240" w:lineRule="auto"/>
        <w:jc w:val="both"/>
        <w:rPr>
          <w:rFonts w:ascii="Verdana" w:eastAsia="Calibri" w:hAnsi="Verdana" w:cs="Arial"/>
          <w:color w:val="000000" w:themeColor="text1"/>
          <w:sz w:val="20"/>
          <w:szCs w:val="20"/>
          <w:lang w:val="es-ES"/>
        </w:rPr>
      </w:pPr>
    </w:p>
    <w:p w14:paraId="7D54E674" w14:textId="77777777" w:rsidR="00A51781" w:rsidRDefault="00A51781" w:rsidP="00A51781">
      <w:pPr>
        <w:spacing w:after="0" w:line="240" w:lineRule="auto"/>
        <w:jc w:val="both"/>
        <w:rPr>
          <w:rFonts w:ascii="Verdana" w:eastAsia="Calibri" w:hAnsi="Verdana" w:cs="Arial"/>
          <w:color w:val="000000" w:themeColor="text1"/>
          <w:sz w:val="20"/>
          <w:szCs w:val="20"/>
          <w:lang w:val="es-ES"/>
        </w:rPr>
      </w:pPr>
    </w:p>
    <w:p w14:paraId="275FAF21" w14:textId="77777777" w:rsidR="00A51781" w:rsidRDefault="00A51781" w:rsidP="00A51781">
      <w:pPr>
        <w:spacing w:after="0" w:line="240" w:lineRule="auto"/>
        <w:jc w:val="both"/>
        <w:rPr>
          <w:rFonts w:ascii="Verdana" w:eastAsia="Calibri" w:hAnsi="Verdana" w:cs="Arial"/>
          <w:color w:val="000000" w:themeColor="text1"/>
          <w:sz w:val="20"/>
          <w:szCs w:val="20"/>
          <w:lang w:val="es-ES"/>
        </w:rPr>
      </w:pPr>
    </w:p>
    <w:p w14:paraId="34385B44" w14:textId="77777777" w:rsidR="00A51781" w:rsidRDefault="00A51781" w:rsidP="00A51781">
      <w:pPr>
        <w:spacing w:after="0" w:line="240" w:lineRule="auto"/>
        <w:jc w:val="both"/>
        <w:rPr>
          <w:rFonts w:ascii="Verdana" w:eastAsia="Calibri" w:hAnsi="Verdana" w:cs="Arial"/>
          <w:color w:val="000000" w:themeColor="text1"/>
          <w:sz w:val="20"/>
          <w:szCs w:val="20"/>
          <w:lang w:val="es-ES"/>
        </w:rPr>
      </w:pPr>
    </w:p>
    <w:p w14:paraId="5D4E27F8" w14:textId="77777777" w:rsidR="00A51781" w:rsidRDefault="00A51781" w:rsidP="00A51781">
      <w:pPr>
        <w:spacing w:after="0" w:line="240" w:lineRule="auto"/>
        <w:jc w:val="both"/>
        <w:rPr>
          <w:rFonts w:ascii="Verdana" w:eastAsia="Calibri" w:hAnsi="Verdana" w:cs="Arial"/>
          <w:color w:val="000000" w:themeColor="text1"/>
          <w:sz w:val="20"/>
          <w:szCs w:val="20"/>
          <w:lang w:val="es-ES"/>
        </w:rPr>
      </w:pPr>
    </w:p>
    <w:p w14:paraId="7A8D2F1C" w14:textId="77777777" w:rsidR="00A51781" w:rsidRDefault="00A51781" w:rsidP="00A51781">
      <w:pPr>
        <w:spacing w:after="0" w:line="240" w:lineRule="auto"/>
        <w:jc w:val="both"/>
        <w:rPr>
          <w:rFonts w:ascii="Verdana" w:eastAsia="Calibri" w:hAnsi="Verdana" w:cs="Arial"/>
          <w:color w:val="000000" w:themeColor="text1"/>
          <w:sz w:val="20"/>
          <w:szCs w:val="20"/>
          <w:lang w:val="es-ES"/>
        </w:rPr>
      </w:pPr>
    </w:p>
    <w:p w14:paraId="011A1F3C" w14:textId="77777777" w:rsidR="00A51781" w:rsidRPr="00A51781" w:rsidRDefault="00A51781" w:rsidP="00A51781">
      <w:pPr>
        <w:spacing w:after="0" w:line="240" w:lineRule="auto"/>
        <w:jc w:val="both"/>
        <w:rPr>
          <w:rFonts w:ascii="Verdana" w:eastAsia="Calibri" w:hAnsi="Verdana" w:cs="Arial"/>
          <w:color w:val="000000" w:themeColor="text1"/>
          <w:sz w:val="20"/>
          <w:szCs w:val="20"/>
          <w:lang w:val="es-ES"/>
        </w:rPr>
      </w:pPr>
    </w:p>
    <w:p w14:paraId="611A0D25" w14:textId="77777777" w:rsidR="00417016" w:rsidRDefault="00417016" w:rsidP="003D0447">
      <w:pPr>
        <w:spacing w:after="0" w:line="240" w:lineRule="auto"/>
        <w:rPr>
          <w:rFonts w:ascii="Verdana" w:hAnsi="Verdana"/>
        </w:rPr>
      </w:pPr>
    </w:p>
    <w:p w14:paraId="3CFDD1FB" w14:textId="77777777" w:rsidR="00A51781" w:rsidRDefault="00A51781" w:rsidP="003D0447">
      <w:pPr>
        <w:spacing w:after="0" w:line="240" w:lineRule="auto"/>
        <w:rPr>
          <w:rFonts w:ascii="Verdana" w:hAnsi="Verdana"/>
        </w:rPr>
      </w:pPr>
    </w:p>
    <w:p w14:paraId="4AA763CF" w14:textId="77777777" w:rsidR="00A51781" w:rsidRDefault="00A51781" w:rsidP="003D0447">
      <w:pPr>
        <w:spacing w:after="0" w:line="240" w:lineRule="auto"/>
        <w:rPr>
          <w:rFonts w:ascii="Verdana" w:hAnsi="Verdana"/>
        </w:rPr>
      </w:pPr>
    </w:p>
    <w:p w14:paraId="0EB84B7C" w14:textId="77777777" w:rsidR="00A51781" w:rsidRDefault="00A51781" w:rsidP="003D0447">
      <w:pPr>
        <w:spacing w:after="0" w:line="240" w:lineRule="auto"/>
        <w:rPr>
          <w:rFonts w:ascii="Verdana" w:hAnsi="Verdana"/>
        </w:rPr>
      </w:pPr>
    </w:p>
    <w:p w14:paraId="2E9601F7" w14:textId="77777777" w:rsidR="00A51781" w:rsidRDefault="00A51781" w:rsidP="003D0447">
      <w:pPr>
        <w:spacing w:after="0" w:line="240" w:lineRule="auto"/>
        <w:rPr>
          <w:rFonts w:ascii="Verdana" w:hAnsi="Verdana"/>
        </w:rPr>
      </w:pPr>
    </w:p>
    <w:p w14:paraId="6FFFD958" w14:textId="77777777" w:rsidR="00A51781" w:rsidRDefault="00A51781" w:rsidP="003D0447">
      <w:pPr>
        <w:spacing w:after="0" w:line="240" w:lineRule="auto"/>
        <w:rPr>
          <w:rFonts w:ascii="Verdana" w:hAnsi="Verdana"/>
        </w:rPr>
      </w:pPr>
    </w:p>
    <w:p w14:paraId="0F20EE14" w14:textId="77777777" w:rsidR="00A51781" w:rsidRDefault="00A51781" w:rsidP="003D0447">
      <w:pPr>
        <w:spacing w:after="0" w:line="240" w:lineRule="auto"/>
        <w:rPr>
          <w:rFonts w:ascii="Verdana" w:hAnsi="Verdana"/>
        </w:rPr>
      </w:pPr>
    </w:p>
    <w:p w14:paraId="08E7DB08" w14:textId="77777777" w:rsidR="00A51781" w:rsidRDefault="00A51781" w:rsidP="003D0447">
      <w:pPr>
        <w:spacing w:after="0" w:line="240" w:lineRule="auto"/>
        <w:rPr>
          <w:rFonts w:ascii="Verdana" w:hAnsi="Verdana"/>
        </w:rPr>
      </w:pPr>
    </w:p>
    <w:p w14:paraId="10EEAC4B" w14:textId="77777777" w:rsidR="00A51781" w:rsidRDefault="00A51781" w:rsidP="003D0447">
      <w:pPr>
        <w:spacing w:after="0" w:line="240" w:lineRule="auto"/>
        <w:rPr>
          <w:rFonts w:ascii="Verdana" w:hAnsi="Verdana"/>
        </w:rPr>
      </w:pPr>
    </w:p>
    <w:p w14:paraId="534958FC" w14:textId="77777777" w:rsidR="00A51781" w:rsidRDefault="00A51781" w:rsidP="003D0447">
      <w:pPr>
        <w:spacing w:after="0" w:line="240" w:lineRule="auto"/>
        <w:rPr>
          <w:rFonts w:ascii="Verdana" w:hAnsi="Verdana"/>
        </w:rPr>
      </w:pPr>
    </w:p>
    <w:p w14:paraId="328306D4" w14:textId="77777777" w:rsidR="00A51781" w:rsidRDefault="00A51781" w:rsidP="003D0447">
      <w:pPr>
        <w:spacing w:after="0" w:line="240" w:lineRule="auto"/>
        <w:rPr>
          <w:rFonts w:ascii="Verdana" w:hAnsi="Verdana"/>
        </w:rPr>
      </w:pPr>
    </w:p>
    <w:p w14:paraId="752DE15F" w14:textId="77777777" w:rsidR="00A51781" w:rsidRDefault="00A51781" w:rsidP="003D0447">
      <w:pPr>
        <w:spacing w:after="0" w:line="240" w:lineRule="auto"/>
        <w:rPr>
          <w:rFonts w:ascii="Verdana" w:hAnsi="Verdana"/>
        </w:rPr>
      </w:pPr>
    </w:p>
    <w:p w14:paraId="3A579E6C" w14:textId="77777777" w:rsidR="00A51781" w:rsidRDefault="00A51781" w:rsidP="003D0447">
      <w:pPr>
        <w:spacing w:after="0" w:line="240" w:lineRule="auto"/>
        <w:rPr>
          <w:rFonts w:ascii="Verdana" w:hAnsi="Verdana"/>
        </w:rPr>
      </w:pPr>
    </w:p>
    <w:p w14:paraId="3143D91A" w14:textId="77777777" w:rsidR="00A51781" w:rsidRDefault="00A51781" w:rsidP="003D0447">
      <w:pPr>
        <w:spacing w:after="0" w:line="240" w:lineRule="auto"/>
        <w:rPr>
          <w:rFonts w:ascii="Verdana" w:hAnsi="Verdana"/>
        </w:rPr>
      </w:pPr>
    </w:p>
    <w:p w14:paraId="5FCADBF9" w14:textId="45D03F52" w:rsidR="00E245AB" w:rsidRDefault="00E245AB" w:rsidP="003D0447">
      <w:pPr>
        <w:spacing w:after="0" w:line="240" w:lineRule="auto"/>
        <w:rPr>
          <w:rFonts w:ascii="Verdana" w:hAnsi="Verdana"/>
        </w:rPr>
      </w:pPr>
      <w:r w:rsidRPr="0044528D">
        <w:rPr>
          <w:rFonts w:ascii="Verdana" w:hAnsi="Verdana"/>
        </w:rPr>
        <w:t xml:space="preserve">Bogotá D.C., </w:t>
      </w:r>
      <w:r w:rsidR="00906BD2">
        <w:rPr>
          <w:rFonts w:ascii="Verdana" w:hAnsi="Verdana"/>
        </w:rPr>
        <w:t>3 de septiembre de 20205</w:t>
      </w:r>
    </w:p>
    <w:p w14:paraId="43F968A7" w14:textId="77777777" w:rsidR="00906BD2" w:rsidRPr="0044528D" w:rsidRDefault="00906BD2" w:rsidP="003D0447">
      <w:pPr>
        <w:spacing w:after="0" w:line="240" w:lineRule="auto"/>
        <w:rPr>
          <w:rFonts w:ascii="Verdana" w:hAnsi="Verdana"/>
        </w:rPr>
      </w:pPr>
    </w:p>
    <w:p w14:paraId="18E554DE" w14:textId="77777777" w:rsidR="00416E96" w:rsidRDefault="00416E96" w:rsidP="00416E96">
      <w:pPr>
        <w:spacing w:after="0" w:line="240" w:lineRule="auto"/>
        <w:jc w:val="both"/>
        <w:rPr>
          <w:rFonts w:ascii="Verdana" w:eastAsia="Calibri" w:hAnsi="Verdana" w:cs="Arial"/>
          <w:lang w:eastAsia="es-ES"/>
        </w:rPr>
      </w:pPr>
      <w:bookmarkStart w:id="1" w:name="_Hlk181166167"/>
      <w:r w:rsidRPr="005E62E2">
        <w:rPr>
          <w:rFonts w:ascii="Verdana" w:eastAsia="Calibri" w:hAnsi="Verdana" w:cs="Arial"/>
          <w:lang w:eastAsia="es-ES"/>
        </w:rPr>
        <w:t>Señor</w:t>
      </w:r>
      <w:r>
        <w:rPr>
          <w:rFonts w:ascii="Verdana" w:eastAsia="Calibri" w:hAnsi="Verdana" w:cs="Arial"/>
          <w:lang w:eastAsia="es-ES"/>
        </w:rPr>
        <w:t>a</w:t>
      </w:r>
    </w:p>
    <w:p w14:paraId="30F57827" w14:textId="2F042B64" w:rsidR="00416E96" w:rsidRDefault="00E15648" w:rsidP="00416E96">
      <w:pPr>
        <w:spacing w:after="0" w:line="240" w:lineRule="auto"/>
        <w:rPr>
          <w:rFonts w:ascii="Verdana" w:eastAsia="Calibri" w:hAnsi="Verdana" w:cs="Arial"/>
          <w:b/>
          <w:bCs/>
          <w:lang w:eastAsia="es-ES"/>
        </w:rPr>
      </w:pPr>
      <w:proofErr w:type="spellStart"/>
      <w:r w:rsidRPr="005C2154">
        <w:rPr>
          <w:rFonts w:ascii="Verdana" w:eastAsia="Calibri" w:hAnsi="Verdana" w:cs="Arial"/>
          <w:b/>
          <w:bCs/>
          <w:lang w:eastAsia="es-ES"/>
        </w:rPr>
        <w:t>Monica</w:t>
      </w:r>
      <w:proofErr w:type="spellEnd"/>
      <w:r w:rsidRPr="005C2154">
        <w:rPr>
          <w:rFonts w:ascii="Verdana" w:eastAsia="Calibri" w:hAnsi="Verdana" w:cs="Arial"/>
          <w:b/>
          <w:bCs/>
          <w:lang w:eastAsia="es-ES"/>
        </w:rPr>
        <w:t xml:space="preserve"> Angela </w:t>
      </w:r>
      <w:proofErr w:type="spellStart"/>
      <w:r w:rsidRPr="005C2154">
        <w:rPr>
          <w:rFonts w:ascii="Verdana" w:eastAsia="Calibri" w:hAnsi="Verdana" w:cs="Arial"/>
          <w:b/>
          <w:bCs/>
          <w:lang w:eastAsia="es-ES"/>
        </w:rPr>
        <w:t>Gonzalez</w:t>
      </w:r>
      <w:proofErr w:type="spellEnd"/>
      <w:r w:rsidRPr="005C2154">
        <w:rPr>
          <w:rFonts w:ascii="Verdana" w:eastAsia="Calibri" w:hAnsi="Verdana" w:cs="Arial"/>
          <w:b/>
          <w:bCs/>
          <w:lang w:eastAsia="es-ES"/>
        </w:rPr>
        <w:t xml:space="preserve"> Vergara </w:t>
      </w:r>
    </w:p>
    <w:p w14:paraId="540F5026" w14:textId="77777777" w:rsidR="00416E96" w:rsidRDefault="00416E96" w:rsidP="00416E96">
      <w:pPr>
        <w:spacing w:after="0" w:line="240" w:lineRule="auto"/>
        <w:rPr>
          <w:rFonts w:ascii="Verdana" w:hAnsi="Verdana"/>
        </w:rPr>
      </w:pPr>
      <w:hyperlink r:id="rId10" w:history="1">
        <w:r w:rsidRPr="001027AE">
          <w:rPr>
            <w:rStyle w:val="Hipervnculo"/>
            <w:rFonts w:ascii="Verdana" w:hAnsi="Verdana"/>
          </w:rPr>
          <w:t>somosrosero2023@gmail.com</w:t>
        </w:r>
      </w:hyperlink>
    </w:p>
    <w:p w14:paraId="6A82B5CB" w14:textId="77777777" w:rsidR="00416E96" w:rsidRDefault="00416E96" w:rsidP="00416E96">
      <w:pPr>
        <w:spacing w:after="0" w:line="240" w:lineRule="auto"/>
        <w:rPr>
          <w:rFonts w:ascii="Verdana" w:eastAsia="Calibri" w:hAnsi="Verdana" w:cs="Arial"/>
          <w:color w:val="000000"/>
          <w:lang w:val="es-ES_tradnl" w:eastAsia="es-ES_tradnl"/>
        </w:rPr>
      </w:pPr>
      <w:r w:rsidRPr="008C6C5F">
        <w:rPr>
          <w:rFonts w:ascii="Verdana" w:eastAsia="Calibri" w:hAnsi="Verdana" w:cs="Arial"/>
          <w:color w:val="000000"/>
          <w:lang w:val="es-ES_tradnl" w:eastAsia="es-ES_tradnl"/>
        </w:rPr>
        <w:t>Bogotá D.C.</w:t>
      </w:r>
    </w:p>
    <w:p w14:paraId="33850D7B" w14:textId="77777777" w:rsidR="00416E96" w:rsidRDefault="00416E96" w:rsidP="00416E96">
      <w:pPr>
        <w:spacing w:after="0" w:line="240" w:lineRule="auto"/>
        <w:rPr>
          <w:rFonts w:ascii="Verdana" w:eastAsia="Calibri" w:hAnsi="Verdana" w:cs="Arial"/>
          <w:color w:val="000000"/>
          <w:lang w:val="es-ES_tradnl" w:eastAsia="es-ES_tradnl"/>
        </w:rPr>
      </w:pPr>
    </w:p>
    <w:p w14:paraId="11BF282D" w14:textId="0A25A80A" w:rsidR="00906BD2" w:rsidRPr="00FE3DEC" w:rsidRDefault="00906BD2" w:rsidP="00906BD2">
      <w:pPr>
        <w:spacing w:after="0" w:line="240" w:lineRule="auto"/>
        <w:jc w:val="right"/>
        <w:rPr>
          <w:rFonts w:ascii="Verdana" w:eastAsia="Calibri" w:hAnsi="Verdana" w:cs="Arial"/>
          <w:color w:val="000000"/>
          <w:lang w:val="es-ES_tradnl" w:eastAsia="es-ES_tradnl"/>
        </w:rPr>
      </w:pPr>
      <w:r w:rsidRPr="00906BD2">
        <w:rPr>
          <w:rFonts w:ascii="Verdana" w:eastAsia="Calibri" w:hAnsi="Verdana" w:cs="Arial"/>
          <w:color w:val="000000"/>
          <w:lang w:val="es-ES_tradnl" w:eastAsia="es-ES_tradnl"/>
        </w:rPr>
        <w:drawing>
          <wp:inline distT="0" distB="0" distL="0" distR="0" wp14:anchorId="61AC4752" wp14:editId="2938FDC4">
            <wp:extent cx="2796782" cy="891617"/>
            <wp:effectExtent l="0" t="0" r="3810" b="3810"/>
            <wp:docPr id="17082360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236062" name=""/>
                    <pic:cNvPicPr/>
                  </pic:nvPicPr>
                  <pic:blipFill>
                    <a:blip r:embed="rId11"/>
                    <a:stretch>
                      <a:fillRect/>
                    </a:stretch>
                  </pic:blipFill>
                  <pic:spPr>
                    <a:xfrm>
                      <a:off x="0" y="0"/>
                      <a:ext cx="2796782" cy="891617"/>
                    </a:xfrm>
                    <a:prstGeom prst="rect">
                      <a:avLst/>
                    </a:prstGeom>
                  </pic:spPr>
                </pic:pic>
              </a:graphicData>
            </a:graphic>
          </wp:inline>
        </w:drawing>
      </w:r>
    </w:p>
    <w:p w14:paraId="60F5C962" w14:textId="77777777" w:rsidR="0069134B" w:rsidRPr="005C2154" w:rsidRDefault="0069134B" w:rsidP="008B1FB2">
      <w:pPr>
        <w:spacing w:after="0" w:line="240" w:lineRule="auto"/>
        <w:rPr>
          <w:rFonts w:ascii="Verdana" w:eastAsia="Calibri" w:hAnsi="Verdana" w:cs="Arial"/>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416E96" w:rsidRPr="00593A5F" w14:paraId="69FA5F2F" w14:textId="77777777" w:rsidTr="003D0447">
        <w:trPr>
          <w:trHeight w:val="186"/>
        </w:trPr>
        <w:tc>
          <w:tcPr>
            <w:tcW w:w="2410" w:type="dxa"/>
          </w:tcPr>
          <w:p w14:paraId="1262EE45" w14:textId="77777777" w:rsidR="00416E96" w:rsidRPr="00E5644F" w:rsidRDefault="00416E96" w:rsidP="00B66406">
            <w:pPr>
              <w:jc w:val="both"/>
              <w:rPr>
                <w:rFonts w:ascii="Verdana" w:eastAsia="Calibri" w:hAnsi="Verdana" w:cs="Arial"/>
                <w:b/>
                <w:bCs/>
                <w:color w:val="7030A0"/>
                <w:lang w:val="es-ES_tradnl" w:eastAsia="es-ES_tradnl"/>
              </w:rPr>
            </w:pPr>
          </w:p>
        </w:tc>
        <w:tc>
          <w:tcPr>
            <w:tcW w:w="6804" w:type="dxa"/>
            <w:gridSpan w:val="2"/>
          </w:tcPr>
          <w:p w14:paraId="76ECD2FB" w14:textId="77777777" w:rsidR="00416E96" w:rsidRDefault="00416E96" w:rsidP="008B1FB2">
            <w:pPr>
              <w:jc w:val="both"/>
              <w:rPr>
                <w:rFonts w:ascii="Verdana" w:eastAsia="Calibri" w:hAnsi="Verdana" w:cs="Arial"/>
                <w:b/>
                <w:bCs/>
                <w:lang w:val="es-ES" w:eastAsia="es-ES"/>
              </w:rPr>
            </w:pPr>
            <w:r w:rsidRPr="0096584C">
              <w:rPr>
                <w:rFonts w:ascii="Verdana" w:eastAsia="Calibri" w:hAnsi="Verdana" w:cs="Arial"/>
                <w:b/>
                <w:bCs/>
                <w:lang w:val="es-ES" w:eastAsia="es-ES"/>
              </w:rPr>
              <w:t xml:space="preserve">Concepto C- </w:t>
            </w:r>
            <w:r>
              <w:rPr>
                <w:rFonts w:ascii="Verdana" w:eastAsia="Calibri" w:hAnsi="Verdana" w:cs="Arial"/>
                <w:b/>
                <w:bCs/>
                <w:lang w:val="es-ES" w:eastAsia="es-ES"/>
              </w:rPr>
              <w:t>1010</w:t>
            </w:r>
            <w:r w:rsidRPr="0096584C">
              <w:rPr>
                <w:rFonts w:ascii="Verdana" w:eastAsia="Calibri" w:hAnsi="Verdana" w:cs="Arial"/>
                <w:b/>
                <w:bCs/>
                <w:lang w:val="es-ES" w:eastAsia="es-ES"/>
              </w:rPr>
              <w:t xml:space="preserve"> de 2025</w:t>
            </w:r>
          </w:p>
          <w:p w14:paraId="785B8496" w14:textId="77777777" w:rsidR="00416E96" w:rsidRPr="0096584C" w:rsidRDefault="00416E96" w:rsidP="00B66406">
            <w:pPr>
              <w:jc w:val="both"/>
              <w:rPr>
                <w:rFonts w:ascii="Verdana" w:eastAsia="Calibri" w:hAnsi="Verdana" w:cs="Arial"/>
                <w:b/>
                <w:bCs/>
                <w:color w:val="7030A0"/>
                <w:lang w:val="es-ES" w:eastAsia="es-ES"/>
              </w:rPr>
            </w:pPr>
          </w:p>
        </w:tc>
      </w:tr>
      <w:tr w:rsidR="00416E96" w:rsidRPr="00A52DE7" w14:paraId="6B8426A2" w14:textId="77777777" w:rsidTr="00B66406">
        <w:trPr>
          <w:trHeight w:val="884"/>
        </w:trPr>
        <w:tc>
          <w:tcPr>
            <w:tcW w:w="2410" w:type="dxa"/>
          </w:tcPr>
          <w:p w14:paraId="45226F1B" w14:textId="77777777" w:rsidR="00416E96" w:rsidRPr="00593A5F" w:rsidRDefault="00416E96" w:rsidP="00B6640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550D4143" w14:textId="1058B1D5" w:rsidR="00416E96" w:rsidRDefault="00416E96" w:rsidP="00B66406">
            <w:pPr>
              <w:jc w:val="both"/>
              <w:rPr>
                <w:rFonts w:ascii="Verdana" w:eastAsia="Calibri" w:hAnsi="Verdana" w:cs="Arial"/>
                <w:lang w:val="es-ES" w:eastAsia="es-ES"/>
              </w:rPr>
            </w:pPr>
            <w:r w:rsidRPr="007C11D3">
              <w:rPr>
                <w:rFonts w:ascii="Verdana" w:eastAsia="Calibri" w:hAnsi="Verdana" w:cs="Arial"/>
                <w:lang w:val="es-ES" w:eastAsia="es-ES"/>
              </w:rPr>
              <w:t xml:space="preserve">LEY DE GARANTÍAS ELECTORALES ‒ Tipos de restricciones ‒ Ámbito temporal / LEY DE GARANTÍAS ELECTORALES ─ Prohibición ‒ Contratación directa ‒ Alcance – Excepciones / LEY DE GARANTÍAS ELECTORALES ‒ Prohibición del artículo 33 ‒ Destinatarios </w:t>
            </w:r>
            <w:r w:rsidR="005C2154" w:rsidRPr="00263083">
              <w:rPr>
                <w:rFonts w:ascii="Verdana" w:eastAsia="Calibri" w:hAnsi="Verdana" w:cs="Arial"/>
                <w:lang w:val="es-ES" w:eastAsia="es-ES"/>
              </w:rPr>
              <w:t xml:space="preserve">/ </w:t>
            </w:r>
            <w:r w:rsidR="005C2154" w:rsidRPr="003D0447">
              <w:rPr>
                <w:rFonts w:ascii="Verdana" w:eastAsia="Calibri" w:hAnsi="Verdana" w:cs="Arial"/>
                <w:lang w:val="es-ES"/>
              </w:rPr>
              <w:t>UNIVERSIDADES PÚBLICAS – ESTABLECIMIENTO PÚBLICO EDUCATIVO – Diferencias – Aplicación de la Ley 996 de 2005</w:t>
            </w:r>
          </w:p>
          <w:p w14:paraId="788D9B1A" w14:textId="77777777" w:rsidR="00416E96" w:rsidRPr="00A52DE7" w:rsidRDefault="00416E96" w:rsidP="00B66406">
            <w:pPr>
              <w:jc w:val="both"/>
              <w:rPr>
                <w:rFonts w:ascii="Verdana" w:eastAsia="Calibri" w:hAnsi="Verdana" w:cs="Arial"/>
                <w:b/>
                <w:highlight w:val="yellow"/>
                <w:lang w:val="es-ES" w:eastAsia="es-ES"/>
              </w:rPr>
            </w:pPr>
          </w:p>
        </w:tc>
      </w:tr>
      <w:tr w:rsidR="00416E96" w:rsidRPr="00593A5F" w14:paraId="7CFA3CCB" w14:textId="77777777" w:rsidTr="00B66406">
        <w:tc>
          <w:tcPr>
            <w:tcW w:w="2410" w:type="dxa"/>
          </w:tcPr>
          <w:p w14:paraId="47CB0E29" w14:textId="77777777" w:rsidR="00416E96" w:rsidRPr="006730E9" w:rsidRDefault="00416E96" w:rsidP="00B66406">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53EB17BB" w14:textId="77777777" w:rsidR="00416E96" w:rsidRPr="006730E9" w:rsidRDefault="00416E96" w:rsidP="00B66406">
            <w:pPr>
              <w:jc w:val="both"/>
              <w:rPr>
                <w:rFonts w:ascii="Verdana" w:eastAsia="Calibri" w:hAnsi="Verdana" w:cs="Arial"/>
                <w:lang w:val="es-ES_tradnl" w:eastAsia="es-ES_tradnl"/>
              </w:rPr>
            </w:pPr>
            <w:r w:rsidRPr="007121A5">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0931E9">
              <w:rPr>
                <w:rFonts w:ascii="Verdana" w:eastAsia="Calibri" w:hAnsi="Verdana" w:cs="Arial"/>
                <w:lang w:eastAsia="es-ES_tradnl"/>
              </w:rPr>
              <w:t>1_2025_07_23_007618</w:t>
            </w:r>
          </w:p>
        </w:tc>
      </w:tr>
      <w:tr w:rsidR="00416E96" w:rsidRPr="00DB23D2" w14:paraId="0CD80B76" w14:textId="77777777" w:rsidTr="00B66406">
        <w:trPr>
          <w:gridAfter w:val="1"/>
          <w:wAfter w:w="336" w:type="dxa"/>
          <w:trHeight w:val="233"/>
        </w:trPr>
        <w:tc>
          <w:tcPr>
            <w:tcW w:w="8878" w:type="dxa"/>
            <w:gridSpan w:val="2"/>
          </w:tcPr>
          <w:p w14:paraId="448E609A" w14:textId="77777777" w:rsidR="00416E96" w:rsidRDefault="00416E96" w:rsidP="003D0447">
            <w:pPr>
              <w:spacing w:line="276" w:lineRule="auto"/>
              <w:jc w:val="both"/>
              <w:rPr>
                <w:rFonts w:ascii="Verdana" w:eastAsia="Calibri" w:hAnsi="Verdana" w:cs="Arial"/>
                <w:lang w:val="es-ES_tradnl" w:eastAsia="es-ES"/>
              </w:rPr>
            </w:pPr>
          </w:p>
          <w:p w14:paraId="26FB2C1D" w14:textId="77777777" w:rsidR="00416E96" w:rsidRPr="00DB23D2" w:rsidRDefault="00416E96" w:rsidP="003D0447">
            <w:pPr>
              <w:spacing w:line="276" w:lineRule="auto"/>
              <w:jc w:val="both"/>
              <w:rPr>
                <w:rFonts w:ascii="Verdana" w:eastAsia="Calibri" w:hAnsi="Verdana" w:cs="Arial"/>
                <w:lang w:val="es-ES_tradnl" w:eastAsia="es-ES"/>
              </w:rPr>
            </w:pPr>
          </w:p>
        </w:tc>
      </w:tr>
    </w:tbl>
    <w:p w14:paraId="573C66D0" w14:textId="77777777" w:rsidR="00416E96" w:rsidRPr="006730E9" w:rsidRDefault="00416E96" w:rsidP="00416E96">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a González;</w:t>
      </w:r>
    </w:p>
    <w:p w14:paraId="43411533" w14:textId="77777777" w:rsidR="00416E96" w:rsidRDefault="00416E96" w:rsidP="00416E9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2D724FD" w14:textId="77777777" w:rsidR="00416E96" w:rsidRPr="006730E9" w:rsidRDefault="00416E96" w:rsidP="00416E96">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23 </w:t>
      </w:r>
      <w:r w:rsidRPr="00E5644F">
        <w:rPr>
          <w:rFonts w:ascii="Verdana" w:eastAsia="Calibri" w:hAnsi="Verdana" w:cs="Arial"/>
          <w:lang w:val="es-ES" w:eastAsia="es-ES"/>
        </w:rPr>
        <w:t xml:space="preserve">de </w:t>
      </w:r>
      <w:r>
        <w:rPr>
          <w:rFonts w:ascii="Verdana" w:eastAsia="Calibri" w:hAnsi="Verdana" w:cs="Arial"/>
          <w:lang w:val="es-ES" w:eastAsia="es-ES"/>
        </w:rPr>
        <w:t>julio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2B2C120" w14:textId="77777777" w:rsidR="00416E96" w:rsidRPr="00326382" w:rsidRDefault="00416E96" w:rsidP="003D0447">
      <w:pPr>
        <w:spacing w:after="0" w:line="276" w:lineRule="auto"/>
        <w:ind w:left="709" w:right="474"/>
        <w:jc w:val="both"/>
        <w:rPr>
          <w:rFonts w:ascii="Verdana" w:hAnsi="Verdana" w:cs="Arial"/>
          <w:sz w:val="20"/>
          <w:szCs w:val="20"/>
          <w:shd w:val="clear" w:color="auto" w:fill="FFFFFF"/>
        </w:rPr>
      </w:pPr>
      <w:bookmarkStart w:id="2" w:name="_Hlk95313578"/>
    </w:p>
    <w:bookmarkEnd w:id="2"/>
    <w:p w14:paraId="1EA7997B" w14:textId="77777777" w:rsidR="00416E96" w:rsidRPr="0067780C" w:rsidRDefault="00416E96" w:rsidP="008B1FB2">
      <w:pPr>
        <w:tabs>
          <w:tab w:val="left" w:pos="142"/>
          <w:tab w:val="left" w:pos="567"/>
        </w:tabs>
        <w:spacing w:after="0"/>
        <w:ind w:left="709" w:right="709"/>
        <w:jc w:val="both"/>
        <w:rPr>
          <w:rFonts w:ascii="Verdana" w:eastAsia="Century Gothic" w:hAnsi="Verdana" w:cs="Century Gothic"/>
          <w:i/>
          <w:iCs/>
        </w:rPr>
      </w:pPr>
      <w:r w:rsidRPr="00C33DBE">
        <w:rPr>
          <w:rFonts w:ascii="Verdana" w:eastAsia="Century Gothic" w:hAnsi="Verdana" w:cs="Century Gothic"/>
          <w:i/>
          <w:iCs/>
          <w:sz w:val="20"/>
          <w:szCs w:val="20"/>
        </w:rPr>
        <w:t>“</w:t>
      </w:r>
      <w:r>
        <w:rPr>
          <w:rFonts w:ascii="Verdana" w:eastAsia="Century Gothic" w:hAnsi="Verdana" w:cs="Century Gothic"/>
          <w:i/>
          <w:iCs/>
          <w:sz w:val="20"/>
          <w:szCs w:val="20"/>
        </w:rPr>
        <w:t>[</w:t>
      </w:r>
      <w:r w:rsidRPr="00C33DBE">
        <w:rPr>
          <w:rFonts w:ascii="Verdana" w:eastAsia="Century Gothic" w:hAnsi="Verdana" w:cs="Century Gothic"/>
          <w:i/>
          <w:iCs/>
          <w:sz w:val="20"/>
          <w:szCs w:val="20"/>
        </w:rPr>
        <w:t>…</w:t>
      </w:r>
      <w:r>
        <w:rPr>
          <w:rFonts w:ascii="Verdana" w:eastAsia="Century Gothic" w:hAnsi="Verdana" w:cs="Century Gothic"/>
          <w:i/>
          <w:iCs/>
          <w:sz w:val="20"/>
          <w:szCs w:val="20"/>
        </w:rPr>
        <w:t xml:space="preserve">] </w:t>
      </w:r>
      <w:proofErr w:type="gramStart"/>
      <w:r w:rsidRPr="000931E9">
        <w:rPr>
          <w:rFonts w:ascii="Verdana" w:eastAsia="Century Gothic" w:hAnsi="Verdana" w:cs="Century Gothic"/>
          <w:i/>
          <w:iCs/>
          <w:sz w:val="20"/>
          <w:szCs w:val="20"/>
        </w:rPr>
        <w:t>Solicito amablemente me den un concepto si aplica la ley de garantías en la contratación que adelantan los ESTABLECIMIENTO EDUCATIVOS PUBLICOS, siendo estos de REGIMEN ESPECIAL?</w:t>
      </w:r>
      <w:proofErr w:type="gramEnd"/>
      <w:r w:rsidRPr="000931E9">
        <w:rPr>
          <w:rFonts w:ascii="Verdana" w:eastAsia="Century Gothic" w:hAnsi="Verdana" w:cs="Century Gothic"/>
          <w:i/>
          <w:iCs/>
          <w:sz w:val="20"/>
          <w:szCs w:val="20"/>
        </w:rPr>
        <w:t xml:space="preserve"> en resumen la ley de garantías aplica para las entidades de REGIMEN ESPECIAL? (EN EL CASO DE LAS INSTITUCIONES EDUCATIVAS QUE RECIBEN RECURSOS DE </w:t>
      </w:r>
      <w:r w:rsidRPr="000931E9">
        <w:rPr>
          <w:rFonts w:ascii="Verdana" w:eastAsia="Century Gothic" w:hAnsi="Verdana" w:cs="Century Gothic"/>
          <w:i/>
          <w:iCs/>
          <w:sz w:val="20"/>
          <w:szCs w:val="20"/>
        </w:rPr>
        <w:lastRenderedPageBreak/>
        <w:t>GRATUIDAD DE LA EDUCACION y si les aplica la ley de garantías, no podrían garantizar el funcionamiento operativo de la institución, si no pueden contratar.:</w:t>
      </w:r>
      <w:r>
        <w:rPr>
          <w:rFonts w:ascii="Verdana" w:eastAsia="Century Gothic" w:hAnsi="Verdana" w:cs="Century Gothic"/>
          <w:i/>
          <w:iCs/>
          <w:sz w:val="20"/>
          <w:szCs w:val="20"/>
        </w:rPr>
        <w:t xml:space="preserve"> […]</w:t>
      </w:r>
      <w:r w:rsidRPr="000931E9">
        <w:rPr>
          <w:rFonts w:ascii="Verdana" w:eastAsia="Century Gothic" w:hAnsi="Verdana" w:cs="Century Gothic"/>
          <w:i/>
          <w:iCs/>
          <w:sz w:val="20"/>
          <w:szCs w:val="20"/>
        </w:rPr>
        <w:t>” [sic]</w:t>
      </w:r>
      <w:r>
        <w:rPr>
          <w:rFonts w:ascii="Verdana" w:eastAsia="Century Gothic" w:hAnsi="Verdana" w:cs="Century Gothic"/>
          <w:i/>
          <w:iCs/>
        </w:rPr>
        <w:t xml:space="preserve"> </w:t>
      </w:r>
      <w:r w:rsidRPr="0067780C">
        <w:rPr>
          <w:rFonts w:ascii="Verdana" w:eastAsia="Century Gothic" w:hAnsi="Verdana" w:cs="Century Gothic"/>
          <w:i/>
          <w:iCs/>
        </w:rPr>
        <w:t xml:space="preserve"> </w:t>
      </w:r>
    </w:p>
    <w:p w14:paraId="3B6ED9F1" w14:textId="77777777" w:rsidR="008B1FB2" w:rsidRPr="0067780C" w:rsidRDefault="008B1FB2" w:rsidP="003D0447">
      <w:pPr>
        <w:tabs>
          <w:tab w:val="left" w:pos="142"/>
          <w:tab w:val="left" w:pos="567"/>
        </w:tabs>
        <w:spacing w:after="0"/>
        <w:ind w:left="709" w:right="709"/>
        <w:jc w:val="both"/>
        <w:rPr>
          <w:rFonts w:ascii="Verdana" w:eastAsia="Century Gothic" w:hAnsi="Verdana" w:cs="Century Gothic"/>
          <w:i/>
          <w:iCs/>
        </w:rPr>
      </w:pPr>
    </w:p>
    <w:p w14:paraId="1EB7C7A6" w14:textId="77777777" w:rsidR="00416E96" w:rsidRPr="00AA3B9F" w:rsidRDefault="00416E96" w:rsidP="00416E96">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0B72EC1F" w14:textId="77777777" w:rsidR="00416E96" w:rsidRPr="00AA3B9F" w:rsidRDefault="00416E96" w:rsidP="00416E96">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52D9194F" w14:textId="77777777" w:rsidR="00416E96" w:rsidRDefault="00416E96" w:rsidP="00416E96">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6DACC071" w14:textId="77777777" w:rsidR="00416E96" w:rsidRDefault="00416E96" w:rsidP="00416E9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175F999A" w14:textId="77777777" w:rsidR="00416E96" w:rsidRDefault="00416E96" w:rsidP="00416E96">
      <w:pPr>
        <w:pStyle w:val="Prrafodelista"/>
        <w:tabs>
          <w:tab w:val="left" w:pos="142"/>
          <w:tab w:val="left" w:pos="284"/>
        </w:tabs>
        <w:spacing w:after="0" w:line="276" w:lineRule="auto"/>
        <w:ind w:left="0"/>
        <w:jc w:val="both"/>
        <w:rPr>
          <w:rFonts w:ascii="Verdana" w:eastAsia="Century Gothic" w:hAnsi="Verdana" w:cs="Century Gothic"/>
          <w:b/>
          <w:bCs/>
        </w:rPr>
      </w:pPr>
    </w:p>
    <w:p w14:paraId="499467CF" w14:textId="24ED0889" w:rsidR="00416E96" w:rsidRPr="00181439" w:rsidRDefault="00416E96" w:rsidP="003D0447">
      <w:pPr>
        <w:pStyle w:val="Prrafodelista"/>
        <w:spacing w:after="0"/>
        <w:ind w:left="0" w:right="49"/>
        <w:jc w:val="both"/>
        <w:rPr>
          <w:rFonts w:ascii="Verdana" w:eastAsia="Century Gothic" w:hAnsi="Verdana" w:cs="Century Gothic"/>
          <w:lang w:val="es-CO"/>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3" w:name="_Hlk196737317"/>
      <w:r>
        <w:rPr>
          <w:rFonts w:ascii="Verdana" w:eastAsia="Calibri" w:hAnsi="Verdana" w:cs="Arial"/>
          <w:lang w:eastAsia="es-ES"/>
        </w:rPr>
        <w:t xml:space="preserve">: </w:t>
      </w:r>
      <w:r>
        <w:rPr>
          <w:rFonts w:ascii="Verdana" w:eastAsia="Century Gothic" w:hAnsi="Verdana" w:cs="Century Gothic"/>
          <w:lang w:val="es-CO"/>
        </w:rPr>
        <w:t>¿</w:t>
      </w:r>
      <w:r w:rsidR="000678AF">
        <w:rPr>
          <w:rFonts w:ascii="Verdana" w:eastAsia="Century Gothic" w:hAnsi="Verdana" w:cs="Century Gothic"/>
          <w:lang w:val="es-CO"/>
        </w:rPr>
        <w:t>A</w:t>
      </w:r>
      <w:r>
        <w:rPr>
          <w:rFonts w:ascii="Verdana" w:eastAsia="Century Gothic" w:hAnsi="Verdana" w:cs="Century Gothic"/>
          <w:lang w:val="es-CO"/>
        </w:rPr>
        <w:t>plican</w:t>
      </w:r>
      <w:r w:rsidRPr="00D719C2">
        <w:rPr>
          <w:rFonts w:ascii="Verdana" w:eastAsia="Century Gothic" w:hAnsi="Verdana" w:cs="Century Gothic"/>
          <w:lang w:val="es-CO"/>
        </w:rPr>
        <w:t xml:space="preserve"> las restricciones </w:t>
      </w:r>
      <w:r w:rsidR="000678AF">
        <w:rPr>
          <w:rFonts w:ascii="Verdana" w:eastAsia="Century Gothic" w:hAnsi="Verdana" w:cs="Century Gothic"/>
          <w:lang w:val="es-CO"/>
        </w:rPr>
        <w:t>en materia de</w:t>
      </w:r>
      <w:r w:rsidR="000678AF" w:rsidRPr="00D719C2">
        <w:rPr>
          <w:rFonts w:ascii="Verdana" w:eastAsia="Century Gothic" w:hAnsi="Verdana" w:cs="Century Gothic"/>
          <w:lang w:val="es-CO"/>
        </w:rPr>
        <w:t xml:space="preserve"> </w:t>
      </w:r>
      <w:r w:rsidRPr="00D719C2">
        <w:rPr>
          <w:rFonts w:ascii="Verdana" w:eastAsia="Century Gothic" w:hAnsi="Verdana" w:cs="Century Gothic"/>
          <w:lang w:val="es-CO"/>
        </w:rPr>
        <w:t xml:space="preserve">contratación </w:t>
      </w:r>
      <w:r w:rsidR="000678AF">
        <w:rPr>
          <w:rFonts w:ascii="Verdana" w:eastAsia="Century Gothic" w:hAnsi="Verdana" w:cs="Century Gothic"/>
          <w:lang w:val="es-CO"/>
        </w:rPr>
        <w:t>estatal</w:t>
      </w:r>
      <w:r w:rsidRPr="00D719C2">
        <w:rPr>
          <w:rFonts w:ascii="Verdana" w:eastAsia="Century Gothic" w:hAnsi="Verdana" w:cs="Century Gothic"/>
          <w:lang w:val="es-CO"/>
        </w:rPr>
        <w:t xml:space="preserve"> previstas en </w:t>
      </w:r>
      <w:r>
        <w:rPr>
          <w:rFonts w:ascii="Verdana" w:eastAsia="Century Gothic" w:hAnsi="Verdana" w:cs="Century Gothic"/>
          <w:lang w:val="es-CO"/>
        </w:rPr>
        <w:t>la Ley de Garantías Electorales</w:t>
      </w:r>
      <w:r w:rsidRPr="00D719C2">
        <w:rPr>
          <w:rFonts w:ascii="Verdana" w:eastAsia="Century Gothic" w:hAnsi="Verdana" w:cs="Century Gothic"/>
          <w:lang w:val="es-CO"/>
        </w:rPr>
        <w:t xml:space="preserve"> </w:t>
      </w:r>
      <w:r w:rsidRPr="00181439">
        <w:rPr>
          <w:rFonts w:ascii="Verdana" w:eastAsia="Century Gothic" w:hAnsi="Verdana" w:cs="Century Gothic"/>
          <w:lang w:val="es-CO"/>
        </w:rPr>
        <w:t>en el caso de las instituciones educativas</w:t>
      </w:r>
      <w:r>
        <w:rPr>
          <w:rFonts w:ascii="Verdana" w:eastAsia="Century Gothic" w:hAnsi="Verdana" w:cs="Century Gothic"/>
          <w:lang w:val="es-CO"/>
        </w:rPr>
        <w:t>?</w:t>
      </w:r>
    </w:p>
    <w:p w14:paraId="5D5F593F" w14:textId="77777777" w:rsidR="00416E96" w:rsidRDefault="00416E96" w:rsidP="00416E96">
      <w:pPr>
        <w:pStyle w:val="Prrafodelista"/>
        <w:tabs>
          <w:tab w:val="left" w:pos="142"/>
          <w:tab w:val="left" w:pos="284"/>
        </w:tabs>
        <w:spacing w:after="0" w:line="276" w:lineRule="auto"/>
        <w:ind w:left="0"/>
        <w:jc w:val="both"/>
        <w:rPr>
          <w:rFonts w:ascii="Verdana" w:hAnsi="Verdana"/>
        </w:rPr>
      </w:pPr>
    </w:p>
    <w:bookmarkEnd w:id="3"/>
    <w:p w14:paraId="2DEFB90E" w14:textId="77777777" w:rsidR="00416E96" w:rsidRPr="00593A5F" w:rsidRDefault="00416E96" w:rsidP="00416E9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09B0887" w14:textId="77777777" w:rsidR="00416E96" w:rsidRPr="00593A5F" w:rsidRDefault="00416E96" w:rsidP="00416E9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16E96" w:rsidRPr="00593A5F" w14:paraId="29926F41" w14:textId="77777777" w:rsidTr="00B66406">
        <w:tc>
          <w:tcPr>
            <w:tcW w:w="8828" w:type="dxa"/>
          </w:tcPr>
          <w:p w14:paraId="5B58E538" w14:textId="77777777" w:rsidR="003A7A09" w:rsidRDefault="005C153C" w:rsidP="009B075E">
            <w:pPr>
              <w:pStyle w:val="Textoindependiente"/>
              <w:spacing w:after="120" w:line="276" w:lineRule="auto"/>
              <w:jc w:val="both"/>
              <w:rPr>
                <w:rFonts w:ascii="Verdana" w:hAnsi="Verdana"/>
                <w:sz w:val="22"/>
                <w:szCs w:val="22"/>
                <w:lang w:eastAsia="es-ES" w:bidi="es-ES"/>
              </w:rPr>
            </w:pPr>
            <w:r w:rsidRPr="003D0447">
              <w:rPr>
                <w:rFonts w:ascii="Verdana" w:hAnsi="Verdana"/>
                <w:bCs/>
                <w:sz w:val="22"/>
                <w:szCs w:val="22"/>
                <w:lang w:val="es-MX" w:eastAsia="es-CO"/>
              </w:rPr>
              <w:t xml:space="preserve">De acuerdo con la interpretación de las normas generales del sistema de compras y contratación pública, sin perjuicio de que </w:t>
            </w:r>
            <w:r w:rsidRPr="003D0447">
              <w:rPr>
                <w:rFonts w:ascii="Verdana" w:eastAsia="Calibri" w:hAnsi="Verdana"/>
                <w:color w:val="000000"/>
                <w:sz w:val="22"/>
                <w:szCs w:val="22"/>
                <w:shd w:val="clear" w:color="auto" w:fill="FFFFFF"/>
                <w:lang w:val="es-MX"/>
              </w:rPr>
              <w:t>cada entidad defina la viabilidad técnica, jurídica y financiera de celebrar determinado contrato estatal en específico,</w:t>
            </w:r>
            <w:r w:rsidRPr="003D0447">
              <w:rPr>
                <w:rFonts w:ascii="Verdana" w:hAnsi="Verdana"/>
                <w:bCs/>
                <w:sz w:val="22"/>
                <w:szCs w:val="22"/>
                <w:lang w:val="es-MX" w:eastAsia="es-CO"/>
              </w:rPr>
              <w:t xml:space="preserve"> es posible afirmar que l</w:t>
            </w:r>
            <w:r w:rsidRPr="003D0447">
              <w:rPr>
                <w:rFonts w:ascii="Verdana" w:hAnsi="Verdana"/>
                <w:sz w:val="22"/>
                <w:szCs w:val="22"/>
                <w:lang w:eastAsia="es-ES" w:bidi="es-ES"/>
              </w:rPr>
              <w:t xml:space="preserve">a Ley 996 de 2005 establece dos (2) tipos de restricciones en materia de contratación, las cuales coinciden </w:t>
            </w:r>
            <w:r w:rsidRPr="003D0447">
              <w:rPr>
                <w:rFonts w:ascii="Verdana" w:hAnsi="Verdana"/>
                <w:sz w:val="22"/>
                <w:szCs w:val="22"/>
                <w:lang w:eastAsia="es-ES" w:bidi="es-ES"/>
              </w:rPr>
              <w:lastRenderedPageBreak/>
              <w:t xml:space="preserve">parcialmente. </w:t>
            </w:r>
          </w:p>
          <w:p w14:paraId="5DF8EA5E" w14:textId="77777777" w:rsidR="009F48B8" w:rsidRDefault="005C153C" w:rsidP="009B075E">
            <w:pPr>
              <w:pStyle w:val="Textoindependiente"/>
              <w:spacing w:after="120" w:line="276" w:lineRule="auto"/>
              <w:jc w:val="both"/>
              <w:rPr>
                <w:rFonts w:ascii="Verdana" w:hAnsi="Verdana"/>
                <w:sz w:val="22"/>
                <w:szCs w:val="22"/>
                <w:lang w:eastAsia="es-ES" w:bidi="es-ES"/>
              </w:rPr>
            </w:pPr>
            <w:r w:rsidRPr="003D0447">
              <w:rPr>
                <w:rFonts w:ascii="Verdana" w:hAnsi="Verdana"/>
                <w:i/>
                <w:iCs/>
                <w:sz w:val="22"/>
                <w:szCs w:val="22"/>
                <w:lang w:eastAsia="es-ES" w:bidi="es-ES"/>
              </w:rPr>
              <w:t>En primer lugar</w:t>
            </w:r>
            <w:r w:rsidRPr="003D0447">
              <w:rPr>
                <w:rFonts w:ascii="Verdana" w:hAnsi="Verdana"/>
                <w:sz w:val="22"/>
                <w:szCs w:val="22"/>
                <w:lang w:eastAsia="es-ES" w:bidi="es-ES"/>
              </w:rPr>
              <w:t xml:space="preserve">, la del artículo 33 que opera solo respecto de las elecciones presidenciales, en virtud de la cual queda proscrita la contratación directa dentro de los cuatro (4) meses anteriores a la celebración de los comicios, salvo las excepciones contempladas en el inciso segundo del mismo artículo.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658E57FF" w14:textId="7446DF7E" w:rsidR="005C153C" w:rsidRPr="003D0447" w:rsidRDefault="005C153C" w:rsidP="009B075E">
            <w:pPr>
              <w:pStyle w:val="Textoindependiente"/>
              <w:spacing w:after="120" w:line="276" w:lineRule="auto"/>
              <w:jc w:val="both"/>
              <w:rPr>
                <w:rFonts w:ascii="Verdana" w:hAnsi="Verdana"/>
                <w:sz w:val="22"/>
                <w:szCs w:val="22"/>
                <w:lang w:eastAsia="es-ES" w:bidi="es-ES"/>
              </w:rPr>
            </w:pPr>
            <w:r w:rsidRPr="003D0447">
              <w:rPr>
                <w:rFonts w:ascii="Verdana" w:hAnsi="Verdana"/>
                <w:i/>
                <w:iCs/>
                <w:sz w:val="22"/>
                <w:szCs w:val="22"/>
                <w:lang w:eastAsia="es-ES" w:bidi="es-ES"/>
              </w:rPr>
              <w:t>En segundo lugar</w:t>
            </w:r>
            <w:r w:rsidRPr="003D0447">
              <w:rPr>
                <w:rFonts w:ascii="Verdana" w:hAnsi="Verdana"/>
                <w:sz w:val="22"/>
                <w:szCs w:val="22"/>
                <w:lang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0D2BC7D" w14:textId="67480105" w:rsidR="005C153C" w:rsidRPr="003D0447" w:rsidRDefault="005C153C" w:rsidP="003D0447">
            <w:pPr>
              <w:spacing w:after="120" w:line="276" w:lineRule="auto"/>
              <w:ind w:firstLine="709"/>
              <w:jc w:val="both"/>
              <w:rPr>
                <w:rFonts w:ascii="Verdana" w:eastAsia="Calibri" w:hAnsi="Verdana" w:cs="Arial"/>
                <w:color w:val="000000" w:themeColor="text1"/>
              </w:rPr>
            </w:pPr>
            <w:r w:rsidRPr="003D0447">
              <w:rPr>
                <w:rFonts w:ascii="Verdana" w:eastAsia="Arial" w:hAnsi="Verdana" w:cs="Arial"/>
                <w:lang w:val="es-ES" w:eastAsia="es-ES" w:bidi="es-ES"/>
              </w:rPr>
              <w:t xml:space="preserve">Ambas restricciones no son excluyentes, lo que implica que en el período preelectoral para elección de </w:t>
            </w:r>
            <w:proofErr w:type="gramStart"/>
            <w:r w:rsidRPr="003D0447">
              <w:rPr>
                <w:rFonts w:ascii="Verdana" w:eastAsia="Arial" w:hAnsi="Verdana" w:cs="Arial"/>
                <w:lang w:val="es-ES" w:eastAsia="es-ES" w:bidi="es-ES"/>
              </w:rPr>
              <w:t>Presidente</w:t>
            </w:r>
            <w:proofErr w:type="gramEnd"/>
            <w:r w:rsidRPr="003D0447">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3D0447">
              <w:rPr>
                <w:rFonts w:ascii="Verdana" w:eastAsia="Arial" w:hAnsi="Verdana" w:cs="Arial"/>
                <w:lang w:val="es-ES" w:eastAsia="es-ES" w:bidi="es-ES"/>
              </w:rPr>
              <w:t>Presidente</w:t>
            </w:r>
            <w:proofErr w:type="gramEnd"/>
            <w:r w:rsidRPr="003D0447">
              <w:rPr>
                <w:rFonts w:ascii="Verdana" w:eastAsia="Arial" w:hAnsi="Verdana" w:cs="Arial"/>
                <w:lang w:val="es-ES" w:eastAsia="es-ES" w:bidi="es-ES"/>
              </w:rPr>
              <w:t xml:space="preserve"> de la República, las autoridades allí mencionadas sólo deben aplicar las restricciones contenidas en el parágrafo del artículo 38. </w:t>
            </w:r>
          </w:p>
          <w:p w14:paraId="4F95BBA2" w14:textId="47B6C832" w:rsidR="005C153C" w:rsidRPr="003D0447" w:rsidRDefault="009F48B8" w:rsidP="003D0447">
            <w:pPr>
              <w:pStyle w:val="Textoindependiente"/>
              <w:spacing w:after="120" w:line="276" w:lineRule="auto"/>
              <w:ind w:firstLine="709"/>
              <w:jc w:val="both"/>
              <w:rPr>
                <w:rFonts w:ascii="Verdana" w:hAnsi="Verdana"/>
                <w:bCs/>
                <w:sz w:val="22"/>
                <w:szCs w:val="22"/>
                <w:lang w:val="es-MX" w:eastAsia="es-CO"/>
              </w:rPr>
            </w:pPr>
            <w:r>
              <w:rPr>
                <w:rFonts w:ascii="Verdana" w:hAnsi="Verdana"/>
                <w:bCs/>
                <w:sz w:val="22"/>
                <w:szCs w:val="22"/>
                <w:lang w:val="es-MX" w:eastAsia="es-CO"/>
              </w:rPr>
              <w:t>Ahora bien, frente al problema jurídico planteado</w:t>
            </w:r>
            <w:r w:rsidR="005C153C" w:rsidRPr="003D0447">
              <w:rPr>
                <w:rFonts w:ascii="Verdana" w:hAnsi="Verdana"/>
                <w:bCs/>
                <w:sz w:val="22"/>
                <w:szCs w:val="22"/>
                <w:lang w:val="es-MX" w:eastAsia="es-CO"/>
              </w:rPr>
              <w:t>,</w:t>
            </w:r>
            <w:r>
              <w:rPr>
                <w:rFonts w:ascii="Verdana" w:hAnsi="Verdana"/>
                <w:bCs/>
                <w:sz w:val="22"/>
                <w:szCs w:val="22"/>
                <w:lang w:val="es-MX" w:eastAsia="es-CO"/>
              </w:rPr>
              <w:t xml:space="preserve"> debe señalarse que</w:t>
            </w:r>
            <w:r w:rsidR="005C153C" w:rsidRPr="003D0447">
              <w:rPr>
                <w:rFonts w:ascii="Verdana" w:hAnsi="Verdana"/>
                <w:bCs/>
                <w:sz w:val="22"/>
                <w:szCs w:val="22"/>
                <w:lang w:val="es-MX" w:eastAsia="es-CO"/>
              </w:rPr>
              <w:t xml:space="preserve"> la restricción del artículo 33 aplica a todos los </w:t>
            </w:r>
            <w:r>
              <w:rPr>
                <w:rFonts w:ascii="Verdana" w:hAnsi="Verdana"/>
                <w:bCs/>
                <w:sz w:val="22"/>
                <w:szCs w:val="22"/>
                <w:lang w:val="es-MX" w:eastAsia="es-CO"/>
              </w:rPr>
              <w:t>“</w:t>
            </w:r>
            <w:r w:rsidR="005C153C" w:rsidRPr="003D0447">
              <w:rPr>
                <w:rFonts w:ascii="Verdana" w:hAnsi="Verdana"/>
                <w:bCs/>
                <w:sz w:val="22"/>
                <w:szCs w:val="22"/>
                <w:lang w:val="es-MX" w:eastAsia="es-CO"/>
              </w:rPr>
              <w:t>entes del Estado</w:t>
            </w:r>
            <w:r>
              <w:rPr>
                <w:rFonts w:ascii="Verdana" w:hAnsi="Verdana"/>
                <w:bCs/>
                <w:sz w:val="22"/>
                <w:szCs w:val="22"/>
                <w:lang w:val="es-MX" w:eastAsia="es-CO"/>
              </w:rPr>
              <w:t>”</w:t>
            </w:r>
            <w:r w:rsidR="005C153C" w:rsidRPr="003D0447">
              <w:rPr>
                <w:rFonts w:ascii="Verdana" w:hAnsi="Verdana"/>
                <w:bCs/>
                <w:sz w:val="22"/>
                <w:szCs w:val="22"/>
                <w:lang w:val="es-MX" w:eastAsia="es-CO"/>
              </w:rPr>
              <w:t xml:space="preserve">, independiente de su régimen, por lo que la misma aplica tanto a las universidades públicas o entes universitarios autónomos, como a los establecimientos públicos de educación superior, dada su calidad de entes estatales. En consecuencia, al margen que estas entidades estén sometidas al Estatuto General de Contratación de la Administración Públicas, tengan un régimen especial o pretendan suscribir un contrato aplicando el reglamento de un organismo internacional–con sustento en el artículo 20 de la Ley 1150 de 2007–, tienen restringida la contratación que no sea producto de procesos con pluralidad de oferentes durante a partir del inicio del periodo prelectorales de </w:t>
            </w:r>
            <w:r w:rsidR="005C153C" w:rsidRPr="003D0447">
              <w:rPr>
                <w:rFonts w:ascii="Verdana" w:hAnsi="Verdana"/>
                <w:bCs/>
                <w:sz w:val="22"/>
                <w:szCs w:val="22"/>
                <w:lang w:val="es-MX" w:eastAsia="es-CO"/>
              </w:rPr>
              <w:lastRenderedPageBreak/>
              <w:t xml:space="preserve">los cuatro (4) meses previos a las elecciones presidenciales, salvo que se realice al amparo de las excepciones previstas en el inciso final del artículo 33 de la Ley 996 de 2005. </w:t>
            </w:r>
          </w:p>
          <w:p w14:paraId="3E4C26D8" w14:textId="20022C4A" w:rsidR="005C153C" w:rsidRDefault="005C153C" w:rsidP="009B075E">
            <w:pPr>
              <w:pStyle w:val="Textoindependiente"/>
              <w:spacing w:after="120" w:line="276" w:lineRule="auto"/>
              <w:ind w:firstLine="709"/>
              <w:jc w:val="both"/>
              <w:rPr>
                <w:rFonts w:ascii="Verdana" w:hAnsi="Verdana"/>
                <w:bCs/>
                <w:color w:val="000000"/>
                <w:sz w:val="22"/>
                <w:szCs w:val="22"/>
                <w:lang w:eastAsia="es-CO"/>
              </w:rPr>
            </w:pPr>
            <w:r w:rsidRPr="003D0447">
              <w:rPr>
                <w:rFonts w:ascii="Verdana" w:hAnsi="Verdana"/>
                <w:bCs/>
                <w:color w:val="000000"/>
                <w:sz w:val="22"/>
                <w:szCs w:val="22"/>
                <w:lang w:eastAsia="es-CO"/>
              </w:rPr>
              <w:t>De lo anterior se colige que, en virtud de la restricción establecida en el primer inciso artículo 33, las universidades y los establecimientos públicos de educación superior tienen vedada la celebración de convenios o contratos de manera directa durante las elecciones presidenciales, ya sea con otras entidades de la misma naturaleza o de carácter privado. Esto sin perjuicio de la eventual aplicación de alguna de las excepciones previstas en el inciso final de la norma, con sustento en las cuales, ambos tipos de instituciones de educación superior públicas podrían suscribir contratos de manera directa durante el periodo prelectoral señalado sin vulnerar la restricción, siempre que en efecto se configure alguno de los supuestos de hecho de las excepciones y no se contravengan otras normas jurídicas.</w:t>
            </w:r>
          </w:p>
          <w:p w14:paraId="7948FF55" w14:textId="7E9FFCB2" w:rsidR="00C96C8B" w:rsidRPr="003D0447" w:rsidRDefault="00C96C8B" w:rsidP="00C96C8B">
            <w:pPr>
              <w:pStyle w:val="NormalWeb"/>
              <w:spacing w:before="0" w:beforeAutospacing="0" w:after="120" w:afterAutospacing="0" w:line="276" w:lineRule="auto"/>
              <w:ind w:firstLine="708"/>
              <w:jc w:val="both"/>
              <w:rPr>
                <w:rFonts w:ascii="Verdana" w:hAnsi="Verdana" w:cs="Arial"/>
                <w:bCs/>
                <w:color w:val="000000" w:themeColor="text1"/>
                <w:sz w:val="22"/>
                <w:szCs w:val="22"/>
                <w:lang w:eastAsia="es-ES_tradnl"/>
              </w:rPr>
            </w:pPr>
            <w:r w:rsidRPr="003D0447">
              <w:rPr>
                <w:rFonts w:ascii="Verdana" w:hAnsi="Verdana" w:cs="Arial"/>
                <w:bCs/>
                <w:color w:val="000000" w:themeColor="text1"/>
                <w:sz w:val="22"/>
                <w:szCs w:val="22"/>
                <w:lang w:eastAsia="es-ES_tradnl"/>
              </w:rPr>
              <w:t xml:space="preserve">Por otro lado, se concluye también que, los establecimientos públicos educativos territoriales, dada su calidad de entidades descentralizadas de los órdenes departamental, municipal o distrital, tienen vedada la celebración de convenios interadministrativos en los que se destinen recursos públicos, durante los cuatro (4) meses anteriores a elecciones.   </w:t>
            </w:r>
          </w:p>
          <w:p w14:paraId="798487AA" w14:textId="77777777" w:rsidR="00416E96" w:rsidRPr="00C71956" w:rsidRDefault="00416E96" w:rsidP="003D0447">
            <w:pPr>
              <w:pStyle w:val="Prrafodelista"/>
              <w:spacing w:after="120" w:line="276" w:lineRule="auto"/>
              <w:ind w:left="0" w:firstLine="709"/>
              <w:contextualSpacing w:val="0"/>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3D0447">
              <w:rPr>
                <w:rFonts w:ascii="Verdana" w:hAnsi="Verdana"/>
              </w:rPr>
              <w:t xml:space="preserve"> </w:t>
            </w:r>
          </w:p>
          <w:p w14:paraId="6C55906C" w14:textId="5EC7569E" w:rsidR="00416E96" w:rsidRPr="00831CDD" w:rsidRDefault="00416E96" w:rsidP="003D0447">
            <w:pPr>
              <w:widowControl w:val="0"/>
              <w:spacing w:after="120" w:line="276" w:lineRule="auto"/>
              <w:ind w:firstLine="709"/>
              <w:jc w:val="both"/>
              <w:rPr>
                <w:rFonts w:ascii="Verdana" w:hAnsi="Verdana" w:cs="Arial"/>
                <w:bCs/>
                <w:color w:val="000000" w:themeColor="text1"/>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08CBF709" w14:textId="77777777" w:rsidR="00416E96" w:rsidRDefault="00416E96" w:rsidP="00416E96">
      <w:pPr>
        <w:tabs>
          <w:tab w:val="left" w:pos="142"/>
          <w:tab w:val="left" w:pos="284"/>
        </w:tabs>
        <w:spacing w:after="0" w:line="276" w:lineRule="auto"/>
        <w:jc w:val="both"/>
        <w:rPr>
          <w:rFonts w:ascii="Verdana" w:eastAsia="Century Gothic" w:hAnsi="Verdana" w:cs="Century Gothic"/>
          <w:b/>
          <w:bCs/>
          <w:lang w:val="es-ES"/>
        </w:rPr>
      </w:pPr>
    </w:p>
    <w:p w14:paraId="13D0C161" w14:textId="77777777" w:rsidR="00416E96" w:rsidRDefault="00416E96" w:rsidP="00416E9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A97670D" w14:textId="77777777" w:rsidR="00416E96" w:rsidRDefault="00416E96" w:rsidP="003D0447">
      <w:pPr>
        <w:spacing w:after="0" w:line="276" w:lineRule="auto"/>
        <w:jc w:val="both"/>
        <w:rPr>
          <w:rFonts w:ascii="Verdana" w:eastAsia="Calibri" w:hAnsi="Verdana" w:cs="Arial"/>
          <w:bCs/>
          <w:lang w:val="es-ES_tradnl"/>
        </w:rPr>
      </w:pPr>
    </w:p>
    <w:p w14:paraId="2D593C22" w14:textId="39E121CE" w:rsidR="00416E96" w:rsidRPr="00F10E52" w:rsidRDefault="00416E96" w:rsidP="003D0447">
      <w:pPr>
        <w:tabs>
          <w:tab w:val="left" w:pos="426"/>
        </w:tabs>
        <w:spacing w:after="120" w:line="276" w:lineRule="auto"/>
        <w:jc w:val="both"/>
        <w:rPr>
          <w:rFonts w:ascii="Verdana" w:eastAsia="Times New Roman" w:hAnsi="Verdana" w:cs="Arial"/>
          <w:bCs/>
          <w:lang w:eastAsia="es-CO"/>
        </w:rPr>
      </w:pPr>
      <w:r w:rsidRPr="00F10E52">
        <w:rPr>
          <w:rFonts w:ascii="Verdana" w:eastAsia="Calibri" w:hAnsi="Verdana" w:cs="Arial"/>
          <w:bCs/>
        </w:rPr>
        <w:t>El ordenamiento jurídico colombiano contempla previsiones claras para evitar la obtención de beneficios personales en asuntos propios de la administración pública</w:t>
      </w:r>
      <w:r w:rsidRPr="00F10E52">
        <w:rPr>
          <w:rFonts w:ascii="Verdana" w:eastAsia="Calibri" w:hAnsi="Verdana" w:cs="Arial"/>
          <w:bCs/>
          <w:i/>
          <w:iCs/>
        </w:rPr>
        <w:t xml:space="preserve">. </w:t>
      </w:r>
      <w:r w:rsidRPr="00F10E52">
        <w:rPr>
          <w:rFonts w:ascii="Verdana" w:eastAsia="Calibri" w:hAnsi="Verdana" w:cs="Arial"/>
          <w:bCs/>
        </w:rPr>
        <w:t>Por ejemplo, el artículo 127 de la Constitución Política establece una prohibición contractual a los servidores públicos y</w:t>
      </w:r>
      <w:r w:rsidR="009B3403">
        <w:rPr>
          <w:rFonts w:ascii="Verdana" w:eastAsia="Calibri" w:hAnsi="Verdana" w:cs="Arial"/>
          <w:bCs/>
        </w:rPr>
        <w:t>,</w:t>
      </w:r>
      <w:r w:rsidRPr="00F10E52">
        <w:rPr>
          <w:rFonts w:ascii="Verdana" w:eastAsia="Calibri" w:hAnsi="Verdana" w:cs="Arial"/>
          <w:bCs/>
        </w:rPr>
        <w:t xml:space="preserve"> en cuanto</w:t>
      </w:r>
      <w:r w:rsidR="00B11A80">
        <w:rPr>
          <w:rFonts w:ascii="Verdana" w:eastAsia="Calibri" w:hAnsi="Verdana" w:cs="Arial"/>
          <w:bCs/>
        </w:rPr>
        <w:t>,</w:t>
      </w:r>
      <w:r w:rsidRPr="00F10E52">
        <w:rPr>
          <w:rFonts w:ascii="Verdana" w:eastAsia="Calibri" w:hAnsi="Verdana" w:cs="Arial"/>
          <w:bCs/>
        </w:rPr>
        <w:t xml:space="preserve"> a aspectos políticos establece restricciones a ciertos empleados del Estado, incluso en época no electoral</w:t>
      </w:r>
      <w:r w:rsidRPr="00F10E52">
        <w:rPr>
          <w:rStyle w:val="Refdenotaalpie"/>
          <w:rFonts w:ascii="Verdana" w:eastAsia="Calibri" w:hAnsi="Verdana" w:cs="Arial"/>
          <w:bCs/>
        </w:rPr>
        <w:footnoteReference w:id="1"/>
      </w:r>
      <w:r w:rsidRPr="00F10E52">
        <w:rPr>
          <w:rFonts w:ascii="Verdana" w:eastAsia="Calibri" w:hAnsi="Verdana" w:cs="Arial"/>
          <w:bCs/>
        </w:rPr>
        <w:t xml:space="preserve">. </w:t>
      </w:r>
    </w:p>
    <w:p w14:paraId="7C038310" w14:textId="77777777" w:rsidR="00143D05" w:rsidRDefault="00416E96" w:rsidP="003D0447">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10E52">
        <w:rPr>
          <w:rStyle w:val="Refdenotaalpie"/>
          <w:rFonts w:ascii="Verdana" w:eastAsia="Times New Roman" w:hAnsi="Verdana" w:cs="Arial"/>
          <w:bCs/>
          <w:lang w:eastAsia="es-CO"/>
        </w:rPr>
        <w:footnoteReference w:id="2"/>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5364B918" w14:textId="1ABDBCDF" w:rsidR="00416E96" w:rsidRPr="00F10E52" w:rsidRDefault="00416E96" w:rsidP="003D0447">
      <w:pPr>
        <w:tabs>
          <w:tab w:val="left" w:pos="426"/>
        </w:tabs>
        <w:spacing w:before="120"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55FFC566" w14:textId="77777777" w:rsidR="00143D05" w:rsidRDefault="00143D05" w:rsidP="00143D05">
      <w:pPr>
        <w:spacing w:after="0" w:line="276" w:lineRule="auto"/>
        <w:ind w:left="709" w:right="709"/>
        <w:jc w:val="both"/>
        <w:rPr>
          <w:rFonts w:ascii="Verdana" w:eastAsia="Times New Roman" w:hAnsi="Verdana" w:cs="Arial"/>
          <w:lang w:val="es-ES" w:eastAsia="es-CO"/>
        </w:rPr>
      </w:pPr>
    </w:p>
    <w:p w14:paraId="5A1DB844" w14:textId="19B63474" w:rsidR="00416E96" w:rsidRPr="003D0447" w:rsidRDefault="00EB140E" w:rsidP="003D0447">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w:t>
      </w:r>
      <w:r w:rsidR="00416E96" w:rsidRPr="003D0447">
        <w:rPr>
          <w:rFonts w:ascii="Verdana" w:eastAsia="Times New Roman" w:hAnsi="Verdana" w:cs="Arial"/>
          <w:sz w:val="20"/>
          <w:szCs w:val="20"/>
          <w:lang w:val="es-ES" w:eastAsia="es-CO"/>
        </w:rPr>
        <w:t xml:space="preserve">[…] </w:t>
      </w:r>
    </w:p>
    <w:p w14:paraId="4132EDC8" w14:textId="77777777" w:rsidR="00416E96" w:rsidRPr="009B20C5" w:rsidRDefault="00416E96" w:rsidP="00143D05">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70D26367" w14:textId="77777777" w:rsidR="00EB140E" w:rsidRPr="00143D05" w:rsidRDefault="00EB140E" w:rsidP="003D0447">
      <w:pPr>
        <w:spacing w:after="0" w:line="240" w:lineRule="auto"/>
        <w:ind w:left="709" w:right="709"/>
        <w:jc w:val="both"/>
        <w:rPr>
          <w:rFonts w:ascii="Verdana" w:eastAsia="Times New Roman" w:hAnsi="Verdana" w:cs="Arial"/>
          <w:bCs/>
          <w:sz w:val="20"/>
          <w:szCs w:val="20"/>
          <w:lang w:eastAsia="es-CO"/>
        </w:rPr>
      </w:pPr>
    </w:p>
    <w:p w14:paraId="59D8ECC5" w14:textId="7546EC78" w:rsidR="00416E96" w:rsidRPr="003D0447" w:rsidRDefault="00416E96" w:rsidP="003D0447">
      <w:pPr>
        <w:spacing w:after="0" w:line="240" w:lineRule="auto"/>
        <w:ind w:left="709" w:right="709"/>
        <w:jc w:val="both"/>
        <w:rPr>
          <w:rFonts w:ascii="Verdana" w:eastAsia="Times New Roman" w:hAnsi="Verdana" w:cs="Arial"/>
          <w:sz w:val="20"/>
          <w:szCs w:val="20"/>
          <w:lang w:eastAsia="es-CO"/>
        </w:rPr>
      </w:pPr>
      <w:r w:rsidRPr="009B20C5">
        <w:rPr>
          <w:rFonts w:ascii="Verdana" w:eastAsia="Times New Roman" w:hAnsi="Verdana" w:cs="Arial"/>
          <w:bCs/>
          <w:sz w:val="20"/>
          <w:szCs w:val="20"/>
          <w:lang w:eastAsia="es-CO"/>
        </w:rPr>
        <w:t xml:space="preserve">Una ley de garantías electorales es una guía para el ejercicio equitativo y transparente de la democracia representativa. Un estatuto diseñado para </w:t>
      </w:r>
      <w:r w:rsidRPr="009B20C5">
        <w:rPr>
          <w:rFonts w:ascii="Verdana" w:eastAsia="Times New Roman" w:hAnsi="Verdana" w:cs="Arial"/>
          <w:bCs/>
          <w:sz w:val="20"/>
          <w:szCs w:val="20"/>
          <w:lang w:eastAsia="es-CO"/>
        </w:rPr>
        <w:lastRenderedPageBreak/>
        <w:t>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9B20C5">
        <w:rPr>
          <w:rStyle w:val="Refdenotaalpie"/>
          <w:rFonts w:ascii="Verdana" w:hAnsi="Verdana" w:cs="Arial"/>
          <w:sz w:val="20"/>
          <w:szCs w:val="20"/>
        </w:rPr>
        <w:footnoteReference w:id="3"/>
      </w:r>
      <w:r>
        <w:rPr>
          <w:rFonts w:ascii="Verdana" w:eastAsia="Times New Roman" w:hAnsi="Verdana" w:cs="Arial"/>
          <w:bCs/>
          <w:sz w:val="20"/>
          <w:szCs w:val="20"/>
          <w:lang w:eastAsia="es-CO"/>
        </w:rPr>
        <w:t xml:space="preserve"> </w:t>
      </w:r>
      <w:r w:rsidRPr="003D0447">
        <w:rPr>
          <w:rFonts w:ascii="Verdana" w:eastAsia="Times New Roman" w:hAnsi="Verdana" w:cs="Arial"/>
          <w:bCs/>
          <w:sz w:val="20"/>
          <w:szCs w:val="20"/>
          <w:lang w:eastAsia="es-CO"/>
        </w:rPr>
        <w:t>[…]</w:t>
      </w:r>
      <w:r w:rsidR="00EB140E">
        <w:rPr>
          <w:rFonts w:ascii="Verdana" w:eastAsia="Times New Roman" w:hAnsi="Verdana" w:cs="Arial"/>
          <w:bCs/>
          <w:sz w:val="20"/>
          <w:szCs w:val="20"/>
          <w:lang w:eastAsia="es-CO"/>
        </w:rPr>
        <w:t>”</w:t>
      </w:r>
      <w:r w:rsidRPr="003D0447">
        <w:rPr>
          <w:rFonts w:ascii="Verdana" w:eastAsia="Times New Roman" w:hAnsi="Verdana" w:cs="Arial"/>
          <w:bCs/>
          <w:sz w:val="20"/>
          <w:szCs w:val="20"/>
          <w:lang w:eastAsia="es-CO"/>
        </w:rPr>
        <w:t xml:space="preserve"> </w:t>
      </w:r>
    </w:p>
    <w:p w14:paraId="15BC4BE5" w14:textId="77777777" w:rsidR="00143D05" w:rsidRDefault="00143D05" w:rsidP="003D0447">
      <w:pPr>
        <w:spacing w:after="0" w:line="276" w:lineRule="auto"/>
        <w:ind w:firstLine="709"/>
        <w:jc w:val="both"/>
        <w:rPr>
          <w:rFonts w:ascii="Verdana" w:eastAsia="Times New Roman" w:hAnsi="Verdana" w:cs="Arial"/>
          <w:bCs/>
          <w:lang w:eastAsia="es-CO"/>
        </w:rPr>
      </w:pPr>
      <w:bookmarkStart w:id="4" w:name="_Hlk78818186"/>
    </w:p>
    <w:p w14:paraId="0845510C" w14:textId="77777777" w:rsidR="00F558C7" w:rsidRDefault="00416E96" w:rsidP="003D0447">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4"/>
      <w:r w:rsidRPr="00F10E52">
        <w:rPr>
          <w:rFonts w:ascii="Verdana" w:eastAsia="Times New Roman" w:hAnsi="Verdana" w:cs="Arial"/>
          <w:bCs/>
          <w:lang w:eastAsia="es-CO"/>
        </w:rPr>
        <w:t xml:space="preserve">Por ello, varias de las disposiciones de la Ley 996 de 2005, al contener normas prohibitivas, no admiten una interpretación amplia, sino que deben interpretarse restrictivamente. </w:t>
      </w:r>
    </w:p>
    <w:p w14:paraId="7200169B" w14:textId="200C05C0" w:rsidR="00416E96" w:rsidRPr="00F10E52" w:rsidRDefault="00416E96" w:rsidP="0035554B">
      <w:pPr>
        <w:spacing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efecto, la Sala de Consulta y Servicio Civil del Consejo de Estado al analizar la referida ley, precisó lo siguiente:</w:t>
      </w:r>
    </w:p>
    <w:p w14:paraId="7CD76828" w14:textId="77777777" w:rsidR="0035554B" w:rsidRPr="00F10E52" w:rsidRDefault="0035554B" w:rsidP="003D0447">
      <w:pPr>
        <w:spacing w:after="0" w:line="276" w:lineRule="auto"/>
        <w:ind w:firstLine="709"/>
        <w:jc w:val="both"/>
        <w:rPr>
          <w:rFonts w:ascii="Verdana" w:eastAsia="Times New Roman" w:hAnsi="Verdana" w:cs="Arial"/>
          <w:bCs/>
          <w:lang w:eastAsia="es-CO"/>
        </w:rPr>
      </w:pPr>
    </w:p>
    <w:p w14:paraId="08703EBC" w14:textId="77777777" w:rsidR="00416E96" w:rsidRPr="009B20C5" w:rsidRDefault="00416E96" w:rsidP="00F558C7">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B20C5">
        <w:rPr>
          <w:rFonts w:ascii="Verdana" w:eastAsia="Times New Roman" w:hAnsi="Verdana" w:cs="Arial"/>
          <w:bCs/>
          <w:sz w:val="20"/>
          <w:szCs w:val="20"/>
          <w:lang w:eastAsia="es-CO"/>
        </w:rPr>
        <w:t>legis</w:t>
      </w:r>
      <w:proofErr w:type="spellEnd"/>
      <w:r w:rsidRPr="009B20C5">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6108C12" w14:textId="77777777" w:rsidR="00F558C7" w:rsidRPr="009B20C5" w:rsidRDefault="00F558C7" w:rsidP="003D0447">
      <w:pPr>
        <w:spacing w:after="0" w:line="240" w:lineRule="auto"/>
        <w:ind w:left="709" w:right="709"/>
        <w:jc w:val="both"/>
        <w:rPr>
          <w:rFonts w:ascii="Verdana" w:eastAsia="Times New Roman" w:hAnsi="Verdana" w:cs="Arial"/>
          <w:bCs/>
          <w:sz w:val="20"/>
          <w:szCs w:val="20"/>
          <w:lang w:eastAsia="es-CO"/>
        </w:rPr>
      </w:pPr>
    </w:p>
    <w:p w14:paraId="552360AD" w14:textId="77777777" w:rsidR="00416E96" w:rsidRPr="009B20C5" w:rsidRDefault="00416E96" w:rsidP="00F558C7">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jurisprudencia de la Corte Constitucional</w:t>
      </w:r>
      <w:r w:rsidRPr="009B20C5">
        <w:rPr>
          <w:rStyle w:val="Refdenotaalpie"/>
          <w:rFonts w:ascii="Verdana" w:eastAsia="Times New Roman" w:hAnsi="Verdana" w:cs="Arial"/>
          <w:bCs/>
          <w:sz w:val="20"/>
          <w:szCs w:val="20"/>
          <w:lang w:eastAsia="es-CO"/>
        </w:rPr>
        <w:footnoteReference w:id="4"/>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5"/>
      </w:r>
      <w:r w:rsidRPr="009B20C5">
        <w:rPr>
          <w:rFonts w:ascii="Verdana" w:eastAsia="Times New Roman" w:hAnsi="Verdana" w:cs="Arial"/>
          <w:bCs/>
          <w:sz w:val="20"/>
          <w:szCs w:val="20"/>
          <w:lang w:eastAsia="es-CO"/>
        </w:rPr>
        <w:t xml:space="preserve">, coinciden en que las normas que establecen prohibiciones deben estar de manera explícita en la Constitución o en la ley y no podrán ser excesivas </w:t>
      </w:r>
      <w:r w:rsidRPr="009B20C5">
        <w:rPr>
          <w:rFonts w:ascii="Verdana" w:eastAsia="Times New Roman" w:hAnsi="Verdana" w:cs="Arial"/>
          <w:bCs/>
          <w:sz w:val="20"/>
          <w:szCs w:val="20"/>
          <w:lang w:eastAsia="es-CO"/>
        </w:rPr>
        <w:lastRenderedPageBreak/>
        <w:t>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9B20C5">
        <w:rPr>
          <w:rStyle w:val="Refdenotaalpie"/>
          <w:rFonts w:ascii="Verdana" w:eastAsia="Times New Roman" w:hAnsi="Verdana" w:cs="Arial"/>
          <w:bCs/>
          <w:sz w:val="20"/>
          <w:szCs w:val="20"/>
          <w:lang w:eastAsia="es-CO"/>
        </w:rPr>
        <w:footnoteReference w:id="6"/>
      </w:r>
      <w:r w:rsidRPr="009B20C5">
        <w:rPr>
          <w:rFonts w:ascii="Verdana" w:eastAsia="Times New Roman" w:hAnsi="Verdana" w:cs="Arial"/>
          <w:bCs/>
          <w:sz w:val="20"/>
          <w:szCs w:val="20"/>
          <w:lang w:eastAsia="es-CO"/>
        </w:rPr>
        <w:t>.</w:t>
      </w:r>
    </w:p>
    <w:p w14:paraId="7D35E363" w14:textId="77777777" w:rsidR="00F558C7" w:rsidRPr="009B20C5" w:rsidRDefault="00F558C7" w:rsidP="003D0447">
      <w:pPr>
        <w:spacing w:after="0" w:line="240" w:lineRule="auto"/>
        <w:ind w:left="709" w:right="709"/>
        <w:jc w:val="both"/>
        <w:rPr>
          <w:rFonts w:ascii="Verdana" w:eastAsia="Times New Roman" w:hAnsi="Verdana" w:cs="Arial"/>
          <w:bCs/>
          <w:sz w:val="20"/>
          <w:szCs w:val="20"/>
          <w:lang w:eastAsia="es-CO"/>
        </w:rPr>
      </w:pPr>
    </w:p>
    <w:p w14:paraId="4940B765" w14:textId="77777777" w:rsidR="00416E96" w:rsidRPr="00F10E52" w:rsidRDefault="00416E96" w:rsidP="003D0447">
      <w:pPr>
        <w:spacing w:after="120" w:line="276" w:lineRule="auto"/>
        <w:jc w:val="both"/>
        <w:rPr>
          <w:rFonts w:ascii="Verdana" w:eastAsia="Arial" w:hAnsi="Verdana" w:cs="Arial"/>
          <w:lang w:val="es-ES" w:eastAsia="es-ES" w:bidi="es-ES"/>
        </w:rPr>
      </w:pPr>
      <w:r w:rsidRPr="00F10E52">
        <w:rPr>
          <w:rFonts w:ascii="Verdana" w:eastAsia="Times New Roman" w:hAnsi="Verdana" w:cs="Arial"/>
          <w:bCs/>
          <w:lang w:eastAsia="es-CO"/>
        </w:rPr>
        <w:tab/>
        <w:t>De</w:t>
      </w:r>
      <w:r w:rsidRPr="00F10E52">
        <w:rPr>
          <w:rFonts w:ascii="Verdana" w:eastAsia="Arial" w:hAnsi="Verdana" w:cs="Arial"/>
          <w:lang w:val="es-ES" w:eastAsia="es-ES" w:bidi="es-ES"/>
        </w:rPr>
        <w:t xml:space="preserve"> conformidad con lo anterior, </w:t>
      </w:r>
      <w:bookmarkStart w:id="5" w:name="_Hlk77236098"/>
      <w:r w:rsidRPr="00F10E52">
        <w:rPr>
          <w:rFonts w:ascii="Verdana" w:eastAsia="Arial" w:hAnsi="Verdana"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5"/>
    </w:p>
    <w:p w14:paraId="52C882C5" w14:textId="6A1124E3" w:rsidR="00416E96" w:rsidRPr="00F10E52" w:rsidRDefault="00416E96" w:rsidP="003D0447">
      <w:pPr>
        <w:spacing w:after="120" w:line="276" w:lineRule="auto"/>
        <w:ind w:firstLine="708"/>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sidRPr="00F10E52">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 xml:space="preserve">lo referente a la defensa y seguridad del Estado, los contratos de crédito público, los requeridos para cubrir las </w:t>
      </w:r>
      <w:r w:rsidRPr="003D0447">
        <w:rPr>
          <w:rFonts w:ascii="Verdana" w:eastAsia="Calibri" w:hAnsi="Verdana" w:cs="Arial"/>
          <w:i/>
        </w:rPr>
        <w:t>emergencias educativas</w:t>
      </w:r>
      <w:r w:rsidRPr="00F10E52">
        <w:rPr>
          <w:rFonts w:ascii="Verdana" w:eastAsia="Calibri" w:hAnsi="Verdana" w:cs="Arial"/>
        </w:rPr>
        <w:t>,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rPr>
        <w:t>.</w:t>
      </w:r>
    </w:p>
    <w:p w14:paraId="76AA1C89" w14:textId="28C4EA8E" w:rsidR="00CD2933" w:rsidRDefault="00416E96" w:rsidP="003D0447">
      <w:pPr>
        <w:widowControl w:val="0"/>
        <w:autoSpaceDE w:val="0"/>
        <w:autoSpaceDN w:val="0"/>
        <w:spacing w:after="120" w:line="276" w:lineRule="auto"/>
        <w:ind w:firstLine="708"/>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 xml:space="preserve">celebrar convenios interadministrativos para la ejecución de recursos públicos, ni participar, promover y destinar recursos públicos de las entidades a su cargo, como tampoco de las que participen como </w:t>
      </w:r>
      <w:r w:rsidRPr="00F10E52">
        <w:rPr>
          <w:rFonts w:ascii="Verdana" w:eastAsia="Calibri" w:hAnsi="Verdana" w:cs="Arial"/>
        </w:rPr>
        <w:lastRenderedPageBreak/>
        <w:t>miembros de sus juntas directivas, en o para reuniones de carácter proselitista</w:t>
      </w:r>
      <w:r>
        <w:rPr>
          <w:rFonts w:ascii="Verdana" w:eastAsia="Calibri" w:hAnsi="Verdana" w:cs="Arial"/>
          <w:bCs/>
        </w:rPr>
        <w:t>”</w:t>
      </w:r>
      <w:r w:rsidRPr="00F10E52">
        <w:rPr>
          <w:rFonts w:ascii="Verdana" w:eastAsia="Calibri" w:hAnsi="Verdana" w:cs="Arial"/>
        </w:rPr>
        <w:t>.</w:t>
      </w:r>
      <w:r w:rsidRPr="00F10E52">
        <w:rPr>
          <w:rFonts w:ascii="Verdana" w:eastAsia="Arial" w:hAnsi="Verdana" w:cs="Arial"/>
          <w:lang w:val="es-ES" w:eastAsia="es-ES" w:bidi="es-ES"/>
        </w:rPr>
        <w:t xml:space="preserve"> </w:t>
      </w:r>
    </w:p>
    <w:p w14:paraId="714D9AAD" w14:textId="3E5FA783" w:rsidR="00416E96" w:rsidRPr="00F10E52" w:rsidRDefault="00416E96" w:rsidP="003D0447">
      <w:pPr>
        <w:widowControl w:val="0"/>
        <w:autoSpaceDE w:val="0"/>
        <w:autoSpaceDN w:val="0"/>
        <w:spacing w:before="120" w:after="0" w:line="276" w:lineRule="auto"/>
        <w:ind w:firstLine="708"/>
        <w:jc w:val="both"/>
        <w:rPr>
          <w:rFonts w:ascii="Verdana" w:eastAsia="Arial" w:hAnsi="Verdana" w:cs="Arial"/>
          <w:lang w:val="es-ES" w:eastAsia="es-ES" w:bidi="es-ES"/>
        </w:rPr>
      </w:pPr>
      <w:r w:rsidRPr="00F10E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674EE989" w14:textId="77777777" w:rsidR="00CD2933" w:rsidRPr="003D0447" w:rsidRDefault="00CD2933" w:rsidP="003D0447">
      <w:pPr>
        <w:widowControl w:val="0"/>
        <w:autoSpaceDE w:val="0"/>
        <w:autoSpaceDN w:val="0"/>
        <w:spacing w:after="0" w:line="276" w:lineRule="auto"/>
        <w:ind w:left="709" w:right="709"/>
        <w:jc w:val="both"/>
        <w:rPr>
          <w:rFonts w:ascii="Verdana" w:eastAsia="Arial" w:hAnsi="Verdana" w:cs="Arial"/>
          <w:lang w:val="es-ES" w:eastAsia="es-ES" w:bidi="es-ES"/>
        </w:rPr>
      </w:pPr>
    </w:p>
    <w:p w14:paraId="4933DA41" w14:textId="1DDB7C18" w:rsidR="00416E96" w:rsidRPr="009B20C5" w:rsidRDefault="00CD2933" w:rsidP="003D0447">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48E0C270">
        <w:rPr>
          <w:rFonts w:ascii="Verdana" w:eastAsia="Arial" w:hAnsi="Verdana" w:cs="Arial"/>
          <w:sz w:val="20"/>
          <w:szCs w:val="20"/>
          <w:lang w:eastAsia="es-ES" w:bidi="es-ES"/>
        </w:rPr>
        <w:t>“</w:t>
      </w:r>
      <w:r w:rsidR="00416E96" w:rsidRPr="48E0C270">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6" w:name="_Hlk76109421"/>
      <w:r w:rsidR="00416E96" w:rsidRPr="48E0C270">
        <w:rPr>
          <w:rFonts w:ascii="Verdana" w:eastAsia="Arial" w:hAnsi="Verdana" w:cs="Arial"/>
          <w:sz w:val="20"/>
          <w:szCs w:val="20"/>
          <w:lang w:eastAsia="es-ES" w:bidi="es-ES"/>
        </w:rPr>
        <w:t>se integran parcialmente</w:t>
      </w:r>
      <w:bookmarkEnd w:id="6"/>
      <w:r w:rsidR="00416E96" w:rsidRPr="48E0C270">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00416E96" w:rsidRPr="48E0C270">
        <w:rPr>
          <w:rFonts w:ascii="Verdana" w:eastAsia="Arial" w:hAnsi="Verdana" w:cs="Arial"/>
          <w:sz w:val="20"/>
          <w:szCs w:val="20"/>
          <w:lang w:eastAsia="es-ES" w:bidi="es-ES"/>
        </w:rPr>
        <w:t>Presidente</w:t>
      </w:r>
      <w:proofErr w:type="gramEnd"/>
      <w:r w:rsidR="00416E96" w:rsidRPr="48E0C270">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000A6658" w:rsidRPr="48E0C270">
        <w:rPr>
          <w:rFonts w:ascii="Verdana" w:eastAsia="Arial" w:hAnsi="Verdana" w:cs="Arial"/>
          <w:sz w:val="20"/>
          <w:szCs w:val="20"/>
          <w:lang w:eastAsia="es-ES" w:bidi="es-ES"/>
        </w:rPr>
        <w:t>”</w:t>
      </w:r>
      <w:r w:rsidR="00416E96" w:rsidRPr="48E0C270">
        <w:rPr>
          <w:rFonts w:ascii="Verdana" w:eastAsia="Arial" w:hAnsi="Verdana" w:cs="Arial"/>
          <w:sz w:val="20"/>
          <w:szCs w:val="20"/>
          <w:lang w:eastAsia="es-ES" w:bidi="es-ES"/>
        </w:rPr>
        <w:t>.</w:t>
      </w:r>
      <w:r w:rsidR="00416E96" w:rsidRPr="48E0C270">
        <w:rPr>
          <w:rFonts w:ascii="Verdana" w:eastAsia="Arial" w:hAnsi="Verdana" w:cs="Arial"/>
          <w:sz w:val="20"/>
          <w:szCs w:val="20"/>
          <w:vertAlign w:val="superscript"/>
          <w:lang w:eastAsia="es-ES" w:bidi="es-ES"/>
        </w:rPr>
        <w:footnoteReference w:id="7"/>
      </w:r>
    </w:p>
    <w:p w14:paraId="6548CFBF" w14:textId="77777777" w:rsidR="00416E96" w:rsidRDefault="00416E96" w:rsidP="003D0447">
      <w:pPr>
        <w:spacing w:after="0" w:line="276" w:lineRule="auto"/>
        <w:ind w:firstLine="709"/>
        <w:jc w:val="both"/>
        <w:rPr>
          <w:rFonts w:ascii="Verdana" w:eastAsia="Arial" w:hAnsi="Verdana" w:cs="Arial"/>
          <w:lang w:val="es-ES" w:eastAsia="es-ES" w:bidi="es-ES"/>
        </w:rPr>
      </w:pPr>
    </w:p>
    <w:p w14:paraId="3556ADF3" w14:textId="77777777" w:rsidR="00416E96" w:rsidRPr="00F10E52" w:rsidRDefault="00416E96" w:rsidP="003D0447">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7" w:name="_Hlk99438241"/>
      <w:r w:rsidRPr="00F10E52">
        <w:rPr>
          <w:rFonts w:ascii="Verdana" w:eastAsia="Arial" w:hAnsi="Verdana" w:cs="Arial"/>
          <w:lang w:val="es-ES" w:eastAsia="es-ES" w:bidi="es-ES"/>
        </w:rPr>
        <w:t xml:space="preserve">, </w:t>
      </w:r>
      <w:bookmarkStart w:id="8" w:name="_Hlk77236420"/>
      <w:bookmarkStart w:id="9" w:name="_Hlk78818435"/>
      <w:bookmarkStart w:id="10"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xml:space="preserve">, también se encuentra la prohibición del parágrafo del artículo 38, el cual debe aplicarse respecto de cualquier tipo de contienda electoral, y que prohíbe la celebración de convenios </w:t>
      </w:r>
      <w:r w:rsidRPr="00F10E52">
        <w:rPr>
          <w:rFonts w:ascii="Verdana" w:eastAsia="Arial" w:hAnsi="Verdana" w:cs="Arial"/>
          <w:lang w:val="es-ES" w:eastAsia="es-ES" w:bidi="es-ES"/>
        </w:rPr>
        <w:lastRenderedPageBreak/>
        <w:t>interadministrativos que impliquen la ejecución de recursos públicos dentro de los cuatro (4) meses anteriores a la respectiva jornada de votaciones.</w:t>
      </w:r>
      <w:bookmarkEnd w:id="8"/>
    </w:p>
    <w:bookmarkEnd w:id="7"/>
    <w:bookmarkEnd w:id="9"/>
    <w:p w14:paraId="595C1BC4" w14:textId="77777777" w:rsidR="00416E96" w:rsidRPr="00F10E52" w:rsidRDefault="00416E96" w:rsidP="003D0447">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0"/>
    <w:p w14:paraId="3DA21BE6" w14:textId="77777777" w:rsidR="00416E96" w:rsidRPr="00F10E52" w:rsidRDefault="00416E96" w:rsidP="003D0447">
      <w:pPr>
        <w:spacing w:after="120" w:line="276" w:lineRule="auto"/>
        <w:ind w:firstLine="708"/>
        <w:jc w:val="both"/>
        <w:rPr>
          <w:rFonts w:ascii="Verdana" w:eastAsia="Arial" w:hAnsi="Verdana" w:cs="Arial"/>
          <w:lang w:val="es-ES" w:eastAsia="es-ES" w:bidi="es-ES"/>
        </w:rPr>
      </w:pPr>
      <w:r w:rsidRPr="00F10E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o el </w:t>
      </w:r>
      <w:proofErr w:type="gramStart"/>
      <w:r w:rsidRPr="00F10E52">
        <w:rPr>
          <w:rFonts w:ascii="Verdana" w:eastAsia="Arial" w:hAnsi="Verdana" w:cs="Arial"/>
          <w:lang w:val="es-ES" w:eastAsia="es-ES" w:bidi="es-ES"/>
        </w:rPr>
        <w:t>Vicepresidente</w:t>
      </w:r>
      <w:proofErr w:type="gramEnd"/>
      <w:r w:rsidRPr="00F10E52">
        <w:rPr>
          <w:rFonts w:ascii="Verdana" w:eastAsia="Arial" w:hAnsi="Verdana" w:cs="Arial"/>
          <w:lang w:val="es-ES" w:eastAsia="es-ES" w:bidi="es-ES"/>
        </w:rPr>
        <w:t xml:space="preserv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588C5226" w14:textId="5210F561" w:rsidR="00740A0C" w:rsidRPr="003D0447" w:rsidRDefault="00740A0C" w:rsidP="003D0447">
      <w:pPr>
        <w:spacing w:after="120" w:line="276" w:lineRule="auto"/>
        <w:ind w:firstLine="709"/>
        <w:jc w:val="both"/>
        <w:rPr>
          <w:rFonts w:ascii="Verdana" w:hAnsi="Verdana" w:cs="Arial"/>
          <w:b/>
          <w:color w:val="000000" w:themeColor="text1"/>
          <w:lang w:eastAsia="es-ES_tradnl"/>
        </w:rPr>
      </w:pPr>
      <w:r w:rsidRPr="003D0447">
        <w:rPr>
          <w:rFonts w:ascii="Verdana" w:hAnsi="Verdana" w:cs="Arial"/>
          <w:bCs/>
          <w:color w:val="000000"/>
          <w:lang w:val="es-ES" w:eastAsia="es-CO"/>
        </w:rPr>
        <w:t xml:space="preserve">Teniendo en cuenta la consulta planteada, </w:t>
      </w:r>
      <w:r w:rsidRPr="003D0447">
        <w:rPr>
          <w:rFonts w:ascii="Verdana" w:hAnsi="Verdana" w:cs="Arial"/>
          <w:bCs/>
          <w:color w:val="000000"/>
          <w:lang w:eastAsia="es-CO"/>
        </w:rPr>
        <w:t>es importante analizar las restricciones aplicables a cada una de estas elecciones, pues presentan importantes diferencias, como su fundamento jurídico. Con esa finalidad, en primer lugar, se analizarán las restricciones aplicables frente a las elecciones presidenciales, y, posteriormente, las referentes a los demás cargos de elección popular.</w:t>
      </w:r>
    </w:p>
    <w:p w14:paraId="0F151D66" w14:textId="7C4ED1BD" w:rsidR="00416E96" w:rsidRPr="00F10E52" w:rsidRDefault="008F3AC9" w:rsidP="003D0447">
      <w:pPr>
        <w:spacing w:before="120" w:after="0" w:line="276" w:lineRule="auto"/>
        <w:ind w:firstLine="708"/>
        <w:jc w:val="both"/>
        <w:rPr>
          <w:rFonts w:ascii="Verdana" w:eastAsia="Times New Roman" w:hAnsi="Verdana" w:cs="Arial"/>
          <w:bCs/>
          <w:lang w:eastAsia="es-CO"/>
        </w:rPr>
      </w:pPr>
      <w:r>
        <w:rPr>
          <w:rFonts w:ascii="Verdana" w:eastAsia="Times New Roman" w:hAnsi="Verdana" w:cs="Arial"/>
          <w:bCs/>
          <w:lang w:val="es-ES" w:eastAsia="es-CO"/>
        </w:rPr>
        <w:t>En primer lugar</w:t>
      </w:r>
      <w:r w:rsidR="00416E96">
        <w:rPr>
          <w:rFonts w:ascii="Verdana" w:eastAsia="Times New Roman" w:hAnsi="Verdana" w:cs="Arial"/>
          <w:bCs/>
          <w:lang w:val="es-ES" w:eastAsia="es-CO"/>
        </w:rPr>
        <w:t>, e</w:t>
      </w:r>
      <w:r w:rsidR="00416E96" w:rsidRPr="00F10E52">
        <w:rPr>
          <w:rFonts w:ascii="Verdana" w:eastAsia="Times New Roman" w:hAnsi="Verdana" w:cs="Arial"/>
          <w:bCs/>
          <w:lang w:eastAsia="x-none"/>
        </w:rPr>
        <w:t xml:space="preserve">l ámbito material de la prohibición contenida </w:t>
      </w:r>
      <w:bookmarkStart w:id="11" w:name="_Hlk75628761"/>
      <w:r w:rsidR="00416E96" w:rsidRPr="00F10E52">
        <w:rPr>
          <w:rFonts w:ascii="Verdana" w:eastAsia="Times New Roman" w:hAnsi="Verdana" w:cs="Arial"/>
          <w:bCs/>
          <w:lang w:eastAsia="x-none"/>
        </w:rPr>
        <w:t xml:space="preserve">en el artículo 33 de la </w:t>
      </w:r>
      <w:r w:rsidR="00F133F3">
        <w:rPr>
          <w:rFonts w:ascii="Verdana" w:eastAsia="Times New Roman" w:hAnsi="Verdana" w:cs="Arial"/>
          <w:bCs/>
          <w:lang w:eastAsia="x-none"/>
        </w:rPr>
        <w:t>L</w:t>
      </w:r>
      <w:r w:rsidR="00416E96" w:rsidRPr="00F10E52">
        <w:rPr>
          <w:rFonts w:ascii="Verdana" w:eastAsia="Times New Roman" w:hAnsi="Verdana" w:cs="Arial"/>
          <w:bCs/>
          <w:lang w:eastAsia="x-none"/>
        </w:rPr>
        <w:t xml:space="preserve">ey 996 de 2005 </w:t>
      </w:r>
      <w:bookmarkEnd w:id="11"/>
      <w:r w:rsidR="00416E96" w:rsidRPr="00F10E52">
        <w:rPr>
          <w:rFonts w:ascii="Verdana" w:eastAsia="Times New Roman" w:hAnsi="Verdana" w:cs="Arial"/>
          <w:bCs/>
          <w:lang w:eastAsia="x-none"/>
        </w:rPr>
        <w:t xml:space="preserve">está delimitado por la expresión </w:t>
      </w:r>
      <w:r w:rsidR="00416E96">
        <w:rPr>
          <w:rFonts w:ascii="Verdana" w:eastAsia="Calibri" w:hAnsi="Verdana" w:cs="Arial"/>
          <w:bCs/>
        </w:rPr>
        <w:t>“</w:t>
      </w:r>
      <w:r w:rsidR="00416E96" w:rsidRPr="00F10E52">
        <w:rPr>
          <w:rFonts w:ascii="Verdana" w:eastAsia="Times New Roman" w:hAnsi="Verdana" w:cs="Arial"/>
          <w:bCs/>
          <w:lang w:eastAsia="x-none"/>
        </w:rPr>
        <w:t>queda prohibida la contratación directa</w:t>
      </w:r>
      <w:r w:rsidR="00416E96">
        <w:rPr>
          <w:rFonts w:ascii="Verdana" w:hAnsi="Verdana" w:cs="Arial"/>
        </w:rPr>
        <w:t>”</w:t>
      </w:r>
      <w:r w:rsidR="00416E96" w:rsidRPr="00F10E52">
        <w:rPr>
          <w:rFonts w:ascii="Verdana" w:eastAsia="Times New Roman" w:hAnsi="Verdana" w:cs="Arial"/>
          <w:bCs/>
          <w:lang w:eastAsia="x-none"/>
        </w:rPr>
        <w:t>.</w:t>
      </w:r>
      <w:r w:rsidR="00416E96" w:rsidRPr="00F10E52">
        <w:rPr>
          <w:rFonts w:ascii="Verdana" w:eastAsia="Times New Roman" w:hAnsi="Verdana" w:cs="Arial"/>
          <w:lang w:eastAsia="es-CO"/>
        </w:rPr>
        <w:t xml:space="preserve"> A propósito de esta restricción de la Ley de Garantías Electorales, la Sala de Consulta y Servicio Civil del Consejo de Estado ha considerado que:</w:t>
      </w:r>
    </w:p>
    <w:p w14:paraId="38159989" w14:textId="77777777" w:rsidR="00416E96" w:rsidRPr="00F10E52" w:rsidRDefault="00416E96" w:rsidP="003D0447">
      <w:pPr>
        <w:spacing w:after="0" w:line="276" w:lineRule="auto"/>
        <w:ind w:left="708" w:right="709"/>
        <w:jc w:val="both"/>
        <w:rPr>
          <w:rFonts w:ascii="Verdana" w:hAnsi="Verdana" w:cs="Arial"/>
        </w:rPr>
      </w:pPr>
    </w:p>
    <w:p w14:paraId="2FB0018D" w14:textId="2CB96009" w:rsidR="00416E96" w:rsidRPr="009B20C5" w:rsidRDefault="00F133F3" w:rsidP="00F133F3">
      <w:pPr>
        <w:spacing w:after="0" w:line="240" w:lineRule="auto"/>
        <w:ind w:left="709" w:right="709"/>
        <w:jc w:val="both"/>
        <w:rPr>
          <w:rFonts w:ascii="Verdana" w:hAnsi="Verdana" w:cs="Arial"/>
          <w:sz w:val="20"/>
          <w:szCs w:val="20"/>
        </w:rPr>
      </w:pPr>
      <w:r>
        <w:rPr>
          <w:rFonts w:ascii="Verdana" w:hAnsi="Verdana" w:cs="Arial"/>
          <w:sz w:val="20"/>
          <w:szCs w:val="20"/>
        </w:rPr>
        <w:t>“</w:t>
      </w:r>
      <w:r w:rsidR="00416E96" w:rsidRPr="009B20C5">
        <w:rPr>
          <w:rFonts w:ascii="Verdana" w:hAnsi="Verdana" w:cs="Arial"/>
          <w:sz w:val="20"/>
          <w:szCs w:val="20"/>
        </w:rPr>
        <w:t xml:space="preserve">La contratación directa es un mecanismo de selección de carácter excepcional, en virtud del cual las entidades públicas pueden contratar </w:t>
      </w:r>
      <w:r w:rsidR="00416E96" w:rsidRPr="009B20C5">
        <w:rPr>
          <w:rFonts w:ascii="Verdana" w:hAnsi="Verdana" w:cs="Arial"/>
          <w:sz w:val="20"/>
          <w:szCs w:val="20"/>
        </w:rPr>
        <w:lastRenderedPageBreak/>
        <w:t>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00416E96" w:rsidRPr="009B20C5">
        <w:rPr>
          <w:rFonts w:ascii="Verdana" w:eastAsia="Times New Roman" w:hAnsi="Verdana" w:cs="Arial"/>
          <w:sz w:val="20"/>
          <w:szCs w:val="20"/>
          <w:vertAlign w:val="superscript"/>
          <w:lang w:eastAsia="es-CO"/>
        </w:rPr>
        <w:footnoteReference w:id="8"/>
      </w:r>
      <w:r w:rsidR="00416E96" w:rsidRPr="009B20C5">
        <w:rPr>
          <w:rFonts w:ascii="Verdana" w:hAnsi="Verdana" w:cs="Arial"/>
          <w:sz w:val="20"/>
          <w:szCs w:val="20"/>
        </w:rPr>
        <w:t>.</w:t>
      </w:r>
    </w:p>
    <w:p w14:paraId="5782FC7A" w14:textId="77777777" w:rsidR="00F133F3" w:rsidRPr="009B20C5" w:rsidRDefault="00F133F3" w:rsidP="003D0447">
      <w:pPr>
        <w:spacing w:after="0" w:line="240" w:lineRule="auto"/>
        <w:ind w:left="709" w:right="709"/>
        <w:jc w:val="both"/>
        <w:rPr>
          <w:rFonts w:ascii="Verdana" w:hAnsi="Verdana" w:cs="Arial"/>
          <w:sz w:val="20"/>
          <w:szCs w:val="20"/>
        </w:rPr>
      </w:pPr>
    </w:p>
    <w:p w14:paraId="0E383D77" w14:textId="76D135F8" w:rsidR="00416E96" w:rsidRPr="009B20C5" w:rsidRDefault="00416E96" w:rsidP="003D0447">
      <w:pPr>
        <w:spacing w:after="0" w:line="240" w:lineRule="auto"/>
        <w:ind w:left="709" w:right="709"/>
        <w:jc w:val="both"/>
        <w:rPr>
          <w:rFonts w:ascii="Verdana" w:hAnsi="Verdana" w:cs="Arial"/>
          <w:sz w:val="20"/>
          <w:szCs w:val="20"/>
        </w:rPr>
      </w:pPr>
      <w:r w:rsidRPr="009B20C5">
        <w:rPr>
          <w:rFonts w:ascii="Verdana" w:hAnsi="Verdana" w:cs="Arial"/>
          <w:sz w:val="20"/>
          <w:szCs w:val="20"/>
        </w:rPr>
        <w:t xml:space="preserve">Esta Sala ha entendido </w:t>
      </w:r>
      <w:proofErr w:type="gramStart"/>
      <w:r w:rsidRPr="009B20C5">
        <w:rPr>
          <w:rFonts w:ascii="Verdana" w:hAnsi="Verdana" w:cs="Arial"/>
          <w:sz w:val="20"/>
          <w:szCs w:val="20"/>
        </w:rPr>
        <w:t>que</w:t>
      </w:r>
      <w:proofErr w:type="gramEnd"/>
      <w:r w:rsidRPr="009B20C5">
        <w:rPr>
          <w:rFonts w:ascii="Verdana" w:hAnsi="Verdana" w:cs="Arial"/>
          <w:sz w:val="20"/>
          <w:szCs w:val="20"/>
        </w:rPr>
        <w:t xml:space="preserve"> para los efectos de la ley de garantías, y dada su finalidad, el enunciado ´contratación directa´ es sinónimo </w:t>
      </w:r>
      <w:bookmarkStart w:id="14" w:name="_Hlk75741738"/>
      <w:r w:rsidRPr="009B20C5">
        <w:rPr>
          <w:rFonts w:ascii="Verdana" w:hAnsi="Verdana" w:cs="Arial"/>
          <w:sz w:val="20"/>
          <w:szCs w:val="20"/>
        </w:rPr>
        <w:t xml:space="preserve">de cualquier sistema que no implique convocatoria pública y posibilidad de pluralidad de oferentes, </w:t>
      </w:r>
      <w:bookmarkEnd w:id="14"/>
      <w:r w:rsidRPr="009B20C5">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9B20C5">
        <w:rPr>
          <w:rFonts w:ascii="Verdana" w:eastAsia="Times New Roman" w:hAnsi="Verdana" w:cs="Arial"/>
          <w:sz w:val="20"/>
          <w:szCs w:val="20"/>
          <w:vertAlign w:val="superscript"/>
        </w:rPr>
        <w:footnoteReference w:id="9"/>
      </w:r>
      <w:r w:rsidRPr="009B20C5">
        <w:rPr>
          <w:rFonts w:ascii="Verdana" w:eastAsia="Times New Roman" w:hAnsi="Verdana" w:cs="Arial"/>
          <w:sz w:val="20"/>
          <w:szCs w:val="20"/>
          <w:vertAlign w:val="superscript"/>
        </w:rPr>
        <w:t>.</w:t>
      </w:r>
      <w:r w:rsidRPr="009B20C5">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F133F3">
        <w:rPr>
          <w:rFonts w:ascii="Verdana" w:hAnsi="Verdana" w:cs="Arial"/>
          <w:sz w:val="20"/>
          <w:szCs w:val="20"/>
        </w:rPr>
        <w:t>…</w:t>
      </w:r>
      <w:r w:rsidRPr="009B20C5">
        <w:rPr>
          <w:rFonts w:ascii="Verdana" w:hAnsi="Verdana" w:cs="Arial"/>
          <w:sz w:val="20"/>
          <w:szCs w:val="20"/>
        </w:rPr>
        <w:t>]</w:t>
      </w:r>
      <w:r w:rsidR="00F133F3">
        <w:rPr>
          <w:rFonts w:ascii="Verdana" w:hAnsi="Verdana" w:cs="Arial"/>
          <w:sz w:val="20"/>
          <w:szCs w:val="20"/>
        </w:rPr>
        <w:t>”</w:t>
      </w:r>
      <w:r w:rsidRPr="009B20C5">
        <w:rPr>
          <w:rFonts w:ascii="Verdana" w:eastAsia="Times New Roman" w:hAnsi="Verdana" w:cs="Arial"/>
          <w:sz w:val="20"/>
          <w:szCs w:val="20"/>
          <w:vertAlign w:val="superscript"/>
          <w:lang w:eastAsia="es-CO"/>
        </w:rPr>
        <w:footnoteReference w:id="10"/>
      </w:r>
      <w:r w:rsidRPr="009B20C5">
        <w:rPr>
          <w:rFonts w:ascii="Verdana" w:hAnsi="Verdana" w:cs="Arial"/>
          <w:sz w:val="20"/>
          <w:szCs w:val="20"/>
        </w:rPr>
        <w:t xml:space="preserve"> .</w:t>
      </w:r>
    </w:p>
    <w:p w14:paraId="734AEDE2" w14:textId="77777777" w:rsidR="00F133F3" w:rsidRDefault="00F133F3" w:rsidP="003D0447">
      <w:pPr>
        <w:spacing w:after="0" w:line="276" w:lineRule="auto"/>
        <w:ind w:firstLine="708"/>
        <w:jc w:val="both"/>
        <w:rPr>
          <w:rFonts w:ascii="Verdana" w:eastAsia="Times New Roman" w:hAnsi="Verdana" w:cs="Arial"/>
          <w:lang w:eastAsia="x-none"/>
        </w:rPr>
      </w:pPr>
      <w:bookmarkStart w:id="15" w:name="_Hlk94521748"/>
    </w:p>
    <w:p w14:paraId="1E9ABD66" w14:textId="36DD20C6" w:rsidR="00416E96" w:rsidRPr="00F10E52" w:rsidRDefault="00416E96" w:rsidP="003D0447">
      <w:pPr>
        <w:spacing w:after="120" w:line="276" w:lineRule="auto"/>
        <w:ind w:firstLine="708"/>
        <w:jc w:val="both"/>
        <w:rPr>
          <w:rFonts w:ascii="Verdana" w:eastAsia="Times New Roman" w:hAnsi="Verdana" w:cs="Arial"/>
          <w:bCs/>
          <w:lang w:eastAsia="x-none"/>
        </w:rPr>
      </w:pPr>
      <w:r w:rsidRPr="00F10E52">
        <w:rPr>
          <w:rFonts w:ascii="Verdana" w:eastAsia="Times New Roman" w:hAnsi="Verdana" w:cs="Arial"/>
          <w:lang w:eastAsia="x-none"/>
        </w:rPr>
        <w:t xml:space="preserve">De conformidad con el citado concepto, </w:t>
      </w:r>
      <w:bookmarkStart w:id="16" w:name="_Hlk78818702"/>
      <w:r w:rsidRPr="00F10E52">
        <w:rPr>
          <w:rFonts w:ascii="Verdana" w:eastAsia="Times New Roman" w:hAnsi="Verdana" w:cs="Arial"/>
          <w:lang w:eastAsia="x-none"/>
        </w:rPr>
        <w:t xml:space="preserve">la prohibición del artículo 33 de la Ley de Garantías Electorales se refiere a </w:t>
      </w:r>
      <w:bookmarkStart w:id="17" w:name="_Hlk74294635"/>
      <w:r w:rsidR="00F133F3">
        <w:rPr>
          <w:rFonts w:ascii="Verdana" w:eastAsia="Times New Roman" w:hAnsi="Verdana" w:cs="Arial"/>
          <w:lang w:eastAsia="en-GB"/>
        </w:rPr>
        <w:t>“</w:t>
      </w:r>
      <w:bookmarkEnd w:id="17"/>
      <w:r w:rsidRPr="00F10E52">
        <w:rPr>
          <w:rFonts w:ascii="Verdana" w:eastAsia="Times New Roman" w:hAnsi="Verdana" w:cs="Arial"/>
          <w:lang w:eastAsia="x-none"/>
        </w:rPr>
        <w:t>cualquier sistema que no implique convocatoria pública y posibilidad de pluralidad de oferentes</w:t>
      </w:r>
      <w:bookmarkStart w:id="18" w:name="_Hlk74404754"/>
      <w:r w:rsidR="00F133F3">
        <w:rPr>
          <w:rFonts w:ascii="Verdana" w:eastAsia="Times New Roman" w:hAnsi="Verdana" w:cs="Arial"/>
          <w:lang w:eastAsia="en-GB"/>
        </w:rPr>
        <w:t>”</w:t>
      </w:r>
      <w:bookmarkEnd w:id="18"/>
      <w:r w:rsidRPr="00F10E52">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15"/>
      <w:bookmarkEnd w:id="16"/>
      <w:r w:rsidRPr="00F10E52">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10E52">
        <w:rPr>
          <w:rFonts w:ascii="Verdana" w:eastAsia="Times New Roman" w:hAnsi="Verdana" w:cs="Arial"/>
          <w:vertAlign w:val="superscript"/>
          <w:lang w:val="en-GB" w:eastAsia="x-none"/>
        </w:rPr>
        <w:footnoteReference w:id="11"/>
      </w:r>
      <w:r w:rsidRPr="00F10E52">
        <w:rPr>
          <w:rFonts w:ascii="Verdana" w:eastAsia="Times New Roman" w:hAnsi="Verdana" w:cs="Arial"/>
          <w:lang w:eastAsia="x-none"/>
        </w:rPr>
        <w:t xml:space="preserve"> y sistematizó las causales de contratación directa</w:t>
      </w:r>
      <w:r w:rsidRPr="00F10E52">
        <w:rPr>
          <w:rFonts w:ascii="Verdana" w:eastAsia="Times New Roman" w:hAnsi="Verdana" w:cs="Arial"/>
          <w:vertAlign w:val="superscript"/>
          <w:lang w:val="en-GB" w:eastAsia="x-none"/>
        </w:rPr>
        <w:footnoteReference w:id="12"/>
      </w:r>
      <w:r w:rsidRPr="00F10E52">
        <w:rPr>
          <w:rFonts w:ascii="Verdana" w:eastAsia="Times New Roman" w:hAnsi="Verdana" w:cs="Arial"/>
          <w:lang w:eastAsia="x-none"/>
        </w:rPr>
        <w:t xml:space="preserve">. </w:t>
      </w:r>
    </w:p>
    <w:p w14:paraId="3160AA41" w14:textId="6C4ADAB6" w:rsidR="00416E96" w:rsidRPr="00F10E52" w:rsidRDefault="00416E96" w:rsidP="003D0447">
      <w:pPr>
        <w:spacing w:after="120" w:line="276" w:lineRule="auto"/>
        <w:ind w:firstLine="708"/>
        <w:jc w:val="both"/>
        <w:rPr>
          <w:rFonts w:ascii="Verdana" w:eastAsia="Times New Roman" w:hAnsi="Verdana" w:cs="Arial"/>
          <w:lang w:eastAsia="x-none"/>
        </w:rPr>
      </w:pPr>
      <w:r w:rsidRPr="00F10E52">
        <w:rPr>
          <w:rFonts w:ascii="Verdana" w:eastAsia="Times New Roman" w:hAnsi="Verdana" w:cs="Arial"/>
          <w:lang w:eastAsia="x-none"/>
        </w:rPr>
        <w:t xml:space="preserve">De esta forma, se ha depurado la noción de </w:t>
      </w:r>
      <w:r w:rsidR="00F133F3">
        <w:rPr>
          <w:rFonts w:ascii="Verdana" w:eastAsia="Times New Roman" w:hAnsi="Verdana" w:cs="Arial"/>
          <w:lang w:eastAsia="en-GB"/>
        </w:rPr>
        <w:t>“</w:t>
      </w:r>
      <w:r w:rsidRPr="00F10E52">
        <w:rPr>
          <w:rFonts w:ascii="Verdana" w:eastAsia="Times New Roman" w:hAnsi="Verdana" w:cs="Arial"/>
          <w:lang w:eastAsia="x-none"/>
        </w:rPr>
        <w:t>contratación directa</w:t>
      </w:r>
      <w:r w:rsidR="00F133F3">
        <w:rPr>
          <w:rFonts w:ascii="Verdana" w:eastAsia="Times New Roman" w:hAnsi="Verdana" w:cs="Arial"/>
          <w:lang w:eastAsia="en-GB"/>
        </w:rPr>
        <w:t>”</w:t>
      </w:r>
      <w:r w:rsidRPr="00F10E52">
        <w:rPr>
          <w:rFonts w:ascii="Verdana" w:eastAsia="Times New Roman" w:hAnsi="Verdana" w:cs="Arial"/>
          <w:lang w:eastAsia="x-none"/>
        </w:rPr>
        <w:t xml:space="preserve">, precisando el Consejo de Estado –en el concepto citado– que, </w:t>
      </w:r>
      <w:r w:rsidR="00343684">
        <w:rPr>
          <w:rFonts w:ascii="Verdana" w:eastAsia="Times New Roman" w:hAnsi="Verdana" w:cs="Arial"/>
          <w:lang w:eastAsia="x-none"/>
        </w:rPr>
        <w:t>“</w:t>
      </w:r>
      <w:r w:rsidRPr="00F10E52">
        <w:rPr>
          <w:rFonts w:ascii="Verdana" w:eastAsia="Times New Roman" w:hAnsi="Verdana" w:cs="Arial"/>
          <w:lang w:eastAsia="x-none"/>
        </w:rPr>
        <w:t xml:space="preserve">aun cuando no coincide única y exactamente con la regulación que de dicho sistema de selección hace el artículo 2º de la Ley 1150 de 2007, tampoco puede afirmarse que sea cualquier procedimiento de contratación distinto de la licitación pública, pues </w:t>
      </w:r>
      <w:r w:rsidRPr="00F10E52">
        <w:rPr>
          <w:rFonts w:ascii="Verdana" w:eastAsia="Times New Roman" w:hAnsi="Verdana" w:cs="Arial"/>
          <w:lang w:eastAsia="x-none"/>
        </w:rPr>
        <w:lastRenderedPageBreak/>
        <w:t>esto sería tanto como desconocer que el legislador, no solo en el Estatuto General de la Contratación de la Administración Pública, sino también en leyes especiales e, incluso, en el derecho privado</w:t>
      </w:r>
      <w:r w:rsidRPr="00F10E52">
        <w:rPr>
          <w:rFonts w:ascii="Verdana" w:eastAsia="Times New Roman" w:hAnsi="Verdana" w:cs="Arial"/>
          <w:vertAlign w:val="superscript"/>
          <w:lang w:val="en-GB" w:eastAsia="x-none"/>
        </w:rPr>
        <w:footnoteReference w:id="13"/>
      </w:r>
      <w:r w:rsidRPr="00F10E52">
        <w:rPr>
          <w:rFonts w:ascii="Verdana" w:eastAsia="Times New Roman" w:hAnsi="Verdana" w:cs="Arial"/>
          <w:lang w:eastAsia="x-none"/>
        </w:rPr>
        <w:t>, han establecido sistemas de contratación que implican convocatoria pública y participación de varios oferentes</w:t>
      </w:r>
      <w:r w:rsidR="00343684">
        <w:rPr>
          <w:rFonts w:ascii="Verdana" w:eastAsia="Times New Roman" w:hAnsi="Verdana" w:cs="Arial"/>
          <w:lang w:eastAsia="en-GB"/>
        </w:rPr>
        <w:t>”</w:t>
      </w:r>
      <w:r w:rsidRPr="00F10E52">
        <w:rPr>
          <w:rFonts w:ascii="Verdana" w:eastAsia="Times New Roman" w:hAnsi="Verdana" w:cs="Arial"/>
          <w:lang w:eastAsia="x-none"/>
        </w:rPr>
        <w:t xml:space="preserve">. </w:t>
      </w:r>
    </w:p>
    <w:p w14:paraId="64703BEE" w14:textId="62995653" w:rsidR="00416E96" w:rsidRPr="00F10E52" w:rsidRDefault="00416E96" w:rsidP="003D0447">
      <w:pPr>
        <w:spacing w:after="120" w:line="276" w:lineRule="auto"/>
        <w:ind w:firstLine="708"/>
        <w:jc w:val="both"/>
        <w:rPr>
          <w:rFonts w:ascii="Verdana" w:eastAsia="Times New Roman" w:hAnsi="Verdana" w:cs="Arial"/>
          <w:bCs/>
          <w:lang w:eastAsia="es-CO"/>
        </w:rPr>
      </w:pPr>
      <w:r w:rsidRPr="00F10E52">
        <w:rPr>
          <w:rFonts w:ascii="Verdana" w:eastAsia="Times New Roman" w:hAnsi="Verdana" w:cs="Arial"/>
          <w:bCs/>
          <w:lang w:eastAsia="x-none"/>
        </w:rPr>
        <w:t>E</w:t>
      </w:r>
      <w:r w:rsidRPr="00F10E52">
        <w:rPr>
          <w:rFonts w:ascii="Verdana" w:eastAsia="Times New Roman" w:hAnsi="Verdana" w:cs="Arial"/>
          <w:lang w:eastAsia="x-none"/>
        </w:rPr>
        <w:t xml:space="preserve">n efecto, vale la pena mencionar que, </w:t>
      </w:r>
      <w:bookmarkStart w:id="19" w:name="_Hlk75636073"/>
      <w:r w:rsidRPr="00F10E52">
        <w:rPr>
          <w:rFonts w:ascii="Verdana" w:eastAsia="Times New Roman"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sidR="00166E4E">
        <w:rPr>
          <w:rFonts w:ascii="Verdana" w:eastAsia="Times New Roman" w:hAnsi="Verdana" w:cs="Arial"/>
          <w:lang w:eastAsia="x-none"/>
        </w:rPr>
        <w:t>“</w:t>
      </w:r>
      <w:r w:rsidRPr="00F10E52">
        <w:rPr>
          <w:rFonts w:ascii="Verdana" w:eastAsia="Times New Roman" w:hAnsi="Verdana" w:cs="Arial"/>
          <w:lang w:eastAsia="x-none"/>
        </w:rPr>
        <w:t>contratación directa</w:t>
      </w:r>
      <w:r w:rsidR="00166E4E">
        <w:rPr>
          <w:rFonts w:ascii="Verdana" w:eastAsia="Times New Roman" w:hAnsi="Verdana" w:cs="Arial"/>
          <w:lang w:eastAsia="x-none"/>
        </w:rPr>
        <w:t>”</w:t>
      </w:r>
      <w:r w:rsidRPr="00F10E52">
        <w:rPr>
          <w:rFonts w:ascii="Verdana" w:eastAsia="Times New Roman" w:hAnsi="Verdana" w:cs="Arial"/>
          <w:lang w:eastAsia="x-none"/>
        </w:rPr>
        <w:t>, es que la convocatoria para inscribirse en forma previa se haga de manera pública, y que se permita la participación de una pluralidad de oferentes</w:t>
      </w:r>
      <w:bookmarkEnd w:id="19"/>
      <w:r w:rsidRPr="00F10E52">
        <w:rPr>
          <w:rFonts w:ascii="Verdana" w:eastAsia="Times New Roman" w:hAnsi="Verdana" w:cs="Arial"/>
          <w:vertAlign w:val="superscript"/>
          <w:lang w:eastAsia="x-none"/>
        </w:rPr>
        <w:footnoteReference w:id="14"/>
      </w:r>
      <w:r w:rsidRPr="00F10E52">
        <w:rPr>
          <w:rFonts w:ascii="Verdana" w:eastAsia="Times New Roman" w:hAnsi="Verdana" w:cs="Arial"/>
          <w:lang w:eastAsia="x-none"/>
        </w:rPr>
        <w:t xml:space="preserve">. </w:t>
      </w:r>
    </w:p>
    <w:p w14:paraId="40B7FBC4" w14:textId="0098E4BB" w:rsidR="00416E96" w:rsidRPr="00F10E52" w:rsidRDefault="00416E96" w:rsidP="003D0447">
      <w:pPr>
        <w:spacing w:after="120" w:line="276" w:lineRule="auto"/>
        <w:ind w:firstLine="708"/>
        <w:jc w:val="both"/>
        <w:rPr>
          <w:rFonts w:ascii="Verdana" w:eastAsia="Times New Roman" w:hAnsi="Verdana" w:cs="Arial"/>
          <w:bCs/>
          <w:lang w:eastAsia="es-CO"/>
        </w:rPr>
      </w:pPr>
      <w:r w:rsidRPr="00F10E52">
        <w:rPr>
          <w:rFonts w:ascii="Verdana" w:eastAsia="Times New Roman" w:hAnsi="Verdana" w:cs="Arial"/>
          <w:bCs/>
          <w:lang w:eastAsia="es-CO"/>
        </w:rPr>
        <w:t>Como se advierte de lo anterior, el Consejo de Estado realiza una interpretación amplia de la contratación directa, para efectos de aplicar las restricciones establecidas en la Ley de Garantías</w:t>
      </w:r>
      <w:r w:rsidR="004215B7">
        <w:rPr>
          <w:rFonts w:ascii="Verdana" w:eastAsia="Times New Roman" w:hAnsi="Verdana" w:cs="Arial"/>
          <w:bCs/>
          <w:lang w:eastAsia="es-CO"/>
        </w:rPr>
        <w:t xml:space="preserve"> Electorales</w:t>
      </w:r>
      <w:r w:rsidRPr="00F10E52">
        <w:rPr>
          <w:rFonts w:ascii="Verdana" w:eastAsia="Times New Roman" w:hAnsi="Verdana" w:cs="Arial"/>
          <w:bCs/>
          <w:lang w:eastAsia="es-CO"/>
        </w:rPr>
        <w:t xml:space="preserve">,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001C2227">
        <w:rPr>
          <w:rFonts w:ascii="Verdana" w:eastAsia="Times New Roman" w:hAnsi="Verdana" w:cs="Arial"/>
          <w:bCs/>
          <w:lang w:eastAsia="es-CO"/>
        </w:rPr>
        <w:t>“</w:t>
      </w:r>
      <w:r w:rsidRPr="00F10E52">
        <w:rPr>
          <w:rFonts w:ascii="Verdana" w:eastAsia="Times New Roman" w:hAnsi="Verdana" w:cs="Arial"/>
          <w:bCs/>
          <w:lang w:eastAsia="es-CO"/>
        </w:rPr>
        <w:t>contratación directa</w:t>
      </w:r>
      <w:r w:rsidR="001C2227">
        <w:rPr>
          <w:rFonts w:ascii="Verdana" w:eastAsia="Times New Roman" w:hAnsi="Verdana" w:cs="Arial"/>
          <w:bCs/>
          <w:lang w:eastAsia="es-CO"/>
        </w:rPr>
        <w:t>”</w:t>
      </w:r>
      <w:r w:rsidRPr="00F10E52">
        <w:rPr>
          <w:rFonts w:ascii="Verdana" w:eastAsia="Times New Roman" w:hAnsi="Verdana" w:cs="Arial"/>
          <w:bCs/>
          <w:lang w:eastAsia="es-CO"/>
        </w:rPr>
        <w:t>.</w:t>
      </w:r>
    </w:p>
    <w:p w14:paraId="6D427407" w14:textId="60013651" w:rsidR="00416E96" w:rsidRPr="00F10E52" w:rsidRDefault="00416E96" w:rsidP="003D0447">
      <w:pPr>
        <w:spacing w:after="120" w:line="276" w:lineRule="auto"/>
        <w:ind w:firstLine="708"/>
        <w:jc w:val="both"/>
        <w:rPr>
          <w:rFonts w:ascii="Verdana" w:eastAsia="Times New Roman" w:hAnsi="Verdana" w:cs="Arial"/>
          <w:bCs/>
          <w:lang w:eastAsia="x-none"/>
        </w:rPr>
      </w:pPr>
      <w:bookmarkStart w:id="20" w:name="_Hlk78818796"/>
      <w:r w:rsidRPr="00F10E52">
        <w:rPr>
          <w:rFonts w:ascii="Verdana" w:eastAsia="Times New Roman" w:hAnsi="Verdana" w:cs="Arial"/>
          <w:bCs/>
          <w:lang w:eastAsia="x-none"/>
        </w:rPr>
        <w:t xml:space="preserve">Así las cosas, ha de entenderse que, para los efectos de la Ley de Garantías Electorales y, en particular, para la prohibición o restricción temporal contenida en su artículo 33, </w:t>
      </w:r>
      <w:r w:rsidR="003F2BA7">
        <w:rPr>
          <w:rFonts w:ascii="Verdana" w:eastAsia="Times New Roman" w:hAnsi="Verdana" w:cs="Arial"/>
          <w:bCs/>
          <w:lang w:eastAsia="x-none"/>
        </w:rPr>
        <w:t>“</w:t>
      </w:r>
      <w:r w:rsidRPr="00F10E52">
        <w:rPr>
          <w:rFonts w:ascii="Verdana" w:eastAsia="Times New Roman" w:hAnsi="Verdana" w:cs="Arial"/>
          <w:bCs/>
          <w:lang w:eastAsia="x-none"/>
        </w:rPr>
        <w:t>contratación directa</w:t>
      </w:r>
      <w:r w:rsidR="003F2BA7">
        <w:rPr>
          <w:rFonts w:ascii="Verdana" w:eastAsia="Times New Roman" w:hAnsi="Verdana" w:cs="Arial"/>
          <w:bCs/>
          <w:lang w:eastAsia="x-none"/>
        </w:rPr>
        <w:t>”</w:t>
      </w:r>
      <w:r w:rsidRPr="00F10E52">
        <w:rPr>
          <w:rFonts w:ascii="Verdana" w:eastAsia="Times New Roman" w:hAnsi="Verdana" w:cs="Arial"/>
          <w:bCs/>
          <w:lang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F10E52">
        <w:rPr>
          <w:rFonts w:ascii="Verdana" w:eastAsia="Times New Roman" w:hAnsi="Verdana" w:cs="Arial"/>
          <w:vertAlign w:val="superscript"/>
          <w:lang w:eastAsia="x-none"/>
        </w:rPr>
        <w:footnoteReference w:id="15"/>
      </w:r>
      <w:r w:rsidRPr="00F10E52">
        <w:rPr>
          <w:rFonts w:ascii="Verdana" w:eastAsia="Times New Roman" w:hAnsi="Verdana" w:cs="Arial"/>
          <w:bCs/>
          <w:lang w:eastAsia="x-none"/>
        </w:rPr>
        <w:t>.</w:t>
      </w:r>
      <w:r w:rsidRPr="00F10E52">
        <w:rPr>
          <w:rFonts w:ascii="Verdana" w:eastAsia="Times New Roman" w:hAnsi="Verdana" w:cs="Arial"/>
          <w:vertAlign w:val="superscript"/>
          <w:lang w:eastAsia="x-none"/>
        </w:rPr>
        <w:t xml:space="preserve"> </w:t>
      </w:r>
    </w:p>
    <w:bookmarkEnd w:id="20"/>
    <w:p w14:paraId="296A2AFA" w14:textId="77777777" w:rsidR="00416E96" w:rsidRPr="00F10E52" w:rsidRDefault="00416E96" w:rsidP="003D0447">
      <w:pPr>
        <w:spacing w:after="120" w:line="276" w:lineRule="auto"/>
        <w:ind w:firstLine="708"/>
        <w:jc w:val="both"/>
        <w:rPr>
          <w:rFonts w:ascii="Verdana" w:eastAsia="Times New Roman" w:hAnsi="Verdana" w:cs="Arial"/>
          <w:lang w:eastAsia="x-none"/>
        </w:rPr>
      </w:pPr>
      <w:r w:rsidRPr="00F10E52">
        <w:rPr>
          <w:rFonts w:ascii="Verdana" w:eastAsia="Times New Roman" w:hAnsi="Verdana" w:cs="Arial"/>
          <w:bCs/>
          <w:lang w:eastAsia="x-none"/>
        </w:rPr>
        <w:lastRenderedPageBreak/>
        <w:t>De lo anterior se desprende que la restricción aplica, sin perjuicio de las excepciones establecidas en la misma ley, para celebrar cualquier contrato de forma directa, esto es, sin que exista un proceso abierto y competitivo.</w:t>
      </w:r>
      <w:r w:rsidRPr="00F10E52">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68FF8B2A" w14:textId="0F6BF1CA" w:rsidR="00416E96" w:rsidRPr="00F10E52" w:rsidRDefault="00416E96" w:rsidP="003D0447">
      <w:pPr>
        <w:spacing w:after="120" w:line="276" w:lineRule="auto"/>
        <w:ind w:firstLine="708"/>
        <w:jc w:val="both"/>
        <w:rPr>
          <w:rFonts w:ascii="Verdana" w:eastAsia="Times New Roman" w:hAnsi="Verdana" w:cs="Arial"/>
          <w:bCs/>
          <w:lang w:eastAsia="x-none"/>
        </w:rPr>
      </w:pPr>
      <w:bookmarkStart w:id="21" w:name="_Hlk77237094"/>
      <w:r w:rsidRPr="00F10E52">
        <w:rPr>
          <w:rFonts w:ascii="Verdana" w:eastAsia="Times New Roman" w:hAnsi="Verdana" w:cs="Arial"/>
          <w:bCs/>
          <w:lang w:eastAsia="es-CO"/>
        </w:rPr>
        <w:t xml:space="preserve">Como en otras oportunidades lo ha manifestado esta Agencia, las prórrogas, modificaciones o adiciones de los contratos suscritos antes de la </w:t>
      </w:r>
      <w:proofErr w:type="gramStart"/>
      <w:r w:rsidRPr="00F10E52">
        <w:rPr>
          <w:rFonts w:ascii="Verdana" w:eastAsia="Times New Roman" w:hAnsi="Verdana" w:cs="Arial"/>
          <w:bCs/>
          <w:lang w:eastAsia="es-CO"/>
        </w:rPr>
        <w:t>entrada en vigencia</w:t>
      </w:r>
      <w:proofErr w:type="gramEnd"/>
      <w:r w:rsidRPr="00F10E52">
        <w:rPr>
          <w:rFonts w:ascii="Verdana" w:eastAsia="Times New Roman" w:hAnsi="Verdana" w:cs="Arial"/>
          <w:bCs/>
          <w:lang w:eastAsia="es-CO"/>
        </w:rPr>
        <w:t xml:space="preserve"> de las prohibiciones anotadas, así como la cesión de </w:t>
      </w:r>
      <w:proofErr w:type="gramStart"/>
      <w:r w:rsidRPr="00F10E52">
        <w:rPr>
          <w:rFonts w:ascii="Verdana" w:eastAsia="Times New Roman" w:hAnsi="Verdana" w:cs="Arial"/>
          <w:bCs/>
          <w:lang w:eastAsia="es-CO"/>
        </w:rPr>
        <w:t>los mismos</w:t>
      </w:r>
      <w:proofErr w:type="gramEnd"/>
      <w:r w:rsidRPr="00F10E52">
        <w:rPr>
          <w:rFonts w:ascii="Verdana" w:eastAsia="Times New Roman" w:hAnsi="Verdana" w:cs="Arial"/>
          <w:bCs/>
          <w:lang w:eastAsia="es-CO"/>
        </w:rPr>
        <w:t>, pueden tener lugar en el período de aplicación de la Ley de Garantías</w:t>
      </w:r>
      <w:r w:rsidR="002D4C7E">
        <w:rPr>
          <w:rFonts w:ascii="Verdana" w:eastAsia="Times New Roman" w:hAnsi="Verdana" w:cs="Arial"/>
          <w:bCs/>
          <w:lang w:eastAsia="es-CO"/>
        </w:rPr>
        <w:t xml:space="preserve"> Electorales</w:t>
      </w:r>
      <w:r w:rsidRPr="00F10E52">
        <w:rPr>
          <w:rFonts w:ascii="Verdana" w:eastAsia="Times New Roman" w:hAnsi="Verdana" w:cs="Arial"/>
          <w:bCs/>
          <w:lang w:eastAsia="es-CO"/>
        </w:rPr>
        <w:t>, sin que ello haga nugatoria la restricción de la contratación directa y siempre que cumplan los principios de planeación, transparencia y responsabilidad.</w:t>
      </w:r>
      <w:bookmarkEnd w:id="21"/>
    </w:p>
    <w:p w14:paraId="2E8ABC00" w14:textId="488DD954" w:rsidR="00416E96" w:rsidRPr="00F10E52" w:rsidRDefault="00416E96" w:rsidP="003D0447">
      <w:pPr>
        <w:spacing w:after="120" w:line="276" w:lineRule="auto"/>
        <w:ind w:firstLine="708"/>
        <w:jc w:val="both"/>
        <w:rPr>
          <w:rFonts w:ascii="Verdana" w:eastAsia="Times New Roman" w:hAnsi="Verdana" w:cs="Arial"/>
          <w:bCs/>
          <w:lang w:eastAsia="es-CO"/>
        </w:rPr>
      </w:pPr>
      <w:r w:rsidRPr="00F10E52">
        <w:rPr>
          <w:rFonts w:ascii="Verdana" w:eastAsia="Times New Roman" w:hAnsi="Verdana" w:cs="Arial"/>
          <w:bCs/>
          <w:lang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F10E52">
        <w:rPr>
          <w:rFonts w:ascii="Verdana" w:eastAsia="Times New Roman" w:hAnsi="Verdana" w:cs="Arial"/>
          <w:bCs/>
          <w:lang w:eastAsia="x-none"/>
        </w:rPr>
        <w:t>ii</w:t>
      </w:r>
      <w:proofErr w:type="spellEnd"/>
      <w:r w:rsidRPr="00F10E52">
        <w:rPr>
          <w:rFonts w:ascii="Verdana" w:eastAsia="Times New Roman" w:hAnsi="Verdana" w:cs="Arial"/>
          <w:bCs/>
          <w:lang w:eastAsia="x-none"/>
        </w:rPr>
        <w:t xml:space="preserve">) los contratos de crédito público; </w:t>
      </w:r>
      <w:proofErr w:type="spellStart"/>
      <w:r w:rsidRPr="00F10E52">
        <w:rPr>
          <w:rFonts w:ascii="Verdana" w:eastAsia="Times New Roman" w:hAnsi="Verdana" w:cs="Arial"/>
          <w:bCs/>
          <w:lang w:eastAsia="x-none"/>
        </w:rPr>
        <w:t>iii</w:t>
      </w:r>
      <w:proofErr w:type="spellEnd"/>
      <w:r w:rsidRPr="00F10E52">
        <w:rPr>
          <w:rFonts w:ascii="Verdana" w:eastAsia="Times New Roman" w:hAnsi="Verdana" w:cs="Arial"/>
          <w:bCs/>
          <w:lang w:eastAsia="x-none"/>
        </w:rPr>
        <w:t xml:space="preserve">) los requeridos para cubrir las </w:t>
      </w:r>
      <w:r w:rsidRPr="003D0447">
        <w:rPr>
          <w:rFonts w:ascii="Verdana" w:eastAsia="Times New Roman" w:hAnsi="Verdana" w:cs="Arial"/>
          <w:i/>
          <w:lang w:eastAsia="x-none"/>
        </w:rPr>
        <w:t>emergencias educativas</w:t>
      </w:r>
      <w:r w:rsidRPr="00F10E52">
        <w:rPr>
          <w:rFonts w:ascii="Verdana" w:eastAsia="Times New Roman" w:hAnsi="Verdana" w:cs="Arial"/>
          <w:bCs/>
          <w:lang w:eastAsia="x-none"/>
        </w:rPr>
        <w:t xml:space="preserve">, sanitarias y desastres; </w:t>
      </w:r>
      <w:proofErr w:type="spellStart"/>
      <w:r w:rsidRPr="00F10E52">
        <w:rPr>
          <w:rFonts w:ascii="Verdana" w:eastAsia="Times New Roman" w:hAnsi="Verdana" w:cs="Arial"/>
          <w:bCs/>
          <w:lang w:eastAsia="x-none"/>
        </w:rPr>
        <w:t>iv</w:t>
      </w:r>
      <w:proofErr w:type="spellEnd"/>
      <w:r w:rsidRPr="00F10E52">
        <w:rPr>
          <w:rFonts w:ascii="Verdana" w:eastAsia="Times New Roman" w:hAnsi="Verdana" w:cs="Arial"/>
          <w:bCs/>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10E52">
        <w:rPr>
          <w:rFonts w:ascii="Verdana" w:eastAsia="Times New Roman" w:hAnsi="Verdana" w:cs="Arial"/>
          <w:bCs/>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B5B1B80" w14:textId="77777777" w:rsidR="00416E96" w:rsidRPr="00F10E52" w:rsidRDefault="00416E96" w:rsidP="003D0447">
      <w:pPr>
        <w:spacing w:after="120" w:line="276" w:lineRule="auto"/>
        <w:ind w:firstLine="708"/>
        <w:jc w:val="both"/>
        <w:rPr>
          <w:rFonts w:ascii="Verdana" w:eastAsia="Times New Roman" w:hAnsi="Verdana" w:cs="Arial"/>
          <w:bCs/>
          <w:lang w:eastAsia="x-none"/>
        </w:rPr>
      </w:pPr>
      <w:r w:rsidRPr="00F10E52">
        <w:rPr>
          <w:rFonts w:ascii="Verdana" w:eastAsia="Times New Roman" w:hAnsi="Verdana" w:cs="Arial"/>
          <w:bCs/>
          <w:lang w:eastAsia="x-none"/>
        </w:rPr>
        <w:t>En esta labor es importante tener en cuenta, como lo anotó la Corte Constitucional, en Sentencia C-1153 de noviembre 11 de 2005</w:t>
      </w:r>
      <w:r w:rsidRPr="00F10E52">
        <w:rPr>
          <w:rStyle w:val="Refdenotaalpie"/>
          <w:rFonts w:ascii="Verdana" w:hAnsi="Verdana"/>
        </w:rPr>
        <w:t>,</w:t>
      </w:r>
      <w:r w:rsidRPr="00F10E52">
        <w:rPr>
          <w:rFonts w:ascii="Verdana" w:eastAsia="Times New Roman" w:hAnsi="Verdana" w:cs="Arial"/>
          <w:bCs/>
          <w:lang w:eastAsia="x-none"/>
        </w:rPr>
        <w:t xml:space="preserve"> </w:t>
      </w:r>
      <w:bookmarkStart w:id="22" w:name="_Hlk74309042"/>
      <w:r w:rsidRPr="00F10E52">
        <w:rPr>
          <w:rFonts w:ascii="Verdana" w:eastAsia="Times New Roman" w:hAnsi="Verdana" w:cs="Arial"/>
          <w:bCs/>
          <w:lang w:eastAsia="x-none"/>
        </w:rPr>
        <w:t xml:space="preserve">que </w:t>
      </w:r>
      <w:bookmarkEnd w:id="22"/>
      <w:r>
        <w:rPr>
          <w:rFonts w:ascii="Verdana" w:eastAsia="Times New Roman" w:hAnsi="Verdana" w:cs="Arial"/>
          <w:bCs/>
          <w:lang w:eastAsia="x-none"/>
        </w:rPr>
        <w:t>“</w:t>
      </w:r>
      <w:r w:rsidRPr="00F10E52">
        <w:rPr>
          <w:rFonts w:ascii="Verdana" w:eastAsia="Times New Roman" w:hAnsi="Verdana" w:cs="Arial"/>
          <w:bCs/>
          <w:lang w:eastAsia="x-none"/>
        </w:rPr>
        <w:t xml:space="preserve">si bien la limitación garantiza la igualdad de condiciones, también es necesario que tal limitación que pretende la igualdad </w:t>
      </w:r>
      <w:bookmarkStart w:id="23" w:name="_Hlk75768308"/>
      <w:r w:rsidRPr="00F10E52">
        <w:rPr>
          <w:rFonts w:ascii="Verdana" w:eastAsia="Times New Roman" w:hAnsi="Verdana" w:cs="Arial"/>
          <w:bCs/>
          <w:lang w:eastAsia="x-none"/>
        </w:rPr>
        <w:t xml:space="preserve">no termine yendo en detrimento de intereses públicos, cuya garantía está en cabeza del ejecutivo, como son los inmersos en </w:t>
      </w:r>
      <w:r w:rsidRPr="00F10E52">
        <w:rPr>
          <w:rFonts w:ascii="Verdana" w:eastAsia="Times New Roman" w:hAnsi="Verdana" w:cs="Arial"/>
          <w:bCs/>
          <w:lang w:eastAsia="x-none"/>
        </w:rPr>
        <w:lastRenderedPageBreak/>
        <w:t>las excepciones para la prohibición de contratación</w:t>
      </w:r>
      <w:r>
        <w:rPr>
          <w:rFonts w:ascii="Verdana" w:eastAsia="Times New Roman" w:hAnsi="Verdana" w:cs="Arial"/>
          <w:bCs/>
          <w:lang w:eastAsia="x-none"/>
        </w:rPr>
        <w:t>”</w:t>
      </w:r>
      <w:r w:rsidRPr="00F10E52">
        <w:rPr>
          <w:rStyle w:val="Refdenotaalpie"/>
          <w:rFonts w:ascii="Verdana" w:hAnsi="Verdana" w:cs="Arial"/>
        </w:rPr>
        <w:footnoteReference w:id="16"/>
      </w:r>
      <w:r w:rsidRPr="00F10E52">
        <w:rPr>
          <w:rFonts w:ascii="Verdana" w:eastAsia="Times New Roman" w:hAnsi="Verdana" w:cs="Arial"/>
          <w:bCs/>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24" w:name="_Hlk75783800"/>
      <w:bookmarkEnd w:id="23"/>
    </w:p>
    <w:p w14:paraId="113ACCA1" w14:textId="77777777" w:rsidR="00416E96" w:rsidRPr="00F10E52" w:rsidRDefault="00416E96" w:rsidP="00B51C5B">
      <w:pPr>
        <w:spacing w:before="120" w:after="0" w:line="276" w:lineRule="auto"/>
        <w:ind w:firstLine="708"/>
        <w:jc w:val="both"/>
        <w:rPr>
          <w:rFonts w:ascii="Verdana" w:eastAsia="Times New Roman" w:hAnsi="Verdana" w:cs="Arial"/>
          <w:bCs/>
          <w:lang w:eastAsia="x-none"/>
        </w:rPr>
      </w:pPr>
      <w:bookmarkStart w:id="25" w:name="_Hlk99438356"/>
      <w:r>
        <w:rPr>
          <w:rFonts w:ascii="Verdana" w:eastAsia="Times New Roman" w:hAnsi="Verdana" w:cs="Arial"/>
          <w:bCs/>
          <w:lang w:eastAsia="x-none"/>
        </w:rPr>
        <w:t>Ahora bien, e</w:t>
      </w:r>
      <w:r w:rsidRPr="00F10E52">
        <w:rPr>
          <w:rFonts w:ascii="Verdana" w:eastAsia="Times New Roman" w:hAnsi="Verdana" w:cs="Arial"/>
          <w:bCs/>
          <w:lang w:eastAsia="x-none"/>
        </w:rPr>
        <w:t xml:space="preserve">l artículo 33 de la Ley 996 de 2005 señala expresamente a los destinatarios de la prohibición, en el sentido de que son </w:t>
      </w:r>
      <w:r>
        <w:rPr>
          <w:rFonts w:ascii="Verdana" w:eastAsia="Times New Roman" w:hAnsi="Verdana" w:cs="Arial"/>
          <w:bCs/>
          <w:lang w:eastAsia="x-none"/>
        </w:rPr>
        <w:t>“</w:t>
      </w:r>
      <w:r w:rsidRPr="00F10E52">
        <w:rPr>
          <w:rFonts w:ascii="Verdana" w:eastAsia="Times New Roman" w:hAnsi="Verdana" w:cs="Arial"/>
          <w:bCs/>
          <w:lang w:eastAsia="x-none"/>
        </w:rPr>
        <w:t>todos los entes del Estado</w:t>
      </w:r>
      <w:r>
        <w:rPr>
          <w:rFonts w:ascii="Verdana" w:eastAsia="Times New Roman" w:hAnsi="Verdana" w:cs="Arial"/>
          <w:bCs/>
          <w:lang w:eastAsia="x-none"/>
        </w:rPr>
        <w:t>”</w:t>
      </w:r>
      <w:r w:rsidRPr="00F10E52">
        <w:rPr>
          <w:rFonts w:ascii="Verdana" w:eastAsia="Times New Roman" w:hAnsi="Verdana" w:cs="Arial"/>
          <w:bCs/>
          <w:lang w:eastAsia="x-none"/>
        </w:rPr>
        <w:t>, expresión que contempla a los diferentes organismos o entidades autorizadas por la ley para suscribir contratos.</w:t>
      </w:r>
      <w:r w:rsidRPr="00F10E52">
        <w:rPr>
          <w:rFonts w:ascii="Verdana" w:hAnsi="Verdana"/>
        </w:rPr>
        <w:t xml:space="preserve"> </w:t>
      </w:r>
      <w:r w:rsidRPr="00F10E52">
        <w:rPr>
          <w:rFonts w:ascii="Verdana" w:eastAsia="Times New Roman" w:hAnsi="Verdana" w:cs="Arial"/>
          <w:bCs/>
          <w:lang w:eastAsia="x-none"/>
        </w:rPr>
        <w:t xml:space="preserve">En efecto, tal como lo ha sostenido el Consejo de Estado, el vocablo </w:t>
      </w:r>
      <w:r>
        <w:rPr>
          <w:rFonts w:ascii="Verdana" w:eastAsia="Times New Roman" w:hAnsi="Verdana" w:cs="Arial"/>
          <w:bCs/>
          <w:lang w:eastAsia="x-none"/>
        </w:rPr>
        <w:t>“</w:t>
      </w:r>
      <w:r w:rsidRPr="00F10E52">
        <w:rPr>
          <w:rFonts w:ascii="Verdana" w:eastAsia="Times New Roman" w:hAnsi="Verdana" w:cs="Arial"/>
          <w:bCs/>
          <w:lang w:eastAsia="x-none"/>
        </w:rPr>
        <w:t>todos</w:t>
      </w:r>
      <w:r>
        <w:rPr>
          <w:rFonts w:ascii="Verdana" w:eastAsia="Times New Roman" w:hAnsi="Verdana" w:cs="Arial"/>
          <w:bCs/>
          <w:lang w:eastAsia="x-none"/>
        </w:rPr>
        <w:t>”</w:t>
      </w:r>
      <w:r w:rsidRPr="00F10E52">
        <w:rPr>
          <w:rFonts w:ascii="Verdana" w:eastAsia="Times New Roman" w:hAnsi="Verdana" w:cs="Arial"/>
          <w:bCs/>
          <w:lang w:eastAsia="x-none"/>
        </w:rPr>
        <w:t xml:space="preserve"> utilizado por el legislador comprende</w:t>
      </w:r>
      <w:r w:rsidRPr="00F10E52">
        <w:rPr>
          <w:rFonts w:ascii="Verdana" w:hAnsi="Verdana"/>
        </w:rPr>
        <w:t xml:space="preserve"> </w:t>
      </w:r>
      <w:r w:rsidRPr="00F10E52">
        <w:rPr>
          <w:rFonts w:ascii="Verdana" w:eastAsia="Times New Roman" w:hAnsi="Verdana" w:cs="Arial"/>
          <w:bCs/>
          <w:lang w:eastAsia="x-none"/>
        </w:rPr>
        <w:t>a la totalidad de los entes del Estado, sin distinción del régimen jurídico, forma de organización o naturaleza, su pertenencia a una u otra rama del poder público o su autonomía</w:t>
      </w:r>
      <w:bookmarkEnd w:id="24"/>
      <w:r w:rsidRPr="00F10E52">
        <w:rPr>
          <w:rFonts w:ascii="Verdana" w:eastAsia="Times New Roman" w:hAnsi="Verdana" w:cs="Arial"/>
          <w:bCs/>
          <w:lang w:eastAsia="x-none"/>
        </w:rPr>
        <w:t xml:space="preserve">, e incluso si las entidades estatales tienen régimen especial de contratación y están exceptuadas del ámbito de aplicación del Estatuto General de Contratación de la Administración Pública. </w:t>
      </w:r>
      <w:bookmarkEnd w:id="25"/>
      <w:r w:rsidRPr="00F10E52">
        <w:rPr>
          <w:rFonts w:ascii="Verdana" w:eastAsia="Times New Roman" w:hAnsi="Verdana" w:cs="Arial"/>
          <w:bCs/>
          <w:lang w:eastAsia="x-none"/>
        </w:rPr>
        <w:t xml:space="preserve">El Consejo de Estado, en Concepto con radicado 1727 de fecha 20 de febrero de 2006, consideró que: </w:t>
      </w:r>
    </w:p>
    <w:p w14:paraId="12F54A07" w14:textId="77777777" w:rsidR="00B51C5B" w:rsidRPr="00F10E52" w:rsidRDefault="00B51C5B" w:rsidP="003D0447">
      <w:pPr>
        <w:spacing w:after="0" w:line="276" w:lineRule="auto"/>
        <w:ind w:firstLine="708"/>
        <w:jc w:val="both"/>
        <w:rPr>
          <w:rFonts w:ascii="Verdana" w:eastAsia="Times New Roman" w:hAnsi="Verdana" w:cs="Arial"/>
          <w:bCs/>
          <w:lang w:eastAsia="x-none"/>
        </w:rPr>
      </w:pPr>
    </w:p>
    <w:p w14:paraId="17C8E8C6" w14:textId="49E3F583" w:rsidR="00416E96" w:rsidRPr="009B20C5" w:rsidRDefault="00416E96" w:rsidP="003D0447">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x-none"/>
        </w:rPr>
        <w:t xml:space="preserve">“El artículo 33 de la ley 996 de 2005, </w:t>
      </w:r>
      <w:bookmarkStart w:id="26" w:name="_Hlk75787147"/>
      <w:r w:rsidRPr="009B20C5">
        <w:rPr>
          <w:rFonts w:ascii="Verdana" w:eastAsia="Times New Roman" w:hAnsi="Verdana" w:cs="Arial"/>
          <w:bCs/>
          <w:sz w:val="20"/>
          <w:szCs w:val="20"/>
          <w:lang w:eastAsia="x-none"/>
        </w:rPr>
        <w:t xml:space="preserve">efectivamente se aplica </w:t>
      </w:r>
      <w:bookmarkStart w:id="27" w:name="_Hlk76074089"/>
      <w:r w:rsidRPr="009B20C5">
        <w:rPr>
          <w:rFonts w:ascii="Verdana" w:eastAsia="Times New Roman" w:hAnsi="Verdana" w:cs="Arial"/>
          <w:bCs/>
          <w:sz w:val="20"/>
          <w:szCs w:val="20"/>
          <w:lang w:eastAsia="x-none"/>
        </w:rPr>
        <w:t>incluso a las entidades estatales con régimen especial de contratación y que están exceptuadas del ámbito de aplicación del Estatuto General de Contratación de la Administración Pública</w:t>
      </w:r>
      <w:bookmarkEnd w:id="27"/>
      <w:r w:rsidRPr="009B20C5">
        <w:rPr>
          <w:rFonts w:ascii="Verdana" w:eastAsia="Times New Roman" w:hAnsi="Verdana" w:cs="Arial"/>
          <w:bCs/>
          <w:sz w:val="20"/>
          <w:szCs w:val="20"/>
          <w:lang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00B51C5B">
        <w:rPr>
          <w:rFonts w:ascii="Verdana" w:eastAsia="Times New Roman" w:hAnsi="Verdana" w:cs="Arial"/>
          <w:bCs/>
          <w:sz w:val="20"/>
          <w:szCs w:val="20"/>
          <w:lang w:eastAsia="x-none"/>
        </w:rPr>
        <w:t>”</w:t>
      </w:r>
      <w:r w:rsidRPr="009B20C5">
        <w:rPr>
          <w:rStyle w:val="Refdenotaalpie"/>
          <w:rFonts w:ascii="Verdana" w:eastAsia="Times New Roman" w:hAnsi="Verdana" w:cs="Arial"/>
          <w:bCs/>
          <w:sz w:val="20"/>
          <w:szCs w:val="20"/>
          <w:lang w:eastAsia="x-none"/>
        </w:rPr>
        <w:footnoteReference w:id="17"/>
      </w:r>
      <w:r w:rsidRPr="009B20C5">
        <w:rPr>
          <w:rFonts w:ascii="Verdana" w:eastAsia="Times New Roman" w:hAnsi="Verdana" w:cs="Arial"/>
          <w:bCs/>
          <w:sz w:val="20"/>
          <w:szCs w:val="20"/>
          <w:lang w:eastAsia="x-none"/>
        </w:rPr>
        <w:t>.</w:t>
      </w:r>
      <w:r w:rsidRPr="009B20C5">
        <w:rPr>
          <w:rFonts w:ascii="Verdana" w:eastAsia="Times New Roman" w:hAnsi="Verdana" w:cs="Arial"/>
          <w:bCs/>
          <w:sz w:val="20"/>
          <w:szCs w:val="20"/>
          <w:lang w:eastAsia="es-CO"/>
        </w:rPr>
        <w:t xml:space="preserve"> </w:t>
      </w:r>
    </w:p>
    <w:p w14:paraId="7138BA16" w14:textId="77777777" w:rsidR="00B51C5B" w:rsidRDefault="00B51C5B" w:rsidP="003D0447">
      <w:pPr>
        <w:spacing w:after="0" w:line="276" w:lineRule="auto"/>
        <w:ind w:firstLine="709"/>
        <w:jc w:val="both"/>
        <w:rPr>
          <w:rFonts w:ascii="Verdana" w:eastAsia="Times New Roman" w:hAnsi="Verdana" w:cs="Arial"/>
          <w:bCs/>
          <w:lang w:eastAsia="x-none"/>
        </w:rPr>
      </w:pPr>
    </w:p>
    <w:p w14:paraId="50205BA3" w14:textId="77777777" w:rsidR="006D6D9D" w:rsidRDefault="00416E96" w:rsidP="009B7048">
      <w:pPr>
        <w:spacing w:after="120" w:line="276" w:lineRule="auto"/>
        <w:ind w:firstLine="708"/>
        <w:jc w:val="both"/>
        <w:rPr>
          <w:rFonts w:ascii="Verdana" w:eastAsia="Times New Roman" w:hAnsi="Verdana" w:cs="Arial"/>
          <w:bCs/>
          <w:lang w:eastAsia="x-none"/>
        </w:rPr>
      </w:pPr>
      <w:bookmarkStart w:id="28" w:name="_Hlk77237229"/>
      <w:bookmarkEnd w:id="26"/>
      <w:r w:rsidRPr="00345E20">
        <w:rPr>
          <w:rFonts w:ascii="Verdana" w:hAnsi="Verdana" w:cs="Arial"/>
        </w:rPr>
        <w:t xml:space="preserve">Por lo tanto, la restricción prevista en la Ley 996 de 2005, </w:t>
      </w:r>
      <w:r w:rsidRPr="00345E20">
        <w:rPr>
          <w:rFonts w:ascii="Verdana" w:eastAsia="Times New Roman" w:hAnsi="Verdana" w:cs="Arial"/>
          <w:bCs/>
          <w:lang w:eastAsia="x-none"/>
        </w:rPr>
        <w:t xml:space="preserve">teniendo en cuenta la finalidad de la </w:t>
      </w:r>
      <w:r w:rsidR="00E15546" w:rsidRPr="00345E20">
        <w:rPr>
          <w:rFonts w:ascii="Verdana" w:eastAsia="Times New Roman" w:hAnsi="Verdana" w:cs="Arial"/>
          <w:bCs/>
          <w:lang w:eastAsia="x-none"/>
        </w:rPr>
        <w:t xml:space="preserve">Ley </w:t>
      </w:r>
      <w:r w:rsidRPr="00345E20">
        <w:rPr>
          <w:rFonts w:ascii="Verdana" w:eastAsia="Times New Roman" w:hAnsi="Verdana" w:cs="Arial"/>
          <w:bCs/>
          <w:lang w:eastAsia="x-none"/>
        </w:rPr>
        <w:t xml:space="preserve">de </w:t>
      </w:r>
      <w:r w:rsidR="00E15546" w:rsidRPr="00345E20">
        <w:rPr>
          <w:rFonts w:ascii="Verdana" w:eastAsia="Times New Roman" w:hAnsi="Verdana" w:cs="Arial"/>
          <w:bCs/>
          <w:lang w:eastAsia="x-none"/>
        </w:rPr>
        <w:t>Garantías Electorales</w:t>
      </w:r>
      <w:r w:rsidRPr="00345E20">
        <w:rPr>
          <w:rFonts w:ascii="Verdana" w:eastAsia="Times New Roman" w:hAnsi="Verdana" w:cs="Arial"/>
          <w:bCs/>
          <w:lang w:eastAsia="x-none"/>
        </w:rPr>
        <w:t xml:space="preserve">, cobija a cualquier ente </w:t>
      </w:r>
      <w:r w:rsidRPr="00345E20">
        <w:rPr>
          <w:rFonts w:ascii="Verdana" w:eastAsia="Times New Roman" w:hAnsi="Verdana" w:cs="Arial"/>
          <w:bCs/>
          <w:lang w:eastAsia="x-none"/>
        </w:rPr>
        <w:lastRenderedPageBreak/>
        <w:t>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70E88CF3" w14:textId="77777777" w:rsidR="004705B2" w:rsidRPr="00E2397D" w:rsidRDefault="00743003" w:rsidP="003D0447">
      <w:pPr>
        <w:spacing w:after="120" w:line="276" w:lineRule="auto"/>
        <w:ind w:firstLine="708"/>
        <w:jc w:val="both"/>
        <w:rPr>
          <w:rFonts w:ascii="Verdana" w:eastAsia="Times New Roman" w:hAnsi="Verdana" w:cs="Arial"/>
          <w:lang w:val="es-MX" w:eastAsia="x-none"/>
        </w:rPr>
      </w:pPr>
      <w:r>
        <w:rPr>
          <w:rFonts w:ascii="Verdana" w:eastAsia="Times New Roman" w:hAnsi="Verdana" w:cs="Arial"/>
          <w:bCs/>
          <w:lang w:eastAsia="x-none"/>
        </w:rPr>
        <w:t xml:space="preserve">En segundo lugar, </w:t>
      </w:r>
      <w:r w:rsidR="004705B2" w:rsidRPr="00E2397D">
        <w:rPr>
          <w:rFonts w:ascii="Verdana" w:eastAsia="Calibri" w:hAnsi="Verdana" w:cs="Arial"/>
          <w:lang w:eastAsia="es-ES" w:bidi="es-ES"/>
        </w:rPr>
        <w:t xml:space="preserve">resulta necesario precisar el alcance de la prohibición </w:t>
      </w:r>
      <w:r w:rsidR="004705B2" w:rsidRPr="00E2397D">
        <w:rPr>
          <w:rFonts w:ascii="Verdana" w:eastAsia="Arial" w:hAnsi="Verdana" w:cs="Arial"/>
          <w:lang w:val="es-ES" w:eastAsia="es-ES" w:bidi="es-ES"/>
        </w:rPr>
        <w:t>establecida en e</w:t>
      </w:r>
      <w:r w:rsidR="004705B2" w:rsidRPr="00E2397D">
        <w:rPr>
          <w:rFonts w:ascii="Verdana" w:eastAsia="Calibri" w:hAnsi="Verdana" w:cs="Arial"/>
        </w:rPr>
        <w:t>l parágrafo del artículo 38 de la Ley 996 de 2005. La citada norm</w:t>
      </w:r>
      <w:r w:rsidR="004705B2">
        <w:rPr>
          <w:rFonts w:ascii="Verdana" w:eastAsia="Calibri" w:hAnsi="Verdana" w:cs="Arial"/>
        </w:rPr>
        <w:t xml:space="preserve">a dispone: </w:t>
      </w:r>
      <w:r w:rsidR="004705B2" w:rsidRPr="00E2397D">
        <w:rPr>
          <w:rFonts w:ascii="Verdana" w:eastAsia="Calibri" w:hAnsi="Verdana" w:cs="Arial"/>
        </w:rPr>
        <w:t xml:space="preserve">“[l]os Gobernadores, </w:t>
      </w:r>
      <w:proofErr w:type="gramStart"/>
      <w:r w:rsidR="004705B2" w:rsidRPr="00E2397D">
        <w:rPr>
          <w:rFonts w:ascii="Verdana" w:eastAsia="Calibri" w:hAnsi="Verdana" w:cs="Arial"/>
        </w:rPr>
        <w:t>Alcaldes</w:t>
      </w:r>
      <w:proofErr w:type="gramEnd"/>
      <w:r w:rsidR="004705B2" w:rsidRPr="00E2397D">
        <w:rPr>
          <w:rFonts w:ascii="Verdana" w:eastAsia="Calibri" w:hAnsi="Verdana" w:cs="Arial"/>
        </w:rPr>
        <w:t xml:space="preserve"> Municipales y/o Distritales, </w:t>
      </w:r>
      <w:proofErr w:type="gramStart"/>
      <w:r w:rsidR="004705B2" w:rsidRPr="00E2397D">
        <w:rPr>
          <w:rFonts w:ascii="Verdana" w:eastAsia="Calibri" w:hAnsi="Verdana" w:cs="Arial"/>
        </w:rPr>
        <w:t>Secretarios</w:t>
      </w:r>
      <w:proofErr w:type="gramEnd"/>
      <w:r w:rsidR="004705B2" w:rsidRPr="00E2397D">
        <w:rPr>
          <w:rFonts w:ascii="Verdana" w:eastAsia="Calibri" w:hAnsi="Verdana" w:cs="Arial"/>
        </w:rPr>
        <w:t xml:space="preserve">, Gerentes y directores de Entidades Descentralizadas del orden Municipal, Departamental o Distrital, dentro de los cuatro (4) meses anteriores a las elecciones, no podrán celebrar </w:t>
      </w:r>
      <w:r w:rsidR="004705B2" w:rsidRPr="00E2397D">
        <w:rPr>
          <w:rFonts w:ascii="Verdana" w:eastAsia="Calibri" w:hAnsi="Verdana" w:cs="Arial"/>
          <w:i/>
          <w:iCs/>
        </w:rPr>
        <w:t>convenios interadministrativos</w:t>
      </w:r>
      <w:r w:rsidR="004705B2" w:rsidRPr="00E2397D">
        <w:rPr>
          <w:rFonts w:ascii="Verdana" w:eastAsia="Calibri" w:hAnsi="Verdana" w:cs="Arial"/>
        </w:rPr>
        <w:t xml:space="preserve"> para la ejecución de recursos públicos”.</w:t>
      </w:r>
      <w:r w:rsidR="004705B2" w:rsidRPr="00E2397D">
        <w:rPr>
          <w:rFonts w:ascii="Verdana" w:eastAsia="Times New Roman" w:hAnsi="Verdana" w:cs="Arial"/>
          <w:lang w:val="es-MX" w:eastAsia="x-none"/>
        </w:rPr>
        <w:t xml:space="preserve"> [Énfasis fuera del texto original]</w:t>
      </w:r>
    </w:p>
    <w:p w14:paraId="247429EF" w14:textId="77777777" w:rsidR="004705B2" w:rsidRPr="00E2397D" w:rsidRDefault="004705B2" w:rsidP="004705B2">
      <w:pPr>
        <w:spacing w:after="120" w:line="276" w:lineRule="auto"/>
        <w:ind w:firstLine="709"/>
        <w:jc w:val="both"/>
        <w:rPr>
          <w:rFonts w:ascii="Verdana" w:eastAsia="Calibri" w:hAnsi="Verdana" w:cs="Arial"/>
          <w:lang w:bidi="es-ES"/>
        </w:rPr>
      </w:pPr>
      <w:r w:rsidRPr="00E2397D">
        <w:rPr>
          <w:rFonts w:ascii="Verdana" w:eastAsia="Times New Roman" w:hAnsi="Verdana" w:cs="Arial"/>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E2397D">
        <w:rPr>
          <w:rFonts w:ascii="Verdana" w:eastAsia="Arial" w:hAnsi="Verdana" w:cs="Arial"/>
          <w:lang w:val="es-ES" w:eastAsia="es-ES" w:bidi="es-ES"/>
        </w:rPr>
        <w:t>e</w:t>
      </w:r>
      <w:r w:rsidRPr="00E2397D">
        <w:rPr>
          <w:rFonts w:ascii="Verdana" w:eastAsia="Calibri" w:hAnsi="Verdana" w:cs="Arial"/>
        </w:rPr>
        <w:t xml:space="preserve">l parágrafo del artículo 38 cobija tanto a los convenios como a los contratos interadministrativos. Esta tesis se fundamenta en que </w:t>
      </w:r>
      <w:r w:rsidRPr="00E2397D">
        <w:rPr>
          <w:rFonts w:ascii="Verdana" w:eastAsia="Calibri" w:hAnsi="Verdana" w:cs="Arial"/>
          <w:lang w:bidi="es-ES"/>
        </w:rPr>
        <w:t>si bien actualmente el Estatuto General de Contratación de la Administración Públ</w:t>
      </w:r>
      <w:r>
        <w:rPr>
          <w:rFonts w:ascii="Verdana" w:eastAsia="Calibri" w:hAnsi="Verdana" w:cs="Arial"/>
          <w:lang w:bidi="es-ES"/>
        </w:rPr>
        <w:t>ica – en adelante EGCAP – se refiere</w:t>
      </w:r>
      <w:r w:rsidRPr="00E2397D">
        <w:rPr>
          <w:rFonts w:ascii="Verdana" w:eastAsia="Calibri" w:hAnsi="Verdana" w:cs="Arial"/>
          <w:lang w:bidi="es-ES"/>
        </w:rPr>
        <w:t xml:space="preserv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17797FC8" w14:textId="77777777" w:rsidR="004705B2" w:rsidRPr="00E2397D" w:rsidRDefault="004705B2" w:rsidP="004705B2">
      <w:pPr>
        <w:spacing w:after="120" w:line="276" w:lineRule="auto"/>
        <w:ind w:firstLine="709"/>
        <w:jc w:val="both"/>
        <w:rPr>
          <w:rFonts w:ascii="Verdana" w:eastAsia="Calibri" w:hAnsi="Verdana" w:cs="Arial"/>
          <w:lang w:bidi="es-ES"/>
        </w:rPr>
      </w:pPr>
      <w:r w:rsidRPr="00E2397D">
        <w:rPr>
          <w:rFonts w:ascii="Verdana" w:eastAsia="Calibri" w:hAnsi="Verdana" w:cs="Arial"/>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E2397D">
        <w:rPr>
          <w:rFonts w:ascii="Verdana" w:eastAsia="Arial" w:hAnsi="Verdana" w:cs="Arial"/>
          <w:lang w:val="es-ES" w:eastAsia="es-ES" w:bidi="es-ES"/>
        </w:rPr>
        <w:t xml:space="preserve">el legislador y el ordenamiento jurídico, en general, en distintas ocasiones utiliza de forma indistinta los conceptos de contrato o </w:t>
      </w:r>
      <w:r w:rsidRPr="00E2397D">
        <w:rPr>
          <w:rFonts w:ascii="Verdana" w:eastAsia="Arial" w:hAnsi="Verdana" w:cs="Arial"/>
          <w:lang w:val="es-ES" w:eastAsia="es-ES" w:bidi="es-ES"/>
        </w:rPr>
        <w:lastRenderedPageBreak/>
        <w:t>convenio para referirse a la misma institución jurídica</w:t>
      </w:r>
      <w:r w:rsidRPr="00E2397D">
        <w:rPr>
          <w:rFonts w:ascii="Verdana" w:eastAsia="Arial" w:hAnsi="Verdana" w:cs="Arial"/>
          <w:vertAlign w:val="superscript"/>
          <w:lang w:val="es-ES" w:eastAsia="es-ES" w:bidi="es-ES"/>
        </w:rPr>
        <w:footnoteReference w:id="18"/>
      </w:r>
      <w:r w:rsidRPr="00E2397D">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E2397D">
        <w:rPr>
          <w:rFonts w:ascii="Verdana" w:eastAsia="Arial" w:hAnsi="Verdana" w:cs="Arial"/>
          <w:vertAlign w:val="superscript"/>
          <w:lang w:val="es-ES" w:eastAsia="es-ES" w:bidi="es-ES"/>
        </w:rPr>
        <w:footnoteReference w:id="19"/>
      </w:r>
      <w:r w:rsidRPr="00E2397D">
        <w:rPr>
          <w:rFonts w:ascii="Verdana" w:eastAsia="Arial" w:hAnsi="Verdana" w:cs="Arial"/>
          <w:lang w:val="es-ES" w:eastAsia="es-ES" w:bidi="es-ES"/>
        </w:rPr>
        <w:t>.</w:t>
      </w:r>
    </w:p>
    <w:p w14:paraId="2B27D9D9" w14:textId="77777777" w:rsidR="004705B2" w:rsidRPr="00E2397D" w:rsidRDefault="004705B2" w:rsidP="004705B2">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E2397D">
        <w:rPr>
          <w:rFonts w:ascii="Verdana" w:eastAsia="Calibri" w:hAnsi="Verdana" w:cs="Arial"/>
          <w:lang w:val="es-ES" w:bidi="es-ES"/>
        </w:rPr>
        <w:t>De este modo, en la Circular Externa</w:t>
      </w:r>
      <w:r w:rsidRPr="00E2397D">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32DD2A88" w14:textId="77777777" w:rsidR="004705B2" w:rsidRPr="00E2397D" w:rsidRDefault="004705B2" w:rsidP="004705B2">
      <w:pPr>
        <w:widowControl w:val="0"/>
        <w:autoSpaceDE w:val="0"/>
        <w:autoSpaceDN w:val="0"/>
        <w:spacing w:after="0" w:line="276" w:lineRule="auto"/>
        <w:contextualSpacing/>
        <w:jc w:val="both"/>
        <w:rPr>
          <w:rFonts w:ascii="Verdana" w:eastAsia="Arial" w:hAnsi="Verdana" w:cs="Arial"/>
          <w:lang w:val="es-ES" w:eastAsia="es-ES" w:bidi="es-ES"/>
        </w:rPr>
      </w:pPr>
    </w:p>
    <w:p w14:paraId="69B56EEF" w14:textId="77777777" w:rsidR="004705B2" w:rsidRPr="00E2397D" w:rsidRDefault="004705B2" w:rsidP="004705B2">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E2397D">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706DA442" w14:textId="77777777" w:rsidR="004705B2" w:rsidRPr="00E2397D" w:rsidRDefault="004705B2" w:rsidP="004705B2">
      <w:pPr>
        <w:spacing w:after="0" w:line="240" w:lineRule="auto"/>
        <w:ind w:left="709" w:right="709"/>
        <w:jc w:val="both"/>
        <w:rPr>
          <w:rFonts w:ascii="Verdana" w:eastAsia="Calibri" w:hAnsi="Verdana" w:cs="Arial"/>
          <w:sz w:val="20"/>
          <w:szCs w:val="20"/>
          <w:lang w:val="es-MX"/>
        </w:rPr>
      </w:pPr>
    </w:p>
    <w:p w14:paraId="39436539" w14:textId="77777777" w:rsidR="004705B2" w:rsidRPr="00E2397D" w:rsidRDefault="004705B2" w:rsidP="004705B2">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MX"/>
        </w:rPr>
        <w:t xml:space="preserve">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w:t>
      </w:r>
      <w:r w:rsidRPr="00E2397D">
        <w:rPr>
          <w:rFonts w:ascii="Verdana" w:eastAsia="Calibri" w:hAnsi="Verdana" w:cs="Arial"/>
          <w:sz w:val="20"/>
          <w:szCs w:val="20"/>
          <w:lang w:val="es-MX"/>
        </w:rPr>
        <w:lastRenderedPageBreak/>
        <w:t>entidades ni la prestación de un servicio a cargo de alguna de ellas y en favor de la otra parte del convenio.</w:t>
      </w:r>
    </w:p>
    <w:p w14:paraId="698F0F40" w14:textId="77777777" w:rsidR="004705B2" w:rsidRPr="00E2397D" w:rsidRDefault="004705B2" w:rsidP="004705B2">
      <w:pPr>
        <w:spacing w:after="0" w:line="240" w:lineRule="auto"/>
        <w:ind w:left="709" w:right="709"/>
        <w:jc w:val="both"/>
        <w:rPr>
          <w:rFonts w:ascii="Verdana" w:eastAsia="Calibri" w:hAnsi="Verdana" w:cs="Arial"/>
          <w:sz w:val="20"/>
          <w:szCs w:val="20"/>
          <w:lang w:val="es-MX"/>
        </w:rPr>
      </w:pPr>
    </w:p>
    <w:p w14:paraId="3048F865" w14:textId="77777777" w:rsidR="004705B2" w:rsidRPr="00E2397D" w:rsidRDefault="004705B2" w:rsidP="004705B2">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7A6E14FA" w14:textId="77777777" w:rsidR="004705B2" w:rsidRPr="00E2397D" w:rsidRDefault="004705B2" w:rsidP="004705B2">
      <w:pPr>
        <w:widowControl w:val="0"/>
        <w:autoSpaceDE w:val="0"/>
        <w:autoSpaceDN w:val="0"/>
        <w:spacing w:after="0" w:line="276" w:lineRule="auto"/>
        <w:contextualSpacing/>
        <w:jc w:val="both"/>
        <w:rPr>
          <w:rFonts w:ascii="Verdana" w:eastAsia="Arial" w:hAnsi="Verdana" w:cs="Arial"/>
          <w:lang w:val="es-ES" w:eastAsia="es-ES" w:bidi="es-ES"/>
        </w:rPr>
      </w:pPr>
    </w:p>
    <w:p w14:paraId="6C27B64D" w14:textId="77777777" w:rsidR="004705B2" w:rsidRPr="00E2397D" w:rsidRDefault="004705B2" w:rsidP="004705B2">
      <w:pPr>
        <w:spacing w:after="120" w:line="276" w:lineRule="auto"/>
        <w:ind w:firstLine="709"/>
        <w:jc w:val="both"/>
        <w:rPr>
          <w:rFonts w:ascii="Verdana" w:eastAsia="Arial" w:hAnsi="Verdana" w:cs="Arial"/>
          <w:lang w:val="es-MX" w:eastAsia="es-ES" w:bidi="es-ES"/>
        </w:rPr>
      </w:pPr>
      <w:r w:rsidRPr="00E2397D">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E2397D">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4A898F00" w14:textId="77777777" w:rsidR="004705B2" w:rsidRPr="00E2397D" w:rsidRDefault="004705B2" w:rsidP="004705B2">
      <w:pPr>
        <w:spacing w:after="0" w:line="276" w:lineRule="auto"/>
        <w:ind w:firstLine="709"/>
        <w:jc w:val="both"/>
      </w:pPr>
      <w:r w:rsidRPr="00E2397D">
        <w:rPr>
          <w:rFonts w:ascii="Verdana" w:eastAsia="Arial" w:hAnsi="Verdana" w:cs="Arial"/>
          <w:lang w:val="es-MX" w:eastAsia="es-ES" w:bidi="es-ES"/>
        </w:rPr>
        <w:t xml:space="preserve">No obstante, conviene señalar que, mediante auto de 4 de octubre del 2024, el Consejo de Estado, Sección Tercera, decretó medida de suspensión provisional parcial del </w:t>
      </w:r>
      <w:r w:rsidRPr="00E2397D">
        <w:rPr>
          <w:rFonts w:ascii="Verdana" w:hAnsi="Verdana"/>
        </w:rPr>
        <w:t>numeral 16.2 de la Circular Externa Única de 2022 expedida por la Agencia Nacional de Contratación Pública -Colombia Compra Eficiente-, concretamente, respecto de los siguientes apartes normativos</w:t>
      </w:r>
      <w:r w:rsidRPr="00E2397D">
        <w:rPr>
          <w:rFonts w:ascii="Verdana" w:hAnsi="Verdana"/>
          <w:vertAlign w:val="superscript"/>
        </w:rPr>
        <w:footnoteReference w:id="20"/>
      </w:r>
      <w:r w:rsidRPr="00E2397D">
        <w:rPr>
          <w:rFonts w:ascii="Verdana" w:hAnsi="Verdana"/>
        </w:rPr>
        <w:t>:</w:t>
      </w:r>
      <w:r w:rsidRPr="00E2397D">
        <w:t xml:space="preserve"> </w:t>
      </w:r>
    </w:p>
    <w:p w14:paraId="1A3FC38D" w14:textId="77777777" w:rsidR="004705B2" w:rsidRPr="00E2397D" w:rsidRDefault="004705B2" w:rsidP="004705B2">
      <w:pPr>
        <w:spacing w:after="0" w:line="276" w:lineRule="auto"/>
        <w:ind w:firstLine="709"/>
        <w:jc w:val="both"/>
      </w:pPr>
    </w:p>
    <w:p w14:paraId="1B3DB5D1" w14:textId="77777777" w:rsidR="004705B2" w:rsidRPr="00E2397D" w:rsidRDefault="004705B2" w:rsidP="004705B2">
      <w:pPr>
        <w:spacing w:after="0" w:line="240" w:lineRule="auto"/>
        <w:ind w:left="709" w:right="709"/>
        <w:jc w:val="both"/>
        <w:rPr>
          <w:rFonts w:ascii="Verdana" w:eastAsia="Calibri" w:hAnsi="Verdana" w:cs="Arial"/>
          <w:sz w:val="20"/>
          <w:szCs w:val="20"/>
        </w:rPr>
      </w:pPr>
      <w:r w:rsidRPr="00E2397D">
        <w:rPr>
          <w:rFonts w:ascii="Verdana" w:eastAsia="Calibri" w:hAnsi="Verdana" w:cs="Arial"/>
          <w:sz w:val="20"/>
          <w:szCs w:val="20"/>
          <w:lang w:val="es-MX"/>
        </w:rPr>
        <w:t>i)</w:t>
      </w:r>
      <w:r w:rsidRPr="00E2397D">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2974D23E" w14:textId="77777777" w:rsidR="004705B2" w:rsidRPr="00E2397D" w:rsidRDefault="004705B2" w:rsidP="004705B2">
      <w:pPr>
        <w:spacing w:after="0" w:line="240" w:lineRule="auto"/>
        <w:ind w:left="709" w:right="709"/>
        <w:jc w:val="both"/>
        <w:rPr>
          <w:rFonts w:ascii="Verdana" w:eastAsia="Calibri" w:hAnsi="Verdana" w:cs="Arial"/>
          <w:sz w:val="20"/>
          <w:szCs w:val="20"/>
        </w:rPr>
      </w:pPr>
    </w:p>
    <w:p w14:paraId="01B25AA9" w14:textId="77777777" w:rsidR="004705B2" w:rsidRPr="00E2397D" w:rsidRDefault="004705B2" w:rsidP="004705B2">
      <w:pPr>
        <w:spacing w:after="0" w:line="240" w:lineRule="auto"/>
        <w:ind w:left="709" w:right="709"/>
        <w:jc w:val="both"/>
        <w:rPr>
          <w:rFonts w:ascii="Verdana" w:hAnsi="Verdana"/>
          <w:sz w:val="20"/>
          <w:szCs w:val="20"/>
        </w:rPr>
      </w:pPr>
      <w:proofErr w:type="spellStart"/>
      <w:r w:rsidRPr="00E2397D">
        <w:rPr>
          <w:rFonts w:ascii="Verdana" w:hAnsi="Verdana"/>
          <w:sz w:val="20"/>
          <w:szCs w:val="20"/>
        </w:rPr>
        <w:t>ii</w:t>
      </w:r>
      <w:proofErr w:type="spellEnd"/>
      <w:r w:rsidRPr="00E2397D">
        <w:rPr>
          <w:rFonts w:ascii="Verdana" w:hAnsi="Verdana"/>
          <w:sz w:val="20"/>
          <w:szCs w:val="20"/>
        </w:rPr>
        <w:t xml:space="preserve">) la expresión y el siguiente párrafo contenidos en el inciso cuarto “contratos” y “En este sentido, la prohibición que establece el parágrafo </w:t>
      </w:r>
      <w:r w:rsidRPr="00E2397D">
        <w:rPr>
          <w:rFonts w:ascii="Verdana" w:hAnsi="Verdana"/>
          <w:sz w:val="20"/>
          <w:szCs w:val="20"/>
        </w:rPr>
        <w:lastRenderedPageBreak/>
        <w:t xml:space="preserve">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324CB979" w14:textId="77777777" w:rsidR="004705B2" w:rsidRPr="00E2397D" w:rsidRDefault="004705B2" w:rsidP="004705B2">
      <w:pPr>
        <w:spacing w:after="0" w:line="276" w:lineRule="auto"/>
        <w:ind w:left="709" w:right="709"/>
        <w:jc w:val="both"/>
        <w:rPr>
          <w:rFonts w:ascii="Verdana" w:hAnsi="Verdana"/>
        </w:rPr>
      </w:pPr>
    </w:p>
    <w:p w14:paraId="447413A7" w14:textId="77777777" w:rsidR="004705B2" w:rsidRPr="00E2397D" w:rsidRDefault="004705B2" w:rsidP="004705B2">
      <w:pPr>
        <w:spacing w:after="120" w:line="276" w:lineRule="auto"/>
        <w:ind w:firstLine="709"/>
        <w:jc w:val="both"/>
        <w:rPr>
          <w:rFonts w:ascii="Verdana" w:eastAsia="Arial" w:hAnsi="Verdana" w:cs="Arial"/>
          <w:i/>
          <w:iCs/>
          <w:lang w:val="es-MX" w:eastAsia="es-ES" w:bidi="es-ES"/>
        </w:rPr>
      </w:pPr>
      <w:r w:rsidRPr="00E2397D">
        <w:rPr>
          <w:rFonts w:ascii="Verdana" w:eastAsia="Arial" w:hAnsi="Verdana" w:cs="Arial"/>
          <w:lang w:val="es-MX" w:eastAsia="es-ES" w:bidi="es-ES"/>
        </w:rPr>
        <w:t xml:space="preserve">De conformidad con los argumentos de dicha providencia, se parte de la distinción entre los conceptos </w:t>
      </w:r>
      <w:r w:rsidRPr="00E2397D">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E2397D">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E2397D">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E2397D">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3422BD18" w14:textId="77777777" w:rsidR="004705B2" w:rsidRPr="00E2397D" w:rsidRDefault="004705B2" w:rsidP="004705B2">
      <w:pPr>
        <w:spacing w:after="120" w:line="276" w:lineRule="auto"/>
        <w:ind w:firstLine="709"/>
        <w:jc w:val="both"/>
        <w:rPr>
          <w:rFonts w:ascii="Verdana" w:eastAsia="Calibri" w:hAnsi="Verdana" w:cs="Arial"/>
          <w:lang w:val="es-MX"/>
        </w:rPr>
      </w:pPr>
      <w:r w:rsidRPr="00E2397D">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E2397D">
        <w:rPr>
          <w:rFonts w:ascii="Verdana" w:eastAsia="Arial" w:hAnsi="Verdana" w:cs="Arial"/>
          <w:lang w:eastAsia="es-ES" w:bidi="es-ES"/>
        </w:rPr>
        <w:t>16.2 de la Circular Externa Única</w:t>
      </w:r>
      <w:r w:rsidRPr="00E2397D">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E2397D">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E2397D">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33BD09E0" w14:textId="77777777" w:rsidR="004705B2" w:rsidRPr="00E2397D" w:rsidRDefault="004705B2" w:rsidP="004705B2">
      <w:pPr>
        <w:spacing w:after="120" w:line="276" w:lineRule="auto"/>
        <w:ind w:firstLine="709"/>
        <w:jc w:val="both"/>
        <w:rPr>
          <w:rFonts w:ascii="Verdana" w:eastAsia="Arial" w:hAnsi="Verdana" w:cs="Arial"/>
          <w:lang w:val="es-MX" w:eastAsia="es-ES" w:bidi="es-ES"/>
        </w:rPr>
      </w:pPr>
      <w:r w:rsidRPr="00E2397D">
        <w:rPr>
          <w:rFonts w:ascii="Verdana" w:eastAsia="Calibri" w:hAnsi="Verdana" w:cs="Arial"/>
        </w:rPr>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E2397D">
        <w:rPr>
          <w:rFonts w:ascii="Verdana" w:eastAsia="Arial" w:hAnsi="Verdana" w:cs="Arial"/>
          <w:lang w:eastAsia="es-ES" w:bidi="es-ES"/>
        </w:rPr>
        <w:t xml:space="preserve">16.2 de la Circular Externa </w:t>
      </w:r>
      <w:r w:rsidRPr="00E2397D">
        <w:rPr>
          <w:rFonts w:ascii="Verdana" w:eastAsia="Arial" w:hAnsi="Verdana" w:cs="Arial"/>
          <w:lang w:eastAsia="es-ES" w:bidi="es-ES"/>
        </w:rPr>
        <w:lastRenderedPageBreak/>
        <w:t xml:space="preserve">Única. Al señalar que los contratos interadministrativos deberían estar sujetos a las restricciones consagradas en el parágrafo del artículo 38, la Agencia busca proteger la transparencia, igualdad e integridad del proceso electoral. Así las cosas, </w:t>
      </w:r>
      <w:r w:rsidRPr="00E2397D">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7630AD24" w14:textId="77777777" w:rsidR="004705B2" w:rsidRDefault="004705B2" w:rsidP="004705B2">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 xml:space="preserve">, 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w:t>
      </w:r>
      <w:r>
        <w:rPr>
          <w:rFonts w:ascii="Verdana" w:eastAsia="Times New Roman" w:hAnsi="Verdana" w:cs="Arial"/>
          <w:lang w:val="es-MX" w:eastAsia="es-CO"/>
        </w:rPr>
        <w:t xml:space="preserve">istrativos. </w:t>
      </w:r>
    </w:p>
    <w:p w14:paraId="29BB8635" w14:textId="6CBC13D1" w:rsidR="0017675F" w:rsidRPr="003D0447" w:rsidRDefault="006D6D9D" w:rsidP="003D0447">
      <w:pPr>
        <w:spacing w:after="120" w:line="276" w:lineRule="auto"/>
        <w:ind w:firstLine="708"/>
        <w:jc w:val="both"/>
        <w:rPr>
          <w:rFonts w:ascii="Verdana" w:eastAsia="Times New Roman" w:hAnsi="Verdana" w:cs="Arial"/>
          <w:bCs/>
          <w:lang w:eastAsia="x-none"/>
        </w:rPr>
      </w:pPr>
      <w:r w:rsidRPr="00345E20">
        <w:rPr>
          <w:rFonts w:ascii="Verdana" w:eastAsia="Times New Roman" w:hAnsi="Verdana" w:cs="Arial"/>
          <w:bCs/>
          <w:lang w:eastAsia="x-none"/>
        </w:rPr>
        <w:t xml:space="preserve">Ahora bien, con el fin de dar respuesta a su consulta, a continuación, se </w:t>
      </w:r>
      <w:r w:rsidR="003E408C" w:rsidRPr="00345E20">
        <w:rPr>
          <w:rFonts w:ascii="Verdana" w:eastAsia="Times New Roman" w:hAnsi="Verdana" w:cs="Arial"/>
          <w:bCs/>
          <w:lang w:eastAsia="x-none"/>
        </w:rPr>
        <w:t>analizará</w:t>
      </w:r>
      <w:r w:rsidRPr="00345E20">
        <w:rPr>
          <w:rFonts w:ascii="Verdana" w:eastAsia="Times New Roman" w:hAnsi="Verdana" w:cs="Arial"/>
          <w:bCs/>
          <w:lang w:eastAsia="x-none"/>
        </w:rPr>
        <w:t xml:space="preserve"> la a</w:t>
      </w:r>
      <w:r w:rsidR="0017675F" w:rsidRPr="003D0447">
        <w:rPr>
          <w:rFonts w:ascii="Verdana" w:hAnsi="Verdana" w:cs="Arial"/>
          <w:bCs/>
          <w:color w:val="000000" w:themeColor="text1"/>
          <w:lang w:eastAsia="es-ES_tradnl"/>
        </w:rPr>
        <w:t xml:space="preserve">plicación de la Ley de Garantías Electorales a las universidades públicas y establecimientos públicos de educación superior públicos </w:t>
      </w:r>
      <w:r w:rsidR="0017675F" w:rsidRPr="003D0447">
        <w:rPr>
          <w:rFonts w:ascii="Verdana" w:hAnsi="Verdana" w:cs="Arial"/>
        </w:rPr>
        <w:t>La Constitución Política de Colombia consagra en el artículo 69, por una parte, una garantía de autonomía para que las universidades establezcan sus directivas y sus estatutos de acuerdo con la ley; y por otra, la posibilidad de que cuenten con un régimen especial que corresponde dictar al Congreso</w:t>
      </w:r>
      <w:r w:rsidR="0017675F" w:rsidRPr="003D0447">
        <w:rPr>
          <w:rFonts w:ascii="Verdana" w:hAnsi="Verdana" w:cs="Arial"/>
          <w:vertAlign w:val="superscript"/>
        </w:rPr>
        <w:footnoteReference w:id="21"/>
      </w:r>
      <w:r w:rsidR="0017675F" w:rsidRPr="003D0447">
        <w:rPr>
          <w:rFonts w:ascii="Verdana" w:hAnsi="Verdana" w:cs="Arial"/>
          <w:vertAlign w:val="subscript"/>
        </w:rPr>
        <w:t>.</w:t>
      </w:r>
    </w:p>
    <w:p w14:paraId="1A187007" w14:textId="51E9A072" w:rsidR="0017675F" w:rsidRPr="003D0447" w:rsidRDefault="0017675F" w:rsidP="003D0447">
      <w:pPr>
        <w:spacing w:after="120" w:line="276" w:lineRule="auto"/>
        <w:ind w:firstLine="708"/>
        <w:jc w:val="both"/>
        <w:rPr>
          <w:rFonts w:ascii="Verdana" w:hAnsi="Verdana" w:cs="Arial"/>
          <w:lang w:val="es-MX"/>
        </w:rPr>
      </w:pPr>
      <w:r w:rsidRPr="003D0447">
        <w:rPr>
          <w:rFonts w:ascii="Verdana" w:hAnsi="Verdana" w:cs="Arial"/>
          <w:lang w:val="es-MX"/>
        </w:rPr>
        <w:t>En desarrollo de lo anterior, se expidió la Ley 30 de 1992, mediante la cual se regularon aspectos como la naturaleza jurídica de las universidades estatales y oficiales, la forma de organizarse y el régimen de contratación aplicable. Así mismo, en el artículo 57 se consignó que e</w:t>
      </w:r>
      <w:r w:rsidRPr="003D0447">
        <w:rPr>
          <w:rFonts w:ascii="Verdana" w:hAnsi="Verdana" w:cs="Arial"/>
        </w:rPr>
        <w:t>l carácter especial del régimen de las universidades estatales u oficiales comprende, entre otros aspectos, el régimen de contratación</w:t>
      </w:r>
      <w:r w:rsidRPr="003D0447">
        <w:rPr>
          <w:rFonts w:ascii="Verdana" w:hAnsi="Verdana" w:cs="Arial"/>
          <w:vertAlign w:val="superscript"/>
          <w:lang w:val="es-MX"/>
        </w:rPr>
        <w:footnoteReference w:id="22"/>
      </w:r>
      <w:r w:rsidRPr="003D0447">
        <w:rPr>
          <w:rFonts w:ascii="Verdana" w:hAnsi="Verdana" w:cs="Arial"/>
        </w:rPr>
        <w:t xml:space="preserve">. En concordancia con esto, el artículo 93 estableció que los contratos que </w:t>
      </w:r>
      <w:r w:rsidRPr="003D0447">
        <w:rPr>
          <w:rFonts w:ascii="Verdana" w:hAnsi="Verdana" w:cs="Arial"/>
          <w:lang w:val="es-MX"/>
        </w:rPr>
        <w:t>celebren las universidades estatales u oficiales se regirán por las normas del derecho privado</w:t>
      </w:r>
      <w:r w:rsidRPr="003D0447">
        <w:rPr>
          <w:rFonts w:ascii="Verdana" w:hAnsi="Verdana" w:cs="Arial"/>
          <w:vertAlign w:val="superscript"/>
          <w:lang w:val="es-MX"/>
        </w:rPr>
        <w:footnoteReference w:id="23"/>
      </w:r>
      <w:r w:rsidRPr="003D0447">
        <w:rPr>
          <w:rFonts w:ascii="Verdana" w:hAnsi="Verdana" w:cs="Arial"/>
          <w:lang w:val="es-MX"/>
        </w:rPr>
        <w:t xml:space="preserve">. </w:t>
      </w:r>
    </w:p>
    <w:p w14:paraId="368E8F0A" w14:textId="04712546" w:rsidR="0017675F" w:rsidRPr="003D0447" w:rsidRDefault="0017675F" w:rsidP="003D0447">
      <w:pPr>
        <w:widowControl w:val="0"/>
        <w:autoSpaceDE w:val="0"/>
        <w:autoSpaceDN w:val="0"/>
        <w:spacing w:before="120" w:after="0" w:line="276" w:lineRule="auto"/>
        <w:ind w:firstLine="708"/>
        <w:jc w:val="both"/>
        <w:rPr>
          <w:rFonts w:ascii="Verdana" w:eastAsia="Arial" w:hAnsi="Verdana" w:cs="Arial"/>
          <w:lang w:val="es-ES"/>
        </w:rPr>
      </w:pPr>
      <w:r w:rsidRPr="003D0447">
        <w:rPr>
          <w:rFonts w:ascii="Verdana" w:eastAsia="Arial" w:hAnsi="Verdana" w:cs="Arial"/>
          <w:lang w:val="es-ES"/>
        </w:rPr>
        <w:t xml:space="preserve">De otro lado, la Ley 489 de 1998, al desarrollar la estructura y organización de la Administración Pública, establece que los entes universitarios </w:t>
      </w:r>
      <w:r w:rsidRPr="003D0447">
        <w:rPr>
          <w:rFonts w:ascii="Verdana" w:eastAsia="Arial" w:hAnsi="Verdana" w:cs="Arial"/>
          <w:lang w:val="es-ES"/>
        </w:rPr>
        <w:lastRenderedPageBreak/>
        <w:t>hacen parte integral de esta</w:t>
      </w:r>
      <w:r w:rsidRPr="003D0447">
        <w:rPr>
          <w:rFonts w:ascii="Verdana" w:eastAsia="Arial" w:hAnsi="Verdana" w:cs="Arial"/>
          <w:vertAlign w:val="superscript"/>
          <w:lang w:val="es-ES"/>
        </w:rPr>
        <w:footnoteReference w:id="24"/>
      </w:r>
      <w:r w:rsidRPr="003D0447">
        <w:rPr>
          <w:rFonts w:ascii="Verdana" w:eastAsia="Arial" w:hAnsi="Verdana" w:cs="Arial"/>
          <w:lang w:val="es-ES"/>
        </w:rPr>
        <w:t>, catalogándolos como entidades públicas de carácter autónomo a las que aplica un régimen especial</w:t>
      </w:r>
      <w:r w:rsidRPr="003D0447">
        <w:rPr>
          <w:rFonts w:ascii="Verdana" w:eastAsia="Arial" w:hAnsi="Verdana" w:cs="Arial"/>
          <w:vertAlign w:val="superscript"/>
          <w:lang w:val="es-ES"/>
        </w:rPr>
        <w:footnoteReference w:id="25"/>
      </w:r>
      <w:r w:rsidRPr="003D0447">
        <w:rPr>
          <w:rFonts w:ascii="Verdana" w:eastAsia="Arial" w:hAnsi="Verdana" w:cs="Arial"/>
          <w:lang w:val="es-ES"/>
        </w:rPr>
        <w:t>. Al respecto, en la sentencia C-1019 de 2012, la Corte Constitucional señaló:</w:t>
      </w:r>
    </w:p>
    <w:p w14:paraId="16124BF3" w14:textId="77777777" w:rsidR="0017675F" w:rsidRPr="003D0447" w:rsidRDefault="0017675F" w:rsidP="003D0447">
      <w:pPr>
        <w:widowControl w:val="0"/>
        <w:autoSpaceDE w:val="0"/>
        <w:autoSpaceDN w:val="0"/>
        <w:spacing w:after="0"/>
        <w:ind w:left="709" w:right="709"/>
        <w:jc w:val="both"/>
        <w:rPr>
          <w:rFonts w:ascii="Verdana" w:eastAsia="Arial" w:hAnsi="Verdana" w:cs="Arial"/>
          <w:sz w:val="21"/>
          <w:szCs w:val="21"/>
          <w:lang w:val="es-ES"/>
        </w:rPr>
      </w:pPr>
    </w:p>
    <w:p w14:paraId="56F87088" w14:textId="413A3260" w:rsidR="0017675F" w:rsidRDefault="009B7048" w:rsidP="009B7048">
      <w:pPr>
        <w:widowControl w:val="0"/>
        <w:autoSpaceDE w:val="0"/>
        <w:autoSpaceDN w:val="0"/>
        <w:spacing w:after="0" w:line="240" w:lineRule="auto"/>
        <w:ind w:left="709" w:right="709"/>
        <w:jc w:val="both"/>
        <w:rPr>
          <w:rFonts w:ascii="Verdana" w:eastAsia="Arial" w:hAnsi="Verdana" w:cs="Arial"/>
          <w:sz w:val="20"/>
          <w:szCs w:val="20"/>
          <w:lang w:val="es-ES"/>
        </w:rPr>
      </w:pPr>
      <w:r w:rsidRPr="003D0447">
        <w:rPr>
          <w:rFonts w:ascii="Verdana" w:eastAsia="Arial" w:hAnsi="Verdana" w:cs="Arial"/>
          <w:sz w:val="20"/>
          <w:szCs w:val="20"/>
          <w:lang w:val="es-ES"/>
        </w:rPr>
        <w:t>“</w:t>
      </w:r>
      <w:r w:rsidR="0017675F" w:rsidRPr="003D0447">
        <w:rPr>
          <w:rFonts w:ascii="Verdana" w:eastAsia="Arial" w:hAnsi="Verdana" w:cs="Arial"/>
          <w:sz w:val="20"/>
          <w:szCs w:val="20"/>
          <w:lang w:val="es-ES"/>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0017675F" w:rsidRPr="003D0447">
        <w:rPr>
          <w:rFonts w:ascii="Verdana" w:eastAsia="Arial" w:hAnsi="Verdana" w:cs="Arial"/>
          <w:spacing w:val="49"/>
          <w:sz w:val="20"/>
          <w:szCs w:val="20"/>
          <w:lang w:val="es-ES"/>
        </w:rPr>
        <w:t xml:space="preserve"> </w:t>
      </w:r>
      <w:r w:rsidR="0017675F" w:rsidRPr="003D0447">
        <w:rPr>
          <w:rFonts w:ascii="Verdana" w:eastAsia="Arial" w:hAnsi="Verdana" w:cs="Arial"/>
          <w:sz w:val="20"/>
          <w:szCs w:val="20"/>
          <w:lang w:val="es-ES"/>
        </w:rPr>
        <w:t>exige el cumplimiento de la obligación de colaboración armónica consagrado en el artículo 113 de la C.P. para el cumplimiento de las funciones del Estado.</w:t>
      </w:r>
    </w:p>
    <w:p w14:paraId="5BA4400D" w14:textId="77777777" w:rsidR="009B7048" w:rsidRPr="003D0447" w:rsidRDefault="009B7048" w:rsidP="003D0447">
      <w:pPr>
        <w:widowControl w:val="0"/>
        <w:autoSpaceDE w:val="0"/>
        <w:autoSpaceDN w:val="0"/>
        <w:spacing w:after="0" w:line="240" w:lineRule="auto"/>
        <w:ind w:left="709" w:right="709"/>
        <w:jc w:val="both"/>
        <w:rPr>
          <w:rFonts w:ascii="Verdana" w:eastAsia="Arial" w:hAnsi="Verdana" w:cs="Arial"/>
          <w:sz w:val="20"/>
          <w:szCs w:val="20"/>
          <w:lang w:val="es-ES"/>
        </w:rPr>
      </w:pPr>
    </w:p>
    <w:p w14:paraId="140207A5" w14:textId="26102426" w:rsidR="0017675F" w:rsidRPr="003D0447" w:rsidRDefault="0017675F" w:rsidP="003D0447">
      <w:pPr>
        <w:widowControl w:val="0"/>
        <w:autoSpaceDE w:val="0"/>
        <w:autoSpaceDN w:val="0"/>
        <w:spacing w:after="0" w:line="240" w:lineRule="auto"/>
        <w:ind w:left="709" w:right="709"/>
        <w:jc w:val="both"/>
        <w:rPr>
          <w:rFonts w:ascii="Verdana" w:eastAsia="Arial" w:hAnsi="Verdana" w:cs="Arial"/>
          <w:sz w:val="20"/>
          <w:szCs w:val="20"/>
          <w:lang w:val="es-ES"/>
        </w:rPr>
      </w:pPr>
      <w:r w:rsidRPr="003D0447">
        <w:rPr>
          <w:rFonts w:ascii="Verdana" w:eastAsia="Arial" w:hAnsi="Verdana" w:cs="Arial"/>
          <w:sz w:val="20"/>
          <w:szCs w:val="20"/>
          <w:lang w:val="es-ES"/>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3D0447">
        <w:rPr>
          <w:rFonts w:ascii="Verdana" w:eastAsia="Arial" w:hAnsi="Verdana" w:cs="Arial"/>
          <w:sz w:val="20"/>
          <w:szCs w:val="20"/>
          <w:vertAlign w:val="superscript"/>
          <w:lang w:val="es-ES"/>
        </w:rPr>
        <w:footnoteReference w:id="26"/>
      </w:r>
      <w:r w:rsidRPr="003D0447">
        <w:rPr>
          <w:rFonts w:ascii="Verdana" w:eastAsia="Arial" w:hAnsi="Verdana" w:cs="Arial"/>
          <w:sz w:val="20"/>
          <w:szCs w:val="20"/>
          <w:lang w:val="es-ES"/>
        </w:rPr>
        <w:t>. De esta manera se pretende preservar a las universidades públicas y oficiales, de las injerencias e interferencias arbitrarias e indebidas del poder</w:t>
      </w:r>
      <w:r w:rsidRPr="003D0447">
        <w:rPr>
          <w:rFonts w:ascii="Verdana" w:eastAsia="Arial" w:hAnsi="Verdana" w:cs="Arial"/>
          <w:spacing w:val="-6"/>
          <w:sz w:val="20"/>
          <w:szCs w:val="20"/>
          <w:lang w:val="es-ES"/>
        </w:rPr>
        <w:t xml:space="preserve"> </w:t>
      </w:r>
      <w:r w:rsidRPr="003D0447">
        <w:rPr>
          <w:rFonts w:ascii="Verdana" w:eastAsia="Arial" w:hAnsi="Verdana" w:cs="Arial"/>
          <w:sz w:val="20"/>
          <w:szCs w:val="20"/>
          <w:lang w:val="es-ES"/>
        </w:rPr>
        <w:t>político</w:t>
      </w:r>
      <w:r w:rsidR="009B7048" w:rsidRPr="003D0447">
        <w:rPr>
          <w:rFonts w:ascii="Verdana" w:eastAsia="Arial" w:hAnsi="Verdana" w:cs="Arial"/>
          <w:sz w:val="20"/>
          <w:szCs w:val="20"/>
          <w:lang w:val="es-ES"/>
        </w:rPr>
        <w:t>”</w:t>
      </w:r>
      <w:r w:rsidRPr="003D0447">
        <w:rPr>
          <w:rFonts w:ascii="Verdana" w:eastAsia="Arial" w:hAnsi="Verdana" w:cs="Arial"/>
          <w:sz w:val="20"/>
          <w:szCs w:val="20"/>
          <w:vertAlign w:val="superscript"/>
          <w:lang w:val="es-ES"/>
        </w:rPr>
        <w:footnoteReference w:id="27"/>
      </w:r>
      <w:r w:rsidR="009B7048" w:rsidRPr="003D0447">
        <w:rPr>
          <w:rFonts w:ascii="Verdana" w:eastAsia="Arial" w:hAnsi="Verdana" w:cs="Arial"/>
          <w:sz w:val="20"/>
          <w:szCs w:val="20"/>
          <w:lang w:val="es-ES"/>
        </w:rPr>
        <w:t>.</w:t>
      </w:r>
    </w:p>
    <w:p w14:paraId="2CEC108C" w14:textId="77777777" w:rsidR="0017675F" w:rsidRPr="003D0447" w:rsidRDefault="0017675F" w:rsidP="003D0447">
      <w:pPr>
        <w:widowControl w:val="0"/>
        <w:autoSpaceDE w:val="0"/>
        <w:autoSpaceDN w:val="0"/>
        <w:spacing w:after="0" w:line="276" w:lineRule="auto"/>
        <w:jc w:val="both"/>
        <w:rPr>
          <w:rFonts w:ascii="Verdana" w:eastAsia="Arial" w:hAnsi="Verdana" w:cs="Arial"/>
          <w:lang w:val="es-ES"/>
        </w:rPr>
      </w:pPr>
    </w:p>
    <w:p w14:paraId="774388E6" w14:textId="77777777" w:rsidR="0017675F" w:rsidRPr="003D0447" w:rsidRDefault="0017675F" w:rsidP="003D0447">
      <w:pPr>
        <w:widowControl w:val="0"/>
        <w:autoSpaceDE w:val="0"/>
        <w:autoSpaceDN w:val="0"/>
        <w:spacing w:after="0" w:line="276" w:lineRule="auto"/>
        <w:ind w:firstLine="527"/>
        <w:jc w:val="both"/>
        <w:rPr>
          <w:rFonts w:ascii="Verdana" w:eastAsia="Arial" w:hAnsi="Verdana" w:cs="Arial"/>
          <w:lang w:val="es-ES"/>
        </w:rPr>
      </w:pPr>
      <w:r w:rsidRPr="003D0447">
        <w:rPr>
          <w:rFonts w:ascii="Verdana" w:eastAsia="Arial" w:hAnsi="Verdana" w:cs="Arial"/>
          <w:lang w:val="es-ES"/>
        </w:rPr>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3D0447">
        <w:rPr>
          <w:rFonts w:ascii="Verdana" w:eastAsia="Arial" w:hAnsi="Verdana" w:cs="Arial"/>
          <w:vertAlign w:val="superscript"/>
          <w:lang w:val="es-ES"/>
        </w:rPr>
        <w:footnoteReference w:id="28"/>
      </w:r>
      <w:r w:rsidRPr="003D0447">
        <w:rPr>
          <w:rFonts w:ascii="Verdana" w:eastAsia="Arial" w:hAnsi="Verdana" w:cs="Arial"/>
          <w:lang w:val="es-ES"/>
        </w:rPr>
        <w:t>:</w:t>
      </w:r>
    </w:p>
    <w:p w14:paraId="74E7C8AD" w14:textId="77777777" w:rsidR="0017675F" w:rsidRPr="003D0447" w:rsidRDefault="0017675F" w:rsidP="003D0447">
      <w:pPr>
        <w:widowControl w:val="0"/>
        <w:autoSpaceDE w:val="0"/>
        <w:autoSpaceDN w:val="0"/>
        <w:spacing w:after="0" w:line="276" w:lineRule="auto"/>
        <w:rPr>
          <w:rFonts w:ascii="Verdana" w:eastAsia="Arial" w:hAnsi="Verdana" w:cs="Arial"/>
          <w:lang w:val="es-ES"/>
        </w:rPr>
      </w:pPr>
    </w:p>
    <w:p w14:paraId="7B0A8F0D" w14:textId="3F9FB476" w:rsidR="0017675F" w:rsidRPr="003D0447" w:rsidRDefault="009B7048" w:rsidP="003D0447">
      <w:pPr>
        <w:widowControl w:val="0"/>
        <w:autoSpaceDE w:val="0"/>
        <w:autoSpaceDN w:val="0"/>
        <w:spacing w:after="0" w:line="240" w:lineRule="auto"/>
        <w:ind w:left="709" w:right="709"/>
        <w:jc w:val="both"/>
        <w:rPr>
          <w:rFonts w:ascii="Verdana" w:eastAsia="Arial" w:hAnsi="Verdana" w:cs="Arial"/>
          <w:sz w:val="20"/>
          <w:szCs w:val="20"/>
          <w:lang w:val="es-ES"/>
        </w:rPr>
      </w:pPr>
      <w:r w:rsidRPr="003D0447">
        <w:rPr>
          <w:rFonts w:ascii="Verdana" w:eastAsia="Arial" w:hAnsi="Verdana" w:cs="Arial"/>
          <w:sz w:val="20"/>
          <w:szCs w:val="20"/>
          <w:lang w:val="es-ES"/>
        </w:rPr>
        <w:t>“</w:t>
      </w:r>
      <w:r w:rsidR="0017675F" w:rsidRPr="003D0447">
        <w:rPr>
          <w:rFonts w:ascii="Verdana" w:eastAsia="Arial" w:hAnsi="Verdana" w:cs="Arial"/>
          <w:sz w:val="20"/>
          <w:szCs w:val="20"/>
          <w:lang w:val="es-ES"/>
        </w:rPr>
        <w:t xml:space="preserve">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w:t>
      </w:r>
      <w:r w:rsidR="0017675F" w:rsidRPr="003D0447">
        <w:rPr>
          <w:rFonts w:ascii="Verdana" w:eastAsia="Arial" w:hAnsi="Verdana" w:cs="Arial"/>
          <w:sz w:val="20"/>
          <w:szCs w:val="20"/>
          <w:lang w:val="es-ES"/>
        </w:rPr>
        <w:lastRenderedPageBreak/>
        <w:t>establecimientos públicos, concepto que por sí mismo niega la autonomía.</w:t>
      </w:r>
    </w:p>
    <w:p w14:paraId="5F1EEFD0" w14:textId="77777777" w:rsidR="0017675F" w:rsidRPr="003D0447" w:rsidRDefault="0017675F" w:rsidP="003D0447">
      <w:pPr>
        <w:widowControl w:val="0"/>
        <w:autoSpaceDE w:val="0"/>
        <w:autoSpaceDN w:val="0"/>
        <w:spacing w:after="0" w:line="240" w:lineRule="auto"/>
        <w:ind w:left="709" w:right="709"/>
        <w:rPr>
          <w:rFonts w:ascii="Verdana" w:eastAsia="Arial" w:hAnsi="Verdana" w:cs="Arial"/>
          <w:sz w:val="20"/>
          <w:szCs w:val="20"/>
          <w:lang w:val="es-ES"/>
        </w:rPr>
      </w:pPr>
      <w:r w:rsidRPr="003D0447">
        <w:rPr>
          <w:rFonts w:ascii="Verdana" w:eastAsia="Arial" w:hAnsi="Verdana" w:cs="Arial"/>
          <w:sz w:val="20"/>
          <w:szCs w:val="20"/>
          <w:lang w:val="es-ES"/>
        </w:rPr>
        <w:t>[…]</w:t>
      </w:r>
    </w:p>
    <w:p w14:paraId="40E2F5C6" w14:textId="77777777" w:rsidR="0017675F" w:rsidRPr="003D0447" w:rsidRDefault="0017675F" w:rsidP="003D0447">
      <w:pPr>
        <w:widowControl w:val="0"/>
        <w:autoSpaceDE w:val="0"/>
        <w:autoSpaceDN w:val="0"/>
        <w:spacing w:after="0" w:line="240" w:lineRule="auto"/>
        <w:ind w:left="709" w:right="709"/>
        <w:jc w:val="both"/>
        <w:rPr>
          <w:rFonts w:ascii="Verdana" w:eastAsia="Arial" w:hAnsi="Verdana" w:cs="Arial"/>
          <w:sz w:val="20"/>
          <w:szCs w:val="20"/>
          <w:lang w:val="es-ES"/>
        </w:rPr>
      </w:pPr>
      <w:r w:rsidRPr="003D0447">
        <w:rPr>
          <w:rFonts w:ascii="Verdana" w:eastAsia="Arial" w:hAnsi="Verdana" w:cs="Arial"/>
          <w:sz w:val="20"/>
          <w:szCs w:val="20"/>
          <w:lang w:val="es-ES"/>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5DFB8664" w14:textId="77777777" w:rsidR="0017675F" w:rsidRPr="003D0447" w:rsidRDefault="0017675F" w:rsidP="003D0447">
      <w:pPr>
        <w:widowControl w:val="0"/>
        <w:autoSpaceDE w:val="0"/>
        <w:autoSpaceDN w:val="0"/>
        <w:spacing w:after="0" w:line="240" w:lineRule="auto"/>
        <w:ind w:left="709" w:right="709"/>
        <w:jc w:val="both"/>
        <w:rPr>
          <w:rFonts w:ascii="Verdana" w:eastAsia="Arial" w:hAnsi="Verdana" w:cs="Arial"/>
          <w:sz w:val="20"/>
          <w:szCs w:val="20"/>
          <w:lang w:val="es-ES"/>
        </w:rPr>
      </w:pPr>
      <w:r w:rsidRPr="003D0447">
        <w:rPr>
          <w:rFonts w:ascii="Verdana" w:eastAsia="Arial" w:hAnsi="Verdana" w:cs="Arial"/>
          <w:sz w:val="20"/>
          <w:szCs w:val="20"/>
          <w:lang w:val="es-ES"/>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p>
    <w:p w14:paraId="155FA5E3" w14:textId="77777777" w:rsidR="0017675F" w:rsidRPr="003D0447" w:rsidRDefault="0017675F" w:rsidP="003D0447">
      <w:pPr>
        <w:widowControl w:val="0"/>
        <w:autoSpaceDE w:val="0"/>
        <w:autoSpaceDN w:val="0"/>
        <w:spacing w:after="0" w:line="276" w:lineRule="auto"/>
        <w:jc w:val="both"/>
        <w:rPr>
          <w:rFonts w:ascii="Verdana" w:eastAsia="Arial" w:hAnsi="Verdana" w:cs="Arial"/>
          <w:lang w:val="es-ES"/>
        </w:rPr>
      </w:pPr>
    </w:p>
    <w:p w14:paraId="116BBD19" w14:textId="77777777" w:rsidR="0017675F" w:rsidRPr="003D0447" w:rsidRDefault="0017675F" w:rsidP="003D0447">
      <w:pPr>
        <w:widowControl w:val="0"/>
        <w:autoSpaceDE w:val="0"/>
        <w:autoSpaceDN w:val="0"/>
        <w:spacing w:after="0" w:line="276" w:lineRule="auto"/>
        <w:ind w:firstLine="528"/>
        <w:jc w:val="both"/>
        <w:rPr>
          <w:rFonts w:ascii="Verdana" w:eastAsia="Arial" w:hAnsi="Verdana" w:cs="Arial"/>
          <w:lang w:val="es-ES"/>
        </w:rPr>
      </w:pPr>
      <w:r w:rsidRPr="003D0447">
        <w:rPr>
          <w:rFonts w:ascii="Verdana" w:eastAsia="Arial" w:hAnsi="Verdana" w:cs="Arial"/>
          <w:lang w:val="es-ES"/>
        </w:rPr>
        <w:t>De este modo, la diferenciación entre universidades públicas y entidades descentralizadas radica, entre otras cosas, en la autonomía de la que aquellas gozan. Esto, en la medida en que a las universidades públicas no les aplica un elemento característico de la descentralización denominado control de tutela, sobre el cual, en sentencia C–727 del 21 de junio de 2000, la Corte Constitucional señaló:</w:t>
      </w:r>
    </w:p>
    <w:p w14:paraId="6D42346E" w14:textId="77777777" w:rsidR="0017675F" w:rsidRPr="003D0447" w:rsidRDefault="0017675F" w:rsidP="003D0447">
      <w:pPr>
        <w:widowControl w:val="0"/>
        <w:autoSpaceDE w:val="0"/>
        <w:autoSpaceDN w:val="0"/>
        <w:spacing w:after="0" w:line="276" w:lineRule="auto"/>
        <w:ind w:firstLine="528"/>
        <w:jc w:val="both"/>
        <w:rPr>
          <w:rFonts w:ascii="Verdana" w:eastAsia="Arial" w:hAnsi="Verdana" w:cs="Arial"/>
          <w:lang w:val="es-ES"/>
        </w:rPr>
      </w:pPr>
    </w:p>
    <w:p w14:paraId="1FE263B0" w14:textId="5EBE4DF0" w:rsidR="0017675F" w:rsidRPr="003D0447" w:rsidRDefault="009B7048" w:rsidP="003D0447">
      <w:pPr>
        <w:widowControl w:val="0"/>
        <w:autoSpaceDE w:val="0"/>
        <w:autoSpaceDN w:val="0"/>
        <w:spacing w:after="0" w:line="240" w:lineRule="auto"/>
        <w:ind w:left="709" w:right="709"/>
        <w:jc w:val="both"/>
        <w:rPr>
          <w:rFonts w:ascii="Verdana" w:eastAsia="Arial" w:hAnsi="Verdana" w:cs="Arial"/>
          <w:sz w:val="20"/>
          <w:szCs w:val="20"/>
          <w:lang w:val="es-ES"/>
        </w:rPr>
      </w:pPr>
      <w:r>
        <w:rPr>
          <w:rFonts w:ascii="Verdana" w:eastAsia="Arial" w:hAnsi="Verdana" w:cs="Arial"/>
          <w:sz w:val="20"/>
          <w:szCs w:val="20"/>
          <w:lang w:val="es-ES"/>
        </w:rPr>
        <w:t>“</w:t>
      </w:r>
      <w:r w:rsidR="0017675F" w:rsidRPr="003D0447">
        <w:rPr>
          <w:rFonts w:ascii="Verdana" w:eastAsia="Arial" w:hAnsi="Verdana" w:cs="Arial"/>
          <w:sz w:val="20"/>
          <w:szCs w:val="20"/>
          <w:lang w:val="es-ES"/>
        </w:rPr>
        <w:t>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 1968</w:t>
      </w:r>
      <w:r>
        <w:rPr>
          <w:rFonts w:ascii="Verdana" w:eastAsia="Arial" w:hAnsi="Verdana" w:cs="Arial"/>
          <w:sz w:val="20"/>
          <w:szCs w:val="20"/>
          <w:lang w:val="es-ES"/>
        </w:rPr>
        <w:t>”</w:t>
      </w:r>
      <w:r w:rsidR="0017675F" w:rsidRPr="003D0447">
        <w:rPr>
          <w:rFonts w:ascii="Verdana" w:eastAsia="Arial" w:hAnsi="Verdana" w:cs="Arial"/>
          <w:sz w:val="20"/>
          <w:szCs w:val="20"/>
          <w:lang w:val="es-ES"/>
        </w:rPr>
        <w:t>.</w:t>
      </w:r>
    </w:p>
    <w:p w14:paraId="4B171700" w14:textId="77777777" w:rsidR="0017675F" w:rsidRPr="003D0447" w:rsidRDefault="0017675F" w:rsidP="003D0447">
      <w:pPr>
        <w:widowControl w:val="0"/>
        <w:autoSpaceDE w:val="0"/>
        <w:autoSpaceDN w:val="0"/>
        <w:spacing w:after="0"/>
        <w:ind w:left="748" w:right="533"/>
        <w:jc w:val="both"/>
        <w:rPr>
          <w:rFonts w:ascii="Verdana" w:eastAsia="Arial" w:hAnsi="Verdana" w:cs="Arial"/>
          <w:lang w:val="es-ES"/>
        </w:rPr>
      </w:pPr>
    </w:p>
    <w:p w14:paraId="4FDA4074" w14:textId="64BCBF10" w:rsidR="0017675F" w:rsidRPr="003D0447" w:rsidRDefault="0017675F" w:rsidP="00FD14D9">
      <w:pPr>
        <w:widowControl w:val="0"/>
        <w:autoSpaceDE w:val="0"/>
        <w:autoSpaceDN w:val="0"/>
        <w:spacing w:after="120" w:line="276" w:lineRule="auto"/>
        <w:ind w:firstLine="709"/>
        <w:jc w:val="both"/>
        <w:rPr>
          <w:rFonts w:ascii="Verdana" w:hAnsi="Verdana" w:cs="Arial"/>
          <w:color w:val="000000"/>
        </w:rPr>
      </w:pPr>
      <w:r w:rsidRPr="003D0447">
        <w:rPr>
          <w:rFonts w:ascii="Verdana" w:eastAsia="Arial" w:hAnsi="Verdana" w:cs="Arial"/>
          <w:lang w:val="es-ES"/>
        </w:rPr>
        <w:t xml:space="preserve">En suma, la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 </w:t>
      </w:r>
      <w:r w:rsidRPr="003D0447">
        <w:rPr>
          <w:rFonts w:ascii="Verdana" w:hAnsi="Verdana" w:cs="Arial"/>
          <w:bCs/>
          <w:color w:val="000000" w:themeColor="text1"/>
          <w:lang w:eastAsia="es-ES_tradnl"/>
        </w:rPr>
        <w:t xml:space="preserve">No obstante, es preciso advertir que no todas las instituciones de educación superior públicas obedecen a la naturaleza jurídica de entes universitarios autónomos o universidades públicas, comoquiera que el parágrafo 1 del artículo 57 de la Ley 30 de 1992 establece que las </w:t>
      </w:r>
      <w:r w:rsidR="00FD14D9">
        <w:rPr>
          <w:rFonts w:ascii="Verdana" w:hAnsi="Verdana" w:cs="Arial"/>
          <w:bCs/>
          <w:color w:val="000000" w:themeColor="text1"/>
          <w:lang w:eastAsia="es-ES_tradnl"/>
        </w:rPr>
        <w:t>“</w:t>
      </w:r>
      <w:r w:rsidRPr="003D0447">
        <w:rPr>
          <w:rFonts w:ascii="Verdana" w:hAnsi="Verdana" w:cs="Arial"/>
          <w:color w:val="000000"/>
        </w:rPr>
        <w:t xml:space="preserve">Las instituciones estatales u oficiales de Educación </w:t>
      </w:r>
      <w:r w:rsidRPr="003D0447">
        <w:rPr>
          <w:rFonts w:ascii="Verdana" w:hAnsi="Verdana" w:cs="Arial"/>
          <w:color w:val="000000"/>
        </w:rPr>
        <w:lastRenderedPageBreak/>
        <w:t>Superior que no tengan el carácter de universidad […] deberán organizarse como Establecimientos Públicos del orden Nacional, Departamental, Distrital o Municipal</w:t>
      </w:r>
      <w:r w:rsidR="00FD14D9">
        <w:rPr>
          <w:rFonts w:ascii="Verdana" w:hAnsi="Verdana" w:cs="Arial"/>
          <w:color w:val="000000"/>
        </w:rPr>
        <w:t>”</w:t>
      </w:r>
      <w:r w:rsidRPr="003D0447">
        <w:rPr>
          <w:rFonts w:ascii="Verdana" w:hAnsi="Verdana" w:cs="Arial"/>
          <w:color w:val="000000"/>
        </w:rPr>
        <w:t xml:space="preserve">. Esta norma además es referida en la Ley 749 de 2002 «por la cual se organiza el servicio público de la educación superior en las modalidades de formación técnica profesional y tecnológica, y se dictan otras disposiciones», en cuyo artículo 18 se prevé </w:t>
      </w:r>
      <w:r w:rsidR="00FD14D9" w:rsidRPr="00FD14D9">
        <w:rPr>
          <w:rFonts w:ascii="Verdana" w:hAnsi="Verdana" w:cs="Arial"/>
          <w:color w:val="000000"/>
        </w:rPr>
        <w:t>que” Las</w:t>
      </w:r>
      <w:r w:rsidRPr="003D0447">
        <w:rPr>
          <w:rFonts w:ascii="Verdana" w:hAnsi="Verdana" w:cs="Arial"/>
          <w:color w:val="000000"/>
        </w:rPr>
        <w:t xml:space="preserve"> instituciones técnicas profesionales y tecnológicas de educación superior estatales u oficiales, son establecimientos públicos de conformidad con el artículo 57 de la Ley 30 de 1992</w:t>
      </w:r>
      <w:r w:rsidR="00FD14D9">
        <w:rPr>
          <w:rFonts w:ascii="Verdana" w:hAnsi="Verdana" w:cs="Arial"/>
          <w:color w:val="000000"/>
        </w:rPr>
        <w:t>”</w:t>
      </w:r>
      <w:r w:rsidRPr="003D0447">
        <w:rPr>
          <w:rFonts w:ascii="Verdana" w:hAnsi="Verdana" w:cs="Arial"/>
          <w:color w:val="000000"/>
        </w:rPr>
        <w:t>.</w:t>
      </w:r>
    </w:p>
    <w:p w14:paraId="02E779BC" w14:textId="0EB2C2AB" w:rsidR="0017675F" w:rsidRPr="003D0447" w:rsidRDefault="0017675F" w:rsidP="00FD14D9">
      <w:pPr>
        <w:pStyle w:val="NormalWeb"/>
        <w:spacing w:before="0" w:beforeAutospacing="0" w:after="120" w:afterAutospacing="0" w:line="276" w:lineRule="auto"/>
        <w:ind w:firstLine="708"/>
        <w:jc w:val="both"/>
        <w:rPr>
          <w:rFonts w:ascii="Verdana" w:hAnsi="Verdana" w:cs="Arial"/>
          <w:color w:val="000000"/>
          <w:sz w:val="22"/>
          <w:szCs w:val="22"/>
        </w:rPr>
      </w:pPr>
      <w:r w:rsidRPr="003D0447">
        <w:rPr>
          <w:rFonts w:ascii="Verdana" w:hAnsi="Verdana" w:cs="Arial"/>
          <w:bCs/>
          <w:color w:val="000000" w:themeColor="text1"/>
          <w:sz w:val="22"/>
          <w:szCs w:val="22"/>
          <w:lang w:eastAsia="es-ES_tradnl"/>
        </w:rPr>
        <w:t xml:space="preserve">Los establecimientos públicos </w:t>
      </w:r>
      <w:r w:rsidRPr="003D0447">
        <w:rPr>
          <w:rFonts w:ascii="Verdana" w:hAnsi="Verdana" w:cs="Arial"/>
          <w:bCs/>
          <w:color w:val="000000"/>
          <w:sz w:val="22"/>
          <w:szCs w:val="22"/>
        </w:rPr>
        <w:t>son definidos</w:t>
      </w:r>
      <w:r w:rsidRPr="003D0447">
        <w:rPr>
          <w:rFonts w:ascii="Verdana" w:hAnsi="Verdana" w:cs="Arial"/>
          <w:color w:val="000000"/>
          <w:sz w:val="22"/>
          <w:szCs w:val="22"/>
        </w:rPr>
        <w:t xml:space="preserve"> por el artículo 70 de la Ley 489 de 1998 como </w:t>
      </w:r>
      <w:r w:rsidR="00FD14D9">
        <w:rPr>
          <w:rFonts w:ascii="Verdana" w:hAnsi="Verdana" w:cs="Arial"/>
          <w:color w:val="000000"/>
          <w:sz w:val="22"/>
          <w:szCs w:val="22"/>
        </w:rPr>
        <w:t>“</w:t>
      </w:r>
      <w:r w:rsidRPr="003D0447">
        <w:rPr>
          <w:rFonts w:ascii="Verdana" w:hAnsi="Verdana" w:cs="Arial"/>
          <w:color w:val="000000"/>
          <w:sz w:val="22"/>
          <w:szCs w:val="22"/>
        </w:rPr>
        <w:t>[…] organismos encargados principalmente de atender funciones administrativas y de prestar servicios públicos conforme a las reglas del Derecho Público</w:t>
      </w:r>
      <w:r w:rsidR="00FD14D9">
        <w:rPr>
          <w:rFonts w:ascii="Verdana" w:hAnsi="Verdana" w:cs="Arial"/>
          <w:color w:val="000000"/>
          <w:sz w:val="22"/>
          <w:szCs w:val="22"/>
        </w:rPr>
        <w:t>”</w:t>
      </w:r>
      <w:r w:rsidRPr="003D0447">
        <w:rPr>
          <w:rFonts w:ascii="Verdana" w:hAnsi="Verdana" w:cs="Arial"/>
          <w:color w:val="000000"/>
          <w:sz w:val="22"/>
          <w:szCs w:val="22"/>
        </w:rPr>
        <w:t xml:space="preserve">. Dicha norma además establece como atributos de este tipo de entidades: la personería jurídica, la autonomía administrativa y financiera y patrimonio independiente. Por su parte, el artículo 68 de la Ley 489 de 1998, al definir las entidades descentralizadas, expresamente contempla a los establecimientos públicos, lo que supone que, al margen de la autonomía de la que gozan, </w:t>
      </w:r>
      <w:r w:rsidR="00FD14D9">
        <w:rPr>
          <w:rFonts w:ascii="Verdana" w:hAnsi="Verdana" w:cs="Arial"/>
          <w:color w:val="000000"/>
          <w:sz w:val="22"/>
          <w:szCs w:val="22"/>
        </w:rPr>
        <w:t>“</w:t>
      </w:r>
      <w:r w:rsidRPr="003D0447">
        <w:rPr>
          <w:rFonts w:ascii="Verdana" w:hAnsi="Verdana" w:cs="Arial"/>
          <w:color w:val="000000"/>
          <w:sz w:val="22"/>
          <w:szCs w:val="22"/>
        </w:rPr>
        <w:t>[…] están sujetas al control político y a la suprema dirección del órgano de la administración al cual están adscritas</w:t>
      </w:r>
      <w:r w:rsidR="00FD14D9">
        <w:rPr>
          <w:rFonts w:ascii="Verdana" w:hAnsi="Verdana" w:cs="Arial"/>
          <w:color w:val="000000"/>
          <w:sz w:val="22"/>
          <w:szCs w:val="22"/>
        </w:rPr>
        <w:t>”</w:t>
      </w:r>
      <w:r w:rsidRPr="003D0447">
        <w:rPr>
          <w:rFonts w:ascii="Verdana" w:hAnsi="Verdana" w:cs="Arial"/>
          <w:color w:val="000000"/>
          <w:sz w:val="22"/>
          <w:szCs w:val="22"/>
        </w:rPr>
        <w:t xml:space="preserve">. De esto se colige que, a diferencia de las universidades públicas, las instituciones de educación superior constituidas como establecimientos públicos sí son consideradas entidades descentralizadas, por lo que no están excluidos del control de tutela propio de la descentralización. </w:t>
      </w:r>
    </w:p>
    <w:p w14:paraId="0535E1BD" w14:textId="0F75B231" w:rsidR="0017675F" w:rsidRPr="003D0447" w:rsidRDefault="0017675F" w:rsidP="00FD14D9">
      <w:pPr>
        <w:pStyle w:val="NormalWeb"/>
        <w:spacing w:before="0" w:beforeAutospacing="0" w:after="120" w:afterAutospacing="0" w:line="276" w:lineRule="auto"/>
        <w:ind w:firstLine="708"/>
        <w:jc w:val="both"/>
        <w:rPr>
          <w:rFonts w:ascii="Verdana" w:hAnsi="Verdana" w:cs="Arial"/>
          <w:color w:val="000000"/>
          <w:sz w:val="22"/>
          <w:szCs w:val="22"/>
        </w:rPr>
      </w:pPr>
      <w:r w:rsidRPr="003D0447">
        <w:rPr>
          <w:rFonts w:ascii="Verdana" w:hAnsi="Verdana" w:cs="Arial"/>
          <w:color w:val="000000"/>
          <w:sz w:val="22"/>
          <w:szCs w:val="22"/>
        </w:rPr>
        <w:t xml:space="preserve">En cuanto al régimen contractual de los establecimientos públicos, el artículo 81 de la Ley 489 de 1998 prevé que </w:t>
      </w:r>
      <w:r w:rsidR="00FD14D9">
        <w:rPr>
          <w:rFonts w:ascii="Verdana" w:hAnsi="Verdana" w:cs="Arial"/>
          <w:color w:val="000000"/>
          <w:sz w:val="22"/>
          <w:szCs w:val="22"/>
        </w:rPr>
        <w:t>“</w:t>
      </w:r>
      <w:r w:rsidRPr="003D0447">
        <w:rPr>
          <w:rFonts w:ascii="Verdana" w:hAnsi="Verdana" w:cs="Arial"/>
          <w:color w:val="000000"/>
          <w:sz w:val="22"/>
          <w:szCs w:val="22"/>
        </w:rPr>
        <w:t>Los contratos que celebren […] se rigen por las normas del Estatuto Contractual de las entidades estatales contenido en la Ley 80 de 1993 y las disposiciones que lo complementen, adicionen o modifiquen, sin perjuicio de lo dispuesto en las normas especiales</w:t>
      </w:r>
      <w:r w:rsidR="00FD14D9">
        <w:rPr>
          <w:rFonts w:ascii="Verdana" w:hAnsi="Verdana" w:cs="Arial"/>
          <w:color w:val="000000"/>
          <w:sz w:val="22"/>
          <w:szCs w:val="22"/>
        </w:rPr>
        <w:t>”</w:t>
      </w:r>
      <w:r w:rsidRPr="003D0447">
        <w:rPr>
          <w:rFonts w:ascii="Verdana" w:hAnsi="Verdana" w:cs="Arial"/>
          <w:color w:val="000000"/>
          <w:sz w:val="22"/>
          <w:szCs w:val="22"/>
        </w:rPr>
        <w:t xml:space="preserve">. </w:t>
      </w:r>
      <w:r w:rsidRPr="003D0447">
        <w:rPr>
          <w:rFonts w:ascii="Verdana" w:hAnsi="Verdana" w:cs="Arial"/>
          <w:bCs/>
          <w:color w:val="000000" w:themeColor="text1"/>
          <w:sz w:val="22"/>
          <w:szCs w:val="22"/>
          <w:lang w:eastAsia="es-ES_tradnl"/>
        </w:rPr>
        <w:t>Esto es concordante con el artículo 2-1 de la Ley 80 de 1993</w:t>
      </w:r>
      <w:r w:rsidRPr="003D0447">
        <w:rPr>
          <w:rStyle w:val="Refdenotaalpie"/>
          <w:rFonts w:ascii="Verdana" w:hAnsi="Verdana" w:cs="Arial"/>
          <w:bCs/>
          <w:color w:val="000000" w:themeColor="text1"/>
          <w:sz w:val="22"/>
          <w:szCs w:val="22"/>
          <w:lang w:eastAsia="es-ES_tradnl"/>
        </w:rPr>
        <w:footnoteReference w:id="29"/>
      </w:r>
      <w:r w:rsidRPr="003D0447">
        <w:rPr>
          <w:rFonts w:ascii="Verdana" w:hAnsi="Verdana" w:cs="Arial"/>
          <w:bCs/>
          <w:color w:val="000000" w:themeColor="text1"/>
          <w:sz w:val="22"/>
          <w:szCs w:val="22"/>
          <w:lang w:eastAsia="es-ES_tradnl"/>
        </w:rPr>
        <w:t xml:space="preserve">, que, al enlistar </w:t>
      </w:r>
      <w:r w:rsidRPr="003D0447">
        <w:rPr>
          <w:rFonts w:ascii="Verdana" w:hAnsi="Verdana" w:cs="Arial"/>
          <w:bCs/>
          <w:color w:val="000000" w:themeColor="text1"/>
          <w:sz w:val="22"/>
          <w:szCs w:val="22"/>
          <w:lang w:eastAsia="es-ES_tradnl"/>
        </w:rPr>
        <w:lastRenderedPageBreak/>
        <w:t xml:space="preserve">a los establecimientos públicos dentro de las entidades estatales, incluye a este tipo de entidades dentro del ámbito de aplicación del régimen general de contratación público. Así, el régimen contractual constituye otra importante diferencia entre las </w:t>
      </w:r>
      <w:proofErr w:type="gramStart"/>
      <w:r w:rsidRPr="003D0447">
        <w:rPr>
          <w:rFonts w:ascii="Verdana" w:hAnsi="Verdana" w:cs="Arial"/>
          <w:bCs/>
          <w:color w:val="000000" w:themeColor="text1"/>
          <w:sz w:val="22"/>
          <w:szCs w:val="22"/>
          <w:lang w:eastAsia="es-ES_tradnl"/>
        </w:rPr>
        <w:t>universidades públicas y los establecimientos públicos</w:t>
      </w:r>
      <w:proofErr w:type="gramEnd"/>
      <w:r w:rsidRPr="003D0447">
        <w:rPr>
          <w:rFonts w:ascii="Verdana" w:hAnsi="Verdana" w:cs="Arial"/>
          <w:bCs/>
          <w:color w:val="000000" w:themeColor="text1"/>
          <w:sz w:val="22"/>
          <w:szCs w:val="22"/>
          <w:lang w:eastAsia="es-ES_tradnl"/>
        </w:rPr>
        <w:t xml:space="preserve"> de educación superior, al estar las primeras sometidas a regímenes de derecho privado, en virtud de lo señalado en el artículo 93 de la Ley 30 de 1992, que únicamente se refiere a </w:t>
      </w:r>
      <w:r w:rsidR="00FD14D9">
        <w:rPr>
          <w:rFonts w:ascii="Verdana" w:hAnsi="Verdana" w:cs="Arial"/>
          <w:bCs/>
          <w:color w:val="000000" w:themeColor="text1"/>
          <w:sz w:val="22"/>
          <w:szCs w:val="22"/>
          <w:lang w:eastAsia="es-ES_tradnl"/>
        </w:rPr>
        <w:t>“</w:t>
      </w:r>
      <w:r w:rsidRPr="003D0447">
        <w:rPr>
          <w:rFonts w:ascii="Verdana" w:hAnsi="Verdana" w:cs="Arial"/>
          <w:sz w:val="22"/>
          <w:szCs w:val="22"/>
        </w:rPr>
        <w:t>universidades</w:t>
      </w:r>
      <w:r w:rsidRPr="003D0447">
        <w:rPr>
          <w:rFonts w:ascii="Verdana" w:hAnsi="Verdana" w:cs="Arial"/>
          <w:bCs/>
          <w:color w:val="000000" w:themeColor="text1"/>
          <w:sz w:val="22"/>
          <w:szCs w:val="22"/>
          <w:lang w:eastAsia="es-ES_tradnl"/>
        </w:rPr>
        <w:t xml:space="preserve"> estatales u oficiales</w:t>
      </w:r>
      <w:r w:rsidR="00FD14D9">
        <w:rPr>
          <w:rFonts w:ascii="Verdana" w:hAnsi="Verdana" w:cs="Arial"/>
          <w:bCs/>
          <w:color w:val="000000" w:themeColor="text1"/>
          <w:sz w:val="22"/>
          <w:szCs w:val="22"/>
          <w:lang w:eastAsia="es-ES_tradnl"/>
        </w:rPr>
        <w:t>”</w:t>
      </w:r>
      <w:r w:rsidRPr="003D0447">
        <w:rPr>
          <w:rFonts w:ascii="Verdana" w:hAnsi="Verdana" w:cs="Arial"/>
          <w:bCs/>
          <w:color w:val="000000" w:themeColor="text1"/>
          <w:sz w:val="22"/>
          <w:szCs w:val="22"/>
          <w:lang w:eastAsia="es-ES_tradnl"/>
        </w:rPr>
        <w:t>, más no a los establecimientos públicos de los que habla el artículo 57 de dicha ley en su parágrafo 1.</w:t>
      </w:r>
    </w:p>
    <w:p w14:paraId="7F21CB3A" w14:textId="4F3899CF" w:rsidR="0017675F" w:rsidRPr="003D0447" w:rsidRDefault="0017675F" w:rsidP="00FD14D9">
      <w:pPr>
        <w:pStyle w:val="NormalWeb"/>
        <w:spacing w:before="0" w:beforeAutospacing="0" w:after="120" w:afterAutospacing="0" w:line="276" w:lineRule="auto"/>
        <w:ind w:firstLine="708"/>
        <w:jc w:val="both"/>
        <w:rPr>
          <w:rFonts w:ascii="Verdana" w:hAnsi="Verdana" w:cs="Arial"/>
          <w:color w:val="000000"/>
          <w:sz w:val="22"/>
          <w:szCs w:val="22"/>
        </w:rPr>
      </w:pPr>
      <w:r w:rsidRPr="003D0447">
        <w:rPr>
          <w:rFonts w:ascii="Verdana" w:hAnsi="Verdana" w:cs="Arial"/>
          <w:color w:val="000000"/>
          <w:sz w:val="22"/>
          <w:szCs w:val="22"/>
        </w:rPr>
        <w:t xml:space="preserve">Lo anterior resulta relevante para efectos de la consulta, en la medida en que es determinante para establecer el alcance de las prohibiciones contenidas en la Ley de Garantías Electorales, explicadas en párrafos anteriores. De acuerdo con lo explicado sobre las restricciones contractuales establecidas por la Ley 996 de </w:t>
      </w:r>
      <w:r w:rsidR="00FD14D9" w:rsidRPr="00FD14D9">
        <w:rPr>
          <w:rFonts w:ascii="Verdana" w:hAnsi="Verdana" w:cs="Arial"/>
          <w:color w:val="000000"/>
          <w:sz w:val="22"/>
          <w:szCs w:val="22"/>
        </w:rPr>
        <w:t>2005, resulta</w:t>
      </w:r>
      <w:r w:rsidRPr="003D0447">
        <w:rPr>
          <w:rFonts w:ascii="Verdana" w:hAnsi="Verdana" w:cs="Arial"/>
          <w:color w:val="000000"/>
          <w:sz w:val="22"/>
          <w:szCs w:val="22"/>
        </w:rPr>
        <w:t xml:space="preserve"> palmario que tanto </w:t>
      </w:r>
      <w:proofErr w:type="gramStart"/>
      <w:r w:rsidRPr="003D0447">
        <w:rPr>
          <w:rFonts w:ascii="Verdana" w:hAnsi="Verdana" w:cs="Arial"/>
          <w:color w:val="000000"/>
          <w:sz w:val="22"/>
          <w:szCs w:val="22"/>
        </w:rPr>
        <w:t>universidades públicas como establecimientos públicos</w:t>
      </w:r>
      <w:proofErr w:type="gramEnd"/>
      <w:r w:rsidRPr="003D0447">
        <w:rPr>
          <w:rFonts w:ascii="Verdana" w:hAnsi="Verdana" w:cs="Arial"/>
          <w:color w:val="000000"/>
          <w:sz w:val="22"/>
          <w:szCs w:val="22"/>
        </w:rPr>
        <w:t xml:space="preserve"> educativos, dada su irrefutable calidad de </w:t>
      </w:r>
      <w:r w:rsidR="00FD14D9">
        <w:rPr>
          <w:rFonts w:ascii="Verdana" w:hAnsi="Verdana" w:cs="Arial"/>
          <w:color w:val="000000"/>
          <w:sz w:val="22"/>
          <w:szCs w:val="22"/>
        </w:rPr>
        <w:t>“</w:t>
      </w:r>
      <w:r w:rsidRPr="003D0447">
        <w:rPr>
          <w:rFonts w:ascii="Verdana" w:hAnsi="Verdana" w:cs="Arial"/>
          <w:color w:val="000000"/>
          <w:sz w:val="22"/>
          <w:szCs w:val="22"/>
        </w:rPr>
        <w:t>entes del Estado</w:t>
      </w:r>
      <w:r w:rsidR="00BA4B56">
        <w:rPr>
          <w:rFonts w:ascii="Verdana" w:hAnsi="Verdana" w:cs="Arial"/>
          <w:color w:val="000000"/>
          <w:sz w:val="22"/>
          <w:szCs w:val="22"/>
        </w:rPr>
        <w:t>”</w:t>
      </w:r>
      <w:r w:rsidRPr="003D0447">
        <w:rPr>
          <w:rFonts w:ascii="Verdana" w:hAnsi="Verdana" w:cs="Arial"/>
          <w:color w:val="000000"/>
          <w:sz w:val="22"/>
          <w:szCs w:val="22"/>
        </w:rPr>
        <w:t>, se encuentran dentro del ámbito material de la restricción del artículo 33. Sin embargo, la diferencia en la naturaleza jurídica de ambos tipos de entidades hace que la conclusión sobre sobre la aplicabilidad de la restricción del artículo 38 sea una para los entes universitarios autónomos y otra para los establecimientos públicos de educación superior.</w:t>
      </w:r>
    </w:p>
    <w:p w14:paraId="4E7E706A" w14:textId="77777777" w:rsidR="0017675F" w:rsidRPr="003D0447" w:rsidRDefault="0017675F" w:rsidP="00FD14D9">
      <w:pPr>
        <w:pStyle w:val="NormalWeb"/>
        <w:spacing w:before="0" w:beforeAutospacing="0" w:after="120" w:afterAutospacing="0" w:line="276" w:lineRule="auto"/>
        <w:ind w:firstLine="708"/>
        <w:jc w:val="both"/>
        <w:rPr>
          <w:rFonts w:ascii="Verdana" w:hAnsi="Verdana" w:cs="Arial"/>
          <w:color w:val="000000"/>
          <w:sz w:val="22"/>
          <w:szCs w:val="22"/>
        </w:rPr>
      </w:pPr>
      <w:r w:rsidRPr="003D0447">
        <w:rPr>
          <w:rFonts w:ascii="Verdana" w:hAnsi="Verdana" w:cs="Arial"/>
          <w:color w:val="000000"/>
          <w:sz w:val="22"/>
          <w:szCs w:val="22"/>
        </w:rPr>
        <w:t xml:space="preserve"> Conforme se estableció </w:t>
      </w:r>
      <w:r w:rsidRPr="003D0447">
        <w:rPr>
          <w:rFonts w:ascii="Verdana" w:hAnsi="Verdana" w:cs="Arial"/>
          <w:i/>
          <w:iCs/>
          <w:color w:val="000000"/>
          <w:sz w:val="22"/>
          <w:szCs w:val="22"/>
        </w:rPr>
        <w:t>supra</w:t>
      </w:r>
      <w:r w:rsidRPr="003D0447">
        <w:rPr>
          <w:rFonts w:ascii="Verdana" w:hAnsi="Verdana" w:cs="Arial"/>
          <w:color w:val="000000"/>
          <w:sz w:val="22"/>
          <w:szCs w:val="22"/>
        </w:rPr>
        <w:t>, la restricción que deriva del primer inciso del parágrafo del artículo 38 tiene como destinatarios a los entes territoriales y sus entidades descentralizadas, lo que excluye de la prohibición a los entes universitarios autónomos que, de acuerdo con lo manifestado en el presente concepto, no son considerados entidades descentralizadas y mucho menos entidades territoriales. Caso contrario ocurre con las instituciones de educación superior constituidas como establecimientos públicos, quienes si constituyen entidades descentralizadas a luz de lo dispuesto en el artículo 68 de la Ley 489 de 1998 y de conformidad con el parágrafo 1 del artículo 57 de la Ley 30 de 1992, pueden estar inscritos en los órdenes nacional, departamental, distrital o municipal, lo que hace forzoso concluir que establecimientos públicos educativos de estos tres últimos órdenes, si estarían cobijados por la restricción del artículo 38, al ser entidades descentralizadas del nivel territorial, sujetos a los que expresamente alude el texto de la restricción como destinatarios de la misma. del nivel territorial–departamental, municipal o distrital–.</w:t>
      </w:r>
    </w:p>
    <w:p w14:paraId="63AB62E7" w14:textId="7F2FFCCA" w:rsidR="0017675F" w:rsidRPr="003D0447" w:rsidRDefault="0017675F" w:rsidP="00FD14D9">
      <w:pPr>
        <w:pStyle w:val="NormalWeb"/>
        <w:spacing w:before="0" w:beforeAutospacing="0" w:after="120" w:afterAutospacing="0" w:line="276" w:lineRule="auto"/>
        <w:ind w:firstLine="708"/>
        <w:jc w:val="both"/>
        <w:rPr>
          <w:rFonts w:ascii="Verdana" w:hAnsi="Verdana" w:cs="Arial"/>
          <w:bCs/>
          <w:color w:val="000000" w:themeColor="text1"/>
          <w:sz w:val="22"/>
          <w:szCs w:val="22"/>
          <w:lang w:eastAsia="es-ES_tradnl"/>
        </w:rPr>
      </w:pPr>
      <w:r w:rsidRPr="003D0447">
        <w:rPr>
          <w:rFonts w:ascii="Verdana" w:hAnsi="Verdana" w:cs="Arial"/>
          <w:bCs/>
          <w:color w:val="000000" w:themeColor="text1"/>
          <w:sz w:val="22"/>
          <w:szCs w:val="22"/>
          <w:lang w:eastAsia="es-ES_tradnl"/>
        </w:rPr>
        <w:lastRenderedPageBreak/>
        <w:t xml:space="preserve">Recapitulando entonces lo dicho en los dos párrafos anterior, por un lado, es posible afirmar entonces que, las universidades públicas al igual que las instituciones de educación superior con naturaleza jurídica de establecimiento público, al encontrarse dentro de los destinatarios de la prohibición establecida en el artículo 33, independientemente de sus regímenes de contratación diferentes, en principio, tienen restringida la posibilidad de celebrar contratos de manera directa, durante los cuatro (4) meses anteriores a las elecciones presidenciales, periodo que se extenderá hasta la finalización de la segunda vuelta, cuando sea este el caso.  Por otro lado, se concluye también que, los establecimientos públicos educativos territoriales, dada su calidad de entidades descentralizadas de los órdenes departamental, municipal o distrital, tienen vedada la celebración de convenios interadministrativos en los que se destinen recursos públicos, durante los cuatro (4) meses anteriores a elecciones.   </w:t>
      </w:r>
    </w:p>
    <w:bookmarkEnd w:id="28"/>
    <w:p w14:paraId="3C6913E2" w14:textId="25AEEBB5" w:rsidR="00416E96" w:rsidRDefault="00416E96" w:rsidP="003D0447">
      <w:pPr>
        <w:widowControl w:val="0"/>
        <w:spacing w:after="0" w:line="276" w:lineRule="auto"/>
        <w:jc w:val="both"/>
        <w:rPr>
          <w:rFonts w:ascii="Verdana" w:eastAsia="Calibri" w:hAnsi="Verdana" w:cs="Arial"/>
          <w:lang w:eastAsia="es-ES"/>
        </w:rPr>
      </w:pPr>
      <w:r>
        <w:rPr>
          <w:rFonts w:ascii="Verdana" w:eastAsia="Calibri" w:hAnsi="Verdana" w:cs="Times New Roman"/>
          <w:lang w:val="es-ES"/>
        </w:rPr>
        <w:t xml:space="preserve">        </w:t>
      </w:r>
      <w:r w:rsidR="00BA4B56">
        <w:rPr>
          <w:rFonts w:ascii="Verdana" w:eastAsia="Calibri" w:hAnsi="Verdana" w:cs="Times New Roman"/>
          <w:lang w:val="es-ES"/>
        </w:rPr>
        <w:t>Finalmente</w:t>
      </w:r>
      <w:r w:rsidRPr="00DB4737">
        <w:rPr>
          <w:rFonts w:ascii="Verdana" w:eastAsia="Calibri" w:hAnsi="Verdana" w:cs="Times New Roman"/>
          <w:lang w:val="es-ES"/>
        </w:rPr>
        <w:t>,</w:t>
      </w:r>
      <w:r w:rsidR="00BA4B56">
        <w:rPr>
          <w:rFonts w:ascii="Verdana" w:eastAsia="Calibri" w:hAnsi="Verdana" w:cs="Times New Roman"/>
          <w:lang w:val="es-ES"/>
        </w:rPr>
        <w:t xml:space="preserve"> debe señalarse que</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hAnsi="Verdana" w:cs="Arial"/>
          <w:iCs/>
          <w:color w:val="000000" w:themeColor="text1"/>
        </w:rPr>
        <w:t xml:space="preserve">        </w:t>
      </w:r>
    </w:p>
    <w:p w14:paraId="262C86E4" w14:textId="77777777" w:rsidR="00416E96" w:rsidRDefault="00416E96" w:rsidP="003D0447">
      <w:pPr>
        <w:spacing w:after="0" w:line="276" w:lineRule="auto"/>
        <w:ind w:firstLine="708"/>
        <w:jc w:val="both"/>
        <w:rPr>
          <w:rFonts w:ascii="Verdana" w:eastAsia="Times New Roman" w:hAnsi="Verdana" w:cs="Arial"/>
          <w:lang w:val="es-ES_tradnl" w:eastAsia="es-ES_tradnl"/>
        </w:rPr>
      </w:pPr>
    </w:p>
    <w:p w14:paraId="153FAA34" w14:textId="77777777" w:rsidR="00416E96" w:rsidRPr="00B715C6" w:rsidRDefault="00416E96" w:rsidP="003D0447">
      <w:pPr>
        <w:pStyle w:val="Prrafodelista"/>
        <w:numPr>
          <w:ilvl w:val="0"/>
          <w:numId w:val="16"/>
        </w:numPr>
        <w:spacing w:after="0" w:line="276" w:lineRule="auto"/>
        <w:ind w:left="426"/>
        <w:contextualSpacing w:val="0"/>
        <w:jc w:val="both"/>
        <w:rPr>
          <w:rFonts w:ascii="Verdana" w:eastAsia="Times New Roman" w:hAnsi="Verdana" w:cs="Arial"/>
          <w:lang w:val="es-ES_tradnl" w:eastAsia="es-ES_tradnl"/>
        </w:rPr>
      </w:pPr>
      <w:r w:rsidRPr="00B715C6">
        <w:rPr>
          <w:rFonts w:ascii="Verdana" w:eastAsia="Century Gothic" w:hAnsi="Verdana" w:cs="Century Gothic"/>
          <w:b/>
          <w:bCs/>
        </w:rPr>
        <w:t>Referencias normativas, jurisprudenciales y otras fuentes:</w:t>
      </w:r>
    </w:p>
    <w:p w14:paraId="46714A68" w14:textId="77777777" w:rsidR="00416E96" w:rsidRPr="00593A5F" w:rsidRDefault="00416E96" w:rsidP="00416E9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16E96" w:rsidRPr="00593A5F" w14:paraId="3E6C8A53" w14:textId="77777777" w:rsidTr="00B66406">
        <w:trPr>
          <w:trHeight w:val="870"/>
        </w:trPr>
        <w:tc>
          <w:tcPr>
            <w:tcW w:w="8647" w:type="dxa"/>
          </w:tcPr>
          <w:p w14:paraId="0340567F" w14:textId="77777777" w:rsidR="00416E96" w:rsidRDefault="00416E96" w:rsidP="003D0447">
            <w:pPr>
              <w:widowControl w:val="0"/>
              <w:numPr>
                <w:ilvl w:val="0"/>
                <w:numId w:val="17"/>
              </w:numPr>
              <w:autoSpaceDE w:val="0"/>
              <w:autoSpaceDN w:val="0"/>
              <w:spacing w:line="276" w:lineRule="auto"/>
              <w:jc w:val="both"/>
              <w:rPr>
                <w:rFonts w:ascii="Verdana" w:hAnsi="Verdana" w:cs="Arial"/>
                <w:lang w:val="es-ES"/>
              </w:rPr>
            </w:pPr>
            <w:r w:rsidRPr="00377B05">
              <w:rPr>
                <w:rFonts w:ascii="Verdana" w:hAnsi="Verdana" w:cs="Arial"/>
                <w:lang w:val="es-ES"/>
              </w:rPr>
              <w:t>Constitución Política: Artículo 127.</w:t>
            </w:r>
          </w:p>
          <w:p w14:paraId="36A07FE4" w14:textId="77777777" w:rsidR="00416E96" w:rsidRPr="00377B05" w:rsidRDefault="00416E96" w:rsidP="003D0447">
            <w:pPr>
              <w:widowControl w:val="0"/>
              <w:numPr>
                <w:ilvl w:val="0"/>
                <w:numId w:val="17"/>
              </w:numPr>
              <w:autoSpaceDE w:val="0"/>
              <w:autoSpaceDN w:val="0"/>
              <w:spacing w:line="276" w:lineRule="auto"/>
              <w:jc w:val="both"/>
              <w:rPr>
                <w:rFonts w:ascii="Verdana" w:hAnsi="Verdana" w:cs="Arial"/>
                <w:lang w:val="es-ES"/>
              </w:rPr>
            </w:pPr>
            <w:r w:rsidRPr="00377B05">
              <w:rPr>
                <w:rFonts w:ascii="Verdana" w:hAnsi="Verdana" w:cs="Arial"/>
                <w:lang w:val="es-ES"/>
              </w:rPr>
              <w:t>Ley 996 de 2005: artículos 33 y 38 parágrafo.</w:t>
            </w:r>
          </w:p>
          <w:p w14:paraId="60EE834E" w14:textId="77777777" w:rsidR="00FB6615" w:rsidRDefault="00416E96" w:rsidP="00BA4B56">
            <w:pPr>
              <w:widowControl w:val="0"/>
              <w:numPr>
                <w:ilvl w:val="0"/>
                <w:numId w:val="17"/>
              </w:numPr>
              <w:autoSpaceDE w:val="0"/>
              <w:autoSpaceDN w:val="0"/>
              <w:spacing w:line="276" w:lineRule="auto"/>
              <w:jc w:val="both"/>
              <w:rPr>
                <w:rFonts w:ascii="Verdana" w:hAnsi="Verdana" w:cs="Arial"/>
                <w:lang w:val="es-ES"/>
              </w:rPr>
            </w:pPr>
            <w:r w:rsidRPr="00377B05">
              <w:rPr>
                <w:rFonts w:ascii="Verdana" w:hAnsi="Verdana" w:cs="Arial"/>
                <w:lang w:val="es-ES"/>
              </w:rPr>
              <w:t>Ley 1150 de 2007, Artículo 2, numeral 4.</w:t>
            </w:r>
          </w:p>
          <w:p w14:paraId="465711CA" w14:textId="2DCC5F2B"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 xml:space="preserve">Corte Constitucional, Sentencia C-233 de 4 de abril de 2002, </w:t>
            </w:r>
            <w:proofErr w:type="spellStart"/>
            <w:r w:rsidRPr="0092765E">
              <w:rPr>
                <w:rFonts w:ascii="Verdana" w:hAnsi="Verdana" w:cs="Arial"/>
                <w:lang w:val="es-ES"/>
              </w:rPr>
              <w:t>Exp</w:t>
            </w:r>
            <w:proofErr w:type="spellEnd"/>
            <w:r w:rsidRPr="0092765E">
              <w:rPr>
                <w:rFonts w:ascii="Verdana" w:hAnsi="Verdana" w:cs="Arial"/>
                <w:lang w:val="es-ES"/>
              </w:rPr>
              <w:t>. D-3704.</w:t>
            </w:r>
          </w:p>
          <w:p w14:paraId="1552428F" w14:textId="77777777"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 xml:space="preserve">Consejo de Estado, Sala de lo Contencioso Administrativo, Sección Tercera, Sentencia de 20 de noviembre de 2001, </w:t>
            </w:r>
            <w:proofErr w:type="spellStart"/>
            <w:r w:rsidRPr="0092765E">
              <w:rPr>
                <w:rFonts w:ascii="Verdana" w:hAnsi="Verdana" w:cs="Arial"/>
                <w:lang w:val="es-ES"/>
              </w:rPr>
              <w:t>Exp</w:t>
            </w:r>
            <w:proofErr w:type="spellEnd"/>
            <w:r w:rsidRPr="0092765E">
              <w:rPr>
                <w:rFonts w:ascii="Verdana" w:hAnsi="Verdana" w:cs="Arial"/>
                <w:lang w:val="es-ES"/>
              </w:rPr>
              <w:t>. 2001-0130-01(PI).</w:t>
            </w:r>
          </w:p>
          <w:p w14:paraId="0FD02911" w14:textId="77777777"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 xml:space="preserve">Consejo de Estado, Sala de lo Contencioso Administrativo, Sección Tercera, Sentencia de 22 de enero de 2002, </w:t>
            </w:r>
            <w:proofErr w:type="spellStart"/>
            <w:r w:rsidRPr="0092765E">
              <w:rPr>
                <w:rFonts w:ascii="Verdana" w:hAnsi="Verdana" w:cs="Arial"/>
                <w:lang w:val="es-ES"/>
              </w:rPr>
              <w:t>Exp</w:t>
            </w:r>
            <w:proofErr w:type="spellEnd"/>
            <w:r w:rsidRPr="0092765E">
              <w:rPr>
                <w:rFonts w:ascii="Verdana" w:hAnsi="Verdana" w:cs="Arial"/>
                <w:lang w:val="es-ES"/>
              </w:rPr>
              <w:t>. 2001-0148-01.</w:t>
            </w:r>
          </w:p>
          <w:p w14:paraId="3FC41EBC" w14:textId="77777777"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 xml:space="preserve">Corte Constitucional, Sentencia C-551 de 9 de julio de 2003, </w:t>
            </w:r>
            <w:proofErr w:type="spellStart"/>
            <w:r w:rsidRPr="0092765E">
              <w:rPr>
                <w:rFonts w:ascii="Verdana" w:hAnsi="Verdana" w:cs="Arial"/>
                <w:lang w:val="es-ES"/>
              </w:rPr>
              <w:t>Exp</w:t>
            </w:r>
            <w:proofErr w:type="spellEnd"/>
            <w:r w:rsidRPr="0092765E">
              <w:rPr>
                <w:rFonts w:ascii="Verdana" w:hAnsi="Verdana" w:cs="Arial"/>
                <w:lang w:val="es-ES"/>
              </w:rPr>
              <w:t>. CRF-001 de 9 de julio de 2003.</w:t>
            </w:r>
          </w:p>
          <w:p w14:paraId="61DBD68E" w14:textId="77777777"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 xml:space="preserve">Corte Constitucional, Sentencia C-652 de 5 de agosto de 2003, </w:t>
            </w:r>
            <w:proofErr w:type="spellStart"/>
            <w:r w:rsidRPr="0092765E">
              <w:rPr>
                <w:rFonts w:ascii="Verdana" w:hAnsi="Verdana" w:cs="Arial"/>
                <w:lang w:val="es-ES"/>
              </w:rPr>
              <w:t>Exp</w:t>
            </w:r>
            <w:proofErr w:type="spellEnd"/>
            <w:r w:rsidRPr="0092765E">
              <w:rPr>
                <w:rFonts w:ascii="Verdana" w:hAnsi="Verdana" w:cs="Arial"/>
                <w:lang w:val="es-ES"/>
              </w:rPr>
              <w:t xml:space="preserve">. </w:t>
            </w:r>
            <w:r w:rsidRPr="0092765E">
              <w:rPr>
                <w:rFonts w:ascii="Verdana" w:hAnsi="Verdana" w:cs="Arial"/>
                <w:lang w:val="es-ES"/>
              </w:rPr>
              <w:lastRenderedPageBreak/>
              <w:t>D-4330.</w:t>
            </w:r>
          </w:p>
          <w:p w14:paraId="6263B249" w14:textId="77777777" w:rsidR="00FB6615" w:rsidRPr="00BA4B56" w:rsidRDefault="00FB6615" w:rsidP="00FB6615">
            <w:pPr>
              <w:widowControl w:val="0"/>
              <w:numPr>
                <w:ilvl w:val="0"/>
                <w:numId w:val="17"/>
              </w:numPr>
              <w:autoSpaceDE w:val="0"/>
              <w:autoSpaceDN w:val="0"/>
              <w:spacing w:line="276" w:lineRule="auto"/>
              <w:jc w:val="both"/>
              <w:rPr>
                <w:rFonts w:ascii="Verdana" w:hAnsi="Verdana" w:cs="Arial"/>
                <w:lang w:val="es-ES"/>
              </w:rPr>
            </w:pPr>
            <w:r w:rsidRPr="00BA4B56">
              <w:rPr>
                <w:rFonts w:ascii="Verdana" w:hAnsi="Verdana" w:cs="Arial"/>
                <w:lang w:val="es-ES"/>
              </w:rPr>
              <w:t>Corte Constitucional, Sentencia C-1153 de 11 de noviembre de 2005, M.P. Marco Gerardo Monroy Cabra.</w:t>
            </w:r>
          </w:p>
          <w:p w14:paraId="18C7B313" w14:textId="77777777" w:rsidR="00FB6615" w:rsidRPr="00BA4B56" w:rsidRDefault="00FB6615" w:rsidP="00FB6615">
            <w:pPr>
              <w:widowControl w:val="0"/>
              <w:numPr>
                <w:ilvl w:val="0"/>
                <w:numId w:val="17"/>
              </w:numPr>
              <w:autoSpaceDE w:val="0"/>
              <w:autoSpaceDN w:val="0"/>
              <w:spacing w:line="276" w:lineRule="auto"/>
              <w:jc w:val="both"/>
              <w:rPr>
                <w:rFonts w:ascii="Verdana" w:hAnsi="Verdana" w:cs="Arial"/>
                <w:lang w:val="es-ES"/>
              </w:rPr>
            </w:pPr>
            <w:r w:rsidRPr="00BA4B56">
              <w:rPr>
                <w:rFonts w:ascii="Verdana" w:hAnsi="Verdana" w:cs="Arial"/>
                <w:lang w:val="es-ES"/>
              </w:rPr>
              <w:t>Corte Constitucional, Sentencia C-736 de 2007, M.P. Marco Gerardo Monroy Cabra.</w:t>
            </w:r>
          </w:p>
          <w:p w14:paraId="49C2F1A2" w14:textId="77777777"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 xml:space="preserve">Consejo de Estado, Sala de lo Contencioso Administrativo, Sección Primera, Sentencia de 3 de marzo de 2005, </w:t>
            </w:r>
            <w:proofErr w:type="spellStart"/>
            <w:r w:rsidRPr="0092765E">
              <w:rPr>
                <w:rFonts w:ascii="Verdana" w:hAnsi="Verdana" w:cs="Arial"/>
                <w:lang w:val="es-ES"/>
              </w:rPr>
              <w:t>Exp</w:t>
            </w:r>
            <w:proofErr w:type="spellEnd"/>
            <w:r w:rsidRPr="0092765E">
              <w:rPr>
                <w:rFonts w:ascii="Verdana" w:hAnsi="Verdana" w:cs="Arial"/>
                <w:lang w:val="es-ES"/>
              </w:rPr>
              <w:t>. 2004-00823-01(PI).</w:t>
            </w:r>
          </w:p>
          <w:p w14:paraId="1EF2F5E4" w14:textId="77777777"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Consejo de Estado, Sala de Consulta y Servicio Civil, Concepto de 2 de febrero de 2006, Rad. 1712.</w:t>
            </w:r>
          </w:p>
          <w:p w14:paraId="69CFE200" w14:textId="77777777"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Consejo de Estado, Sala de Consulta y Servicio Civil, Concepto de 20 de febrero de 2006, Rad. 1727, C.P. Enrique José Arboleda Perdomo.</w:t>
            </w:r>
          </w:p>
          <w:p w14:paraId="671E005A" w14:textId="77777777"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Consejo de Estado, Sala de Consulta y Servicio Civil, Concepto de 6 de abril de 2006, Rad. 1738, C.P. Enrique José Arboleda Perdomo.</w:t>
            </w:r>
          </w:p>
          <w:p w14:paraId="12FBE002" w14:textId="77777777" w:rsidR="00FB6615" w:rsidRPr="00BA4B56" w:rsidRDefault="00FB6615" w:rsidP="00FB6615">
            <w:pPr>
              <w:widowControl w:val="0"/>
              <w:numPr>
                <w:ilvl w:val="0"/>
                <w:numId w:val="17"/>
              </w:numPr>
              <w:autoSpaceDE w:val="0"/>
              <w:autoSpaceDN w:val="0"/>
              <w:spacing w:line="276" w:lineRule="auto"/>
              <w:jc w:val="both"/>
              <w:rPr>
                <w:rFonts w:ascii="Verdana" w:hAnsi="Verdana" w:cs="Arial"/>
                <w:lang w:val="es-ES"/>
              </w:rPr>
            </w:pPr>
            <w:r w:rsidRPr="00BA4B56">
              <w:rPr>
                <w:rFonts w:ascii="Verdana" w:hAnsi="Verdana" w:cs="Arial"/>
                <w:lang w:val="es-ES"/>
              </w:rPr>
              <w:t xml:space="preserve">Consejo de Estado, Sala de lo Contencioso Administrativo, Sección Tercera, Sentencia de 3 de diciembre de 2007, </w:t>
            </w:r>
            <w:proofErr w:type="spellStart"/>
            <w:r w:rsidRPr="00BA4B56">
              <w:rPr>
                <w:rFonts w:ascii="Verdana" w:hAnsi="Verdana" w:cs="Arial"/>
                <w:lang w:val="es-ES"/>
              </w:rPr>
              <w:t>Exp</w:t>
            </w:r>
            <w:proofErr w:type="spellEnd"/>
            <w:r w:rsidRPr="00BA4B56">
              <w:rPr>
                <w:rFonts w:ascii="Verdana" w:hAnsi="Verdana" w:cs="Arial"/>
                <w:lang w:val="es-ES"/>
              </w:rPr>
              <w:t>. 24.715, 25.206, 25.409, 24.524, 27.834, 25.410, 26.105, 28.244, 31.447 (acumulados).</w:t>
            </w:r>
          </w:p>
          <w:p w14:paraId="79B6CF6C" w14:textId="77777777"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 xml:space="preserve">Corte Constitucional, Sentencia C-353 de 20 de mayo de 2009, </w:t>
            </w:r>
            <w:proofErr w:type="spellStart"/>
            <w:r w:rsidRPr="0092765E">
              <w:rPr>
                <w:rFonts w:ascii="Verdana" w:hAnsi="Verdana" w:cs="Arial"/>
                <w:lang w:val="es-ES"/>
              </w:rPr>
              <w:t>Exp</w:t>
            </w:r>
            <w:proofErr w:type="spellEnd"/>
            <w:r w:rsidRPr="0092765E">
              <w:rPr>
                <w:rFonts w:ascii="Verdana" w:hAnsi="Verdana" w:cs="Arial"/>
                <w:lang w:val="es-ES"/>
              </w:rPr>
              <w:t>. D-7518.</w:t>
            </w:r>
          </w:p>
          <w:p w14:paraId="754048A9" w14:textId="77777777"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 xml:space="preserve">Corte Constitucional, Sentencia C-541 de 30 de junio de 2010, </w:t>
            </w:r>
            <w:proofErr w:type="spellStart"/>
            <w:r w:rsidRPr="0092765E">
              <w:rPr>
                <w:rFonts w:ascii="Verdana" w:hAnsi="Verdana" w:cs="Arial"/>
                <w:lang w:val="es-ES"/>
              </w:rPr>
              <w:t>Exp</w:t>
            </w:r>
            <w:proofErr w:type="spellEnd"/>
            <w:r w:rsidRPr="0092765E">
              <w:rPr>
                <w:rFonts w:ascii="Verdana" w:hAnsi="Verdana" w:cs="Arial"/>
                <w:lang w:val="es-ES"/>
              </w:rPr>
              <w:t>. D-7966.</w:t>
            </w:r>
          </w:p>
          <w:p w14:paraId="61031C5E" w14:textId="77777777"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 xml:space="preserve">Consejo de Estado, Sala de Consulta y Servicio Civil, Concepto de 24 de julio de 2013, Rad. 2166, C.P. Álvaro </w:t>
            </w:r>
            <w:proofErr w:type="spellStart"/>
            <w:r w:rsidRPr="0092765E">
              <w:rPr>
                <w:rFonts w:ascii="Verdana" w:hAnsi="Verdana" w:cs="Arial"/>
                <w:lang w:val="es-ES"/>
              </w:rPr>
              <w:t>Namén</w:t>
            </w:r>
            <w:proofErr w:type="spellEnd"/>
            <w:r w:rsidRPr="0092765E">
              <w:rPr>
                <w:rFonts w:ascii="Verdana" w:hAnsi="Verdana" w:cs="Arial"/>
                <w:lang w:val="es-ES"/>
              </w:rPr>
              <w:t xml:space="preserve"> Vargas.</w:t>
            </w:r>
          </w:p>
          <w:p w14:paraId="4F642BCC" w14:textId="77777777"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 xml:space="preserve">Consejo de Estado, Sala de Consulta y Servicio Civil, Concepto de 2 de septiembre de 2013, Rad. 2168, C.P. Álvaro </w:t>
            </w:r>
            <w:proofErr w:type="spellStart"/>
            <w:r w:rsidRPr="0092765E">
              <w:rPr>
                <w:rFonts w:ascii="Verdana" w:hAnsi="Verdana" w:cs="Arial"/>
                <w:lang w:val="es-ES"/>
              </w:rPr>
              <w:t>Namén</w:t>
            </w:r>
            <w:proofErr w:type="spellEnd"/>
            <w:r w:rsidRPr="0092765E">
              <w:rPr>
                <w:rFonts w:ascii="Verdana" w:hAnsi="Verdana" w:cs="Arial"/>
                <w:lang w:val="es-ES"/>
              </w:rPr>
              <w:t xml:space="preserve"> Vargas.</w:t>
            </w:r>
          </w:p>
          <w:p w14:paraId="50F10F4B" w14:textId="77777777" w:rsidR="00416E96" w:rsidRPr="0092765E" w:rsidRDefault="00416E96" w:rsidP="003D0447">
            <w:pPr>
              <w:widowControl w:val="0"/>
              <w:numPr>
                <w:ilvl w:val="0"/>
                <w:numId w:val="17"/>
              </w:numPr>
              <w:autoSpaceDE w:val="0"/>
              <w:autoSpaceDN w:val="0"/>
              <w:spacing w:line="276" w:lineRule="auto"/>
              <w:jc w:val="both"/>
              <w:rPr>
                <w:rFonts w:ascii="Verdana" w:hAnsi="Verdana" w:cs="Arial"/>
                <w:lang w:val="es-ES"/>
              </w:rPr>
            </w:pPr>
            <w:r w:rsidRPr="0092765E">
              <w:rPr>
                <w:rFonts w:ascii="Verdana" w:hAnsi="Verdana" w:cs="Arial"/>
                <w:lang w:val="es-ES"/>
              </w:rPr>
              <w:t>Consejo de Estado, Sala de Consulta y Servicio Civil, Concepto de 17 de febrero de 2015, Rad. 2269, C.P. William Zambrano Cetina.</w:t>
            </w:r>
          </w:p>
          <w:p w14:paraId="4AE49673" w14:textId="77777777" w:rsidR="00416E96" w:rsidRPr="00797E96" w:rsidRDefault="00416E96" w:rsidP="003D0447">
            <w:pPr>
              <w:widowControl w:val="0"/>
              <w:numPr>
                <w:ilvl w:val="0"/>
                <w:numId w:val="17"/>
              </w:numPr>
              <w:autoSpaceDE w:val="0"/>
              <w:autoSpaceDN w:val="0"/>
              <w:spacing w:line="276" w:lineRule="auto"/>
              <w:jc w:val="both"/>
              <w:rPr>
                <w:rFonts w:ascii="Verdana" w:hAnsi="Verdana" w:cs="Arial"/>
              </w:rPr>
            </w:pPr>
            <w:r w:rsidRPr="0092765E">
              <w:rPr>
                <w:rFonts w:ascii="Verdana" w:hAnsi="Verdana" w:cs="Arial"/>
                <w:lang w:val="es-ES"/>
              </w:rPr>
              <w:t xml:space="preserve">Consejo de Estado, Sala de Consulta y Servicio Civil, Concepto de 8 de mayo de 2018, Rad. 2382, C.P. Álvaro </w:t>
            </w:r>
            <w:proofErr w:type="spellStart"/>
            <w:r w:rsidRPr="0092765E">
              <w:rPr>
                <w:rFonts w:ascii="Verdana" w:hAnsi="Verdana" w:cs="Arial"/>
                <w:lang w:val="es-ES"/>
              </w:rPr>
              <w:t>Namén</w:t>
            </w:r>
            <w:proofErr w:type="spellEnd"/>
            <w:r w:rsidRPr="0092765E">
              <w:rPr>
                <w:rFonts w:ascii="Verdana" w:hAnsi="Verdana" w:cs="Arial"/>
                <w:lang w:val="es-ES"/>
              </w:rPr>
              <w:t xml:space="preserve"> Vargas.</w:t>
            </w:r>
          </w:p>
        </w:tc>
      </w:tr>
    </w:tbl>
    <w:p w14:paraId="6503761B" w14:textId="77777777" w:rsidR="00416E96" w:rsidRDefault="00416E96" w:rsidP="00416E9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0D6CF7C" w14:textId="77777777" w:rsidR="00416E96" w:rsidRDefault="00416E96" w:rsidP="00416E96">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BE2B48B" w14:textId="77777777" w:rsidR="00416E96" w:rsidRPr="00593A5F" w:rsidRDefault="00416E96" w:rsidP="00416E9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33512F0" w14:textId="77777777" w:rsidR="00416E96" w:rsidRPr="000C14B8" w:rsidRDefault="00416E96" w:rsidP="00416E96">
      <w:pPr>
        <w:widowControl w:val="0"/>
        <w:autoSpaceDE w:val="0"/>
        <w:autoSpaceDN w:val="0"/>
        <w:spacing w:after="0" w:line="276" w:lineRule="auto"/>
        <w:jc w:val="both"/>
        <w:rPr>
          <w:rFonts w:ascii="Verdana" w:hAnsi="Verdana" w:cs="Arial"/>
          <w:color w:val="000000" w:themeColor="text1"/>
          <w:shd w:val="clear" w:color="auto" w:fill="FFFFFF"/>
          <w:lang w:val="es-ES"/>
        </w:rPr>
      </w:pPr>
      <w:r w:rsidRPr="00EA47ED">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w:t>
      </w:r>
      <w:r w:rsidRPr="00EA47ED">
        <w:rPr>
          <w:rFonts w:ascii="Verdana" w:hAnsi="Verdana" w:cs="Arial"/>
          <w:shd w:val="clear" w:color="auto" w:fill="FFFFFF"/>
        </w:rPr>
        <w:lastRenderedPageBreak/>
        <w:t xml:space="preserve">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w:t>
      </w:r>
      <w:r>
        <w:rPr>
          <w:rFonts w:ascii="Verdana" w:hAnsi="Verdana" w:cs="Arial"/>
          <w:shd w:val="clear" w:color="auto" w:fill="FFFFFF"/>
        </w:rPr>
        <w:t xml:space="preserve">C-163 del 29 de marzo de 2022, </w:t>
      </w:r>
      <w:r w:rsidRPr="00EA47ED">
        <w:rPr>
          <w:rFonts w:ascii="Verdana" w:hAnsi="Verdana" w:cs="Arial"/>
          <w:shd w:val="clear" w:color="auto" w:fill="FFFFFF"/>
        </w:rPr>
        <w:t>C-180 del 21 de marzo de 2025, C-317 del 25 de abril de 2025, C-510 del 4 de junio de 2025, C -635 del 27 de junio de 2025 y C–750 de 17 de julio 2025</w:t>
      </w:r>
      <w:r>
        <w:rPr>
          <w:rFonts w:ascii="Verdana" w:hAnsi="Verdana" w:cs="Arial"/>
          <w:shd w:val="clear" w:color="auto" w:fill="FFFFFF"/>
        </w:rPr>
        <w:t xml:space="preserve">, </w:t>
      </w:r>
      <w:r>
        <w:rPr>
          <w:rFonts w:ascii="Verdana" w:eastAsia="Aptos" w:hAnsi="Verdana" w:cs="Arial"/>
          <w:shd w:val="clear" w:color="auto" w:fill="FFFFFF"/>
          <w:lang w:val="es-ES"/>
        </w:rPr>
        <w:t>e</w:t>
      </w:r>
      <w:r w:rsidRPr="00406AA6">
        <w:rPr>
          <w:rFonts w:ascii="Verdana" w:eastAsia="Aptos" w:hAnsi="Verdana" w:cs="Arial"/>
          <w:shd w:val="clear" w:color="auto" w:fill="FFFFFF"/>
          <w:lang w:val="es-ES"/>
        </w:rPr>
        <w:t>ntre otros</w:t>
      </w:r>
      <w:r>
        <w:rPr>
          <w:rFonts w:ascii="Verdana" w:eastAsia="Aptos" w:hAnsi="Verdana" w:cs="Arial"/>
          <w:shd w:val="clear" w:color="auto" w:fill="FFFFFF"/>
          <w:lang w:val="es-ES"/>
        </w:rPr>
        <w:t xml:space="preserve">. </w:t>
      </w:r>
      <w:r w:rsidRPr="000C14B8">
        <w:rPr>
          <w:rFonts w:ascii="Verdana" w:eastAsia="Calibri" w:hAnsi="Verdana" w:cs="Arial"/>
          <w:lang w:val="es-ES" w:eastAsia="es-ES_tradnl"/>
        </w:rPr>
        <w:t>Estos</w:t>
      </w:r>
      <w:r w:rsidRPr="000C14B8">
        <w:rPr>
          <w:rFonts w:ascii="Verdana" w:hAnsi="Verdana"/>
        </w:rPr>
        <w:t xml:space="preserve"> y otros conceptos se encuentran disponibles para consulta en el Sistema de relatoría de la Agencia, al cual se puede acceder a través del siguiente enlace:</w:t>
      </w:r>
      <w:r w:rsidRPr="000C14B8">
        <w:rPr>
          <w:rFonts w:ascii="Verdana" w:hAnsi="Verdana" w:cs="Arial"/>
          <w:shd w:val="clear" w:color="auto" w:fill="FFFFFF"/>
          <w:lang w:val="es-ES"/>
        </w:rPr>
        <w:t xml:space="preserve"> </w:t>
      </w:r>
      <w:r w:rsidRPr="000C14B8">
        <w:rPr>
          <w:rFonts w:ascii="Verdana" w:hAnsi="Verdana" w:cs="Arial"/>
          <w:color w:val="0563C1" w:themeColor="hyperlink"/>
          <w:u w:val="single"/>
          <w:shd w:val="clear" w:color="auto" w:fill="FFFFFF"/>
          <w:lang w:val="es-ES"/>
        </w:rPr>
        <w:t>https://relatoria.colombiacompra.gov.co</w:t>
      </w:r>
      <w:r>
        <w:rPr>
          <w:rFonts w:ascii="Verdana" w:hAnsi="Verdana" w:cs="Arial"/>
          <w:color w:val="0563C1" w:themeColor="hyperlink"/>
          <w:u w:val="single"/>
          <w:shd w:val="clear" w:color="auto" w:fill="FFFFFF"/>
          <w:lang w:val="es-ES"/>
        </w:rPr>
        <w:t xml:space="preserve"> </w:t>
      </w:r>
      <w:r w:rsidRPr="000C14B8">
        <w:rPr>
          <w:rFonts w:ascii="Verdana" w:hAnsi="Verdana" w:cs="Arial"/>
          <w:color w:val="0563C1" w:themeColor="hyperlink"/>
          <w:u w:val="single"/>
          <w:shd w:val="clear" w:color="auto" w:fill="FFFFFF"/>
          <w:lang w:val="es-ES"/>
        </w:rPr>
        <w:t>/</w:t>
      </w:r>
      <w:proofErr w:type="spellStart"/>
      <w:r w:rsidRPr="000C14B8">
        <w:rPr>
          <w:rFonts w:ascii="Verdana" w:hAnsi="Verdana" w:cs="Arial"/>
          <w:color w:val="0563C1" w:themeColor="hyperlink"/>
          <w:u w:val="single"/>
          <w:shd w:val="clear" w:color="auto" w:fill="FFFFFF"/>
          <w:lang w:val="es-ES"/>
        </w:rPr>
        <w:t>busqueda</w:t>
      </w:r>
      <w:proofErr w:type="spellEnd"/>
      <w:r w:rsidRPr="000C14B8">
        <w:rPr>
          <w:rFonts w:ascii="Verdana" w:hAnsi="Verdana" w:cs="Arial"/>
          <w:color w:val="0563C1" w:themeColor="hyperlink"/>
          <w:u w:val="single"/>
          <w:shd w:val="clear" w:color="auto" w:fill="FFFFFF"/>
          <w:lang w:val="es-ES"/>
        </w:rPr>
        <w:t>/conceptos</w:t>
      </w:r>
    </w:p>
    <w:p w14:paraId="7766BF85" w14:textId="77777777" w:rsidR="00416E96" w:rsidRPr="003D0447" w:rsidRDefault="00416E96" w:rsidP="00416E96">
      <w:pPr>
        <w:widowControl w:val="0"/>
        <w:autoSpaceDE w:val="0"/>
        <w:autoSpaceDN w:val="0"/>
        <w:spacing w:after="0" w:line="276" w:lineRule="auto"/>
        <w:jc w:val="both"/>
        <w:rPr>
          <w:rFonts w:ascii="Verdana" w:hAnsi="Verdana"/>
        </w:rPr>
      </w:pPr>
    </w:p>
    <w:p w14:paraId="3BCE48E7" w14:textId="77777777" w:rsidR="00416E96" w:rsidRPr="00505CD6" w:rsidRDefault="00416E96" w:rsidP="00416E96">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73CF9BDC" w14:textId="77777777" w:rsidR="00416E96" w:rsidRPr="00505CD6" w:rsidRDefault="00416E96" w:rsidP="00416E96">
      <w:pPr>
        <w:widowControl w:val="0"/>
        <w:autoSpaceDE w:val="0"/>
        <w:autoSpaceDN w:val="0"/>
        <w:spacing w:after="0" w:line="276" w:lineRule="auto"/>
        <w:jc w:val="both"/>
        <w:rPr>
          <w:rFonts w:ascii="Verdana" w:hAnsi="Verdana" w:cs="Arial"/>
        </w:rPr>
      </w:pPr>
    </w:p>
    <w:p w14:paraId="7E9B2DDF" w14:textId="77777777" w:rsidR="00416E96" w:rsidRDefault="00416E96" w:rsidP="00416E96">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bookmarkEnd w:id="1"/>
    <w:p w14:paraId="4340BE8C" w14:textId="77AE7B93" w:rsidR="00416E96" w:rsidRDefault="00906BD2" w:rsidP="00416E96">
      <w:pPr>
        <w:spacing w:after="0" w:line="276" w:lineRule="auto"/>
        <w:jc w:val="center"/>
        <w:rPr>
          <w:rFonts w:ascii="Verdana" w:hAnsi="Verdana"/>
          <w:lang w:val="es-ES_tradnl"/>
        </w:rPr>
      </w:pPr>
      <w:r w:rsidRPr="002C3AD6">
        <w:rPr>
          <w:rFonts w:ascii="Century Gothic" w:hAnsi="Century Gothic"/>
          <w:noProof/>
        </w:rPr>
        <w:drawing>
          <wp:inline distT="0" distB="0" distL="0" distR="0" wp14:anchorId="7BC7A658" wp14:editId="3545663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16E96" w:rsidRPr="00D53651" w14:paraId="7FFC5B9A" w14:textId="77777777" w:rsidTr="00B66406">
        <w:trPr>
          <w:trHeight w:val="315"/>
        </w:trPr>
        <w:tc>
          <w:tcPr>
            <w:tcW w:w="893" w:type="dxa"/>
            <w:vAlign w:val="center"/>
            <w:hideMark/>
          </w:tcPr>
          <w:p w14:paraId="37836380" w14:textId="77777777" w:rsidR="00416E96" w:rsidRPr="00D53651" w:rsidRDefault="00416E96" w:rsidP="00B66406">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468D0329" w14:textId="77777777" w:rsidR="00416E96" w:rsidRPr="00D53651" w:rsidRDefault="00416E96" w:rsidP="00B66406">
            <w:pPr>
              <w:spacing w:line="276" w:lineRule="auto"/>
              <w:jc w:val="both"/>
              <w:rPr>
                <w:rFonts w:ascii="Verdana" w:hAnsi="Verdana"/>
                <w:sz w:val="16"/>
                <w:szCs w:val="16"/>
              </w:rPr>
            </w:pPr>
            <w:r>
              <w:rPr>
                <w:rFonts w:ascii="Verdana" w:hAnsi="Verdana"/>
                <w:sz w:val="16"/>
                <w:szCs w:val="16"/>
              </w:rPr>
              <w:t xml:space="preserve">Diana </w:t>
            </w:r>
            <w:r w:rsidRPr="00D53651">
              <w:rPr>
                <w:rFonts w:ascii="Verdana" w:hAnsi="Verdana"/>
                <w:sz w:val="16"/>
                <w:szCs w:val="16"/>
              </w:rPr>
              <w:t xml:space="preserve">Carolina Blanco Rodriguez </w:t>
            </w:r>
          </w:p>
          <w:p w14:paraId="2ABF17AF" w14:textId="77777777" w:rsidR="00416E96" w:rsidRPr="00D53651" w:rsidRDefault="00416E96" w:rsidP="00B66406">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416E96" w:rsidRPr="00D53651" w14:paraId="0EAA5983" w14:textId="77777777" w:rsidTr="00B66406">
        <w:trPr>
          <w:trHeight w:val="330"/>
        </w:trPr>
        <w:tc>
          <w:tcPr>
            <w:tcW w:w="893" w:type="dxa"/>
            <w:vAlign w:val="center"/>
            <w:hideMark/>
          </w:tcPr>
          <w:p w14:paraId="0F532AA5" w14:textId="77777777" w:rsidR="00416E96" w:rsidRPr="00D53651" w:rsidRDefault="00416E96" w:rsidP="00B66406">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0497AD9F" w14:textId="792EEEB1" w:rsidR="00416E96" w:rsidRPr="00D53651" w:rsidRDefault="00416E96" w:rsidP="00B66406">
            <w:pPr>
              <w:spacing w:line="276" w:lineRule="auto"/>
              <w:jc w:val="both"/>
              <w:rPr>
                <w:rFonts w:ascii="Verdana" w:hAnsi="Verdana"/>
                <w:sz w:val="16"/>
                <w:szCs w:val="16"/>
              </w:rPr>
            </w:pPr>
            <w:r w:rsidRPr="00D53651">
              <w:rPr>
                <w:rFonts w:ascii="Verdana" w:hAnsi="Verdana"/>
                <w:sz w:val="16"/>
                <w:szCs w:val="16"/>
              </w:rPr>
              <w:t xml:space="preserve">Diana </w:t>
            </w:r>
            <w:r w:rsidR="00BA4B56">
              <w:rPr>
                <w:rFonts w:ascii="Verdana" w:hAnsi="Verdana"/>
                <w:sz w:val="16"/>
                <w:szCs w:val="16"/>
              </w:rPr>
              <w:t xml:space="preserve">Lucia </w:t>
            </w:r>
            <w:r w:rsidRPr="00D53651">
              <w:rPr>
                <w:rFonts w:ascii="Verdana" w:hAnsi="Verdana"/>
                <w:sz w:val="16"/>
                <w:szCs w:val="16"/>
              </w:rPr>
              <w:t xml:space="preserve">Saavedra </w:t>
            </w:r>
            <w:r w:rsidR="00BA4B56">
              <w:rPr>
                <w:rFonts w:ascii="Verdana" w:hAnsi="Verdana"/>
                <w:sz w:val="16"/>
                <w:szCs w:val="16"/>
              </w:rPr>
              <w:t>Castañeda</w:t>
            </w:r>
            <w:r w:rsidRPr="00D53651">
              <w:rPr>
                <w:rFonts w:ascii="Verdana" w:hAnsi="Verdana"/>
                <w:sz w:val="16"/>
                <w:szCs w:val="16"/>
              </w:rPr>
              <w:t xml:space="preserve"> </w:t>
            </w:r>
          </w:p>
          <w:p w14:paraId="49EC70A5" w14:textId="77777777" w:rsidR="00416E96" w:rsidRPr="00D53651" w:rsidRDefault="00416E96" w:rsidP="00B66406">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416E96" w:rsidRPr="00D53651" w14:paraId="39CF1623" w14:textId="77777777" w:rsidTr="00B66406">
        <w:trPr>
          <w:trHeight w:val="300"/>
        </w:trPr>
        <w:tc>
          <w:tcPr>
            <w:tcW w:w="893" w:type="dxa"/>
            <w:vAlign w:val="center"/>
            <w:hideMark/>
          </w:tcPr>
          <w:p w14:paraId="3838BBD3" w14:textId="77777777" w:rsidR="00416E96" w:rsidRPr="00D53651" w:rsidRDefault="00416E96" w:rsidP="00B66406">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738A6132" w14:textId="77777777" w:rsidR="00416E96" w:rsidRPr="00D53651" w:rsidRDefault="00416E96" w:rsidP="00B66406">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1EBFA950" w14:textId="77777777" w:rsidR="00416E96" w:rsidRPr="00D53651" w:rsidRDefault="00416E96" w:rsidP="00B66406">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58911FC5" w14:textId="77777777" w:rsidR="00416E96" w:rsidRPr="000931E9" w:rsidRDefault="00416E96" w:rsidP="00416E96"/>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92208" w14:textId="77777777" w:rsidR="000E02CE" w:rsidRDefault="000E02CE" w:rsidP="004A1847">
      <w:pPr>
        <w:spacing w:after="0" w:line="240" w:lineRule="auto"/>
      </w:pPr>
      <w:r>
        <w:separator/>
      </w:r>
    </w:p>
  </w:endnote>
  <w:endnote w:type="continuationSeparator" w:id="0">
    <w:p w14:paraId="7191685A" w14:textId="77777777" w:rsidR="000E02CE" w:rsidRDefault="000E02C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FEA97" w14:textId="77777777" w:rsidR="000E02CE" w:rsidRDefault="000E02CE" w:rsidP="004A1847">
      <w:pPr>
        <w:spacing w:after="0" w:line="240" w:lineRule="auto"/>
      </w:pPr>
      <w:r>
        <w:separator/>
      </w:r>
    </w:p>
  </w:footnote>
  <w:footnote w:type="continuationSeparator" w:id="0">
    <w:p w14:paraId="2C64D646" w14:textId="77777777" w:rsidR="000E02CE" w:rsidRDefault="000E02CE" w:rsidP="004A1847">
      <w:pPr>
        <w:spacing w:after="0" w:line="240" w:lineRule="auto"/>
      </w:pPr>
      <w:r>
        <w:continuationSeparator/>
      </w:r>
    </w:p>
  </w:footnote>
  <w:footnote w:id="1">
    <w:p w14:paraId="3F562550" w14:textId="42D2FC6B" w:rsidR="00416E96" w:rsidRPr="009B20C5" w:rsidRDefault="00416E96" w:rsidP="00416E96">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El artículo 127 de la Constitución Política señala: </w:t>
      </w:r>
      <w:r w:rsidR="0069134B">
        <w:rPr>
          <w:rFonts w:ascii="Verdana" w:hAnsi="Verdana" w:cs="Arial"/>
          <w:sz w:val="16"/>
          <w:szCs w:val="16"/>
        </w:rPr>
        <w:t>“</w:t>
      </w:r>
      <w:r w:rsidRPr="009B20C5">
        <w:rPr>
          <w:rFonts w:ascii="Verdana" w:hAnsi="Verdana" w:cs="Arial"/>
          <w:sz w:val="16"/>
          <w:szCs w:val="16"/>
        </w:rPr>
        <w:t xml:space="preserve">Los servidores públicos no podrán celebrar, por si o por interpuesta persona, o en representación de otro, contrato alguno con entidades públicas o con personas privadas que manejen o administren recursos públicos, salvo las excepciones legales. </w:t>
      </w:r>
    </w:p>
    <w:p w14:paraId="66E25503" w14:textId="7D171719" w:rsidR="00416E96" w:rsidRDefault="00416E96" w:rsidP="00FB6615">
      <w:pPr>
        <w:pStyle w:val="Textonotapie"/>
        <w:ind w:firstLine="709"/>
        <w:jc w:val="both"/>
        <w:rPr>
          <w:rFonts w:ascii="Verdana" w:hAnsi="Verdana" w:cs="Arial"/>
          <w:sz w:val="16"/>
          <w:szCs w:val="16"/>
        </w:rPr>
      </w:pPr>
      <w:r w:rsidRPr="009B20C5">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r w:rsidR="0069134B">
        <w:rPr>
          <w:rFonts w:ascii="Verdana" w:hAnsi="Verdana" w:cs="Arial"/>
          <w:sz w:val="16"/>
          <w:szCs w:val="16"/>
        </w:rPr>
        <w:t>”</w:t>
      </w:r>
      <w:r w:rsidRPr="0069134B">
        <w:rPr>
          <w:rFonts w:ascii="Verdana" w:hAnsi="Verdana" w:cs="Arial"/>
          <w:sz w:val="16"/>
          <w:szCs w:val="16"/>
        </w:rPr>
        <w:t>.</w:t>
      </w:r>
    </w:p>
    <w:p w14:paraId="4335AB00" w14:textId="34C430D2" w:rsidR="00416E96" w:rsidRPr="009B20C5" w:rsidRDefault="00416E96" w:rsidP="00416E96">
      <w:pPr>
        <w:pStyle w:val="Textonotapie"/>
        <w:ind w:firstLine="709"/>
        <w:jc w:val="both"/>
        <w:rPr>
          <w:rFonts w:ascii="Verdana" w:hAnsi="Verdana" w:cs="Arial"/>
          <w:sz w:val="16"/>
          <w:szCs w:val="16"/>
        </w:rPr>
      </w:pPr>
    </w:p>
  </w:footnote>
  <w:footnote w:id="2">
    <w:p w14:paraId="13E443F6" w14:textId="77777777" w:rsidR="00416E96" w:rsidRPr="009B20C5" w:rsidRDefault="00416E96" w:rsidP="00416E96">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Gaceta del Congreso de la República No. 71 del 2005.</w:t>
      </w:r>
    </w:p>
    <w:p w14:paraId="370FEF1D" w14:textId="77777777" w:rsidR="00416E96" w:rsidRPr="009B20C5" w:rsidRDefault="00416E96" w:rsidP="00416E96">
      <w:pPr>
        <w:pStyle w:val="Textonotapie"/>
        <w:ind w:firstLine="709"/>
        <w:jc w:val="both"/>
        <w:rPr>
          <w:rFonts w:ascii="Verdana" w:hAnsi="Verdana" w:cs="Arial"/>
          <w:sz w:val="16"/>
          <w:szCs w:val="16"/>
        </w:rPr>
      </w:pPr>
    </w:p>
  </w:footnote>
  <w:footnote w:id="3">
    <w:p w14:paraId="7954EE98" w14:textId="77777777" w:rsidR="00416E96" w:rsidRDefault="00416E96" w:rsidP="00FB6615">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Corte Constitucional, Sentencia C- 1153 de 2005, M.P. Marco Gerardo Monroy Cabra.</w:t>
      </w:r>
    </w:p>
    <w:p w14:paraId="77330B41" w14:textId="77777777" w:rsidR="00416E96" w:rsidRPr="009B20C5" w:rsidRDefault="00416E96" w:rsidP="00416E96">
      <w:pPr>
        <w:pStyle w:val="Textonotapie"/>
        <w:ind w:firstLine="709"/>
        <w:jc w:val="both"/>
        <w:rPr>
          <w:rFonts w:ascii="Verdana" w:hAnsi="Verdana" w:cs="Arial"/>
          <w:sz w:val="16"/>
          <w:szCs w:val="16"/>
        </w:rPr>
      </w:pPr>
    </w:p>
  </w:footnote>
  <w:footnote w:id="4">
    <w:p w14:paraId="4A522CDD" w14:textId="77777777" w:rsidR="00416E96" w:rsidRDefault="00416E96" w:rsidP="00FB6615">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52276549" w14:textId="77777777" w:rsidR="00416E96" w:rsidRPr="009B20C5" w:rsidRDefault="00416E96" w:rsidP="00416E96">
      <w:pPr>
        <w:pStyle w:val="Textonotapie"/>
        <w:ind w:firstLine="709"/>
        <w:jc w:val="both"/>
        <w:rPr>
          <w:rFonts w:ascii="Verdana" w:hAnsi="Verdana" w:cs="Arial"/>
          <w:sz w:val="16"/>
          <w:szCs w:val="16"/>
        </w:rPr>
      </w:pPr>
    </w:p>
  </w:footnote>
  <w:footnote w:id="5">
    <w:p w14:paraId="4D8FE6A3" w14:textId="22D0B22C" w:rsidR="00416E96" w:rsidRDefault="00416E96" w:rsidP="00FB6615">
      <w:pPr>
        <w:pStyle w:val="Textonotapie"/>
        <w:ind w:firstLine="709"/>
        <w:jc w:val="both"/>
        <w:rPr>
          <w:rFonts w:ascii="Verdana" w:hAnsi="Verdana" w:cs="Arial"/>
          <w:sz w:val="16"/>
          <w:szCs w:val="16"/>
          <w:lang w:val="es-CO"/>
        </w:rPr>
      </w:pPr>
      <w:r w:rsidRPr="009B20C5">
        <w:rPr>
          <w:rStyle w:val="Refdenotaalpie"/>
          <w:rFonts w:ascii="Verdana" w:hAnsi="Verdana" w:cs="Arial"/>
          <w:sz w:val="16"/>
          <w:szCs w:val="16"/>
        </w:rPr>
        <w:footnoteRef/>
      </w:r>
      <w:r w:rsidRPr="009B20C5">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w:t>
      </w:r>
      <w:proofErr w:type="gramStart"/>
      <w:r w:rsidRPr="009B20C5">
        <w:rPr>
          <w:rFonts w:ascii="Verdana" w:hAnsi="Verdana" w:cs="Arial"/>
          <w:sz w:val="16"/>
          <w:szCs w:val="16"/>
          <w:lang w:val="es-CO"/>
        </w:rPr>
        <w:t>otras</w:t>
      </w:r>
      <w:r w:rsidRPr="0069134B">
        <w:rPr>
          <w:rFonts w:ascii="Verdana" w:hAnsi="Verdana" w:cs="Arial"/>
          <w:sz w:val="16"/>
          <w:szCs w:val="16"/>
          <w:lang w:val="es-CO"/>
        </w:rPr>
        <w:t>.</w:t>
      </w:r>
      <w:r w:rsidR="0069134B">
        <w:rPr>
          <w:rFonts w:ascii="Verdana" w:hAnsi="Verdana" w:cs="Arial"/>
          <w:sz w:val="16"/>
          <w:szCs w:val="16"/>
          <w:lang w:val="es-CO"/>
        </w:rPr>
        <w:t>.</w:t>
      </w:r>
      <w:proofErr w:type="gramEnd"/>
    </w:p>
    <w:p w14:paraId="09AD31D2" w14:textId="6E9A693D" w:rsidR="00416E96" w:rsidRPr="009B20C5" w:rsidRDefault="00416E96" w:rsidP="00416E96">
      <w:pPr>
        <w:pStyle w:val="Textonotapie"/>
        <w:ind w:firstLine="709"/>
        <w:jc w:val="both"/>
        <w:rPr>
          <w:rFonts w:ascii="Verdana" w:hAnsi="Verdana" w:cs="Arial"/>
          <w:sz w:val="16"/>
          <w:szCs w:val="16"/>
          <w:lang w:val="es-CO"/>
        </w:rPr>
      </w:pPr>
    </w:p>
  </w:footnote>
  <w:footnote w:id="6">
    <w:p w14:paraId="248FD894" w14:textId="77777777" w:rsidR="00416E96" w:rsidRDefault="00416E96" w:rsidP="00FB6615">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Consejo de Estado, Sala de Consulta y Servicio Civil de fecha 24 de julio de 2013, radicado 2166, </w:t>
      </w:r>
      <w:proofErr w:type="gramStart"/>
      <w:r w:rsidRPr="009B20C5">
        <w:rPr>
          <w:rFonts w:ascii="Verdana" w:hAnsi="Verdana" w:cs="Arial"/>
          <w:sz w:val="16"/>
          <w:szCs w:val="16"/>
        </w:rPr>
        <w:t>Consejero</w:t>
      </w:r>
      <w:proofErr w:type="gramEnd"/>
      <w:r w:rsidRPr="009B20C5">
        <w:rPr>
          <w:rFonts w:ascii="Verdana" w:hAnsi="Verdana" w:cs="Arial"/>
          <w:sz w:val="16"/>
          <w:szCs w:val="16"/>
        </w:rPr>
        <w:t xml:space="preserve"> Ponente: Álvaro Namén Vargas.  </w:t>
      </w:r>
    </w:p>
    <w:p w14:paraId="5A95880C" w14:textId="77777777" w:rsidR="00416E96" w:rsidRPr="009B20C5" w:rsidRDefault="00416E96" w:rsidP="00416E96">
      <w:pPr>
        <w:pStyle w:val="Textonotapie"/>
        <w:ind w:firstLine="709"/>
        <w:jc w:val="both"/>
        <w:rPr>
          <w:rFonts w:ascii="Verdana" w:hAnsi="Verdana" w:cs="Arial"/>
          <w:sz w:val="16"/>
          <w:szCs w:val="16"/>
        </w:rPr>
      </w:pPr>
    </w:p>
  </w:footnote>
  <w:footnote w:id="7">
    <w:p w14:paraId="0C0F7DE0" w14:textId="77777777" w:rsidR="00416E96" w:rsidRDefault="00416E96" w:rsidP="00FB6615">
      <w:pPr>
        <w:spacing w:after="0" w:line="240" w:lineRule="auto"/>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Consejo de Estado. Sala de Consulta y Servicio Civil. Concepto del 17 de febrero de 2015. C.P. William Zambrano Cetina. Radicación No. 11001-03-06-000-2015-00164-00(2269).</w:t>
      </w:r>
    </w:p>
    <w:p w14:paraId="0ED25B08" w14:textId="77777777" w:rsidR="00416E96" w:rsidRPr="0069134B" w:rsidRDefault="00416E96" w:rsidP="000E7F7F">
      <w:pPr>
        <w:spacing w:after="0" w:line="240" w:lineRule="auto"/>
        <w:ind w:firstLine="709"/>
        <w:jc w:val="both"/>
        <w:rPr>
          <w:rFonts w:ascii="Verdana" w:hAnsi="Verdana" w:cs="Arial"/>
          <w:sz w:val="16"/>
          <w:szCs w:val="16"/>
          <w:lang w:val="es-ES"/>
        </w:rPr>
      </w:pPr>
    </w:p>
  </w:footnote>
  <w:footnote w:id="8">
    <w:p w14:paraId="495CB8F1" w14:textId="570B06A1" w:rsidR="00416E96" w:rsidRPr="009B20C5" w:rsidRDefault="00416E96" w:rsidP="003D0447">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w:t>
      </w:r>
      <w:bookmarkStart w:id="12" w:name="_Hlk74272731"/>
      <w:r w:rsidR="00C97DC7">
        <w:rPr>
          <w:rFonts w:ascii="Verdana" w:hAnsi="Verdana" w:cs="Arial"/>
          <w:sz w:val="16"/>
          <w:szCs w:val="16"/>
        </w:rPr>
        <w:t>“</w:t>
      </w:r>
      <w:bookmarkEnd w:id="12"/>
      <w:r w:rsidRPr="009B20C5">
        <w:rPr>
          <w:rFonts w:ascii="Verdana" w:hAnsi="Verdana" w:cs="Arial"/>
          <w:sz w:val="16"/>
          <w:szCs w:val="16"/>
          <w:lang w:val="es-ES"/>
        </w:rPr>
        <w:t xml:space="preserve">[25] </w:t>
      </w:r>
      <w:r w:rsidRPr="009B20C5">
        <w:rPr>
          <w:rFonts w:ascii="Verdana" w:hAnsi="Verdana" w:cs="Arial"/>
          <w:sz w:val="16"/>
          <w:szCs w:val="16"/>
        </w:rPr>
        <w:t>Cfr. Consejo de Estado. Sección Tercera. Sentencia de 3 de diciembre de 2007. Radicados: 24.715, 25.206, 25.409, 24.524, 27.834, 25.410, 26.105, 28.244, 31.447 -acumulados</w:t>
      </w:r>
      <w:proofErr w:type="gramStart"/>
      <w:r w:rsidRPr="0069134B">
        <w:rPr>
          <w:rFonts w:ascii="Verdana" w:hAnsi="Verdana" w:cs="Arial"/>
          <w:sz w:val="16"/>
          <w:szCs w:val="16"/>
        </w:rPr>
        <w:t>-</w:t>
      </w:r>
      <w:bookmarkStart w:id="13" w:name="_Hlk74271358"/>
      <w:r w:rsidR="00C97DC7">
        <w:rPr>
          <w:rFonts w:ascii="Verdana" w:hAnsi="Verdana" w:cs="Arial"/>
          <w:sz w:val="16"/>
          <w:szCs w:val="16"/>
        </w:rPr>
        <w:t>“</w:t>
      </w:r>
      <w:bookmarkEnd w:id="13"/>
      <w:proofErr w:type="gramEnd"/>
      <w:r w:rsidRPr="0069134B">
        <w:rPr>
          <w:rFonts w:ascii="Verdana" w:hAnsi="Verdana" w:cs="Arial"/>
          <w:sz w:val="16"/>
          <w:szCs w:val="16"/>
        </w:rPr>
        <w:t>.</w:t>
      </w:r>
    </w:p>
  </w:footnote>
  <w:footnote w:id="9">
    <w:p w14:paraId="46C39AC9" w14:textId="3C2AF416" w:rsidR="00C97DC7" w:rsidRDefault="00416E96" w:rsidP="00FB6615">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Al respecto ver el concepto 1712 de 2 de febrero de 2006. Consejo de Estado Sala de Consulta y Servicio Civil</w:t>
      </w:r>
    </w:p>
    <w:p w14:paraId="052FC2BB" w14:textId="0075EAF6" w:rsidR="00416E96" w:rsidRPr="009B20C5" w:rsidRDefault="00416E96" w:rsidP="003D0447">
      <w:pPr>
        <w:pStyle w:val="Textonotapie"/>
        <w:ind w:firstLine="709"/>
        <w:jc w:val="both"/>
        <w:rPr>
          <w:rFonts w:ascii="Verdana" w:hAnsi="Verdana" w:cs="Arial"/>
          <w:sz w:val="16"/>
          <w:szCs w:val="16"/>
        </w:rPr>
      </w:pPr>
      <w:r w:rsidRPr="0069134B">
        <w:rPr>
          <w:rFonts w:ascii="Verdana" w:hAnsi="Verdana" w:cs="Arial"/>
          <w:sz w:val="16"/>
          <w:szCs w:val="16"/>
        </w:rPr>
        <w:t>.</w:t>
      </w:r>
    </w:p>
  </w:footnote>
  <w:footnote w:id="10">
    <w:p w14:paraId="144E36DC" w14:textId="77777777" w:rsidR="00416E96" w:rsidRDefault="00416E96" w:rsidP="00FB6615">
      <w:pPr>
        <w:pStyle w:val="Textonotapie"/>
        <w:ind w:firstLine="709"/>
        <w:jc w:val="both"/>
        <w:rPr>
          <w:rFonts w:ascii="Verdana" w:hAnsi="Verdana" w:cs="Arial"/>
          <w:sz w:val="16"/>
          <w:szCs w:val="16"/>
        </w:rPr>
      </w:pPr>
      <w:r w:rsidRPr="0069134B">
        <w:rPr>
          <w:rStyle w:val="Refdenotaalpie"/>
          <w:rFonts w:ascii="Verdana" w:hAnsi="Verdana" w:cs="Arial"/>
          <w:sz w:val="16"/>
          <w:szCs w:val="16"/>
        </w:rPr>
        <w:footnoteRef/>
      </w:r>
      <w:r w:rsidRPr="0069134B">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p w14:paraId="3D9D3F12" w14:textId="77777777" w:rsidR="00C97DC7" w:rsidRPr="0069134B" w:rsidRDefault="00C97DC7" w:rsidP="00FB6615">
      <w:pPr>
        <w:pStyle w:val="Textonotapie"/>
        <w:ind w:firstLine="709"/>
        <w:jc w:val="both"/>
        <w:rPr>
          <w:rFonts w:ascii="Verdana" w:hAnsi="Verdana" w:cs="Arial"/>
          <w:sz w:val="16"/>
          <w:szCs w:val="16"/>
        </w:rPr>
      </w:pPr>
    </w:p>
  </w:footnote>
  <w:footnote w:id="11">
    <w:p w14:paraId="179B4EDF" w14:textId="77777777" w:rsidR="00416E96" w:rsidRPr="009B20C5" w:rsidRDefault="00416E96" w:rsidP="00416E96">
      <w:pPr>
        <w:pStyle w:val="Textonotapie"/>
        <w:ind w:firstLine="709"/>
        <w:jc w:val="both"/>
        <w:rPr>
          <w:rFonts w:ascii="Verdana" w:hAnsi="Verdana" w:cs="Arial"/>
          <w:sz w:val="16"/>
          <w:szCs w:val="16"/>
          <w:lang w:val="es-ES"/>
        </w:rPr>
      </w:pPr>
      <w:r w:rsidRPr="009B20C5">
        <w:rPr>
          <w:rStyle w:val="Refdenotaalpie"/>
          <w:rFonts w:ascii="Verdana" w:hAnsi="Verdana" w:cs="Arial"/>
          <w:sz w:val="16"/>
          <w:szCs w:val="16"/>
        </w:rPr>
        <w:footnoteRef/>
      </w:r>
      <w:r w:rsidRPr="009B20C5">
        <w:rPr>
          <w:rFonts w:ascii="Verdana" w:hAnsi="Verdana" w:cs="Arial"/>
          <w:sz w:val="16"/>
          <w:szCs w:val="16"/>
        </w:rPr>
        <w:t xml:space="preserve"> </w:t>
      </w:r>
      <w:r w:rsidRPr="009B20C5">
        <w:rPr>
          <w:rFonts w:ascii="Verdana" w:hAnsi="Verdana" w:cs="Arial"/>
          <w:sz w:val="16"/>
          <w:szCs w:val="16"/>
          <w:lang w:val="es-ES"/>
        </w:rPr>
        <w:t>Artículo 2.</w:t>
      </w:r>
    </w:p>
  </w:footnote>
  <w:footnote w:id="12">
    <w:p w14:paraId="7470ECF8" w14:textId="77777777" w:rsidR="00C97DC7" w:rsidRDefault="00C97DC7" w:rsidP="00FB6615">
      <w:pPr>
        <w:pStyle w:val="Textonotapie"/>
        <w:ind w:firstLine="709"/>
        <w:jc w:val="both"/>
        <w:rPr>
          <w:rFonts w:ascii="Verdana" w:hAnsi="Verdana" w:cs="Arial"/>
          <w:sz w:val="16"/>
          <w:szCs w:val="16"/>
        </w:rPr>
      </w:pPr>
    </w:p>
    <w:p w14:paraId="3C2D7649" w14:textId="6F964F66" w:rsidR="00416E96" w:rsidRPr="009B20C5" w:rsidRDefault="00416E96" w:rsidP="00416E96">
      <w:pPr>
        <w:pStyle w:val="Textonotapie"/>
        <w:ind w:firstLine="709"/>
        <w:jc w:val="both"/>
        <w:rPr>
          <w:rFonts w:ascii="Verdana" w:hAnsi="Verdana" w:cs="Arial"/>
          <w:sz w:val="16"/>
          <w:szCs w:val="16"/>
          <w:lang w:val="es-ES"/>
        </w:rPr>
      </w:pPr>
      <w:r w:rsidRPr="009B20C5">
        <w:rPr>
          <w:rStyle w:val="Refdenotaalpie"/>
          <w:rFonts w:ascii="Verdana" w:hAnsi="Verdana" w:cs="Arial"/>
          <w:sz w:val="16"/>
          <w:szCs w:val="16"/>
        </w:rPr>
        <w:footnoteRef/>
      </w:r>
      <w:r w:rsidRPr="009B20C5">
        <w:rPr>
          <w:rFonts w:ascii="Verdana" w:hAnsi="Verdana" w:cs="Arial"/>
          <w:sz w:val="16"/>
          <w:szCs w:val="16"/>
        </w:rPr>
        <w:t xml:space="preserve"> </w:t>
      </w:r>
      <w:r w:rsidRPr="009B20C5">
        <w:rPr>
          <w:rFonts w:ascii="Verdana" w:hAnsi="Verdana" w:cs="Arial"/>
          <w:i/>
          <w:sz w:val="16"/>
          <w:szCs w:val="16"/>
          <w:lang w:val="es-ES"/>
        </w:rPr>
        <w:t>Ídem</w:t>
      </w:r>
      <w:r w:rsidRPr="009B20C5">
        <w:rPr>
          <w:rFonts w:ascii="Verdana" w:hAnsi="Verdana" w:cs="Arial"/>
          <w:sz w:val="16"/>
          <w:szCs w:val="16"/>
          <w:lang w:val="es-ES"/>
        </w:rPr>
        <w:t>.</w:t>
      </w:r>
    </w:p>
  </w:footnote>
  <w:footnote w:id="13">
    <w:p w14:paraId="371FADFB" w14:textId="77777777" w:rsidR="00416E96" w:rsidRPr="009B20C5" w:rsidRDefault="00416E96" w:rsidP="003D0447">
      <w:pPr>
        <w:pStyle w:val="Textonotapie"/>
        <w:ind w:firstLine="709"/>
        <w:jc w:val="both"/>
        <w:rPr>
          <w:rFonts w:ascii="Verdana" w:hAnsi="Verdana" w:cs="Arial"/>
          <w:sz w:val="16"/>
          <w:szCs w:val="16"/>
        </w:rPr>
      </w:pPr>
    </w:p>
    <w:p w14:paraId="55623965" w14:textId="7CC64956" w:rsidR="00416E96" w:rsidRDefault="00416E96" w:rsidP="00FB6615">
      <w:pPr>
        <w:pStyle w:val="Textonotapie"/>
        <w:ind w:firstLine="709"/>
        <w:jc w:val="both"/>
        <w:rPr>
          <w:rFonts w:ascii="Verdana" w:hAnsi="Verdana" w:cs="Arial"/>
          <w:sz w:val="16"/>
          <w:szCs w:val="16"/>
          <w:lang w:val="es-ES"/>
        </w:rPr>
      </w:pPr>
      <w:r w:rsidRPr="009B20C5">
        <w:rPr>
          <w:rStyle w:val="Refdenotaalpie"/>
          <w:rFonts w:ascii="Verdana" w:hAnsi="Verdana" w:cs="Arial"/>
          <w:sz w:val="16"/>
          <w:szCs w:val="16"/>
        </w:rPr>
        <w:footnoteRef/>
      </w:r>
      <w:r w:rsidRPr="009B20C5">
        <w:rPr>
          <w:rStyle w:val="Refdenotaalpie"/>
          <w:rFonts w:ascii="Verdana" w:hAnsi="Verdana" w:cs="Arial"/>
          <w:sz w:val="16"/>
          <w:szCs w:val="16"/>
        </w:rPr>
        <w:t xml:space="preserve"> </w:t>
      </w:r>
      <w:r w:rsidRPr="009B20C5">
        <w:rPr>
          <w:rFonts w:ascii="Verdana" w:hAnsi="Verdana" w:cs="Arial"/>
          <w:sz w:val="16"/>
          <w:szCs w:val="16"/>
          <w:lang w:val="es-ES"/>
        </w:rPr>
        <w:t xml:space="preserve">[…] A este respecto, cabe recordar que el artículo 860 del Código de Comercio regula la licitación en el derecho privado. </w:t>
      </w:r>
    </w:p>
    <w:p w14:paraId="45D48AE8" w14:textId="77777777" w:rsidR="00416E96" w:rsidRPr="009B20C5" w:rsidRDefault="00416E96" w:rsidP="00416E96">
      <w:pPr>
        <w:pStyle w:val="Textonotapie"/>
        <w:ind w:firstLine="709"/>
        <w:jc w:val="both"/>
        <w:rPr>
          <w:rFonts w:ascii="Verdana" w:hAnsi="Verdana" w:cs="Arial"/>
          <w:sz w:val="16"/>
          <w:szCs w:val="16"/>
          <w:lang w:val="es-ES"/>
        </w:rPr>
      </w:pPr>
    </w:p>
  </w:footnote>
  <w:footnote w:id="14">
    <w:p w14:paraId="3440AEE9" w14:textId="77777777" w:rsidR="00416E96" w:rsidRDefault="00416E96" w:rsidP="00FB6615">
      <w:pPr>
        <w:shd w:val="clear" w:color="auto" w:fill="FFFFFF"/>
        <w:spacing w:after="0" w:line="240" w:lineRule="auto"/>
        <w:ind w:firstLine="709"/>
        <w:jc w:val="both"/>
        <w:rPr>
          <w:rFonts w:ascii="Verdana" w:hAnsi="Verdana" w:cs="Arial"/>
          <w:sz w:val="16"/>
          <w:szCs w:val="16"/>
          <w:lang w:val="es-ES"/>
        </w:rPr>
      </w:pPr>
      <w:r w:rsidRPr="009B20C5">
        <w:rPr>
          <w:rStyle w:val="Refdenotaalpie"/>
          <w:rFonts w:ascii="Verdana" w:hAnsi="Verdana" w:cs="Arial"/>
          <w:sz w:val="16"/>
          <w:szCs w:val="16"/>
        </w:rPr>
        <w:footnoteRef/>
      </w:r>
      <w:r w:rsidRPr="009B20C5">
        <w:rPr>
          <w:rStyle w:val="Refdenotaalpie"/>
          <w:rFonts w:ascii="Verdana" w:hAnsi="Verdana" w:cs="Arial"/>
          <w:sz w:val="16"/>
          <w:szCs w:val="16"/>
        </w:rPr>
        <w:t xml:space="preserve"> </w:t>
      </w:r>
      <w:r w:rsidRPr="009B20C5">
        <w:rPr>
          <w:rFonts w:ascii="Verdana" w:hAnsi="Verdana" w:cs="Arial"/>
          <w:sz w:val="16"/>
          <w:szCs w:val="16"/>
          <w:lang w:val="es-ES"/>
        </w:rPr>
        <w:t>Consejo de Estado. Sala de Consulta y Servicio Civil, Concepto de 8 de mayo de 2018. Radicación Número: 11001-03-06-000-2018-00095-00(2382). Consejero Ponente: Álvaro Namén Vargas.</w:t>
      </w:r>
    </w:p>
    <w:p w14:paraId="1265B8AD" w14:textId="77777777" w:rsidR="00416E96" w:rsidRPr="009B20C5" w:rsidRDefault="00416E96" w:rsidP="00416E96">
      <w:pPr>
        <w:shd w:val="clear" w:color="auto" w:fill="FFFFFF"/>
        <w:spacing w:after="0" w:line="240" w:lineRule="auto"/>
        <w:ind w:firstLine="709"/>
        <w:jc w:val="both"/>
        <w:rPr>
          <w:rFonts w:ascii="Verdana" w:hAnsi="Verdana" w:cs="Arial"/>
          <w:sz w:val="16"/>
          <w:szCs w:val="16"/>
          <w:lang w:val="es-ES"/>
        </w:rPr>
      </w:pPr>
    </w:p>
  </w:footnote>
  <w:footnote w:id="15">
    <w:p w14:paraId="3082E49B" w14:textId="77777777" w:rsidR="00416E96" w:rsidRDefault="00416E96" w:rsidP="00FB6615">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Consejo de Estado. Sala de Consulta y Servicio Civil. Concepto del 08 de mayo de 2018. Exp. 2.382. C.P. Álvaro Namén Vargas.</w:t>
      </w:r>
    </w:p>
    <w:p w14:paraId="24F28F12" w14:textId="77777777" w:rsidR="00416E96" w:rsidRPr="009B20C5" w:rsidRDefault="00416E96" w:rsidP="00416E96">
      <w:pPr>
        <w:pStyle w:val="Textonotapie"/>
        <w:ind w:firstLine="709"/>
        <w:jc w:val="both"/>
        <w:rPr>
          <w:rFonts w:ascii="Verdana" w:hAnsi="Verdana" w:cs="Arial"/>
          <w:sz w:val="16"/>
          <w:szCs w:val="16"/>
        </w:rPr>
      </w:pPr>
    </w:p>
  </w:footnote>
  <w:footnote w:id="16">
    <w:p w14:paraId="2888DE7C" w14:textId="77777777" w:rsidR="00416E96" w:rsidRDefault="00416E96" w:rsidP="00FB6615">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266BE159" w14:textId="77777777" w:rsidR="00416E96" w:rsidRPr="009B20C5" w:rsidRDefault="00416E96" w:rsidP="00416E96">
      <w:pPr>
        <w:pStyle w:val="Textonotapie"/>
        <w:ind w:firstLine="709"/>
        <w:jc w:val="both"/>
        <w:rPr>
          <w:rFonts w:ascii="Verdana" w:hAnsi="Verdana" w:cs="Arial"/>
          <w:sz w:val="16"/>
          <w:szCs w:val="16"/>
        </w:rPr>
      </w:pPr>
    </w:p>
  </w:footnote>
  <w:footnote w:id="17">
    <w:p w14:paraId="25CBFC29" w14:textId="77777777" w:rsidR="00416E96" w:rsidRDefault="00416E96" w:rsidP="00FB6615">
      <w:pPr>
        <w:spacing w:after="0" w:line="240" w:lineRule="auto"/>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6AEE1A9B" w14:textId="77777777" w:rsidR="00416E96" w:rsidRPr="009B20C5" w:rsidRDefault="00416E96" w:rsidP="00416E96">
      <w:pPr>
        <w:spacing w:after="0" w:line="240" w:lineRule="auto"/>
        <w:ind w:firstLine="709"/>
        <w:jc w:val="both"/>
        <w:rPr>
          <w:rFonts w:ascii="Verdana" w:hAnsi="Verdana" w:cs="Arial"/>
          <w:sz w:val="16"/>
          <w:szCs w:val="16"/>
        </w:rPr>
      </w:pPr>
    </w:p>
  </w:footnote>
  <w:footnote w:id="18">
    <w:p w14:paraId="76E98D9D" w14:textId="77777777" w:rsidR="004705B2" w:rsidRDefault="004705B2" w:rsidP="00FB6615">
      <w:pPr>
        <w:pStyle w:val="Textonotapie"/>
        <w:ind w:firstLine="709"/>
        <w:jc w:val="both"/>
        <w:rPr>
          <w:rFonts w:ascii="Verdana" w:hAnsi="Verdana" w:cs="Arial"/>
          <w:sz w:val="16"/>
          <w:szCs w:val="16"/>
        </w:rPr>
      </w:pPr>
      <w:r w:rsidRPr="0069134B">
        <w:rPr>
          <w:rStyle w:val="Refdenotaalpie"/>
          <w:rFonts w:ascii="Verdana" w:hAnsi="Verdana" w:cs="Arial"/>
          <w:sz w:val="16"/>
          <w:szCs w:val="16"/>
        </w:rPr>
        <w:footnoteRef/>
      </w:r>
      <w:r w:rsidRPr="0069134B">
        <w:rPr>
          <w:rFonts w:ascii="Verdana" w:hAnsi="Verdana" w:cs="Arial"/>
          <w:sz w:val="16"/>
          <w:szCs w:val="16"/>
        </w:rPr>
        <w:t xml:space="preserve"> Es lo que sucede, por ejemplo, con el Decreto 092 de 2017, que en su desarrollo hace referencia tanto a los “contratos” como a los “convenios”. </w:t>
      </w:r>
    </w:p>
    <w:p w14:paraId="6486BE12" w14:textId="77777777" w:rsidR="00FB6615" w:rsidRPr="0069134B" w:rsidRDefault="00FB6615" w:rsidP="003D0447">
      <w:pPr>
        <w:pStyle w:val="Textonotapie"/>
        <w:ind w:firstLine="709"/>
        <w:jc w:val="both"/>
        <w:rPr>
          <w:rFonts w:ascii="Verdana" w:hAnsi="Verdana" w:cs="Arial"/>
          <w:sz w:val="16"/>
          <w:szCs w:val="16"/>
        </w:rPr>
      </w:pPr>
    </w:p>
  </w:footnote>
  <w:footnote w:id="19">
    <w:p w14:paraId="78EAAC3A" w14:textId="77777777" w:rsidR="004705B2" w:rsidRDefault="004705B2" w:rsidP="00FB6615">
      <w:pPr>
        <w:pStyle w:val="Textonotapie"/>
        <w:ind w:firstLine="709"/>
        <w:jc w:val="both"/>
        <w:rPr>
          <w:rFonts w:ascii="Verdana" w:hAnsi="Verdana" w:cs="Arial"/>
          <w:sz w:val="16"/>
          <w:szCs w:val="16"/>
          <w:lang w:val="pt-BR"/>
        </w:rPr>
      </w:pPr>
      <w:r w:rsidRPr="0069134B">
        <w:rPr>
          <w:rStyle w:val="Refdenotaalpie"/>
          <w:rFonts w:ascii="Verdana" w:hAnsi="Verdana" w:cs="Arial"/>
          <w:sz w:val="16"/>
          <w:szCs w:val="16"/>
        </w:rPr>
        <w:footnoteRef/>
      </w:r>
      <w:r w:rsidRPr="0069134B">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69134B">
        <w:rPr>
          <w:rFonts w:ascii="Verdana" w:hAnsi="Verdana" w:cs="Arial"/>
          <w:sz w:val="16"/>
          <w:szCs w:val="16"/>
          <w:lang w:val="pt-BR"/>
        </w:rPr>
        <w:t>(Corte Constitucional. Sentencia C-671 de 2015. M.P. Alberto Rojas Ríos).</w:t>
      </w:r>
    </w:p>
    <w:p w14:paraId="36CE78DE" w14:textId="77777777" w:rsidR="00FB6615" w:rsidRPr="0069134B" w:rsidRDefault="00FB6615" w:rsidP="003D0447">
      <w:pPr>
        <w:pStyle w:val="Textonotapie"/>
        <w:ind w:firstLine="709"/>
        <w:jc w:val="both"/>
        <w:rPr>
          <w:rFonts w:ascii="Verdana" w:hAnsi="Verdana" w:cs="Arial"/>
          <w:sz w:val="16"/>
          <w:szCs w:val="16"/>
          <w:lang w:val="pt-BR"/>
        </w:rPr>
      </w:pPr>
    </w:p>
  </w:footnote>
  <w:footnote w:id="20">
    <w:p w14:paraId="5DDE385C" w14:textId="77777777" w:rsidR="004705B2" w:rsidRDefault="004705B2" w:rsidP="00FB6615">
      <w:pPr>
        <w:pStyle w:val="Textonotapie"/>
        <w:ind w:firstLine="709"/>
        <w:jc w:val="both"/>
        <w:rPr>
          <w:rFonts w:ascii="Verdana" w:hAnsi="Verdana" w:cs="Arial"/>
          <w:sz w:val="16"/>
          <w:szCs w:val="16"/>
          <w:lang w:val="es-CO"/>
        </w:rPr>
      </w:pPr>
      <w:r w:rsidRPr="0069134B">
        <w:rPr>
          <w:rStyle w:val="Refdenotaalpie"/>
          <w:rFonts w:ascii="Verdana" w:hAnsi="Verdana"/>
          <w:sz w:val="16"/>
          <w:szCs w:val="16"/>
        </w:rPr>
        <w:footnoteRef/>
      </w:r>
      <w:r w:rsidRPr="0069134B">
        <w:rPr>
          <w:rFonts w:ascii="Verdana" w:hAnsi="Verdana"/>
          <w:sz w:val="16"/>
          <w:szCs w:val="16"/>
          <w:lang w:val="es-CO"/>
        </w:rPr>
        <w:t xml:space="preserve"> </w:t>
      </w:r>
      <w:r w:rsidRPr="0069134B">
        <w:rPr>
          <w:rFonts w:ascii="Verdana" w:hAnsi="Verdana" w:cs="Arial"/>
          <w:sz w:val="16"/>
          <w:szCs w:val="16"/>
          <w:lang w:val="es-CO"/>
        </w:rPr>
        <w:t>Consejo de Estado, Sección Tercera. Auto del 4 de octubre de 2024. Exp. 70.313. C.P: Fredy Ibarra Martínez</w:t>
      </w:r>
    </w:p>
    <w:p w14:paraId="63B8740C" w14:textId="77777777" w:rsidR="00FB6615" w:rsidRPr="0069134B" w:rsidRDefault="00FB6615" w:rsidP="003D0447">
      <w:pPr>
        <w:pStyle w:val="Textonotapie"/>
        <w:ind w:firstLine="709"/>
        <w:jc w:val="both"/>
        <w:rPr>
          <w:rFonts w:ascii="Verdana" w:hAnsi="Verdana"/>
          <w:sz w:val="16"/>
          <w:szCs w:val="16"/>
          <w:lang w:val="es-CO"/>
        </w:rPr>
      </w:pPr>
    </w:p>
  </w:footnote>
  <w:footnote w:id="21">
    <w:p w14:paraId="40FE344D" w14:textId="77777777" w:rsidR="0017675F" w:rsidRPr="00857B8F" w:rsidRDefault="0017675F" w:rsidP="00857B8F">
      <w:pPr>
        <w:pStyle w:val="Textonotapie"/>
        <w:ind w:firstLine="709"/>
        <w:jc w:val="both"/>
        <w:rPr>
          <w:rFonts w:ascii="Verdana" w:hAnsi="Verdana" w:cs="Arial"/>
          <w:color w:val="000000" w:themeColor="text1"/>
          <w:sz w:val="16"/>
          <w:szCs w:val="16"/>
        </w:rPr>
      </w:pPr>
    </w:p>
  </w:footnote>
  <w:footnote w:id="22">
    <w:p w14:paraId="73293587" w14:textId="77777777" w:rsidR="0017675F" w:rsidRPr="00857B8F" w:rsidRDefault="0017675F" w:rsidP="00857B8F">
      <w:pPr>
        <w:pStyle w:val="Textonotapie"/>
        <w:ind w:firstLine="709"/>
        <w:jc w:val="both"/>
        <w:rPr>
          <w:rFonts w:ascii="Verdana" w:hAnsi="Verdana" w:cs="Arial"/>
          <w:color w:val="000000" w:themeColor="text1"/>
          <w:sz w:val="16"/>
          <w:szCs w:val="16"/>
          <w:lang w:val="es-ES"/>
        </w:rPr>
      </w:pPr>
    </w:p>
  </w:footnote>
  <w:footnote w:id="23">
    <w:p w14:paraId="0EF767CB" w14:textId="77777777" w:rsidR="0017675F" w:rsidRPr="00857B8F" w:rsidRDefault="0017675F" w:rsidP="00857B8F">
      <w:pPr>
        <w:pStyle w:val="Textonotapie"/>
        <w:ind w:firstLine="709"/>
        <w:jc w:val="both"/>
        <w:rPr>
          <w:rFonts w:ascii="Verdana" w:hAnsi="Verdana" w:cs="Arial"/>
          <w:color w:val="000000" w:themeColor="text1"/>
          <w:sz w:val="16"/>
          <w:szCs w:val="16"/>
        </w:rPr>
      </w:pPr>
    </w:p>
  </w:footnote>
  <w:footnote w:id="24">
    <w:p w14:paraId="44559204" w14:textId="77777777" w:rsidR="0017675F" w:rsidRPr="00857B8F" w:rsidRDefault="0017675F" w:rsidP="00857B8F">
      <w:pPr>
        <w:ind w:right="106" w:firstLine="708"/>
        <w:jc w:val="both"/>
        <w:rPr>
          <w:rFonts w:ascii="Verdana" w:hAnsi="Verdana" w:cs="Arial"/>
          <w:color w:val="000000" w:themeColor="text1"/>
          <w:sz w:val="16"/>
          <w:szCs w:val="16"/>
        </w:rPr>
      </w:pPr>
    </w:p>
  </w:footnote>
  <w:footnote w:id="25">
    <w:p w14:paraId="21CF70EE" w14:textId="77777777" w:rsidR="0017675F" w:rsidRPr="00857B8F" w:rsidRDefault="0017675F" w:rsidP="00857B8F">
      <w:pPr>
        <w:ind w:right="106" w:firstLine="708"/>
        <w:jc w:val="both"/>
        <w:rPr>
          <w:rFonts w:ascii="Verdana" w:hAnsi="Verdana" w:cs="Arial"/>
          <w:color w:val="000000" w:themeColor="text1"/>
          <w:sz w:val="16"/>
          <w:szCs w:val="16"/>
        </w:rPr>
      </w:pPr>
    </w:p>
  </w:footnote>
  <w:footnote w:id="26">
    <w:p w14:paraId="2E2C2D42" w14:textId="77777777" w:rsidR="0017675F" w:rsidRPr="00857B8F" w:rsidRDefault="0017675F" w:rsidP="00857B8F">
      <w:pPr>
        <w:spacing w:after="0" w:line="240" w:lineRule="auto"/>
        <w:ind w:firstLine="709"/>
        <w:jc w:val="both"/>
        <w:rPr>
          <w:rFonts w:ascii="Verdana" w:hAnsi="Verdana" w:cs="Arial"/>
          <w:color w:val="000000" w:themeColor="text1"/>
          <w:sz w:val="16"/>
          <w:szCs w:val="16"/>
        </w:rPr>
      </w:pPr>
    </w:p>
  </w:footnote>
  <w:footnote w:id="27">
    <w:p w14:paraId="6FD10BCC" w14:textId="77777777" w:rsidR="0017675F" w:rsidRPr="00857B8F" w:rsidRDefault="0017675F" w:rsidP="00857B8F">
      <w:pPr>
        <w:pStyle w:val="Textonotapie"/>
        <w:ind w:firstLine="709"/>
        <w:jc w:val="both"/>
        <w:rPr>
          <w:rFonts w:ascii="Verdana" w:hAnsi="Verdana" w:cs="Arial"/>
          <w:color w:val="000000" w:themeColor="text1"/>
          <w:sz w:val="16"/>
          <w:szCs w:val="16"/>
        </w:rPr>
      </w:pPr>
    </w:p>
  </w:footnote>
  <w:footnote w:id="28">
    <w:p w14:paraId="41BE949C" w14:textId="77777777" w:rsidR="0017675F" w:rsidRPr="003D0447" w:rsidRDefault="0017675F" w:rsidP="003D0447">
      <w:pPr>
        <w:spacing w:after="0" w:line="240" w:lineRule="auto"/>
        <w:ind w:firstLine="709"/>
        <w:jc w:val="both"/>
        <w:rPr>
          <w:rFonts w:ascii="Verdana" w:hAnsi="Verdana" w:cs="Arial"/>
          <w:sz w:val="16"/>
          <w:szCs w:val="16"/>
        </w:rPr>
      </w:pPr>
    </w:p>
  </w:footnote>
  <w:footnote w:id="29">
    <w:p w14:paraId="4757F61E" w14:textId="22C0C6E0" w:rsidR="0017675F" w:rsidRPr="003D0447" w:rsidRDefault="0017675F" w:rsidP="00FB6615">
      <w:pPr>
        <w:pStyle w:val="Textonotapie"/>
        <w:ind w:firstLine="709"/>
        <w:jc w:val="both"/>
        <w:rPr>
          <w:rFonts w:ascii="Verdana" w:hAnsi="Verdana" w:cs="Arial"/>
          <w:sz w:val="16"/>
          <w:szCs w:val="16"/>
        </w:rPr>
      </w:pPr>
      <w:r w:rsidRPr="003D0447">
        <w:rPr>
          <w:rStyle w:val="Refdenotaalpie"/>
          <w:rFonts w:ascii="Verdana" w:hAnsi="Verdana" w:cs="Arial"/>
          <w:sz w:val="16"/>
          <w:szCs w:val="16"/>
        </w:rPr>
        <w:footnoteRef/>
      </w:r>
      <w:r w:rsidRPr="003D0447">
        <w:rPr>
          <w:rFonts w:ascii="Verdana" w:hAnsi="Verdana" w:cs="Arial"/>
          <w:sz w:val="16"/>
          <w:szCs w:val="16"/>
        </w:rPr>
        <w:t xml:space="preserve"> </w:t>
      </w:r>
      <w:r w:rsidR="00FB6615">
        <w:rPr>
          <w:rFonts w:ascii="Verdana" w:hAnsi="Verdana" w:cs="Arial"/>
          <w:sz w:val="16"/>
          <w:szCs w:val="16"/>
        </w:rPr>
        <w:t>“</w:t>
      </w:r>
      <w:r w:rsidRPr="003D0447">
        <w:rPr>
          <w:rFonts w:ascii="Verdana" w:hAnsi="Verdana" w:cs="Arial"/>
          <w:sz w:val="16"/>
          <w:szCs w:val="16"/>
        </w:rPr>
        <w:t>Artículo 2o. De la definición de entidades, servidores y servicios públicos. Para los solos efectos de esta ley:</w:t>
      </w:r>
    </w:p>
    <w:p w14:paraId="1489C7C0" w14:textId="0184675C" w:rsidR="0017675F" w:rsidRPr="003D0447" w:rsidRDefault="0017675F" w:rsidP="003D0447">
      <w:pPr>
        <w:pStyle w:val="Textonotapie"/>
        <w:ind w:firstLine="709"/>
        <w:jc w:val="both"/>
        <w:rPr>
          <w:rFonts w:ascii="Verdana" w:hAnsi="Verdana" w:cs="Arial"/>
          <w:sz w:val="16"/>
          <w:szCs w:val="16"/>
        </w:rPr>
      </w:pPr>
      <w:r w:rsidRPr="003D0447">
        <w:rPr>
          <w:rFonts w:ascii="Verdana" w:hAnsi="Verdana" w:cs="Arial"/>
          <w:sz w:val="16"/>
          <w:szCs w:val="16"/>
        </w:rPr>
        <w:t>1o. Se denominan entidades estatales:</w:t>
      </w:r>
    </w:p>
    <w:p w14:paraId="04C0C4FB" w14:textId="41D29BBB" w:rsidR="0017675F" w:rsidRPr="003D0447" w:rsidRDefault="0017675F" w:rsidP="003D0447">
      <w:pPr>
        <w:pStyle w:val="Textonotapie"/>
        <w:ind w:firstLine="709"/>
        <w:jc w:val="both"/>
        <w:rPr>
          <w:rFonts w:ascii="Verdana" w:hAnsi="Verdana" w:cs="Arial"/>
          <w:sz w:val="16"/>
          <w:szCs w:val="16"/>
        </w:rPr>
      </w:pPr>
      <w:r w:rsidRPr="003D0447">
        <w:rPr>
          <w:rFonts w:ascii="Verdana" w:hAnsi="Verdana" w:cs="Arial"/>
          <w:sz w:val="16"/>
          <w:szCs w:val="16"/>
        </w:rPr>
        <w:t xml:space="preserve">a) La Nación, las regiones, los departamentos, las provincias, el distrito capital y los distritos especiales, las áreas metropolitanas, las asociaciones de municipios, los territorios indígenas y los municipios; </w:t>
      </w:r>
      <w:r w:rsidRPr="003D0447">
        <w:rPr>
          <w:rFonts w:ascii="Verdana" w:hAnsi="Verdana" w:cs="Arial"/>
          <w:i/>
          <w:iCs/>
          <w:sz w:val="16"/>
          <w:szCs w:val="16"/>
          <w:u w:val="single"/>
        </w:rPr>
        <w:t>los establecimientos públicos</w:t>
      </w:r>
      <w:r w:rsidRPr="003D0447">
        <w:rPr>
          <w:rFonts w:ascii="Verdana" w:hAnsi="Verdana" w:cs="Arial"/>
          <w:sz w:val="16"/>
          <w:szCs w:val="16"/>
        </w:rPr>
        <w:t>,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r w:rsidR="00FB6615">
        <w:rPr>
          <w:rFonts w:ascii="Verdana" w:hAnsi="Verdana" w:cs="Arial"/>
          <w:sz w:val="16"/>
          <w:szCs w:val="16"/>
        </w:rPr>
        <w:t>”</w:t>
      </w:r>
      <w:r w:rsidRPr="003D0447">
        <w:rPr>
          <w:rFonts w:ascii="Verdana" w:hAnsi="Verdana" w:cs="Arial"/>
          <w:sz w:val="16"/>
          <w:szCs w:val="16"/>
        </w:rPr>
        <w:t>. [Énfasis fuera de texto].</w:t>
      </w:r>
    </w:p>
    <w:p w14:paraId="72517572" w14:textId="77777777" w:rsidR="0017675F" w:rsidRPr="003D0447" w:rsidRDefault="0017675F" w:rsidP="003D0447">
      <w:pPr>
        <w:pStyle w:val="Textonotapie"/>
        <w:ind w:firstLine="709"/>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80713882">
    <w:abstractNumId w:val="0"/>
  </w:num>
  <w:num w:numId="17" w16cid:durableId="1532558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063"/>
    <w:rsid w:val="00046945"/>
    <w:rsid w:val="00061B2A"/>
    <w:rsid w:val="000678AF"/>
    <w:rsid w:val="00082362"/>
    <w:rsid w:val="000A6658"/>
    <w:rsid w:val="000A683E"/>
    <w:rsid w:val="000B19B9"/>
    <w:rsid w:val="000D0334"/>
    <w:rsid w:val="000E02CE"/>
    <w:rsid w:val="000E7F7F"/>
    <w:rsid w:val="000F6486"/>
    <w:rsid w:val="00117F71"/>
    <w:rsid w:val="00125105"/>
    <w:rsid w:val="00127233"/>
    <w:rsid w:val="00143D05"/>
    <w:rsid w:val="001511A0"/>
    <w:rsid w:val="001613C6"/>
    <w:rsid w:val="00166E4E"/>
    <w:rsid w:val="0017675F"/>
    <w:rsid w:val="001C2227"/>
    <w:rsid w:val="001E2B4A"/>
    <w:rsid w:val="001E4177"/>
    <w:rsid w:val="001F7DC6"/>
    <w:rsid w:val="002421BB"/>
    <w:rsid w:val="0025796E"/>
    <w:rsid w:val="00266B83"/>
    <w:rsid w:val="002707A2"/>
    <w:rsid w:val="002951A0"/>
    <w:rsid w:val="002962BC"/>
    <w:rsid w:val="002A093D"/>
    <w:rsid w:val="002A0DD0"/>
    <w:rsid w:val="002A49AC"/>
    <w:rsid w:val="002A64FD"/>
    <w:rsid w:val="002C7A84"/>
    <w:rsid w:val="002D019F"/>
    <w:rsid w:val="002D4C7E"/>
    <w:rsid w:val="002E4FD9"/>
    <w:rsid w:val="00322A85"/>
    <w:rsid w:val="00324168"/>
    <w:rsid w:val="00343684"/>
    <w:rsid w:val="003448F4"/>
    <w:rsid w:val="00345E20"/>
    <w:rsid w:val="0035554B"/>
    <w:rsid w:val="00374F5E"/>
    <w:rsid w:val="00377E3E"/>
    <w:rsid w:val="003A779E"/>
    <w:rsid w:val="003A7A09"/>
    <w:rsid w:val="003D0447"/>
    <w:rsid w:val="003D0F4D"/>
    <w:rsid w:val="003D5B0D"/>
    <w:rsid w:val="003E0499"/>
    <w:rsid w:val="003E408C"/>
    <w:rsid w:val="003F2BA7"/>
    <w:rsid w:val="003F3941"/>
    <w:rsid w:val="00406575"/>
    <w:rsid w:val="00414C74"/>
    <w:rsid w:val="00416E96"/>
    <w:rsid w:val="00417016"/>
    <w:rsid w:val="004215B7"/>
    <w:rsid w:val="0042722E"/>
    <w:rsid w:val="0044528D"/>
    <w:rsid w:val="004705B2"/>
    <w:rsid w:val="00482306"/>
    <w:rsid w:val="004A1847"/>
    <w:rsid w:val="004A305D"/>
    <w:rsid w:val="004F21C4"/>
    <w:rsid w:val="004F685F"/>
    <w:rsid w:val="00522D33"/>
    <w:rsid w:val="00550753"/>
    <w:rsid w:val="005566E8"/>
    <w:rsid w:val="00567076"/>
    <w:rsid w:val="00574867"/>
    <w:rsid w:val="00591460"/>
    <w:rsid w:val="005B3816"/>
    <w:rsid w:val="005C153C"/>
    <w:rsid w:val="005C2154"/>
    <w:rsid w:val="005C3777"/>
    <w:rsid w:val="005C5CDC"/>
    <w:rsid w:val="005D476C"/>
    <w:rsid w:val="006219F8"/>
    <w:rsid w:val="00665D70"/>
    <w:rsid w:val="006900D9"/>
    <w:rsid w:val="0069134B"/>
    <w:rsid w:val="006D6D9D"/>
    <w:rsid w:val="00706C16"/>
    <w:rsid w:val="00740A0C"/>
    <w:rsid w:val="00743003"/>
    <w:rsid w:val="00756841"/>
    <w:rsid w:val="007649AB"/>
    <w:rsid w:val="00771D0C"/>
    <w:rsid w:val="007833AC"/>
    <w:rsid w:val="007B268C"/>
    <w:rsid w:val="007B7171"/>
    <w:rsid w:val="007C0C0F"/>
    <w:rsid w:val="007C3DC2"/>
    <w:rsid w:val="007D0353"/>
    <w:rsid w:val="007E5497"/>
    <w:rsid w:val="00804DB3"/>
    <w:rsid w:val="00806F5F"/>
    <w:rsid w:val="00820278"/>
    <w:rsid w:val="00842286"/>
    <w:rsid w:val="00850B0D"/>
    <w:rsid w:val="00857B8F"/>
    <w:rsid w:val="00867F95"/>
    <w:rsid w:val="0088013C"/>
    <w:rsid w:val="008843B6"/>
    <w:rsid w:val="00891928"/>
    <w:rsid w:val="008A446D"/>
    <w:rsid w:val="008B1FB2"/>
    <w:rsid w:val="008D180B"/>
    <w:rsid w:val="008F0EA7"/>
    <w:rsid w:val="008F3AC9"/>
    <w:rsid w:val="00906BD2"/>
    <w:rsid w:val="00923EEF"/>
    <w:rsid w:val="009374A1"/>
    <w:rsid w:val="009419F9"/>
    <w:rsid w:val="0095685E"/>
    <w:rsid w:val="00961B09"/>
    <w:rsid w:val="00965334"/>
    <w:rsid w:val="0097093E"/>
    <w:rsid w:val="00986AC5"/>
    <w:rsid w:val="009A0DFA"/>
    <w:rsid w:val="009B075E"/>
    <w:rsid w:val="009B2D26"/>
    <w:rsid w:val="009B3403"/>
    <w:rsid w:val="009B7048"/>
    <w:rsid w:val="009C71FA"/>
    <w:rsid w:val="009C72E7"/>
    <w:rsid w:val="009D3058"/>
    <w:rsid w:val="009F3A13"/>
    <w:rsid w:val="009F48B8"/>
    <w:rsid w:val="00A122D3"/>
    <w:rsid w:val="00A17F13"/>
    <w:rsid w:val="00A20739"/>
    <w:rsid w:val="00A33C78"/>
    <w:rsid w:val="00A36E83"/>
    <w:rsid w:val="00A51781"/>
    <w:rsid w:val="00A73BB6"/>
    <w:rsid w:val="00AB0ADB"/>
    <w:rsid w:val="00AE5DCF"/>
    <w:rsid w:val="00B01B1A"/>
    <w:rsid w:val="00B11A80"/>
    <w:rsid w:val="00B51C5B"/>
    <w:rsid w:val="00B66319"/>
    <w:rsid w:val="00B72CD3"/>
    <w:rsid w:val="00B72FFF"/>
    <w:rsid w:val="00BA0A0F"/>
    <w:rsid w:val="00BA4B56"/>
    <w:rsid w:val="00BB1149"/>
    <w:rsid w:val="00BC3D36"/>
    <w:rsid w:val="00BD7F72"/>
    <w:rsid w:val="00C04FB3"/>
    <w:rsid w:val="00C1665A"/>
    <w:rsid w:val="00C262AB"/>
    <w:rsid w:val="00C330EB"/>
    <w:rsid w:val="00C41061"/>
    <w:rsid w:val="00C754BE"/>
    <w:rsid w:val="00C76B1C"/>
    <w:rsid w:val="00C96C8B"/>
    <w:rsid w:val="00C97DC7"/>
    <w:rsid w:val="00CB6357"/>
    <w:rsid w:val="00CC1B26"/>
    <w:rsid w:val="00CD2933"/>
    <w:rsid w:val="00D423A2"/>
    <w:rsid w:val="00D520D8"/>
    <w:rsid w:val="00D63AC2"/>
    <w:rsid w:val="00D7383B"/>
    <w:rsid w:val="00D7525A"/>
    <w:rsid w:val="00DA231B"/>
    <w:rsid w:val="00DC39FC"/>
    <w:rsid w:val="00DD5FCB"/>
    <w:rsid w:val="00DF5254"/>
    <w:rsid w:val="00E15546"/>
    <w:rsid w:val="00E15648"/>
    <w:rsid w:val="00E16408"/>
    <w:rsid w:val="00E20894"/>
    <w:rsid w:val="00E245AB"/>
    <w:rsid w:val="00E2764C"/>
    <w:rsid w:val="00E27F2E"/>
    <w:rsid w:val="00E50AFE"/>
    <w:rsid w:val="00E7239F"/>
    <w:rsid w:val="00E75C92"/>
    <w:rsid w:val="00E771DC"/>
    <w:rsid w:val="00E8772A"/>
    <w:rsid w:val="00E90F6B"/>
    <w:rsid w:val="00E92C27"/>
    <w:rsid w:val="00EA0E3D"/>
    <w:rsid w:val="00EB140E"/>
    <w:rsid w:val="00EB3ABE"/>
    <w:rsid w:val="00EC38A7"/>
    <w:rsid w:val="00ED5EC0"/>
    <w:rsid w:val="00ED7384"/>
    <w:rsid w:val="00EE1AA8"/>
    <w:rsid w:val="00F133F3"/>
    <w:rsid w:val="00F31EDC"/>
    <w:rsid w:val="00F462B3"/>
    <w:rsid w:val="00F558C7"/>
    <w:rsid w:val="00F5664F"/>
    <w:rsid w:val="00F666C4"/>
    <w:rsid w:val="00F76AFC"/>
    <w:rsid w:val="00FA47C0"/>
    <w:rsid w:val="00FB5DD1"/>
    <w:rsid w:val="00FB6615"/>
    <w:rsid w:val="00FC2B5D"/>
    <w:rsid w:val="00FD14D9"/>
    <w:rsid w:val="00FF1449"/>
    <w:rsid w:val="165E9519"/>
    <w:rsid w:val="382536D9"/>
    <w:rsid w:val="48E0C270"/>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16E9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416E96"/>
    <w:rPr>
      <w:rFonts w:ascii="Geomanist Light" w:hAnsi="Geomanist Light"/>
      <w:lang w:val="es-ES"/>
    </w:rPr>
  </w:style>
  <w:style w:type="character" w:customStyle="1" w:styleId="NormalWebCar">
    <w:name w:val="Normal (Web) Car"/>
    <w:link w:val="NormalWeb"/>
    <w:uiPriority w:val="99"/>
    <w:locked/>
    <w:rsid w:val="00416E96"/>
    <w:rPr>
      <w:rFonts w:ascii="Times New Roman" w:eastAsia="Times New Roman" w:hAnsi="Times New Roman" w:cs="Times New Roman"/>
      <w:sz w:val="24"/>
      <w:szCs w:val="24"/>
      <w:lang w:eastAsia="es-CO"/>
    </w:rPr>
  </w:style>
  <w:style w:type="character" w:customStyle="1" w:styleId="baj">
    <w:name w:val="b_aj"/>
    <w:basedOn w:val="Fuentedeprrafopredeter"/>
    <w:rsid w:val="00416E96"/>
  </w:style>
  <w:style w:type="paragraph" w:styleId="Textoindependiente">
    <w:name w:val="Body Text"/>
    <w:basedOn w:val="Normal"/>
    <w:link w:val="TextoindependienteCar"/>
    <w:uiPriority w:val="1"/>
    <w:qFormat/>
    <w:rsid w:val="000E7F7F"/>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0E7F7F"/>
    <w:rPr>
      <w:rFonts w:ascii="Arial" w:eastAsia="Arial" w:hAnsi="Arial" w:cs="Arial"/>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omosrosero2023@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54B7968-6D2C-4A8A-9C22-94BDD5CB48D2}"/>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ebbc79d-423d-4cb2-b33e-d3110c1c174b"/>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27</Pages>
  <Words>9388</Words>
  <Characters>51636</Characters>
  <Application>Microsoft Office Word</Application>
  <DocSecurity>0</DocSecurity>
  <Lines>430</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5</cp:revision>
  <cp:lastPrinted>2023-01-10T21:18:00Z</cp:lastPrinted>
  <dcterms:created xsi:type="dcterms:W3CDTF">2025-09-03T15:28:00Z</dcterms:created>
  <dcterms:modified xsi:type="dcterms:W3CDTF">2025-09-05T02:32:00Z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