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FC449" w14:textId="22D9F2E6" w:rsidR="0052529C" w:rsidRPr="0052529C" w:rsidRDefault="0052529C" w:rsidP="00CC2627">
      <w:pPr>
        <w:spacing w:after="0" w:line="240" w:lineRule="auto"/>
        <w:rPr>
          <w:rFonts w:ascii="Verdana" w:eastAsia="Calibri" w:hAnsi="Verdana" w:cs="Arial"/>
          <w:b/>
          <w:bCs/>
          <w:lang w:val="es-MX"/>
        </w:rPr>
      </w:pPr>
      <w:bookmarkStart w:id="0" w:name="_Hlk189391789"/>
      <w:r w:rsidRPr="0052529C">
        <w:rPr>
          <w:rFonts w:ascii="Verdana" w:eastAsia="Calibri" w:hAnsi="Verdana" w:cs="Arial"/>
          <w:b/>
          <w:bCs/>
          <w:lang w:val="es-MX"/>
        </w:rPr>
        <w:t>EMPRESAS DE SERVICIOS PÚBLICOS DOMICILIARIOS – Naturaleza jurídica</w:t>
      </w:r>
    </w:p>
    <w:p w14:paraId="182CC7AD" w14:textId="77777777" w:rsidR="0052529C" w:rsidRDefault="0052529C" w:rsidP="00CC2627">
      <w:pPr>
        <w:spacing w:after="0" w:line="240" w:lineRule="auto"/>
        <w:rPr>
          <w:rFonts w:ascii="Verdana" w:eastAsia="Calibri" w:hAnsi="Verdana" w:cs="Arial"/>
          <w:lang w:val="es-MX"/>
        </w:rPr>
      </w:pPr>
    </w:p>
    <w:p w14:paraId="65794310" w14:textId="77777777" w:rsidR="0052529C" w:rsidRPr="004825F3" w:rsidRDefault="0052529C" w:rsidP="0052529C">
      <w:pPr>
        <w:pStyle w:val="Prrafodelista"/>
        <w:tabs>
          <w:tab w:val="left" w:pos="284"/>
        </w:tabs>
        <w:spacing w:after="120" w:line="276" w:lineRule="auto"/>
        <w:ind w:left="0"/>
        <w:contextualSpacing w:val="0"/>
        <w:jc w:val="both"/>
        <w:rPr>
          <w:rFonts w:ascii="Verdana" w:eastAsia="Arial" w:hAnsi="Verdana" w:cs="Arial"/>
          <w:lang w:eastAsia="es-CO"/>
        </w:rPr>
      </w:pPr>
      <w:r w:rsidRPr="004825F3">
        <w:rPr>
          <w:rFonts w:ascii="Verdana" w:eastAsia="Arial" w:hAnsi="Verdana" w:cs="Arial"/>
          <w:lang w:eastAsia="es-CO"/>
        </w:rPr>
        <w:t>Así las cosas, es impreciso afirmar que existen Empresas de Servicios Públicos, cuya naturaleza jurídica es de Sociedad de Economía Mixta, toda vez que, como quedó visto, las Empresas de Servicios Públicos tienen una naturaleza jurídica especial que viene dada directamente por el artículo 356 de la Constitución Política.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sin importar su clasificación, todas hacen parte de la Rama Ejecutiva, del sector descentralizado por servicios.</w:t>
      </w:r>
    </w:p>
    <w:p w14:paraId="387E6F1B" w14:textId="77777777" w:rsidR="0052529C" w:rsidRPr="0052529C" w:rsidRDefault="0052529C" w:rsidP="00CC2627">
      <w:pPr>
        <w:spacing w:after="0" w:line="240" w:lineRule="auto"/>
        <w:rPr>
          <w:rFonts w:ascii="Verdana" w:eastAsia="Calibri" w:hAnsi="Verdana" w:cs="Arial"/>
          <w:lang w:val="es-ES"/>
        </w:rPr>
      </w:pPr>
    </w:p>
    <w:p w14:paraId="4E55E5D6" w14:textId="1D32C5EE" w:rsidR="0052529C" w:rsidRDefault="0052529C" w:rsidP="0052529C">
      <w:pPr>
        <w:spacing w:after="0" w:line="240" w:lineRule="auto"/>
        <w:rPr>
          <w:rFonts w:ascii="Verdana" w:eastAsia="Calibri" w:hAnsi="Verdana" w:cs="Arial"/>
          <w:b/>
          <w:bCs/>
          <w:lang w:val="es-MX"/>
        </w:rPr>
      </w:pPr>
      <w:r w:rsidRPr="0052529C">
        <w:rPr>
          <w:rFonts w:ascii="Verdana" w:eastAsia="Calibri" w:hAnsi="Verdana" w:cs="Arial"/>
          <w:b/>
          <w:bCs/>
          <w:lang w:val="es-MX"/>
        </w:rPr>
        <w:t>PUBLICIDAD SECOP II – Entidades exceptuadas – Artículo 53 – Ley 2195 de 2022</w:t>
      </w:r>
    </w:p>
    <w:p w14:paraId="1B5BDA2A" w14:textId="77777777" w:rsidR="0052529C" w:rsidRDefault="0052529C" w:rsidP="0052529C">
      <w:pPr>
        <w:spacing w:after="0" w:line="240" w:lineRule="auto"/>
        <w:rPr>
          <w:rFonts w:ascii="Verdana" w:eastAsia="Calibri" w:hAnsi="Verdana" w:cs="Arial"/>
          <w:b/>
          <w:bCs/>
          <w:lang w:val="es-MX"/>
        </w:rPr>
      </w:pPr>
    </w:p>
    <w:p w14:paraId="551B81B8" w14:textId="77777777" w:rsidR="0052529C" w:rsidRDefault="0052529C" w:rsidP="0052529C">
      <w:pPr>
        <w:spacing w:line="276" w:lineRule="auto"/>
        <w:jc w:val="both"/>
        <w:rPr>
          <w:rFonts w:ascii="Verdana" w:eastAsia="Times New Roman" w:hAnsi="Verdana" w:cs="Arial"/>
          <w:iCs/>
          <w:lang w:eastAsia="es-ES_tradnl"/>
          <w14:ligatures w14:val="standardContextual"/>
        </w:rPr>
      </w:pPr>
      <w:r w:rsidRPr="009479DC">
        <w:rPr>
          <w:rFonts w:ascii="Verdana" w:eastAsia="Times New Roman" w:hAnsi="Verdana" w:cs="Arial"/>
          <w:iCs/>
          <w:lang w:eastAsia="es-ES_tradnl"/>
          <w14:ligatures w14:val="standardContextual"/>
        </w:rPr>
        <w:t xml:space="preserve">Las Empresas de Servicios Públicos Domiciliarios que tienen la naturaleza de entidades estatales deben publicar en el SECOP II (o en la plataforma transaccional que haga sus veces) la documentación relacionada con su actividad contractual, de conformidad con el artículo 53 de la Ley 2195 de 2022, que adicionó el artículo 13 de la Ley 1150 de 2007. Esto incluye documentos generados en las etapas precontractual, contractual y </w:t>
      </w:r>
      <w:proofErr w:type="spellStart"/>
      <w:r w:rsidRPr="009479DC">
        <w:rPr>
          <w:rFonts w:ascii="Verdana" w:eastAsia="Times New Roman" w:hAnsi="Verdana" w:cs="Arial"/>
          <w:iCs/>
          <w:lang w:eastAsia="es-ES_tradnl"/>
          <w14:ligatures w14:val="standardContextual"/>
        </w:rPr>
        <w:t>postcontractual</w:t>
      </w:r>
      <w:proofErr w:type="spellEnd"/>
      <w:r w:rsidRPr="009479DC">
        <w:rPr>
          <w:rFonts w:ascii="Verdana" w:eastAsia="Times New Roman" w:hAnsi="Verdana" w:cs="Arial"/>
          <w:iCs/>
          <w:lang w:eastAsia="es-ES_tradnl"/>
          <w14:ligatures w14:val="standardContextual"/>
        </w:rPr>
        <w:t xml:space="preserve">, </w:t>
      </w:r>
      <w:r w:rsidRPr="009479DC">
        <w:rPr>
          <w:rFonts w:ascii="Verdana" w:hAnsi="Verdana"/>
        </w:rPr>
        <w:t xml:space="preserve">que las entidades estatales deben agotar para el aprovisionamiento de los bienes y servicios que requieren. Esta obligación </w:t>
      </w:r>
      <w:r w:rsidRPr="009479DC">
        <w:rPr>
          <w:rFonts w:ascii="Verdana" w:eastAsia="Times New Roman" w:hAnsi="Verdana" w:cs="Arial"/>
          <w:iCs/>
          <w:lang w:eastAsia="es-ES_tradnl"/>
          <w14:ligatures w14:val="standardContextual"/>
        </w:rPr>
        <w:t>aplica, aunque estén exceptuadas del Estatuto General de Contratación de la Administración Pública, en virtud del principio de publicidad previsto en la Constitución y desarrollado por la ley.</w:t>
      </w:r>
    </w:p>
    <w:p w14:paraId="4AAFF765" w14:textId="5BB2CBAF" w:rsidR="0052529C" w:rsidRPr="0052529C" w:rsidRDefault="0052529C" w:rsidP="0052529C">
      <w:pPr>
        <w:spacing w:line="276" w:lineRule="auto"/>
        <w:jc w:val="both"/>
        <w:rPr>
          <w:rFonts w:ascii="Verdana" w:eastAsia="Times New Roman" w:hAnsi="Verdana" w:cs="Arial"/>
          <w:b/>
          <w:bCs/>
          <w:iCs/>
          <w:lang w:eastAsia="es-ES_tradnl"/>
          <w14:ligatures w14:val="standardContextual"/>
        </w:rPr>
      </w:pPr>
      <w:r w:rsidRPr="0052529C">
        <w:rPr>
          <w:rFonts w:ascii="Verdana" w:eastAsia="Calibri" w:hAnsi="Verdana" w:cs="Arial"/>
          <w:b/>
          <w:bCs/>
          <w:lang w:val="es-MX"/>
        </w:rPr>
        <w:t xml:space="preserve">PUBLICIDAD </w:t>
      </w:r>
      <w:r w:rsidRPr="0052529C">
        <w:rPr>
          <w:rFonts w:ascii="Verdana" w:eastAsia="Calibri" w:hAnsi="Verdana" w:cs="Arial"/>
          <w:b/>
          <w:bCs/>
          <w:lang w:val="es-ES_tradnl"/>
        </w:rPr>
        <w:t>SECOP II –</w:t>
      </w:r>
      <w:r w:rsidRPr="0052529C">
        <w:rPr>
          <w:rFonts w:ascii="Verdana" w:hAnsi="Verdana" w:cs="Arial"/>
          <w:b/>
          <w:bCs/>
          <w:lang w:val="es-ES_tradnl"/>
        </w:rPr>
        <w:t xml:space="preserve"> Deber de publicidad </w:t>
      </w:r>
      <w:r w:rsidRPr="0052529C">
        <w:rPr>
          <w:rFonts w:ascii="Verdana" w:eastAsia="Calibri" w:hAnsi="Verdana" w:cs="Arial"/>
          <w:b/>
          <w:bCs/>
          <w:lang w:val="es-ES_tradnl"/>
        </w:rPr>
        <w:t>–</w:t>
      </w:r>
      <w:r w:rsidRPr="0052529C">
        <w:rPr>
          <w:rFonts w:ascii="Verdana" w:hAnsi="Verdana" w:cs="Arial"/>
          <w:b/>
          <w:bCs/>
          <w:lang w:val="es-ES_tradnl"/>
        </w:rPr>
        <w:t xml:space="preserve"> Entidades estatales exceptuadas del estatuto general de contratación de la administración pública </w:t>
      </w:r>
      <w:r w:rsidRPr="0052529C">
        <w:rPr>
          <w:rFonts w:ascii="Verdana" w:eastAsia="Calibri" w:hAnsi="Verdana" w:cs="Arial"/>
          <w:b/>
          <w:bCs/>
          <w:lang w:val="es-ES_tradnl"/>
        </w:rPr>
        <w:t>–</w:t>
      </w:r>
      <w:r w:rsidRPr="0052529C">
        <w:rPr>
          <w:rFonts w:ascii="Verdana" w:hAnsi="Verdana" w:cs="Arial"/>
          <w:b/>
          <w:bCs/>
          <w:lang w:val="es-ES_tradnl"/>
        </w:rPr>
        <w:t xml:space="preserve"> </w:t>
      </w:r>
      <w:r w:rsidRPr="0052529C">
        <w:rPr>
          <w:rFonts w:ascii="Verdana" w:eastAsia="Calibri" w:hAnsi="Verdana" w:cs="Arial"/>
          <w:b/>
          <w:bCs/>
          <w:lang w:val="es-ES_tradnl"/>
        </w:rPr>
        <w:t>Documentos relacionados con la actividad contractual</w:t>
      </w:r>
      <w:r w:rsidRPr="0052529C" w:rsidDel="00707620">
        <w:rPr>
          <w:rFonts w:ascii="Verdana" w:eastAsia="Calibri" w:hAnsi="Verdana" w:cs="Arial"/>
          <w:b/>
          <w:bCs/>
          <w:lang w:val="es-MX"/>
        </w:rPr>
        <w:t xml:space="preserve"> </w:t>
      </w:r>
      <w:r w:rsidRPr="0052529C">
        <w:rPr>
          <w:rFonts w:ascii="Verdana" w:eastAsia="Calibri" w:hAnsi="Verdana" w:cs="Arial"/>
          <w:b/>
          <w:bCs/>
          <w:lang w:val="es-MX"/>
        </w:rPr>
        <w:t xml:space="preserve"> </w:t>
      </w:r>
    </w:p>
    <w:p w14:paraId="511BEABB" w14:textId="77777777" w:rsidR="0052529C" w:rsidRDefault="0052529C" w:rsidP="0052529C">
      <w:pPr>
        <w:spacing w:after="120" w:line="276" w:lineRule="auto"/>
        <w:jc w:val="both"/>
        <w:rPr>
          <w:rFonts w:ascii="Verdana" w:eastAsia="Calibri" w:hAnsi="Verdana" w:cs="Arial"/>
          <w:lang w:val="es-ES_tradnl" w:eastAsia="es-ES_tradnl"/>
        </w:rPr>
      </w:pPr>
      <w:r w:rsidRPr="009479DC">
        <w:rPr>
          <w:rFonts w:ascii="Verdana" w:eastAsia="Calibri" w:hAnsi="Verdana" w:cs="Arial"/>
          <w:lang w:val="es-ES_tradnl" w:eastAsia="es-ES_tradnl"/>
        </w:rPr>
        <w:t xml:space="preserve">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w:t>
      </w:r>
    </w:p>
    <w:p w14:paraId="3708DF87" w14:textId="77777777" w:rsidR="0052529C" w:rsidRPr="00872A1B" w:rsidRDefault="0052529C" w:rsidP="0052529C">
      <w:pPr>
        <w:spacing w:line="276" w:lineRule="auto"/>
        <w:jc w:val="both"/>
        <w:rPr>
          <w:rFonts w:ascii="Verdana" w:eastAsia="Calibri" w:hAnsi="Verdana" w:cs="Arial"/>
          <w:lang w:val="es-ES_tradnl"/>
        </w:rPr>
      </w:pPr>
      <w:r w:rsidRPr="009479DC">
        <w:rPr>
          <w:rFonts w:ascii="Verdana" w:hAnsi="Verdana" w:cs="Arial"/>
          <w:lang w:val="es-ES"/>
        </w:rPr>
        <w:lastRenderedPageBreak/>
        <w:t xml:space="preserve">De conformidad con lo expuesto, teniendo en cuenta que el artículo 53 complementa la disposición contenida en el artículo 3 de la Ley 1150 de 2007, debe entenderse que la contratación a la que se refiere es aquella realizada con recursos públicos, cuya información es la que debe publicarse en el SECOP II. </w:t>
      </w:r>
      <w:r w:rsidRPr="00872A1B">
        <w:rPr>
          <w:rFonts w:ascii="Verdana" w:eastAsia="Calibri" w:hAnsi="Verdana" w:cs="Arial"/>
          <w:lang w:val="es-ES_tradnl"/>
        </w:rPr>
        <w:t>En ese sentido, la citada disposición establece el deber de publicar toda aquella información relacionada con el respectivo contrato, sin incluir ninguna excepción relacionada con la naturaleza u objeto contractual.</w:t>
      </w:r>
    </w:p>
    <w:p w14:paraId="33E78D11" w14:textId="77777777" w:rsidR="0052529C" w:rsidRPr="0052529C" w:rsidRDefault="0052529C" w:rsidP="0052529C">
      <w:pPr>
        <w:spacing w:after="0" w:line="240" w:lineRule="auto"/>
        <w:rPr>
          <w:rFonts w:ascii="Verdana" w:eastAsia="Calibri" w:hAnsi="Verdana" w:cs="Arial"/>
          <w:b/>
          <w:bCs/>
          <w:lang w:val="es-MX"/>
        </w:rPr>
      </w:pPr>
    </w:p>
    <w:p w14:paraId="4F2B4883" w14:textId="77777777" w:rsidR="0052529C" w:rsidRDefault="0052529C" w:rsidP="00CC2627">
      <w:pPr>
        <w:spacing w:after="0" w:line="240" w:lineRule="auto"/>
        <w:rPr>
          <w:rFonts w:ascii="Verdana" w:eastAsia="Times New Roman" w:hAnsi="Verdana" w:cs="Arial"/>
          <w:lang w:eastAsia="es-ES_tradnl"/>
        </w:rPr>
      </w:pPr>
    </w:p>
    <w:p w14:paraId="150049DC" w14:textId="77777777" w:rsidR="0052529C" w:rsidRDefault="0052529C" w:rsidP="00CC2627">
      <w:pPr>
        <w:spacing w:after="0" w:line="240" w:lineRule="auto"/>
        <w:rPr>
          <w:rFonts w:ascii="Verdana" w:eastAsia="Times New Roman" w:hAnsi="Verdana" w:cs="Arial"/>
          <w:lang w:eastAsia="es-ES_tradnl"/>
        </w:rPr>
      </w:pPr>
    </w:p>
    <w:p w14:paraId="6F19295C" w14:textId="77777777" w:rsidR="0052529C" w:rsidRDefault="0052529C" w:rsidP="00CC2627">
      <w:pPr>
        <w:spacing w:after="0" w:line="240" w:lineRule="auto"/>
        <w:rPr>
          <w:rFonts w:ascii="Verdana" w:eastAsia="Times New Roman" w:hAnsi="Verdana" w:cs="Arial"/>
          <w:lang w:eastAsia="es-ES_tradnl"/>
        </w:rPr>
      </w:pPr>
    </w:p>
    <w:p w14:paraId="4E8EB1FB" w14:textId="77777777" w:rsidR="0052529C" w:rsidRDefault="0052529C" w:rsidP="00CC2627">
      <w:pPr>
        <w:spacing w:after="0" w:line="240" w:lineRule="auto"/>
        <w:rPr>
          <w:rFonts w:ascii="Verdana" w:eastAsia="Times New Roman" w:hAnsi="Verdana" w:cs="Arial"/>
          <w:lang w:eastAsia="es-ES_tradnl"/>
        </w:rPr>
      </w:pPr>
    </w:p>
    <w:p w14:paraId="10838331" w14:textId="77777777" w:rsidR="0052529C" w:rsidRDefault="0052529C" w:rsidP="00CC2627">
      <w:pPr>
        <w:spacing w:after="0" w:line="240" w:lineRule="auto"/>
        <w:rPr>
          <w:rFonts w:ascii="Verdana" w:eastAsia="Times New Roman" w:hAnsi="Verdana" w:cs="Arial"/>
          <w:lang w:eastAsia="es-ES_tradnl"/>
        </w:rPr>
      </w:pPr>
    </w:p>
    <w:p w14:paraId="35C6BD4E" w14:textId="77777777" w:rsidR="0052529C" w:rsidRDefault="0052529C" w:rsidP="00CC2627">
      <w:pPr>
        <w:spacing w:after="0" w:line="240" w:lineRule="auto"/>
        <w:rPr>
          <w:rFonts w:ascii="Verdana" w:eastAsia="Times New Roman" w:hAnsi="Verdana" w:cs="Arial"/>
          <w:lang w:eastAsia="es-ES_tradnl"/>
        </w:rPr>
      </w:pPr>
    </w:p>
    <w:p w14:paraId="0A13594B" w14:textId="77777777" w:rsidR="0052529C" w:rsidRDefault="0052529C" w:rsidP="00CC2627">
      <w:pPr>
        <w:spacing w:after="0" w:line="240" w:lineRule="auto"/>
        <w:rPr>
          <w:rFonts w:ascii="Verdana" w:eastAsia="Times New Roman" w:hAnsi="Verdana" w:cs="Arial"/>
          <w:lang w:eastAsia="es-ES_tradnl"/>
        </w:rPr>
      </w:pPr>
    </w:p>
    <w:p w14:paraId="1BFE5DC0" w14:textId="77777777" w:rsidR="0052529C" w:rsidRDefault="0052529C" w:rsidP="00CC2627">
      <w:pPr>
        <w:spacing w:after="0" w:line="240" w:lineRule="auto"/>
        <w:rPr>
          <w:rFonts w:ascii="Verdana" w:eastAsia="Times New Roman" w:hAnsi="Verdana" w:cs="Arial"/>
          <w:lang w:eastAsia="es-ES_tradnl"/>
        </w:rPr>
      </w:pPr>
    </w:p>
    <w:p w14:paraId="49401F75" w14:textId="77777777" w:rsidR="0052529C" w:rsidRDefault="0052529C" w:rsidP="00CC2627">
      <w:pPr>
        <w:spacing w:after="0" w:line="240" w:lineRule="auto"/>
        <w:rPr>
          <w:rFonts w:ascii="Verdana" w:eastAsia="Times New Roman" w:hAnsi="Verdana" w:cs="Arial"/>
          <w:lang w:eastAsia="es-ES_tradnl"/>
        </w:rPr>
      </w:pPr>
    </w:p>
    <w:p w14:paraId="74524279" w14:textId="77777777" w:rsidR="0052529C" w:rsidRDefault="0052529C" w:rsidP="00CC2627">
      <w:pPr>
        <w:spacing w:after="0" w:line="240" w:lineRule="auto"/>
        <w:rPr>
          <w:rFonts w:ascii="Verdana" w:eastAsia="Times New Roman" w:hAnsi="Verdana" w:cs="Arial"/>
          <w:lang w:eastAsia="es-ES_tradnl"/>
        </w:rPr>
      </w:pPr>
    </w:p>
    <w:p w14:paraId="5F375FD0" w14:textId="77777777" w:rsidR="0052529C" w:rsidRDefault="0052529C" w:rsidP="00CC2627">
      <w:pPr>
        <w:spacing w:after="0" w:line="240" w:lineRule="auto"/>
        <w:rPr>
          <w:rFonts w:ascii="Verdana" w:eastAsia="Times New Roman" w:hAnsi="Verdana" w:cs="Arial"/>
          <w:lang w:eastAsia="es-ES_tradnl"/>
        </w:rPr>
      </w:pPr>
    </w:p>
    <w:p w14:paraId="0A742690" w14:textId="77777777" w:rsidR="0052529C" w:rsidRDefault="0052529C" w:rsidP="00CC2627">
      <w:pPr>
        <w:spacing w:after="0" w:line="240" w:lineRule="auto"/>
        <w:rPr>
          <w:rFonts w:ascii="Verdana" w:eastAsia="Times New Roman" w:hAnsi="Verdana" w:cs="Arial"/>
          <w:lang w:eastAsia="es-ES_tradnl"/>
        </w:rPr>
      </w:pPr>
    </w:p>
    <w:p w14:paraId="5E2C03C0" w14:textId="77777777" w:rsidR="0052529C" w:rsidRDefault="0052529C" w:rsidP="00CC2627">
      <w:pPr>
        <w:spacing w:after="0" w:line="240" w:lineRule="auto"/>
        <w:rPr>
          <w:rFonts w:ascii="Verdana" w:eastAsia="Times New Roman" w:hAnsi="Verdana" w:cs="Arial"/>
          <w:lang w:eastAsia="es-ES_tradnl"/>
        </w:rPr>
      </w:pPr>
    </w:p>
    <w:p w14:paraId="5356A861" w14:textId="77777777" w:rsidR="0052529C" w:rsidRDefault="0052529C" w:rsidP="00CC2627">
      <w:pPr>
        <w:spacing w:after="0" w:line="240" w:lineRule="auto"/>
        <w:rPr>
          <w:rFonts w:ascii="Verdana" w:eastAsia="Times New Roman" w:hAnsi="Verdana" w:cs="Arial"/>
          <w:lang w:eastAsia="es-ES_tradnl"/>
        </w:rPr>
      </w:pPr>
    </w:p>
    <w:p w14:paraId="470B8153" w14:textId="77777777" w:rsidR="0052529C" w:rsidRDefault="0052529C" w:rsidP="00CC2627">
      <w:pPr>
        <w:spacing w:after="0" w:line="240" w:lineRule="auto"/>
        <w:rPr>
          <w:rFonts w:ascii="Verdana" w:eastAsia="Times New Roman" w:hAnsi="Verdana" w:cs="Arial"/>
          <w:lang w:eastAsia="es-ES_tradnl"/>
        </w:rPr>
      </w:pPr>
    </w:p>
    <w:p w14:paraId="38A059E7" w14:textId="77777777" w:rsidR="0052529C" w:rsidRDefault="0052529C" w:rsidP="00CC2627">
      <w:pPr>
        <w:spacing w:after="0" w:line="240" w:lineRule="auto"/>
        <w:rPr>
          <w:rFonts w:ascii="Verdana" w:eastAsia="Times New Roman" w:hAnsi="Verdana" w:cs="Arial"/>
          <w:lang w:eastAsia="es-ES_tradnl"/>
        </w:rPr>
      </w:pPr>
    </w:p>
    <w:p w14:paraId="472B4EF3" w14:textId="77777777" w:rsidR="0052529C" w:rsidRDefault="0052529C" w:rsidP="00CC2627">
      <w:pPr>
        <w:spacing w:after="0" w:line="240" w:lineRule="auto"/>
        <w:rPr>
          <w:rFonts w:ascii="Verdana" w:eastAsia="Times New Roman" w:hAnsi="Verdana" w:cs="Arial"/>
          <w:lang w:eastAsia="es-ES_tradnl"/>
        </w:rPr>
      </w:pPr>
    </w:p>
    <w:p w14:paraId="55F0563A" w14:textId="77777777" w:rsidR="0052529C" w:rsidRDefault="0052529C" w:rsidP="00CC2627">
      <w:pPr>
        <w:spacing w:after="0" w:line="240" w:lineRule="auto"/>
        <w:rPr>
          <w:rFonts w:ascii="Verdana" w:eastAsia="Times New Roman" w:hAnsi="Verdana" w:cs="Arial"/>
          <w:lang w:eastAsia="es-ES_tradnl"/>
        </w:rPr>
      </w:pPr>
    </w:p>
    <w:p w14:paraId="39820F5E" w14:textId="77777777" w:rsidR="0052529C" w:rsidRDefault="0052529C" w:rsidP="00CC2627">
      <w:pPr>
        <w:spacing w:after="0" w:line="240" w:lineRule="auto"/>
        <w:rPr>
          <w:rFonts w:ascii="Verdana" w:eastAsia="Times New Roman" w:hAnsi="Verdana" w:cs="Arial"/>
          <w:lang w:eastAsia="es-ES_tradnl"/>
        </w:rPr>
      </w:pPr>
    </w:p>
    <w:p w14:paraId="4E44FF62" w14:textId="77777777" w:rsidR="0052529C" w:rsidRDefault="0052529C" w:rsidP="00CC2627">
      <w:pPr>
        <w:spacing w:after="0" w:line="240" w:lineRule="auto"/>
        <w:rPr>
          <w:rFonts w:ascii="Verdana" w:eastAsia="Times New Roman" w:hAnsi="Verdana" w:cs="Arial"/>
          <w:lang w:eastAsia="es-ES_tradnl"/>
        </w:rPr>
      </w:pPr>
    </w:p>
    <w:p w14:paraId="338CD290" w14:textId="77777777" w:rsidR="0052529C" w:rsidRDefault="0052529C" w:rsidP="00CC2627">
      <w:pPr>
        <w:spacing w:after="0" w:line="240" w:lineRule="auto"/>
        <w:rPr>
          <w:rFonts w:ascii="Verdana" w:eastAsia="Times New Roman" w:hAnsi="Verdana" w:cs="Arial"/>
          <w:lang w:eastAsia="es-ES_tradnl"/>
        </w:rPr>
      </w:pPr>
    </w:p>
    <w:p w14:paraId="315583E9" w14:textId="77777777" w:rsidR="0052529C" w:rsidRDefault="0052529C" w:rsidP="00CC2627">
      <w:pPr>
        <w:spacing w:after="0" w:line="240" w:lineRule="auto"/>
        <w:rPr>
          <w:rFonts w:ascii="Verdana" w:eastAsia="Times New Roman" w:hAnsi="Verdana" w:cs="Arial"/>
          <w:lang w:eastAsia="es-ES_tradnl"/>
        </w:rPr>
      </w:pPr>
    </w:p>
    <w:p w14:paraId="2BBD491F" w14:textId="77777777" w:rsidR="0052529C" w:rsidRDefault="0052529C" w:rsidP="00CC2627">
      <w:pPr>
        <w:spacing w:after="0" w:line="240" w:lineRule="auto"/>
        <w:rPr>
          <w:rFonts w:ascii="Verdana" w:eastAsia="Times New Roman" w:hAnsi="Verdana" w:cs="Arial"/>
          <w:lang w:eastAsia="es-ES_tradnl"/>
        </w:rPr>
      </w:pPr>
    </w:p>
    <w:p w14:paraId="119EE69C" w14:textId="77777777" w:rsidR="0052529C" w:rsidRDefault="0052529C" w:rsidP="00CC2627">
      <w:pPr>
        <w:spacing w:after="0" w:line="240" w:lineRule="auto"/>
        <w:rPr>
          <w:rFonts w:ascii="Verdana" w:eastAsia="Times New Roman" w:hAnsi="Verdana" w:cs="Arial"/>
          <w:lang w:eastAsia="es-ES_tradnl"/>
        </w:rPr>
      </w:pPr>
    </w:p>
    <w:p w14:paraId="140682D7" w14:textId="77777777" w:rsidR="0052529C" w:rsidRDefault="0052529C" w:rsidP="00CC2627">
      <w:pPr>
        <w:spacing w:after="0" w:line="240" w:lineRule="auto"/>
        <w:rPr>
          <w:rFonts w:ascii="Verdana" w:eastAsia="Times New Roman" w:hAnsi="Verdana" w:cs="Arial"/>
          <w:lang w:eastAsia="es-ES_tradnl"/>
        </w:rPr>
      </w:pPr>
    </w:p>
    <w:p w14:paraId="299DA01D" w14:textId="77777777" w:rsidR="0052529C" w:rsidRDefault="0052529C" w:rsidP="00CC2627">
      <w:pPr>
        <w:spacing w:after="0" w:line="240" w:lineRule="auto"/>
        <w:rPr>
          <w:rFonts w:ascii="Verdana" w:eastAsia="Times New Roman" w:hAnsi="Verdana" w:cs="Arial"/>
          <w:lang w:eastAsia="es-ES_tradnl"/>
        </w:rPr>
      </w:pPr>
    </w:p>
    <w:p w14:paraId="6810D0E9" w14:textId="77777777" w:rsidR="0052529C" w:rsidRDefault="0052529C" w:rsidP="00CC2627">
      <w:pPr>
        <w:spacing w:after="0" w:line="240" w:lineRule="auto"/>
        <w:rPr>
          <w:rFonts w:ascii="Verdana" w:eastAsia="Times New Roman" w:hAnsi="Verdana" w:cs="Arial"/>
          <w:lang w:eastAsia="es-ES_tradnl"/>
        </w:rPr>
      </w:pPr>
    </w:p>
    <w:p w14:paraId="62B95AAE" w14:textId="77777777" w:rsidR="0052529C" w:rsidRDefault="0052529C" w:rsidP="00CC2627">
      <w:pPr>
        <w:spacing w:after="0" w:line="240" w:lineRule="auto"/>
        <w:rPr>
          <w:rFonts w:ascii="Verdana" w:eastAsia="Times New Roman" w:hAnsi="Verdana" w:cs="Arial"/>
          <w:lang w:eastAsia="es-ES_tradnl"/>
        </w:rPr>
      </w:pPr>
    </w:p>
    <w:p w14:paraId="44319B2A" w14:textId="77777777" w:rsidR="0052529C" w:rsidRDefault="0052529C" w:rsidP="00CC2627">
      <w:pPr>
        <w:spacing w:after="0" w:line="240" w:lineRule="auto"/>
        <w:rPr>
          <w:rFonts w:ascii="Verdana" w:eastAsia="Times New Roman" w:hAnsi="Verdana" w:cs="Arial"/>
          <w:lang w:eastAsia="es-ES_tradnl"/>
        </w:rPr>
      </w:pPr>
    </w:p>
    <w:p w14:paraId="1954A434" w14:textId="77777777" w:rsidR="0052529C" w:rsidRDefault="0052529C" w:rsidP="00CC2627">
      <w:pPr>
        <w:spacing w:after="0" w:line="240" w:lineRule="auto"/>
        <w:rPr>
          <w:rFonts w:ascii="Verdana" w:eastAsia="Times New Roman" w:hAnsi="Verdana" w:cs="Arial"/>
          <w:lang w:eastAsia="es-ES_tradnl"/>
        </w:rPr>
      </w:pPr>
    </w:p>
    <w:p w14:paraId="3A28220B" w14:textId="77777777" w:rsidR="0052529C" w:rsidRDefault="0052529C" w:rsidP="00CC2627">
      <w:pPr>
        <w:spacing w:after="0" w:line="240" w:lineRule="auto"/>
        <w:rPr>
          <w:rFonts w:ascii="Verdana" w:eastAsia="Times New Roman" w:hAnsi="Verdana" w:cs="Arial"/>
          <w:lang w:eastAsia="es-ES_tradnl"/>
        </w:rPr>
      </w:pPr>
    </w:p>
    <w:p w14:paraId="3E3B402D" w14:textId="77777777" w:rsidR="0052529C" w:rsidRDefault="0052529C" w:rsidP="00CC2627">
      <w:pPr>
        <w:spacing w:after="0" w:line="240" w:lineRule="auto"/>
        <w:rPr>
          <w:rFonts w:ascii="Verdana" w:eastAsia="Times New Roman" w:hAnsi="Verdana" w:cs="Arial"/>
          <w:lang w:eastAsia="es-ES_tradnl"/>
        </w:rPr>
      </w:pPr>
    </w:p>
    <w:p w14:paraId="3145E09D" w14:textId="77777777" w:rsidR="0052529C" w:rsidRDefault="0052529C" w:rsidP="00CC2627">
      <w:pPr>
        <w:spacing w:after="0" w:line="240" w:lineRule="auto"/>
        <w:rPr>
          <w:rFonts w:ascii="Verdana" w:eastAsia="Times New Roman" w:hAnsi="Verdana" w:cs="Arial"/>
          <w:lang w:eastAsia="es-ES_tradnl"/>
        </w:rPr>
      </w:pPr>
    </w:p>
    <w:p w14:paraId="7F86869B" w14:textId="26430F95" w:rsidR="000738FC" w:rsidRPr="00CC2627" w:rsidRDefault="000738FC" w:rsidP="00CC2627">
      <w:pPr>
        <w:spacing w:after="0" w:line="240" w:lineRule="auto"/>
        <w:rPr>
          <w:rFonts w:ascii="Verdana" w:eastAsia="Times New Roman" w:hAnsi="Verdana" w:cs="Arial"/>
          <w:lang w:eastAsia="es-ES_tradnl"/>
        </w:rPr>
      </w:pPr>
      <w:r w:rsidRPr="00CC2627">
        <w:rPr>
          <w:rFonts w:ascii="Verdana" w:eastAsia="Times New Roman" w:hAnsi="Verdana" w:cs="Arial"/>
          <w:lang w:eastAsia="es-ES_tradnl"/>
        </w:rPr>
        <w:lastRenderedPageBreak/>
        <w:t>Bogotá D.C., </w:t>
      </w:r>
      <w:r w:rsidR="0052529C">
        <w:rPr>
          <w:rFonts w:ascii="Verdana" w:eastAsia="Times New Roman" w:hAnsi="Verdana" w:cs="Arial"/>
          <w:lang w:eastAsia="es-ES_tradnl"/>
        </w:rPr>
        <w:t>02</w:t>
      </w:r>
      <w:r w:rsidRPr="00CC2627">
        <w:rPr>
          <w:rFonts w:ascii="Verdana" w:eastAsia="Times New Roman" w:hAnsi="Verdana" w:cs="Arial"/>
          <w:lang w:eastAsia="es-ES_tradnl"/>
        </w:rPr>
        <w:t xml:space="preserve"> de </w:t>
      </w:r>
      <w:r w:rsidR="0052529C">
        <w:rPr>
          <w:rFonts w:ascii="Verdana" w:eastAsia="Times New Roman" w:hAnsi="Verdana" w:cs="Arial"/>
          <w:lang w:eastAsia="es-ES_tradnl"/>
        </w:rPr>
        <w:t>septiembre</w:t>
      </w:r>
      <w:r w:rsidRPr="00CC2627">
        <w:rPr>
          <w:rFonts w:ascii="Verdana" w:eastAsia="Times New Roman" w:hAnsi="Verdana" w:cs="Arial"/>
          <w:lang w:eastAsia="es-ES_tradnl"/>
        </w:rPr>
        <w:t xml:space="preserve"> de </w:t>
      </w:r>
      <w:r w:rsidR="0052529C">
        <w:rPr>
          <w:rFonts w:ascii="Verdana" w:eastAsia="Times New Roman" w:hAnsi="Verdana" w:cs="Arial"/>
          <w:lang w:eastAsia="es-ES_tradnl"/>
        </w:rPr>
        <w:t>2025</w:t>
      </w:r>
      <w:r w:rsidRPr="00CC2627">
        <w:rPr>
          <w:rFonts w:ascii="Verdana" w:eastAsia="Times New Roman" w:hAnsi="Verdana" w:cs="Arial"/>
          <w:lang w:eastAsia="es-ES_tradnl"/>
        </w:rPr>
        <w:t> </w:t>
      </w:r>
    </w:p>
    <w:p w14:paraId="66E6F5B2" w14:textId="77777777" w:rsidR="000738FC" w:rsidRPr="00CC2627" w:rsidRDefault="000738FC" w:rsidP="00CC2627">
      <w:pPr>
        <w:spacing w:after="0" w:line="240" w:lineRule="auto"/>
        <w:rPr>
          <w:rFonts w:ascii="Verdana" w:eastAsia="Times New Roman" w:hAnsi="Verdana" w:cs="Arial"/>
          <w:lang w:eastAsia="es-ES_tradnl"/>
        </w:rPr>
      </w:pPr>
    </w:p>
    <w:p w14:paraId="77F2A663" w14:textId="69E51C9F" w:rsidR="0052529C" w:rsidRDefault="0052529C" w:rsidP="0052529C">
      <w:pPr>
        <w:spacing w:after="0" w:line="240" w:lineRule="auto"/>
        <w:ind w:left="4956"/>
        <w:jc w:val="both"/>
        <w:rPr>
          <w:rFonts w:ascii="Verdana" w:eastAsia="Calibri" w:hAnsi="Verdana" w:cs="Arial"/>
          <w:lang w:eastAsia="es-ES_tradnl"/>
        </w:rPr>
      </w:pPr>
      <w:r w:rsidRPr="0052529C">
        <w:rPr>
          <w:rFonts w:ascii="Verdana" w:eastAsia="Calibri" w:hAnsi="Verdana" w:cs="Arial"/>
          <w:noProof/>
          <w:lang w:eastAsia="es-ES_tradnl"/>
        </w:rPr>
        <w:drawing>
          <wp:inline distT="0" distB="0" distL="0" distR="0" wp14:anchorId="1587F21B" wp14:editId="1B5FB055">
            <wp:extent cx="2457793" cy="724001"/>
            <wp:effectExtent l="0" t="0" r="0" b="0"/>
            <wp:docPr id="14980061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006172" name=""/>
                    <pic:cNvPicPr/>
                  </pic:nvPicPr>
                  <pic:blipFill>
                    <a:blip r:embed="rId11"/>
                    <a:stretch>
                      <a:fillRect/>
                    </a:stretch>
                  </pic:blipFill>
                  <pic:spPr>
                    <a:xfrm>
                      <a:off x="0" y="0"/>
                      <a:ext cx="2457793" cy="724001"/>
                    </a:xfrm>
                    <a:prstGeom prst="rect">
                      <a:avLst/>
                    </a:prstGeom>
                  </pic:spPr>
                </pic:pic>
              </a:graphicData>
            </a:graphic>
          </wp:inline>
        </w:drawing>
      </w:r>
    </w:p>
    <w:p w14:paraId="456CA493" w14:textId="25458B03" w:rsidR="000738FC" w:rsidRPr="00CC2627" w:rsidRDefault="000738FC" w:rsidP="00CC2627">
      <w:pPr>
        <w:spacing w:after="0" w:line="240" w:lineRule="auto"/>
        <w:jc w:val="both"/>
        <w:rPr>
          <w:rFonts w:ascii="Verdana" w:eastAsia="Calibri" w:hAnsi="Verdana" w:cs="Arial"/>
          <w:lang w:eastAsia="es-ES_tradnl"/>
        </w:rPr>
      </w:pPr>
      <w:r w:rsidRPr="00CC2627">
        <w:rPr>
          <w:rFonts w:ascii="Verdana" w:eastAsia="Calibri" w:hAnsi="Verdana" w:cs="Arial"/>
          <w:lang w:eastAsia="es-ES_tradnl"/>
        </w:rPr>
        <w:t>Señora</w:t>
      </w:r>
    </w:p>
    <w:p w14:paraId="73F27F5B" w14:textId="77777777" w:rsidR="000738FC" w:rsidRPr="00CC2627" w:rsidRDefault="000738FC" w:rsidP="00CC2627">
      <w:pPr>
        <w:spacing w:after="0" w:line="240" w:lineRule="auto"/>
        <w:jc w:val="both"/>
        <w:rPr>
          <w:rFonts w:ascii="Verdana" w:eastAsia="Calibri" w:hAnsi="Verdana" w:cs="Arial"/>
          <w:b/>
          <w:bCs/>
          <w:lang w:eastAsia="es-ES_tradnl"/>
        </w:rPr>
      </w:pPr>
      <w:proofErr w:type="spellStart"/>
      <w:r w:rsidRPr="00CC2627">
        <w:rPr>
          <w:rFonts w:ascii="Verdana" w:eastAsia="Calibri" w:hAnsi="Verdana" w:cs="Arial"/>
          <w:b/>
          <w:bCs/>
          <w:lang w:eastAsia="es-ES_tradnl"/>
        </w:rPr>
        <w:t>Sylene</w:t>
      </w:r>
      <w:proofErr w:type="spellEnd"/>
      <w:r w:rsidRPr="00CC2627">
        <w:rPr>
          <w:rFonts w:ascii="Verdana" w:eastAsia="Calibri" w:hAnsi="Verdana" w:cs="Arial"/>
          <w:b/>
          <w:bCs/>
          <w:lang w:eastAsia="es-ES_tradnl"/>
        </w:rPr>
        <w:t xml:space="preserve"> Almanza </w:t>
      </w:r>
      <w:proofErr w:type="spellStart"/>
      <w:r w:rsidRPr="00CC2627">
        <w:rPr>
          <w:rFonts w:ascii="Verdana" w:eastAsia="Calibri" w:hAnsi="Verdana" w:cs="Arial"/>
          <w:b/>
          <w:bCs/>
          <w:lang w:eastAsia="es-ES_tradnl"/>
        </w:rPr>
        <w:t>Merchan</w:t>
      </w:r>
      <w:proofErr w:type="spellEnd"/>
    </w:p>
    <w:p w14:paraId="390CABBD" w14:textId="3477C0D4" w:rsidR="000738FC" w:rsidRPr="00CC2627" w:rsidRDefault="000738FC" w:rsidP="00CC2627">
      <w:pPr>
        <w:spacing w:after="0" w:line="240" w:lineRule="auto"/>
        <w:rPr>
          <w:rFonts w:ascii="Verdana" w:eastAsia="Calibri" w:hAnsi="Verdana" w:cs="Arial"/>
          <w:lang w:eastAsia="es-ES_tradnl"/>
        </w:rPr>
      </w:pPr>
      <w:hyperlink r:id="rId12" w:history="1">
        <w:r w:rsidRPr="00CC2627">
          <w:rPr>
            <w:rStyle w:val="Hipervnculo"/>
            <w:rFonts w:ascii="Verdana" w:hAnsi="Verdana"/>
          </w:rPr>
          <w:t>Sylene.a.m@gmail.com</w:t>
        </w:r>
      </w:hyperlink>
      <w:r w:rsidRPr="00CC2627">
        <w:rPr>
          <w:rFonts w:ascii="Verdana" w:hAnsi="Verdana"/>
        </w:rPr>
        <w:t xml:space="preserve"> </w:t>
      </w:r>
    </w:p>
    <w:p w14:paraId="362537DE" w14:textId="77777777" w:rsidR="000738FC" w:rsidRPr="00CC2627" w:rsidRDefault="000738FC" w:rsidP="00CC2627">
      <w:pPr>
        <w:spacing w:after="0" w:line="240" w:lineRule="auto"/>
        <w:rPr>
          <w:rFonts w:ascii="Verdana" w:eastAsia="Calibri" w:hAnsi="Verdana" w:cs="Arial"/>
          <w:lang w:eastAsia="es-ES_tradnl"/>
        </w:rPr>
      </w:pPr>
      <w:r w:rsidRPr="00CC2627">
        <w:rPr>
          <w:rFonts w:ascii="Verdana" w:eastAsia="Calibri" w:hAnsi="Verdana" w:cs="Arial"/>
          <w:lang w:eastAsia="es-ES_tradnl"/>
        </w:rPr>
        <w:t xml:space="preserve">El Bagre, Antioquía </w:t>
      </w:r>
    </w:p>
    <w:p w14:paraId="4CDD210E" w14:textId="77777777" w:rsidR="000738FC" w:rsidRPr="00CC2627" w:rsidRDefault="000738FC" w:rsidP="00CC2627">
      <w:pPr>
        <w:spacing w:after="0" w:line="240" w:lineRule="auto"/>
        <w:rPr>
          <w:rFonts w:ascii="Verdana" w:eastAsia="Calibri" w:hAnsi="Verdana" w:cs="Arial"/>
          <w:lang w:eastAsia="es-ES_tradnl"/>
        </w:rPr>
      </w:pPr>
    </w:p>
    <w:p w14:paraId="5A49F505" w14:textId="77777777" w:rsidR="000738FC" w:rsidRPr="00CC2627" w:rsidRDefault="000738FC" w:rsidP="00CC2627">
      <w:pPr>
        <w:spacing w:after="0" w:line="240" w:lineRule="auto"/>
        <w:ind w:left="2694"/>
        <w:rPr>
          <w:rFonts w:ascii="Verdana" w:eastAsia="Calibri" w:hAnsi="Verdana" w:cs="Arial"/>
          <w:b/>
          <w:bCs/>
          <w:lang w:eastAsia="es-ES_tradnl"/>
        </w:rPr>
      </w:pPr>
      <w:r w:rsidRPr="00CC2627">
        <w:rPr>
          <w:rFonts w:ascii="Verdana" w:eastAsia="Calibri" w:hAnsi="Verdana" w:cs="Arial"/>
          <w:b/>
          <w:bCs/>
          <w:lang w:eastAsia="es-ES_tradnl"/>
        </w:rPr>
        <w:t>Concepto C-1011 de 2025</w:t>
      </w:r>
    </w:p>
    <w:p w14:paraId="62499FF9" w14:textId="77777777" w:rsidR="000738FC" w:rsidRPr="00CC2627" w:rsidRDefault="000738FC" w:rsidP="00CC2627">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0738FC" w:rsidRPr="00CC2627" w14:paraId="0512BF48" w14:textId="77777777" w:rsidTr="00B579F0">
        <w:trPr>
          <w:trHeight w:val="1122"/>
          <w:jc w:val="right"/>
        </w:trPr>
        <w:tc>
          <w:tcPr>
            <w:tcW w:w="2688" w:type="dxa"/>
          </w:tcPr>
          <w:p w14:paraId="3D8B0785" w14:textId="77777777" w:rsidR="000738FC" w:rsidRPr="00CC2627" w:rsidRDefault="000738FC" w:rsidP="00CC2627">
            <w:pPr>
              <w:jc w:val="center"/>
              <w:rPr>
                <w:rFonts w:ascii="Verdana" w:eastAsia="Calibri" w:hAnsi="Verdana" w:cs="Arial"/>
                <w:lang w:eastAsia="es-ES_tradnl"/>
              </w:rPr>
            </w:pPr>
            <w:r w:rsidRPr="00CC2627">
              <w:rPr>
                <w:rFonts w:ascii="Verdana" w:eastAsia="Calibri" w:hAnsi="Verdana" w:cs="Arial"/>
                <w:b/>
                <w:lang w:eastAsia="es-ES_tradnl"/>
              </w:rPr>
              <w:t>Temas:</w:t>
            </w:r>
          </w:p>
        </w:tc>
        <w:tc>
          <w:tcPr>
            <w:tcW w:w="6100" w:type="dxa"/>
          </w:tcPr>
          <w:p w14:paraId="5E30D68C" w14:textId="1C3B8FEB" w:rsidR="000738FC" w:rsidRDefault="00707620" w:rsidP="00CC2627">
            <w:pPr>
              <w:jc w:val="both"/>
              <w:rPr>
                <w:rFonts w:ascii="Verdana" w:eastAsia="Calibri" w:hAnsi="Verdana" w:cs="Arial"/>
                <w:lang w:val="es-MX"/>
              </w:rPr>
            </w:pPr>
            <w:r w:rsidRPr="00CC2627">
              <w:rPr>
                <w:rFonts w:ascii="Verdana" w:eastAsia="Calibri" w:hAnsi="Verdana" w:cs="Arial"/>
                <w:lang w:val="es-MX"/>
              </w:rPr>
              <w:t xml:space="preserve">EMPRESAS DE SERVICIOS PÚBLICOS DOMICILIARIOS – Naturaleza jurídica </w:t>
            </w:r>
            <w:r>
              <w:rPr>
                <w:rFonts w:ascii="Verdana" w:eastAsia="Calibri" w:hAnsi="Verdana" w:cs="Arial"/>
                <w:lang w:val="es-MX"/>
              </w:rPr>
              <w:t xml:space="preserve">/ </w:t>
            </w:r>
            <w:r w:rsidR="000738FC" w:rsidRPr="00CC2627">
              <w:rPr>
                <w:rFonts w:ascii="Verdana" w:eastAsia="Calibri" w:hAnsi="Verdana" w:cs="Arial"/>
                <w:lang w:val="es-MX"/>
              </w:rPr>
              <w:t xml:space="preserve">PUBLICIDAD SECOP </w:t>
            </w:r>
            <w:r w:rsidR="00E90224">
              <w:rPr>
                <w:rFonts w:ascii="Verdana" w:eastAsia="Calibri" w:hAnsi="Verdana" w:cs="Arial"/>
                <w:lang w:val="es-MX"/>
              </w:rPr>
              <w:t xml:space="preserve">II </w:t>
            </w:r>
            <w:r w:rsidR="000738FC" w:rsidRPr="00CC2627">
              <w:rPr>
                <w:rFonts w:ascii="Verdana" w:eastAsia="Calibri" w:hAnsi="Verdana" w:cs="Arial"/>
                <w:lang w:val="es-MX"/>
              </w:rPr>
              <w:t xml:space="preserve">– Entidades exceptuadas – Artículo 53 – Ley 2195 de 2022 </w:t>
            </w:r>
            <w:r w:rsidR="00D55762">
              <w:rPr>
                <w:rFonts w:ascii="Verdana" w:eastAsia="Calibri" w:hAnsi="Verdana" w:cs="Arial"/>
                <w:lang w:val="es-MX"/>
              </w:rPr>
              <w:t xml:space="preserve">/ </w:t>
            </w:r>
            <w:r w:rsidR="00E90224" w:rsidRPr="00CC2627">
              <w:rPr>
                <w:rFonts w:ascii="Verdana" w:eastAsia="Calibri" w:hAnsi="Verdana" w:cs="Arial"/>
                <w:lang w:val="es-MX"/>
              </w:rPr>
              <w:t xml:space="preserve">PUBLICIDAD </w:t>
            </w:r>
            <w:r w:rsidR="00E90224" w:rsidRPr="00872A1B">
              <w:rPr>
                <w:rFonts w:ascii="Verdana" w:eastAsia="Calibri" w:hAnsi="Verdana" w:cs="Arial"/>
                <w:lang w:val="es-ES_tradnl"/>
              </w:rPr>
              <w:t>SECOP II –</w:t>
            </w:r>
            <w:r w:rsidR="00E90224" w:rsidRPr="00872A1B">
              <w:rPr>
                <w:rFonts w:ascii="Verdana" w:hAnsi="Verdana" w:cs="Arial"/>
                <w:lang w:val="es-ES_tradnl"/>
              </w:rPr>
              <w:t xml:space="preserve"> Deber de publicidad </w:t>
            </w:r>
            <w:r w:rsidR="00E90224" w:rsidRPr="00872A1B">
              <w:rPr>
                <w:rFonts w:ascii="Verdana" w:eastAsia="Calibri" w:hAnsi="Verdana" w:cs="Arial"/>
                <w:lang w:val="es-ES_tradnl"/>
              </w:rPr>
              <w:t>–</w:t>
            </w:r>
            <w:r w:rsidR="00E90224" w:rsidRPr="00872A1B">
              <w:rPr>
                <w:rFonts w:ascii="Verdana" w:hAnsi="Verdana" w:cs="Arial"/>
                <w:lang w:val="es-ES_tradnl"/>
              </w:rPr>
              <w:t xml:space="preserve"> Entidades estatales exceptuadas del estatuto general de contratación de la administración pública </w:t>
            </w:r>
            <w:r w:rsidR="00E90224" w:rsidRPr="00872A1B">
              <w:rPr>
                <w:rFonts w:ascii="Verdana" w:eastAsia="Calibri" w:hAnsi="Verdana" w:cs="Arial"/>
                <w:lang w:val="es-ES_tradnl"/>
              </w:rPr>
              <w:t>–</w:t>
            </w:r>
            <w:r w:rsidR="00E90224" w:rsidRPr="00872A1B">
              <w:rPr>
                <w:rFonts w:ascii="Verdana" w:hAnsi="Verdana" w:cs="Arial"/>
                <w:lang w:val="es-ES_tradnl"/>
              </w:rPr>
              <w:t xml:space="preserve"> </w:t>
            </w:r>
            <w:r w:rsidR="00E90224" w:rsidRPr="00872A1B">
              <w:rPr>
                <w:rFonts w:ascii="Verdana" w:eastAsia="Calibri" w:hAnsi="Verdana" w:cs="Arial"/>
                <w:lang w:val="es-ES_tradnl"/>
              </w:rPr>
              <w:t>Documentos relacionados con la actividad contractual</w:t>
            </w:r>
            <w:r w:rsidR="00E90224" w:rsidRPr="00CC2627" w:rsidDel="00707620">
              <w:rPr>
                <w:rFonts w:ascii="Verdana" w:eastAsia="Calibri" w:hAnsi="Verdana" w:cs="Arial"/>
                <w:lang w:val="es-MX"/>
              </w:rPr>
              <w:t xml:space="preserve"> </w:t>
            </w:r>
            <w:r w:rsidR="000738FC" w:rsidRPr="00CC2627">
              <w:rPr>
                <w:rFonts w:ascii="Verdana" w:eastAsia="Calibri" w:hAnsi="Verdana" w:cs="Arial"/>
                <w:lang w:val="es-MX"/>
              </w:rPr>
              <w:t xml:space="preserve"> </w:t>
            </w:r>
            <w:r w:rsidR="00E90224" w:rsidRPr="000067EE">
              <w:rPr>
                <w:rFonts w:ascii="Verdana" w:eastAsia="Calibri" w:hAnsi="Verdana" w:cs="Arial"/>
                <w:lang w:val="es-MX"/>
              </w:rPr>
              <w:t xml:space="preserve">/ </w:t>
            </w:r>
            <w:r w:rsidR="000067EE" w:rsidRPr="000067EE">
              <w:rPr>
                <w:rFonts w:ascii="Verdana" w:eastAsia="Calibri" w:hAnsi="Verdana" w:cs="Arial"/>
                <w:lang w:val="es-MX"/>
              </w:rPr>
              <w:t xml:space="preserve">PUBLICIDAD </w:t>
            </w:r>
            <w:r w:rsidR="000067EE" w:rsidRPr="00872A1B">
              <w:rPr>
                <w:rFonts w:ascii="Verdana" w:eastAsia="Calibri" w:hAnsi="Verdana" w:cs="Arial"/>
                <w:lang w:val="es-ES_tradnl"/>
              </w:rPr>
              <w:t>SECOP II –</w:t>
            </w:r>
            <w:r w:rsidR="000067EE" w:rsidRPr="00872A1B">
              <w:rPr>
                <w:rFonts w:ascii="Verdana" w:hAnsi="Verdana" w:cs="Arial"/>
                <w:iCs/>
                <w:lang w:val="es-ES_tradnl"/>
              </w:rPr>
              <w:t xml:space="preserve"> Deber de publicidad </w:t>
            </w:r>
            <w:r w:rsidR="000067EE" w:rsidRPr="00872A1B">
              <w:rPr>
                <w:rFonts w:ascii="Verdana" w:eastAsia="Calibri" w:hAnsi="Verdana" w:cs="Arial"/>
                <w:lang w:val="es-ES_tradnl"/>
              </w:rPr>
              <w:t>–</w:t>
            </w:r>
            <w:r w:rsidR="000067EE" w:rsidRPr="00872A1B">
              <w:rPr>
                <w:rFonts w:ascii="Verdana" w:hAnsi="Verdana" w:cs="Arial"/>
                <w:iCs/>
                <w:lang w:val="es-ES_tradnl"/>
              </w:rPr>
              <w:t xml:space="preserve"> Entidades estatales exceptuadas del estatuto general de contratación de la administración pública </w:t>
            </w:r>
            <w:r w:rsidR="000067EE" w:rsidRPr="00872A1B">
              <w:rPr>
                <w:rFonts w:ascii="Verdana" w:eastAsia="Calibri" w:hAnsi="Verdana" w:cs="Arial"/>
                <w:lang w:val="es-ES_tradnl"/>
              </w:rPr>
              <w:t>–</w:t>
            </w:r>
            <w:r w:rsidR="000067EE" w:rsidRPr="00872A1B">
              <w:rPr>
                <w:rFonts w:ascii="Verdana" w:hAnsi="Verdana" w:cs="Arial"/>
                <w:iCs/>
                <w:lang w:val="es-ES_tradnl"/>
              </w:rPr>
              <w:t xml:space="preserve"> </w:t>
            </w:r>
            <w:r w:rsidR="000067EE" w:rsidRPr="00872A1B">
              <w:rPr>
                <w:rFonts w:ascii="Verdana" w:eastAsia="Calibri" w:hAnsi="Verdana" w:cs="Arial"/>
                <w:lang w:val="es-ES_tradnl"/>
              </w:rPr>
              <w:t>Procedencia de los recursos</w:t>
            </w:r>
            <w:r w:rsidR="000067EE" w:rsidRPr="000067EE" w:rsidDel="00707620">
              <w:rPr>
                <w:rFonts w:ascii="Verdana" w:eastAsia="Calibri" w:hAnsi="Verdana" w:cs="Arial"/>
                <w:lang w:val="es-MX"/>
              </w:rPr>
              <w:t xml:space="preserve"> </w:t>
            </w:r>
            <w:r w:rsidR="000067EE" w:rsidRPr="000067EE">
              <w:rPr>
                <w:rFonts w:ascii="Verdana" w:eastAsia="Calibri" w:hAnsi="Verdana" w:cs="Arial"/>
                <w:lang w:val="es-MX"/>
              </w:rPr>
              <w:t xml:space="preserve"> </w:t>
            </w:r>
          </w:p>
          <w:p w14:paraId="19AC6105" w14:textId="0A52FE52" w:rsidR="000738FC" w:rsidRPr="00CC2627" w:rsidRDefault="000738FC" w:rsidP="00CC2627">
            <w:pPr>
              <w:jc w:val="both"/>
              <w:rPr>
                <w:rFonts w:ascii="Verdana" w:eastAsia="Times New Roman" w:hAnsi="Verdana" w:cs="Arial"/>
                <w:lang w:val="es-MX" w:eastAsia="es-ES_tradnl"/>
              </w:rPr>
            </w:pPr>
          </w:p>
        </w:tc>
      </w:tr>
      <w:tr w:rsidR="000738FC" w:rsidRPr="00CC2627" w14:paraId="6EB4ED9E" w14:textId="77777777" w:rsidTr="00B579F0">
        <w:trPr>
          <w:jc w:val="right"/>
        </w:trPr>
        <w:tc>
          <w:tcPr>
            <w:tcW w:w="2688" w:type="dxa"/>
          </w:tcPr>
          <w:p w14:paraId="3B40E50E" w14:textId="77777777" w:rsidR="000738FC" w:rsidRPr="00CC2627" w:rsidRDefault="000738FC" w:rsidP="00CC2627">
            <w:pPr>
              <w:jc w:val="center"/>
              <w:rPr>
                <w:rFonts w:ascii="Verdana" w:eastAsia="Calibri" w:hAnsi="Verdana" w:cs="Arial"/>
                <w:b/>
                <w:lang w:eastAsia="es-ES_tradnl"/>
              </w:rPr>
            </w:pPr>
            <w:r w:rsidRPr="00CC2627">
              <w:rPr>
                <w:rFonts w:ascii="Verdana" w:eastAsia="Calibri" w:hAnsi="Verdana" w:cs="Arial"/>
                <w:b/>
                <w:lang w:eastAsia="es-ES_tradnl"/>
              </w:rPr>
              <w:t>Radicación:</w:t>
            </w:r>
          </w:p>
        </w:tc>
        <w:tc>
          <w:tcPr>
            <w:tcW w:w="6100" w:type="dxa"/>
          </w:tcPr>
          <w:p w14:paraId="43A010E5" w14:textId="77777777" w:rsidR="000738FC" w:rsidRPr="00CC2627" w:rsidRDefault="000738FC" w:rsidP="00CC2627">
            <w:pPr>
              <w:jc w:val="both"/>
              <w:rPr>
                <w:rFonts w:ascii="Verdana" w:eastAsia="Calibri" w:hAnsi="Verdana" w:cs="Arial"/>
                <w:lang w:eastAsia="es-ES_tradnl"/>
              </w:rPr>
            </w:pPr>
            <w:r w:rsidRPr="00CC2627">
              <w:rPr>
                <w:rFonts w:ascii="Verdana" w:eastAsia="Calibri" w:hAnsi="Verdana" w:cs="Arial"/>
                <w:lang w:eastAsia="es-ES_tradnl"/>
              </w:rPr>
              <w:t xml:space="preserve">Respuesta a consulta radicados No. </w:t>
            </w:r>
            <w:r w:rsidRPr="000821F4">
              <w:rPr>
                <w:rFonts w:ascii="Verdana" w:eastAsia="Calibri" w:hAnsi="Verdana" w:cs="Arial"/>
                <w:lang w:eastAsia="es-ES_tradnl"/>
              </w:rPr>
              <w:t>1_2025_07_23_007616</w:t>
            </w:r>
          </w:p>
        </w:tc>
      </w:tr>
    </w:tbl>
    <w:p w14:paraId="2E0CAABB" w14:textId="77777777" w:rsidR="000738FC" w:rsidRPr="00CC2627" w:rsidRDefault="000738FC" w:rsidP="00CC2627">
      <w:pPr>
        <w:spacing w:after="0" w:line="240" w:lineRule="auto"/>
        <w:jc w:val="both"/>
        <w:rPr>
          <w:rFonts w:ascii="Verdana" w:eastAsia="Calibri" w:hAnsi="Verdana" w:cs="Arial"/>
          <w:lang w:eastAsia="es-ES_tradnl"/>
        </w:rPr>
      </w:pPr>
    </w:p>
    <w:p w14:paraId="36FE83CD" w14:textId="77777777" w:rsidR="000738FC" w:rsidRPr="00CC2627" w:rsidRDefault="000738FC" w:rsidP="00CC2627">
      <w:pPr>
        <w:spacing w:after="0" w:line="240" w:lineRule="auto"/>
        <w:jc w:val="both"/>
        <w:rPr>
          <w:rFonts w:ascii="Verdana" w:eastAsia="Calibri" w:hAnsi="Verdana" w:cs="Arial"/>
          <w:lang w:eastAsia="es-ES_tradnl"/>
        </w:rPr>
      </w:pPr>
    </w:p>
    <w:p w14:paraId="5D132E55" w14:textId="77777777" w:rsidR="000738FC" w:rsidRPr="00CC2627" w:rsidRDefault="000738FC" w:rsidP="00CC2627">
      <w:pPr>
        <w:spacing w:after="0" w:line="276" w:lineRule="auto"/>
        <w:contextualSpacing/>
        <w:jc w:val="both"/>
        <w:rPr>
          <w:rFonts w:ascii="Verdana" w:eastAsia="Calibri" w:hAnsi="Verdana" w:cs="Arial"/>
          <w:bCs/>
          <w:lang w:eastAsia="es-ES_tradnl"/>
        </w:rPr>
      </w:pPr>
      <w:r w:rsidRPr="00CC2627">
        <w:rPr>
          <w:rFonts w:ascii="Verdana" w:eastAsia="Calibri" w:hAnsi="Verdana" w:cs="Arial"/>
          <w:lang w:eastAsia="es-ES_tradnl"/>
        </w:rPr>
        <w:t>Estimada señora Almanza</w:t>
      </w:r>
      <w:r w:rsidRPr="00CC2627">
        <w:rPr>
          <w:rFonts w:ascii="Verdana" w:eastAsia="Calibri" w:hAnsi="Verdana" w:cs="Arial"/>
          <w:bCs/>
          <w:lang w:eastAsia="es-ES_tradnl"/>
        </w:rPr>
        <w:t xml:space="preserve">, </w:t>
      </w:r>
    </w:p>
    <w:p w14:paraId="43E54B12" w14:textId="77777777" w:rsidR="000738FC" w:rsidRPr="00CC2627" w:rsidRDefault="000738FC" w:rsidP="00CC2627">
      <w:pPr>
        <w:spacing w:after="0" w:line="276" w:lineRule="auto"/>
        <w:contextualSpacing/>
        <w:jc w:val="both"/>
        <w:rPr>
          <w:rFonts w:ascii="Verdana" w:eastAsia="Calibri" w:hAnsi="Verdana" w:cs="Arial"/>
          <w:lang w:eastAsia="es-ES_tradnl"/>
        </w:rPr>
      </w:pPr>
    </w:p>
    <w:p w14:paraId="4E7DC35C" w14:textId="340CF959" w:rsidR="000738FC" w:rsidRPr="00CC2627" w:rsidRDefault="000738FC" w:rsidP="00CC2627">
      <w:pPr>
        <w:spacing w:after="0" w:line="276" w:lineRule="auto"/>
        <w:jc w:val="both"/>
        <w:rPr>
          <w:rFonts w:ascii="Verdana" w:eastAsia="Calibri" w:hAnsi="Verdana" w:cs="Arial"/>
          <w:lang w:eastAsia="es-ES_tradnl"/>
        </w:rPr>
      </w:pPr>
      <w:r w:rsidRPr="00CC2627">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23 de </w:t>
      </w:r>
      <w:r w:rsidR="009116C4">
        <w:rPr>
          <w:rFonts w:ascii="Verdana" w:eastAsia="Calibri" w:hAnsi="Verdana" w:cs="Arial"/>
          <w:lang w:eastAsia="es-ES_tradnl"/>
        </w:rPr>
        <w:t>julio</w:t>
      </w:r>
      <w:r w:rsidR="009116C4" w:rsidRPr="00CC2627">
        <w:rPr>
          <w:rFonts w:ascii="Verdana" w:eastAsia="Calibri" w:hAnsi="Verdana" w:cs="Arial"/>
          <w:lang w:eastAsia="es-ES_tradnl"/>
        </w:rPr>
        <w:t xml:space="preserve"> </w:t>
      </w:r>
      <w:r w:rsidRPr="00CC2627">
        <w:rPr>
          <w:rFonts w:ascii="Verdana" w:eastAsia="Calibri" w:hAnsi="Verdana" w:cs="Arial"/>
          <w:lang w:eastAsia="es-ES_tradnl"/>
        </w:rPr>
        <w:t>de 2025, que fueron formuladas en los siguientes términos:</w:t>
      </w:r>
    </w:p>
    <w:p w14:paraId="49BC87BF" w14:textId="77777777" w:rsidR="000738FC" w:rsidRPr="00CC2627" w:rsidRDefault="000738FC" w:rsidP="00CC2627">
      <w:pPr>
        <w:spacing w:after="0" w:line="276" w:lineRule="auto"/>
        <w:jc w:val="both"/>
        <w:rPr>
          <w:rFonts w:ascii="Verdana" w:eastAsia="Calibri" w:hAnsi="Verdana" w:cs="Arial"/>
          <w:lang w:eastAsia="es-ES_tradnl"/>
        </w:rPr>
      </w:pPr>
    </w:p>
    <w:p w14:paraId="2AAFCB7A" w14:textId="70C6900A" w:rsidR="002F452B" w:rsidRDefault="000738FC" w:rsidP="003D295A">
      <w:pPr>
        <w:spacing w:after="0" w:line="240" w:lineRule="auto"/>
        <w:ind w:left="720"/>
        <w:jc w:val="both"/>
        <w:rPr>
          <w:rFonts w:ascii="Verdana" w:eastAsia="Times New Roman" w:hAnsi="Verdana" w:cs="Arial"/>
          <w:iCs/>
          <w:sz w:val="20"/>
          <w:szCs w:val="20"/>
          <w:lang w:eastAsia="es-ES_tradnl"/>
        </w:rPr>
      </w:pPr>
      <w:r w:rsidRPr="003D295A">
        <w:rPr>
          <w:rFonts w:ascii="Verdana" w:eastAsia="Times New Roman" w:hAnsi="Verdana" w:cs="Arial"/>
          <w:iCs/>
          <w:sz w:val="20"/>
          <w:szCs w:val="20"/>
          <w:lang w:eastAsia="es-ES_tradnl"/>
        </w:rPr>
        <w:t>“[..]</w:t>
      </w:r>
    </w:p>
    <w:p w14:paraId="5793723B" w14:textId="77777777" w:rsidR="0045538F" w:rsidRPr="00872A1B" w:rsidRDefault="0045538F" w:rsidP="00872A1B">
      <w:pPr>
        <w:spacing w:after="0" w:line="240" w:lineRule="auto"/>
        <w:ind w:left="720"/>
        <w:jc w:val="both"/>
        <w:rPr>
          <w:rFonts w:ascii="Verdana" w:eastAsia="Times New Roman" w:hAnsi="Verdana" w:cs="Times New Roman"/>
          <w:color w:val="000000"/>
          <w:sz w:val="20"/>
          <w:szCs w:val="20"/>
          <w:lang w:eastAsia="es-MX"/>
        </w:rPr>
      </w:pPr>
    </w:p>
    <w:p w14:paraId="6BA5C210" w14:textId="77777777" w:rsidR="002F452B" w:rsidRPr="00872A1B" w:rsidRDefault="002F452B" w:rsidP="00872A1B">
      <w:pPr>
        <w:numPr>
          <w:ilvl w:val="0"/>
          <w:numId w:val="18"/>
        </w:numPr>
        <w:spacing w:after="0" w:line="240" w:lineRule="auto"/>
        <w:ind w:left="1069" w:right="709"/>
        <w:jc w:val="both"/>
        <w:rPr>
          <w:rFonts w:ascii="Verdana" w:eastAsia="Times New Roman" w:hAnsi="Verdana" w:cs="Times New Roman"/>
          <w:color w:val="000000"/>
          <w:sz w:val="20"/>
          <w:szCs w:val="20"/>
          <w:lang w:eastAsia="es-MX"/>
        </w:rPr>
      </w:pPr>
      <w:r w:rsidRPr="00872A1B">
        <w:rPr>
          <w:rFonts w:ascii="Verdana" w:eastAsia="Times New Roman" w:hAnsi="Verdana" w:cs="Times New Roman"/>
          <w:color w:val="000000"/>
          <w:sz w:val="20"/>
          <w:szCs w:val="20"/>
          <w:lang w:eastAsia="es-MX"/>
        </w:rPr>
        <w:lastRenderedPageBreak/>
        <w:t>¿Las empresas oficiales de servicios públicos domiciliarios, organizadas como sociedades por acciones y que actúan bajo régimen de derecho privado, deben tener cuenta activa en </w:t>
      </w:r>
      <w:r w:rsidRPr="00872A1B">
        <w:rPr>
          <w:rFonts w:ascii="Verdana" w:eastAsia="Times New Roman" w:hAnsi="Verdana" w:cs="Times New Roman"/>
          <w:b/>
          <w:bCs/>
          <w:color w:val="000000"/>
          <w:sz w:val="20"/>
          <w:szCs w:val="20"/>
          <w:lang w:eastAsia="es-MX"/>
        </w:rPr>
        <w:t>SECOP (I o II)</w:t>
      </w:r>
      <w:r w:rsidRPr="00872A1B">
        <w:rPr>
          <w:rFonts w:ascii="Verdana" w:eastAsia="Times New Roman" w:hAnsi="Verdana" w:cs="Times New Roman"/>
          <w:color w:val="000000"/>
          <w:sz w:val="20"/>
          <w:szCs w:val="20"/>
          <w:lang w:eastAsia="es-MX"/>
        </w:rPr>
        <w:t>?</w:t>
      </w:r>
    </w:p>
    <w:p w14:paraId="5112C304" w14:textId="77777777" w:rsidR="002F452B" w:rsidRPr="00872A1B" w:rsidRDefault="002F452B" w:rsidP="00872A1B">
      <w:pPr>
        <w:spacing w:after="0" w:line="240" w:lineRule="auto"/>
        <w:ind w:left="720"/>
        <w:jc w:val="both"/>
        <w:rPr>
          <w:rFonts w:ascii="Verdana" w:eastAsia="Times New Roman" w:hAnsi="Verdana" w:cs="Times New Roman"/>
          <w:color w:val="000000"/>
          <w:sz w:val="20"/>
          <w:szCs w:val="20"/>
          <w:lang w:eastAsia="es-MX"/>
        </w:rPr>
      </w:pPr>
    </w:p>
    <w:p w14:paraId="57D05D2C" w14:textId="77777777" w:rsidR="002F452B" w:rsidRPr="00872A1B" w:rsidRDefault="002F452B" w:rsidP="00872A1B">
      <w:pPr>
        <w:numPr>
          <w:ilvl w:val="0"/>
          <w:numId w:val="18"/>
        </w:numPr>
        <w:spacing w:after="0" w:line="240" w:lineRule="auto"/>
        <w:ind w:left="1069" w:right="709"/>
        <w:jc w:val="both"/>
        <w:rPr>
          <w:rFonts w:ascii="Verdana" w:eastAsia="Times New Roman" w:hAnsi="Verdana" w:cs="Times New Roman"/>
          <w:color w:val="000000"/>
          <w:sz w:val="20"/>
          <w:szCs w:val="20"/>
          <w:lang w:eastAsia="es-MX"/>
        </w:rPr>
      </w:pPr>
      <w:r w:rsidRPr="00872A1B">
        <w:rPr>
          <w:rFonts w:ascii="Verdana" w:eastAsia="Times New Roman" w:hAnsi="Verdana" w:cs="Times New Roman"/>
          <w:color w:val="000000"/>
          <w:sz w:val="20"/>
          <w:szCs w:val="20"/>
          <w:lang w:eastAsia="es-MX"/>
        </w:rPr>
        <w:t>¿El registro en SECOP es obligatorio únicamente cuando celebran convenios interadministrativos con entidades públicas y ejecutan recursos públicos, o también en otras circunstancias?</w:t>
      </w:r>
    </w:p>
    <w:p w14:paraId="6F935053" w14:textId="77777777" w:rsidR="002F452B" w:rsidRPr="00872A1B" w:rsidRDefault="002F452B" w:rsidP="00872A1B">
      <w:pPr>
        <w:spacing w:after="0" w:line="240" w:lineRule="auto"/>
        <w:ind w:left="1069" w:right="709"/>
        <w:jc w:val="both"/>
        <w:rPr>
          <w:rFonts w:ascii="Verdana" w:eastAsia="Times New Roman" w:hAnsi="Verdana" w:cs="Times New Roman"/>
          <w:color w:val="000000"/>
          <w:sz w:val="20"/>
          <w:szCs w:val="20"/>
          <w:lang w:eastAsia="es-MX"/>
        </w:rPr>
      </w:pPr>
    </w:p>
    <w:p w14:paraId="017D7D36" w14:textId="77777777" w:rsidR="002F452B" w:rsidRPr="00872A1B" w:rsidRDefault="002F452B" w:rsidP="00872A1B">
      <w:pPr>
        <w:numPr>
          <w:ilvl w:val="0"/>
          <w:numId w:val="18"/>
        </w:numPr>
        <w:spacing w:after="0" w:line="240" w:lineRule="auto"/>
        <w:ind w:left="1069" w:right="709"/>
        <w:jc w:val="both"/>
        <w:rPr>
          <w:rFonts w:ascii="Verdana" w:eastAsia="Times New Roman" w:hAnsi="Verdana" w:cs="Times New Roman"/>
          <w:color w:val="000000"/>
          <w:sz w:val="20"/>
          <w:szCs w:val="20"/>
          <w:lang w:eastAsia="es-MX"/>
        </w:rPr>
      </w:pPr>
      <w:r w:rsidRPr="00872A1B">
        <w:rPr>
          <w:rFonts w:ascii="Verdana" w:eastAsia="Times New Roman" w:hAnsi="Verdana" w:cs="Times New Roman"/>
          <w:color w:val="000000"/>
          <w:sz w:val="20"/>
          <w:szCs w:val="20"/>
          <w:lang w:eastAsia="es-MX"/>
        </w:rPr>
        <w:t>En caso de que la empresa celebre un convenio interadministrativo con el Municipio y ejecute recursos públicos:</w:t>
      </w:r>
      <w:r w:rsidRPr="00872A1B">
        <w:rPr>
          <w:rFonts w:ascii="Verdana" w:eastAsia="Times New Roman" w:hAnsi="Verdana" w:cs="Times New Roman"/>
          <w:color w:val="000000"/>
          <w:sz w:val="20"/>
          <w:szCs w:val="20"/>
          <w:lang w:eastAsia="es-MX"/>
        </w:rPr>
        <w:br/>
        <w:t>a. ¿Qué documentos deben publicarse en SECOP?</w:t>
      </w:r>
      <w:r w:rsidRPr="00872A1B">
        <w:rPr>
          <w:rFonts w:ascii="Verdana" w:eastAsia="Times New Roman" w:hAnsi="Verdana" w:cs="Times New Roman"/>
          <w:color w:val="000000"/>
          <w:sz w:val="20"/>
          <w:szCs w:val="20"/>
          <w:lang w:eastAsia="es-MX"/>
        </w:rPr>
        <w:br/>
        <w:t>b. ¿Es obligatorio cargar solo el convenio y sus informes de ejecución, o también los contratos y subcontratos celebrados con cargo a esos recursos?</w:t>
      </w:r>
    </w:p>
    <w:p w14:paraId="46393A3D" w14:textId="77777777" w:rsidR="002F452B" w:rsidRPr="00872A1B" w:rsidRDefault="002F452B" w:rsidP="00872A1B">
      <w:pPr>
        <w:spacing w:after="0" w:line="240" w:lineRule="auto"/>
        <w:ind w:left="1069" w:right="709"/>
        <w:jc w:val="both"/>
        <w:rPr>
          <w:rFonts w:ascii="Verdana" w:eastAsia="Times New Roman" w:hAnsi="Verdana" w:cs="Times New Roman"/>
          <w:color w:val="000000"/>
          <w:sz w:val="20"/>
          <w:szCs w:val="20"/>
          <w:lang w:eastAsia="es-MX"/>
        </w:rPr>
      </w:pPr>
    </w:p>
    <w:p w14:paraId="1C7C03CA" w14:textId="77777777" w:rsidR="002F452B" w:rsidRPr="00872A1B" w:rsidRDefault="002F452B" w:rsidP="00872A1B">
      <w:pPr>
        <w:numPr>
          <w:ilvl w:val="0"/>
          <w:numId w:val="18"/>
        </w:numPr>
        <w:spacing w:after="0" w:line="240" w:lineRule="auto"/>
        <w:ind w:left="1069" w:right="709"/>
        <w:jc w:val="both"/>
        <w:rPr>
          <w:rFonts w:ascii="Verdana" w:eastAsia="Times New Roman" w:hAnsi="Verdana" w:cs="Times New Roman"/>
          <w:color w:val="000000"/>
          <w:sz w:val="20"/>
          <w:szCs w:val="20"/>
          <w:lang w:eastAsia="es-MX"/>
        </w:rPr>
      </w:pPr>
      <w:r w:rsidRPr="00872A1B">
        <w:rPr>
          <w:rFonts w:ascii="Verdana" w:eastAsia="Times New Roman" w:hAnsi="Verdana" w:cs="Times New Roman"/>
          <w:color w:val="000000"/>
          <w:sz w:val="20"/>
          <w:szCs w:val="20"/>
          <w:lang w:eastAsia="es-MX"/>
        </w:rPr>
        <w:t>¿Existen lineamientos, circulares, conceptos jurídicos u orientaciones específicas emitidos por Colombia Compra Eficiente sobre la aplicación del SECOP a empresas oficiales de servicios públicos domiciliarios, como AGUAS DE EL BAGRE S.A. E.S.P.?</w:t>
      </w:r>
    </w:p>
    <w:p w14:paraId="5CAA2237" w14:textId="77777777" w:rsidR="002F452B" w:rsidRPr="00872A1B" w:rsidRDefault="002F452B" w:rsidP="00872A1B">
      <w:pPr>
        <w:spacing w:after="0" w:line="240" w:lineRule="auto"/>
        <w:ind w:left="1069" w:right="709"/>
        <w:jc w:val="both"/>
        <w:rPr>
          <w:rFonts w:ascii="Verdana" w:eastAsia="Times New Roman" w:hAnsi="Verdana" w:cs="Times New Roman"/>
          <w:color w:val="000000"/>
          <w:sz w:val="20"/>
          <w:szCs w:val="20"/>
          <w:lang w:eastAsia="es-MX"/>
        </w:rPr>
      </w:pPr>
    </w:p>
    <w:p w14:paraId="05EF7CEA" w14:textId="77777777" w:rsidR="002F452B" w:rsidRPr="00872A1B" w:rsidRDefault="002F452B" w:rsidP="00872A1B">
      <w:pPr>
        <w:numPr>
          <w:ilvl w:val="0"/>
          <w:numId w:val="18"/>
        </w:numPr>
        <w:spacing w:after="0" w:line="240" w:lineRule="auto"/>
        <w:ind w:left="1069" w:right="709"/>
        <w:jc w:val="both"/>
        <w:rPr>
          <w:rFonts w:ascii="Verdana" w:eastAsia="Times New Roman" w:hAnsi="Verdana" w:cs="Times New Roman"/>
          <w:color w:val="000000"/>
          <w:sz w:val="20"/>
          <w:szCs w:val="20"/>
          <w:lang w:eastAsia="es-MX"/>
        </w:rPr>
      </w:pPr>
      <w:r w:rsidRPr="00872A1B">
        <w:rPr>
          <w:rFonts w:ascii="Verdana" w:eastAsia="Times New Roman" w:hAnsi="Verdana" w:cs="Times New Roman"/>
          <w:color w:val="000000"/>
          <w:sz w:val="20"/>
          <w:szCs w:val="20"/>
          <w:lang w:eastAsia="es-MX"/>
        </w:rPr>
        <w:t>¿Debe nuestra empresa registrarse como entidad contratante estatal en SECOP II, a pesar de regirse por el derecho privado, solo para efectos de reportar la ejecución de recursos públicos? ¿O puede mantener su condición de contratista y hacer la publicidad únicamente cuando actúe como ejecutora de convenios?</w:t>
      </w:r>
    </w:p>
    <w:p w14:paraId="4F97C3D2" w14:textId="77777777" w:rsidR="002F452B" w:rsidRPr="00872A1B" w:rsidRDefault="002F452B" w:rsidP="00872A1B">
      <w:pPr>
        <w:spacing w:after="0" w:line="240" w:lineRule="auto"/>
        <w:ind w:left="1069" w:right="709"/>
        <w:jc w:val="both"/>
        <w:rPr>
          <w:rFonts w:ascii="Verdana" w:eastAsia="Times New Roman" w:hAnsi="Verdana" w:cs="Times New Roman"/>
          <w:color w:val="000000"/>
          <w:sz w:val="20"/>
          <w:szCs w:val="20"/>
          <w:lang w:eastAsia="es-MX"/>
        </w:rPr>
      </w:pPr>
    </w:p>
    <w:p w14:paraId="60B096BB" w14:textId="28011341" w:rsidR="000738FC" w:rsidRPr="003D295A" w:rsidRDefault="002F452B" w:rsidP="00872A1B">
      <w:pPr>
        <w:numPr>
          <w:ilvl w:val="0"/>
          <w:numId w:val="18"/>
        </w:numPr>
        <w:spacing w:after="0" w:line="240" w:lineRule="auto"/>
        <w:ind w:left="1069" w:right="709"/>
        <w:jc w:val="both"/>
        <w:rPr>
          <w:rFonts w:ascii="Verdana" w:eastAsia="Times New Roman" w:hAnsi="Verdana" w:cs="Arial"/>
          <w:iCs/>
          <w:sz w:val="20"/>
          <w:szCs w:val="20"/>
          <w:lang w:eastAsia="es-ES_tradnl"/>
        </w:rPr>
      </w:pPr>
      <w:r w:rsidRPr="00872A1B">
        <w:rPr>
          <w:rFonts w:ascii="Verdana" w:eastAsia="Times New Roman" w:hAnsi="Verdana" w:cs="Times New Roman"/>
          <w:color w:val="000000"/>
          <w:sz w:val="20"/>
          <w:szCs w:val="20"/>
          <w:lang w:eastAsia="es-MX"/>
        </w:rPr>
        <w:t>Finalmente, solicitamos respetuosamente que se nos confirme si, de acuerdo con lo expuesto, AGUAS DE EL BAGRE S.A. E.S.P. debe registrarse en SECOP y en qué escenarios está obligada a hacer uso del sistema, para dar cumplimiento a los principios de publicidad y transparencia del uso de recursos públicos</w:t>
      </w:r>
      <w:r w:rsidR="003D295A" w:rsidRPr="003D295A">
        <w:rPr>
          <w:rFonts w:ascii="Verdana" w:eastAsia="Times New Roman" w:hAnsi="Verdana" w:cs="Times New Roman"/>
          <w:color w:val="000000"/>
          <w:sz w:val="20"/>
          <w:szCs w:val="20"/>
          <w:lang w:eastAsia="es-MX"/>
        </w:rPr>
        <w:t>”</w:t>
      </w:r>
      <w:r w:rsidRPr="00872A1B">
        <w:rPr>
          <w:rFonts w:ascii="Verdana" w:eastAsia="Times New Roman" w:hAnsi="Verdana" w:cs="Times New Roman"/>
          <w:color w:val="000000"/>
          <w:sz w:val="20"/>
          <w:szCs w:val="20"/>
          <w:lang w:eastAsia="es-MX"/>
        </w:rPr>
        <w:t>.</w:t>
      </w:r>
      <w:r w:rsidR="003D295A">
        <w:rPr>
          <w:rFonts w:ascii="Verdana" w:eastAsia="Times New Roman" w:hAnsi="Verdana" w:cs="Times New Roman"/>
          <w:color w:val="000000"/>
          <w:sz w:val="20"/>
          <w:szCs w:val="20"/>
          <w:lang w:eastAsia="es-MX"/>
        </w:rPr>
        <w:t xml:space="preserve"> </w:t>
      </w:r>
      <w:r w:rsidR="000738FC" w:rsidRPr="003D295A">
        <w:rPr>
          <w:rFonts w:ascii="Verdana" w:eastAsia="Times New Roman" w:hAnsi="Verdana" w:cs="Arial"/>
          <w:iCs/>
          <w:sz w:val="20"/>
          <w:szCs w:val="20"/>
          <w:lang w:eastAsia="es-ES_tradnl"/>
        </w:rPr>
        <w:t>[SIC].</w:t>
      </w:r>
    </w:p>
    <w:p w14:paraId="719376CC" w14:textId="77777777" w:rsidR="000738FC" w:rsidRPr="005B7C42" w:rsidRDefault="000738FC" w:rsidP="000738FC">
      <w:pPr>
        <w:spacing w:after="0" w:line="240" w:lineRule="auto"/>
        <w:ind w:left="709" w:right="709"/>
        <w:jc w:val="both"/>
        <w:rPr>
          <w:rFonts w:ascii="Verdana" w:eastAsia="Times New Roman" w:hAnsi="Verdana" w:cs="Arial"/>
          <w:i/>
          <w:lang w:eastAsia="es-ES_tradnl"/>
        </w:rPr>
      </w:pPr>
    </w:p>
    <w:p w14:paraId="41415B68" w14:textId="4C4C7C47" w:rsidR="000738FC" w:rsidRPr="005B7C42" w:rsidRDefault="000738FC" w:rsidP="000738FC">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w:t>
      </w:r>
      <w:r w:rsidR="00D20326">
        <w:rPr>
          <w:rFonts w:ascii="Verdana" w:eastAsia="Calibri" w:hAnsi="Verdana" w:cs="Arial"/>
          <w:color w:val="000000"/>
          <w:lang w:eastAsia="es-ES"/>
        </w:rPr>
        <w:t xml:space="preserve"> la Agencia Nacional de Contratación Pública –</w:t>
      </w:r>
      <w:r w:rsidRPr="005B7C42">
        <w:rPr>
          <w:rFonts w:ascii="Verdana" w:eastAsia="Calibri" w:hAnsi="Verdana" w:cs="Arial"/>
          <w:color w:val="000000"/>
          <w:lang w:eastAsia="es-ES"/>
        </w:rPr>
        <w:t xml:space="preserve"> Colombia</w:t>
      </w:r>
      <w:r w:rsidR="00D20326">
        <w:rPr>
          <w:rFonts w:ascii="Verdana" w:eastAsia="Calibri" w:hAnsi="Verdana" w:cs="Arial"/>
          <w:color w:val="000000"/>
          <w:lang w:eastAsia="es-ES"/>
        </w:rPr>
        <w:t xml:space="preserve"> </w:t>
      </w:r>
      <w:r w:rsidRPr="005B7C42">
        <w:rPr>
          <w:rFonts w:ascii="Verdana" w:eastAsia="Calibri" w:hAnsi="Verdana" w:cs="Arial"/>
          <w:color w:val="000000"/>
          <w:lang w:eastAsia="es-ES"/>
        </w:rPr>
        <w:t xml:space="preserve">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w:t>
      </w:r>
      <w:r w:rsidRPr="005B7C42">
        <w:rPr>
          <w:rFonts w:ascii="Verdana" w:eastAsia="Calibri" w:hAnsi="Verdana" w:cs="Arial"/>
          <w:color w:val="000000"/>
          <w:lang w:eastAsia="es-ES"/>
        </w:rPr>
        <w:lastRenderedPageBreak/>
        <w:t xml:space="preserve">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035C82D2" w14:textId="2D489D90" w:rsidR="000738FC" w:rsidRPr="005B7C42" w:rsidRDefault="000738FC" w:rsidP="000738FC">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Conforme lo expuesto, en aras de satisfacer el derecho fundamental de petición</w:t>
      </w:r>
      <w:r w:rsidR="004F453F">
        <w:rPr>
          <w:rFonts w:ascii="Verdana" w:eastAsia="Calibri" w:hAnsi="Verdana" w:cs="Arial"/>
          <w:lang w:eastAsia="es-ES"/>
        </w:rPr>
        <w:t>,</w:t>
      </w:r>
      <w:r w:rsidRPr="005B7C42">
        <w:rPr>
          <w:rFonts w:ascii="Verdana" w:eastAsia="Calibri" w:hAnsi="Verdana" w:cs="Arial"/>
          <w:lang w:eastAsia="es-ES"/>
        </w:rPr>
        <w:t xml:space="preserve"> se resolverá su consulta dentro de los límites de la referida competencia consultiva, </w:t>
      </w:r>
      <w:r>
        <w:rPr>
          <w:rFonts w:ascii="Verdana" w:eastAsia="Calibri" w:hAnsi="Verdana" w:cs="Arial"/>
          <w:lang w:eastAsia="es-ES"/>
        </w:rPr>
        <w:t xml:space="preserve">esto es, </w:t>
      </w:r>
      <w:r w:rsidRPr="0099654F">
        <w:rPr>
          <w:rFonts w:ascii="Verdana" w:eastAsia="Calibri" w:hAnsi="Verdana" w:cs="Arial"/>
          <w:lang w:eastAsia="es-ES"/>
        </w:rPr>
        <w:t xml:space="preserve">haciendo abstracción de las circunstancias particulares y concretas mencionadas en su petición, </w:t>
      </w:r>
      <w:r>
        <w:rPr>
          <w:rFonts w:ascii="Verdana" w:eastAsia="Calibri" w:hAnsi="Verdana" w:cs="Arial"/>
          <w:lang w:eastAsia="es-ES"/>
        </w:rPr>
        <w:t>pero exponiendo algunas</w:t>
      </w:r>
      <w:r w:rsidRPr="005B7C42">
        <w:rPr>
          <w:rFonts w:ascii="Verdana" w:eastAsia="Calibri" w:hAnsi="Verdana" w:cs="Arial"/>
          <w:lang w:eastAsia="es-ES"/>
        </w:rPr>
        <w:t xml:space="preserve"> consideraciones sobre las normas generales relacionadas con l</w:t>
      </w:r>
      <w:r w:rsidR="004F453F">
        <w:rPr>
          <w:rFonts w:ascii="Verdana" w:eastAsia="Calibri" w:hAnsi="Verdana" w:cs="Arial"/>
          <w:lang w:eastAsia="es-ES"/>
        </w:rPr>
        <w:t>os</w:t>
      </w:r>
      <w:r w:rsidRPr="005B7C42">
        <w:rPr>
          <w:rFonts w:ascii="Verdana" w:eastAsia="Calibri" w:hAnsi="Verdana" w:cs="Arial"/>
          <w:lang w:eastAsia="es-ES"/>
        </w:rPr>
        <w:t xml:space="preserve"> problema</w:t>
      </w:r>
      <w:r w:rsidR="004F453F">
        <w:rPr>
          <w:rFonts w:ascii="Verdana" w:eastAsia="Calibri" w:hAnsi="Verdana" w:cs="Arial"/>
          <w:lang w:eastAsia="es-ES"/>
        </w:rPr>
        <w:t>s</w:t>
      </w:r>
      <w:r w:rsidRPr="005B7C42">
        <w:rPr>
          <w:rFonts w:ascii="Verdana" w:eastAsia="Calibri" w:hAnsi="Verdana" w:cs="Arial"/>
          <w:lang w:eastAsia="es-ES"/>
        </w:rPr>
        <w:t xml:space="preserve"> jurídico</w:t>
      </w:r>
      <w:r w:rsidR="004F453F">
        <w:rPr>
          <w:rFonts w:ascii="Verdana" w:eastAsia="Calibri" w:hAnsi="Verdana" w:cs="Arial"/>
          <w:lang w:eastAsia="es-ES"/>
        </w:rPr>
        <w:t>s</w:t>
      </w:r>
      <w:r w:rsidRPr="005B7C42">
        <w:rPr>
          <w:rFonts w:ascii="Verdana" w:eastAsia="Calibri" w:hAnsi="Verdana" w:cs="Arial"/>
          <w:lang w:eastAsia="es-ES"/>
        </w:rPr>
        <w:t xml:space="preserve"> de su consulta. </w:t>
      </w:r>
    </w:p>
    <w:p w14:paraId="0F136432" w14:textId="77777777" w:rsidR="000738FC" w:rsidRPr="005B7C42" w:rsidRDefault="000738FC" w:rsidP="00D20326">
      <w:pPr>
        <w:spacing w:after="0" w:line="276" w:lineRule="auto"/>
        <w:contextualSpacing/>
        <w:jc w:val="both"/>
        <w:rPr>
          <w:rFonts w:ascii="Verdana" w:eastAsia="Times New Roman" w:hAnsi="Verdana" w:cs="Arial"/>
          <w:szCs w:val="24"/>
          <w:lang w:eastAsia="es-ES_tradnl"/>
        </w:rPr>
      </w:pPr>
    </w:p>
    <w:p w14:paraId="75F78496" w14:textId="77777777" w:rsidR="000738FC" w:rsidRPr="005B7C42" w:rsidRDefault="000738FC" w:rsidP="00D20326">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33A67810" w14:textId="77777777" w:rsidR="000738FC" w:rsidRPr="005B7C42" w:rsidRDefault="000738FC" w:rsidP="00D20326">
      <w:pPr>
        <w:tabs>
          <w:tab w:val="left" w:pos="0"/>
          <w:tab w:val="left" w:pos="284"/>
        </w:tabs>
        <w:spacing w:after="0" w:line="276" w:lineRule="auto"/>
        <w:contextualSpacing/>
        <w:jc w:val="both"/>
        <w:rPr>
          <w:rFonts w:ascii="Verdana" w:eastAsia="Calibri" w:hAnsi="Verdana" w:cs="Arial"/>
          <w:b/>
        </w:rPr>
      </w:pPr>
    </w:p>
    <w:p w14:paraId="1458C42C" w14:textId="55D17B1F" w:rsidR="000738FC" w:rsidRDefault="000738FC" w:rsidP="00D20326">
      <w:pPr>
        <w:spacing w:after="0" w:line="276" w:lineRule="auto"/>
        <w:jc w:val="both"/>
        <w:rPr>
          <w:rFonts w:ascii="Verdana" w:hAnsi="Verdana"/>
        </w:rPr>
      </w:pPr>
      <w:r w:rsidRPr="0079666E">
        <w:rPr>
          <w:rFonts w:ascii="Verdana" w:hAnsi="Verdana"/>
        </w:rPr>
        <w:t>De acuerdo con el contenido de su solicitud, esta Agencia resolverá l</w:t>
      </w:r>
      <w:r w:rsidR="004F453F">
        <w:rPr>
          <w:rFonts w:ascii="Verdana" w:hAnsi="Verdana"/>
        </w:rPr>
        <w:t>os</w:t>
      </w:r>
      <w:r w:rsidRPr="0079666E">
        <w:rPr>
          <w:rFonts w:ascii="Verdana" w:hAnsi="Verdana"/>
        </w:rPr>
        <w:t xml:space="preserve"> </w:t>
      </w:r>
      <w:r w:rsidR="004F453F">
        <w:rPr>
          <w:rFonts w:ascii="Verdana" w:hAnsi="Verdana"/>
        </w:rPr>
        <w:t xml:space="preserve">siguientes </w:t>
      </w:r>
      <w:r>
        <w:rPr>
          <w:rFonts w:ascii="Verdana" w:hAnsi="Verdana"/>
        </w:rPr>
        <w:t>interrogante</w:t>
      </w:r>
      <w:r w:rsidR="004F453F">
        <w:rPr>
          <w:rFonts w:ascii="Verdana" w:hAnsi="Verdana"/>
        </w:rPr>
        <w:t>s</w:t>
      </w:r>
      <w:r w:rsidRPr="0079666E">
        <w:rPr>
          <w:rFonts w:ascii="Verdana" w:hAnsi="Verdana"/>
        </w:rPr>
        <w:t>:</w:t>
      </w:r>
      <w:r>
        <w:rPr>
          <w:rFonts w:ascii="Verdana" w:hAnsi="Verdana"/>
        </w:rPr>
        <w:t xml:space="preserve"> </w:t>
      </w:r>
      <w:r w:rsidR="004F453F">
        <w:rPr>
          <w:rFonts w:ascii="Verdana" w:hAnsi="Verdana"/>
        </w:rPr>
        <w:t xml:space="preserve">i) </w:t>
      </w:r>
      <w:r>
        <w:rPr>
          <w:rFonts w:ascii="Verdana" w:hAnsi="Verdana"/>
        </w:rPr>
        <w:t>¿Las Empresas de Servicios Públicos deben publicar en el SECOP su actividad contractual?</w:t>
      </w:r>
      <w:r w:rsidR="005E0001">
        <w:rPr>
          <w:rFonts w:ascii="Verdana" w:hAnsi="Verdana"/>
        </w:rPr>
        <w:t xml:space="preserve">; </w:t>
      </w:r>
      <w:proofErr w:type="spellStart"/>
      <w:r w:rsidR="00665F2A">
        <w:rPr>
          <w:rFonts w:ascii="Verdana" w:hAnsi="Verdana"/>
        </w:rPr>
        <w:t>ii</w:t>
      </w:r>
      <w:proofErr w:type="spellEnd"/>
      <w:r w:rsidR="00665F2A">
        <w:rPr>
          <w:rFonts w:ascii="Verdana" w:hAnsi="Verdana"/>
        </w:rPr>
        <w:t xml:space="preserve">) ¿Qué tipo de contratos deben cargarse </w:t>
      </w:r>
      <w:r w:rsidR="000C5550">
        <w:rPr>
          <w:rFonts w:ascii="Verdana" w:hAnsi="Verdana"/>
        </w:rPr>
        <w:t>en</w:t>
      </w:r>
      <w:r w:rsidR="00665F2A">
        <w:rPr>
          <w:rFonts w:ascii="Verdana" w:hAnsi="Verdana"/>
        </w:rPr>
        <w:t xml:space="preserve"> SECOP </w:t>
      </w:r>
      <w:r w:rsidR="00AA0E77">
        <w:rPr>
          <w:rFonts w:ascii="Verdana" w:hAnsi="Verdana"/>
        </w:rPr>
        <w:t>para cumplir con las obligaciones normativas</w:t>
      </w:r>
      <w:r w:rsidR="000C5550">
        <w:rPr>
          <w:rFonts w:ascii="Verdana" w:hAnsi="Verdana"/>
        </w:rPr>
        <w:t xml:space="preserve"> en materia de publicidad</w:t>
      </w:r>
      <w:r w:rsidR="00665F2A">
        <w:rPr>
          <w:rFonts w:ascii="Verdana" w:hAnsi="Verdana"/>
        </w:rPr>
        <w:t xml:space="preserve">?; </w:t>
      </w:r>
      <w:proofErr w:type="spellStart"/>
      <w:r w:rsidR="00665F2A">
        <w:rPr>
          <w:rFonts w:ascii="Verdana" w:hAnsi="Verdana"/>
        </w:rPr>
        <w:t>iii</w:t>
      </w:r>
      <w:proofErr w:type="spellEnd"/>
      <w:r w:rsidR="00665F2A">
        <w:rPr>
          <w:rFonts w:ascii="Verdana" w:hAnsi="Verdana"/>
        </w:rPr>
        <w:t>) ¿</w:t>
      </w:r>
      <w:r w:rsidR="00FD5684">
        <w:rPr>
          <w:rFonts w:ascii="Verdana" w:hAnsi="Verdana"/>
        </w:rPr>
        <w:t xml:space="preserve">Qué documentos deben cargarse </w:t>
      </w:r>
      <w:r w:rsidR="002951E0">
        <w:rPr>
          <w:rFonts w:ascii="Verdana" w:hAnsi="Verdana"/>
        </w:rPr>
        <w:t>en SECOP II</w:t>
      </w:r>
      <w:r w:rsidR="00665F2A">
        <w:rPr>
          <w:rFonts w:ascii="Verdana" w:hAnsi="Verdana"/>
        </w:rPr>
        <w:t xml:space="preserve"> para cumplir con la</w:t>
      </w:r>
      <w:r w:rsidR="00AA0E77">
        <w:rPr>
          <w:rFonts w:ascii="Verdana" w:hAnsi="Verdana"/>
        </w:rPr>
        <w:t>s</w:t>
      </w:r>
      <w:r w:rsidR="00665F2A">
        <w:rPr>
          <w:rFonts w:ascii="Verdana" w:hAnsi="Verdana"/>
        </w:rPr>
        <w:t xml:space="preserve"> obligaci</w:t>
      </w:r>
      <w:r w:rsidR="00AA0E77">
        <w:rPr>
          <w:rFonts w:ascii="Verdana" w:hAnsi="Verdana"/>
        </w:rPr>
        <w:t>ones normativas</w:t>
      </w:r>
      <w:r w:rsidR="000C5550" w:rsidRPr="000C5550">
        <w:rPr>
          <w:rFonts w:ascii="Verdana" w:hAnsi="Verdana"/>
        </w:rPr>
        <w:t xml:space="preserve"> </w:t>
      </w:r>
      <w:r w:rsidR="000C5550">
        <w:rPr>
          <w:rFonts w:ascii="Verdana" w:hAnsi="Verdana"/>
        </w:rPr>
        <w:t>en materia de publicidad</w:t>
      </w:r>
      <w:r w:rsidR="002951E0">
        <w:rPr>
          <w:rFonts w:ascii="Verdana" w:hAnsi="Verdana"/>
        </w:rPr>
        <w:t>?</w:t>
      </w:r>
      <w:r w:rsidR="005F156F">
        <w:rPr>
          <w:rFonts w:ascii="Verdana" w:hAnsi="Verdana"/>
        </w:rPr>
        <w:t xml:space="preserve">; </w:t>
      </w:r>
      <w:proofErr w:type="spellStart"/>
      <w:r w:rsidR="005F156F">
        <w:rPr>
          <w:rFonts w:ascii="Verdana" w:hAnsi="Verdana"/>
        </w:rPr>
        <w:t>iv</w:t>
      </w:r>
      <w:proofErr w:type="spellEnd"/>
      <w:r w:rsidR="005F156F">
        <w:rPr>
          <w:rFonts w:ascii="Verdana" w:hAnsi="Verdana"/>
        </w:rPr>
        <w:t xml:space="preserve">) ¿Cuáles son </w:t>
      </w:r>
      <w:proofErr w:type="spellStart"/>
      <w:r w:rsidR="005F156F">
        <w:rPr>
          <w:rFonts w:ascii="Verdana" w:hAnsi="Verdana"/>
        </w:rPr>
        <w:t>lo</w:t>
      </w:r>
      <w:proofErr w:type="spellEnd"/>
      <w:r w:rsidR="005F156F">
        <w:rPr>
          <w:rFonts w:ascii="Verdana" w:hAnsi="Verdana"/>
        </w:rPr>
        <w:t xml:space="preserve"> lineamientos expedidos por la Agencia Nacional de Contratación Pública – Colombia Compra Eficiente en relación con el deber de publicar en SECOP II para entidades con regímenes exceptuados de contratación? </w:t>
      </w:r>
    </w:p>
    <w:p w14:paraId="2C6A94F7" w14:textId="77777777" w:rsidR="000738FC" w:rsidRDefault="000738FC" w:rsidP="00D20326">
      <w:pPr>
        <w:spacing w:after="0" w:line="276" w:lineRule="auto"/>
        <w:jc w:val="both"/>
        <w:rPr>
          <w:rFonts w:ascii="Verdana" w:hAnsi="Verdana"/>
        </w:rPr>
      </w:pPr>
    </w:p>
    <w:p w14:paraId="0FE19E6D" w14:textId="77777777" w:rsidR="000738FC" w:rsidRPr="005B7C42" w:rsidRDefault="000738FC" w:rsidP="00D20326">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5D877524" w14:textId="77777777" w:rsidR="000738FC" w:rsidRPr="005B7C42" w:rsidRDefault="000738FC" w:rsidP="00D20326">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738FC" w:rsidRPr="005B7C42" w14:paraId="74679F64" w14:textId="77777777" w:rsidTr="7FD97115">
        <w:tc>
          <w:tcPr>
            <w:tcW w:w="8828" w:type="dxa"/>
          </w:tcPr>
          <w:p w14:paraId="40288364" w14:textId="64A5A966" w:rsidR="000738FC" w:rsidRPr="009479DC" w:rsidRDefault="006510B0" w:rsidP="00872A1B">
            <w:pPr>
              <w:spacing w:line="276" w:lineRule="auto"/>
              <w:jc w:val="both"/>
              <w:rPr>
                <w:rFonts w:ascii="Verdana" w:eastAsia="Times New Roman" w:hAnsi="Verdana" w:cs="Arial"/>
                <w:iCs/>
                <w:lang w:eastAsia="es-ES_tradnl"/>
                <w14:ligatures w14:val="standardContextual"/>
              </w:rPr>
            </w:pPr>
            <w:r w:rsidRPr="009479DC">
              <w:rPr>
                <w:rFonts w:ascii="Verdana" w:eastAsia="Times New Roman" w:hAnsi="Verdana" w:cs="Arial"/>
                <w:iCs/>
                <w:lang w:eastAsia="es-ES_tradnl"/>
                <w14:ligatures w14:val="standardContextual"/>
              </w:rPr>
              <w:t xml:space="preserve">i) </w:t>
            </w:r>
            <w:r w:rsidR="000738FC" w:rsidRPr="009479DC">
              <w:rPr>
                <w:rFonts w:ascii="Verdana" w:eastAsia="Times New Roman" w:hAnsi="Verdana" w:cs="Arial"/>
                <w:iCs/>
                <w:lang w:eastAsia="es-ES_tradnl"/>
                <w14:ligatures w14:val="standardContextual"/>
              </w:rPr>
              <w:t>Las Empresas de Servicios Públicos Domiciliarios que tienen la naturaleza de entidades estatales deben publicar en el SECOP</w:t>
            </w:r>
            <w:r w:rsidR="00826D02" w:rsidRPr="009479DC">
              <w:rPr>
                <w:rFonts w:ascii="Verdana" w:eastAsia="Times New Roman" w:hAnsi="Verdana" w:cs="Arial"/>
                <w:iCs/>
                <w:lang w:eastAsia="es-ES_tradnl"/>
                <w14:ligatures w14:val="standardContextual"/>
              </w:rPr>
              <w:t xml:space="preserve"> II</w:t>
            </w:r>
            <w:r w:rsidR="000738FC" w:rsidRPr="009479DC">
              <w:rPr>
                <w:rFonts w:ascii="Verdana" w:eastAsia="Times New Roman" w:hAnsi="Verdana" w:cs="Arial"/>
                <w:iCs/>
                <w:lang w:eastAsia="es-ES_tradnl"/>
                <w14:ligatures w14:val="standardContextual"/>
              </w:rPr>
              <w:t xml:space="preserve"> (o en la plataforma transaccional que haga sus veces) la documentación relacionada con su actividad contractual, de conformidad con el artículo 53 de la Ley 2195 de 2022, que adicionó el artículo 13 de la Ley 1150 de 2007.</w:t>
            </w:r>
            <w:r w:rsidR="00826D02" w:rsidRPr="009479DC">
              <w:rPr>
                <w:rFonts w:ascii="Verdana" w:eastAsia="Times New Roman" w:hAnsi="Verdana" w:cs="Arial"/>
                <w:iCs/>
                <w:lang w:eastAsia="es-ES_tradnl"/>
                <w14:ligatures w14:val="standardContextual"/>
              </w:rPr>
              <w:t xml:space="preserve"> </w:t>
            </w:r>
            <w:r w:rsidR="000738FC" w:rsidRPr="009479DC">
              <w:rPr>
                <w:rFonts w:ascii="Verdana" w:eastAsia="Times New Roman" w:hAnsi="Verdana" w:cs="Arial"/>
                <w:iCs/>
                <w:lang w:eastAsia="es-ES_tradnl"/>
                <w14:ligatures w14:val="standardContextual"/>
              </w:rPr>
              <w:t xml:space="preserve">Esto incluye documentos generados en las etapas precontractual, contractual y </w:t>
            </w:r>
            <w:proofErr w:type="spellStart"/>
            <w:r w:rsidR="000738FC" w:rsidRPr="009479DC">
              <w:rPr>
                <w:rFonts w:ascii="Verdana" w:eastAsia="Times New Roman" w:hAnsi="Verdana" w:cs="Arial"/>
                <w:iCs/>
                <w:lang w:eastAsia="es-ES_tradnl"/>
                <w14:ligatures w14:val="standardContextual"/>
              </w:rPr>
              <w:t>postcontractual</w:t>
            </w:r>
            <w:proofErr w:type="spellEnd"/>
            <w:r w:rsidR="000738FC" w:rsidRPr="009479DC">
              <w:rPr>
                <w:rFonts w:ascii="Verdana" w:eastAsia="Times New Roman" w:hAnsi="Verdana" w:cs="Arial"/>
                <w:iCs/>
                <w:lang w:eastAsia="es-ES_tradnl"/>
                <w14:ligatures w14:val="standardContextual"/>
              </w:rPr>
              <w:t xml:space="preserve">, </w:t>
            </w:r>
            <w:r w:rsidR="000738FC" w:rsidRPr="009479DC">
              <w:rPr>
                <w:rFonts w:ascii="Verdana" w:hAnsi="Verdana"/>
              </w:rPr>
              <w:t>que las entidades estatales deben agotar para el aprovisionamiento de los bienes y servicios que requieren</w:t>
            </w:r>
            <w:r w:rsidR="00826D02" w:rsidRPr="009479DC">
              <w:rPr>
                <w:rFonts w:ascii="Verdana" w:hAnsi="Verdana"/>
              </w:rPr>
              <w:t xml:space="preserve">. Esta obligación </w:t>
            </w:r>
            <w:r w:rsidR="009479DC" w:rsidRPr="009479DC">
              <w:rPr>
                <w:rFonts w:ascii="Verdana" w:eastAsia="Times New Roman" w:hAnsi="Verdana" w:cs="Arial"/>
                <w:iCs/>
                <w:lang w:eastAsia="es-ES_tradnl"/>
                <w14:ligatures w14:val="standardContextual"/>
              </w:rPr>
              <w:t>aplica,</w:t>
            </w:r>
            <w:r w:rsidR="000738FC" w:rsidRPr="009479DC">
              <w:rPr>
                <w:rFonts w:ascii="Verdana" w:eastAsia="Times New Roman" w:hAnsi="Verdana" w:cs="Arial"/>
                <w:iCs/>
                <w:lang w:eastAsia="es-ES_tradnl"/>
                <w14:ligatures w14:val="standardContextual"/>
              </w:rPr>
              <w:t xml:space="preserve"> aunque estén exceptuadas del Estatuto General de Contratación</w:t>
            </w:r>
            <w:r w:rsidR="00826D02" w:rsidRPr="009479DC">
              <w:rPr>
                <w:rFonts w:ascii="Verdana" w:eastAsia="Times New Roman" w:hAnsi="Verdana" w:cs="Arial"/>
                <w:iCs/>
                <w:lang w:eastAsia="es-ES_tradnl"/>
                <w14:ligatures w14:val="standardContextual"/>
              </w:rPr>
              <w:t xml:space="preserve"> de </w:t>
            </w:r>
            <w:r w:rsidR="009479DC" w:rsidRPr="009479DC">
              <w:rPr>
                <w:rFonts w:ascii="Verdana" w:eastAsia="Times New Roman" w:hAnsi="Verdana" w:cs="Arial"/>
                <w:iCs/>
                <w:lang w:eastAsia="es-ES_tradnl"/>
                <w14:ligatures w14:val="standardContextual"/>
              </w:rPr>
              <w:t>la</w:t>
            </w:r>
            <w:r w:rsidR="00826D02" w:rsidRPr="009479DC">
              <w:rPr>
                <w:rFonts w:ascii="Verdana" w:eastAsia="Times New Roman" w:hAnsi="Verdana" w:cs="Arial"/>
                <w:iCs/>
                <w:lang w:eastAsia="es-ES_tradnl"/>
                <w14:ligatures w14:val="standardContextual"/>
              </w:rPr>
              <w:t xml:space="preserve"> Administración Pública</w:t>
            </w:r>
            <w:r w:rsidR="000738FC" w:rsidRPr="009479DC">
              <w:rPr>
                <w:rFonts w:ascii="Verdana" w:eastAsia="Times New Roman" w:hAnsi="Verdana" w:cs="Arial"/>
                <w:iCs/>
                <w:lang w:eastAsia="es-ES_tradnl"/>
                <w14:ligatures w14:val="standardContextual"/>
              </w:rPr>
              <w:t xml:space="preserve">, en virtud del principio de publicidad previsto en la Constitución y </w:t>
            </w:r>
            <w:r w:rsidR="00826D02" w:rsidRPr="009479DC">
              <w:rPr>
                <w:rFonts w:ascii="Verdana" w:eastAsia="Times New Roman" w:hAnsi="Verdana" w:cs="Arial"/>
                <w:iCs/>
                <w:lang w:eastAsia="es-ES_tradnl"/>
                <w14:ligatures w14:val="standardContextual"/>
              </w:rPr>
              <w:t xml:space="preserve">desarrollado por </w:t>
            </w:r>
            <w:r w:rsidR="000738FC" w:rsidRPr="009479DC">
              <w:rPr>
                <w:rFonts w:ascii="Verdana" w:eastAsia="Times New Roman" w:hAnsi="Verdana" w:cs="Arial"/>
                <w:iCs/>
                <w:lang w:eastAsia="es-ES_tradnl"/>
                <w14:ligatures w14:val="standardContextual"/>
              </w:rPr>
              <w:t>la ley.</w:t>
            </w:r>
          </w:p>
          <w:p w14:paraId="49CE9BEF" w14:textId="77777777" w:rsidR="009C5A4F" w:rsidRPr="009479DC" w:rsidRDefault="009C5A4F" w:rsidP="00872A1B">
            <w:pPr>
              <w:spacing w:line="276" w:lineRule="auto"/>
              <w:jc w:val="both"/>
              <w:rPr>
                <w:rFonts w:ascii="Verdana" w:eastAsia="Times New Roman" w:hAnsi="Verdana" w:cs="Arial"/>
                <w:iCs/>
                <w:lang w:eastAsia="es-ES_tradnl"/>
                <w14:ligatures w14:val="standardContextual"/>
              </w:rPr>
            </w:pPr>
          </w:p>
          <w:p w14:paraId="1E3F6B9B" w14:textId="77777777" w:rsidR="009479DC" w:rsidRDefault="009C5A4F" w:rsidP="00872A1B">
            <w:pPr>
              <w:spacing w:after="120" w:line="276" w:lineRule="auto"/>
              <w:jc w:val="both"/>
              <w:rPr>
                <w:rFonts w:ascii="Verdana" w:eastAsia="Calibri" w:hAnsi="Verdana" w:cs="Arial"/>
                <w:lang w:val="es-ES_tradnl" w:eastAsia="es-ES_tradnl"/>
              </w:rPr>
            </w:pPr>
            <w:proofErr w:type="spellStart"/>
            <w:r w:rsidRPr="009479DC">
              <w:rPr>
                <w:rFonts w:ascii="Verdana" w:eastAsia="Times New Roman" w:hAnsi="Verdana" w:cs="Arial"/>
                <w:iCs/>
                <w:lang w:eastAsia="es-ES_tradnl"/>
                <w14:ligatures w14:val="standardContextual"/>
              </w:rPr>
              <w:t>ii</w:t>
            </w:r>
            <w:proofErr w:type="spellEnd"/>
            <w:r w:rsidRPr="009479DC">
              <w:rPr>
                <w:rFonts w:ascii="Verdana" w:eastAsia="Times New Roman" w:hAnsi="Verdana" w:cs="Arial"/>
                <w:iCs/>
                <w:lang w:eastAsia="es-ES_tradnl"/>
                <w14:ligatures w14:val="standardContextual"/>
              </w:rPr>
              <w:t xml:space="preserve">) </w:t>
            </w:r>
            <w:r w:rsidR="007B586D" w:rsidRPr="009479DC">
              <w:rPr>
                <w:rFonts w:ascii="Verdana" w:eastAsia="Calibri" w:hAnsi="Verdana" w:cs="Arial"/>
                <w:lang w:val="es-ES_tradnl" w:eastAsia="es-ES_tradnl"/>
              </w:rPr>
              <w:t xml:space="preserve">La obligación de publicar la actividad contractual siempre ha estado encaminada a que se publique aquella información relacionada con la </w:t>
            </w:r>
            <w:r w:rsidR="007B586D" w:rsidRPr="009479DC">
              <w:rPr>
                <w:rFonts w:ascii="Verdana" w:eastAsia="Calibri" w:hAnsi="Verdana" w:cs="Arial"/>
                <w:lang w:val="es-ES_tradnl" w:eastAsia="es-ES_tradnl"/>
              </w:rPr>
              <w:lastRenderedPageBreak/>
              <w:t xml:space="preserve">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w:t>
            </w:r>
          </w:p>
          <w:p w14:paraId="5D4EBC01" w14:textId="4D3FA8E6" w:rsidR="007B586D" w:rsidRPr="00872A1B" w:rsidRDefault="007B586D" w:rsidP="00872A1B">
            <w:pPr>
              <w:spacing w:line="276" w:lineRule="auto"/>
              <w:ind w:firstLine="709"/>
              <w:jc w:val="both"/>
              <w:rPr>
                <w:rFonts w:ascii="Verdana" w:eastAsia="Calibri" w:hAnsi="Verdana" w:cs="Arial"/>
                <w:lang w:val="es-ES_tradnl"/>
              </w:rPr>
            </w:pPr>
            <w:r w:rsidRPr="009479DC">
              <w:rPr>
                <w:rFonts w:ascii="Verdana" w:hAnsi="Verdana" w:cs="Arial"/>
                <w:lang w:val="es-ES"/>
              </w:rPr>
              <w:t>De conformidad con lo expuesto, teniendo en cuenta que el artículo 53 complementa la disposición contenida en el artículo 3 de la Ley 1150 de 2007, debe entenderse que la contratación a la que se refiere es aquella realizada con recursos públicos, cuya información es la que debe publicarse en el SECOP II.</w:t>
            </w:r>
            <w:r w:rsidR="00D35BFB" w:rsidRPr="009479DC">
              <w:rPr>
                <w:rFonts w:ascii="Verdana" w:hAnsi="Verdana" w:cs="Arial"/>
                <w:lang w:val="es-ES"/>
              </w:rPr>
              <w:t xml:space="preserve"> </w:t>
            </w:r>
            <w:r w:rsidR="00D35BFB" w:rsidRPr="00872A1B">
              <w:rPr>
                <w:rFonts w:ascii="Verdana" w:eastAsia="Calibri" w:hAnsi="Verdana" w:cs="Arial"/>
                <w:lang w:val="es-ES_tradnl"/>
              </w:rPr>
              <w:t>En ese sentido, la citada disposición establece el deber de publicar toda aquella información relacionada con el respectivo contrato, sin incluir ninguna excepción relacionada con la naturaleza u objeto contractual.</w:t>
            </w:r>
          </w:p>
          <w:p w14:paraId="0B6D82F6" w14:textId="77777777" w:rsidR="00D35BFB" w:rsidRPr="00872A1B" w:rsidRDefault="00D35BFB" w:rsidP="00872A1B">
            <w:pPr>
              <w:spacing w:line="276" w:lineRule="auto"/>
              <w:jc w:val="both"/>
              <w:rPr>
                <w:rFonts w:ascii="Verdana" w:eastAsia="Calibri" w:hAnsi="Verdana" w:cs="Arial"/>
                <w:shd w:val="clear" w:color="auto" w:fill="FFFFFF"/>
                <w:lang w:val="es-ES_tradnl"/>
              </w:rPr>
            </w:pPr>
          </w:p>
          <w:p w14:paraId="24F9EBBE" w14:textId="77777777" w:rsidR="00916A2A" w:rsidRDefault="00D35BFB" w:rsidP="00872A1B">
            <w:pPr>
              <w:spacing w:after="120" w:line="276" w:lineRule="auto"/>
              <w:jc w:val="both"/>
              <w:rPr>
                <w:rFonts w:ascii="Verdana" w:eastAsia="Calibri" w:hAnsi="Verdana" w:cs="Arial"/>
                <w:lang w:val="es-ES"/>
              </w:rPr>
            </w:pPr>
            <w:proofErr w:type="spellStart"/>
            <w:r w:rsidRPr="00872A1B">
              <w:rPr>
                <w:rFonts w:ascii="Verdana" w:eastAsia="Calibri" w:hAnsi="Verdana" w:cs="Arial"/>
                <w:lang w:val="es-ES"/>
              </w:rPr>
              <w:t>iii</w:t>
            </w:r>
            <w:proofErr w:type="spellEnd"/>
            <w:r w:rsidRPr="00872A1B">
              <w:rPr>
                <w:rFonts w:ascii="Verdana" w:eastAsia="Calibri" w:hAnsi="Verdana" w:cs="Arial"/>
                <w:lang w:val="es-ES"/>
              </w:rPr>
              <w:t xml:space="preserve">) </w:t>
            </w:r>
            <w:r w:rsidR="004F1281" w:rsidRPr="7FD97115">
              <w:rPr>
                <w:rFonts w:ascii="Verdana" w:eastAsia="Calibri" w:hAnsi="Verdana" w:cs="Arial"/>
                <w:lang w:val="es-ES"/>
              </w:rPr>
              <w:t xml:space="preserve">En cuanto a los documentos que deben publicarse en el SECOP II, a efectos de cumplir el mandato consagrado en el artículo 53 de la Ley 2195 de 2022, es preciso advertir que la disposición hace referencia a los documentos relacionados con su </w:t>
            </w:r>
            <w:r w:rsidR="004F1281" w:rsidRPr="7FD97115">
              <w:rPr>
                <w:rFonts w:ascii="Verdana" w:eastAsia="Calibri" w:hAnsi="Verdana" w:cs="Arial"/>
                <w:i/>
                <w:iCs/>
                <w:lang w:val="es-ES"/>
              </w:rPr>
              <w:t>actividad contractual,</w:t>
            </w:r>
            <w:r w:rsidR="004F1281" w:rsidRPr="7FD97115">
              <w:rPr>
                <w:rFonts w:ascii="Verdana" w:eastAsia="Calibri" w:hAnsi="Verdana" w:cs="Arial"/>
                <w:lang w:val="es-ES"/>
              </w:rPr>
              <w:t xml:space="preserve"> la cual define como “[…] los documentos, contratos, actos e información generada por oferentes, contratista, contratante, supervisor o interventor, tanto en la etapa precontractual, como en la contractual y la </w:t>
            </w:r>
            <w:proofErr w:type="spellStart"/>
            <w:r w:rsidR="004F1281" w:rsidRPr="7FD97115">
              <w:rPr>
                <w:rFonts w:ascii="Verdana" w:eastAsia="Calibri" w:hAnsi="Verdana" w:cs="Arial"/>
                <w:lang w:val="es-ES"/>
              </w:rPr>
              <w:t>postcontractual</w:t>
            </w:r>
            <w:proofErr w:type="spellEnd"/>
            <w:r w:rsidR="004F1281" w:rsidRPr="7FD97115">
              <w:rPr>
                <w:rFonts w:ascii="Verdana" w:eastAsia="Calibri" w:hAnsi="Verdana" w:cs="Arial"/>
                <w:lang w:val="es-ES"/>
              </w:rPr>
              <w:t xml:space="preserve">”. </w:t>
            </w:r>
          </w:p>
          <w:p w14:paraId="6C2B930B" w14:textId="17048F4B" w:rsidR="004F1281" w:rsidRPr="009479DC" w:rsidRDefault="004F1281" w:rsidP="00872A1B">
            <w:pPr>
              <w:spacing w:after="120" w:line="276" w:lineRule="auto"/>
              <w:ind w:firstLine="709"/>
              <w:jc w:val="both"/>
              <w:rPr>
                <w:rFonts w:ascii="Verdana" w:eastAsia="Calibri" w:hAnsi="Verdana" w:cs="Arial"/>
                <w:lang w:val="es-ES"/>
              </w:rPr>
            </w:pPr>
            <w:r w:rsidRPr="7FD97115">
              <w:rPr>
                <w:rFonts w:ascii="Verdana" w:eastAsia="Calibri" w:hAnsi="Verdana" w:cs="Arial"/>
                <w:lang w:val="es-ES"/>
              </w:rPr>
              <w:t xml:space="preserve">En ese sentido, el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w:t>
            </w:r>
          </w:p>
          <w:p w14:paraId="7D447A3B" w14:textId="542D7BD4" w:rsidR="009479DC" w:rsidRPr="009479DC" w:rsidRDefault="009479DC" w:rsidP="00872A1B">
            <w:pPr>
              <w:spacing w:line="276" w:lineRule="auto"/>
              <w:ind w:firstLine="709"/>
              <w:jc w:val="both"/>
              <w:rPr>
                <w:rFonts w:ascii="Verdana" w:eastAsia="Calibri" w:hAnsi="Verdana" w:cs="Arial"/>
                <w:lang w:val="es-ES_tradnl" w:eastAsia="es-ES_tradnl"/>
              </w:rPr>
            </w:pPr>
            <w:r w:rsidRPr="009479DC">
              <w:rPr>
                <w:rFonts w:ascii="Verdana" w:eastAsia="Calibri" w:hAnsi="Verdana" w:cs="Arial"/>
                <w:lang w:val="es-ES"/>
              </w:rPr>
              <w:t xml:space="preserve">Vale la pena aclarar que 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 </w:t>
            </w:r>
          </w:p>
          <w:p w14:paraId="40D8264B" w14:textId="5EB4FE70" w:rsidR="00D35BFB" w:rsidRPr="00872A1B" w:rsidRDefault="00D35BFB" w:rsidP="00872A1B">
            <w:pPr>
              <w:spacing w:line="276" w:lineRule="auto"/>
              <w:jc w:val="both"/>
              <w:rPr>
                <w:rFonts w:ascii="Verdana" w:hAnsi="Verdana" w:cs="Arial"/>
                <w:shd w:val="clear" w:color="auto" w:fill="FFFFFF"/>
                <w:lang w:val="es-ES_tradnl"/>
              </w:rPr>
            </w:pPr>
          </w:p>
          <w:p w14:paraId="64A04AEF" w14:textId="71ADD20E" w:rsidR="00826D02" w:rsidRPr="00872A1B" w:rsidRDefault="009479DC" w:rsidP="00872A1B">
            <w:pPr>
              <w:pStyle w:val="Textonotapie"/>
              <w:spacing w:line="276" w:lineRule="auto"/>
              <w:jc w:val="both"/>
              <w:rPr>
                <w:rFonts w:ascii="Verdana" w:hAnsi="Verdana"/>
              </w:rPr>
            </w:pPr>
            <w:proofErr w:type="spellStart"/>
            <w:r w:rsidRPr="00872A1B">
              <w:rPr>
                <w:rFonts w:ascii="Verdana" w:eastAsia="Times New Roman" w:hAnsi="Verdana" w:cs="Arial"/>
                <w:iCs/>
                <w:sz w:val="22"/>
                <w:szCs w:val="22"/>
                <w:lang w:eastAsia="es-ES_tradnl"/>
                <w14:ligatures w14:val="standardContextual"/>
              </w:rPr>
              <w:lastRenderedPageBreak/>
              <w:t>iv</w:t>
            </w:r>
            <w:proofErr w:type="spellEnd"/>
            <w:r w:rsidRPr="00872A1B">
              <w:rPr>
                <w:rFonts w:ascii="Verdana" w:eastAsia="Times New Roman" w:hAnsi="Verdana" w:cs="Arial"/>
                <w:iCs/>
                <w:sz w:val="22"/>
                <w:szCs w:val="22"/>
                <w:lang w:eastAsia="es-ES_tradnl"/>
                <w14:ligatures w14:val="standardContextual"/>
              </w:rPr>
              <w:t xml:space="preserve">) </w:t>
            </w:r>
            <w:r w:rsidRPr="009479DC">
              <w:rPr>
                <w:rFonts w:ascii="Verdana" w:eastAsia="Calibri" w:hAnsi="Verdana" w:cs="Arial"/>
                <w:color w:val="000000"/>
                <w:sz w:val="22"/>
                <w:szCs w:val="22"/>
                <w:lang w:eastAsia="es-ES"/>
              </w:rPr>
              <w:t xml:space="preserve">Sobre los lineamientos expedidos por la Agencia Nacional de Contratación Pública – Colombia Compra Eficiente destacamos la Circular Única Externa, la cual puede consultar en el siguiente enlace: </w:t>
            </w:r>
            <w:hyperlink r:id="rId13" w:history="1">
              <w:r w:rsidRPr="009479DC">
                <w:rPr>
                  <w:rStyle w:val="Hipervnculo"/>
                  <w:rFonts w:ascii="Verdana" w:eastAsia="Calibri" w:hAnsi="Verdana" w:cs="Arial"/>
                  <w:sz w:val="22"/>
                  <w:szCs w:val="22"/>
                  <w:lang w:eastAsia="es-ES"/>
                </w:rPr>
                <w:t>https://www.colombiacompra.gov.co/wp-content/uploads/2024/08/circular_externa_unica_version_3_vf49.pdf</w:t>
              </w:r>
            </w:hyperlink>
            <w:r w:rsidRPr="009479DC">
              <w:rPr>
                <w:rFonts w:ascii="Verdana" w:eastAsia="Calibri" w:hAnsi="Verdana" w:cs="Arial"/>
                <w:color w:val="000000"/>
                <w:sz w:val="22"/>
                <w:szCs w:val="22"/>
                <w:lang w:eastAsia="es-ES"/>
              </w:rPr>
              <w:t xml:space="preserve">; la Circular Externa 002 de 2024 se puede consultar en el siguiente enlace: </w:t>
            </w:r>
            <w:hyperlink r:id="rId14" w:history="1">
              <w:r w:rsidRPr="009479DC">
                <w:rPr>
                  <w:rStyle w:val="Hipervnculo"/>
                  <w:rFonts w:ascii="Verdana" w:hAnsi="Verdana"/>
                  <w:sz w:val="22"/>
                  <w:szCs w:val="22"/>
                </w:rPr>
                <w:t>https://www.colombiacompra.gov.co/sites/cce_public/files/cce_circulares/doc-20240823-wa0021.pdf</w:t>
              </w:r>
            </w:hyperlink>
            <w:r w:rsidRPr="009479DC">
              <w:rPr>
                <w:rFonts w:ascii="Verdana" w:hAnsi="Verdana"/>
                <w:sz w:val="22"/>
                <w:szCs w:val="22"/>
              </w:rPr>
              <w:t xml:space="preserve">. </w:t>
            </w:r>
            <w:r w:rsidRPr="009479DC">
              <w:rPr>
                <w:rFonts w:ascii="Verdana" w:hAnsi="Verdana" w:cs="Arial"/>
                <w:sz w:val="22"/>
                <w:szCs w:val="22"/>
              </w:rPr>
              <w:t xml:space="preserve">En el siguiente </w:t>
            </w:r>
            <w:proofErr w:type="gramStart"/>
            <w:r w:rsidRPr="009479DC">
              <w:rPr>
                <w:rFonts w:ascii="Verdana" w:hAnsi="Verdana" w:cs="Arial"/>
                <w:sz w:val="22"/>
                <w:szCs w:val="22"/>
              </w:rPr>
              <w:t>link</w:t>
            </w:r>
            <w:proofErr w:type="gramEnd"/>
            <w:r w:rsidRPr="009479DC">
              <w:rPr>
                <w:rFonts w:ascii="Verdana" w:hAnsi="Verdana" w:cs="Arial"/>
                <w:sz w:val="22"/>
                <w:szCs w:val="22"/>
              </w:rPr>
              <w:t xml:space="preserve"> se puede consultar la Guía para gestionar o publicar los procesos de Régimen Especial con oferta en el SECOP II:  </w:t>
            </w:r>
            <w:hyperlink r:id="rId15" w:history="1">
              <w:r w:rsidRPr="009479DC">
                <w:rPr>
                  <w:rStyle w:val="Hipervnculo"/>
                  <w:rFonts w:ascii="Verdana" w:hAnsi="Verdana" w:cs="Arial"/>
                  <w:sz w:val="22"/>
                  <w:szCs w:val="22"/>
                </w:rPr>
                <w:t>https://www.colombiacompra.gov.co/node/23628</w:t>
              </w:r>
            </w:hyperlink>
            <w:r w:rsidRPr="009479DC">
              <w:rPr>
                <w:rFonts w:ascii="Verdana" w:hAnsi="Verdana"/>
                <w:sz w:val="22"/>
                <w:szCs w:val="22"/>
              </w:rPr>
              <w:t xml:space="preserve">. </w:t>
            </w:r>
            <w:r w:rsidRPr="009479DC">
              <w:rPr>
                <w:rFonts w:ascii="Verdana" w:hAnsi="Verdana" w:cs="Arial"/>
                <w:sz w:val="22"/>
                <w:szCs w:val="22"/>
              </w:rPr>
              <w:t xml:space="preserve">En el siguiente </w:t>
            </w:r>
            <w:proofErr w:type="gramStart"/>
            <w:r w:rsidRPr="009479DC">
              <w:rPr>
                <w:rFonts w:ascii="Verdana" w:hAnsi="Verdana" w:cs="Arial"/>
                <w:sz w:val="22"/>
                <w:szCs w:val="22"/>
              </w:rPr>
              <w:t>link</w:t>
            </w:r>
            <w:proofErr w:type="gramEnd"/>
            <w:r w:rsidRPr="009479DC">
              <w:rPr>
                <w:rFonts w:ascii="Verdana" w:hAnsi="Verdana" w:cs="Arial"/>
                <w:sz w:val="22"/>
                <w:szCs w:val="22"/>
              </w:rPr>
              <w:t xml:space="preserve"> se puede consultar la Guía para gestionar o publicar los procesos de Régimen Especial sin oferta en el SECOP II:   </w:t>
            </w:r>
            <w:hyperlink r:id="rId16" w:history="1">
              <w:r w:rsidRPr="009479DC">
                <w:rPr>
                  <w:rStyle w:val="Hipervnculo"/>
                  <w:rFonts w:ascii="Verdana" w:hAnsi="Verdana" w:cs="Arial"/>
                  <w:sz w:val="22"/>
                  <w:szCs w:val="22"/>
                </w:rPr>
                <w:t>https://www.colombiacompra.gov.co/node/30741</w:t>
              </w:r>
            </w:hyperlink>
          </w:p>
        </w:tc>
      </w:tr>
    </w:tbl>
    <w:p w14:paraId="465AC719" w14:textId="77777777" w:rsidR="000738FC" w:rsidRPr="00832FF4" w:rsidRDefault="000738FC" w:rsidP="00872A1B">
      <w:pPr>
        <w:spacing w:after="0" w:line="276" w:lineRule="auto"/>
        <w:jc w:val="both"/>
        <w:rPr>
          <w:rFonts w:ascii="Verdana" w:eastAsia="Times New Roman" w:hAnsi="Verdana" w:cs="Arial"/>
          <w:lang w:eastAsia="es-ES_tradnl"/>
        </w:rPr>
      </w:pPr>
    </w:p>
    <w:p w14:paraId="2394E905" w14:textId="77777777" w:rsidR="000738FC" w:rsidRPr="00832FF4" w:rsidRDefault="000738FC" w:rsidP="00832FF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832FF4">
        <w:rPr>
          <w:rFonts w:ascii="Verdana" w:eastAsia="Century Gothic" w:hAnsi="Verdana" w:cs="Century Gothic"/>
          <w:b/>
          <w:bCs/>
        </w:rPr>
        <w:t>3. Razones de la respuesta:</w:t>
      </w:r>
    </w:p>
    <w:p w14:paraId="22BC1D9D" w14:textId="77777777" w:rsidR="000738FC" w:rsidRPr="00832FF4" w:rsidRDefault="000738FC" w:rsidP="00832FF4">
      <w:pPr>
        <w:spacing w:after="0" w:line="276" w:lineRule="auto"/>
        <w:jc w:val="both"/>
        <w:rPr>
          <w:rFonts w:ascii="Verdana" w:eastAsia="Calibri" w:hAnsi="Verdana" w:cs="Arial"/>
          <w:color w:val="7030A0"/>
        </w:rPr>
      </w:pPr>
    </w:p>
    <w:p w14:paraId="25C8DDBD" w14:textId="77777777" w:rsidR="000738FC" w:rsidRPr="00832FF4" w:rsidRDefault="000738FC" w:rsidP="00832FF4">
      <w:pPr>
        <w:spacing w:after="0" w:line="276" w:lineRule="auto"/>
        <w:jc w:val="both"/>
        <w:rPr>
          <w:rFonts w:ascii="Verdana" w:eastAsia="Calibri" w:hAnsi="Verdana" w:cs="Arial"/>
        </w:rPr>
      </w:pPr>
      <w:r w:rsidRPr="00832FF4">
        <w:rPr>
          <w:rFonts w:ascii="Verdana" w:eastAsia="Calibri" w:hAnsi="Verdana" w:cs="Arial"/>
        </w:rPr>
        <w:t xml:space="preserve">Lo anterior se sustenta en las siguientes consideraciones: </w:t>
      </w:r>
    </w:p>
    <w:p w14:paraId="25EF5D00" w14:textId="77777777" w:rsidR="000738FC" w:rsidRPr="00832FF4" w:rsidRDefault="000738FC" w:rsidP="00832FF4">
      <w:pPr>
        <w:spacing w:after="0" w:line="276" w:lineRule="auto"/>
        <w:jc w:val="both"/>
        <w:rPr>
          <w:rFonts w:ascii="Verdana" w:eastAsia="Calibri" w:hAnsi="Verdana" w:cs="Arial"/>
        </w:rPr>
      </w:pPr>
    </w:p>
    <w:p w14:paraId="23CB924A" w14:textId="77777777" w:rsidR="00832FF4" w:rsidRPr="00872A1B" w:rsidRDefault="00832FF4" w:rsidP="00872A1B">
      <w:pPr>
        <w:spacing w:after="0" w:line="276" w:lineRule="auto"/>
        <w:jc w:val="both"/>
        <w:rPr>
          <w:rFonts w:ascii="Verdana" w:eastAsia="Calibri" w:hAnsi="Verdana" w:cs="Arial"/>
          <w:color w:val="000000"/>
          <w:lang w:val="es-ES_tradnl" w:eastAsia="es-ES_tradnl"/>
        </w:rPr>
      </w:pPr>
      <w:r w:rsidRPr="00872A1B">
        <w:rPr>
          <w:rFonts w:ascii="Verdana" w:eastAsia="Calibri" w:hAnsi="Verdana" w:cs="Arial"/>
          <w:color w:val="000000"/>
          <w:lang w:val="es-ES_tradnl" w:eastAsia="es-ES_tradnl"/>
        </w:rPr>
        <w:t>La Constitución Política de 1991 incorporó un modelo de liberalización para prestar servicios públicos domiciliarios, con arreglo al cual estos pueden ofrecerse en el mercado, en un esquema de libre competencia, directamente por el Estado, por particulares o por comunidades organizadas</w:t>
      </w:r>
      <w:r w:rsidRPr="00872A1B">
        <w:rPr>
          <w:rFonts w:ascii="Verdana" w:eastAsia="Calibri" w:hAnsi="Verdana" w:cs="Arial"/>
          <w:color w:val="000000"/>
          <w:vertAlign w:val="superscript"/>
          <w:lang w:val="es-ES_tradnl" w:eastAsia="es-ES_tradnl"/>
        </w:rPr>
        <w:footnoteReference w:id="1"/>
      </w:r>
      <w:r w:rsidRPr="00872A1B">
        <w:rPr>
          <w:rFonts w:ascii="Verdana" w:eastAsia="Calibri" w:hAnsi="Verdana" w:cs="Arial"/>
          <w:color w:val="000000"/>
          <w:lang w:val="es-ES_tradnl" w:eastAsia="es-ES_tradnl"/>
        </w:rPr>
        <w:t>. En tal sentido, el artículo 365 de la Constitución dispone lo siguiente:</w:t>
      </w:r>
    </w:p>
    <w:p w14:paraId="53B7E55E" w14:textId="77777777" w:rsidR="00832FF4" w:rsidRPr="00872A1B" w:rsidRDefault="00832FF4" w:rsidP="00872A1B">
      <w:pPr>
        <w:spacing w:after="0" w:line="276" w:lineRule="auto"/>
        <w:ind w:left="709" w:right="709"/>
        <w:jc w:val="both"/>
        <w:rPr>
          <w:rFonts w:ascii="Verdana" w:eastAsia="Calibri" w:hAnsi="Verdana" w:cs="Arial"/>
          <w:color w:val="000000"/>
          <w:lang w:val="es-ES_tradnl" w:eastAsia="es-ES_tradnl"/>
        </w:rPr>
      </w:pPr>
    </w:p>
    <w:p w14:paraId="50E721BC" w14:textId="77777777" w:rsidR="00832FF4" w:rsidRPr="00872A1B" w:rsidRDefault="00832FF4" w:rsidP="00832FF4">
      <w:pPr>
        <w:spacing w:after="120" w:line="240" w:lineRule="auto"/>
        <w:ind w:left="709" w:right="709"/>
        <w:contextualSpacing/>
        <w:jc w:val="both"/>
        <w:rPr>
          <w:rFonts w:ascii="Verdana" w:eastAsia="Calibri" w:hAnsi="Verdana" w:cs="Arial"/>
          <w:color w:val="000000"/>
          <w:sz w:val="20"/>
          <w:szCs w:val="20"/>
          <w:lang w:val="es-ES_tradnl" w:eastAsia="es-ES_tradnl"/>
        </w:rPr>
      </w:pPr>
      <w:r w:rsidRPr="00872A1B">
        <w:rPr>
          <w:rFonts w:ascii="Verdana" w:eastAsia="Calibri" w:hAnsi="Verdana" w:cs="Arial"/>
          <w:color w:val="000000"/>
          <w:sz w:val="20"/>
          <w:szCs w:val="20"/>
          <w:lang w:val="es-ES_tradnl" w:eastAsia="es-ES_tradnl"/>
        </w:rPr>
        <w:lastRenderedPageBreak/>
        <w:t>Los servicios públicos son inherentes a la finalidad social del Estado. Es deber del Estado asegurar su prestación eficiente a todos los habitantes del territorio nacional.</w:t>
      </w:r>
    </w:p>
    <w:p w14:paraId="4E061A4A" w14:textId="77777777" w:rsidR="00832FF4" w:rsidRPr="00872A1B" w:rsidRDefault="00832FF4" w:rsidP="00832FF4">
      <w:pPr>
        <w:spacing w:after="120" w:line="240" w:lineRule="auto"/>
        <w:ind w:left="709" w:right="709"/>
        <w:contextualSpacing/>
        <w:jc w:val="both"/>
        <w:rPr>
          <w:rFonts w:ascii="Verdana" w:eastAsia="Calibri" w:hAnsi="Verdana" w:cs="Arial"/>
          <w:color w:val="000000"/>
          <w:sz w:val="20"/>
          <w:szCs w:val="20"/>
          <w:lang w:val="es-ES_tradnl" w:eastAsia="es-ES_tradnl"/>
        </w:rPr>
      </w:pPr>
    </w:p>
    <w:p w14:paraId="5B2B5F6C" w14:textId="77777777" w:rsidR="00832FF4" w:rsidRPr="00872A1B" w:rsidRDefault="00832FF4" w:rsidP="7FD97115">
      <w:pPr>
        <w:spacing w:after="0" w:line="240" w:lineRule="auto"/>
        <w:ind w:left="709" w:right="709"/>
        <w:contextualSpacing/>
        <w:jc w:val="both"/>
        <w:rPr>
          <w:rFonts w:ascii="Verdana" w:eastAsia="Calibri" w:hAnsi="Verdana" w:cs="Arial"/>
          <w:color w:val="000000"/>
          <w:sz w:val="20"/>
          <w:szCs w:val="20"/>
          <w:lang w:val="es-ES" w:eastAsia="es-ES"/>
        </w:rPr>
      </w:pPr>
      <w:r w:rsidRPr="00872A1B">
        <w:rPr>
          <w:rFonts w:ascii="Verdana" w:eastAsia="Calibri" w:hAnsi="Verdana" w:cs="Arial"/>
          <w:color w:val="000000" w:themeColor="text1"/>
          <w:sz w:val="20"/>
          <w:szCs w:val="20"/>
          <w:lang w:val="es-ES" w:eastAsia="es-ES"/>
        </w:rPr>
        <w:t>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p>
    <w:p w14:paraId="29F8AA92" w14:textId="77777777" w:rsidR="00832FF4" w:rsidRPr="00872A1B" w:rsidRDefault="00832FF4" w:rsidP="00832FF4">
      <w:pPr>
        <w:spacing w:after="0" w:line="276" w:lineRule="auto"/>
        <w:ind w:firstLine="709"/>
        <w:contextualSpacing/>
        <w:jc w:val="both"/>
        <w:rPr>
          <w:rFonts w:ascii="Verdana" w:eastAsia="Calibri" w:hAnsi="Verdana" w:cs="Arial"/>
          <w:color w:val="000000"/>
          <w:lang w:val="es-ES_tradnl" w:eastAsia="es-ES_tradnl"/>
        </w:rPr>
      </w:pPr>
    </w:p>
    <w:p w14:paraId="43B471F0" w14:textId="77777777" w:rsidR="00832FF4" w:rsidRPr="00872A1B" w:rsidRDefault="00832FF4" w:rsidP="00832FF4">
      <w:pPr>
        <w:spacing w:after="120" w:line="276" w:lineRule="auto"/>
        <w:ind w:firstLine="709"/>
        <w:jc w:val="both"/>
        <w:rPr>
          <w:rFonts w:ascii="Verdana" w:eastAsia="Calibri" w:hAnsi="Verdana" w:cs="Arial"/>
          <w:color w:val="000000"/>
          <w:lang w:val="es-ES_tradnl" w:eastAsia="es-ES_tradnl"/>
        </w:rPr>
      </w:pPr>
      <w:bookmarkStart w:id="1" w:name="_Hlk112245622"/>
      <w:r w:rsidRPr="00872A1B">
        <w:rPr>
          <w:rFonts w:ascii="Verdana" w:eastAsia="Calibri" w:hAnsi="Verdana" w:cs="Arial"/>
          <w:color w:val="000000"/>
          <w:bdr w:val="none" w:sz="0" w:space="0" w:color="auto" w:frame="1"/>
          <w:lang w:eastAsia="es-ES_tradnl"/>
        </w:rPr>
        <w:t xml:space="preserve">Con base en este presupuesto constitucional de liberalización de los servicios públicos domiciliarios, el legislador expidió la Ley 142 de 1994, mediante la cual se establece el régimen de los servicios públicos domiciliarios. </w:t>
      </w:r>
      <w:r w:rsidRPr="00872A1B">
        <w:rPr>
          <w:rFonts w:ascii="Verdana" w:eastAsia="Calibri" w:hAnsi="Verdana" w:cs="Arial"/>
          <w:color w:val="000000"/>
          <w:lang w:eastAsia="es-ES_tradnl"/>
        </w:rPr>
        <w:t>E</w:t>
      </w:r>
      <w:r w:rsidRPr="00872A1B">
        <w:rPr>
          <w:rFonts w:ascii="Verdana" w:eastAsia="Calibri" w:hAnsi="Verdana" w:cs="Arial"/>
          <w:color w:val="000000"/>
          <w:lang w:val="es-ES_tradnl" w:eastAsia="es-ES_tradnl"/>
        </w:rPr>
        <w:t xml:space="preserve">l artículo 15 </w:t>
      </w:r>
      <w:proofErr w:type="spellStart"/>
      <w:r w:rsidRPr="00872A1B">
        <w:rPr>
          <w:rFonts w:ascii="Verdana" w:eastAsia="Calibri" w:hAnsi="Verdana" w:cs="Arial"/>
          <w:i/>
          <w:iCs/>
          <w:color w:val="000000"/>
          <w:lang w:val="es-ES_tradnl" w:eastAsia="es-ES_tradnl"/>
        </w:rPr>
        <w:t>ibídem</w:t>
      </w:r>
      <w:proofErr w:type="spellEnd"/>
      <w:r w:rsidRPr="00872A1B">
        <w:rPr>
          <w:rFonts w:ascii="Verdana" w:eastAsia="Calibri" w:hAnsi="Verdana" w:cs="Arial"/>
          <w:color w:val="000000"/>
          <w:lang w:val="es-ES_tradnl" w:eastAsia="es-ES_tradnl"/>
        </w:rPr>
        <w:t xml:space="preserve"> enuncia las personas autorizadas para prestar los servicios públicos domiciliarios: i) las empresas de servicios públicos, </w:t>
      </w:r>
      <w:proofErr w:type="spellStart"/>
      <w:r w:rsidRPr="00872A1B">
        <w:rPr>
          <w:rFonts w:ascii="Verdana" w:eastAsia="Calibri" w:hAnsi="Verdana" w:cs="Arial"/>
          <w:color w:val="000000"/>
          <w:lang w:val="es-ES_tradnl" w:eastAsia="es-ES_tradnl"/>
        </w:rPr>
        <w:t>ii</w:t>
      </w:r>
      <w:proofErr w:type="spellEnd"/>
      <w:r w:rsidRPr="00872A1B">
        <w:rPr>
          <w:rFonts w:ascii="Verdana" w:eastAsia="Calibri" w:hAnsi="Verdana" w:cs="Arial"/>
          <w:color w:val="000000"/>
          <w:lang w:val="es-ES_tradnl" w:eastAsia="es-ES_tradnl"/>
        </w:rPr>
        <w:t xml:space="preserve">) los productores marginales, </w:t>
      </w:r>
      <w:proofErr w:type="spellStart"/>
      <w:r w:rsidRPr="00872A1B">
        <w:rPr>
          <w:rFonts w:ascii="Verdana" w:eastAsia="Calibri" w:hAnsi="Verdana" w:cs="Arial"/>
          <w:color w:val="000000"/>
          <w:lang w:val="es-ES_tradnl" w:eastAsia="es-ES_tradnl"/>
        </w:rPr>
        <w:t>iii</w:t>
      </w:r>
      <w:proofErr w:type="spellEnd"/>
      <w:r w:rsidRPr="00872A1B">
        <w:rPr>
          <w:rFonts w:ascii="Verdana" w:eastAsia="Calibri" w:hAnsi="Verdana" w:cs="Arial"/>
          <w:color w:val="000000"/>
          <w:lang w:val="es-ES_tradnl" w:eastAsia="es-ES_tradnl"/>
        </w:rPr>
        <w:t xml:space="preserve">) los municipios, en ciertos casos, </w:t>
      </w:r>
      <w:proofErr w:type="spellStart"/>
      <w:r w:rsidRPr="00872A1B">
        <w:rPr>
          <w:rFonts w:ascii="Verdana" w:eastAsia="Calibri" w:hAnsi="Verdana" w:cs="Arial"/>
          <w:color w:val="000000"/>
          <w:lang w:val="es-ES_tradnl" w:eastAsia="es-ES_tradnl"/>
        </w:rPr>
        <w:t>iv</w:t>
      </w:r>
      <w:proofErr w:type="spellEnd"/>
      <w:r w:rsidRPr="00872A1B">
        <w:rPr>
          <w:rFonts w:ascii="Verdana" w:eastAsia="Calibri" w:hAnsi="Verdana" w:cs="Arial"/>
          <w:color w:val="000000"/>
          <w:lang w:val="es-ES_tradnl" w:eastAsia="es-ES_tradnl"/>
        </w:rPr>
        <w:t>) las organizaciones autorizadas y v) las entidades descentralizadas que se encontraran prestándolos y cumplan los requisitos establecidos en la ley</w:t>
      </w:r>
      <w:r w:rsidRPr="00872A1B">
        <w:rPr>
          <w:rFonts w:ascii="Verdana" w:eastAsia="Calibri" w:hAnsi="Verdana" w:cs="Arial"/>
          <w:color w:val="000000"/>
          <w:vertAlign w:val="superscript"/>
          <w:lang w:val="es-ES_tradnl" w:eastAsia="es-ES_tradnl"/>
        </w:rPr>
        <w:footnoteReference w:id="2"/>
      </w:r>
      <w:r w:rsidRPr="00872A1B">
        <w:rPr>
          <w:rFonts w:ascii="Verdana" w:eastAsia="Calibri" w:hAnsi="Verdana" w:cs="Arial"/>
          <w:color w:val="000000"/>
          <w:lang w:val="es-ES_tradnl" w:eastAsia="es-ES_tradnl"/>
        </w:rPr>
        <w:t>.</w:t>
      </w:r>
    </w:p>
    <w:bookmarkEnd w:id="1"/>
    <w:p w14:paraId="6ACF8B76" w14:textId="6ABF7534" w:rsidR="000738FC" w:rsidRPr="00832FF4" w:rsidRDefault="0006764D" w:rsidP="00872A1B">
      <w:pPr>
        <w:widowControl w:val="0"/>
        <w:spacing w:after="0" w:line="276" w:lineRule="auto"/>
        <w:ind w:firstLine="708"/>
        <w:jc w:val="both"/>
        <w:rPr>
          <w:rFonts w:ascii="Verdana" w:eastAsia="Arial" w:hAnsi="Verdana" w:cs="Arial"/>
          <w:lang w:eastAsia="es-CO"/>
        </w:rPr>
      </w:pPr>
      <w:r>
        <w:rPr>
          <w:rFonts w:ascii="Verdana" w:eastAsia="Arial" w:hAnsi="Verdana" w:cs="Arial"/>
          <w:lang w:eastAsia="es-CO"/>
        </w:rPr>
        <w:t>Ahora bien, e</w:t>
      </w:r>
      <w:r w:rsidR="000738FC" w:rsidRPr="00832FF4">
        <w:rPr>
          <w:rFonts w:ascii="Verdana" w:eastAsia="Arial" w:hAnsi="Verdana" w:cs="Arial"/>
          <w:lang w:eastAsia="es-CO"/>
        </w:rPr>
        <w:t xml:space="preserve">l artículo 14 de la Ley 142 de 1994 contiene las definiciones para la correcta aplicación e interpretación del régimen de servicios públicos domiciliarios. Esta norma define las Empresas de Servicios Públicos Oficial, la mixta y la privada, en los siguientes términos: </w:t>
      </w:r>
    </w:p>
    <w:p w14:paraId="37260C21" w14:textId="77777777" w:rsidR="000738FC" w:rsidRPr="00832FF4" w:rsidRDefault="000738FC" w:rsidP="00C209A3">
      <w:pPr>
        <w:widowControl w:val="0"/>
        <w:spacing w:after="0" w:line="276" w:lineRule="auto"/>
        <w:ind w:right="112"/>
        <w:jc w:val="both"/>
        <w:rPr>
          <w:rFonts w:ascii="Verdana" w:eastAsia="Arial" w:hAnsi="Verdana" w:cs="Arial"/>
          <w:sz w:val="16"/>
          <w:szCs w:val="16"/>
          <w:lang w:eastAsia="es-CO"/>
        </w:rPr>
      </w:pPr>
    </w:p>
    <w:p w14:paraId="49AC14F2" w14:textId="77777777" w:rsidR="000738FC" w:rsidRPr="00872A1B" w:rsidRDefault="000738FC" w:rsidP="00C209A3">
      <w:pPr>
        <w:widowControl w:val="0"/>
        <w:numPr>
          <w:ilvl w:val="1"/>
          <w:numId w:val="17"/>
        </w:numPr>
        <w:tabs>
          <w:tab w:val="left" w:pos="1361"/>
        </w:tabs>
        <w:spacing w:after="0" w:line="240" w:lineRule="auto"/>
        <w:ind w:left="1259" w:right="709"/>
        <w:jc w:val="both"/>
        <w:rPr>
          <w:rFonts w:ascii="Verdana" w:eastAsia="Calibri" w:hAnsi="Verdana" w:cs="Calibri"/>
          <w:sz w:val="20"/>
          <w:szCs w:val="20"/>
          <w:lang w:eastAsia="es-CO"/>
        </w:rPr>
      </w:pPr>
      <w:r w:rsidRPr="00CA1BE7">
        <w:rPr>
          <w:rFonts w:ascii="Verdana" w:eastAsia="Arial" w:hAnsi="Verdana" w:cs="Arial"/>
          <w:sz w:val="20"/>
          <w:szCs w:val="20"/>
          <w:lang w:eastAsia="es-CO"/>
        </w:rPr>
        <w:t xml:space="preserve">Empresa de servicios públicos oficial. Es aquella en cuyo capital la Nación, las entidades territoriales, o las entidades descentralizadas </w:t>
      </w:r>
      <w:r w:rsidRPr="00CA1BE7">
        <w:rPr>
          <w:rFonts w:ascii="Verdana" w:eastAsia="Arial" w:hAnsi="Verdana" w:cs="Arial"/>
          <w:sz w:val="20"/>
          <w:szCs w:val="20"/>
          <w:lang w:eastAsia="es-CO"/>
        </w:rPr>
        <w:lastRenderedPageBreak/>
        <w:t>de aquella o estas tienen el 100% de los aportes.</w:t>
      </w:r>
    </w:p>
    <w:p w14:paraId="402F885B" w14:textId="77777777" w:rsidR="00C209A3" w:rsidRPr="00CA1BE7" w:rsidRDefault="00C209A3" w:rsidP="00872A1B">
      <w:pPr>
        <w:widowControl w:val="0"/>
        <w:tabs>
          <w:tab w:val="left" w:pos="1361"/>
        </w:tabs>
        <w:spacing w:after="0" w:line="240" w:lineRule="auto"/>
        <w:ind w:left="1259" w:right="709"/>
        <w:jc w:val="both"/>
        <w:rPr>
          <w:rFonts w:ascii="Verdana" w:eastAsia="Calibri" w:hAnsi="Verdana" w:cs="Calibri"/>
          <w:sz w:val="20"/>
          <w:szCs w:val="20"/>
          <w:lang w:eastAsia="es-CO"/>
        </w:rPr>
      </w:pPr>
    </w:p>
    <w:p w14:paraId="69AC6246" w14:textId="77777777" w:rsidR="000738FC" w:rsidRPr="00872A1B" w:rsidRDefault="000738FC" w:rsidP="00C209A3">
      <w:pPr>
        <w:widowControl w:val="0"/>
        <w:numPr>
          <w:ilvl w:val="1"/>
          <w:numId w:val="17"/>
        </w:numPr>
        <w:tabs>
          <w:tab w:val="left" w:pos="1363"/>
        </w:tabs>
        <w:spacing w:after="0" w:line="240" w:lineRule="auto"/>
        <w:ind w:left="1259" w:right="709"/>
        <w:jc w:val="both"/>
        <w:rPr>
          <w:rFonts w:ascii="Verdana" w:eastAsia="Calibri" w:hAnsi="Verdana" w:cs="Calibri"/>
          <w:sz w:val="20"/>
          <w:szCs w:val="20"/>
          <w:lang w:eastAsia="es-CO"/>
        </w:rPr>
      </w:pPr>
      <w:r w:rsidRPr="00CA1BE7">
        <w:rPr>
          <w:rFonts w:ascii="Verdana" w:eastAsia="Arial" w:hAnsi="Verdana" w:cs="Arial"/>
          <w:sz w:val="20"/>
          <w:szCs w:val="20"/>
          <w:lang w:eastAsia="es-CO"/>
        </w:rPr>
        <w:t>Empresa de servicios públicos mixta. Es aquella en cuyo capital la Nación, las entidades territoriales, o las entidades descentralizadas de aquella o éstas tienen aportes iguales o superiores al 50%.</w:t>
      </w:r>
    </w:p>
    <w:p w14:paraId="1F679A89" w14:textId="77777777" w:rsidR="00C209A3" w:rsidRPr="00CA1BE7" w:rsidRDefault="00C209A3" w:rsidP="00872A1B">
      <w:pPr>
        <w:widowControl w:val="0"/>
        <w:tabs>
          <w:tab w:val="left" w:pos="1363"/>
        </w:tabs>
        <w:spacing w:after="0" w:line="240" w:lineRule="auto"/>
        <w:ind w:right="709"/>
        <w:jc w:val="both"/>
        <w:rPr>
          <w:rFonts w:ascii="Verdana" w:eastAsia="Calibri" w:hAnsi="Verdana" w:cs="Calibri"/>
          <w:sz w:val="20"/>
          <w:szCs w:val="20"/>
          <w:lang w:eastAsia="es-CO"/>
        </w:rPr>
      </w:pPr>
    </w:p>
    <w:p w14:paraId="154319E2" w14:textId="77777777" w:rsidR="000738FC" w:rsidRPr="00CA1BE7" w:rsidRDefault="000738FC" w:rsidP="00872A1B">
      <w:pPr>
        <w:widowControl w:val="0"/>
        <w:numPr>
          <w:ilvl w:val="1"/>
          <w:numId w:val="17"/>
        </w:numPr>
        <w:tabs>
          <w:tab w:val="left" w:pos="1531"/>
        </w:tabs>
        <w:spacing w:after="0" w:line="240" w:lineRule="auto"/>
        <w:ind w:left="1259" w:right="709"/>
        <w:jc w:val="both"/>
        <w:rPr>
          <w:rFonts w:ascii="Verdana" w:eastAsia="Calibri" w:hAnsi="Verdana" w:cs="Calibri"/>
          <w:sz w:val="20"/>
          <w:szCs w:val="20"/>
          <w:lang w:eastAsia="es-CO"/>
        </w:rPr>
      </w:pPr>
      <w:r w:rsidRPr="00CA1BE7">
        <w:rPr>
          <w:rFonts w:ascii="Verdana" w:eastAsia="Arial" w:hAnsi="Verdana" w:cs="Arial"/>
          <w:sz w:val="20"/>
          <w:szCs w:val="20"/>
          <w:lang w:eastAsia="es-CO"/>
        </w:rPr>
        <w:t>Empresa de servicios públicos privada. Es aquella cuyo capital pertenece mayoritariamente a particulares, o a entidades surgidas de convenios internacionales que deseen someterse íntegramente para estos efectos a las reglas a las que se someten los particulares.</w:t>
      </w:r>
    </w:p>
    <w:p w14:paraId="4A44AFA5" w14:textId="77777777" w:rsidR="000738FC" w:rsidRPr="00484B65" w:rsidRDefault="000738FC" w:rsidP="000738FC">
      <w:pPr>
        <w:widowControl w:val="0"/>
        <w:spacing w:after="0"/>
        <w:rPr>
          <w:rFonts w:ascii="Verdana" w:eastAsia="Arial" w:hAnsi="Verdana" w:cs="Arial"/>
          <w:szCs w:val="24"/>
          <w:lang w:eastAsia="es-CO"/>
        </w:rPr>
      </w:pPr>
    </w:p>
    <w:p w14:paraId="48131DCA" w14:textId="4E002A99" w:rsidR="000738FC" w:rsidRPr="00484B65" w:rsidRDefault="000738FC" w:rsidP="00872A1B">
      <w:pPr>
        <w:widowControl w:val="0"/>
        <w:spacing w:after="120" w:line="276" w:lineRule="auto"/>
        <w:ind w:firstLine="708"/>
        <w:jc w:val="both"/>
        <w:rPr>
          <w:rFonts w:ascii="Verdana" w:eastAsia="Calibri" w:hAnsi="Verdana" w:cs="Calibri"/>
          <w:szCs w:val="24"/>
          <w:lang w:eastAsia="es-CO"/>
        </w:rPr>
      </w:pPr>
      <w:r w:rsidRPr="00484B65">
        <w:rPr>
          <w:rFonts w:ascii="Verdana" w:eastAsia="Arial" w:hAnsi="Verdana" w:cs="Arial"/>
          <w:lang w:eastAsia="es-CO"/>
        </w:rPr>
        <w:t xml:space="preserve">A su turno, el artículo 17 de la ley citada señala que </w:t>
      </w:r>
      <w:r>
        <w:rPr>
          <w:rFonts w:ascii="Verdana" w:eastAsia="Arial" w:hAnsi="Verdana" w:cs="Arial"/>
          <w:lang w:eastAsia="es-CO"/>
        </w:rPr>
        <w:t>“</w:t>
      </w:r>
      <w:r w:rsidRPr="00484B65">
        <w:rPr>
          <w:rFonts w:ascii="Verdana" w:eastAsia="Arial" w:hAnsi="Verdana" w:cs="Arial"/>
          <w:lang w:eastAsia="es-CO"/>
        </w:rPr>
        <w:t>las empresas de servicios públicos son sociedades por acciones cuyo objeto es la prestación de los servicios públicos de que trata esta ley</w:t>
      </w:r>
      <w:r>
        <w:rPr>
          <w:rFonts w:ascii="Verdana" w:eastAsia="Arial" w:hAnsi="Verdana" w:cs="Arial"/>
          <w:lang w:eastAsia="es-CO"/>
        </w:rPr>
        <w:t>”</w:t>
      </w:r>
      <w:r w:rsidRPr="00484B65">
        <w:rPr>
          <w:rFonts w:ascii="Verdana" w:eastAsia="Arial" w:hAnsi="Verdana" w:cs="Arial"/>
          <w:lang w:eastAsia="es-CO"/>
        </w:rPr>
        <w:t xml:space="preserve">. De otro lado, el artículo 38 de la Ley 489 de 1998 determina la integración de la Rama Ejecutiva del Poder Público en el orden nacional, y en su literal d) señala que las </w:t>
      </w:r>
      <w:r w:rsidR="005E33EF" w:rsidRPr="00484B65">
        <w:rPr>
          <w:rFonts w:ascii="Verdana" w:eastAsia="Arial" w:hAnsi="Verdana" w:cs="Arial"/>
          <w:lang w:eastAsia="es-CO"/>
        </w:rPr>
        <w:t xml:space="preserve">Empresas Sociales </w:t>
      </w:r>
      <w:r w:rsidRPr="00484B65">
        <w:rPr>
          <w:rFonts w:ascii="Verdana" w:eastAsia="Arial" w:hAnsi="Verdana" w:cs="Arial"/>
          <w:lang w:eastAsia="es-CO"/>
        </w:rPr>
        <w:t xml:space="preserve">del Estado y las </w:t>
      </w:r>
      <w:r w:rsidR="005E33EF" w:rsidRPr="00484B65">
        <w:rPr>
          <w:rFonts w:ascii="Verdana" w:eastAsia="Arial" w:hAnsi="Verdana" w:cs="Arial"/>
          <w:lang w:eastAsia="es-CO"/>
        </w:rPr>
        <w:t xml:space="preserve">Empresas Oficiales </w:t>
      </w:r>
      <w:r w:rsidRPr="00484B65">
        <w:rPr>
          <w:rFonts w:ascii="Verdana" w:eastAsia="Arial" w:hAnsi="Verdana" w:cs="Arial"/>
          <w:lang w:eastAsia="es-CO"/>
        </w:rPr>
        <w:t xml:space="preserve">de </w:t>
      </w:r>
      <w:r w:rsidR="005E33EF" w:rsidRPr="00484B65">
        <w:rPr>
          <w:rFonts w:ascii="Verdana" w:eastAsia="Arial" w:hAnsi="Verdana" w:cs="Arial"/>
          <w:lang w:eastAsia="es-CO"/>
        </w:rPr>
        <w:t xml:space="preserve">Servicios Públicos Domiciliarios </w:t>
      </w:r>
      <w:r w:rsidRPr="00484B65">
        <w:rPr>
          <w:rFonts w:ascii="Verdana" w:eastAsia="Arial" w:hAnsi="Verdana" w:cs="Arial"/>
          <w:lang w:eastAsia="es-CO"/>
        </w:rPr>
        <w:t xml:space="preserve">pertenecen a las entidades de la Rama Ejecutiva del sector descentralizado por servicios. El artículo 68 de esta </w:t>
      </w:r>
      <w:r w:rsidR="00646FEC">
        <w:rPr>
          <w:rFonts w:ascii="Verdana" w:eastAsia="Arial" w:hAnsi="Verdana" w:cs="Arial"/>
          <w:lang w:eastAsia="es-CO"/>
        </w:rPr>
        <w:t>L</w:t>
      </w:r>
      <w:r w:rsidRPr="00484B65">
        <w:rPr>
          <w:rFonts w:ascii="Verdana" w:eastAsia="Arial" w:hAnsi="Verdana" w:cs="Arial"/>
          <w:lang w:eastAsia="es-CO"/>
        </w:rPr>
        <w:t>ey, al listar las entidades descentralizadas del orden nacional, se refirió únicamente a las empresas oficiales de servicios públicos, esto es, aquellas en las que la participación del Estado es del</w:t>
      </w:r>
      <w:r w:rsidR="005E33EF">
        <w:rPr>
          <w:rFonts w:ascii="Verdana" w:eastAsia="Arial" w:hAnsi="Verdana" w:cs="Arial"/>
          <w:lang w:eastAsia="es-CO"/>
        </w:rPr>
        <w:t xml:space="preserve"> cien por ciento</w:t>
      </w:r>
      <w:r w:rsidRPr="00484B65">
        <w:rPr>
          <w:rFonts w:ascii="Verdana" w:eastAsia="Arial" w:hAnsi="Verdana" w:cs="Arial"/>
          <w:lang w:eastAsia="es-CO"/>
        </w:rPr>
        <w:t xml:space="preserve"> </w:t>
      </w:r>
      <w:r w:rsidR="005E33EF">
        <w:rPr>
          <w:rFonts w:ascii="Verdana" w:eastAsia="Arial" w:hAnsi="Verdana" w:cs="Arial"/>
          <w:lang w:eastAsia="es-CO"/>
        </w:rPr>
        <w:t>(</w:t>
      </w:r>
      <w:r w:rsidRPr="00484B65">
        <w:rPr>
          <w:rFonts w:ascii="Verdana" w:eastAsia="Arial" w:hAnsi="Verdana" w:cs="Arial"/>
          <w:lang w:eastAsia="es-CO"/>
        </w:rPr>
        <w:t>100%</w:t>
      </w:r>
      <w:r w:rsidR="005E33EF">
        <w:rPr>
          <w:rFonts w:ascii="Verdana" w:eastAsia="Arial" w:hAnsi="Verdana" w:cs="Arial"/>
          <w:lang w:eastAsia="es-CO"/>
        </w:rPr>
        <w:t>)</w:t>
      </w:r>
      <w:r w:rsidRPr="00484B65">
        <w:rPr>
          <w:rFonts w:ascii="Verdana" w:eastAsia="Arial" w:hAnsi="Verdana" w:cs="Arial"/>
          <w:vertAlign w:val="superscript"/>
          <w:lang w:eastAsia="es-CO"/>
        </w:rPr>
        <w:footnoteReference w:id="3"/>
      </w:r>
      <w:r w:rsidRPr="00484B65">
        <w:rPr>
          <w:rFonts w:ascii="Verdana" w:eastAsia="Arial" w:hAnsi="Verdana" w:cs="Arial"/>
          <w:lang w:eastAsia="es-CO"/>
        </w:rPr>
        <w:t>.</w:t>
      </w:r>
    </w:p>
    <w:p w14:paraId="206AA7D9" w14:textId="4C593A0F" w:rsidR="000738FC" w:rsidRPr="00484B65" w:rsidRDefault="000738FC" w:rsidP="00872A1B">
      <w:pPr>
        <w:widowControl w:val="0"/>
        <w:spacing w:after="120" w:line="276" w:lineRule="auto"/>
        <w:ind w:firstLine="720"/>
        <w:jc w:val="both"/>
        <w:rPr>
          <w:rFonts w:ascii="Verdana" w:eastAsia="Calibri" w:hAnsi="Verdana" w:cs="Calibri"/>
          <w:szCs w:val="24"/>
          <w:lang w:eastAsia="es-CO"/>
        </w:rPr>
      </w:pPr>
      <w:r w:rsidRPr="00484B65">
        <w:rPr>
          <w:rFonts w:ascii="Verdana" w:eastAsia="Arial" w:hAnsi="Verdana" w:cs="Arial"/>
          <w:lang w:eastAsia="es-CO"/>
        </w:rPr>
        <w:t xml:space="preserve">Lo anterior llevó a pensar que el legislador había excluido de la Rama Ejecutiva a las </w:t>
      </w:r>
      <w:r w:rsidR="005E33EF" w:rsidRPr="00484B65">
        <w:rPr>
          <w:rFonts w:ascii="Verdana" w:eastAsia="Arial" w:hAnsi="Verdana" w:cs="Arial"/>
          <w:lang w:eastAsia="es-CO"/>
        </w:rPr>
        <w:t xml:space="preserve">Empresas </w:t>
      </w:r>
      <w:r w:rsidRPr="00484B65">
        <w:rPr>
          <w:rFonts w:ascii="Verdana" w:eastAsia="Arial" w:hAnsi="Verdana" w:cs="Arial"/>
          <w:lang w:eastAsia="es-CO"/>
        </w:rPr>
        <w:t xml:space="preserve">de </w:t>
      </w:r>
      <w:r w:rsidR="005E33EF" w:rsidRPr="00484B65">
        <w:rPr>
          <w:rFonts w:ascii="Verdana" w:eastAsia="Arial" w:hAnsi="Verdana" w:cs="Arial"/>
          <w:lang w:eastAsia="es-CO"/>
        </w:rPr>
        <w:t xml:space="preserve">Servicios Públicos Mixta </w:t>
      </w:r>
      <w:r w:rsidRPr="00484B65">
        <w:rPr>
          <w:rFonts w:ascii="Verdana" w:eastAsia="Arial" w:hAnsi="Verdana" w:cs="Arial"/>
          <w:lang w:eastAsia="es-CO"/>
        </w:rPr>
        <w:t xml:space="preserve">–capital público superior al </w:t>
      </w:r>
      <w:r w:rsidR="005E33EF">
        <w:rPr>
          <w:rFonts w:ascii="Verdana" w:eastAsia="Arial" w:hAnsi="Verdana" w:cs="Arial"/>
          <w:lang w:eastAsia="es-CO"/>
        </w:rPr>
        <w:t>cincuenta por ciento (</w:t>
      </w:r>
      <w:r w:rsidRPr="00484B65">
        <w:rPr>
          <w:rFonts w:ascii="Verdana" w:eastAsia="Arial" w:hAnsi="Verdana" w:cs="Arial"/>
          <w:lang w:eastAsia="es-CO"/>
        </w:rPr>
        <w:t>50%</w:t>
      </w:r>
      <w:r w:rsidR="005E33EF">
        <w:rPr>
          <w:rFonts w:ascii="Verdana" w:eastAsia="Arial" w:hAnsi="Verdana" w:cs="Arial"/>
          <w:lang w:eastAsia="es-CO"/>
        </w:rPr>
        <w:t>)</w:t>
      </w:r>
      <w:r w:rsidRPr="00484B65">
        <w:rPr>
          <w:rFonts w:ascii="Verdana" w:eastAsia="Arial" w:hAnsi="Verdana" w:cs="Arial"/>
          <w:lang w:eastAsia="es-CO"/>
        </w:rPr>
        <w:t xml:space="preserve">– y las privadas –capital público inferior al </w:t>
      </w:r>
      <w:r w:rsidR="005E33EF">
        <w:rPr>
          <w:rFonts w:ascii="Verdana" w:eastAsia="Arial" w:hAnsi="Verdana" w:cs="Arial"/>
          <w:lang w:eastAsia="es-CO"/>
        </w:rPr>
        <w:t>cincuenta por ciento (</w:t>
      </w:r>
      <w:r w:rsidRPr="00484B65">
        <w:rPr>
          <w:rFonts w:ascii="Verdana" w:eastAsia="Arial" w:hAnsi="Verdana" w:cs="Arial"/>
          <w:lang w:eastAsia="es-CO"/>
        </w:rPr>
        <w:t>50%</w:t>
      </w:r>
      <w:r w:rsidR="005E33EF">
        <w:rPr>
          <w:rFonts w:ascii="Verdana" w:eastAsia="Arial" w:hAnsi="Verdana" w:cs="Arial"/>
          <w:lang w:eastAsia="es-CO"/>
        </w:rPr>
        <w:t>)</w:t>
      </w:r>
      <w:r w:rsidRPr="00484B65">
        <w:rPr>
          <w:rFonts w:ascii="Verdana" w:eastAsia="Arial" w:hAnsi="Verdana" w:cs="Arial"/>
          <w:lang w:eastAsia="es-CO"/>
        </w:rPr>
        <w:t xml:space="preserve">–. Sin embargo, la Corte Constitucional determinó que tanto las </w:t>
      </w:r>
      <w:r w:rsidR="005E33EF" w:rsidRPr="00484B65">
        <w:rPr>
          <w:rFonts w:ascii="Verdana" w:eastAsia="Arial" w:hAnsi="Verdana" w:cs="Arial"/>
          <w:lang w:eastAsia="es-CO"/>
        </w:rPr>
        <w:t xml:space="preserve">Empresas </w:t>
      </w:r>
      <w:r w:rsidRPr="00484B65">
        <w:rPr>
          <w:rFonts w:ascii="Verdana" w:eastAsia="Arial" w:hAnsi="Verdana" w:cs="Arial"/>
          <w:lang w:eastAsia="es-CO"/>
        </w:rPr>
        <w:t xml:space="preserve">de </w:t>
      </w:r>
      <w:r w:rsidR="005E33EF" w:rsidRPr="00484B65">
        <w:rPr>
          <w:rFonts w:ascii="Verdana" w:eastAsia="Arial" w:hAnsi="Verdana" w:cs="Arial"/>
          <w:lang w:eastAsia="es-CO"/>
        </w:rPr>
        <w:t xml:space="preserve">Servicios Públicos Mixta </w:t>
      </w:r>
      <w:r w:rsidRPr="00484B65">
        <w:rPr>
          <w:rFonts w:ascii="Verdana" w:eastAsia="Arial" w:hAnsi="Verdana" w:cs="Arial"/>
          <w:lang w:eastAsia="es-CO"/>
        </w:rPr>
        <w:t xml:space="preserve">como las privadas hacían parte de la Rama Ejecutiva, toda vez que el literal g) del artículo 38 de la Ley 489 de 1998 dice: </w:t>
      </w:r>
      <w:r>
        <w:rPr>
          <w:rFonts w:ascii="Verdana" w:eastAsia="Arial" w:hAnsi="Verdana" w:cs="Arial"/>
          <w:lang w:eastAsia="es-CO"/>
        </w:rPr>
        <w:t>“</w:t>
      </w:r>
      <w:r w:rsidRPr="00484B65">
        <w:rPr>
          <w:rFonts w:ascii="Verdana" w:eastAsia="Arial" w:hAnsi="Verdana" w:cs="Arial"/>
          <w:lang w:eastAsia="es-CO"/>
        </w:rPr>
        <w:t>g) Las demás entidades administrativas nacionales con personería jurídica que cree, organice o autorice la ley para que formen parte de la Rama Ejecutiva del Poder Público</w:t>
      </w:r>
      <w:r>
        <w:rPr>
          <w:rFonts w:ascii="Verdana" w:eastAsia="Arial" w:hAnsi="Verdana" w:cs="Arial"/>
          <w:lang w:eastAsia="es-CO"/>
        </w:rPr>
        <w:t>”</w:t>
      </w:r>
      <w:r w:rsidRPr="00484B65">
        <w:rPr>
          <w:rFonts w:ascii="Verdana" w:eastAsia="Arial" w:hAnsi="Verdana" w:cs="Arial"/>
          <w:lang w:eastAsia="es-CO"/>
        </w:rPr>
        <w:t xml:space="preserve">. </w:t>
      </w:r>
    </w:p>
    <w:p w14:paraId="36B60507" w14:textId="68FE3C7C" w:rsidR="000738FC" w:rsidRPr="00484B65" w:rsidRDefault="000738FC" w:rsidP="000738FC">
      <w:pPr>
        <w:widowControl w:val="0"/>
        <w:spacing w:before="93" w:after="0" w:line="276" w:lineRule="auto"/>
        <w:ind w:right="106" w:firstLine="720"/>
        <w:jc w:val="both"/>
        <w:rPr>
          <w:rFonts w:ascii="Verdana" w:eastAsia="Calibri" w:hAnsi="Verdana" w:cs="Calibri"/>
          <w:szCs w:val="24"/>
          <w:lang w:eastAsia="es-CO"/>
        </w:rPr>
      </w:pPr>
      <w:r w:rsidRPr="00484B65">
        <w:rPr>
          <w:rFonts w:ascii="Verdana" w:eastAsia="Arial" w:hAnsi="Verdana" w:cs="Arial"/>
          <w:lang w:eastAsia="es-CO"/>
        </w:rPr>
        <w:lastRenderedPageBreak/>
        <w:t xml:space="preserve">La Corte Constitucional, además de señalar la pertenencia a la Rama Ejecutiva de las </w:t>
      </w:r>
      <w:r w:rsidR="00D45B78" w:rsidRPr="00484B65">
        <w:rPr>
          <w:rFonts w:ascii="Verdana" w:eastAsia="Arial" w:hAnsi="Verdana" w:cs="Arial"/>
          <w:lang w:eastAsia="es-CO"/>
        </w:rPr>
        <w:t xml:space="preserve">Empresas </w:t>
      </w:r>
      <w:r w:rsidRPr="00484B65">
        <w:rPr>
          <w:rFonts w:ascii="Verdana" w:eastAsia="Arial" w:hAnsi="Verdana" w:cs="Arial"/>
          <w:lang w:eastAsia="es-CO"/>
        </w:rPr>
        <w:t xml:space="preserve">de </w:t>
      </w:r>
      <w:r w:rsidR="00D45B78" w:rsidRPr="00484B65">
        <w:rPr>
          <w:rFonts w:ascii="Verdana" w:eastAsia="Arial" w:hAnsi="Verdana" w:cs="Arial"/>
          <w:lang w:eastAsia="es-CO"/>
        </w:rPr>
        <w:t xml:space="preserve">Servicios Públicos Mixtas </w:t>
      </w:r>
      <w:r w:rsidRPr="00484B65">
        <w:rPr>
          <w:rFonts w:ascii="Verdana" w:eastAsia="Arial" w:hAnsi="Verdana" w:cs="Arial"/>
          <w:lang w:eastAsia="es-CO"/>
        </w:rPr>
        <w:t>y privadas, también sostuvo que se trataba de entidades descentralizadas por servicios, en los términos del artículo 68 de la Ley 489 de 1998:</w:t>
      </w:r>
    </w:p>
    <w:p w14:paraId="7FEBA52C" w14:textId="77777777" w:rsidR="000738FC" w:rsidRPr="00484B65" w:rsidRDefault="000738FC" w:rsidP="000738FC">
      <w:pPr>
        <w:widowControl w:val="0"/>
        <w:spacing w:after="0"/>
        <w:rPr>
          <w:rFonts w:ascii="Verdana" w:eastAsia="Arial" w:hAnsi="Verdana" w:cs="Arial"/>
          <w:lang w:eastAsia="es-CO"/>
        </w:rPr>
      </w:pPr>
    </w:p>
    <w:p w14:paraId="0E2C7BB4" w14:textId="77777777" w:rsidR="000738FC" w:rsidRDefault="000738FC" w:rsidP="00D45B78">
      <w:pPr>
        <w:widowControl w:val="0"/>
        <w:spacing w:after="0" w:line="240" w:lineRule="auto"/>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Nótese   cómo   una   empresa   de   servicios   públicos   privada   es   aquella   que mayoritariamente pertenece a particulares, lo cual, a contrario sensu, significa que minoritariamente pertenece al Estado o a sus entidades. Y que una empresa de servicios públicos mixta es aquella 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la categoría jurídica denominada “entidades descentralizadas” resulta constitucionalmente cuestionable, toda vez que implica, a su vez, la exclusión de las consecuencias jurídicas derivadas de tal naturaleza jurídica, dispuestas expresamente por la Constitución.</w:t>
      </w:r>
    </w:p>
    <w:p w14:paraId="2F2CEB85" w14:textId="77777777" w:rsidR="00D45B78" w:rsidRPr="001272A0" w:rsidRDefault="00D45B78" w:rsidP="00872A1B">
      <w:pPr>
        <w:widowControl w:val="0"/>
        <w:spacing w:after="0" w:line="240" w:lineRule="auto"/>
        <w:ind w:left="709" w:right="709"/>
        <w:jc w:val="both"/>
        <w:rPr>
          <w:rFonts w:ascii="Verdana" w:eastAsia="Arial" w:hAnsi="Verdana" w:cs="Arial"/>
          <w:sz w:val="20"/>
          <w:szCs w:val="20"/>
          <w:lang w:eastAsia="es-CO"/>
        </w:rPr>
      </w:pPr>
    </w:p>
    <w:p w14:paraId="5B925F76" w14:textId="77777777" w:rsidR="000738FC" w:rsidRDefault="000738FC" w:rsidP="00D45B78">
      <w:pPr>
        <w:widowControl w:val="0"/>
        <w:spacing w:after="0" w:line="240" w:lineRule="auto"/>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14:paraId="6A75419C" w14:textId="77777777" w:rsidR="00D45B78" w:rsidRPr="001272A0" w:rsidRDefault="00D45B78" w:rsidP="00872A1B">
      <w:pPr>
        <w:widowControl w:val="0"/>
        <w:spacing w:after="0" w:line="240" w:lineRule="auto"/>
        <w:ind w:left="709" w:right="709"/>
        <w:jc w:val="both"/>
        <w:rPr>
          <w:rFonts w:ascii="Verdana" w:eastAsia="Arial" w:hAnsi="Verdana" w:cs="Arial"/>
          <w:sz w:val="20"/>
          <w:szCs w:val="20"/>
          <w:lang w:eastAsia="es-CO"/>
        </w:rPr>
      </w:pPr>
    </w:p>
    <w:p w14:paraId="19651F1E" w14:textId="77777777" w:rsidR="000738FC" w:rsidRDefault="000738FC" w:rsidP="00D45B78">
      <w:pPr>
        <w:widowControl w:val="0"/>
        <w:spacing w:after="0" w:line="240" w:lineRule="auto"/>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Nótese cómo en el literal d) el legislador incluye a las “demás entidades administrativas nacionales con personería jurídica que cree, organice o autorice la ley para que formen parte de la Rama Ejecutiva del Poder Público”, categoría dentro de la cual deben entenderse incluidas las empresas de servicios públicos mixtas o privadas, que de esta manera, se entienden como parte de la Rama Ejecutiva en su sector descentralizado nacional.</w:t>
      </w:r>
    </w:p>
    <w:p w14:paraId="70C1BA6B" w14:textId="77777777" w:rsidR="00D45B78" w:rsidRPr="001272A0" w:rsidRDefault="00D45B78" w:rsidP="00872A1B">
      <w:pPr>
        <w:widowControl w:val="0"/>
        <w:spacing w:after="0" w:line="240" w:lineRule="auto"/>
        <w:ind w:left="709" w:right="709"/>
        <w:jc w:val="both"/>
        <w:rPr>
          <w:rFonts w:ascii="Verdana" w:eastAsia="Arial" w:hAnsi="Verdana" w:cs="Arial"/>
          <w:sz w:val="20"/>
          <w:szCs w:val="20"/>
          <w:lang w:eastAsia="es-CO"/>
        </w:rPr>
      </w:pPr>
    </w:p>
    <w:p w14:paraId="57676EEE" w14:textId="77777777" w:rsidR="000738FC" w:rsidRPr="001272A0" w:rsidRDefault="000738FC" w:rsidP="00872A1B">
      <w:pPr>
        <w:widowControl w:val="0"/>
        <w:spacing w:after="0" w:line="240" w:lineRule="auto"/>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 xml:space="preserve">Así las cosas, de cara a la constitucionalidad del artículo 38 de la Ley 498 de 1998, y concretamente de la expresión “las empresas oficiales de servicios públicos domiciliarios” contenida en su literal d), la Corte declarará su </w:t>
      </w:r>
      <w:proofErr w:type="spellStart"/>
      <w:r w:rsidRPr="001272A0">
        <w:rPr>
          <w:rFonts w:ascii="Verdana" w:eastAsia="Arial" w:hAnsi="Verdana" w:cs="Arial"/>
          <w:sz w:val="20"/>
          <w:szCs w:val="20"/>
          <w:lang w:eastAsia="es-CO"/>
        </w:rPr>
        <w:t>exequibilidad</w:t>
      </w:r>
      <w:proofErr w:type="spellEnd"/>
      <w:r w:rsidRPr="001272A0">
        <w:rPr>
          <w:rFonts w:ascii="Verdana" w:eastAsia="Arial" w:hAnsi="Verdana" w:cs="Arial"/>
          <w:sz w:val="20"/>
          <w:szCs w:val="20"/>
          <w:lang w:eastAsia="es-CO"/>
        </w:rPr>
        <w:t>, por considerar que dentro del supuesto normativo del literal g) se comprenden las empresas mixtas o privadas de servicios públicos, que de esta manera viene a conformar también la Rama Ejecutiva del poder público.</w:t>
      </w:r>
    </w:p>
    <w:p w14:paraId="361780AB" w14:textId="77777777" w:rsidR="000738FC" w:rsidRPr="001272A0" w:rsidRDefault="000738FC" w:rsidP="00872A1B">
      <w:pPr>
        <w:widowControl w:val="0"/>
        <w:spacing w:after="0" w:line="240" w:lineRule="auto"/>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w:t>
      </w:r>
    </w:p>
    <w:p w14:paraId="5C9EBEAB" w14:textId="77777777" w:rsidR="00D45B78" w:rsidRDefault="00D45B78" w:rsidP="00D45B78">
      <w:pPr>
        <w:widowControl w:val="0"/>
        <w:spacing w:after="0" w:line="240" w:lineRule="auto"/>
        <w:ind w:left="709" w:right="709"/>
        <w:jc w:val="both"/>
        <w:rPr>
          <w:rFonts w:ascii="Verdana" w:eastAsia="Arial" w:hAnsi="Verdana" w:cs="Arial"/>
          <w:sz w:val="20"/>
          <w:szCs w:val="20"/>
          <w:lang w:eastAsia="es-CO"/>
        </w:rPr>
      </w:pPr>
    </w:p>
    <w:p w14:paraId="3EB002A7" w14:textId="77E30E0B" w:rsidR="000738FC" w:rsidRPr="001272A0" w:rsidRDefault="000738FC" w:rsidP="00872A1B">
      <w:pPr>
        <w:widowControl w:val="0"/>
        <w:spacing w:after="0" w:line="240" w:lineRule="auto"/>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 xml:space="preserve">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w:t>
      </w:r>
      <w:r w:rsidRPr="001272A0">
        <w:rPr>
          <w:rFonts w:ascii="Verdana" w:eastAsia="Arial" w:hAnsi="Verdana" w:cs="Arial"/>
          <w:sz w:val="20"/>
          <w:szCs w:val="20"/>
          <w:lang w:eastAsia="es-CO"/>
        </w:rPr>
        <w:lastRenderedPageBreak/>
        <w:t>“las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su constitucionalidad</w:t>
      </w:r>
      <w:r w:rsidRPr="001272A0">
        <w:rPr>
          <w:rFonts w:ascii="Verdana" w:eastAsia="Arial" w:hAnsi="Verdana" w:cs="Arial"/>
          <w:sz w:val="20"/>
          <w:szCs w:val="20"/>
          <w:vertAlign w:val="superscript"/>
          <w:lang w:eastAsia="es-CO"/>
        </w:rPr>
        <w:footnoteReference w:id="4"/>
      </w:r>
      <w:r w:rsidRPr="001272A0">
        <w:rPr>
          <w:rFonts w:ascii="Verdana" w:eastAsia="Arial" w:hAnsi="Verdana" w:cs="Arial"/>
          <w:sz w:val="20"/>
          <w:szCs w:val="20"/>
          <w:lang w:eastAsia="es-CO"/>
        </w:rPr>
        <w:t>.</w:t>
      </w:r>
    </w:p>
    <w:p w14:paraId="0162950B" w14:textId="77777777" w:rsidR="000738FC" w:rsidRPr="00B92D93" w:rsidRDefault="000738FC" w:rsidP="00872A1B">
      <w:pPr>
        <w:widowControl w:val="0"/>
        <w:spacing w:after="0" w:line="276" w:lineRule="auto"/>
        <w:ind w:left="100" w:right="110"/>
        <w:jc w:val="both"/>
        <w:rPr>
          <w:rFonts w:ascii="Verdana" w:eastAsia="Arial" w:hAnsi="Verdana" w:cs="Arial"/>
          <w:lang w:eastAsia="es-CO"/>
        </w:rPr>
      </w:pPr>
    </w:p>
    <w:p w14:paraId="3DFC6857" w14:textId="4A063EE8" w:rsidR="000738FC" w:rsidRPr="00B92D93" w:rsidRDefault="000738FC" w:rsidP="00872A1B">
      <w:pPr>
        <w:widowControl w:val="0"/>
        <w:spacing w:after="0" w:line="276" w:lineRule="auto"/>
        <w:ind w:right="110" w:firstLine="720"/>
        <w:jc w:val="both"/>
        <w:rPr>
          <w:rFonts w:ascii="Verdana" w:eastAsia="Calibri" w:hAnsi="Verdana" w:cs="Calibri"/>
          <w:lang w:eastAsia="es-CO"/>
        </w:rPr>
      </w:pPr>
      <w:r w:rsidRPr="00B92D93">
        <w:rPr>
          <w:rFonts w:ascii="Verdana" w:eastAsia="Arial" w:hAnsi="Verdana" w:cs="Arial"/>
          <w:lang w:eastAsia="es-CO"/>
        </w:rPr>
        <w:t xml:space="preserve">En esta providencia también se hace una aclaración que resulta importante: las </w:t>
      </w:r>
      <w:r w:rsidR="00B92D93" w:rsidRPr="00B92D93">
        <w:rPr>
          <w:rFonts w:ascii="Verdana" w:eastAsia="Arial" w:hAnsi="Verdana" w:cs="Arial"/>
          <w:lang w:eastAsia="es-CO"/>
        </w:rPr>
        <w:t>Empresas Prestadoras De Servicios Públicos</w:t>
      </w:r>
      <w:r w:rsidRPr="00B92D93">
        <w:rPr>
          <w:rFonts w:ascii="Verdana" w:eastAsia="Arial" w:hAnsi="Verdana" w:cs="Arial"/>
          <w:lang w:eastAsia="es-CO"/>
        </w:rPr>
        <w:t xml:space="preserve">, de carácter mixto no deben ser consideradas como </w:t>
      </w:r>
      <w:r w:rsidR="00B92D93" w:rsidRPr="00B92D93">
        <w:rPr>
          <w:rFonts w:ascii="Verdana" w:eastAsia="Arial" w:hAnsi="Verdana" w:cs="Arial"/>
          <w:lang w:eastAsia="es-CO"/>
        </w:rPr>
        <w:t xml:space="preserve">Sociedades </w:t>
      </w:r>
      <w:r w:rsidRPr="00B92D93">
        <w:rPr>
          <w:rFonts w:ascii="Verdana" w:eastAsia="Arial" w:hAnsi="Verdana" w:cs="Arial"/>
          <w:lang w:eastAsia="es-CO"/>
        </w:rPr>
        <w:t xml:space="preserve">de </w:t>
      </w:r>
      <w:r w:rsidR="00B92D93" w:rsidRPr="00B92D93">
        <w:rPr>
          <w:rFonts w:ascii="Verdana" w:eastAsia="Arial" w:hAnsi="Verdana" w:cs="Arial"/>
          <w:lang w:eastAsia="es-CO"/>
        </w:rPr>
        <w:t>Economía Mixta</w:t>
      </w:r>
      <w:r w:rsidRPr="00B92D93">
        <w:rPr>
          <w:rFonts w:ascii="Verdana" w:eastAsia="Arial" w:hAnsi="Verdana" w:cs="Arial"/>
          <w:lang w:eastAsia="es-CO"/>
        </w:rPr>
        <w:t>. La anterior conclusión fue fundamentada sobre la idea del carácter o naturaleza especial que la Constitución le dio a las Empresas de Servicios Públicos:</w:t>
      </w:r>
    </w:p>
    <w:p w14:paraId="173BA4EE" w14:textId="77777777" w:rsidR="000738FC" w:rsidRPr="00872A1B" w:rsidRDefault="000738FC" w:rsidP="00872A1B">
      <w:pPr>
        <w:widowControl w:val="0"/>
        <w:spacing w:after="0" w:line="276" w:lineRule="auto"/>
        <w:rPr>
          <w:rFonts w:ascii="Verdana" w:eastAsia="Arial" w:hAnsi="Verdana" w:cs="Arial"/>
          <w:lang w:eastAsia="es-CO"/>
        </w:rPr>
      </w:pPr>
    </w:p>
    <w:p w14:paraId="6632FCCD" w14:textId="77777777" w:rsidR="000738FC" w:rsidRPr="001272A0" w:rsidRDefault="000738FC" w:rsidP="000738FC">
      <w:pPr>
        <w:widowControl w:val="0"/>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4D19231B" w14:textId="77777777" w:rsidR="000738FC" w:rsidRPr="001272A0" w:rsidRDefault="000738FC" w:rsidP="000738FC">
      <w:pPr>
        <w:widowControl w:val="0"/>
        <w:spacing w:before="1" w:after="120"/>
        <w:ind w:left="709" w:right="709"/>
        <w:rPr>
          <w:rFonts w:ascii="Verdana" w:eastAsia="Calibri" w:hAnsi="Verdana" w:cs="Calibri"/>
          <w:sz w:val="20"/>
          <w:szCs w:val="20"/>
          <w:lang w:eastAsia="es-CO"/>
        </w:rPr>
      </w:pPr>
      <w:r w:rsidRPr="001272A0">
        <w:rPr>
          <w:rFonts w:ascii="Verdana" w:eastAsia="Arial" w:hAnsi="Verdana" w:cs="Arial"/>
          <w:sz w:val="20"/>
          <w:szCs w:val="20"/>
          <w:lang w:eastAsia="es-CO"/>
        </w:rPr>
        <w:t>[…]</w:t>
      </w:r>
    </w:p>
    <w:p w14:paraId="5864AC75" w14:textId="77777777" w:rsidR="000738FC" w:rsidRPr="001272A0" w:rsidRDefault="000738FC" w:rsidP="000738FC">
      <w:pPr>
        <w:widowControl w:val="0"/>
        <w:spacing w:before="1" w:after="0"/>
        <w:ind w:left="709" w:right="709"/>
        <w:jc w:val="both"/>
        <w:rPr>
          <w:rFonts w:ascii="Verdana" w:eastAsia="Arial" w:hAnsi="Verdana" w:cs="Arial"/>
          <w:sz w:val="20"/>
          <w:szCs w:val="20"/>
          <w:lang w:eastAsia="es-CO"/>
        </w:rPr>
      </w:pPr>
      <w:r w:rsidRPr="001272A0">
        <w:rPr>
          <w:rFonts w:ascii="Verdana" w:eastAsia="Arial" w:hAnsi="Verdana" w:cs="Arial"/>
          <w:sz w:val="20"/>
          <w:szCs w:val="20"/>
          <w:lang w:eastAsia="es-CO"/>
        </w:rPr>
        <w:t>Al parecer de la Corte, la interpretación según la cual las empresas de servicios públicos son sociedades de economía mixta resulta contraria a la Constitución. Ciertamente, según se dijo arriba, del artículo 365 superior se desprende que el régimen y la naturaleza jurídica de los prestadores de servicios públicos es especial; además, del numeral 7° del artículo 150 de la Carta, se extrae que el legislador está constitucionalmente autorizado para crear o autorizar la creación de “otras entidades del orden nacional”, distintas de los establecimientos públicos, las empresas comerciales e industriales de Estado y las sociedades de economía mixta</w:t>
      </w:r>
      <w:r w:rsidRPr="001272A0">
        <w:rPr>
          <w:rFonts w:ascii="Verdana" w:eastAsia="Arial" w:hAnsi="Verdana" w:cs="Arial"/>
          <w:sz w:val="20"/>
          <w:szCs w:val="20"/>
          <w:vertAlign w:val="superscript"/>
          <w:lang w:eastAsia="es-CO"/>
        </w:rPr>
        <w:footnoteReference w:id="5"/>
      </w:r>
      <w:r w:rsidRPr="001272A0">
        <w:rPr>
          <w:rFonts w:ascii="Verdana" w:eastAsia="Arial" w:hAnsi="Verdana" w:cs="Arial"/>
          <w:sz w:val="20"/>
          <w:szCs w:val="20"/>
          <w:lang w:eastAsia="es-CO"/>
        </w:rPr>
        <w:t>.</w:t>
      </w:r>
    </w:p>
    <w:p w14:paraId="2938E2B1" w14:textId="77777777" w:rsidR="000738FC" w:rsidRPr="00872A1B" w:rsidRDefault="000738FC" w:rsidP="00872A1B">
      <w:pPr>
        <w:widowControl w:val="0"/>
        <w:spacing w:after="0"/>
        <w:rPr>
          <w:rFonts w:ascii="Verdana" w:eastAsia="Arial" w:hAnsi="Verdana" w:cs="Arial"/>
          <w:lang w:eastAsia="es-CO"/>
        </w:rPr>
      </w:pPr>
    </w:p>
    <w:p w14:paraId="065D6025" w14:textId="34103A20" w:rsidR="000738FC" w:rsidRPr="004825F3" w:rsidRDefault="000738FC" w:rsidP="00872A1B">
      <w:pPr>
        <w:pStyle w:val="Prrafodelista"/>
        <w:tabs>
          <w:tab w:val="left" w:pos="284"/>
        </w:tabs>
        <w:spacing w:after="120" w:line="276" w:lineRule="auto"/>
        <w:ind w:left="0" w:firstLine="567"/>
        <w:contextualSpacing w:val="0"/>
        <w:jc w:val="both"/>
        <w:rPr>
          <w:rFonts w:ascii="Verdana" w:eastAsia="Arial" w:hAnsi="Verdana" w:cs="Arial"/>
          <w:lang w:eastAsia="es-CO"/>
        </w:rPr>
      </w:pPr>
      <w:r w:rsidRPr="004825F3">
        <w:rPr>
          <w:rFonts w:ascii="Verdana" w:eastAsia="Arial" w:hAnsi="Verdana" w:cs="Arial"/>
          <w:lang w:eastAsia="es-CO"/>
        </w:rPr>
        <w:lastRenderedPageBreak/>
        <w:tab/>
        <w:t xml:space="preserve">Así las cosas, es impreciso afirmar que existen </w:t>
      </w:r>
      <w:r w:rsidR="00D204AD" w:rsidRPr="004825F3">
        <w:rPr>
          <w:rFonts w:ascii="Verdana" w:eastAsia="Arial" w:hAnsi="Verdana" w:cs="Arial"/>
          <w:lang w:eastAsia="es-CO"/>
        </w:rPr>
        <w:t xml:space="preserve">Empresas </w:t>
      </w:r>
      <w:r w:rsidRPr="004825F3">
        <w:rPr>
          <w:rFonts w:ascii="Verdana" w:eastAsia="Arial" w:hAnsi="Verdana" w:cs="Arial"/>
          <w:lang w:eastAsia="es-CO"/>
        </w:rPr>
        <w:t xml:space="preserve">de </w:t>
      </w:r>
      <w:r w:rsidR="00D204AD" w:rsidRPr="004825F3">
        <w:rPr>
          <w:rFonts w:ascii="Verdana" w:eastAsia="Arial" w:hAnsi="Verdana" w:cs="Arial"/>
          <w:lang w:eastAsia="es-CO"/>
        </w:rPr>
        <w:t>Servicios Públicos</w:t>
      </w:r>
      <w:r w:rsidRPr="004825F3">
        <w:rPr>
          <w:rFonts w:ascii="Verdana" w:eastAsia="Arial" w:hAnsi="Verdana" w:cs="Arial"/>
          <w:lang w:eastAsia="es-CO"/>
        </w:rPr>
        <w:t xml:space="preserve">, cuya naturaleza jurídica es de </w:t>
      </w:r>
      <w:r w:rsidR="00D204AD" w:rsidRPr="004825F3">
        <w:rPr>
          <w:rFonts w:ascii="Verdana" w:eastAsia="Arial" w:hAnsi="Verdana" w:cs="Arial"/>
          <w:lang w:eastAsia="es-CO"/>
        </w:rPr>
        <w:t xml:space="preserve">Sociedad </w:t>
      </w:r>
      <w:r w:rsidRPr="004825F3">
        <w:rPr>
          <w:rFonts w:ascii="Verdana" w:eastAsia="Arial" w:hAnsi="Verdana" w:cs="Arial"/>
          <w:lang w:eastAsia="es-CO"/>
        </w:rPr>
        <w:t xml:space="preserve">de </w:t>
      </w:r>
      <w:r w:rsidR="00D204AD" w:rsidRPr="004825F3">
        <w:rPr>
          <w:rFonts w:ascii="Verdana" w:eastAsia="Arial" w:hAnsi="Verdana" w:cs="Arial"/>
          <w:lang w:eastAsia="es-CO"/>
        </w:rPr>
        <w:t>Economía M</w:t>
      </w:r>
      <w:r w:rsidRPr="004825F3">
        <w:rPr>
          <w:rFonts w:ascii="Verdana" w:eastAsia="Arial" w:hAnsi="Verdana" w:cs="Arial"/>
          <w:lang w:eastAsia="es-CO"/>
        </w:rPr>
        <w:t xml:space="preserve">ixta, toda vez que, como quedó visto, las </w:t>
      </w:r>
      <w:r w:rsidR="00D204AD" w:rsidRPr="004825F3">
        <w:rPr>
          <w:rFonts w:ascii="Verdana" w:eastAsia="Arial" w:hAnsi="Verdana" w:cs="Arial"/>
          <w:lang w:eastAsia="es-CO"/>
        </w:rPr>
        <w:t xml:space="preserve">Empresas </w:t>
      </w:r>
      <w:r w:rsidRPr="004825F3">
        <w:rPr>
          <w:rFonts w:ascii="Verdana" w:eastAsia="Arial" w:hAnsi="Verdana" w:cs="Arial"/>
          <w:lang w:eastAsia="es-CO"/>
        </w:rPr>
        <w:t xml:space="preserve">de </w:t>
      </w:r>
      <w:r w:rsidR="00D204AD" w:rsidRPr="004825F3">
        <w:rPr>
          <w:rFonts w:ascii="Verdana" w:eastAsia="Arial" w:hAnsi="Verdana" w:cs="Arial"/>
          <w:lang w:eastAsia="es-CO"/>
        </w:rPr>
        <w:t xml:space="preserve">Servicios Públicos </w:t>
      </w:r>
      <w:r w:rsidRPr="004825F3">
        <w:rPr>
          <w:rFonts w:ascii="Verdana" w:eastAsia="Arial" w:hAnsi="Verdana" w:cs="Arial"/>
          <w:lang w:eastAsia="es-CO"/>
        </w:rPr>
        <w:t xml:space="preserve">tienen una naturaleza jurídica especial que viene dada directamente por el artículo 356 de la Constitución Política. El hecho de que su composición accionaria esté compartida por recursos públicos y privados no la convierte en </w:t>
      </w:r>
      <w:r w:rsidR="00D204AD" w:rsidRPr="004825F3">
        <w:rPr>
          <w:rFonts w:ascii="Verdana" w:eastAsia="Arial" w:hAnsi="Verdana" w:cs="Arial"/>
          <w:lang w:eastAsia="es-CO"/>
        </w:rPr>
        <w:t xml:space="preserve">Sociedad </w:t>
      </w:r>
      <w:r w:rsidRPr="004825F3">
        <w:rPr>
          <w:rFonts w:ascii="Verdana" w:eastAsia="Arial" w:hAnsi="Verdana" w:cs="Arial"/>
          <w:lang w:eastAsia="es-CO"/>
        </w:rPr>
        <w:t xml:space="preserve">de </w:t>
      </w:r>
      <w:r w:rsidR="00D204AD" w:rsidRPr="004825F3">
        <w:rPr>
          <w:rFonts w:ascii="Verdana" w:eastAsia="Arial" w:hAnsi="Verdana" w:cs="Arial"/>
          <w:lang w:eastAsia="es-CO"/>
        </w:rPr>
        <w:t>Economía Mixta</w:t>
      </w:r>
      <w:r w:rsidRPr="004825F3">
        <w:rPr>
          <w:rFonts w:ascii="Verdana" w:eastAsia="Arial" w:hAnsi="Verdana" w:cs="Arial"/>
          <w:lang w:eastAsia="es-CO"/>
        </w:rPr>
        <w:t xml:space="preserve">, pues las </w:t>
      </w:r>
      <w:r w:rsidR="00D204AD" w:rsidRPr="004825F3">
        <w:rPr>
          <w:rFonts w:ascii="Verdana" w:eastAsia="Arial" w:hAnsi="Verdana" w:cs="Arial"/>
          <w:lang w:eastAsia="es-CO"/>
        </w:rPr>
        <w:t xml:space="preserve">Empresas </w:t>
      </w:r>
      <w:r w:rsidRPr="004825F3">
        <w:rPr>
          <w:rFonts w:ascii="Verdana" w:eastAsia="Arial" w:hAnsi="Verdana" w:cs="Arial"/>
          <w:lang w:eastAsia="es-CO"/>
        </w:rPr>
        <w:t xml:space="preserve">de </w:t>
      </w:r>
      <w:r w:rsidR="00D204AD" w:rsidRPr="004825F3">
        <w:rPr>
          <w:rFonts w:ascii="Verdana" w:eastAsia="Arial" w:hAnsi="Verdana" w:cs="Arial"/>
          <w:lang w:eastAsia="es-CO"/>
        </w:rPr>
        <w:t xml:space="preserve">Servicios Públicos </w:t>
      </w:r>
      <w:r w:rsidRPr="004825F3">
        <w:rPr>
          <w:rFonts w:ascii="Verdana" w:eastAsia="Arial" w:hAnsi="Verdana" w:cs="Arial"/>
          <w:lang w:eastAsia="es-CO"/>
        </w:rPr>
        <w:t xml:space="preserve">tienen su clasificación propia dependiendo de la composición de su capital accionario: </w:t>
      </w:r>
      <w:r w:rsidR="00D204AD" w:rsidRPr="004825F3">
        <w:rPr>
          <w:rFonts w:ascii="Verdana" w:eastAsia="Arial" w:hAnsi="Verdana" w:cs="Arial"/>
          <w:lang w:eastAsia="es-CO"/>
        </w:rPr>
        <w:t xml:space="preserve">Empresas </w:t>
      </w:r>
      <w:r w:rsidRPr="004825F3">
        <w:rPr>
          <w:rFonts w:ascii="Verdana" w:eastAsia="Arial" w:hAnsi="Verdana" w:cs="Arial"/>
          <w:lang w:eastAsia="es-CO"/>
        </w:rPr>
        <w:t xml:space="preserve">de </w:t>
      </w:r>
      <w:r w:rsidR="00D204AD" w:rsidRPr="004825F3">
        <w:rPr>
          <w:rFonts w:ascii="Verdana" w:eastAsia="Arial" w:hAnsi="Verdana" w:cs="Arial"/>
          <w:lang w:eastAsia="es-CO"/>
        </w:rPr>
        <w:t xml:space="preserve">Servicios Públicos </w:t>
      </w:r>
      <w:r w:rsidRPr="004825F3">
        <w:rPr>
          <w:rFonts w:ascii="Verdana" w:eastAsia="Arial" w:hAnsi="Verdana" w:cs="Arial"/>
          <w:lang w:eastAsia="es-CO"/>
        </w:rPr>
        <w:t>oficiales, mixtas y privadas. Ahora, sin importar su clasificación, todas hacen parte de la Rama Ejecutiva, del sector descentralizado por servicios.</w:t>
      </w:r>
    </w:p>
    <w:p w14:paraId="60A807F1" w14:textId="21A3C361" w:rsidR="000738FC" w:rsidRPr="004825F3" w:rsidRDefault="000738FC" w:rsidP="00872A1B">
      <w:pPr>
        <w:spacing w:after="120" w:line="276" w:lineRule="auto"/>
        <w:ind w:firstLine="709"/>
        <w:jc w:val="both"/>
        <w:rPr>
          <w:rFonts w:ascii="Verdana" w:eastAsia="Calibri" w:hAnsi="Verdana" w:cs="Arial"/>
          <w:color w:val="000000" w:themeColor="text1"/>
          <w:lang w:val="es-ES_tradnl" w:eastAsia="es-ES_tradnl"/>
        </w:rPr>
      </w:pPr>
      <w:r w:rsidRPr="004825F3">
        <w:rPr>
          <w:rFonts w:ascii="Verdana" w:eastAsia="Calibri" w:hAnsi="Verdana" w:cs="Arial"/>
          <w:color w:val="000000" w:themeColor="text1"/>
          <w:lang w:val="es-ES_tradnl" w:eastAsia="es-ES_tradnl"/>
        </w:rPr>
        <w:t>En lo que atañe específicamente al régimen de contratación, el artículo 31 de la Ley 142 de 1994, modificado por el artículo 3 de la Ley 689 de 2001, dispone que</w:t>
      </w:r>
      <w:r w:rsidRPr="004825F3">
        <w:rPr>
          <w:rFonts w:ascii="Verdana" w:hAnsi="Verdana" w:cs="Arial"/>
          <w:color w:val="000000"/>
          <w:bdr w:val="none" w:sz="0" w:space="0" w:color="auto" w:frame="1"/>
        </w:rPr>
        <w:t xml:space="preserve"> los contratos que celebren las entidades estatales que prestan los </w:t>
      </w:r>
      <w:r w:rsidR="004825F3" w:rsidRPr="004825F3">
        <w:rPr>
          <w:rFonts w:ascii="Verdana" w:hAnsi="Verdana" w:cs="Arial"/>
          <w:color w:val="000000"/>
          <w:bdr w:val="none" w:sz="0" w:space="0" w:color="auto" w:frame="1"/>
        </w:rPr>
        <w:t xml:space="preserve">Servicios Públicos Domiciliarios </w:t>
      </w:r>
      <w:r w:rsidRPr="004825F3">
        <w:rPr>
          <w:rFonts w:ascii="Verdana" w:hAnsi="Verdana" w:cs="Arial"/>
          <w:i/>
          <w:color w:val="000000"/>
          <w:bdr w:val="none" w:sz="0" w:space="0" w:color="auto" w:frame="1"/>
        </w:rPr>
        <w:t>“no estarán sujetos a las disposiciones del Estatuto General de Contratación de la Administración Pública, salvo en lo que la presente ley disponga otra cosa”</w:t>
      </w:r>
      <w:r w:rsidRPr="004825F3">
        <w:rPr>
          <w:rFonts w:ascii="Verdana" w:eastAsia="Calibri" w:hAnsi="Verdana" w:cs="Arial"/>
          <w:color w:val="000000" w:themeColor="text1"/>
          <w:lang w:val="es-ES_tradnl" w:eastAsia="es-ES_tradnl"/>
        </w:rPr>
        <w:t>. Por su parte, el artículo 32 de la Ley 142 consagra el régimen de derecho privado para las empresas de servicios públicos domiciliarios, indicando que sus actos se rigen por los principios y reglas aplicables a los particulares</w:t>
      </w:r>
      <w:r w:rsidRPr="004825F3">
        <w:rPr>
          <w:rFonts w:ascii="Verdana" w:eastAsia="Calibri" w:hAnsi="Verdana" w:cs="Arial"/>
          <w:color w:val="000000" w:themeColor="text1"/>
          <w:vertAlign w:val="superscript"/>
          <w:lang w:val="es-ES_tradnl" w:eastAsia="es-ES_tradnl"/>
        </w:rPr>
        <w:footnoteReference w:id="6"/>
      </w:r>
      <w:r w:rsidRPr="004825F3">
        <w:rPr>
          <w:rFonts w:ascii="Verdana" w:eastAsia="Calibri" w:hAnsi="Verdana" w:cs="Arial"/>
          <w:color w:val="000000" w:themeColor="text1"/>
          <w:lang w:val="es-ES_tradnl" w:eastAsia="es-ES_tradnl"/>
        </w:rPr>
        <w:t>.</w:t>
      </w:r>
    </w:p>
    <w:p w14:paraId="22837CBD" w14:textId="6714AA2B" w:rsidR="00A963E5" w:rsidRDefault="000738FC" w:rsidP="004825F3">
      <w:pPr>
        <w:spacing w:after="120" w:line="276" w:lineRule="auto"/>
        <w:ind w:firstLine="709"/>
        <w:jc w:val="both"/>
        <w:rPr>
          <w:rFonts w:ascii="Verdana" w:eastAsia="Calibri" w:hAnsi="Verdana" w:cs="Arial"/>
          <w:color w:val="000000" w:themeColor="text1"/>
          <w:lang w:val="es-ES" w:eastAsia="es-ES"/>
        </w:rPr>
      </w:pPr>
      <w:r w:rsidRPr="004825F3">
        <w:rPr>
          <w:rFonts w:ascii="Verdana" w:eastAsia="Calibri" w:hAnsi="Verdana" w:cs="Arial"/>
          <w:color w:val="000000" w:themeColor="text1"/>
          <w:lang w:val="es-ES" w:eastAsia="es-ES"/>
        </w:rPr>
        <w:t xml:space="preserve">En consecuencia, de la lectura sistemática de las normas referidas puede concluirse que el régimen jurídico que, por regla general, debe aplicarse a la contratación que efectúan las </w:t>
      </w:r>
      <w:r w:rsidR="00341F1C" w:rsidRPr="004825F3">
        <w:rPr>
          <w:rFonts w:ascii="Verdana" w:eastAsia="Calibri" w:hAnsi="Verdana" w:cs="Arial"/>
          <w:color w:val="000000" w:themeColor="text1"/>
          <w:lang w:val="es-ES" w:eastAsia="es-ES"/>
        </w:rPr>
        <w:t xml:space="preserve">Empresas Prestadoras </w:t>
      </w:r>
      <w:r w:rsidRPr="004825F3">
        <w:rPr>
          <w:rFonts w:ascii="Verdana" w:eastAsia="Calibri" w:hAnsi="Verdana" w:cs="Arial"/>
          <w:color w:val="000000" w:themeColor="text1"/>
          <w:lang w:val="es-ES" w:eastAsia="es-ES"/>
        </w:rPr>
        <w:t xml:space="preserve">de </w:t>
      </w:r>
      <w:r w:rsidR="00341F1C" w:rsidRPr="004825F3">
        <w:rPr>
          <w:rFonts w:ascii="Verdana" w:eastAsia="Calibri" w:hAnsi="Verdana" w:cs="Arial"/>
          <w:color w:val="000000" w:themeColor="text1"/>
          <w:lang w:val="es-ES" w:eastAsia="es-ES"/>
        </w:rPr>
        <w:t>Servicios Públicos Domiciliarios</w:t>
      </w:r>
      <w:r w:rsidRPr="004825F3">
        <w:rPr>
          <w:rFonts w:ascii="Verdana" w:eastAsia="Calibri" w:hAnsi="Verdana" w:cs="Arial"/>
          <w:color w:val="000000" w:themeColor="text1"/>
          <w:lang w:val="es-ES" w:eastAsia="es-ES"/>
        </w:rPr>
        <w:t xml:space="preserve"> es el derecho privado y solo</w:t>
      </w:r>
      <w:r w:rsidR="003F3C33">
        <w:rPr>
          <w:rFonts w:ascii="Verdana" w:eastAsia="Calibri" w:hAnsi="Verdana" w:cs="Arial"/>
          <w:color w:val="000000" w:themeColor="text1"/>
          <w:lang w:val="es-ES" w:eastAsia="es-ES"/>
        </w:rPr>
        <w:t>,</w:t>
      </w:r>
      <w:r w:rsidRPr="004825F3">
        <w:rPr>
          <w:rFonts w:ascii="Verdana" w:eastAsia="Calibri" w:hAnsi="Verdana" w:cs="Arial"/>
          <w:color w:val="000000" w:themeColor="text1"/>
          <w:lang w:val="es-ES" w:eastAsia="es-ES"/>
        </w:rPr>
        <w:t xml:space="preserve"> excepcionalmente</w:t>
      </w:r>
      <w:r w:rsidR="003F3C33">
        <w:rPr>
          <w:rFonts w:ascii="Verdana" w:eastAsia="Calibri" w:hAnsi="Verdana" w:cs="Arial"/>
          <w:color w:val="000000" w:themeColor="text1"/>
          <w:lang w:val="es-ES" w:eastAsia="es-ES"/>
        </w:rPr>
        <w:t>,</w:t>
      </w:r>
      <w:r w:rsidRPr="004825F3">
        <w:rPr>
          <w:rFonts w:ascii="Verdana" w:eastAsia="Calibri" w:hAnsi="Verdana" w:cs="Arial"/>
          <w:color w:val="000000" w:themeColor="text1"/>
          <w:lang w:val="es-ES" w:eastAsia="es-ES"/>
        </w:rPr>
        <w:t xml:space="preserve"> el contenido en el Estatuto General de Contratación de la Administración Pública</w:t>
      </w:r>
      <w:r w:rsidRPr="00872A1B">
        <w:rPr>
          <w:rFonts w:ascii="Verdana" w:eastAsia="Calibri" w:hAnsi="Verdana" w:cs="Arial"/>
          <w:color w:val="000000" w:themeColor="text1"/>
          <w:vertAlign w:val="superscript"/>
          <w:lang w:val="es-ES" w:eastAsia="es-ES"/>
        </w:rPr>
        <w:footnoteReference w:id="7"/>
      </w:r>
      <w:r w:rsidRPr="00872A1B">
        <w:rPr>
          <w:rFonts w:ascii="Verdana" w:eastAsia="Calibri" w:hAnsi="Verdana" w:cs="Arial"/>
          <w:color w:val="000000" w:themeColor="text1"/>
          <w:lang w:val="es-ES" w:eastAsia="es-ES"/>
        </w:rPr>
        <w:t>.</w:t>
      </w:r>
      <w:r w:rsidRPr="004825F3">
        <w:rPr>
          <w:rFonts w:ascii="Verdana" w:eastAsia="Calibri" w:hAnsi="Verdana" w:cs="Arial"/>
          <w:color w:val="000000" w:themeColor="text1"/>
          <w:lang w:val="es-ES" w:eastAsia="es-ES"/>
        </w:rPr>
        <w:t xml:space="preserve"> En otras palabras, </w:t>
      </w:r>
      <w:bookmarkStart w:id="2" w:name="_Hlk71653647"/>
      <w:r w:rsidRPr="004825F3">
        <w:rPr>
          <w:rFonts w:ascii="Verdana" w:eastAsia="Calibri" w:hAnsi="Verdana" w:cs="Arial"/>
          <w:color w:val="000000" w:themeColor="text1"/>
          <w:lang w:val="es-ES" w:eastAsia="es-ES"/>
        </w:rPr>
        <w:t xml:space="preserve">las </w:t>
      </w:r>
      <w:r w:rsidR="00A963E5" w:rsidRPr="004825F3">
        <w:rPr>
          <w:rFonts w:ascii="Verdana" w:eastAsia="Calibri" w:hAnsi="Verdana" w:cs="Arial"/>
          <w:color w:val="000000" w:themeColor="text1"/>
          <w:lang w:val="es-ES" w:eastAsia="es-ES"/>
        </w:rPr>
        <w:t xml:space="preserve">Empresas Prestadoras </w:t>
      </w:r>
      <w:r w:rsidRPr="004825F3">
        <w:rPr>
          <w:rFonts w:ascii="Verdana" w:eastAsia="Calibri" w:hAnsi="Verdana" w:cs="Arial"/>
          <w:color w:val="000000" w:themeColor="text1"/>
          <w:lang w:val="es-ES" w:eastAsia="es-ES"/>
        </w:rPr>
        <w:t xml:space="preserve">de </w:t>
      </w:r>
      <w:r w:rsidR="00A963E5" w:rsidRPr="004825F3">
        <w:rPr>
          <w:rFonts w:ascii="Verdana" w:eastAsia="Calibri" w:hAnsi="Verdana" w:cs="Arial"/>
          <w:color w:val="000000" w:themeColor="text1"/>
          <w:lang w:val="es-ES" w:eastAsia="es-ES"/>
        </w:rPr>
        <w:t xml:space="preserve">Servicios Públicos Domiciliarios </w:t>
      </w:r>
      <w:bookmarkStart w:id="3" w:name="_Hlk71738505"/>
      <w:r w:rsidRPr="004825F3">
        <w:rPr>
          <w:rFonts w:ascii="Verdana" w:eastAsia="Calibri" w:hAnsi="Verdana" w:cs="Arial"/>
          <w:color w:val="000000" w:themeColor="text1"/>
          <w:lang w:val="es-ES" w:eastAsia="es-ES"/>
        </w:rPr>
        <w:t xml:space="preserve">se </w:t>
      </w:r>
      <w:r w:rsidRPr="004825F3">
        <w:rPr>
          <w:rFonts w:ascii="Verdana" w:eastAsia="Calibri" w:hAnsi="Verdana" w:cs="Arial"/>
          <w:color w:val="000000" w:themeColor="text1"/>
          <w:lang w:val="es-ES" w:eastAsia="es-ES"/>
        </w:rPr>
        <w:lastRenderedPageBreak/>
        <w:t xml:space="preserve">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 Ley 1150 de 2007 y demás normas complementarias. </w:t>
      </w:r>
      <w:bookmarkEnd w:id="2"/>
      <w:bookmarkEnd w:id="3"/>
    </w:p>
    <w:p w14:paraId="2945950C" w14:textId="7E1DE651" w:rsidR="000738FC" w:rsidRPr="0084029A" w:rsidRDefault="00F35D59" w:rsidP="00872A1B">
      <w:pPr>
        <w:spacing w:after="120" w:line="276" w:lineRule="auto"/>
        <w:ind w:firstLine="709"/>
        <w:jc w:val="both"/>
        <w:rPr>
          <w:rFonts w:ascii="Verdana" w:eastAsia="Calibri" w:hAnsi="Verdana" w:cs="Arial"/>
          <w:color w:val="000000" w:themeColor="text1"/>
          <w:lang w:val="es-ES_tradnl" w:eastAsia="es-ES_tradnl"/>
        </w:rPr>
      </w:pPr>
      <w:r w:rsidRPr="0084029A">
        <w:rPr>
          <w:rFonts w:ascii="Verdana" w:eastAsia="Calibri" w:hAnsi="Verdana" w:cs="Arial"/>
          <w:color w:val="000000" w:themeColor="text1"/>
          <w:lang w:val="es-ES_tradnl" w:eastAsia="es-ES_tradnl"/>
        </w:rPr>
        <w:t xml:space="preserve">Lo anterior </w:t>
      </w:r>
      <w:r w:rsidR="000738FC" w:rsidRPr="0084029A">
        <w:rPr>
          <w:rFonts w:ascii="Verdana" w:eastAsia="Calibri" w:hAnsi="Verdana" w:cs="Arial"/>
          <w:color w:val="000000" w:themeColor="text1"/>
          <w:lang w:val="es-ES_tradnl" w:eastAsia="es-ES_tradnl"/>
        </w:rPr>
        <w:t xml:space="preserve">no significa que la actividad contractual de las </w:t>
      </w:r>
      <w:r w:rsidR="0031483C" w:rsidRPr="0084029A">
        <w:rPr>
          <w:rFonts w:ascii="Verdana" w:eastAsia="Calibri" w:hAnsi="Verdana" w:cs="Arial"/>
          <w:color w:val="000000" w:themeColor="text1"/>
          <w:lang w:val="es-ES_tradnl" w:eastAsia="es-ES_tradnl"/>
        </w:rPr>
        <w:t xml:space="preserve">Empresas Prestadoras de Servicios Públicos Domiciliarios </w:t>
      </w:r>
      <w:r w:rsidR="000738FC" w:rsidRPr="0084029A">
        <w:rPr>
          <w:rFonts w:ascii="Verdana" w:eastAsia="Calibri" w:hAnsi="Verdana" w:cs="Arial"/>
          <w:color w:val="000000" w:themeColor="text1"/>
          <w:lang w:val="es-ES_tradnl" w:eastAsia="es-ES_tradnl"/>
        </w:rPr>
        <w:t xml:space="preserve">se rija por un “derecho privado puro”, pues este se encuentra irrigado, entre otras cosas, por los principios de la función administrativa y de la gestión fiscal, previstos en los artículos 209 y 267 de la Constitución, </w:t>
      </w:r>
      <w:r w:rsidR="000378BC" w:rsidRPr="0084029A">
        <w:rPr>
          <w:rFonts w:ascii="Verdana" w:eastAsia="Calibri" w:hAnsi="Verdana" w:cs="Arial"/>
          <w:color w:val="000000" w:themeColor="text1"/>
          <w:lang w:val="es-ES_tradnl" w:eastAsia="es-ES_tradnl"/>
        </w:rPr>
        <w:t>conforme lo</w:t>
      </w:r>
      <w:r w:rsidR="000738FC" w:rsidRPr="0084029A">
        <w:rPr>
          <w:rFonts w:ascii="Verdana" w:eastAsia="Calibri" w:hAnsi="Verdana" w:cs="Arial"/>
          <w:color w:val="000000" w:themeColor="text1"/>
          <w:lang w:val="es-ES_tradnl" w:eastAsia="es-ES_tradnl"/>
        </w:rPr>
        <w:t xml:space="preserve"> disp</w:t>
      </w:r>
      <w:r w:rsidR="000378BC" w:rsidRPr="0084029A">
        <w:rPr>
          <w:rFonts w:ascii="Verdana" w:eastAsia="Calibri" w:hAnsi="Verdana" w:cs="Arial"/>
          <w:color w:val="000000" w:themeColor="text1"/>
          <w:lang w:val="es-ES_tradnl" w:eastAsia="es-ES_tradnl"/>
        </w:rPr>
        <w:t>uest</w:t>
      </w:r>
      <w:r w:rsidR="000738FC" w:rsidRPr="0084029A">
        <w:rPr>
          <w:rFonts w:ascii="Verdana" w:eastAsia="Calibri" w:hAnsi="Verdana" w:cs="Arial"/>
          <w:color w:val="000000" w:themeColor="text1"/>
          <w:lang w:val="es-ES_tradnl" w:eastAsia="es-ES_tradnl"/>
        </w:rPr>
        <w:t>o el artículo 13 de la Ley 1150 de 2007</w:t>
      </w:r>
      <w:r w:rsidR="000738FC" w:rsidRPr="0084029A">
        <w:rPr>
          <w:rFonts w:ascii="Verdana" w:eastAsia="Calibri" w:hAnsi="Verdana" w:cs="Arial"/>
          <w:color w:val="000000" w:themeColor="text1"/>
          <w:vertAlign w:val="superscript"/>
          <w:lang w:val="es-ES_tradnl" w:eastAsia="es-ES_tradnl"/>
        </w:rPr>
        <w:footnoteReference w:id="8"/>
      </w:r>
      <w:r w:rsidR="000738FC" w:rsidRPr="0084029A">
        <w:rPr>
          <w:rFonts w:ascii="Verdana" w:eastAsia="Calibri" w:hAnsi="Verdana" w:cs="Arial"/>
          <w:color w:val="000000" w:themeColor="text1"/>
          <w:lang w:val="es-ES_tradnl" w:eastAsia="es-ES_tradnl"/>
        </w:rPr>
        <w:t>.</w:t>
      </w:r>
    </w:p>
    <w:p w14:paraId="6D73C7CC" w14:textId="0151C82D" w:rsidR="000738FC" w:rsidRPr="0084029A" w:rsidRDefault="00C74073" w:rsidP="0084029A">
      <w:pPr>
        <w:spacing w:after="120" w:line="276" w:lineRule="auto"/>
        <w:ind w:firstLine="709"/>
        <w:jc w:val="both"/>
        <w:rPr>
          <w:rFonts w:ascii="Verdana" w:eastAsia="Calibri" w:hAnsi="Verdana" w:cstheme="majorHAnsi"/>
          <w:bCs/>
          <w:lang w:val="es-MX"/>
        </w:rPr>
      </w:pPr>
      <w:r w:rsidRPr="0084029A">
        <w:rPr>
          <w:rFonts w:ascii="Verdana" w:eastAsia="Calibri" w:hAnsi="Verdana" w:cs="Arial"/>
          <w:color w:val="000000" w:themeColor="text1"/>
          <w:lang w:val="es-ES_tradnl" w:eastAsia="es-ES_tradnl"/>
        </w:rPr>
        <w:t xml:space="preserve">Uno de </w:t>
      </w:r>
      <w:r w:rsidR="000738FC" w:rsidRPr="0084029A">
        <w:rPr>
          <w:rFonts w:ascii="Verdana" w:eastAsia="Calibri" w:hAnsi="Verdana" w:cs="Arial"/>
          <w:color w:val="000000" w:themeColor="text1"/>
          <w:lang w:val="es-ES_tradnl" w:eastAsia="es-ES_tradnl"/>
        </w:rPr>
        <w:t>los principales principios de la función administrativa</w:t>
      </w:r>
      <w:r w:rsidRPr="0084029A">
        <w:rPr>
          <w:rFonts w:ascii="Verdana" w:eastAsia="Calibri" w:hAnsi="Verdana" w:cs="Arial"/>
          <w:color w:val="000000" w:themeColor="text1"/>
          <w:lang w:val="es-ES_tradnl" w:eastAsia="es-ES_tradnl"/>
        </w:rPr>
        <w:t xml:space="preserve">, consagrado en el referido </w:t>
      </w:r>
      <w:r w:rsidR="000738FC" w:rsidRPr="0084029A">
        <w:rPr>
          <w:rFonts w:ascii="Verdana" w:eastAsia="Calibri" w:hAnsi="Verdana" w:cs="Arial"/>
          <w:color w:val="000000" w:themeColor="text1"/>
          <w:lang w:val="es-ES_tradnl" w:eastAsia="es-ES_tradnl"/>
        </w:rPr>
        <w:t xml:space="preserve">artículo 209 de la Constitución, que </w:t>
      </w:r>
      <w:r w:rsidR="00171AA5" w:rsidRPr="0084029A">
        <w:rPr>
          <w:rFonts w:ascii="Verdana" w:eastAsia="Calibri" w:hAnsi="Verdana" w:cs="Arial"/>
          <w:color w:val="000000" w:themeColor="text1"/>
          <w:lang w:val="es-ES_tradnl" w:eastAsia="es-ES_tradnl"/>
        </w:rPr>
        <w:t xml:space="preserve">orienta </w:t>
      </w:r>
      <w:r w:rsidR="000738FC" w:rsidRPr="0084029A">
        <w:rPr>
          <w:rFonts w:ascii="Verdana" w:eastAsia="Calibri" w:hAnsi="Verdana" w:cs="Arial"/>
          <w:color w:val="000000" w:themeColor="text1"/>
          <w:lang w:val="es-ES_tradnl" w:eastAsia="es-ES_tradnl"/>
        </w:rPr>
        <w:t xml:space="preserve">la actividad contractual de las </w:t>
      </w:r>
      <w:r w:rsidR="00171AA5" w:rsidRPr="0084029A">
        <w:rPr>
          <w:rFonts w:ascii="Verdana" w:eastAsia="Calibri" w:hAnsi="Verdana" w:cs="Arial"/>
          <w:color w:val="000000" w:themeColor="text1"/>
          <w:lang w:val="es-ES_tradnl" w:eastAsia="es-ES_tradnl"/>
        </w:rPr>
        <w:t xml:space="preserve">Empresas </w:t>
      </w:r>
      <w:r w:rsidR="000738FC" w:rsidRPr="0084029A">
        <w:rPr>
          <w:rFonts w:ascii="Verdana" w:eastAsia="Calibri" w:hAnsi="Verdana" w:cs="Arial"/>
          <w:color w:val="000000" w:themeColor="text1"/>
          <w:lang w:val="es-ES_tradnl" w:eastAsia="es-ES_tradnl"/>
        </w:rPr>
        <w:t xml:space="preserve">de </w:t>
      </w:r>
      <w:r w:rsidR="00171AA5" w:rsidRPr="0084029A">
        <w:rPr>
          <w:rFonts w:ascii="Verdana" w:eastAsia="Calibri" w:hAnsi="Verdana" w:cs="Arial"/>
          <w:color w:val="000000" w:themeColor="text1"/>
          <w:lang w:val="es-ES_tradnl" w:eastAsia="es-ES_tradnl"/>
        </w:rPr>
        <w:t>Servicios Públicos</w:t>
      </w:r>
      <w:r w:rsidR="000738FC" w:rsidRPr="0084029A">
        <w:rPr>
          <w:rFonts w:ascii="Verdana" w:eastAsia="Calibri" w:hAnsi="Verdana" w:cs="Arial"/>
          <w:color w:val="000000" w:themeColor="text1"/>
          <w:lang w:val="es-ES_tradnl" w:eastAsia="es-ES_tradnl"/>
        </w:rPr>
        <w:t>, es el</w:t>
      </w:r>
      <w:r w:rsidR="00171AA5" w:rsidRPr="0084029A">
        <w:rPr>
          <w:rFonts w:ascii="Verdana" w:eastAsia="Calibri" w:hAnsi="Verdana" w:cs="Arial"/>
          <w:color w:val="000000" w:themeColor="text1"/>
          <w:lang w:val="es-ES_tradnl" w:eastAsia="es-ES_tradnl"/>
        </w:rPr>
        <w:t xml:space="preserve"> </w:t>
      </w:r>
      <w:r w:rsidR="00171AA5" w:rsidRPr="00872A1B">
        <w:rPr>
          <w:rFonts w:ascii="Verdana" w:eastAsia="Calibri" w:hAnsi="Verdana" w:cs="Arial"/>
          <w:i/>
          <w:iCs/>
          <w:color w:val="000000" w:themeColor="text1"/>
          <w:lang w:val="es-ES_tradnl" w:eastAsia="es-ES_tradnl"/>
        </w:rPr>
        <w:t>principio</w:t>
      </w:r>
      <w:r w:rsidR="000738FC" w:rsidRPr="00872A1B">
        <w:rPr>
          <w:rFonts w:ascii="Verdana" w:eastAsia="Calibri" w:hAnsi="Verdana" w:cs="Arial"/>
          <w:i/>
          <w:iCs/>
          <w:color w:val="000000" w:themeColor="text1"/>
          <w:lang w:val="es-ES_tradnl" w:eastAsia="es-ES_tradnl"/>
        </w:rPr>
        <w:t xml:space="preserve"> de publicidad</w:t>
      </w:r>
      <w:r w:rsidR="000738FC" w:rsidRPr="00872A1B">
        <w:rPr>
          <w:rFonts w:ascii="Verdana" w:eastAsia="Calibri" w:hAnsi="Verdana" w:cstheme="majorHAnsi"/>
          <w:bCs/>
          <w:vertAlign w:val="superscript"/>
          <w:lang w:val="es-MX"/>
        </w:rPr>
        <w:footnoteReference w:id="9"/>
      </w:r>
      <w:r w:rsidR="008026B7" w:rsidRPr="0084029A">
        <w:rPr>
          <w:rFonts w:ascii="Verdana" w:eastAsia="Calibri" w:hAnsi="Verdana" w:cs="Arial"/>
          <w:i/>
          <w:iCs/>
          <w:color w:val="000000" w:themeColor="text1"/>
          <w:lang w:val="es-ES_tradnl" w:eastAsia="es-ES_tradnl"/>
        </w:rPr>
        <w:t xml:space="preserve">, </w:t>
      </w:r>
      <w:r w:rsidR="008026B7" w:rsidRPr="0084029A">
        <w:rPr>
          <w:rFonts w:ascii="Verdana" w:eastAsia="Calibri" w:hAnsi="Verdana" w:cs="Arial"/>
          <w:color w:val="000000" w:themeColor="text1"/>
          <w:lang w:val="es-ES_tradnl" w:eastAsia="es-ES_tradnl"/>
        </w:rPr>
        <w:t>sobre el cual versa su consulta</w:t>
      </w:r>
      <w:r w:rsidR="000738FC" w:rsidRPr="00872A1B">
        <w:rPr>
          <w:rFonts w:ascii="Verdana" w:eastAsia="Calibri" w:hAnsi="Verdana" w:cstheme="majorHAnsi"/>
          <w:bCs/>
          <w:lang w:val="es-MX"/>
        </w:rPr>
        <w:t xml:space="preserve">. </w:t>
      </w:r>
      <w:r w:rsidR="000738FC" w:rsidRPr="0084029A">
        <w:rPr>
          <w:rFonts w:ascii="Verdana" w:eastAsia="Calibri" w:hAnsi="Verdana" w:cstheme="majorHAnsi"/>
          <w:bCs/>
          <w:lang w:val="es-MX"/>
        </w:rPr>
        <w:t xml:space="preserve">El principio de publicidad impone a las autoridades el deber de dar a conocer sus actos, contratos y decisiones, para que se divulguen y, eventualmente, se controlen dichas actuaciones. Es por eso </w:t>
      </w:r>
      <w:proofErr w:type="gramStart"/>
      <w:r w:rsidR="000738FC" w:rsidRPr="0084029A">
        <w:rPr>
          <w:rFonts w:ascii="Verdana" w:eastAsia="Calibri" w:hAnsi="Verdana" w:cstheme="majorHAnsi"/>
          <w:bCs/>
          <w:lang w:val="es-MX"/>
        </w:rPr>
        <w:t>que</w:t>
      </w:r>
      <w:proofErr w:type="gramEnd"/>
      <w:r w:rsidR="000738FC" w:rsidRPr="0084029A">
        <w:rPr>
          <w:rFonts w:ascii="Verdana" w:eastAsia="Calibri" w:hAnsi="Verdana" w:cstheme="majorHAnsi"/>
          <w:bCs/>
          <w:lang w:val="es-MX"/>
        </w:rPr>
        <w:t>, en materia de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000738FC" w:rsidRPr="0084029A">
        <w:rPr>
          <w:rFonts w:ascii="Verdana" w:eastAsia="Calibri" w:hAnsi="Verdana" w:cstheme="majorHAnsi"/>
          <w:bCs/>
          <w:vertAlign w:val="superscript"/>
          <w:lang w:val="es-MX"/>
        </w:rPr>
        <w:footnoteReference w:id="10"/>
      </w:r>
      <w:r w:rsidR="000738FC" w:rsidRPr="0084029A">
        <w:rPr>
          <w:rFonts w:ascii="Verdana" w:eastAsia="Calibri" w:hAnsi="Verdana" w:cstheme="majorHAnsi"/>
          <w:bCs/>
          <w:lang w:val="es-MX"/>
        </w:rPr>
        <w:t xml:space="preserve">. </w:t>
      </w:r>
    </w:p>
    <w:p w14:paraId="361BE262" w14:textId="7439F855" w:rsidR="003B3E22" w:rsidRPr="0084029A" w:rsidRDefault="000738FC" w:rsidP="00872A1B">
      <w:pPr>
        <w:spacing w:after="120" w:line="276" w:lineRule="auto"/>
        <w:ind w:firstLine="708"/>
        <w:jc w:val="both"/>
        <w:rPr>
          <w:rFonts w:ascii="Verdana" w:hAnsi="Verdana" w:cs="Arial"/>
          <w:bCs/>
        </w:rPr>
      </w:pPr>
      <w:r w:rsidRPr="0084029A">
        <w:rPr>
          <w:rFonts w:ascii="Verdana" w:eastAsia="Calibri" w:hAnsi="Verdana" w:cs="Arial"/>
          <w:lang w:val="es-ES" w:eastAsia="es-ES"/>
        </w:rPr>
        <w:lastRenderedPageBreak/>
        <w:t>En particular, tratándose del deber de publicación de las entidades estatales exceptuadas del Estatuto General de Contratación de la Administración Pública,</w:t>
      </w:r>
      <w:r w:rsidR="004D39C6" w:rsidRPr="0084029A">
        <w:rPr>
          <w:rFonts w:ascii="Verdana" w:eastAsia="Calibri" w:hAnsi="Verdana" w:cs="Arial"/>
          <w:lang w:val="es-ES" w:eastAsia="es-ES"/>
        </w:rPr>
        <w:t xml:space="preserve"> como es el caso de las Empresas Prestadoras de Servicios Públicos.</w:t>
      </w:r>
      <w:r w:rsidRPr="0084029A">
        <w:rPr>
          <w:rFonts w:ascii="Verdana" w:eastAsia="Calibri" w:hAnsi="Verdana" w:cs="Arial"/>
          <w:lang w:val="es-ES" w:eastAsia="es-ES"/>
        </w:rPr>
        <w:t xml:space="preserve"> resultan particularmente relevante</w:t>
      </w:r>
      <w:r w:rsidR="003B3E22" w:rsidRPr="0084029A">
        <w:rPr>
          <w:rFonts w:ascii="Verdana" w:eastAsia="Calibri" w:hAnsi="Verdana" w:cs="Arial"/>
          <w:lang w:val="es-ES" w:eastAsia="es-ES"/>
        </w:rPr>
        <w:t>s</w:t>
      </w:r>
      <w:r w:rsidRPr="0084029A">
        <w:rPr>
          <w:rFonts w:ascii="Verdana" w:eastAsia="Calibri" w:hAnsi="Verdana" w:cs="Arial"/>
          <w:lang w:val="es-ES" w:eastAsia="es-ES"/>
        </w:rPr>
        <w:t xml:space="preserve"> l</w:t>
      </w:r>
      <w:r w:rsidR="003B3E22" w:rsidRPr="0084029A">
        <w:rPr>
          <w:rFonts w:ascii="Verdana" w:eastAsia="Calibri" w:hAnsi="Verdana" w:cs="Arial"/>
          <w:lang w:val="es-ES" w:eastAsia="es-ES"/>
        </w:rPr>
        <w:t>as</w:t>
      </w:r>
      <w:r w:rsidRPr="0084029A">
        <w:rPr>
          <w:rFonts w:ascii="Verdana" w:eastAsia="Calibri" w:hAnsi="Verdana" w:cs="Arial"/>
          <w:lang w:val="es-ES" w:eastAsia="es-ES"/>
        </w:rPr>
        <w:t xml:space="preserve"> disp</w:t>
      </w:r>
      <w:r w:rsidR="003B3E22" w:rsidRPr="0084029A">
        <w:rPr>
          <w:rFonts w:ascii="Verdana" w:eastAsia="Calibri" w:hAnsi="Verdana" w:cs="Arial"/>
          <w:lang w:val="es-ES" w:eastAsia="es-ES"/>
        </w:rPr>
        <w:t xml:space="preserve">osiciones </w:t>
      </w:r>
      <w:r w:rsidR="00B4672B" w:rsidRPr="0084029A">
        <w:rPr>
          <w:rFonts w:ascii="Verdana" w:eastAsia="Calibri" w:hAnsi="Verdana" w:cs="Arial"/>
          <w:lang w:val="es-ES" w:eastAsia="es-ES"/>
        </w:rPr>
        <w:t>contenidas</w:t>
      </w:r>
      <w:r w:rsidR="003B3E22" w:rsidRPr="0084029A">
        <w:rPr>
          <w:rFonts w:ascii="Verdana" w:eastAsia="Calibri" w:hAnsi="Verdana" w:cs="Arial"/>
          <w:lang w:val="es-ES" w:eastAsia="es-ES"/>
        </w:rPr>
        <w:t xml:space="preserve"> en la </w:t>
      </w:r>
      <w:r w:rsidR="00B4672B" w:rsidRPr="00872A1B">
        <w:rPr>
          <w:rFonts w:ascii="Verdana" w:hAnsi="Verdana" w:cs="Arial"/>
        </w:rPr>
        <w:t xml:space="preserve">Ley 1712 de 2014, “Por medio de la cual se crea la Ley de Transparencia y del Derecho de Acceso a la Información Pública Nacional y se dictan otras disposiciones” y </w:t>
      </w:r>
      <w:r w:rsidRPr="0084029A">
        <w:rPr>
          <w:rFonts w:ascii="Verdana" w:eastAsia="Calibri" w:hAnsi="Verdana" w:cs="Arial"/>
          <w:lang w:val="es-ES" w:eastAsia="es-ES"/>
        </w:rPr>
        <w:t xml:space="preserve">el artículo 53 de la Ley 2195 de 2022, </w:t>
      </w:r>
      <w:r w:rsidRPr="0084029A">
        <w:rPr>
          <w:rFonts w:ascii="Verdana" w:hAnsi="Verdana" w:cs="Arial"/>
          <w:bCs/>
        </w:rPr>
        <w:t xml:space="preserve">mediante el cual se adiciona el artículo 13 de la Ley 1150 de 2007. </w:t>
      </w:r>
    </w:p>
    <w:p w14:paraId="418EF726" w14:textId="603443B4" w:rsidR="0084029A" w:rsidRPr="00872A1B" w:rsidRDefault="0084029A" w:rsidP="00872A1B">
      <w:pPr>
        <w:pStyle w:val="Textoindependiente"/>
        <w:spacing w:line="276" w:lineRule="auto"/>
        <w:ind w:firstLine="708"/>
        <w:jc w:val="both"/>
        <w:rPr>
          <w:rFonts w:ascii="Verdana" w:hAnsi="Verdana" w:cs="Arial"/>
          <w:sz w:val="22"/>
          <w:szCs w:val="22"/>
        </w:rPr>
      </w:pPr>
      <w:bookmarkStart w:id="4" w:name="_Hlk109055109"/>
      <w:bookmarkStart w:id="5" w:name="_Hlk109111865"/>
      <w:r>
        <w:rPr>
          <w:rFonts w:ascii="Verdana" w:hAnsi="Verdana" w:cs="Arial"/>
          <w:sz w:val="22"/>
          <w:szCs w:val="22"/>
        </w:rPr>
        <w:t>Por un lado, l</w:t>
      </w:r>
      <w:r w:rsidRPr="00872A1B">
        <w:rPr>
          <w:rFonts w:ascii="Verdana" w:hAnsi="Verdana" w:cs="Arial"/>
          <w:sz w:val="22"/>
          <w:szCs w:val="22"/>
        </w:rPr>
        <w:t>a Ley 1712 de 2014</w:t>
      </w:r>
      <w:r>
        <w:rPr>
          <w:rFonts w:ascii="Verdana" w:hAnsi="Verdana" w:cs="Arial"/>
          <w:sz w:val="22"/>
          <w:szCs w:val="22"/>
        </w:rPr>
        <w:t xml:space="preserve"> </w:t>
      </w:r>
      <w:r w:rsidRPr="00872A1B">
        <w:rPr>
          <w:rFonts w:ascii="Verdana" w:hAnsi="Verdana" w:cs="Arial"/>
          <w:sz w:val="22"/>
          <w:szCs w:val="22"/>
        </w:rPr>
        <w:t xml:space="preserve">identifica como principios que orientan el derecho de acceso a la información pública, el principio de máxima publicidad, el principio de transparencia en la información y el principio de buena fe. El principio de máxima publicidad establece que </w:t>
      </w:r>
      <w:r>
        <w:rPr>
          <w:rFonts w:ascii="Verdana" w:hAnsi="Verdana" w:cs="Arial"/>
          <w:sz w:val="22"/>
          <w:szCs w:val="22"/>
        </w:rPr>
        <w:t>“</w:t>
      </w:r>
      <w:r w:rsidRPr="00872A1B">
        <w:rPr>
          <w:rFonts w:ascii="Verdana" w:hAnsi="Verdana" w:cs="Arial"/>
          <w:sz w:val="22"/>
          <w:szCs w:val="22"/>
        </w:rPr>
        <w:t>toda información en posesión, bajo control o custodia de un sujeto obligado es pública y no podrá ser reservada o limitada sino por disposición constitucional o legal</w:t>
      </w:r>
      <w:r>
        <w:rPr>
          <w:rFonts w:ascii="Verdana" w:hAnsi="Verdana" w:cs="Arial"/>
          <w:sz w:val="22"/>
          <w:szCs w:val="22"/>
        </w:rPr>
        <w:t>”</w:t>
      </w:r>
      <w:r w:rsidRPr="00872A1B">
        <w:rPr>
          <w:rStyle w:val="Refdenotaalpie"/>
          <w:rFonts w:ascii="Verdana" w:hAnsi="Verdana" w:cs="Arial"/>
          <w:sz w:val="22"/>
          <w:szCs w:val="22"/>
        </w:rPr>
        <w:footnoteReference w:id="11"/>
      </w:r>
      <w:r w:rsidRPr="00872A1B">
        <w:rPr>
          <w:rFonts w:ascii="Verdana" w:hAnsi="Verdana" w:cs="Arial"/>
          <w:sz w:val="22"/>
          <w:szCs w:val="22"/>
        </w:rPr>
        <w:t>. El principio de transparencia en la información alude al deber de los sujetos de proporcionar y facilitar el acceso a la misma en los términos más amplios posibles, a través de los medios y procedimientos que establezca la</w:t>
      </w:r>
      <w:r w:rsidRPr="00872A1B">
        <w:rPr>
          <w:rFonts w:ascii="Verdana" w:hAnsi="Verdana" w:cs="Arial"/>
          <w:spacing w:val="-2"/>
          <w:sz w:val="22"/>
          <w:szCs w:val="22"/>
        </w:rPr>
        <w:t xml:space="preserve"> </w:t>
      </w:r>
      <w:r w:rsidRPr="00872A1B">
        <w:rPr>
          <w:rFonts w:ascii="Verdana" w:hAnsi="Verdana" w:cs="Arial"/>
          <w:sz w:val="22"/>
          <w:szCs w:val="22"/>
        </w:rPr>
        <w:t>ley</w:t>
      </w:r>
      <w:r w:rsidRPr="00872A1B">
        <w:rPr>
          <w:rStyle w:val="Refdenotaalpie"/>
          <w:rFonts w:ascii="Verdana" w:hAnsi="Verdana" w:cs="Arial"/>
          <w:sz w:val="22"/>
          <w:szCs w:val="22"/>
        </w:rPr>
        <w:footnoteReference w:id="12"/>
      </w:r>
      <w:r w:rsidRPr="00872A1B">
        <w:rPr>
          <w:rFonts w:ascii="Verdana" w:hAnsi="Verdana" w:cs="Arial"/>
          <w:sz w:val="22"/>
          <w:szCs w:val="22"/>
        </w:rPr>
        <w:t xml:space="preserve">. Y el principio de buena fe hace referencia al deber de todo sujeto obligado de cumplir con las obligaciones </w:t>
      </w:r>
      <w:r w:rsidRPr="00872A1B">
        <w:rPr>
          <w:rFonts w:ascii="Verdana" w:hAnsi="Verdana" w:cs="Arial"/>
          <w:sz w:val="22"/>
          <w:szCs w:val="22"/>
        </w:rPr>
        <w:lastRenderedPageBreak/>
        <w:t>derivadas del derecho de acceso a la información pública con motivación honesta, leal y desprovista de cualquier intención dolosa o culposa</w:t>
      </w:r>
      <w:bookmarkEnd w:id="4"/>
      <w:r w:rsidRPr="00872A1B">
        <w:rPr>
          <w:rStyle w:val="Refdenotaalpie"/>
          <w:rFonts w:ascii="Verdana" w:hAnsi="Verdana" w:cs="Arial"/>
          <w:sz w:val="22"/>
          <w:szCs w:val="22"/>
        </w:rPr>
        <w:footnoteReference w:id="13"/>
      </w:r>
      <w:r w:rsidRPr="00872A1B">
        <w:rPr>
          <w:rFonts w:ascii="Verdana" w:hAnsi="Verdana" w:cs="Arial"/>
          <w:sz w:val="22"/>
          <w:szCs w:val="22"/>
        </w:rPr>
        <w:t xml:space="preserve">. </w:t>
      </w:r>
    </w:p>
    <w:p w14:paraId="24AC461F" w14:textId="77777777" w:rsidR="0084029A" w:rsidRPr="00872A1B" w:rsidRDefault="0084029A" w:rsidP="0084029A">
      <w:pPr>
        <w:pStyle w:val="Textoindependiente"/>
        <w:spacing w:line="276" w:lineRule="auto"/>
        <w:ind w:firstLine="708"/>
        <w:jc w:val="both"/>
        <w:rPr>
          <w:rFonts w:ascii="Verdana" w:hAnsi="Verdana" w:cs="Arial"/>
          <w:sz w:val="22"/>
          <w:szCs w:val="22"/>
        </w:rPr>
      </w:pPr>
      <w:r w:rsidRPr="00872A1B">
        <w:rPr>
          <w:rFonts w:ascii="Verdana" w:hAnsi="Verdana" w:cs="Arial"/>
          <w:sz w:val="22"/>
          <w:szCs w:val="22"/>
        </w:rPr>
        <w:t xml:space="preserve">La citada Ley establece, </w:t>
      </w:r>
      <w:bookmarkStart w:id="7" w:name="_Hlk112225357"/>
      <w:r w:rsidRPr="00872A1B">
        <w:rPr>
          <w:rFonts w:ascii="Verdana" w:hAnsi="Verdana" w:cs="Arial"/>
          <w:sz w:val="22"/>
          <w:szCs w:val="22"/>
        </w:rPr>
        <w:t xml:space="preserve">en el literal e) del artículo 9, que los </w:t>
      </w:r>
      <w:r w:rsidRPr="00872A1B">
        <w:rPr>
          <w:rFonts w:ascii="Verdana" w:hAnsi="Verdana" w:cs="Arial"/>
          <w:i/>
          <w:iCs/>
          <w:sz w:val="22"/>
          <w:szCs w:val="22"/>
        </w:rPr>
        <w:t xml:space="preserve">sujetos obligados </w:t>
      </w:r>
      <w:r w:rsidRPr="00872A1B">
        <w:rPr>
          <w:rFonts w:ascii="Verdana" w:hAnsi="Verdana" w:cs="Arial"/>
          <w:sz w:val="22"/>
          <w:szCs w:val="22"/>
        </w:rPr>
        <w:t xml:space="preserve">deben publicar la información relativa a su contratación. </w:t>
      </w:r>
      <w:r w:rsidRPr="00872A1B">
        <w:rPr>
          <w:rFonts w:ascii="Verdana" w:eastAsia="Arial MT" w:hAnsi="Verdana" w:cs="Arial"/>
          <w:sz w:val="22"/>
          <w:szCs w:val="22"/>
          <w:lang w:val="es-ES" w:eastAsia="en-US"/>
        </w:rPr>
        <w:t xml:space="preserve">El artículo 5 </w:t>
      </w:r>
      <w:r w:rsidRPr="00872A1B">
        <w:rPr>
          <w:rFonts w:ascii="Verdana" w:eastAsia="Arial MT" w:hAnsi="Verdana" w:cs="Arial"/>
          <w:i/>
          <w:iCs/>
          <w:sz w:val="22"/>
          <w:szCs w:val="22"/>
          <w:lang w:val="es-ES" w:eastAsia="en-US"/>
        </w:rPr>
        <w:t>ibidem</w:t>
      </w:r>
      <w:r w:rsidRPr="00872A1B">
        <w:rPr>
          <w:rFonts w:ascii="Verdana" w:eastAsia="Arial MT" w:hAnsi="Verdana" w:cs="Arial"/>
          <w:sz w:val="22"/>
          <w:szCs w:val="22"/>
          <w:lang w:val="es-ES" w:eastAsia="en-US"/>
        </w:rPr>
        <w:t>, al describir qué se entiende por sujetos obligados, consagra una lista cuyo propósito es incluir a cualquier entidad, órgano, organismo, o persona natural que desempeñe funciones públicas o administre recursos públicos. También son sujetos obligados las empresas públicas, las empresas del Estado y las sociedades en las que el Estado tenga participación, sin que importe su monto</w:t>
      </w:r>
      <w:bookmarkEnd w:id="5"/>
      <w:bookmarkEnd w:id="7"/>
      <w:r w:rsidRPr="00872A1B">
        <w:rPr>
          <w:rStyle w:val="Refdenotaalpie"/>
          <w:rFonts w:ascii="Verdana" w:hAnsi="Verdana" w:cs="Arial"/>
          <w:sz w:val="22"/>
          <w:szCs w:val="22"/>
        </w:rPr>
        <w:footnoteReference w:id="14"/>
      </w:r>
      <w:r w:rsidRPr="00872A1B">
        <w:rPr>
          <w:rFonts w:ascii="Verdana" w:eastAsia="Arial MT" w:hAnsi="Verdana" w:cs="Arial"/>
          <w:sz w:val="22"/>
          <w:szCs w:val="22"/>
          <w:lang w:val="es-ES" w:eastAsia="en-US"/>
        </w:rPr>
        <w:t>.</w:t>
      </w:r>
      <w:r w:rsidRPr="00872A1B">
        <w:rPr>
          <w:rFonts w:ascii="Verdana" w:hAnsi="Verdana" w:cs="Arial"/>
          <w:sz w:val="22"/>
          <w:szCs w:val="22"/>
        </w:rPr>
        <w:t xml:space="preserve"> </w:t>
      </w:r>
    </w:p>
    <w:p w14:paraId="000ADA86" w14:textId="77777777" w:rsidR="0084029A" w:rsidRPr="00872A1B" w:rsidRDefault="0084029A" w:rsidP="00872A1B">
      <w:pPr>
        <w:pStyle w:val="Textoindependiente"/>
        <w:spacing w:line="276" w:lineRule="auto"/>
        <w:ind w:firstLine="709"/>
        <w:jc w:val="both"/>
        <w:rPr>
          <w:rFonts w:ascii="Verdana" w:hAnsi="Verdana" w:cs="Arial"/>
          <w:sz w:val="22"/>
          <w:szCs w:val="22"/>
        </w:rPr>
      </w:pPr>
      <w:r w:rsidRPr="00872A1B">
        <w:rPr>
          <w:rFonts w:ascii="Verdana" w:hAnsi="Verdana" w:cs="Arial"/>
          <w:sz w:val="22"/>
          <w:szCs w:val="22"/>
        </w:rPr>
        <w:t>La anterior obligación fue desarrollada por el artículo 2.1.1.2.1.7. del Decreto Único Reglamentario 1081 de 2015</w:t>
      </w:r>
      <w:r w:rsidRPr="00872A1B">
        <w:rPr>
          <w:rStyle w:val="Refdenotaalpie"/>
          <w:rFonts w:ascii="Verdana" w:hAnsi="Verdana" w:cs="Arial"/>
          <w:sz w:val="22"/>
          <w:szCs w:val="22"/>
        </w:rPr>
        <w:footnoteReference w:id="15"/>
      </w:r>
      <w:r w:rsidRPr="00872A1B">
        <w:rPr>
          <w:rFonts w:ascii="Verdana" w:hAnsi="Verdana" w:cs="Arial"/>
          <w:sz w:val="22"/>
          <w:szCs w:val="22"/>
        </w:rPr>
        <w:t>, el cual dispone que la publicación de la información contractual de los sujetos obligados,</w:t>
      </w:r>
      <w:r w:rsidRPr="00872A1B">
        <w:rPr>
          <w:rFonts w:ascii="Verdana" w:hAnsi="Verdana" w:cs="Arial"/>
          <w:spacing w:val="3"/>
          <w:sz w:val="22"/>
          <w:szCs w:val="22"/>
        </w:rPr>
        <w:t xml:space="preserve"> </w:t>
      </w:r>
      <w:r w:rsidRPr="00872A1B">
        <w:rPr>
          <w:rFonts w:ascii="Verdana" w:hAnsi="Verdana" w:cs="Arial"/>
          <w:sz w:val="22"/>
          <w:szCs w:val="22"/>
        </w:rPr>
        <w:t xml:space="preserve">que contratan con cargo a recursos públicos, debe hacerse en el Sistema Electrónico de Contratación Pública ─ SECOP. </w:t>
      </w:r>
    </w:p>
    <w:p w14:paraId="3B6DF031" w14:textId="59496107" w:rsidR="0084029A" w:rsidRPr="00872A1B" w:rsidRDefault="0084029A" w:rsidP="0084029A">
      <w:pPr>
        <w:pStyle w:val="Textoindependiente"/>
        <w:spacing w:line="276" w:lineRule="auto"/>
        <w:ind w:firstLine="709"/>
        <w:jc w:val="both"/>
        <w:rPr>
          <w:rFonts w:ascii="Verdana" w:hAnsi="Verdana" w:cs="Arial"/>
          <w:sz w:val="22"/>
          <w:szCs w:val="22"/>
        </w:rPr>
      </w:pPr>
      <w:r w:rsidRPr="00872A1B">
        <w:rPr>
          <w:rFonts w:ascii="Verdana" w:hAnsi="Verdana" w:cs="Arial"/>
          <w:sz w:val="22"/>
          <w:szCs w:val="22"/>
        </w:rPr>
        <w:t xml:space="preserve">Asimismo, de acuerdo con el literal g) del artículo 11 de la misma Ley, todos los destinatarios de la llamada Ley de Transparencia deben garantizar la publicidad de </w:t>
      </w:r>
      <w:r w:rsidR="00515DA1">
        <w:rPr>
          <w:rFonts w:ascii="Verdana" w:hAnsi="Verdana" w:cs="Arial"/>
          <w:sz w:val="22"/>
          <w:szCs w:val="22"/>
        </w:rPr>
        <w:t>“</w:t>
      </w:r>
      <w:r w:rsidRPr="00872A1B">
        <w:rPr>
          <w:rFonts w:ascii="Verdana" w:hAnsi="Verdana" w:cs="Arial"/>
          <w:sz w:val="22"/>
          <w:szCs w:val="22"/>
        </w:rPr>
        <w:t>sus procedimientos, lineamientos, políticas en materia de adquisiciones y compras, así como todos los datos de adjudicación y ejecución de contratos, incluidos concursos y licitaciones</w:t>
      </w:r>
      <w:r w:rsidR="00844A06">
        <w:rPr>
          <w:rFonts w:ascii="Verdana" w:hAnsi="Verdana" w:cs="Arial"/>
          <w:sz w:val="22"/>
          <w:szCs w:val="22"/>
        </w:rPr>
        <w:t>”</w:t>
      </w:r>
      <w:r w:rsidRPr="00872A1B">
        <w:rPr>
          <w:rFonts w:ascii="Verdana" w:hAnsi="Verdana" w:cs="Arial"/>
          <w:sz w:val="22"/>
          <w:szCs w:val="22"/>
        </w:rPr>
        <w:t xml:space="preserve">, y esta información también </w:t>
      </w:r>
      <w:r w:rsidRPr="00872A1B">
        <w:rPr>
          <w:rFonts w:ascii="Verdana" w:hAnsi="Verdana" w:cs="Arial"/>
          <w:sz w:val="22"/>
          <w:szCs w:val="22"/>
        </w:rPr>
        <w:lastRenderedPageBreak/>
        <w:t xml:space="preserve">debe estar en el SECOP. Además de lo anterior, es indispensable precisar que el artículo 3 de la Ley 1150 de 2007 ya había establecido que el Sistema Electrónico para la Contratación Pública – SECOP </w:t>
      </w:r>
      <w:r w:rsidR="00844A06">
        <w:rPr>
          <w:rFonts w:ascii="Verdana" w:hAnsi="Verdana" w:cs="Arial"/>
          <w:sz w:val="22"/>
          <w:szCs w:val="22"/>
        </w:rPr>
        <w:t>“</w:t>
      </w:r>
      <w:r w:rsidRPr="00872A1B">
        <w:rPr>
          <w:rFonts w:ascii="Verdana" w:hAnsi="Verdana" w:cs="Arial"/>
          <w:sz w:val="22"/>
          <w:szCs w:val="22"/>
        </w:rPr>
        <w:t>Contará con la información oficial de la contratación realizada con dineros públicos</w:t>
      </w:r>
      <w:r w:rsidR="00844A06">
        <w:rPr>
          <w:rFonts w:ascii="Verdana" w:hAnsi="Verdana" w:cs="Arial"/>
          <w:sz w:val="22"/>
          <w:szCs w:val="22"/>
        </w:rPr>
        <w:t>”</w:t>
      </w:r>
      <w:r w:rsidRPr="00872A1B">
        <w:rPr>
          <w:rStyle w:val="Refdenotaalpie"/>
          <w:rFonts w:ascii="Verdana" w:hAnsi="Verdana" w:cs="Arial"/>
          <w:sz w:val="22"/>
          <w:szCs w:val="22"/>
        </w:rPr>
        <w:footnoteReference w:id="16"/>
      </w:r>
      <w:r w:rsidRPr="00872A1B">
        <w:rPr>
          <w:rFonts w:ascii="Verdana" w:hAnsi="Verdana" w:cs="Arial"/>
          <w:sz w:val="22"/>
          <w:szCs w:val="22"/>
        </w:rPr>
        <w:t>.</w:t>
      </w:r>
    </w:p>
    <w:p w14:paraId="0C07CFFD" w14:textId="6CBE122E" w:rsidR="00B4672B" w:rsidRPr="0084029A" w:rsidRDefault="0084029A" w:rsidP="00872A1B">
      <w:pPr>
        <w:spacing w:after="120" w:line="276" w:lineRule="auto"/>
        <w:ind w:firstLine="708"/>
        <w:jc w:val="both"/>
        <w:rPr>
          <w:rFonts w:ascii="Verdana" w:hAnsi="Verdana" w:cs="Arial"/>
          <w:bCs/>
        </w:rPr>
      </w:pPr>
      <w:r w:rsidRPr="00872A1B">
        <w:rPr>
          <w:rFonts w:ascii="Verdana" w:hAnsi="Verdana" w:cs="Arial"/>
        </w:rPr>
        <w:t xml:space="preserve">Las anteriores disposiciones normativas fueron complementadas con la expedición de la Ley 2195 de 2022, por medio de la cual se adoptan medidas en materia de transparencia, prevención y lucha contra la corrupción. </w:t>
      </w:r>
      <w:r w:rsidRPr="00872A1B">
        <w:rPr>
          <w:rFonts w:ascii="Verdana" w:eastAsia="Calibri" w:hAnsi="Verdana" w:cs="Arial"/>
          <w:lang w:val="es-ES_tradnl" w:eastAsia="es-ES_tradnl"/>
        </w:rPr>
        <w:t xml:space="preserve">Según el artículo 1, esta Ley </w:t>
      </w:r>
      <w:r w:rsidR="002C0C47">
        <w:rPr>
          <w:rFonts w:ascii="Verdana" w:eastAsia="Calibri" w:hAnsi="Verdana" w:cs="Arial"/>
          <w:lang w:val="es-ES_tradnl" w:eastAsia="es-ES_tradnl"/>
        </w:rPr>
        <w:t>“</w:t>
      </w:r>
      <w:r w:rsidRPr="00872A1B">
        <w:rPr>
          <w:rFonts w:ascii="Verdana" w:eastAsia="Times New Roman" w:hAnsi="Verdana" w:cs="Arial"/>
          <w:lang w:val="es-ES_tradnl" w:eastAsia="es-ES_tradnl"/>
        </w:rPr>
        <w:t xml:space="preserve">[…] </w:t>
      </w:r>
      <w:r w:rsidRPr="00872A1B">
        <w:rPr>
          <w:rFonts w:ascii="Verdana" w:eastAsia="Calibri" w:hAnsi="Verdana" w:cs="Arial"/>
          <w:lang w:val="es-ES_tradnl" w:eastAsia="es-ES_tradnl"/>
        </w:rPr>
        <w:t>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w:t>
      </w:r>
      <w:r w:rsidR="002C0C47">
        <w:rPr>
          <w:rFonts w:ascii="Verdana" w:eastAsia="Calibri" w:hAnsi="Verdana" w:cs="Arial"/>
          <w:lang w:val="es-ES_tradnl" w:eastAsia="es-ES_tradnl"/>
        </w:rPr>
        <w:t>”</w:t>
      </w:r>
      <w:r w:rsidRPr="00872A1B">
        <w:rPr>
          <w:rFonts w:ascii="Verdana" w:eastAsia="Calibri" w:hAnsi="Verdana" w:cs="Arial"/>
          <w:lang w:val="es-ES_tradnl" w:eastAsia="es-ES_tradnl"/>
        </w:rPr>
        <w:t xml:space="preserve">. Dentro del capítulo VIII de la Ley en mención, que lleva por título </w:t>
      </w:r>
      <w:r w:rsidR="002C0C47">
        <w:rPr>
          <w:rFonts w:ascii="Verdana" w:eastAsia="Calibri" w:hAnsi="Verdana" w:cs="Arial"/>
          <w:lang w:val="es-ES_tradnl" w:eastAsia="es-ES_tradnl"/>
        </w:rPr>
        <w:t>“</w:t>
      </w:r>
      <w:r w:rsidRPr="00872A1B">
        <w:rPr>
          <w:rFonts w:ascii="Verdana" w:eastAsia="Calibri" w:hAnsi="Verdana" w:cs="Arial"/>
          <w:lang w:val="es-ES_tradnl" w:eastAsia="es-ES_tradnl"/>
        </w:rPr>
        <w:t>Disposiciones en materia contractual para la moralización y la transparencia</w:t>
      </w:r>
      <w:r w:rsidR="002C0C47">
        <w:rPr>
          <w:rFonts w:ascii="Verdana" w:eastAsia="Calibri" w:hAnsi="Verdana" w:cs="Arial"/>
          <w:lang w:val="es-ES_tradnl" w:eastAsia="es-ES_tradnl"/>
        </w:rPr>
        <w:t>”</w:t>
      </w:r>
      <w:r w:rsidRPr="00872A1B">
        <w:rPr>
          <w:rFonts w:ascii="Verdana" w:eastAsia="Calibri" w:hAnsi="Verdana" w:cs="Arial"/>
          <w:lang w:val="es-ES_tradnl" w:eastAsia="es-ES_tradnl"/>
        </w:rPr>
        <w:t xml:space="preserve">, se ubica </w:t>
      </w:r>
      <w:r w:rsidRPr="00872A1B">
        <w:rPr>
          <w:rFonts w:ascii="Verdana" w:hAnsi="Verdana" w:cs="Arial"/>
        </w:rPr>
        <w:t>el artículo 53, a través del cual se adiciona el artículo 13 de la Ley 1150 de 2007.</w:t>
      </w:r>
    </w:p>
    <w:p w14:paraId="0DC4C02B" w14:textId="60C30ECE" w:rsidR="000738FC" w:rsidRPr="001272A0" w:rsidRDefault="000738FC" w:rsidP="000738FC">
      <w:pPr>
        <w:spacing w:line="276" w:lineRule="auto"/>
        <w:ind w:firstLine="708"/>
        <w:contextualSpacing/>
        <w:jc w:val="both"/>
        <w:rPr>
          <w:rFonts w:ascii="Verdana" w:hAnsi="Verdana" w:cs="Arial"/>
          <w:bCs/>
        </w:rPr>
      </w:pPr>
      <w:r w:rsidRPr="0050248B">
        <w:rPr>
          <w:rFonts w:ascii="Verdana" w:hAnsi="Verdana" w:cs="Arial"/>
          <w:bCs/>
        </w:rPr>
        <w:t>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r w:rsidRPr="001272A0">
        <w:rPr>
          <w:rFonts w:ascii="Verdana" w:hAnsi="Verdana" w:cs="Arial"/>
          <w:bCs/>
        </w:rPr>
        <w:t xml:space="preserve"> Al respecto, la norma citada, de manera expresa, señala:</w:t>
      </w:r>
    </w:p>
    <w:p w14:paraId="500CEA31" w14:textId="77777777" w:rsidR="000738FC" w:rsidRPr="001272A0" w:rsidRDefault="000738FC" w:rsidP="000738FC">
      <w:pPr>
        <w:ind w:firstLine="301"/>
        <w:contextualSpacing/>
        <w:rPr>
          <w:rFonts w:ascii="Verdana" w:hAnsi="Verdana" w:cs="Arial"/>
          <w:bCs/>
        </w:rPr>
      </w:pPr>
    </w:p>
    <w:p w14:paraId="1A8138F6" w14:textId="77777777" w:rsidR="000738FC" w:rsidRPr="001272A0" w:rsidRDefault="000738FC" w:rsidP="00872A1B">
      <w:pPr>
        <w:spacing w:after="0" w:line="240" w:lineRule="auto"/>
        <w:ind w:left="709" w:right="709"/>
        <w:jc w:val="both"/>
        <w:rPr>
          <w:rFonts w:ascii="Verdana" w:hAnsi="Verdana" w:cs="Arial"/>
          <w:bCs/>
          <w:sz w:val="20"/>
          <w:szCs w:val="20"/>
        </w:rPr>
      </w:pPr>
      <w:r w:rsidRPr="001272A0">
        <w:rPr>
          <w:rFonts w:ascii="Verdana" w:hAnsi="Verdana" w:cs="Arial"/>
          <w:bCs/>
          <w:sz w:val="20"/>
          <w:szCs w:val="20"/>
        </w:rPr>
        <w:t>“Adiciónese los siguientes incisos al artículo 13 de la Ley 1150 de 2007, el cual quedará así:</w:t>
      </w:r>
    </w:p>
    <w:p w14:paraId="6A730311" w14:textId="77777777" w:rsidR="000738FC" w:rsidRPr="001272A0" w:rsidRDefault="000738FC" w:rsidP="00872A1B">
      <w:pPr>
        <w:spacing w:after="0" w:line="240" w:lineRule="auto"/>
        <w:ind w:left="709" w:right="709"/>
        <w:jc w:val="both"/>
        <w:rPr>
          <w:rFonts w:ascii="Verdana" w:hAnsi="Verdana" w:cs="Arial"/>
          <w:bCs/>
          <w:sz w:val="20"/>
          <w:szCs w:val="20"/>
        </w:rPr>
      </w:pPr>
    </w:p>
    <w:p w14:paraId="59498AE0" w14:textId="77777777" w:rsidR="000738FC" w:rsidRPr="001272A0" w:rsidRDefault="000738FC" w:rsidP="00872A1B">
      <w:pPr>
        <w:spacing w:after="0" w:line="240" w:lineRule="auto"/>
        <w:ind w:left="709" w:right="709"/>
        <w:jc w:val="both"/>
        <w:rPr>
          <w:rFonts w:ascii="Verdana" w:hAnsi="Verdana" w:cs="Arial"/>
          <w:bCs/>
          <w:sz w:val="20"/>
          <w:szCs w:val="20"/>
        </w:rPr>
      </w:pPr>
      <w:r w:rsidRPr="001272A0">
        <w:rPr>
          <w:rFonts w:ascii="Verdana" w:hAnsi="Verdana" w:cs="Arial"/>
          <w:bCs/>
          <w:sz w:val="20"/>
          <w:szCs w:val="20"/>
        </w:rPr>
        <w:t xml:space="preserve">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w:t>
      </w:r>
      <w:r w:rsidRPr="001272A0">
        <w:rPr>
          <w:rFonts w:ascii="Verdana" w:hAnsi="Verdana" w:cs="Arial"/>
          <w:bCs/>
          <w:sz w:val="20"/>
          <w:szCs w:val="20"/>
        </w:rPr>
        <w:lastRenderedPageBreak/>
        <w:t>régimen de inhabilidades e incompatibilidades previsto legalmente para la contratación estatal.</w:t>
      </w:r>
    </w:p>
    <w:p w14:paraId="75619C32" w14:textId="77777777" w:rsidR="000738FC" w:rsidRPr="001272A0" w:rsidRDefault="000738FC" w:rsidP="00872A1B">
      <w:pPr>
        <w:spacing w:after="0" w:line="240" w:lineRule="auto"/>
        <w:ind w:left="709" w:right="709"/>
        <w:jc w:val="both"/>
        <w:rPr>
          <w:rFonts w:ascii="Verdana" w:hAnsi="Verdana" w:cs="Arial"/>
          <w:bCs/>
          <w:sz w:val="20"/>
          <w:szCs w:val="20"/>
        </w:rPr>
      </w:pPr>
    </w:p>
    <w:p w14:paraId="3CB22ECA" w14:textId="77777777" w:rsidR="000738FC" w:rsidRPr="001272A0" w:rsidRDefault="000738FC" w:rsidP="00872A1B">
      <w:pPr>
        <w:spacing w:after="0" w:line="240" w:lineRule="auto"/>
        <w:ind w:left="709" w:right="709"/>
        <w:jc w:val="both"/>
        <w:rPr>
          <w:rFonts w:ascii="Verdana" w:hAnsi="Verdana" w:cs="Arial"/>
          <w:bCs/>
          <w:sz w:val="20"/>
          <w:szCs w:val="20"/>
        </w:rPr>
      </w:pPr>
      <w:r w:rsidRPr="001272A0">
        <w:rPr>
          <w:rFonts w:ascii="Verdana" w:hAnsi="Verdana" w:cs="Arial"/>
          <w:bCs/>
          <w:sz w:val="20"/>
          <w:szCs w:val="20"/>
        </w:rPr>
        <w:t xml:space="preserve">En desarrollo de los anteriores principios, deberán publicar los documentos relacionados con su </w:t>
      </w:r>
      <w:r w:rsidRPr="001272A0">
        <w:rPr>
          <w:rFonts w:ascii="Verdana" w:hAnsi="Verdana" w:cs="Arial"/>
          <w:bCs/>
          <w:i/>
          <w:iCs/>
          <w:sz w:val="20"/>
          <w:szCs w:val="20"/>
        </w:rPr>
        <w:t>actividad contractual</w:t>
      </w:r>
      <w:r w:rsidRPr="001272A0">
        <w:rPr>
          <w:rFonts w:ascii="Verdana" w:hAnsi="Verdana" w:cs="Arial"/>
          <w:bCs/>
          <w:sz w:val="20"/>
          <w:szCs w:val="20"/>
        </w:rPr>
        <w:t xml:space="preserve"> en el Sistema Electrónico para la Contratación Pública –SECOP II– o la plataforma transaccional que haga sus veces. Para los efectos de este artículo,</w:t>
      </w:r>
      <w:r w:rsidRPr="001272A0">
        <w:rPr>
          <w:rFonts w:ascii="Verdana" w:hAnsi="Verdana" w:cs="Arial"/>
          <w:bCs/>
          <w:i/>
          <w:iCs/>
          <w:sz w:val="20"/>
          <w:szCs w:val="20"/>
        </w:rPr>
        <w:t xml:space="preserve"> se entiende por actividad contractual los documentos, contratos, actos e información generada por oferentes, contratista, contratante, supervisor o interventor, tanto en la etapa precontractual, como en la contractual y la </w:t>
      </w:r>
      <w:proofErr w:type="spellStart"/>
      <w:r w:rsidRPr="001272A0">
        <w:rPr>
          <w:rFonts w:ascii="Verdana" w:hAnsi="Verdana" w:cs="Arial"/>
          <w:bCs/>
          <w:i/>
          <w:iCs/>
          <w:sz w:val="20"/>
          <w:szCs w:val="20"/>
        </w:rPr>
        <w:t>postcontractual</w:t>
      </w:r>
      <w:proofErr w:type="spellEnd"/>
      <w:r w:rsidRPr="001272A0">
        <w:rPr>
          <w:rFonts w:ascii="Verdana" w:hAnsi="Verdana" w:cs="Arial"/>
          <w:bCs/>
          <w:i/>
          <w:iCs/>
          <w:sz w:val="20"/>
          <w:szCs w:val="20"/>
        </w:rPr>
        <w:t>.</w:t>
      </w:r>
    </w:p>
    <w:p w14:paraId="1AB9C258" w14:textId="77777777" w:rsidR="000738FC" w:rsidRPr="001272A0" w:rsidRDefault="000738FC" w:rsidP="00872A1B">
      <w:pPr>
        <w:spacing w:after="0" w:line="240" w:lineRule="auto"/>
        <w:ind w:left="709" w:right="709"/>
        <w:jc w:val="both"/>
        <w:rPr>
          <w:rFonts w:ascii="Verdana" w:hAnsi="Verdana" w:cs="Arial"/>
          <w:bCs/>
          <w:sz w:val="20"/>
          <w:szCs w:val="20"/>
        </w:rPr>
      </w:pPr>
    </w:p>
    <w:p w14:paraId="63615DF8" w14:textId="77777777" w:rsidR="000738FC" w:rsidRPr="001272A0" w:rsidRDefault="000738FC" w:rsidP="00872A1B">
      <w:pPr>
        <w:spacing w:after="0" w:line="240" w:lineRule="auto"/>
        <w:ind w:left="709" w:right="709"/>
        <w:jc w:val="both"/>
        <w:rPr>
          <w:rFonts w:ascii="Verdana" w:hAnsi="Verdana" w:cs="Arial"/>
          <w:bCs/>
          <w:sz w:val="20"/>
          <w:szCs w:val="20"/>
        </w:rPr>
      </w:pPr>
      <w:r w:rsidRPr="001272A0">
        <w:rPr>
          <w:rFonts w:ascii="Verdana" w:hAnsi="Verdana" w:cs="Arial"/>
          <w:bCs/>
          <w:sz w:val="20"/>
          <w:szCs w:val="20"/>
        </w:rPr>
        <w:t xml:space="preserve">A partir de la </w:t>
      </w:r>
      <w:proofErr w:type="gramStart"/>
      <w:r w:rsidRPr="001272A0">
        <w:rPr>
          <w:rFonts w:ascii="Verdana" w:hAnsi="Verdana" w:cs="Arial"/>
          <w:bCs/>
          <w:sz w:val="20"/>
          <w:szCs w:val="20"/>
        </w:rPr>
        <w:t>entrada en vigencia</w:t>
      </w:r>
      <w:proofErr w:type="gramEnd"/>
      <w:r w:rsidRPr="001272A0">
        <w:rPr>
          <w:rFonts w:ascii="Verdana" w:hAnsi="Verdana" w:cs="Arial"/>
          <w:bCs/>
          <w:sz w:val="20"/>
          <w:szCs w:val="20"/>
        </w:rPr>
        <w:t xml:space="preserve"> de la presente Ley, se establecerá un periodo de transición de seis (6) meses, para que las entidades den cumplimiento efectivo a lo aquí establecido”. [Cursiva fuera de texto].</w:t>
      </w:r>
    </w:p>
    <w:p w14:paraId="295ECF2F" w14:textId="77777777" w:rsidR="000738FC" w:rsidRPr="001272A0" w:rsidRDefault="000738FC" w:rsidP="00872A1B">
      <w:pPr>
        <w:spacing w:after="0" w:line="276" w:lineRule="auto"/>
        <w:ind w:firstLine="709"/>
        <w:jc w:val="both"/>
        <w:rPr>
          <w:rFonts w:ascii="Verdana" w:hAnsi="Verdana" w:cs="Arial"/>
          <w:bCs/>
        </w:rPr>
      </w:pPr>
    </w:p>
    <w:p w14:paraId="353EFA9E" w14:textId="6A15EF02" w:rsidR="000738FC" w:rsidRPr="001272A0" w:rsidRDefault="000738FC" w:rsidP="000A1807">
      <w:pPr>
        <w:spacing w:after="120" w:line="276" w:lineRule="auto"/>
        <w:ind w:firstLine="709"/>
        <w:jc w:val="both"/>
        <w:rPr>
          <w:rFonts w:ascii="Verdana" w:hAnsi="Verdana" w:cs="Arial"/>
          <w:bCs/>
        </w:rPr>
      </w:pPr>
      <w:r w:rsidRPr="001272A0">
        <w:rPr>
          <w:rFonts w:ascii="Verdana" w:hAnsi="Verdana" w:cs="Arial"/>
          <w:bCs/>
        </w:rPr>
        <w:t xml:space="preserve">Cabe destacar que cuando la norma trascrita hace referencia a que el mencionado deber de publicidad debe cumplirse en el SECOP II </w:t>
      </w:r>
      <w:r w:rsidRPr="001272A0">
        <w:rPr>
          <w:rFonts w:ascii="Verdana" w:hAnsi="Verdana" w:cs="Arial"/>
          <w:bCs/>
          <w:i/>
          <w:iCs/>
        </w:rPr>
        <w:t>“o la plataforma transaccional que haga sus veces”</w:t>
      </w:r>
      <w:r w:rsidRPr="001272A0">
        <w:rPr>
          <w:rFonts w:ascii="Verdana" w:hAnsi="Verdana" w:cs="Arial"/>
          <w:bCs/>
        </w:rPr>
        <w:t xml:space="preserve">,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sidR="002C0C47">
        <w:rPr>
          <w:rFonts w:ascii="Verdana" w:hAnsi="Verdana" w:cs="Arial"/>
          <w:bCs/>
        </w:rPr>
        <w:t>“</w:t>
      </w:r>
      <w:r w:rsidRPr="001272A0">
        <w:rPr>
          <w:rFonts w:ascii="Verdana" w:hAnsi="Verdana" w:cs="Arial"/>
          <w:bCs/>
        </w:rPr>
        <w:t>la plataforma que haga sus veces</w:t>
      </w:r>
      <w:r w:rsidR="002C0C47">
        <w:rPr>
          <w:rFonts w:ascii="Verdana" w:hAnsi="Verdana" w:cs="Arial"/>
          <w:bCs/>
        </w:rPr>
        <w:t>”</w:t>
      </w:r>
      <w:r w:rsidRPr="001272A0">
        <w:rPr>
          <w:rFonts w:ascii="Verdana" w:hAnsi="Verdana" w:cs="Arial"/>
          <w:bCs/>
        </w:rPr>
        <w:t xml:space="preserve"> no puede interpretarse como una autorización para que las entidades obligadas en virtud del artículo 53 de la Ley 2195 de 2022 pueden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documentación pública.</w:t>
      </w:r>
    </w:p>
    <w:p w14:paraId="4C21503F" w14:textId="31F68D4E" w:rsidR="000738FC" w:rsidRDefault="000738FC" w:rsidP="000A1807">
      <w:pPr>
        <w:spacing w:after="120" w:line="276" w:lineRule="auto"/>
        <w:ind w:firstLine="709"/>
        <w:jc w:val="both"/>
        <w:rPr>
          <w:rFonts w:ascii="Verdana" w:hAnsi="Verdana" w:cs="Arial"/>
          <w:bCs/>
        </w:rPr>
      </w:pPr>
      <w:bookmarkStart w:id="8" w:name="_Hlk109111956"/>
      <w:r w:rsidRPr="001272A0">
        <w:rPr>
          <w:rFonts w:ascii="Verdana" w:hAnsi="Verdana" w:cs="Arial"/>
          <w:bCs/>
        </w:rPr>
        <w:t xml:space="preserve">En cuanto </w:t>
      </w:r>
      <w:r>
        <w:rPr>
          <w:rFonts w:ascii="Verdana" w:hAnsi="Verdana" w:cs="Arial"/>
          <w:bCs/>
        </w:rPr>
        <w:t xml:space="preserve">alcance del deber de publicación regulado por la norma transcrita, es importante tener en cuenta que esta lo circunscribe a la </w:t>
      </w:r>
      <w:r w:rsidRPr="001272A0">
        <w:rPr>
          <w:rFonts w:ascii="Verdana" w:hAnsi="Verdana" w:cs="Arial"/>
          <w:bCs/>
          <w:i/>
          <w:iCs/>
        </w:rPr>
        <w:t>“actividad contractual”</w:t>
      </w:r>
      <w:r>
        <w:rPr>
          <w:rFonts w:ascii="Verdana" w:hAnsi="Verdana" w:cs="Arial"/>
          <w:bCs/>
        </w:rPr>
        <w:t xml:space="preserve">, expresión que el propio artículo acota en función de su aplicación. De acuerdo con esta acotación, el deber de publicación que le asiste a entidades estatales exceptuadas recae sobre </w:t>
      </w:r>
      <w:r w:rsidRPr="001272A0">
        <w:rPr>
          <w:rFonts w:ascii="Verdana" w:hAnsi="Verdana" w:cs="Arial"/>
          <w:bCs/>
          <w:i/>
          <w:iCs/>
        </w:rPr>
        <w:t xml:space="preserve">“[…] los documentos, contratos, actos e información generada por oferentes, contratista, contratante, supervisor o interventor, tanto en la etapa precontractual, como en la contractual y la </w:t>
      </w:r>
      <w:proofErr w:type="spellStart"/>
      <w:r w:rsidRPr="001272A0">
        <w:rPr>
          <w:rFonts w:ascii="Verdana" w:hAnsi="Verdana" w:cs="Arial"/>
          <w:bCs/>
          <w:i/>
          <w:iCs/>
        </w:rPr>
        <w:t>postcontractual</w:t>
      </w:r>
      <w:proofErr w:type="spellEnd"/>
      <w:r w:rsidRPr="001272A0">
        <w:rPr>
          <w:rFonts w:ascii="Verdana" w:hAnsi="Verdana" w:cs="Arial"/>
          <w:bCs/>
          <w:i/>
          <w:iCs/>
        </w:rPr>
        <w:t>”</w:t>
      </w:r>
      <w:r w:rsidRPr="001272A0">
        <w:rPr>
          <w:rFonts w:ascii="Verdana" w:hAnsi="Verdana" w:cs="Arial"/>
          <w:bCs/>
        </w:rPr>
        <w:t>. En ese sentido, el artículo 53 de la Ley 2195 de 2022 establece el deber de publicar toda aquella información relacionada con</w:t>
      </w:r>
      <w:r>
        <w:rPr>
          <w:rFonts w:ascii="Verdana" w:hAnsi="Verdana" w:cs="Arial"/>
          <w:bCs/>
        </w:rPr>
        <w:t xml:space="preserve"> las diferentes fases a través de las que se desarrollan los </w:t>
      </w:r>
      <w:r w:rsidRPr="001272A0">
        <w:rPr>
          <w:rFonts w:ascii="Verdana" w:hAnsi="Verdana" w:cs="Arial"/>
          <w:bCs/>
        </w:rPr>
        <w:t>contrato</w:t>
      </w:r>
      <w:r>
        <w:rPr>
          <w:rFonts w:ascii="Verdana" w:hAnsi="Verdana" w:cs="Arial"/>
          <w:bCs/>
        </w:rPr>
        <w:t xml:space="preserve">s que celebran.  </w:t>
      </w:r>
    </w:p>
    <w:p w14:paraId="69C28947" w14:textId="77777777" w:rsidR="009508EB" w:rsidRDefault="00885FDF" w:rsidP="00872A1B">
      <w:pPr>
        <w:spacing w:after="120" w:line="276" w:lineRule="auto"/>
        <w:ind w:firstLine="709"/>
        <w:jc w:val="both"/>
        <w:rPr>
          <w:rFonts w:ascii="Verdana" w:eastAsia="Calibri" w:hAnsi="Verdana" w:cs="Arial"/>
          <w:lang w:val="es-ES"/>
        </w:rPr>
      </w:pPr>
      <w:r w:rsidRPr="00872A1B">
        <w:rPr>
          <w:rFonts w:ascii="Verdana" w:eastAsia="Calibri" w:hAnsi="Verdana" w:cs="Arial"/>
          <w:lang w:val="es-ES"/>
        </w:rPr>
        <w:lastRenderedPageBreak/>
        <w:t>Sin perjuicio de lo anterior, vale la pena aclarar que el cumplimiento del deber de publicación de la documentación contractual debe armonizarse con las normas aplicables al tipo de información que estas contienen</w:t>
      </w:r>
      <w:r w:rsidRPr="00872A1B">
        <w:rPr>
          <w:rStyle w:val="Refdenotaalpie"/>
          <w:rFonts w:ascii="Verdana" w:eastAsia="Calibri" w:hAnsi="Verdana" w:cs="Arial"/>
          <w:lang w:val="es-ES"/>
        </w:rPr>
        <w:footnoteReference w:id="17"/>
      </w:r>
      <w:r w:rsidRPr="00872A1B">
        <w:rPr>
          <w:rFonts w:ascii="Verdana" w:eastAsia="Calibri" w:hAnsi="Verdana" w:cs="Arial"/>
          <w:lang w:val="es-ES"/>
        </w:rPr>
        <w:t xml:space="preserve">. Lo anterior significa que, respecto de datos sensibles, información sometida a reserva o de la cual proceda un tratamiento especial que impida su publicidad, las entidades deberán proceder de conformidad con el tratamiento que impongan tales normas. </w:t>
      </w:r>
    </w:p>
    <w:p w14:paraId="147ABBB4" w14:textId="369E8CE5" w:rsidR="00E93CC3" w:rsidRPr="00872A1B" w:rsidRDefault="00480DCB" w:rsidP="00872A1B">
      <w:pPr>
        <w:spacing w:after="120" w:line="276" w:lineRule="auto"/>
        <w:ind w:firstLine="709"/>
        <w:jc w:val="both"/>
        <w:rPr>
          <w:rFonts w:ascii="Verdana" w:eastAsia="Calibri" w:hAnsi="Verdana" w:cs="Arial"/>
          <w:lang w:val="es-ES"/>
        </w:rPr>
      </w:pPr>
      <w:r w:rsidRPr="00872A1B">
        <w:rPr>
          <w:rFonts w:ascii="Verdana" w:hAnsi="Verdana" w:cs="Arial"/>
          <w:bCs/>
          <w:lang w:val="es-ES"/>
        </w:rPr>
        <w:t xml:space="preserve">Frente a </w:t>
      </w:r>
      <w:r w:rsidR="00811AF4" w:rsidRPr="00872A1B">
        <w:rPr>
          <w:rFonts w:ascii="Verdana" w:hAnsi="Verdana" w:cs="Arial"/>
          <w:bCs/>
          <w:lang w:val="es-ES"/>
        </w:rPr>
        <w:t xml:space="preserve">la </w:t>
      </w:r>
      <w:bookmarkStart w:id="9" w:name="_Hlk110869205"/>
      <w:r w:rsidR="009508EB" w:rsidRPr="009508EB">
        <w:rPr>
          <w:rFonts w:ascii="Verdana" w:hAnsi="Verdana" w:cs="Arial"/>
          <w:bCs/>
          <w:lang w:val="es-ES"/>
        </w:rPr>
        <w:t>p</w:t>
      </w:r>
      <w:proofErr w:type="spellStart"/>
      <w:r w:rsidR="009508EB" w:rsidRPr="00872A1B">
        <w:rPr>
          <w:rFonts w:ascii="Verdana" w:eastAsia="Calibri" w:hAnsi="Verdana" w:cs="Arial"/>
          <w:lang w:val="es-ES_tradnl" w:eastAsia="es-ES_tradnl"/>
        </w:rPr>
        <w:t>rocedencia</w:t>
      </w:r>
      <w:proofErr w:type="spellEnd"/>
      <w:r w:rsidR="009508EB" w:rsidRPr="00872A1B">
        <w:rPr>
          <w:rFonts w:ascii="Verdana" w:eastAsia="Calibri" w:hAnsi="Verdana" w:cs="Arial"/>
          <w:lang w:val="es-ES_tradnl" w:eastAsia="es-ES_tradnl"/>
        </w:rPr>
        <w:t xml:space="preserve"> de los recursos como punto de partida para la publicación en el SECOP II</w:t>
      </w:r>
      <w:r w:rsidR="009A35D3">
        <w:rPr>
          <w:rFonts w:ascii="Verdana" w:eastAsia="Calibri" w:hAnsi="Verdana" w:cs="Arial"/>
          <w:lang w:val="es-ES_tradnl" w:eastAsia="es-ES_tradnl"/>
        </w:rPr>
        <w:t xml:space="preserve"> debe señalarse que,</w:t>
      </w:r>
      <w:r w:rsidR="009508EB">
        <w:rPr>
          <w:rFonts w:ascii="Verdana" w:eastAsia="Calibri" w:hAnsi="Verdana" w:cs="Arial"/>
          <w:i/>
          <w:iCs/>
          <w:lang w:val="es-ES_tradnl" w:eastAsia="es-ES_tradnl"/>
        </w:rPr>
        <w:t xml:space="preserve"> </w:t>
      </w:r>
      <w:r w:rsidR="009A35D3">
        <w:rPr>
          <w:rFonts w:ascii="Verdana" w:eastAsia="Calibri" w:hAnsi="Verdana" w:cs="Arial"/>
          <w:lang w:val="es-ES_tradnl" w:eastAsia="es-ES_tradnl"/>
        </w:rPr>
        <w:t>l</w:t>
      </w:r>
      <w:r w:rsidR="009508EB" w:rsidRPr="001B03E2">
        <w:rPr>
          <w:rFonts w:ascii="Verdana" w:eastAsia="Calibri" w:hAnsi="Verdana" w:cs="Arial"/>
          <w:lang w:val="es-ES_tradnl" w:eastAsia="es-ES_tradnl"/>
        </w:rPr>
        <w:t xml:space="preserve">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w:t>
      </w:r>
      <w:bookmarkEnd w:id="9"/>
      <w:r w:rsidR="009508EB" w:rsidRPr="001B03E2">
        <w:rPr>
          <w:rFonts w:ascii="Verdana" w:hAnsi="Verdana" w:cs="Arial"/>
          <w:lang w:val="es-ES"/>
        </w:rPr>
        <w:t>De conformidad con lo expuesto, teniendo en cuenta que el artículo 53 complementa la disposición contenida en el artículo 3 de la Ley 1150 de 2007, debe entenderse que la contratación a la que se refiere es aquella realizada con recursos públicos, cuya información es la que debe publicarse en el SECOP II</w:t>
      </w:r>
      <w:r w:rsidR="009508EB">
        <w:rPr>
          <w:rFonts w:ascii="Verdana" w:hAnsi="Verdana" w:cs="Arial"/>
          <w:lang w:val="es-ES"/>
        </w:rPr>
        <w:t>.</w:t>
      </w:r>
      <w:r w:rsidR="00251236">
        <w:rPr>
          <w:rFonts w:ascii="Verdana" w:hAnsi="Verdana" w:cs="Arial"/>
          <w:lang w:val="es-ES"/>
        </w:rPr>
        <w:t xml:space="preserve"> </w:t>
      </w:r>
      <w:r w:rsidR="00E93CC3" w:rsidRPr="00872A1B">
        <w:rPr>
          <w:rFonts w:ascii="Verdana" w:eastAsia="Calibri" w:hAnsi="Verdana" w:cs="Arial"/>
          <w:lang w:val="es-ES_tradnl"/>
        </w:rPr>
        <w:t xml:space="preserve">En ese sentido, la citada disposición establece el deber de publicar toda aquella </w:t>
      </w:r>
      <w:r w:rsidR="00E93CC3" w:rsidRPr="00872A1B">
        <w:rPr>
          <w:rFonts w:ascii="Verdana" w:eastAsia="Calibri" w:hAnsi="Verdana" w:cs="Arial"/>
          <w:lang w:val="es-ES_tradnl"/>
        </w:rPr>
        <w:lastRenderedPageBreak/>
        <w:t>información relacionada con el respectivo contrato, sin incluir ninguna excepción relacionada con la naturaleza u objeto contractual.</w:t>
      </w:r>
    </w:p>
    <w:p w14:paraId="3CFDDCF3" w14:textId="3A314A3F" w:rsidR="00FD4DC0" w:rsidRPr="00872A1B" w:rsidRDefault="00FD4DC0" w:rsidP="00872A1B">
      <w:pPr>
        <w:pStyle w:val="Textonotapie"/>
        <w:spacing w:after="120" w:line="276" w:lineRule="auto"/>
        <w:ind w:firstLine="708"/>
        <w:jc w:val="both"/>
        <w:rPr>
          <w:rFonts w:ascii="Verdana" w:hAnsi="Verdana"/>
          <w:sz w:val="22"/>
          <w:szCs w:val="22"/>
        </w:rPr>
      </w:pPr>
      <w:r w:rsidRPr="00872A1B">
        <w:rPr>
          <w:rFonts w:ascii="Verdana" w:eastAsia="Calibri" w:hAnsi="Verdana" w:cs="Arial"/>
          <w:color w:val="000000"/>
          <w:sz w:val="22"/>
          <w:szCs w:val="22"/>
          <w:lang w:eastAsia="es-ES"/>
        </w:rPr>
        <w:t xml:space="preserve">Sobre los lineamientos </w:t>
      </w:r>
      <w:r w:rsidR="00BD3CCA" w:rsidRPr="00872A1B">
        <w:rPr>
          <w:rFonts w:ascii="Verdana" w:eastAsia="Calibri" w:hAnsi="Verdana" w:cs="Arial"/>
          <w:color w:val="000000"/>
          <w:sz w:val="22"/>
          <w:szCs w:val="22"/>
          <w:lang w:eastAsia="es-ES"/>
        </w:rPr>
        <w:t xml:space="preserve">expedidos por la Agencia Nacional de Contratación Pública – Colombia Compra Eficiente </w:t>
      </w:r>
      <w:r w:rsidR="00D4714A" w:rsidRPr="00872A1B">
        <w:rPr>
          <w:rFonts w:ascii="Verdana" w:eastAsia="Calibri" w:hAnsi="Verdana" w:cs="Arial"/>
          <w:color w:val="000000"/>
          <w:sz w:val="22"/>
          <w:szCs w:val="22"/>
          <w:lang w:eastAsia="es-ES"/>
        </w:rPr>
        <w:t xml:space="preserve">destacamos la Circular Única Externa, la cual puede </w:t>
      </w:r>
      <w:r w:rsidR="006526A5" w:rsidRPr="00872A1B">
        <w:rPr>
          <w:rFonts w:ascii="Verdana" w:eastAsia="Calibri" w:hAnsi="Verdana" w:cs="Arial"/>
          <w:color w:val="000000"/>
          <w:sz w:val="22"/>
          <w:szCs w:val="22"/>
          <w:lang w:eastAsia="es-ES"/>
        </w:rPr>
        <w:t>consultar</w:t>
      </w:r>
      <w:r w:rsidR="00D4714A" w:rsidRPr="00872A1B">
        <w:rPr>
          <w:rFonts w:ascii="Verdana" w:eastAsia="Calibri" w:hAnsi="Verdana" w:cs="Arial"/>
          <w:color w:val="000000"/>
          <w:sz w:val="22"/>
          <w:szCs w:val="22"/>
          <w:lang w:eastAsia="es-ES"/>
        </w:rPr>
        <w:t xml:space="preserve"> en el siguiente enlace:</w:t>
      </w:r>
      <w:r w:rsidR="008C387E" w:rsidRPr="00367533">
        <w:rPr>
          <w:rFonts w:ascii="Verdana" w:eastAsia="Calibri" w:hAnsi="Verdana" w:cs="Arial"/>
          <w:color w:val="000000"/>
          <w:sz w:val="22"/>
          <w:szCs w:val="22"/>
          <w:lang w:eastAsia="es-ES"/>
        </w:rPr>
        <w:t xml:space="preserve"> </w:t>
      </w:r>
      <w:hyperlink r:id="rId17" w:history="1">
        <w:r w:rsidR="008C387E" w:rsidRPr="00367533">
          <w:rPr>
            <w:rStyle w:val="Hipervnculo"/>
            <w:rFonts w:ascii="Verdana" w:eastAsia="Calibri" w:hAnsi="Verdana" w:cs="Arial"/>
            <w:sz w:val="22"/>
            <w:szCs w:val="22"/>
            <w:lang w:eastAsia="es-ES"/>
          </w:rPr>
          <w:t>https://www.colombiacompra.gov.co/wp-content/uploads/2024/08/circular_externa_unica_version_3_vf49.pdf</w:t>
        </w:r>
      </w:hyperlink>
      <w:r w:rsidR="008C387E" w:rsidRPr="00367533">
        <w:rPr>
          <w:rFonts w:ascii="Verdana" w:eastAsia="Calibri" w:hAnsi="Verdana" w:cs="Arial"/>
          <w:color w:val="000000"/>
          <w:sz w:val="22"/>
          <w:szCs w:val="22"/>
          <w:lang w:eastAsia="es-ES"/>
        </w:rPr>
        <w:t>; l</w:t>
      </w:r>
      <w:r w:rsidRPr="00872A1B">
        <w:rPr>
          <w:rFonts w:ascii="Verdana" w:eastAsia="Calibri" w:hAnsi="Verdana" w:cs="Arial"/>
          <w:color w:val="000000"/>
          <w:sz w:val="22"/>
          <w:szCs w:val="22"/>
          <w:lang w:eastAsia="es-ES"/>
        </w:rPr>
        <w:t xml:space="preserve">a Circular Externa 002 de 2024 se puede consultar en el siguiente enlace: </w:t>
      </w:r>
      <w:hyperlink r:id="rId18" w:history="1">
        <w:r w:rsidRPr="00872A1B">
          <w:rPr>
            <w:rStyle w:val="Hipervnculo"/>
            <w:rFonts w:ascii="Verdana" w:hAnsi="Verdana"/>
            <w:sz w:val="22"/>
            <w:szCs w:val="22"/>
          </w:rPr>
          <w:t>https://www.colombiacompra.gov.co/sites/cce_public/files/cce_circulares/doc-20240823-wa0021.pdf</w:t>
        </w:r>
      </w:hyperlink>
      <w:r w:rsidR="00367533" w:rsidRPr="00367533">
        <w:rPr>
          <w:rFonts w:ascii="Verdana" w:hAnsi="Verdana"/>
          <w:sz w:val="22"/>
          <w:szCs w:val="22"/>
        </w:rPr>
        <w:t xml:space="preserve">. </w:t>
      </w:r>
      <w:r w:rsidR="00367533" w:rsidRPr="00872A1B">
        <w:rPr>
          <w:rFonts w:ascii="Verdana" w:hAnsi="Verdana" w:cs="Arial"/>
          <w:sz w:val="22"/>
          <w:szCs w:val="22"/>
        </w:rPr>
        <w:t xml:space="preserve">En el siguiente </w:t>
      </w:r>
      <w:proofErr w:type="gramStart"/>
      <w:r w:rsidR="00367533" w:rsidRPr="00872A1B">
        <w:rPr>
          <w:rFonts w:ascii="Verdana" w:hAnsi="Verdana" w:cs="Arial"/>
          <w:sz w:val="22"/>
          <w:szCs w:val="22"/>
        </w:rPr>
        <w:t>link</w:t>
      </w:r>
      <w:proofErr w:type="gramEnd"/>
      <w:r w:rsidR="00367533" w:rsidRPr="00872A1B">
        <w:rPr>
          <w:rFonts w:ascii="Verdana" w:hAnsi="Verdana" w:cs="Arial"/>
          <w:sz w:val="22"/>
          <w:szCs w:val="22"/>
        </w:rPr>
        <w:t xml:space="preserve"> se puede consultar la Guía para gestionar o publicar los procesos de Régimen Especial con oferta en el SECOP II:  </w:t>
      </w:r>
      <w:hyperlink r:id="rId19" w:history="1">
        <w:r w:rsidR="00367533" w:rsidRPr="00872A1B">
          <w:rPr>
            <w:rStyle w:val="Hipervnculo"/>
            <w:rFonts w:ascii="Verdana" w:hAnsi="Verdana" w:cs="Arial"/>
            <w:sz w:val="22"/>
            <w:szCs w:val="22"/>
          </w:rPr>
          <w:t>https://www.colombiacompra.gov.co/node/23628</w:t>
        </w:r>
      </w:hyperlink>
      <w:r w:rsidR="00367533" w:rsidRPr="00872A1B">
        <w:rPr>
          <w:rFonts w:ascii="Verdana" w:hAnsi="Verdana"/>
          <w:sz w:val="22"/>
          <w:szCs w:val="22"/>
        </w:rPr>
        <w:t xml:space="preserve">. </w:t>
      </w:r>
      <w:r w:rsidR="00367533" w:rsidRPr="00872A1B">
        <w:rPr>
          <w:rFonts w:ascii="Verdana" w:hAnsi="Verdana" w:cs="Arial"/>
          <w:sz w:val="22"/>
          <w:szCs w:val="22"/>
        </w:rPr>
        <w:t xml:space="preserve">En el siguiente </w:t>
      </w:r>
      <w:proofErr w:type="gramStart"/>
      <w:r w:rsidR="00367533" w:rsidRPr="00872A1B">
        <w:rPr>
          <w:rFonts w:ascii="Verdana" w:hAnsi="Verdana" w:cs="Arial"/>
          <w:sz w:val="22"/>
          <w:szCs w:val="22"/>
        </w:rPr>
        <w:t>link</w:t>
      </w:r>
      <w:proofErr w:type="gramEnd"/>
      <w:r w:rsidR="00367533" w:rsidRPr="00872A1B">
        <w:rPr>
          <w:rFonts w:ascii="Verdana" w:hAnsi="Verdana" w:cs="Arial"/>
          <w:sz w:val="22"/>
          <w:szCs w:val="22"/>
        </w:rPr>
        <w:t xml:space="preserve"> se puede consultar la Guía para gestionar o publicar los procesos de Régimen Especial sin oferta en el SECOP II:   </w:t>
      </w:r>
      <w:hyperlink r:id="rId20" w:history="1">
        <w:r w:rsidR="00367533" w:rsidRPr="00872A1B">
          <w:rPr>
            <w:rStyle w:val="Hipervnculo"/>
            <w:rFonts w:ascii="Verdana" w:hAnsi="Verdana" w:cs="Arial"/>
            <w:sz w:val="22"/>
            <w:szCs w:val="22"/>
          </w:rPr>
          <w:t>https://www.colombiacompra.gov.co/node/30741</w:t>
        </w:r>
      </w:hyperlink>
    </w:p>
    <w:p w14:paraId="35105A5A" w14:textId="4A982139" w:rsidR="000738FC" w:rsidRDefault="000738FC" w:rsidP="00872A1B">
      <w:pPr>
        <w:spacing w:before="120" w:after="0" w:line="276" w:lineRule="auto"/>
        <w:ind w:firstLine="709"/>
        <w:jc w:val="both"/>
        <w:rPr>
          <w:rFonts w:ascii="Verdana" w:hAnsi="Verdana" w:cs="Arial"/>
          <w:bCs/>
        </w:rPr>
      </w:pPr>
      <w:r w:rsidRPr="006D583B">
        <w:rPr>
          <w:rFonts w:ascii="Verdana" w:hAnsi="Verdana" w:cs="Arial"/>
          <w:bCs/>
        </w:rPr>
        <w:t>Conforme a lo anterior,</w:t>
      </w:r>
      <w:r w:rsidR="006A5448">
        <w:rPr>
          <w:rFonts w:ascii="Verdana" w:hAnsi="Verdana" w:cs="Arial"/>
          <w:bCs/>
        </w:rPr>
        <w:t xml:space="preserve"> se concluye que</w:t>
      </w:r>
      <w:r w:rsidRPr="001272A0">
        <w:rPr>
          <w:rFonts w:ascii="Verdana" w:hAnsi="Verdana" w:cs="Arial"/>
          <w:bCs/>
        </w:rPr>
        <w:t xml:space="preserve">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Sin perjuicio de lo anterior, vale la pena aclarar que el cumplimiento del deber de publicación de la documentación contractual debe armonizarse con las normas aplicables al tipo de información que estas contienen</w:t>
      </w:r>
      <w:r w:rsidRPr="001272A0">
        <w:rPr>
          <w:rFonts w:ascii="Verdana" w:hAnsi="Verdana" w:cs="Arial"/>
          <w:bCs/>
          <w:vertAlign w:val="superscript"/>
        </w:rPr>
        <w:footnoteReference w:id="18"/>
      </w:r>
      <w:r w:rsidRPr="001272A0">
        <w:rPr>
          <w:rFonts w:ascii="Verdana" w:hAnsi="Verdana" w:cs="Arial"/>
          <w:bCs/>
        </w:rPr>
        <w:t xml:space="preserve">. Lo anterior significa que, respecto de datos sensibles, información </w:t>
      </w:r>
      <w:r w:rsidRPr="001272A0">
        <w:rPr>
          <w:rFonts w:ascii="Verdana" w:hAnsi="Verdana" w:cs="Arial"/>
          <w:bCs/>
        </w:rPr>
        <w:lastRenderedPageBreak/>
        <w:t xml:space="preserve">sometida a reserva o de la cual proceda un tratamiento especial que impida su publicidad, las entidades deberán proceder de conformidad con el tratamiento que impongan tales normas. </w:t>
      </w:r>
    </w:p>
    <w:p w14:paraId="3EB46778" w14:textId="77777777" w:rsidR="00174BC1" w:rsidRPr="001272A0" w:rsidRDefault="00174BC1" w:rsidP="00872A1B">
      <w:pPr>
        <w:spacing w:after="0" w:line="276" w:lineRule="auto"/>
        <w:ind w:firstLine="709"/>
        <w:jc w:val="both"/>
        <w:rPr>
          <w:rFonts w:ascii="Verdana" w:hAnsi="Verdana" w:cs="Arial"/>
          <w:bCs/>
        </w:rPr>
      </w:pPr>
    </w:p>
    <w:bookmarkEnd w:id="8"/>
    <w:p w14:paraId="4F6703E3" w14:textId="77777777" w:rsidR="000738FC" w:rsidRPr="005B7C42" w:rsidRDefault="000738FC" w:rsidP="009479DC">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4. Referencias normativas, jurisprudenciales y otras fuentes:</w:t>
      </w:r>
    </w:p>
    <w:p w14:paraId="3E0D0976" w14:textId="77777777" w:rsidR="000738FC" w:rsidRPr="005B7C42" w:rsidRDefault="000738FC" w:rsidP="009479D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738FC" w:rsidRPr="005B7C42" w14:paraId="1366A6A0" w14:textId="77777777" w:rsidTr="00B579F0">
        <w:trPr>
          <w:trHeight w:val="870"/>
        </w:trPr>
        <w:tc>
          <w:tcPr>
            <w:tcW w:w="8647" w:type="dxa"/>
          </w:tcPr>
          <w:p w14:paraId="1530C039" w14:textId="77777777" w:rsidR="000738FC" w:rsidRDefault="000738FC" w:rsidP="00872A1B">
            <w:pPr>
              <w:pStyle w:val="Prrafodelista"/>
              <w:numPr>
                <w:ilvl w:val="0"/>
                <w:numId w:val="16"/>
              </w:numPr>
              <w:spacing w:line="276" w:lineRule="auto"/>
              <w:ind w:left="357" w:hanging="357"/>
              <w:contextualSpacing w:val="0"/>
              <w:jc w:val="both"/>
              <w:rPr>
                <w:rFonts w:ascii="Verdana" w:eastAsia="Calibri" w:hAnsi="Verdana" w:cs="Arial"/>
                <w:shd w:val="clear" w:color="auto" w:fill="FFFFFF"/>
              </w:rPr>
            </w:pPr>
            <w:r w:rsidRPr="0014064B">
              <w:rPr>
                <w:rFonts w:ascii="Verdana" w:eastAsia="Calibri" w:hAnsi="Verdana" w:cs="Arial"/>
                <w:shd w:val="clear" w:color="auto" w:fill="FFFFFF"/>
              </w:rPr>
              <w:t>Constitución Política de 1991</w:t>
            </w:r>
            <w:r>
              <w:rPr>
                <w:rFonts w:ascii="Verdana" w:eastAsia="Calibri" w:hAnsi="Verdana" w:cs="Arial"/>
                <w:shd w:val="clear" w:color="auto" w:fill="FFFFFF"/>
              </w:rPr>
              <w:t xml:space="preserve">, artículos </w:t>
            </w:r>
            <w:r w:rsidRPr="0014064B">
              <w:rPr>
                <w:rFonts w:ascii="Verdana" w:eastAsia="Calibri" w:hAnsi="Verdana" w:cs="Arial"/>
                <w:shd w:val="clear" w:color="auto" w:fill="FFFFFF"/>
              </w:rPr>
              <w:t>74</w:t>
            </w:r>
            <w:r>
              <w:rPr>
                <w:rFonts w:ascii="Verdana" w:eastAsia="Calibri" w:hAnsi="Verdana" w:cs="Arial"/>
                <w:shd w:val="clear" w:color="auto" w:fill="FFFFFF"/>
              </w:rPr>
              <w:t>,</w:t>
            </w:r>
            <w:r w:rsidRPr="0014064B">
              <w:rPr>
                <w:rFonts w:ascii="Verdana" w:eastAsia="Calibri" w:hAnsi="Verdana" w:cs="Arial"/>
                <w:shd w:val="clear" w:color="auto" w:fill="FFFFFF"/>
              </w:rPr>
              <w:t xml:space="preserve"> 209</w:t>
            </w:r>
            <w:r>
              <w:rPr>
                <w:rFonts w:ascii="Verdana" w:eastAsia="Calibri" w:hAnsi="Verdana" w:cs="Arial"/>
                <w:shd w:val="clear" w:color="auto" w:fill="FFFFFF"/>
              </w:rPr>
              <w:t xml:space="preserve"> y 267</w:t>
            </w:r>
          </w:p>
          <w:p w14:paraId="0A4B01B5" w14:textId="77777777" w:rsidR="000738FC" w:rsidRDefault="000738FC" w:rsidP="00872A1B">
            <w:pPr>
              <w:pStyle w:val="Prrafodelista"/>
              <w:numPr>
                <w:ilvl w:val="0"/>
                <w:numId w:val="16"/>
              </w:numPr>
              <w:spacing w:line="276" w:lineRule="auto"/>
              <w:ind w:left="357" w:hanging="357"/>
              <w:contextualSpacing w:val="0"/>
              <w:jc w:val="both"/>
              <w:rPr>
                <w:rFonts w:ascii="Verdana" w:eastAsia="Calibri" w:hAnsi="Verdana" w:cs="Arial"/>
                <w:shd w:val="clear" w:color="auto" w:fill="FFFFFF"/>
              </w:rPr>
            </w:pPr>
            <w:r w:rsidRPr="00B50883">
              <w:rPr>
                <w:rFonts w:ascii="Verdana" w:eastAsia="Calibri" w:hAnsi="Verdana" w:cs="Arial"/>
                <w:shd w:val="clear" w:color="auto" w:fill="FFFFFF"/>
              </w:rPr>
              <w:t>Ley 1150 de 2007</w:t>
            </w:r>
            <w:r>
              <w:rPr>
                <w:rFonts w:ascii="Verdana" w:eastAsia="Calibri" w:hAnsi="Verdana" w:cs="Arial"/>
                <w:shd w:val="clear" w:color="auto" w:fill="FFFFFF"/>
              </w:rPr>
              <w:t>, artículos 3 y 13</w:t>
            </w:r>
          </w:p>
          <w:p w14:paraId="7A8D3CAA" w14:textId="77777777" w:rsidR="000738FC" w:rsidRDefault="000738FC" w:rsidP="00872A1B">
            <w:pPr>
              <w:pStyle w:val="Prrafodelista"/>
              <w:numPr>
                <w:ilvl w:val="0"/>
                <w:numId w:val="16"/>
              </w:numPr>
              <w:spacing w:line="276" w:lineRule="auto"/>
              <w:ind w:left="357" w:hanging="357"/>
              <w:contextualSpacing w:val="0"/>
              <w:jc w:val="both"/>
              <w:rPr>
                <w:rFonts w:ascii="Verdana" w:eastAsia="Calibri" w:hAnsi="Verdana" w:cs="Arial"/>
                <w:shd w:val="clear" w:color="auto" w:fill="FFFFFF"/>
              </w:rPr>
            </w:pPr>
            <w:r w:rsidRPr="0000554D">
              <w:rPr>
                <w:rFonts w:ascii="Verdana" w:eastAsia="Calibri" w:hAnsi="Verdana" w:cs="Arial"/>
                <w:shd w:val="clear" w:color="auto" w:fill="FFFFFF"/>
              </w:rPr>
              <w:t xml:space="preserve">Ley 142 de 1994, artículos </w:t>
            </w:r>
            <w:r>
              <w:rPr>
                <w:rFonts w:ascii="Verdana" w:eastAsia="Calibri" w:hAnsi="Verdana" w:cs="Arial"/>
                <w:shd w:val="clear" w:color="auto" w:fill="FFFFFF"/>
              </w:rPr>
              <w:t xml:space="preserve">14, </w:t>
            </w:r>
            <w:r w:rsidRPr="0000554D">
              <w:rPr>
                <w:rFonts w:ascii="Verdana" w:eastAsia="Calibri" w:hAnsi="Verdana" w:cs="Arial"/>
                <w:shd w:val="clear" w:color="auto" w:fill="FFFFFF"/>
              </w:rPr>
              <w:t>15, 17 al 26</w:t>
            </w:r>
            <w:r>
              <w:rPr>
                <w:rFonts w:ascii="Verdana" w:eastAsia="Calibri" w:hAnsi="Verdana" w:cs="Arial"/>
                <w:shd w:val="clear" w:color="auto" w:fill="FFFFFF"/>
              </w:rPr>
              <w:t xml:space="preserve">, </w:t>
            </w:r>
            <w:r w:rsidRPr="0000554D">
              <w:rPr>
                <w:rFonts w:ascii="Verdana" w:eastAsia="Calibri" w:hAnsi="Verdana" w:cs="Arial"/>
                <w:shd w:val="clear" w:color="auto" w:fill="FFFFFF"/>
              </w:rPr>
              <w:t>19.10, 31</w:t>
            </w:r>
            <w:r>
              <w:rPr>
                <w:rFonts w:ascii="Verdana" w:eastAsia="Calibri" w:hAnsi="Verdana" w:cs="Arial"/>
                <w:shd w:val="clear" w:color="auto" w:fill="FFFFFF"/>
              </w:rPr>
              <w:t xml:space="preserve"> y</w:t>
            </w:r>
            <w:r w:rsidRPr="0000554D">
              <w:rPr>
                <w:rFonts w:ascii="Verdana" w:eastAsia="Calibri" w:hAnsi="Verdana" w:cs="Arial"/>
                <w:shd w:val="clear" w:color="auto" w:fill="FFFFFF"/>
              </w:rPr>
              <w:t xml:space="preserve"> 79.9</w:t>
            </w:r>
          </w:p>
          <w:p w14:paraId="175D43A4" w14:textId="77777777" w:rsidR="000738FC" w:rsidRPr="0000554D" w:rsidRDefault="000738FC" w:rsidP="00872A1B">
            <w:pPr>
              <w:pStyle w:val="Prrafodelista"/>
              <w:numPr>
                <w:ilvl w:val="0"/>
                <w:numId w:val="16"/>
              </w:numPr>
              <w:spacing w:line="276" w:lineRule="auto"/>
              <w:ind w:left="357" w:hanging="357"/>
              <w:contextualSpacing w:val="0"/>
              <w:jc w:val="both"/>
              <w:rPr>
                <w:rFonts w:ascii="Verdana" w:eastAsia="Calibri" w:hAnsi="Verdana" w:cs="Arial"/>
                <w:shd w:val="clear" w:color="auto" w:fill="FFFFFF"/>
              </w:rPr>
            </w:pPr>
            <w:r w:rsidRPr="00484B65">
              <w:rPr>
                <w:rFonts w:ascii="Verdana" w:eastAsia="Arial" w:hAnsi="Verdana" w:cs="Arial"/>
                <w:lang w:eastAsia="es-CO"/>
              </w:rPr>
              <w:t>Ley 489 de 1998</w:t>
            </w:r>
            <w:r>
              <w:rPr>
                <w:rFonts w:ascii="Verdana" w:eastAsia="Arial" w:hAnsi="Verdana" w:cs="Arial"/>
                <w:lang w:eastAsia="es-CO"/>
              </w:rPr>
              <w:t>, artículo 38</w:t>
            </w:r>
          </w:p>
          <w:p w14:paraId="6FF8A40C" w14:textId="77777777" w:rsidR="000738FC" w:rsidRPr="00371953" w:rsidRDefault="000738FC" w:rsidP="00872A1B">
            <w:pPr>
              <w:pStyle w:val="Prrafodelista"/>
              <w:numPr>
                <w:ilvl w:val="0"/>
                <w:numId w:val="16"/>
              </w:numPr>
              <w:spacing w:line="276" w:lineRule="auto"/>
              <w:ind w:left="357" w:hanging="357"/>
              <w:contextualSpacing w:val="0"/>
              <w:jc w:val="both"/>
              <w:rPr>
                <w:rFonts w:ascii="Verdana" w:eastAsia="Calibri" w:hAnsi="Verdana" w:cs="Arial"/>
                <w:shd w:val="clear" w:color="auto" w:fill="FFFFFF"/>
              </w:rPr>
            </w:pPr>
            <w:r w:rsidRPr="00510220">
              <w:rPr>
                <w:rFonts w:ascii="Verdana" w:eastAsia="Calibri" w:hAnsi="Verdana" w:cs="Arial"/>
                <w:shd w:val="clear" w:color="auto" w:fill="FFFFFF"/>
              </w:rPr>
              <w:t>Decreto 1081 de 2015</w:t>
            </w:r>
            <w:r>
              <w:rPr>
                <w:rFonts w:ascii="Verdana" w:eastAsia="Calibri" w:hAnsi="Verdana" w:cs="Arial"/>
                <w:shd w:val="clear" w:color="auto" w:fill="FFFFFF"/>
              </w:rPr>
              <w:t xml:space="preserve">, artículos </w:t>
            </w:r>
            <w:r w:rsidRPr="00B82B1C">
              <w:rPr>
                <w:rFonts w:ascii="Verdana" w:hAnsi="Verdana" w:cs="Arial"/>
                <w:shd w:val="clear" w:color="auto" w:fill="FFFFFF"/>
              </w:rPr>
              <w:t>2.1.1.1.1. al 2.1.1.6.1.</w:t>
            </w:r>
            <w:r>
              <w:rPr>
                <w:rFonts w:ascii="Verdana" w:hAnsi="Verdana" w:cs="Arial"/>
                <w:shd w:val="clear" w:color="auto" w:fill="FFFFFF"/>
              </w:rPr>
              <w:t xml:space="preserve"> y </w:t>
            </w:r>
            <w:r w:rsidRPr="002539DB">
              <w:rPr>
                <w:rFonts w:ascii="Verdana" w:eastAsia="Calibri" w:hAnsi="Verdana" w:cstheme="majorHAnsi"/>
                <w:bCs/>
                <w:lang w:val="es-MX"/>
              </w:rPr>
              <w:t>2.1.1.2.1.7.</w:t>
            </w:r>
          </w:p>
          <w:p w14:paraId="30BA466A" w14:textId="77777777" w:rsidR="000738FC" w:rsidRDefault="000738FC" w:rsidP="00872A1B">
            <w:pPr>
              <w:pStyle w:val="Prrafodelista"/>
              <w:numPr>
                <w:ilvl w:val="0"/>
                <w:numId w:val="16"/>
              </w:numPr>
              <w:spacing w:line="276" w:lineRule="auto"/>
              <w:ind w:left="357" w:hanging="357"/>
              <w:contextualSpacing w:val="0"/>
              <w:jc w:val="both"/>
              <w:rPr>
                <w:rFonts w:ascii="Verdana" w:eastAsia="Calibri" w:hAnsi="Verdana" w:cs="Arial"/>
                <w:shd w:val="clear" w:color="auto" w:fill="FFFFFF"/>
              </w:rPr>
            </w:pPr>
            <w:r w:rsidRPr="000946F5">
              <w:rPr>
                <w:rFonts w:ascii="Verdana" w:eastAsia="Calibri" w:hAnsi="Verdana" w:cs="Arial"/>
                <w:shd w:val="clear" w:color="auto" w:fill="FFFFFF"/>
              </w:rPr>
              <w:t>Ley 2195 de 2022, artículo</w:t>
            </w:r>
            <w:r>
              <w:rPr>
                <w:rFonts w:ascii="Verdana" w:eastAsia="Calibri" w:hAnsi="Verdana" w:cs="Arial"/>
                <w:shd w:val="clear" w:color="auto" w:fill="FFFFFF"/>
              </w:rPr>
              <w:t>s</w:t>
            </w:r>
            <w:r w:rsidRPr="000946F5">
              <w:rPr>
                <w:rFonts w:ascii="Verdana" w:eastAsia="Calibri" w:hAnsi="Verdana" w:cs="Arial"/>
                <w:shd w:val="clear" w:color="auto" w:fill="FFFFFF"/>
              </w:rPr>
              <w:t xml:space="preserve"> 1 </w:t>
            </w:r>
            <w:r>
              <w:rPr>
                <w:rFonts w:ascii="Verdana" w:eastAsia="Calibri" w:hAnsi="Verdana" w:cs="Arial"/>
                <w:shd w:val="clear" w:color="auto" w:fill="FFFFFF"/>
              </w:rPr>
              <w:t xml:space="preserve">y </w:t>
            </w:r>
            <w:r w:rsidRPr="000946F5">
              <w:rPr>
                <w:rFonts w:ascii="Verdana" w:eastAsia="Calibri" w:hAnsi="Verdana" w:cs="Arial"/>
                <w:shd w:val="clear" w:color="auto" w:fill="FFFFFF"/>
              </w:rPr>
              <w:t>53</w:t>
            </w:r>
          </w:p>
          <w:p w14:paraId="752C1344" w14:textId="77777777" w:rsidR="000738FC" w:rsidRDefault="000738FC" w:rsidP="00872A1B">
            <w:pPr>
              <w:pStyle w:val="Prrafodelista"/>
              <w:numPr>
                <w:ilvl w:val="0"/>
                <w:numId w:val="16"/>
              </w:numPr>
              <w:spacing w:line="276" w:lineRule="auto"/>
              <w:ind w:left="357" w:hanging="357"/>
              <w:contextualSpacing w:val="0"/>
              <w:jc w:val="both"/>
              <w:rPr>
                <w:rFonts w:ascii="Verdana" w:eastAsia="Calibri" w:hAnsi="Verdana" w:cs="Arial"/>
                <w:shd w:val="clear" w:color="auto" w:fill="FFFFFF"/>
              </w:rPr>
            </w:pPr>
            <w:r>
              <w:rPr>
                <w:rFonts w:ascii="Verdana" w:eastAsia="Calibri" w:hAnsi="Verdana" w:cs="Arial"/>
                <w:color w:val="000000" w:themeColor="text1"/>
                <w:szCs w:val="24"/>
                <w:lang w:val="es-ES_tradnl" w:eastAsia="es-ES_tradnl"/>
              </w:rPr>
              <w:t>Decreto 2555 de 2010</w:t>
            </w:r>
          </w:p>
          <w:p w14:paraId="36EC11D6" w14:textId="77777777" w:rsidR="000738FC" w:rsidRDefault="000738FC" w:rsidP="00872A1B">
            <w:pPr>
              <w:pStyle w:val="Prrafodelista"/>
              <w:numPr>
                <w:ilvl w:val="0"/>
                <w:numId w:val="16"/>
              </w:numPr>
              <w:spacing w:line="276" w:lineRule="auto"/>
              <w:ind w:left="357" w:hanging="357"/>
              <w:contextualSpacing w:val="0"/>
              <w:jc w:val="both"/>
              <w:rPr>
                <w:rFonts w:ascii="Verdana" w:eastAsia="Calibri" w:hAnsi="Verdana" w:cs="Arial"/>
                <w:shd w:val="clear" w:color="auto" w:fill="FFFFFF"/>
              </w:rPr>
            </w:pPr>
            <w:r w:rsidRPr="009A1122">
              <w:rPr>
                <w:rFonts w:ascii="Verdana" w:eastAsia="Calibri" w:hAnsi="Verdana" w:cs="Arial"/>
                <w:shd w:val="clear" w:color="auto" w:fill="FFFFFF"/>
              </w:rPr>
              <w:t xml:space="preserve">Ley 1712 de 2014 </w:t>
            </w:r>
            <w:r>
              <w:rPr>
                <w:rFonts w:ascii="Verdana" w:eastAsia="Calibri" w:hAnsi="Verdana" w:cs="Arial"/>
                <w:shd w:val="clear" w:color="auto" w:fill="FFFFFF"/>
              </w:rPr>
              <w:t xml:space="preserve">artículos </w:t>
            </w:r>
            <w:r w:rsidRPr="009A1122">
              <w:rPr>
                <w:rFonts w:ascii="Verdana" w:eastAsia="Calibri" w:hAnsi="Verdana" w:cs="Arial"/>
                <w:shd w:val="clear" w:color="auto" w:fill="FFFFFF"/>
              </w:rPr>
              <w:t>3</w:t>
            </w:r>
            <w:r>
              <w:rPr>
                <w:rFonts w:ascii="Verdana" w:eastAsia="Calibri" w:hAnsi="Verdana" w:cs="Arial"/>
                <w:shd w:val="clear" w:color="auto" w:fill="FFFFFF"/>
              </w:rPr>
              <w:t>,</w:t>
            </w:r>
            <w:r w:rsidRPr="009A1122">
              <w:rPr>
                <w:rFonts w:ascii="Verdana" w:eastAsia="Calibri" w:hAnsi="Verdana" w:cs="Arial"/>
                <w:shd w:val="clear" w:color="auto" w:fill="FFFFFF"/>
              </w:rPr>
              <w:t xml:space="preserve"> </w:t>
            </w:r>
            <w:r>
              <w:rPr>
                <w:rFonts w:ascii="Verdana" w:eastAsia="Calibri" w:hAnsi="Verdana" w:cs="Arial"/>
                <w:shd w:val="clear" w:color="auto" w:fill="FFFFFF"/>
              </w:rPr>
              <w:t>5,</w:t>
            </w:r>
            <w:r w:rsidRPr="009A1122">
              <w:rPr>
                <w:rFonts w:ascii="Verdana" w:eastAsia="Calibri" w:hAnsi="Verdana" w:cs="Arial"/>
                <w:shd w:val="clear" w:color="auto" w:fill="FFFFFF"/>
              </w:rPr>
              <w:t xml:space="preserve"> 9</w:t>
            </w:r>
            <w:r>
              <w:rPr>
                <w:rFonts w:ascii="Verdana" w:eastAsia="Calibri" w:hAnsi="Verdana" w:cs="Arial"/>
                <w:shd w:val="clear" w:color="auto" w:fill="FFFFFF"/>
              </w:rPr>
              <w:t xml:space="preserve"> y</w:t>
            </w:r>
            <w:r w:rsidRPr="009A1122">
              <w:rPr>
                <w:rFonts w:ascii="Verdana" w:eastAsia="Calibri" w:hAnsi="Verdana" w:cs="Arial"/>
                <w:shd w:val="clear" w:color="auto" w:fill="FFFFFF"/>
              </w:rPr>
              <w:t xml:space="preserve"> 11</w:t>
            </w:r>
          </w:p>
          <w:p w14:paraId="19751B95" w14:textId="77777777" w:rsidR="000738FC" w:rsidRDefault="000738FC" w:rsidP="00872A1B">
            <w:pPr>
              <w:pStyle w:val="Prrafodelista"/>
              <w:numPr>
                <w:ilvl w:val="0"/>
                <w:numId w:val="16"/>
              </w:numPr>
              <w:spacing w:line="276" w:lineRule="auto"/>
              <w:ind w:left="357" w:hanging="357"/>
              <w:contextualSpacing w:val="0"/>
              <w:jc w:val="both"/>
              <w:rPr>
                <w:rFonts w:ascii="Verdana" w:eastAsia="Calibri" w:hAnsi="Verdana" w:cs="Arial"/>
                <w:shd w:val="clear" w:color="auto" w:fill="FFFFFF"/>
              </w:rPr>
            </w:pPr>
            <w:r>
              <w:rPr>
                <w:rFonts w:ascii="Verdana" w:eastAsia="Calibri" w:hAnsi="Verdana" w:cs="Arial"/>
                <w:shd w:val="clear" w:color="auto" w:fill="FFFFFF"/>
              </w:rPr>
              <w:t>Código de Comercio artículo 98, 375, 384, 406 y 901</w:t>
            </w:r>
          </w:p>
          <w:p w14:paraId="3CAFD8A1" w14:textId="77777777" w:rsidR="000738FC" w:rsidRDefault="000738FC" w:rsidP="00872A1B">
            <w:pPr>
              <w:pStyle w:val="Prrafodelista"/>
              <w:numPr>
                <w:ilvl w:val="0"/>
                <w:numId w:val="16"/>
              </w:numPr>
              <w:spacing w:line="276" w:lineRule="auto"/>
              <w:ind w:left="357" w:hanging="357"/>
              <w:contextualSpacing w:val="0"/>
              <w:jc w:val="both"/>
              <w:rPr>
                <w:rFonts w:ascii="Verdana" w:eastAsia="Calibri" w:hAnsi="Verdana" w:cs="Arial"/>
                <w:shd w:val="clear" w:color="auto" w:fill="FFFFFF"/>
              </w:rPr>
            </w:pPr>
            <w:r w:rsidRPr="002D2511">
              <w:rPr>
                <w:rFonts w:ascii="Verdana" w:eastAsia="Calibri" w:hAnsi="Verdana" w:cs="Arial"/>
                <w:shd w:val="clear" w:color="auto" w:fill="FFFFFF"/>
              </w:rPr>
              <w:t>Corte Constitucional. Sentencia C- 341 del 4 de junio de 2014. M. P. Mauricio González Cuervo.</w:t>
            </w:r>
          </w:p>
          <w:p w14:paraId="4116667D" w14:textId="77777777" w:rsidR="000738FC" w:rsidRPr="000C0AD4" w:rsidRDefault="000738FC" w:rsidP="00872A1B">
            <w:pPr>
              <w:pStyle w:val="Prrafodelista"/>
              <w:numPr>
                <w:ilvl w:val="0"/>
                <w:numId w:val="16"/>
              </w:numPr>
              <w:spacing w:line="276" w:lineRule="auto"/>
              <w:ind w:left="357" w:hanging="357"/>
              <w:contextualSpacing w:val="0"/>
              <w:jc w:val="both"/>
              <w:rPr>
                <w:rFonts w:ascii="Verdana" w:eastAsia="Calibri" w:hAnsi="Verdana" w:cs="Arial"/>
                <w:shd w:val="clear" w:color="auto" w:fill="FFFFFF"/>
              </w:rPr>
            </w:pPr>
            <w:r w:rsidRPr="00353804">
              <w:rPr>
                <w:rFonts w:ascii="Verdana" w:eastAsia="Calibri" w:hAnsi="Verdana" w:cs="Arial"/>
                <w:shd w:val="clear" w:color="auto" w:fill="FFFFFF"/>
              </w:rPr>
              <w:t xml:space="preserve">Circular 002 del 1 de junio de 2022 </w:t>
            </w:r>
            <w:r>
              <w:rPr>
                <w:rFonts w:ascii="Verdana" w:eastAsia="Calibri" w:hAnsi="Verdana" w:cs="Arial"/>
                <w:shd w:val="clear" w:color="auto" w:fill="FFFFFF"/>
              </w:rPr>
              <w:t>d</w:t>
            </w:r>
            <w:r w:rsidRPr="00353804">
              <w:rPr>
                <w:rFonts w:ascii="Verdana" w:eastAsia="Calibri" w:hAnsi="Verdana" w:cs="Arial"/>
                <w:shd w:val="clear" w:color="auto" w:fill="FFFFFF"/>
              </w:rPr>
              <w:t>el Departamento Administrativo de la Presidencia de la Republica</w:t>
            </w:r>
            <w:r>
              <w:rPr>
                <w:rFonts w:ascii="Verdana" w:eastAsia="Calibri" w:hAnsi="Verdana" w:cs="Arial"/>
                <w:shd w:val="clear" w:color="auto" w:fill="FFFFFF"/>
              </w:rPr>
              <w:t xml:space="preserve"> </w:t>
            </w:r>
            <w:r w:rsidRPr="00640B68">
              <w:rPr>
                <w:rFonts w:ascii="Verdana" w:hAnsi="Verdana"/>
              </w:rPr>
              <w:t xml:space="preserve">– </w:t>
            </w:r>
            <w:r>
              <w:rPr>
                <w:rFonts w:ascii="Verdana" w:eastAsia="Calibri" w:hAnsi="Verdana" w:cs="Arial"/>
                <w:shd w:val="clear" w:color="auto" w:fill="FFFFFF"/>
              </w:rPr>
              <w:t xml:space="preserve">DAPR </w:t>
            </w:r>
          </w:p>
        </w:tc>
      </w:tr>
    </w:tbl>
    <w:p w14:paraId="6412FA1A" w14:textId="77777777" w:rsidR="000738FC" w:rsidRPr="009479DC" w:rsidRDefault="000738FC" w:rsidP="009479D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7119734" w14:textId="77777777" w:rsidR="000738FC" w:rsidRPr="009479DC" w:rsidRDefault="000738FC" w:rsidP="009479D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9479DC">
        <w:rPr>
          <w:rFonts w:ascii="Verdana" w:eastAsia="Century Gothic" w:hAnsi="Verdana" w:cs="Century Gothic"/>
          <w:b/>
          <w:bCs/>
        </w:rPr>
        <w:t>5. Doctrina de la Agencia Nacional de Contratación Pública:</w:t>
      </w:r>
    </w:p>
    <w:p w14:paraId="08E284FA" w14:textId="77777777" w:rsidR="000738FC" w:rsidRPr="009479DC" w:rsidRDefault="000738FC" w:rsidP="009479DC">
      <w:pPr>
        <w:spacing w:after="0" w:line="276" w:lineRule="auto"/>
        <w:ind w:firstLine="709"/>
        <w:jc w:val="both"/>
        <w:rPr>
          <w:rFonts w:ascii="Verdana" w:eastAsia="Times New Roman" w:hAnsi="Verdana" w:cs="Arial"/>
          <w:szCs w:val="24"/>
          <w:lang w:eastAsia="es-ES_tradnl"/>
        </w:rPr>
      </w:pPr>
    </w:p>
    <w:p w14:paraId="7514318D" w14:textId="77777777" w:rsidR="000738FC" w:rsidRPr="009479DC" w:rsidRDefault="000738FC" w:rsidP="009479DC">
      <w:pPr>
        <w:widowControl w:val="0"/>
        <w:autoSpaceDE w:val="0"/>
        <w:autoSpaceDN w:val="0"/>
        <w:spacing w:after="0" w:line="276" w:lineRule="auto"/>
        <w:jc w:val="both"/>
        <w:rPr>
          <w:rFonts w:ascii="Verdana" w:hAnsi="Verdana"/>
        </w:rPr>
      </w:pPr>
      <w:r w:rsidRPr="009479DC">
        <w:rPr>
          <w:rFonts w:ascii="Verdana" w:hAnsi="Verdana"/>
        </w:rPr>
        <w:t xml:space="preserve">La Agencia Nacional de Contratación Pública – Colombia Compra Eficiente se ha pronunciado en diferentes oportunidades respecto a la aplicación los principios de publicidad y de acceso a la información pública en la contratación estatal sus fundamentos normativos y el deber de publicar la documentación contractual en el SECOP, en conceptos como el 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 De igual manera, recientemente, se pronunció sobre la interpretación del artículo 53 de la Ley 2195 de 2022, en los conceptos C-049 </w:t>
      </w:r>
      <w:r w:rsidRPr="009479DC">
        <w:rPr>
          <w:rFonts w:ascii="Verdana" w:hAnsi="Verdana"/>
        </w:rPr>
        <w:lastRenderedPageBreak/>
        <w:t xml:space="preserve">del 7 de marzo de 2022, C-120 del 22 de marzo de 2022, C-124 del 22 de marzo de 2022, C-132 del 28 de marzo de 2022, C-337 del 25 de mayo de 2022, C-348 del 13 de junio de 2022, C-480 del 18 de julio de 2022, C- 544 del 29 de agosto de 2022, C-555 del 6 de septiembre de 2022, C- 821 de 29 de noviembre de 2022, C-071 del 28 de marzo de 2023 y C-044 del 3 de abril de 2024, entre otros. </w:t>
      </w:r>
      <w:r w:rsidRPr="009479DC">
        <w:rPr>
          <w:rStyle w:val="normaltextrun"/>
          <w:rFonts w:ascii="Verdana" w:hAnsi="Verdana" w:cs="Arial"/>
          <w:shd w:val="clear" w:color="auto" w:fill="FFFFFF"/>
          <w:lang w:val="es-ES"/>
        </w:rPr>
        <w:t>Es</w:t>
      </w:r>
      <w:r w:rsidRPr="009479DC">
        <w:rPr>
          <w:rFonts w:ascii="Verdana" w:hAnsi="Verdana"/>
        </w:rPr>
        <w:t xml:space="preserve">tos y otros conceptos se encuentran disponibles para consulta en el Sistema de relatoría de la Agencia, al cual se puede acceder a través del siguiente enlace: </w:t>
      </w:r>
      <w:hyperlink r:id="rId21" w:history="1">
        <w:r w:rsidRPr="009479DC">
          <w:rPr>
            <w:rStyle w:val="Hipervnculo"/>
            <w:rFonts w:ascii="Verdana" w:eastAsia="Calibri" w:hAnsi="Verdana" w:cs="Arial"/>
            <w:lang w:eastAsia="es-ES_tradnl"/>
          </w:rPr>
          <w:t>https://relatoria.colombiacompra.gov.co/</w:t>
        </w:r>
      </w:hyperlink>
      <w:r w:rsidRPr="009479DC">
        <w:rPr>
          <w:rFonts w:ascii="Verdana" w:eastAsia="Calibri" w:hAnsi="Verdana" w:cs="Arial"/>
          <w:lang w:eastAsia="es-ES_tradnl"/>
        </w:rPr>
        <w:t> </w:t>
      </w:r>
    </w:p>
    <w:p w14:paraId="22BDDA0C" w14:textId="77777777" w:rsidR="000738FC" w:rsidRPr="009479DC" w:rsidRDefault="000738FC" w:rsidP="009479DC">
      <w:pPr>
        <w:widowControl w:val="0"/>
        <w:autoSpaceDE w:val="0"/>
        <w:autoSpaceDN w:val="0"/>
        <w:spacing w:after="0" w:line="276" w:lineRule="auto"/>
        <w:jc w:val="both"/>
        <w:rPr>
          <w:rFonts w:ascii="Verdana" w:eastAsia="Calibri" w:hAnsi="Verdana" w:cs="Arial"/>
          <w:lang w:eastAsia="es-ES_tradnl"/>
        </w:rPr>
      </w:pPr>
    </w:p>
    <w:p w14:paraId="6862C085" w14:textId="77777777" w:rsidR="000738FC" w:rsidRPr="009479DC" w:rsidRDefault="000738FC" w:rsidP="009479DC">
      <w:pPr>
        <w:widowControl w:val="0"/>
        <w:autoSpaceDE w:val="0"/>
        <w:autoSpaceDN w:val="0"/>
        <w:spacing w:after="0" w:line="276" w:lineRule="auto"/>
        <w:jc w:val="both"/>
        <w:rPr>
          <w:rFonts w:ascii="Verdana" w:hAnsi="Verdana" w:cs="Arial"/>
          <w:color w:val="FF0000"/>
          <w:shd w:val="clear" w:color="auto" w:fill="FFFFFF"/>
          <w:lang w:val="es-ES"/>
        </w:rPr>
      </w:pPr>
      <w:r w:rsidRPr="009479DC">
        <w:rPr>
          <w:rStyle w:val="normaltextrun"/>
          <w:rFonts w:ascii="Verdana" w:hAnsi="Verdana"/>
          <w:lang w:val="es-ES"/>
        </w:rPr>
        <w:t>Le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22" w:tgtFrame="_blank" w:tooltip="Original URL: https://www.colombiacompra.gov.co/manuales-guias-y-pliegos-tipo/manuales-y-guias/cartilla-para-incentivar-y-fortalecer-el-acceso-las. Click or tap if you trust this link." w:history="1">
        <w:r w:rsidRPr="009479DC">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2F809711" w14:textId="77777777" w:rsidR="000738FC" w:rsidRPr="009479DC" w:rsidRDefault="000738FC" w:rsidP="00872A1B">
      <w:pPr>
        <w:spacing w:after="0" w:line="276" w:lineRule="auto"/>
        <w:jc w:val="both"/>
        <w:rPr>
          <w:rFonts w:ascii="Verdana" w:hAnsi="Verdana"/>
          <w:lang w:val="es-ES"/>
        </w:rPr>
      </w:pPr>
    </w:p>
    <w:p w14:paraId="73303E77" w14:textId="77777777" w:rsidR="000738FC" w:rsidRPr="009479DC" w:rsidRDefault="000738FC" w:rsidP="00872A1B">
      <w:pPr>
        <w:spacing w:after="0" w:line="276" w:lineRule="auto"/>
        <w:jc w:val="both"/>
        <w:rPr>
          <w:rFonts w:ascii="Verdana" w:hAnsi="Verdana"/>
        </w:rPr>
      </w:pPr>
      <w:r w:rsidRPr="009479DC">
        <w:rPr>
          <w:rFonts w:ascii="Verdana" w:hAnsi="Verdana"/>
        </w:rPr>
        <w:t xml:space="preserve">Por último, lo invitamos a seguirnos en las redes sociales en las cuales se difunde información institucional: </w:t>
      </w:r>
    </w:p>
    <w:p w14:paraId="1CD94C86" w14:textId="77777777" w:rsidR="000738FC" w:rsidRPr="009479DC" w:rsidRDefault="000738FC" w:rsidP="00872A1B">
      <w:pPr>
        <w:spacing w:after="0" w:line="276" w:lineRule="auto"/>
        <w:jc w:val="both"/>
        <w:rPr>
          <w:rFonts w:ascii="Verdana" w:hAnsi="Verdana"/>
        </w:rPr>
      </w:pPr>
    </w:p>
    <w:p w14:paraId="57597CBB" w14:textId="77777777" w:rsidR="000738FC" w:rsidRPr="009479DC" w:rsidRDefault="000738FC" w:rsidP="00872A1B">
      <w:pPr>
        <w:spacing w:after="0" w:line="276" w:lineRule="auto"/>
        <w:jc w:val="both"/>
        <w:rPr>
          <w:rFonts w:ascii="Verdana" w:hAnsi="Verdana"/>
        </w:rPr>
      </w:pPr>
      <w:r w:rsidRPr="009479DC">
        <w:rPr>
          <w:rFonts w:ascii="Verdana" w:hAnsi="Verdana"/>
        </w:rPr>
        <w:t xml:space="preserve">Twitter: </w:t>
      </w:r>
      <w:r w:rsidRPr="009479DC">
        <w:rPr>
          <w:rStyle w:val="Hipervnculo"/>
          <w:rFonts w:ascii="Verdana" w:hAnsi="Verdana"/>
          <w:color w:val="4472C4" w:themeColor="accent1"/>
        </w:rPr>
        <w:t>@colombiacompra</w:t>
      </w:r>
      <w:r w:rsidRPr="009479DC">
        <w:rPr>
          <w:rFonts w:ascii="Verdana" w:hAnsi="Verdana"/>
          <w:color w:val="4472C4" w:themeColor="accent1"/>
        </w:rPr>
        <w:t xml:space="preserve"> </w:t>
      </w:r>
    </w:p>
    <w:p w14:paraId="1F12F9C9" w14:textId="77777777" w:rsidR="000738FC" w:rsidRPr="009479DC" w:rsidRDefault="000738FC" w:rsidP="00872A1B">
      <w:pPr>
        <w:spacing w:after="0" w:line="276" w:lineRule="auto"/>
        <w:jc w:val="both"/>
        <w:rPr>
          <w:rFonts w:ascii="Verdana" w:hAnsi="Verdana"/>
        </w:rPr>
      </w:pPr>
      <w:r w:rsidRPr="009479DC">
        <w:rPr>
          <w:rFonts w:ascii="Verdana" w:hAnsi="Verdana"/>
        </w:rPr>
        <w:t xml:space="preserve">Facebook: </w:t>
      </w:r>
      <w:proofErr w:type="spellStart"/>
      <w:r w:rsidRPr="009479DC">
        <w:rPr>
          <w:rStyle w:val="Hipervnculo"/>
          <w:rFonts w:ascii="Verdana" w:hAnsi="Verdana"/>
          <w:color w:val="4472C4" w:themeColor="accent1"/>
        </w:rPr>
        <w:t>ColombiaCompraEficiente</w:t>
      </w:r>
      <w:proofErr w:type="spellEnd"/>
    </w:p>
    <w:p w14:paraId="3605646B" w14:textId="77777777" w:rsidR="000738FC" w:rsidRPr="009479DC" w:rsidRDefault="000738FC" w:rsidP="00872A1B">
      <w:pPr>
        <w:spacing w:after="0" w:line="276" w:lineRule="auto"/>
        <w:jc w:val="both"/>
        <w:rPr>
          <w:rFonts w:ascii="Verdana" w:hAnsi="Verdana"/>
        </w:rPr>
      </w:pPr>
      <w:r w:rsidRPr="009479DC">
        <w:rPr>
          <w:rFonts w:ascii="Verdana" w:hAnsi="Verdana"/>
        </w:rPr>
        <w:t xml:space="preserve">LinkedIn: </w:t>
      </w:r>
      <w:r w:rsidRPr="009479DC">
        <w:rPr>
          <w:rStyle w:val="Hipervnculo"/>
          <w:rFonts w:ascii="Verdana" w:hAnsi="Verdana"/>
          <w:color w:val="4472C4" w:themeColor="accent1"/>
        </w:rPr>
        <w:t>Agencia Nacional de Contratación Pública - Colombia Compra Eficiente</w:t>
      </w:r>
      <w:r w:rsidRPr="009479DC">
        <w:rPr>
          <w:rFonts w:ascii="Verdana" w:hAnsi="Verdana"/>
          <w:color w:val="4472C4" w:themeColor="accent1"/>
        </w:rPr>
        <w:t xml:space="preserve"> </w:t>
      </w:r>
      <w:r w:rsidRPr="009479DC">
        <w:rPr>
          <w:rFonts w:ascii="Verdana" w:hAnsi="Verdana"/>
        </w:rPr>
        <w:t xml:space="preserve">Instagram: </w:t>
      </w:r>
      <w:r w:rsidRPr="009479DC">
        <w:rPr>
          <w:rStyle w:val="Hipervnculo"/>
          <w:rFonts w:ascii="Verdana" w:hAnsi="Verdana"/>
          <w:color w:val="4472C4" w:themeColor="accent1"/>
        </w:rPr>
        <w:t>@colombiacompraeficiente_cce</w:t>
      </w:r>
    </w:p>
    <w:p w14:paraId="07EA32E4" w14:textId="77777777" w:rsidR="000738FC" w:rsidRPr="009479DC" w:rsidRDefault="000738FC" w:rsidP="009479DC">
      <w:pPr>
        <w:widowControl w:val="0"/>
        <w:autoSpaceDE w:val="0"/>
        <w:autoSpaceDN w:val="0"/>
        <w:spacing w:after="0" w:line="276" w:lineRule="auto"/>
        <w:jc w:val="both"/>
        <w:rPr>
          <w:rFonts w:ascii="Verdana" w:hAnsi="Verdana"/>
        </w:rPr>
      </w:pPr>
    </w:p>
    <w:p w14:paraId="3EAF1C63" w14:textId="77777777" w:rsidR="000738FC" w:rsidRPr="009479DC" w:rsidRDefault="000738FC" w:rsidP="009479DC">
      <w:pPr>
        <w:widowControl w:val="0"/>
        <w:autoSpaceDE w:val="0"/>
        <w:autoSpaceDN w:val="0"/>
        <w:spacing w:after="0" w:line="276" w:lineRule="auto"/>
        <w:jc w:val="both"/>
        <w:rPr>
          <w:rFonts w:ascii="Verdana" w:hAnsi="Verdana" w:cs="Arial"/>
        </w:rPr>
      </w:pPr>
      <w:r w:rsidRPr="009479DC">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EE0C759" w14:textId="77777777" w:rsidR="000738FC" w:rsidRPr="009479DC" w:rsidRDefault="000738FC" w:rsidP="009479DC">
      <w:pPr>
        <w:spacing w:after="0" w:line="276" w:lineRule="auto"/>
        <w:ind w:firstLine="709"/>
        <w:jc w:val="both"/>
        <w:rPr>
          <w:rFonts w:ascii="Verdana" w:eastAsia="Times New Roman" w:hAnsi="Verdana" w:cs="Arial"/>
          <w:szCs w:val="24"/>
          <w:lang w:eastAsia="es-ES_tradnl"/>
        </w:rPr>
      </w:pPr>
    </w:p>
    <w:p w14:paraId="704C82D0" w14:textId="77777777" w:rsidR="000738FC" w:rsidRPr="009479DC" w:rsidRDefault="000738FC" w:rsidP="009479DC">
      <w:pPr>
        <w:spacing w:after="0" w:line="276" w:lineRule="auto"/>
        <w:jc w:val="both"/>
        <w:rPr>
          <w:rFonts w:ascii="Verdana" w:eastAsia="Times New Roman" w:hAnsi="Verdana" w:cs="Arial"/>
          <w:lang w:eastAsia="es-CO"/>
        </w:rPr>
      </w:pPr>
      <w:bookmarkStart w:id="10" w:name="_Hlk117695077"/>
      <w:r w:rsidRPr="009479DC">
        <w:rPr>
          <w:rFonts w:ascii="Verdana" w:eastAsia="Times New Roman" w:hAnsi="Verdana" w:cs="Arial"/>
          <w:lang w:eastAsia="es-CO"/>
        </w:rPr>
        <w:t>Atentamente,</w:t>
      </w:r>
    </w:p>
    <w:bookmarkEnd w:id="10"/>
    <w:p w14:paraId="42434B77" w14:textId="3355B9AE" w:rsidR="000738FC" w:rsidRDefault="0052529C" w:rsidP="000738FC">
      <w:pPr>
        <w:spacing w:after="18" w:line="240" w:lineRule="auto"/>
        <w:jc w:val="center"/>
        <w:rPr>
          <w:rFonts w:ascii="Verdana" w:eastAsia="Times New Roman" w:hAnsi="Verdana" w:cs="Arial"/>
          <w:sz w:val="24"/>
          <w:szCs w:val="24"/>
          <w:lang w:eastAsia="es-CO"/>
        </w:rPr>
      </w:pPr>
      <w:r w:rsidRPr="002C3AD6">
        <w:rPr>
          <w:rFonts w:ascii="Century Gothic" w:hAnsi="Century Gothic"/>
          <w:noProof/>
        </w:rPr>
        <w:lastRenderedPageBreak/>
        <w:drawing>
          <wp:inline distT="0" distB="0" distL="0" distR="0" wp14:anchorId="4F5FE541" wp14:editId="2CEAC3E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3"/>
                    <a:stretch>
                      <a:fillRect/>
                    </a:stretch>
                  </pic:blipFill>
                  <pic:spPr>
                    <a:xfrm>
                      <a:off x="0" y="0"/>
                      <a:ext cx="3772426" cy="1400370"/>
                    </a:xfrm>
                    <a:prstGeom prst="rect">
                      <a:avLst/>
                    </a:prstGeom>
                  </pic:spPr>
                </pic:pic>
              </a:graphicData>
            </a:graphic>
          </wp:inline>
        </w:drawing>
      </w:r>
    </w:p>
    <w:p w14:paraId="2AB2EF45" w14:textId="77777777" w:rsidR="000738FC" w:rsidRPr="005B7C42" w:rsidRDefault="000738FC" w:rsidP="000738FC">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0738FC" w:rsidRPr="005B7C42" w14:paraId="5F7F5F4C" w14:textId="77777777" w:rsidTr="00B579F0">
        <w:trPr>
          <w:trHeight w:val="286"/>
        </w:trPr>
        <w:tc>
          <w:tcPr>
            <w:tcW w:w="893" w:type="dxa"/>
            <w:vAlign w:val="center"/>
            <w:hideMark/>
          </w:tcPr>
          <w:p w14:paraId="2D91F825" w14:textId="77777777" w:rsidR="000738FC" w:rsidRPr="005B7C42" w:rsidRDefault="000738FC" w:rsidP="00B579F0">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53E96142" w14:textId="77777777" w:rsidR="000738FC" w:rsidRPr="005B7C42" w:rsidRDefault="000738FC" w:rsidP="00B579F0">
            <w:pPr>
              <w:rPr>
                <w:rFonts w:ascii="Verdana" w:eastAsia="Times New Roman" w:hAnsi="Verdana" w:cs="Arial"/>
                <w:sz w:val="16"/>
                <w:szCs w:val="16"/>
                <w:lang w:eastAsia="es-ES"/>
              </w:rPr>
            </w:pPr>
            <w:r>
              <w:rPr>
                <w:rFonts w:ascii="Verdana" w:eastAsia="Times New Roman" w:hAnsi="Verdana" w:cs="Arial"/>
                <w:sz w:val="16"/>
                <w:szCs w:val="16"/>
                <w:lang w:eastAsia="es-ES"/>
              </w:rPr>
              <w:t>Richard Andrés Montenegro Siefken</w:t>
            </w:r>
          </w:p>
          <w:p w14:paraId="3B44F532" w14:textId="77777777" w:rsidR="000738FC" w:rsidRPr="005B7C42" w:rsidRDefault="000738FC" w:rsidP="00B579F0">
            <w:pPr>
              <w:rPr>
                <w:rFonts w:ascii="Verdana" w:eastAsia="Times New Roman" w:hAnsi="Verdana" w:cs="Arial"/>
                <w:sz w:val="14"/>
                <w:szCs w:val="14"/>
                <w:lang w:eastAsia="es-ES"/>
              </w:rPr>
            </w:pPr>
            <w:r>
              <w:rPr>
                <w:rFonts w:ascii="Verdana" w:eastAsia="Times New Roman" w:hAnsi="Verdana" w:cs="Arial"/>
                <w:sz w:val="16"/>
                <w:szCs w:val="16"/>
                <w:lang w:eastAsia="es-ES"/>
              </w:rPr>
              <w:t xml:space="preserve">Contratista </w:t>
            </w:r>
            <w:r w:rsidRPr="005B7C42">
              <w:rPr>
                <w:rFonts w:ascii="Verdana" w:eastAsia="Times New Roman" w:hAnsi="Verdana" w:cs="Arial"/>
                <w:sz w:val="16"/>
                <w:szCs w:val="16"/>
                <w:lang w:eastAsia="es-ES"/>
              </w:rPr>
              <w:t>de la Subdirección de Gestión Contractual</w:t>
            </w:r>
          </w:p>
        </w:tc>
      </w:tr>
      <w:tr w:rsidR="000738FC" w:rsidRPr="005B7C42" w14:paraId="39820A83" w14:textId="77777777" w:rsidTr="00B579F0">
        <w:trPr>
          <w:trHeight w:val="299"/>
        </w:trPr>
        <w:tc>
          <w:tcPr>
            <w:tcW w:w="893" w:type="dxa"/>
            <w:vAlign w:val="center"/>
            <w:hideMark/>
          </w:tcPr>
          <w:p w14:paraId="3477C22C" w14:textId="77777777" w:rsidR="000738FC" w:rsidRPr="005B7C42" w:rsidRDefault="000738FC" w:rsidP="00B579F0">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7160EA79" w14:textId="77777777" w:rsidR="000738FC" w:rsidRPr="005B7C42" w:rsidRDefault="000738FC" w:rsidP="00B579F0">
            <w:pPr>
              <w:rPr>
                <w:rFonts w:ascii="Verdana" w:eastAsia="Times New Roman" w:hAnsi="Verdana" w:cs="Arial"/>
                <w:sz w:val="16"/>
                <w:szCs w:val="16"/>
                <w:lang w:eastAsia="es-ES"/>
              </w:rPr>
            </w:pPr>
            <w:r>
              <w:rPr>
                <w:rFonts w:ascii="Verdana" w:eastAsia="Times New Roman" w:hAnsi="Verdana" w:cs="Arial"/>
                <w:sz w:val="16"/>
                <w:szCs w:val="16"/>
                <w:lang w:eastAsia="es-ES"/>
              </w:rPr>
              <w:t>Diana Lucia Saavedra Castañeda</w:t>
            </w:r>
          </w:p>
          <w:p w14:paraId="2E1011A7" w14:textId="77777777" w:rsidR="000738FC" w:rsidRPr="005B7C42" w:rsidRDefault="000738FC" w:rsidP="00B579F0">
            <w:pPr>
              <w:rPr>
                <w:rFonts w:ascii="Verdana" w:eastAsia="Times New Roman" w:hAnsi="Verdana" w:cs="Arial"/>
                <w:sz w:val="14"/>
                <w:szCs w:val="14"/>
                <w:lang w:eastAsia="es-ES"/>
              </w:rPr>
            </w:pPr>
            <w:r>
              <w:rPr>
                <w:rFonts w:ascii="Verdana" w:eastAsia="Times New Roman" w:hAnsi="Verdana" w:cs="Arial"/>
                <w:sz w:val="16"/>
                <w:szCs w:val="16"/>
                <w:lang w:eastAsia="es-ES"/>
              </w:rPr>
              <w:t xml:space="preserve">Contratista </w:t>
            </w:r>
            <w:r w:rsidRPr="005B7C42">
              <w:rPr>
                <w:rFonts w:ascii="Verdana" w:eastAsia="Times New Roman" w:hAnsi="Verdana" w:cs="Arial"/>
                <w:sz w:val="16"/>
                <w:szCs w:val="16"/>
                <w:lang w:eastAsia="es-ES"/>
              </w:rPr>
              <w:t>de la Subdirección de Gestión Contractual</w:t>
            </w:r>
          </w:p>
        </w:tc>
      </w:tr>
      <w:tr w:rsidR="000738FC" w:rsidRPr="005B7C42" w14:paraId="7F0EFD11" w14:textId="77777777" w:rsidTr="00B579F0">
        <w:trPr>
          <w:trHeight w:val="272"/>
        </w:trPr>
        <w:tc>
          <w:tcPr>
            <w:tcW w:w="893" w:type="dxa"/>
            <w:vAlign w:val="center"/>
            <w:hideMark/>
          </w:tcPr>
          <w:p w14:paraId="4CDA0B12" w14:textId="77777777" w:rsidR="000738FC" w:rsidRPr="005B7C42" w:rsidRDefault="000738FC" w:rsidP="00B579F0">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63E79651" w14:textId="77777777" w:rsidR="000738FC" w:rsidRPr="005B7C42" w:rsidRDefault="000738FC" w:rsidP="00B579F0">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 xml:space="preserve">Carolina Quintero </w:t>
            </w:r>
            <w:proofErr w:type="spellStart"/>
            <w:r w:rsidRPr="005B7C42">
              <w:rPr>
                <w:rFonts w:ascii="Verdana" w:eastAsia="Times New Roman" w:hAnsi="Verdana" w:cs="Arial"/>
                <w:sz w:val="16"/>
                <w:szCs w:val="16"/>
                <w:lang w:eastAsia="es-ES"/>
              </w:rPr>
              <w:t>Gacharná</w:t>
            </w:r>
            <w:proofErr w:type="spellEnd"/>
          </w:p>
          <w:p w14:paraId="467E8707" w14:textId="77777777" w:rsidR="000738FC" w:rsidRPr="005B7C42" w:rsidRDefault="000738FC" w:rsidP="00B579F0">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bookmarkEnd w:id="0"/>
    </w:tbl>
    <w:p w14:paraId="7D0F7A18" w14:textId="77777777" w:rsidR="000738FC" w:rsidRPr="005B7C42" w:rsidRDefault="000738FC" w:rsidP="000738FC">
      <w:pPr>
        <w:spacing w:after="0" w:line="276" w:lineRule="auto"/>
        <w:jc w:val="both"/>
        <w:rPr>
          <w:rFonts w:ascii="Verdana" w:eastAsia="Times New Roman" w:hAnsi="Verdana" w:cs="Arial"/>
        </w:rPr>
      </w:pPr>
    </w:p>
    <w:p w14:paraId="3900974D" w14:textId="77777777" w:rsidR="003D5B0D" w:rsidRPr="001E466B" w:rsidRDefault="003D5B0D" w:rsidP="001E466B"/>
    <w:sectPr w:rsidR="003D5B0D" w:rsidRPr="001E466B" w:rsidSect="007C0C0F">
      <w:headerReference w:type="default" r:id="rId24"/>
      <w:footerReference w:type="default" r:id="rId2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98A92" w14:textId="77777777" w:rsidR="00BC4216" w:rsidRDefault="00BC4216" w:rsidP="004A1847">
      <w:pPr>
        <w:spacing w:after="0" w:line="240" w:lineRule="auto"/>
      </w:pPr>
      <w:r>
        <w:separator/>
      </w:r>
    </w:p>
  </w:endnote>
  <w:endnote w:type="continuationSeparator" w:id="0">
    <w:p w14:paraId="001E6E3B" w14:textId="77777777" w:rsidR="00BC4216" w:rsidRDefault="00BC421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6A268" w14:textId="77777777" w:rsidR="00BC4216" w:rsidRDefault="00BC4216" w:rsidP="004A1847">
      <w:pPr>
        <w:spacing w:after="0" w:line="240" w:lineRule="auto"/>
      </w:pPr>
      <w:r>
        <w:separator/>
      </w:r>
    </w:p>
  </w:footnote>
  <w:footnote w:type="continuationSeparator" w:id="0">
    <w:p w14:paraId="740B16A9" w14:textId="77777777" w:rsidR="00BC4216" w:rsidRDefault="00BC4216" w:rsidP="004A1847">
      <w:pPr>
        <w:spacing w:after="0" w:line="240" w:lineRule="auto"/>
      </w:pPr>
      <w:r>
        <w:continuationSeparator/>
      </w:r>
    </w:p>
  </w:footnote>
  <w:footnote w:id="1">
    <w:p w14:paraId="5F88A276" w14:textId="77777777" w:rsidR="00832FF4" w:rsidRPr="00872A1B" w:rsidRDefault="00832FF4" w:rsidP="00872A1B">
      <w:pPr>
        <w:pStyle w:val="Textonotapie"/>
        <w:ind w:firstLine="709"/>
        <w:jc w:val="both"/>
        <w:rPr>
          <w:rFonts w:ascii="Verdana" w:hAnsi="Verdana" w:cs="Arial"/>
          <w:color w:val="000000"/>
          <w:sz w:val="16"/>
          <w:szCs w:val="16"/>
          <w:lang w:val="es-ES_tradnl"/>
        </w:rPr>
      </w:pPr>
      <w:r w:rsidRPr="00872A1B">
        <w:rPr>
          <w:rStyle w:val="Refdenotaalpie"/>
          <w:rFonts w:ascii="Verdana" w:hAnsi="Verdana" w:cs="Arial"/>
          <w:color w:val="000000"/>
          <w:sz w:val="16"/>
          <w:szCs w:val="16"/>
          <w:lang w:val="es-ES_tradnl"/>
        </w:rPr>
        <w:footnoteRef/>
      </w:r>
      <w:r w:rsidRPr="00872A1B">
        <w:rPr>
          <w:rFonts w:ascii="Verdana" w:hAnsi="Verdana" w:cs="Arial"/>
          <w:color w:val="000000"/>
          <w:sz w:val="16"/>
          <w:szCs w:val="16"/>
          <w:lang w:val="es-ES_tradnl"/>
        </w:rPr>
        <w:t xml:space="preserve"> Así lo ha reconocido la doctrina en la materia, al afirmar: </w:t>
      </w:r>
      <w:r w:rsidR="00916A2A">
        <w:rPr>
          <w:rFonts w:ascii="Verdana" w:hAnsi="Verdana" w:cs="Arial"/>
          <w:color w:val="000000"/>
          <w:sz w:val="16"/>
          <w:szCs w:val="16"/>
          <w:lang w:val="es-ES_tradnl"/>
        </w:rPr>
        <w:t>“</w:t>
      </w:r>
      <w:r w:rsidRPr="00872A1B">
        <w:rPr>
          <w:rFonts w:ascii="Verdana" w:hAnsi="Verdana" w:cs="Arial"/>
          <w:color w:val="000000"/>
          <w:sz w:val="16"/>
          <w:szCs w:val="16"/>
          <w:lang w:val="es-ES_tradnl"/>
        </w:rPr>
        <w:t>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6B73527F" w14:textId="56AAE93E" w:rsidR="00832FF4" w:rsidRPr="00872A1B" w:rsidRDefault="00832FF4" w:rsidP="00872A1B">
      <w:pPr>
        <w:pStyle w:val="Textonotapie"/>
        <w:ind w:firstLine="709"/>
        <w:jc w:val="both"/>
        <w:rPr>
          <w:rFonts w:ascii="Verdana" w:hAnsi="Verdana" w:cs="Arial"/>
          <w:color w:val="000000"/>
          <w:sz w:val="16"/>
          <w:szCs w:val="16"/>
          <w:lang w:val="es-ES_tradnl"/>
        </w:rPr>
      </w:pPr>
      <w:r w:rsidRPr="00872A1B">
        <w:rPr>
          <w:rFonts w:ascii="Verdana" w:hAnsi="Verdana" w:cs="Arial"/>
          <w:color w:val="000000"/>
          <w:sz w:val="16"/>
          <w:szCs w:val="16"/>
          <w:lang w:val="es-ES_tradnl"/>
        </w:rPr>
        <w:t>Como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4230B677" w14:textId="6702BD41" w:rsidR="00832FF4" w:rsidRPr="00872A1B" w:rsidRDefault="00832FF4" w:rsidP="00872A1B">
      <w:pPr>
        <w:pStyle w:val="Textonotapie"/>
        <w:ind w:firstLine="709"/>
        <w:jc w:val="both"/>
        <w:rPr>
          <w:rFonts w:ascii="Verdana" w:hAnsi="Verdana" w:cs="Arial"/>
          <w:color w:val="000000"/>
          <w:sz w:val="16"/>
          <w:szCs w:val="16"/>
          <w:lang w:val="es-ES_tradnl"/>
        </w:rPr>
      </w:pPr>
      <w:r w:rsidRPr="00872A1B">
        <w:rPr>
          <w:rFonts w:ascii="Verdana" w:hAnsi="Verdana" w:cs="Arial"/>
          <w:color w:val="000000"/>
          <w:sz w:val="16"/>
          <w:szCs w:val="16"/>
          <w:lang w:val="es-ES_tradnl"/>
        </w:rPr>
        <w:t>Al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w:t>
      </w:r>
      <w:r w:rsidR="00916A2A">
        <w:rPr>
          <w:rFonts w:ascii="Verdana" w:hAnsi="Verdana" w:cs="Arial"/>
          <w:color w:val="000000"/>
          <w:sz w:val="16"/>
          <w:szCs w:val="16"/>
          <w:lang w:val="es-ES_tradnl"/>
        </w:rPr>
        <w:t>”</w:t>
      </w:r>
      <w:r w:rsidRPr="00872A1B">
        <w:rPr>
          <w:rFonts w:ascii="Verdana" w:hAnsi="Verdana" w:cs="Arial"/>
          <w:color w:val="000000"/>
          <w:sz w:val="16"/>
          <w:szCs w:val="16"/>
          <w:lang w:val="es-ES_tradnl"/>
        </w:rPr>
        <w:t xml:space="preserve"> (NÚÑEZ FORERO, Felipe. Servicios públicos domiciliarios, telecomunicaciones e infraestructura (instituciones, regulación y competencia). Bogotá: Universidad Externado de Colombia, 2017. p. 43).</w:t>
      </w:r>
    </w:p>
    <w:p w14:paraId="61D4D576" w14:textId="77777777" w:rsidR="00832FF4" w:rsidRPr="00872A1B" w:rsidRDefault="00832FF4" w:rsidP="00872A1B">
      <w:pPr>
        <w:pStyle w:val="Textonotapie"/>
        <w:ind w:firstLine="709"/>
        <w:jc w:val="both"/>
        <w:rPr>
          <w:rFonts w:ascii="Verdana" w:hAnsi="Verdana" w:cs="Arial"/>
          <w:color w:val="000000"/>
          <w:sz w:val="16"/>
          <w:szCs w:val="16"/>
          <w:lang w:val="es-ES_tradnl"/>
        </w:rPr>
      </w:pPr>
    </w:p>
  </w:footnote>
  <w:footnote w:id="2">
    <w:p w14:paraId="3D0DEEBA" w14:textId="5C849C45" w:rsidR="00832FF4" w:rsidRPr="00872A1B" w:rsidRDefault="00832FF4" w:rsidP="00872A1B">
      <w:pPr>
        <w:pStyle w:val="Textonotapie"/>
        <w:ind w:firstLine="709"/>
        <w:jc w:val="both"/>
        <w:rPr>
          <w:rFonts w:ascii="Verdana" w:hAnsi="Verdana" w:cs="Arial"/>
          <w:color w:val="000000"/>
          <w:sz w:val="16"/>
          <w:szCs w:val="16"/>
        </w:rPr>
      </w:pPr>
      <w:r w:rsidRPr="00872A1B">
        <w:rPr>
          <w:rStyle w:val="Refdenotaalpie"/>
          <w:rFonts w:ascii="Verdana" w:hAnsi="Verdana" w:cs="Arial"/>
          <w:color w:val="000000"/>
          <w:sz w:val="16"/>
          <w:szCs w:val="16"/>
        </w:rPr>
        <w:footnoteRef/>
      </w:r>
      <w:r w:rsidRPr="00872A1B">
        <w:rPr>
          <w:rFonts w:ascii="Verdana" w:hAnsi="Verdana" w:cs="Arial"/>
          <w:color w:val="000000"/>
          <w:sz w:val="16"/>
          <w:szCs w:val="16"/>
        </w:rPr>
        <w:t xml:space="preserve"> En efecto, dicho artículo establece: </w:t>
      </w:r>
      <w:r w:rsidR="00916A2A">
        <w:rPr>
          <w:rFonts w:ascii="Verdana" w:hAnsi="Verdana" w:cs="Arial"/>
          <w:color w:val="000000"/>
          <w:sz w:val="16"/>
          <w:szCs w:val="16"/>
        </w:rPr>
        <w:t>“</w:t>
      </w:r>
      <w:r w:rsidRPr="00872A1B">
        <w:rPr>
          <w:rFonts w:ascii="Verdana" w:hAnsi="Verdana" w:cs="Arial"/>
          <w:color w:val="000000"/>
          <w:sz w:val="16"/>
          <w:szCs w:val="16"/>
        </w:rPr>
        <w:t>Pueden prestar los servicios públicos:</w:t>
      </w:r>
    </w:p>
    <w:p w14:paraId="5A8C2DC2" w14:textId="737F02AA" w:rsidR="00832FF4" w:rsidRPr="00872A1B" w:rsidRDefault="00832FF4" w:rsidP="00872A1B">
      <w:pPr>
        <w:pStyle w:val="Textonotapie"/>
        <w:ind w:firstLine="709"/>
        <w:jc w:val="both"/>
        <w:rPr>
          <w:rFonts w:ascii="Verdana" w:hAnsi="Verdana" w:cs="Arial"/>
          <w:color w:val="000000"/>
          <w:sz w:val="16"/>
          <w:szCs w:val="16"/>
        </w:rPr>
      </w:pPr>
      <w:r w:rsidRPr="00872A1B">
        <w:rPr>
          <w:rFonts w:ascii="Verdana" w:hAnsi="Verdana" w:cs="Arial"/>
          <w:color w:val="000000"/>
          <w:sz w:val="16"/>
          <w:szCs w:val="16"/>
        </w:rPr>
        <w:t>15.1. Las empresas de servicios públicos.</w:t>
      </w:r>
    </w:p>
    <w:p w14:paraId="4EC463A9" w14:textId="04B684C8" w:rsidR="00832FF4" w:rsidRPr="00872A1B" w:rsidRDefault="00832FF4" w:rsidP="00872A1B">
      <w:pPr>
        <w:pStyle w:val="Textonotapie"/>
        <w:ind w:firstLine="709"/>
        <w:jc w:val="both"/>
        <w:rPr>
          <w:rFonts w:ascii="Verdana" w:hAnsi="Verdana" w:cs="Arial"/>
          <w:color w:val="000000"/>
          <w:sz w:val="16"/>
          <w:szCs w:val="16"/>
        </w:rPr>
      </w:pPr>
      <w:r w:rsidRPr="00872A1B">
        <w:rPr>
          <w:rFonts w:ascii="Verdana" w:hAnsi="Verdana" w:cs="Arial"/>
          <w:color w:val="000000"/>
          <w:sz w:val="16"/>
          <w:szCs w:val="16"/>
        </w:rPr>
        <w:t>15.2. Las personas naturales o jurídicas que produzcan para ellas mismas, o como consecuencia o complemento de su actividad principal, los bienes y servicios propios del objeto de las empresas de servicios públicos.</w:t>
      </w:r>
    </w:p>
    <w:p w14:paraId="5F3031B8" w14:textId="3078965F" w:rsidR="00832FF4" w:rsidRPr="00872A1B" w:rsidRDefault="00832FF4" w:rsidP="00872A1B">
      <w:pPr>
        <w:pStyle w:val="Textonotapie"/>
        <w:ind w:firstLine="709"/>
        <w:jc w:val="both"/>
        <w:rPr>
          <w:rFonts w:ascii="Verdana" w:hAnsi="Verdana" w:cs="Arial"/>
          <w:color w:val="000000"/>
          <w:sz w:val="16"/>
          <w:szCs w:val="16"/>
        </w:rPr>
      </w:pPr>
      <w:r w:rsidRPr="00872A1B">
        <w:rPr>
          <w:rFonts w:ascii="Verdana" w:hAnsi="Verdana" w:cs="Arial"/>
          <w:color w:val="000000"/>
          <w:sz w:val="16"/>
          <w:szCs w:val="16"/>
        </w:rPr>
        <w:t>15.3. Los municipios cuando asuman en forma directa, a través de su administración central, la prestación de los servicios públicos, conforme a lo dispuesto en esta Ley.</w:t>
      </w:r>
    </w:p>
    <w:p w14:paraId="56F04C30" w14:textId="65DBFAF2" w:rsidR="00832FF4" w:rsidRPr="00872A1B" w:rsidRDefault="00832FF4" w:rsidP="00872A1B">
      <w:pPr>
        <w:pStyle w:val="Textonotapie"/>
        <w:ind w:firstLine="709"/>
        <w:jc w:val="both"/>
        <w:rPr>
          <w:rFonts w:ascii="Verdana" w:hAnsi="Verdana" w:cs="Arial"/>
          <w:color w:val="000000"/>
          <w:sz w:val="16"/>
          <w:szCs w:val="16"/>
        </w:rPr>
      </w:pPr>
      <w:r w:rsidRPr="00872A1B">
        <w:rPr>
          <w:rFonts w:ascii="Verdana" w:hAnsi="Verdana" w:cs="Arial"/>
          <w:color w:val="000000"/>
          <w:sz w:val="16"/>
          <w:szCs w:val="16"/>
        </w:rPr>
        <w:t>15.4. Las organizaciones autorizadas conforme a esta Ley para prestar servicios públicos en municipios menores en zonas rurales y en áreas o zonas urbanas específicas.</w:t>
      </w:r>
    </w:p>
    <w:p w14:paraId="5BA7C04D" w14:textId="01E2105F" w:rsidR="00832FF4" w:rsidRPr="00872A1B" w:rsidRDefault="00832FF4" w:rsidP="00872A1B">
      <w:pPr>
        <w:pStyle w:val="Textonotapie"/>
        <w:ind w:firstLine="709"/>
        <w:jc w:val="both"/>
        <w:rPr>
          <w:rFonts w:ascii="Verdana" w:hAnsi="Verdana" w:cs="Arial"/>
          <w:color w:val="000000"/>
          <w:sz w:val="16"/>
          <w:szCs w:val="16"/>
        </w:rPr>
      </w:pPr>
      <w:r w:rsidRPr="00872A1B">
        <w:rPr>
          <w:rFonts w:ascii="Verdana" w:hAnsi="Verdana" w:cs="Arial"/>
          <w:color w:val="000000"/>
          <w:sz w:val="16"/>
          <w:szCs w:val="16"/>
        </w:rPr>
        <w:t>15.5. Las entidades autorizadas para prestar servicios públicos durante los períodos de transición previstos en esta Ley.</w:t>
      </w:r>
    </w:p>
    <w:p w14:paraId="4D893545" w14:textId="15BCF663" w:rsidR="00832FF4" w:rsidRPr="00872A1B" w:rsidRDefault="00832FF4" w:rsidP="00872A1B">
      <w:pPr>
        <w:pStyle w:val="Textonotapie"/>
        <w:ind w:firstLine="709"/>
        <w:jc w:val="both"/>
        <w:rPr>
          <w:rFonts w:ascii="Verdana" w:hAnsi="Verdana" w:cs="Arial"/>
          <w:color w:val="000000"/>
          <w:sz w:val="16"/>
          <w:szCs w:val="16"/>
        </w:rPr>
      </w:pPr>
      <w:r w:rsidRPr="00872A1B">
        <w:rPr>
          <w:rFonts w:ascii="Verdana" w:hAnsi="Verdana" w:cs="Arial"/>
          <w:color w:val="000000"/>
          <w:sz w:val="16"/>
          <w:szCs w:val="16"/>
        </w:rPr>
        <w:t>15.6. Las entidades descentralizadas de cualquier orden territorial o nacional que al momento de expedirse esta Ley estén prestando cualquiera de los servicios públicos y se ajusten a lo establecido en el parágrafo del artículo 17</w:t>
      </w:r>
      <w:r w:rsidR="00916A2A">
        <w:rPr>
          <w:rFonts w:ascii="Verdana" w:hAnsi="Verdana" w:cs="Arial"/>
          <w:color w:val="000000"/>
          <w:sz w:val="16"/>
          <w:szCs w:val="16"/>
        </w:rPr>
        <w:t>”</w:t>
      </w:r>
      <w:r w:rsidRPr="00872A1B">
        <w:rPr>
          <w:rFonts w:ascii="Verdana" w:hAnsi="Verdana" w:cs="Arial"/>
          <w:color w:val="000000"/>
          <w:sz w:val="16"/>
          <w:szCs w:val="16"/>
        </w:rPr>
        <w:t>.</w:t>
      </w:r>
    </w:p>
    <w:p w14:paraId="23CD761A" w14:textId="77777777" w:rsidR="00832FF4" w:rsidRPr="00872A1B" w:rsidRDefault="00832FF4" w:rsidP="00872A1B">
      <w:pPr>
        <w:pStyle w:val="Textonotapie"/>
        <w:ind w:firstLine="709"/>
        <w:jc w:val="both"/>
        <w:rPr>
          <w:rFonts w:ascii="Verdana" w:hAnsi="Verdana" w:cs="Arial"/>
          <w:color w:val="000000"/>
          <w:sz w:val="16"/>
          <w:szCs w:val="16"/>
          <w:lang w:val="es-ES"/>
        </w:rPr>
      </w:pPr>
    </w:p>
  </w:footnote>
  <w:footnote w:id="3">
    <w:p w14:paraId="17CD64A8" w14:textId="77777777" w:rsidR="000738FC" w:rsidRPr="00872A1B" w:rsidRDefault="000738FC" w:rsidP="00872A1B">
      <w:pPr>
        <w:spacing w:after="0" w:line="240" w:lineRule="auto"/>
        <w:ind w:firstLine="709"/>
        <w:jc w:val="both"/>
        <w:rPr>
          <w:rFonts w:ascii="Verdana" w:eastAsia="Arial" w:hAnsi="Verdana" w:cs="Arial"/>
          <w:sz w:val="16"/>
          <w:szCs w:val="16"/>
        </w:rPr>
      </w:pPr>
      <w:r w:rsidRPr="00872A1B">
        <w:rPr>
          <w:rFonts w:ascii="Verdana" w:hAnsi="Verdana" w:cs="Arial"/>
          <w:sz w:val="16"/>
          <w:szCs w:val="16"/>
          <w:vertAlign w:val="superscript"/>
        </w:rPr>
        <w:footnoteRef/>
      </w:r>
      <w:r w:rsidRPr="00872A1B">
        <w:rPr>
          <w:rFonts w:ascii="Verdana" w:eastAsia="Arial" w:hAnsi="Verdana" w:cs="Arial"/>
          <w:sz w:val="16"/>
          <w:szCs w:val="16"/>
        </w:rPr>
        <w:t xml:space="preserve"> 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872A1B">
        <w:rPr>
          <w:rFonts w:ascii="Verdana" w:eastAsia="Arial" w:hAnsi="Verdana" w:cs="Arial"/>
          <w:b/>
          <w:sz w:val="16"/>
          <w:szCs w:val="16"/>
        </w:rPr>
        <w:t xml:space="preserve">las empresas oficiales de servicios públicos </w:t>
      </w:r>
      <w:r w:rsidRPr="00872A1B">
        <w:rPr>
          <w:rFonts w:ascii="Verdana" w:eastAsia="Arial" w:hAnsi="Verdana" w:cs="Arial"/>
          <w:sz w:val="16"/>
          <w:szCs w:val="16"/>
        </w:rPr>
        <w:t>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7D41346E" w14:textId="77777777" w:rsidR="000738FC" w:rsidRPr="00872A1B" w:rsidRDefault="000738FC" w:rsidP="00872A1B">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p>
  </w:footnote>
  <w:footnote w:id="4">
    <w:p w14:paraId="498551DA" w14:textId="77777777" w:rsidR="000738FC" w:rsidRDefault="000738FC" w:rsidP="00916A2A">
      <w:pPr>
        <w:pBdr>
          <w:top w:val="nil"/>
          <w:left w:val="nil"/>
          <w:bottom w:val="nil"/>
          <w:right w:val="nil"/>
          <w:between w:val="nil"/>
        </w:pBdr>
        <w:spacing w:after="0" w:line="240" w:lineRule="auto"/>
        <w:ind w:firstLine="709"/>
        <w:rPr>
          <w:rFonts w:ascii="Verdana" w:eastAsia="Arial" w:hAnsi="Verdana" w:cs="Arial"/>
          <w:color w:val="000000"/>
          <w:sz w:val="16"/>
          <w:szCs w:val="16"/>
        </w:rPr>
      </w:pPr>
      <w:r w:rsidRPr="00872A1B">
        <w:rPr>
          <w:rFonts w:ascii="Verdana" w:hAnsi="Verdana" w:cs="Arial"/>
          <w:sz w:val="16"/>
          <w:szCs w:val="16"/>
          <w:vertAlign w:val="superscript"/>
        </w:rPr>
        <w:footnoteRef/>
      </w:r>
      <w:r w:rsidRPr="00872A1B">
        <w:rPr>
          <w:rFonts w:ascii="Verdana" w:eastAsia="Arial" w:hAnsi="Verdana" w:cs="Arial"/>
          <w:color w:val="000000"/>
          <w:sz w:val="16"/>
          <w:szCs w:val="16"/>
          <w:lang w:val="pt-PT"/>
        </w:rPr>
        <w:t xml:space="preserve"> Corte Constitucional. Sentencia C-736 de 2007. </w:t>
      </w:r>
      <w:r w:rsidRPr="00872A1B">
        <w:rPr>
          <w:rFonts w:ascii="Verdana" w:eastAsia="Arial" w:hAnsi="Verdana" w:cs="Arial"/>
          <w:color w:val="000000"/>
          <w:sz w:val="16"/>
          <w:szCs w:val="16"/>
        </w:rPr>
        <w:t>C.P. Marco Gerardo Monroy Cabra.</w:t>
      </w:r>
    </w:p>
    <w:p w14:paraId="1DAC5B29" w14:textId="77777777" w:rsidR="00916A2A" w:rsidRPr="00872A1B" w:rsidRDefault="00916A2A" w:rsidP="00872A1B">
      <w:pPr>
        <w:pBdr>
          <w:top w:val="nil"/>
          <w:left w:val="nil"/>
          <w:bottom w:val="nil"/>
          <w:right w:val="nil"/>
          <w:between w:val="nil"/>
        </w:pBdr>
        <w:spacing w:after="0" w:line="240" w:lineRule="auto"/>
        <w:ind w:firstLine="709"/>
        <w:rPr>
          <w:rFonts w:ascii="Verdana" w:eastAsia="Arial" w:hAnsi="Verdana" w:cs="Arial"/>
          <w:color w:val="000000"/>
          <w:sz w:val="16"/>
          <w:szCs w:val="16"/>
        </w:rPr>
      </w:pPr>
    </w:p>
  </w:footnote>
  <w:footnote w:id="5">
    <w:p w14:paraId="1AA1F5A2" w14:textId="77777777" w:rsidR="000738FC" w:rsidRDefault="000738FC" w:rsidP="00916A2A">
      <w:pPr>
        <w:pBdr>
          <w:top w:val="nil"/>
          <w:left w:val="nil"/>
          <w:bottom w:val="nil"/>
          <w:right w:val="nil"/>
          <w:between w:val="nil"/>
        </w:pBdr>
        <w:spacing w:after="0" w:line="240" w:lineRule="auto"/>
        <w:ind w:firstLine="709"/>
        <w:rPr>
          <w:rFonts w:ascii="Verdana" w:eastAsia="Arial" w:hAnsi="Verdana" w:cs="Arial"/>
          <w:color w:val="000000"/>
          <w:sz w:val="16"/>
          <w:szCs w:val="16"/>
        </w:rPr>
      </w:pPr>
      <w:r w:rsidRPr="00872A1B">
        <w:rPr>
          <w:rFonts w:ascii="Verdana" w:hAnsi="Verdana" w:cs="Arial"/>
          <w:sz w:val="16"/>
          <w:szCs w:val="16"/>
          <w:vertAlign w:val="superscript"/>
        </w:rPr>
        <w:footnoteRef/>
      </w:r>
      <w:r w:rsidRPr="00872A1B">
        <w:rPr>
          <w:rFonts w:ascii="Verdana" w:eastAsia="Arial" w:hAnsi="Verdana" w:cs="Arial"/>
          <w:color w:val="000000"/>
          <w:sz w:val="16"/>
          <w:szCs w:val="16"/>
        </w:rPr>
        <w:t xml:space="preserve"> Ibíd.</w:t>
      </w:r>
    </w:p>
    <w:p w14:paraId="531DBD9B" w14:textId="77777777" w:rsidR="00916A2A" w:rsidRPr="00872A1B" w:rsidRDefault="00916A2A" w:rsidP="00872A1B">
      <w:pPr>
        <w:pBdr>
          <w:top w:val="nil"/>
          <w:left w:val="nil"/>
          <w:bottom w:val="nil"/>
          <w:right w:val="nil"/>
          <w:between w:val="nil"/>
        </w:pBdr>
        <w:spacing w:after="0" w:line="240" w:lineRule="auto"/>
        <w:ind w:firstLine="709"/>
        <w:rPr>
          <w:rFonts w:ascii="Verdana" w:eastAsia="Arial" w:hAnsi="Verdana" w:cs="Arial"/>
          <w:color w:val="000000"/>
          <w:sz w:val="16"/>
          <w:szCs w:val="16"/>
        </w:rPr>
      </w:pPr>
    </w:p>
  </w:footnote>
  <w:footnote w:id="6">
    <w:p w14:paraId="69D6C5E2" w14:textId="77777777" w:rsidR="000738FC" w:rsidRPr="00872A1B" w:rsidRDefault="000738FC" w:rsidP="00916A2A">
      <w:pPr>
        <w:pStyle w:val="Textonotapie"/>
        <w:ind w:firstLine="709"/>
        <w:jc w:val="both"/>
        <w:rPr>
          <w:rFonts w:ascii="Verdana" w:hAnsi="Verdana" w:cs="Arial"/>
          <w:color w:val="000000" w:themeColor="text1"/>
          <w:sz w:val="16"/>
          <w:szCs w:val="16"/>
        </w:rPr>
      </w:pPr>
      <w:r w:rsidRPr="00872A1B">
        <w:rPr>
          <w:rStyle w:val="Refdenotaalpie"/>
          <w:rFonts w:ascii="Verdana" w:hAnsi="Verdana" w:cs="Arial"/>
          <w:color w:val="000000" w:themeColor="text1"/>
          <w:sz w:val="16"/>
          <w:szCs w:val="16"/>
        </w:rPr>
        <w:footnoteRef/>
      </w:r>
      <w:r w:rsidRPr="00872A1B">
        <w:rPr>
          <w:rFonts w:ascii="Verdana" w:hAnsi="Verdana" w:cs="Arial"/>
          <w:color w:val="000000" w:themeColor="text1"/>
          <w:sz w:val="16"/>
          <w:szCs w:val="16"/>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6F3CB668" w14:textId="77777777" w:rsidR="000738FC" w:rsidRPr="00872A1B" w:rsidRDefault="000738FC" w:rsidP="00916A2A">
      <w:pPr>
        <w:pStyle w:val="Textonotapie"/>
        <w:ind w:firstLine="709"/>
        <w:jc w:val="both"/>
        <w:rPr>
          <w:rFonts w:ascii="Verdana" w:hAnsi="Verdana" w:cs="Arial"/>
          <w:color w:val="000000" w:themeColor="text1"/>
          <w:sz w:val="16"/>
          <w:szCs w:val="16"/>
        </w:rPr>
      </w:pPr>
      <w:r w:rsidRPr="00872A1B">
        <w:rPr>
          <w:rFonts w:ascii="Verdana" w:hAnsi="Verdana" w:cs="Arial"/>
          <w:color w:val="000000" w:themeColor="text1"/>
          <w:sz w:val="16"/>
          <w:szCs w:val="16"/>
        </w:rPr>
        <w:t>La regla precedente se aplicará, inclusive, a las sociedades en las que las entidades públicas sean parte, sin atender al porcentaje que sus aportes representen dentro del capital social, ni a la naturaleza del acto o del derecho que se ejerce.</w:t>
      </w:r>
    </w:p>
    <w:p w14:paraId="12646930" w14:textId="77777777" w:rsidR="000738FC" w:rsidRDefault="000738FC" w:rsidP="00916A2A">
      <w:pPr>
        <w:pStyle w:val="Textonotapie"/>
        <w:ind w:firstLine="709"/>
        <w:jc w:val="both"/>
        <w:rPr>
          <w:rFonts w:ascii="Verdana" w:hAnsi="Verdana" w:cs="Arial"/>
          <w:color w:val="000000" w:themeColor="text1"/>
          <w:sz w:val="16"/>
          <w:szCs w:val="16"/>
        </w:rPr>
      </w:pPr>
      <w:r w:rsidRPr="00872A1B">
        <w:rPr>
          <w:rFonts w:ascii="Verdana" w:hAnsi="Verdana" w:cs="Arial"/>
          <w:color w:val="000000" w:themeColor="text1"/>
          <w:sz w:val="16"/>
          <w:szCs w:val="16"/>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6704CDEE" w14:textId="77777777" w:rsidR="00916A2A" w:rsidRPr="00872A1B" w:rsidRDefault="00916A2A" w:rsidP="00916A2A">
      <w:pPr>
        <w:pStyle w:val="Textonotapie"/>
        <w:ind w:firstLine="709"/>
        <w:jc w:val="both"/>
        <w:rPr>
          <w:rFonts w:ascii="Verdana" w:hAnsi="Verdana" w:cs="Arial"/>
          <w:color w:val="000000" w:themeColor="text1"/>
          <w:sz w:val="16"/>
          <w:szCs w:val="16"/>
        </w:rPr>
      </w:pPr>
    </w:p>
  </w:footnote>
  <w:footnote w:id="7">
    <w:p w14:paraId="31240053" w14:textId="77777777" w:rsidR="000738FC" w:rsidRDefault="000738FC" w:rsidP="00916A2A">
      <w:pPr>
        <w:spacing w:after="0" w:line="240" w:lineRule="auto"/>
        <w:ind w:firstLine="709"/>
        <w:jc w:val="both"/>
        <w:rPr>
          <w:rFonts w:ascii="Verdana" w:hAnsi="Verdana" w:cs="Arial"/>
          <w:color w:val="000000" w:themeColor="text1"/>
          <w:sz w:val="16"/>
          <w:szCs w:val="16"/>
          <w:lang w:val="es-ES_tradnl"/>
        </w:rPr>
      </w:pPr>
      <w:r w:rsidRPr="00872A1B">
        <w:rPr>
          <w:rStyle w:val="Refdenotaalpie"/>
          <w:rFonts w:ascii="Verdana" w:hAnsi="Verdana" w:cs="Arial"/>
          <w:color w:val="000000" w:themeColor="text1"/>
          <w:sz w:val="16"/>
          <w:szCs w:val="16"/>
          <w:lang w:val="es-ES_tradnl"/>
        </w:rPr>
        <w:footnoteRef/>
      </w:r>
      <w:r w:rsidRPr="00872A1B">
        <w:rPr>
          <w:rFonts w:ascii="Verdana" w:hAnsi="Verdana" w:cs="Arial"/>
          <w:color w:val="000000" w:themeColor="text1"/>
          <w:sz w:val="16"/>
          <w:szCs w:val="16"/>
          <w:lang w:val="es-ES_tradnl"/>
        </w:rPr>
        <w:t xml:space="preserve"> Consejo de Estado. Sección Tercera, Subsección C. Sentencia del 13 de abril de 2011. Exp. 37423. Consejero Ponente: Jaime Orlando Santofimio Gamboa. En similar sentido, puede verse la Sentencia del Consejo de Estado. Sección Tercera. Subsección B, del 15 de noviembre de 2011. Exp. 21178. Consejera ponente: Ruth Stella Correa Palacio.</w:t>
      </w:r>
    </w:p>
    <w:p w14:paraId="0139F3E9" w14:textId="77777777" w:rsidR="00916A2A" w:rsidRPr="00872A1B" w:rsidRDefault="00916A2A" w:rsidP="00872A1B">
      <w:pPr>
        <w:spacing w:after="0" w:line="240" w:lineRule="auto"/>
        <w:ind w:firstLine="709"/>
        <w:jc w:val="both"/>
        <w:rPr>
          <w:rFonts w:ascii="Verdana" w:hAnsi="Verdana" w:cs="Arial"/>
          <w:color w:val="000000" w:themeColor="text1"/>
          <w:sz w:val="16"/>
          <w:szCs w:val="16"/>
          <w:lang w:val="es-ES_tradnl"/>
        </w:rPr>
      </w:pPr>
    </w:p>
  </w:footnote>
  <w:footnote w:id="8">
    <w:p w14:paraId="4D2D383C" w14:textId="77777777" w:rsidR="000738FC" w:rsidRPr="00872A1B" w:rsidRDefault="000738FC" w:rsidP="00872A1B">
      <w:pPr>
        <w:spacing w:after="0" w:line="240" w:lineRule="auto"/>
        <w:ind w:firstLine="709"/>
        <w:jc w:val="both"/>
        <w:rPr>
          <w:rFonts w:ascii="Verdana" w:eastAsia="Calibri" w:hAnsi="Verdana" w:cs="Arial"/>
          <w:color w:val="000000" w:themeColor="text1"/>
          <w:sz w:val="16"/>
          <w:szCs w:val="16"/>
          <w:lang w:val="es-ES_tradnl"/>
        </w:rPr>
      </w:pPr>
      <w:r w:rsidRPr="00872A1B">
        <w:rPr>
          <w:rStyle w:val="Refdenotaalpie"/>
          <w:rFonts w:ascii="Verdana" w:hAnsi="Verdana" w:cs="Arial"/>
          <w:color w:val="000000" w:themeColor="text1"/>
          <w:sz w:val="16"/>
          <w:szCs w:val="16"/>
        </w:rPr>
        <w:footnoteRef/>
      </w:r>
      <w:r w:rsidRPr="00872A1B">
        <w:rPr>
          <w:rFonts w:ascii="Verdana" w:hAnsi="Verdana" w:cs="Arial"/>
          <w:color w:val="000000" w:themeColor="text1"/>
          <w:sz w:val="16"/>
          <w:szCs w:val="16"/>
        </w:rPr>
        <w:t xml:space="preserve"> </w:t>
      </w:r>
      <w:r w:rsidRPr="00872A1B">
        <w:rPr>
          <w:rFonts w:ascii="Verdana" w:hAnsi="Verdana" w:cs="Arial"/>
          <w:color w:val="000000" w:themeColor="text1"/>
          <w:sz w:val="16"/>
          <w:szCs w:val="16"/>
          <w:lang w:val="es-ES"/>
        </w:rPr>
        <w:t>Esta norma dispone: “</w:t>
      </w:r>
      <w:r w:rsidRPr="00872A1B">
        <w:rPr>
          <w:rFonts w:ascii="Verdana" w:eastAsia="Calibri" w:hAnsi="Verdana" w:cs="Arial"/>
          <w:color w:val="000000" w:themeColor="text1"/>
          <w:sz w:val="16"/>
          <w:szCs w:val="16"/>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footnote>
  <w:footnote w:id="9">
    <w:p w14:paraId="5AD32598" w14:textId="77777777" w:rsidR="000738FC" w:rsidRPr="00872A1B" w:rsidRDefault="000738FC" w:rsidP="00872A1B">
      <w:pPr>
        <w:pStyle w:val="Textonotapie"/>
        <w:ind w:firstLine="709"/>
        <w:jc w:val="both"/>
        <w:rPr>
          <w:rFonts w:ascii="Verdana" w:hAnsi="Verdana" w:cs="Arial"/>
          <w:color w:val="000000"/>
          <w:sz w:val="16"/>
          <w:szCs w:val="16"/>
        </w:rPr>
      </w:pPr>
    </w:p>
    <w:p w14:paraId="71562337" w14:textId="77777777" w:rsidR="000738FC" w:rsidRPr="00872A1B" w:rsidRDefault="000738FC" w:rsidP="00872A1B">
      <w:pPr>
        <w:spacing w:after="0" w:line="240" w:lineRule="auto"/>
        <w:ind w:firstLine="709"/>
        <w:jc w:val="both"/>
        <w:rPr>
          <w:rFonts w:ascii="Verdana" w:hAnsi="Verdana" w:cs="Arial"/>
          <w:color w:val="000000"/>
          <w:sz w:val="16"/>
          <w:szCs w:val="16"/>
        </w:rPr>
      </w:pPr>
      <w:r w:rsidRPr="00872A1B">
        <w:rPr>
          <w:rStyle w:val="Refdenotaalpie"/>
          <w:rFonts w:ascii="Verdana" w:hAnsi="Verdana" w:cs="Arial"/>
          <w:color w:val="000000"/>
          <w:sz w:val="16"/>
          <w:szCs w:val="16"/>
        </w:rPr>
        <w:footnoteRef/>
      </w:r>
      <w:r w:rsidRPr="00872A1B">
        <w:rPr>
          <w:rFonts w:ascii="Verdana" w:hAnsi="Verdana" w:cs="Arial"/>
          <w:color w:val="000000"/>
          <w:sz w:val="16"/>
          <w:szCs w:val="16"/>
        </w:rPr>
        <w:t xml:space="preserve"> </w:t>
      </w:r>
      <w:r w:rsidRPr="00872A1B">
        <w:rPr>
          <w:rFonts w:ascii="Verdana" w:eastAsia="Calibri" w:hAnsi="Verdana" w:cstheme="majorHAnsi"/>
          <w:bCs/>
          <w:sz w:val="16"/>
          <w:szCs w:val="16"/>
          <w:lang w:val="es-MX"/>
        </w:rPr>
        <w:t>La Corte Constitucional ha señalado que el principio de publicidad es la garantía que tienen las personas de conocer las actuaciones judiciales y administrativas. De este modo, explica:</w:t>
      </w:r>
      <m:oMath>
        <m:r>
          <m:rPr>
            <m:sty m:val="p"/>
          </m:rPr>
          <w:rPr>
            <w:rFonts w:ascii="Cambria Math" w:eastAsia="Calibri" w:hAnsi="Cambria Math" w:cstheme="majorHAnsi"/>
            <w:sz w:val="16"/>
            <w:szCs w:val="16"/>
            <w:lang w:val="es-MX"/>
          </w:rPr>
          <m:t>“</m:t>
        </m:r>
      </m:oMath>
      <w:r w:rsidRPr="00872A1B">
        <w:rPr>
          <w:rFonts w:ascii="Verdana" w:eastAsia="Calibri" w:hAnsi="Verdana" w:cstheme="majorHAnsi"/>
          <w:bCs/>
          <w:sz w:val="16"/>
          <w:szCs w:val="16"/>
          <w:lang w:val="es-MX"/>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 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872A1B">
        <w:rPr>
          <w:rFonts w:ascii="Verdana" w:hAnsi="Verdana" w:cs="Arial"/>
          <w:color w:val="000000"/>
          <w:sz w:val="16"/>
          <w:szCs w:val="16"/>
        </w:rPr>
        <w:t xml:space="preserve"> Corte Constitucional. Sentencia C- 341 del 4 de junio de 2014. M. P. Mauricio González Cuervo.</w:t>
      </w:r>
    </w:p>
    <w:p w14:paraId="1091DD82" w14:textId="77777777" w:rsidR="000738FC" w:rsidRPr="00872A1B" w:rsidRDefault="000738FC" w:rsidP="00872A1B">
      <w:pPr>
        <w:pStyle w:val="Textonotapie"/>
        <w:ind w:firstLine="709"/>
        <w:jc w:val="both"/>
        <w:rPr>
          <w:rFonts w:ascii="Verdana" w:hAnsi="Verdana" w:cs="Arial"/>
          <w:color w:val="000000"/>
          <w:sz w:val="16"/>
          <w:szCs w:val="16"/>
        </w:rPr>
      </w:pPr>
    </w:p>
  </w:footnote>
  <w:footnote w:id="10">
    <w:p w14:paraId="21660E37" w14:textId="77777777" w:rsidR="000738FC" w:rsidRPr="00872A1B" w:rsidRDefault="000738FC" w:rsidP="00872A1B">
      <w:pPr>
        <w:pStyle w:val="Textonotapie"/>
        <w:ind w:firstLine="709"/>
        <w:jc w:val="both"/>
        <w:rPr>
          <w:rFonts w:ascii="Verdana" w:hAnsi="Verdana" w:cs="Arial"/>
          <w:color w:val="000000"/>
          <w:sz w:val="16"/>
          <w:szCs w:val="16"/>
        </w:rPr>
      </w:pPr>
      <w:r w:rsidRPr="00872A1B">
        <w:rPr>
          <w:rStyle w:val="Refdenotaalpie"/>
          <w:rFonts w:ascii="Verdana" w:hAnsi="Verdana" w:cs="Arial"/>
          <w:color w:val="000000"/>
          <w:sz w:val="16"/>
          <w:szCs w:val="16"/>
        </w:rPr>
        <w:footnoteRef/>
      </w:r>
      <w:r w:rsidRPr="00872A1B">
        <w:rPr>
          <w:rFonts w:ascii="Verdana" w:hAnsi="Verdana" w:cs="Arial"/>
          <w:color w:val="000000"/>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49AEC32" w14:textId="77777777" w:rsidR="000738FC" w:rsidRPr="00872A1B" w:rsidRDefault="000738FC" w:rsidP="00872A1B">
      <w:pPr>
        <w:pStyle w:val="Textonotapie"/>
        <w:ind w:firstLine="709"/>
        <w:jc w:val="both"/>
        <w:rPr>
          <w:rFonts w:ascii="Verdana" w:hAnsi="Verdana" w:cs="Arial"/>
          <w:color w:val="000000"/>
          <w:sz w:val="16"/>
          <w:szCs w:val="16"/>
        </w:rPr>
      </w:pPr>
      <w:r w:rsidRPr="00872A1B">
        <w:rPr>
          <w:rFonts w:ascii="Verdana" w:hAnsi="Verdana" w:cs="Arial"/>
          <w:color w:val="000000"/>
          <w:sz w:val="16"/>
          <w:szCs w:val="16"/>
        </w:rPr>
        <w:t>Lo anterior, sin perjuicio de las publicaciones previstas en el numeral 3 del artículo 30 de la Ley 80 de 1993.</w:t>
      </w:r>
    </w:p>
    <w:p w14:paraId="56642755" w14:textId="77777777" w:rsidR="000738FC" w:rsidRPr="00872A1B" w:rsidRDefault="000738FC" w:rsidP="00872A1B">
      <w:pPr>
        <w:pStyle w:val="Textonotapie"/>
        <w:ind w:firstLine="709"/>
        <w:jc w:val="both"/>
        <w:rPr>
          <w:rFonts w:ascii="Verdana" w:hAnsi="Verdana" w:cs="Arial"/>
          <w:color w:val="000000"/>
          <w:sz w:val="16"/>
          <w:szCs w:val="16"/>
        </w:rPr>
      </w:pPr>
      <w:r w:rsidRPr="00872A1B">
        <w:rPr>
          <w:rFonts w:ascii="Verdana" w:hAnsi="Verdana" w:cs="Arial"/>
          <w:color w:val="000000"/>
          <w:sz w:val="16"/>
          <w:szCs w:val="16"/>
        </w:rPr>
        <w:t xml:space="preserve">Con el fin de materializar los objetivos a que se refiere el inciso anterior, el Gobierno Nacional desarrollará el Sistema Electrónico para la Contratación Pública, Secop, el cual: </w:t>
      </w:r>
    </w:p>
    <w:p w14:paraId="5B45DAAB" w14:textId="77777777" w:rsidR="000738FC" w:rsidRPr="00872A1B" w:rsidRDefault="000738FC" w:rsidP="00872A1B">
      <w:pPr>
        <w:pStyle w:val="Textonotapie"/>
        <w:ind w:firstLine="709"/>
        <w:jc w:val="both"/>
        <w:rPr>
          <w:rFonts w:ascii="Verdana" w:hAnsi="Verdana" w:cs="Arial"/>
          <w:color w:val="000000"/>
          <w:sz w:val="16"/>
          <w:szCs w:val="16"/>
        </w:rPr>
      </w:pPr>
      <w:r w:rsidRPr="00872A1B">
        <w:rPr>
          <w:rFonts w:ascii="Verdana" w:hAnsi="Verdana" w:cs="Arial"/>
          <w:color w:val="000000"/>
          <w:sz w:val="16"/>
          <w:szCs w:val="16"/>
        </w:rPr>
        <w:t>[…]</w:t>
      </w:r>
    </w:p>
    <w:p w14:paraId="21E2B674" w14:textId="77777777" w:rsidR="000738FC" w:rsidRPr="00872A1B" w:rsidRDefault="000738FC" w:rsidP="00872A1B">
      <w:pPr>
        <w:pStyle w:val="Textonotapie"/>
        <w:ind w:firstLine="709"/>
        <w:jc w:val="both"/>
        <w:rPr>
          <w:rFonts w:ascii="Verdana" w:hAnsi="Verdana" w:cs="Arial"/>
          <w:color w:val="000000"/>
          <w:sz w:val="16"/>
          <w:szCs w:val="16"/>
        </w:rPr>
      </w:pPr>
      <w:r w:rsidRPr="00872A1B">
        <w:rPr>
          <w:rFonts w:ascii="Verdana" w:hAnsi="Verdana" w:cs="Arial"/>
          <w:color w:val="000000"/>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117E3BF0" w14:textId="77777777" w:rsidR="000738FC" w:rsidRPr="00872A1B" w:rsidRDefault="000738FC" w:rsidP="00872A1B">
      <w:pPr>
        <w:pStyle w:val="Textonotapie"/>
        <w:ind w:firstLine="709"/>
        <w:jc w:val="both"/>
        <w:rPr>
          <w:rFonts w:ascii="Verdana" w:hAnsi="Verdana" w:cs="Arial"/>
          <w:color w:val="000000"/>
          <w:sz w:val="16"/>
          <w:szCs w:val="16"/>
        </w:rPr>
      </w:pPr>
    </w:p>
  </w:footnote>
  <w:footnote w:id="11">
    <w:p w14:paraId="52208875" w14:textId="090F59B1" w:rsidR="0084029A" w:rsidRPr="00872A1B" w:rsidRDefault="0084029A" w:rsidP="00872A1B">
      <w:pPr>
        <w:spacing w:after="0" w:line="240" w:lineRule="auto"/>
        <w:ind w:firstLine="709"/>
        <w:jc w:val="both"/>
        <w:rPr>
          <w:rFonts w:ascii="Verdana" w:hAnsi="Verdana" w:cs="Arial"/>
          <w:sz w:val="16"/>
          <w:szCs w:val="16"/>
        </w:rPr>
      </w:pPr>
      <w:r w:rsidRPr="00872A1B">
        <w:rPr>
          <w:rStyle w:val="Refdenotaalpie"/>
          <w:rFonts w:ascii="Verdana" w:hAnsi="Verdana" w:cs="Arial"/>
          <w:sz w:val="16"/>
          <w:szCs w:val="16"/>
        </w:rPr>
        <w:footnoteRef/>
      </w:r>
      <w:r w:rsidRPr="00872A1B">
        <w:rPr>
          <w:rFonts w:ascii="Verdana" w:hAnsi="Verdana" w:cs="Arial"/>
          <w:sz w:val="16"/>
          <w:szCs w:val="16"/>
          <w:vertAlign w:val="superscript"/>
        </w:rPr>
        <w:t xml:space="preserve"> </w:t>
      </w:r>
      <w:r w:rsidRPr="00872A1B">
        <w:rPr>
          <w:rFonts w:ascii="Verdana" w:hAnsi="Verdana" w:cs="Arial"/>
          <w:sz w:val="16"/>
          <w:szCs w:val="16"/>
        </w:rPr>
        <w:t xml:space="preserve">Ley 1712 de 2014: </w:t>
      </w:r>
      <w:r w:rsidR="00916A2A">
        <w:rPr>
          <w:rFonts w:ascii="Verdana" w:hAnsi="Verdana" w:cs="Arial"/>
          <w:sz w:val="16"/>
          <w:szCs w:val="16"/>
        </w:rPr>
        <w:t>“</w:t>
      </w:r>
      <w:r w:rsidRPr="00872A1B">
        <w:rPr>
          <w:rFonts w:ascii="Verdana" w:hAnsi="Verdana" w:cs="Arial"/>
          <w:sz w:val="16"/>
          <w:szCs w:val="16"/>
        </w:rPr>
        <w:t>Artículo 2. Toda información en posesión, bajo control o custodia de un sujeto obligado es pública y no podrá ser reservada o limitada sino por disposición constitucional o legal, de conformidad con la presente ley</w:t>
      </w:r>
      <w:r w:rsidR="00916A2A">
        <w:rPr>
          <w:rFonts w:ascii="Verdana" w:hAnsi="Verdana" w:cs="Arial"/>
          <w:sz w:val="16"/>
          <w:szCs w:val="16"/>
        </w:rPr>
        <w:t>”</w:t>
      </w:r>
      <w:r w:rsidRPr="00872A1B">
        <w:rPr>
          <w:rFonts w:ascii="Verdana" w:hAnsi="Verdana" w:cs="Arial"/>
          <w:sz w:val="16"/>
          <w:szCs w:val="16"/>
        </w:rPr>
        <w:t>.</w:t>
      </w:r>
    </w:p>
  </w:footnote>
  <w:footnote w:id="12">
    <w:p w14:paraId="451FDBE0" w14:textId="77777777" w:rsidR="0084029A" w:rsidRPr="00872A1B" w:rsidRDefault="0084029A" w:rsidP="00872A1B">
      <w:pPr>
        <w:pStyle w:val="Textonotapie"/>
        <w:ind w:firstLine="709"/>
        <w:jc w:val="both"/>
        <w:rPr>
          <w:rFonts w:ascii="Verdana" w:hAnsi="Verdana" w:cs="Arial"/>
          <w:sz w:val="16"/>
          <w:szCs w:val="16"/>
        </w:rPr>
      </w:pPr>
    </w:p>
    <w:p w14:paraId="72430560" w14:textId="13E45806" w:rsidR="0084029A" w:rsidRPr="00872A1B" w:rsidRDefault="0084029A" w:rsidP="00872A1B">
      <w:pPr>
        <w:pStyle w:val="Textonotapie"/>
        <w:ind w:firstLine="709"/>
        <w:jc w:val="both"/>
        <w:rPr>
          <w:rFonts w:ascii="Verdana" w:hAnsi="Verdana" w:cs="Arial"/>
          <w:sz w:val="16"/>
          <w:szCs w:val="16"/>
          <w:lang w:val="es-CO"/>
        </w:rPr>
      </w:pPr>
      <w:r w:rsidRPr="00872A1B">
        <w:rPr>
          <w:rStyle w:val="Refdenotaalpie"/>
          <w:rFonts w:ascii="Verdana" w:hAnsi="Verdana" w:cs="Arial"/>
          <w:sz w:val="16"/>
          <w:szCs w:val="16"/>
        </w:rPr>
        <w:footnoteRef/>
      </w:r>
      <w:r w:rsidRPr="00872A1B">
        <w:rPr>
          <w:rFonts w:ascii="Verdana" w:hAnsi="Verdana" w:cs="Arial"/>
          <w:sz w:val="16"/>
          <w:szCs w:val="16"/>
          <w:vertAlign w:val="superscript"/>
        </w:rPr>
        <w:t xml:space="preserve"> </w:t>
      </w:r>
      <w:r w:rsidRPr="00872A1B">
        <w:rPr>
          <w:rFonts w:ascii="Verdana" w:hAnsi="Verdana" w:cs="Arial"/>
          <w:sz w:val="16"/>
          <w:szCs w:val="16"/>
        </w:rPr>
        <w:t xml:space="preserve">Ley 1712 de 2014: </w:t>
      </w:r>
      <w:r w:rsidR="00916A2A">
        <w:rPr>
          <w:rFonts w:ascii="Verdana" w:hAnsi="Verdana" w:cs="Arial"/>
          <w:sz w:val="16"/>
          <w:szCs w:val="16"/>
        </w:rPr>
        <w:t>“</w:t>
      </w:r>
      <w:r w:rsidRPr="00872A1B">
        <w:rPr>
          <w:rFonts w:ascii="Verdana" w:hAnsi="Verdana" w:cs="Arial"/>
          <w:sz w:val="16"/>
          <w:szCs w:val="16"/>
        </w:rPr>
        <w:t xml:space="preserve">Artículo 3. </w:t>
      </w:r>
      <w:bookmarkStart w:id="6" w:name="3"/>
      <w:r w:rsidRPr="00872A1B">
        <w:rPr>
          <w:rFonts w:ascii="Verdana" w:hAnsi="Verdana" w:cs="Arial"/>
          <w:sz w:val="16"/>
          <w:szCs w:val="16"/>
          <w:lang w:val="es-CO"/>
        </w:rPr>
        <w:t>Otros principios de la transparencia y acceso a la información pública.</w:t>
      </w:r>
      <w:bookmarkEnd w:id="6"/>
      <w:r w:rsidRPr="00872A1B">
        <w:rPr>
          <w:rFonts w:ascii="Verdana" w:hAnsi="Verdana" w:cs="Arial"/>
          <w:sz w:val="16"/>
          <w:szCs w:val="16"/>
          <w:lang w:val="es-CO"/>
        </w:rPr>
        <w:t> </w:t>
      </w:r>
    </w:p>
    <w:p w14:paraId="10322E63" w14:textId="77777777" w:rsidR="0084029A" w:rsidRPr="00872A1B" w:rsidRDefault="0084029A" w:rsidP="00872A1B">
      <w:pPr>
        <w:pStyle w:val="Textonotapie"/>
        <w:ind w:firstLine="709"/>
        <w:jc w:val="both"/>
        <w:rPr>
          <w:rFonts w:ascii="Verdana" w:hAnsi="Verdana" w:cs="Arial"/>
          <w:sz w:val="16"/>
          <w:szCs w:val="16"/>
          <w:lang w:val="es-CO"/>
        </w:rPr>
      </w:pPr>
      <w:r w:rsidRPr="00872A1B">
        <w:rPr>
          <w:rFonts w:ascii="Verdana" w:hAnsi="Verdana" w:cs="Arial"/>
          <w:sz w:val="16"/>
          <w:szCs w:val="16"/>
          <w:lang w:val="es-CO"/>
        </w:rPr>
        <w:t>[…]</w:t>
      </w:r>
    </w:p>
    <w:p w14:paraId="702A3ED7" w14:textId="0BE1A9CA" w:rsidR="0084029A" w:rsidRPr="00872A1B" w:rsidRDefault="0084029A" w:rsidP="00872A1B">
      <w:pPr>
        <w:pStyle w:val="Textonotapie"/>
        <w:ind w:firstLine="709"/>
        <w:jc w:val="both"/>
        <w:rPr>
          <w:rFonts w:ascii="Verdana" w:hAnsi="Verdana" w:cs="Arial"/>
          <w:sz w:val="16"/>
          <w:szCs w:val="16"/>
        </w:rPr>
      </w:pPr>
      <w:r w:rsidRPr="00872A1B">
        <w:rPr>
          <w:rStyle w:val="baj"/>
          <w:rFonts w:ascii="Verdana" w:hAnsi="Verdana" w:cs="Arial"/>
          <w:b/>
          <w:bCs/>
          <w:sz w:val="16"/>
          <w:szCs w:val="16"/>
        </w:rPr>
        <w:t>Principio de transparencia</w:t>
      </w:r>
      <w:r w:rsidRPr="00872A1B">
        <w:rPr>
          <w:rFonts w:ascii="Verdana" w:hAnsi="Verdana" w:cs="Arial"/>
          <w:sz w:val="16"/>
          <w:szCs w:val="16"/>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r w:rsidR="00916A2A">
        <w:rPr>
          <w:rFonts w:ascii="Verdana" w:hAnsi="Verdana" w:cs="Arial"/>
          <w:sz w:val="16"/>
          <w:szCs w:val="16"/>
        </w:rPr>
        <w:t>”</w:t>
      </w:r>
      <w:r w:rsidRPr="00872A1B">
        <w:rPr>
          <w:rFonts w:ascii="Verdana" w:hAnsi="Verdana" w:cs="Arial"/>
          <w:sz w:val="16"/>
          <w:szCs w:val="16"/>
        </w:rPr>
        <w:t>.</w:t>
      </w:r>
    </w:p>
    <w:p w14:paraId="1FB9A4C2" w14:textId="77777777" w:rsidR="0084029A" w:rsidRPr="00872A1B" w:rsidRDefault="0084029A" w:rsidP="00872A1B">
      <w:pPr>
        <w:pStyle w:val="Textonotapie"/>
        <w:ind w:firstLine="709"/>
        <w:jc w:val="both"/>
        <w:rPr>
          <w:rFonts w:ascii="Verdana" w:hAnsi="Verdana" w:cs="Arial"/>
          <w:sz w:val="16"/>
          <w:szCs w:val="16"/>
          <w:lang w:val="es-CO"/>
        </w:rPr>
      </w:pPr>
    </w:p>
  </w:footnote>
  <w:footnote w:id="13">
    <w:p w14:paraId="2FF27A9F" w14:textId="1D4E5504" w:rsidR="0084029A" w:rsidRPr="00872A1B" w:rsidRDefault="0084029A" w:rsidP="00872A1B">
      <w:pPr>
        <w:pStyle w:val="Textonotapie"/>
        <w:ind w:firstLine="709"/>
        <w:jc w:val="both"/>
        <w:rPr>
          <w:rFonts w:ascii="Verdana" w:hAnsi="Verdana" w:cs="Arial"/>
          <w:sz w:val="16"/>
          <w:szCs w:val="16"/>
          <w:lang w:val="es-CO"/>
        </w:rPr>
      </w:pPr>
      <w:r w:rsidRPr="00872A1B">
        <w:rPr>
          <w:rStyle w:val="Refdenotaalpie"/>
          <w:rFonts w:ascii="Verdana" w:hAnsi="Verdana" w:cs="Arial"/>
          <w:sz w:val="16"/>
          <w:szCs w:val="16"/>
        </w:rPr>
        <w:footnoteRef/>
      </w:r>
      <w:r w:rsidRPr="00872A1B">
        <w:rPr>
          <w:rFonts w:ascii="Verdana" w:hAnsi="Verdana" w:cs="Arial"/>
          <w:sz w:val="16"/>
          <w:szCs w:val="16"/>
          <w:vertAlign w:val="superscript"/>
        </w:rPr>
        <w:t xml:space="preserve"> </w:t>
      </w:r>
      <w:r w:rsidRPr="00872A1B">
        <w:rPr>
          <w:rFonts w:ascii="Verdana" w:hAnsi="Verdana" w:cs="Arial"/>
          <w:sz w:val="16"/>
          <w:szCs w:val="16"/>
        </w:rPr>
        <w:t xml:space="preserve">Ley 1712 de 2014: </w:t>
      </w:r>
      <w:r w:rsidR="00916A2A">
        <w:rPr>
          <w:rFonts w:ascii="Verdana" w:hAnsi="Verdana" w:cs="Arial"/>
          <w:sz w:val="16"/>
          <w:szCs w:val="16"/>
        </w:rPr>
        <w:t>“</w:t>
      </w:r>
      <w:r w:rsidRPr="00872A1B">
        <w:rPr>
          <w:rFonts w:ascii="Verdana" w:hAnsi="Verdana" w:cs="Arial"/>
          <w:sz w:val="16"/>
          <w:szCs w:val="16"/>
        </w:rPr>
        <w:t xml:space="preserve">Artículo 3. </w:t>
      </w:r>
      <w:r w:rsidRPr="00872A1B">
        <w:rPr>
          <w:rFonts w:ascii="Verdana" w:hAnsi="Verdana" w:cs="Arial"/>
          <w:sz w:val="16"/>
          <w:szCs w:val="16"/>
          <w:lang w:val="es-CO"/>
        </w:rPr>
        <w:t>Otros principios de la transparencia y acceso a la información pública. </w:t>
      </w:r>
    </w:p>
    <w:p w14:paraId="0456FEEE" w14:textId="77777777" w:rsidR="0084029A" w:rsidRPr="00872A1B" w:rsidRDefault="0084029A" w:rsidP="00872A1B">
      <w:pPr>
        <w:pStyle w:val="Textonotapie"/>
        <w:ind w:firstLine="709"/>
        <w:jc w:val="both"/>
        <w:rPr>
          <w:rFonts w:ascii="Verdana" w:hAnsi="Verdana" w:cs="Arial"/>
          <w:sz w:val="16"/>
          <w:szCs w:val="16"/>
          <w:lang w:val="es-ES"/>
        </w:rPr>
      </w:pPr>
      <w:r w:rsidRPr="00872A1B">
        <w:rPr>
          <w:rFonts w:ascii="Verdana" w:hAnsi="Verdana" w:cs="Arial"/>
          <w:sz w:val="16"/>
          <w:szCs w:val="16"/>
          <w:lang w:val="es-ES"/>
        </w:rPr>
        <w:t>[…]</w:t>
      </w:r>
    </w:p>
    <w:p w14:paraId="187EA9C9" w14:textId="3117A5DF" w:rsidR="0084029A" w:rsidRDefault="0084029A" w:rsidP="00916A2A">
      <w:pPr>
        <w:pStyle w:val="Textonotapie"/>
        <w:ind w:firstLine="709"/>
        <w:jc w:val="both"/>
        <w:rPr>
          <w:rFonts w:ascii="Verdana" w:hAnsi="Verdana" w:cs="Arial"/>
          <w:sz w:val="16"/>
          <w:szCs w:val="16"/>
        </w:rPr>
      </w:pPr>
      <w:r w:rsidRPr="00872A1B">
        <w:rPr>
          <w:rStyle w:val="baj"/>
          <w:rFonts w:ascii="Verdana" w:hAnsi="Verdana" w:cs="Arial"/>
          <w:b/>
          <w:bCs/>
          <w:sz w:val="16"/>
          <w:szCs w:val="16"/>
        </w:rPr>
        <w:t>Principio de buena fe</w:t>
      </w:r>
      <w:r w:rsidRPr="00872A1B">
        <w:rPr>
          <w:rFonts w:ascii="Verdana" w:hAnsi="Verdana" w:cs="Arial"/>
          <w:sz w:val="16"/>
          <w:szCs w:val="16"/>
        </w:rPr>
        <w:t>. En virtud del cual todo sujeto obligado, al cumplir con las obligaciones derivadas del derecho de acceso a la información pública, lo hará con motivación honesta, leal y desprovista de cualquier intención dolosa o culposa</w:t>
      </w:r>
      <w:r w:rsidR="00916A2A">
        <w:rPr>
          <w:rFonts w:ascii="Verdana" w:hAnsi="Verdana" w:cs="Arial"/>
          <w:sz w:val="16"/>
          <w:szCs w:val="16"/>
        </w:rPr>
        <w:t>”</w:t>
      </w:r>
      <w:r w:rsidRPr="00872A1B">
        <w:rPr>
          <w:rFonts w:ascii="Verdana" w:hAnsi="Verdana" w:cs="Arial"/>
          <w:sz w:val="16"/>
          <w:szCs w:val="16"/>
        </w:rPr>
        <w:t>.</w:t>
      </w:r>
    </w:p>
    <w:p w14:paraId="1A0F3A4D" w14:textId="77777777" w:rsidR="00916A2A" w:rsidRPr="00872A1B" w:rsidRDefault="00916A2A" w:rsidP="00872A1B">
      <w:pPr>
        <w:pStyle w:val="Textonotapie"/>
        <w:ind w:firstLine="709"/>
        <w:jc w:val="both"/>
        <w:rPr>
          <w:rFonts w:ascii="Verdana" w:hAnsi="Verdana" w:cs="Arial"/>
          <w:sz w:val="16"/>
          <w:szCs w:val="16"/>
          <w:lang w:val="es-ES"/>
        </w:rPr>
      </w:pPr>
    </w:p>
  </w:footnote>
  <w:footnote w:id="14">
    <w:p w14:paraId="4E4435C5" w14:textId="77777777" w:rsidR="0084029A" w:rsidRPr="00872A1B" w:rsidRDefault="0084029A" w:rsidP="00872A1B">
      <w:pPr>
        <w:spacing w:after="0" w:line="240" w:lineRule="auto"/>
        <w:ind w:firstLine="709"/>
        <w:jc w:val="both"/>
        <w:rPr>
          <w:rFonts w:ascii="Verdana" w:hAnsi="Verdana" w:cs="Arial"/>
          <w:sz w:val="16"/>
          <w:szCs w:val="16"/>
        </w:rPr>
      </w:pPr>
    </w:p>
    <w:p w14:paraId="29CFB7C9" w14:textId="222044A4" w:rsidR="0084029A" w:rsidRPr="00872A1B" w:rsidRDefault="0084029A" w:rsidP="00872A1B">
      <w:pPr>
        <w:spacing w:after="0" w:line="240" w:lineRule="auto"/>
        <w:ind w:firstLine="709"/>
        <w:jc w:val="both"/>
        <w:rPr>
          <w:rFonts w:ascii="Verdana" w:hAnsi="Verdana" w:cs="Arial"/>
          <w:sz w:val="16"/>
          <w:szCs w:val="16"/>
        </w:rPr>
      </w:pPr>
      <w:r w:rsidRPr="00872A1B">
        <w:rPr>
          <w:rStyle w:val="Refdenotaalpie"/>
          <w:rFonts w:ascii="Verdana" w:hAnsi="Verdana" w:cs="Arial"/>
          <w:sz w:val="16"/>
          <w:szCs w:val="16"/>
        </w:rPr>
        <w:footnoteRef/>
      </w:r>
      <w:r w:rsidRPr="00872A1B">
        <w:rPr>
          <w:rFonts w:ascii="Verdana" w:hAnsi="Verdana" w:cs="Arial"/>
          <w:sz w:val="16"/>
          <w:szCs w:val="16"/>
        </w:rPr>
        <w:t xml:space="preserve"> Ley 1712 de 2014: </w:t>
      </w:r>
      <w:r w:rsidR="00916A2A">
        <w:rPr>
          <w:rFonts w:ascii="Verdana" w:hAnsi="Verdana" w:cs="Arial"/>
          <w:sz w:val="16"/>
          <w:szCs w:val="16"/>
        </w:rPr>
        <w:t>“</w:t>
      </w:r>
      <w:r w:rsidRPr="00872A1B">
        <w:rPr>
          <w:rFonts w:ascii="Verdana" w:hAnsi="Verdana" w:cs="Arial"/>
          <w:sz w:val="16"/>
          <w:szCs w:val="16"/>
        </w:rPr>
        <w:t>Artículo 5. Ámbito de aplicación. Las disposiciones de esta ley serán aplicables a las siguientes personas en calidad de sujetos obligados:</w:t>
      </w:r>
    </w:p>
    <w:p w14:paraId="20CA5F1B" w14:textId="41C0A309" w:rsidR="0084029A" w:rsidRPr="00872A1B" w:rsidRDefault="0084029A" w:rsidP="00872A1B">
      <w:pPr>
        <w:spacing w:after="0" w:line="240" w:lineRule="auto"/>
        <w:ind w:firstLine="709"/>
        <w:jc w:val="both"/>
        <w:rPr>
          <w:rFonts w:ascii="Verdana" w:hAnsi="Verdana" w:cs="Arial"/>
          <w:sz w:val="16"/>
          <w:szCs w:val="16"/>
        </w:rPr>
      </w:pPr>
      <w:r w:rsidRPr="00872A1B">
        <w:rPr>
          <w:rFonts w:ascii="Verdana" w:hAnsi="Verdana" w:cs="Arial"/>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r w:rsidR="00916A2A">
        <w:rPr>
          <w:rFonts w:ascii="Verdana" w:hAnsi="Verdana" w:cs="Arial"/>
          <w:sz w:val="16"/>
          <w:szCs w:val="16"/>
        </w:rPr>
        <w:t>”</w:t>
      </w:r>
      <w:r w:rsidRPr="00872A1B">
        <w:rPr>
          <w:rFonts w:ascii="Verdana" w:hAnsi="Verdana" w:cs="Arial"/>
          <w:sz w:val="16"/>
          <w:szCs w:val="16"/>
        </w:rPr>
        <w:t>.</w:t>
      </w:r>
    </w:p>
    <w:p w14:paraId="0EAF546C" w14:textId="77777777" w:rsidR="0084029A" w:rsidRPr="00872A1B" w:rsidRDefault="0084029A" w:rsidP="00872A1B">
      <w:pPr>
        <w:pStyle w:val="Textonotapie"/>
        <w:ind w:firstLine="709"/>
        <w:jc w:val="both"/>
        <w:rPr>
          <w:rFonts w:ascii="Verdana" w:hAnsi="Verdana" w:cs="Arial"/>
          <w:sz w:val="16"/>
          <w:szCs w:val="16"/>
        </w:rPr>
      </w:pPr>
    </w:p>
  </w:footnote>
  <w:footnote w:id="15">
    <w:p w14:paraId="77465CE4" w14:textId="63E0CF3C" w:rsidR="0084029A" w:rsidRPr="00872A1B" w:rsidRDefault="0084029A" w:rsidP="00872A1B">
      <w:pPr>
        <w:spacing w:after="0" w:line="240" w:lineRule="auto"/>
        <w:ind w:firstLine="709"/>
        <w:jc w:val="both"/>
        <w:rPr>
          <w:rFonts w:ascii="Verdana" w:hAnsi="Verdana" w:cs="Arial"/>
          <w:sz w:val="16"/>
          <w:szCs w:val="16"/>
        </w:rPr>
      </w:pPr>
      <w:r w:rsidRPr="00872A1B">
        <w:rPr>
          <w:rStyle w:val="Refdenotaalpie"/>
          <w:rFonts w:ascii="Verdana" w:hAnsi="Verdana" w:cs="Arial"/>
          <w:sz w:val="16"/>
          <w:szCs w:val="16"/>
        </w:rPr>
        <w:footnoteRef/>
      </w:r>
      <w:r w:rsidRPr="00872A1B">
        <w:rPr>
          <w:rFonts w:ascii="Verdana" w:hAnsi="Verdana" w:cs="Arial"/>
          <w:sz w:val="16"/>
          <w:szCs w:val="16"/>
        </w:rPr>
        <w:t xml:space="preserve"> </w:t>
      </w:r>
      <w:r w:rsidR="00916A2A">
        <w:rPr>
          <w:rFonts w:ascii="Verdana" w:hAnsi="Verdana" w:cs="Arial"/>
          <w:sz w:val="16"/>
          <w:szCs w:val="16"/>
        </w:rPr>
        <w:t>“</w:t>
      </w:r>
      <w:r w:rsidRPr="00872A1B">
        <w:rPr>
          <w:rFonts w:ascii="Verdana" w:hAnsi="Verdana" w:cs="Arial"/>
          <w:sz w:val="16"/>
          <w:szCs w:val="16"/>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14:paraId="616696BB" w14:textId="77777777" w:rsidR="0084029A" w:rsidRPr="00872A1B" w:rsidRDefault="0084029A" w:rsidP="00872A1B">
      <w:pPr>
        <w:spacing w:after="0" w:line="240" w:lineRule="auto"/>
        <w:ind w:firstLine="709"/>
        <w:jc w:val="both"/>
        <w:rPr>
          <w:rFonts w:ascii="Verdana" w:hAnsi="Verdana" w:cs="Arial"/>
          <w:sz w:val="16"/>
          <w:szCs w:val="16"/>
        </w:rPr>
      </w:pPr>
      <w:r w:rsidRPr="00872A1B">
        <w:rPr>
          <w:rFonts w:ascii="Verdana" w:hAnsi="Verdana" w:cs="Arial"/>
          <w:sz w:val="16"/>
          <w:szCs w:val="16"/>
        </w:rPr>
        <w:t>[…].</w:t>
      </w:r>
    </w:p>
    <w:p w14:paraId="37B1602C" w14:textId="6A97F98F" w:rsidR="0084029A" w:rsidRPr="00872A1B" w:rsidRDefault="0084029A" w:rsidP="00872A1B">
      <w:pPr>
        <w:spacing w:after="0" w:line="240" w:lineRule="auto"/>
        <w:ind w:firstLine="709"/>
        <w:jc w:val="both"/>
        <w:rPr>
          <w:rFonts w:ascii="Verdana" w:hAnsi="Verdana" w:cs="Arial"/>
          <w:sz w:val="16"/>
          <w:szCs w:val="16"/>
        </w:rPr>
      </w:pPr>
      <w:r w:rsidRPr="00872A1B">
        <w:rPr>
          <w:rFonts w:ascii="Verdana" w:hAnsi="Verdana" w:cs="Arial"/>
          <w:sz w:val="16"/>
          <w:szCs w:val="16"/>
        </w:rPr>
        <w:t>Los sujetos obligados que contratan con recursos públicos y recursos privados, deben publicar la información de su gestión contractual con cargo a recursos públicos en el Sistema Electrónico para la Contratación Pública [SECOP]</w:t>
      </w:r>
      <w:r w:rsidR="00916A2A">
        <w:rPr>
          <w:rFonts w:ascii="Verdana" w:hAnsi="Verdana" w:cs="Arial"/>
          <w:sz w:val="16"/>
          <w:szCs w:val="16"/>
        </w:rPr>
        <w:t>”</w:t>
      </w:r>
      <w:r w:rsidRPr="00872A1B">
        <w:rPr>
          <w:rFonts w:ascii="Verdana" w:hAnsi="Verdana" w:cs="Arial"/>
          <w:sz w:val="16"/>
          <w:szCs w:val="16"/>
        </w:rPr>
        <w:t>.</w:t>
      </w:r>
    </w:p>
    <w:p w14:paraId="2AC34277" w14:textId="77777777" w:rsidR="0084029A" w:rsidRPr="00872A1B" w:rsidRDefault="0084029A" w:rsidP="00872A1B">
      <w:pPr>
        <w:pStyle w:val="Textonotapie"/>
        <w:ind w:firstLine="709"/>
        <w:jc w:val="both"/>
        <w:rPr>
          <w:rFonts w:ascii="Verdana" w:hAnsi="Verdana" w:cs="Arial"/>
          <w:sz w:val="16"/>
          <w:szCs w:val="16"/>
          <w:lang w:val="es-CO"/>
        </w:rPr>
      </w:pPr>
    </w:p>
  </w:footnote>
  <w:footnote w:id="16">
    <w:p w14:paraId="1FD997D7" w14:textId="5D71EAE2" w:rsidR="0084029A" w:rsidRPr="00872A1B" w:rsidRDefault="0084029A" w:rsidP="00872A1B">
      <w:pPr>
        <w:spacing w:after="0" w:line="240" w:lineRule="auto"/>
        <w:ind w:firstLine="709"/>
        <w:jc w:val="both"/>
        <w:rPr>
          <w:rFonts w:ascii="Verdana" w:hAnsi="Verdana" w:cs="Arial"/>
          <w:sz w:val="16"/>
          <w:szCs w:val="16"/>
        </w:rPr>
      </w:pPr>
      <w:r w:rsidRPr="00872A1B">
        <w:rPr>
          <w:rStyle w:val="Refdenotaalpie"/>
          <w:rFonts w:ascii="Verdana" w:hAnsi="Verdana" w:cs="Arial"/>
          <w:sz w:val="16"/>
          <w:szCs w:val="16"/>
        </w:rPr>
        <w:footnoteRef/>
      </w:r>
      <w:r w:rsidRPr="00872A1B">
        <w:rPr>
          <w:rFonts w:ascii="Verdana" w:hAnsi="Verdana" w:cs="Arial"/>
          <w:sz w:val="16"/>
          <w:szCs w:val="16"/>
        </w:rPr>
        <w:t xml:space="preserve"> </w:t>
      </w:r>
      <w:r w:rsidR="00916A2A">
        <w:rPr>
          <w:rFonts w:ascii="Verdana" w:hAnsi="Verdana" w:cs="Arial"/>
          <w:sz w:val="16"/>
          <w:szCs w:val="16"/>
        </w:rPr>
        <w:t>“</w:t>
      </w:r>
      <w:r w:rsidRPr="00872A1B">
        <w:rPr>
          <w:rFonts w:ascii="Verdana" w:hAnsi="Verdana" w:cs="Arial"/>
          <w:sz w:val="16"/>
          <w:szCs w:val="16"/>
        </w:rPr>
        <w:t>[…] El Gobierno Nacional desarrollará el Sistema Electrónico para la Contratación Pública, Secop, el cual:</w:t>
      </w:r>
    </w:p>
    <w:p w14:paraId="79A2C6F4" w14:textId="75B80551" w:rsidR="0084029A" w:rsidRPr="00872A1B" w:rsidRDefault="0084029A" w:rsidP="00872A1B">
      <w:pPr>
        <w:spacing w:after="0" w:line="240" w:lineRule="auto"/>
        <w:ind w:firstLine="709"/>
        <w:jc w:val="both"/>
        <w:rPr>
          <w:rFonts w:ascii="Verdana" w:hAnsi="Verdana" w:cs="Arial"/>
          <w:sz w:val="16"/>
          <w:szCs w:val="16"/>
        </w:rPr>
      </w:pPr>
      <w:r w:rsidRPr="00872A1B">
        <w:rPr>
          <w:rFonts w:ascii="Verdana" w:hAnsi="Verdana" w:cs="Arial"/>
          <w:sz w:val="16"/>
          <w:szCs w:val="16"/>
        </w:rPr>
        <w:t>[…]</w:t>
      </w:r>
    </w:p>
    <w:p w14:paraId="74B77327" w14:textId="0E1A5585" w:rsidR="0084029A" w:rsidRDefault="0084029A" w:rsidP="00916A2A">
      <w:pPr>
        <w:spacing w:after="0" w:line="240" w:lineRule="auto"/>
        <w:ind w:firstLine="709"/>
        <w:jc w:val="both"/>
        <w:rPr>
          <w:rFonts w:ascii="Verdana" w:hAnsi="Verdana" w:cs="Arial"/>
          <w:sz w:val="16"/>
          <w:szCs w:val="16"/>
        </w:rPr>
      </w:pPr>
      <w:r w:rsidRPr="00872A1B">
        <w:rPr>
          <w:rFonts w:ascii="Verdana" w:hAnsi="Verdana" w:cs="Arial"/>
          <w:sz w:val="16"/>
          <w:szCs w:val="16"/>
        </w:rPr>
        <w:t>c) Contará con la información oficial de la contratación realizada con dineros públicos, para lo cual establecerá los patrones a que haya lugar y se encargará de su difusión a través de canales electrónicos […]</w:t>
      </w:r>
      <w:r w:rsidR="00916A2A">
        <w:rPr>
          <w:rFonts w:ascii="Verdana" w:hAnsi="Verdana" w:cs="Arial"/>
          <w:sz w:val="16"/>
          <w:szCs w:val="16"/>
        </w:rPr>
        <w:t>”</w:t>
      </w:r>
      <w:r w:rsidRPr="00872A1B">
        <w:rPr>
          <w:rFonts w:ascii="Verdana" w:hAnsi="Verdana" w:cs="Arial"/>
          <w:sz w:val="16"/>
          <w:szCs w:val="16"/>
        </w:rPr>
        <w:t>.</w:t>
      </w:r>
    </w:p>
    <w:p w14:paraId="3B43ADC8" w14:textId="77777777" w:rsidR="00916A2A" w:rsidRPr="00872A1B" w:rsidRDefault="00916A2A" w:rsidP="00872A1B">
      <w:pPr>
        <w:spacing w:after="0" w:line="240" w:lineRule="auto"/>
        <w:ind w:firstLine="709"/>
        <w:jc w:val="both"/>
        <w:rPr>
          <w:rFonts w:ascii="Verdana" w:hAnsi="Verdana" w:cs="Arial"/>
          <w:sz w:val="16"/>
          <w:szCs w:val="16"/>
        </w:rPr>
      </w:pPr>
    </w:p>
  </w:footnote>
  <w:footnote w:id="17">
    <w:p w14:paraId="6254144D" w14:textId="3AFE7A39" w:rsidR="00885FDF" w:rsidRPr="00872A1B" w:rsidRDefault="00885FDF" w:rsidP="00872A1B">
      <w:pPr>
        <w:pStyle w:val="Textonotapie"/>
        <w:ind w:firstLine="709"/>
        <w:jc w:val="both"/>
        <w:rPr>
          <w:rFonts w:ascii="Verdana" w:hAnsi="Verdana" w:cs="Arial"/>
          <w:sz w:val="16"/>
          <w:szCs w:val="16"/>
        </w:rPr>
      </w:pPr>
      <w:r w:rsidRPr="00872A1B">
        <w:rPr>
          <w:rStyle w:val="Refdenotaalpie"/>
          <w:rFonts w:ascii="Verdana" w:hAnsi="Verdana" w:cs="Arial"/>
          <w:sz w:val="16"/>
          <w:szCs w:val="16"/>
        </w:rPr>
        <w:footnoteRef/>
      </w:r>
      <w:r w:rsidRPr="00872A1B">
        <w:rPr>
          <w:rFonts w:ascii="Verdana" w:hAnsi="Verdana" w:cs="Arial"/>
          <w:sz w:val="16"/>
          <w:szCs w:val="16"/>
        </w:rPr>
        <w:t xml:space="preserve"> Ley 1437 de 2011: </w:t>
      </w:r>
      <w:r w:rsidR="00916A2A">
        <w:rPr>
          <w:rFonts w:ascii="Verdana" w:hAnsi="Verdana" w:cs="Arial"/>
          <w:sz w:val="16"/>
          <w:szCs w:val="16"/>
        </w:rPr>
        <w:t>“</w:t>
      </w:r>
      <w:r w:rsidRPr="00872A1B">
        <w:rPr>
          <w:rFonts w:ascii="Verdana" w:hAnsi="Verdana" w:cs="Arial"/>
          <w:sz w:val="16"/>
          <w:szCs w:val="16"/>
        </w:rPr>
        <w:t xml:space="preserve">Artículo 24. Informaciones y documentos reservados. Solo tendrán carácter reservado las informaciones y documentos expresamente sometidos a reserva por la Constitución Política o la ley, y en especial:  </w:t>
      </w:r>
    </w:p>
    <w:p w14:paraId="4E9BB0BA" w14:textId="35F90287" w:rsidR="00885FDF" w:rsidRPr="00872A1B" w:rsidRDefault="00885FDF" w:rsidP="00872A1B">
      <w:pPr>
        <w:pStyle w:val="Textonotapie"/>
        <w:ind w:firstLine="709"/>
        <w:jc w:val="both"/>
        <w:rPr>
          <w:rFonts w:ascii="Verdana" w:hAnsi="Verdana" w:cs="Arial"/>
          <w:sz w:val="16"/>
          <w:szCs w:val="16"/>
        </w:rPr>
      </w:pPr>
      <w:r w:rsidRPr="00872A1B">
        <w:rPr>
          <w:rFonts w:ascii="Verdana" w:hAnsi="Verdana" w:cs="Arial"/>
          <w:sz w:val="16"/>
          <w:szCs w:val="16"/>
        </w:rPr>
        <w:t xml:space="preserve">1. Los relacionados con la defensa o seguridad nacionales.  </w:t>
      </w:r>
    </w:p>
    <w:p w14:paraId="45D7B8D8" w14:textId="4276E277" w:rsidR="00885FDF" w:rsidRPr="00872A1B" w:rsidRDefault="00885FDF" w:rsidP="00872A1B">
      <w:pPr>
        <w:pStyle w:val="Textonotapie"/>
        <w:ind w:firstLine="709"/>
        <w:jc w:val="both"/>
        <w:rPr>
          <w:rFonts w:ascii="Verdana" w:hAnsi="Verdana" w:cs="Arial"/>
          <w:sz w:val="16"/>
          <w:szCs w:val="16"/>
        </w:rPr>
      </w:pPr>
      <w:r w:rsidRPr="00872A1B">
        <w:rPr>
          <w:rFonts w:ascii="Verdana" w:hAnsi="Verdana" w:cs="Arial"/>
          <w:sz w:val="16"/>
          <w:szCs w:val="16"/>
        </w:rPr>
        <w:t xml:space="preserve">2. Las instrucciones en materia diplomática o sobre negociaciones reservadas.  </w:t>
      </w:r>
    </w:p>
    <w:p w14:paraId="7FDB182C" w14:textId="627ED011" w:rsidR="00885FDF" w:rsidRPr="00872A1B" w:rsidRDefault="00885FDF" w:rsidP="00872A1B">
      <w:pPr>
        <w:pStyle w:val="Textonotapie"/>
        <w:ind w:firstLine="709"/>
        <w:jc w:val="both"/>
        <w:rPr>
          <w:rFonts w:ascii="Verdana" w:hAnsi="Verdana" w:cs="Arial"/>
          <w:sz w:val="16"/>
          <w:szCs w:val="16"/>
        </w:rPr>
      </w:pPr>
      <w:r w:rsidRPr="00872A1B">
        <w:rPr>
          <w:rFonts w:ascii="Verdana" w:hAnsi="Verdana" w:cs="Arial"/>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633C1FCE" w14:textId="77777777" w:rsidR="00885FDF" w:rsidRPr="00872A1B" w:rsidRDefault="00885FDF" w:rsidP="00872A1B">
      <w:pPr>
        <w:pStyle w:val="Textonotapie"/>
        <w:ind w:firstLine="709"/>
        <w:jc w:val="both"/>
        <w:rPr>
          <w:rFonts w:ascii="Verdana" w:hAnsi="Verdana" w:cs="Arial"/>
          <w:sz w:val="16"/>
          <w:szCs w:val="16"/>
        </w:rPr>
      </w:pPr>
      <w:r w:rsidRPr="00872A1B">
        <w:rPr>
          <w:rFonts w:ascii="Verdana" w:hAnsi="Verdana" w:cs="Arial"/>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64B11C7E" w14:textId="208E3611" w:rsidR="00885FDF" w:rsidRPr="00872A1B" w:rsidRDefault="00885FDF" w:rsidP="00872A1B">
      <w:pPr>
        <w:pStyle w:val="Textonotapie"/>
        <w:ind w:firstLine="709"/>
        <w:jc w:val="both"/>
        <w:rPr>
          <w:rFonts w:ascii="Verdana" w:hAnsi="Verdana" w:cs="Arial"/>
          <w:sz w:val="16"/>
          <w:szCs w:val="16"/>
        </w:rPr>
      </w:pPr>
      <w:r w:rsidRPr="00872A1B">
        <w:rPr>
          <w:rFonts w:ascii="Verdana" w:hAnsi="Verdana" w:cs="Arial"/>
          <w:sz w:val="16"/>
          <w:szCs w:val="16"/>
        </w:rPr>
        <w:t xml:space="preserve">5. Los datos referentes a la información financiera y comercial, en los términos de la Ley Estatutaria 1266 de 2008.  </w:t>
      </w:r>
    </w:p>
    <w:p w14:paraId="799F0A4D" w14:textId="282391B1" w:rsidR="00885FDF" w:rsidRPr="00872A1B" w:rsidRDefault="00885FDF" w:rsidP="00872A1B">
      <w:pPr>
        <w:pStyle w:val="Textonotapie"/>
        <w:ind w:firstLine="709"/>
        <w:jc w:val="both"/>
        <w:rPr>
          <w:rFonts w:ascii="Verdana" w:hAnsi="Verdana" w:cs="Arial"/>
          <w:sz w:val="16"/>
          <w:szCs w:val="16"/>
        </w:rPr>
      </w:pPr>
      <w:r w:rsidRPr="00872A1B">
        <w:rPr>
          <w:rFonts w:ascii="Verdana" w:hAnsi="Verdana" w:cs="Arial"/>
          <w:sz w:val="16"/>
          <w:szCs w:val="16"/>
        </w:rPr>
        <w:t xml:space="preserve">6. Los protegidos por el secreto comercial o industrial, así como los planes estratégicos de las empresas públicas de servicios públicos.  </w:t>
      </w:r>
    </w:p>
    <w:p w14:paraId="655B27D4" w14:textId="0ECBB6BC" w:rsidR="00885FDF" w:rsidRPr="00872A1B" w:rsidRDefault="00885FDF" w:rsidP="00872A1B">
      <w:pPr>
        <w:pStyle w:val="Textonotapie"/>
        <w:ind w:firstLine="709"/>
        <w:jc w:val="both"/>
        <w:rPr>
          <w:rFonts w:ascii="Verdana" w:hAnsi="Verdana" w:cs="Arial"/>
          <w:sz w:val="16"/>
          <w:szCs w:val="16"/>
        </w:rPr>
      </w:pPr>
      <w:r w:rsidRPr="00872A1B">
        <w:rPr>
          <w:rFonts w:ascii="Verdana" w:hAnsi="Verdana" w:cs="Arial"/>
          <w:sz w:val="16"/>
          <w:szCs w:val="16"/>
        </w:rPr>
        <w:t xml:space="preserve">7. Los amparados por el secreto profesional.  </w:t>
      </w:r>
    </w:p>
    <w:p w14:paraId="7513D398" w14:textId="1FE4E8F3" w:rsidR="00885FDF" w:rsidRPr="00872A1B" w:rsidRDefault="00885FDF" w:rsidP="00872A1B">
      <w:pPr>
        <w:pStyle w:val="Textonotapie"/>
        <w:ind w:firstLine="709"/>
        <w:jc w:val="both"/>
        <w:rPr>
          <w:rFonts w:ascii="Verdana" w:hAnsi="Verdana" w:cs="Arial"/>
          <w:sz w:val="16"/>
          <w:szCs w:val="16"/>
        </w:rPr>
      </w:pPr>
      <w:r w:rsidRPr="00872A1B">
        <w:rPr>
          <w:rFonts w:ascii="Verdana" w:hAnsi="Verdana" w:cs="Arial"/>
          <w:sz w:val="16"/>
          <w:szCs w:val="16"/>
        </w:rPr>
        <w:t xml:space="preserve">8. Los datos genéticos humanos.  </w:t>
      </w:r>
    </w:p>
    <w:p w14:paraId="14A9576C" w14:textId="6FA6C534" w:rsidR="00885FDF" w:rsidRPr="00872A1B" w:rsidRDefault="00885FDF" w:rsidP="00872A1B">
      <w:pPr>
        <w:pStyle w:val="Textonotapie"/>
        <w:ind w:firstLine="709"/>
        <w:jc w:val="both"/>
        <w:rPr>
          <w:rFonts w:ascii="Verdana" w:hAnsi="Verdana" w:cs="Arial"/>
          <w:sz w:val="16"/>
          <w:szCs w:val="16"/>
        </w:rPr>
      </w:pPr>
      <w:r w:rsidRPr="00872A1B">
        <w:rPr>
          <w:rFonts w:ascii="Verdana" w:hAnsi="Verdana" w:cs="Arial"/>
          <w:sz w:val="16"/>
          <w:szCs w:val="16"/>
        </w:rPr>
        <w:t>Parágrafo. Para efecto de la solicitud de información de carácter reservado, enunciada en los numerales 3, 5, 6 y 7 solo podrá ser solicitada por el titular de la información, por sus apoderados o por personas autorizadas con facultad expresa para acceder a esa información</w:t>
      </w:r>
      <w:r w:rsidR="00916A2A">
        <w:rPr>
          <w:rFonts w:ascii="Verdana" w:hAnsi="Verdana" w:cs="Arial"/>
          <w:sz w:val="16"/>
          <w:szCs w:val="16"/>
        </w:rPr>
        <w:t>”</w:t>
      </w:r>
      <w:r w:rsidRPr="00872A1B">
        <w:rPr>
          <w:rFonts w:ascii="Verdana" w:hAnsi="Verdana" w:cs="Arial"/>
          <w:sz w:val="16"/>
          <w:szCs w:val="16"/>
        </w:rPr>
        <w:t xml:space="preserve">.  </w:t>
      </w:r>
    </w:p>
    <w:p w14:paraId="3F8B7E9C" w14:textId="77777777" w:rsidR="00885FDF" w:rsidRPr="00872A1B" w:rsidRDefault="00885FDF" w:rsidP="00872A1B">
      <w:pPr>
        <w:pStyle w:val="Textonotapie"/>
        <w:ind w:firstLine="709"/>
        <w:jc w:val="both"/>
        <w:rPr>
          <w:rFonts w:ascii="Verdana" w:hAnsi="Verdana" w:cs="Arial"/>
          <w:sz w:val="16"/>
          <w:szCs w:val="16"/>
        </w:rPr>
      </w:pPr>
    </w:p>
  </w:footnote>
  <w:footnote w:id="18">
    <w:p w14:paraId="32CE17B7" w14:textId="77777777" w:rsidR="000738FC" w:rsidRPr="00872A1B" w:rsidRDefault="000738FC" w:rsidP="00916A2A">
      <w:pPr>
        <w:pStyle w:val="Textonotapie"/>
        <w:ind w:firstLine="709"/>
        <w:jc w:val="both"/>
        <w:rPr>
          <w:rFonts w:ascii="Verdana" w:hAnsi="Verdana" w:cs="Arial"/>
          <w:sz w:val="16"/>
          <w:szCs w:val="16"/>
        </w:rPr>
      </w:pPr>
      <w:r w:rsidRPr="00872A1B">
        <w:rPr>
          <w:rStyle w:val="Refdenotaalpie"/>
          <w:rFonts w:ascii="Verdana" w:hAnsi="Verdana" w:cs="Arial"/>
          <w:sz w:val="16"/>
          <w:szCs w:val="16"/>
        </w:rPr>
        <w:footnoteRef/>
      </w:r>
      <w:r w:rsidRPr="00872A1B">
        <w:rPr>
          <w:rFonts w:ascii="Verdana" w:hAnsi="Verdana" w:cs="Arial"/>
          <w:sz w:val="16"/>
          <w:szCs w:val="16"/>
        </w:rPr>
        <w:t xml:space="preserve"> Ley 1437 de 2011: “Artículo 24. Informaciones y documentos reservados. Solo tendrán carácter reservado las informaciones y documentos expresamente sometidos a reserva por la Constitución Política o la ley, y en especial:  </w:t>
      </w:r>
    </w:p>
    <w:p w14:paraId="2770A3CB" w14:textId="77777777" w:rsidR="000738FC" w:rsidRPr="00872A1B" w:rsidRDefault="000738FC" w:rsidP="00916A2A">
      <w:pPr>
        <w:pStyle w:val="Textonotapie"/>
        <w:ind w:firstLine="709"/>
        <w:jc w:val="both"/>
        <w:rPr>
          <w:rFonts w:ascii="Verdana" w:hAnsi="Verdana" w:cs="Arial"/>
          <w:sz w:val="16"/>
          <w:szCs w:val="16"/>
        </w:rPr>
      </w:pPr>
      <w:r w:rsidRPr="00872A1B">
        <w:rPr>
          <w:rFonts w:ascii="Verdana" w:hAnsi="Verdana" w:cs="Arial"/>
          <w:sz w:val="16"/>
          <w:szCs w:val="16"/>
        </w:rPr>
        <w:t xml:space="preserve">1. Los relacionados con la defensa o seguridad nacionales.  </w:t>
      </w:r>
    </w:p>
    <w:p w14:paraId="27487432" w14:textId="77777777" w:rsidR="000738FC" w:rsidRPr="00872A1B" w:rsidRDefault="000738FC" w:rsidP="00916A2A">
      <w:pPr>
        <w:pStyle w:val="Textonotapie"/>
        <w:ind w:firstLine="709"/>
        <w:jc w:val="both"/>
        <w:rPr>
          <w:rFonts w:ascii="Verdana" w:hAnsi="Verdana" w:cs="Arial"/>
          <w:sz w:val="16"/>
          <w:szCs w:val="16"/>
        </w:rPr>
      </w:pPr>
      <w:r w:rsidRPr="00872A1B">
        <w:rPr>
          <w:rFonts w:ascii="Verdana" w:hAnsi="Verdana" w:cs="Arial"/>
          <w:sz w:val="16"/>
          <w:szCs w:val="16"/>
        </w:rPr>
        <w:t xml:space="preserve">2. Las instrucciones en materia diplomática o sobre negociaciones reservadas.  </w:t>
      </w:r>
    </w:p>
    <w:p w14:paraId="219E66A7" w14:textId="77777777" w:rsidR="000738FC" w:rsidRPr="00872A1B" w:rsidRDefault="000738FC" w:rsidP="00916A2A">
      <w:pPr>
        <w:pStyle w:val="Textonotapie"/>
        <w:ind w:firstLine="709"/>
        <w:jc w:val="both"/>
        <w:rPr>
          <w:rFonts w:ascii="Verdana" w:hAnsi="Verdana" w:cs="Arial"/>
          <w:sz w:val="16"/>
          <w:szCs w:val="16"/>
        </w:rPr>
      </w:pPr>
      <w:r w:rsidRPr="00872A1B">
        <w:rPr>
          <w:rFonts w:ascii="Verdana" w:hAnsi="Verdana" w:cs="Arial"/>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49D1B26" w14:textId="77777777" w:rsidR="000738FC" w:rsidRPr="00872A1B" w:rsidRDefault="000738FC" w:rsidP="00916A2A">
      <w:pPr>
        <w:pStyle w:val="Textonotapie"/>
        <w:ind w:firstLine="709"/>
        <w:jc w:val="both"/>
        <w:rPr>
          <w:rFonts w:ascii="Verdana" w:hAnsi="Verdana" w:cs="Arial"/>
          <w:sz w:val="16"/>
          <w:szCs w:val="16"/>
        </w:rPr>
      </w:pPr>
      <w:r w:rsidRPr="00872A1B">
        <w:rPr>
          <w:rFonts w:ascii="Verdana" w:hAnsi="Verdana" w:cs="Arial"/>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022BC3D3" w14:textId="77777777" w:rsidR="000738FC" w:rsidRPr="00872A1B" w:rsidRDefault="000738FC" w:rsidP="00916A2A">
      <w:pPr>
        <w:pStyle w:val="Textonotapie"/>
        <w:ind w:firstLine="709"/>
        <w:jc w:val="both"/>
        <w:rPr>
          <w:rFonts w:ascii="Verdana" w:hAnsi="Verdana" w:cs="Arial"/>
          <w:sz w:val="16"/>
          <w:szCs w:val="16"/>
        </w:rPr>
      </w:pPr>
      <w:r w:rsidRPr="00872A1B">
        <w:rPr>
          <w:rFonts w:ascii="Verdana" w:hAnsi="Verdana" w:cs="Arial"/>
          <w:sz w:val="16"/>
          <w:szCs w:val="16"/>
        </w:rPr>
        <w:t xml:space="preserve">5. Los datos referentes a la información financiera y comercial, en los términos de la Ley Estatutaria 1266 de 2008.  </w:t>
      </w:r>
    </w:p>
    <w:p w14:paraId="640425D4" w14:textId="77777777" w:rsidR="000738FC" w:rsidRPr="00872A1B" w:rsidRDefault="000738FC" w:rsidP="00916A2A">
      <w:pPr>
        <w:pStyle w:val="Textonotapie"/>
        <w:ind w:firstLine="709"/>
        <w:jc w:val="both"/>
        <w:rPr>
          <w:rFonts w:ascii="Verdana" w:hAnsi="Verdana" w:cs="Arial"/>
          <w:sz w:val="16"/>
          <w:szCs w:val="16"/>
        </w:rPr>
      </w:pPr>
      <w:r w:rsidRPr="00872A1B">
        <w:rPr>
          <w:rFonts w:ascii="Verdana" w:hAnsi="Verdana" w:cs="Arial"/>
          <w:sz w:val="16"/>
          <w:szCs w:val="16"/>
        </w:rPr>
        <w:t xml:space="preserve">6. Los protegidos por el secreto comercial o industrial, así como los planes estratégicos de las empresas públicas de servicios públicos.  </w:t>
      </w:r>
    </w:p>
    <w:p w14:paraId="0E2C2E5B" w14:textId="77777777" w:rsidR="000738FC" w:rsidRPr="00872A1B" w:rsidRDefault="000738FC" w:rsidP="00916A2A">
      <w:pPr>
        <w:pStyle w:val="Textonotapie"/>
        <w:ind w:firstLine="709"/>
        <w:jc w:val="both"/>
        <w:rPr>
          <w:rFonts w:ascii="Verdana" w:hAnsi="Verdana" w:cs="Arial"/>
          <w:sz w:val="16"/>
          <w:szCs w:val="16"/>
        </w:rPr>
      </w:pPr>
      <w:r w:rsidRPr="00872A1B">
        <w:rPr>
          <w:rFonts w:ascii="Verdana" w:hAnsi="Verdana" w:cs="Arial"/>
          <w:sz w:val="16"/>
          <w:szCs w:val="16"/>
        </w:rPr>
        <w:t xml:space="preserve">7. Los amparados por el secreto profesional.  </w:t>
      </w:r>
    </w:p>
    <w:p w14:paraId="4FFB1899" w14:textId="77777777" w:rsidR="000738FC" w:rsidRPr="00872A1B" w:rsidRDefault="000738FC" w:rsidP="00916A2A">
      <w:pPr>
        <w:pStyle w:val="Textonotapie"/>
        <w:ind w:firstLine="709"/>
        <w:jc w:val="both"/>
        <w:rPr>
          <w:rFonts w:ascii="Verdana" w:hAnsi="Verdana" w:cs="Arial"/>
          <w:sz w:val="16"/>
          <w:szCs w:val="16"/>
        </w:rPr>
      </w:pPr>
      <w:r w:rsidRPr="00872A1B">
        <w:rPr>
          <w:rFonts w:ascii="Verdana" w:hAnsi="Verdana" w:cs="Arial"/>
          <w:sz w:val="16"/>
          <w:szCs w:val="16"/>
        </w:rPr>
        <w:t xml:space="preserve">8. Los datos genéticos humanos.  </w:t>
      </w:r>
    </w:p>
    <w:p w14:paraId="6EEB809E" w14:textId="77777777" w:rsidR="000738FC" w:rsidRPr="00872A1B" w:rsidRDefault="000738FC" w:rsidP="00916A2A">
      <w:pPr>
        <w:pStyle w:val="Textonotapie"/>
        <w:ind w:firstLine="709"/>
        <w:jc w:val="both"/>
        <w:rPr>
          <w:rFonts w:ascii="Verdana" w:hAnsi="Verdana" w:cs="Arial"/>
          <w:sz w:val="16"/>
          <w:szCs w:val="16"/>
        </w:rPr>
      </w:pPr>
      <w:r w:rsidRPr="00872A1B">
        <w:rPr>
          <w:rFonts w:ascii="Verdana" w:hAnsi="Verdana" w:cs="Arial"/>
          <w:sz w:val="16"/>
          <w:szCs w:val="16"/>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5BB221D6" w14:textId="77777777" w:rsidR="000738FC" w:rsidRPr="00872A1B" w:rsidRDefault="000738FC" w:rsidP="00916A2A">
      <w:pPr>
        <w:pStyle w:val="Textonotapie"/>
        <w:ind w:firstLine="709"/>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11A"/>
    <w:multiLevelType w:val="multilevel"/>
    <w:tmpl w:val="F9586922"/>
    <w:lvl w:ilvl="0">
      <w:start w:val="14"/>
      <w:numFmt w:val="decimal"/>
      <w:lvlText w:val="%1"/>
      <w:lvlJc w:val="left"/>
      <w:pPr>
        <w:ind w:left="810" w:hanging="550"/>
      </w:pPr>
    </w:lvl>
    <w:lvl w:ilvl="1">
      <w:start w:val="5"/>
      <w:numFmt w:val="decimal"/>
      <w:lvlText w:val="%1.%2."/>
      <w:lvlJc w:val="left"/>
      <w:pPr>
        <w:ind w:left="810" w:hanging="550"/>
      </w:pPr>
      <w:rPr>
        <w:rFonts w:ascii="Arial" w:eastAsia="Arial" w:hAnsi="Arial" w:cs="Arial"/>
        <w:color w:val="000000"/>
        <w:sz w:val="20"/>
        <w:szCs w:val="20"/>
      </w:rPr>
    </w:lvl>
    <w:lvl w:ilvl="2">
      <w:start w:val="1"/>
      <w:numFmt w:val="bullet"/>
      <w:lvlText w:val="•"/>
      <w:lvlJc w:val="left"/>
      <w:pPr>
        <w:ind w:left="2484" w:hanging="550"/>
      </w:pPr>
    </w:lvl>
    <w:lvl w:ilvl="3">
      <w:start w:val="1"/>
      <w:numFmt w:val="bullet"/>
      <w:lvlText w:val="•"/>
      <w:lvlJc w:val="left"/>
      <w:pPr>
        <w:ind w:left="3316" w:hanging="550"/>
      </w:pPr>
    </w:lvl>
    <w:lvl w:ilvl="4">
      <w:start w:val="1"/>
      <w:numFmt w:val="bullet"/>
      <w:lvlText w:val="•"/>
      <w:lvlJc w:val="left"/>
      <w:pPr>
        <w:ind w:left="4148" w:hanging="550"/>
      </w:pPr>
    </w:lvl>
    <w:lvl w:ilvl="5">
      <w:start w:val="1"/>
      <w:numFmt w:val="bullet"/>
      <w:lvlText w:val="•"/>
      <w:lvlJc w:val="left"/>
      <w:pPr>
        <w:ind w:left="4980" w:hanging="550"/>
      </w:pPr>
    </w:lvl>
    <w:lvl w:ilvl="6">
      <w:start w:val="1"/>
      <w:numFmt w:val="bullet"/>
      <w:lvlText w:val="•"/>
      <w:lvlJc w:val="left"/>
      <w:pPr>
        <w:ind w:left="5812" w:hanging="550"/>
      </w:pPr>
    </w:lvl>
    <w:lvl w:ilvl="7">
      <w:start w:val="1"/>
      <w:numFmt w:val="bullet"/>
      <w:lvlText w:val="•"/>
      <w:lvlJc w:val="left"/>
      <w:pPr>
        <w:ind w:left="6644" w:hanging="550"/>
      </w:pPr>
    </w:lvl>
    <w:lvl w:ilvl="8">
      <w:start w:val="1"/>
      <w:numFmt w:val="bullet"/>
      <w:lvlText w:val="•"/>
      <w:lvlJc w:val="left"/>
      <w:pPr>
        <w:ind w:left="7476" w:hanging="55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9E5714"/>
    <w:multiLevelType w:val="multilevel"/>
    <w:tmpl w:val="DE005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70745B"/>
    <w:multiLevelType w:val="hybridMultilevel"/>
    <w:tmpl w:val="2048B5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2C66177"/>
    <w:multiLevelType w:val="hybridMultilevel"/>
    <w:tmpl w:val="3DD8D6AC"/>
    <w:lvl w:ilvl="0" w:tplc="240A0017">
      <w:start w:val="1"/>
      <w:numFmt w:val="lowerLetter"/>
      <w:lvlText w:val="%1)"/>
      <w:lvlJc w:val="left"/>
      <w:pPr>
        <w:ind w:left="1068" w:hanging="360"/>
      </w:pPr>
      <w:rPr>
        <w:rFont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10"/>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682781270">
    <w:abstractNumId w:val="9"/>
  </w:num>
  <w:num w:numId="17" w16cid:durableId="380717049">
    <w:abstractNumId w:val="0"/>
  </w:num>
  <w:num w:numId="18" w16cid:durableId="1862011931">
    <w:abstractNumId w:val="3"/>
  </w:num>
  <w:num w:numId="19" w16cid:durableId="9411846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7EE"/>
    <w:rsid w:val="00016F78"/>
    <w:rsid w:val="00021CD6"/>
    <w:rsid w:val="000378BC"/>
    <w:rsid w:val="00046945"/>
    <w:rsid w:val="00061B2A"/>
    <w:rsid w:val="0006764D"/>
    <w:rsid w:val="000738FC"/>
    <w:rsid w:val="000821F4"/>
    <w:rsid w:val="00082362"/>
    <w:rsid w:val="000A1807"/>
    <w:rsid w:val="000A683E"/>
    <w:rsid w:val="000B19B9"/>
    <w:rsid w:val="000C2203"/>
    <w:rsid w:val="000C5550"/>
    <w:rsid w:val="000D0334"/>
    <w:rsid w:val="000F6486"/>
    <w:rsid w:val="00125105"/>
    <w:rsid w:val="00127233"/>
    <w:rsid w:val="001511A0"/>
    <w:rsid w:val="00171AA5"/>
    <w:rsid w:val="00174BC1"/>
    <w:rsid w:val="001A755E"/>
    <w:rsid w:val="001E4177"/>
    <w:rsid w:val="001E466B"/>
    <w:rsid w:val="001F7DC6"/>
    <w:rsid w:val="002421BB"/>
    <w:rsid w:val="002426AE"/>
    <w:rsid w:val="00251236"/>
    <w:rsid w:val="0025796E"/>
    <w:rsid w:val="00260E6E"/>
    <w:rsid w:val="002707A2"/>
    <w:rsid w:val="002951A0"/>
    <w:rsid w:val="002951E0"/>
    <w:rsid w:val="002962BC"/>
    <w:rsid w:val="002A093D"/>
    <w:rsid w:val="002A0DD0"/>
    <w:rsid w:val="002A49AC"/>
    <w:rsid w:val="002A64FD"/>
    <w:rsid w:val="002C0C47"/>
    <w:rsid w:val="002C7A84"/>
    <w:rsid w:val="002E4FD9"/>
    <w:rsid w:val="002F452B"/>
    <w:rsid w:val="002F70B1"/>
    <w:rsid w:val="0031483C"/>
    <w:rsid w:val="00322A85"/>
    <w:rsid w:val="00324168"/>
    <w:rsid w:val="00341F1C"/>
    <w:rsid w:val="003448F4"/>
    <w:rsid w:val="00367533"/>
    <w:rsid w:val="00374F5E"/>
    <w:rsid w:val="00377E3E"/>
    <w:rsid w:val="003A779E"/>
    <w:rsid w:val="003B3E22"/>
    <w:rsid w:val="003D0F4D"/>
    <w:rsid w:val="003D295A"/>
    <w:rsid w:val="003D5B0D"/>
    <w:rsid w:val="003E0499"/>
    <w:rsid w:val="003F3941"/>
    <w:rsid w:val="003F3C33"/>
    <w:rsid w:val="00406575"/>
    <w:rsid w:val="00414C74"/>
    <w:rsid w:val="00416C0E"/>
    <w:rsid w:val="0042722E"/>
    <w:rsid w:val="0044528D"/>
    <w:rsid w:val="0045538F"/>
    <w:rsid w:val="00467019"/>
    <w:rsid w:val="00480DCB"/>
    <w:rsid w:val="004825F3"/>
    <w:rsid w:val="004A1847"/>
    <w:rsid w:val="004A305D"/>
    <w:rsid w:val="004D34EC"/>
    <w:rsid w:val="004D39C6"/>
    <w:rsid w:val="004F1281"/>
    <w:rsid w:val="004F21C4"/>
    <w:rsid w:val="004F453F"/>
    <w:rsid w:val="004F685F"/>
    <w:rsid w:val="0051147B"/>
    <w:rsid w:val="00515DA1"/>
    <w:rsid w:val="0052529C"/>
    <w:rsid w:val="005566E8"/>
    <w:rsid w:val="00566853"/>
    <w:rsid w:val="00574867"/>
    <w:rsid w:val="00591460"/>
    <w:rsid w:val="005B3816"/>
    <w:rsid w:val="005C3777"/>
    <w:rsid w:val="005C5CDC"/>
    <w:rsid w:val="005D476C"/>
    <w:rsid w:val="005E0001"/>
    <w:rsid w:val="005E33EF"/>
    <w:rsid w:val="005F156F"/>
    <w:rsid w:val="006219F8"/>
    <w:rsid w:val="006220DB"/>
    <w:rsid w:val="00646FEC"/>
    <w:rsid w:val="006510B0"/>
    <w:rsid w:val="006526A5"/>
    <w:rsid w:val="00665D70"/>
    <w:rsid w:val="00665F2A"/>
    <w:rsid w:val="006900D9"/>
    <w:rsid w:val="0069655B"/>
    <w:rsid w:val="006A5448"/>
    <w:rsid w:val="006E12E5"/>
    <w:rsid w:val="00706C16"/>
    <w:rsid w:val="00707620"/>
    <w:rsid w:val="00727135"/>
    <w:rsid w:val="00756841"/>
    <w:rsid w:val="007649AB"/>
    <w:rsid w:val="00771D0C"/>
    <w:rsid w:val="007833AC"/>
    <w:rsid w:val="007B268C"/>
    <w:rsid w:val="007B586D"/>
    <w:rsid w:val="007B7171"/>
    <w:rsid w:val="007C0C0F"/>
    <w:rsid w:val="007C3DC2"/>
    <w:rsid w:val="007E5497"/>
    <w:rsid w:val="008026B7"/>
    <w:rsid w:val="00806F5F"/>
    <w:rsid w:val="00811AF4"/>
    <w:rsid w:val="00820278"/>
    <w:rsid w:val="00826D02"/>
    <w:rsid w:val="00832FF4"/>
    <w:rsid w:val="0084029A"/>
    <w:rsid w:val="00844A06"/>
    <w:rsid w:val="00867F95"/>
    <w:rsid w:val="00872A1B"/>
    <w:rsid w:val="008767C9"/>
    <w:rsid w:val="008843B6"/>
    <w:rsid w:val="00885FDF"/>
    <w:rsid w:val="00891928"/>
    <w:rsid w:val="00896592"/>
    <w:rsid w:val="008A446D"/>
    <w:rsid w:val="008C387E"/>
    <w:rsid w:val="008C38AA"/>
    <w:rsid w:val="008D180B"/>
    <w:rsid w:val="008D7A1B"/>
    <w:rsid w:val="008F0EA7"/>
    <w:rsid w:val="009116C4"/>
    <w:rsid w:val="00916A2A"/>
    <w:rsid w:val="00923EEF"/>
    <w:rsid w:val="009419F9"/>
    <w:rsid w:val="009479DC"/>
    <w:rsid w:val="009508EB"/>
    <w:rsid w:val="0095685E"/>
    <w:rsid w:val="00961B09"/>
    <w:rsid w:val="00965334"/>
    <w:rsid w:val="0097093E"/>
    <w:rsid w:val="00986AC5"/>
    <w:rsid w:val="009A0DFA"/>
    <w:rsid w:val="009A208E"/>
    <w:rsid w:val="009A35D3"/>
    <w:rsid w:val="009B2D26"/>
    <w:rsid w:val="009C5A4F"/>
    <w:rsid w:val="009C71FA"/>
    <w:rsid w:val="009C72E7"/>
    <w:rsid w:val="009D3058"/>
    <w:rsid w:val="009F3A13"/>
    <w:rsid w:val="00A0456C"/>
    <w:rsid w:val="00A122D3"/>
    <w:rsid w:val="00A17F13"/>
    <w:rsid w:val="00A20739"/>
    <w:rsid w:val="00A33C78"/>
    <w:rsid w:val="00A853B4"/>
    <w:rsid w:val="00A963E5"/>
    <w:rsid w:val="00AA0E77"/>
    <w:rsid w:val="00AB0ADB"/>
    <w:rsid w:val="00AF1749"/>
    <w:rsid w:val="00B01B1A"/>
    <w:rsid w:val="00B1312C"/>
    <w:rsid w:val="00B4672B"/>
    <w:rsid w:val="00B579F0"/>
    <w:rsid w:val="00B66319"/>
    <w:rsid w:val="00B72CD3"/>
    <w:rsid w:val="00B72FFF"/>
    <w:rsid w:val="00B92D93"/>
    <w:rsid w:val="00BB41EC"/>
    <w:rsid w:val="00BC3D36"/>
    <w:rsid w:val="00BC4216"/>
    <w:rsid w:val="00BD3CCA"/>
    <w:rsid w:val="00BD7F72"/>
    <w:rsid w:val="00BF6925"/>
    <w:rsid w:val="00C04FB3"/>
    <w:rsid w:val="00C209A3"/>
    <w:rsid w:val="00C330EB"/>
    <w:rsid w:val="00C41061"/>
    <w:rsid w:val="00C74073"/>
    <w:rsid w:val="00C754BE"/>
    <w:rsid w:val="00C763D7"/>
    <w:rsid w:val="00C76B1C"/>
    <w:rsid w:val="00CB6357"/>
    <w:rsid w:val="00CC1B26"/>
    <w:rsid w:val="00CC2627"/>
    <w:rsid w:val="00D20326"/>
    <w:rsid w:val="00D204AD"/>
    <w:rsid w:val="00D269A4"/>
    <w:rsid w:val="00D35BFB"/>
    <w:rsid w:val="00D423A2"/>
    <w:rsid w:val="00D45B78"/>
    <w:rsid w:val="00D4714A"/>
    <w:rsid w:val="00D520D8"/>
    <w:rsid w:val="00D55762"/>
    <w:rsid w:val="00D5780D"/>
    <w:rsid w:val="00D63AC2"/>
    <w:rsid w:val="00D7383B"/>
    <w:rsid w:val="00DA231B"/>
    <w:rsid w:val="00DC39FC"/>
    <w:rsid w:val="00DF5254"/>
    <w:rsid w:val="00E1258A"/>
    <w:rsid w:val="00E16408"/>
    <w:rsid w:val="00E20894"/>
    <w:rsid w:val="00E245AB"/>
    <w:rsid w:val="00E2764C"/>
    <w:rsid w:val="00E27F2E"/>
    <w:rsid w:val="00E50AFE"/>
    <w:rsid w:val="00E6132D"/>
    <w:rsid w:val="00E75C92"/>
    <w:rsid w:val="00E771DC"/>
    <w:rsid w:val="00E822C2"/>
    <w:rsid w:val="00E8772A"/>
    <w:rsid w:val="00E90224"/>
    <w:rsid w:val="00E90F6B"/>
    <w:rsid w:val="00E9100D"/>
    <w:rsid w:val="00E92C27"/>
    <w:rsid w:val="00E93CC3"/>
    <w:rsid w:val="00EA0E3D"/>
    <w:rsid w:val="00EC38A7"/>
    <w:rsid w:val="00ED7384"/>
    <w:rsid w:val="00EE1AA8"/>
    <w:rsid w:val="00EF08FB"/>
    <w:rsid w:val="00F31EDC"/>
    <w:rsid w:val="00F35D59"/>
    <w:rsid w:val="00F462B3"/>
    <w:rsid w:val="00F5664F"/>
    <w:rsid w:val="00F666C4"/>
    <w:rsid w:val="00F76AFC"/>
    <w:rsid w:val="00FA47C0"/>
    <w:rsid w:val="00FB5DD1"/>
    <w:rsid w:val="00FC2B5D"/>
    <w:rsid w:val="00FD4DC0"/>
    <w:rsid w:val="00FD5684"/>
    <w:rsid w:val="00FF1449"/>
    <w:rsid w:val="165E9519"/>
    <w:rsid w:val="382536D9"/>
    <w:rsid w:val="6EFDAB80"/>
    <w:rsid w:val="7B6AA7A6"/>
    <w:rsid w:val="7C183931"/>
    <w:rsid w:val="7FD97115"/>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08C1A28-4077-4AB2-994B-73AE2CBFC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0738F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738F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738FC"/>
    <w:rPr>
      <w:rFonts w:ascii="Geomanist Light" w:hAnsi="Geomanist Light"/>
      <w:lang w:val="es-ES"/>
    </w:rPr>
  </w:style>
  <w:style w:type="character" w:styleId="Refdecomentario">
    <w:name w:val="annotation reference"/>
    <w:basedOn w:val="Fuentedeprrafopredeter"/>
    <w:uiPriority w:val="99"/>
    <w:semiHidden/>
    <w:unhideWhenUsed/>
    <w:rsid w:val="006220DB"/>
    <w:rPr>
      <w:sz w:val="16"/>
      <w:szCs w:val="16"/>
    </w:rPr>
  </w:style>
  <w:style w:type="paragraph" w:styleId="Textocomentario">
    <w:name w:val="annotation text"/>
    <w:basedOn w:val="Normal"/>
    <w:link w:val="TextocomentarioCar"/>
    <w:uiPriority w:val="99"/>
    <w:unhideWhenUsed/>
    <w:rsid w:val="006220DB"/>
    <w:pPr>
      <w:spacing w:line="240" w:lineRule="auto"/>
    </w:pPr>
    <w:rPr>
      <w:sz w:val="20"/>
      <w:szCs w:val="20"/>
    </w:rPr>
  </w:style>
  <w:style w:type="character" w:customStyle="1" w:styleId="TextocomentarioCar">
    <w:name w:val="Texto comentario Car"/>
    <w:basedOn w:val="Fuentedeprrafopredeter"/>
    <w:link w:val="Textocomentario"/>
    <w:uiPriority w:val="99"/>
    <w:rsid w:val="006220DB"/>
    <w:rPr>
      <w:sz w:val="20"/>
      <w:szCs w:val="20"/>
    </w:rPr>
  </w:style>
  <w:style w:type="paragraph" w:styleId="Asuntodelcomentario">
    <w:name w:val="annotation subject"/>
    <w:basedOn w:val="Textocomentario"/>
    <w:next w:val="Textocomentario"/>
    <w:link w:val="AsuntodelcomentarioCar"/>
    <w:uiPriority w:val="99"/>
    <w:semiHidden/>
    <w:unhideWhenUsed/>
    <w:rsid w:val="006220DB"/>
    <w:rPr>
      <w:b/>
      <w:bCs/>
    </w:rPr>
  </w:style>
  <w:style w:type="character" w:customStyle="1" w:styleId="AsuntodelcomentarioCar">
    <w:name w:val="Asunto del comentario Car"/>
    <w:basedOn w:val="TextocomentarioCar"/>
    <w:link w:val="Asuntodelcomentario"/>
    <w:uiPriority w:val="99"/>
    <w:semiHidden/>
    <w:rsid w:val="006220DB"/>
    <w:rPr>
      <w:b/>
      <w:bCs/>
      <w:sz w:val="20"/>
      <w:szCs w:val="20"/>
    </w:rPr>
  </w:style>
  <w:style w:type="paragraph" w:styleId="Textoindependiente">
    <w:name w:val="Body Text"/>
    <w:basedOn w:val="Normal"/>
    <w:link w:val="TextoindependienteCar"/>
    <w:rsid w:val="0084029A"/>
    <w:pPr>
      <w:spacing w:after="120"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rsid w:val="0084029A"/>
    <w:rPr>
      <w:rFonts w:ascii="Times New Roman" w:eastAsia="Times New Roman" w:hAnsi="Times New Roman" w:cs="Times New Roman"/>
      <w:sz w:val="24"/>
      <w:szCs w:val="24"/>
      <w:lang w:eastAsia="es-CO"/>
    </w:rPr>
  </w:style>
  <w:style w:type="character" w:customStyle="1" w:styleId="baj">
    <w:name w:val="b_aj"/>
    <w:basedOn w:val="Fuentedeprrafopredeter"/>
    <w:rsid w:val="00840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wp-content/uploads/2024/08/circular_externa_unica_version_3_vf49.pdf" TargetMode="External"/><Relationship Id="rId18" Type="http://schemas.openxmlformats.org/officeDocument/2006/relationships/hyperlink" Target="https://www.colombiacompra.gov.co/sites/cce_public/files/cce_circulares/doc-20240823-wa0021.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relatoria.colombiacompra.gov.co/" TargetMode="External"/><Relationship Id="rId7" Type="http://schemas.openxmlformats.org/officeDocument/2006/relationships/settings" Target="settings.xml"/><Relationship Id="rId12" Type="http://schemas.openxmlformats.org/officeDocument/2006/relationships/hyperlink" Target="mailto:Sylene.a.m@gmail.com" TargetMode="External"/><Relationship Id="rId17" Type="http://schemas.openxmlformats.org/officeDocument/2006/relationships/hyperlink" Target="https://www.colombiacompra.gov.co/wp-content/uploads/2024/08/circular_externa_unica_version_3_vf49.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olombiacompra.gov.co/node/30741" TargetMode="External"/><Relationship Id="rId20" Type="http://schemas.openxmlformats.org/officeDocument/2006/relationships/hyperlink" Target="https://www.colombiacompra.gov.co/node/3074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olombiacompra.gov.co/node/23628" TargetMode="External"/><Relationship Id="rId23"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yperlink" Target="https://www.colombiacompra.gov.co/node/2362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cce_circulares/doc-20240823-wa0021.pdf" TargetMode="External"/><Relationship Id="rId22" Type="http://schemas.openxmlformats.org/officeDocument/2006/relationships/hyperlink" Target="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F927234D-20B9-4547-943B-111C5B79A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D2EC6C9-8732-4BCB-985C-0028005445C3}">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ebbc79d-423d-4cb2-b33e-d3110c1c174b"/>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22</Pages>
  <Words>6333</Words>
  <Characters>34833</Characters>
  <Application>Microsoft Office Word</Application>
  <DocSecurity>0</DocSecurity>
  <Lines>290</Lines>
  <Paragraphs>82</Paragraphs>
  <ScaleCrop>false</ScaleCrop>
  <Company/>
  <LinksUpToDate>false</LinksUpToDate>
  <CharactersWithSpaces>41084</CharactersWithSpaces>
  <SharedDoc>false</SharedDoc>
  <HLinks>
    <vt:vector size="66" baseType="variant">
      <vt:variant>
        <vt:i4>4128875</vt:i4>
      </vt:variant>
      <vt:variant>
        <vt:i4>30</vt:i4>
      </vt:variant>
      <vt:variant>
        <vt:i4>0</vt:i4>
      </vt:variant>
      <vt:variant>
        <vt:i4>5</vt:i4>
      </vt:variant>
      <vt:variant>
        <vt:lpwstr>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vt:lpwstr>
      </vt:variant>
      <vt:variant>
        <vt:lpwstr/>
      </vt:variant>
      <vt:variant>
        <vt:i4>1900622</vt:i4>
      </vt:variant>
      <vt:variant>
        <vt:i4>27</vt:i4>
      </vt:variant>
      <vt:variant>
        <vt:i4>0</vt:i4>
      </vt:variant>
      <vt:variant>
        <vt:i4>5</vt:i4>
      </vt:variant>
      <vt:variant>
        <vt:lpwstr>https://relatoria.colombiacompra.gov.co/</vt:lpwstr>
      </vt:variant>
      <vt:variant>
        <vt:lpwstr/>
      </vt:variant>
      <vt:variant>
        <vt:i4>5701654</vt:i4>
      </vt:variant>
      <vt:variant>
        <vt:i4>24</vt:i4>
      </vt:variant>
      <vt:variant>
        <vt:i4>0</vt:i4>
      </vt:variant>
      <vt:variant>
        <vt:i4>5</vt:i4>
      </vt:variant>
      <vt:variant>
        <vt:lpwstr>https://www.colombiacompra.gov.co/node/30741</vt:lpwstr>
      </vt:variant>
      <vt:variant>
        <vt:lpwstr/>
      </vt:variant>
      <vt:variant>
        <vt:i4>6160403</vt:i4>
      </vt:variant>
      <vt:variant>
        <vt:i4>21</vt:i4>
      </vt:variant>
      <vt:variant>
        <vt:i4>0</vt:i4>
      </vt:variant>
      <vt:variant>
        <vt:i4>5</vt:i4>
      </vt:variant>
      <vt:variant>
        <vt:lpwstr>https://www.colombiacompra.gov.co/node/23628</vt:lpwstr>
      </vt:variant>
      <vt:variant>
        <vt:lpwstr/>
      </vt:variant>
      <vt:variant>
        <vt:i4>5177425</vt:i4>
      </vt:variant>
      <vt:variant>
        <vt:i4>18</vt:i4>
      </vt:variant>
      <vt:variant>
        <vt:i4>0</vt:i4>
      </vt:variant>
      <vt:variant>
        <vt:i4>5</vt:i4>
      </vt:variant>
      <vt:variant>
        <vt:lpwstr>https://www.colombiacompra.gov.co/sites/cce_public/files/cce_circulares/doc-20240823-wa0021.pdf</vt:lpwstr>
      </vt:variant>
      <vt:variant>
        <vt:lpwstr/>
      </vt:variant>
      <vt:variant>
        <vt:i4>786475</vt:i4>
      </vt:variant>
      <vt:variant>
        <vt:i4>15</vt:i4>
      </vt:variant>
      <vt:variant>
        <vt:i4>0</vt:i4>
      </vt:variant>
      <vt:variant>
        <vt:i4>5</vt:i4>
      </vt:variant>
      <vt:variant>
        <vt:lpwstr>https://www.colombiacompra.gov.co/wp-content/uploads/2024/08/circular_externa_unica_version_3_vf49.pdf</vt:lpwstr>
      </vt:variant>
      <vt:variant>
        <vt:lpwstr/>
      </vt:variant>
      <vt:variant>
        <vt:i4>5701654</vt:i4>
      </vt:variant>
      <vt:variant>
        <vt:i4>12</vt:i4>
      </vt:variant>
      <vt:variant>
        <vt:i4>0</vt:i4>
      </vt:variant>
      <vt:variant>
        <vt:i4>5</vt:i4>
      </vt:variant>
      <vt:variant>
        <vt:lpwstr>https://www.colombiacompra.gov.co/node/30741</vt:lpwstr>
      </vt:variant>
      <vt:variant>
        <vt:lpwstr/>
      </vt:variant>
      <vt:variant>
        <vt:i4>6160403</vt:i4>
      </vt:variant>
      <vt:variant>
        <vt:i4>9</vt:i4>
      </vt:variant>
      <vt:variant>
        <vt:i4>0</vt:i4>
      </vt:variant>
      <vt:variant>
        <vt:i4>5</vt:i4>
      </vt:variant>
      <vt:variant>
        <vt:lpwstr>https://www.colombiacompra.gov.co/node/23628</vt:lpwstr>
      </vt:variant>
      <vt:variant>
        <vt:lpwstr/>
      </vt:variant>
      <vt:variant>
        <vt:i4>5177425</vt:i4>
      </vt:variant>
      <vt:variant>
        <vt:i4>6</vt:i4>
      </vt:variant>
      <vt:variant>
        <vt:i4>0</vt:i4>
      </vt:variant>
      <vt:variant>
        <vt:i4>5</vt:i4>
      </vt:variant>
      <vt:variant>
        <vt:lpwstr>https://www.colombiacompra.gov.co/sites/cce_public/files/cce_circulares/doc-20240823-wa0021.pdf</vt:lpwstr>
      </vt:variant>
      <vt:variant>
        <vt:lpwstr/>
      </vt:variant>
      <vt:variant>
        <vt:i4>786475</vt:i4>
      </vt:variant>
      <vt:variant>
        <vt:i4>3</vt:i4>
      </vt:variant>
      <vt:variant>
        <vt:i4>0</vt:i4>
      </vt:variant>
      <vt:variant>
        <vt:i4>5</vt:i4>
      </vt:variant>
      <vt:variant>
        <vt:lpwstr>https://www.colombiacompra.gov.co/wp-content/uploads/2024/08/circular_externa_unica_version_3_vf49.pdf</vt:lpwstr>
      </vt:variant>
      <vt:variant>
        <vt:lpwstr/>
      </vt:variant>
      <vt:variant>
        <vt:i4>1441846</vt:i4>
      </vt:variant>
      <vt:variant>
        <vt:i4>0</vt:i4>
      </vt:variant>
      <vt:variant>
        <vt:i4>0</vt:i4>
      </vt:variant>
      <vt:variant>
        <vt:i4>5</vt:i4>
      </vt:variant>
      <vt:variant>
        <vt:lpwstr>mailto:Sylene.a.m@gmail.com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2023-01-11T00:18:00Z</cp:lastPrinted>
  <dcterms:created xsi:type="dcterms:W3CDTF">2025-09-04T17:30:00Z</dcterms:created>
  <dcterms:modified xsi:type="dcterms:W3CDTF">2025-09-04T17:30:00Z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