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E9BD65" w14:textId="77777777" w:rsidR="00476E3B" w:rsidRPr="00BD1E79" w:rsidRDefault="00476E3B" w:rsidP="00476E3B">
      <w:pPr>
        <w:spacing w:line="240" w:lineRule="auto"/>
        <w:jc w:val="both"/>
        <w:rPr>
          <w:rFonts w:ascii="Verdana" w:hAnsi="Verdana" w:cs="Arial"/>
          <w:b/>
          <w:color w:val="000000" w:themeColor="text1"/>
          <w:sz w:val="20"/>
          <w:szCs w:val="20"/>
        </w:rPr>
      </w:pPr>
      <w:bookmarkStart w:id="0" w:name="_Hlk186494164"/>
      <w:r w:rsidRPr="00BD1E79">
        <w:rPr>
          <w:rFonts w:ascii="Verdana" w:hAnsi="Verdana" w:cs="Arial"/>
          <w:b/>
          <w:color w:val="000000" w:themeColor="text1"/>
          <w:sz w:val="20"/>
          <w:szCs w:val="20"/>
        </w:rPr>
        <w:t>REQUISITOS HABILITANTES – Noción</w:t>
      </w:r>
    </w:p>
    <w:p w14:paraId="7D13848F" w14:textId="77777777" w:rsidR="00476E3B" w:rsidRPr="00BD1E79" w:rsidRDefault="00476E3B" w:rsidP="00476E3B">
      <w:pPr>
        <w:spacing w:line="240" w:lineRule="auto"/>
        <w:jc w:val="both"/>
        <w:rPr>
          <w:rFonts w:ascii="Verdana" w:hAnsi="Verdana" w:cs="Arial"/>
          <w:b/>
          <w:color w:val="000000" w:themeColor="text1"/>
          <w:sz w:val="20"/>
          <w:szCs w:val="20"/>
        </w:rPr>
      </w:pPr>
      <w:r w:rsidRPr="00BD1E79">
        <w:rPr>
          <w:rFonts w:ascii="Verdana" w:hAnsi="Verdana"/>
          <w:sz w:val="20"/>
          <w:szCs w:val="20"/>
        </w:rPr>
        <w:t>(…)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70D15CFB" w14:textId="77777777" w:rsidR="00476E3B" w:rsidRPr="00BD1E79" w:rsidRDefault="00476E3B" w:rsidP="00476E3B">
      <w:pPr>
        <w:spacing w:line="240" w:lineRule="auto"/>
        <w:jc w:val="both"/>
        <w:rPr>
          <w:rStyle w:val="normaltextrun"/>
          <w:rFonts w:ascii="Verdana" w:hAnsi="Verdana" w:cs="Arial"/>
          <w:b/>
          <w:sz w:val="20"/>
          <w:szCs w:val="20"/>
          <w:lang w:val="es-ES"/>
        </w:rPr>
      </w:pPr>
      <w:r w:rsidRPr="00BD1E79">
        <w:rPr>
          <w:rFonts w:ascii="Verdana" w:hAnsi="Verdana" w:cs="Arial"/>
          <w:b/>
          <w:color w:val="000000" w:themeColor="text1"/>
          <w:sz w:val="20"/>
          <w:szCs w:val="20"/>
        </w:rPr>
        <w:t xml:space="preserve"> REQUISITOS HABILITANTES – </w:t>
      </w:r>
      <w:r w:rsidRPr="00BD1E79">
        <w:rPr>
          <w:rStyle w:val="normaltextrun"/>
          <w:rFonts w:ascii="Verdana" w:hAnsi="Verdana" w:cs="Arial"/>
          <w:b/>
          <w:sz w:val="20"/>
          <w:szCs w:val="20"/>
          <w:lang w:val="es-ES"/>
        </w:rPr>
        <w:t xml:space="preserve">Carácter enunciativo </w:t>
      </w:r>
    </w:p>
    <w:p w14:paraId="2AE8ECEA" w14:textId="77777777" w:rsidR="00476E3B" w:rsidRDefault="00476E3B" w:rsidP="00476E3B">
      <w:pPr>
        <w:spacing w:line="240" w:lineRule="auto"/>
        <w:jc w:val="both"/>
        <w:rPr>
          <w:rFonts w:ascii="Verdana" w:hAnsi="Verdana"/>
          <w:sz w:val="20"/>
          <w:szCs w:val="20"/>
        </w:rPr>
      </w:pPr>
      <w:r>
        <w:rPr>
          <w:rFonts w:ascii="Verdana" w:hAnsi="Verdana"/>
          <w:sz w:val="20"/>
          <w:szCs w:val="20"/>
        </w:rPr>
        <w:t>A</w:t>
      </w:r>
      <w:r w:rsidRPr="00C23150">
        <w:rPr>
          <w:rFonts w:ascii="Verdana" w:hAnsi="Verdana"/>
          <w:sz w:val="20"/>
          <w:szCs w:val="20"/>
        </w:rPr>
        <w:t>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14:paraId="44D59DDB" w14:textId="77777777" w:rsidR="00476E3B" w:rsidRPr="00BD1E79" w:rsidRDefault="00476E3B" w:rsidP="00476E3B">
      <w:pPr>
        <w:spacing w:line="240" w:lineRule="auto"/>
        <w:jc w:val="both"/>
        <w:rPr>
          <w:rStyle w:val="normaltextrun"/>
          <w:rFonts w:ascii="Verdana" w:hAnsi="Verdana" w:cs="Arial"/>
          <w:b/>
          <w:color w:val="000000"/>
          <w:sz w:val="20"/>
          <w:szCs w:val="20"/>
          <w:lang w:val="es-ES"/>
        </w:rPr>
      </w:pPr>
      <w:r w:rsidRPr="00BD1E79">
        <w:rPr>
          <w:rStyle w:val="normaltextrun"/>
          <w:rFonts w:ascii="Verdana" w:hAnsi="Verdana" w:cs="Arial"/>
          <w:b/>
          <w:color w:val="000000"/>
          <w:sz w:val="20"/>
          <w:szCs w:val="20"/>
          <w:lang w:val="es-ES"/>
        </w:rPr>
        <w:t xml:space="preserve">REQUISITOS HABILITANTES </w:t>
      </w:r>
      <w:r w:rsidRPr="00BD1E79">
        <w:rPr>
          <w:rFonts w:ascii="Verdana" w:hAnsi="Verdana" w:cs="Arial"/>
          <w:b/>
          <w:color w:val="000000" w:themeColor="text1"/>
          <w:sz w:val="20"/>
          <w:szCs w:val="20"/>
        </w:rPr>
        <w:t xml:space="preserve">– </w:t>
      </w:r>
      <w:r w:rsidRPr="00BD1E79">
        <w:rPr>
          <w:rStyle w:val="normaltextrun"/>
          <w:rFonts w:ascii="Verdana" w:hAnsi="Verdana" w:cs="Arial"/>
          <w:b/>
          <w:color w:val="000000"/>
          <w:sz w:val="20"/>
          <w:szCs w:val="20"/>
          <w:lang w:val="es-ES"/>
        </w:rPr>
        <w:t>Autonomía de la voluntad de las entidades estatales para establecerlos</w:t>
      </w:r>
    </w:p>
    <w:p w14:paraId="5215B406" w14:textId="77777777" w:rsidR="00476E3B" w:rsidRPr="00C23150" w:rsidRDefault="00476E3B" w:rsidP="00476E3B">
      <w:pPr>
        <w:spacing w:line="240" w:lineRule="auto"/>
        <w:jc w:val="both"/>
        <w:rPr>
          <w:rStyle w:val="normaltextrun"/>
          <w:rFonts w:ascii="Verdana" w:hAnsi="Verdana"/>
          <w:sz w:val="20"/>
          <w:szCs w:val="20"/>
        </w:rPr>
      </w:pPr>
      <w:r w:rsidRPr="00BD1E79">
        <w:rPr>
          <w:rFonts w:ascii="Verdana" w:hAnsi="Verdana"/>
          <w:sz w:val="20"/>
          <w:szCs w:val="20"/>
        </w:rPr>
        <w:t>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Esto en la medida que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25A81F60" w14:textId="77777777" w:rsidR="00476E3B" w:rsidRPr="00BD1E79" w:rsidRDefault="00476E3B" w:rsidP="00476E3B">
      <w:pPr>
        <w:spacing w:line="240" w:lineRule="auto"/>
        <w:jc w:val="both"/>
        <w:rPr>
          <w:rFonts w:ascii="Verdana" w:hAnsi="Verdana" w:cs="Arial"/>
          <w:b/>
          <w:color w:val="000000" w:themeColor="text1"/>
          <w:sz w:val="20"/>
          <w:szCs w:val="20"/>
        </w:rPr>
      </w:pPr>
      <w:r w:rsidRPr="00BD1E79">
        <w:rPr>
          <w:rFonts w:ascii="Verdana" w:hAnsi="Verdana" w:cs="Arial"/>
          <w:b/>
          <w:color w:val="000000" w:themeColor="text1"/>
          <w:sz w:val="20"/>
          <w:szCs w:val="20"/>
        </w:rPr>
        <w:t>SISTEMA DE GESTIÓN DE SEGURIDAD Y SALUD EN EL TRABAJO SG-SST - Contratos Estatales - E</w:t>
      </w:r>
      <w:r w:rsidRPr="00BD1E79">
        <w:rPr>
          <w:rFonts w:ascii="Verdana" w:hAnsi="Verdana" w:cs="Arial"/>
          <w:b/>
          <w:color w:val="000000" w:themeColor="text1"/>
          <w:sz w:val="20"/>
          <w:szCs w:val="20"/>
          <w:lang w:eastAsia="es-MX"/>
        </w:rPr>
        <w:t>valuación y selección de proveedores y contratistas</w:t>
      </w:r>
      <w:r w:rsidRPr="00BD1E79">
        <w:rPr>
          <w:rFonts w:ascii="Verdana" w:hAnsi="Verdana" w:cs="Arial"/>
          <w:b/>
          <w:color w:val="000000" w:themeColor="text1"/>
          <w:sz w:val="20"/>
          <w:szCs w:val="20"/>
        </w:rPr>
        <w:t xml:space="preserve"> </w:t>
      </w:r>
    </w:p>
    <w:p w14:paraId="3DC86D82" w14:textId="77777777" w:rsidR="00476E3B" w:rsidRPr="00BD1E79" w:rsidRDefault="00476E3B" w:rsidP="00476E3B">
      <w:pPr>
        <w:spacing w:line="240" w:lineRule="auto"/>
        <w:jc w:val="both"/>
        <w:rPr>
          <w:rFonts w:ascii="Verdana" w:hAnsi="Verdana"/>
          <w:sz w:val="20"/>
          <w:szCs w:val="20"/>
        </w:rPr>
      </w:pPr>
      <w:r w:rsidRPr="00BD1E79">
        <w:rPr>
          <w:rFonts w:ascii="Verdana" w:hAnsi="Verdana"/>
          <w:sz w:val="20"/>
          <w:szCs w:val="20"/>
        </w:rPr>
        <w:t xml:space="preserve">En ese orden de ideas, el artículo 2.2.4.6.4. del Decreto 1072 de 2015 dispuso que el Sistema de Gestión de Seguridad y Salud en el Trabajo SG-SST debe ser liderado e </w:t>
      </w:r>
      <w:r w:rsidRPr="00BD1E79">
        <w:rPr>
          <w:rFonts w:ascii="Verdana" w:hAnsi="Verdana"/>
          <w:sz w:val="20"/>
          <w:szCs w:val="20"/>
        </w:rPr>
        <w:lastRenderedPageBreak/>
        <w:t>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Para ello, el decreto reglamentario adoptó a su vez, en el parágrafo 2° del artículo en cita, que: “Dentro de los parámetros de selección y evaluación de proveedores y contratistas, el contratante podrá incluir criterios que le permitan conocer que la empresa a contratar cuente con el Sistema de Gestión de la Seguridad y Salud en el Trabajo (SG-SST)”.</w:t>
      </w:r>
    </w:p>
    <w:p w14:paraId="4D1DE094" w14:textId="77777777" w:rsidR="00476E3B" w:rsidRPr="00BD1E79" w:rsidRDefault="00476E3B" w:rsidP="00476E3B">
      <w:pPr>
        <w:spacing w:line="240" w:lineRule="auto"/>
        <w:jc w:val="both"/>
        <w:rPr>
          <w:rFonts w:ascii="Verdana" w:hAnsi="Verdana"/>
          <w:sz w:val="20"/>
          <w:szCs w:val="20"/>
        </w:rPr>
      </w:pPr>
      <w:r w:rsidRPr="00BD1E79">
        <w:rPr>
          <w:rFonts w:ascii="Verdana" w:hAnsi="Verdana"/>
          <w:sz w:val="20"/>
          <w:szCs w:val="20"/>
        </w:rPr>
        <w:t>(…)</w:t>
      </w:r>
    </w:p>
    <w:p w14:paraId="0E3D6B21" w14:textId="77777777" w:rsidR="00476E3B" w:rsidRPr="00BD1E79" w:rsidRDefault="00476E3B" w:rsidP="00476E3B">
      <w:pPr>
        <w:spacing w:line="240" w:lineRule="auto"/>
        <w:jc w:val="both"/>
        <w:rPr>
          <w:rFonts w:ascii="Verdana" w:hAnsi="Verdana"/>
          <w:sz w:val="20"/>
          <w:szCs w:val="20"/>
        </w:rPr>
      </w:pPr>
      <w:r w:rsidRPr="00BD1E79">
        <w:rPr>
          <w:rFonts w:ascii="Verdana" w:hAnsi="Verdana"/>
          <w:sz w:val="20"/>
          <w:szCs w:val="20"/>
        </w:rPr>
        <w:t xml:space="preserve">Con base en dicho marco normativo, el Ministerio del Trabajo expidió la Resolución 312 del 13 de febrero de 2019, mediante la cual se definió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 los Procesos de Contratación Estatal. Lo anterior, a criterio de la Agencia, sería permitido siempre y cuando dichos criterios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 </w:t>
      </w:r>
    </w:p>
    <w:p w14:paraId="654390E6" w14:textId="77777777" w:rsidR="00476E3B" w:rsidRDefault="00476E3B" w:rsidP="00476E3B">
      <w:pPr>
        <w:spacing w:line="240" w:lineRule="auto"/>
        <w:jc w:val="both"/>
        <w:rPr>
          <w:rFonts w:ascii="Century Gothic" w:hAnsi="Century Gothic"/>
          <w:sz w:val="20"/>
          <w:szCs w:val="20"/>
        </w:rPr>
      </w:pPr>
    </w:p>
    <w:p w14:paraId="6C1AC56F" w14:textId="77777777" w:rsidR="00476E3B" w:rsidRDefault="00476E3B" w:rsidP="00476E3B">
      <w:pPr>
        <w:spacing w:line="240" w:lineRule="auto"/>
        <w:jc w:val="both"/>
        <w:rPr>
          <w:rFonts w:ascii="Century Gothic" w:hAnsi="Century Gothic"/>
          <w:sz w:val="20"/>
          <w:szCs w:val="20"/>
        </w:rPr>
      </w:pPr>
    </w:p>
    <w:p w14:paraId="25E818FA" w14:textId="77777777" w:rsidR="00476E3B" w:rsidRDefault="00476E3B" w:rsidP="00CE37A3">
      <w:pPr>
        <w:spacing w:after="0" w:line="240" w:lineRule="auto"/>
        <w:rPr>
          <w:rFonts w:ascii="Verdana" w:eastAsia="Geomanist Light" w:hAnsi="Verdana" w:cs="Arial"/>
          <w:color w:val="000000" w:themeColor="text1"/>
          <w:lang w:val="es-MX"/>
        </w:rPr>
      </w:pPr>
    </w:p>
    <w:p w14:paraId="43ED41E2" w14:textId="77777777" w:rsidR="00476E3B" w:rsidRDefault="00476E3B" w:rsidP="00CE37A3">
      <w:pPr>
        <w:spacing w:after="0" w:line="240" w:lineRule="auto"/>
        <w:rPr>
          <w:rFonts w:ascii="Verdana" w:eastAsia="Geomanist Light" w:hAnsi="Verdana" w:cs="Arial"/>
          <w:color w:val="000000" w:themeColor="text1"/>
          <w:lang w:val="es-MX"/>
        </w:rPr>
      </w:pPr>
    </w:p>
    <w:p w14:paraId="64E3B263" w14:textId="77777777" w:rsidR="00476E3B" w:rsidRDefault="00476E3B" w:rsidP="00CE37A3">
      <w:pPr>
        <w:spacing w:after="0" w:line="240" w:lineRule="auto"/>
        <w:rPr>
          <w:rFonts w:ascii="Verdana" w:eastAsia="Geomanist Light" w:hAnsi="Verdana" w:cs="Arial"/>
          <w:color w:val="000000" w:themeColor="text1"/>
          <w:lang w:val="es-MX"/>
        </w:rPr>
      </w:pPr>
    </w:p>
    <w:p w14:paraId="346FB94E" w14:textId="77777777" w:rsidR="00476E3B" w:rsidRDefault="00476E3B" w:rsidP="00CE37A3">
      <w:pPr>
        <w:spacing w:after="0" w:line="240" w:lineRule="auto"/>
        <w:rPr>
          <w:rFonts w:ascii="Verdana" w:eastAsia="Geomanist Light" w:hAnsi="Verdana" w:cs="Arial"/>
          <w:color w:val="000000" w:themeColor="text1"/>
          <w:lang w:val="es-MX"/>
        </w:rPr>
      </w:pPr>
    </w:p>
    <w:p w14:paraId="42181D70" w14:textId="77777777" w:rsidR="00476E3B" w:rsidRDefault="00476E3B" w:rsidP="00CE37A3">
      <w:pPr>
        <w:spacing w:after="0" w:line="240" w:lineRule="auto"/>
        <w:rPr>
          <w:rFonts w:ascii="Verdana" w:eastAsia="Geomanist Light" w:hAnsi="Verdana" w:cs="Arial"/>
          <w:color w:val="000000" w:themeColor="text1"/>
          <w:lang w:val="es-MX"/>
        </w:rPr>
      </w:pPr>
    </w:p>
    <w:p w14:paraId="31905CF9" w14:textId="77777777" w:rsidR="00476E3B" w:rsidRDefault="00476E3B" w:rsidP="00CE37A3">
      <w:pPr>
        <w:spacing w:after="0" w:line="240" w:lineRule="auto"/>
        <w:rPr>
          <w:rFonts w:ascii="Verdana" w:eastAsia="Geomanist Light" w:hAnsi="Verdana" w:cs="Arial"/>
          <w:color w:val="000000" w:themeColor="text1"/>
          <w:lang w:val="es-MX"/>
        </w:rPr>
      </w:pPr>
    </w:p>
    <w:p w14:paraId="0F56445B" w14:textId="77777777" w:rsidR="00476E3B" w:rsidRDefault="00476E3B" w:rsidP="00CE37A3">
      <w:pPr>
        <w:spacing w:after="0" w:line="240" w:lineRule="auto"/>
        <w:rPr>
          <w:rFonts w:ascii="Verdana" w:eastAsia="Geomanist Light" w:hAnsi="Verdana" w:cs="Arial"/>
          <w:color w:val="000000" w:themeColor="text1"/>
          <w:lang w:val="es-MX"/>
        </w:rPr>
      </w:pPr>
    </w:p>
    <w:p w14:paraId="545D3052" w14:textId="77777777" w:rsidR="00476E3B" w:rsidRDefault="00476E3B" w:rsidP="00CE37A3">
      <w:pPr>
        <w:spacing w:after="0" w:line="240" w:lineRule="auto"/>
        <w:rPr>
          <w:rFonts w:ascii="Verdana" w:eastAsia="Geomanist Light" w:hAnsi="Verdana" w:cs="Arial"/>
          <w:color w:val="000000" w:themeColor="text1"/>
          <w:lang w:val="es-MX"/>
        </w:rPr>
      </w:pPr>
    </w:p>
    <w:p w14:paraId="06A369B8" w14:textId="77777777" w:rsidR="00476E3B" w:rsidRDefault="00476E3B" w:rsidP="00CE37A3">
      <w:pPr>
        <w:spacing w:after="0" w:line="240" w:lineRule="auto"/>
        <w:rPr>
          <w:rFonts w:ascii="Verdana" w:eastAsia="Geomanist Light" w:hAnsi="Verdana" w:cs="Arial"/>
          <w:color w:val="000000" w:themeColor="text1"/>
          <w:lang w:val="es-MX"/>
        </w:rPr>
      </w:pPr>
    </w:p>
    <w:p w14:paraId="236FCBCB" w14:textId="77777777" w:rsidR="00476E3B" w:rsidRDefault="00476E3B" w:rsidP="00CE37A3">
      <w:pPr>
        <w:spacing w:after="0" w:line="240" w:lineRule="auto"/>
        <w:rPr>
          <w:rFonts w:ascii="Verdana" w:eastAsia="Geomanist Light" w:hAnsi="Verdana" w:cs="Arial"/>
          <w:color w:val="000000" w:themeColor="text1"/>
          <w:lang w:val="es-MX"/>
        </w:rPr>
      </w:pPr>
    </w:p>
    <w:p w14:paraId="33326908" w14:textId="77777777" w:rsidR="00476E3B" w:rsidRDefault="00476E3B" w:rsidP="00CE37A3">
      <w:pPr>
        <w:spacing w:after="0" w:line="240" w:lineRule="auto"/>
        <w:rPr>
          <w:rFonts w:ascii="Verdana" w:eastAsia="Geomanist Light" w:hAnsi="Verdana" w:cs="Arial"/>
          <w:color w:val="000000" w:themeColor="text1"/>
          <w:lang w:val="es-MX"/>
        </w:rPr>
      </w:pPr>
    </w:p>
    <w:p w14:paraId="45C38275" w14:textId="77777777" w:rsidR="00476E3B" w:rsidRDefault="00476E3B" w:rsidP="00CE37A3">
      <w:pPr>
        <w:spacing w:after="0" w:line="240" w:lineRule="auto"/>
        <w:rPr>
          <w:rFonts w:ascii="Verdana" w:eastAsia="Geomanist Light" w:hAnsi="Verdana" w:cs="Arial"/>
          <w:color w:val="000000" w:themeColor="text1"/>
          <w:lang w:val="es-MX"/>
        </w:rPr>
      </w:pPr>
    </w:p>
    <w:p w14:paraId="1119C571" w14:textId="77777777" w:rsidR="00476E3B" w:rsidRDefault="00476E3B" w:rsidP="00CE37A3">
      <w:pPr>
        <w:spacing w:after="0" w:line="240" w:lineRule="auto"/>
        <w:rPr>
          <w:rFonts w:ascii="Verdana" w:eastAsia="Geomanist Light" w:hAnsi="Verdana" w:cs="Arial"/>
          <w:color w:val="000000" w:themeColor="text1"/>
          <w:lang w:val="es-MX"/>
        </w:rPr>
      </w:pPr>
    </w:p>
    <w:p w14:paraId="483923C0" w14:textId="77777777" w:rsidR="00476E3B" w:rsidRDefault="00476E3B" w:rsidP="00CE37A3">
      <w:pPr>
        <w:spacing w:after="0" w:line="240" w:lineRule="auto"/>
        <w:rPr>
          <w:rFonts w:ascii="Verdana" w:eastAsia="Geomanist Light" w:hAnsi="Verdana" w:cs="Arial"/>
          <w:color w:val="000000" w:themeColor="text1"/>
          <w:lang w:val="es-MX"/>
        </w:rPr>
      </w:pPr>
    </w:p>
    <w:p w14:paraId="2955DC18" w14:textId="77777777" w:rsidR="00476E3B" w:rsidRDefault="00476E3B" w:rsidP="00CE37A3">
      <w:pPr>
        <w:spacing w:after="0" w:line="240" w:lineRule="auto"/>
        <w:rPr>
          <w:rFonts w:ascii="Verdana" w:eastAsia="Geomanist Light" w:hAnsi="Verdana" w:cs="Arial"/>
          <w:color w:val="000000" w:themeColor="text1"/>
          <w:lang w:val="es-MX"/>
        </w:rPr>
      </w:pPr>
    </w:p>
    <w:p w14:paraId="5CF46496" w14:textId="77777777" w:rsidR="00476E3B" w:rsidRDefault="00476E3B" w:rsidP="00CE37A3">
      <w:pPr>
        <w:spacing w:after="0" w:line="240" w:lineRule="auto"/>
        <w:rPr>
          <w:rFonts w:ascii="Verdana" w:eastAsia="Geomanist Light" w:hAnsi="Verdana" w:cs="Arial"/>
          <w:color w:val="000000" w:themeColor="text1"/>
          <w:lang w:val="es-MX"/>
        </w:rPr>
      </w:pPr>
    </w:p>
    <w:p w14:paraId="3BDB4E04" w14:textId="77777777" w:rsidR="00476E3B" w:rsidRDefault="00476E3B" w:rsidP="00CE37A3">
      <w:pPr>
        <w:spacing w:after="0" w:line="240" w:lineRule="auto"/>
        <w:rPr>
          <w:rFonts w:ascii="Verdana" w:eastAsia="Geomanist Light" w:hAnsi="Verdana" w:cs="Arial"/>
          <w:color w:val="000000" w:themeColor="text1"/>
          <w:lang w:val="es-MX"/>
        </w:rPr>
      </w:pPr>
    </w:p>
    <w:p w14:paraId="7596F739" w14:textId="77777777" w:rsidR="00476E3B" w:rsidRDefault="00476E3B" w:rsidP="00CE37A3">
      <w:pPr>
        <w:spacing w:after="0" w:line="240" w:lineRule="auto"/>
        <w:rPr>
          <w:rFonts w:ascii="Verdana" w:eastAsia="Geomanist Light" w:hAnsi="Verdana" w:cs="Arial"/>
          <w:color w:val="000000" w:themeColor="text1"/>
          <w:lang w:val="es-MX"/>
        </w:rPr>
      </w:pPr>
    </w:p>
    <w:p w14:paraId="28047E8C" w14:textId="03E71EB0" w:rsidR="00B30448" w:rsidRPr="00EB1CF7" w:rsidRDefault="00B30448" w:rsidP="00CE37A3">
      <w:pPr>
        <w:spacing w:after="0" w:line="240" w:lineRule="auto"/>
        <w:rPr>
          <w:rFonts w:ascii="Verdana" w:eastAsia="Geomanist Light" w:hAnsi="Verdana" w:cs="Arial"/>
          <w:color w:val="201F1E"/>
          <w:lang w:val="es-MX"/>
        </w:rPr>
      </w:pPr>
      <w:r w:rsidRPr="00EB1CF7">
        <w:rPr>
          <w:rFonts w:ascii="Verdana" w:eastAsia="Geomanist Light" w:hAnsi="Verdana" w:cs="Arial"/>
          <w:color w:val="000000" w:themeColor="text1"/>
          <w:lang w:val="es-MX"/>
        </w:rPr>
        <w:t>Bogotá D.C., </w:t>
      </w:r>
      <w:r w:rsidR="00476E3B">
        <w:rPr>
          <w:rFonts w:ascii="Verdana" w:eastAsia="Geomanist Light" w:hAnsi="Verdana" w:cs="Arial"/>
          <w:color w:val="201F1E"/>
          <w:lang w:val="es-MX"/>
        </w:rPr>
        <w:t>31 de diciembre de 2024</w:t>
      </w:r>
    </w:p>
    <w:p w14:paraId="1715E5B1" w14:textId="0ED43AD0" w:rsidR="00B30448" w:rsidRPr="00EB1CF7" w:rsidRDefault="00B30448" w:rsidP="00CE37A3">
      <w:pPr>
        <w:spacing w:after="0" w:line="240" w:lineRule="auto"/>
        <w:jc w:val="both"/>
        <w:rPr>
          <w:rFonts w:ascii="Verdana" w:eastAsia="Calibri" w:hAnsi="Verdana" w:cs="Arial"/>
          <w:color w:val="000000"/>
          <w:lang w:val="es-ES"/>
        </w:rPr>
      </w:pPr>
    </w:p>
    <w:p w14:paraId="62AA4AF4" w14:textId="4950D726" w:rsidR="00BB3BE4" w:rsidRPr="00EB1CF7" w:rsidRDefault="00476E3B" w:rsidP="00476E3B">
      <w:pPr>
        <w:spacing w:after="0" w:line="240" w:lineRule="auto"/>
        <w:jc w:val="right"/>
        <w:rPr>
          <w:rFonts w:ascii="Verdana" w:eastAsia="Calibri" w:hAnsi="Verdana" w:cs="Arial"/>
          <w:color w:val="000000"/>
          <w:lang w:val="es-ES"/>
        </w:rPr>
      </w:pPr>
      <w:r w:rsidRPr="00476E3B">
        <w:rPr>
          <w:rFonts w:ascii="Verdana" w:eastAsia="Calibri" w:hAnsi="Verdana" w:cs="Arial"/>
          <w:noProof/>
          <w:color w:val="000000"/>
          <w:lang w:val="es-ES"/>
        </w:rPr>
        <w:drawing>
          <wp:inline distT="0" distB="0" distL="0" distR="0" wp14:anchorId="593612BD" wp14:editId="3FC24564">
            <wp:extent cx="2887980" cy="944880"/>
            <wp:effectExtent l="0" t="0" r="7620" b="7620"/>
            <wp:docPr id="7543279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980" cy="944880"/>
                    </a:xfrm>
                    <a:prstGeom prst="rect">
                      <a:avLst/>
                    </a:prstGeom>
                    <a:noFill/>
                    <a:ln>
                      <a:noFill/>
                    </a:ln>
                  </pic:spPr>
                </pic:pic>
              </a:graphicData>
            </a:graphic>
          </wp:inline>
        </w:drawing>
      </w:r>
    </w:p>
    <w:p w14:paraId="6AC73275" w14:textId="77777777" w:rsidR="00476E3B" w:rsidRDefault="00476E3B" w:rsidP="00CE37A3">
      <w:pPr>
        <w:spacing w:after="0" w:line="240" w:lineRule="auto"/>
        <w:jc w:val="both"/>
        <w:rPr>
          <w:rFonts w:ascii="Verdana" w:eastAsia="Calibri" w:hAnsi="Verdana" w:cs="Arial"/>
          <w:lang w:val="es-ES" w:eastAsia="es-ES"/>
        </w:rPr>
      </w:pPr>
    </w:p>
    <w:p w14:paraId="02CC2859" w14:textId="4B252347" w:rsidR="00B30448" w:rsidRPr="00EB1CF7" w:rsidRDefault="00B30448" w:rsidP="00CE37A3">
      <w:pPr>
        <w:spacing w:after="0" w:line="240" w:lineRule="auto"/>
        <w:jc w:val="both"/>
        <w:rPr>
          <w:rFonts w:ascii="Verdana" w:eastAsia="Calibri" w:hAnsi="Verdana" w:cs="Arial"/>
          <w:lang w:val="es-ES" w:eastAsia="es-ES"/>
        </w:rPr>
      </w:pPr>
      <w:r w:rsidRPr="00EB1CF7">
        <w:rPr>
          <w:rFonts w:ascii="Verdana" w:eastAsia="Calibri" w:hAnsi="Verdana" w:cs="Arial"/>
          <w:lang w:val="es-ES" w:eastAsia="es-ES"/>
        </w:rPr>
        <w:t>Señor</w:t>
      </w:r>
      <w:r w:rsidR="001E52DF">
        <w:rPr>
          <w:rFonts w:ascii="Verdana" w:eastAsia="Calibri" w:hAnsi="Verdana" w:cs="Arial"/>
          <w:lang w:val="es-ES" w:eastAsia="es-ES"/>
        </w:rPr>
        <w:t>a</w:t>
      </w:r>
    </w:p>
    <w:p w14:paraId="2E107926" w14:textId="4244DC8A" w:rsidR="001E52DF" w:rsidRDefault="001E52DF" w:rsidP="00E80D00">
      <w:pPr>
        <w:spacing w:after="0" w:line="240" w:lineRule="auto"/>
        <w:rPr>
          <w:rFonts w:ascii="Verdana" w:eastAsia="Calibri" w:hAnsi="Verdana" w:cs="Arial"/>
          <w:b/>
          <w:lang w:val="es-ES_tradnl" w:eastAsia="es-ES_tradnl"/>
        </w:rPr>
      </w:pPr>
      <w:r>
        <w:rPr>
          <w:rFonts w:ascii="Verdana" w:eastAsia="Calibri" w:hAnsi="Verdana" w:cs="Arial"/>
          <w:b/>
          <w:lang w:val="es-ES_tradnl" w:eastAsia="es-ES_tradnl"/>
        </w:rPr>
        <w:t>Priscila Sánchez Sanabria</w:t>
      </w:r>
    </w:p>
    <w:p w14:paraId="333529C4" w14:textId="77777777" w:rsidR="007A5C5C" w:rsidRPr="00E45259" w:rsidRDefault="007A5C5C" w:rsidP="007A5C5C">
      <w:pPr>
        <w:spacing w:after="0" w:line="240" w:lineRule="auto"/>
        <w:rPr>
          <w:rFonts w:ascii="Verdana" w:eastAsia="Calibri" w:hAnsi="Verdana" w:cs="Arial"/>
          <w:bCs/>
          <w:lang w:val="es-ES_tradnl" w:eastAsia="es-ES_tradnl"/>
        </w:rPr>
      </w:pPr>
      <w:r w:rsidRPr="00E45259">
        <w:rPr>
          <w:rFonts w:ascii="Verdana" w:eastAsia="Calibri" w:hAnsi="Verdana" w:cs="Arial"/>
          <w:bCs/>
          <w:lang w:val="es-ES_tradnl" w:eastAsia="es-ES_tradnl"/>
        </w:rPr>
        <w:t>Gerencia Jurídica</w:t>
      </w:r>
    </w:p>
    <w:p w14:paraId="79CC2259" w14:textId="67E61A21" w:rsidR="007A5C5C" w:rsidRPr="007A5C5C" w:rsidRDefault="007A5C5C" w:rsidP="00E80D00">
      <w:pPr>
        <w:spacing w:after="0" w:line="240" w:lineRule="auto"/>
        <w:rPr>
          <w:rFonts w:ascii="Verdana" w:eastAsia="Calibri" w:hAnsi="Verdana" w:cs="Arial"/>
          <w:bCs/>
          <w:lang w:val="es-ES_tradnl" w:eastAsia="es-ES_tradnl"/>
        </w:rPr>
      </w:pPr>
      <w:r w:rsidRPr="00E45259">
        <w:rPr>
          <w:rFonts w:ascii="Verdana" w:eastAsia="Calibri" w:hAnsi="Verdana" w:cs="Arial"/>
          <w:bCs/>
          <w:lang w:val="es-ES_tradnl" w:eastAsia="es-ES_tradnl"/>
        </w:rPr>
        <w:t>Empresa Metro</w:t>
      </w:r>
      <w:r>
        <w:rPr>
          <w:rFonts w:ascii="Verdana" w:eastAsia="Calibri" w:hAnsi="Verdana" w:cs="Arial"/>
          <w:bCs/>
          <w:lang w:val="es-ES_tradnl" w:eastAsia="es-ES_tradnl"/>
        </w:rPr>
        <w:t xml:space="preserve"> de</w:t>
      </w:r>
      <w:r w:rsidRPr="00E45259">
        <w:rPr>
          <w:rFonts w:ascii="Verdana" w:eastAsia="Calibri" w:hAnsi="Verdana" w:cs="Arial"/>
          <w:bCs/>
          <w:lang w:val="es-ES_tradnl" w:eastAsia="es-ES_tradnl"/>
        </w:rPr>
        <w:t xml:space="preserve"> Bogotá</w:t>
      </w:r>
      <w:r>
        <w:rPr>
          <w:rFonts w:ascii="Verdana" w:eastAsia="Calibri" w:hAnsi="Verdana" w:cs="Arial"/>
          <w:bCs/>
          <w:lang w:val="es-ES_tradnl" w:eastAsia="es-ES_tradnl"/>
        </w:rPr>
        <w:t xml:space="preserve"> S.A</w:t>
      </w:r>
    </w:p>
    <w:p w14:paraId="751D2FA6" w14:textId="544D0DB9" w:rsidR="001E52DF" w:rsidRPr="001E52DF" w:rsidRDefault="001E52DF" w:rsidP="00E80D00">
      <w:pPr>
        <w:spacing w:after="0" w:line="240" w:lineRule="auto"/>
        <w:rPr>
          <w:rFonts w:ascii="Verdana" w:eastAsia="Calibri" w:hAnsi="Verdana" w:cs="Arial"/>
          <w:bCs/>
          <w:lang w:val="es-ES_tradnl" w:eastAsia="es-ES_tradnl"/>
        </w:rPr>
      </w:pPr>
      <w:r w:rsidRPr="001E52DF">
        <w:rPr>
          <w:rFonts w:ascii="Verdana" w:eastAsia="Calibri" w:hAnsi="Verdana" w:cs="Arial"/>
          <w:bCs/>
          <w:lang w:val="es-ES_tradnl" w:eastAsia="es-ES_tradnl"/>
        </w:rPr>
        <w:t>radicación@metrodebogota.gov.co</w:t>
      </w:r>
    </w:p>
    <w:p w14:paraId="00081778" w14:textId="6381F7A1" w:rsidR="008E6AD9" w:rsidRPr="00EB1CF7" w:rsidRDefault="001E52DF" w:rsidP="00CE37A3">
      <w:pPr>
        <w:spacing w:after="0" w:line="240" w:lineRule="auto"/>
        <w:rPr>
          <w:rFonts w:ascii="Verdana" w:eastAsia="Calibri" w:hAnsi="Verdana" w:cs="Arial"/>
          <w:lang w:val="es-ES" w:eastAsia="es-ES"/>
        </w:rPr>
      </w:pPr>
      <w:r>
        <w:rPr>
          <w:rFonts w:ascii="Verdana" w:eastAsia="Calibri" w:hAnsi="Verdana" w:cs="Arial"/>
          <w:lang w:val="es-ES" w:eastAsia="es-ES"/>
        </w:rPr>
        <w:t>Bogotá D.C.</w:t>
      </w:r>
      <w:r w:rsidR="00FA0F71" w:rsidRPr="00EB1CF7">
        <w:rPr>
          <w:rFonts w:ascii="Verdana" w:eastAsia="Calibri" w:hAnsi="Verdana" w:cs="Arial"/>
          <w:lang w:val="es-ES" w:eastAsia="es-ES"/>
        </w:rPr>
        <w:t xml:space="preserve"> </w:t>
      </w:r>
    </w:p>
    <w:p w14:paraId="083F7B5B" w14:textId="77777777" w:rsidR="00497575" w:rsidRPr="00EB1CF7" w:rsidRDefault="00497575" w:rsidP="00CE37A3">
      <w:pPr>
        <w:spacing w:after="0" w:line="240" w:lineRule="auto"/>
        <w:rPr>
          <w:rFonts w:ascii="Verdana" w:eastAsia="Calibri" w:hAnsi="Verdana" w:cs="Arial"/>
          <w:b/>
          <w:bCs/>
          <w:color w:val="000000"/>
          <w:lang w:val="es-ES_tradnl" w:eastAsia="es-ES_tradnl"/>
        </w:rPr>
      </w:pPr>
    </w:p>
    <w:p w14:paraId="63F71607" w14:textId="77777777" w:rsidR="00B30448" w:rsidRPr="00EB1CF7" w:rsidRDefault="00B30448" w:rsidP="00CE37A3">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CE37A3" w:rsidRPr="00EB1CF7" w14:paraId="32935393" w14:textId="77777777" w:rsidTr="000F1AD8">
        <w:trPr>
          <w:trHeight w:val="884"/>
        </w:trPr>
        <w:tc>
          <w:tcPr>
            <w:tcW w:w="2689" w:type="dxa"/>
          </w:tcPr>
          <w:p w14:paraId="5615C8B0" w14:textId="77777777" w:rsidR="00CE37A3" w:rsidRPr="00EB1CF7" w:rsidRDefault="00CE37A3" w:rsidP="00CE37A3">
            <w:pPr>
              <w:jc w:val="both"/>
              <w:rPr>
                <w:rFonts w:ascii="Verdana" w:eastAsia="Calibri" w:hAnsi="Verdana" w:cs="Arial"/>
                <w:b/>
                <w:bCs/>
                <w:color w:val="7030A0"/>
                <w:lang w:val="es-ES_tradnl" w:eastAsia="es-ES_tradnl"/>
              </w:rPr>
            </w:pPr>
          </w:p>
        </w:tc>
        <w:tc>
          <w:tcPr>
            <w:tcW w:w="6100" w:type="dxa"/>
          </w:tcPr>
          <w:p w14:paraId="1CC0FC14" w14:textId="30817131" w:rsidR="00CE37A3" w:rsidRPr="00476E3B" w:rsidRDefault="00CE37A3" w:rsidP="00CE37A3">
            <w:pPr>
              <w:jc w:val="both"/>
              <w:rPr>
                <w:rFonts w:ascii="Verdana" w:eastAsia="Calibri" w:hAnsi="Verdana" w:cs="Arial"/>
                <w:b/>
                <w:bCs/>
                <w:lang w:val="es-ES" w:eastAsia="es-ES"/>
              </w:rPr>
            </w:pPr>
            <w:r w:rsidRPr="00476E3B">
              <w:rPr>
                <w:rFonts w:ascii="Verdana" w:eastAsia="Calibri" w:hAnsi="Verdana" w:cs="Arial"/>
                <w:b/>
                <w:bCs/>
                <w:lang w:val="es-ES" w:eastAsia="es-ES"/>
              </w:rPr>
              <w:t>Concepto C</w:t>
            </w:r>
            <w:r w:rsidR="008E6AD9" w:rsidRPr="00476E3B">
              <w:rPr>
                <w:rFonts w:ascii="Verdana" w:eastAsia="Calibri" w:hAnsi="Verdana" w:cs="Arial"/>
                <w:b/>
                <w:bCs/>
                <w:lang w:val="es-ES" w:eastAsia="es-ES"/>
              </w:rPr>
              <w:t xml:space="preserve"> –</w:t>
            </w:r>
            <w:r w:rsidRPr="00476E3B">
              <w:rPr>
                <w:rFonts w:ascii="Verdana" w:eastAsia="Calibri" w:hAnsi="Verdana" w:cs="Arial"/>
                <w:b/>
                <w:bCs/>
                <w:lang w:val="es-ES" w:eastAsia="es-ES"/>
              </w:rPr>
              <w:t xml:space="preserve"> </w:t>
            </w:r>
            <w:r w:rsidR="001E52DF" w:rsidRPr="00476E3B">
              <w:rPr>
                <w:rFonts w:ascii="Verdana" w:eastAsia="Calibri" w:hAnsi="Verdana" w:cs="Arial"/>
                <w:b/>
                <w:bCs/>
                <w:lang w:val="es-ES" w:eastAsia="es-ES"/>
              </w:rPr>
              <w:t>1013</w:t>
            </w:r>
            <w:r w:rsidRPr="00476E3B">
              <w:rPr>
                <w:rFonts w:ascii="Verdana" w:eastAsia="Calibri" w:hAnsi="Verdana" w:cs="Arial"/>
                <w:b/>
                <w:bCs/>
                <w:lang w:val="es-ES" w:eastAsia="es-ES"/>
              </w:rPr>
              <w:t xml:space="preserve"> de 2024</w:t>
            </w:r>
          </w:p>
        </w:tc>
      </w:tr>
      <w:tr w:rsidR="00B30448" w:rsidRPr="00EB1CF7" w14:paraId="52EC412F" w14:textId="77777777" w:rsidTr="000F1AD8">
        <w:trPr>
          <w:trHeight w:val="884"/>
        </w:trPr>
        <w:tc>
          <w:tcPr>
            <w:tcW w:w="2689" w:type="dxa"/>
          </w:tcPr>
          <w:p w14:paraId="752B683B" w14:textId="77777777" w:rsidR="00B30448" w:rsidRPr="00EB1CF7" w:rsidRDefault="00B30448" w:rsidP="00CE37A3">
            <w:pPr>
              <w:jc w:val="both"/>
              <w:rPr>
                <w:rFonts w:ascii="Verdana" w:eastAsia="Calibri" w:hAnsi="Verdana" w:cs="Arial"/>
                <w:color w:val="000000"/>
                <w:lang w:val="es-ES_tradnl" w:eastAsia="es-ES_tradnl"/>
              </w:rPr>
            </w:pPr>
            <w:r w:rsidRPr="00EB1CF7">
              <w:rPr>
                <w:rFonts w:ascii="Verdana" w:eastAsia="Calibri" w:hAnsi="Verdana" w:cs="Arial"/>
                <w:b/>
                <w:color w:val="000000"/>
                <w:lang w:val="es-ES_tradnl" w:eastAsia="es-ES_tradnl"/>
              </w:rPr>
              <w:t>Temas:</w:t>
            </w:r>
            <w:r w:rsidRPr="00EB1CF7">
              <w:rPr>
                <w:rFonts w:ascii="Verdana" w:eastAsia="Calibri" w:hAnsi="Verdana" w:cs="Arial"/>
                <w:color w:val="000000"/>
                <w:lang w:val="es-ES_tradnl" w:eastAsia="es-ES_tradnl"/>
              </w:rPr>
              <w:t xml:space="preserve">                   </w:t>
            </w:r>
          </w:p>
        </w:tc>
        <w:tc>
          <w:tcPr>
            <w:tcW w:w="6100" w:type="dxa"/>
          </w:tcPr>
          <w:p w14:paraId="513F84AD" w14:textId="52767B8B" w:rsidR="007B7B52" w:rsidRPr="00EB1CF7" w:rsidRDefault="00832D42" w:rsidP="007B7B52">
            <w:pPr>
              <w:jc w:val="both"/>
              <w:rPr>
                <w:rFonts w:ascii="Verdana" w:eastAsia="Calibri" w:hAnsi="Verdana" w:cs="Arial"/>
                <w:lang w:val="es-ES" w:eastAsia="es-ES"/>
              </w:rPr>
            </w:pPr>
            <w:r w:rsidRPr="00EB1CF7">
              <w:rPr>
                <w:rFonts w:ascii="Verdana" w:eastAsia="Calibri" w:hAnsi="Verdana" w:cs="Arial"/>
                <w:lang w:val="es-ES" w:eastAsia="es-ES"/>
              </w:rPr>
              <w:t xml:space="preserve">REQUISITOS HABILITANTES – Noción / REQUISITOS HABILITANTES – Carácter enunciativo / REQUISITOS HABILITANTES – Autonomía de la voluntad de las entidades estatales para establecerlos / SISTEMA DE GESTIÓN DE SEGURIDAD Y SALUD EN EL TRABAJO SG-SST - Contratos Estatales - Evaluación y selección de proveedores y contratistas </w:t>
            </w:r>
          </w:p>
          <w:p w14:paraId="1D4AA017" w14:textId="40062F78" w:rsidR="00D1484F" w:rsidRPr="00EB1CF7" w:rsidRDefault="00D1484F" w:rsidP="00D1484F">
            <w:pPr>
              <w:spacing w:line="276" w:lineRule="auto"/>
              <w:jc w:val="both"/>
              <w:rPr>
                <w:rFonts w:ascii="Verdana" w:eastAsia="Calibri" w:hAnsi="Verdana" w:cs="Arial"/>
                <w:lang w:val="es-ES" w:eastAsia="es-ES"/>
              </w:rPr>
            </w:pPr>
          </w:p>
        </w:tc>
      </w:tr>
      <w:tr w:rsidR="008E6AD9" w:rsidRPr="00EB1CF7" w14:paraId="496C9430" w14:textId="77777777" w:rsidTr="000F1AD8">
        <w:tc>
          <w:tcPr>
            <w:tcW w:w="2689" w:type="dxa"/>
          </w:tcPr>
          <w:p w14:paraId="4C8D9612" w14:textId="77777777" w:rsidR="00B30448" w:rsidRPr="00EB1CF7" w:rsidRDefault="00B30448" w:rsidP="00CE37A3">
            <w:pPr>
              <w:jc w:val="both"/>
              <w:rPr>
                <w:rFonts w:ascii="Verdana" w:eastAsia="Calibri" w:hAnsi="Verdana" w:cs="Arial"/>
                <w:b/>
                <w:lang w:val="es-ES_tradnl" w:eastAsia="es-ES_tradnl"/>
              </w:rPr>
            </w:pPr>
            <w:r w:rsidRPr="00EB1CF7">
              <w:rPr>
                <w:rFonts w:ascii="Verdana" w:eastAsia="Calibri" w:hAnsi="Verdana" w:cs="Arial"/>
                <w:b/>
                <w:lang w:val="es-ES_tradnl" w:eastAsia="es-ES_tradnl"/>
              </w:rPr>
              <w:t>Radicación:</w:t>
            </w:r>
            <w:r w:rsidRPr="00EB1CF7">
              <w:rPr>
                <w:rFonts w:ascii="Verdana" w:eastAsia="Calibri" w:hAnsi="Verdana" w:cs="Arial"/>
                <w:lang w:val="es-ES_tradnl" w:eastAsia="es-ES_tradnl"/>
              </w:rPr>
              <w:t xml:space="preserve">               </w:t>
            </w:r>
          </w:p>
        </w:tc>
        <w:tc>
          <w:tcPr>
            <w:tcW w:w="6100" w:type="dxa"/>
          </w:tcPr>
          <w:p w14:paraId="6EC2FCE3" w14:textId="1244BB69" w:rsidR="00B30448" w:rsidRPr="00EB1CF7" w:rsidRDefault="00B30448" w:rsidP="00CE37A3">
            <w:pPr>
              <w:jc w:val="both"/>
              <w:rPr>
                <w:rFonts w:ascii="Verdana" w:eastAsia="Calibri" w:hAnsi="Verdana" w:cs="Arial"/>
                <w:lang w:eastAsia="es-ES_tradnl"/>
              </w:rPr>
            </w:pPr>
            <w:r w:rsidRPr="00EB1CF7">
              <w:rPr>
                <w:rFonts w:ascii="Verdana" w:eastAsia="Calibri" w:hAnsi="Verdana" w:cs="Arial"/>
                <w:lang w:val="es-ES_tradnl" w:eastAsia="es-ES_tradnl"/>
              </w:rPr>
              <w:t xml:space="preserve">Respuesta a </w:t>
            </w:r>
            <w:r w:rsidR="00B71607" w:rsidRPr="00EB1CF7">
              <w:rPr>
                <w:rFonts w:ascii="Verdana" w:eastAsia="Calibri" w:hAnsi="Verdana" w:cs="Arial"/>
                <w:lang w:val="es-ES_tradnl" w:eastAsia="es-ES_tradnl"/>
              </w:rPr>
              <w:t xml:space="preserve">la </w:t>
            </w:r>
            <w:r w:rsidRPr="00EB1CF7">
              <w:rPr>
                <w:rFonts w:ascii="Verdana" w:eastAsia="Calibri" w:hAnsi="Verdana" w:cs="Arial"/>
                <w:lang w:val="es-ES_tradnl" w:eastAsia="es-ES_tradnl"/>
              </w:rPr>
              <w:t>consulta</w:t>
            </w:r>
            <w:r w:rsidR="009A5453" w:rsidRPr="00EB1CF7">
              <w:rPr>
                <w:rFonts w:ascii="Verdana" w:eastAsia="Calibri" w:hAnsi="Verdana" w:cs="Arial"/>
                <w:lang w:val="es-ES_tradnl" w:eastAsia="es-ES_tradnl"/>
              </w:rPr>
              <w:t xml:space="preserve"> con radicado No.</w:t>
            </w:r>
            <w:r w:rsidRPr="00EB1CF7">
              <w:rPr>
                <w:rFonts w:ascii="Verdana" w:eastAsia="Calibri" w:hAnsi="Verdana" w:cs="Arial"/>
                <w:lang w:val="es-ES_tradnl" w:eastAsia="es-ES_tradnl"/>
              </w:rPr>
              <w:t xml:space="preserve"> </w:t>
            </w:r>
            <w:r w:rsidR="008E6AD9" w:rsidRPr="00EB1CF7">
              <w:rPr>
                <w:rFonts w:ascii="Verdana" w:eastAsia="Calibri" w:hAnsi="Verdana" w:cs="Arial"/>
                <w:lang w:val="es-ES_tradnl" w:eastAsia="es-ES_tradnl"/>
              </w:rPr>
              <w:t xml:space="preserve"> </w:t>
            </w:r>
            <w:r w:rsidR="001E52DF" w:rsidRPr="001E52DF">
              <w:rPr>
                <w:rFonts w:ascii="Verdana" w:eastAsia="Calibri" w:hAnsi="Verdana" w:cs="Arial"/>
                <w:lang w:val="es-ES_tradnl" w:eastAsia="es-ES_tradnl"/>
              </w:rPr>
              <w:t>P20241213012509</w:t>
            </w:r>
            <w:r w:rsidR="008E6AD9" w:rsidRPr="00EB1CF7">
              <w:rPr>
                <w:rFonts w:ascii="Verdana" w:eastAsia="Calibri" w:hAnsi="Verdana" w:cs="Arial"/>
                <w:lang w:val="es-ES_tradnl" w:eastAsia="es-ES_tradnl"/>
              </w:rPr>
              <w:t xml:space="preserve">                                  </w:t>
            </w:r>
          </w:p>
        </w:tc>
      </w:tr>
    </w:tbl>
    <w:p w14:paraId="657DDBDD" w14:textId="77777777" w:rsidR="00B30448" w:rsidRPr="00EB1CF7" w:rsidRDefault="00B30448" w:rsidP="00CE37A3">
      <w:pPr>
        <w:spacing w:after="0" w:line="240" w:lineRule="auto"/>
        <w:jc w:val="both"/>
        <w:rPr>
          <w:rFonts w:ascii="Verdana" w:eastAsia="Calibri" w:hAnsi="Verdana" w:cs="Arial"/>
          <w:color w:val="000000"/>
          <w:lang w:val="es-ES_tradnl" w:eastAsia="es-ES_tradnl"/>
        </w:rPr>
      </w:pPr>
    </w:p>
    <w:p w14:paraId="286892BD" w14:textId="77777777" w:rsidR="00B30448" w:rsidRPr="00EB1CF7" w:rsidRDefault="00B30448" w:rsidP="00CE37A3">
      <w:pPr>
        <w:spacing w:after="0" w:line="240" w:lineRule="auto"/>
        <w:jc w:val="both"/>
        <w:rPr>
          <w:rFonts w:ascii="Verdana" w:eastAsia="Calibri" w:hAnsi="Verdana" w:cs="Arial"/>
          <w:color w:val="000000"/>
          <w:lang w:val="es-ES_tradnl" w:eastAsia="es-ES_tradnl"/>
        </w:rPr>
      </w:pPr>
    </w:p>
    <w:p w14:paraId="4ED23440" w14:textId="2581CE95" w:rsidR="00B30448" w:rsidRPr="00EB1CF7" w:rsidRDefault="00B30448" w:rsidP="00E84D1C">
      <w:pPr>
        <w:spacing w:after="0" w:line="276" w:lineRule="auto"/>
        <w:jc w:val="both"/>
        <w:rPr>
          <w:rFonts w:ascii="Verdana" w:eastAsia="Calibri" w:hAnsi="Verdana" w:cs="Arial"/>
          <w:lang w:val="es-ES" w:eastAsia="es-ES"/>
        </w:rPr>
      </w:pPr>
      <w:r w:rsidRPr="00EB1CF7">
        <w:rPr>
          <w:rFonts w:ascii="Verdana" w:eastAsia="Calibri" w:hAnsi="Verdana" w:cs="Arial"/>
          <w:lang w:val="es-ES" w:eastAsia="es-ES"/>
        </w:rPr>
        <w:t>Estimad</w:t>
      </w:r>
      <w:r w:rsidR="001E52DF">
        <w:rPr>
          <w:rFonts w:ascii="Verdana" w:eastAsia="Calibri" w:hAnsi="Verdana" w:cs="Arial"/>
          <w:lang w:val="es-ES" w:eastAsia="es-ES"/>
        </w:rPr>
        <w:t xml:space="preserve">a </w:t>
      </w:r>
      <w:r w:rsidRPr="00EB1CF7">
        <w:rPr>
          <w:rFonts w:ascii="Verdana" w:eastAsia="Calibri" w:hAnsi="Verdana" w:cs="Arial"/>
          <w:lang w:val="es-ES" w:eastAsia="es-ES"/>
        </w:rPr>
        <w:t>señor</w:t>
      </w:r>
      <w:r w:rsidR="001E52DF">
        <w:rPr>
          <w:rFonts w:ascii="Verdana" w:eastAsia="Calibri" w:hAnsi="Verdana" w:cs="Arial"/>
          <w:lang w:val="es-ES" w:eastAsia="es-ES"/>
        </w:rPr>
        <w:t>a</w:t>
      </w:r>
      <w:r w:rsidR="00270443" w:rsidRPr="00EB1CF7">
        <w:rPr>
          <w:rFonts w:ascii="Verdana" w:eastAsia="Calibri" w:hAnsi="Verdana" w:cs="Arial"/>
          <w:lang w:val="es-ES" w:eastAsia="es-ES"/>
        </w:rPr>
        <w:t xml:space="preserve"> </w:t>
      </w:r>
      <w:r w:rsidR="001E52DF">
        <w:rPr>
          <w:rFonts w:ascii="Verdana" w:eastAsia="Calibri" w:hAnsi="Verdana" w:cs="Arial"/>
          <w:lang w:val="es-ES" w:eastAsia="es-ES"/>
        </w:rPr>
        <w:t>Sanchez Sanabria</w:t>
      </w:r>
      <w:r w:rsidRPr="00EB1CF7">
        <w:rPr>
          <w:rFonts w:ascii="Verdana" w:eastAsia="Calibri" w:hAnsi="Verdana" w:cs="Arial"/>
          <w:lang w:val="es-ES" w:eastAsia="es-ES"/>
        </w:rPr>
        <w:t xml:space="preserve">: </w:t>
      </w:r>
    </w:p>
    <w:p w14:paraId="47D52CB6" w14:textId="28FC249B" w:rsidR="0013343F" w:rsidRPr="00EB1CF7" w:rsidRDefault="00631D4F" w:rsidP="00631D4F">
      <w:pPr>
        <w:tabs>
          <w:tab w:val="left" w:pos="3768"/>
        </w:tabs>
        <w:spacing w:after="0" w:line="276" w:lineRule="auto"/>
        <w:jc w:val="both"/>
        <w:rPr>
          <w:rFonts w:ascii="Verdana" w:eastAsia="Calibri" w:hAnsi="Verdana" w:cs="Arial"/>
          <w:color w:val="000000" w:themeColor="text1"/>
          <w:lang w:val="es-ES" w:eastAsia="es-ES"/>
        </w:rPr>
      </w:pPr>
      <w:r w:rsidRPr="00EB1CF7">
        <w:rPr>
          <w:rFonts w:ascii="Verdana" w:eastAsia="Calibri" w:hAnsi="Verdana" w:cs="Arial"/>
          <w:color w:val="000000" w:themeColor="text1"/>
          <w:lang w:val="es-ES" w:eastAsia="es-ES"/>
        </w:rPr>
        <w:tab/>
      </w:r>
    </w:p>
    <w:p w14:paraId="7A40824C" w14:textId="7C8A3F87" w:rsidR="009442E8" w:rsidRPr="00EB1CF7" w:rsidRDefault="00B30448" w:rsidP="00E84D1C">
      <w:pPr>
        <w:spacing w:after="0" w:line="276" w:lineRule="auto"/>
        <w:jc w:val="both"/>
        <w:rPr>
          <w:rFonts w:ascii="Verdana" w:eastAsia="Calibri" w:hAnsi="Verdana" w:cs="Arial"/>
          <w:color w:val="7030A0"/>
          <w:lang w:val="es-ES" w:eastAsia="es-ES"/>
        </w:rPr>
      </w:pPr>
      <w:r w:rsidRPr="00EB1CF7">
        <w:rPr>
          <w:rFonts w:ascii="Verdana" w:eastAsia="Calibri" w:hAnsi="Verdana" w:cs="Arial"/>
          <w:color w:val="000000" w:themeColor="text1"/>
          <w:lang w:val="es-ES" w:eastAsia="es-ES"/>
        </w:rPr>
        <w:t xml:space="preserve">En ejercicio de la competencia otorgada por </w:t>
      </w:r>
      <w:r w:rsidR="009A5453" w:rsidRPr="00EB1CF7">
        <w:rPr>
          <w:rFonts w:ascii="Verdana" w:eastAsia="Calibri" w:hAnsi="Verdana" w:cs="Arial"/>
          <w:color w:val="000000" w:themeColor="text1"/>
          <w:lang w:val="es-ES" w:eastAsia="es-ES"/>
        </w:rPr>
        <w:t>los artículo</w:t>
      </w:r>
      <w:r w:rsidR="00AB1984" w:rsidRPr="00EB1CF7">
        <w:rPr>
          <w:rFonts w:ascii="Verdana" w:eastAsia="Calibri" w:hAnsi="Verdana" w:cs="Arial"/>
          <w:color w:val="000000" w:themeColor="text1"/>
          <w:lang w:val="es-ES" w:eastAsia="es-ES"/>
        </w:rPr>
        <w:t>s</w:t>
      </w:r>
      <w:r w:rsidR="009A5453" w:rsidRPr="00EB1CF7">
        <w:rPr>
          <w:rFonts w:ascii="Verdana" w:eastAsia="Calibri" w:hAnsi="Verdana" w:cs="Arial"/>
          <w:color w:val="000000" w:themeColor="text1"/>
          <w:lang w:val="es-ES" w:eastAsia="es-ES"/>
        </w:rPr>
        <w:t xml:space="preserve"> 3,</w:t>
      </w:r>
      <w:r w:rsidRPr="00EB1CF7">
        <w:rPr>
          <w:rFonts w:ascii="Verdana" w:eastAsia="Calibri" w:hAnsi="Verdana" w:cs="Arial"/>
          <w:color w:val="000000" w:themeColor="text1"/>
          <w:lang w:val="es-ES" w:eastAsia="es-ES"/>
        </w:rPr>
        <w:t xml:space="preserve"> numeral </w:t>
      </w:r>
      <w:r w:rsidR="009A5453" w:rsidRPr="00EB1CF7">
        <w:rPr>
          <w:rFonts w:ascii="Verdana" w:eastAsia="Calibri" w:hAnsi="Verdana" w:cs="Arial"/>
          <w:color w:val="000000" w:themeColor="text1"/>
          <w:lang w:val="es-ES" w:eastAsia="es-ES"/>
        </w:rPr>
        <w:t>5</w:t>
      </w:r>
      <w:r w:rsidR="00215516" w:rsidRPr="00EB1CF7">
        <w:rPr>
          <w:rFonts w:ascii="Verdana" w:eastAsia="Calibri" w:hAnsi="Verdana" w:cs="Arial"/>
          <w:color w:val="000000" w:themeColor="text1"/>
          <w:lang w:val="es-ES" w:eastAsia="es-ES"/>
        </w:rPr>
        <w:t>º</w:t>
      </w:r>
      <w:r w:rsidR="00F64D5A" w:rsidRPr="00EB1CF7">
        <w:rPr>
          <w:rFonts w:ascii="Verdana" w:eastAsia="Calibri" w:hAnsi="Verdana" w:cs="Arial"/>
          <w:color w:val="000000" w:themeColor="text1"/>
          <w:lang w:val="es-ES" w:eastAsia="es-ES"/>
        </w:rPr>
        <w:t>,</w:t>
      </w:r>
      <w:r w:rsidRPr="00EB1CF7">
        <w:rPr>
          <w:rFonts w:ascii="Verdana" w:eastAsia="Calibri" w:hAnsi="Verdana" w:cs="Arial"/>
          <w:color w:val="000000" w:themeColor="text1"/>
          <w:lang w:val="es-ES" w:eastAsia="es-ES"/>
        </w:rPr>
        <w:t xml:space="preserve"> </w:t>
      </w:r>
      <w:r w:rsidR="009A5453" w:rsidRPr="00EB1CF7">
        <w:rPr>
          <w:rFonts w:ascii="Verdana" w:eastAsia="Calibri" w:hAnsi="Verdana" w:cs="Arial"/>
          <w:color w:val="000000" w:themeColor="text1"/>
          <w:lang w:val="es-ES" w:eastAsia="es-ES"/>
        </w:rPr>
        <w:t>y</w:t>
      </w:r>
      <w:r w:rsidRPr="00EB1CF7">
        <w:rPr>
          <w:rFonts w:ascii="Verdana" w:eastAsia="Calibri" w:hAnsi="Verdana" w:cs="Arial"/>
          <w:color w:val="000000" w:themeColor="text1"/>
          <w:lang w:val="es-ES" w:eastAsia="es-ES"/>
        </w:rPr>
        <w:t xml:space="preserve"> 11</w:t>
      </w:r>
      <w:r w:rsidR="00F64D5A" w:rsidRPr="00EB1CF7">
        <w:rPr>
          <w:rFonts w:ascii="Verdana" w:eastAsia="Calibri" w:hAnsi="Verdana" w:cs="Arial"/>
          <w:color w:val="000000" w:themeColor="text1"/>
          <w:lang w:val="es-ES" w:eastAsia="es-ES"/>
        </w:rPr>
        <w:t>,</w:t>
      </w:r>
      <w:r w:rsidR="00AB1984" w:rsidRPr="00EB1CF7">
        <w:rPr>
          <w:rFonts w:ascii="Verdana" w:eastAsia="Calibri" w:hAnsi="Verdana" w:cs="Arial"/>
          <w:color w:val="000000" w:themeColor="text1"/>
          <w:lang w:val="es-ES" w:eastAsia="es-ES"/>
        </w:rPr>
        <w:t xml:space="preserve"> </w:t>
      </w:r>
      <w:r w:rsidRPr="00EB1CF7">
        <w:rPr>
          <w:rFonts w:ascii="Verdana" w:eastAsia="Calibri" w:hAnsi="Verdana" w:cs="Arial"/>
          <w:color w:val="000000" w:themeColor="text1"/>
          <w:lang w:val="es-ES" w:eastAsia="es-ES"/>
        </w:rPr>
        <w:t xml:space="preserve">numeral </w:t>
      </w:r>
      <w:r w:rsidR="00AB1984" w:rsidRPr="00EB1CF7">
        <w:rPr>
          <w:rFonts w:ascii="Verdana" w:eastAsia="Calibri" w:hAnsi="Verdana" w:cs="Arial"/>
          <w:color w:val="000000" w:themeColor="text1"/>
          <w:lang w:val="es-ES" w:eastAsia="es-ES"/>
        </w:rPr>
        <w:t>8</w:t>
      </w:r>
      <w:r w:rsidR="00215516" w:rsidRPr="00EB1CF7">
        <w:rPr>
          <w:rFonts w:ascii="Verdana" w:eastAsia="Calibri" w:hAnsi="Verdana" w:cs="Arial"/>
          <w:color w:val="000000" w:themeColor="text1"/>
          <w:lang w:val="es-ES" w:eastAsia="es-ES"/>
        </w:rPr>
        <w:t>º</w:t>
      </w:r>
      <w:r w:rsidR="00F64D5A" w:rsidRPr="00EB1CF7">
        <w:rPr>
          <w:rFonts w:ascii="Verdana" w:eastAsia="Calibri" w:hAnsi="Verdana" w:cs="Arial"/>
          <w:color w:val="000000" w:themeColor="text1"/>
          <w:lang w:val="es-ES" w:eastAsia="es-ES"/>
        </w:rPr>
        <w:t>,</w:t>
      </w:r>
      <w:r w:rsidRPr="00EB1CF7">
        <w:rPr>
          <w:rFonts w:ascii="Verdana" w:eastAsia="Calibri" w:hAnsi="Verdana" w:cs="Arial"/>
          <w:color w:val="000000" w:themeColor="text1"/>
          <w:lang w:val="es-ES" w:eastAsia="es-ES"/>
        </w:rPr>
        <w:t xml:space="preserve"> del Decreto Ley 4170 de 2011,</w:t>
      </w:r>
      <w:r w:rsidRPr="00EB1CF7">
        <w:rPr>
          <w:rFonts w:ascii="Verdana" w:eastAsia="Arial MT" w:hAnsi="Verdana" w:cs="Arial MT"/>
          <w:lang w:val="es-ES" w:eastAsia="es-ES"/>
        </w:rPr>
        <w:t xml:space="preserve"> </w:t>
      </w:r>
      <w:r w:rsidR="002A0F8D" w:rsidRPr="00EB1CF7">
        <w:rPr>
          <w:rFonts w:ascii="Verdana" w:hAnsi="Verdana" w:cs="Arial"/>
        </w:rPr>
        <w:t xml:space="preserve">así como lo establecido en </w:t>
      </w:r>
      <w:r w:rsidR="00DC2C48" w:rsidRPr="00EB1CF7">
        <w:rPr>
          <w:rFonts w:ascii="Verdana" w:hAnsi="Verdana" w:cs="Arial"/>
        </w:rPr>
        <w:t xml:space="preserve">el artículo 4 de </w:t>
      </w:r>
      <w:r w:rsidR="002A0F8D" w:rsidRPr="00EB1CF7">
        <w:rPr>
          <w:rFonts w:ascii="Verdana" w:hAnsi="Verdana" w:cs="Arial"/>
        </w:rPr>
        <w:t xml:space="preserve">la Resolución 1707 de 2018 expedida por esta Entidad, </w:t>
      </w:r>
      <w:r w:rsidRPr="00EB1CF7">
        <w:rPr>
          <w:rFonts w:ascii="Verdana" w:eastAsia="Calibri" w:hAnsi="Verdana" w:cs="Arial"/>
          <w:color w:val="000000" w:themeColor="text1"/>
          <w:lang w:val="es-ES" w:eastAsia="es-ES"/>
        </w:rPr>
        <w:t xml:space="preserve">la Agencia Nacional de Contratación Pública – Colombia Compra Eficiente responde su solicitud </w:t>
      </w:r>
      <w:r w:rsidR="001E52DF">
        <w:rPr>
          <w:rFonts w:ascii="Verdana" w:eastAsia="Calibri" w:hAnsi="Verdana" w:cs="Arial"/>
          <w:color w:val="000000" w:themeColor="text1"/>
          <w:lang w:val="es-ES" w:eastAsia="es-ES"/>
        </w:rPr>
        <w:lastRenderedPageBreak/>
        <w:t>traslada por competencia por el Departamento Administrativo del Servicio Civil el 13</w:t>
      </w:r>
      <w:r w:rsidR="00772B41" w:rsidRPr="00EB1CF7">
        <w:rPr>
          <w:rFonts w:ascii="Verdana" w:eastAsia="Calibri" w:hAnsi="Verdana" w:cs="Arial"/>
          <w:lang w:val="es-ES" w:eastAsia="es-ES"/>
        </w:rPr>
        <w:t xml:space="preserve"> de </w:t>
      </w:r>
      <w:r w:rsidR="001E52DF">
        <w:rPr>
          <w:rFonts w:ascii="Verdana" w:eastAsia="Calibri" w:hAnsi="Verdana" w:cs="Arial"/>
          <w:lang w:val="es-ES" w:eastAsia="es-ES"/>
        </w:rPr>
        <w:t>diciembre</w:t>
      </w:r>
      <w:r w:rsidRPr="00EB1CF7">
        <w:rPr>
          <w:rFonts w:ascii="Verdana" w:eastAsia="Calibri" w:hAnsi="Verdana" w:cs="Arial"/>
          <w:lang w:val="es-ES" w:eastAsia="es-ES"/>
        </w:rPr>
        <w:t xml:space="preserve"> de 20</w:t>
      </w:r>
      <w:r w:rsidR="008E6AD9" w:rsidRPr="00EB1CF7">
        <w:rPr>
          <w:rFonts w:ascii="Verdana" w:eastAsia="Calibri" w:hAnsi="Verdana" w:cs="Arial"/>
          <w:lang w:val="es-ES" w:eastAsia="es-ES"/>
        </w:rPr>
        <w:t>24</w:t>
      </w:r>
      <w:r w:rsidR="00057963" w:rsidRPr="00EB1CF7">
        <w:rPr>
          <w:rFonts w:ascii="Verdana" w:eastAsia="Calibri" w:hAnsi="Verdana" w:cs="Arial"/>
          <w:lang w:val="es-ES" w:eastAsia="es-ES"/>
        </w:rPr>
        <w:t>,</w:t>
      </w:r>
      <w:r w:rsidR="00772B41" w:rsidRPr="00EB1CF7">
        <w:rPr>
          <w:rFonts w:ascii="Verdana" w:eastAsia="Calibri" w:hAnsi="Verdana" w:cs="Arial"/>
          <w:lang w:val="es-ES" w:eastAsia="es-ES"/>
        </w:rPr>
        <w:t xml:space="preserve"> </w:t>
      </w:r>
      <w:r w:rsidR="00057963" w:rsidRPr="00EB1CF7">
        <w:rPr>
          <w:rFonts w:ascii="Verdana" w:eastAsia="Calibri" w:hAnsi="Verdana" w:cs="Arial"/>
          <w:lang w:val="es-ES" w:eastAsia="es-ES"/>
        </w:rPr>
        <w:t>en la cua</w:t>
      </w:r>
      <w:r w:rsidR="008E6AD9" w:rsidRPr="00EB1CF7">
        <w:rPr>
          <w:rFonts w:ascii="Verdana" w:eastAsia="Calibri" w:hAnsi="Verdana" w:cs="Arial"/>
          <w:lang w:val="es-ES" w:eastAsia="es-ES"/>
        </w:rPr>
        <w:t xml:space="preserve">l </w:t>
      </w:r>
      <w:r w:rsidR="001E52DF">
        <w:rPr>
          <w:rFonts w:ascii="Verdana" w:eastAsia="Calibri" w:hAnsi="Verdana" w:cs="Arial"/>
          <w:lang w:val="es-ES" w:eastAsia="es-ES"/>
        </w:rPr>
        <w:t xml:space="preserve">consulta </w:t>
      </w:r>
      <w:r w:rsidR="00F535A9" w:rsidRPr="00EB1CF7">
        <w:rPr>
          <w:rFonts w:ascii="Verdana" w:eastAsia="Calibri" w:hAnsi="Verdana" w:cs="Arial"/>
          <w:lang w:val="es-ES" w:eastAsia="es-ES"/>
        </w:rPr>
        <w:t>sobre</w:t>
      </w:r>
      <w:r w:rsidR="006021B1" w:rsidRPr="00EB1CF7">
        <w:rPr>
          <w:rFonts w:ascii="Verdana" w:eastAsia="Calibri" w:hAnsi="Verdana" w:cs="Arial"/>
          <w:lang w:val="es-ES" w:eastAsia="es-ES"/>
        </w:rPr>
        <w:t xml:space="preserve"> lo siguiente</w:t>
      </w:r>
      <w:r w:rsidR="00057963" w:rsidRPr="00EB1CF7">
        <w:rPr>
          <w:rFonts w:ascii="Verdana" w:eastAsia="Calibri" w:hAnsi="Verdana" w:cs="Arial"/>
          <w:lang w:val="es-ES" w:eastAsia="es-ES"/>
        </w:rPr>
        <w:t xml:space="preserve">: </w:t>
      </w:r>
    </w:p>
    <w:p w14:paraId="38A0ECFE" w14:textId="24979823" w:rsidR="00057963" w:rsidRPr="00EB1CF7" w:rsidRDefault="00057963"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3E6C4F0C" w14:textId="77777777" w:rsidR="001E52DF" w:rsidRDefault="00FC6D4E" w:rsidP="00C533A0">
      <w:pPr>
        <w:spacing w:after="0" w:line="240" w:lineRule="auto"/>
        <w:ind w:left="709" w:right="709"/>
        <w:jc w:val="both"/>
        <w:rPr>
          <w:rFonts w:ascii="Verdana" w:eastAsia="Century Gothic" w:hAnsi="Verdana" w:cs="Century Gothic"/>
          <w:i/>
          <w:iCs/>
          <w:sz w:val="21"/>
          <w:szCs w:val="21"/>
        </w:rPr>
      </w:pPr>
      <w:bookmarkStart w:id="1" w:name="_Hlk95313578"/>
      <w:r w:rsidRPr="00EB1CF7">
        <w:rPr>
          <w:rFonts w:ascii="Verdana" w:eastAsia="Century Gothic" w:hAnsi="Verdana" w:cs="Century Gothic"/>
          <w:i/>
          <w:iCs/>
          <w:sz w:val="21"/>
          <w:szCs w:val="21"/>
          <w:lang w:val="es-ES"/>
        </w:rPr>
        <w:t>“</w:t>
      </w:r>
      <w:bookmarkEnd w:id="1"/>
      <w:r w:rsidR="00C533A0" w:rsidRPr="00EB1CF7">
        <w:rPr>
          <w:rFonts w:ascii="Verdana" w:eastAsia="Century Gothic" w:hAnsi="Verdana" w:cs="Century Gothic"/>
          <w:i/>
          <w:iCs/>
          <w:sz w:val="21"/>
          <w:szCs w:val="21"/>
          <w:lang w:val="es-ES"/>
        </w:rPr>
        <w:t xml:space="preserve">(…) </w:t>
      </w:r>
      <w:r w:rsidR="001E52DF" w:rsidRPr="001E52DF">
        <w:rPr>
          <w:rFonts w:ascii="Verdana" w:eastAsia="Century Gothic" w:hAnsi="Verdana" w:cs="Century Gothic"/>
          <w:i/>
          <w:iCs/>
          <w:sz w:val="21"/>
          <w:szCs w:val="21"/>
        </w:rPr>
        <w:t xml:space="preserve">orientación sobre el cumplimiento de dos aspectos específicos establecidos en el Decreto 1072 de 2015 y la Resolución 0312 de 2019 expedida por el Ministerio de Trabajo: </w:t>
      </w:r>
    </w:p>
    <w:p w14:paraId="043184AE" w14:textId="77777777" w:rsidR="001E52DF" w:rsidRDefault="001E52DF" w:rsidP="00C533A0">
      <w:pPr>
        <w:spacing w:after="0" w:line="240" w:lineRule="auto"/>
        <w:ind w:left="709" w:right="709"/>
        <w:jc w:val="both"/>
        <w:rPr>
          <w:rFonts w:ascii="Verdana" w:eastAsia="Century Gothic" w:hAnsi="Verdana" w:cs="Century Gothic"/>
          <w:i/>
          <w:iCs/>
          <w:sz w:val="21"/>
          <w:szCs w:val="21"/>
        </w:rPr>
      </w:pPr>
      <w:r w:rsidRPr="001E52DF">
        <w:rPr>
          <w:rFonts w:ascii="Verdana" w:eastAsia="Century Gothic" w:hAnsi="Verdana" w:cs="Century Gothic"/>
          <w:i/>
          <w:iCs/>
          <w:sz w:val="21"/>
          <w:szCs w:val="21"/>
        </w:rPr>
        <w:t xml:space="preserve">1. Verificación de especificaciones en SST para compras y adquisiciones: Cuáles son los lineamientos o buenas prácticas, que se requieren para verificar la existencia de un procedimiento que garantice la identificación y evaluación de las especificaciones en materia de SST en la adquisición de productos y servicios, así como la metodología para demostrar su cumplimiento. </w:t>
      </w:r>
    </w:p>
    <w:p w14:paraId="0AC299D8" w14:textId="41856BFF" w:rsidR="00FC6D4E" w:rsidRPr="00EB1CF7" w:rsidRDefault="001E52DF" w:rsidP="001E52DF">
      <w:pPr>
        <w:spacing w:after="0" w:line="240" w:lineRule="auto"/>
        <w:ind w:left="709" w:right="709"/>
        <w:jc w:val="both"/>
        <w:rPr>
          <w:rFonts w:ascii="Verdana" w:eastAsia="Century Gothic" w:hAnsi="Verdana" w:cs="Century Gothic"/>
          <w:i/>
          <w:iCs/>
          <w:sz w:val="21"/>
          <w:szCs w:val="21"/>
        </w:rPr>
      </w:pPr>
      <w:r w:rsidRPr="001E52DF">
        <w:rPr>
          <w:rFonts w:ascii="Verdana" w:eastAsia="Century Gothic" w:hAnsi="Verdana" w:cs="Century Gothic"/>
          <w:i/>
          <w:iCs/>
          <w:sz w:val="21"/>
          <w:szCs w:val="21"/>
        </w:rPr>
        <w:t xml:space="preserve">2. Criterios de evaluación y selección de proveedores: Cuál es el documento o metodología que se debe elaborar y/o implementar en la EMB, para establecer los criterios relacionados con SST en los procesos de evaluación y selección de proveedores, conforme lo dispuesto en la normatividad </w:t>
      </w:r>
      <w:r>
        <w:rPr>
          <w:rFonts w:ascii="Verdana" w:eastAsia="Century Gothic" w:hAnsi="Verdana" w:cs="Century Gothic"/>
          <w:i/>
          <w:iCs/>
          <w:sz w:val="21"/>
          <w:szCs w:val="21"/>
        </w:rPr>
        <w:t>vigente</w:t>
      </w:r>
      <w:r w:rsidR="00497575" w:rsidRPr="00EB1CF7">
        <w:rPr>
          <w:rFonts w:ascii="Verdana" w:eastAsia="Century Gothic" w:hAnsi="Verdana" w:cs="Century Gothic"/>
          <w:i/>
          <w:iCs/>
          <w:sz w:val="21"/>
          <w:szCs w:val="21"/>
          <w:lang w:val="es-ES"/>
        </w:rPr>
        <w:t>”</w:t>
      </w:r>
      <w:r w:rsidR="00FC6D4E" w:rsidRPr="00EB1CF7">
        <w:rPr>
          <w:rFonts w:ascii="Verdana" w:eastAsia="Century Gothic" w:hAnsi="Verdana" w:cs="Century Gothic"/>
          <w:i/>
          <w:iCs/>
          <w:sz w:val="21"/>
          <w:szCs w:val="21"/>
          <w:lang w:val="es-ES"/>
        </w:rPr>
        <w:t>.</w:t>
      </w:r>
      <w:r w:rsidR="008F3AC3" w:rsidRPr="00EB1CF7">
        <w:rPr>
          <w:rFonts w:ascii="Verdana" w:eastAsia="Century Gothic" w:hAnsi="Verdana" w:cs="Century Gothic"/>
          <w:i/>
          <w:iCs/>
          <w:sz w:val="20"/>
          <w:szCs w:val="20"/>
          <w:lang w:val="es-ES"/>
        </w:rPr>
        <w:t xml:space="preserve"> </w:t>
      </w:r>
    </w:p>
    <w:p w14:paraId="4001D734" w14:textId="527E7727" w:rsidR="00FC6D4E" w:rsidRPr="00EB1CF7" w:rsidRDefault="00FC6D4E" w:rsidP="00057963">
      <w:pPr>
        <w:pStyle w:val="Prrafodelista"/>
        <w:tabs>
          <w:tab w:val="left" w:pos="142"/>
          <w:tab w:val="left" w:pos="284"/>
        </w:tabs>
        <w:spacing w:line="276" w:lineRule="auto"/>
        <w:ind w:left="0"/>
        <w:jc w:val="both"/>
        <w:rPr>
          <w:rFonts w:ascii="Verdana" w:eastAsia="Century Gothic" w:hAnsi="Verdana" w:cs="Century Gothic"/>
          <w:b/>
          <w:bCs/>
          <w:sz w:val="22"/>
          <w:lang w:val="es-ES"/>
        </w:rPr>
      </w:pPr>
    </w:p>
    <w:p w14:paraId="4ACC697B" w14:textId="03ADFEDB" w:rsidR="00992986" w:rsidRPr="00EB1CF7" w:rsidRDefault="008F27E3" w:rsidP="00A652FF">
      <w:pPr>
        <w:spacing w:after="12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De manera preliminar</w:t>
      </w:r>
      <w:r w:rsidR="00FC6D4E" w:rsidRPr="00EB1CF7">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00FC6D4E" w:rsidRPr="00EB1CF7">
        <w:rPr>
          <w:rFonts w:ascii="Verdana" w:eastAsia="Calibri" w:hAnsi="Verdana" w:cs="Arial"/>
          <w:color w:val="000000"/>
          <w:szCs w:val="24"/>
          <w:lang w:val="es-ES_tradnl" w:eastAsia="es-ES_tradnl"/>
        </w:rPr>
        <w:tab/>
      </w:r>
    </w:p>
    <w:p w14:paraId="07856852" w14:textId="3C3CEEED" w:rsidR="00FC6D4E" w:rsidRPr="00EB1CF7" w:rsidRDefault="00FC6D4E" w:rsidP="001918F1">
      <w:pPr>
        <w:spacing w:after="0" w:line="276" w:lineRule="auto"/>
        <w:ind w:firstLine="709"/>
        <w:jc w:val="both"/>
        <w:rPr>
          <w:rFonts w:ascii="Verdana" w:eastAsia="Calibri" w:hAnsi="Verdana" w:cs="Arial"/>
          <w:color w:val="000000"/>
          <w:lang w:val="es-ES" w:eastAsia="es-ES"/>
        </w:rPr>
      </w:pPr>
      <w:r w:rsidRPr="00EB1CF7">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sidR="00992986" w:rsidRPr="00EB1CF7">
        <w:rPr>
          <w:rFonts w:ascii="Verdana" w:eastAsia="Calibri" w:hAnsi="Verdana" w:cs="Arial"/>
          <w:color w:val="000000"/>
          <w:lang w:val="es-ES" w:eastAsia="es-ES"/>
        </w:rPr>
        <w:t>s circunstancias</w:t>
      </w:r>
      <w:r w:rsidRPr="00EB1CF7">
        <w:rPr>
          <w:rFonts w:ascii="Verdana" w:eastAsia="Calibri" w:hAnsi="Verdana" w:cs="Arial"/>
          <w:color w:val="000000"/>
          <w:lang w:val="es-ES" w:eastAsia="es-ES"/>
        </w:rPr>
        <w:t xml:space="preserve"> particular</w:t>
      </w:r>
      <w:r w:rsidR="00992986" w:rsidRPr="00EB1CF7">
        <w:rPr>
          <w:rFonts w:ascii="Verdana" w:eastAsia="Calibri" w:hAnsi="Verdana" w:cs="Arial"/>
          <w:color w:val="000000"/>
          <w:lang w:val="es-ES" w:eastAsia="es-ES"/>
        </w:rPr>
        <w:t>es</w:t>
      </w:r>
      <w:r w:rsidRPr="00EB1CF7">
        <w:rPr>
          <w:rFonts w:ascii="Verdana" w:eastAsia="Calibri" w:hAnsi="Verdana" w:cs="Arial"/>
          <w:color w:val="000000"/>
          <w:lang w:val="es-ES" w:eastAsia="es-ES"/>
        </w:rPr>
        <w:t xml:space="preserve"> y concreta</w:t>
      </w:r>
      <w:r w:rsidR="00992986" w:rsidRPr="00EB1CF7">
        <w:rPr>
          <w:rFonts w:ascii="Verdana" w:eastAsia="Calibri" w:hAnsi="Verdana" w:cs="Arial"/>
          <w:color w:val="000000"/>
          <w:lang w:val="es-ES" w:eastAsia="es-ES"/>
        </w:rPr>
        <w:t>s</w:t>
      </w:r>
      <w:r w:rsidRPr="00EB1CF7">
        <w:rPr>
          <w:rFonts w:ascii="Verdana" w:eastAsia="Calibri" w:hAnsi="Verdana" w:cs="Arial"/>
          <w:color w:val="000000"/>
          <w:lang w:val="es-ES" w:eastAsia="es-ES"/>
        </w:rPr>
        <w:t xml:space="preserve"> mencionada</w:t>
      </w:r>
      <w:r w:rsidR="00992986" w:rsidRPr="00EB1CF7">
        <w:rPr>
          <w:rFonts w:ascii="Verdana" w:eastAsia="Calibri" w:hAnsi="Verdana" w:cs="Arial"/>
          <w:color w:val="000000"/>
          <w:lang w:val="es-ES" w:eastAsia="es-ES"/>
        </w:rPr>
        <w:t>s</w:t>
      </w:r>
      <w:r w:rsidRPr="00EB1CF7">
        <w:rPr>
          <w:rFonts w:ascii="Verdana" w:eastAsia="Calibri" w:hAnsi="Verdana" w:cs="Arial"/>
          <w:color w:val="000000"/>
          <w:lang w:val="es-ES" w:eastAsia="es-ES"/>
        </w:rPr>
        <w:t xml:space="preserve"> en </w:t>
      </w:r>
      <w:r w:rsidR="00C638A6" w:rsidRPr="00EB1CF7">
        <w:rPr>
          <w:rFonts w:ascii="Verdana" w:eastAsia="Calibri" w:hAnsi="Verdana" w:cs="Arial"/>
          <w:color w:val="000000"/>
          <w:lang w:val="es-ES" w:eastAsia="es-ES"/>
        </w:rPr>
        <w:t>la</w:t>
      </w:r>
      <w:r w:rsidR="00D76E76" w:rsidRPr="00EB1CF7">
        <w:rPr>
          <w:rFonts w:ascii="Verdana" w:eastAsia="Calibri" w:hAnsi="Verdana" w:cs="Arial"/>
          <w:color w:val="000000"/>
          <w:lang w:val="es-ES" w:eastAsia="es-ES"/>
        </w:rPr>
        <w:t xml:space="preserve">s </w:t>
      </w:r>
      <w:r w:rsidR="00C638A6" w:rsidRPr="00EB1CF7">
        <w:rPr>
          <w:rFonts w:ascii="Verdana" w:eastAsia="Calibri" w:hAnsi="Verdana" w:cs="Arial"/>
          <w:color w:val="000000"/>
          <w:lang w:val="es-ES" w:eastAsia="es-ES"/>
        </w:rPr>
        <w:t>pregunta</w:t>
      </w:r>
      <w:r w:rsidR="00D76E76" w:rsidRPr="00EB1CF7">
        <w:rPr>
          <w:rFonts w:ascii="Verdana" w:eastAsia="Calibri" w:hAnsi="Verdana" w:cs="Arial"/>
          <w:color w:val="000000"/>
          <w:lang w:val="es-ES" w:eastAsia="es-ES"/>
        </w:rPr>
        <w:t>s</w:t>
      </w:r>
      <w:r w:rsidR="00C638A6" w:rsidRPr="00EB1CF7">
        <w:rPr>
          <w:rFonts w:ascii="Verdana" w:eastAsia="Calibri" w:hAnsi="Verdana" w:cs="Arial"/>
          <w:color w:val="000000"/>
          <w:lang w:val="es-ES" w:eastAsia="es-ES"/>
        </w:rPr>
        <w:t xml:space="preserve"> de la</w:t>
      </w:r>
      <w:r w:rsidRPr="00EB1CF7">
        <w:rPr>
          <w:rFonts w:ascii="Verdana" w:eastAsia="Calibri" w:hAnsi="Verdana" w:cs="Arial"/>
          <w:color w:val="000000"/>
          <w:lang w:val="es-ES" w:eastAsia="es-ES"/>
        </w:rPr>
        <w:t xml:space="preserve"> petición, pero haciendo unas consideraciones sobre las normas generales relacionadas con </w:t>
      </w:r>
      <w:r w:rsidR="00A513FD" w:rsidRPr="00EB1CF7">
        <w:rPr>
          <w:rFonts w:ascii="Verdana" w:eastAsia="Calibri" w:hAnsi="Verdana" w:cs="Arial"/>
          <w:color w:val="000000"/>
          <w:lang w:val="es-ES" w:eastAsia="es-ES"/>
        </w:rPr>
        <w:t>el</w:t>
      </w:r>
      <w:r w:rsidR="00A513FD" w:rsidRPr="00EB1CF7">
        <w:rPr>
          <w:rFonts w:ascii="Verdana" w:eastAsia="Calibri" w:hAnsi="Verdana" w:cs="Arial"/>
          <w:color w:val="7030A0"/>
          <w:lang w:val="es-ES" w:eastAsia="es-ES"/>
        </w:rPr>
        <w:t xml:space="preserve"> </w:t>
      </w:r>
      <w:r w:rsidR="00A513FD" w:rsidRPr="00EB1CF7">
        <w:rPr>
          <w:rFonts w:ascii="Verdana" w:eastAsia="Calibri" w:hAnsi="Verdana" w:cs="Arial"/>
          <w:color w:val="000000"/>
          <w:lang w:val="es-ES" w:eastAsia="es-ES"/>
        </w:rPr>
        <w:t>problema</w:t>
      </w:r>
      <w:r w:rsidR="00A513FD" w:rsidRPr="00EB1CF7">
        <w:rPr>
          <w:rFonts w:ascii="Verdana" w:eastAsia="Calibri" w:hAnsi="Verdana" w:cs="Arial"/>
          <w:color w:val="7030A0"/>
          <w:lang w:val="es-ES" w:eastAsia="es-ES"/>
        </w:rPr>
        <w:t xml:space="preserve"> </w:t>
      </w:r>
      <w:r w:rsidR="00A513FD" w:rsidRPr="00EB1CF7">
        <w:rPr>
          <w:rFonts w:ascii="Verdana" w:eastAsia="Calibri" w:hAnsi="Verdana" w:cs="Arial"/>
          <w:color w:val="000000"/>
          <w:lang w:val="es-ES" w:eastAsia="es-ES"/>
        </w:rPr>
        <w:t>jurídico</w:t>
      </w:r>
      <w:r w:rsidR="00A513FD" w:rsidRPr="00EB1CF7">
        <w:rPr>
          <w:rFonts w:ascii="Verdana" w:eastAsia="Calibri" w:hAnsi="Verdana" w:cs="Arial"/>
          <w:color w:val="7030A0"/>
          <w:lang w:val="es-ES" w:eastAsia="es-ES"/>
        </w:rPr>
        <w:t xml:space="preserve"> </w:t>
      </w:r>
      <w:r w:rsidR="00343B47" w:rsidRPr="00EB1CF7">
        <w:rPr>
          <w:rFonts w:ascii="Verdana" w:eastAsia="Calibri" w:hAnsi="Verdana" w:cs="Arial"/>
          <w:color w:val="000000"/>
          <w:lang w:val="es-ES" w:eastAsia="es-ES"/>
        </w:rPr>
        <w:t>de su</w:t>
      </w:r>
      <w:r w:rsidRPr="00EB1CF7">
        <w:rPr>
          <w:rFonts w:ascii="Verdana" w:eastAsia="Calibri" w:hAnsi="Verdana" w:cs="Arial"/>
          <w:color w:val="000000"/>
          <w:lang w:val="es-ES" w:eastAsia="es-ES"/>
        </w:rPr>
        <w:t xml:space="preserve"> consulta. </w:t>
      </w:r>
    </w:p>
    <w:p w14:paraId="10320261" w14:textId="77777777" w:rsidR="001918F1" w:rsidRPr="00EB1CF7" w:rsidRDefault="001918F1" w:rsidP="001918F1">
      <w:pPr>
        <w:spacing w:after="0" w:line="276" w:lineRule="auto"/>
        <w:ind w:firstLine="709"/>
        <w:jc w:val="both"/>
        <w:rPr>
          <w:rFonts w:ascii="Verdana" w:eastAsia="Calibri" w:hAnsi="Verdana" w:cs="Arial"/>
          <w:color w:val="000000"/>
          <w:lang w:val="es-ES" w:eastAsia="es-ES"/>
        </w:rPr>
      </w:pPr>
    </w:p>
    <w:p w14:paraId="1DF0C9FE" w14:textId="2A6D862D" w:rsidR="00E84D1C" w:rsidRPr="00EB1CF7" w:rsidRDefault="00E84D1C" w:rsidP="00E84D1C">
      <w:pPr>
        <w:pStyle w:val="Prrafodelista"/>
        <w:numPr>
          <w:ilvl w:val="0"/>
          <w:numId w:val="1"/>
        </w:numPr>
        <w:tabs>
          <w:tab w:val="left" w:pos="142"/>
          <w:tab w:val="left" w:pos="284"/>
        </w:tabs>
        <w:spacing w:line="276" w:lineRule="auto"/>
        <w:ind w:left="0" w:firstLine="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Problema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planteado</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3981D497" w14:textId="77777777" w:rsidR="00E84D1C" w:rsidRPr="00EB1CF7" w:rsidRDefault="00E84D1C" w:rsidP="00E84D1C">
      <w:pPr>
        <w:tabs>
          <w:tab w:val="left" w:pos="426"/>
        </w:tabs>
        <w:spacing w:after="0" w:line="276" w:lineRule="auto"/>
        <w:jc w:val="both"/>
        <w:rPr>
          <w:rFonts w:ascii="Verdana" w:eastAsia="Century Gothic" w:hAnsi="Verdana" w:cs="Century Gothic"/>
          <w:lang w:val="es-ES"/>
        </w:rPr>
      </w:pPr>
    </w:p>
    <w:p w14:paraId="348E2D36" w14:textId="7D0F6AF6" w:rsidR="00E84D1C" w:rsidRPr="00EB1CF7" w:rsidRDefault="008F27E3" w:rsidP="00E84D1C">
      <w:pPr>
        <w:spacing w:after="0" w:line="276" w:lineRule="auto"/>
        <w:jc w:val="both"/>
        <w:rPr>
          <w:rFonts w:ascii="Verdana" w:eastAsia="Century Gothic" w:hAnsi="Verdana" w:cs="Century Gothic"/>
        </w:rPr>
      </w:pPr>
      <w:r w:rsidRPr="00EB1CF7">
        <w:rPr>
          <w:rFonts w:ascii="Verdana" w:eastAsia="Century Gothic" w:hAnsi="Verdana" w:cs="Century Gothic"/>
        </w:rPr>
        <w:t>D</w:t>
      </w:r>
      <w:r w:rsidR="00343B47" w:rsidRPr="00EB1CF7">
        <w:rPr>
          <w:rFonts w:ascii="Verdana" w:eastAsia="Century Gothic" w:hAnsi="Verdana" w:cs="Century Gothic"/>
        </w:rPr>
        <w:t xml:space="preserve">e acuerdo con el contenido de </w:t>
      </w:r>
      <w:r w:rsidR="00FC6D4E" w:rsidRPr="00EB1CF7">
        <w:rPr>
          <w:rFonts w:ascii="Verdana" w:eastAsia="Century Gothic" w:hAnsi="Verdana" w:cs="Century Gothic"/>
        </w:rPr>
        <w:t xml:space="preserve">su solicitud, esta Agencia resolverá </w:t>
      </w:r>
      <w:r w:rsidR="00CF5BE0" w:rsidRPr="00EB1CF7">
        <w:rPr>
          <w:rFonts w:ascii="Verdana" w:eastAsia="Century Gothic" w:hAnsi="Verdana" w:cs="Century Gothic"/>
        </w:rPr>
        <w:t>el siguiente</w:t>
      </w:r>
      <w:r w:rsidR="00D86D55" w:rsidRPr="00EB1CF7">
        <w:rPr>
          <w:rFonts w:ascii="Verdana" w:eastAsia="Century Gothic" w:hAnsi="Verdana" w:cs="Century Gothic"/>
        </w:rPr>
        <w:t xml:space="preserve"> </w:t>
      </w:r>
      <w:r w:rsidR="00FC6D4E" w:rsidRPr="00EB1CF7">
        <w:rPr>
          <w:rFonts w:ascii="Verdana" w:eastAsia="Century Gothic" w:hAnsi="Verdana" w:cs="Century Gothic"/>
        </w:rPr>
        <w:t xml:space="preserve">problema jurídico: </w:t>
      </w:r>
      <w:r w:rsidR="004B53F1" w:rsidRPr="00EB1CF7">
        <w:rPr>
          <w:rFonts w:ascii="Verdana" w:eastAsia="Century Gothic" w:hAnsi="Verdana" w:cs="Century Gothic"/>
        </w:rPr>
        <w:t>¿</w:t>
      </w:r>
      <w:r w:rsidR="00854DA7">
        <w:rPr>
          <w:rFonts w:ascii="Verdana" w:eastAsia="Century Gothic" w:hAnsi="Verdana" w:cs="Century Gothic"/>
        </w:rPr>
        <w:t>La entidad estatal puede</w:t>
      </w:r>
      <w:r w:rsidR="00FB183E" w:rsidRPr="00EB1CF7">
        <w:rPr>
          <w:rFonts w:ascii="Verdana" w:eastAsia="Century Gothic" w:hAnsi="Verdana" w:cs="Century Gothic"/>
        </w:rPr>
        <w:t xml:space="preserve"> exig</w:t>
      </w:r>
      <w:r w:rsidR="00854DA7">
        <w:rPr>
          <w:rFonts w:ascii="Verdana" w:eastAsia="Century Gothic" w:hAnsi="Verdana" w:cs="Century Gothic"/>
        </w:rPr>
        <w:t>ir</w:t>
      </w:r>
      <w:r w:rsidR="00FB183E" w:rsidRPr="00EB1CF7">
        <w:rPr>
          <w:rFonts w:ascii="Verdana" w:eastAsia="Century Gothic" w:hAnsi="Verdana" w:cs="Century Gothic"/>
        </w:rPr>
        <w:t xml:space="preserve"> </w:t>
      </w:r>
      <w:r w:rsidR="00854DA7">
        <w:rPr>
          <w:rFonts w:ascii="Verdana" w:eastAsia="Century Gothic" w:hAnsi="Verdana" w:cs="Century Gothic"/>
        </w:rPr>
        <w:t>e</w:t>
      </w:r>
      <w:r w:rsidR="00FB183E" w:rsidRPr="00EB1CF7">
        <w:rPr>
          <w:rFonts w:ascii="Verdana" w:eastAsia="Century Gothic" w:hAnsi="Verdana" w:cs="Century Gothic"/>
        </w:rPr>
        <w:t xml:space="preserve">l Sistema de Gestión de Seguridad y Salud en el Trabajo </w:t>
      </w:r>
      <w:r w:rsidR="005C7DDC" w:rsidRPr="00EB1CF7">
        <w:rPr>
          <w:rFonts w:ascii="Verdana" w:eastAsia="Century Gothic" w:hAnsi="Verdana" w:cs="Century Gothic"/>
        </w:rPr>
        <w:t xml:space="preserve">establecida en </w:t>
      </w:r>
      <w:r w:rsidR="00B23F4C" w:rsidRPr="00EB1CF7">
        <w:rPr>
          <w:rFonts w:ascii="Verdana" w:eastAsia="Century Gothic" w:hAnsi="Verdana" w:cs="Century Gothic"/>
        </w:rPr>
        <w:t>el</w:t>
      </w:r>
      <w:r w:rsidR="005C7DDC" w:rsidRPr="00EB1CF7">
        <w:rPr>
          <w:rFonts w:ascii="Verdana" w:eastAsia="Century Gothic" w:hAnsi="Verdana" w:cs="Century Gothic"/>
        </w:rPr>
        <w:t xml:space="preserve"> Decreto 1075 de 2015 </w:t>
      </w:r>
      <w:r w:rsidR="00FB183E" w:rsidRPr="00EB1CF7">
        <w:rPr>
          <w:rFonts w:ascii="Verdana" w:eastAsia="Century Gothic" w:hAnsi="Verdana" w:cs="Century Gothic"/>
        </w:rPr>
        <w:t xml:space="preserve">como </w:t>
      </w:r>
      <w:r w:rsidR="003D37B6" w:rsidRPr="00EB1CF7">
        <w:rPr>
          <w:rFonts w:ascii="Verdana" w:eastAsia="Century Gothic" w:hAnsi="Verdana" w:cs="Century Gothic"/>
        </w:rPr>
        <w:t xml:space="preserve">un </w:t>
      </w:r>
      <w:r w:rsidR="009A3D29">
        <w:rPr>
          <w:rFonts w:ascii="Verdana" w:eastAsia="Century Gothic" w:hAnsi="Verdana" w:cs="Century Gothic"/>
        </w:rPr>
        <w:t>criterio de</w:t>
      </w:r>
      <w:r w:rsidR="00854DA7">
        <w:rPr>
          <w:rFonts w:ascii="Verdana" w:eastAsia="Century Gothic" w:hAnsi="Verdana" w:cs="Century Gothic"/>
        </w:rPr>
        <w:t xml:space="preserve"> evaluación y</w:t>
      </w:r>
      <w:r w:rsidR="009A3D29">
        <w:rPr>
          <w:rFonts w:ascii="Verdana" w:eastAsia="Century Gothic" w:hAnsi="Verdana" w:cs="Century Gothic"/>
        </w:rPr>
        <w:t xml:space="preserve"> selección </w:t>
      </w:r>
      <w:r w:rsidR="00FB183E" w:rsidRPr="00EB1CF7">
        <w:rPr>
          <w:rFonts w:ascii="Verdana" w:eastAsia="Century Gothic" w:hAnsi="Verdana" w:cs="Century Gothic"/>
        </w:rPr>
        <w:t>de contratistas</w:t>
      </w:r>
      <w:r w:rsidR="00F567A4" w:rsidRPr="00EB1CF7">
        <w:rPr>
          <w:rFonts w:ascii="Verdana" w:eastAsia="Century Gothic" w:hAnsi="Verdana" w:cs="Century Gothic"/>
        </w:rPr>
        <w:t>?</w:t>
      </w:r>
      <w:r w:rsidR="007F4FBC" w:rsidRPr="00EB1CF7">
        <w:rPr>
          <w:rFonts w:ascii="Verdana" w:eastAsia="Century Gothic" w:hAnsi="Verdana" w:cs="Century Gothic"/>
        </w:rPr>
        <w:t xml:space="preserve"> </w:t>
      </w:r>
    </w:p>
    <w:p w14:paraId="31CA4CF9" w14:textId="77777777" w:rsidR="00E84D1C" w:rsidRPr="00EB1CF7" w:rsidRDefault="00E84D1C" w:rsidP="00E84D1C">
      <w:pPr>
        <w:spacing w:after="0" w:line="276" w:lineRule="auto"/>
        <w:jc w:val="both"/>
        <w:rPr>
          <w:rFonts w:ascii="Verdana" w:eastAsia="Calibri" w:hAnsi="Verdana" w:cs="Arial"/>
          <w:color w:val="7030A0"/>
        </w:rPr>
      </w:pPr>
    </w:p>
    <w:p w14:paraId="74205EE3" w14:textId="46C13E2B" w:rsidR="00E84D1C" w:rsidRPr="00EB1CF7" w:rsidRDefault="00E84D1C"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Respuesta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4FCBB89E" w14:textId="1BF4BDFA" w:rsidR="00E84D1C" w:rsidRPr="00EB1CF7" w:rsidRDefault="00E84D1C" w:rsidP="00E84D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E84D1C" w:rsidRPr="00EB1CF7" w14:paraId="0E1945DC" w14:textId="77777777" w:rsidTr="006E429F">
        <w:trPr>
          <w:jc w:val="center"/>
        </w:trPr>
        <w:tc>
          <w:tcPr>
            <w:tcW w:w="8828" w:type="dxa"/>
            <w:shd w:val="clear" w:color="auto" w:fill="auto"/>
          </w:tcPr>
          <w:p w14:paraId="120AD838" w14:textId="3E365EFA" w:rsidR="0078265B" w:rsidRPr="00EB1CF7" w:rsidRDefault="005D123A" w:rsidP="00E83ACD">
            <w:pPr>
              <w:spacing w:after="120" w:line="276" w:lineRule="auto"/>
              <w:ind w:right="79"/>
              <w:jc w:val="both"/>
              <w:rPr>
                <w:rFonts w:ascii="Verdana" w:eastAsia="Arial" w:hAnsi="Verdana" w:cs="Arial"/>
                <w:bCs/>
              </w:rPr>
            </w:pPr>
            <w:bookmarkStart w:id="2" w:name="_Hlk171694685"/>
            <w:r>
              <w:rPr>
                <w:rFonts w:ascii="Verdana" w:eastAsia="Arial" w:hAnsi="Verdana" w:cs="Arial"/>
                <w:bCs/>
              </w:rPr>
              <w:t>A</w:t>
            </w:r>
            <w:r w:rsidR="00D60736" w:rsidRPr="00D60736">
              <w:rPr>
                <w:rFonts w:ascii="Verdana" w:eastAsia="Arial" w:hAnsi="Verdana" w:cs="Arial"/>
                <w:bCs/>
              </w:rPr>
              <w:t xml:space="preserve">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en cada proceso contractual de acuerdo con los parámetros fijados en el Decreto 1082 de 2015; y que una vez establecidos los requisitos habilitantes, quienes presenten ofertas deben acreditar que cumplen con ellos, so pena de que sus propuestas sean rechazadas, claro está, sin perjuicio de la posibilidad de subsanarlas, cuando a ello haya lugar. Todo, dentro de los parámetros explicados en </w:t>
            </w:r>
            <w:r>
              <w:rPr>
                <w:rFonts w:ascii="Verdana" w:eastAsia="Arial" w:hAnsi="Verdana" w:cs="Arial"/>
                <w:bCs/>
              </w:rPr>
              <w:t xml:space="preserve">este concepto </w:t>
            </w:r>
            <w:r w:rsidR="00D60736" w:rsidRPr="00D60736">
              <w:rPr>
                <w:rFonts w:ascii="Verdana" w:eastAsia="Arial" w:hAnsi="Verdana" w:cs="Arial"/>
                <w:bCs/>
              </w:rPr>
              <w:t>y sin perjuicio de las prohibiciones legales.</w:t>
            </w:r>
          </w:p>
          <w:p w14:paraId="1731FB6D" w14:textId="77777777" w:rsidR="009A3D29" w:rsidRDefault="00F91987" w:rsidP="00E83ACD">
            <w:pPr>
              <w:spacing w:after="120" w:line="276" w:lineRule="auto"/>
              <w:ind w:right="79" w:firstLine="601"/>
              <w:jc w:val="both"/>
              <w:rPr>
                <w:rFonts w:ascii="Verdana" w:eastAsia="Arial" w:hAnsi="Verdana" w:cs="Arial"/>
                <w:bCs/>
              </w:rPr>
            </w:pPr>
            <w:r w:rsidRPr="00EB1CF7">
              <w:rPr>
                <w:rFonts w:ascii="Verdana" w:eastAsia="Arial" w:hAnsi="Verdana" w:cs="Arial"/>
                <w:bCs/>
              </w:rPr>
              <w:t>D</w:t>
            </w:r>
            <w:r w:rsidR="00E148E8" w:rsidRPr="00EB1CF7">
              <w:rPr>
                <w:rFonts w:ascii="Verdana" w:eastAsia="Arial" w:hAnsi="Verdana" w:cs="Arial"/>
                <w:bCs/>
              </w:rPr>
              <w:t>e esta manera</w:t>
            </w:r>
            <w:r w:rsidR="009D3AD2" w:rsidRPr="00EB1CF7">
              <w:rPr>
                <w:rFonts w:ascii="Verdana" w:eastAsia="Arial" w:hAnsi="Verdana" w:cs="Arial"/>
                <w:bCs/>
              </w:rPr>
              <w:t>, t</w:t>
            </w:r>
            <w:r w:rsidR="0095278F" w:rsidRPr="00EB1CF7">
              <w:rPr>
                <w:rFonts w:ascii="Verdana" w:eastAsia="Arial" w:hAnsi="Verdana" w:cs="Arial"/>
                <w:bCs/>
              </w:rPr>
              <w:t>eniendo en cuenta e</w:t>
            </w:r>
            <w:r w:rsidR="00D74D14" w:rsidRPr="00EB1CF7">
              <w:rPr>
                <w:rFonts w:ascii="Verdana" w:eastAsia="Arial" w:hAnsi="Verdana" w:cs="Arial"/>
                <w:bCs/>
              </w:rPr>
              <w:t>l</w:t>
            </w:r>
            <w:r w:rsidR="0095278F" w:rsidRPr="00EB1CF7">
              <w:rPr>
                <w:rFonts w:ascii="Verdana" w:eastAsia="Arial" w:hAnsi="Verdana" w:cs="Arial"/>
                <w:bCs/>
              </w:rPr>
              <w:t xml:space="preserve"> carácter enunciativo de los requisitos habilitantes del artículo 5 de la Ley 1150 de 2007, la autonomía de la voluntad de las entidades estatales para establecerlos y lo dispuesto en los artículos 2.2.4.6.4. y 2.2.4.6.28. del Decreto 1072 de 2015 y artículos 14, 19 y 22 de la Resolución 312 de 2019 emitida por el Ministerio del Trabajo, </w:t>
            </w:r>
            <w:r w:rsidR="009D3AD2" w:rsidRPr="00EB1CF7">
              <w:rPr>
                <w:rFonts w:ascii="Verdana" w:eastAsia="Arial" w:hAnsi="Verdana" w:cs="Arial"/>
                <w:bCs/>
              </w:rPr>
              <w:t xml:space="preserve">se </w:t>
            </w:r>
            <w:r w:rsidR="0095278F" w:rsidRPr="00EB1CF7">
              <w:rPr>
                <w:rFonts w:ascii="Verdana" w:eastAsia="Arial" w:hAnsi="Verdana" w:cs="Arial"/>
                <w:bCs/>
              </w:rPr>
              <w:t>considera que las entidades estatales tienen la facultad para incorporar parámetros o criterios de selección y evaluación en sus Procesos de Contratación que le permitan conocer que los proponentes cuentan con el Sistema de Gestión de Seguridad y Salud en el Trabajo (SG-SST), si</w:t>
            </w:r>
            <w:r w:rsidR="00AC7E18" w:rsidRPr="00EB1CF7">
              <w:rPr>
                <w:rFonts w:ascii="Verdana" w:eastAsia="Arial" w:hAnsi="Verdana" w:cs="Arial"/>
                <w:bCs/>
              </w:rPr>
              <w:t>empre que se</w:t>
            </w:r>
            <w:r w:rsidR="0095278F" w:rsidRPr="00EB1CF7">
              <w:rPr>
                <w:rFonts w:ascii="Verdana" w:eastAsia="Arial" w:hAnsi="Verdana" w:cs="Arial"/>
                <w:bCs/>
              </w:rPr>
              <w:t xml:space="preserve"> justifi</w:t>
            </w:r>
            <w:r w:rsidR="00AC7E18" w:rsidRPr="00EB1CF7">
              <w:rPr>
                <w:rFonts w:ascii="Verdana" w:eastAsia="Arial" w:hAnsi="Verdana" w:cs="Arial"/>
                <w:bCs/>
              </w:rPr>
              <w:t>que</w:t>
            </w:r>
            <w:r w:rsidR="0095278F" w:rsidRPr="00EB1CF7">
              <w:rPr>
                <w:rFonts w:ascii="Verdana" w:eastAsia="Arial" w:hAnsi="Verdana" w:cs="Arial"/>
                <w:bCs/>
              </w:rPr>
              <w:t xml:space="preserve"> en los estudios previos y</w:t>
            </w:r>
            <w:r w:rsidR="009571C2" w:rsidRPr="00EB1CF7">
              <w:rPr>
                <w:rFonts w:ascii="Verdana" w:eastAsia="Arial" w:hAnsi="Verdana" w:cs="Arial"/>
                <w:bCs/>
              </w:rPr>
              <w:t xml:space="preserve"> el</w:t>
            </w:r>
            <w:r w:rsidR="0095278F" w:rsidRPr="00EB1CF7">
              <w:rPr>
                <w:rFonts w:ascii="Verdana" w:eastAsia="Arial" w:hAnsi="Verdana" w:cs="Arial"/>
                <w:bCs/>
              </w:rPr>
              <w:t xml:space="preserve"> análisis del sector del proceso de conformidad con el artículo 2.2.1.1.1.6.2 del Decreto 1082 de 2015.</w:t>
            </w:r>
          </w:p>
          <w:p w14:paraId="073EC507" w14:textId="0DC2AE6C" w:rsidR="007F0F24" w:rsidRPr="00E83ACD" w:rsidRDefault="007F5975" w:rsidP="00E83ACD">
            <w:pPr>
              <w:widowControl w:val="0"/>
              <w:autoSpaceDE w:val="0"/>
              <w:autoSpaceDN w:val="0"/>
              <w:spacing w:line="276" w:lineRule="auto"/>
              <w:ind w:firstLine="709"/>
              <w:jc w:val="both"/>
              <w:rPr>
                <w:rFonts w:ascii="Verdana" w:eastAsia="Calibri" w:hAnsi="Verdana" w:cs="Arial"/>
                <w:color w:val="000000" w:themeColor="text1"/>
              </w:rPr>
            </w:pPr>
            <w:r>
              <w:rPr>
                <w:rFonts w:ascii="Verdana" w:eastAsia="Arial" w:hAnsi="Verdana" w:cs="Arial"/>
                <w:bCs/>
              </w:rPr>
              <w:t>De este modo</w:t>
            </w:r>
            <w:r w:rsidR="006F4F80">
              <w:rPr>
                <w:rFonts w:ascii="Verdana" w:eastAsia="Arial" w:hAnsi="Verdana" w:cs="Arial"/>
                <w:bCs/>
              </w:rPr>
              <w:t xml:space="preserve">, </w:t>
            </w:r>
            <w:r w:rsidR="00E83ACD">
              <w:rPr>
                <w:rFonts w:ascii="Verdana" w:eastAsia="Calibri" w:hAnsi="Verdana" w:cs="Arial"/>
              </w:rPr>
              <w:t>la certificación del</w:t>
            </w:r>
            <w:r w:rsidR="00E83ACD" w:rsidRPr="00DA212B">
              <w:rPr>
                <w:rFonts w:ascii="Verdana" w:eastAsia="Calibri" w:hAnsi="Verdana" w:cs="Arial"/>
              </w:rPr>
              <w:t xml:space="preserve"> Sistema de Gestión de la Seguridad y Salud en e</w:t>
            </w:r>
            <w:r w:rsidR="00E83ACD">
              <w:rPr>
                <w:rFonts w:ascii="Verdana" w:eastAsia="Calibri" w:hAnsi="Verdana" w:cs="Arial"/>
              </w:rPr>
              <w:t xml:space="preserve">l </w:t>
            </w:r>
            <w:r w:rsidR="00E83ACD" w:rsidRPr="00DA212B">
              <w:rPr>
                <w:rFonts w:ascii="Verdana" w:eastAsia="Calibri" w:hAnsi="Verdana" w:cs="Arial"/>
              </w:rPr>
              <w:t>Trabajo -SG-SST</w:t>
            </w:r>
            <w:r w:rsidR="00E83ACD">
              <w:rPr>
                <w:rFonts w:ascii="Verdana" w:eastAsia="Calibri" w:hAnsi="Verdana" w:cs="Arial"/>
              </w:rPr>
              <w:t xml:space="preserve"> determinada en la Resolución</w:t>
            </w:r>
            <w:r w:rsidR="00E83ACD" w:rsidRPr="00DA212B">
              <w:rPr>
                <w:rFonts w:ascii="Verdana" w:eastAsia="Calibri" w:hAnsi="Verdana" w:cs="Arial"/>
              </w:rPr>
              <w:t xml:space="preserve">312 de 2019 </w:t>
            </w:r>
            <w:r w:rsidR="00E83ACD">
              <w:rPr>
                <w:rFonts w:ascii="Verdana" w:eastAsia="Calibri" w:hAnsi="Verdana" w:cs="Arial"/>
              </w:rPr>
              <w:t xml:space="preserve">no </w:t>
            </w:r>
            <w:r w:rsidR="00E83ACD">
              <w:rPr>
                <w:rFonts w:ascii="Verdana" w:eastAsia="Calibri" w:hAnsi="Verdana" w:cs="Arial"/>
                <w:color w:val="000000" w:themeColor="text1"/>
              </w:rPr>
              <w:t xml:space="preserve">es un requisito obligatorio que deba </w:t>
            </w:r>
            <w:r w:rsidR="00E83ACD" w:rsidRPr="00653B38">
              <w:rPr>
                <w:rFonts w:ascii="Verdana" w:eastAsia="Calibri" w:hAnsi="Verdana" w:cs="Arial"/>
                <w:color w:val="000000" w:themeColor="text1"/>
              </w:rPr>
              <w:t>ser exigid</w:t>
            </w:r>
            <w:r w:rsidR="00E83ACD">
              <w:rPr>
                <w:rFonts w:ascii="Verdana" w:eastAsia="Calibri" w:hAnsi="Verdana" w:cs="Arial"/>
                <w:color w:val="000000" w:themeColor="text1"/>
              </w:rPr>
              <w:t>o</w:t>
            </w:r>
            <w:r w:rsidR="00E83ACD" w:rsidRPr="00653B38">
              <w:rPr>
                <w:rFonts w:ascii="Verdana" w:eastAsia="Calibri" w:hAnsi="Verdana" w:cs="Arial"/>
                <w:color w:val="000000" w:themeColor="text1"/>
              </w:rPr>
              <w:t xml:space="preserve"> como</w:t>
            </w:r>
            <w:r w:rsidR="00E83ACD">
              <w:rPr>
                <w:rFonts w:ascii="Verdana" w:eastAsia="Calibri" w:hAnsi="Verdana" w:cs="Arial"/>
                <w:color w:val="000000" w:themeColor="text1"/>
              </w:rPr>
              <w:t xml:space="preserve"> una</w:t>
            </w:r>
            <w:r w:rsidR="00E83ACD" w:rsidRPr="00653B38">
              <w:rPr>
                <w:rFonts w:ascii="Verdana" w:eastAsia="Calibri" w:hAnsi="Verdana" w:cs="Arial"/>
                <w:color w:val="000000" w:themeColor="text1"/>
              </w:rPr>
              <w:t xml:space="preserve"> </w:t>
            </w:r>
            <w:r w:rsidR="00E83ACD">
              <w:rPr>
                <w:rFonts w:ascii="Verdana" w:eastAsia="Calibri" w:hAnsi="Verdana" w:cs="Arial"/>
                <w:color w:val="000000" w:themeColor="text1"/>
              </w:rPr>
              <w:t>condición</w:t>
            </w:r>
            <w:r w:rsidR="00E83ACD" w:rsidRPr="00653B38">
              <w:rPr>
                <w:rFonts w:ascii="Verdana" w:eastAsia="Calibri" w:hAnsi="Verdana" w:cs="Arial"/>
                <w:color w:val="000000" w:themeColor="text1"/>
              </w:rPr>
              <w:t xml:space="preserve"> habilitante en los procesos</w:t>
            </w:r>
            <w:r w:rsidR="00E83ACD">
              <w:rPr>
                <w:rFonts w:ascii="Verdana" w:eastAsia="Calibri" w:hAnsi="Verdana" w:cs="Arial"/>
                <w:color w:val="000000" w:themeColor="text1"/>
              </w:rPr>
              <w:t xml:space="preserve"> </w:t>
            </w:r>
            <w:r w:rsidR="00E83ACD" w:rsidRPr="00653B38">
              <w:rPr>
                <w:rFonts w:ascii="Verdana" w:eastAsia="Calibri" w:hAnsi="Verdana" w:cs="Arial"/>
                <w:color w:val="000000" w:themeColor="text1"/>
              </w:rPr>
              <w:t>lque adelante el Estado Colombiano</w:t>
            </w:r>
            <w:r w:rsidR="00E83ACD">
              <w:rPr>
                <w:rFonts w:ascii="Verdana" w:eastAsia="Calibri" w:hAnsi="Verdana" w:cs="Arial"/>
                <w:color w:val="000000" w:themeColor="text1"/>
              </w:rPr>
              <w:t>, pues la norma no establece dicha obligación. En los términos del parágrafo 2 del</w:t>
            </w:r>
            <w:r w:rsidR="00E83ACD" w:rsidRPr="00C573DA">
              <w:rPr>
                <w:rFonts w:ascii="Verdana" w:eastAsia="Calibri" w:hAnsi="Verdana" w:cs="Arial"/>
              </w:rPr>
              <w:t xml:space="preserve"> </w:t>
            </w:r>
            <w:r w:rsidR="00E83ACD" w:rsidRPr="000C02AD">
              <w:rPr>
                <w:rFonts w:ascii="Verdana" w:eastAsia="Calibri" w:hAnsi="Verdana" w:cs="Arial"/>
              </w:rPr>
              <w:t xml:space="preserve">artículo </w:t>
            </w:r>
            <w:r w:rsidR="00E83ACD" w:rsidRPr="000C02AD">
              <w:rPr>
                <w:rFonts w:ascii="Verdana" w:eastAsia="Calibri" w:hAnsi="Verdana" w:cs="Arial"/>
              </w:rPr>
              <w:lastRenderedPageBreak/>
              <w:t>2.2.4.6.4. del Decreto 1072 de 2015</w:t>
            </w:r>
            <w:r w:rsidR="00E83ACD">
              <w:rPr>
                <w:rFonts w:ascii="Verdana" w:eastAsia="Calibri" w:hAnsi="Verdana" w:cs="Arial"/>
              </w:rPr>
              <w:t xml:space="preserve">, </w:t>
            </w:r>
            <w:r w:rsidR="00E83ACD">
              <w:rPr>
                <w:rFonts w:ascii="Verdana" w:eastAsia="Calibri" w:hAnsi="Verdana" w:cs="Arial"/>
                <w:color w:val="000000" w:themeColor="text1"/>
              </w:rPr>
              <w:t xml:space="preserve">es una facultad de la entidad establecerlo como un requisito de selección o que </w:t>
            </w:r>
            <w:r w:rsidR="00E83ACD" w:rsidRPr="00AB72BB">
              <w:rPr>
                <w:rFonts w:ascii="Verdana" w:eastAsia="Calibri" w:hAnsi="Verdana" w:cs="Arial"/>
                <w:color w:val="000000" w:themeColor="text1"/>
              </w:rPr>
              <w:t>puede ser tenida en cuenta “como referente en seguridad y salud en</w:t>
            </w:r>
            <w:r w:rsidR="00E83ACD">
              <w:rPr>
                <w:rFonts w:ascii="Verdana" w:eastAsia="Calibri" w:hAnsi="Verdana" w:cs="Arial"/>
                <w:color w:val="000000" w:themeColor="text1"/>
              </w:rPr>
              <w:t xml:space="preserve"> </w:t>
            </w:r>
            <w:r w:rsidR="00E83ACD" w:rsidRPr="00AB72BB">
              <w:rPr>
                <w:rFonts w:ascii="Verdana" w:eastAsia="Calibri" w:hAnsi="Verdana" w:cs="Arial"/>
                <w:color w:val="000000" w:themeColor="text1"/>
              </w:rPr>
              <w:t>el trabajo para efectos de la contratación pública o privada”.</w:t>
            </w:r>
          </w:p>
        </w:tc>
      </w:tr>
    </w:tbl>
    <w:p w14:paraId="1728E2BC" w14:textId="77777777" w:rsidR="00E84D1C" w:rsidRPr="00EB1CF7" w:rsidRDefault="00E84D1C" w:rsidP="00E84D1C">
      <w:pPr>
        <w:tabs>
          <w:tab w:val="left" w:pos="142"/>
          <w:tab w:val="left" w:pos="284"/>
        </w:tabs>
        <w:spacing w:after="0" w:line="276" w:lineRule="auto"/>
        <w:jc w:val="both"/>
        <w:rPr>
          <w:rFonts w:ascii="Verdana" w:eastAsia="Century Gothic" w:hAnsi="Verdana" w:cs="Century Gothic"/>
          <w:b/>
          <w:bCs/>
          <w:lang w:val="es-ES"/>
        </w:rPr>
      </w:pPr>
    </w:p>
    <w:bookmarkEnd w:id="2"/>
    <w:p w14:paraId="7BD5B662" w14:textId="4AC7D643" w:rsidR="00E84D1C" w:rsidRPr="00EB1CF7" w:rsidRDefault="00071AB8" w:rsidP="00E84D1C">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Razones de la</w:t>
      </w:r>
      <w:r w:rsidR="000C42A9"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respuesta</w:t>
      </w:r>
      <w:r w:rsidR="000C42A9" w:rsidRPr="00EB1CF7">
        <w:rPr>
          <w:rFonts w:ascii="Verdana" w:eastAsia="Century Gothic" w:hAnsi="Verdana" w:cs="Century Gothic"/>
          <w:b/>
          <w:bCs/>
          <w:sz w:val="22"/>
          <w:lang w:val="es-ES"/>
        </w:rPr>
        <w:t>s</w:t>
      </w:r>
      <w:r w:rsidR="00E84D1C" w:rsidRPr="00EB1CF7">
        <w:rPr>
          <w:rFonts w:ascii="Verdana" w:eastAsia="Century Gothic" w:hAnsi="Verdana" w:cs="Century Gothic"/>
          <w:b/>
          <w:bCs/>
          <w:sz w:val="22"/>
          <w:lang w:val="es-ES"/>
        </w:rPr>
        <w:t>:</w:t>
      </w:r>
    </w:p>
    <w:p w14:paraId="267A31E4" w14:textId="77777777" w:rsidR="00FB5FC4" w:rsidRPr="00EB1CF7" w:rsidRDefault="00FB5FC4" w:rsidP="00E84D1C">
      <w:pPr>
        <w:spacing w:after="0" w:line="276" w:lineRule="auto"/>
        <w:jc w:val="both"/>
        <w:rPr>
          <w:rFonts w:ascii="Verdana" w:eastAsia="Calibri" w:hAnsi="Verdana" w:cs="Arial"/>
          <w:color w:val="7030A0"/>
          <w:lang w:val="es-ES"/>
        </w:rPr>
      </w:pPr>
    </w:p>
    <w:p w14:paraId="1534F15C" w14:textId="654169A5" w:rsidR="0025575F" w:rsidRPr="00EB1CF7" w:rsidRDefault="00C00976" w:rsidP="00E84D1C">
      <w:pPr>
        <w:spacing w:after="0" w:line="276" w:lineRule="auto"/>
        <w:jc w:val="both"/>
        <w:rPr>
          <w:rFonts w:ascii="Verdana" w:eastAsia="Calibri" w:hAnsi="Verdana" w:cs="Arial"/>
          <w:lang w:val="es-ES"/>
        </w:rPr>
      </w:pPr>
      <w:r w:rsidRPr="00EB1CF7">
        <w:rPr>
          <w:rFonts w:ascii="Verdana" w:eastAsia="Calibri" w:hAnsi="Verdana" w:cs="Arial"/>
          <w:lang w:val="es-ES"/>
        </w:rPr>
        <w:t>L</w:t>
      </w:r>
      <w:r w:rsidR="00D5798B" w:rsidRPr="00EB1CF7">
        <w:rPr>
          <w:rFonts w:ascii="Verdana" w:eastAsia="Calibri" w:hAnsi="Verdana" w:cs="Arial"/>
          <w:lang w:val="es-ES"/>
        </w:rPr>
        <w:t>o</w:t>
      </w:r>
      <w:r w:rsidRPr="00EB1CF7">
        <w:rPr>
          <w:rFonts w:ascii="Verdana" w:eastAsia="Calibri" w:hAnsi="Verdana" w:cs="Arial"/>
          <w:lang w:val="es-ES"/>
        </w:rPr>
        <w:t xml:space="preserve"> anterior</w:t>
      </w:r>
      <w:r w:rsidR="00F95CCE" w:rsidRPr="00EB1CF7">
        <w:rPr>
          <w:rFonts w:ascii="Verdana" w:eastAsia="Calibri" w:hAnsi="Verdana" w:cs="Arial"/>
          <w:lang w:val="es-ES"/>
        </w:rPr>
        <w:t xml:space="preserve"> </w:t>
      </w:r>
      <w:r w:rsidR="00E84D1C" w:rsidRPr="00EB1CF7">
        <w:rPr>
          <w:rFonts w:ascii="Verdana" w:eastAsia="Calibri" w:hAnsi="Verdana" w:cs="Arial"/>
          <w:lang w:val="es-ES"/>
        </w:rPr>
        <w:t xml:space="preserve">se </w:t>
      </w:r>
      <w:r w:rsidRPr="00EB1CF7">
        <w:rPr>
          <w:rFonts w:ascii="Verdana" w:eastAsia="Calibri" w:hAnsi="Verdana" w:cs="Arial"/>
          <w:lang w:val="es-ES"/>
        </w:rPr>
        <w:t xml:space="preserve">sustenta en </w:t>
      </w:r>
      <w:r w:rsidR="00E84D1C" w:rsidRPr="00EB1CF7">
        <w:rPr>
          <w:rFonts w:ascii="Verdana" w:eastAsia="Calibri" w:hAnsi="Verdana" w:cs="Arial"/>
          <w:lang w:val="es-ES"/>
        </w:rPr>
        <w:t>las siguientes consideraciones:</w:t>
      </w:r>
    </w:p>
    <w:p w14:paraId="71802283" w14:textId="77777777" w:rsidR="0025575F" w:rsidRPr="00EB1CF7" w:rsidRDefault="0025575F" w:rsidP="00E84D1C">
      <w:pPr>
        <w:spacing w:after="0" w:line="276" w:lineRule="auto"/>
        <w:jc w:val="both"/>
        <w:rPr>
          <w:rFonts w:ascii="Verdana" w:eastAsia="Calibri" w:hAnsi="Verdana" w:cs="Arial"/>
          <w:color w:val="000000" w:themeColor="text1"/>
        </w:rPr>
      </w:pPr>
    </w:p>
    <w:p w14:paraId="1DD4B0C1" w14:textId="77777777" w:rsidR="00EB1CF7" w:rsidRPr="00EB1CF7" w:rsidRDefault="00EB1CF7" w:rsidP="00EB1CF7">
      <w:pPr>
        <w:spacing w:after="120" w:line="276" w:lineRule="auto"/>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 xml:space="preserve">Los </w:t>
      </w:r>
      <w:r w:rsidRPr="00EB1CF7">
        <w:rPr>
          <w:rFonts w:ascii="Verdana" w:eastAsia="Calibri" w:hAnsi="Verdana" w:cs="Arial"/>
          <w:i/>
          <w:iCs/>
          <w:color w:val="000000" w:themeColor="text1"/>
          <w:lang w:val="es-ES_tradnl"/>
        </w:rPr>
        <w:t>requisitos habilitantes</w:t>
      </w:r>
      <w:r w:rsidRPr="00EB1CF7">
        <w:rPr>
          <w:rFonts w:ascii="Verdana" w:eastAsia="Calibri" w:hAnsi="Verdana" w:cs="Arial"/>
          <w:color w:val="000000" w:themeColor="text1"/>
          <w:lang w:val="es-ES_tradnl"/>
        </w:rPr>
        <w:t xml:space="preserve"> se definen como exigencias de participación en los procedimientos de selección, establecidas en disposiciones normativas, de carácter legal o reglamentario, o contenidas en el acto administrativo que regula las reglas de la convocatoria, es decir, en el pliego de condiciones o el documento equivalente a este. Se diferencian de los </w:t>
      </w:r>
      <w:r w:rsidRPr="00EB1CF7">
        <w:rPr>
          <w:rFonts w:ascii="Verdana" w:eastAsia="Calibri" w:hAnsi="Verdana" w:cs="Arial"/>
          <w:i/>
          <w:iCs/>
          <w:color w:val="000000" w:themeColor="text1"/>
          <w:lang w:val="es-ES_tradnl"/>
        </w:rPr>
        <w:t>criterios de evaluación</w:t>
      </w:r>
      <w:r w:rsidRPr="00EB1CF7">
        <w:rPr>
          <w:rFonts w:ascii="Verdana" w:eastAsia="Calibri" w:hAnsi="Verdana" w:cs="Arial"/>
          <w:color w:val="000000" w:themeColor="text1"/>
          <w:lang w:val="es-ES_tradnl"/>
        </w:rPr>
        <w:t xml:space="preserve"> –también conocidos como </w:t>
      </w:r>
      <w:r w:rsidRPr="00EB1CF7">
        <w:rPr>
          <w:rFonts w:ascii="Verdana" w:eastAsia="Calibri" w:hAnsi="Verdana" w:cs="Arial"/>
          <w:i/>
          <w:iCs/>
          <w:color w:val="000000" w:themeColor="text1"/>
          <w:lang w:val="es-ES_tradnl"/>
        </w:rPr>
        <w:t>criterios de calificación</w:t>
      </w:r>
      <w:r w:rsidRPr="00EB1CF7">
        <w:rPr>
          <w:rFonts w:ascii="Verdana" w:eastAsia="Calibri" w:hAnsi="Verdana" w:cs="Arial"/>
          <w:color w:val="000000" w:themeColor="text1"/>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ganadora. </w:t>
      </w:r>
    </w:p>
    <w:p w14:paraId="038D9AE8" w14:textId="77777777" w:rsidR="00EB1CF7" w:rsidRPr="00EB1CF7" w:rsidRDefault="00EB1CF7" w:rsidP="00EB1CF7">
      <w:pPr>
        <w:spacing w:after="120" w:line="276" w:lineRule="auto"/>
        <w:ind w:firstLine="708"/>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A partir de lo dicho se deduce entonces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en sentido estricto, de manera que quienes no los reúnan no pueden continuar en el procedimiento de selección, o sea, incurren en causal de rechazo. Esto sin perjuicio del derecho que tienen los oferentes de subsanar los defectos que se presenten en la prueba de tales requisitos, de conformidad con el artículo 5, parágrafos 1º al 4º, de la Ley 1150 de 2007.</w:t>
      </w:r>
    </w:p>
    <w:p w14:paraId="0C107842" w14:textId="77777777" w:rsidR="00F61C7A" w:rsidRPr="00F61C7A" w:rsidRDefault="00EB1CF7" w:rsidP="00F61C7A">
      <w:pPr>
        <w:spacing w:before="120" w:line="276" w:lineRule="auto"/>
        <w:ind w:firstLine="709"/>
        <w:jc w:val="both"/>
        <w:rPr>
          <w:rFonts w:ascii="Verdana" w:eastAsia="Calibri" w:hAnsi="Verdana" w:cs="Arial"/>
          <w:color w:val="000000" w:themeColor="text1"/>
          <w:lang w:val="es-ES_tradnl"/>
        </w:rPr>
      </w:pPr>
      <w:r w:rsidRPr="00EB1CF7">
        <w:rPr>
          <w:rFonts w:ascii="Verdana" w:eastAsia="Calibri" w:hAnsi="Verdana" w:cs="Arial"/>
          <w:color w:val="000000" w:themeColor="text1"/>
          <w:lang w:val="es-ES_tradnl"/>
        </w:rPr>
        <w:t xml:space="preserve">El mencionado artículo dispone que se considera </w:t>
      </w:r>
      <w:r w:rsidRPr="00EB1CF7">
        <w:rPr>
          <w:rFonts w:ascii="Verdana" w:eastAsia="Calibri" w:hAnsi="Verdana" w:cs="Arial"/>
          <w:i/>
          <w:iCs/>
          <w:color w:val="000000" w:themeColor="text1"/>
          <w:lang w:val="es-ES_tradnl"/>
        </w:rPr>
        <w:t>“</w:t>
      </w:r>
      <w:r w:rsidRPr="00EB1CF7">
        <w:rPr>
          <w:rFonts w:ascii="Verdana" w:eastAsia="Calibri" w:hAnsi="Verdana" w:cs="Arial"/>
          <w:color w:val="000000" w:themeColor="text1"/>
          <w:lang w:val="es-ES_tradnl"/>
        </w:rPr>
        <w:t>objetiva la selección en la cual la escogencia se haga al ofrecimiento más favorable a la entidad y a los fines que ella busca, sin tener en consideración factores de afecto o de interés y, en general, cualquier clase de motivación subjetiva</w:t>
      </w:r>
      <w:r w:rsidRPr="00EB1CF7">
        <w:rPr>
          <w:rFonts w:ascii="Verdana" w:eastAsia="Calibri" w:hAnsi="Verdana" w:cs="Arial"/>
          <w:i/>
          <w:iCs/>
          <w:color w:val="000000" w:themeColor="text1"/>
          <w:lang w:val="es-ES_tradnl"/>
        </w:rPr>
        <w:t>”</w:t>
      </w:r>
      <w:r w:rsidRPr="00EB1CF7">
        <w:rPr>
          <w:rFonts w:ascii="Verdana" w:eastAsia="Calibri" w:hAnsi="Verdana" w:cs="Arial"/>
          <w:color w:val="000000" w:themeColor="text1"/>
          <w:lang w:val="es-ES_tradnl"/>
        </w:rPr>
        <w:t xml:space="preserve">. </w:t>
      </w:r>
      <w:r w:rsidR="007523E7">
        <w:rPr>
          <w:rFonts w:ascii="Verdana" w:eastAsia="Calibri" w:hAnsi="Verdana" w:cs="Arial"/>
          <w:color w:val="000000" w:themeColor="text1"/>
          <w:lang w:val="es-ES_tradnl"/>
        </w:rPr>
        <w:t>De este modo</w:t>
      </w:r>
      <w:r w:rsidRPr="00EB1CF7">
        <w:rPr>
          <w:rFonts w:ascii="Verdana" w:eastAsia="Calibri" w:hAnsi="Verdana" w:cs="Arial"/>
          <w:color w:val="000000" w:themeColor="text1"/>
          <w:lang w:val="es-ES_tradnl"/>
        </w:rPr>
        <w:t xml:space="preserve">, los factores de escogencia y calificación que establezcan las entidades en los pliegos de condiciones o sus documentos equivalentes deberán tener en cuenta, entre otras cuestiones, los criterios establecidos en dicha disposición. Específicamente, el numeral 1º del artículo referido establece que en los procesos de selección de </w:t>
      </w:r>
      <w:r w:rsidRPr="00EB1CF7">
        <w:rPr>
          <w:rFonts w:ascii="Verdana" w:eastAsia="Calibri" w:hAnsi="Verdana" w:cs="Arial"/>
          <w:color w:val="000000" w:themeColor="text1"/>
          <w:lang w:val="es-ES_tradnl"/>
        </w:rPr>
        <w:lastRenderedPageBreak/>
        <w:t xml:space="preserve">contratistas serán objeto de verificación, como requisitos habilitantes, </w:t>
      </w:r>
      <w:r w:rsidRPr="00EB1CF7">
        <w:rPr>
          <w:rFonts w:ascii="Verdana" w:eastAsia="Calibri" w:hAnsi="Verdana" w:cs="Arial"/>
          <w:i/>
          <w:iCs/>
          <w:color w:val="000000" w:themeColor="text1"/>
          <w:lang w:val="es-ES_tradnl"/>
        </w:rPr>
        <w:t>entre otros</w:t>
      </w:r>
      <w:r w:rsidRPr="00EB1CF7">
        <w:rPr>
          <w:rFonts w:ascii="Verdana" w:eastAsia="Calibri" w:hAnsi="Verdana" w:cs="Arial"/>
          <w:color w:val="000000" w:themeColor="text1"/>
          <w:lang w:val="es-ES_tradnl"/>
        </w:rPr>
        <w:t>, los siguientes: i) la capacidad jurídica; ii) la experiencia; iii) la capacidad financiera y iv) la capacidad de organización</w:t>
      </w:r>
      <w:r w:rsidR="009616D4">
        <w:rPr>
          <w:rFonts w:ascii="Verdana" w:eastAsia="Calibri" w:hAnsi="Verdana" w:cs="Arial"/>
          <w:color w:val="000000" w:themeColor="text1"/>
          <w:lang w:val="es-ES_tradnl"/>
        </w:rPr>
        <w:t xml:space="preserve">. </w:t>
      </w:r>
      <w:r w:rsidR="00F61C7A" w:rsidRPr="00F61C7A">
        <w:rPr>
          <w:rFonts w:ascii="Verdana" w:eastAsia="Calibri" w:hAnsi="Verdana" w:cs="Arial"/>
          <w:color w:val="000000" w:themeColor="text1"/>
          <w:lang w:val="es-ES_tradnl"/>
        </w:rPr>
        <w:t xml:space="preserve">En efecto, la normativa citada dispone: </w:t>
      </w:r>
    </w:p>
    <w:p w14:paraId="6EE22E07" w14:textId="77777777" w:rsidR="00F61C7A" w:rsidRPr="00F61C7A" w:rsidRDefault="00F61C7A" w:rsidP="00F61C7A">
      <w:pPr>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 xml:space="preserve">“Artículo 5. De la Selección Objetiva. </w:t>
      </w:r>
    </w:p>
    <w:p w14:paraId="760CA944" w14:textId="77777777" w:rsidR="00F61C7A" w:rsidRPr="00F61C7A" w:rsidRDefault="00F61C7A" w:rsidP="00F61C7A">
      <w:pPr>
        <w:spacing w:after="120"/>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w:t>
      </w:r>
    </w:p>
    <w:p w14:paraId="23151A3D" w14:textId="46AE7A08" w:rsidR="00E66BA2" w:rsidRPr="00F61C7A" w:rsidRDefault="00F61C7A" w:rsidP="00F61C7A">
      <w:pPr>
        <w:spacing w:after="120"/>
        <w:ind w:left="709" w:right="709"/>
        <w:jc w:val="both"/>
        <w:rPr>
          <w:rFonts w:ascii="Verdana" w:eastAsia="Calibri" w:hAnsi="Verdana" w:cs="Arial"/>
          <w:color w:val="000000" w:themeColor="text1"/>
          <w:sz w:val="21"/>
          <w:szCs w:val="21"/>
          <w:lang w:val="es-ES_tradnl"/>
        </w:rPr>
      </w:pPr>
      <w:r w:rsidRPr="00F61C7A">
        <w:rPr>
          <w:rFonts w:ascii="Verdana" w:eastAsia="Calibri" w:hAnsi="Verdana" w:cs="Arial"/>
          <w:color w:val="000000" w:themeColor="text1"/>
          <w:sz w:val="21"/>
          <w:szCs w:val="21"/>
          <w:lang w:val="es-ES_tradnl"/>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 de la presente ley, de acuerdo con lo cual se expedirá la respectiva certificación. […]”.</w:t>
      </w:r>
    </w:p>
    <w:p w14:paraId="00B88149" w14:textId="2F3334B9" w:rsidR="00444140" w:rsidRDefault="009148D8" w:rsidP="004F60F4">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Conforme lo ha sosteni</w:t>
      </w:r>
      <w:r w:rsidR="00C0083F">
        <w:rPr>
          <w:rFonts w:ascii="Verdana" w:eastAsia="Calibri" w:hAnsi="Verdana" w:cs="Arial"/>
          <w:color w:val="000000" w:themeColor="text1"/>
          <w:lang w:val="es-ES_tradnl"/>
        </w:rPr>
        <w:t>do</w:t>
      </w:r>
      <w:r>
        <w:rPr>
          <w:rFonts w:ascii="Verdana" w:eastAsia="Calibri" w:hAnsi="Verdana" w:cs="Arial"/>
          <w:color w:val="000000" w:themeColor="text1"/>
          <w:lang w:val="es-ES_tradnl"/>
        </w:rPr>
        <w:t xml:space="preserve"> esta </w:t>
      </w:r>
      <w:r w:rsidR="0095770C">
        <w:rPr>
          <w:rFonts w:ascii="Verdana" w:eastAsia="Calibri" w:hAnsi="Verdana" w:cs="Arial"/>
          <w:color w:val="000000" w:themeColor="text1"/>
          <w:lang w:val="es-ES_tradnl"/>
        </w:rPr>
        <w:t>Agencia</w:t>
      </w:r>
      <w:r>
        <w:rPr>
          <w:rFonts w:ascii="Verdana" w:eastAsia="Calibri" w:hAnsi="Verdana" w:cs="Arial"/>
          <w:color w:val="000000" w:themeColor="text1"/>
          <w:lang w:val="es-ES_tradnl"/>
        </w:rPr>
        <w:t xml:space="preserve"> en distintos conc</w:t>
      </w:r>
      <w:r w:rsidR="00C0083F">
        <w:rPr>
          <w:rFonts w:ascii="Verdana" w:eastAsia="Calibri" w:hAnsi="Verdana" w:cs="Arial"/>
          <w:color w:val="000000" w:themeColor="text1"/>
          <w:lang w:val="es-ES_tradnl"/>
        </w:rPr>
        <w:t>eptos</w:t>
      </w:r>
      <w:r w:rsidR="00560C62">
        <w:rPr>
          <w:rFonts w:ascii="Verdana" w:eastAsia="Calibri" w:hAnsi="Verdana" w:cs="Arial"/>
          <w:color w:val="000000" w:themeColor="text1"/>
          <w:lang w:val="es-ES_tradnl"/>
        </w:rPr>
        <w:t xml:space="preserve">, </w:t>
      </w:r>
      <w:r w:rsidR="006D2F09" w:rsidRPr="006D2F09">
        <w:rPr>
          <w:rFonts w:ascii="Verdana" w:eastAsia="Calibri" w:hAnsi="Verdana" w:cs="Arial"/>
          <w:color w:val="000000" w:themeColor="text1"/>
          <w:lang w:val="es-ES_tradnl"/>
        </w:rPr>
        <w:t>los requisitos habilitantes establecidos en el artículo 5, numeral 1, de la Ley 1150 de 2007</w:t>
      </w:r>
      <w:r w:rsidR="00C0083F">
        <w:rPr>
          <w:rFonts w:ascii="Verdana" w:eastAsia="Calibri" w:hAnsi="Verdana" w:cs="Arial"/>
          <w:color w:val="000000" w:themeColor="text1"/>
          <w:lang w:val="es-ES_tradnl"/>
        </w:rPr>
        <w:t xml:space="preserve"> </w:t>
      </w:r>
      <w:r w:rsidR="00E47A20">
        <w:rPr>
          <w:rFonts w:ascii="Verdana" w:eastAsia="Calibri" w:hAnsi="Verdana" w:cs="Arial"/>
          <w:color w:val="000000" w:themeColor="text1"/>
          <w:lang w:val="es-ES_tradnl"/>
        </w:rPr>
        <w:t>son de carácter enunciativos y no taxativo</w:t>
      </w:r>
      <w:r w:rsidR="007F39B8">
        <w:rPr>
          <w:rFonts w:ascii="Verdana" w:eastAsia="Calibri" w:hAnsi="Verdana" w:cs="Arial"/>
          <w:color w:val="000000" w:themeColor="text1"/>
          <w:lang w:val="es-ES_tradnl"/>
        </w:rPr>
        <w:t>s</w:t>
      </w:r>
      <w:r w:rsidR="00C0083F">
        <w:rPr>
          <w:rFonts w:ascii="Verdana" w:eastAsia="Calibri" w:hAnsi="Verdana" w:cs="Arial"/>
          <w:color w:val="000000" w:themeColor="text1"/>
          <w:lang w:val="es-ES_tradnl"/>
        </w:rPr>
        <w:t xml:space="preserve">. </w:t>
      </w:r>
      <w:r w:rsidR="00F5480F">
        <w:rPr>
          <w:rFonts w:ascii="Verdana" w:eastAsia="Calibri" w:hAnsi="Verdana" w:cs="Arial"/>
          <w:color w:val="000000" w:themeColor="text1"/>
          <w:lang w:val="es-ES_tradnl"/>
        </w:rPr>
        <w:t>Esta interpretación legal</w:t>
      </w:r>
      <w:r w:rsidR="00C0083F">
        <w:rPr>
          <w:rFonts w:ascii="Verdana" w:eastAsia="Calibri" w:hAnsi="Verdana" w:cs="Arial"/>
          <w:color w:val="000000" w:themeColor="text1"/>
          <w:lang w:val="es-ES_tradnl"/>
        </w:rPr>
        <w:t xml:space="preserve"> se resume en los siguientes argumentos:</w:t>
      </w:r>
      <w:r w:rsidR="002353E3">
        <w:rPr>
          <w:rFonts w:ascii="Verdana" w:eastAsia="Calibri" w:hAnsi="Verdana" w:cs="Arial"/>
          <w:color w:val="000000" w:themeColor="text1"/>
          <w:lang w:val="es-ES_tradnl"/>
        </w:rPr>
        <w:t xml:space="preserve"> </w:t>
      </w:r>
      <w:r w:rsidR="00444140">
        <w:rPr>
          <w:rFonts w:ascii="Verdana" w:eastAsia="Calibri" w:hAnsi="Verdana" w:cs="Arial"/>
          <w:color w:val="000000" w:themeColor="text1"/>
          <w:lang w:val="es-ES_tradnl"/>
        </w:rPr>
        <w:t>E</w:t>
      </w:r>
      <w:r w:rsidR="007577B1" w:rsidRPr="007577B1">
        <w:rPr>
          <w:rFonts w:ascii="Verdana" w:eastAsia="Calibri" w:hAnsi="Verdana" w:cs="Arial"/>
          <w:color w:val="000000" w:themeColor="text1"/>
          <w:lang w:val="es-ES_tradnl"/>
        </w:rPr>
        <w:t>sta</w:t>
      </w:r>
      <w:r w:rsidR="007F39B8">
        <w:rPr>
          <w:rFonts w:ascii="Verdana" w:eastAsia="Calibri" w:hAnsi="Verdana" w:cs="Arial"/>
          <w:color w:val="000000" w:themeColor="text1"/>
          <w:lang w:val="es-ES_tradnl"/>
        </w:rPr>
        <w:t xml:space="preserve"> norma</w:t>
      </w:r>
      <w:r w:rsidR="007577B1" w:rsidRPr="007577B1">
        <w:rPr>
          <w:rFonts w:ascii="Verdana" w:eastAsia="Calibri" w:hAnsi="Verdana" w:cs="Arial"/>
          <w:color w:val="000000" w:themeColor="text1"/>
          <w:lang w:val="es-ES_tradnl"/>
        </w:rPr>
        <w:t xml:space="preserve"> no contiene una expresión como “únicamente” o “solo”, al referirse a los requisitos habilitantes y, además, debido a que la lectura integral de las normas que regulan la contratación estatal permite concluir que existen otras condiciones que deben cumplirse para la contratación con una entidad pública, como pasa, por ejemplo, con la capacidad residual a la que se refiere el artículo 6º, parágrafo 1, de la Ley 1150 de 2007</w:t>
      </w:r>
      <w:r w:rsidR="00D80631">
        <w:rPr>
          <w:rStyle w:val="Refdenotaalpie"/>
          <w:rFonts w:ascii="Verdana" w:eastAsia="Calibri" w:hAnsi="Verdana" w:cs="Arial"/>
          <w:color w:val="000000" w:themeColor="text1"/>
          <w:lang w:val="es-ES_tradnl"/>
        </w:rPr>
        <w:footnoteReference w:id="2"/>
      </w:r>
      <w:r w:rsidR="007577B1" w:rsidRPr="007577B1">
        <w:rPr>
          <w:rFonts w:ascii="Verdana" w:eastAsia="Calibri" w:hAnsi="Verdana" w:cs="Arial"/>
          <w:color w:val="000000" w:themeColor="text1"/>
          <w:lang w:val="es-ES_tradnl"/>
        </w:rPr>
        <w:t>.</w:t>
      </w:r>
    </w:p>
    <w:p w14:paraId="4476AFEF" w14:textId="65FC9F63" w:rsidR="00C5781B" w:rsidRDefault="00C5781B" w:rsidP="004F60F4">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Además, l</w:t>
      </w:r>
      <w:r w:rsidR="008F51FF" w:rsidRPr="008F51FF">
        <w:rPr>
          <w:rFonts w:ascii="Verdana" w:eastAsia="Calibri" w:hAnsi="Verdana" w:cs="Arial"/>
          <w:color w:val="000000" w:themeColor="text1"/>
          <w:lang w:val="es-ES_tradnl"/>
        </w:rPr>
        <w:t>a intención del legislador, de la cual dan cuenta los antecedentes legislativos de la norma sub examine</w:t>
      </w:r>
      <w:r w:rsidR="007E577E">
        <w:rPr>
          <w:rStyle w:val="Refdenotaalpie"/>
          <w:rFonts w:ascii="Verdana" w:eastAsia="Calibri" w:hAnsi="Verdana" w:cs="Arial"/>
          <w:color w:val="000000" w:themeColor="text1"/>
          <w:lang w:val="es-ES_tradnl"/>
        </w:rPr>
        <w:footnoteReference w:id="3"/>
      </w:r>
      <w:r w:rsidR="008F51FF" w:rsidRPr="008F51FF">
        <w:rPr>
          <w:rFonts w:ascii="Verdana" w:eastAsia="Calibri" w:hAnsi="Verdana" w:cs="Arial"/>
          <w:color w:val="000000" w:themeColor="text1"/>
          <w:lang w:val="es-ES_tradnl"/>
        </w:rPr>
        <w:t xml:space="preserve">, también justifica la interpretación </w:t>
      </w:r>
      <w:r w:rsidR="008F51FF" w:rsidRPr="008F51FF">
        <w:rPr>
          <w:rFonts w:ascii="Verdana" w:eastAsia="Calibri" w:hAnsi="Verdana" w:cs="Arial"/>
          <w:color w:val="000000" w:themeColor="text1"/>
          <w:lang w:val="es-ES_tradnl"/>
        </w:rPr>
        <w:lastRenderedPageBreak/>
        <w:t>propuesta por esta Agencia, ya que fue hasta el cuarto debate legislativo en donde se incluyó</w:t>
      </w:r>
      <w:r w:rsidR="00524C9C">
        <w:rPr>
          <w:rFonts w:ascii="Verdana" w:eastAsia="Calibri" w:hAnsi="Verdana" w:cs="Arial"/>
          <w:color w:val="000000" w:themeColor="text1"/>
          <w:lang w:val="es-ES_tradnl"/>
        </w:rPr>
        <w:t xml:space="preserve"> </w:t>
      </w:r>
      <w:r w:rsidR="009B2760" w:rsidRPr="009B2760">
        <w:rPr>
          <w:rFonts w:ascii="Verdana" w:eastAsia="Calibri" w:hAnsi="Verdana" w:cs="Arial"/>
          <w:color w:val="000000" w:themeColor="text1"/>
          <w:lang w:val="es-ES_tradnl"/>
        </w:rPr>
        <w:t>parágrafo 2 del mismo artículo 5 de la Ley 1150 de 2007</w:t>
      </w:r>
      <w:r w:rsidR="002F03C8">
        <w:rPr>
          <w:rStyle w:val="Refdenotaalpie"/>
          <w:rFonts w:ascii="Verdana" w:eastAsia="Calibri" w:hAnsi="Verdana" w:cs="Arial"/>
          <w:color w:val="000000" w:themeColor="text1"/>
          <w:lang w:val="es-ES_tradnl"/>
        </w:rPr>
        <w:footnoteReference w:id="4"/>
      </w:r>
      <w:r w:rsidR="007E577E">
        <w:rPr>
          <w:rFonts w:ascii="Verdana" w:eastAsia="Calibri" w:hAnsi="Verdana" w:cs="Arial"/>
          <w:color w:val="000000" w:themeColor="text1"/>
          <w:lang w:val="es-ES_tradnl"/>
        </w:rPr>
        <w:t xml:space="preserve">, </w:t>
      </w:r>
      <w:r w:rsidR="008F51FF" w:rsidRPr="008F51FF">
        <w:rPr>
          <w:rFonts w:ascii="Verdana" w:eastAsia="Calibri" w:hAnsi="Verdana" w:cs="Arial"/>
          <w:color w:val="000000" w:themeColor="text1"/>
          <w:lang w:val="es-ES_tradnl"/>
        </w:rPr>
        <w:t xml:space="preserve">lo que deja ver la necesidad que tenía el Congreso de aclarar que unos documentos no podrían ser tenidos como requisitos habilitantes, lo que </w:t>
      </w:r>
      <w:r w:rsidR="00295002">
        <w:rPr>
          <w:rFonts w:ascii="Verdana" w:eastAsia="Calibri" w:hAnsi="Verdana" w:cs="Arial"/>
          <w:color w:val="000000" w:themeColor="text1"/>
          <w:lang w:val="es-ES_tradnl"/>
        </w:rPr>
        <w:t xml:space="preserve">asimismo evidencia </w:t>
      </w:r>
      <w:r w:rsidR="008F51FF" w:rsidRPr="008F51FF">
        <w:rPr>
          <w:rFonts w:ascii="Verdana" w:eastAsia="Calibri" w:hAnsi="Verdana" w:cs="Arial"/>
          <w:color w:val="000000" w:themeColor="text1"/>
          <w:lang w:val="es-ES_tradnl"/>
        </w:rPr>
        <w:t xml:space="preserve">el reconocimiento tácito de la existencia de otros requisitos habilitantes, distintos a los cuatro que establece el artículo 5, </w:t>
      </w:r>
      <w:r w:rsidR="00905130">
        <w:rPr>
          <w:rFonts w:ascii="Verdana" w:eastAsia="Calibri" w:hAnsi="Verdana" w:cs="Arial"/>
          <w:color w:val="000000" w:themeColor="text1"/>
          <w:lang w:val="es-ES_tradnl"/>
        </w:rPr>
        <w:t xml:space="preserve">numeral </w:t>
      </w:r>
      <w:r w:rsidR="008F51FF" w:rsidRPr="008F51FF">
        <w:rPr>
          <w:rFonts w:ascii="Verdana" w:eastAsia="Calibri" w:hAnsi="Verdana" w:cs="Arial"/>
          <w:color w:val="000000" w:themeColor="text1"/>
          <w:lang w:val="es-ES_tradnl"/>
        </w:rPr>
        <w:t>1, de la Ley 1150 de 2007</w:t>
      </w:r>
      <w:r w:rsidR="00627643">
        <w:rPr>
          <w:rStyle w:val="Refdenotaalpie"/>
          <w:rFonts w:ascii="Verdana" w:eastAsia="Calibri" w:hAnsi="Verdana" w:cs="Arial"/>
          <w:color w:val="000000" w:themeColor="text1"/>
          <w:lang w:val="es-ES_tradnl"/>
        </w:rPr>
        <w:footnoteReference w:id="5"/>
      </w:r>
      <w:r w:rsidR="00F44642">
        <w:rPr>
          <w:rFonts w:ascii="Verdana" w:eastAsia="Calibri" w:hAnsi="Verdana" w:cs="Arial"/>
          <w:color w:val="000000" w:themeColor="text1"/>
          <w:lang w:val="es-ES_tradnl"/>
        </w:rPr>
        <w:t xml:space="preserve">. </w:t>
      </w:r>
    </w:p>
    <w:p w14:paraId="0018C300" w14:textId="7D37AFE4" w:rsidR="002D2D68" w:rsidRPr="009616D4" w:rsidRDefault="00C5781B" w:rsidP="004F60F4">
      <w:pPr>
        <w:spacing w:line="276" w:lineRule="auto"/>
        <w:ind w:firstLine="708"/>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Por último, e</w:t>
      </w:r>
      <w:r w:rsidR="00FF0CF5" w:rsidRPr="00FF0CF5">
        <w:rPr>
          <w:rFonts w:ascii="Verdana" w:eastAsia="Calibri" w:hAnsi="Verdana" w:cs="Arial"/>
          <w:color w:val="000000" w:themeColor="text1"/>
          <w:lang w:val="es-ES_tradnl"/>
        </w:rPr>
        <w:t xml:space="preserve">n el “Manual para determinar y verificar los requisitos habilitantes en los Procesos de Contratación” expedido por esta Agencia, </w:t>
      </w:r>
      <w:r w:rsidR="00E17981">
        <w:rPr>
          <w:rFonts w:ascii="Verdana" w:eastAsia="Calibri" w:hAnsi="Verdana" w:cs="Arial"/>
          <w:color w:val="000000" w:themeColor="text1"/>
          <w:lang w:val="es-ES_tradnl"/>
        </w:rPr>
        <w:t xml:space="preserve">en el cual </w:t>
      </w:r>
      <w:r w:rsidR="00FF0CF5" w:rsidRPr="00FF0CF5">
        <w:rPr>
          <w:rFonts w:ascii="Verdana" w:eastAsia="Calibri" w:hAnsi="Verdana" w:cs="Arial"/>
          <w:color w:val="000000" w:themeColor="text1"/>
          <w:lang w:val="es-ES_tradnl"/>
        </w:rPr>
        <w:t>se determinaron los parámetros para establecer, acreditar y subsanar los requisitos habilitantes estudiados en los párrafos precedentes</w:t>
      </w:r>
      <w:r w:rsidR="00E17981">
        <w:rPr>
          <w:rFonts w:ascii="Verdana" w:eastAsia="Calibri" w:hAnsi="Verdana" w:cs="Arial"/>
          <w:color w:val="000000" w:themeColor="text1"/>
          <w:lang w:val="es-ES_tradnl"/>
        </w:rPr>
        <w:t xml:space="preserve">, se indica que </w:t>
      </w:r>
      <w:r w:rsidR="003B3FF1">
        <w:rPr>
          <w:rFonts w:ascii="Verdana" w:eastAsia="Calibri" w:hAnsi="Verdana" w:cs="Arial"/>
          <w:color w:val="000000" w:themeColor="text1"/>
          <w:lang w:val="es-ES_tradnl"/>
        </w:rPr>
        <w:t xml:space="preserve">su </w:t>
      </w:r>
      <w:r w:rsidR="00FF0CF5" w:rsidRPr="00FF0CF5">
        <w:rPr>
          <w:rFonts w:ascii="Verdana" w:eastAsia="Calibri" w:hAnsi="Verdana" w:cs="Arial"/>
          <w:color w:val="000000" w:themeColor="text1"/>
          <w:lang w:val="es-ES_tradnl"/>
        </w:rPr>
        <w:t xml:space="preserve">propósito consiste en “establecer unas condiciones mínimas para los proponentes de tal manera que la Entidad Estatal sólo evalúe las ofertas de aquellos que están en condiciones de cumplir con el objeto del Proceso de Contratación”. En otras palabras, al tratarse de condiciones mínimas, significa que las entidades podrían establecer otras, según su autonomía de la voluntad, </w:t>
      </w:r>
      <w:r w:rsidR="00FF0CF5" w:rsidRPr="00FF0CF5">
        <w:rPr>
          <w:rFonts w:ascii="Verdana" w:eastAsia="Calibri" w:hAnsi="Verdana" w:cs="Arial"/>
          <w:color w:val="000000" w:themeColor="text1"/>
          <w:lang w:val="es-ES_tradnl"/>
        </w:rPr>
        <w:lastRenderedPageBreak/>
        <w:t>y teniendo en cuenta el objeto del contrato, los riesgos detectados en los estudios previos, el presupuesto oficial, entre otros factores.</w:t>
      </w:r>
    </w:p>
    <w:p w14:paraId="61F14519" w14:textId="5F51AC94" w:rsidR="006037C5" w:rsidRDefault="00321FFD" w:rsidP="006037C5">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 xml:space="preserve">En </w:t>
      </w:r>
      <w:r w:rsidR="0087378E">
        <w:rPr>
          <w:rFonts w:ascii="Verdana" w:eastAsia="Calibri" w:hAnsi="Verdana" w:cs="Arial"/>
          <w:color w:val="000000" w:themeColor="text1"/>
        </w:rPr>
        <w:t xml:space="preserve">consecuencia, </w:t>
      </w:r>
      <w:r w:rsidR="009616D4" w:rsidRPr="009616D4">
        <w:rPr>
          <w:rFonts w:ascii="Verdana" w:eastAsia="Calibri" w:hAnsi="Verdana" w:cs="Arial"/>
          <w:color w:val="000000" w:themeColor="text1"/>
        </w:rPr>
        <w:t xml:space="preserve">corresponde a las entidades estatales, durante la etapa de planeación del contrato estatal, estudiar y determinar los requisitos habilitantes que establecerán en los pliegos de condiciones, los cuales deben fijarse de forma adecuada y proporcional. Esto último, según se deriva de la lectura del artículo 2.2.1.1.1.6.2 del Decreto 1082 de 2015, debe hacerse de acuerdo </w:t>
      </w:r>
      <w:bookmarkStart w:id="3" w:name="_Hlk182863897"/>
      <w:r w:rsidR="009616D4" w:rsidRPr="009616D4">
        <w:rPr>
          <w:rFonts w:ascii="Verdana" w:eastAsia="Calibri" w:hAnsi="Verdana" w:cs="Arial"/>
          <w:color w:val="000000" w:themeColor="text1"/>
        </w:rPr>
        <w:t>con la naturaleza, el valor del contrato, la forma de pago, los riesgos asociados al contrato, el plazo y la complejidad de ejecución del objeto</w:t>
      </w:r>
      <w:r w:rsidR="00DD1941">
        <w:rPr>
          <w:rStyle w:val="Refdenotaalpie"/>
          <w:rFonts w:ascii="Verdana" w:eastAsia="Calibri" w:hAnsi="Verdana" w:cs="Arial"/>
          <w:color w:val="000000" w:themeColor="text1"/>
        </w:rPr>
        <w:footnoteReference w:id="6"/>
      </w:r>
      <w:r w:rsidR="009616D4" w:rsidRPr="009616D4">
        <w:rPr>
          <w:rFonts w:ascii="Verdana" w:eastAsia="Calibri" w:hAnsi="Verdana" w:cs="Arial"/>
          <w:color w:val="000000" w:themeColor="text1"/>
        </w:rPr>
        <w:t>.</w:t>
      </w:r>
      <w:bookmarkEnd w:id="3"/>
    </w:p>
    <w:p w14:paraId="232DCDF7" w14:textId="14BD7E8E" w:rsidR="009616D4" w:rsidRPr="009616D4" w:rsidRDefault="006037C5" w:rsidP="006037C5">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De esta manera,</w:t>
      </w:r>
      <w:r w:rsidR="009616D4" w:rsidRPr="009616D4">
        <w:rPr>
          <w:rFonts w:ascii="Verdana" w:eastAsia="Calibri" w:hAnsi="Verdana" w:cs="Arial"/>
          <w:color w:val="000000" w:themeColor="text1"/>
        </w:rPr>
        <w:t xml:space="preserve"> la facultad de establecer los requisitos habilitantes no puede ejercerse de forma arbitraria, caprichosa y, mucho menos, con el ánimo de direccionar el proceso de contratación o favorecer a alguno de los proponentes, así como tampoco puede ejercerse desconociendo límites legales, como, por ejemplo, el que estable el artículo 5, parágrafo 2, de la Ley 1150 de 2007, relacionado con la prohibición de exigir certificaciones de sistemas de gestión de calidad como requisito habilitante. </w:t>
      </w:r>
    </w:p>
    <w:p w14:paraId="2F434DE1" w14:textId="77777777" w:rsidR="009616D4" w:rsidRPr="009616D4" w:rsidRDefault="009616D4" w:rsidP="009616D4">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455CB6BB" w14:textId="681365A2" w:rsidR="00584D04" w:rsidRDefault="00C15E81" w:rsidP="009616D4">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En este sentido, e</w:t>
      </w:r>
      <w:r w:rsidR="009616D4" w:rsidRPr="009616D4">
        <w:rPr>
          <w:rFonts w:ascii="Verdana" w:eastAsia="Calibri" w:hAnsi="Verdana" w:cs="Arial"/>
          <w:color w:val="000000" w:themeColor="text1"/>
        </w:rPr>
        <w:t xml:space="preserve">l principio de autonomía de la voluntad, reconocido en los artículos 13, 32 y 40 de la Ley 80 de 1993 para las entidades sometidas a esta, y en el artículo 1602 del Código Civil, para las exceptuadas de aquella, actúa entonces como el fundamento normativo que otorga a las entidades estatales competencia para que puedan solicitar requisitos habilitantes adicionales o diferentes a los establecidos en el numeral 1º del artículo 5 de la Ley 1150 de 2007. En realidad, lo que este numeral establece es una limitación </w:t>
      </w:r>
      <w:r w:rsidR="009616D4" w:rsidRPr="009616D4">
        <w:rPr>
          <w:rFonts w:ascii="Verdana" w:eastAsia="Calibri" w:hAnsi="Verdana" w:cs="Arial"/>
          <w:color w:val="000000" w:themeColor="text1"/>
        </w:rPr>
        <w:lastRenderedPageBreak/>
        <w:t xml:space="preserve">a la discrecionalidad administrativa para la estipulación de los requisitos de participación, bajo la óptica de que, si se incluyen los que aquel prevé, por regla general, no otorgan puntaje; pero tal enunciado no ha de interpretarse en el sentido de que las entidades solo pueden exigir, única y exclusivamente, dichos requisitos habilitantes. </w:t>
      </w:r>
    </w:p>
    <w:p w14:paraId="440F7FB6" w14:textId="7B3DF5C2" w:rsidR="009616D4" w:rsidRPr="009616D4" w:rsidRDefault="009616D4" w:rsidP="009616D4">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Esto en la medida que</w:t>
      </w:r>
      <w:r w:rsidR="00C91D19">
        <w:rPr>
          <w:rFonts w:ascii="Verdana" w:eastAsia="Calibri" w:hAnsi="Verdana" w:cs="Arial"/>
          <w:color w:val="000000" w:themeColor="text1"/>
        </w:rPr>
        <w:t>,</w:t>
      </w:r>
      <w:r w:rsidRPr="009616D4">
        <w:rPr>
          <w:rFonts w:ascii="Verdana" w:eastAsia="Calibri" w:hAnsi="Verdana" w:cs="Arial"/>
          <w:color w:val="000000" w:themeColor="text1"/>
        </w:rPr>
        <w:t xml:space="preserve"> además de los argumentos que ya se han planteado, esa lectura negaría la autonomía reconocida en el Estatuto General de Contratación de la Administración Pública a los órganos del Estado para confeccionar el pliego de condiciones o los documentos equivalentes y, específicamente, para definir los requisitos que deben reunir los oferentes, según los factores advertidos durante los estudios previos, en armonía con los principios de legalidad y proporcionalidad.</w:t>
      </w:r>
    </w:p>
    <w:p w14:paraId="21A35431" w14:textId="77777777" w:rsidR="009616D4" w:rsidRPr="009616D4" w:rsidRDefault="009616D4" w:rsidP="009616D4">
      <w:pPr>
        <w:widowControl w:val="0"/>
        <w:autoSpaceDE w:val="0"/>
        <w:autoSpaceDN w:val="0"/>
        <w:spacing w:line="276" w:lineRule="auto"/>
        <w:ind w:firstLine="709"/>
        <w:jc w:val="both"/>
        <w:rPr>
          <w:rFonts w:ascii="Verdana" w:eastAsia="Calibri" w:hAnsi="Verdana" w:cs="Arial"/>
          <w:color w:val="000000" w:themeColor="text1"/>
        </w:rPr>
      </w:pPr>
      <w:r w:rsidRPr="009616D4">
        <w:rPr>
          <w:rFonts w:ascii="Verdana" w:eastAsia="Calibri" w:hAnsi="Verdana" w:cs="Arial"/>
          <w:color w:val="000000" w:themeColor="text1"/>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65DB3028" w14:textId="22925EB8" w:rsidR="00692401" w:rsidRDefault="00B35EF5" w:rsidP="00577AC3">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Así las cosas</w:t>
      </w:r>
      <w:r w:rsidR="009616D4" w:rsidRPr="009616D4">
        <w:rPr>
          <w:rFonts w:ascii="Verdana" w:eastAsia="Calibri" w:hAnsi="Verdana" w:cs="Arial"/>
          <w:color w:val="000000" w:themeColor="text1"/>
        </w:rPr>
        <w:t xml:space="preserve">, </w:t>
      </w:r>
      <w:r>
        <w:rPr>
          <w:rFonts w:ascii="Verdana" w:eastAsia="Calibri" w:hAnsi="Verdana" w:cs="Arial"/>
          <w:color w:val="000000" w:themeColor="text1"/>
        </w:rPr>
        <w:t>se concluye</w:t>
      </w:r>
      <w:r w:rsidR="009616D4" w:rsidRPr="009616D4">
        <w:rPr>
          <w:rFonts w:ascii="Verdana" w:eastAsia="Calibri" w:hAnsi="Verdana" w:cs="Arial"/>
          <w:color w:val="000000" w:themeColor="text1"/>
        </w:rPr>
        <w:t xml:space="preserve"> que aunque la Ley 1150 de 2007 estableció unos requisitos habilitantes para los proponentes: la capacidad jurídica, las condiciones de experiencia, la capacidad financiera y la capacidad de organización, lo cierto es que los mismos no son taxativos; que los requisitos habilitantes deben ser establecidos por la Entidad Estatal en cada proceso contractual, debidamente justificados y de acuerdo con los parámetros fijados en el Decreto 1082 de 2015; y que una vez establecidos los requisitos habilitantes, quienes presenten ofertas deben acreditar que cumplen con ellos, so pena de que sus propuestas sean rechazadas. Esto sin perjuicio de la posibilidad de subsanarlas, cuando a ello haya lugar.</w:t>
      </w:r>
    </w:p>
    <w:p w14:paraId="513E4F8A" w14:textId="5DD0FAAE" w:rsidR="002908F8" w:rsidRDefault="003F5A39" w:rsidP="002908F8">
      <w:pPr>
        <w:widowControl w:val="0"/>
        <w:autoSpaceDE w:val="0"/>
        <w:autoSpaceDN w:val="0"/>
        <w:spacing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 xml:space="preserve">Ahora bien, </w:t>
      </w:r>
      <w:r w:rsidR="00354405">
        <w:rPr>
          <w:rFonts w:ascii="Verdana" w:eastAsia="Calibri" w:hAnsi="Verdana" w:cs="Arial"/>
          <w:color w:val="000000" w:themeColor="text1"/>
        </w:rPr>
        <w:t xml:space="preserve">para </w:t>
      </w:r>
      <w:r w:rsidR="00AB37DB">
        <w:rPr>
          <w:rFonts w:ascii="Verdana" w:eastAsia="Calibri" w:hAnsi="Verdana" w:cs="Arial"/>
          <w:color w:val="000000" w:themeColor="text1"/>
        </w:rPr>
        <w:t>revisar</w:t>
      </w:r>
      <w:r w:rsidR="00354405">
        <w:rPr>
          <w:rFonts w:ascii="Verdana" w:eastAsia="Calibri" w:hAnsi="Verdana" w:cs="Arial"/>
          <w:color w:val="000000" w:themeColor="text1"/>
        </w:rPr>
        <w:t xml:space="preserve"> la validez de establecer </w:t>
      </w:r>
      <w:r w:rsidR="006B2E45">
        <w:rPr>
          <w:rFonts w:ascii="Verdana" w:eastAsia="Calibri" w:hAnsi="Verdana" w:cs="Arial"/>
          <w:color w:val="000000" w:themeColor="text1"/>
        </w:rPr>
        <w:t xml:space="preserve">como requisito habilitante </w:t>
      </w:r>
      <w:r w:rsidR="00DF0576">
        <w:rPr>
          <w:rFonts w:ascii="Verdana" w:eastAsia="Calibri" w:hAnsi="Verdana" w:cs="Arial"/>
          <w:color w:val="000000" w:themeColor="text1"/>
        </w:rPr>
        <w:t xml:space="preserve">de </w:t>
      </w:r>
      <w:r w:rsidR="006B2E45">
        <w:rPr>
          <w:rFonts w:ascii="Verdana" w:eastAsia="Calibri" w:hAnsi="Verdana" w:cs="Arial"/>
          <w:color w:val="000000" w:themeColor="text1"/>
        </w:rPr>
        <w:t>un proceso de contratación</w:t>
      </w:r>
      <w:r w:rsidR="00354405" w:rsidRPr="00692401">
        <w:rPr>
          <w:rFonts w:ascii="Verdana" w:eastAsia="Calibri" w:hAnsi="Verdana" w:cs="Arial"/>
          <w:color w:val="000000" w:themeColor="text1"/>
        </w:rPr>
        <w:t xml:space="preserve"> </w:t>
      </w:r>
      <w:r w:rsidR="00DF0576">
        <w:rPr>
          <w:rFonts w:ascii="Verdana" w:eastAsia="Calibri" w:hAnsi="Verdana" w:cs="Arial"/>
          <w:color w:val="000000" w:themeColor="text1"/>
        </w:rPr>
        <w:t xml:space="preserve">la </w:t>
      </w:r>
      <w:r w:rsidR="00B90D9B">
        <w:rPr>
          <w:rFonts w:ascii="Verdana" w:eastAsia="Calibri" w:hAnsi="Verdana" w:cs="Arial"/>
          <w:color w:val="000000" w:themeColor="text1"/>
        </w:rPr>
        <w:t>implementación d</w:t>
      </w:r>
      <w:r w:rsidR="00DF0576">
        <w:rPr>
          <w:rFonts w:ascii="Verdana" w:eastAsia="Calibri" w:hAnsi="Verdana" w:cs="Arial"/>
          <w:color w:val="000000" w:themeColor="text1"/>
        </w:rPr>
        <w:t xml:space="preserve">el </w:t>
      </w:r>
      <w:r w:rsidR="00354405" w:rsidRPr="00692401">
        <w:rPr>
          <w:rFonts w:ascii="Verdana" w:eastAsia="Calibri" w:hAnsi="Verdana" w:cs="Arial"/>
          <w:color w:val="000000" w:themeColor="text1"/>
        </w:rPr>
        <w:t xml:space="preserve">Sistema de </w:t>
      </w:r>
      <w:r w:rsidR="00354405" w:rsidRPr="00692401">
        <w:rPr>
          <w:rFonts w:ascii="Verdana" w:eastAsia="Calibri" w:hAnsi="Verdana" w:cs="Arial"/>
          <w:color w:val="000000" w:themeColor="text1"/>
        </w:rPr>
        <w:lastRenderedPageBreak/>
        <w:t>Gestión de Seguridad y Salud en el Trabajo SG-SST</w:t>
      </w:r>
      <w:r w:rsidR="00AB37DB">
        <w:rPr>
          <w:rFonts w:ascii="Verdana" w:eastAsia="Calibri" w:hAnsi="Verdana" w:cs="Arial"/>
          <w:color w:val="000000" w:themeColor="text1"/>
        </w:rPr>
        <w:t xml:space="preserve">, es indispensable </w:t>
      </w:r>
      <w:r w:rsidR="00737821">
        <w:rPr>
          <w:rFonts w:ascii="Verdana" w:eastAsia="Calibri" w:hAnsi="Verdana" w:cs="Arial"/>
          <w:color w:val="000000" w:themeColor="text1"/>
        </w:rPr>
        <w:t xml:space="preserve">de manera preliminar </w:t>
      </w:r>
      <w:r w:rsidR="00AB37DB">
        <w:rPr>
          <w:rFonts w:ascii="Verdana" w:eastAsia="Calibri" w:hAnsi="Verdana" w:cs="Arial"/>
          <w:color w:val="000000" w:themeColor="text1"/>
        </w:rPr>
        <w:t xml:space="preserve">hacer referencia a </w:t>
      </w:r>
      <w:r w:rsidR="00030BFB">
        <w:rPr>
          <w:rFonts w:ascii="Verdana" w:eastAsia="Calibri" w:hAnsi="Verdana" w:cs="Arial"/>
          <w:color w:val="000000" w:themeColor="text1"/>
        </w:rPr>
        <w:t xml:space="preserve">su regulación en el ordenamiento jurídico. </w:t>
      </w:r>
      <w:r w:rsidR="00AA1224">
        <w:rPr>
          <w:rFonts w:ascii="Verdana" w:eastAsia="Calibri" w:hAnsi="Verdana" w:cs="Arial"/>
          <w:color w:val="000000" w:themeColor="text1"/>
        </w:rPr>
        <w:t xml:space="preserve">Así, </w:t>
      </w:r>
      <w:r w:rsidR="0050458E" w:rsidRPr="0050458E">
        <w:rPr>
          <w:rFonts w:ascii="Verdana" w:eastAsia="Calibri" w:hAnsi="Verdana" w:cs="Arial"/>
          <w:color w:val="000000" w:themeColor="text1"/>
        </w:rPr>
        <w:t xml:space="preserve">el artículo 1 de la Ley 1562 de 2012, que modificó el Sistema de Riesgos Laborales, contempló que el programa de salud ocupacional en adelante se conocería como el Sistema de Gestión de la Seguridad y Salud en el Trabajo SG-SST, definido este como un </w:t>
      </w:r>
      <w:r w:rsidR="0050458E" w:rsidRPr="006E3C3E">
        <w:rPr>
          <w:rFonts w:ascii="Verdana" w:eastAsia="Calibri" w:hAnsi="Verdana" w:cs="Arial"/>
          <w:color w:val="000000" w:themeColor="text1"/>
        </w:rPr>
        <w:t>“Sistema consiste en el desarrollo de un proceso lógico y por etapas, basado en la mejora continua y que incluye la política, la organización, la planificación, la aplicación, la evaluación, la auditoría y las acciones de mejora con el objetivo de anticipar, reconocer, evaluar y controlar los riesgos que puedan afectar la seguridad y salud en el trabajo.”</w:t>
      </w:r>
    </w:p>
    <w:p w14:paraId="0478300A" w14:textId="31B3131E" w:rsidR="002D0907" w:rsidRDefault="002908F8" w:rsidP="001A54DA">
      <w:pPr>
        <w:widowControl w:val="0"/>
        <w:autoSpaceDE w:val="0"/>
        <w:autoSpaceDN w:val="0"/>
        <w:spacing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E</w:t>
      </w:r>
      <w:r w:rsidR="00C70DF4">
        <w:rPr>
          <w:rFonts w:ascii="Verdana" w:eastAsia="Calibri" w:hAnsi="Verdana" w:cs="Arial"/>
          <w:color w:val="000000" w:themeColor="text1"/>
        </w:rPr>
        <w:t>n e</w:t>
      </w:r>
      <w:r w:rsidRPr="002908F8">
        <w:rPr>
          <w:rFonts w:ascii="Verdana" w:eastAsia="Calibri" w:hAnsi="Verdana" w:cs="Arial"/>
          <w:color w:val="000000" w:themeColor="text1"/>
        </w:rPr>
        <w:t>l Decreto 1443 de 2014, compilado posteriormente en el capítulo 6 del Decreto 1072 de 2015, “por medio del cual se expidió el Decreto Reglamentario del Sector Trabajo”,</w:t>
      </w:r>
      <w:r w:rsidR="0015710D">
        <w:rPr>
          <w:rFonts w:ascii="Verdana" w:eastAsia="Calibri" w:hAnsi="Verdana" w:cs="Arial"/>
          <w:color w:val="000000" w:themeColor="text1"/>
        </w:rPr>
        <w:t xml:space="preserve"> </w:t>
      </w:r>
      <w:r w:rsidRPr="002908F8">
        <w:rPr>
          <w:rFonts w:ascii="Verdana" w:eastAsia="Calibri" w:hAnsi="Verdana" w:cs="Arial"/>
          <w:color w:val="000000" w:themeColor="text1"/>
        </w:rPr>
        <w:t>se definieron directrices para la implementación del Sistema de Gestión de la Seguridad y Salud en el Trabajo (SG-SST)</w:t>
      </w:r>
      <w:r w:rsidR="001A54DA">
        <w:rPr>
          <w:rFonts w:ascii="Verdana" w:eastAsia="Calibri" w:hAnsi="Verdana" w:cs="Arial"/>
          <w:color w:val="000000" w:themeColor="text1"/>
        </w:rPr>
        <w:t xml:space="preserve">. Específicamente, </w:t>
      </w:r>
      <w:r w:rsidR="00BD2937">
        <w:rPr>
          <w:rFonts w:ascii="Verdana" w:eastAsia="Calibri" w:hAnsi="Verdana" w:cs="Arial"/>
          <w:color w:val="000000" w:themeColor="text1"/>
        </w:rPr>
        <w:t>e</w:t>
      </w:r>
      <w:r w:rsidR="00692401" w:rsidRPr="00692401">
        <w:rPr>
          <w:rFonts w:ascii="Verdana" w:eastAsia="Calibri" w:hAnsi="Verdana" w:cs="Arial"/>
          <w:color w:val="000000" w:themeColor="text1"/>
        </w:rPr>
        <w:t xml:space="preserve">l artículo 2.2.4.6.4. del Decreto 1072 de 2015 dispuso que </w:t>
      </w:r>
      <w:bookmarkStart w:id="4" w:name="_Hlk182775658"/>
      <w:r w:rsidR="00692401" w:rsidRPr="00692401">
        <w:rPr>
          <w:rFonts w:ascii="Verdana" w:eastAsia="Calibri" w:hAnsi="Verdana" w:cs="Arial"/>
          <w:color w:val="000000" w:themeColor="text1"/>
        </w:rPr>
        <w:t xml:space="preserve">el Sistema de Gestión de Seguridad y Salud en el Trabajo SG-SST </w:t>
      </w:r>
      <w:bookmarkEnd w:id="4"/>
      <w:r w:rsidR="00692401" w:rsidRPr="00692401">
        <w:rPr>
          <w:rFonts w:ascii="Verdana" w:eastAsia="Calibri" w:hAnsi="Verdana" w:cs="Arial"/>
          <w:color w:val="000000" w:themeColor="text1"/>
        </w:rPr>
        <w:t xml:space="preserve">debe ser liderado e implementado por el empleador o contratante, con la participación de los trabajadores y/o contratistas. Para ello, el artículo en cita contempló que los empleadores o contratantes, entre los que se encuentran las entidades estatales, deben de garantizar la implementación, mantenimiento y mejora continua del Sistema de Gestión de Seguridad y Salud en el Trabajo SG-SST en sus contratistas. </w:t>
      </w:r>
    </w:p>
    <w:p w14:paraId="5F8B9344" w14:textId="5C1EDE27" w:rsidR="003D10EC" w:rsidRDefault="003D10EC" w:rsidP="00CC4F99">
      <w:pPr>
        <w:widowControl w:val="0"/>
        <w:autoSpaceDE w:val="0"/>
        <w:autoSpaceDN w:val="0"/>
        <w:spacing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Para tales efectos</w:t>
      </w:r>
      <w:r w:rsidR="00692401" w:rsidRPr="00692401">
        <w:rPr>
          <w:rFonts w:ascii="Verdana" w:eastAsia="Calibri" w:hAnsi="Verdana" w:cs="Arial"/>
          <w:color w:val="000000" w:themeColor="text1"/>
        </w:rPr>
        <w:t>,</w:t>
      </w:r>
      <w:r w:rsidR="00B50E13" w:rsidRPr="00B50E13">
        <w:t xml:space="preserve"> </w:t>
      </w:r>
      <w:r w:rsidR="00B50E13" w:rsidRPr="00B50E13">
        <w:rPr>
          <w:rFonts w:ascii="Verdana" w:eastAsia="Calibri" w:hAnsi="Verdana" w:cs="Arial"/>
          <w:color w:val="000000" w:themeColor="text1"/>
        </w:rPr>
        <w:t xml:space="preserve">el parágrafo 1º </w:t>
      </w:r>
      <w:r w:rsidRPr="004607D0">
        <w:rPr>
          <w:rFonts w:ascii="Verdana" w:eastAsia="Calibri" w:hAnsi="Verdana" w:cs="Arial"/>
          <w:i/>
          <w:iCs/>
          <w:color w:val="000000" w:themeColor="text1"/>
        </w:rPr>
        <w:t>ibide</w:t>
      </w:r>
      <w:r w:rsidR="00FF37DC" w:rsidRPr="004607D0">
        <w:rPr>
          <w:rFonts w:ascii="Verdana" w:eastAsia="Calibri" w:hAnsi="Verdana" w:cs="Arial"/>
          <w:i/>
          <w:iCs/>
          <w:color w:val="000000" w:themeColor="text1"/>
        </w:rPr>
        <w:t>m</w:t>
      </w:r>
      <w:r w:rsidR="00B50E13" w:rsidRPr="00B50E13">
        <w:rPr>
          <w:rFonts w:ascii="Verdana" w:eastAsia="Calibri" w:hAnsi="Verdana" w:cs="Arial"/>
          <w:color w:val="000000" w:themeColor="text1"/>
        </w:rPr>
        <w:t xml:space="preserve"> estableció que el Ministerio del Trabajo o quien haga sus veces, determinaría de manera progresiva, los estándares que hacen parte de los diversos componentes del mencionado Sistema de Gestión de Seguridad y Salud en el Trabajo SG-SST, de conformidad con el desarrollo y avances técnicos y científicos del sector y del país, realizando los ajustes y actualizaciones a que haya lugar y que dichos estándares deberán ser implementados por los integrantes del Sistema General de Riesgos Laborales en las fases y dentro de las fechas que al respecto defina el Ministerio de Trabajo</w:t>
      </w:r>
      <w:r>
        <w:rPr>
          <w:rFonts w:ascii="Verdana" w:eastAsia="Calibri" w:hAnsi="Verdana" w:cs="Arial"/>
          <w:color w:val="000000" w:themeColor="text1"/>
        </w:rPr>
        <w:t>.</w:t>
      </w:r>
    </w:p>
    <w:p w14:paraId="1531BF21" w14:textId="7A2A708D" w:rsidR="00F837E6" w:rsidRPr="00F837E6" w:rsidRDefault="00FF37DC" w:rsidP="00CC4F99">
      <w:pPr>
        <w:widowControl w:val="0"/>
        <w:autoSpaceDE w:val="0"/>
        <w:autoSpaceDN w:val="0"/>
        <w:spacing w:line="276" w:lineRule="auto"/>
        <w:ind w:firstLine="851"/>
        <w:jc w:val="both"/>
        <w:rPr>
          <w:rFonts w:ascii="Verdana" w:eastAsia="Calibri" w:hAnsi="Verdana" w:cs="Arial"/>
          <w:color w:val="000000" w:themeColor="text1"/>
        </w:rPr>
      </w:pPr>
      <w:r>
        <w:rPr>
          <w:rFonts w:ascii="Verdana" w:eastAsia="Calibri" w:hAnsi="Verdana" w:cs="Arial"/>
          <w:color w:val="000000" w:themeColor="text1"/>
        </w:rPr>
        <w:t>Por su parte,</w:t>
      </w:r>
      <w:r w:rsidR="00692401" w:rsidRPr="00692401">
        <w:rPr>
          <w:rFonts w:ascii="Verdana" w:eastAsia="Calibri" w:hAnsi="Verdana" w:cs="Arial"/>
          <w:color w:val="000000" w:themeColor="text1"/>
        </w:rPr>
        <w:t xml:space="preserve"> el parágrafo 2°</w:t>
      </w:r>
      <w:r w:rsidR="00B22A22">
        <w:rPr>
          <w:rFonts w:ascii="Verdana" w:eastAsia="Calibri" w:hAnsi="Verdana" w:cs="Arial"/>
          <w:color w:val="000000" w:themeColor="text1"/>
        </w:rPr>
        <w:t xml:space="preserve"> </w:t>
      </w:r>
      <w:r w:rsidR="00D54640">
        <w:rPr>
          <w:rFonts w:ascii="Verdana" w:eastAsia="Calibri" w:hAnsi="Verdana" w:cs="Arial"/>
          <w:color w:val="000000" w:themeColor="text1"/>
        </w:rPr>
        <w:t xml:space="preserve">de la norma en mención dispuso </w:t>
      </w:r>
      <w:r w:rsidR="00692401" w:rsidRPr="00692401">
        <w:rPr>
          <w:rFonts w:ascii="Verdana" w:eastAsia="Calibri" w:hAnsi="Verdana" w:cs="Arial"/>
          <w:color w:val="000000" w:themeColor="text1"/>
        </w:rPr>
        <w:t>qu</w:t>
      </w:r>
      <w:r w:rsidR="00113AF2">
        <w:rPr>
          <w:rFonts w:ascii="Verdana" w:eastAsia="Calibri" w:hAnsi="Verdana" w:cs="Arial"/>
          <w:color w:val="000000" w:themeColor="text1"/>
        </w:rPr>
        <w:t>e</w:t>
      </w:r>
      <w:r w:rsidR="00692401" w:rsidRPr="00692401">
        <w:rPr>
          <w:rFonts w:ascii="Verdana" w:eastAsia="Calibri" w:hAnsi="Verdana" w:cs="Arial"/>
          <w:color w:val="000000" w:themeColor="text1"/>
        </w:rPr>
        <w:t xml:space="preserve"> “</w:t>
      </w:r>
      <w:bookmarkStart w:id="5" w:name="_Hlk182833290"/>
      <w:r w:rsidR="00692401" w:rsidRPr="00692401">
        <w:rPr>
          <w:rFonts w:ascii="Verdana" w:eastAsia="Calibri" w:hAnsi="Verdana" w:cs="Arial"/>
          <w:color w:val="000000" w:themeColor="text1"/>
        </w:rPr>
        <w:t>Dentro de los parámetros de selección y evaluación de proveedores y contratistas</w:t>
      </w:r>
      <w:bookmarkEnd w:id="5"/>
      <w:r w:rsidR="00692401" w:rsidRPr="00692401">
        <w:rPr>
          <w:rFonts w:ascii="Verdana" w:eastAsia="Calibri" w:hAnsi="Verdana" w:cs="Arial"/>
          <w:color w:val="000000" w:themeColor="text1"/>
        </w:rPr>
        <w:t>, el contratante podrá incluir criterios que le permitan conocer que la empresa a contratar cuente con el Sistema de Gestión de la Seguridad y Salud en el Trabajo (SG-SST)”.</w:t>
      </w:r>
    </w:p>
    <w:p w14:paraId="0F60DD98" w14:textId="087621CE" w:rsidR="00C40126" w:rsidRDefault="00135F76" w:rsidP="00FE321B">
      <w:pPr>
        <w:spacing w:before="120" w:after="120" w:line="276" w:lineRule="auto"/>
        <w:ind w:firstLine="709"/>
        <w:jc w:val="both"/>
        <w:rPr>
          <w:rFonts w:ascii="Verdana" w:eastAsia="Calibri" w:hAnsi="Verdana" w:cs="Arial"/>
        </w:rPr>
      </w:pPr>
      <w:r w:rsidRPr="00135F76">
        <w:rPr>
          <w:rFonts w:ascii="Verdana" w:eastAsia="Calibri" w:hAnsi="Verdana" w:cs="Arial"/>
        </w:rPr>
        <w:lastRenderedPageBreak/>
        <w:t>Con base en dicho marco normativo, el Ministerio del Trabajo expidió la Resolución 312 del 13 de febrero de 2019, mediante la cual se defini</w:t>
      </w:r>
      <w:r w:rsidR="00EF03DC">
        <w:rPr>
          <w:rFonts w:ascii="Verdana" w:eastAsia="Calibri" w:hAnsi="Verdana" w:cs="Arial"/>
        </w:rPr>
        <w:t>eron</w:t>
      </w:r>
      <w:r w:rsidRPr="00135F76">
        <w:rPr>
          <w:rFonts w:ascii="Verdana" w:eastAsia="Calibri" w:hAnsi="Verdana" w:cs="Arial"/>
        </w:rPr>
        <w:t xml:space="preserve"> los estándares mínimos del Sistema de Gestión de Seguridad y Salud en el Trabajo SG-SST, contemplando, a su vez, en los artículos 14 y 19 los parámetros de selección y evaluación de proveedores y contratistas que pueden los contratantes incluir en sus procesos de selección, lo que incluye los Procesos de Contratación Estatal. </w:t>
      </w:r>
    </w:p>
    <w:p w14:paraId="0A4D4FC3" w14:textId="337723AC" w:rsidR="0093442D" w:rsidRDefault="00135F76" w:rsidP="00FE321B">
      <w:pPr>
        <w:spacing w:before="120" w:after="120" w:line="276" w:lineRule="auto"/>
        <w:ind w:firstLine="709"/>
        <w:jc w:val="both"/>
        <w:rPr>
          <w:rFonts w:ascii="Verdana" w:eastAsia="Calibri" w:hAnsi="Verdana" w:cs="Arial"/>
        </w:rPr>
      </w:pPr>
      <w:r w:rsidRPr="00135F76">
        <w:rPr>
          <w:rFonts w:ascii="Verdana" w:eastAsia="Calibri" w:hAnsi="Verdana" w:cs="Arial"/>
        </w:rPr>
        <w:t>Lo anterior, a criterio de la Agencia, sería permitido siempre y cuando dichos criterios</w:t>
      </w:r>
      <w:r w:rsidR="00DD26A5">
        <w:rPr>
          <w:rFonts w:ascii="Verdana" w:eastAsia="Calibri" w:hAnsi="Verdana" w:cs="Arial"/>
        </w:rPr>
        <w:t>,</w:t>
      </w:r>
      <w:r w:rsidRPr="00135F76">
        <w:rPr>
          <w:rFonts w:ascii="Verdana" w:eastAsia="Calibri" w:hAnsi="Verdana" w:cs="Arial"/>
        </w:rPr>
        <w:t xml:space="preserve"> que le permitan identificar que el proveedor o contratista cumple con los Estándares Mínimos del Sistema de Gestión de Seguridad y Salud en el Trabajo SG-SST, no contraríen lo dispuesto en el parágrafo 2° del artículo 5 de la Ley 1150 de 2007, según el cual, se encuentra proscrita la posibilidad de que las entidades estatales soliciten en sus procesos de selección de contratistas certificaciones de sistemas de gestión de calidad.</w:t>
      </w:r>
    </w:p>
    <w:p w14:paraId="463B84CD" w14:textId="204FD732" w:rsidR="003B7F07" w:rsidRDefault="000C02AD" w:rsidP="003B7F07">
      <w:pPr>
        <w:spacing w:before="120" w:after="120" w:line="276" w:lineRule="auto"/>
        <w:ind w:firstLine="709"/>
        <w:jc w:val="both"/>
        <w:rPr>
          <w:rFonts w:ascii="Verdana" w:eastAsia="Calibri" w:hAnsi="Verdana" w:cs="Arial"/>
        </w:rPr>
      </w:pPr>
      <w:r w:rsidRPr="000C02AD">
        <w:rPr>
          <w:rFonts w:ascii="Verdana" w:eastAsia="Calibri" w:hAnsi="Verdana" w:cs="Arial"/>
        </w:rPr>
        <w:t xml:space="preserve">Así las cosas, </w:t>
      </w:r>
      <w:r w:rsidR="00E62ADF">
        <w:rPr>
          <w:rFonts w:ascii="Verdana" w:eastAsia="Calibri" w:hAnsi="Verdana" w:cs="Arial"/>
        </w:rPr>
        <w:t xml:space="preserve">teniendo en cuenta la presunción de legalidad </w:t>
      </w:r>
      <w:r w:rsidR="00736395">
        <w:rPr>
          <w:rFonts w:ascii="Verdana" w:eastAsia="Calibri" w:hAnsi="Verdana" w:cs="Arial"/>
        </w:rPr>
        <w:t xml:space="preserve">de las normativa </w:t>
      </w:r>
      <w:r w:rsidR="00A158E3">
        <w:rPr>
          <w:rFonts w:ascii="Verdana" w:eastAsia="Calibri" w:hAnsi="Verdana" w:cs="Arial"/>
        </w:rPr>
        <w:t xml:space="preserve">que regula el SG-SST, las cuales </w:t>
      </w:r>
      <w:r w:rsidR="00736395">
        <w:rPr>
          <w:rFonts w:ascii="Verdana" w:eastAsia="Calibri" w:hAnsi="Verdana" w:cs="Arial"/>
        </w:rPr>
        <w:t>gozan de</w:t>
      </w:r>
      <w:r w:rsidR="00C80987">
        <w:rPr>
          <w:rFonts w:ascii="Verdana" w:eastAsia="Calibri" w:hAnsi="Verdana" w:cs="Arial"/>
        </w:rPr>
        <w:t xml:space="preserve"> plena aplicación en el ordenamiento jurídico,</w:t>
      </w:r>
      <w:r w:rsidR="008E39D8" w:rsidRPr="008E39D8">
        <w:rPr>
          <w:rFonts w:ascii="Verdana" w:eastAsia="Calibri" w:hAnsi="Verdana" w:cs="Arial"/>
        </w:rPr>
        <w:t xml:space="preserve"> </w:t>
      </w:r>
      <w:r w:rsidR="008E39D8" w:rsidRPr="000C02AD">
        <w:rPr>
          <w:rFonts w:ascii="Verdana" w:eastAsia="Calibri" w:hAnsi="Verdana" w:cs="Arial"/>
        </w:rPr>
        <w:t>a juicio de esta Subdirección,</w:t>
      </w:r>
      <w:r w:rsidRPr="000C02AD">
        <w:rPr>
          <w:rFonts w:ascii="Verdana" w:eastAsia="Calibri" w:hAnsi="Verdana" w:cs="Arial"/>
        </w:rPr>
        <w:t xml:space="preserve"> la interpretación</w:t>
      </w:r>
      <w:r w:rsidR="00DF56E8">
        <w:rPr>
          <w:rFonts w:ascii="Verdana" w:eastAsia="Calibri" w:hAnsi="Verdana" w:cs="Arial"/>
        </w:rPr>
        <w:t xml:space="preserve"> de estas normas en relación con</w:t>
      </w:r>
      <w:r w:rsidRPr="000C02AD">
        <w:rPr>
          <w:rFonts w:ascii="Verdana" w:eastAsia="Calibri" w:hAnsi="Verdana" w:cs="Arial"/>
        </w:rPr>
        <w:t xml:space="preserve"> la prohibición del parágrafo 2° del artículo 5 de la Ley 1150 de 2007, es que esta última no restringe la posibilidad que tiene las entidades estatales de incluir aspectos de seguridad y salud en el trabajo en la evaluación y selección de proveedores y contratistas, que le permitan, entre otros aspectos, conocer que la empresa a contratar cuenta con la implementación de los estándares mínimos del Sistema de Gestión de la Seguridad y Salud en el Trabajo (SG-SST)</w:t>
      </w:r>
      <w:r w:rsidR="008D318B">
        <w:rPr>
          <w:rFonts w:ascii="Verdana" w:eastAsia="Calibri" w:hAnsi="Verdana" w:cs="Arial"/>
        </w:rPr>
        <w:t>,</w:t>
      </w:r>
      <w:r w:rsidRPr="000C02AD">
        <w:rPr>
          <w:rFonts w:ascii="Verdana" w:eastAsia="Calibri" w:hAnsi="Verdana" w:cs="Arial"/>
        </w:rPr>
        <w:t xml:space="preserve"> sin que </w:t>
      </w:r>
      <w:r w:rsidR="000D570C">
        <w:rPr>
          <w:rFonts w:ascii="Verdana" w:eastAsia="Calibri" w:hAnsi="Verdana" w:cs="Arial"/>
        </w:rPr>
        <w:t xml:space="preserve">ello implique la exigencia de </w:t>
      </w:r>
      <w:r w:rsidRPr="000C02AD">
        <w:rPr>
          <w:rFonts w:ascii="Verdana" w:eastAsia="Calibri" w:hAnsi="Verdana" w:cs="Arial"/>
        </w:rPr>
        <w:t>la presentación de una certificación de calidad, como lo es,</w:t>
      </w:r>
      <w:r w:rsidR="000D570C">
        <w:rPr>
          <w:rFonts w:ascii="Verdana" w:eastAsia="Calibri" w:hAnsi="Verdana" w:cs="Arial"/>
        </w:rPr>
        <w:t xml:space="preserve"> </w:t>
      </w:r>
      <w:r w:rsidRPr="000C02AD">
        <w:rPr>
          <w:rFonts w:ascii="Verdana" w:eastAsia="Calibri" w:hAnsi="Verdana" w:cs="Arial"/>
        </w:rPr>
        <w:t xml:space="preserve">por ejemplo, la certificación que otorga la ISO 9001, entre otros. Sin embargo, se aclara que las anteriores certificaciones </w:t>
      </w:r>
      <w:r w:rsidR="000E3CD9">
        <w:rPr>
          <w:rFonts w:ascii="Verdana" w:eastAsia="Calibri" w:hAnsi="Verdana" w:cs="Arial"/>
        </w:rPr>
        <w:t xml:space="preserve">de calidad </w:t>
      </w:r>
      <w:r w:rsidRPr="000C02AD">
        <w:rPr>
          <w:rFonts w:ascii="Verdana" w:eastAsia="Calibri" w:hAnsi="Verdana" w:cs="Arial"/>
        </w:rPr>
        <w:t xml:space="preserve">son diferentes a la certificación de acreditación en seguridad y salud en el trabajo que conforme el artículo 22 de la </w:t>
      </w:r>
      <w:bookmarkStart w:id="6" w:name="_Hlk186490646"/>
      <w:r w:rsidRPr="000C02AD">
        <w:rPr>
          <w:rFonts w:ascii="Verdana" w:eastAsia="Calibri" w:hAnsi="Verdana" w:cs="Arial"/>
        </w:rPr>
        <w:t xml:space="preserve">Resolución 312 del 13 de febrero de 2019 </w:t>
      </w:r>
      <w:bookmarkEnd w:id="6"/>
      <w:r w:rsidRPr="000C02AD">
        <w:rPr>
          <w:rFonts w:ascii="Verdana" w:eastAsia="Calibri" w:hAnsi="Verdana" w:cs="Arial"/>
        </w:rPr>
        <w:t>expide el Ministerio del Trabajo, de manera gratuita, a las a las empresas, entidades, empleadores y contratantes.</w:t>
      </w:r>
    </w:p>
    <w:p w14:paraId="7B6C88E0" w14:textId="5C80ED1C" w:rsidR="00DA212B" w:rsidRDefault="000C02AD" w:rsidP="00DA212B">
      <w:pPr>
        <w:spacing w:before="120" w:after="120" w:line="276" w:lineRule="auto"/>
        <w:ind w:firstLine="709"/>
        <w:jc w:val="both"/>
        <w:rPr>
          <w:rFonts w:ascii="Verdana" w:eastAsia="Calibri" w:hAnsi="Verdana" w:cs="Arial"/>
        </w:rPr>
      </w:pPr>
      <w:r w:rsidRPr="000C02AD">
        <w:rPr>
          <w:rFonts w:ascii="Verdana" w:eastAsia="Calibri" w:hAnsi="Verdana" w:cs="Arial"/>
        </w:rPr>
        <w:t xml:space="preserve">La anterior interpretación es para esta Subdirección, el efecto útil de las normas sub examine, pues, aceptar una lectura extensiva del parágrafo 2 del artículo 5 de la Ley 1150 de 2007, resta los efectos prácticos a la prohibición establecida por el legislador y contraria a lo establecido en el artículo 31 del Código Civil según el cual lo “Lo favorable u odioso de una disposición no se </w:t>
      </w:r>
      <w:r w:rsidRPr="000C02AD">
        <w:rPr>
          <w:rFonts w:ascii="Verdana" w:eastAsia="Calibri" w:hAnsi="Verdana" w:cs="Arial"/>
        </w:rPr>
        <w:lastRenderedPageBreak/>
        <w:t>tomará en cuenta para ampliar o restringir su interpretación. La extensión que deba darse a toda ley se determinará por su genuino sentido, y según las reglas de interpretación precedentes”. Por otro lado, desconoce</w:t>
      </w:r>
      <w:r w:rsidR="00EA0507">
        <w:rPr>
          <w:rFonts w:ascii="Verdana" w:eastAsia="Calibri" w:hAnsi="Verdana" w:cs="Arial"/>
        </w:rPr>
        <w:t>ría</w:t>
      </w:r>
      <w:r w:rsidRPr="000C02AD">
        <w:rPr>
          <w:rFonts w:ascii="Verdana" w:eastAsia="Calibri" w:hAnsi="Verdana" w:cs="Arial"/>
        </w:rPr>
        <w:t xml:space="preserve"> la finalidad perseguida por el parágrafo 2 del artículo 2.2.4.6.4. del Decreto 1072 de 2015 en la facultad otorgada a las entidades contratantes, para que, dentro de los parámetros de selección y evaluación de sus proveedores y contratistas, se les permita incluir criterios que le permitan conocer que la empresa a contratar cuente con el Sistema de Gestión de la Seguridad y Salud en el Trabajo (SG-SST).</w:t>
      </w:r>
    </w:p>
    <w:p w14:paraId="33E94207" w14:textId="2684E603" w:rsidR="000C02AD" w:rsidRDefault="000C02AD" w:rsidP="003D29B9">
      <w:pPr>
        <w:spacing w:before="120" w:after="120" w:line="276" w:lineRule="auto"/>
        <w:ind w:firstLine="709"/>
        <w:jc w:val="both"/>
        <w:rPr>
          <w:rFonts w:ascii="Verdana" w:eastAsia="Calibri" w:hAnsi="Verdana" w:cs="Arial"/>
        </w:rPr>
      </w:pPr>
      <w:r w:rsidRPr="000C02AD">
        <w:rPr>
          <w:rFonts w:ascii="Verdana" w:eastAsia="Calibri" w:hAnsi="Verdana" w:cs="Arial"/>
        </w:rPr>
        <w:t xml:space="preserve">La posibilidad de contemplar dicho requisito dentro de los procesos de selección también guarda relación con el parágrafo adicionado por el artículo 4 del Decreto 142 de 2023, que modificó el artículo 2.2.1.1.2.2.2. del Decreto 1082 de 2015, estableciendo la posibilidad de que las entidades estatales puedan incluir criterios ambientales o sociales vinculados al objeto del contrato, como criterios de calidad para evaluar </w:t>
      </w:r>
      <w:r w:rsidRPr="00595539">
        <w:rPr>
          <w:rFonts w:ascii="Verdana" w:eastAsia="Calibri" w:hAnsi="Verdana" w:cs="Arial"/>
        </w:rPr>
        <w:t>las ofertas en relación calidad y precio, siendo factible que el cumplimiento de estándares de Seguridad y Salud en el Trabajo, puedan ser considerados por las entidades estatales como criterios sociales al aportar valor agregado en la ejecución de actividades adicionales a las establecidas en la normativa de riesgos laborales, que impactan</w:t>
      </w:r>
      <w:r w:rsidRPr="000C02AD">
        <w:rPr>
          <w:rFonts w:ascii="Verdana" w:eastAsia="Calibri" w:hAnsi="Verdana" w:cs="Arial"/>
        </w:rPr>
        <w:t xml:space="preserve"> positivamente en la salud y bienestar de los trabajadores y/o contratistas. </w:t>
      </w:r>
    </w:p>
    <w:p w14:paraId="3E98A465" w14:textId="20B7A65A" w:rsidR="006E310A" w:rsidRDefault="005C410C" w:rsidP="007C73B2">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rPr>
        <w:t>Ahora bien,</w:t>
      </w:r>
      <w:r w:rsidR="00E17E36">
        <w:rPr>
          <w:rFonts w:ascii="Verdana" w:eastAsia="Calibri" w:hAnsi="Verdana" w:cs="Arial"/>
        </w:rPr>
        <w:t xml:space="preserve"> aunque </w:t>
      </w:r>
      <w:r w:rsidR="006F66C1">
        <w:rPr>
          <w:rFonts w:ascii="Verdana" w:eastAsia="Calibri" w:hAnsi="Verdana" w:cs="Arial"/>
        </w:rPr>
        <w:t>se considera</w:t>
      </w:r>
      <w:r w:rsidR="00E17E36">
        <w:rPr>
          <w:rFonts w:ascii="Verdana" w:eastAsia="Calibri" w:hAnsi="Verdana" w:cs="Arial"/>
        </w:rPr>
        <w:t xml:space="preserve"> valida la inclusión de est</w:t>
      </w:r>
      <w:r w:rsidR="00A65C27">
        <w:rPr>
          <w:rFonts w:ascii="Verdana" w:eastAsia="Calibri" w:hAnsi="Verdana" w:cs="Arial"/>
        </w:rPr>
        <w:t xml:space="preserve">e criterio </w:t>
      </w:r>
      <w:r w:rsidR="005B4D8F">
        <w:rPr>
          <w:rFonts w:ascii="Verdana" w:eastAsia="Calibri" w:hAnsi="Verdana" w:cs="Arial"/>
        </w:rPr>
        <w:t xml:space="preserve">como </w:t>
      </w:r>
      <w:r w:rsidR="00A65C27">
        <w:rPr>
          <w:rFonts w:ascii="Verdana" w:eastAsia="Calibri" w:hAnsi="Verdana" w:cs="Arial"/>
        </w:rPr>
        <w:t xml:space="preserve">requisito habilitante </w:t>
      </w:r>
      <w:r w:rsidR="00393EEE">
        <w:rPr>
          <w:rFonts w:ascii="Verdana" w:eastAsia="Calibri" w:hAnsi="Verdana" w:cs="Arial"/>
        </w:rPr>
        <w:t>de acuerdo con la interpretación expuesta</w:t>
      </w:r>
      <w:r w:rsidR="00A65C27">
        <w:rPr>
          <w:rFonts w:ascii="Verdana" w:eastAsia="Calibri" w:hAnsi="Verdana" w:cs="Arial"/>
        </w:rPr>
        <w:t>,</w:t>
      </w:r>
      <w:r w:rsidR="00B8319C">
        <w:rPr>
          <w:rFonts w:ascii="Verdana" w:eastAsia="Calibri" w:hAnsi="Verdana" w:cs="Arial"/>
        </w:rPr>
        <w:t xml:space="preserve"> </w:t>
      </w:r>
      <w:r w:rsidR="0068537F">
        <w:rPr>
          <w:rFonts w:ascii="Verdana" w:eastAsia="Calibri" w:hAnsi="Verdana" w:cs="Arial"/>
        </w:rPr>
        <w:t xml:space="preserve">es preciso señalar que su </w:t>
      </w:r>
      <w:r w:rsidR="00CF3948">
        <w:rPr>
          <w:rFonts w:ascii="Verdana" w:eastAsia="Calibri" w:hAnsi="Verdana" w:cs="Arial"/>
        </w:rPr>
        <w:t>fijación</w:t>
      </w:r>
      <w:r w:rsidR="0068537F">
        <w:rPr>
          <w:rFonts w:ascii="Verdana" w:eastAsia="Calibri" w:hAnsi="Verdana" w:cs="Arial"/>
        </w:rPr>
        <w:t xml:space="preserve"> en los </w:t>
      </w:r>
      <w:r w:rsidR="00886F19">
        <w:rPr>
          <w:rFonts w:ascii="Verdana" w:eastAsia="Calibri" w:hAnsi="Verdana" w:cs="Arial"/>
        </w:rPr>
        <w:t xml:space="preserve">procesos de contratación </w:t>
      </w:r>
      <w:r w:rsidR="00064721">
        <w:rPr>
          <w:rFonts w:ascii="Verdana" w:eastAsia="Calibri" w:hAnsi="Verdana" w:cs="Arial"/>
        </w:rPr>
        <w:t>deberá estar</w:t>
      </w:r>
      <w:r w:rsidR="00886F19">
        <w:rPr>
          <w:rFonts w:ascii="Verdana" w:eastAsia="Calibri" w:hAnsi="Verdana" w:cs="Arial"/>
        </w:rPr>
        <w:t xml:space="preserve"> precedida de l</w:t>
      </w:r>
      <w:r w:rsidR="0034654F">
        <w:rPr>
          <w:rFonts w:ascii="Verdana" w:eastAsia="Calibri" w:hAnsi="Verdana" w:cs="Arial"/>
        </w:rPr>
        <w:t>a</w:t>
      </w:r>
      <w:r w:rsidR="00886F19">
        <w:rPr>
          <w:rFonts w:ascii="Verdana" w:eastAsia="Calibri" w:hAnsi="Verdana" w:cs="Arial"/>
        </w:rPr>
        <w:t>s mism</w:t>
      </w:r>
      <w:r w:rsidR="003F738D">
        <w:rPr>
          <w:rFonts w:ascii="Verdana" w:eastAsia="Calibri" w:hAnsi="Verdana" w:cs="Arial"/>
        </w:rPr>
        <w:t>a</w:t>
      </w:r>
      <w:r w:rsidR="00886F19">
        <w:rPr>
          <w:rFonts w:ascii="Verdana" w:eastAsia="Calibri" w:hAnsi="Verdana" w:cs="Arial"/>
        </w:rPr>
        <w:t xml:space="preserve">s </w:t>
      </w:r>
      <w:r w:rsidR="0034654F">
        <w:rPr>
          <w:rFonts w:ascii="Verdana" w:eastAsia="Calibri" w:hAnsi="Verdana" w:cs="Arial"/>
        </w:rPr>
        <w:t>exigencias</w:t>
      </w:r>
      <w:r w:rsidR="00886F19">
        <w:rPr>
          <w:rFonts w:ascii="Verdana" w:eastAsia="Calibri" w:hAnsi="Verdana" w:cs="Arial"/>
        </w:rPr>
        <w:t xml:space="preserve"> </w:t>
      </w:r>
      <w:r w:rsidR="00D25660">
        <w:rPr>
          <w:rFonts w:ascii="Verdana" w:eastAsia="Calibri" w:hAnsi="Verdana" w:cs="Arial"/>
        </w:rPr>
        <w:t xml:space="preserve">que </w:t>
      </w:r>
      <w:r w:rsidR="002059E3">
        <w:rPr>
          <w:rFonts w:ascii="Verdana" w:eastAsia="Calibri" w:hAnsi="Verdana" w:cs="Arial"/>
        </w:rPr>
        <w:t>tiene cualquier otro requisito habilitante</w:t>
      </w:r>
      <w:r w:rsidR="003835F0">
        <w:rPr>
          <w:rFonts w:ascii="Verdana" w:eastAsia="Calibri" w:hAnsi="Verdana" w:cs="Arial"/>
        </w:rPr>
        <w:t xml:space="preserve"> o de calificación</w:t>
      </w:r>
      <w:r w:rsidR="009B7B0A">
        <w:rPr>
          <w:rFonts w:ascii="Verdana" w:eastAsia="Calibri" w:hAnsi="Verdana" w:cs="Arial"/>
        </w:rPr>
        <w:t>, de manera que su incorporación no puede</w:t>
      </w:r>
      <w:r w:rsidR="007B18C6">
        <w:rPr>
          <w:rFonts w:ascii="Verdana" w:eastAsia="Calibri" w:hAnsi="Verdana" w:cs="Arial"/>
        </w:rPr>
        <w:t xml:space="preserve"> ser</w:t>
      </w:r>
      <w:r w:rsidR="009B7B0A">
        <w:rPr>
          <w:rFonts w:ascii="Verdana" w:eastAsia="Calibri" w:hAnsi="Verdana" w:cs="Arial"/>
        </w:rPr>
        <w:t xml:space="preserve"> caprichosa </w:t>
      </w:r>
      <w:r w:rsidR="007B18C6">
        <w:rPr>
          <w:rFonts w:ascii="Verdana" w:eastAsia="Calibri" w:hAnsi="Verdana" w:cs="Arial"/>
        </w:rPr>
        <w:t xml:space="preserve">ni </w:t>
      </w:r>
      <w:r w:rsidR="009B7B0A">
        <w:rPr>
          <w:rFonts w:ascii="Verdana" w:eastAsia="Calibri" w:hAnsi="Verdana" w:cs="Arial"/>
        </w:rPr>
        <w:t>arbitr</w:t>
      </w:r>
      <w:r w:rsidR="00F86741">
        <w:rPr>
          <w:rFonts w:ascii="Verdana" w:eastAsia="Calibri" w:hAnsi="Verdana" w:cs="Arial"/>
        </w:rPr>
        <w:t>a</w:t>
      </w:r>
      <w:r w:rsidR="00FA5C0B">
        <w:rPr>
          <w:rFonts w:ascii="Verdana" w:eastAsia="Calibri" w:hAnsi="Verdana" w:cs="Arial"/>
        </w:rPr>
        <w:t>ria</w:t>
      </w:r>
      <w:r w:rsidR="00F86741">
        <w:rPr>
          <w:rFonts w:ascii="Verdana" w:eastAsia="Calibri" w:hAnsi="Verdana" w:cs="Arial"/>
        </w:rPr>
        <w:t xml:space="preserve"> y</w:t>
      </w:r>
      <w:r w:rsidR="009B7B0A">
        <w:rPr>
          <w:rFonts w:ascii="Verdana" w:eastAsia="Calibri" w:hAnsi="Verdana" w:cs="Arial"/>
        </w:rPr>
        <w:t xml:space="preserve"> </w:t>
      </w:r>
      <w:r w:rsidR="006E310A" w:rsidRPr="009616D4">
        <w:rPr>
          <w:rFonts w:ascii="Verdana" w:eastAsia="Calibri" w:hAnsi="Verdana" w:cs="Arial"/>
          <w:color w:val="000000" w:themeColor="text1"/>
        </w:rPr>
        <w:t xml:space="preserve">la Entidad Estatal tiene la carga de justificar en los estudios previos y </w:t>
      </w:r>
      <w:r w:rsidR="00FA5C0B">
        <w:rPr>
          <w:rFonts w:ascii="Verdana" w:eastAsia="Calibri" w:hAnsi="Verdana" w:cs="Arial"/>
          <w:color w:val="000000" w:themeColor="text1"/>
        </w:rPr>
        <w:t xml:space="preserve">en el </w:t>
      </w:r>
      <w:r w:rsidR="006E310A" w:rsidRPr="009616D4">
        <w:rPr>
          <w:rFonts w:ascii="Verdana" w:eastAsia="Calibri" w:hAnsi="Verdana" w:cs="Arial"/>
          <w:color w:val="000000" w:themeColor="text1"/>
        </w:rPr>
        <w:t>análisis del sector del proceso su procedencia, de conformidad con el artículo 2.2.1.1.1.6.2 del Decreto 1082 de 2015.</w:t>
      </w:r>
      <w:r w:rsidR="005D5C85">
        <w:rPr>
          <w:rFonts w:ascii="Verdana" w:eastAsia="Calibri" w:hAnsi="Verdana" w:cs="Arial"/>
          <w:color w:val="000000" w:themeColor="text1"/>
        </w:rPr>
        <w:t xml:space="preserve"> </w:t>
      </w:r>
      <w:r w:rsidR="00124B2E" w:rsidRPr="00347685">
        <w:rPr>
          <w:rFonts w:ascii="Verdana" w:eastAsia="Arial" w:hAnsi="Verdana" w:cs="Arial"/>
          <w:bCs/>
        </w:rPr>
        <w:t xml:space="preserve">Esto significa que no debe establecerse de forma mecánica en todos los procesos de contratación, sino que la </w:t>
      </w:r>
      <w:r w:rsidR="00124B2E">
        <w:rPr>
          <w:rFonts w:ascii="Verdana" w:eastAsia="Arial" w:hAnsi="Verdana" w:cs="Arial"/>
          <w:bCs/>
        </w:rPr>
        <w:t>E</w:t>
      </w:r>
      <w:r w:rsidR="00124B2E" w:rsidRPr="00347685">
        <w:rPr>
          <w:rFonts w:ascii="Verdana" w:eastAsia="Arial" w:hAnsi="Verdana" w:cs="Arial"/>
          <w:bCs/>
        </w:rPr>
        <w:t xml:space="preserve">ntidad </w:t>
      </w:r>
      <w:r w:rsidR="00124B2E">
        <w:rPr>
          <w:rFonts w:ascii="Verdana" w:eastAsia="Arial" w:hAnsi="Verdana" w:cs="Arial"/>
          <w:bCs/>
        </w:rPr>
        <w:t>E</w:t>
      </w:r>
      <w:r w:rsidR="00124B2E" w:rsidRPr="00347685">
        <w:rPr>
          <w:rFonts w:ascii="Verdana" w:eastAsia="Arial" w:hAnsi="Verdana" w:cs="Arial"/>
          <w:bCs/>
        </w:rPr>
        <w:t xml:space="preserve">statal deberá realizar un análisis integral de la necesidad identificada, </w:t>
      </w:r>
      <w:r w:rsidR="00124B2E">
        <w:rPr>
          <w:rFonts w:ascii="Verdana" w:eastAsia="Arial" w:hAnsi="Verdana" w:cs="Arial"/>
          <w:bCs/>
        </w:rPr>
        <w:t xml:space="preserve">el valor, plazo, </w:t>
      </w:r>
      <w:r w:rsidR="00124B2E" w:rsidRPr="00347685">
        <w:rPr>
          <w:rFonts w:ascii="Verdana" w:eastAsia="Arial" w:hAnsi="Verdana" w:cs="Arial"/>
          <w:bCs/>
        </w:rPr>
        <w:t xml:space="preserve">el objeto contractual, obligaciones y demás condiciones para determinar si </w:t>
      </w:r>
      <w:r w:rsidR="00124B2E">
        <w:rPr>
          <w:rFonts w:ascii="Verdana" w:eastAsia="Arial" w:hAnsi="Verdana" w:cs="Arial"/>
          <w:bCs/>
        </w:rPr>
        <w:t xml:space="preserve">su incorporación como requisito de selección </w:t>
      </w:r>
      <w:r w:rsidR="00124B2E" w:rsidRPr="00347685">
        <w:rPr>
          <w:rFonts w:ascii="Verdana" w:eastAsia="Arial" w:hAnsi="Verdana" w:cs="Arial"/>
          <w:bCs/>
        </w:rPr>
        <w:t>resulta adecuad</w:t>
      </w:r>
      <w:r w:rsidR="00124B2E">
        <w:rPr>
          <w:rFonts w:ascii="Verdana" w:eastAsia="Arial" w:hAnsi="Verdana" w:cs="Arial"/>
          <w:bCs/>
        </w:rPr>
        <w:t xml:space="preserve">a y de qué manera se incluyen </w:t>
      </w:r>
      <w:r w:rsidR="00124B2E" w:rsidRPr="00347685">
        <w:rPr>
          <w:rFonts w:ascii="Verdana" w:eastAsia="Arial" w:hAnsi="Verdana" w:cs="Arial"/>
          <w:bCs/>
        </w:rPr>
        <w:t>al proceso que se desarrollará</w:t>
      </w:r>
      <w:r w:rsidR="00124B2E">
        <w:rPr>
          <w:rFonts w:ascii="Verdana" w:eastAsia="Arial" w:hAnsi="Verdana" w:cs="Arial"/>
          <w:bCs/>
        </w:rPr>
        <w:t xml:space="preserve">. </w:t>
      </w:r>
    </w:p>
    <w:p w14:paraId="448D7EDF" w14:textId="2329127A" w:rsidR="001D17C9" w:rsidRDefault="001D17C9" w:rsidP="00E56866">
      <w:pPr>
        <w:widowControl w:val="0"/>
        <w:autoSpaceDE w:val="0"/>
        <w:autoSpaceDN w:val="0"/>
        <w:spacing w:line="276" w:lineRule="auto"/>
        <w:ind w:firstLine="709"/>
        <w:jc w:val="both"/>
        <w:rPr>
          <w:rFonts w:ascii="Verdana" w:eastAsia="Calibri" w:hAnsi="Verdana" w:cs="Arial"/>
        </w:rPr>
      </w:pPr>
      <w:r>
        <w:rPr>
          <w:rFonts w:ascii="Verdana" w:eastAsia="Calibri" w:hAnsi="Verdana" w:cs="Arial"/>
          <w:color w:val="000000" w:themeColor="text1"/>
        </w:rPr>
        <w:t xml:space="preserve">En efecto, </w:t>
      </w:r>
      <w:r w:rsidR="00680D0E">
        <w:rPr>
          <w:rFonts w:ascii="Verdana" w:eastAsia="Calibri" w:hAnsi="Verdana" w:cs="Arial"/>
          <w:color w:val="000000" w:themeColor="text1"/>
        </w:rPr>
        <w:t xml:space="preserve">al revisar </w:t>
      </w:r>
      <w:r w:rsidR="00204106">
        <w:rPr>
          <w:rFonts w:ascii="Verdana" w:eastAsia="Calibri" w:hAnsi="Verdana" w:cs="Arial"/>
          <w:color w:val="000000" w:themeColor="text1"/>
        </w:rPr>
        <w:t>el alcance d</w:t>
      </w:r>
      <w:r w:rsidR="00204106" w:rsidRPr="000C02AD">
        <w:rPr>
          <w:rFonts w:ascii="Verdana" w:eastAsia="Calibri" w:hAnsi="Verdana" w:cs="Arial"/>
        </w:rPr>
        <w:t>el parágrafo 2 del artículo 2.2.4.6.4. del Decreto 1072 de 2015</w:t>
      </w:r>
      <w:r w:rsidR="005E035A">
        <w:rPr>
          <w:rFonts w:ascii="Verdana" w:eastAsia="Calibri" w:hAnsi="Verdana" w:cs="Arial"/>
        </w:rPr>
        <w:t xml:space="preserve"> </w:t>
      </w:r>
      <w:r w:rsidR="00D41E42">
        <w:rPr>
          <w:rFonts w:ascii="Verdana" w:eastAsia="Calibri" w:hAnsi="Verdana" w:cs="Arial"/>
        </w:rPr>
        <w:t>se evidencia que la norma</w:t>
      </w:r>
      <w:r w:rsidR="002A0444">
        <w:rPr>
          <w:rFonts w:ascii="Verdana" w:eastAsia="Calibri" w:hAnsi="Verdana" w:cs="Arial"/>
        </w:rPr>
        <w:t xml:space="preserve"> </w:t>
      </w:r>
      <w:r w:rsidR="00D03EED">
        <w:rPr>
          <w:rFonts w:ascii="Verdana" w:eastAsia="Calibri" w:hAnsi="Verdana" w:cs="Arial"/>
        </w:rPr>
        <w:t xml:space="preserve">al indicar que la entidad </w:t>
      </w:r>
      <w:r w:rsidR="00D03EED">
        <w:rPr>
          <w:rFonts w:ascii="Verdana" w:eastAsia="Calibri" w:hAnsi="Verdana" w:cs="Arial"/>
        </w:rPr>
        <w:lastRenderedPageBreak/>
        <w:t xml:space="preserve">contratante “podrá” incluir </w:t>
      </w:r>
      <w:r w:rsidR="00D03EED" w:rsidRPr="005E035A">
        <w:rPr>
          <w:rFonts w:ascii="Verdana" w:eastAsia="Calibri" w:hAnsi="Verdana" w:cs="Arial"/>
        </w:rPr>
        <w:t>criterios</w:t>
      </w:r>
      <w:r w:rsidR="00D03EED">
        <w:rPr>
          <w:rFonts w:ascii="Verdana" w:eastAsia="Calibri" w:hAnsi="Verdana" w:cs="Arial"/>
          <w:i/>
          <w:iCs/>
        </w:rPr>
        <w:t xml:space="preserve"> </w:t>
      </w:r>
      <w:bookmarkStart w:id="7" w:name="_Hlk182862533"/>
      <w:r w:rsidR="00D03EED" w:rsidRPr="005E035A">
        <w:rPr>
          <w:rFonts w:ascii="Verdana" w:eastAsia="Calibri" w:hAnsi="Verdana" w:cs="Arial"/>
        </w:rPr>
        <w:t xml:space="preserve">que le permitan conocer que la empresa a contratar cuente con el Sistema de Gestión de la Seguridad y Salud en el Trabajo </w:t>
      </w:r>
      <w:bookmarkEnd w:id="7"/>
      <w:r w:rsidR="00D03EED" w:rsidRPr="005E035A">
        <w:rPr>
          <w:rFonts w:ascii="Verdana" w:eastAsia="Calibri" w:hAnsi="Verdana" w:cs="Arial"/>
        </w:rPr>
        <w:t>(SG-SST)</w:t>
      </w:r>
      <w:r w:rsidR="00D03EED">
        <w:rPr>
          <w:rFonts w:ascii="Verdana" w:eastAsia="Calibri" w:hAnsi="Verdana" w:cs="Arial"/>
        </w:rPr>
        <w:t xml:space="preserve">, establece </w:t>
      </w:r>
      <w:r w:rsidR="001C25F5">
        <w:rPr>
          <w:rFonts w:ascii="Verdana" w:eastAsia="Calibri" w:hAnsi="Verdana" w:cs="Arial"/>
        </w:rPr>
        <w:t xml:space="preserve">una facultad </w:t>
      </w:r>
      <w:r w:rsidR="006E1647">
        <w:rPr>
          <w:rFonts w:ascii="Verdana" w:eastAsia="Calibri" w:hAnsi="Verdana" w:cs="Arial"/>
        </w:rPr>
        <w:t>para</w:t>
      </w:r>
      <w:r w:rsidR="002A264B">
        <w:rPr>
          <w:rFonts w:ascii="Verdana" w:eastAsia="Calibri" w:hAnsi="Verdana" w:cs="Arial"/>
        </w:rPr>
        <w:t xml:space="preserve"> </w:t>
      </w:r>
      <w:r w:rsidR="001C25F5">
        <w:rPr>
          <w:rFonts w:ascii="Verdana" w:eastAsia="Calibri" w:hAnsi="Verdana" w:cs="Arial"/>
        </w:rPr>
        <w:t>las entidades contratantes</w:t>
      </w:r>
      <w:r w:rsidR="003C40DE">
        <w:rPr>
          <w:rFonts w:ascii="Verdana" w:eastAsia="Calibri" w:hAnsi="Verdana" w:cs="Arial"/>
        </w:rPr>
        <w:t xml:space="preserve">, de tal </w:t>
      </w:r>
      <w:r w:rsidR="00290119">
        <w:rPr>
          <w:rFonts w:ascii="Verdana" w:eastAsia="Calibri" w:hAnsi="Verdana" w:cs="Arial"/>
        </w:rPr>
        <w:t>suerte</w:t>
      </w:r>
      <w:r w:rsidR="003C40DE">
        <w:rPr>
          <w:rFonts w:ascii="Verdana" w:eastAsia="Calibri" w:hAnsi="Verdana" w:cs="Arial"/>
        </w:rPr>
        <w:t xml:space="preserve"> que </w:t>
      </w:r>
      <w:r w:rsidR="00D96D4F">
        <w:rPr>
          <w:rFonts w:ascii="Verdana" w:eastAsia="Calibri" w:hAnsi="Verdana" w:cs="Arial"/>
        </w:rPr>
        <w:t>resulta</w:t>
      </w:r>
      <w:r w:rsidR="00F21A58">
        <w:rPr>
          <w:rFonts w:ascii="Verdana" w:eastAsia="Calibri" w:hAnsi="Verdana" w:cs="Arial"/>
        </w:rPr>
        <w:t xml:space="preserve"> discrecional de la entidad </w:t>
      </w:r>
      <w:r w:rsidR="00BA5665">
        <w:rPr>
          <w:rFonts w:ascii="Verdana" w:eastAsia="Calibri" w:hAnsi="Verdana" w:cs="Arial"/>
        </w:rPr>
        <w:t xml:space="preserve">incorporar dichos criterios </w:t>
      </w:r>
      <w:r w:rsidR="00BB58EE">
        <w:rPr>
          <w:rFonts w:ascii="Verdana" w:eastAsia="Calibri" w:hAnsi="Verdana" w:cs="Arial"/>
        </w:rPr>
        <w:t xml:space="preserve">como </w:t>
      </w:r>
      <w:r w:rsidR="00BB58EE" w:rsidRPr="00FE1510">
        <w:rPr>
          <w:rFonts w:ascii="Verdana" w:eastAsia="Calibri" w:hAnsi="Verdana" w:cs="Arial"/>
        </w:rPr>
        <w:t>parámetro</w:t>
      </w:r>
      <w:r w:rsidR="00D96D4F">
        <w:rPr>
          <w:rFonts w:ascii="Verdana" w:eastAsia="Calibri" w:hAnsi="Verdana" w:cs="Arial"/>
        </w:rPr>
        <w:t>s</w:t>
      </w:r>
      <w:r w:rsidR="00BB58EE" w:rsidRPr="00FE1510">
        <w:rPr>
          <w:rFonts w:ascii="Verdana" w:eastAsia="Calibri" w:hAnsi="Verdana" w:cs="Arial"/>
        </w:rPr>
        <w:t xml:space="preserve"> de selección y evaluación</w:t>
      </w:r>
      <w:r w:rsidR="00443A34">
        <w:rPr>
          <w:rFonts w:ascii="Verdana" w:eastAsia="Calibri" w:hAnsi="Verdana" w:cs="Arial"/>
        </w:rPr>
        <w:t xml:space="preserve"> en los procesos de </w:t>
      </w:r>
      <w:r w:rsidR="002A264B">
        <w:rPr>
          <w:rFonts w:ascii="Verdana" w:eastAsia="Calibri" w:hAnsi="Verdana" w:cs="Arial"/>
        </w:rPr>
        <w:t>selección</w:t>
      </w:r>
      <w:r w:rsidR="000F2F4C">
        <w:rPr>
          <w:rFonts w:ascii="Verdana" w:eastAsia="Calibri" w:hAnsi="Verdana" w:cs="Arial"/>
        </w:rPr>
        <w:t xml:space="preserve">. </w:t>
      </w:r>
      <w:r w:rsidR="00C137B1">
        <w:rPr>
          <w:rFonts w:ascii="Verdana" w:eastAsia="Calibri" w:hAnsi="Verdana" w:cs="Arial"/>
        </w:rPr>
        <w:t xml:space="preserve"> </w:t>
      </w:r>
    </w:p>
    <w:p w14:paraId="1F30681D" w14:textId="4813F0AD" w:rsidR="00DA212B" w:rsidRDefault="00DA212B" w:rsidP="00DA212B">
      <w:pPr>
        <w:widowControl w:val="0"/>
        <w:autoSpaceDE w:val="0"/>
        <w:autoSpaceDN w:val="0"/>
        <w:spacing w:line="276" w:lineRule="auto"/>
        <w:ind w:firstLine="709"/>
        <w:jc w:val="both"/>
        <w:rPr>
          <w:rFonts w:ascii="Verdana" w:eastAsia="Calibri" w:hAnsi="Verdana" w:cs="Arial"/>
        </w:rPr>
      </w:pPr>
      <w:r>
        <w:rPr>
          <w:rFonts w:ascii="Verdana" w:eastAsia="Calibri" w:hAnsi="Verdana" w:cs="Arial"/>
          <w:color w:val="000000" w:themeColor="text1"/>
        </w:rPr>
        <w:t>Al respecto, es pertinente indicar que el Consejo de Estado en sentencia del 18 de noviembre de 202 señ</w:t>
      </w:r>
      <w:r>
        <w:rPr>
          <w:rFonts w:ascii="Verdana" w:eastAsia="Calibri" w:hAnsi="Verdana" w:cs="Arial"/>
        </w:rPr>
        <w:t>aló que “</w:t>
      </w:r>
      <w:r w:rsidRPr="00DA212B">
        <w:rPr>
          <w:rFonts w:ascii="Verdana" w:eastAsia="Calibri" w:hAnsi="Verdana" w:cs="Arial"/>
        </w:rPr>
        <w:t xml:space="preserve">En términos generales, la Resolución </w:t>
      </w:r>
      <w:bookmarkStart w:id="8" w:name="_Hlk186491639"/>
      <w:r w:rsidRPr="00DA212B">
        <w:rPr>
          <w:rFonts w:ascii="Verdana" w:eastAsia="Calibri" w:hAnsi="Verdana" w:cs="Arial"/>
        </w:rPr>
        <w:t xml:space="preserve">312 de 2019 </w:t>
      </w:r>
      <w:bookmarkEnd w:id="8"/>
      <w:r w:rsidRPr="00DA212B">
        <w:rPr>
          <w:rFonts w:ascii="Verdana" w:eastAsia="Calibri" w:hAnsi="Verdana" w:cs="Arial"/>
        </w:rPr>
        <w:t>establece la obligación para las</w:t>
      </w:r>
      <w:r>
        <w:rPr>
          <w:rFonts w:ascii="Verdana" w:eastAsia="Calibri" w:hAnsi="Verdana" w:cs="Arial"/>
        </w:rPr>
        <w:t xml:space="preserve"> </w:t>
      </w:r>
      <w:r w:rsidRPr="00DA212B">
        <w:rPr>
          <w:rFonts w:ascii="Verdana" w:eastAsia="Calibri" w:hAnsi="Verdana" w:cs="Arial"/>
        </w:rPr>
        <w:t xml:space="preserve">empresas de contar con </w:t>
      </w:r>
      <w:bookmarkStart w:id="9" w:name="_Hlk186491484"/>
      <w:r w:rsidRPr="00DA212B">
        <w:rPr>
          <w:rFonts w:ascii="Verdana" w:eastAsia="Calibri" w:hAnsi="Verdana" w:cs="Arial"/>
        </w:rPr>
        <w:t>un Sistema de Gestión de la Seguridad y Salud en e</w:t>
      </w:r>
      <w:r>
        <w:rPr>
          <w:rFonts w:ascii="Verdana" w:eastAsia="Calibri" w:hAnsi="Verdana" w:cs="Arial"/>
        </w:rPr>
        <w:t xml:space="preserve">l </w:t>
      </w:r>
      <w:r w:rsidRPr="00DA212B">
        <w:rPr>
          <w:rFonts w:ascii="Verdana" w:eastAsia="Calibri" w:hAnsi="Verdana" w:cs="Arial"/>
        </w:rPr>
        <w:t>Trabajo -SG-SST</w:t>
      </w:r>
      <w:bookmarkEnd w:id="9"/>
      <w:r w:rsidRPr="00DA212B">
        <w:rPr>
          <w:rFonts w:ascii="Verdana" w:eastAsia="Calibri" w:hAnsi="Verdana" w:cs="Arial"/>
        </w:rPr>
        <w:t>- dirigido a anticipar, reconocer, evaluar y controlar los riesgos que</w:t>
      </w:r>
      <w:r>
        <w:rPr>
          <w:rFonts w:ascii="Verdana" w:eastAsia="Calibri" w:hAnsi="Verdana" w:cs="Arial"/>
        </w:rPr>
        <w:t xml:space="preserve"> </w:t>
      </w:r>
      <w:r w:rsidRPr="00DA212B">
        <w:rPr>
          <w:rFonts w:ascii="Verdana" w:eastAsia="Calibri" w:hAnsi="Verdana" w:cs="Arial"/>
        </w:rPr>
        <w:t xml:space="preserve">puedan afectar la seguridad y la salud en el ejercicio laboral. Sin embargo, </w:t>
      </w:r>
      <w:r w:rsidRPr="00DA212B">
        <w:rPr>
          <w:rFonts w:ascii="Verdana" w:eastAsia="Calibri" w:hAnsi="Verdana" w:cs="Arial"/>
          <w:i/>
          <w:iCs/>
        </w:rPr>
        <w:t>en ninguna de sus disposiciones se consagra que el certificado previsto en su artículo deba ser considerado como un requisito insoslayable para dotar de juridicidad un procedimiento de selección en la contratación pública o privada</w:t>
      </w:r>
      <w:r w:rsidR="00AB72BB">
        <w:rPr>
          <w:rStyle w:val="Refdenotaalpie"/>
          <w:rFonts w:ascii="Verdana" w:eastAsia="Calibri" w:hAnsi="Verdana" w:cs="Arial"/>
          <w:i/>
          <w:iCs/>
        </w:rPr>
        <w:footnoteReference w:id="7"/>
      </w:r>
      <w:r>
        <w:rPr>
          <w:rFonts w:ascii="Verdana" w:eastAsia="Calibri" w:hAnsi="Verdana" w:cs="Arial"/>
        </w:rPr>
        <w:t>”. (Énfasis por fuera de texto)</w:t>
      </w:r>
    </w:p>
    <w:p w14:paraId="7F63F507" w14:textId="2391FE14" w:rsidR="00DA212B" w:rsidRPr="00AB72BB" w:rsidRDefault="000A2030" w:rsidP="00AB72BB">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rPr>
        <w:t>En este sentido,</w:t>
      </w:r>
      <w:r w:rsidR="00DA212B">
        <w:rPr>
          <w:rFonts w:ascii="Verdana" w:eastAsia="Calibri" w:hAnsi="Verdana" w:cs="Arial"/>
        </w:rPr>
        <w:t xml:space="preserve"> la certificación del</w:t>
      </w:r>
      <w:r w:rsidR="00DA212B" w:rsidRPr="00DA212B">
        <w:rPr>
          <w:rFonts w:ascii="Verdana" w:eastAsia="Calibri" w:hAnsi="Verdana" w:cs="Arial"/>
        </w:rPr>
        <w:t xml:space="preserve"> Sistema de Gestión de la Seguridad y Salud en e</w:t>
      </w:r>
      <w:r w:rsidR="00DA212B">
        <w:rPr>
          <w:rFonts w:ascii="Verdana" w:eastAsia="Calibri" w:hAnsi="Verdana" w:cs="Arial"/>
        </w:rPr>
        <w:t xml:space="preserve">l </w:t>
      </w:r>
      <w:r w:rsidR="00DA212B" w:rsidRPr="00DA212B">
        <w:rPr>
          <w:rFonts w:ascii="Verdana" w:eastAsia="Calibri" w:hAnsi="Verdana" w:cs="Arial"/>
        </w:rPr>
        <w:t>Trabajo -SG-SST</w:t>
      </w:r>
      <w:r w:rsidR="00DA212B">
        <w:rPr>
          <w:rFonts w:ascii="Verdana" w:eastAsia="Calibri" w:hAnsi="Verdana" w:cs="Arial"/>
        </w:rPr>
        <w:t xml:space="preserve"> </w:t>
      </w:r>
      <w:r w:rsidR="00AB72BB">
        <w:rPr>
          <w:rFonts w:ascii="Verdana" w:eastAsia="Calibri" w:hAnsi="Verdana" w:cs="Arial"/>
        </w:rPr>
        <w:t>determinada en la Resolución</w:t>
      </w:r>
      <w:r w:rsidR="00AB72BB" w:rsidRPr="00DA212B">
        <w:rPr>
          <w:rFonts w:ascii="Verdana" w:eastAsia="Calibri" w:hAnsi="Verdana" w:cs="Arial"/>
        </w:rPr>
        <w:t xml:space="preserve">312 de 2019 </w:t>
      </w:r>
      <w:r w:rsidR="00DA212B">
        <w:rPr>
          <w:rFonts w:ascii="Verdana" w:eastAsia="Calibri" w:hAnsi="Verdana" w:cs="Arial"/>
        </w:rPr>
        <w:t xml:space="preserve">no </w:t>
      </w:r>
      <w:r w:rsidR="00C573DA">
        <w:rPr>
          <w:rFonts w:ascii="Verdana" w:eastAsia="Calibri" w:hAnsi="Verdana" w:cs="Arial"/>
          <w:color w:val="000000" w:themeColor="text1"/>
        </w:rPr>
        <w:t>es un requisito obligatorio que deba</w:t>
      </w:r>
      <w:r w:rsidR="00AB72BB">
        <w:rPr>
          <w:rFonts w:ascii="Verdana" w:eastAsia="Calibri" w:hAnsi="Verdana" w:cs="Arial"/>
          <w:color w:val="000000" w:themeColor="text1"/>
        </w:rPr>
        <w:t xml:space="preserve"> </w:t>
      </w:r>
      <w:r w:rsidR="00AB72BB" w:rsidRPr="00653B38">
        <w:rPr>
          <w:rFonts w:ascii="Verdana" w:eastAsia="Calibri" w:hAnsi="Verdana" w:cs="Arial"/>
          <w:color w:val="000000" w:themeColor="text1"/>
        </w:rPr>
        <w:t>ser exigid</w:t>
      </w:r>
      <w:r w:rsidR="00C573DA">
        <w:rPr>
          <w:rFonts w:ascii="Verdana" w:eastAsia="Calibri" w:hAnsi="Verdana" w:cs="Arial"/>
          <w:color w:val="000000" w:themeColor="text1"/>
        </w:rPr>
        <w:t>o</w:t>
      </w:r>
      <w:r w:rsidR="00AB72BB" w:rsidRPr="00653B38">
        <w:rPr>
          <w:rFonts w:ascii="Verdana" w:eastAsia="Calibri" w:hAnsi="Verdana" w:cs="Arial"/>
          <w:color w:val="000000" w:themeColor="text1"/>
        </w:rPr>
        <w:t xml:space="preserve"> como</w:t>
      </w:r>
      <w:r w:rsidR="00C573DA">
        <w:rPr>
          <w:rFonts w:ascii="Verdana" w:eastAsia="Calibri" w:hAnsi="Verdana" w:cs="Arial"/>
          <w:color w:val="000000" w:themeColor="text1"/>
        </w:rPr>
        <w:t xml:space="preserve"> una</w:t>
      </w:r>
      <w:r w:rsidR="00AB72BB" w:rsidRPr="00653B38">
        <w:rPr>
          <w:rFonts w:ascii="Verdana" w:eastAsia="Calibri" w:hAnsi="Verdana" w:cs="Arial"/>
          <w:color w:val="000000" w:themeColor="text1"/>
        </w:rPr>
        <w:t xml:space="preserve"> </w:t>
      </w:r>
      <w:r w:rsidR="00C573DA">
        <w:rPr>
          <w:rFonts w:ascii="Verdana" w:eastAsia="Calibri" w:hAnsi="Verdana" w:cs="Arial"/>
          <w:color w:val="000000" w:themeColor="text1"/>
        </w:rPr>
        <w:t>condición</w:t>
      </w:r>
      <w:r w:rsidR="00AB72BB" w:rsidRPr="00653B38">
        <w:rPr>
          <w:rFonts w:ascii="Verdana" w:eastAsia="Calibri" w:hAnsi="Verdana" w:cs="Arial"/>
          <w:color w:val="000000" w:themeColor="text1"/>
        </w:rPr>
        <w:t xml:space="preserve"> habilitante en los procesos</w:t>
      </w:r>
      <w:r w:rsidR="00AB72BB">
        <w:rPr>
          <w:rFonts w:ascii="Verdana" w:eastAsia="Calibri" w:hAnsi="Verdana" w:cs="Arial"/>
          <w:color w:val="000000" w:themeColor="text1"/>
        </w:rPr>
        <w:t xml:space="preserve"> </w:t>
      </w:r>
      <w:r w:rsidR="00AB72BB" w:rsidRPr="00653B38">
        <w:rPr>
          <w:rFonts w:ascii="Verdana" w:eastAsia="Calibri" w:hAnsi="Verdana" w:cs="Arial"/>
          <w:color w:val="000000" w:themeColor="text1"/>
        </w:rPr>
        <w:t>licitatorios que adelante el Estado Colombiano</w:t>
      </w:r>
      <w:r w:rsidR="00AB72BB">
        <w:rPr>
          <w:rFonts w:ascii="Verdana" w:eastAsia="Calibri" w:hAnsi="Verdana" w:cs="Arial"/>
          <w:color w:val="000000" w:themeColor="text1"/>
        </w:rPr>
        <w:t xml:space="preserve">, pues la norma no establece dicha obligación. </w:t>
      </w:r>
      <w:r w:rsidR="00C573DA">
        <w:rPr>
          <w:rFonts w:ascii="Verdana" w:eastAsia="Calibri" w:hAnsi="Verdana" w:cs="Arial"/>
          <w:color w:val="000000" w:themeColor="text1"/>
        </w:rPr>
        <w:t>En los términos del parágrafo 2 del</w:t>
      </w:r>
      <w:r w:rsidR="00C573DA" w:rsidRPr="00C573DA">
        <w:rPr>
          <w:rFonts w:ascii="Verdana" w:eastAsia="Calibri" w:hAnsi="Verdana" w:cs="Arial"/>
        </w:rPr>
        <w:t xml:space="preserve"> </w:t>
      </w:r>
      <w:r w:rsidR="00C573DA" w:rsidRPr="000C02AD">
        <w:rPr>
          <w:rFonts w:ascii="Verdana" w:eastAsia="Calibri" w:hAnsi="Verdana" w:cs="Arial"/>
        </w:rPr>
        <w:t>artículo 2.2.4.6.4. del Decreto 1072 de 2015</w:t>
      </w:r>
      <w:r w:rsidR="00C573DA">
        <w:rPr>
          <w:rFonts w:ascii="Verdana" w:eastAsia="Calibri" w:hAnsi="Verdana" w:cs="Arial"/>
        </w:rPr>
        <w:t xml:space="preserve">, </w:t>
      </w:r>
      <w:r w:rsidR="00AB72BB">
        <w:rPr>
          <w:rFonts w:ascii="Verdana" w:eastAsia="Calibri" w:hAnsi="Verdana" w:cs="Arial"/>
          <w:color w:val="000000" w:themeColor="text1"/>
        </w:rPr>
        <w:t xml:space="preserve">es una facultad de la entidad establecerlo </w:t>
      </w:r>
      <w:r w:rsidR="00C573DA">
        <w:rPr>
          <w:rFonts w:ascii="Verdana" w:eastAsia="Calibri" w:hAnsi="Verdana" w:cs="Arial"/>
          <w:color w:val="000000" w:themeColor="text1"/>
        </w:rPr>
        <w:t>c</w:t>
      </w:r>
      <w:r w:rsidR="00AB72BB">
        <w:rPr>
          <w:rFonts w:ascii="Verdana" w:eastAsia="Calibri" w:hAnsi="Verdana" w:cs="Arial"/>
          <w:color w:val="000000" w:themeColor="text1"/>
        </w:rPr>
        <w:t xml:space="preserve">omo un requisito </w:t>
      </w:r>
      <w:r w:rsidR="00C573DA">
        <w:rPr>
          <w:rFonts w:ascii="Verdana" w:eastAsia="Calibri" w:hAnsi="Verdana" w:cs="Arial"/>
          <w:color w:val="000000" w:themeColor="text1"/>
        </w:rPr>
        <w:t>de selección</w:t>
      </w:r>
      <w:r w:rsidR="00AB72BB">
        <w:rPr>
          <w:rFonts w:ascii="Verdana" w:eastAsia="Calibri" w:hAnsi="Verdana" w:cs="Arial"/>
          <w:color w:val="000000" w:themeColor="text1"/>
        </w:rPr>
        <w:t xml:space="preserve"> o que </w:t>
      </w:r>
      <w:r w:rsidR="00AB72BB" w:rsidRPr="00AB72BB">
        <w:rPr>
          <w:rFonts w:ascii="Verdana" w:eastAsia="Calibri" w:hAnsi="Verdana" w:cs="Arial"/>
          <w:color w:val="000000" w:themeColor="text1"/>
        </w:rPr>
        <w:t>puede ser tenida en cuenta “como referente en seguridad y salud en</w:t>
      </w:r>
      <w:r w:rsidR="00AB72BB">
        <w:rPr>
          <w:rFonts w:ascii="Verdana" w:eastAsia="Calibri" w:hAnsi="Verdana" w:cs="Arial"/>
          <w:color w:val="000000" w:themeColor="text1"/>
        </w:rPr>
        <w:t xml:space="preserve"> </w:t>
      </w:r>
      <w:r w:rsidR="00AB72BB" w:rsidRPr="00AB72BB">
        <w:rPr>
          <w:rFonts w:ascii="Verdana" w:eastAsia="Calibri" w:hAnsi="Verdana" w:cs="Arial"/>
          <w:color w:val="000000" w:themeColor="text1"/>
        </w:rPr>
        <w:t>el trabajo para efectos de la contratación pública o privada”.</w:t>
      </w:r>
    </w:p>
    <w:p w14:paraId="2110D245" w14:textId="0A012DAF" w:rsidR="0034024F" w:rsidRDefault="00C573DA" w:rsidP="0034024F">
      <w:pPr>
        <w:widowControl w:val="0"/>
        <w:autoSpaceDE w:val="0"/>
        <w:autoSpaceDN w:val="0"/>
        <w:spacing w:line="276" w:lineRule="auto"/>
        <w:ind w:firstLine="709"/>
        <w:jc w:val="both"/>
        <w:rPr>
          <w:rFonts w:ascii="Verdana" w:eastAsia="Calibri" w:hAnsi="Verdana" w:cs="Arial"/>
          <w:color w:val="000000" w:themeColor="text1"/>
        </w:rPr>
      </w:pPr>
      <w:r>
        <w:rPr>
          <w:rFonts w:ascii="Verdana" w:eastAsia="Calibri" w:hAnsi="Verdana" w:cs="Arial"/>
        </w:rPr>
        <w:t>En todo caso,</w:t>
      </w:r>
      <w:r w:rsidR="000A2030">
        <w:rPr>
          <w:rFonts w:ascii="Verdana" w:eastAsia="Calibri" w:hAnsi="Verdana" w:cs="Arial"/>
        </w:rPr>
        <w:t xml:space="preserve"> e</w:t>
      </w:r>
      <w:r w:rsidR="002B4EF4">
        <w:rPr>
          <w:rFonts w:ascii="Verdana" w:eastAsia="Calibri" w:hAnsi="Verdana" w:cs="Arial"/>
        </w:rPr>
        <w:t xml:space="preserve">sta </w:t>
      </w:r>
      <w:r w:rsidR="002A4B33">
        <w:rPr>
          <w:rFonts w:ascii="Verdana" w:eastAsia="Calibri" w:hAnsi="Verdana" w:cs="Arial"/>
        </w:rPr>
        <w:t>facult</w:t>
      </w:r>
      <w:r w:rsidR="00AB5F48">
        <w:rPr>
          <w:rFonts w:ascii="Verdana" w:eastAsia="Calibri" w:hAnsi="Verdana" w:cs="Arial"/>
        </w:rPr>
        <w:t>ad</w:t>
      </w:r>
      <w:r w:rsidR="002E3DD8">
        <w:rPr>
          <w:rFonts w:ascii="Verdana" w:eastAsia="Calibri" w:hAnsi="Verdana" w:cs="Arial"/>
        </w:rPr>
        <w:t xml:space="preserve"> no</w:t>
      </w:r>
      <w:r w:rsidR="002B4EF4">
        <w:rPr>
          <w:rFonts w:ascii="Verdana" w:eastAsia="Calibri" w:hAnsi="Verdana" w:cs="Arial"/>
        </w:rPr>
        <w:t xml:space="preserve"> implica que </w:t>
      </w:r>
      <w:r w:rsidR="00C137B1">
        <w:rPr>
          <w:rFonts w:ascii="Verdana" w:eastAsia="Calibri" w:hAnsi="Verdana" w:cs="Arial"/>
        </w:rPr>
        <w:t xml:space="preserve">las entidades estatales </w:t>
      </w:r>
      <w:r w:rsidR="002E3DD8">
        <w:rPr>
          <w:rFonts w:ascii="Verdana" w:eastAsia="Calibri" w:hAnsi="Verdana" w:cs="Arial"/>
        </w:rPr>
        <w:t>deben incluir</w:t>
      </w:r>
      <w:r w:rsidR="00A132A1">
        <w:rPr>
          <w:rFonts w:ascii="Verdana" w:eastAsia="Calibri" w:hAnsi="Verdana" w:cs="Arial"/>
        </w:rPr>
        <w:t xml:space="preserve"> dichos criterios</w:t>
      </w:r>
      <w:r w:rsidR="002E3DD8">
        <w:rPr>
          <w:rFonts w:ascii="Verdana" w:eastAsia="Calibri" w:hAnsi="Verdana" w:cs="Arial"/>
        </w:rPr>
        <w:t xml:space="preserve"> en todos los procesos de contratación</w:t>
      </w:r>
      <w:r w:rsidR="00E82DC6">
        <w:rPr>
          <w:rFonts w:ascii="Verdana" w:eastAsia="Calibri" w:hAnsi="Verdana" w:cs="Arial"/>
        </w:rPr>
        <w:t xml:space="preserve"> automáticamente</w:t>
      </w:r>
      <w:r w:rsidR="002E3DD8">
        <w:rPr>
          <w:rFonts w:ascii="Verdana" w:eastAsia="Calibri" w:hAnsi="Verdana" w:cs="Arial"/>
        </w:rPr>
        <w:t xml:space="preserve">, así como tampoco </w:t>
      </w:r>
      <w:r w:rsidR="002B6CA2">
        <w:rPr>
          <w:rFonts w:ascii="Verdana" w:eastAsia="Calibri" w:hAnsi="Verdana" w:cs="Arial"/>
        </w:rPr>
        <w:t>quiere decir</w:t>
      </w:r>
      <w:r w:rsidR="002E3DD8">
        <w:rPr>
          <w:rFonts w:ascii="Verdana" w:eastAsia="Calibri" w:hAnsi="Verdana" w:cs="Arial"/>
        </w:rPr>
        <w:t xml:space="preserve"> que deban descartarlo</w:t>
      </w:r>
      <w:r w:rsidR="00A132A1">
        <w:rPr>
          <w:rFonts w:ascii="Verdana" w:eastAsia="Calibri" w:hAnsi="Verdana" w:cs="Arial"/>
        </w:rPr>
        <w:t>s</w:t>
      </w:r>
      <w:r>
        <w:rPr>
          <w:rFonts w:ascii="Verdana" w:eastAsia="Calibri" w:hAnsi="Verdana" w:cs="Arial"/>
        </w:rPr>
        <w:t xml:space="preserve"> inmediatamente</w:t>
      </w:r>
      <w:r w:rsidR="002E3DD8">
        <w:rPr>
          <w:rFonts w:ascii="Verdana" w:eastAsia="Calibri" w:hAnsi="Verdana" w:cs="Arial"/>
        </w:rPr>
        <w:t xml:space="preserve"> por no ser obligatorios. Lo que </w:t>
      </w:r>
      <w:r w:rsidR="00EC75F6">
        <w:rPr>
          <w:rFonts w:ascii="Verdana" w:eastAsia="Calibri" w:hAnsi="Verdana" w:cs="Arial"/>
        </w:rPr>
        <w:t>se quier</w:t>
      </w:r>
      <w:r w:rsidR="00260496">
        <w:rPr>
          <w:rFonts w:ascii="Verdana" w:eastAsia="Calibri" w:hAnsi="Verdana" w:cs="Arial"/>
        </w:rPr>
        <w:t>e significar</w:t>
      </w:r>
      <w:r w:rsidR="00EC75F6">
        <w:rPr>
          <w:rFonts w:ascii="Verdana" w:eastAsia="Calibri" w:hAnsi="Verdana" w:cs="Arial"/>
        </w:rPr>
        <w:t xml:space="preserve"> es que </w:t>
      </w:r>
      <w:r w:rsidR="00260542">
        <w:rPr>
          <w:rFonts w:ascii="Verdana" w:eastAsia="Calibri" w:hAnsi="Verdana" w:cs="Arial"/>
        </w:rPr>
        <w:t xml:space="preserve">para establecer dichos criterios como requisitos de habilitación </w:t>
      </w:r>
      <w:r w:rsidR="00A8415A">
        <w:rPr>
          <w:rFonts w:ascii="Verdana" w:eastAsia="Calibri" w:hAnsi="Verdana" w:cs="Arial"/>
        </w:rPr>
        <w:t>y</w:t>
      </w:r>
      <w:r w:rsidR="008C2F0D">
        <w:rPr>
          <w:rFonts w:ascii="Verdana" w:eastAsia="Calibri" w:hAnsi="Verdana" w:cs="Arial"/>
        </w:rPr>
        <w:t>/</w:t>
      </w:r>
      <w:r w:rsidR="00260542">
        <w:rPr>
          <w:rFonts w:ascii="Verdana" w:eastAsia="Calibri" w:hAnsi="Verdana" w:cs="Arial"/>
        </w:rPr>
        <w:t>o de calificación la entidad deberá</w:t>
      </w:r>
      <w:r w:rsidR="00644BED">
        <w:rPr>
          <w:rFonts w:ascii="Verdana" w:eastAsia="Calibri" w:hAnsi="Verdana" w:cs="Arial"/>
        </w:rPr>
        <w:t xml:space="preserve"> </w:t>
      </w:r>
      <w:r w:rsidR="001F0822">
        <w:rPr>
          <w:rFonts w:ascii="Verdana" w:eastAsia="Calibri" w:hAnsi="Verdana" w:cs="Arial"/>
        </w:rPr>
        <w:t xml:space="preserve">siempre y </w:t>
      </w:r>
      <w:r w:rsidR="00E82DC6">
        <w:rPr>
          <w:rFonts w:ascii="Verdana" w:eastAsia="Calibri" w:hAnsi="Verdana" w:cs="Arial"/>
        </w:rPr>
        <w:t xml:space="preserve">en </w:t>
      </w:r>
      <w:r w:rsidR="001F0822">
        <w:rPr>
          <w:rFonts w:ascii="Verdana" w:eastAsia="Calibri" w:hAnsi="Verdana" w:cs="Arial"/>
        </w:rPr>
        <w:t>todo caso analizar</w:t>
      </w:r>
      <w:r w:rsidR="00C17B6E">
        <w:rPr>
          <w:rFonts w:ascii="Verdana" w:eastAsia="Calibri" w:hAnsi="Verdana" w:cs="Arial"/>
        </w:rPr>
        <w:t xml:space="preserve"> que </w:t>
      </w:r>
      <w:r w:rsidR="009763E4">
        <w:rPr>
          <w:rFonts w:ascii="Verdana" w:eastAsia="Calibri" w:hAnsi="Verdana" w:cs="Arial"/>
        </w:rPr>
        <w:t xml:space="preserve">estos </w:t>
      </w:r>
      <w:r w:rsidR="00344ACC">
        <w:rPr>
          <w:rFonts w:ascii="Verdana" w:eastAsia="Calibri" w:hAnsi="Verdana" w:cs="Arial"/>
        </w:rPr>
        <w:t>sean adecuado</w:t>
      </w:r>
      <w:r w:rsidR="00BD5712">
        <w:rPr>
          <w:rFonts w:ascii="Verdana" w:eastAsia="Calibri" w:hAnsi="Verdana" w:cs="Arial"/>
        </w:rPr>
        <w:t>s</w:t>
      </w:r>
      <w:r w:rsidR="00344ACC">
        <w:rPr>
          <w:rFonts w:ascii="Verdana" w:eastAsia="Calibri" w:hAnsi="Verdana" w:cs="Arial"/>
        </w:rPr>
        <w:t xml:space="preserve">, es decir, que </w:t>
      </w:r>
      <w:r w:rsidR="00B51581" w:rsidRPr="001A2D8F">
        <w:rPr>
          <w:rFonts w:ascii="Verdana" w:eastAsia="Calibri" w:hAnsi="Verdana" w:cs="Arial"/>
          <w:color w:val="000000" w:themeColor="text1"/>
        </w:rPr>
        <w:t>ten</w:t>
      </w:r>
      <w:r w:rsidR="00B51581">
        <w:rPr>
          <w:rFonts w:ascii="Verdana" w:eastAsia="Calibri" w:hAnsi="Verdana" w:cs="Arial"/>
          <w:color w:val="000000" w:themeColor="text1"/>
        </w:rPr>
        <w:t>gan</w:t>
      </w:r>
      <w:r w:rsidR="00B51581" w:rsidRPr="001A2D8F">
        <w:rPr>
          <w:rFonts w:ascii="Verdana" w:eastAsia="Calibri" w:hAnsi="Verdana" w:cs="Arial"/>
          <w:color w:val="000000" w:themeColor="text1"/>
        </w:rPr>
        <w:t xml:space="preserve"> una relación directa con el objeto del contrato</w:t>
      </w:r>
      <w:r w:rsidR="00B51581">
        <w:rPr>
          <w:rFonts w:ascii="Verdana" w:eastAsia="Calibri" w:hAnsi="Verdana" w:cs="Arial"/>
          <w:color w:val="000000" w:themeColor="text1"/>
        </w:rPr>
        <w:t xml:space="preserve">, </w:t>
      </w:r>
      <w:r w:rsidR="00D67B9B">
        <w:rPr>
          <w:rFonts w:ascii="Verdana" w:eastAsia="Calibri" w:hAnsi="Verdana" w:cs="Arial"/>
          <w:color w:val="000000" w:themeColor="text1"/>
        </w:rPr>
        <w:t xml:space="preserve">y </w:t>
      </w:r>
      <w:r w:rsidR="007E635E">
        <w:rPr>
          <w:rFonts w:ascii="Verdana" w:eastAsia="Calibri" w:hAnsi="Verdana" w:cs="Arial"/>
          <w:color w:val="000000" w:themeColor="text1"/>
        </w:rPr>
        <w:t xml:space="preserve">que sean </w:t>
      </w:r>
      <w:r w:rsidR="00E45B2D">
        <w:rPr>
          <w:rFonts w:ascii="Verdana" w:eastAsia="Calibri" w:hAnsi="Verdana" w:cs="Arial"/>
        </w:rPr>
        <w:t>proporcionales</w:t>
      </w:r>
      <w:r w:rsidR="00B51581">
        <w:rPr>
          <w:rFonts w:ascii="Verdana" w:eastAsia="Calibri" w:hAnsi="Verdana" w:cs="Arial"/>
        </w:rPr>
        <w:t xml:space="preserve"> a las condiciones de</w:t>
      </w:r>
      <w:r w:rsidR="002032A0">
        <w:rPr>
          <w:rFonts w:ascii="Verdana" w:eastAsia="Calibri" w:hAnsi="Verdana" w:cs="Arial"/>
        </w:rPr>
        <w:t xml:space="preserve"> este</w:t>
      </w:r>
      <w:r w:rsidR="001A2D8F" w:rsidRPr="001A2D8F">
        <w:rPr>
          <w:rFonts w:ascii="Verdana" w:eastAsia="Calibri" w:hAnsi="Verdana" w:cs="Arial"/>
          <w:color w:val="000000" w:themeColor="text1"/>
        </w:rPr>
        <w:t xml:space="preserve">, de </w:t>
      </w:r>
      <w:r w:rsidR="00D11949">
        <w:rPr>
          <w:rFonts w:ascii="Verdana" w:eastAsia="Calibri" w:hAnsi="Verdana" w:cs="Arial"/>
          <w:color w:val="000000" w:themeColor="text1"/>
        </w:rPr>
        <w:t xml:space="preserve">manera </w:t>
      </w:r>
      <w:r w:rsidR="001A2D8F" w:rsidRPr="001A2D8F">
        <w:rPr>
          <w:rFonts w:ascii="Verdana" w:eastAsia="Calibri" w:hAnsi="Verdana" w:cs="Arial"/>
          <w:color w:val="000000" w:themeColor="text1"/>
        </w:rPr>
        <w:t xml:space="preserve">que </w:t>
      </w:r>
      <w:r w:rsidR="00D0597D">
        <w:rPr>
          <w:rFonts w:ascii="Verdana" w:eastAsia="Calibri" w:hAnsi="Verdana" w:cs="Arial"/>
          <w:color w:val="000000" w:themeColor="text1"/>
        </w:rPr>
        <w:t xml:space="preserve">no se </w:t>
      </w:r>
      <w:r w:rsidR="001A2D8F" w:rsidRPr="001A2D8F">
        <w:rPr>
          <w:rFonts w:ascii="Verdana" w:eastAsia="Calibri" w:hAnsi="Verdana" w:cs="Arial"/>
          <w:color w:val="000000" w:themeColor="text1"/>
        </w:rPr>
        <w:t xml:space="preserve">establezcan </w:t>
      </w:r>
      <w:r w:rsidR="003F5717">
        <w:rPr>
          <w:rFonts w:ascii="Verdana" w:eastAsia="Calibri" w:hAnsi="Verdana" w:cs="Arial"/>
          <w:color w:val="000000" w:themeColor="text1"/>
        </w:rPr>
        <w:t xml:space="preserve">requisitos </w:t>
      </w:r>
      <w:r w:rsidR="001A2D8F" w:rsidRPr="001A2D8F">
        <w:rPr>
          <w:rFonts w:ascii="Verdana" w:eastAsia="Calibri" w:hAnsi="Verdana" w:cs="Arial"/>
          <w:color w:val="000000" w:themeColor="text1"/>
        </w:rPr>
        <w:t>más allá de las necesari</w:t>
      </w:r>
      <w:r w:rsidR="00673F50">
        <w:rPr>
          <w:rFonts w:ascii="Verdana" w:eastAsia="Calibri" w:hAnsi="Verdana" w:cs="Arial"/>
          <w:color w:val="000000" w:themeColor="text1"/>
        </w:rPr>
        <w:t>o</w:t>
      </w:r>
      <w:r w:rsidR="001A2D8F" w:rsidRPr="001A2D8F">
        <w:rPr>
          <w:rFonts w:ascii="Verdana" w:eastAsia="Calibri" w:hAnsi="Verdana" w:cs="Arial"/>
          <w:color w:val="000000" w:themeColor="text1"/>
        </w:rPr>
        <w:t>s para verificar la idoneidad requerida de los proponentes respecto del objeto ofertado</w:t>
      </w:r>
      <w:r w:rsidR="00B97A76">
        <w:rPr>
          <w:rFonts w:ascii="Verdana" w:eastAsia="Calibri" w:hAnsi="Verdana" w:cs="Arial"/>
          <w:color w:val="000000" w:themeColor="text1"/>
        </w:rPr>
        <w:t xml:space="preserve">. </w:t>
      </w:r>
    </w:p>
    <w:p w14:paraId="2CDA7E22" w14:textId="5D0728E1" w:rsidR="005846C0" w:rsidRDefault="00E82064" w:rsidP="00D52AB4">
      <w:pPr>
        <w:widowControl w:val="0"/>
        <w:autoSpaceDE w:val="0"/>
        <w:autoSpaceDN w:val="0"/>
        <w:spacing w:line="276" w:lineRule="auto"/>
        <w:ind w:firstLine="709"/>
        <w:jc w:val="both"/>
        <w:rPr>
          <w:rFonts w:ascii="Verdana" w:eastAsia="Calibri" w:hAnsi="Verdana" w:cs="Arial"/>
        </w:rPr>
      </w:pPr>
      <w:r>
        <w:rPr>
          <w:rFonts w:ascii="Verdana" w:eastAsia="Calibri" w:hAnsi="Verdana" w:cs="Arial"/>
        </w:rPr>
        <w:lastRenderedPageBreak/>
        <w:t>Así</w:t>
      </w:r>
      <w:r w:rsidR="00AA7A06">
        <w:rPr>
          <w:rFonts w:ascii="Verdana" w:eastAsia="Calibri" w:hAnsi="Verdana" w:cs="Arial"/>
        </w:rPr>
        <w:t xml:space="preserve"> las cosas</w:t>
      </w:r>
      <w:r>
        <w:rPr>
          <w:rFonts w:ascii="Verdana" w:eastAsia="Calibri" w:hAnsi="Verdana" w:cs="Arial"/>
        </w:rPr>
        <w:t>,</w:t>
      </w:r>
      <w:r w:rsidR="00EF0437">
        <w:rPr>
          <w:rFonts w:ascii="Verdana" w:eastAsia="Calibri" w:hAnsi="Verdana" w:cs="Arial"/>
        </w:rPr>
        <w:t xml:space="preserve"> </w:t>
      </w:r>
      <w:r w:rsidR="00F1377B">
        <w:rPr>
          <w:rFonts w:ascii="Verdana" w:eastAsia="Calibri" w:hAnsi="Verdana" w:cs="Arial"/>
        </w:rPr>
        <w:t xml:space="preserve">aunque </w:t>
      </w:r>
      <w:r w:rsidR="00762102">
        <w:rPr>
          <w:rFonts w:ascii="Verdana" w:eastAsia="Calibri" w:hAnsi="Verdana" w:cs="Arial"/>
        </w:rPr>
        <w:t xml:space="preserve">la norma establece una </w:t>
      </w:r>
      <w:r w:rsidR="00F1377B">
        <w:rPr>
          <w:rFonts w:ascii="Verdana" w:eastAsia="Calibri" w:hAnsi="Verdana" w:cs="Arial"/>
        </w:rPr>
        <w:t xml:space="preserve">discrecionalidad </w:t>
      </w:r>
      <w:r w:rsidR="00762102">
        <w:rPr>
          <w:rFonts w:ascii="Verdana" w:eastAsia="Calibri" w:hAnsi="Verdana" w:cs="Arial"/>
        </w:rPr>
        <w:t xml:space="preserve">que </w:t>
      </w:r>
      <w:r w:rsidR="00C13B43" w:rsidRPr="00A86FBC">
        <w:rPr>
          <w:rFonts w:ascii="Verdana" w:eastAsia="Calibri" w:hAnsi="Verdana" w:cs="Arial"/>
        </w:rPr>
        <w:t>implica una elección administrativa</w:t>
      </w:r>
      <w:r w:rsidR="0070658A">
        <w:rPr>
          <w:rFonts w:ascii="Verdana" w:eastAsia="Calibri" w:hAnsi="Verdana" w:cs="Arial"/>
        </w:rPr>
        <w:t xml:space="preserve"> de </w:t>
      </w:r>
      <w:r w:rsidR="000A1F38">
        <w:rPr>
          <w:rFonts w:ascii="Verdana" w:eastAsia="Calibri" w:hAnsi="Verdana" w:cs="Arial"/>
        </w:rPr>
        <w:t>valorar la inclusión de dichos criterios,</w:t>
      </w:r>
      <w:r w:rsidR="00C13B43" w:rsidRPr="00A86FBC">
        <w:rPr>
          <w:rFonts w:ascii="Verdana" w:eastAsia="Calibri" w:hAnsi="Verdana" w:cs="Arial"/>
        </w:rPr>
        <w:t xml:space="preserve"> no puede ser una decisión irracional o arbitraria</w:t>
      </w:r>
      <w:r w:rsidR="000A1F38">
        <w:rPr>
          <w:rFonts w:ascii="Verdana" w:eastAsia="Calibri" w:hAnsi="Verdana" w:cs="Arial"/>
        </w:rPr>
        <w:t>, pues de hecho</w:t>
      </w:r>
      <w:r w:rsidR="006E7082">
        <w:rPr>
          <w:rFonts w:ascii="Verdana" w:eastAsia="Calibri" w:hAnsi="Verdana" w:cs="Arial"/>
        </w:rPr>
        <w:t>,</w:t>
      </w:r>
      <w:r w:rsidR="000A1F38">
        <w:rPr>
          <w:rFonts w:ascii="Verdana" w:eastAsia="Calibri" w:hAnsi="Verdana" w:cs="Arial"/>
        </w:rPr>
        <w:t xml:space="preserve"> tal y </w:t>
      </w:r>
      <w:r>
        <w:rPr>
          <w:rFonts w:ascii="Verdana" w:eastAsia="Calibri" w:hAnsi="Verdana" w:cs="Arial"/>
        </w:rPr>
        <w:t xml:space="preserve">como </w:t>
      </w:r>
      <w:r w:rsidR="00C62BF2">
        <w:rPr>
          <w:rFonts w:ascii="Verdana" w:eastAsia="Calibri" w:hAnsi="Verdana" w:cs="Arial"/>
        </w:rPr>
        <w:t xml:space="preserve">sucede con </w:t>
      </w:r>
      <w:r>
        <w:rPr>
          <w:rFonts w:ascii="Verdana" w:eastAsia="Calibri" w:hAnsi="Verdana" w:cs="Arial"/>
        </w:rPr>
        <w:t>los demás requisitos de habilitación y de calificación</w:t>
      </w:r>
      <w:r w:rsidR="005B2D65">
        <w:rPr>
          <w:rFonts w:ascii="Verdana" w:eastAsia="Calibri" w:hAnsi="Verdana" w:cs="Arial"/>
        </w:rPr>
        <w:t xml:space="preserve">, </w:t>
      </w:r>
      <w:r w:rsidR="00AE3E11">
        <w:rPr>
          <w:rFonts w:ascii="Verdana" w:eastAsia="Calibri" w:hAnsi="Verdana" w:cs="Arial"/>
        </w:rPr>
        <w:t xml:space="preserve">las entidades estatales deberán </w:t>
      </w:r>
      <w:r w:rsidR="00EC2A3F">
        <w:rPr>
          <w:rFonts w:ascii="Verdana" w:eastAsia="Calibri" w:hAnsi="Verdana" w:cs="Arial"/>
        </w:rPr>
        <w:t>revisar</w:t>
      </w:r>
      <w:r w:rsidR="00FB577F">
        <w:rPr>
          <w:rFonts w:ascii="Verdana" w:eastAsia="Calibri" w:hAnsi="Verdana" w:cs="Arial"/>
        </w:rPr>
        <w:t xml:space="preserve"> la aplicación de</w:t>
      </w:r>
      <w:r w:rsidR="00212390">
        <w:rPr>
          <w:rFonts w:ascii="Verdana" w:eastAsia="Calibri" w:hAnsi="Verdana" w:cs="Arial"/>
        </w:rPr>
        <w:t xml:space="preserve"> los</w:t>
      </w:r>
      <w:r w:rsidR="00DB00EE">
        <w:rPr>
          <w:rFonts w:ascii="Verdana" w:eastAsia="Calibri" w:hAnsi="Verdana" w:cs="Arial"/>
        </w:rPr>
        <w:t xml:space="preserve"> criterios </w:t>
      </w:r>
      <w:r w:rsidR="00212390" w:rsidRPr="005E035A">
        <w:rPr>
          <w:rFonts w:ascii="Verdana" w:eastAsia="Calibri" w:hAnsi="Verdana" w:cs="Arial"/>
        </w:rPr>
        <w:t xml:space="preserve">que le permitan conocer que la empresa a contratar cuente con el Sistema de Gestión de la Seguridad y Salud en el Trabajo </w:t>
      </w:r>
      <w:r w:rsidR="00D67B9B" w:rsidRPr="00D67B9B">
        <w:rPr>
          <w:rFonts w:ascii="Verdana" w:eastAsia="Calibri" w:hAnsi="Verdana" w:cs="Arial"/>
        </w:rPr>
        <w:t xml:space="preserve">durante la etapa de planeación del contrato estatal, </w:t>
      </w:r>
      <w:r w:rsidR="00DB00EE">
        <w:rPr>
          <w:rFonts w:ascii="Verdana" w:eastAsia="Calibri" w:hAnsi="Verdana" w:cs="Arial"/>
        </w:rPr>
        <w:t xml:space="preserve">teniendo en cuenta </w:t>
      </w:r>
      <w:r w:rsidR="00A61879">
        <w:rPr>
          <w:rFonts w:ascii="Verdana" w:eastAsia="Calibri" w:hAnsi="Verdana" w:cs="Arial"/>
        </w:rPr>
        <w:t xml:space="preserve">las condiciones particulares de cada </w:t>
      </w:r>
      <w:r w:rsidR="00D00DBF">
        <w:rPr>
          <w:rFonts w:ascii="Verdana" w:eastAsia="Calibri" w:hAnsi="Verdana" w:cs="Arial"/>
        </w:rPr>
        <w:t>contrato</w:t>
      </w:r>
      <w:r w:rsidR="009A2C4C">
        <w:rPr>
          <w:rFonts w:ascii="Verdana" w:eastAsia="Calibri" w:hAnsi="Verdana" w:cs="Arial"/>
        </w:rPr>
        <w:t xml:space="preserve">, </w:t>
      </w:r>
      <w:r w:rsidR="009A2C4C" w:rsidRPr="009616D4">
        <w:rPr>
          <w:rFonts w:ascii="Verdana" w:eastAsia="Calibri" w:hAnsi="Verdana" w:cs="Arial"/>
          <w:color w:val="000000" w:themeColor="text1"/>
        </w:rPr>
        <w:t>la naturaleza, el valor del contrato, la forma de pago, los riesgos asociados al contrato, el plazo y la complejidad de ejecución del objeto</w:t>
      </w:r>
      <w:r w:rsidR="00777D6B">
        <w:rPr>
          <w:rFonts w:ascii="Verdana" w:eastAsia="Calibri" w:hAnsi="Verdana" w:cs="Arial"/>
        </w:rPr>
        <w:t xml:space="preserve"> </w:t>
      </w:r>
      <w:r w:rsidR="008F022A">
        <w:rPr>
          <w:rFonts w:ascii="Verdana" w:eastAsia="Calibri" w:hAnsi="Verdana" w:cs="Arial"/>
        </w:rPr>
        <w:t xml:space="preserve">y garantizando el cumplimiento de los principios de </w:t>
      </w:r>
      <w:r w:rsidR="00D00DBF">
        <w:rPr>
          <w:rFonts w:ascii="Verdana" w:eastAsia="Calibri" w:hAnsi="Verdana" w:cs="Arial"/>
        </w:rPr>
        <w:t>contratación estatal</w:t>
      </w:r>
      <w:r w:rsidR="00A05C04">
        <w:rPr>
          <w:rFonts w:ascii="Verdana" w:eastAsia="Calibri" w:hAnsi="Verdana" w:cs="Arial"/>
        </w:rPr>
        <w:t>.</w:t>
      </w:r>
    </w:p>
    <w:p w14:paraId="1B3F563E" w14:textId="77777777" w:rsidR="0001155E" w:rsidRDefault="000C02AD" w:rsidP="00854DA7">
      <w:pPr>
        <w:widowControl w:val="0"/>
        <w:autoSpaceDE w:val="0"/>
        <w:autoSpaceDN w:val="0"/>
        <w:spacing w:line="276" w:lineRule="auto"/>
        <w:ind w:firstLine="709"/>
        <w:jc w:val="both"/>
        <w:rPr>
          <w:rFonts w:ascii="Verdana" w:eastAsia="Calibri" w:hAnsi="Verdana" w:cs="Arial"/>
        </w:rPr>
      </w:pPr>
      <w:r w:rsidRPr="000C02AD">
        <w:rPr>
          <w:rFonts w:ascii="Verdana" w:eastAsia="Calibri" w:hAnsi="Verdana" w:cs="Arial"/>
        </w:rPr>
        <w:t>La anterior no quiere decir que, durante la ejecución del contrato estatal, la entidad no pueda y deba supervisar el cumplimiento de unos estándares mínimos que exige la ley sobre la implementación del Sistema de Gestión de la Seguridad y Salud en el Trabajo SG-SST, discriminados en la Resolución 0312 del 13 de febrero de 2019, expedida por el Ministerio del Trabajo. En efecto, los artículos 3, 9, 16 y 20 de esa resolución establecen exigencias mínimas que deberán cumplir las empresas, empleadores y contratantes a los que se refiere el artículo 2 de dicho acto administrativo.</w:t>
      </w:r>
    </w:p>
    <w:p w14:paraId="54D5B22D" w14:textId="123BCD4A" w:rsidR="00FE321B" w:rsidRDefault="000C02AD" w:rsidP="0001155E">
      <w:pPr>
        <w:widowControl w:val="0"/>
        <w:autoSpaceDE w:val="0"/>
        <w:autoSpaceDN w:val="0"/>
        <w:spacing w:line="276" w:lineRule="auto"/>
        <w:ind w:firstLine="709"/>
        <w:jc w:val="both"/>
        <w:rPr>
          <w:rFonts w:ascii="Verdana" w:eastAsia="Calibri" w:hAnsi="Verdana" w:cs="Arial"/>
        </w:rPr>
      </w:pPr>
      <w:r w:rsidRPr="000C02AD">
        <w:rPr>
          <w:rFonts w:ascii="Verdana" w:eastAsia="Calibri" w:hAnsi="Verdana" w:cs="Arial"/>
        </w:rPr>
        <w:t>Por su parte, el artículo 2.2.4.6.28 del Decreto 1072 de 2015 contempló, en materia de contratación, el deber en cabeza del empleador de adoptar y mantener las disposiciones que garanticen el cumplimiento de las normas de seguridad y salud en el trabajo de su empresa, por parte de los proveedores, trabajadores dependientes, trabajadores cooperados, trabajadores en misión, contratistas y sus trabajadores o subcontratistas, durante el desempeño de las actividades del objeto del contrato, es decir, durante la supervisión del contrato</w:t>
      </w:r>
      <w:r w:rsidR="00161847">
        <w:rPr>
          <w:rFonts w:ascii="Verdana" w:eastAsia="Calibri" w:hAnsi="Verdana" w:cs="Arial"/>
        </w:rPr>
        <w:t>.</w:t>
      </w:r>
    </w:p>
    <w:p w14:paraId="1C61D23C" w14:textId="2B8A76B4" w:rsidR="00A433CA" w:rsidRDefault="00710530" w:rsidP="002D7417">
      <w:pPr>
        <w:spacing w:before="120" w:after="120" w:line="276" w:lineRule="auto"/>
        <w:ind w:firstLine="709"/>
        <w:jc w:val="both"/>
        <w:rPr>
          <w:rFonts w:ascii="Verdana" w:eastAsia="Calibri" w:hAnsi="Verdana" w:cs="Arial"/>
        </w:rPr>
      </w:pPr>
      <w:r>
        <w:rPr>
          <w:rFonts w:ascii="Verdana" w:eastAsia="Calibri" w:hAnsi="Verdana" w:cs="Arial"/>
        </w:rPr>
        <w:t>De este modo</w:t>
      </w:r>
      <w:r w:rsidR="00161847" w:rsidRPr="00161847">
        <w:rPr>
          <w:rFonts w:ascii="Verdana" w:eastAsia="Calibri" w:hAnsi="Verdana" w:cs="Arial"/>
        </w:rPr>
        <w:t>, el seguimiento de la ejecución del contrato para</w:t>
      </w:r>
      <w:r w:rsidR="00CC6369">
        <w:rPr>
          <w:rFonts w:ascii="Verdana" w:eastAsia="Calibri" w:hAnsi="Verdana" w:cs="Arial"/>
        </w:rPr>
        <w:t xml:space="preserve"> la</w:t>
      </w:r>
      <w:r w:rsidR="00161847" w:rsidRPr="00161847">
        <w:rPr>
          <w:rFonts w:ascii="Verdana" w:eastAsia="Calibri" w:hAnsi="Verdana" w:cs="Arial"/>
        </w:rPr>
        <w:t xml:space="preserve"> dirección, control y vigilancia del correcto cumplimiento del objeto es un deber legal que permite a las entidades estatales tomar medidas orientadas a la satisfacción de los fines de la contratación, dentro de las cuales se encuentra el cumplimiento del ordenamiento jurídico vigente, por lo que las normas técnicas que se encuentran reguladas en la Resolución 0312 de 2019, expedida por el Ministerio del Trabajo, las cuales, como se dijo en el numeral anterior, constituyen estándares mínimos que deberán ser supervisados durante la ejecución del contrato estatal por tratarse de exigencias de rango legal. </w:t>
      </w:r>
    </w:p>
    <w:p w14:paraId="7A5BA55A" w14:textId="0D91AAA9" w:rsidR="00B07BEA" w:rsidRPr="00A433CA" w:rsidRDefault="00161847" w:rsidP="001A5FA6">
      <w:pPr>
        <w:spacing w:before="120" w:after="120" w:line="276" w:lineRule="auto"/>
        <w:ind w:firstLine="709"/>
        <w:jc w:val="both"/>
        <w:rPr>
          <w:rFonts w:ascii="Verdana" w:eastAsia="Calibri" w:hAnsi="Verdana" w:cs="Arial"/>
        </w:rPr>
      </w:pPr>
      <w:r w:rsidRPr="00161847">
        <w:rPr>
          <w:rFonts w:ascii="Verdana" w:eastAsia="Calibri" w:hAnsi="Verdana" w:cs="Arial"/>
        </w:rPr>
        <w:lastRenderedPageBreak/>
        <w:t>Para los efectos de este concepto</w:t>
      </w:r>
      <w:r w:rsidR="00C573DA">
        <w:rPr>
          <w:rFonts w:ascii="Verdana" w:eastAsia="Calibri" w:hAnsi="Verdana" w:cs="Arial"/>
        </w:rPr>
        <w:t>,</w:t>
      </w:r>
      <w:r w:rsidRPr="00161847">
        <w:rPr>
          <w:rFonts w:ascii="Verdana" w:eastAsia="Calibri" w:hAnsi="Verdana" w:cs="Arial"/>
        </w:rPr>
        <w:t xml:space="preserve"> se resaltan dentro de este seguimiento la verificación del cumplimiento de obligaciones relacionadas con la revisión de los soportes de cumplimiento de las obligaciones laborales y la verificación del cumplimiento de las obligaciones del contratista en materia de seguridad social y salud ocupacional, ahora denominada Sistema de Gestión de Seguridad y Salud en el Trabajo SG-SST.</w:t>
      </w:r>
    </w:p>
    <w:p w14:paraId="450B1F84" w14:textId="11BACD51" w:rsidR="00CD2E70" w:rsidRPr="00EB1CF7" w:rsidRDefault="00CD2E70" w:rsidP="00CD2E70">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Referencia</w:t>
      </w:r>
      <w:r w:rsidR="00CE37A3"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 xml:space="preserve"> normativa</w:t>
      </w:r>
      <w:r w:rsidR="00CE37A3" w:rsidRPr="00EB1CF7">
        <w:rPr>
          <w:rFonts w:ascii="Verdana" w:eastAsia="Century Gothic" w:hAnsi="Verdana" w:cs="Century Gothic"/>
          <w:b/>
          <w:bCs/>
          <w:sz w:val="22"/>
          <w:lang w:val="es-ES"/>
        </w:rPr>
        <w:t>s</w:t>
      </w:r>
      <w:r w:rsidRPr="00EB1CF7">
        <w:rPr>
          <w:rFonts w:ascii="Verdana" w:eastAsia="Century Gothic" w:hAnsi="Verdana" w:cs="Century Gothic"/>
          <w:b/>
          <w:bCs/>
          <w:sz w:val="22"/>
          <w:lang w:val="es-ES"/>
        </w:rPr>
        <w:t>:</w:t>
      </w:r>
    </w:p>
    <w:p w14:paraId="61D4F996" w14:textId="1A993A87" w:rsidR="00CD2E70" w:rsidRPr="00EB1CF7" w:rsidRDefault="00CD2E70" w:rsidP="00E84D1C">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2407CE" w:rsidRPr="00EB1CF7" w14:paraId="28F1D869" w14:textId="77777777" w:rsidTr="006E429F">
        <w:trPr>
          <w:trHeight w:val="870"/>
          <w:jc w:val="center"/>
        </w:trPr>
        <w:tc>
          <w:tcPr>
            <w:tcW w:w="8647" w:type="dxa"/>
          </w:tcPr>
          <w:p w14:paraId="51B07FDA" w14:textId="5660E81E" w:rsidR="00C647DF" w:rsidRDefault="005B6551" w:rsidP="005B6551">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 xml:space="preserve">Ley 1150 de 2007: artículo </w:t>
            </w:r>
            <w:r w:rsidR="006D5E84">
              <w:rPr>
                <w:rFonts w:ascii="Verdana" w:hAnsi="Verdana" w:cs="Arial"/>
                <w:sz w:val="22"/>
              </w:rPr>
              <w:t>5</w:t>
            </w:r>
          </w:p>
          <w:p w14:paraId="46C47C07" w14:textId="4A99AFED" w:rsidR="008D3C3D" w:rsidRDefault="008D3C3D" w:rsidP="005B6551">
            <w:pPr>
              <w:pStyle w:val="Prrafodelista"/>
              <w:widowControl w:val="0"/>
              <w:numPr>
                <w:ilvl w:val="0"/>
                <w:numId w:val="3"/>
              </w:numPr>
              <w:autoSpaceDE w:val="0"/>
              <w:autoSpaceDN w:val="0"/>
              <w:spacing w:line="276" w:lineRule="auto"/>
              <w:jc w:val="both"/>
              <w:rPr>
                <w:rFonts w:ascii="Verdana" w:hAnsi="Verdana" w:cs="Arial"/>
                <w:sz w:val="22"/>
              </w:rPr>
            </w:pPr>
            <w:r w:rsidRPr="008D3C3D">
              <w:rPr>
                <w:rFonts w:ascii="Verdana" w:hAnsi="Verdana" w:cs="Arial"/>
                <w:sz w:val="22"/>
              </w:rPr>
              <w:t>Ley 1437 de 2011</w:t>
            </w:r>
            <w:r>
              <w:rPr>
                <w:rFonts w:ascii="Verdana" w:hAnsi="Verdana" w:cs="Arial"/>
                <w:sz w:val="22"/>
              </w:rPr>
              <w:t xml:space="preserve">: artículo </w:t>
            </w:r>
            <w:r w:rsidRPr="008D3C3D">
              <w:rPr>
                <w:rFonts w:ascii="Verdana" w:hAnsi="Verdana" w:cs="Arial"/>
                <w:sz w:val="22"/>
              </w:rPr>
              <w:t>44</w:t>
            </w:r>
          </w:p>
          <w:p w14:paraId="73F07D14" w14:textId="547C0018" w:rsidR="00176AE8" w:rsidRPr="00EB1CF7" w:rsidRDefault="00176AE8" w:rsidP="005B6551">
            <w:pPr>
              <w:pStyle w:val="Prrafodelista"/>
              <w:widowControl w:val="0"/>
              <w:numPr>
                <w:ilvl w:val="0"/>
                <w:numId w:val="3"/>
              </w:numPr>
              <w:autoSpaceDE w:val="0"/>
              <w:autoSpaceDN w:val="0"/>
              <w:spacing w:line="276" w:lineRule="auto"/>
              <w:jc w:val="both"/>
              <w:rPr>
                <w:rFonts w:ascii="Verdana" w:hAnsi="Verdana" w:cs="Arial"/>
                <w:sz w:val="22"/>
              </w:rPr>
            </w:pPr>
            <w:r w:rsidRPr="00176AE8">
              <w:rPr>
                <w:rFonts w:ascii="Verdana" w:hAnsi="Verdana" w:cs="Arial"/>
                <w:sz w:val="22"/>
              </w:rPr>
              <w:t>Ley 1562 de 2012</w:t>
            </w:r>
            <w:r>
              <w:rPr>
                <w:rFonts w:ascii="Verdana" w:hAnsi="Verdana" w:cs="Arial"/>
                <w:sz w:val="22"/>
              </w:rPr>
              <w:t xml:space="preserve">: artículo </w:t>
            </w:r>
            <w:r w:rsidR="00285E3F">
              <w:rPr>
                <w:rFonts w:ascii="Verdana" w:hAnsi="Verdana" w:cs="Arial"/>
                <w:sz w:val="22"/>
              </w:rPr>
              <w:t>1</w:t>
            </w:r>
          </w:p>
          <w:p w14:paraId="797F3B3C" w14:textId="7FAFBE0E" w:rsidR="004233DC" w:rsidRDefault="003819F5" w:rsidP="005B6551">
            <w:pPr>
              <w:pStyle w:val="Prrafodelista"/>
              <w:widowControl w:val="0"/>
              <w:numPr>
                <w:ilvl w:val="0"/>
                <w:numId w:val="3"/>
              </w:numPr>
              <w:autoSpaceDE w:val="0"/>
              <w:autoSpaceDN w:val="0"/>
              <w:spacing w:line="276" w:lineRule="auto"/>
              <w:jc w:val="both"/>
              <w:rPr>
                <w:rFonts w:ascii="Verdana" w:hAnsi="Verdana" w:cs="Arial"/>
                <w:sz w:val="22"/>
              </w:rPr>
            </w:pPr>
            <w:r w:rsidRPr="00EB1CF7">
              <w:rPr>
                <w:rFonts w:ascii="Verdana" w:hAnsi="Verdana" w:cs="Arial"/>
                <w:sz w:val="22"/>
              </w:rPr>
              <w:t>Decreto</w:t>
            </w:r>
            <w:r w:rsidR="000D5B1E" w:rsidRPr="00EB1CF7">
              <w:rPr>
                <w:rFonts w:ascii="Verdana" w:hAnsi="Verdana" w:cs="Arial"/>
                <w:sz w:val="22"/>
              </w:rPr>
              <w:t xml:space="preserve"> 1082 de 2015</w:t>
            </w:r>
            <w:r w:rsidRPr="00EB1CF7">
              <w:rPr>
                <w:rFonts w:ascii="Verdana" w:hAnsi="Verdana" w:cs="Arial"/>
                <w:sz w:val="22"/>
              </w:rPr>
              <w:t>:</w:t>
            </w:r>
            <w:r w:rsidR="00A71B8B">
              <w:rPr>
                <w:rFonts w:ascii="Verdana" w:hAnsi="Verdana" w:cs="Arial"/>
                <w:sz w:val="22"/>
              </w:rPr>
              <w:t xml:space="preserve"> artículo</w:t>
            </w:r>
            <w:r w:rsidR="004233DC">
              <w:rPr>
                <w:rFonts w:ascii="Verdana" w:hAnsi="Verdana" w:cs="Arial"/>
                <w:sz w:val="22"/>
              </w:rPr>
              <w:t>s</w:t>
            </w:r>
            <w:r w:rsidRPr="00EB1CF7">
              <w:rPr>
                <w:rFonts w:ascii="Verdana" w:hAnsi="Verdana" w:cs="Arial"/>
                <w:sz w:val="22"/>
              </w:rPr>
              <w:t xml:space="preserve"> </w:t>
            </w:r>
            <w:r w:rsidR="00A71B8B" w:rsidRPr="00A71B8B">
              <w:rPr>
                <w:rFonts w:ascii="Verdana" w:hAnsi="Verdana" w:cs="Arial"/>
                <w:sz w:val="22"/>
              </w:rPr>
              <w:t>2.2.1.1.1.6.2</w:t>
            </w:r>
            <w:r w:rsidR="004233DC">
              <w:rPr>
                <w:rFonts w:ascii="Verdana" w:hAnsi="Verdana" w:cs="Arial"/>
                <w:sz w:val="22"/>
              </w:rPr>
              <w:t xml:space="preserve"> y </w:t>
            </w:r>
            <w:r w:rsidR="004233DC" w:rsidRPr="004233DC">
              <w:rPr>
                <w:rFonts w:ascii="Verdana" w:hAnsi="Verdana" w:cs="Arial"/>
                <w:sz w:val="22"/>
              </w:rPr>
              <w:t>2.2.1.1.2.2.2</w:t>
            </w:r>
          </w:p>
          <w:p w14:paraId="0FA05DBD" w14:textId="66283582" w:rsidR="003819F5" w:rsidRDefault="004233DC" w:rsidP="005B6551">
            <w:pPr>
              <w:pStyle w:val="Prrafodelista"/>
              <w:widowControl w:val="0"/>
              <w:numPr>
                <w:ilvl w:val="0"/>
                <w:numId w:val="3"/>
              </w:numPr>
              <w:autoSpaceDE w:val="0"/>
              <w:autoSpaceDN w:val="0"/>
              <w:spacing w:line="276" w:lineRule="auto"/>
              <w:jc w:val="both"/>
              <w:rPr>
                <w:rFonts w:ascii="Verdana" w:hAnsi="Verdana" w:cs="Arial"/>
                <w:sz w:val="22"/>
              </w:rPr>
            </w:pPr>
            <w:r w:rsidRPr="004233DC">
              <w:rPr>
                <w:rFonts w:ascii="Verdana" w:hAnsi="Verdana" w:cs="Arial"/>
                <w:sz w:val="22"/>
              </w:rPr>
              <w:t>Decreto 1072 de 2015</w:t>
            </w:r>
            <w:r w:rsidRPr="00EB1CF7">
              <w:rPr>
                <w:rFonts w:ascii="Verdana" w:hAnsi="Verdana" w:cs="Arial"/>
                <w:sz w:val="22"/>
              </w:rPr>
              <w:t>:</w:t>
            </w:r>
            <w:r>
              <w:rPr>
                <w:rFonts w:ascii="Verdana" w:hAnsi="Verdana" w:cs="Arial"/>
                <w:sz w:val="22"/>
              </w:rPr>
              <w:t xml:space="preserve"> artículos </w:t>
            </w:r>
            <w:r w:rsidRPr="004233DC">
              <w:rPr>
                <w:rFonts w:ascii="Verdana" w:hAnsi="Verdana" w:cs="Arial"/>
                <w:sz w:val="22"/>
              </w:rPr>
              <w:t>2.2.4.6.4</w:t>
            </w:r>
            <w:r w:rsidR="005153C3">
              <w:rPr>
                <w:rFonts w:ascii="Verdana" w:hAnsi="Verdana" w:cs="Arial"/>
                <w:sz w:val="22"/>
              </w:rPr>
              <w:t xml:space="preserve"> y </w:t>
            </w:r>
            <w:r w:rsidR="005153C3" w:rsidRPr="005153C3">
              <w:rPr>
                <w:rFonts w:ascii="Verdana" w:hAnsi="Verdana" w:cs="Arial"/>
                <w:sz w:val="22"/>
              </w:rPr>
              <w:t>2.2.4.6.28</w:t>
            </w:r>
          </w:p>
          <w:p w14:paraId="3E9D05BC" w14:textId="3921A620" w:rsidR="005153C3" w:rsidRPr="00EB1CF7" w:rsidRDefault="005153C3" w:rsidP="005B6551">
            <w:pPr>
              <w:pStyle w:val="Prrafodelista"/>
              <w:widowControl w:val="0"/>
              <w:numPr>
                <w:ilvl w:val="0"/>
                <w:numId w:val="3"/>
              </w:numPr>
              <w:autoSpaceDE w:val="0"/>
              <w:autoSpaceDN w:val="0"/>
              <w:spacing w:line="276" w:lineRule="auto"/>
              <w:jc w:val="both"/>
              <w:rPr>
                <w:rFonts w:ascii="Verdana" w:hAnsi="Verdana" w:cs="Arial"/>
                <w:sz w:val="22"/>
              </w:rPr>
            </w:pPr>
            <w:r w:rsidRPr="005153C3">
              <w:rPr>
                <w:rFonts w:ascii="Verdana" w:hAnsi="Verdana" w:cs="Arial"/>
                <w:sz w:val="22"/>
              </w:rPr>
              <w:t>Resolución 312 del 13 de febrero de 2019</w:t>
            </w:r>
          </w:p>
        </w:tc>
      </w:tr>
    </w:tbl>
    <w:p w14:paraId="30F3A1CE" w14:textId="77777777" w:rsidR="00CD2E70" w:rsidRPr="00EB1CF7" w:rsidRDefault="00CD2E70" w:rsidP="00E84D1C">
      <w:pPr>
        <w:widowControl w:val="0"/>
        <w:autoSpaceDE w:val="0"/>
        <w:autoSpaceDN w:val="0"/>
        <w:spacing w:after="0" w:line="276" w:lineRule="auto"/>
        <w:jc w:val="both"/>
        <w:rPr>
          <w:rFonts w:ascii="Verdana" w:hAnsi="Verdana" w:cs="Arial"/>
        </w:rPr>
      </w:pPr>
    </w:p>
    <w:p w14:paraId="763AF15E" w14:textId="5C1DC823" w:rsidR="00057963" w:rsidRPr="00EB1CF7" w:rsidRDefault="00E53F2E" w:rsidP="00057963">
      <w:pPr>
        <w:pStyle w:val="Prrafodelista"/>
        <w:numPr>
          <w:ilvl w:val="0"/>
          <w:numId w:val="1"/>
        </w:numPr>
        <w:tabs>
          <w:tab w:val="left" w:pos="142"/>
          <w:tab w:val="left" w:pos="284"/>
        </w:tabs>
        <w:spacing w:line="276" w:lineRule="auto"/>
        <w:ind w:left="0" w:firstLine="0"/>
        <w:contextualSpacing w:val="0"/>
        <w:jc w:val="both"/>
        <w:rPr>
          <w:rFonts w:ascii="Verdana" w:eastAsia="Century Gothic" w:hAnsi="Verdana" w:cs="Century Gothic"/>
          <w:b/>
          <w:bCs/>
          <w:sz w:val="22"/>
          <w:lang w:val="es-ES"/>
        </w:rPr>
      </w:pPr>
      <w:r w:rsidRPr="00EB1CF7">
        <w:rPr>
          <w:rFonts w:ascii="Verdana" w:eastAsia="Century Gothic" w:hAnsi="Verdana" w:cs="Century Gothic"/>
          <w:b/>
          <w:bCs/>
          <w:sz w:val="22"/>
          <w:lang w:val="es-ES"/>
        </w:rPr>
        <w:t>Doctrina de la Agencia Nacional de Contratación Pública</w:t>
      </w:r>
      <w:r w:rsidR="00057963" w:rsidRPr="00EB1CF7">
        <w:rPr>
          <w:rFonts w:ascii="Verdana" w:eastAsia="Century Gothic" w:hAnsi="Verdana" w:cs="Century Gothic"/>
          <w:b/>
          <w:bCs/>
          <w:sz w:val="22"/>
          <w:lang w:val="es-ES"/>
        </w:rPr>
        <w:t>:</w:t>
      </w:r>
    </w:p>
    <w:p w14:paraId="2E26A5BD" w14:textId="31F0C1BB" w:rsidR="00E84D1C" w:rsidRPr="00EB1CF7" w:rsidRDefault="00E84D1C" w:rsidP="00E84D1C">
      <w:pPr>
        <w:widowControl w:val="0"/>
        <w:autoSpaceDE w:val="0"/>
        <w:autoSpaceDN w:val="0"/>
        <w:spacing w:after="0" w:line="276" w:lineRule="auto"/>
        <w:jc w:val="both"/>
        <w:rPr>
          <w:rFonts w:ascii="Verdana" w:hAnsi="Verdana" w:cs="Arial"/>
        </w:rPr>
      </w:pPr>
    </w:p>
    <w:p w14:paraId="23297E8F" w14:textId="4708D203" w:rsidR="00B07BEA" w:rsidRDefault="00957EE7" w:rsidP="00BD658C">
      <w:pPr>
        <w:widowControl w:val="0"/>
        <w:autoSpaceDE w:val="0"/>
        <w:autoSpaceDN w:val="0"/>
        <w:spacing w:after="0" w:line="276" w:lineRule="auto"/>
        <w:jc w:val="both"/>
        <w:rPr>
          <w:rFonts w:ascii="Verdana" w:hAnsi="Verdana" w:cs="Arial"/>
          <w:color w:val="000000" w:themeColor="text1"/>
          <w:shd w:val="clear" w:color="auto" w:fill="FFFFFF"/>
        </w:rPr>
      </w:pPr>
      <w:r w:rsidRPr="00957EE7">
        <w:rPr>
          <w:rFonts w:ascii="Verdana" w:eastAsia="Calibri" w:hAnsi="Verdana" w:cs="Arial"/>
          <w:lang w:val="es-ES" w:eastAsia="es-ES"/>
        </w:rPr>
        <w:t>la Agencia Nacional de Contratación Pública – Colombia Compra Eficiente, en los conceptos del 15 de noviembre, del 28 de noviembre, 16 de diciembre de 2019 –radicados No. 2201913000008520, 4201912000007329 y 2201913000009295–, así como en los conceptos C-120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w:t>
      </w:r>
      <w:r w:rsidR="00C64266">
        <w:rPr>
          <w:rFonts w:ascii="Verdana" w:eastAsia="Calibri" w:hAnsi="Verdana" w:cs="Arial"/>
          <w:lang w:val="es-ES" w:eastAsia="es-ES"/>
        </w:rPr>
        <w:t xml:space="preserve"> </w:t>
      </w:r>
      <w:r w:rsidRPr="00957EE7">
        <w:rPr>
          <w:rFonts w:ascii="Verdana" w:eastAsia="Calibri" w:hAnsi="Verdana" w:cs="Arial"/>
          <w:lang w:val="es-ES" w:eastAsia="es-ES"/>
        </w:rPr>
        <w:t>entre otros, analizó la naturaleza de los requisitos habilitantes y su carácter enunciativo en el artículo 5, numeral 1, de la Ley 1150 de 2007.</w:t>
      </w:r>
      <w:r w:rsidR="00E5384D">
        <w:rPr>
          <w:rFonts w:ascii="Verdana" w:eastAsia="Calibri" w:hAnsi="Verdana" w:cs="Arial"/>
          <w:lang w:val="es-ES" w:eastAsia="es-ES"/>
        </w:rPr>
        <w:t xml:space="preserve"> </w:t>
      </w:r>
      <w:r w:rsidR="00127D5B" w:rsidRPr="00EB1CF7">
        <w:rPr>
          <w:rFonts w:ascii="Verdana" w:eastAsia="Calibri" w:hAnsi="Verdana" w:cs="Arial"/>
          <w:lang w:val="es-ES" w:eastAsia="es-ES"/>
        </w:rPr>
        <w:t>Sobre</w:t>
      </w:r>
      <w:r w:rsidR="004F121B" w:rsidRPr="004F121B">
        <w:rPr>
          <w:rFonts w:ascii="Verdana" w:eastAsia="Calibri" w:hAnsi="Verdana" w:cs="Arial"/>
          <w:lang w:val="es-ES" w:eastAsia="es-ES"/>
        </w:rPr>
        <w:t xml:space="preserve"> la implementación del Sistema de Gestión de la Seguridad y Salud del Trabajo - SG-SST a título de requisito habilitante o de calificación </w:t>
      </w:r>
      <w:r w:rsidR="004F121B">
        <w:rPr>
          <w:rFonts w:ascii="Verdana" w:eastAsia="Calibri" w:hAnsi="Verdana" w:cs="Arial"/>
          <w:lang w:val="es-ES" w:eastAsia="es-ES"/>
        </w:rPr>
        <w:t>se refirió esta subdirección en el concepto C</w:t>
      </w:r>
      <w:r w:rsidR="00562A61">
        <w:rPr>
          <w:rFonts w:ascii="Verdana" w:eastAsia="Calibri" w:hAnsi="Verdana" w:cs="Arial"/>
          <w:lang w:val="es-ES" w:eastAsia="es-ES"/>
        </w:rPr>
        <w:t>-317</w:t>
      </w:r>
      <w:r w:rsidR="00376524">
        <w:rPr>
          <w:rFonts w:ascii="Verdana" w:eastAsia="Calibri" w:hAnsi="Verdana" w:cs="Arial"/>
          <w:lang w:val="es-ES" w:eastAsia="es-ES"/>
        </w:rPr>
        <w:t xml:space="preserve"> del 18 de </w:t>
      </w:r>
      <w:r w:rsidR="00914861">
        <w:rPr>
          <w:rFonts w:ascii="Verdana" w:eastAsia="Calibri" w:hAnsi="Verdana" w:cs="Arial"/>
          <w:lang w:val="es-ES" w:eastAsia="es-ES"/>
        </w:rPr>
        <w:t>septiembre</w:t>
      </w:r>
      <w:r w:rsidR="00376524">
        <w:rPr>
          <w:rFonts w:ascii="Verdana" w:eastAsia="Calibri" w:hAnsi="Verdana" w:cs="Arial"/>
          <w:lang w:val="es-ES" w:eastAsia="es-ES"/>
        </w:rPr>
        <w:t xml:space="preserve"> de 2023</w:t>
      </w:r>
      <w:r w:rsidR="00914861">
        <w:rPr>
          <w:rFonts w:ascii="Verdana" w:eastAsia="Calibri" w:hAnsi="Verdana" w:cs="Arial"/>
          <w:lang w:val="es-ES" w:eastAsia="es-ES"/>
        </w:rPr>
        <w:t xml:space="preserve">. </w:t>
      </w:r>
      <w:r w:rsidR="00A82DA0" w:rsidRPr="00EB1CF7">
        <w:rPr>
          <w:rStyle w:val="normaltextrun"/>
          <w:rFonts w:ascii="Verdana" w:hAnsi="Verdana" w:cs="Arial"/>
          <w:shd w:val="clear" w:color="auto" w:fill="FFFFFF"/>
          <w:lang w:val="es-ES"/>
        </w:rPr>
        <w:t>Es</w:t>
      </w:r>
      <w:r w:rsidR="00A82DA0" w:rsidRPr="00EB1CF7">
        <w:rPr>
          <w:rFonts w:ascii="Verdana" w:hAnsi="Verdana"/>
        </w:rPr>
        <w:t>tos y otros conceptos se encuentran disponibles para consulta en el Sistema de relatoría de la Agencia, al cual se puede acceder a través del siguiente enlace</w:t>
      </w:r>
      <w:r w:rsidR="00D8321A" w:rsidRPr="00EB1CF7">
        <w:rPr>
          <w:rFonts w:ascii="Verdana" w:hAnsi="Verdana"/>
        </w:rPr>
        <w:t>:</w:t>
      </w:r>
      <w:r w:rsidR="00DC525E" w:rsidRPr="00EB1CF7">
        <w:rPr>
          <w:rStyle w:val="normaltextrun"/>
          <w:rFonts w:ascii="Verdana" w:hAnsi="Verdana" w:cs="Arial"/>
          <w:shd w:val="clear" w:color="auto" w:fill="FFFFFF"/>
          <w:lang w:val="es-ES"/>
        </w:rPr>
        <w:t xml:space="preserve"> </w:t>
      </w:r>
      <w:hyperlink r:id="rId12" w:history="1">
        <w:r w:rsidR="00D8321A" w:rsidRPr="00EB1CF7">
          <w:rPr>
            <w:rStyle w:val="Hipervnculo"/>
            <w:rFonts w:ascii="Verdana" w:hAnsi="Verdana" w:cs="Arial"/>
            <w:shd w:val="clear" w:color="auto" w:fill="FFFFFF"/>
            <w:lang w:val="es-ES"/>
          </w:rPr>
          <w:t>https://relatoria.colombiacompra.gov.co/busqueda/conceptos</w:t>
        </w:r>
      </w:hyperlink>
      <w:r w:rsidR="008D1079" w:rsidRPr="00EB1CF7">
        <w:rPr>
          <w:rStyle w:val="normaltextrun"/>
          <w:rFonts w:ascii="Verdana" w:hAnsi="Verdana" w:cs="Arial"/>
          <w:shd w:val="clear" w:color="auto" w:fill="FFFFFF"/>
          <w:lang w:val="es-ES"/>
        </w:rPr>
        <w:t>.</w:t>
      </w:r>
      <w:r w:rsidR="008D1079" w:rsidRPr="00EB1CF7">
        <w:rPr>
          <w:rStyle w:val="normaltextrun"/>
          <w:rFonts w:ascii="Verdana" w:hAnsi="Verdana" w:cs="Arial"/>
          <w:color w:val="FF0000"/>
          <w:shd w:val="clear" w:color="auto" w:fill="FFFFFF"/>
          <w:lang w:val="es-ES"/>
        </w:rPr>
        <w:t xml:space="preserve"> </w:t>
      </w:r>
      <w:r w:rsidR="00BD658C" w:rsidRPr="00EB1CF7">
        <w:rPr>
          <w:rFonts w:ascii="Verdana" w:hAnsi="Verdana" w:cs="Arial"/>
          <w:color w:val="000000" w:themeColor="text1"/>
          <w:shd w:val="clear" w:color="auto" w:fill="FFFFFF"/>
        </w:rPr>
        <w:t>  </w:t>
      </w:r>
    </w:p>
    <w:p w14:paraId="5DF68922" w14:textId="77777777" w:rsidR="00B07BEA" w:rsidRDefault="00B07BEA" w:rsidP="00BD658C">
      <w:pPr>
        <w:widowControl w:val="0"/>
        <w:autoSpaceDE w:val="0"/>
        <w:autoSpaceDN w:val="0"/>
        <w:spacing w:after="0" w:line="276" w:lineRule="auto"/>
        <w:jc w:val="both"/>
        <w:rPr>
          <w:rFonts w:ascii="Verdana" w:hAnsi="Verdana" w:cs="Arial"/>
          <w:color w:val="000000" w:themeColor="text1"/>
          <w:shd w:val="clear" w:color="auto" w:fill="FFFFFF"/>
        </w:rPr>
      </w:pPr>
    </w:p>
    <w:p w14:paraId="5BD42D48" w14:textId="77777777" w:rsidR="00B07BEA" w:rsidRPr="00B07BEA" w:rsidRDefault="00B07BEA" w:rsidP="00B07BEA">
      <w:pPr>
        <w:widowControl w:val="0"/>
        <w:autoSpaceDE w:val="0"/>
        <w:autoSpaceDN w:val="0"/>
        <w:spacing w:after="0" w:line="276" w:lineRule="auto"/>
        <w:jc w:val="both"/>
        <w:rPr>
          <w:rFonts w:ascii="Verdana" w:hAnsi="Verdana" w:cs="Arial"/>
          <w:color w:val="000000" w:themeColor="text1"/>
          <w:shd w:val="clear" w:color="auto" w:fill="FFFFFF"/>
        </w:rPr>
      </w:pPr>
      <w:r w:rsidRPr="00B07BEA">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75DA1066" w14:textId="77777777" w:rsidR="00B07BEA" w:rsidRPr="00B07BEA" w:rsidRDefault="00B07BEA" w:rsidP="00B07BEA">
      <w:pPr>
        <w:widowControl w:val="0"/>
        <w:autoSpaceDE w:val="0"/>
        <w:autoSpaceDN w:val="0"/>
        <w:spacing w:after="0" w:line="276" w:lineRule="auto"/>
        <w:jc w:val="both"/>
        <w:rPr>
          <w:rFonts w:ascii="Verdana" w:hAnsi="Verdana" w:cs="Arial"/>
          <w:color w:val="000000" w:themeColor="text1"/>
          <w:shd w:val="clear" w:color="auto" w:fill="FFFFFF"/>
        </w:rPr>
      </w:pPr>
    </w:p>
    <w:p w14:paraId="49B412D0" w14:textId="77777777" w:rsidR="00B07BEA" w:rsidRPr="00B07BEA" w:rsidRDefault="00B07BEA" w:rsidP="00B07BEA">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B07BEA">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3" w:tgtFrame="_blank" w:tooltip="Dirección URL original: https://www.colombiacompra.gov.co/content/03-documentos-tipo-para-los-procesos-de-seleccion-de-interventoria-de-obra-publica-de. Haga clic o pulse si confía en este vínculo." w:history="1">
        <w:r w:rsidRPr="00B07BEA">
          <w:rPr>
            <w:rStyle w:val="Hipervnculo"/>
            <w:rFonts w:ascii="Verdana" w:hAnsi="Verdana" w:cs="Arial"/>
            <w:shd w:val="clear" w:color="auto" w:fill="FFFFFF"/>
          </w:rPr>
          <w:t>03. Documentos tipo para los procesos de selección de interventoría de obra pública de infraestructura de transporte – versión 3 | Colombia Compra Eficiente | Agencia Nacional de Contratación Pública</w:t>
        </w:r>
      </w:hyperlink>
    </w:p>
    <w:p w14:paraId="1C4295D9" w14:textId="77777777" w:rsidR="00B07BEA" w:rsidRPr="00B07BEA" w:rsidRDefault="00B07BEA" w:rsidP="00B07BEA">
      <w:pPr>
        <w:widowControl w:val="0"/>
        <w:numPr>
          <w:ilvl w:val="0"/>
          <w:numId w:val="5"/>
        </w:numPr>
        <w:autoSpaceDE w:val="0"/>
        <w:autoSpaceDN w:val="0"/>
        <w:spacing w:after="0" w:line="276" w:lineRule="auto"/>
        <w:jc w:val="both"/>
        <w:rPr>
          <w:rFonts w:ascii="Verdana" w:hAnsi="Verdana" w:cs="Arial"/>
          <w:color w:val="000000" w:themeColor="text1"/>
          <w:shd w:val="clear" w:color="auto" w:fill="FFFFFF"/>
        </w:rPr>
      </w:pPr>
      <w:r w:rsidRPr="00B07BEA">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B07BEA">
        <w:rPr>
          <w:rFonts w:ascii="Verdana" w:hAnsi="Verdana" w:cs="Arial"/>
          <w:color w:val="000000" w:themeColor="text1"/>
          <w:shd w:val="clear" w:color="auto" w:fill="FFFFFF"/>
        </w:rPr>
        <w:t> </w:t>
      </w:r>
      <w:hyperlink r:id="rId14" w:tgtFrame="_blank" w:tooltip="Dirección URL original: https://www.colombiacompra.gov.co/content/02-documentos-tipo-para-los-procesos-de-seleccion-de-consultoria-de-obra-publica-de. Haga clic o pulse si confía en este vínculo." w:history="1">
        <w:r w:rsidRPr="00B07BEA">
          <w:rPr>
            <w:rStyle w:val="Hipervnculo"/>
            <w:rFonts w:ascii="Verdana" w:hAnsi="Verdana" w:cs="Arial"/>
            <w:shd w:val="clear" w:color="auto" w:fill="FFFFFF"/>
          </w:rPr>
          <w:t>02. Documentos tipo para los procesos de selección de consultoría de obra pública de infraestructura de transporte – versión 2. | Colombia Compra Eficiente | Agencia Nacional de Contratación Pública</w:t>
        </w:r>
      </w:hyperlink>
    </w:p>
    <w:p w14:paraId="417B68F8" w14:textId="77777777" w:rsidR="00B07BEA" w:rsidRPr="00B07BEA" w:rsidRDefault="00B07BEA" w:rsidP="00B07BEA">
      <w:pPr>
        <w:widowControl w:val="0"/>
        <w:autoSpaceDE w:val="0"/>
        <w:autoSpaceDN w:val="0"/>
        <w:spacing w:after="0" w:line="276" w:lineRule="auto"/>
        <w:jc w:val="both"/>
        <w:rPr>
          <w:rFonts w:ascii="Verdana" w:hAnsi="Verdana" w:cs="Arial"/>
          <w:color w:val="000000" w:themeColor="text1"/>
          <w:shd w:val="clear" w:color="auto" w:fill="FFFFFF"/>
        </w:rPr>
      </w:pPr>
    </w:p>
    <w:p w14:paraId="637D3AE1" w14:textId="3676C258" w:rsidR="00E71C2D" w:rsidRDefault="00B07BEA" w:rsidP="00B07BEA">
      <w:pPr>
        <w:widowControl w:val="0"/>
        <w:autoSpaceDE w:val="0"/>
        <w:autoSpaceDN w:val="0"/>
        <w:spacing w:after="0" w:line="276" w:lineRule="auto"/>
        <w:jc w:val="both"/>
        <w:rPr>
          <w:rFonts w:ascii="Verdana" w:hAnsi="Verdana" w:cs="Arial"/>
          <w:color w:val="000000" w:themeColor="text1"/>
          <w:shd w:val="clear" w:color="auto" w:fill="FFFFFF"/>
        </w:rPr>
      </w:pPr>
      <w:r w:rsidRPr="00B07BEA">
        <w:rPr>
          <w:rFonts w:ascii="Verdana" w:hAnsi="Verdana" w:cs="Arial"/>
          <w:color w:val="000000" w:themeColor="text1"/>
          <w:shd w:val="clear" w:color="auto" w:fill="FFFFFF"/>
        </w:rPr>
        <w:t>También, te contamos que ya publicamos </w:t>
      </w:r>
      <w:r w:rsidRPr="00B07BEA">
        <w:rPr>
          <w:rFonts w:ascii="Verdana" w:hAnsi="Verdana" w:cs="Arial"/>
          <w:b/>
          <w:bCs/>
          <w:color w:val="000000" w:themeColor="text1"/>
          <w:shd w:val="clear" w:color="auto" w:fill="FFFFFF"/>
        </w:rPr>
        <w:t>la nueva Guía de Contratación Pública Sostenible y Socialmente Responsable</w:t>
      </w:r>
      <w:r w:rsidRPr="00B07BEA">
        <w:rPr>
          <w:rFonts w:ascii="Verdana" w:hAnsi="Verdana" w:cs="Arial"/>
          <w:color w:val="000000" w:themeColor="text1"/>
          <w:shd w:val="clear" w:color="auto" w:fill="FFFFFF"/>
        </w:rPr>
        <w:t>. Esta guía es un instrumento clave para integrar buenas prácticas en la contratación estatal, promoviendo los Objetivos de Desarrollo Sostenible (ODS) a través de criterios y obligaciones ambientales y sociales en todas las etapas del proceso. Puede consultar la guía en el siguiente enlace: </w:t>
      </w:r>
      <w:hyperlink r:id="rId15" w:tgtFrame="_blank" w:tooltip="Dirección URL original: https://www.colombiacompra.gov.co/manuales-guias-y-pliegos-tipo/manuales-y-guias/guia-de-contratacion-publica-sostenible-y-socialmente. Haga clic o pulse si confía en este vínculo." w:history="1">
        <w:r w:rsidRPr="00B07BEA">
          <w:rPr>
            <w:rStyle w:val="Hipervnculo"/>
            <w:rFonts w:ascii="Verdana" w:hAnsi="Verdana" w:cs="Arial"/>
            <w:shd w:val="clear" w:color="auto" w:fill="FFFFFF"/>
          </w:rPr>
          <w:t>Guía de Contratación Pública Sostenible y Socialmente Responsable | Colombia Compra Eficiente | Agencia Nacional de Contratación Pública</w:t>
        </w:r>
      </w:hyperlink>
    </w:p>
    <w:p w14:paraId="1DD0C6BB" w14:textId="77777777" w:rsidR="00B07BEA" w:rsidRDefault="00B07BEA" w:rsidP="00A91FB7">
      <w:pPr>
        <w:widowControl w:val="0"/>
        <w:autoSpaceDE w:val="0"/>
        <w:autoSpaceDN w:val="0"/>
        <w:spacing w:after="0" w:line="276" w:lineRule="auto"/>
        <w:jc w:val="both"/>
        <w:rPr>
          <w:rFonts w:ascii="Verdana" w:eastAsia="Calibri" w:hAnsi="Verdana" w:cs="Arial"/>
          <w:color w:val="000000" w:themeColor="text1"/>
        </w:rPr>
      </w:pPr>
    </w:p>
    <w:p w14:paraId="61A80AFE" w14:textId="55F7C86C" w:rsidR="00A91FB7" w:rsidRPr="00EB1CF7" w:rsidRDefault="00A91FB7" w:rsidP="00A91FB7">
      <w:pPr>
        <w:widowControl w:val="0"/>
        <w:autoSpaceDE w:val="0"/>
        <w:autoSpaceDN w:val="0"/>
        <w:spacing w:after="0" w:line="276" w:lineRule="auto"/>
        <w:jc w:val="both"/>
        <w:rPr>
          <w:rFonts w:ascii="Verdana" w:hAnsi="Verdana" w:cs="Arial"/>
          <w:lang w:val="es-ES_tradnl"/>
        </w:rPr>
      </w:pPr>
      <w:r w:rsidRPr="00EB1CF7">
        <w:rPr>
          <w:rFonts w:ascii="Verdana" w:hAnsi="Verdana" w:cs="Arial"/>
        </w:rPr>
        <w:t>Este concepto tiene el alcance previsto en el artículo 28 del Código de Procedimiento Administrativo y de lo Contencioso Administrativo</w:t>
      </w:r>
      <w:r w:rsidR="00172F3A" w:rsidRPr="00EB1CF7">
        <w:rPr>
          <w:rFonts w:ascii="Verdana" w:hAnsi="Verdana" w:cs="Arial"/>
        </w:rPr>
        <w:t xml:space="preserve"> </w:t>
      </w:r>
      <w:r w:rsidR="00172F3A" w:rsidRPr="00EB1CF7">
        <w:rPr>
          <w:rFonts w:ascii="Verdana" w:hAnsi="Verdana" w:cs="Arial"/>
          <w:lang w:val="es-ES_tradnl"/>
        </w:rPr>
        <w:t>y las expresiones aquí utilizadas con mayúscula inicial deben ser entendidas con el significado que les otorga el artículo 2.2.1.1.1.3.1. del Decreto 1082 de 2015.</w:t>
      </w:r>
    </w:p>
    <w:p w14:paraId="00BDA056" w14:textId="05BCB72C" w:rsidR="00A91FB7" w:rsidRPr="00EB1CF7" w:rsidRDefault="00A91FB7" w:rsidP="00A91FB7">
      <w:pPr>
        <w:widowControl w:val="0"/>
        <w:autoSpaceDE w:val="0"/>
        <w:autoSpaceDN w:val="0"/>
        <w:spacing w:after="0" w:line="276" w:lineRule="auto"/>
        <w:jc w:val="both"/>
        <w:rPr>
          <w:rFonts w:ascii="Verdana" w:hAnsi="Verdana" w:cs="Arial"/>
        </w:rPr>
      </w:pPr>
    </w:p>
    <w:p w14:paraId="3CECADB7" w14:textId="00F7F1BF" w:rsidR="00CD2E70" w:rsidRPr="00EB1CF7" w:rsidRDefault="00A91FB7" w:rsidP="00CD2E70">
      <w:pPr>
        <w:spacing w:after="0" w:line="240" w:lineRule="auto"/>
        <w:rPr>
          <w:rFonts w:ascii="Verdana" w:hAnsi="Verdana" w:cs="Arial"/>
          <w:lang w:eastAsia="es-CO"/>
        </w:rPr>
      </w:pPr>
      <w:r w:rsidRPr="00EB1CF7">
        <w:rPr>
          <w:rFonts w:ascii="Verdana" w:eastAsia="Times New Roman" w:hAnsi="Verdana" w:cs="Arial"/>
          <w:lang w:eastAsia="es-CO"/>
        </w:rPr>
        <w:t>Atentamente,</w:t>
      </w:r>
      <w:r w:rsidR="00CD2E70" w:rsidRPr="00EB1CF7">
        <w:rPr>
          <w:rFonts w:ascii="Verdana" w:hAnsi="Verdana" w:cs="Arial"/>
          <w:lang w:eastAsia="es-CO"/>
        </w:rPr>
        <w:t xml:space="preserve"> </w:t>
      </w:r>
    </w:p>
    <w:p w14:paraId="5ED111D5" w14:textId="73B46BC9" w:rsidR="00CD2E70" w:rsidRPr="00EB1CF7" w:rsidRDefault="001A5FA6" w:rsidP="00CD2E70">
      <w:pPr>
        <w:spacing w:line="276" w:lineRule="auto"/>
        <w:jc w:val="center"/>
        <w:rPr>
          <w:rFonts w:ascii="Verdana" w:hAnsi="Verdana" w:cs="Arial"/>
          <w:color w:val="000000"/>
          <w:lang w:val="es-ES_tradnl" w:eastAsia="es-CO"/>
        </w:rPr>
      </w:pPr>
      <w:r>
        <w:rPr>
          <w:noProof/>
        </w:rPr>
        <w:lastRenderedPageBreak/>
        <w:drawing>
          <wp:inline distT="0" distB="0" distL="0" distR="0" wp14:anchorId="6B98021C" wp14:editId="4195EDB9">
            <wp:extent cx="3771900" cy="1400175"/>
            <wp:effectExtent l="0" t="0" r="3810" b="0"/>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6"/>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CD2E70" w:rsidRPr="00EB1CF7" w14:paraId="2DBC770D" w14:textId="77777777" w:rsidTr="003751C7">
        <w:trPr>
          <w:trHeight w:val="315"/>
        </w:trPr>
        <w:tc>
          <w:tcPr>
            <w:tcW w:w="893" w:type="dxa"/>
            <w:vAlign w:val="center"/>
            <w:hideMark/>
          </w:tcPr>
          <w:p w14:paraId="15A5F5BE"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7CEF9E9C" w14:textId="64EDEF3A" w:rsidR="00254A7A" w:rsidRPr="00EB1CF7" w:rsidRDefault="00490FD5" w:rsidP="00254A7A">
            <w:pPr>
              <w:contextualSpacing/>
              <w:rPr>
                <w:rStyle w:val="normaltextrun"/>
                <w:rFonts w:ascii="Verdana" w:hAnsi="Verdana"/>
                <w:sz w:val="16"/>
                <w:szCs w:val="16"/>
              </w:rPr>
            </w:pPr>
            <w:r w:rsidRPr="00EB1CF7">
              <w:rPr>
                <w:rStyle w:val="normaltextrun"/>
                <w:rFonts w:ascii="Verdana" w:hAnsi="Verdana"/>
                <w:sz w:val="16"/>
                <w:szCs w:val="16"/>
              </w:rPr>
              <w:t>Tatiana Baquero Iguarán</w:t>
            </w:r>
          </w:p>
          <w:p w14:paraId="6AB49B73" w14:textId="0FA4CDFF" w:rsidR="00CD2E70" w:rsidRPr="00EB1CF7" w:rsidRDefault="00254A7A" w:rsidP="00254A7A">
            <w:pPr>
              <w:contextualSpacing/>
              <w:rPr>
                <w:rFonts w:ascii="Verdana" w:eastAsia="Arial" w:hAnsi="Verdana" w:cs="Arial"/>
                <w:sz w:val="16"/>
                <w:szCs w:val="16"/>
              </w:rPr>
            </w:pPr>
            <w:r w:rsidRPr="00EB1CF7">
              <w:rPr>
                <w:rStyle w:val="normaltextrun"/>
                <w:rFonts w:ascii="Verdana" w:hAnsi="Verdana"/>
                <w:sz w:val="16"/>
                <w:szCs w:val="16"/>
              </w:rPr>
              <w:t>Contratista de la Subdirección de Gestión Contractual</w:t>
            </w:r>
          </w:p>
        </w:tc>
      </w:tr>
      <w:tr w:rsidR="00CD2E70" w:rsidRPr="00EB1CF7" w14:paraId="54ECFA9D" w14:textId="77777777" w:rsidTr="003751C7">
        <w:trPr>
          <w:trHeight w:val="330"/>
        </w:trPr>
        <w:tc>
          <w:tcPr>
            <w:tcW w:w="893" w:type="dxa"/>
            <w:vAlign w:val="center"/>
            <w:hideMark/>
          </w:tcPr>
          <w:p w14:paraId="322FF342"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1F942CE" w14:textId="77777777" w:rsidR="00254A7A" w:rsidRPr="00EB1CF7" w:rsidRDefault="00254A7A" w:rsidP="00254A7A">
            <w:pPr>
              <w:pStyle w:val="paragraph"/>
              <w:spacing w:after="0"/>
              <w:contextualSpacing/>
              <w:textAlignment w:val="baseline"/>
              <w:rPr>
                <w:rStyle w:val="normaltextrun"/>
                <w:rFonts w:ascii="Verdana" w:hAnsi="Verdana" w:cs="Arial"/>
                <w:sz w:val="16"/>
                <w:szCs w:val="16"/>
                <w:lang w:val="es-ES"/>
              </w:rPr>
            </w:pPr>
            <w:r w:rsidRPr="00EB1CF7">
              <w:rPr>
                <w:rStyle w:val="normaltextrun"/>
                <w:rFonts w:ascii="Verdana" w:hAnsi="Verdana" w:cs="Arial"/>
                <w:sz w:val="16"/>
                <w:szCs w:val="16"/>
                <w:lang w:val="es-ES"/>
              </w:rPr>
              <w:t>Alejandro Sarmiento Cantillo</w:t>
            </w:r>
          </w:p>
          <w:p w14:paraId="6B05B490" w14:textId="5284924E" w:rsidR="00CD2E70" w:rsidRPr="00EB1CF7" w:rsidRDefault="00254A7A" w:rsidP="00254A7A">
            <w:pPr>
              <w:pStyle w:val="paragraph"/>
              <w:spacing w:before="0" w:beforeAutospacing="0" w:after="0" w:afterAutospacing="0"/>
              <w:contextualSpacing/>
              <w:textAlignment w:val="baseline"/>
              <w:rPr>
                <w:rFonts w:ascii="Verdana" w:hAnsi="Verdana" w:cs="Segoe UI"/>
                <w:sz w:val="16"/>
                <w:szCs w:val="16"/>
              </w:rPr>
            </w:pPr>
            <w:r w:rsidRPr="00EB1CF7">
              <w:rPr>
                <w:rStyle w:val="normaltextrun"/>
                <w:rFonts w:ascii="Verdana" w:hAnsi="Verdana" w:cs="Arial"/>
                <w:sz w:val="16"/>
                <w:szCs w:val="16"/>
                <w:lang w:val="es-ES"/>
              </w:rPr>
              <w:t>Gestor T1 ‒ 15 de la Subdirección de Gestión Contractual</w:t>
            </w:r>
            <w:r w:rsidR="00CD2E70" w:rsidRPr="00EB1CF7">
              <w:rPr>
                <w:rStyle w:val="eop"/>
                <w:rFonts w:ascii="Verdana" w:hAnsi="Verdana" w:cs="Arial"/>
                <w:sz w:val="16"/>
                <w:szCs w:val="16"/>
              </w:rPr>
              <w:t> </w:t>
            </w:r>
          </w:p>
        </w:tc>
      </w:tr>
      <w:tr w:rsidR="00CD2E70" w:rsidRPr="00EB1CF7" w14:paraId="3D2C2D00" w14:textId="77777777" w:rsidTr="003751C7">
        <w:trPr>
          <w:trHeight w:val="300"/>
        </w:trPr>
        <w:tc>
          <w:tcPr>
            <w:tcW w:w="893" w:type="dxa"/>
            <w:vAlign w:val="center"/>
          </w:tcPr>
          <w:p w14:paraId="22572E15" w14:textId="77777777" w:rsidR="00CD2E70" w:rsidRPr="00EB1CF7" w:rsidRDefault="00CD2E70" w:rsidP="0044122F">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058F9554" w14:textId="77777777" w:rsidR="00CD2E70" w:rsidRPr="00EB1CF7" w:rsidRDefault="00CD2E70" w:rsidP="0044122F">
            <w:pPr>
              <w:contextualSpacing/>
              <w:rPr>
                <w:rFonts w:ascii="Verdana" w:eastAsia="Calibri" w:hAnsi="Verdana" w:cs="Arial"/>
                <w:sz w:val="16"/>
                <w:szCs w:val="16"/>
                <w:lang w:val="pt-BR" w:eastAsia="es-ES"/>
              </w:rPr>
            </w:pPr>
            <w:r w:rsidRPr="00EB1CF7">
              <w:rPr>
                <w:rFonts w:ascii="Verdana" w:eastAsia="Calibri" w:hAnsi="Verdana" w:cs="Arial"/>
                <w:sz w:val="16"/>
                <w:szCs w:val="16"/>
                <w:lang w:val="pt-BR" w:eastAsia="es-ES"/>
              </w:rPr>
              <w:t>Carolina Quintero Gacharná</w:t>
            </w:r>
          </w:p>
          <w:p w14:paraId="706065BE" w14:textId="77777777" w:rsidR="00CD2E70" w:rsidRPr="00EB1CF7" w:rsidRDefault="00CD2E70" w:rsidP="0044122F">
            <w:pPr>
              <w:contextualSpacing/>
              <w:rPr>
                <w:rFonts w:ascii="Verdana" w:eastAsia="Calibri" w:hAnsi="Verdana" w:cs="Arial"/>
                <w:sz w:val="16"/>
                <w:szCs w:val="16"/>
                <w:lang w:val="pt-BR" w:eastAsia="es-ES"/>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Gestión Contractual ANCP – CCE</w:t>
            </w:r>
          </w:p>
        </w:tc>
      </w:tr>
      <w:bookmarkEnd w:id="0"/>
    </w:tbl>
    <w:p w14:paraId="0083C991" w14:textId="62C71FF5" w:rsidR="5D8505AD" w:rsidRPr="00EB1CF7" w:rsidRDefault="5D8505AD" w:rsidP="00BE73FA">
      <w:pPr>
        <w:spacing w:after="0" w:line="240" w:lineRule="auto"/>
        <w:rPr>
          <w:rFonts w:ascii="Verdana" w:eastAsia="Times New Roman" w:hAnsi="Verdana" w:cs="Arial"/>
          <w:sz w:val="24"/>
          <w:szCs w:val="24"/>
          <w:lang w:eastAsia="es-ES"/>
        </w:rPr>
      </w:pPr>
    </w:p>
    <w:sectPr w:rsidR="5D8505AD" w:rsidRPr="00EB1CF7" w:rsidSect="00C44B4C">
      <w:headerReference w:type="default" r:id="rId17"/>
      <w:footerReference w:type="default" r:id="rId18"/>
      <w:pgSz w:w="12240" w:h="15840" w:code="1"/>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50424" w14:textId="77777777" w:rsidR="005F6DFB" w:rsidRDefault="005F6DFB" w:rsidP="00B30448">
      <w:pPr>
        <w:spacing w:after="0" w:line="240" w:lineRule="auto"/>
      </w:pPr>
      <w:r>
        <w:separator/>
      </w:r>
    </w:p>
  </w:endnote>
  <w:endnote w:type="continuationSeparator" w:id="0">
    <w:p w14:paraId="5FDF823F" w14:textId="77777777" w:rsidR="005F6DFB" w:rsidRDefault="005F6DFB" w:rsidP="00B30448">
      <w:pPr>
        <w:spacing w:after="0" w:line="240" w:lineRule="auto"/>
      </w:pPr>
      <w:r>
        <w:continuationSeparator/>
      </w:r>
    </w:p>
  </w:endnote>
  <w:endnote w:type="continuationNotice" w:id="1">
    <w:p w14:paraId="0B8EC466" w14:textId="77777777" w:rsidR="005F6DFB" w:rsidRDefault="005F6DF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manist Light">
    <w:altName w:val="Corbel"/>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9C0E4" w14:textId="77777777" w:rsidR="00A81E50" w:rsidRPr="00174B77" w:rsidRDefault="00A81E50" w:rsidP="00A81E50">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FC9CAA9" w14:textId="77777777" w:rsidR="00A81E50" w:rsidRDefault="00A81E50" w:rsidP="00A81E50">
    <w:pPr>
      <w:spacing w:after="0"/>
      <w:jc w:val="both"/>
      <w:rPr>
        <w:rFonts w:ascii="Verdana" w:hAnsi="Verdana"/>
        <w:sz w:val="18"/>
        <w:szCs w:val="18"/>
      </w:rPr>
    </w:pPr>
    <w:r w:rsidRPr="00E41027">
      <w:rPr>
        <w:rFonts w:ascii="Verdana" w:hAnsi="Verdana"/>
        <w:sz w:val="18"/>
        <w:szCs w:val="18"/>
      </w:rPr>
      <w:t>Dirección: Carrera 7 # 26 – 20 - Bogotá, Colombia</w:t>
    </w:r>
  </w:p>
  <w:p w14:paraId="0B709B73" w14:textId="77777777" w:rsidR="00A81E50" w:rsidRPr="00E41027" w:rsidRDefault="00A81E50" w:rsidP="00A81E50">
    <w:pPr>
      <w:spacing w:after="0"/>
      <w:jc w:val="both"/>
      <w:rPr>
        <w:rFonts w:ascii="Verdana" w:hAnsi="Verdana"/>
        <w:sz w:val="18"/>
        <w:szCs w:val="18"/>
      </w:rPr>
    </w:pPr>
    <w:r w:rsidRPr="00E41027">
      <w:rPr>
        <w:rFonts w:ascii="Verdana" w:hAnsi="Verdana"/>
        <w:sz w:val="18"/>
        <w:szCs w:val="18"/>
      </w:rPr>
      <w:t>Mesa de servicio: (+57) 601 7456788</w:t>
    </w:r>
  </w:p>
  <w:p w14:paraId="224AB27F" w14:textId="77777777" w:rsidR="00DD7A2C" w:rsidRDefault="00A81E50" w:rsidP="00C00976">
    <w:pPr>
      <w:pBdr>
        <w:top w:val="nil"/>
        <w:left w:val="nil"/>
        <w:bottom w:val="nil"/>
        <w:right w:val="nil"/>
        <w:between w:val="nil"/>
      </w:pBdr>
      <w:tabs>
        <w:tab w:val="center" w:pos="4419"/>
        <w:tab w:val="right" w:pos="8838"/>
        <w:tab w:val="center" w:pos="5400"/>
      </w:tabs>
      <w:spacing w:after="0"/>
      <w:rPr>
        <w:rFonts w:ascii="Verdana" w:hAnsi="Verdana"/>
        <w:sz w:val="20"/>
        <w:szCs w:val="20"/>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p>
  <w:p w14:paraId="2B8DBB2A" w14:textId="26AE77D2" w:rsidR="00A81E50" w:rsidRDefault="00A81E50" w:rsidP="00DD7A2C">
    <w:pPr>
      <w:pBdr>
        <w:top w:val="nil"/>
        <w:left w:val="nil"/>
        <w:bottom w:val="nil"/>
        <w:right w:val="nil"/>
        <w:between w:val="nil"/>
      </w:pBdr>
      <w:tabs>
        <w:tab w:val="center" w:pos="4419"/>
        <w:tab w:val="right" w:pos="8838"/>
        <w:tab w:val="center" w:pos="5400"/>
      </w:tabs>
      <w:spacing w:after="0"/>
      <w:jc w:val="right"/>
    </w:pP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D5E642" w14:textId="77777777" w:rsidR="005F6DFB" w:rsidRDefault="005F6DFB" w:rsidP="00B30448">
      <w:pPr>
        <w:spacing w:after="0" w:line="240" w:lineRule="auto"/>
      </w:pPr>
      <w:r>
        <w:separator/>
      </w:r>
    </w:p>
  </w:footnote>
  <w:footnote w:type="continuationSeparator" w:id="0">
    <w:p w14:paraId="5DC35115" w14:textId="77777777" w:rsidR="005F6DFB" w:rsidRDefault="005F6DFB" w:rsidP="00B30448">
      <w:pPr>
        <w:spacing w:after="0" w:line="240" w:lineRule="auto"/>
      </w:pPr>
      <w:r>
        <w:continuationSeparator/>
      </w:r>
    </w:p>
  </w:footnote>
  <w:footnote w:type="continuationNotice" w:id="1">
    <w:p w14:paraId="13290427" w14:textId="77777777" w:rsidR="005F6DFB" w:rsidRDefault="005F6DFB">
      <w:pPr>
        <w:spacing w:after="0" w:line="240" w:lineRule="auto"/>
      </w:pPr>
    </w:p>
  </w:footnote>
  <w:footnote w:id="2">
    <w:p w14:paraId="01F75163" w14:textId="77777777" w:rsidR="005B3CC1" w:rsidRPr="00627643" w:rsidRDefault="00D80631" w:rsidP="00627643">
      <w:pPr>
        <w:pStyle w:val="Textonotapie"/>
        <w:ind w:firstLine="426"/>
        <w:jc w:val="both"/>
        <w:rPr>
          <w:rFonts w:ascii="Verdana" w:hAnsi="Verdana"/>
          <w:sz w:val="16"/>
          <w:szCs w:val="16"/>
          <w:lang w:val="es-CO"/>
        </w:rPr>
      </w:pPr>
      <w:r w:rsidRPr="00627643">
        <w:rPr>
          <w:rStyle w:val="Refdenotaalpie"/>
          <w:rFonts w:ascii="Verdana" w:hAnsi="Verdana"/>
          <w:sz w:val="16"/>
          <w:szCs w:val="16"/>
        </w:rPr>
        <w:footnoteRef/>
      </w:r>
      <w:r w:rsidRPr="00627643">
        <w:rPr>
          <w:rFonts w:ascii="Verdana" w:hAnsi="Verdana"/>
          <w:sz w:val="16"/>
          <w:szCs w:val="16"/>
        </w:rPr>
        <w:t xml:space="preserve"> </w:t>
      </w:r>
      <w:r w:rsidR="005B3CC1" w:rsidRPr="00627643">
        <w:rPr>
          <w:rFonts w:ascii="Verdana" w:hAnsi="Verdana"/>
          <w:sz w:val="16"/>
          <w:szCs w:val="16"/>
          <w:lang w:val="es-ES"/>
        </w:rPr>
        <w:t>“</w:t>
      </w:r>
      <w:r w:rsidR="005B3CC1" w:rsidRPr="00627643">
        <w:rPr>
          <w:rFonts w:ascii="Verdana" w:hAnsi="Verdana"/>
          <w:sz w:val="16"/>
          <w:szCs w:val="16"/>
          <w:lang w:val="es-CO"/>
        </w:rPr>
        <w:t>Para poder participar en los procesos de selección de los contratos de obra, la capacidad residual del proponente o K de contratación deberá ser igual o superior al que la entidad haya establecido para el efecto en los pliegos de condiciones</w:t>
      </w:r>
    </w:p>
    <w:p w14:paraId="5A7A6D3B" w14:textId="3A13F20B" w:rsidR="00D80631" w:rsidRPr="00627643" w:rsidRDefault="005B3CC1" w:rsidP="00627643">
      <w:pPr>
        <w:pStyle w:val="Textonotapie"/>
        <w:jc w:val="both"/>
        <w:rPr>
          <w:rFonts w:ascii="Verdana" w:hAnsi="Verdana"/>
          <w:sz w:val="16"/>
          <w:szCs w:val="16"/>
          <w:lang w:val="es-CO"/>
        </w:rPr>
      </w:pPr>
      <w:r w:rsidRPr="00627643">
        <w:rPr>
          <w:rFonts w:ascii="Verdana" w:hAnsi="Verdana"/>
          <w:sz w:val="16"/>
          <w:szCs w:val="16"/>
          <w:lang w:val="es-CO"/>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3">
    <w:p w14:paraId="793A1AFC" w14:textId="48D5F7BF" w:rsidR="007E577E" w:rsidRPr="00627643" w:rsidRDefault="007E577E" w:rsidP="00627643">
      <w:pPr>
        <w:ind w:firstLine="567"/>
        <w:jc w:val="both"/>
        <w:rPr>
          <w:rFonts w:ascii="Verdana" w:hAnsi="Verdana"/>
          <w:sz w:val="16"/>
          <w:szCs w:val="16"/>
          <w:lang w:val="es-MX"/>
        </w:rPr>
      </w:pPr>
      <w:r w:rsidRPr="00627643">
        <w:rPr>
          <w:rStyle w:val="Refdenotaalpie"/>
          <w:rFonts w:ascii="Verdana" w:hAnsi="Verdana"/>
          <w:sz w:val="16"/>
          <w:szCs w:val="16"/>
        </w:rPr>
        <w:footnoteRef/>
      </w:r>
      <w:r w:rsidRPr="00627643">
        <w:rPr>
          <w:rFonts w:ascii="Verdana" w:hAnsi="Verdana"/>
          <w:sz w:val="16"/>
          <w:szCs w:val="16"/>
        </w:rPr>
        <w:t xml:space="preserve"> </w:t>
      </w:r>
      <w:r w:rsidR="002F03C8" w:rsidRPr="00627643">
        <w:rPr>
          <w:rFonts w:ascii="Verdana" w:hAnsi="Verdana"/>
          <w:sz w:val="16"/>
          <w:szCs w:val="16"/>
          <w:lang w:val="es-MX"/>
        </w:rPr>
        <w:t xml:space="preserve">Gaceta 096 de 2007. Pág. 9. Allí se lee: “Parágrafo 2°. Nuevo. Se adiciona un parágrafo nuevo para establecer de manera concreta que las certificaciones de sistemas de gestión de calidad no serán objeto de calificación, ni podrán establecerse como documento habilitante para participar en licitaciones o concursos, con el fin de evitar la exclusión de aquellas personas o empresas principalmente en regiones apartadas que carecen de tal requisito. Dejando sin embargo a la administración la posibilidad de fijar la implementación de planes de calidad” (Cursivas propias). </w:t>
      </w:r>
    </w:p>
  </w:footnote>
  <w:footnote w:id="4">
    <w:p w14:paraId="13E34AD0" w14:textId="7A349D72" w:rsidR="002F03C8" w:rsidRPr="00627643" w:rsidRDefault="002F03C8" w:rsidP="00627643">
      <w:pPr>
        <w:pStyle w:val="Textonotapie"/>
        <w:ind w:firstLine="567"/>
        <w:jc w:val="both"/>
        <w:rPr>
          <w:rFonts w:ascii="Verdana" w:hAnsi="Verdana"/>
          <w:sz w:val="16"/>
          <w:szCs w:val="16"/>
          <w:lang w:val="es-CO"/>
        </w:rPr>
      </w:pPr>
      <w:r w:rsidRPr="00627643">
        <w:rPr>
          <w:rStyle w:val="Refdenotaalpie"/>
          <w:rFonts w:ascii="Verdana" w:hAnsi="Verdana"/>
          <w:sz w:val="16"/>
          <w:szCs w:val="16"/>
        </w:rPr>
        <w:footnoteRef/>
      </w:r>
      <w:r w:rsidRPr="00627643">
        <w:rPr>
          <w:rFonts w:ascii="Verdana" w:hAnsi="Verdana"/>
          <w:sz w:val="16"/>
          <w:szCs w:val="16"/>
        </w:rPr>
        <w:t xml:space="preserve"> Según este parágrafo</w:t>
      </w:r>
      <w:r w:rsidR="007B404F" w:rsidRPr="00627643">
        <w:rPr>
          <w:rFonts w:ascii="Verdana" w:hAnsi="Verdana" w:cs="Arial"/>
          <w:color w:val="000000" w:themeColor="text1"/>
          <w:sz w:val="16"/>
          <w:szCs w:val="16"/>
          <w:lang w:val="es-ES_tradnl"/>
        </w:rPr>
        <w:t xml:space="preserve"> </w:t>
      </w:r>
      <w:r w:rsidR="007B404F" w:rsidRPr="00627643">
        <w:rPr>
          <w:rFonts w:ascii="Verdana" w:hAnsi="Verdana"/>
          <w:sz w:val="16"/>
          <w:szCs w:val="16"/>
          <w:lang w:val="es-ES_tradnl"/>
        </w:rPr>
        <w:t>las certificaciones de sistemas de gestión de calidad no serán objeto de calificación, ni podrán establecerse como documento habilitante para participar en licitaciones o concursos.</w:t>
      </w:r>
      <w:r w:rsidRPr="00627643">
        <w:rPr>
          <w:rFonts w:ascii="Verdana" w:hAnsi="Verdana"/>
          <w:sz w:val="16"/>
          <w:szCs w:val="16"/>
        </w:rPr>
        <w:t xml:space="preserve"> </w:t>
      </w:r>
    </w:p>
  </w:footnote>
  <w:footnote w:id="5">
    <w:p w14:paraId="0CB059CE" w14:textId="77777777" w:rsidR="00627643" w:rsidRPr="00627643" w:rsidRDefault="00627643" w:rsidP="00627643">
      <w:pPr>
        <w:pStyle w:val="Textonotapie"/>
        <w:ind w:firstLine="567"/>
        <w:jc w:val="both"/>
        <w:rPr>
          <w:rFonts w:ascii="Verdana" w:hAnsi="Verdana"/>
          <w:sz w:val="16"/>
          <w:szCs w:val="16"/>
        </w:rPr>
      </w:pPr>
      <w:r w:rsidRPr="00627643">
        <w:rPr>
          <w:rStyle w:val="Refdenotaalpie"/>
          <w:rFonts w:ascii="Verdana" w:hAnsi="Verdana"/>
          <w:sz w:val="16"/>
          <w:szCs w:val="16"/>
        </w:rPr>
        <w:footnoteRef/>
      </w:r>
      <w:r w:rsidRPr="00627643">
        <w:rPr>
          <w:rFonts w:ascii="Verdana" w:hAnsi="Verdana"/>
          <w:sz w:val="16"/>
          <w:szCs w:val="16"/>
        </w:rPr>
        <w:t xml:space="preserve"> Artículo 2.2.1.1.1.5.3. Requisitos habilitantes contenidos en el RUP. Las cámaras de comercio, con base en la información a la que hace referencia el artículo anterior, deben verificar y certificar los siguientes requisitos habilitantes:</w:t>
      </w:r>
    </w:p>
    <w:p w14:paraId="6471F805"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1. Experiencia – Los contratos celebrados por el interesado para cada uno de los bienes, obras y servicios que ofrecerá a las Entidades Estatales, identificados con el Clasificador de Bienes y Servicios en el tercer nivel y su valor expresado en smmlv.</w:t>
      </w:r>
    </w:p>
    <w:p w14:paraId="0344BCE6" w14:textId="77777777" w:rsidR="00627643" w:rsidRPr="00627643" w:rsidRDefault="00627643" w:rsidP="00627643">
      <w:pPr>
        <w:pStyle w:val="Textonotapie"/>
        <w:jc w:val="both"/>
        <w:rPr>
          <w:rFonts w:ascii="Verdana" w:hAnsi="Verdana"/>
          <w:sz w:val="16"/>
          <w:szCs w:val="16"/>
        </w:rPr>
      </w:pPr>
      <w:r w:rsidRPr="00627643">
        <w:rPr>
          <w:rFonts w:ascii="Verdana" w:hAnsi="Verdana"/>
          <w:sz w:val="16"/>
          <w:szCs w:val="16"/>
        </w:rPr>
        <w:t>Los contratos celebrados por consorcios, uniones temporales y sociedades en las cuales el interesado tenga o haya tenido participación, para cada uno de los bienes, obras y servicios que ofrecerá a las Entidades Estatales, identificados con el Clasificador de Bienes y Servicios en el tercer nivel y su valor expresado en smmlv.</w:t>
      </w:r>
    </w:p>
    <w:p w14:paraId="7F0F784D" w14:textId="77777777" w:rsidR="00627643" w:rsidRPr="00627643" w:rsidRDefault="00627643" w:rsidP="00177E95">
      <w:pPr>
        <w:pStyle w:val="Textonotapie"/>
        <w:ind w:firstLine="709"/>
        <w:jc w:val="both"/>
        <w:rPr>
          <w:rFonts w:ascii="Verdana" w:hAnsi="Verdana"/>
          <w:sz w:val="16"/>
          <w:szCs w:val="16"/>
        </w:rPr>
      </w:pPr>
      <w:r w:rsidRPr="00627643">
        <w:rPr>
          <w:rFonts w:ascii="Verdana" w:hAnsi="Verdana"/>
          <w:sz w:val="16"/>
          <w:szCs w:val="16"/>
        </w:rPr>
        <w:t>2. Capacidad Jurídica – La capacidad jurídica del proponente para prestar los bienes, obras, o servicios que ofrecerá a las Entidades Estatales y la capacidad del representante legal de las personas jurídicas para celebrar contratos y si requiere, autorizaciones para el efecto con ocasión de los límites a la capacidad del representante legal del interesado en relación con el monto y el tipo de las obligaciones que puede adquirir a nombre del interesado.</w:t>
      </w:r>
    </w:p>
    <w:p w14:paraId="0F871D63"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3. Capacidad Financiera – los siguientes indicadores miden la fortaleza financiera del interesado:</w:t>
      </w:r>
    </w:p>
    <w:p w14:paraId="4D7F094D"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3.1. Índice de liquidez: activo corriente dividido por el pasivo corriente.</w:t>
      </w:r>
    </w:p>
    <w:p w14:paraId="1D949A81"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3.2. Índice de endeudamiento: pasivo total dividido por el activo total.</w:t>
      </w:r>
    </w:p>
    <w:p w14:paraId="68F7FDEF"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3.3. Razón de cobertura de intereses: utilidad operacional dividida por los gastos de intereses.</w:t>
      </w:r>
    </w:p>
    <w:p w14:paraId="0CD5A713"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4. Capacidad Organizacional – los siguientes indicadores miden el rendimiento de las inversiones y la eficiencia en el uso de activos del interesado:</w:t>
      </w:r>
    </w:p>
    <w:p w14:paraId="7B7730EE" w14:textId="77777777" w:rsidR="00627643" w:rsidRPr="00627643" w:rsidRDefault="00627643" w:rsidP="00177E95">
      <w:pPr>
        <w:pStyle w:val="Textonotapie"/>
        <w:ind w:firstLine="567"/>
        <w:jc w:val="both"/>
        <w:rPr>
          <w:rFonts w:ascii="Verdana" w:hAnsi="Verdana"/>
          <w:sz w:val="16"/>
          <w:szCs w:val="16"/>
        </w:rPr>
      </w:pPr>
      <w:r w:rsidRPr="00627643">
        <w:rPr>
          <w:rFonts w:ascii="Verdana" w:hAnsi="Verdana"/>
          <w:sz w:val="16"/>
          <w:szCs w:val="16"/>
        </w:rPr>
        <w:t>4.1. Rentabilidad del patrimonio: utilidad operacional dividida por el patrimonio.</w:t>
      </w:r>
    </w:p>
    <w:p w14:paraId="277B8DB5" w14:textId="269D2109" w:rsidR="00627643" w:rsidRPr="00627643" w:rsidRDefault="00627643" w:rsidP="00177E95">
      <w:pPr>
        <w:pStyle w:val="Textonotapie"/>
        <w:ind w:firstLine="567"/>
        <w:jc w:val="both"/>
        <w:rPr>
          <w:rFonts w:ascii="Verdana" w:hAnsi="Verdana"/>
          <w:sz w:val="16"/>
          <w:szCs w:val="16"/>
          <w:lang w:val="es-CO"/>
        </w:rPr>
      </w:pPr>
      <w:r w:rsidRPr="00627643">
        <w:rPr>
          <w:rFonts w:ascii="Verdana" w:hAnsi="Verdana"/>
          <w:sz w:val="16"/>
          <w:szCs w:val="16"/>
        </w:rPr>
        <w:t>4.2. Rentabilidad del activo: utilidad operacional dividida por el activo total”.</w:t>
      </w:r>
    </w:p>
  </w:footnote>
  <w:footnote w:id="6">
    <w:p w14:paraId="5B5682B4" w14:textId="0D8CA6C2" w:rsidR="00DD1941" w:rsidRPr="00DD1941" w:rsidRDefault="00DD1941" w:rsidP="00DD1941">
      <w:pPr>
        <w:pStyle w:val="Textonotapie"/>
        <w:ind w:firstLine="567"/>
        <w:jc w:val="both"/>
        <w:rPr>
          <w:rFonts w:ascii="Verdana" w:hAnsi="Verdana"/>
          <w:sz w:val="16"/>
          <w:szCs w:val="16"/>
          <w:lang w:val="es-CO"/>
        </w:rPr>
      </w:pPr>
      <w:r w:rsidRPr="00DD1941">
        <w:rPr>
          <w:rStyle w:val="Refdenotaalpie"/>
          <w:rFonts w:ascii="Verdana" w:hAnsi="Verdana"/>
          <w:sz w:val="16"/>
          <w:szCs w:val="16"/>
        </w:rPr>
        <w:footnoteRef/>
      </w:r>
      <w:r w:rsidRPr="00DD1941">
        <w:rPr>
          <w:rFonts w:ascii="Verdana" w:hAnsi="Verdana"/>
          <w:sz w:val="16"/>
          <w:szCs w:val="16"/>
        </w:rPr>
        <w:t xml:space="preserve"> “Artículo 2.2.1.1.1.6.2. Determinación de los Requisitos Habilitantes. La Entidad Estatal debe establecer los</w:t>
      </w:r>
      <w:r>
        <w:rPr>
          <w:rFonts w:ascii="Verdana" w:hAnsi="Verdana"/>
          <w:sz w:val="16"/>
          <w:szCs w:val="16"/>
        </w:rPr>
        <w:t xml:space="preserve"> </w:t>
      </w:r>
      <w:r w:rsidRPr="00DD1941">
        <w:rPr>
          <w:rFonts w:ascii="Verdana" w:hAnsi="Verdana"/>
          <w:sz w:val="16"/>
          <w:szCs w:val="16"/>
        </w:rPr>
        <w:t>requisitos habilitantes en los pliegos de condiciones o en la invitación, teniendo en cuenta: (a) el Riesgo del</w:t>
      </w:r>
      <w:r>
        <w:rPr>
          <w:rFonts w:ascii="Verdana" w:hAnsi="Verdana"/>
          <w:sz w:val="16"/>
          <w:szCs w:val="16"/>
        </w:rPr>
        <w:t xml:space="preserve"> </w:t>
      </w:r>
      <w:r w:rsidRPr="00DD1941">
        <w:rPr>
          <w:rFonts w:ascii="Verdana" w:hAnsi="Verdana"/>
          <w:sz w:val="16"/>
          <w:szCs w:val="16"/>
        </w:rPr>
        <w:t>Proceso de Contratación; (b) el valor del contrato objeto del Proceso de Contratación; (c) el análisis del</w:t>
      </w:r>
      <w:r>
        <w:rPr>
          <w:rFonts w:ascii="Verdana" w:hAnsi="Verdana"/>
          <w:sz w:val="16"/>
          <w:szCs w:val="16"/>
        </w:rPr>
        <w:t xml:space="preserve"> </w:t>
      </w:r>
      <w:r w:rsidRPr="00DD1941">
        <w:rPr>
          <w:rFonts w:ascii="Verdana" w:hAnsi="Verdana"/>
          <w:sz w:val="16"/>
          <w:szCs w:val="16"/>
        </w:rPr>
        <w:t>sector económico respectivo; y (d) el conocimiento de fondo de los posibles oferentes desde la perspectiva</w:t>
      </w:r>
      <w:r>
        <w:rPr>
          <w:rFonts w:ascii="Verdana" w:hAnsi="Verdana"/>
          <w:sz w:val="16"/>
          <w:szCs w:val="16"/>
        </w:rPr>
        <w:t xml:space="preserve"> </w:t>
      </w:r>
      <w:r w:rsidRPr="00DD1941">
        <w:rPr>
          <w:rFonts w:ascii="Verdana" w:hAnsi="Verdana"/>
          <w:sz w:val="16"/>
          <w:szCs w:val="16"/>
        </w:rPr>
        <w:t>comercial. La Entidad Estatal no debe limitarse a la aplicación mecánica de fórmulas financieras para verificar los requisitos habilitantes”.</w:t>
      </w:r>
    </w:p>
  </w:footnote>
  <w:footnote w:id="7">
    <w:p w14:paraId="4004E7A0" w14:textId="1D1208AE" w:rsidR="00AB72BB" w:rsidRPr="00AB72BB" w:rsidRDefault="00AB72BB" w:rsidP="00C573DA">
      <w:pPr>
        <w:pStyle w:val="Textonotapie"/>
        <w:ind w:firstLine="709"/>
        <w:rPr>
          <w:lang w:val="es-CO"/>
        </w:rPr>
      </w:pPr>
      <w:r>
        <w:rPr>
          <w:rStyle w:val="Refdenotaalpie"/>
        </w:rPr>
        <w:footnoteRef/>
      </w:r>
      <w:r>
        <w:t xml:space="preserve"> </w:t>
      </w:r>
      <w:r>
        <w:rPr>
          <w:lang w:val="es-CO"/>
        </w:rPr>
        <w:t xml:space="preserve">Consejo de Estado. Sección tercera. Sentencia del 18 de noviembre de 2024. Exp. </w:t>
      </w:r>
      <w:r w:rsidR="00C573DA">
        <w:rPr>
          <w:lang w:val="es-CO"/>
        </w:rPr>
        <w:t xml:space="preserve">66750. </w:t>
      </w:r>
      <w:r>
        <w:rPr>
          <w:lang w:val="es-CO"/>
        </w:rPr>
        <w:t>C.P</w:t>
      </w:r>
      <w:r w:rsidR="00C573DA">
        <w:rPr>
          <w:lang w:val="es-CO"/>
        </w:rPr>
        <w:t xml:space="preserve"> María Adriana Marina</w:t>
      </w:r>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49BFF" w14:textId="77777777" w:rsidR="00006F59" w:rsidRDefault="00006F59" w:rsidP="00006F5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4812B632" wp14:editId="2E35C64A">
          <wp:simplePos x="0" y="0"/>
          <wp:positionH relativeFrom="margin">
            <wp:align>center</wp:align>
          </wp:positionH>
          <wp:positionV relativeFrom="paragraph">
            <wp:posOffset>-250190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292DC36A" wp14:editId="6004C65E">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descr="Imagen en blanco y negr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149914" name="Imagen 962149914" descr="Imagen en blanco y negro&#10;&#10;Descripción generada automáticamente con confianza media"/>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34B171C2" w14:textId="77777777" w:rsidR="00006F59" w:rsidRDefault="00006F59" w:rsidP="00006F59">
    <w:pPr>
      <w:pStyle w:val="Encabezado"/>
      <w:jc w:val="center"/>
    </w:pPr>
  </w:p>
  <w:p w14:paraId="1665FD71" w14:textId="77777777" w:rsidR="00006F59" w:rsidRDefault="00006F59" w:rsidP="00006F59">
    <w:pPr>
      <w:pStyle w:val="Encabezado"/>
    </w:pPr>
  </w:p>
  <w:p w14:paraId="61B882FC" w14:textId="77777777" w:rsidR="00006F59" w:rsidRDefault="00006F59" w:rsidP="00006F59">
    <w:pPr>
      <w:spacing w:after="0"/>
      <w:rPr>
        <w:rFonts w:ascii="Verdana" w:hAnsi="Verdana"/>
        <w:b/>
        <w:bCs/>
        <w:sz w:val="24"/>
        <w:szCs w:val="24"/>
      </w:rPr>
    </w:pPr>
  </w:p>
  <w:p w14:paraId="701A9D55" w14:textId="29EB49FC" w:rsidR="00006F59" w:rsidRPr="00A211EE" w:rsidRDefault="00006F59" w:rsidP="001918F1">
    <w:pPr>
      <w:tabs>
        <w:tab w:val="left" w:pos="6217"/>
      </w:tabs>
      <w:spacing w:after="0"/>
      <w:rPr>
        <w:rFonts w:ascii="Verdana" w:hAnsi="Verdana"/>
        <w:b/>
        <w:bCs/>
        <w:sz w:val="24"/>
        <w:szCs w:val="24"/>
      </w:rPr>
    </w:pPr>
    <w:r w:rsidRPr="00A211EE">
      <w:rPr>
        <w:rFonts w:ascii="Verdana" w:hAnsi="Verdana"/>
        <w:b/>
        <w:bCs/>
        <w:sz w:val="24"/>
        <w:szCs w:val="24"/>
      </w:rPr>
      <w:t>FORMATO PQRSD</w:t>
    </w:r>
  </w:p>
  <w:p w14:paraId="68E0C024" w14:textId="62811F13" w:rsidR="00B30448" w:rsidRPr="00006F59" w:rsidRDefault="00B30448" w:rsidP="00006F5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47FE4C7E"/>
    <w:lvl w:ilvl="0">
      <w:start w:val="1"/>
      <w:numFmt w:val="upperRoman"/>
      <w:lvlText w:val="%1."/>
      <w:lvlJc w:val="righ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239D63F5"/>
    <w:multiLevelType w:val="hybridMultilevel"/>
    <w:tmpl w:val="F538EEB4"/>
    <w:lvl w:ilvl="0" w:tplc="DB68C6FA">
      <w:numFmt w:val="bullet"/>
      <w:lvlText w:val="-"/>
      <w:lvlJc w:val="left"/>
      <w:pPr>
        <w:ind w:left="1069" w:hanging="360"/>
      </w:pPr>
      <w:rPr>
        <w:rFonts w:ascii="Verdana" w:eastAsia="Calibri" w:hAnsi="Verdana"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30140246">
    <w:abstractNumId w:val="0"/>
  </w:num>
  <w:num w:numId="2" w16cid:durableId="1492209491">
    <w:abstractNumId w:val="2"/>
  </w:num>
  <w:num w:numId="3" w16cid:durableId="679089576">
    <w:abstractNumId w:val="3"/>
  </w:num>
  <w:num w:numId="4" w16cid:durableId="893472101">
    <w:abstractNumId w:val="1"/>
  </w:num>
  <w:num w:numId="5" w16cid:durableId="19822999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48"/>
    <w:rsid w:val="00002D55"/>
    <w:rsid w:val="000059AE"/>
    <w:rsid w:val="00005BB0"/>
    <w:rsid w:val="00006F59"/>
    <w:rsid w:val="0001025F"/>
    <w:rsid w:val="0001155E"/>
    <w:rsid w:val="00011613"/>
    <w:rsid w:val="0001222D"/>
    <w:rsid w:val="00013B3F"/>
    <w:rsid w:val="00016280"/>
    <w:rsid w:val="00016F04"/>
    <w:rsid w:val="000219D1"/>
    <w:rsid w:val="00021C3A"/>
    <w:rsid w:val="0002202D"/>
    <w:rsid w:val="000267DD"/>
    <w:rsid w:val="00030B3D"/>
    <w:rsid w:val="00030BFB"/>
    <w:rsid w:val="00031EAF"/>
    <w:rsid w:val="00033390"/>
    <w:rsid w:val="000361EA"/>
    <w:rsid w:val="000369C0"/>
    <w:rsid w:val="00037A8B"/>
    <w:rsid w:val="000408AD"/>
    <w:rsid w:val="00041469"/>
    <w:rsid w:val="00042DD7"/>
    <w:rsid w:val="000442CC"/>
    <w:rsid w:val="00044B24"/>
    <w:rsid w:val="00050C95"/>
    <w:rsid w:val="00050CAD"/>
    <w:rsid w:val="000526A8"/>
    <w:rsid w:val="0005420B"/>
    <w:rsid w:val="0005620B"/>
    <w:rsid w:val="00057392"/>
    <w:rsid w:val="000577D3"/>
    <w:rsid w:val="00057963"/>
    <w:rsid w:val="000579AB"/>
    <w:rsid w:val="000622B9"/>
    <w:rsid w:val="00064721"/>
    <w:rsid w:val="00065C6D"/>
    <w:rsid w:val="00066646"/>
    <w:rsid w:val="00066C7A"/>
    <w:rsid w:val="000716AB"/>
    <w:rsid w:val="00071AB8"/>
    <w:rsid w:val="0007243A"/>
    <w:rsid w:val="000762C0"/>
    <w:rsid w:val="00076C2B"/>
    <w:rsid w:val="00076F81"/>
    <w:rsid w:val="00087073"/>
    <w:rsid w:val="000878E7"/>
    <w:rsid w:val="00087C01"/>
    <w:rsid w:val="000903E4"/>
    <w:rsid w:val="00091D73"/>
    <w:rsid w:val="000933BC"/>
    <w:rsid w:val="00093544"/>
    <w:rsid w:val="00094663"/>
    <w:rsid w:val="00095410"/>
    <w:rsid w:val="00096637"/>
    <w:rsid w:val="000A1F38"/>
    <w:rsid w:val="000A2030"/>
    <w:rsid w:val="000A413A"/>
    <w:rsid w:val="000B1FF7"/>
    <w:rsid w:val="000B2529"/>
    <w:rsid w:val="000B2B7C"/>
    <w:rsid w:val="000B381D"/>
    <w:rsid w:val="000B4024"/>
    <w:rsid w:val="000C02AD"/>
    <w:rsid w:val="000C060A"/>
    <w:rsid w:val="000C09DF"/>
    <w:rsid w:val="000C0AA8"/>
    <w:rsid w:val="000C42A9"/>
    <w:rsid w:val="000C557B"/>
    <w:rsid w:val="000C5F29"/>
    <w:rsid w:val="000D0372"/>
    <w:rsid w:val="000D2914"/>
    <w:rsid w:val="000D3A1B"/>
    <w:rsid w:val="000D570C"/>
    <w:rsid w:val="000D5A0F"/>
    <w:rsid w:val="000D5B1E"/>
    <w:rsid w:val="000D5E3F"/>
    <w:rsid w:val="000D6532"/>
    <w:rsid w:val="000E0622"/>
    <w:rsid w:val="000E1D6F"/>
    <w:rsid w:val="000E3381"/>
    <w:rsid w:val="000E3744"/>
    <w:rsid w:val="000E3CD9"/>
    <w:rsid w:val="000F0144"/>
    <w:rsid w:val="000F0807"/>
    <w:rsid w:val="000F1AD8"/>
    <w:rsid w:val="000F2F4C"/>
    <w:rsid w:val="000F38D9"/>
    <w:rsid w:val="000F414C"/>
    <w:rsid w:val="000F64FC"/>
    <w:rsid w:val="000F718E"/>
    <w:rsid w:val="00100207"/>
    <w:rsid w:val="001010D3"/>
    <w:rsid w:val="00101C11"/>
    <w:rsid w:val="00102F4F"/>
    <w:rsid w:val="001034DD"/>
    <w:rsid w:val="0011037E"/>
    <w:rsid w:val="00110F73"/>
    <w:rsid w:val="00111E35"/>
    <w:rsid w:val="001128B4"/>
    <w:rsid w:val="00112EBD"/>
    <w:rsid w:val="001132C2"/>
    <w:rsid w:val="00113AF2"/>
    <w:rsid w:val="00116616"/>
    <w:rsid w:val="00116FC5"/>
    <w:rsid w:val="00117BBD"/>
    <w:rsid w:val="001248AB"/>
    <w:rsid w:val="00124B2E"/>
    <w:rsid w:val="00125D81"/>
    <w:rsid w:val="0012661F"/>
    <w:rsid w:val="001269B0"/>
    <w:rsid w:val="00127D5B"/>
    <w:rsid w:val="00131A1F"/>
    <w:rsid w:val="00131A66"/>
    <w:rsid w:val="0013343F"/>
    <w:rsid w:val="001344F9"/>
    <w:rsid w:val="00135F76"/>
    <w:rsid w:val="001363C7"/>
    <w:rsid w:val="00136E87"/>
    <w:rsid w:val="00140793"/>
    <w:rsid w:val="001422BD"/>
    <w:rsid w:val="0014286D"/>
    <w:rsid w:val="00143B8E"/>
    <w:rsid w:val="00143F21"/>
    <w:rsid w:val="0014420C"/>
    <w:rsid w:val="001446C3"/>
    <w:rsid w:val="00151465"/>
    <w:rsid w:val="00151AD8"/>
    <w:rsid w:val="00153287"/>
    <w:rsid w:val="00153C33"/>
    <w:rsid w:val="00155EF1"/>
    <w:rsid w:val="00156192"/>
    <w:rsid w:val="00156E57"/>
    <w:rsid w:val="0015710D"/>
    <w:rsid w:val="00157DEB"/>
    <w:rsid w:val="00161847"/>
    <w:rsid w:val="00161E13"/>
    <w:rsid w:val="00162B8D"/>
    <w:rsid w:val="00164803"/>
    <w:rsid w:val="00164AE0"/>
    <w:rsid w:val="0016646A"/>
    <w:rsid w:val="00167C43"/>
    <w:rsid w:val="0017120C"/>
    <w:rsid w:val="00172C96"/>
    <w:rsid w:val="00172DDC"/>
    <w:rsid w:val="00172F3A"/>
    <w:rsid w:val="00173477"/>
    <w:rsid w:val="0017414F"/>
    <w:rsid w:val="00174636"/>
    <w:rsid w:val="00174BD8"/>
    <w:rsid w:val="0017667E"/>
    <w:rsid w:val="00176AE8"/>
    <w:rsid w:val="00177E95"/>
    <w:rsid w:val="001811FC"/>
    <w:rsid w:val="00183F50"/>
    <w:rsid w:val="00186037"/>
    <w:rsid w:val="00186D14"/>
    <w:rsid w:val="001918F1"/>
    <w:rsid w:val="0019196E"/>
    <w:rsid w:val="00191FF5"/>
    <w:rsid w:val="001926D7"/>
    <w:rsid w:val="00192CCE"/>
    <w:rsid w:val="0019385B"/>
    <w:rsid w:val="00193F1C"/>
    <w:rsid w:val="00197205"/>
    <w:rsid w:val="001A2D8F"/>
    <w:rsid w:val="001A3D89"/>
    <w:rsid w:val="001A54DA"/>
    <w:rsid w:val="001A5FA6"/>
    <w:rsid w:val="001A6861"/>
    <w:rsid w:val="001B143B"/>
    <w:rsid w:val="001B1777"/>
    <w:rsid w:val="001B19C5"/>
    <w:rsid w:val="001B1B6D"/>
    <w:rsid w:val="001B1C93"/>
    <w:rsid w:val="001B21CA"/>
    <w:rsid w:val="001B5A00"/>
    <w:rsid w:val="001B5F59"/>
    <w:rsid w:val="001B63A7"/>
    <w:rsid w:val="001C1074"/>
    <w:rsid w:val="001C25F5"/>
    <w:rsid w:val="001C4249"/>
    <w:rsid w:val="001C6573"/>
    <w:rsid w:val="001C7D03"/>
    <w:rsid w:val="001D0D32"/>
    <w:rsid w:val="001D17C9"/>
    <w:rsid w:val="001D1AB9"/>
    <w:rsid w:val="001D3795"/>
    <w:rsid w:val="001D4006"/>
    <w:rsid w:val="001D54BD"/>
    <w:rsid w:val="001D626E"/>
    <w:rsid w:val="001D733B"/>
    <w:rsid w:val="001E0902"/>
    <w:rsid w:val="001E1801"/>
    <w:rsid w:val="001E3A17"/>
    <w:rsid w:val="001E3FCB"/>
    <w:rsid w:val="001E52DF"/>
    <w:rsid w:val="001E6BCB"/>
    <w:rsid w:val="001E7FBC"/>
    <w:rsid w:val="001F0822"/>
    <w:rsid w:val="001F15F6"/>
    <w:rsid w:val="001F179C"/>
    <w:rsid w:val="001F2649"/>
    <w:rsid w:val="001F3496"/>
    <w:rsid w:val="001F41CA"/>
    <w:rsid w:val="001F4355"/>
    <w:rsid w:val="001F61DE"/>
    <w:rsid w:val="002000AA"/>
    <w:rsid w:val="0020302A"/>
    <w:rsid w:val="002032A0"/>
    <w:rsid w:val="00203532"/>
    <w:rsid w:val="00204106"/>
    <w:rsid w:val="00204109"/>
    <w:rsid w:val="002059E3"/>
    <w:rsid w:val="00212390"/>
    <w:rsid w:val="00212897"/>
    <w:rsid w:val="0021386A"/>
    <w:rsid w:val="00215516"/>
    <w:rsid w:val="00216EFA"/>
    <w:rsid w:val="0021798E"/>
    <w:rsid w:val="0022180C"/>
    <w:rsid w:val="002225AB"/>
    <w:rsid w:val="002250D1"/>
    <w:rsid w:val="002267D2"/>
    <w:rsid w:val="00230839"/>
    <w:rsid w:val="00232178"/>
    <w:rsid w:val="00232D12"/>
    <w:rsid w:val="002353E3"/>
    <w:rsid w:val="00235F30"/>
    <w:rsid w:val="00236287"/>
    <w:rsid w:val="002407CE"/>
    <w:rsid w:val="00243A38"/>
    <w:rsid w:val="0024474F"/>
    <w:rsid w:val="002450F2"/>
    <w:rsid w:val="00245B7F"/>
    <w:rsid w:val="002469C2"/>
    <w:rsid w:val="00247BDE"/>
    <w:rsid w:val="002514FA"/>
    <w:rsid w:val="00252503"/>
    <w:rsid w:val="00252ED7"/>
    <w:rsid w:val="00254A7A"/>
    <w:rsid w:val="00254EA4"/>
    <w:rsid w:val="0025575F"/>
    <w:rsid w:val="002571E3"/>
    <w:rsid w:val="00260496"/>
    <w:rsid w:val="00260542"/>
    <w:rsid w:val="00264C7C"/>
    <w:rsid w:val="00270443"/>
    <w:rsid w:val="00270EE2"/>
    <w:rsid w:val="00272A7B"/>
    <w:rsid w:val="00273527"/>
    <w:rsid w:val="002747EF"/>
    <w:rsid w:val="00274B06"/>
    <w:rsid w:val="002769AE"/>
    <w:rsid w:val="00285237"/>
    <w:rsid w:val="00285E3F"/>
    <w:rsid w:val="00286BFE"/>
    <w:rsid w:val="00286C81"/>
    <w:rsid w:val="0028709F"/>
    <w:rsid w:val="00290119"/>
    <w:rsid w:val="002908F8"/>
    <w:rsid w:val="00295002"/>
    <w:rsid w:val="002971F2"/>
    <w:rsid w:val="00297785"/>
    <w:rsid w:val="002A0444"/>
    <w:rsid w:val="002A0F8D"/>
    <w:rsid w:val="002A264B"/>
    <w:rsid w:val="002A4B33"/>
    <w:rsid w:val="002A5311"/>
    <w:rsid w:val="002B05D1"/>
    <w:rsid w:val="002B1933"/>
    <w:rsid w:val="002B20BD"/>
    <w:rsid w:val="002B3A46"/>
    <w:rsid w:val="002B3F1C"/>
    <w:rsid w:val="002B4EF4"/>
    <w:rsid w:val="002B6CA2"/>
    <w:rsid w:val="002B6E44"/>
    <w:rsid w:val="002B726F"/>
    <w:rsid w:val="002C000B"/>
    <w:rsid w:val="002C103C"/>
    <w:rsid w:val="002C12C7"/>
    <w:rsid w:val="002C30F0"/>
    <w:rsid w:val="002C401A"/>
    <w:rsid w:val="002C6D15"/>
    <w:rsid w:val="002C7E5B"/>
    <w:rsid w:val="002D0907"/>
    <w:rsid w:val="002D0E9E"/>
    <w:rsid w:val="002D2D68"/>
    <w:rsid w:val="002D38D9"/>
    <w:rsid w:val="002D7417"/>
    <w:rsid w:val="002E26E8"/>
    <w:rsid w:val="002E3DD8"/>
    <w:rsid w:val="002E5A01"/>
    <w:rsid w:val="002E717C"/>
    <w:rsid w:val="002E7A61"/>
    <w:rsid w:val="002F0106"/>
    <w:rsid w:val="002F03C8"/>
    <w:rsid w:val="002F188D"/>
    <w:rsid w:val="002F18A5"/>
    <w:rsid w:val="002F317F"/>
    <w:rsid w:val="002F7AA9"/>
    <w:rsid w:val="00301C0D"/>
    <w:rsid w:val="00311B66"/>
    <w:rsid w:val="00314FAF"/>
    <w:rsid w:val="003162A5"/>
    <w:rsid w:val="00316591"/>
    <w:rsid w:val="00320C6D"/>
    <w:rsid w:val="00321FFD"/>
    <w:rsid w:val="00322E18"/>
    <w:rsid w:val="00323F8A"/>
    <w:rsid w:val="00326011"/>
    <w:rsid w:val="00327069"/>
    <w:rsid w:val="00327AFB"/>
    <w:rsid w:val="00327D10"/>
    <w:rsid w:val="0033595E"/>
    <w:rsid w:val="0033601B"/>
    <w:rsid w:val="00340039"/>
    <w:rsid w:val="0034024F"/>
    <w:rsid w:val="00340DFB"/>
    <w:rsid w:val="00341941"/>
    <w:rsid w:val="0034278F"/>
    <w:rsid w:val="00343B47"/>
    <w:rsid w:val="0034404F"/>
    <w:rsid w:val="00344ACC"/>
    <w:rsid w:val="00345F01"/>
    <w:rsid w:val="0034654F"/>
    <w:rsid w:val="00347685"/>
    <w:rsid w:val="00351E21"/>
    <w:rsid w:val="00352327"/>
    <w:rsid w:val="00354405"/>
    <w:rsid w:val="0035635F"/>
    <w:rsid w:val="003607EE"/>
    <w:rsid w:val="003617AE"/>
    <w:rsid w:val="003630F7"/>
    <w:rsid w:val="003651AC"/>
    <w:rsid w:val="00366120"/>
    <w:rsid w:val="003661FF"/>
    <w:rsid w:val="00366A0C"/>
    <w:rsid w:val="00367462"/>
    <w:rsid w:val="00370507"/>
    <w:rsid w:val="00372A01"/>
    <w:rsid w:val="003733DF"/>
    <w:rsid w:val="003751C7"/>
    <w:rsid w:val="00375C84"/>
    <w:rsid w:val="00376524"/>
    <w:rsid w:val="00380424"/>
    <w:rsid w:val="003819F5"/>
    <w:rsid w:val="00381D47"/>
    <w:rsid w:val="003835F0"/>
    <w:rsid w:val="003853ED"/>
    <w:rsid w:val="0039082A"/>
    <w:rsid w:val="0039101F"/>
    <w:rsid w:val="00393EEE"/>
    <w:rsid w:val="00395D99"/>
    <w:rsid w:val="003968DF"/>
    <w:rsid w:val="003A3927"/>
    <w:rsid w:val="003A6E29"/>
    <w:rsid w:val="003B1844"/>
    <w:rsid w:val="003B211E"/>
    <w:rsid w:val="003B24EA"/>
    <w:rsid w:val="003B3FF1"/>
    <w:rsid w:val="003B4217"/>
    <w:rsid w:val="003B7F07"/>
    <w:rsid w:val="003C0F87"/>
    <w:rsid w:val="003C141E"/>
    <w:rsid w:val="003C1B83"/>
    <w:rsid w:val="003C21B3"/>
    <w:rsid w:val="003C3503"/>
    <w:rsid w:val="003C40DE"/>
    <w:rsid w:val="003C4851"/>
    <w:rsid w:val="003C4C96"/>
    <w:rsid w:val="003C55E0"/>
    <w:rsid w:val="003C5E39"/>
    <w:rsid w:val="003D0079"/>
    <w:rsid w:val="003D10EC"/>
    <w:rsid w:val="003D29B9"/>
    <w:rsid w:val="003D37B6"/>
    <w:rsid w:val="003D7709"/>
    <w:rsid w:val="003E0E25"/>
    <w:rsid w:val="003E1409"/>
    <w:rsid w:val="003E7912"/>
    <w:rsid w:val="003F5717"/>
    <w:rsid w:val="003F5A39"/>
    <w:rsid w:val="003F5B56"/>
    <w:rsid w:val="003F5B9F"/>
    <w:rsid w:val="003F6A6A"/>
    <w:rsid w:val="003F738D"/>
    <w:rsid w:val="00402E56"/>
    <w:rsid w:val="00403634"/>
    <w:rsid w:val="00404592"/>
    <w:rsid w:val="00404B58"/>
    <w:rsid w:val="0040544F"/>
    <w:rsid w:val="0040625C"/>
    <w:rsid w:val="00411B17"/>
    <w:rsid w:val="0041222D"/>
    <w:rsid w:val="00417083"/>
    <w:rsid w:val="0042057C"/>
    <w:rsid w:val="00421608"/>
    <w:rsid w:val="0042261E"/>
    <w:rsid w:val="00422749"/>
    <w:rsid w:val="004233DC"/>
    <w:rsid w:val="00432F78"/>
    <w:rsid w:val="004334A2"/>
    <w:rsid w:val="00434723"/>
    <w:rsid w:val="00437D17"/>
    <w:rsid w:val="00437D2F"/>
    <w:rsid w:val="0044046D"/>
    <w:rsid w:val="004410D3"/>
    <w:rsid w:val="00441DAF"/>
    <w:rsid w:val="00443A34"/>
    <w:rsid w:val="00443D38"/>
    <w:rsid w:val="00444140"/>
    <w:rsid w:val="00444F43"/>
    <w:rsid w:val="00450744"/>
    <w:rsid w:val="00450BE7"/>
    <w:rsid w:val="0045230E"/>
    <w:rsid w:val="004528FA"/>
    <w:rsid w:val="00452D67"/>
    <w:rsid w:val="00452E53"/>
    <w:rsid w:val="00455B00"/>
    <w:rsid w:val="00455B97"/>
    <w:rsid w:val="00456BFD"/>
    <w:rsid w:val="004607D0"/>
    <w:rsid w:val="00460CE3"/>
    <w:rsid w:val="004612A4"/>
    <w:rsid w:val="00464BF1"/>
    <w:rsid w:val="004676E4"/>
    <w:rsid w:val="00470C48"/>
    <w:rsid w:val="00471429"/>
    <w:rsid w:val="00473C0A"/>
    <w:rsid w:val="00474415"/>
    <w:rsid w:val="00476E3B"/>
    <w:rsid w:val="00477459"/>
    <w:rsid w:val="0048026E"/>
    <w:rsid w:val="004807A9"/>
    <w:rsid w:val="00481318"/>
    <w:rsid w:val="004813EE"/>
    <w:rsid w:val="00482CDC"/>
    <w:rsid w:val="00483B03"/>
    <w:rsid w:val="00485702"/>
    <w:rsid w:val="004867EC"/>
    <w:rsid w:val="00487662"/>
    <w:rsid w:val="004876C6"/>
    <w:rsid w:val="00487D7B"/>
    <w:rsid w:val="00490F7A"/>
    <w:rsid w:val="00490FD5"/>
    <w:rsid w:val="00491241"/>
    <w:rsid w:val="00491813"/>
    <w:rsid w:val="00493278"/>
    <w:rsid w:val="00497575"/>
    <w:rsid w:val="004A12C0"/>
    <w:rsid w:val="004A191A"/>
    <w:rsid w:val="004A1A70"/>
    <w:rsid w:val="004A419E"/>
    <w:rsid w:val="004A6B58"/>
    <w:rsid w:val="004B06C3"/>
    <w:rsid w:val="004B0B09"/>
    <w:rsid w:val="004B140F"/>
    <w:rsid w:val="004B53F1"/>
    <w:rsid w:val="004B5D6E"/>
    <w:rsid w:val="004B60BA"/>
    <w:rsid w:val="004C1619"/>
    <w:rsid w:val="004C1B59"/>
    <w:rsid w:val="004C4EA2"/>
    <w:rsid w:val="004C596B"/>
    <w:rsid w:val="004C60E7"/>
    <w:rsid w:val="004D020F"/>
    <w:rsid w:val="004D03D1"/>
    <w:rsid w:val="004D11AF"/>
    <w:rsid w:val="004D502C"/>
    <w:rsid w:val="004D60A3"/>
    <w:rsid w:val="004E016A"/>
    <w:rsid w:val="004E0461"/>
    <w:rsid w:val="004E29B1"/>
    <w:rsid w:val="004E461B"/>
    <w:rsid w:val="004E477D"/>
    <w:rsid w:val="004E5890"/>
    <w:rsid w:val="004E7B33"/>
    <w:rsid w:val="004F0D19"/>
    <w:rsid w:val="004F121B"/>
    <w:rsid w:val="004F2811"/>
    <w:rsid w:val="004F60F4"/>
    <w:rsid w:val="004F62E8"/>
    <w:rsid w:val="004F78F8"/>
    <w:rsid w:val="005001A5"/>
    <w:rsid w:val="005019AA"/>
    <w:rsid w:val="00503C3B"/>
    <w:rsid w:val="00503CE7"/>
    <w:rsid w:val="005042DB"/>
    <w:rsid w:val="0050458E"/>
    <w:rsid w:val="00510452"/>
    <w:rsid w:val="005108EC"/>
    <w:rsid w:val="005147DA"/>
    <w:rsid w:val="005153C3"/>
    <w:rsid w:val="00515745"/>
    <w:rsid w:val="00515862"/>
    <w:rsid w:val="00516942"/>
    <w:rsid w:val="00516DC0"/>
    <w:rsid w:val="005233F3"/>
    <w:rsid w:val="0052365C"/>
    <w:rsid w:val="005245D2"/>
    <w:rsid w:val="00524C98"/>
    <w:rsid w:val="00524C9C"/>
    <w:rsid w:val="00524EDD"/>
    <w:rsid w:val="00525B59"/>
    <w:rsid w:val="005269C4"/>
    <w:rsid w:val="00533DBF"/>
    <w:rsid w:val="00536442"/>
    <w:rsid w:val="005415DD"/>
    <w:rsid w:val="005423F3"/>
    <w:rsid w:val="005426DB"/>
    <w:rsid w:val="00550113"/>
    <w:rsid w:val="0055082B"/>
    <w:rsid w:val="00550F00"/>
    <w:rsid w:val="00551ED7"/>
    <w:rsid w:val="0055211C"/>
    <w:rsid w:val="0055263A"/>
    <w:rsid w:val="00552B57"/>
    <w:rsid w:val="00553E34"/>
    <w:rsid w:val="005551E9"/>
    <w:rsid w:val="00560C62"/>
    <w:rsid w:val="00562A61"/>
    <w:rsid w:val="005652D5"/>
    <w:rsid w:val="00574614"/>
    <w:rsid w:val="00574A70"/>
    <w:rsid w:val="00575C75"/>
    <w:rsid w:val="00577AC3"/>
    <w:rsid w:val="005815A8"/>
    <w:rsid w:val="00583431"/>
    <w:rsid w:val="005846C0"/>
    <w:rsid w:val="00584D04"/>
    <w:rsid w:val="0058567E"/>
    <w:rsid w:val="0058659E"/>
    <w:rsid w:val="005872DD"/>
    <w:rsid w:val="00587D3A"/>
    <w:rsid w:val="00590346"/>
    <w:rsid w:val="00590E93"/>
    <w:rsid w:val="005915E1"/>
    <w:rsid w:val="00591C75"/>
    <w:rsid w:val="00592D10"/>
    <w:rsid w:val="00593A5F"/>
    <w:rsid w:val="0059404E"/>
    <w:rsid w:val="00594269"/>
    <w:rsid w:val="00595539"/>
    <w:rsid w:val="005A3E82"/>
    <w:rsid w:val="005A4DB0"/>
    <w:rsid w:val="005A5597"/>
    <w:rsid w:val="005A6AC2"/>
    <w:rsid w:val="005A7A65"/>
    <w:rsid w:val="005A7B26"/>
    <w:rsid w:val="005A7B8E"/>
    <w:rsid w:val="005B012B"/>
    <w:rsid w:val="005B0C87"/>
    <w:rsid w:val="005B2195"/>
    <w:rsid w:val="005B2D65"/>
    <w:rsid w:val="005B3877"/>
    <w:rsid w:val="005B3CC1"/>
    <w:rsid w:val="005B45AB"/>
    <w:rsid w:val="005B4D8F"/>
    <w:rsid w:val="005B6551"/>
    <w:rsid w:val="005B71A8"/>
    <w:rsid w:val="005C20CE"/>
    <w:rsid w:val="005C3E9E"/>
    <w:rsid w:val="005C410C"/>
    <w:rsid w:val="005C4BF1"/>
    <w:rsid w:val="005C4BF2"/>
    <w:rsid w:val="005C5BED"/>
    <w:rsid w:val="005C5D86"/>
    <w:rsid w:val="005C6167"/>
    <w:rsid w:val="005C6EE2"/>
    <w:rsid w:val="005C7A07"/>
    <w:rsid w:val="005C7DDC"/>
    <w:rsid w:val="005D123A"/>
    <w:rsid w:val="005D2506"/>
    <w:rsid w:val="005D5B5E"/>
    <w:rsid w:val="005D5C85"/>
    <w:rsid w:val="005D72FC"/>
    <w:rsid w:val="005E035A"/>
    <w:rsid w:val="005E1218"/>
    <w:rsid w:val="005E1B6B"/>
    <w:rsid w:val="005E2281"/>
    <w:rsid w:val="005E38A8"/>
    <w:rsid w:val="005E39F9"/>
    <w:rsid w:val="005E55BB"/>
    <w:rsid w:val="005E5D11"/>
    <w:rsid w:val="005E667C"/>
    <w:rsid w:val="005E6A1D"/>
    <w:rsid w:val="005E6F12"/>
    <w:rsid w:val="005F077C"/>
    <w:rsid w:val="005F3CE8"/>
    <w:rsid w:val="005F4F41"/>
    <w:rsid w:val="005F68C3"/>
    <w:rsid w:val="005F6DFB"/>
    <w:rsid w:val="00601E94"/>
    <w:rsid w:val="006021B1"/>
    <w:rsid w:val="006037C5"/>
    <w:rsid w:val="006040CE"/>
    <w:rsid w:val="0060467D"/>
    <w:rsid w:val="00605B9D"/>
    <w:rsid w:val="00606B57"/>
    <w:rsid w:val="00606B85"/>
    <w:rsid w:val="00607390"/>
    <w:rsid w:val="006076D8"/>
    <w:rsid w:val="00607E6D"/>
    <w:rsid w:val="00612871"/>
    <w:rsid w:val="00612A8E"/>
    <w:rsid w:val="006135DA"/>
    <w:rsid w:val="006155E2"/>
    <w:rsid w:val="00615F26"/>
    <w:rsid w:val="00620579"/>
    <w:rsid w:val="0062258F"/>
    <w:rsid w:val="00623BC7"/>
    <w:rsid w:val="006241D0"/>
    <w:rsid w:val="00625434"/>
    <w:rsid w:val="00626032"/>
    <w:rsid w:val="00627643"/>
    <w:rsid w:val="00627788"/>
    <w:rsid w:val="006300CD"/>
    <w:rsid w:val="0063017E"/>
    <w:rsid w:val="00631D4F"/>
    <w:rsid w:val="00633496"/>
    <w:rsid w:val="006338D2"/>
    <w:rsid w:val="00635FD8"/>
    <w:rsid w:val="00636F7B"/>
    <w:rsid w:val="0064019C"/>
    <w:rsid w:val="00640288"/>
    <w:rsid w:val="006405AC"/>
    <w:rsid w:val="006413D8"/>
    <w:rsid w:val="00641C55"/>
    <w:rsid w:val="00642405"/>
    <w:rsid w:val="00642645"/>
    <w:rsid w:val="00644BED"/>
    <w:rsid w:val="00652092"/>
    <w:rsid w:val="00652472"/>
    <w:rsid w:val="00653B38"/>
    <w:rsid w:val="00656385"/>
    <w:rsid w:val="00660DBE"/>
    <w:rsid w:val="0066127D"/>
    <w:rsid w:val="0066351C"/>
    <w:rsid w:val="00664693"/>
    <w:rsid w:val="00664DC0"/>
    <w:rsid w:val="006651CC"/>
    <w:rsid w:val="00665CA1"/>
    <w:rsid w:val="00667A31"/>
    <w:rsid w:val="00670702"/>
    <w:rsid w:val="0067147C"/>
    <w:rsid w:val="00672A8A"/>
    <w:rsid w:val="00673F50"/>
    <w:rsid w:val="006759B0"/>
    <w:rsid w:val="00677012"/>
    <w:rsid w:val="00680D0E"/>
    <w:rsid w:val="006825B4"/>
    <w:rsid w:val="006829BA"/>
    <w:rsid w:val="00682AF2"/>
    <w:rsid w:val="006837DE"/>
    <w:rsid w:val="0068537F"/>
    <w:rsid w:val="00687628"/>
    <w:rsid w:val="00687CFE"/>
    <w:rsid w:val="00690EB8"/>
    <w:rsid w:val="006915E5"/>
    <w:rsid w:val="00692401"/>
    <w:rsid w:val="0069758B"/>
    <w:rsid w:val="006A0B6C"/>
    <w:rsid w:val="006A16E1"/>
    <w:rsid w:val="006A3C8A"/>
    <w:rsid w:val="006A3E61"/>
    <w:rsid w:val="006A6737"/>
    <w:rsid w:val="006B26B1"/>
    <w:rsid w:val="006B2E45"/>
    <w:rsid w:val="006B545C"/>
    <w:rsid w:val="006B5D32"/>
    <w:rsid w:val="006B758B"/>
    <w:rsid w:val="006B7BF8"/>
    <w:rsid w:val="006C25D5"/>
    <w:rsid w:val="006C262B"/>
    <w:rsid w:val="006C3A2D"/>
    <w:rsid w:val="006C4666"/>
    <w:rsid w:val="006C49BF"/>
    <w:rsid w:val="006C63D7"/>
    <w:rsid w:val="006C7535"/>
    <w:rsid w:val="006D2F09"/>
    <w:rsid w:val="006D3DC0"/>
    <w:rsid w:val="006D5E84"/>
    <w:rsid w:val="006D7C99"/>
    <w:rsid w:val="006E0443"/>
    <w:rsid w:val="006E0DCF"/>
    <w:rsid w:val="006E1647"/>
    <w:rsid w:val="006E310A"/>
    <w:rsid w:val="006E3C3E"/>
    <w:rsid w:val="006E429F"/>
    <w:rsid w:val="006E6F30"/>
    <w:rsid w:val="006E7082"/>
    <w:rsid w:val="006F030F"/>
    <w:rsid w:val="006F193C"/>
    <w:rsid w:val="006F1B58"/>
    <w:rsid w:val="006F2B89"/>
    <w:rsid w:val="006F3B81"/>
    <w:rsid w:val="006F4D59"/>
    <w:rsid w:val="006F4F79"/>
    <w:rsid w:val="006F4F80"/>
    <w:rsid w:val="006F5532"/>
    <w:rsid w:val="006F62CC"/>
    <w:rsid w:val="006F66C1"/>
    <w:rsid w:val="006F681D"/>
    <w:rsid w:val="0070235F"/>
    <w:rsid w:val="00702BC3"/>
    <w:rsid w:val="00703496"/>
    <w:rsid w:val="007036FE"/>
    <w:rsid w:val="00705B37"/>
    <w:rsid w:val="0070658A"/>
    <w:rsid w:val="00706B65"/>
    <w:rsid w:val="00707C1A"/>
    <w:rsid w:val="0071023D"/>
    <w:rsid w:val="00710530"/>
    <w:rsid w:val="00712912"/>
    <w:rsid w:val="007168A0"/>
    <w:rsid w:val="00716C95"/>
    <w:rsid w:val="00717762"/>
    <w:rsid w:val="00721A63"/>
    <w:rsid w:val="00721FF9"/>
    <w:rsid w:val="00725735"/>
    <w:rsid w:val="00736395"/>
    <w:rsid w:val="00736459"/>
    <w:rsid w:val="00737821"/>
    <w:rsid w:val="00741175"/>
    <w:rsid w:val="007419FB"/>
    <w:rsid w:val="00742606"/>
    <w:rsid w:val="007441FF"/>
    <w:rsid w:val="00744EE8"/>
    <w:rsid w:val="007467E4"/>
    <w:rsid w:val="00747569"/>
    <w:rsid w:val="00750238"/>
    <w:rsid w:val="0075023C"/>
    <w:rsid w:val="007523E7"/>
    <w:rsid w:val="00754252"/>
    <w:rsid w:val="007577B1"/>
    <w:rsid w:val="00757D87"/>
    <w:rsid w:val="00760EED"/>
    <w:rsid w:val="0076109F"/>
    <w:rsid w:val="007619CE"/>
    <w:rsid w:val="00761F4F"/>
    <w:rsid w:val="007620DC"/>
    <w:rsid w:val="00762102"/>
    <w:rsid w:val="0076255D"/>
    <w:rsid w:val="007625F6"/>
    <w:rsid w:val="00762B8B"/>
    <w:rsid w:val="00764AF9"/>
    <w:rsid w:val="00765D18"/>
    <w:rsid w:val="00770C54"/>
    <w:rsid w:val="00772613"/>
    <w:rsid w:val="00772B41"/>
    <w:rsid w:val="00777D6B"/>
    <w:rsid w:val="0078265B"/>
    <w:rsid w:val="00782E10"/>
    <w:rsid w:val="00786448"/>
    <w:rsid w:val="0079134E"/>
    <w:rsid w:val="0079278E"/>
    <w:rsid w:val="00792E3C"/>
    <w:rsid w:val="007930C1"/>
    <w:rsid w:val="007960E3"/>
    <w:rsid w:val="00796F7C"/>
    <w:rsid w:val="00797131"/>
    <w:rsid w:val="007A343D"/>
    <w:rsid w:val="007A5ACE"/>
    <w:rsid w:val="007A5C5C"/>
    <w:rsid w:val="007A6528"/>
    <w:rsid w:val="007A7B48"/>
    <w:rsid w:val="007B18C6"/>
    <w:rsid w:val="007B20C2"/>
    <w:rsid w:val="007B27E4"/>
    <w:rsid w:val="007B35F6"/>
    <w:rsid w:val="007B3F87"/>
    <w:rsid w:val="007B404F"/>
    <w:rsid w:val="007B7B52"/>
    <w:rsid w:val="007C2F60"/>
    <w:rsid w:val="007C5613"/>
    <w:rsid w:val="007C6BC6"/>
    <w:rsid w:val="007C73B2"/>
    <w:rsid w:val="007D0435"/>
    <w:rsid w:val="007D400A"/>
    <w:rsid w:val="007D4B0E"/>
    <w:rsid w:val="007D4DD2"/>
    <w:rsid w:val="007E2419"/>
    <w:rsid w:val="007E3FF5"/>
    <w:rsid w:val="007E4219"/>
    <w:rsid w:val="007E577E"/>
    <w:rsid w:val="007E635E"/>
    <w:rsid w:val="007E6C0C"/>
    <w:rsid w:val="007F038C"/>
    <w:rsid w:val="007F0F24"/>
    <w:rsid w:val="007F222B"/>
    <w:rsid w:val="007F3092"/>
    <w:rsid w:val="007F39B8"/>
    <w:rsid w:val="007F4A6F"/>
    <w:rsid w:val="007F4FBC"/>
    <w:rsid w:val="007F5975"/>
    <w:rsid w:val="007F7DF2"/>
    <w:rsid w:val="00800A35"/>
    <w:rsid w:val="00801A0E"/>
    <w:rsid w:val="00804E4C"/>
    <w:rsid w:val="0080662C"/>
    <w:rsid w:val="008070B2"/>
    <w:rsid w:val="00807D79"/>
    <w:rsid w:val="00810102"/>
    <w:rsid w:val="008117C4"/>
    <w:rsid w:val="008149D8"/>
    <w:rsid w:val="00817CFC"/>
    <w:rsid w:val="00821D81"/>
    <w:rsid w:val="00823654"/>
    <w:rsid w:val="00823A90"/>
    <w:rsid w:val="0082757E"/>
    <w:rsid w:val="00827D77"/>
    <w:rsid w:val="00830561"/>
    <w:rsid w:val="00831115"/>
    <w:rsid w:val="00832D42"/>
    <w:rsid w:val="00833419"/>
    <w:rsid w:val="008342A5"/>
    <w:rsid w:val="00834BE2"/>
    <w:rsid w:val="00834EA4"/>
    <w:rsid w:val="00835DCB"/>
    <w:rsid w:val="0084139B"/>
    <w:rsid w:val="0084143B"/>
    <w:rsid w:val="00842547"/>
    <w:rsid w:val="008427D3"/>
    <w:rsid w:val="0084324C"/>
    <w:rsid w:val="008451F8"/>
    <w:rsid w:val="008457D2"/>
    <w:rsid w:val="00846212"/>
    <w:rsid w:val="008468E0"/>
    <w:rsid w:val="00847BE7"/>
    <w:rsid w:val="00850EAB"/>
    <w:rsid w:val="008529B3"/>
    <w:rsid w:val="00852ADD"/>
    <w:rsid w:val="00853883"/>
    <w:rsid w:val="00854DA7"/>
    <w:rsid w:val="008616A2"/>
    <w:rsid w:val="00861C6C"/>
    <w:rsid w:val="00873736"/>
    <w:rsid w:val="0087378E"/>
    <w:rsid w:val="008755E7"/>
    <w:rsid w:val="00877D03"/>
    <w:rsid w:val="00877E96"/>
    <w:rsid w:val="008803CE"/>
    <w:rsid w:val="00882077"/>
    <w:rsid w:val="00883613"/>
    <w:rsid w:val="00886393"/>
    <w:rsid w:val="00886579"/>
    <w:rsid w:val="00886F19"/>
    <w:rsid w:val="00887865"/>
    <w:rsid w:val="00887B37"/>
    <w:rsid w:val="00890598"/>
    <w:rsid w:val="0089065A"/>
    <w:rsid w:val="00891D7A"/>
    <w:rsid w:val="00891DFC"/>
    <w:rsid w:val="00892B98"/>
    <w:rsid w:val="008959FC"/>
    <w:rsid w:val="008A1D0E"/>
    <w:rsid w:val="008A31C7"/>
    <w:rsid w:val="008A4AEC"/>
    <w:rsid w:val="008A5609"/>
    <w:rsid w:val="008A6DF0"/>
    <w:rsid w:val="008A6FA0"/>
    <w:rsid w:val="008B2B19"/>
    <w:rsid w:val="008B2F40"/>
    <w:rsid w:val="008B3627"/>
    <w:rsid w:val="008B5E61"/>
    <w:rsid w:val="008B7914"/>
    <w:rsid w:val="008C127A"/>
    <w:rsid w:val="008C2C7F"/>
    <w:rsid w:val="008C2F0D"/>
    <w:rsid w:val="008C5D2A"/>
    <w:rsid w:val="008C74FB"/>
    <w:rsid w:val="008C7AF4"/>
    <w:rsid w:val="008C7DA4"/>
    <w:rsid w:val="008D0210"/>
    <w:rsid w:val="008D0851"/>
    <w:rsid w:val="008D0DEF"/>
    <w:rsid w:val="008D1074"/>
    <w:rsid w:val="008D1079"/>
    <w:rsid w:val="008D280F"/>
    <w:rsid w:val="008D318B"/>
    <w:rsid w:val="008D3994"/>
    <w:rsid w:val="008D3C3D"/>
    <w:rsid w:val="008D478E"/>
    <w:rsid w:val="008D534E"/>
    <w:rsid w:val="008D6E81"/>
    <w:rsid w:val="008D7739"/>
    <w:rsid w:val="008E1267"/>
    <w:rsid w:val="008E22F8"/>
    <w:rsid w:val="008E39D8"/>
    <w:rsid w:val="008E606F"/>
    <w:rsid w:val="008E6AD9"/>
    <w:rsid w:val="008F022A"/>
    <w:rsid w:val="008F27E3"/>
    <w:rsid w:val="008F3485"/>
    <w:rsid w:val="008F3AC3"/>
    <w:rsid w:val="008F51FF"/>
    <w:rsid w:val="008F5DEF"/>
    <w:rsid w:val="009026CB"/>
    <w:rsid w:val="00904038"/>
    <w:rsid w:val="009041AF"/>
    <w:rsid w:val="009049AB"/>
    <w:rsid w:val="009050B7"/>
    <w:rsid w:val="00905130"/>
    <w:rsid w:val="009061B8"/>
    <w:rsid w:val="009130CC"/>
    <w:rsid w:val="00914683"/>
    <w:rsid w:val="00914861"/>
    <w:rsid w:val="009148D8"/>
    <w:rsid w:val="00915CD5"/>
    <w:rsid w:val="00916093"/>
    <w:rsid w:val="009160E3"/>
    <w:rsid w:val="0091639C"/>
    <w:rsid w:val="009255FA"/>
    <w:rsid w:val="009262E4"/>
    <w:rsid w:val="00927D4E"/>
    <w:rsid w:val="00930D2A"/>
    <w:rsid w:val="00931B84"/>
    <w:rsid w:val="00932E7E"/>
    <w:rsid w:val="0093442D"/>
    <w:rsid w:val="00934CD2"/>
    <w:rsid w:val="009375E5"/>
    <w:rsid w:val="00941848"/>
    <w:rsid w:val="009437F2"/>
    <w:rsid w:val="009442E8"/>
    <w:rsid w:val="0094759C"/>
    <w:rsid w:val="00951666"/>
    <w:rsid w:val="00952524"/>
    <w:rsid w:val="0095278F"/>
    <w:rsid w:val="0095426C"/>
    <w:rsid w:val="00956BF5"/>
    <w:rsid w:val="009571C2"/>
    <w:rsid w:val="0095770C"/>
    <w:rsid w:val="00957CC8"/>
    <w:rsid w:val="00957EE7"/>
    <w:rsid w:val="00961453"/>
    <w:rsid w:val="009616D4"/>
    <w:rsid w:val="00964166"/>
    <w:rsid w:val="0096475C"/>
    <w:rsid w:val="0096546E"/>
    <w:rsid w:val="0096562A"/>
    <w:rsid w:val="00965865"/>
    <w:rsid w:val="00967730"/>
    <w:rsid w:val="00970D56"/>
    <w:rsid w:val="00970E50"/>
    <w:rsid w:val="00971074"/>
    <w:rsid w:val="009747AA"/>
    <w:rsid w:val="00974BCB"/>
    <w:rsid w:val="009763E4"/>
    <w:rsid w:val="00980A22"/>
    <w:rsid w:val="00983599"/>
    <w:rsid w:val="00985B04"/>
    <w:rsid w:val="00986BEF"/>
    <w:rsid w:val="00992499"/>
    <w:rsid w:val="00992986"/>
    <w:rsid w:val="00994B55"/>
    <w:rsid w:val="00995D86"/>
    <w:rsid w:val="009A1F6B"/>
    <w:rsid w:val="009A2C4C"/>
    <w:rsid w:val="009A2DD8"/>
    <w:rsid w:val="009A30DE"/>
    <w:rsid w:val="009A3D29"/>
    <w:rsid w:val="009A5453"/>
    <w:rsid w:val="009A7883"/>
    <w:rsid w:val="009B2760"/>
    <w:rsid w:val="009B308D"/>
    <w:rsid w:val="009B3B62"/>
    <w:rsid w:val="009B4FFB"/>
    <w:rsid w:val="009B7489"/>
    <w:rsid w:val="009B7B0A"/>
    <w:rsid w:val="009C07C9"/>
    <w:rsid w:val="009C08D7"/>
    <w:rsid w:val="009C4E0D"/>
    <w:rsid w:val="009C4F1B"/>
    <w:rsid w:val="009C503B"/>
    <w:rsid w:val="009D3AD2"/>
    <w:rsid w:val="009D3E06"/>
    <w:rsid w:val="009D638D"/>
    <w:rsid w:val="009E1CC8"/>
    <w:rsid w:val="009E30D2"/>
    <w:rsid w:val="009E4885"/>
    <w:rsid w:val="009E508B"/>
    <w:rsid w:val="009F0A85"/>
    <w:rsid w:val="009F1B71"/>
    <w:rsid w:val="009F220A"/>
    <w:rsid w:val="009F36D6"/>
    <w:rsid w:val="00A02FA8"/>
    <w:rsid w:val="00A03F74"/>
    <w:rsid w:val="00A05C04"/>
    <w:rsid w:val="00A06254"/>
    <w:rsid w:val="00A07DB6"/>
    <w:rsid w:val="00A11406"/>
    <w:rsid w:val="00A132A1"/>
    <w:rsid w:val="00A1554D"/>
    <w:rsid w:val="00A158E3"/>
    <w:rsid w:val="00A172E0"/>
    <w:rsid w:val="00A221A3"/>
    <w:rsid w:val="00A223D5"/>
    <w:rsid w:val="00A23F41"/>
    <w:rsid w:val="00A25547"/>
    <w:rsid w:val="00A31E14"/>
    <w:rsid w:val="00A37B0C"/>
    <w:rsid w:val="00A37D1C"/>
    <w:rsid w:val="00A37FFE"/>
    <w:rsid w:val="00A41FEF"/>
    <w:rsid w:val="00A42476"/>
    <w:rsid w:val="00A433CA"/>
    <w:rsid w:val="00A43F3C"/>
    <w:rsid w:val="00A468FD"/>
    <w:rsid w:val="00A46921"/>
    <w:rsid w:val="00A47249"/>
    <w:rsid w:val="00A501C7"/>
    <w:rsid w:val="00A513FD"/>
    <w:rsid w:val="00A52BC1"/>
    <w:rsid w:val="00A534A0"/>
    <w:rsid w:val="00A539AD"/>
    <w:rsid w:val="00A540B2"/>
    <w:rsid w:val="00A56819"/>
    <w:rsid w:val="00A60E9C"/>
    <w:rsid w:val="00A61879"/>
    <w:rsid w:val="00A6444F"/>
    <w:rsid w:val="00A652FF"/>
    <w:rsid w:val="00A65A0D"/>
    <w:rsid w:val="00A65C27"/>
    <w:rsid w:val="00A65F3C"/>
    <w:rsid w:val="00A714A3"/>
    <w:rsid w:val="00A71B8B"/>
    <w:rsid w:val="00A75089"/>
    <w:rsid w:val="00A75EDC"/>
    <w:rsid w:val="00A80404"/>
    <w:rsid w:val="00A817A8"/>
    <w:rsid w:val="00A81E50"/>
    <w:rsid w:val="00A82DA0"/>
    <w:rsid w:val="00A83E49"/>
    <w:rsid w:val="00A8415A"/>
    <w:rsid w:val="00A841A6"/>
    <w:rsid w:val="00A84221"/>
    <w:rsid w:val="00A84B7A"/>
    <w:rsid w:val="00A86FBC"/>
    <w:rsid w:val="00A902AD"/>
    <w:rsid w:val="00A9099E"/>
    <w:rsid w:val="00A91FB7"/>
    <w:rsid w:val="00A9298F"/>
    <w:rsid w:val="00A9301E"/>
    <w:rsid w:val="00A95186"/>
    <w:rsid w:val="00AA1224"/>
    <w:rsid w:val="00AA14F2"/>
    <w:rsid w:val="00AA180B"/>
    <w:rsid w:val="00AA1D43"/>
    <w:rsid w:val="00AA3301"/>
    <w:rsid w:val="00AA3360"/>
    <w:rsid w:val="00AA6B93"/>
    <w:rsid w:val="00AA7A06"/>
    <w:rsid w:val="00AB1984"/>
    <w:rsid w:val="00AB1CBB"/>
    <w:rsid w:val="00AB215B"/>
    <w:rsid w:val="00AB333E"/>
    <w:rsid w:val="00AB37DB"/>
    <w:rsid w:val="00AB5F48"/>
    <w:rsid w:val="00AB716D"/>
    <w:rsid w:val="00AB72BB"/>
    <w:rsid w:val="00AB7BF3"/>
    <w:rsid w:val="00AC1AA3"/>
    <w:rsid w:val="00AC1F8E"/>
    <w:rsid w:val="00AC4CB3"/>
    <w:rsid w:val="00AC4D7C"/>
    <w:rsid w:val="00AC6EF2"/>
    <w:rsid w:val="00AC71A6"/>
    <w:rsid w:val="00AC742F"/>
    <w:rsid w:val="00AC774F"/>
    <w:rsid w:val="00AC780D"/>
    <w:rsid w:val="00AC787B"/>
    <w:rsid w:val="00AC7956"/>
    <w:rsid w:val="00AC7E18"/>
    <w:rsid w:val="00AD1B79"/>
    <w:rsid w:val="00AD50F8"/>
    <w:rsid w:val="00AE3E11"/>
    <w:rsid w:val="00AE4BDC"/>
    <w:rsid w:val="00AE55AD"/>
    <w:rsid w:val="00AE78ED"/>
    <w:rsid w:val="00AF1117"/>
    <w:rsid w:val="00AF1555"/>
    <w:rsid w:val="00AF18BA"/>
    <w:rsid w:val="00AF228C"/>
    <w:rsid w:val="00AF2DB9"/>
    <w:rsid w:val="00AF3B55"/>
    <w:rsid w:val="00AF3D62"/>
    <w:rsid w:val="00AF6AC5"/>
    <w:rsid w:val="00AF7809"/>
    <w:rsid w:val="00AF7F7B"/>
    <w:rsid w:val="00B0104B"/>
    <w:rsid w:val="00B021E0"/>
    <w:rsid w:val="00B03A35"/>
    <w:rsid w:val="00B04F99"/>
    <w:rsid w:val="00B057B6"/>
    <w:rsid w:val="00B07BEA"/>
    <w:rsid w:val="00B07F41"/>
    <w:rsid w:val="00B11C80"/>
    <w:rsid w:val="00B12DCA"/>
    <w:rsid w:val="00B13ECB"/>
    <w:rsid w:val="00B1524F"/>
    <w:rsid w:val="00B215D5"/>
    <w:rsid w:val="00B22870"/>
    <w:rsid w:val="00B22A22"/>
    <w:rsid w:val="00B23F4C"/>
    <w:rsid w:val="00B24BA7"/>
    <w:rsid w:val="00B268D0"/>
    <w:rsid w:val="00B269D3"/>
    <w:rsid w:val="00B30448"/>
    <w:rsid w:val="00B30D75"/>
    <w:rsid w:val="00B31315"/>
    <w:rsid w:val="00B34D6A"/>
    <w:rsid w:val="00B35749"/>
    <w:rsid w:val="00B35EF5"/>
    <w:rsid w:val="00B3704D"/>
    <w:rsid w:val="00B40162"/>
    <w:rsid w:val="00B40FDB"/>
    <w:rsid w:val="00B430F6"/>
    <w:rsid w:val="00B45528"/>
    <w:rsid w:val="00B478FA"/>
    <w:rsid w:val="00B50156"/>
    <w:rsid w:val="00B509AE"/>
    <w:rsid w:val="00B50E13"/>
    <w:rsid w:val="00B51581"/>
    <w:rsid w:val="00B518AD"/>
    <w:rsid w:val="00B52D81"/>
    <w:rsid w:val="00B56866"/>
    <w:rsid w:val="00B604BB"/>
    <w:rsid w:val="00B60A96"/>
    <w:rsid w:val="00B60DD7"/>
    <w:rsid w:val="00B60EB6"/>
    <w:rsid w:val="00B6386F"/>
    <w:rsid w:val="00B67346"/>
    <w:rsid w:val="00B6793A"/>
    <w:rsid w:val="00B71607"/>
    <w:rsid w:val="00B72361"/>
    <w:rsid w:val="00B75345"/>
    <w:rsid w:val="00B76327"/>
    <w:rsid w:val="00B76400"/>
    <w:rsid w:val="00B76C94"/>
    <w:rsid w:val="00B76D4E"/>
    <w:rsid w:val="00B771AA"/>
    <w:rsid w:val="00B772D0"/>
    <w:rsid w:val="00B83117"/>
    <w:rsid w:val="00B8319C"/>
    <w:rsid w:val="00B906F2"/>
    <w:rsid w:val="00B90D9B"/>
    <w:rsid w:val="00B91B81"/>
    <w:rsid w:val="00B91FF0"/>
    <w:rsid w:val="00B92FFF"/>
    <w:rsid w:val="00B96799"/>
    <w:rsid w:val="00B96DE5"/>
    <w:rsid w:val="00B97A76"/>
    <w:rsid w:val="00BA0166"/>
    <w:rsid w:val="00BA0584"/>
    <w:rsid w:val="00BA249D"/>
    <w:rsid w:val="00BA4D00"/>
    <w:rsid w:val="00BA5665"/>
    <w:rsid w:val="00BB0AB5"/>
    <w:rsid w:val="00BB33E9"/>
    <w:rsid w:val="00BB3BE4"/>
    <w:rsid w:val="00BB57D3"/>
    <w:rsid w:val="00BB58EE"/>
    <w:rsid w:val="00BB7589"/>
    <w:rsid w:val="00BC077E"/>
    <w:rsid w:val="00BC7632"/>
    <w:rsid w:val="00BC7C9E"/>
    <w:rsid w:val="00BD1E79"/>
    <w:rsid w:val="00BD23A5"/>
    <w:rsid w:val="00BD2937"/>
    <w:rsid w:val="00BD2AFC"/>
    <w:rsid w:val="00BD48A9"/>
    <w:rsid w:val="00BD5712"/>
    <w:rsid w:val="00BD658C"/>
    <w:rsid w:val="00BD7EC6"/>
    <w:rsid w:val="00BE0FF2"/>
    <w:rsid w:val="00BE1345"/>
    <w:rsid w:val="00BE2147"/>
    <w:rsid w:val="00BE3C67"/>
    <w:rsid w:val="00BE73FA"/>
    <w:rsid w:val="00BF0353"/>
    <w:rsid w:val="00BF2001"/>
    <w:rsid w:val="00BF2575"/>
    <w:rsid w:val="00BF2987"/>
    <w:rsid w:val="00BF3F0A"/>
    <w:rsid w:val="00BF4E35"/>
    <w:rsid w:val="00C0083F"/>
    <w:rsid w:val="00C00976"/>
    <w:rsid w:val="00C04E51"/>
    <w:rsid w:val="00C060B0"/>
    <w:rsid w:val="00C072F0"/>
    <w:rsid w:val="00C07344"/>
    <w:rsid w:val="00C07C1F"/>
    <w:rsid w:val="00C11A79"/>
    <w:rsid w:val="00C13607"/>
    <w:rsid w:val="00C137B1"/>
    <w:rsid w:val="00C13B43"/>
    <w:rsid w:val="00C15E81"/>
    <w:rsid w:val="00C174C9"/>
    <w:rsid w:val="00C17B6E"/>
    <w:rsid w:val="00C20754"/>
    <w:rsid w:val="00C22307"/>
    <w:rsid w:val="00C23150"/>
    <w:rsid w:val="00C24908"/>
    <w:rsid w:val="00C2515F"/>
    <w:rsid w:val="00C26AEA"/>
    <w:rsid w:val="00C276EC"/>
    <w:rsid w:val="00C31AD4"/>
    <w:rsid w:val="00C31C63"/>
    <w:rsid w:val="00C32481"/>
    <w:rsid w:val="00C3394C"/>
    <w:rsid w:val="00C3516D"/>
    <w:rsid w:val="00C361A6"/>
    <w:rsid w:val="00C3670F"/>
    <w:rsid w:val="00C36E1A"/>
    <w:rsid w:val="00C371DF"/>
    <w:rsid w:val="00C37818"/>
    <w:rsid w:val="00C37EFC"/>
    <w:rsid w:val="00C37FF9"/>
    <w:rsid w:val="00C40126"/>
    <w:rsid w:val="00C41425"/>
    <w:rsid w:val="00C41B4A"/>
    <w:rsid w:val="00C42C11"/>
    <w:rsid w:val="00C43ADB"/>
    <w:rsid w:val="00C44B4C"/>
    <w:rsid w:val="00C45CCD"/>
    <w:rsid w:val="00C46734"/>
    <w:rsid w:val="00C5105D"/>
    <w:rsid w:val="00C511F0"/>
    <w:rsid w:val="00C51639"/>
    <w:rsid w:val="00C53220"/>
    <w:rsid w:val="00C533A0"/>
    <w:rsid w:val="00C53E9D"/>
    <w:rsid w:val="00C573DA"/>
    <w:rsid w:val="00C5781B"/>
    <w:rsid w:val="00C621A7"/>
    <w:rsid w:val="00C62BF2"/>
    <w:rsid w:val="00C62D1B"/>
    <w:rsid w:val="00C638A6"/>
    <w:rsid w:val="00C64266"/>
    <w:rsid w:val="00C647DF"/>
    <w:rsid w:val="00C66CE8"/>
    <w:rsid w:val="00C70DF4"/>
    <w:rsid w:val="00C71252"/>
    <w:rsid w:val="00C7277F"/>
    <w:rsid w:val="00C74930"/>
    <w:rsid w:val="00C74B47"/>
    <w:rsid w:val="00C754BD"/>
    <w:rsid w:val="00C769A9"/>
    <w:rsid w:val="00C80987"/>
    <w:rsid w:val="00C82933"/>
    <w:rsid w:val="00C82BE2"/>
    <w:rsid w:val="00C85DEF"/>
    <w:rsid w:val="00C91106"/>
    <w:rsid w:val="00C91D19"/>
    <w:rsid w:val="00C94A14"/>
    <w:rsid w:val="00CA007B"/>
    <w:rsid w:val="00CA0AA4"/>
    <w:rsid w:val="00CA1D4C"/>
    <w:rsid w:val="00CA3347"/>
    <w:rsid w:val="00CA6FDA"/>
    <w:rsid w:val="00CA77CF"/>
    <w:rsid w:val="00CA7B58"/>
    <w:rsid w:val="00CB08EA"/>
    <w:rsid w:val="00CB2518"/>
    <w:rsid w:val="00CB3920"/>
    <w:rsid w:val="00CB6413"/>
    <w:rsid w:val="00CB696F"/>
    <w:rsid w:val="00CC0F1C"/>
    <w:rsid w:val="00CC299A"/>
    <w:rsid w:val="00CC4F99"/>
    <w:rsid w:val="00CC6369"/>
    <w:rsid w:val="00CC73F3"/>
    <w:rsid w:val="00CD1B5A"/>
    <w:rsid w:val="00CD1E9C"/>
    <w:rsid w:val="00CD2E70"/>
    <w:rsid w:val="00CD3D06"/>
    <w:rsid w:val="00CD4A09"/>
    <w:rsid w:val="00CD4C7B"/>
    <w:rsid w:val="00CD5397"/>
    <w:rsid w:val="00CD5E93"/>
    <w:rsid w:val="00CE37A3"/>
    <w:rsid w:val="00CE6855"/>
    <w:rsid w:val="00CE6B6F"/>
    <w:rsid w:val="00CE7033"/>
    <w:rsid w:val="00CE770A"/>
    <w:rsid w:val="00CF02A6"/>
    <w:rsid w:val="00CF06CF"/>
    <w:rsid w:val="00CF2DC1"/>
    <w:rsid w:val="00CF2EE2"/>
    <w:rsid w:val="00CF3948"/>
    <w:rsid w:val="00CF3ACF"/>
    <w:rsid w:val="00CF441D"/>
    <w:rsid w:val="00CF4FCF"/>
    <w:rsid w:val="00CF4FDC"/>
    <w:rsid w:val="00CF56AF"/>
    <w:rsid w:val="00CF5BE0"/>
    <w:rsid w:val="00CF61CB"/>
    <w:rsid w:val="00D00DBF"/>
    <w:rsid w:val="00D01F5D"/>
    <w:rsid w:val="00D03DBE"/>
    <w:rsid w:val="00D03EED"/>
    <w:rsid w:val="00D0597D"/>
    <w:rsid w:val="00D11949"/>
    <w:rsid w:val="00D11A69"/>
    <w:rsid w:val="00D1484F"/>
    <w:rsid w:val="00D1707A"/>
    <w:rsid w:val="00D21435"/>
    <w:rsid w:val="00D2242C"/>
    <w:rsid w:val="00D224FA"/>
    <w:rsid w:val="00D25660"/>
    <w:rsid w:val="00D258EB"/>
    <w:rsid w:val="00D271CD"/>
    <w:rsid w:val="00D315CC"/>
    <w:rsid w:val="00D327A3"/>
    <w:rsid w:val="00D34C82"/>
    <w:rsid w:val="00D36550"/>
    <w:rsid w:val="00D379EC"/>
    <w:rsid w:val="00D41E42"/>
    <w:rsid w:val="00D41F6B"/>
    <w:rsid w:val="00D4348D"/>
    <w:rsid w:val="00D44E42"/>
    <w:rsid w:val="00D44FC3"/>
    <w:rsid w:val="00D50961"/>
    <w:rsid w:val="00D50A02"/>
    <w:rsid w:val="00D512A1"/>
    <w:rsid w:val="00D52AB4"/>
    <w:rsid w:val="00D538D5"/>
    <w:rsid w:val="00D54640"/>
    <w:rsid w:val="00D559B5"/>
    <w:rsid w:val="00D56420"/>
    <w:rsid w:val="00D56C0C"/>
    <w:rsid w:val="00D5798B"/>
    <w:rsid w:val="00D60736"/>
    <w:rsid w:val="00D6307D"/>
    <w:rsid w:val="00D63632"/>
    <w:rsid w:val="00D65893"/>
    <w:rsid w:val="00D658EC"/>
    <w:rsid w:val="00D6742A"/>
    <w:rsid w:val="00D67B9B"/>
    <w:rsid w:val="00D71733"/>
    <w:rsid w:val="00D718AC"/>
    <w:rsid w:val="00D7302F"/>
    <w:rsid w:val="00D74D14"/>
    <w:rsid w:val="00D75E82"/>
    <w:rsid w:val="00D769C5"/>
    <w:rsid w:val="00D76E76"/>
    <w:rsid w:val="00D80631"/>
    <w:rsid w:val="00D818EC"/>
    <w:rsid w:val="00D81A20"/>
    <w:rsid w:val="00D81F55"/>
    <w:rsid w:val="00D8321A"/>
    <w:rsid w:val="00D86D55"/>
    <w:rsid w:val="00D8789C"/>
    <w:rsid w:val="00D90558"/>
    <w:rsid w:val="00D914EB"/>
    <w:rsid w:val="00D94085"/>
    <w:rsid w:val="00D96D4F"/>
    <w:rsid w:val="00DA1806"/>
    <w:rsid w:val="00DA212B"/>
    <w:rsid w:val="00DA3A76"/>
    <w:rsid w:val="00DA73C1"/>
    <w:rsid w:val="00DA770D"/>
    <w:rsid w:val="00DB00EE"/>
    <w:rsid w:val="00DB3687"/>
    <w:rsid w:val="00DC0445"/>
    <w:rsid w:val="00DC2C48"/>
    <w:rsid w:val="00DC46B5"/>
    <w:rsid w:val="00DC525E"/>
    <w:rsid w:val="00DC535C"/>
    <w:rsid w:val="00DC5DCB"/>
    <w:rsid w:val="00DD074A"/>
    <w:rsid w:val="00DD1941"/>
    <w:rsid w:val="00DD26A5"/>
    <w:rsid w:val="00DD34F2"/>
    <w:rsid w:val="00DD3C6B"/>
    <w:rsid w:val="00DD7631"/>
    <w:rsid w:val="00DD781E"/>
    <w:rsid w:val="00DD7A2C"/>
    <w:rsid w:val="00DE1238"/>
    <w:rsid w:val="00DE1FFE"/>
    <w:rsid w:val="00DE32E7"/>
    <w:rsid w:val="00DE3BB8"/>
    <w:rsid w:val="00DE5117"/>
    <w:rsid w:val="00DE5648"/>
    <w:rsid w:val="00DE595E"/>
    <w:rsid w:val="00DE5CD9"/>
    <w:rsid w:val="00DE70B5"/>
    <w:rsid w:val="00DE7113"/>
    <w:rsid w:val="00DF0576"/>
    <w:rsid w:val="00DF1981"/>
    <w:rsid w:val="00DF2144"/>
    <w:rsid w:val="00DF2EA5"/>
    <w:rsid w:val="00DF310B"/>
    <w:rsid w:val="00DF3E47"/>
    <w:rsid w:val="00DF56E8"/>
    <w:rsid w:val="00DF7133"/>
    <w:rsid w:val="00DF764C"/>
    <w:rsid w:val="00E04ECF"/>
    <w:rsid w:val="00E067C4"/>
    <w:rsid w:val="00E126B2"/>
    <w:rsid w:val="00E127E3"/>
    <w:rsid w:val="00E14818"/>
    <w:rsid w:val="00E148E8"/>
    <w:rsid w:val="00E1610C"/>
    <w:rsid w:val="00E16660"/>
    <w:rsid w:val="00E16C78"/>
    <w:rsid w:val="00E16D73"/>
    <w:rsid w:val="00E17833"/>
    <w:rsid w:val="00E17981"/>
    <w:rsid w:val="00E17CD2"/>
    <w:rsid w:val="00E17E36"/>
    <w:rsid w:val="00E206D8"/>
    <w:rsid w:val="00E2352B"/>
    <w:rsid w:val="00E23F9B"/>
    <w:rsid w:val="00E26649"/>
    <w:rsid w:val="00E27F0A"/>
    <w:rsid w:val="00E352C3"/>
    <w:rsid w:val="00E372F7"/>
    <w:rsid w:val="00E37DC0"/>
    <w:rsid w:val="00E37EC6"/>
    <w:rsid w:val="00E40432"/>
    <w:rsid w:val="00E40D52"/>
    <w:rsid w:val="00E4220D"/>
    <w:rsid w:val="00E4231E"/>
    <w:rsid w:val="00E4279A"/>
    <w:rsid w:val="00E44AC7"/>
    <w:rsid w:val="00E45B2D"/>
    <w:rsid w:val="00E47A20"/>
    <w:rsid w:val="00E5084C"/>
    <w:rsid w:val="00E5384D"/>
    <w:rsid w:val="00E53F2E"/>
    <w:rsid w:val="00E54BB9"/>
    <w:rsid w:val="00E54D3F"/>
    <w:rsid w:val="00E55F1F"/>
    <w:rsid w:val="00E56866"/>
    <w:rsid w:val="00E57DFD"/>
    <w:rsid w:val="00E60423"/>
    <w:rsid w:val="00E607E5"/>
    <w:rsid w:val="00E60A16"/>
    <w:rsid w:val="00E6125B"/>
    <w:rsid w:val="00E6170A"/>
    <w:rsid w:val="00E62ADF"/>
    <w:rsid w:val="00E637A3"/>
    <w:rsid w:val="00E66BA2"/>
    <w:rsid w:val="00E677DB"/>
    <w:rsid w:val="00E71C2D"/>
    <w:rsid w:val="00E72BB6"/>
    <w:rsid w:val="00E778DC"/>
    <w:rsid w:val="00E80D00"/>
    <w:rsid w:val="00E815CE"/>
    <w:rsid w:val="00E81611"/>
    <w:rsid w:val="00E81800"/>
    <w:rsid w:val="00E81863"/>
    <w:rsid w:val="00E81C42"/>
    <w:rsid w:val="00E81C5C"/>
    <w:rsid w:val="00E82064"/>
    <w:rsid w:val="00E82B6E"/>
    <w:rsid w:val="00E82DC6"/>
    <w:rsid w:val="00E835C5"/>
    <w:rsid w:val="00E83ACD"/>
    <w:rsid w:val="00E848F0"/>
    <w:rsid w:val="00E84D1C"/>
    <w:rsid w:val="00E8628F"/>
    <w:rsid w:val="00E942B8"/>
    <w:rsid w:val="00E945AF"/>
    <w:rsid w:val="00E94A0B"/>
    <w:rsid w:val="00E94A2C"/>
    <w:rsid w:val="00E95799"/>
    <w:rsid w:val="00E9683D"/>
    <w:rsid w:val="00E970B7"/>
    <w:rsid w:val="00EA010D"/>
    <w:rsid w:val="00EA0507"/>
    <w:rsid w:val="00EA25EB"/>
    <w:rsid w:val="00EA2775"/>
    <w:rsid w:val="00EA612E"/>
    <w:rsid w:val="00EA761C"/>
    <w:rsid w:val="00EA7D7F"/>
    <w:rsid w:val="00EB0B5F"/>
    <w:rsid w:val="00EB1CF7"/>
    <w:rsid w:val="00EB2B6F"/>
    <w:rsid w:val="00EB2FA2"/>
    <w:rsid w:val="00EB3272"/>
    <w:rsid w:val="00EB769A"/>
    <w:rsid w:val="00EC11E4"/>
    <w:rsid w:val="00EC14E1"/>
    <w:rsid w:val="00EC2A3F"/>
    <w:rsid w:val="00EC2E64"/>
    <w:rsid w:val="00EC3A35"/>
    <w:rsid w:val="00EC3E69"/>
    <w:rsid w:val="00EC5554"/>
    <w:rsid w:val="00EC75F6"/>
    <w:rsid w:val="00ED0065"/>
    <w:rsid w:val="00ED353D"/>
    <w:rsid w:val="00ED588C"/>
    <w:rsid w:val="00EE1062"/>
    <w:rsid w:val="00EE17F2"/>
    <w:rsid w:val="00EE188A"/>
    <w:rsid w:val="00EE1B01"/>
    <w:rsid w:val="00EE2746"/>
    <w:rsid w:val="00EE6755"/>
    <w:rsid w:val="00EF03DC"/>
    <w:rsid w:val="00EF0437"/>
    <w:rsid w:val="00EF2AC7"/>
    <w:rsid w:val="00EF493F"/>
    <w:rsid w:val="00F02C54"/>
    <w:rsid w:val="00F0448C"/>
    <w:rsid w:val="00F1377B"/>
    <w:rsid w:val="00F1601A"/>
    <w:rsid w:val="00F1675C"/>
    <w:rsid w:val="00F17428"/>
    <w:rsid w:val="00F20046"/>
    <w:rsid w:val="00F20D22"/>
    <w:rsid w:val="00F21A58"/>
    <w:rsid w:val="00F27F06"/>
    <w:rsid w:val="00F314E8"/>
    <w:rsid w:val="00F316A2"/>
    <w:rsid w:val="00F323A2"/>
    <w:rsid w:val="00F33B57"/>
    <w:rsid w:val="00F33D5C"/>
    <w:rsid w:val="00F356D6"/>
    <w:rsid w:val="00F37D37"/>
    <w:rsid w:val="00F400E3"/>
    <w:rsid w:val="00F44642"/>
    <w:rsid w:val="00F454A2"/>
    <w:rsid w:val="00F45E89"/>
    <w:rsid w:val="00F47845"/>
    <w:rsid w:val="00F47B6C"/>
    <w:rsid w:val="00F50675"/>
    <w:rsid w:val="00F50BD6"/>
    <w:rsid w:val="00F50E16"/>
    <w:rsid w:val="00F51520"/>
    <w:rsid w:val="00F53151"/>
    <w:rsid w:val="00F535A9"/>
    <w:rsid w:val="00F5480F"/>
    <w:rsid w:val="00F567A4"/>
    <w:rsid w:val="00F605BE"/>
    <w:rsid w:val="00F61C7A"/>
    <w:rsid w:val="00F625F7"/>
    <w:rsid w:val="00F64D5A"/>
    <w:rsid w:val="00F65EC9"/>
    <w:rsid w:val="00F66CB1"/>
    <w:rsid w:val="00F70815"/>
    <w:rsid w:val="00F709F4"/>
    <w:rsid w:val="00F710A9"/>
    <w:rsid w:val="00F7284D"/>
    <w:rsid w:val="00F72CFE"/>
    <w:rsid w:val="00F72FB0"/>
    <w:rsid w:val="00F73423"/>
    <w:rsid w:val="00F737A4"/>
    <w:rsid w:val="00F75481"/>
    <w:rsid w:val="00F76A4C"/>
    <w:rsid w:val="00F82E2E"/>
    <w:rsid w:val="00F83601"/>
    <w:rsid w:val="00F837E6"/>
    <w:rsid w:val="00F8389A"/>
    <w:rsid w:val="00F83AE9"/>
    <w:rsid w:val="00F843D4"/>
    <w:rsid w:val="00F8516E"/>
    <w:rsid w:val="00F86741"/>
    <w:rsid w:val="00F90613"/>
    <w:rsid w:val="00F906F4"/>
    <w:rsid w:val="00F915F3"/>
    <w:rsid w:val="00F91800"/>
    <w:rsid w:val="00F91853"/>
    <w:rsid w:val="00F91987"/>
    <w:rsid w:val="00F9208E"/>
    <w:rsid w:val="00F95CCE"/>
    <w:rsid w:val="00F9692D"/>
    <w:rsid w:val="00F97D7B"/>
    <w:rsid w:val="00FA0F71"/>
    <w:rsid w:val="00FA3A97"/>
    <w:rsid w:val="00FA3AEA"/>
    <w:rsid w:val="00FA4219"/>
    <w:rsid w:val="00FA48C7"/>
    <w:rsid w:val="00FA54FF"/>
    <w:rsid w:val="00FA5570"/>
    <w:rsid w:val="00FA5C0B"/>
    <w:rsid w:val="00FA70F5"/>
    <w:rsid w:val="00FB005D"/>
    <w:rsid w:val="00FB183E"/>
    <w:rsid w:val="00FB4629"/>
    <w:rsid w:val="00FB577F"/>
    <w:rsid w:val="00FB5FC4"/>
    <w:rsid w:val="00FB6A07"/>
    <w:rsid w:val="00FB6FB1"/>
    <w:rsid w:val="00FC6D4E"/>
    <w:rsid w:val="00FC736F"/>
    <w:rsid w:val="00FD39CF"/>
    <w:rsid w:val="00FE1370"/>
    <w:rsid w:val="00FE1510"/>
    <w:rsid w:val="00FE2121"/>
    <w:rsid w:val="00FE321B"/>
    <w:rsid w:val="00FE3D07"/>
    <w:rsid w:val="00FE4B6F"/>
    <w:rsid w:val="00FE6818"/>
    <w:rsid w:val="00FF0CF5"/>
    <w:rsid w:val="00FF0D6F"/>
    <w:rsid w:val="00FF1712"/>
    <w:rsid w:val="00FF37DC"/>
    <w:rsid w:val="00FF37F2"/>
    <w:rsid w:val="00FF69C8"/>
    <w:rsid w:val="00FF6D3D"/>
    <w:rsid w:val="024D7E2C"/>
    <w:rsid w:val="0D2EB883"/>
    <w:rsid w:val="0D8163B6"/>
    <w:rsid w:val="1BB32F19"/>
    <w:rsid w:val="1F2C3AF5"/>
    <w:rsid w:val="1FF4886A"/>
    <w:rsid w:val="22D2584A"/>
    <w:rsid w:val="28751A95"/>
    <w:rsid w:val="29FA8189"/>
    <w:rsid w:val="2C00A012"/>
    <w:rsid w:val="389994B3"/>
    <w:rsid w:val="3B30A011"/>
    <w:rsid w:val="3B93C128"/>
    <w:rsid w:val="3CFBE104"/>
    <w:rsid w:val="467F9A7B"/>
    <w:rsid w:val="510454D8"/>
    <w:rsid w:val="5395A1E2"/>
    <w:rsid w:val="5D8505AD"/>
    <w:rsid w:val="6F81B597"/>
    <w:rsid w:val="71443FBB"/>
    <w:rsid w:val="7563E76A"/>
    <w:rsid w:val="79A6159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27A6B"/>
  <w15:docId w15:val="{9003D52C-EAFF-4023-919F-C462EC874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07E5"/>
  </w:style>
  <w:style w:type="paragraph" w:styleId="Ttulo1">
    <w:name w:val="heading 1"/>
    <w:basedOn w:val="Normal"/>
    <w:link w:val="Ttulo1Car"/>
    <w:uiPriority w:val="9"/>
    <w:qFormat/>
    <w:rsid w:val="00CD2E7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B304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B30448"/>
    <w:pPr>
      <w:spacing w:after="0" w:line="240" w:lineRule="auto"/>
    </w:pPr>
    <w:rPr>
      <w:sz w:val="20"/>
      <w:szCs w:val="20"/>
      <w:lang w:val="es-MX"/>
    </w:rPr>
  </w:style>
  <w:style w:type="character" w:customStyle="1" w:styleId="TextonotapieCar1">
    <w:name w:val="Texto nota pie Car1"/>
    <w:basedOn w:val="Fuentedeprrafopredeter"/>
    <w:uiPriority w:val="99"/>
    <w:semiHidden/>
    <w:rsid w:val="00B3044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B30448"/>
    <w:rPr>
      <w:vertAlign w:val="superscript"/>
    </w:rPr>
  </w:style>
  <w:style w:type="paragraph" w:customStyle="1" w:styleId="Appelnotedebasde">
    <w:name w:val="Appel note de bas de..."/>
    <w:basedOn w:val="Normal"/>
    <w:link w:val="Refdenotaalpie"/>
    <w:uiPriority w:val="99"/>
    <w:rsid w:val="00B30448"/>
    <w:pPr>
      <w:spacing w:line="240" w:lineRule="exact"/>
    </w:pPr>
    <w:rPr>
      <w:vertAlign w:val="superscript"/>
    </w:rPr>
  </w:style>
  <w:style w:type="paragraph" w:styleId="Encabezado">
    <w:name w:val="header"/>
    <w:basedOn w:val="Normal"/>
    <w:link w:val="EncabezadoCar"/>
    <w:uiPriority w:val="99"/>
    <w:unhideWhenUsed/>
    <w:rsid w:val="00B3044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30448"/>
  </w:style>
  <w:style w:type="paragraph" w:styleId="Piedepgina">
    <w:name w:val="footer"/>
    <w:basedOn w:val="Normal"/>
    <w:link w:val="PiedepginaCar"/>
    <w:uiPriority w:val="99"/>
    <w:unhideWhenUsed/>
    <w:rsid w:val="00B3044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30448"/>
  </w:style>
  <w:style w:type="table" w:styleId="Tablaconcuadrcula">
    <w:name w:val="Table Grid"/>
    <w:basedOn w:val="Tablanormal"/>
    <w:uiPriority w:val="39"/>
    <w:qFormat/>
    <w:rsid w:val="00B304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C22307"/>
    <w:rPr>
      <w:color w:val="0563C1" w:themeColor="hyperlink"/>
      <w:u w:val="single"/>
    </w:rPr>
  </w:style>
  <w:style w:type="character" w:styleId="Mencinsinresolver">
    <w:name w:val="Unresolved Mention"/>
    <w:basedOn w:val="Fuentedeprrafopredeter"/>
    <w:uiPriority w:val="99"/>
    <w:semiHidden/>
    <w:unhideWhenUsed/>
    <w:rsid w:val="00C22307"/>
    <w:rPr>
      <w:color w:val="605E5C"/>
      <w:shd w:val="clear" w:color="auto" w:fill="E1DFDD"/>
    </w:rPr>
  </w:style>
  <w:style w:type="character" w:styleId="Hipervnculovisitado">
    <w:name w:val="FollowedHyperlink"/>
    <w:basedOn w:val="Fuentedeprrafopredeter"/>
    <w:uiPriority w:val="99"/>
    <w:semiHidden/>
    <w:unhideWhenUsed/>
    <w:rsid w:val="00C22307"/>
    <w:rPr>
      <w:color w:val="954F72" w:themeColor="followedHyperlink"/>
      <w:u w:val="single"/>
    </w:rPr>
  </w:style>
  <w:style w:type="character" w:styleId="Refdecomentario">
    <w:name w:val="annotation reference"/>
    <w:basedOn w:val="Fuentedeprrafopredeter"/>
    <w:uiPriority w:val="99"/>
    <w:semiHidden/>
    <w:unhideWhenUsed/>
    <w:rsid w:val="00A37D1C"/>
    <w:rPr>
      <w:sz w:val="16"/>
      <w:szCs w:val="16"/>
    </w:rPr>
  </w:style>
  <w:style w:type="paragraph" w:styleId="Textocomentario">
    <w:name w:val="annotation text"/>
    <w:basedOn w:val="Normal"/>
    <w:link w:val="TextocomentarioCar"/>
    <w:uiPriority w:val="99"/>
    <w:unhideWhenUsed/>
    <w:rsid w:val="00A37D1C"/>
    <w:pPr>
      <w:spacing w:line="240" w:lineRule="auto"/>
    </w:pPr>
    <w:rPr>
      <w:sz w:val="20"/>
      <w:szCs w:val="20"/>
    </w:rPr>
  </w:style>
  <w:style w:type="character" w:customStyle="1" w:styleId="TextocomentarioCar">
    <w:name w:val="Texto comentario Car"/>
    <w:basedOn w:val="Fuentedeprrafopredeter"/>
    <w:link w:val="Textocomentario"/>
    <w:uiPriority w:val="99"/>
    <w:rsid w:val="00A37D1C"/>
    <w:rPr>
      <w:sz w:val="20"/>
      <w:szCs w:val="20"/>
    </w:rPr>
  </w:style>
  <w:style w:type="paragraph" w:styleId="Asuntodelcomentario">
    <w:name w:val="annotation subject"/>
    <w:basedOn w:val="Textocomentario"/>
    <w:next w:val="Textocomentario"/>
    <w:link w:val="AsuntodelcomentarioCar"/>
    <w:uiPriority w:val="99"/>
    <w:semiHidden/>
    <w:unhideWhenUsed/>
    <w:rsid w:val="00A37D1C"/>
    <w:rPr>
      <w:b/>
      <w:bCs/>
    </w:rPr>
  </w:style>
  <w:style w:type="character" w:customStyle="1" w:styleId="AsuntodelcomentarioCar">
    <w:name w:val="Asunto del comentario Car"/>
    <w:basedOn w:val="TextocomentarioCar"/>
    <w:link w:val="Asuntodelcomentario"/>
    <w:uiPriority w:val="99"/>
    <w:semiHidden/>
    <w:rsid w:val="00A37D1C"/>
    <w:rPr>
      <w:b/>
      <w:bCs/>
      <w:sz w:val="20"/>
      <w:szCs w:val="20"/>
    </w:rPr>
  </w:style>
  <w:style w:type="paragraph" w:customStyle="1" w:styleId="Normal11pt">
    <w:name w:val="Normal + 11 pt"/>
    <w:aliases w:val="Negro,Justificado,Izquierda:  -0,95 cm,Derecha:  0,04 cm"/>
    <w:basedOn w:val="Normal"/>
    <w:uiPriority w:val="99"/>
    <w:rsid w:val="00B76C94"/>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F64D5A"/>
    <w:pPr>
      <w:spacing w:after="0" w:line="240" w:lineRule="auto"/>
    </w:pPr>
  </w:style>
  <w:style w:type="character" w:customStyle="1" w:styleId="cf01">
    <w:name w:val="cf01"/>
    <w:basedOn w:val="Fuentedeprrafopredeter"/>
    <w:rsid w:val="005019AA"/>
    <w:rPr>
      <w:rFonts w:ascii="Segoe UI" w:hAnsi="Segoe UI" w:cs="Segoe UI" w:hint="default"/>
      <w:i/>
      <w:iCs/>
      <w:sz w:val="18"/>
      <w:szCs w:val="18"/>
    </w:rPr>
  </w:style>
  <w:style w:type="character" w:customStyle="1" w:styleId="normaltextrun">
    <w:name w:val="normaltextrun"/>
    <w:basedOn w:val="Fuentedeprrafopredeter"/>
    <w:rsid w:val="5D8505AD"/>
  </w:style>
  <w:style w:type="character" w:customStyle="1" w:styleId="eop">
    <w:name w:val="eop"/>
    <w:basedOn w:val="Fuentedeprrafopredeter"/>
    <w:rsid w:val="5D8505AD"/>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E84D1C"/>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E84D1C"/>
    <w:rPr>
      <w:sz w:val="24"/>
      <w:lang w:val="es-MX"/>
    </w:rPr>
  </w:style>
  <w:style w:type="character" w:customStyle="1" w:styleId="Ttulo1Car">
    <w:name w:val="Título 1 Car"/>
    <w:basedOn w:val="Fuentedeprrafopredeter"/>
    <w:link w:val="Ttulo1"/>
    <w:uiPriority w:val="9"/>
    <w:rsid w:val="00CD2E70"/>
    <w:rPr>
      <w:rFonts w:ascii="Times New Roman" w:eastAsia="Times New Roman" w:hAnsi="Times New Roman" w:cs="Times New Roman"/>
      <w:b/>
      <w:bCs/>
      <w:kern w:val="36"/>
      <w:sz w:val="48"/>
      <w:szCs w:val="48"/>
      <w:lang w:eastAsia="es-ES_tradnl"/>
    </w:rPr>
  </w:style>
  <w:style w:type="paragraph" w:customStyle="1" w:styleId="paragraph">
    <w:name w:val="paragraph"/>
    <w:basedOn w:val="Normal"/>
    <w:rsid w:val="00CD2E70"/>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superscript">
    <w:name w:val="superscript"/>
    <w:basedOn w:val="Fuentedeprrafopredeter"/>
    <w:rsid w:val="003651AC"/>
  </w:style>
  <w:style w:type="paragraph" w:styleId="NormalWeb">
    <w:name w:val="Normal (Web)"/>
    <w:basedOn w:val="Normal"/>
    <w:uiPriority w:val="99"/>
    <w:unhideWhenUsed/>
    <w:rsid w:val="00FB5FC4"/>
    <w:rPr>
      <w:rFonts w:ascii="Times New Roman" w:hAnsi="Times New Roman" w:cs="Times New Roman"/>
      <w:sz w:val="24"/>
      <w:szCs w:val="24"/>
    </w:rPr>
  </w:style>
  <w:style w:type="character" w:customStyle="1" w:styleId="Hipervnculo1">
    <w:name w:val="Hipervínculo1"/>
    <w:basedOn w:val="Fuentedeprrafopredeter"/>
    <w:uiPriority w:val="99"/>
    <w:unhideWhenUsed/>
    <w:rsid w:val="00FB5FC4"/>
    <w:rPr>
      <w:color w:val="F2F2F2"/>
      <w:u w:val="single"/>
    </w:rPr>
  </w:style>
  <w:style w:type="character" w:styleId="Textoennegrita">
    <w:name w:val="Strong"/>
    <w:basedOn w:val="Fuentedeprrafopredeter"/>
    <w:uiPriority w:val="22"/>
    <w:qFormat/>
    <w:rsid w:val="00FB5FC4"/>
    <w:rPr>
      <w:b/>
      <w:bCs/>
    </w:rPr>
  </w:style>
  <w:style w:type="character" w:styleId="nfasis">
    <w:name w:val="Emphasis"/>
    <w:basedOn w:val="Fuentedeprrafopredeter"/>
    <w:uiPriority w:val="20"/>
    <w:qFormat/>
    <w:rsid w:val="00FB5FC4"/>
    <w:rPr>
      <w:i/>
      <w:iCs/>
    </w:rPr>
  </w:style>
  <w:style w:type="paragraph" w:customStyle="1" w:styleId="Textoindependiente21">
    <w:name w:val="Texto independiente 21"/>
    <w:basedOn w:val="Normal"/>
    <w:rsid w:val="007A6528"/>
    <w:pPr>
      <w:overflowPunct w:val="0"/>
      <w:autoSpaceDE w:val="0"/>
      <w:autoSpaceDN w:val="0"/>
      <w:adjustRightInd w:val="0"/>
      <w:spacing w:after="0" w:line="360" w:lineRule="auto"/>
      <w:ind w:firstLine="710"/>
      <w:jc w:val="both"/>
      <w:textAlignment w:val="baseline"/>
    </w:pPr>
    <w:rPr>
      <w:rFonts w:ascii="Arial" w:eastAsia="Times New Roman" w:hAnsi="Arial" w:cs="Times New Roman"/>
      <w:sz w:val="24"/>
      <w:szCs w:val="20"/>
      <w:lang w:eastAsia="es-ES"/>
    </w:rPr>
  </w:style>
  <w:style w:type="paragraph" w:styleId="Textoindependiente">
    <w:name w:val="Body Text"/>
    <w:basedOn w:val="Normal"/>
    <w:link w:val="TextoindependienteCar"/>
    <w:uiPriority w:val="99"/>
    <w:semiHidden/>
    <w:unhideWhenUsed/>
    <w:rsid w:val="00002D5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99"/>
    <w:semiHidden/>
    <w:rsid w:val="00002D55"/>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671991">
      <w:bodyDiv w:val="1"/>
      <w:marLeft w:val="0"/>
      <w:marRight w:val="0"/>
      <w:marTop w:val="0"/>
      <w:marBottom w:val="0"/>
      <w:divBdr>
        <w:top w:val="none" w:sz="0" w:space="0" w:color="auto"/>
        <w:left w:val="none" w:sz="0" w:space="0" w:color="auto"/>
        <w:bottom w:val="none" w:sz="0" w:space="0" w:color="auto"/>
        <w:right w:val="none" w:sz="0" w:space="0" w:color="auto"/>
      </w:divBdr>
    </w:div>
    <w:div w:id="182283863">
      <w:bodyDiv w:val="1"/>
      <w:marLeft w:val="0"/>
      <w:marRight w:val="0"/>
      <w:marTop w:val="0"/>
      <w:marBottom w:val="0"/>
      <w:divBdr>
        <w:top w:val="none" w:sz="0" w:space="0" w:color="auto"/>
        <w:left w:val="none" w:sz="0" w:space="0" w:color="auto"/>
        <w:bottom w:val="none" w:sz="0" w:space="0" w:color="auto"/>
        <w:right w:val="none" w:sz="0" w:space="0" w:color="auto"/>
      </w:divBdr>
    </w:div>
    <w:div w:id="337804836">
      <w:bodyDiv w:val="1"/>
      <w:marLeft w:val="0"/>
      <w:marRight w:val="0"/>
      <w:marTop w:val="0"/>
      <w:marBottom w:val="0"/>
      <w:divBdr>
        <w:top w:val="none" w:sz="0" w:space="0" w:color="auto"/>
        <w:left w:val="none" w:sz="0" w:space="0" w:color="auto"/>
        <w:bottom w:val="none" w:sz="0" w:space="0" w:color="auto"/>
        <w:right w:val="none" w:sz="0" w:space="0" w:color="auto"/>
      </w:divBdr>
    </w:div>
    <w:div w:id="905454849">
      <w:bodyDiv w:val="1"/>
      <w:marLeft w:val="0"/>
      <w:marRight w:val="0"/>
      <w:marTop w:val="0"/>
      <w:marBottom w:val="0"/>
      <w:divBdr>
        <w:top w:val="none" w:sz="0" w:space="0" w:color="auto"/>
        <w:left w:val="none" w:sz="0" w:space="0" w:color="auto"/>
        <w:bottom w:val="none" w:sz="0" w:space="0" w:color="auto"/>
        <w:right w:val="none" w:sz="0" w:space="0" w:color="auto"/>
      </w:divBdr>
      <w:divsChild>
        <w:div w:id="591283175">
          <w:marLeft w:val="0"/>
          <w:marRight w:val="0"/>
          <w:marTop w:val="0"/>
          <w:marBottom w:val="160"/>
          <w:divBdr>
            <w:top w:val="none" w:sz="0" w:space="0" w:color="auto"/>
            <w:left w:val="none" w:sz="0" w:space="0" w:color="auto"/>
            <w:bottom w:val="none" w:sz="0" w:space="0" w:color="auto"/>
            <w:right w:val="none" w:sz="0" w:space="0" w:color="auto"/>
          </w:divBdr>
        </w:div>
        <w:div w:id="2145074026">
          <w:marLeft w:val="0"/>
          <w:marRight w:val="0"/>
          <w:marTop w:val="0"/>
          <w:marBottom w:val="160"/>
          <w:divBdr>
            <w:top w:val="none" w:sz="0" w:space="0" w:color="auto"/>
            <w:left w:val="none" w:sz="0" w:space="0" w:color="auto"/>
            <w:bottom w:val="none" w:sz="0" w:space="0" w:color="auto"/>
            <w:right w:val="none" w:sz="0" w:space="0" w:color="auto"/>
          </w:divBdr>
        </w:div>
        <w:div w:id="1578511561">
          <w:marLeft w:val="0"/>
          <w:marRight w:val="0"/>
          <w:marTop w:val="0"/>
          <w:marBottom w:val="160"/>
          <w:divBdr>
            <w:top w:val="none" w:sz="0" w:space="0" w:color="auto"/>
            <w:left w:val="none" w:sz="0" w:space="0" w:color="auto"/>
            <w:bottom w:val="none" w:sz="0" w:space="0" w:color="auto"/>
            <w:right w:val="none" w:sz="0" w:space="0" w:color="auto"/>
          </w:divBdr>
        </w:div>
      </w:divsChild>
    </w:div>
    <w:div w:id="1153371148">
      <w:bodyDiv w:val="1"/>
      <w:marLeft w:val="0"/>
      <w:marRight w:val="0"/>
      <w:marTop w:val="0"/>
      <w:marBottom w:val="0"/>
      <w:divBdr>
        <w:top w:val="none" w:sz="0" w:space="0" w:color="auto"/>
        <w:left w:val="none" w:sz="0" w:space="0" w:color="auto"/>
        <w:bottom w:val="none" w:sz="0" w:space="0" w:color="auto"/>
        <w:right w:val="none" w:sz="0" w:space="0" w:color="auto"/>
      </w:divBdr>
      <w:divsChild>
        <w:div w:id="578834935">
          <w:marLeft w:val="0"/>
          <w:marRight w:val="0"/>
          <w:marTop w:val="0"/>
          <w:marBottom w:val="160"/>
          <w:divBdr>
            <w:top w:val="none" w:sz="0" w:space="0" w:color="auto"/>
            <w:left w:val="none" w:sz="0" w:space="0" w:color="auto"/>
            <w:bottom w:val="none" w:sz="0" w:space="0" w:color="auto"/>
            <w:right w:val="none" w:sz="0" w:space="0" w:color="auto"/>
          </w:divBdr>
        </w:div>
        <w:div w:id="86193346">
          <w:marLeft w:val="0"/>
          <w:marRight w:val="0"/>
          <w:marTop w:val="0"/>
          <w:marBottom w:val="160"/>
          <w:divBdr>
            <w:top w:val="none" w:sz="0" w:space="0" w:color="auto"/>
            <w:left w:val="none" w:sz="0" w:space="0" w:color="auto"/>
            <w:bottom w:val="none" w:sz="0" w:space="0" w:color="auto"/>
            <w:right w:val="none" w:sz="0" w:space="0" w:color="auto"/>
          </w:divBdr>
        </w:div>
        <w:div w:id="185557124">
          <w:marLeft w:val="0"/>
          <w:marRight w:val="0"/>
          <w:marTop w:val="0"/>
          <w:marBottom w:val="160"/>
          <w:divBdr>
            <w:top w:val="none" w:sz="0" w:space="0" w:color="auto"/>
            <w:left w:val="none" w:sz="0" w:space="0" w:color="auto"/>
            <w:bottom w:val="none" w:sz="0" w:space="0" w:color="auto"/>
            <w:right w:val="none" w:sz="0" w:space="0" w:color="auto"/>
          </w:divBdr>
        </w:div>
      </w:divsChild>
    </w:div>
    <w:div w:id="1200049807">
      <w:bodyDiv w:val="1"/>
      <w:marLeft w:val="0"/>
      <w:marRight w:val="0"/>
      <w:marTop w:val="0"/>
      <w:marBottom w:val="0"/>
      <w:divBdr>
        <w:top w:val="none" w:sz="0" w:space="0" w:color="auto"/>
        <w:left w:val="none" w:sz="0" w:space="0" w:color="auto"/>
        <w:bottom w:val="none" w:sz="0" w:space="0" w:color="auto"/>
        <w:right w:val="none" w:sz="0" w:space="0" w:color="auto"/>
      </w:divBdr>
    </w:div>
    <w:div w:id="1498619727">
      <w:bodyDiv w:val="1"/>
      <w:marLeft w:val="0"/>
      <w:marRight w:val="0"/>
      <w:marTop w:val="0"/>
      <w:marBottom w:val="0"/>
      <w:divBdr>
        <w:top w:val="none" w:sz="0" w:space="0" w:color="auto"/>
        <w:left w:val="none" w:sz="0" w:space="0" w:color="auto"/>
        <w:bottom w:val="none" w:sz="0" w:space="0" w:color="auto"/>
        <w:right w:val="none" w:sz="0" w:space="0" w:color="auto"/>
      </w:divBdr>
      <w:divsChild>
        <w:div w:id="797839195">
          <w:marLeft w:val="0"/>
          <w:marRight w:val="0"/>
          <w:marTop w:val="0"/>
          <w:marBottom w:val="160"/>
          <w:divBdr>
            <w:top w:val="none" w:sz="0" w:space="0" w:color="auto"/>
            <w:left w:val="none" w:sz="0" w:space="0" w:color="auto"/>
            <w:bottom w:val="none" w:sz="0" w:space="0" w:color="auto"/>
            <w:right w:val="none" w:sz="0" w:space="0" w:color="auto"/>
          </w:divBdr>
        </w:div>
        <w:div w:id="560681091">
          <w:marLeft w:val="0"/>
          <w:marRight w:val="0"/>
          <w:marTop w:val="0"/>
          <w:marBottom w:val="160"/>
          <w:divBdr>
            <w:top w:val="none" w:sz="0" w:space="0" w:color="auto"/>
            <w:left w:val="none" w:sz="0" w:space="0" w:color="auto"/>
            <w:bottom w:val="none" w:sz="0" w:space="0" w:color="auto"/>
            <w:right w:val="none" w:sz="0" w:space="0" w:color="auto"/>
          </w:divBdr>
        </w:div>
        <w:div w:id="1153833297">
          <w:marLeft w:val="0"/>
          <w:marRight w:val="0"/>
          <w:marTop w:val="0"/>
          <w:marBottom w:val="160"/>
          <w:divBdr>
            <w:top w:val="none" w:sz="0" w:space="0" w:color="auto"/>
            <w:left w:val="none" w:sz="0" w:space="0" w:color="auto"/>
            <w:bottom w:val="none" w:sz="0" w:space="0" w:color="auto"/>
            <w:right w:val="none" w:sz="0" w:space="0" w:color="auto"/>
          </w:divBdr>
        </w:div>
      </w:divsChild>
    </w:div>
    <w:div w:id="1568610026">
      <w:bodyDiv w:val="1"/>
      <w:marLeft w:val="0"/>
      <w:marRight w:val="0"/>
      <w:marTop w:val="0"/>
      <w:marBottom w:val="0"/>
      <w:divBdr>
        <w:top w:val="none" w:sz="0" w:space="0" w:color="auto"/>
        <w:left w:val="none" w:sz="0" w:space="0" w:color="auto"/>
        <w:bottom w:val="none" w:sz="0" w:space="0" w:color="auto"/>
        <w:right w:val="none" w:sz="0" w:space="0" w:color="auto"/>
      </w:divBdr>
    </w:div>
    <w:div w:id="1606376211">
      <w:bodyDiv w:val="1"/>
      <w:marLeft w:val="0"/>
      <w:marRight w:val="0"/>
      <w:marTop w:val="0"/>
      <w:marBottom w:val="0"/>
      <w:divBdr>
        <w:top w:val="none" w:sz="0" w:space="0" w:color="auto"/>
        <w:left w:val="none" w:sz="0" w:space="0" w:color="auto"/>
        <w:bottom w:val="none" w:sz="0" w:space="0" w:color="auto"/>
        <w:right w:val="none" w:sz="0" w:space="0" w:color="auto"/>
      </w:divBdr>
      <w:divsChild>
        <w:div w:id="729840230">
          <w:marLeft w:val="0"/>
          <w:marRight w:val="0"/>
          <w:marTop w:val="0"/>
          <w:marBottom w:val="160"/>
          <w:divBdr>
            <w:top w:val="none" w:sz="0" w:space="0" w:color="auto"/>
            <w:left w:val="none" w:sz="0" w:space="0" w:color="auto"/>
            <w:bottom w:val="none" w:sz="0" w:space="0" w:color="auto"/>
            <w:right w:val="none" w:sz="0" w:space="0" w:color="auto"/>
          </w:divBdr>
        </w:div>
        <w:div w:id="1459761652">
          <w:marLeft w:val="0"/>
          <w:marRight w:val="0"/>
          <w:marTop w:val="0"/>
          <w:marBottom w:val="160"/>
          <w:divBdr>
            <w:top w:val="none" w:sz="0" w:space="0" w:color="auto"/>
            <w:left w:val="none" w:sz="0" w:space="0" w:color="auto"/>
            <w:bottom w:val="none" w:sz="0" w:space="0" w:color="auto"/>
            <w:right w:val="none" w:sz="0" w:space="0" w:color="auto"/>
          </w:divBdr>
        </w:div>
        <w:div w:id="2021463511">
          <w:marLeft w:val="0"/>
          <w:marRight w:val="0"/>
          <w:marTop w:val="0"/>
          <w:marBottom w:val="160"/>
          <w:divBdr>
            <w:top w:val="none" w:sz="0" w:space="0" w:color="auto"/>
            <w:left w:val="none" w:sz="0" w:space="0" w:color="auto"/>
            <w:bottom w:val="none" w:sz="0" w:space="0" w:color="auto"/>
            <w:right w:val="none" w:sz="0" w:space="0" w:color="auto"/>
          </w:divBdr>
        </w:div>
      </w:divsChild>
    </w:div>
    <w:div w:id="1607956335">
      <w:bodyDiv w:val="1"/>
      <w:marLeft w:val="0"/>
      <w:marRight w:val="0"/>
      <w:marTop w:val="0"/>
      <w:marBottom w:val="0"/>
      <w:divBdr>
        <w:top w:val="none" w:sz="0" w:space="0" w:color="auto"/>
        <w:left w:val="none" w:sz="0" w:space="0" w:color="auto"/>
        <w:bottom w:val="none" w:sz="0" w:space="0" w:color="auto"/>
        <w:right w:val="none" w:sz="0" w:space="0" w:color="auto"/>
      </w:divBdr>
    </w:div>
    <w:div w:id="1669096844">
      <w:bodyDiv w:val="1"/>
      <w:marLeft w:val="0"/>
      <w:marRight w:val="0"/>
      <w:marTop w:val="0"/>
      <w:marBottom w:val="0"/>
      <w:divBdr>
        <w:top w:val="none" w:sz="0" w:space="0" w:color="auto"/>
        <w:left w:val="none" w:sz="0" w:space="0" w:color="auto"/>
        <w:bottom w:val="none" w:sz="0" w:space="0" w:color="auto"/>
        <w:right w:val="none" w:sz="0" w:space="0" w:color="auto"/>
      </w:divBdr>
      <w:divsChild>
        <w:div w:id="518936356">
          <w:marLeft w:val="0"/>
          <w:marRight w:val="0"/>
          <w:marTop w:val="0"/>
          <w:marBottom w:val="160"/>
          <w:divBdr>
            <w:top w:val="none" w:sz="0" w:space="0" w:color="auto"/>
            <w:left w:val="none" w:sz="0" w:space="0" w:color="auto"/>
            <w:bottom w:val="none" w:sz="0" w:space="0" w:color="auto"/>
            <w:right w:val="none" w:sz="0" w:space="0" w:color="auto"/>
          </w:divBdr>
        </w:div>
        <w:div w:id="528104072">
          <w:marLeft w:val="0"/>
          <w:marRight w:val="0"/>
          <w:marTop w:val="0"/>
          <w:marBottom w:val="160"/>
          <w:divBdr>
            <w:top w:val="none" w:sz="0" w:space="0" w:color="auto"/>
            <w:left w:val="none" w:sz="0" w:space="0" w:color="auto"/>
            <w:bottom w:val="none" w:sz="0" w:space="0" w:color="auto"/>
            <w:right w:val="none" w:sz="0" w:space="0" w:color="auto"/>
          </w:divBdr>
        </w:div>
        <w:div w:id="273513336">
          <w:marLeft w:val="0"/>
          <w:marRight w:val="0"/>
          <w:marTop w:val="0"/>
          <w:marBottom w:val="160"/>
          <w:divBdr>
            <w:top w:val="none" w:sz="0" w:space="0" w:color="auto"/>
            <w:left w:val="none" w:sz="0" w:space="0" w:color="auto"/>
            <w:bottom w:val="none" w:sz="0" w:space="0" w:color="auto"/>
            <w:right w:val="none" w:sz="0" w:space="0" w:color="auto"/>
          </w:divBdr>
        </w:div>
      </w:divsChild>
    </w:div>
    <w:div w:id="1695689083">
      <w:bodyDiv w:val="1"/>
      <w:marLeft w:val="0"/>
      <w:marRight w:val="0"/>
      <w:marTop w:val="0"/>
      <w:marBottom w:val="0"/>
      <w:divBdr>
        <w:top w:val="none" w:sz="0" w:space="0" w:color="auto"/>
        <w:left w:val="none" w:sz="0" w:space="0" w:color="auto"/>
        <w:bottom w:val="none" w:sz="0" w:space="0" w:color="auto"/>
        <w:right w:val="none" w:sz="0" w:space="0" w:color="auto"/>
      </w:divBdr>
    </w:div>
    <w:div w:id="1761637096">
      <w:bodyDiv w:val="1"/>
      <w:marLeft w:val="0"/>
      <w:marRight w:val="0"/>
      <w:marTop w:val="0"/>
      <w:marBottom w:val="0"/>
      <w:divBdr>
        <w:top w:val="none" w:sz="0" w:space="0" w:color="auto"/>
        <w:left w:val="none" w:sz="0" w:space="0" w:color="auto"/>
        <w:bottom w:val="none" w:sz="0" w:space="0" w:color="auto"/>
        <w:right w:val="none" w:sz="0" w:space="0" w:color="auto"/>
      </w:divBdr>
      <w:divsChild>
        <w:div w:id="423385161">
          <w:marLeft w:val="0"/>
          <w:marRight w:val="0"/>
          <w:marTop w:val="0"/>
          <w:marBottom w:val="160"/>
          <w:divBdr>
            <w:top w:val="none" w:sz="0" w:space="0" w:color="auto"/>
            <w:left w:val="none" w:sz="0" w:space="0" w:color="auto"/>
            <w:bottom w:val="none" w:sz="0" w:space="0" w:color="auto"/>
            <w:right w:val="none" w:sz="0" w:space="0" w:color="auto"/>
          </w:divBdr>
        </w:div>
        <w:div w:id="2126801678">
          <w:marLeft w:val="0"/>
          <w:marRight w:val="0"/>
          <w:marTop w:val="0"/>
          <w:marBottom w:val="160"/>
          <w:divBdr>
            <w:top w:val="none" w:sz="0" w:space="0" w:color="auto"/>
            <w:left w:val="none" w:sz="0" w:space="0" w:color="auto"/>
            <w:bottom w:val="none" w:sz="0" w:space="0" w:color="auto"/>
            <w:right w:val="none" w:sz="0" w:space="0" w:color="auto"/>
          </w:divBdr>
        </w:div>
        <w:div w:id="827133892">
          <w:marLeft w:val="0"/>
          <w:marRight w:val="0"/>
          <w:marTop w:val="0"/>
          <w:marBottom w:val="16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latoria.colombiacompra.gov.co/busqueda/concepto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_Flow_SignoffStatus xmlns="9d85dbaf-23eb-4e57-a637-93dcacc8b1a1" xsi:nil="true"/>
    <SharedWithUsers xmlns="a6cb9e4b-f1d1-4245-83ec-6cad768d538a">
      <UserInfo>
        <DisplayName>Alejandro Sarmiento</DisplayName>
        <AccountId>129</AccountId>
        <AccountType/>
      </UserInfo>
    </SharedWithUser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24EFD2-6506-4654-A0AC-DEF36450FF53}">
  <ds:schemaRefs>
    <ds:schemaRef ds:uri="http://schemas.microsoft.com/sharepoint/v3/contenttype/forms"/>
  </ds:schemaRefs>
</ds:datastoreItem>
</file>

<file path=customXml/itemProps2.xml><?xml version="1.0" encoding="utf-8"?>
<ds:datastoreItem xmlns:ds="http://schemas.openxmlformats.org/officeDocument/2006/customXml" ds:itemID="{06F8AB61-4B8C-4292-AD00-5B9AA853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3B8AE37-E1F3-4B08-98E9-52F0B3FA79C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4.xml><?xml version="1.0" encoding="utf-8"?>
<ds:datastoreItem xmlns:ds="http://schemas.openxmlformats.org/officeDocument/2006/customXml" ds:itemID="{206954CD-A18B-4BC8-BDFD-948A7B8E2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18</Pages>
  <Words>6152</Words>
  <Characters>33839</Characters>
  <Application>Microsoft Office Word</Application>
  <DocSecurity>0</DocSecurity>
  <Lines>281</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39912</CharactersWithSpaces>
  <SharedDoc>false</SharedDoc>
  <HLinks>
    <vt:vector size="48" baseType="variant">
      <vt:variant>
        <vt:i4>5439494</vt:i4>
      </vt:variant>
      <vt:variant>
        <vt:i4>15</vt:i4>
      </vt:variant>
      <vt:variant>
        <vt:i4>0</vt:i4>
      </vt:variant>
      <vt:variant>
        <vt:i4>5</vt:i4>
      </vt:variant>
      <vt:variant>
        <vt:lpwstr>https://www.colombiacompra.gov.co/sala-de-prensa/boletin-digital</vt:lpwstr>
      </vt:variant>
      <vt:variant>
        <vt:lpwstr/>
      </vt:variant>
      <vt:variant>
        <vt:i4>7471218</vt:i4>
      </vt:variant>
      <vt:variant>
        <vt:i4>12</vt:i4>
      </vt:variant>
      <vt:variant>
        <vt:i4>0</vt:i4>
      </vt:variant>
      <vt:variant>
        <vt:i4>5</vt:i4>
      </vt:variant>
      <vt:variant>
        <vt:lpwstr>https://relatoria.colombiacompra.gov.co/busqueda/conceptos</vt:lpwstr>
      </vt:variant>
      <vt:variant>
        <vt:lpwstr/>
      </vt:variant>
      <vt:variant>
        <vt:i4>5111895</vt:i4>
      </vt:variant>
      <vt:variant>
        <vt:i4>9</vt:i4>
      </vt:variant>
      <vt:variant>
        <vt:i4>0</vt:i4>
      </vt:variant>
      <vt:variant>
        <vt:i4>5</vt:i4>
      </vt:variant>
      <vt:variant>
        <vt:lpwstr>https://www.colombiacompra.gov.co/manuales-guias-y-pliegos-tipo/manuales-y-guias</vt:lpwstr>
      </vt:variant>
      <vt:variant>
        <vt:lpwstr/>
      </vt:variant>
      <vt:variant>
        <vt:i4>3801145</vt:i4>
      </vt:variant>
      <vt:variant>
        <vt:i4>6</vt:i4>
      </vt:variant>
      <vt:variant>
        <vt:i4>0</vt:i4>
      </vt:variant>
      <vt:variant>
        <vt:i4>5</vt:i4>
      </vt:variant>
      <vt:variant>
        <vt:lpwstr>https://relatoria.colombiacompra.gov.co/providencias-consejo-de-estado/</vt:lpwstr>
      </vt:variant>
      <vt:variant>
        <vt:lpwstr/>
      </vt:variant>
      <vt:variant>
        <vt:i4>3145787</vt:i4>
      </vt:variant>
      <vt:variant>
        <vt:i4>3</vt:i4>
      </vt:variant>
      <vt:variant>
        <vt:i4>0</vt:i4>
      </vt:variant>
      <vt:variant>
        <vt:i4>5</vt:i4>
      </vt:variant>
      <vt:variant>
        <vt:lpwstr>https://www.colombiacompra.gov.co/content/04-documentos-tipo-de-licitacion-de-obra-publica-para-proyectos-de-infraestructura-social</vt:lpwstr>
      </vt:variant>
      <vt:variant>
        <vt:lpwstr/>
      </vt:variant>
      <vt:variant>
        <vt:i4>7208987</vt:i4>
      </vt:variant>
      <vt:variant>
        <vt:i4>0</vt:i4>
      </vt:variant>
      <vt:variant>
        <vt:i4>0</vt:i4>
      </vt:variant>
      <vt:variant>
        <vt:i4>5</vt:i4>
      </vt:variant>
      <vt:variant>
        <vt:lpwstr>https://www.colombiacompra.gov.co/sites/cce_public/files/cce_circulares/circular_externa_unica_version_3_vf49.pdf</vt:lpwstr>
      </vt:variant>
      <vt:variant>
        <vt:lpwstr/>
      </vt:variant>
      <vt:variant>
        <vt:i4>6619182</vt:i4>
      </vt:variant>
      <vt:variant>
        <vt:i4>3</vt:i4>
      </vt:variant>
      <vt:variant>
        <vt:i4>0</vt:i4>
      </vt:variant>
      <vt:variant>
        <vt:i4>5</vt:i4>
      </vt:variant>
      <vt:variant>
        <vt:lpwstr>https://www.culturarecreacionydeporte.gov.co/es/bogotanitos/bogodatos/las-plazas-de-mercado-de-bogota</vt:lpwstr>
      </vt:variant>
      <vt:variant>
        <vt:lpwstr>:~:text=Muchos%20tienen%20diferentes%20conceptos%20sobre,en%20un%20sitio%20abierto%20o</vt:lpwstr>
      </vt:variant>
      <vt:variant>
        <vt:i4>2883621</vt:i4>
      </vt:variant>
      <vt:variant>
        <vt:i4>0</vt:i4>
      </vt:variant>
      <vt:variant>
        <vt:i4>0</vt:i4>
      </vt:variant>
      <vt:variant>
        <vt:i4>5</vt:i4>
      </vt:variant>
      <vt:variant>
        <vt:lpwstr>https://www.colombiacompra.gov.co/content/03-documentos-tipo-transversales-de-licitacion-de-obra-publica-de-infraestructura-social-con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ANCP-SGC</dc:creator>
  <cp:keywords/>
  <dc:description/>
  <cp:lastModifiedBy>Tatiana Baquero Iguaran</cp:lastModifiedBy>
  <cp:revision>4</cp:revision>
  <dcterms:created xsi:type="dcterms:W3CDTF">2024-12-31T16:32:00Z</dcterms:created>
  <dcterms:modified xsi:type="dcterms:W3CDTF">2024-12-31T16:37:00Z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