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95F32" w14:textId="5C99DB67" w:rsidR="00663874" w:rsidRDefault="00663874" w:rsidP="00E62E55">
      <w:pPr>
        <w:spacing w:after="120"/>
        <w:jc w:val="both"/>
        <w:rPr>
          <w:rFonts w:ascii="Verdana" w:eastAsia="Calibri" w:hAnsi="Verdana" w:cs="Arial"/>
          <w:b/>
          <w:bCs/>
          <w:lang w:val="es-MX"/>
        </w:rPr>
      </w:pPr>
      <w:r w:rsidRPr="00663874">
        <w:rPr>
          <w:rFonts w:ascii="Verdana" w:eastAsia="Calibri" w:hAnsi="Verdana" w:cs="Arial"/>
          <w:b/>
          <w:bCs/>
          <w:lang w:val="es-MX"/>
        </w:rPr>
        <w:t xml:space="preserve">LEY DE GARANTÍAS ELECTORALES – Finalidad </w:t>
      </w:r>
      <w:r w:rsidR="000007CF" w:rsidRPr="000007CF">
        <w:rPr>
          <w:rFonts w:ascii="Verdana" w:eastAsia="Calibri" w:hAnsi="Verdana" w:cs="Arial"/>
          <w:b/>
          <w:bCs/>
          <w:lang w:val="es-ES"/>
        </w:rPr>
        <w:t>–</w:t>
      </w:r>
      <w:r w:rsidR="000007CF">
        <w:rPr>
          <w:rFonts w:ascii="Verdana" w:eastAsia="Calibri" w:hAnsi="Verdana" w:cs="Arial"/>
          <w:b/>
          <w:bCs/>
          <w:lang w:val="es-MX"/>
        </w:rPr>
        <w:t xml:space="preserve"> </w:t>
      </w:r>
      <w:r w:rsidRPr="00663874">
        <w:rPr>
          <w:rFonts w:ascii="Verdana" w:eastAsia="Calibri" w:hAnsi="Verdana" w:cs="Arial"/>
          <w:b/>
          <w:bCs/>
          <w:lang w:val="es-MX"/>
        </w:rPr>
        <w:t>LEY DE GARANTÍAS ELECTORALES ‒ Restricciones ‒ Contratación ‒ Tipos de elección</w:t>
      </w:r>
    </w:p>
    <w:p w14:paraId="7C427E66" w14:textId="4AE46BF9" w:rsidR="00663874" w:rsidRPr="000007CF" w:rsidRDefault="00663874" w:rsidP="00663874">
      <w:pPr>
        <w:spacing w:after="120" w:line="276" w:lineRule="auto"/>
        <w:jc w:val="both"/>
        <w:rPr>
          <w:rFonts w:ascii="Verdana" w:eastAsia="Calibri" w:hAnsi="Verdana" w:cs="Arial"/>
          <w:sz w:val="20"/>
          <w:szCs w:val="20"/>
          <w:lang w:val="es-MX"/>
        </w:rPr>
      </w:pPr>
      <w:r w:rsidRPr="000007CF">
        <w:rPr>
          <w:rFonts w:ascii="Verdana" w:eastAsia="Calibri" w:hAnsi="Verdana" w:cs="Arial"/>
          <w:sz w:val="20"/>
          <w:szCs w:val="20"/>
          <w:lang w:val="es-MX"/>
        </w:rPr>
        <w:t xml:space="preserve">En cuanto a las </w:t>
      </w:r>
      <w:r w:rsidRPr="000007CF">
        <w:rPr>
          <w:rFonts w:ascii="Verdana" w:eastAsia="Times New Roman" w:hAnsi="Verdana" w:cs="Arial"/>
          <w:sz w:val="20"/>
          <w:szCs w:val="20"/>
          <w:lang w:val="es-MX" w:eastAsia="es-CO"/>
        </w:rPr>
        <w:t xml:space="preserve">restricciones para la celebración de contratos y convenios interadministrativos en los comicios para cargos de elección popular, </w:t>
      </w:r>
      <w:r w:rsidRPr="000007CF">
        <w:rPr>
          <w:rFonts w:ascii="Verdana" w:eastAsia="Calibri" w:hAnsi="Verdana" w:cs="Arial"/>
          <w:bCs/>
          <w:sz w:val="20"/>
          <w:szCs w:val="20"/>
        </w:rPr>
        <w:t>el parágrafo del artículo 38 de la Ley 996 de 2005 dispone que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0007CF">
        <w:rPr>
          <w:rFonts w:ascii="Verdana" w:eastAsia="Times New Roman" w:hAnsi="Verdana" w:cs="Arial"/>
          <w:bCs/>
          <w:iCs/>
          <w:sz w:val="20"/>
          <w:szCs w:val="20"/>
          <w:lang w:val="es-MX" w:eastAsia="x-none"/>
        </w:rPr>
        <w:t xml:space="preserve">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0007CF">
        <w:rPr>
          <w:rFonts w:ascii="Verdana" w:eastAsia="Times New Roman" w:hAnsi="Verdana" w:cs="Arial"/>
          <w:bCs/>
          <w:iCs/>
          <w:sz w:val="20"/>
          <w:szCs w:val="20"/>
          <w:vertAlign w:val="superscript"/>
          <w:lang w:val="es-MX" w:eastAsia="x-none"/>
        </w:rPr>
        <w:footnoteReference w:id="2"/>
      </w:r>
      <w:r w:rsidRPr="000007CF">
        <w:rPr>
          <w:rFonts w:ascii="Verdana" w:eastAsia="Times New Roman" w:hAnsi="Verdana" w:cs="Arial"/>
          <w:bCs/>
          <w:iCs/>
          <w:sz w:val="20"/>
          <w:szCs w:val="20"/>
          <w:lang w:val="es-MX" w:eastAsia="x-none"/>
        </w:rPr>
        <w:t>.</w:t>
      </w:r>
      <w:r w:rsidRPr="000007CF">
        <w:rPr>
          <w:rFonts w:ascii="Verdana" w:eastAsia="Calibri" w:hAnsi="Verdana" w:cs="Arial"/>
          <w:sz w:val="20"/>
          <w:szCs w:val="20"/>
          <w:lang w:val="es-MX"/>
        </w:rPr>
        <w:t xml:space="preserve"> </w:t>
      </w:r>
    </w:p>
    <w:p w14:paraId="59890CCF" w14:textId="302DCC86" w:rsidR="00E33EFF" w:rsidRPr="000007CF" w:rsidRDefault="00663874" w:rsidP="00663874">
      <w:pPr>
        <w:widowControl w:val="0"/>
        <w:autoSpaceDE w:val="0"/>
        <w:autoSpaceDN w:val="0"/>
        <w:spacing w:after="120" w:line="276" w:lineRule="auto"/>
        <w:jc w:val="both"/>
        <w:rPr>
          <w:rFonts w:ascii="Verdana" w:eastAsia="Arial" w:hAnsi="Verdana" w:cs="Arial"/>
          <w:sz w:val="20"/>
          <w:szCs w:val="20"/>
          <w:lang w:val="es-ES" w:eastAsia="es-ES" w:bidi="es-ES"/>
        </w:rPr>
      </w:pPr>
      <w:r w:rsidRPr="000007CF">
        <w:rPr>
          <w:rFonts w:ascii="Verdana" w:eastAsia="Calibri" w:hAnsi="Verdana" w:cs="Arial"/>
          <w:bCs/>
          <w:sz w:val="20"/>
          <w:szCs w:val="20"/>
          <w:lang w:eastAsia="es-ES" w:bidi="es-ES"/>
        </w:rPr>
        <w:t xml:space="preserve">Ahora bien, para determinar el alcance de la prohibición consagrada por la Ley de Garantías Electorales, conviene precisar la tipología de convenios o contratos interadministrativos. </w:t>
      </w:r>
      <w:r w:rsidRPr="000007CF">
        <w:rPr>
          <w:rFonts w:ascii="Verdana" w:eastAsia="Arial" w:hAnsi="Verdana" w:cs="Arial"/>
          <w:sz w:val="20"/>
          <w:szCs w:val="20"/>
          <w:lang w:val="es-ES" w:eastAsia="es-ES" w:bidi="es-ES"/>
        </w:rPr>
        <w:t>Aunque la ley no la definió ni desarrolló, el Decreto 1082 de 2015 califica a los convenios o contratos interadministrativos como aquella contratación entre entidades estatales</w:t>
      </w:r>
      <w:r w:rsidRPr="000007CF">
        <w:rPr>
          <w:rFonts w:ascii="Verdana" w:eastAsia="Arial" w:hAnsi="Verdana" w:cs="Arial"/>
          <w:sz w:val="20"/>
          <w:szCs w:val="20"/>
          <w:vertAlign w:val="superscript"/>
          <w:lang w:val="es-ES" w:eastAsia="es-ES" w:bidi="es-ES"/>
        </w:rPr>
        <w:footnoteReference w:id="3"/>
      </w:r>
      <w:r w:rsidRPr="000007CF">
        <w:rPr>
          <w:rFonts w:ascii="Verdana" w:eastAsia="Arial" w:hAnsi="Verdana" w:cs="Arial"/>
          <w:sz w:val="20"/>
          <w:szCs w:val="20"/>
          <w:lang w:val="es-ES" w:eastAsia="es-ES" w:bidi="es-ES"/>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0007CF">
        <w:rPr>
          <w:rFonts w:ascii="Verdana" w:eastAsia="Arial" w:hAnsi="Verdana" w:cs="Arial"/>
          <w:spacing w:val="-6"/>
          <w:sz w:val="20"/>
          <w:szCs w:val="20"/>
          <w:lang w:val="es-ES" w:eastAsia="es-ES" w:bidi="es-ES"/>
        </w:rPr>
        <w:t xml:space="preserve"> </w:t>
      </w:r>
      <w:r w:rsidRPr="000007CF">
        <w:rPr>
          <w:rFonts w:ascii="Verdana" w:eastAsia="Arial" w:hAnsi="Verdana" w:cs="Arial"/>
          <w:sz w:val="20"/>
          <w:szCs w:val="20"/>
          <w:lang w:val="es-ES" w:eastAsia="es-ES" w:bidi="es-ES"/>
        </w:rPr>
        <w:t>estatales.</w:t>
      </w:r>
    </w:p>
    <w:p w14:paraId="6D776A51" w14:textId="63A46C76" w:rsidR="00E33EFF" w:rsidRDefault="00E33EFF" w:rsidP="00663874">
      <w:pPr>
        <w:widowControl w:val="0"/>
        <w:autoSpaceDE w:val="0"/>
        <w:autoSpaceDN w:val="0"/>
        <w:spacing w:after="120" w:line="276" w:lineRule="auto"/>
        <w:jc w:val="both"/>
        <w:rPr>
          <w:rFonts w:ascii="Verdana" w:eastAsia="Calibri" w:hAnsi="Verdana" w:cs="Arial"/>
          <w:b/>
          <w:bCs/>
          <w:lang w:val="es-MX"/>
        </w:rPr>
      </w:pPr>
      <w:r w:rsidRPr="00E33EFF">
        <w:rPr>
          <w:rFonts w:ascii="Verdana" w:eastAsia="Calibri" w:hAnsi="Verdana" w:cs="Arial"/>
          <w:b/>
          <w:bCs/>
          <w:lang w:val="es-MX"/>
        </w:rPr>
        <w:t>LEY DE GARANTÍAS ELECTORALES ─ Prohibición artículo 33 ‒ Contratación directa ‒ Alcance</w:t>
      </w:r>
    </w:p>
    <w:p w14:paraId="328BD6AF" w14:textId="588188E9" w:rsidR="00E33EFF" w:rsidRPr="000007CF" w:rsidRDefault="00E33EFF" w:rsidP="00E33EFF">
      <w:pPr>
        <w:spacing w:after="120" w:line="276" w:lineRule="auto"/>
        <w:jc w:val="both"/>
        <w:rPr>
          <w:rFonts w:ascii="Verdana" w:eastAsia="Calibri" w:hAnsi="Verdana" w:cs="Arial"/>
          <w:color w:val="000000" w:themeColor="text1"/>
          <w:sz w:val="20"/>
          <w:szCs w:val="20"/>
          <w:lang w:val="es-ES"/>
        </w:rPr>
      </w:pPr>
      <w:r w:rsidRPr="000007CF">
        <w:rPr>
          <w:rFonts w:ascii="Verdana" w:eastAsia="Calibri" w:hAnsi="Verdana" w:cs="Arial"/>
          <w:sz w:val="20"/>
          <w:szCs w:val="20"/>
        </w:rPr>
        <w:t xml:space="preserve">Ahora bien, respecto de la aplicación de las restricciones antes señaladas a los convenios solidarios, debe señalarse que, por un lado, </w:t>
      </w:r>
      <w:r w:rsidRPr="000007CF">
        <w:rPr>
          <w:rFonts w:ascii="Verdana" w:eastAsia="Calibri" w:hAnsi="Verdana" w:cs="Arial"/>
          <w:color w:val="000000" w:themeColor="text1"/>
          <w:sz w:val="20"/>
          <w:szCs w:val="20"/>
          <w:lang w:val="es-ES"/>
        </w:rPr>
        <w:t xml:space="preserve">el artículo 33 de la Ley de Garantías Electorales “restringe la contratación directa por parte de todos los entes del Estado desde el día 29 de enero de 2026 y hasta la elección en segunda vuelta, si fuere el caso”. Dentro de esta restricción queda contemplada la prohibición de celebrar </w:t>
      </w:r>
      <w:r w:rsidRPr="000007CF">
        <w:rPr>
          <w:rFonts w:ascii="Verdana" w:eastAsia="Calibri" w:hAnsi="Verdana" w:cs="Arial"/>
          <w:i/>
          <w:iCs/>
          <w:color w:val="000000" w:themeColor="text1"/>
          <w:sz w:val="20"/>
          <w:szCs w:val="20"/>
          <w:lang w:val="es-ES"/>
        </w:rPr>
        <w:t>directamente</w:t>
      </w:r>
      <w:r w:rsidRPr="000007CF">
        <w:rPr>
          <w:rFonts w:ascii="Verdana" w:eastAsia="Calibri" w:hAnsi="Verdana" w:cs="Arial"/>
          <w:color w:val="000000" w:themeColor="text1"/>
          <w:sz w:val="20"/>
          <w:szCs w:val="20"/>
          <w:lang w:val="es-ES"/>
        </w:rPr>
        <w:t xml:space="preserve"> convenios solidarios. Lo anterior, salvo que en el caso concreto se presente alguna de </w:t>
      </w:r>
      <w:r w:rsidRPr="000007CF">
        <w:rPr>
          <w:rFonts w:ascii="Verdana" w:eastAsia="Calibri" w:hAnsi="Verdana" w:cs="Arial"/>
          <w:color w:val="000000" w:themeColor="text1"/>
          <w:sz w:val="20"/>
          <w:szCs w:val="20"/>
          <w:lang w:val="es-ES"/>
        </w:rPr>
        <w:lastRenderedPageBreak/>
        <w:t>las excepciones establecidas a la prohibición consagrada en el inciso segundo del artículo 33 de la Ley de Garantías Electorales.</w:t>
      </w:r>
    </w:p>
    <w:p w14:paraId="72567825" w14:textId="4B56BD7D" w:rsidR="00E33EFF" w:rsidRPr="00E33EFF" w:rsidRDefault="00E33EFF" w:rsidP="00663874">
      <w:pPr>
        <w:widowControl w:val="0"/>
        <w:autoSpaceDE w:val="0"/>
        <w:autoSpaceDN w:val="0"/>
        <w:spacing w:after="120" w:line="276" w:lineRule="auto"/>
        <w:jc w:val="both"/>
        <w:rPr>
          <w:rFonts w:ascii="Verdana" w:eastAsia="Calibri" w:hAnsi="Verdana" w:cs="Arial"/>
          <w:b/>
          <w:bCs/>
          <w:lang w:val="es-MX"/>
        </w:rPr>
      </w:pPr>
      <w:r w:rsidRPr="00E33EFF">
        <w:rPr>
          <w:rFonts w:ascii="Verdana" w:hAnsi="Verdana" w:cs="Arial"/>
          <w:b/>
          <w:bCs/>
          <w:lang w:eastAsia="es-CO"/>
        </w:rPr>
        <w:t xml:space="preserve">LEY DE GARANTÍAS ELECTORALES ‒ Excepciones </w:t>
      </w:r>
      <w:r w:rsidR="00A2491D" w:rsidRPr="00A2491D">
        <w:rPr>
          <w:rFonts w:ascii="Verdana" w:hAnsi="Verdana" w:cs="Arial"/>
          <w:b/>
          <w:bCs/>
          <w:lang w:val="es-ES" w:eastAsia="es-CO"/>
        </w:rPr>
        <w:t>–</w:t>
      </w:r>
      <w:r w:rsidRPr="00E33EFF">
        <w:rPr>
          <w:rFonts w:ascii="Verdana" w:hAnsi="Verdana" w:cs="Arial"/>
          <w:b/>
          <w:bCs/>
          <w:lang w:eastAsia="es-CO"/>
        </w:rPr>
        <w:t xml:space="preserve"> </w:t>
      </w:r>
      <w:r w:rsidRPr="00E33EFF">
        <w:rPr>
          <w:rFonts w:ascii="Verdana" w:eastAsia="Calibri" w:hAnsi="Verdana" w:cs="Arial"/>
          <w:b/>
          <w:bCs/>
          <w:lang w:val="es-MX"/>
        </w:rPr>
        <w:t>LEY DE GARANTÍAS ELECTORALES ─ Prohibición artículo 38 ‒ Convenios interadministrativos</w:t>
      </w:r>
    </w:p>
    <w:p w14:paraId="5A6E3240" w14:textId="5E0C809E" w:rsidR="00E33EFF" w:rsidRPr="00A2491D" w:rsidRDefault="00711102" w:rsidP="00A2491D">
      <w:pPr>
        <w:spacing w:after="120" w:line="276" w:lineRule="auto"/>
        <w:jc w:val="both"/>
        <w:rPr>
          <w:rFonts w:ascii="Verdana" w:hAnsi="Verdana" w:cs="Arial"/>
          <w:color w:val="000000" w:themeColor="text1"/>
          <w:sz w:val="20"/>
          <w:szCs w:val="20"/>
          <w:lang w:val="es-ES" w:eastAsia="es-CO"/>
        </w:rPr>
      </w:pPr>
      <w:r w:rsidRPr="00A2491D">
        <w:rPr>
          <w:rFonts w:ascii="Verdana" w:eastAsia="Calibri" w:hAnsi="Verdana" w:cs="Arial"/>
          <w:sz w:val="20"/>
          <w:szCs w:val="20"/>
          <w:lang w:val="es-ES" w:eastAsia="es-ES" w:bidi="es-ES"/>
        </w:rPr>
        <w:t>Bajo este contexto</w:t>
      </w:r>
      <w:r w:rsidRPr="00A2491D">
        <w:rPr>
          <w:rFonts w:ascii="Verdana" w:eastAsia="Calibri" w:hAnsi="Verdana" w:cs="Arial"/>
          <w:color w:val="000000" w:themeColor="text1"/>
          <w:sz w:val="20"/>
          <w:szCs w:val="20"/>
        </w:rPr>
        <w:t xml:space="preserve">, y </w:t>
      </w:r>
      <w:r w:rsidRPr="00A2491D">
        <w:rPr>
          <w:rFonts w:ascii="Verdana" w:hAnsi="Verdana" w:cs="Arial"/>
          <w:color w:val="000000" w:themeColor="text1"/>
          <w:sz w:val="20"/>
          <w:szCs w:val="20"/>
          <w:lang w:eastAsia="es-CO"/>
        </w:rPr>
        <w:t xml:space="preserve">considerando la naturaleza jurídica de las partes, los convenios suscritos entre entidades del orden nacional, </w:t>
      </w:r>
      <w:r w:rsidRPr="00A2491D">
        <w:rPr>
          <w:rFonts w:ascii="Verdana" w:eastAsia="Calibri" w:hAnsi="Verdana" w:cs="Arial"/>
          <w:color w:val="000000" w:themeColor="text1"/>
          <w:sz w:val="20"/>
          <w:szCs w:val="20"/>
          <w:lang w:val="es-ES"/>
        </w:rPr>
        <w:t>departamental, distrital, local y municipal</w:t>
      </w:r>
      <w:r w:rsidRPr="00A2491D">
        <w:rPr>
          <w:rFonts w:ascii="Verdana" w:hAnsi="Verdana" w:cs="Arial"/>
          <w:color w:val="000000" w:themeColor="text1"/>
          <w:sz w:val="20"/>
          <w:szCs w:val="20"/>
          <w:lang w:eastAsia="es-CO"/>
        </w:rPr>
        <w:t xml:space="preserve"> y organismos de acción comunal </w:t>
      </w:r>
      <w:r w:rsidRPr="00A2491D">
        <w:rPr>
          <w:rFonts w:ascii="Verdana" w:hAnsi="Verdana" w:cs="Arial"/>
          <w:i/>
          <w:iCs/>
          <w:color w:val="000000" w:themeColor="text1"/>
          <w:sz w:val="20"/>
          <w:szCs w:val="20"/>
          <w:lang w:eastAsia="es-CO"/>
        </w:rPr>
        <w:t>no se califican como contratos o convenios interadministrativos</w:t>
      </w:r>
      <w:r w:rsidRPr="00A2491D">
        <w:rPr>
          <w:rFonts w:ascii="Verdana" w:hAnsi="Verdana" w:cs="Arial"/>
          <w:color w:val="000000" w:themeColor="text1"/>
          <w:sz w:val="20"/>
          <w:szCs w:val="20"/>
          <w:lang w:eastAsia="es-CO"/>
        </w:rPr>
        <w:t xml:space="preserve">, toda vez, que </w:t>
      </w:r>
      <w:r w:rsidRPr="00A2491D">
        <w:rPr>
          <w:rFonts w:ascii="Verdana" w:hAnsi="Verdana" w:cs="Arial"/>
          <w:color w:val="000000"/>
          <w:sz w:val="20"/>
          <w:szCs w:val="20"/>
          <w:lang w:val="es-ES" w:eastAsia="es-CO"/>
        </w:rPr>
        <w:t>no implica una contratación entre autoridades del Estado sino un negocio jurídico entre una Entidad y una persona jurídica de derecho privado</w:t>
      </w:r>
      <w:r w:rsidRPr="00A2491D">
        <w:rPr>
          <w:rFonts w:ascii="Verdana" w:hAnsi="Verdana" w:cs="Arial"/>
          <w:color w:val="000000" w:themeColor="text1"/>
          <w:sz w:val="20"/>
          <w:szCs w:val="20"/>
          <w:lang w:val="es-ES" w:eastAsia="es-CO"/>
        </w:rPr>
        <w:t xml:space="preserve"> </w:t>
      </w:r>
      <w:r w:rsidRPr="00A2491D">
        <w:rPr>
          <w:rFonts w:ascii="Verdana" w:hAnsi="Verdana" w:cs="Arial"/>
          <w:color w:val="000000" w:themeColor="text1"/>
          <w:sz w:val="20"/>
          <w:szCs w:val="20"/>
          <w:lang w:eastAsia="es-CO"/>
        </w:rPr>
        <w:t xml:space="preserve">y en razón a ello NO sería aplicable la restricción establecida en el artículo 38 de la Ley 996 del 2005, puesto que la calificación de </w:t>
      </w:r>
      <w:r w:rsidRPr="00A2491D">
        <w:rPr>
          <w:rFonts w:ascii="Verdana" w:hAnsi="Verdana" w:cs="Arial"/>
          <w:color w:val="000000" w:themeColor="text1"/>
          <w:sz w:val="20"/>
          <w:szCs w:val="20"/>
          <w:lang w:val="es-ES" w:eastAsia="es-CO"/>
        </w:rPr>
        <w:t>convenios o contratos interadministrativos está definida por un criterio orgánico, esto es, que la contratación se efectúa entre dos o más personas jurídicas de derecho público con la finalidad de cumplir, en el marco de sus objetivos misionales y sus competencias, con los fines del Estado.</w:t>
      </w:r>
    </w:p>
    <w:p w14:paraId="21F131B7" w14:textId="4CCD72E3" w:rsidR="00E62E55" w:rsidRPr="00043D6E" w:rsidRDefault="00E62E55" w:rsidP="00E62E55">
      <w:pPr>
        <w:spacing w:after="120"/>
        <w:jc w:val="both"/>
        <w:rPr>
          <w:rFonts w:ascii="Verdana" w:eastAsia="Arial" w:hAnsi="Verdana" w:cs="Arial"/>
          <w:b/>
          <w:bCs/>
          <w:lang w:val="es-MX"/>
        </w:rPr>
      </w:pPr>
      <w:r w:rsidRPr="00043D6E">
        <w:rPr>
          <w:rFonts w:ascii="Verdana" w:eastAsia="Arial" w:hAnsi="Verdana" w:cs="Arial"/>
          <w:b/>
          <w:bCs/>
          <w:lang w:val="es-MX"/>
        </w:rPr>
        <w:t>CONVENIOS SOLIDARIOS – LEY DE GARANTIAS – No aplicable</w:t>
      </w:r>
    </w:p>
    <w:p w14:paraId="3D0D0A67" w14:textId="77777777" w:rsidR="00E62E55" w:rsidRPr="00A2491D" w:rsidRDefault="00E62E55" w:rsidP="00E62E55">
      <w:pPr>
        <w:spacing w:after="120" w:line="240" w:lineRule="auto"/>
        <w:jc w:val="both"/>
        <w:rPr>
          <w:rFonts w:ascii="Verdana" w:eastAsia="Calibri" w:hAnsi="Verdana" w:cs="Arial"/>
          <w:sz w:val="20"/>
          <w:szCs w:val="20"/>
        </w:rPr>
      </w:pPr>
      <w:r w:rsidRPr="00A2491D">
        <w:rPr>
          <w:rFonts w:ascii="Verdana" w:eastAsia="Arial" w:hAnsi="Verdana" w:cs="Arial"/>
          <w:sz w:val="20"/>
          <w:szCs w:val="20"/>
          <w:lang w:val="es-MX"/>
        </w:rPr>
        <w:t xml:space="preserve">De acuerdo con la interpretación de las normas generales del sistema de compras y contratación pública, </w:t>
      </w:r>
      <w:r w:rsidRPr="00A2491D">
        <w:rPr>
          <w:rFonts w:ascii="Verdana" w:eastAsia="Arial" w:hAnsi="Verdana" w:cs="Arial"/>
          <w:sz w:val="20"/>
          <w:szCs w:val="20"/>
          <w:lang w:val="es-ES" w:eastAsia="es-ES" w:bidi="es-ES"/>
        </w:rPr>
        <w:t xml:space="preserve">la Ley 996 de 2005 establece dos (2) tipos de restricciones en materia de contratación, las cuales coinciden parcialmente. </w:t>
      </w:r>
      <w:r w:rsidRPr="00A2491D">
        <w:rPr>
          <w:rFonts w:ascii="Verdana" w:eastAsia="Arial" w:hAnsi="Verdana" w:cs="Arial"/>
          <w:i/>
          <w:iCs/>
          <w:sz w:val="20"/>
          <w:szCs w:val="20"/>
          <w:lang w:val="es-ES" w:eastAsia="es-ES" w:bidi="es-ES"/>
        </w:rPr>
        <w:t>En primer lugar</w:t>
      </w:r>
      <w:r w:rsidRPr="00A2491D">
        <w:rPr>
          <w:rFonts w:ascii="Verdana" w:eastAsia="Arial" w:hAnsi="Verdana" w:cs="Arial"/>
          <w:sz w:val="20"/>
          <w:szCs w:val="20"/>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A2491D">
        <w:rPr>
          <w:rFonts w:ascii="Verdana" w:eastAsia="Arial" w:hAnsi="Verdana" w:cs="Arial"/>
          <w:i/>
          <w:iCs/>
          <w:sz w:val="20"/>
          <w:szCs w:val="20"/>
          <w:lang w:val="es-ES" w:eastAsia="es-ES" w:bidi="es-ES"/>
        </w:rPr>
        <w:t>En segundo lugar</w:t>
      </w:r>
      <w:r w:rsidRPr="00A2491D">
        <w:rPr>
          <w:rFonts w:ascii="Verdana" w:eastAsia="Arial" w:hAnsi="Verdana" w:cs="Arial"/>
          <w:sz w:val="20"/>
          <w:szCs w:val="20"/>
          <w:lang w:val="es-ES" w:eastAsia="es-ES" w:bidi="es-ES"/>
        </w:rPr>
        <w:t>, también se encuentra la prohibición del parágrafo del artículo 38,</w:t>
      </w:r>
      <w:r w:rsidRPr="00A2491D">
        <w:rPr>
          <w:rFonts w:ascii="Verdana" w:eastAsia="Calibri" w:hAnsi="Verdana" w:cs="Arial"/>
          <w:sz w:val="20"/>
          <w:szCs w:val="20"/>
        </w:rPr>
        <w:t xml:space="preserve"> que prevé una restricción, aplicable en las elecciones para </w:t>
      </w:r>
      <w:r w:rsidRPr="00A2491D">
        <w:rPr>
          <w:rFonts w:ascii="Verdana" w:eastAsia="Arial" w:hAnsi="Verdana" w:cs="Arial"/>
          <w:sz w:val="20"/>
          <w:szCs w:val="20"/>
          <w:lang w:val="es-ES" w:eastAsia="es-ES" w:bidi="es-ES"/>
        </w:rPr>
        <w:t>cargos de elección popular, dirigida</w:t>
      </w:r>
      <w:r w:rsidRPr="00A2491D">
        <w:rPr>
          <w:rFonts w:ascii="Verdana" w:eastAsia="Calibri" w:hAnsi="Verdana" w:cs="Arial"/>
          <w:sz w:val="20"/>
          <w:szCs w:val="20"/>
        </w:rPr>
        <w:t xml:space="preserve"> a los gobernadores, alcaldes municipales o distritales, secretarios, gerentes y directores de Entidades descentralizadas del orden municipal, departamental o distrital, en lo que respecta a la celebración de </w:t>
      </w:r>
      <w:r w:rsidRPr="00A2491D">
        <w:rPr>
          <w:rFonts w:ascii="Verdana" w:eastAsia="Arial" w:hAnsi="Verdana" w:cs="Arial"/>
          <w:sz w:val="20"/>
          <w:szCs w:val="20"/>
          <w:lang w:val="es-ES" w:eastAsia="es-ES" w:bidi="es-ES"/>
        </w:rPr>
        <w:t>convenios interadministrativos que impliquen la ejecución de recursos públicos dentro de los cuatro (4) meses anteriores a la respectiva jornada de votaciones.</w:t>
      </w:r>
    </w:p>
    <w:p w14:paraId="3854F1DA" w14:textId="77777777" w:rsidR="00E62E55" w:rsidRPr="00A2491D" w:rsidRDefault="00E62E55" w:rsidP="00E62E55">
      <w:pPr>
        <w:spacing w:after="120"/>
        <w:jc w:val="both"/>
        <w:rPr>
          <w:rFonts w:ascii="Verdana" w:hAnsi="Verdana" w:cs="Arial"/>
          <w:color w:val="000000" w:themeColor="text1"/>
          <w:sz w:val="20"/>
          <w:szCs w:val="20"/>
          <w:lang w:val="es-ES_tradnl"/>
        </w:rPr>
      </w:pPr>
      <w:r w:rsidRPr="00A2491D">
        <w:rPr>
          <w:rFonts w:ascii="Verdana" w:hAnsi="Verdana" w:cs="Arial"/>
          <w:sz w:val="20"/>
          <w:szCs w:val="20"/>
          <w:lang w:val="es-ES"/>
        </w:rPr>
        <w:t xml:space="preserve">Ahora bien, con relación a la celebración de </w:t>
      </w:r>
      <w:r w:rsidRPr="00A2491D">
        <w:rPr>
          <w:rFonts w:ascii="Verdana" w:hAnsi="Verdana" w:cs="Arial"/>
          <w:i/>
          <w:iCs/>
          <w:sz w:val="20"/>
          <w:szCs w:val="20"/>
          <w:lang w:val="es-ES"/>
        </w:rPr>
        <w:t>convenios</w:t>
      </w:r>
      <w:r w:rsidRPr="00A2491D">
        <w:rPr>
          <w:rFonts w:ascii="Verdana" w:hAnsi="Verdana" w:cs="Arial"/>
          <w:sz w:val="20"/>
          <w:szCs w:val="20"/>
          <w:lang w:val="es-ES"/>
        </w:rPr>
        <w:t xml:space="preserve"> y en aras de dar respuesta a la consulta elevada, ha de tenerse en cuenta que el </w:t>
      </w:r>
      <w:r w:rsidRPr="00A2491D">
        <w:rPr>
          <w:rFonts w:ascii="Verdana" w:hAnsi="Verdana" w:cs="Arial"/>
          <w:color w:val="000000" w:themeColor="text1"/>
          <w:sz w:val="20"/>
          <w:szCs w:val="20"/>
          <w:lang w:val="es-ES_tradnl"/>
        </w:rPr>
        <w:t xml:space="preserve">artículo 3.16 de la Ley 136 de 1994 hace referencia a los convenios suscritos entre los municipios y distritos con los cabildos, las autoridades y organizaciones indígenas, los </w:t>
      </w:r>
      <w:r w:rsidRPr="00A2491D">
        <w:rPr>
          <w:rFonts w:ascii="Verdana" w:hAnsi="Verdana" w:cs="Arial"/>
          <w:i/>
          <w:iCs/>
          <w:color w:val="000000" w:themeColor="text1"/>
          <w:sz w:val="20"/>
          <w:szCs w:val="20"/>
          <w:lang w:val="es-ES_tradnl"/>
        </w:rPr>
        <w:t>organismos de acción comunal</w:t>
      </w:r>
      <w:r w:rsidRPr="00A2491D">
        <w:rPr>
          <w:rFonts w:ascii="Verdana" w:hAnsi="Verdana" w:cs="Arial"/>
          <w:color w:val="000000" w:themeColor="text1"/>
          <w:sz w:val="20"/>
          <w:szCs w:val="20"/>
          <w:lang w:val="es-ES_tradnl"/>
        </w:rPr>
        <w:t xml:space="preserve"> y demás organizaciones civiles y asociaciones residentes en el territorio. Por su parte, el artículo 95 de la Ley 2166 de 2021</w:t>
      </w:r>
      <w:r w:rsidRPr="00A2491D">
        <w:rPr>
          <w:rFonts w:ascii="Verdana" w:hAnsi="Verdana" w:cs="Arial"/>
          <w:i/>
          <w:iCs/>
          <w:sz w:val="20"/>
          <w:szCs w:val="20"/>
          <w:lang w:val="es-ES"/>
        </w:rPr>
        <w:t xml:space="preserve"> </w:t>
      </w:r>
      <w:r w:rsidRPr="00A2491D">
        <w:rPr>
          <w:rFonts w:ascii="Verdana" w:eastAsia="Calibri" w:hAnsi="Verdana" w:cs="Arial"/>
          <w:color w:val="000000" w:themeColor="text1"/>
          <w:sz w:val="20"/>
          <w:szCs w:val="20"/>
          <w:lang w:val="es-ES"/>
        </w:rPr>
        <w:t xml:space="preserve">señala que las Entidades del orden nacional, departamental, </w:t>
      </w:r>
      <w:r w:rsidRPr="00A2491D">
        <w:rPr>
          <w:rFonts w:ascii="Verdana" w:eastAsia="Calibri" w:hAnsi="Verdana" w:cs="Arial"/>
          <w:color w:val="000000" w:themeColor="text1"/>
          <w:sz w:val="20"/>
          <w:szCs w:val="20"/>
          <w:lang w:val="es-ES"/>
        </w:rPr>
        <w:lastRenderedPageBreak/>
        <w:t xml:space="preserve">distrital y municipal podrán celebrar directamente convenios solidarios con organismos de acción comunal para la ejecución de obras hasta por la menor cuantía. Y finalmente, el parágrafo 2 del artículo 63 </w:t>
      </w:r>
      <w:r w:rsidRPr="00A2491D">
        <w:rPr>
          <w:rFonts w:ascii="Verdana" w:eastAsia="Calibri" w:hAnsi="Verdana" w:cs="Arial"/>
          <w:i/>
          <w:iCs/>
          <w:color w:val="000000" w:themeColor="text1"/>
          <w:sz w:val="20"/>
          <w:szCs w:val="20"/>
          <w:lang w:val="es-ES"/>
        </w:rPr>
        <w:t>ibidem</w:t>
      </w:r>
      <w:r w:rsidRPr="00A2491D">
        <w:rPr>
          <w:rFonts w:ascii="Verdana" w:eastAsia="Calibri" w:hAnsi="Verdana" w:cs="Arial"/>
          <w:color w:val="000000" w:themeColor="text1"/>
          <w:sz w:val="20"/>
          <w:szCs w:val="20"/>
          <w:lang w:val="es-ES"/>
        </w:rPr>
        <w:t xml:space="preserve"> permite la celebración de convenios solidarios entre Entidades del orden nacional, departamental, distrital, local y municipal con los organismos de acción comunal</w:t>
      </w:r>
      <w:r w:rsidRPr="00A2491D">
        <w:rPr>
          <w:rFonts w:ascii="Verdana" w:eastAsia="Calibri" w:hAnsi="Verdana" w:cs="Arial"/>
          <w:i/>
          <w:iCs/>
          <w:color w:val="000000" w:themeColor="text1"/>
          <w:sz w:val="20"/>
          <w:szCs w:val="20"/>
          <w:lang w:val="es-ES"/>
        </w:rPr>
        <w:t xml:space="preserve"> </w:t>
      </w:r>
      <w:r w:rsidRPr="00A2491D">
        <w:rPr>
          <w:rFonts w:ascii="Verdana" w:eastAsia="Calibri" w:hAnsi="Verdana" w:cs="Arial"/>
          <w:color w:val="000000" w:themeColor="text1"/>
          <w:sz w:val="20"/>
          <w:szCs w:val="20"/>
          <w:lang w:val="es-ES"/>
        </w:rPr>
        <w:t>para la ejecución de proyectos incluidos en el respectivo plan nacional de desarrollo o para la ejecución de los proyectos derivados del Acuerdo Final de Paz</w:t>
      </w:r>
      <w:r w:rsidRPr="00A2491D">
        <w:rPr>
          <w:rFonts w:ascii="Verdana" w:eastAsia="Calibri" w:hAnsi="Verdana" w:cs="Arial"/>
          <w:i/>
          <w:iCs/>
          <w:color w:val="000000" w:themeColor="text1"/>
          <w:sz w:val="20"/>
          <w:szCs w:val="20"/>
          <w:lang w:val="es-ES"/>
        </w:rPr>
        <w:t>.</w:t>
      </w:r>
    </w:p>
    <w:p w14:paraId="7AA36412" w14:textId="1B1301B7" w:rsidR="00E62E55" w:rsidRPr="00A2491D" w:rsidRDefault="00E62E55" w:rsidP="00A2491D">
      <w:pPr>
        <w:spacing w:after="120" w:line="240" w:lineRule="auto"/>
        <w:jc w:val="both"/>
        <w:rPr>
          <w:rFonts w:ascii="Verdana" w:hAnsi="Verdana" w:cs="Arial"/>
          <w:color w:val="000000" w:themeColor="text1"/>
          <w:sz w:val="20"/>
          <w:szCs w:val="20"/>
          <w:lang w:val="es-ES_tradnl"/>
        </w:rPr>
      </w:pPr>
      <w:r w:rsidRPr="00A2491D">
        <w:rPr>
          <w:rFonts w:ascii="Verdana" w:eastAsia="Calibri" w:hAnsi="Verdana" w:cs="Arial"/>
          <w:i/>
          <w:iCs/>
          <w:color w:val="000000" w:themeColor="text1"/>
          <w:sz w:val="20"/>
          <w:szCs w:val="20"/>
          <w:lang w:val="es-ES"/>
        </w:rPr>
        <w:t xml:space="preserve"> </w:t>
      </w:r>
      <w:r w:rsidRPr="00A2491D">
        <w:rPr>
          <w:rFonts w:ascii="Verdana" w:eastAsia="Calibri" w:hAnsi="Verdana" w:cs="Arial"/>
          <w:sz w:val="20"/>
          <w:szCs w:val="20"/>
          <w:lang w:val="es-ES" w:eastAsia="es-ES" w:bidi="es-ES"/>
        </w:rPr>
        <w:t>Bajo este contexto</w:t>
      </w:r>
      <w:r w:rsidRPr="00A2491D">
        <w:rPr>
          <w:rFonts w:ascii="Verdana" w:eastAsia="Calibri" w:hAnsi="Verdana" w:cs="Arial"/>
          <w:color w:val="000000" w:themeColor="text1"/>
          <w:sz w:val="20"/>
          <w:szCs w:val="20"/>
        </w:rPr>
        <w:t xml:space="preserve">, y </w:t>
      </w:r>
      <w:r w:rsidRPr="00A2491D">
        <w:rPr>
          <w:rFonts w:ascii="Verdana" w:hAnsi="Verdana" w:cs="Arial"/>
          <w:color w:val="000000" w:themeColor="text1"/>
          <w:sz w:val="20"/>
          <w:szCs w:val="20"/>
          <w:lang w:eastAsia="es-CO"/>
        </w:rPr>
        <w:t xml:space="preserve">considerando la naturaleza jurídica de las partes, los convenios suscritos entre Entidades del orden nacional, </w:t>
      </w:r>
      <w:r w:rsidRPr="00A2491D">
        <w:rPr>
          <w:rFonts w:ascii="Verdana" w:eastAsia="Calibri" w:hAnsi="Verdana" w:cs="Arial"/>
          <w:color w:val="000000" w:themeColor="text1"/>
          <w:sz w:val="20"/>
          <w:szCs w:val="20"/>
          <w:lang w:val="es-ES"/>
        </w:rPr>
        <w:t>departamental, distrital, local y municipal</w:t>
      </w:r>
      <w:r w:rsidRPr="00A2491D">
        <w:rPr>
          <w:rFonts w:ascii="Verdana" w:hAnsi="Verdana" w:cs="Arial"/>
          <w:color w:val="000000" w:themeColor="text1"/>
          <w:sz w:val="20"/>
          <w:szCs w:val="20"/>
          <w:lang w:eastAsia="es-CO"/>
        </w:rPr>
        <w:t xml:space="preserve"> y organismos de acción comunal </w:t>
      </w:r>
      <w:r w:rsidRPr="00A2491D">
        <w:rPr>
          <w:rFonts w:ascii="Verdana" w:hAnsi="Verdana" w:cs="Arial"/>
          <w:i/>
          <w:iCs/>
          <w:color w:val="000000" w:themeColor="text1"/>
          <w:sz w:val="20"/>
          <w:szCs w:val="20"/>
          <w:lang w:eastAsia="es-CO"/>
        </w:rPr>
        <w:t>no se califican como contratos o convenios interadministrativos</w:t>
      </w:r>
      <w:r w:rsidRPr="00A2491D">
        <w:rPr>
          <w:rFonts w:ascii="Verdana" w:hAnsi="Verdana" w:cs="Arial"/>
          <w:color w:val="000000" w:themeColor="text1"/>
          <w:sz w:val="20"/>
          <w:szCs w:val="20"/>
          <w:lang w:eastAsia="es-CO"/>
        </w:rPr>
        <w:t xml:space="preserve">, toda vez, que </w:t>
      </w:r>
      <w:r w:rsidRPr="00A2491D">
        <w:rPr>
          <w:rFonts w:ascii="Verdana" w:hAnsi="Verdana" w:cs="Arial"/>
          <w:color w:val="000000"/>
          <w:sz w:val="20"/>
          <w:szCs w:val="20"/>
          <w:lang w:val="es-ES" w:eastAsia="es-CO"/>
        </w:rPr>
        <w:t>no implica una contratación entre autoridades del Estado sino un negocio jurídico entre una Entidad y una persona jurídica de derecho privado</w:t>
      </w:r>
      <w:r w:rsidRPr="00A2491D">
        <w:rPr>
          <w:rFonts w:ascii="Verdana" w:hAnsi="Verdana" w:cs="Arial"/>
          <w:color w:val="000000" w:themeColor="text1"/>
          <w:sz w:val="20"/>
          <w:szCs w:val="20"/>
          <w:lang w:val="es-ES" w:eastAsia="es-CO"/>
        </w:rPr>
        <w:t xml:space="preserve"> </w:t>
      </w:r>
      <w:r w:rsidRPr="00A2491D">
        <w:rPr>
          <w:rFonts w:ascii="Verdana" w:hAnsi="Verdana" w:cs="Arial"/>
          <w:color w:val="000000" w:themeColor="text1"/>
          <w:sz w:val="20"/>
          <w:szCs w:val="20"/>
          <w:lang w:eastAsia="es-CO"/>
        </w:rPr>
        <w:t xml:space="preserve">y en razón a ello no sería aplicable la restricción establecida en el artículo 38 de la ley 996 del 2005, puesto que la calificación de </w:t>
      </w:r>
      <w:r w:rsidRPr="00A2491D">
        <w:rPr>
          <w:rFonts w:ascii="Verdana" w:hAnsi="Verdana" w:cs="Arial"/>
          <w:color w:val="000000" w:themeColor="text1"/>
          <w:sz w:val="20"/>
          <w:szCs w:val="20"/>
          <w:lang w:val="es-ES" w:eastAsia="es-CO"/>
        </w:rPr>
        <w:t>convenios o contratos interadministrativos está definida por un criterio orgánico, esto es, que la contratación se efectúa entre dos o más personas jurídicas de derecho público con la finalidad de cumplir, en el marco de sus objetivos misionales y sus competencias, con los fines del Estado.</w:t>
      </w:r>
    </w:p>
    <w:p w14:paraId="6942F5BB" w14:textId="022AA4EE" w:rsidR="00E62E55" w:rsidRDefault="00E62E55" w:rsidP="00E62E55">
      <w:pPr>
        <w:spacing w:after="0"/>
        <w:jc w:val="both"/>
        <w:rPr>
          <w:rFonts w:ascii="Verdana" w:hAnsi="Verdana" w:cs="Arial"/>
          <w:b/>
          <w:kern w:val="2"/>
          <w:lang w:val="es-ES"/>
          <w14:ligatures w14:val="standardContextual"/>
        </w:rPr>
      </w:pPr>
      <w:r w:rsidRPr="00940B15">
        <w:rPr>
          <w:rFonts w:ascii="Verdana" w:hAnsi="Verdana" w:cs="Arial"/>
          <w:b/>
          <w:kern w:val="2"/>
          <w:lang w:val="es-ES"/>
          <w14:ligatures w14:val="standardContextual"/>
        </w:rPr>
        <w:t xml:space="preserve">INTEGRACIÓN NORMATIVA – Convenios de asociación </w:t>
      </w:r>
      <w:r w:rsidR="005C3E1F" w:rsidRPr="005C3E1F">
        <w:rPr>
          <w:rFonts w:ascii="Verdana" w:hAnsi="Verdana" w:cs="Arial"/>
          <w:b/>
          <w:bCs/>
          <w:kern w:val="2"/>
          <w:lang w:val="es-ES"/>
          <w14:ligatures w14:val="standardContextual"/>
        </w:rPr>
        <w:t>–</w:t>
      </w:r>
      <w:r w:rsidRPr="00940B15">
        <w:rPr>
          <w:rFonts w:ascii="Verdana" w:hAnsi="Verdana" w:cs="Arial"/>
          <w:b/>
          <w:kern w:val="2"/>
          <w:lang w:val="es-ES"/>
          <w14:ligatures w14:val="standardContextual"/>
        </w:rPr>
        <w:t xml:space="preserve"> Reglas – inaplicabilidad del anticipo y pago anticipado</w:t>
      </w:r>
    </w:p>
    <w:p w14:paraId="48D9F60D" w14:textId="77777777" w:rsidR="00E62E55" w:rsidRPr="00070587" w:rsidRDefault="00E62E55" w:rsidP="00E62E55">
      <w:pPr>
        <w:spacing w:after="0" w:line="240" w:lineRule="auto"/>
        <w:jc w:val="both"/>
        <w:rPr>
          <w:rFonts w:ascii="Verdana" w:eastAsia="Calibri" w:hAnsi="Verdana" w:cs="Arial"/>
          <w:sz w:val="20"/>
          <w:lang w:val="es-ES"/>
        </w:rPr>
      </w:pPr>
    </w:p>
    <w:p w14:paraId="6CC138DF" w14:textId="77777777" w:rsidR="00E62E55" w:rsidRPr="00070587" w:rsidRDefault="00E62E55" w:rsidP="00E62E55">
      <w:pPr>
        <w:spacing w:after="0" w:line="240" w:lineRule="auto"/>
        <w:jc w:val="both"/>
        <w:rPr>
          <w:rFonts w:ascii="Verdana" w:eastAsia="Calibri" w:hAnsi="Verdana" w:cs="Arial"/>
          <w:sz w:val="20"/>
          <w:lang w:val="es-ES"/>
        </w:rPr>
      </w:pPr>
      <w:r w:rsidRPr="00070587">
        <w:rPr>
          <w:rFonts w:ascii="Verdana" w:eastAsia="Calibri" w:hAnsi="Verdana" w:cs="Arial"/>
          <w:sz w:val="20"/>
          <w:lang w:val="es-ES"/>
        </w:rPr>
        <w:t xml:space="preserve">En esta medida, los </w:t>
      </w:r>
      <w:r w:rsidRPr="00070587">
        <w:rPr>
          <w:rFonts w:ascii="Verdana" w:eastAsia="Calibri" w:hAnsi="Verdana" w:cs="Arial"/>
          <w:i/>
          <w:iCs/>
          <w:sz w:val="20"/>
          <w:lang w:val="es-ES"/>
        </w:rPr>
        <w:t xml:space="preserve">contratos del artículo 355 de la Constitución </w:t>
      </w:r>
      <w:r w:rsidRPr="00070587">
        <w:rPr>
          <w:rFonts w:ascii="Verdana" w:eastAsia="Calibri" w:hAnsi="Verdana" w:cs="Arial"/>
          <w:sz w:val="20"/>
          <w:lang w:val="es-ES"/>
        </w:rPr>
        <w:t xml:space="preserve">y los </w:t>
      </w:r>
      <w:r w:rsidRPr="00070587">
        <w:rPr>
          <w:rFonts w:ascii="Verdana" w:eastAsia="Calibri" w:hAnsi="Verdana" w:cs="Arial"/>
          <w:i/>
          <w:iCs/>
          <w:sz w:val="20"/>
          <w:lang w:val="es-ES"/>
        </w:rPr>
        <w:t>convenios de asociación</w:t>
      </w:r>
      <w:r w:rsidRPr="00070587">
        <w:rPr>
          <w:rFonts w:ascii="Verdana" w:eastAsia="Calibri" w:hAnsi="Verdana" w:cs="Arial"/>
          <w:sz w:val="20"/>
          <w:lang w:val="es-ES"/>
        </w:rPr>
        <w:t xml:space="preserve"> se rigen por el decreto y las normas del Estatuto General que sean compatibles con él, como, por ejemplo, los fines de la contratación –art. 3–, los derechos y deberes del contratante y del contratista –arts. 4 y 5–, los consorcios o uniones temporales –art. 7–, el régimen de inhabilidades e incompatibilidades –art. 8–, los principios de la contratación estatal –art. 23 y ss.–, las tipologías contractuales –art. 32–, el contenido del contrato, la prohibición de adicionarlo en más del cincuenta por ciento –art. 40–, el régimen de perfeccionamiento –art. 41–, las causales de nulidad –art. 44 y ss.–, el régimen de responsabilidad contractual –art. 50 y ss.– y de liquidación de los contratos –art. 60–. </w:t>
      </w:r>
    </w:p>
    <w:p w14:paraId="4BAFAF48" w14:textId="77777777" w:rsidR="00E62E55" w:rsidRDefault="00E62E55" w:rsidP="00E62E55">
      <w:pPr>
        <w:spacing w:after="0" w:line="240" w:lineRule="auto"/>
        <w:jc w:val="both"/>
        <w:rPr>
          <w:rFonts w:ascii="Verdana" w:eastAsia="Calibri" w:hAnsi="Verdana" w:cs="Arial"/>
          <w:sz w:val="20"/>
          <w:lang w:val="es-ES"/>
        </w:rPr>
      </w:pPr>
    </w:p>
    <w:p w14:paraId="2DE44921" w14:textId="77777777" w:rsidR="00E62E55" w:rsidRPr="00070587" w:rsidRDefault="00E62E55" w:rsidP="00E62E55">
      <w:pPr>
        <w:spacing w:after="0" w:line="240" w:lineRule="auto"/>
        <w:jc w:val="both"/>
        <w:rPr>
          <w:rFonts w:ascii="Verdana" w:eastAsia="Calibri" w:hAnsi="Verdana" w:cs="Arial"/>
          <w:sz w:val="20"/>
          <w:lang w:val="es-ES"/>
        </w:rPr>
      </w:pPr>
      <w:r w:rsidRPr="00070587">
        <w:rPr>
          <w:rFonts w:ascii="Verdana" w:eastAsia="Calibri" w:hAnsi="Verdana" w:cs="Arial"/>
          <w:sz w:val="20"/>
          <w:lang w:val="es-ES"/>
        </w:rPr>
        <w:t xml:space="preserve">Ahora bien, esta remisión del artículo 8 del Decreto 092 de 2017 no puede integrarse de plano con las normas del Estatuto General de Contratación de la Administración Pública, sin tener en cuenta las características y condiciones especiales de los diferentes tipos de convenios que se suscribe bajo el amparo del artículo 355 de la Constitución Política y cuya reglamentación está dispuesta en el Decreto 092 de 2017. </w:t>
      </w:r>
      <w:r w:rsidRPr="00070587">
        <w:rPr>
          <w:rFonts w:ascii="Bookman Old Style" w:eastAsia="Calibri" w:hAnsi="Bookman Old Style" w:cs="Times New Roman"/>
          <w:sz w:val="18"/>
          <w:szCs w:val="20"/>
          <w:lang w:val="es-ES"/>
        </w:rPr>
        <w:t xml:space="preserve"> </w:t>
      </w:r>
    </w:p>
    <w:p w14:paraId="29D64703" w14:textId="77777777" w:rsidR="00E62E55" w:rsidRDefault="00E62E55" w:rsidP="00E62E55">
      <w:pPr>
        <w:tabs>
          <w:tab w:val="left" w:pos="284"/>
        </w:tabs>
        <w:spacing w:after="0" w:line="240" w:lineRule="auto"/>
        <w:jc w:val="both"/>
        <w:rPr>
          <w:rFonts w:ascii="Verdana" w:eastAsia="Arial" w:hAnsi="Verdana" w:cs="Arial"/>
          <w:sz w:val="20"/>
          <w:lang w:val="es-ES" w:eastAsia="es-ES" w:bidi="es-ES"/>
        </w:rPr>
      </w:pPr>
    </w:p>
    <w:p w14:paraId="1C6F17A2" w14:textId="77777777" w:rsidR="00E62E55" w:rsidRPr="00070587" w:rsidRDefault="00E62E55" w:rsidP="00E62E55">
      <w:pPr>
        <w:tabs>
          <w:tab w:val="left" w:pos="284"/>
        </w:tabs>
        <w:spacing w:after="0" w:line="240" w:lineRule="auto"/>
        <w:jc w:val="both"/>
        <w:rPr>
          <w:rFonts w:ascii="Verdana" w:eastAsia="Calibri" w:hAnsi="Verdana" w:cs="Arial"/>
          <w:bCs/>
          <w:sz w:val="20"/>
        </w:rPr>
      </w:pPr>
      <w:r w:rsidRPr="00070587">
        <w:rPr>
          <w:rFonts w:ascii="Verdana" w:eastAsia="Arial" w:hAnsi="Verdana" w:cs="Arial"/>
          <w:sz w:val="20"/>
          <w:lang w:eastAsia="es-ES" w:bidi="es-ES"/>
        </w:rPr>
        <w:t xml:space="preserve">Conforme a lo expresado, el anticipo, al igual que el pago anticipado, son conceptos vinculados a la contraprestación que suelen recibir los contratistas en el marco de los contratos conmutativos que ejecutan como una manifestación de la actividad económica que ejercen. Esto significa que, en relaciones jurídico-negociales colaborativas como los convenios de asociación, así como los contratos de interés público o de colaboración y en los convenios solidarios, en las que se caractericen por no recibir </w:t>
      </w:r>
      <w:r w:rsidRPr="00070587">
        <w:rPr>
          <w:rFonts w:ascii="Verdana" w:eastAsia="Calibri" w:hAnsi="Verdana" w:cs="Arial"/>
          <w:bCs/>
          <w:sz w:val="20"/>
        </w:rPr>
        <w:t xml:space="preserve">una contraprestación económica, no es aplicable la remisión integral al anticipo o pago anticipado. </w:t>
      </w:r>
    </w:p>
    <w:p w14:paraId="6CEA57A6" w14:textId="77777777" w:rsidR="00E62E55" w:rsidRDefault="00E62E55" w:rsidP="00E62E55">
      <w:pPr>
        <w:shd w:val="clear" w:color="auto" w:fill="FFFFFF"/>
        <w:spacing w:after="0" w:line="240" w:lineRule="auto"/>
        <w:jc w:val="both"/>
        <w:textAlignment w:val="baseline"/>
        <w:rPr>
          <w:rFonts w:ascii="Verdana" w:eastAsia="Calibri" w:hAnsi="Verdana" w:cs="Arial"/>
          <w:bCs/>
          <w:sz w:val="20"/>
        </w:rPr>
      </w:pPr>
    </w:p>
    <w:p w14:paraId="7531652D" w14:textId="77777777" w:rsidR="00E62E55" w:rsidRDefault="00E62E55" w:rsidP="00E62E55">
      <w:pPr>
        <w:shd w:val="clear" w:color="auto" w:fill="FFFFFF"/>
        <w:spacing w:after="0" w:line="240" w:lineRule="auto"/>
        <w:jc w:val="both"/>
        <w:textAlignment w:val="baseline"/>
        <w:rPr>
          <w:rFonts w:ascii="Verdana" w:eastAsia="Calibri" w:hAnsi="Verdana" w:cs="Arial"/>
          <w:bCs/>
          <w:sz w:val="20"/>
          <w:lang w:val="es-ES_tradnl"/>
        </w:rPr>
      </w:pPr>
      <w:r w:rsidRPr="00070587">
        <w:rPr>
          <w:rFonts w:ascii="Verdana" w:eastAsia="Calibri" w:hAnsi="Verdana" w:cs="Arial"/>
          <w:bCs/>
          <w:sz w:val="20"/>
        </w:rPr>
        <w:t xml:space="preserve">Según el marco jurídico aplicable del Decreto 092 de 2017, se prohíbe que de dichos convenios emanen intereses onerosos, o produzca obligaciones entre los extremos con equivalencia entre sí, como sucede con los contratos de obra o de suministro, </w:t>
      </w:r>
      <w:proofErr w:type="gramStart"/>
      <w:r w:rsidRPr="00070587">
        <w:rPr>
          <w:rFonts w:ascii="Verdana" w:eastAsia="Calibri" w:hAnsi="Verdana" w:cs="Arial"/>
          <w:bCs/>
          <w:sz w:val="20"/>
        </w:rPr>
        <w:t>y</w:t>
      </w:r>
      <w:proofErr w:type="gramEnd"/>
      <w:r w:rsidRPr="00070587">
        <w:rPr>
          <w:rFonts w:ascii="Verdana" w:eastAsia="Calibri" w:hAnsi="Verdana" w:cs="Arial"/>
          <w:bCs/>
          <w:sz w:val="20"/>
        </w:rPr>
        <w:t xml:space="preserve"> por tanto, no puede estipularse anticipos y pagos anticipados que por su naturaleza tienen un carácter prestacional. </w:t>
      </w:r>
      <w:r w:rsidRPr="00070587">
        <w:rPr>
          <w:rFonts w:ascii="Verdana" w:eastAsia="Calibri" w:hAnsi="Verdana" w:cs="Arial"/>
          <w:bCs/>
          <w:sz w:val="20"/>
          <w:lang w:val="es-ES_tradnl"/>
        </w:rPr>
        <w:t xml:space="preserve">En línea con lo expuesto, resalta la exigencia de determinar con precisión las obligaciones de las partes y los aportes, por lo cual puede estipularse que una de las obligaciones a cargo de una de partes sea lo referente a las labores administrativas necesarias para el desarrollo del objeto del convenio. </w:t>
      </w:r>
    </w:p>
    <w:p w14:paraId="03036284" w14:textId="77777777" w:rsidR="00E62E55" w:rsidRPr="00070587" w:rsidRDefault="00E62E55" w:rsidP="00E62E55">
      <w:pPr>
        <w:shd w:val="clear" w:color="auto" w:fill="FFFFFF"/>
        <w:spacing w:after="0" w:line="240" w:lineRule="auto"/>
        <w:jc w:val="both"/>
        <w:textAlignment w:val="baseline"/>
        <w:rPr>
          <w:rFonts w:ascii="Verdana" w:eastAsia="Calibri" w:hAnsi="Verdana" w:cs="Arial"/>
          <w:bCs/>
          <w:sz w:val="20"/>
          <w:lang w:val="es-ES_tradnl"/>
        </w:rPr>
      </w:pPr>
    </w:p>
    <w:p w14:paraId="33E71C79" w14:textId="37F76449" w:rsidR="00E62E55" w:rsidRPr="00940B15" w:rsidRDefault="00E62E55" w:rsidP="00E62E55">
      <w:pPr>
        <w:spacing w:after="0"/>
        <w:jc w:val="both"/>
        <w:rPr>
          <w:rFonts w:ascii="Verdana" w:hAnsi="Verdana" w:cs="Arial"/>
          <w:b/>
          <w:kern w:val="2"/>
          <w:lang w:val="es-ES"/>
          <w14:ligatures w14:val="standardContextual"/>
        </w:rPr>
      </w:pPr>
      <w:r w:rsidRPr="00940B15">
        <w:rPr>
          <w:rFonts w:ascii="Verdana" w:hAnsi="Verdana" w:cs="Arial"/>
          <w:b/>
          <w:kern w:val="2"/>
          <w:lang w:val="es-ES"/>
          <w14:ligatures w14:val="standardContextual"/>
        </w:rPr>
        <w:t xml:space="preserve">CONVENIOS DE ASOCIACIÓN – </w:t>
      </w:r>
      <w:r w:rsidR="00A2491D">
        <w:rPr>
          <w:rFonts w:ascii="Verdana" w:hAnsi="Verdana" w:cs="Arial"/>
          <w:b/>
          <w:kern w:val="2"/>
          <w:lang w:val="es-ES"/>
          <w14:ligatures w14:val="standardContextual"/>
        </w:rPr>
        <w:t>C</w:t>
      </w:r>
      <w:r w:rsidRPr="00940B15">
        <w:rPr>
          <w:rFonts w:ascii="Verdana" w:hAnsi="Verdana" w:cs="Arial"/>
          <w:b/>
          <w:kern w:val="2"/>
          <w:lang w:val="es-ES"/>
          <w14:ligatures w14:val="standardContextual"/>
        </w:rPr>
        <w:t xml:space="preserve">arácter no conmutativo </w:t>
      </w:r>
      <w:r w:rsidR="005C3E1F" w:rsidRPr="005C3E1F">
        <w:rPr>
          <w:rFonts w:ascii="Verdana" w:hAnsi="Verdana" w:cs="Arial"/>
          <w:b/>
          <w:bCs/>
          <w:kern w:val="2"/>
          <w:lang w:val="es-ES"/>
          <w14:ligatures w14:val="standardContextual"/>
        </w:rPr>
        <w:t>–</w:t>
      </w:r>
      <w:r w:rsidRPr="00940B15">
        <w:rPr>
          <w:rFonts w:ascii="Verdana" w:hAnsi="Verdana" w:cs="Arial"/>
          <w:b/>
          <w:kern w:val="2"/>
          <w:lang w:val="es-ES"/>
          <w14:ligatures w14:val="standardContextual"/>
        </w:rPr>
        <w:t xml:space="preserve"> </w:t>
      </w:r>
      <w:r w:rsidR="00A2491D">
        <w:rPr>
          <w:rFonts w:ascii="Verdana" w:hAnsi="Verdana" w:cs="Arial"/>
          <w:b/>
          <w:kern w:val="2"/>
          <w:lang w:val="es-ES"/>
          <w14:ligatures w14:val="standardContextual"/>
        </w:rPr>
        <w:t>N</w:t>
      </w:r>
      <w:r w:rsidRPr="00940B15">
        <w:rPr>
          <w:rFonts w:ascii="Verdana" w:hAnsi="Verdana" w:cs="Arial"/>
          <w:b/>
          <w:kern w:val="2"/>
          <w:lang w:val="es-ES"/>
          <w14:ligatures w14:val="standardContextual"/>
        </w:rPr>
        <w:t xml:space="preserve">o obligatoriedad </w:t>
      </w:r>
      <w:r w:rsidR="00A2491D" w:rsidRPr="00A2491D">
        <w:rPr>
          <w:rFonts w:ascii="Verdana" w:hAnsi="Verdana" w:cs="Arial"/>
          <w:b/>
          <w:bCs/>
          <w:kern w:val="2"/>
          <w:lang w:val="es-ES"/>
          <w14:ligatures w14:val="standardContextual"/>
        </w:rPr>
        <w:t>–</w:t>
      </w:r>
      <w:r w:rsidRPr="00940B15">
        <w:rPr>
          <w:rFonts w:ascii="Verdana" w:hAnsi="Verdana" w:cs="Arial"/>
          <w:b/>
          <w:kern w:val="2"/>
          <w:lang w:val="es-ES"/>
          <w14:ligatures w14:val="standardContextual"/>
        </w:rPr>
        <w:t xml:space="preserve"> </w:t>
      </w:r>
      <w:r w:rsidR="00A2491D">
        <w:rPr>
          <w:rFonts w:ascii="Verdana" w:hAnsi="Verdana" w:cs="Arial"/>
          <w:b/>
          <w:kern w:val="2"/>
          <w:lang w:val="es-ES"/>
          <w14:ligatures w14:val="standardContextual"/>
        </w:rPr>
        <w:t>A</w:t>
      </w:r>
      <w:r w:rsidRPr="00940B15">
        <w:rPr>
          <w:rFonts w:ascii="Verdana" w:hAnsi="Verdana" w:cs="Arial"/>
          <w:b/>
          <w:kern w:val="2"/>
          <w:lang w:val="es-ES"/>
          <w14:ligatures w14:val="standardContextual"/>
        </w:rPr>
        <w:t xml:space="preserve">mparo de buen manejo y correcta inversión del anticipo – </w:t>
      </w:r>
      <w:r w:rsidR="00A2491D">
        <w:rPr>
          <w:rFonts w:ascii="Verdana" w:hAnsi="Verdana" w:cs="Arial"/>
          <w:b/>
          <w:kern w:val="2"/>
          <w:lang w:val="es-ES"/>
          <w14:ligatures w14:val="standardContextual"/>
        </w:rPr>
        <w:t>A</w:t>
      </w:r>
      <w:r w:rsidRPr="00940B15">
        <w:rPr>
          <w:rFonts w:ascii="Verdana" w:hAnsi="Verdana" w:cs="Arial"/>
          <w:b/>
          <w:kern w:val="2"/>
          <w:lang w:val="es-ES"/>
          <w14:ligatures w14:val="standardContextual"/>
        </w:rPr>
        <w:t>mparo de devolución del pago anticipado</w:t>
      </w:r>
    </w:p>
    <w:p w14:paraId="443C227B" w14:textId="77777777" w:rsidR="00E62E55" w:rsidRDefault="00E62E55" w:rsidP="00E62E55">
      <w:pPr>
        <w:spacing w:after="0"/>
        <w:jc w:val="both"/>
        <w:rPr>
          <w:rFonts w:ascii="Verdana" w:hAnsi="Verdana"/>
          <w:b/>
          <w:lang w:val="es-ES"/>
        </w:rPr>
      </w:pPr>
    </w:p>
    <w:p w14:paraId="52038EF7" w14:textId="77777777" w:rsidR="00E62E55" w:rsidRPr="00070587" w:rsidRDefault="00E62E55" w:rsidP="00E62E55">
      <w:pPr>
        <w:spacing w:after="120" w:line="240" w:lineRule="auto"/>
        <w:jc w:val="both"/>
        <w:rPr>
          <w:rFonts w:ascii="Verdana" w:eastAsia="Arial" w:hAnsi="Verdana" w:cs="Arial"/>
          <w:sz w:val="20"/>
          <w:lang w:val="es-ES" w:eastAsia="es-ES" w:bidi="es-ES"/>
        </w:rPr>
      </w:pPr>
      <w:r w:rsidRPr="00070587">
        <w:rPr>
          <w:rFonts w:ascii="Verdana" w:eastAsia="Calibri" w:hAnsi="Verdana" w:cs="Arial"/>
          <w:bCs/>
          <w:sz w:val="20"/>
          <w:lang w:val="es-ES_tradnl"/>
        </w:rPr>
        <w:t xml:space="preserve">Conforme lo expuesto, dichas estipulaciones no deben entenderse como una contraprestación para algunas de las partes o no pueden destinarse a remunerar a la ESAL o a la entidad pública que participe del convenio. </w:t>
      </w:r>
      <w:r w:rsidRPr="00070587">
        <w:rPr>
          <w:rFonts w:ascii="Verdana" w:eastAsia="Calibri" w:hAnsi="Verdana" w:cs="Arial"/>
          <w:bCs/>
          <w:sz w:val="20"/>
        </w:rPr>
        <w:t xml:space="preserve">De las precisiones se infiere, que en los convenios de asociación, no debe constituirse el amparo de </w:t>
      </w:r>
      <w:r w:rsidRPr="00070587">
        <w:rPr>
          <w:rFonts w:ascii="Verdana" w:eastAsia="Arial" w:hAnsi="Verdana" w:cs="Arial"/>
          <w:i/>
          <w:sz w:val="20"/>
          <w:lang w:val="es-ES" w:eastAsia="es-ES" w:bidi="es-ES"/>
        </w:rPr>
        <w:t>buen manejo y correcta inversión del mismo</w:t>
      </w:r>
      <w:r w:rsidRPr="00070587">
        <w:rPr>
          <w:rFonts w:ascii="Verdana" w:eastAsia="Arial" w:hAnsi="Verdana" w:cs="Arial"/>
          <w:sz w:val="20"/>
          <w:lang w:val="es-ES" w:eastAsia="es-ES" w:bidi="es-ES"/>
        </w:rPr>
        <w:t xml:space="preserve">, en la que debe ampararse los perjuicios que puede afectar a la entidad por: i) la no inversión, esto es, cuando el contratista pese a recibir los recursos no los invierte de acuerdo al plan de inversión del anticipo, pudiendo generar retrasos en la ejecución del contrato; </w:t>
      </w:r>
      <w:proofErr w:type="spellStart"/>
      <w:r w:rsidRPr="00070587">
        <w:rPr>
          <w:rFonts w:ascii="Verdana" w:eastAsia="Arial" w:hAnsi="Verdana" w:cs="Arial"/>
          <w:sz w:val="20"/>
          <w:lang w:val="es-ES" w:eastAsia="es-ES" w:bidi="es-ES"/>
        </w:rPr>
        <w:t>ii</w:t>
      </w:r>
      <w:proofErr w:type="spellEnd"/>
      <w:r w:rsidRPr="00070587">
        <w:rPr>
          <w:rFonts w:ascii="Verdana" w:eastAsia="Arial" w:hAnsi="Verdana" w:cs="Arial"/>
          <w:sz w:val="20"/>
          <w:lang w:val="es-ES" w:eastAsia="es-ES" w:bidi="es-ES"/>
        </w:rPr>
        <w:t xml:space="preserve">) el uso indebido del anticipo, por ejemplo, cuando el contratista emplea dichos recursos con una finalidad diferente a la estipulada, v. gr. para saldar deudas propias;; y </w:t>
      </w:r>
      <w:proofErr w:type="spellStart"/>
      <w:r w:rsidRPr="00070587">
        <w:rPr>
          <w:rFonts w:ascii="Verdana" w:eastAsia="Arial" w:hAnsi="Verdana" w:cs="Arial"/>
          <w:sz w:val="20"/>
          <w:lang w:val="es-ES" w:eastAsia="es-ES" w:bidi="es-ES"/>
        </w:rPr>
        <w:t>iii</w:t>
      </w:r>
      <w:proofErr w:type="spellEnd"/>
      <w:r w:rsidRPr="00070587">
        <w:rPr>
          <w:rFonts w:ascii="Verdana" w:eastAsia="Arial" w:hAnsi="Verdana" w:cs="Arial"/>
          <w:sz w:val="20"/>
          <w:lang w:val="es-ES" w:eastAsia="es-ES" w:bidi="es-ES"/>
        </w:rPr>
        <w:t xml:space="preserve">) por la apropiación indebida de dichos recursos -art.  2.2.1.2.3.1.7., numeral 1 del Decreto 1082 de 2015-. De igual forma, no es posible exigir el amparo de devolución del pago anticipado, que cubre los perjuicios sufridos por la entidad por la no devolución total o parcial del dinero que se entregó al contratista por pago anticipado -art. 2.2.1.2.3.1.7., numeral 2- del Decreto 1082 de 2015-. Sin embargo, esta precisión no implica que la entidad no exija en el respectivo convenio la exigencia de amparos que cubran los diferentes riesgos que se presenten por incumplimiento de las obligaciones, el pago de salarios y prestaciones sociales, entre otros. </w:t>
      </w:r>
    </w:p>
    <w:p w14:paraId="6D90821A" w14:textId="77777777" w:rsidR="00E62E55" w:rsidRDefault="00E62E55" w:rsidP="00E62E55">
      <w:pPr>
        <w:spacing w:after="0"/>
        <w:rPr>
          <w:rFonts w:ascii="Verdana" w:hAnsi="Verdana"/>
          <w:lang w:val="es-ES"/>
        </w:rPr>
      </w:pPr>
    </w:p>
    <w:p w14:paraId="5BDC209F" w14:textId="77777777" w:rsidR="00E62E55" w:rsidRDefault="00E62E55" w:rsidP="00E62E55">
      <w:pPr>
        <w:spacing w:after="0"/>
        <w:rPr>
          <w:rFonts w:ascii="Verdana" w:hAnsi="Verdana"/>
          <w:lang w:val="es-ES"/>
        </w:rPr>
      </w:pPr>
    </w:p>
    <w:p w14:paraId="26DC534C" w14:textId="77777777" w:rsidR="00E62E55" w:rsidRDefault="00E62E55" w:rsidP="00E62E55">
      <w:pPr>
        <w:spacing w:after="0"/>
        <w:rPr>
          <w:rFonts w:ascii="Verdana" w:hAnsi="Verdana"/>
          <w:lang w:val="es-ES"/>
        </w:rPr>
      </w:pPr>
    </w:p>
    <w:p w14:paraId="6D7454C9" w14:textId="77777777" w:rsidR="00E62E55" w:rsidRDefault="00E62E55" w:rsidP="00E62E55">
      <w:pPr>
        <w:spacing w:after="0"/>
        <w:rPr>
          <w:rFonts w:ascii="Verdana" w:hAnsi="Verdana"/>
          <w:lang w:val="es-ES"/>
        </w:rPr>
      </w:pPr>
    </w:p>
    <w:p w14:paraId="22E59C7B" w14:textId="77777777" w:rsidR="00E62E55" w:rsidRDefault="00E62E55" w:rsidP="00E62E55">
      <w:pPr>
        <w:spacing w:after="0"/>
        <w:rPr>
          <w:rFonts w:ascii="Verdana" w:hAnsi="Verdana"/>
          <w:lang w:val="es-ES"/>
        </w:rPr>
      </w:pPr>
    </w:p>
    <w:p w14:paraId="5DB0DF17" w14:textId="77777777" w:rsidR="00E62E55" w:rsidRDefault="00E62E55" w:rsidP="00E62E55">
      <w:pPr>
        <w:spacing w:after="0"/>
        <w:rPr>
          <w:rFonts w:ascii="Verdana" w:hAnsi="Verdana"/>
          <w:lang w:val="es-ES"/>
        </w:rPr>
      </w:pPr>
    </w:p>
    <w:p w14:paraId="656B6F56" w14:textId="77777777" w:rsidR="00E62E55" w:rsidRDefault="00E62E55" w:rsidP="00E62E55">
      <w:pPr>
        <w:spacing w:after="0"/>
        <w:rPr>
          <w:rFonts w:ascii="Verdana" w:hAnsi="Verdana"/>
          <w:lang w:val="es-ES"/>
        </w:rPr>
      </w:pPr>
    </w:p>
    <w:p w14:paraId="659B2B5A" w14:textId="77777777" w:rsidR="00E62E55" w:rsidRDefault="00E62E55" w:rsidP="00E62E55">
      <w:pPr>
        <w:spacing w:after="0"/>
        <w:rPr>
          <w:rFonts w:ascii="Verdana" w:hAnsi="Verdana"/>
          <w:lang w:val="es-ES"/>
        </w:rPr>
      </w:pPr>
    </w:p>
    <w:p w14:paraId="0CDB183B" w14:textId="77777777" w:rsidR="00E62E55" w:rsidRDefault="00E62E55" w:rsidP="00E62E55">
      <w:pPr>
        <w:spacing w:after="0"/>
        <w:rPr>
          <w:rFonts w:ascii="Verdana" w:hAnsi="Verdana"/>
          <w:lang w:val="es-ES"/>
        </w:rPr>
      </w:pPr>
    </w:p>
    <w:p w14:paraId="4C3D3E90" w14:textId="77777777" w:rsidR="00E62E55" w:rsidRDefault="00E62E55" w:rsidP="00E62E55">
      <w:pPr>
        <w:spacing w:after="0"/>
        <w:rPr>
          <w:rFonts w:ascii="Verdana" w:hAnsi="Verdana"/>
          <w:lang w:val="es-ES"/>
        </w:rPr>
      </w:pPr>
    </w:p>
    <w:p w14:paraId="6495FDD1" w14:textId="77777777" w:rsidR="00E62E55" w:rsidRDefault="00E62E55" w:rsidP="00E62E55">
      <w:pPr>
        <w:spacing w:after="0"/>
        <w:rPr>
          <w:rFonts w:ascii="Verdana" w:hAnsi="Verdana"/>
          <w:lang w:val="es-ES"/>
        </w:rPr>
      </w:pPr>
    </w:p>
    <w:p w14:paraId="183B3E98" w14:textId="77777777" w:rsidR="00F96420" w:rsidRDefault="00F96420" w:rsidP="00E62E55">
      <w:pPr>
        <w:spacing w:after="0" w:line="240" w:lineRule="auto"/>
        <w:rPr>
          <w:rFonts w:ascii="Verdana" w:eastAsia="Geomanist Light" w:hAnsi="Verdana" w:cs="Arial"/>
          <w:lang w:val="es-MX"/>
        </w:rPr>
      </w:pPr>
    </w:p>
    <w:p w14:paraId="63DBDA1A" w14:textId="1B8D567A" w:rsidR="00E62E55" w:rsidRPr="00EA7EA8" w:rsidRDefault="00E62E55" w:rsidP="00E62E55">
      <w:pPr>
        <w:spacing w:after="0" w:line="240" w:lineRule="auto"/>
        <w:rPr>
          <w:rFonts w:ascii="Verdana" w:eastAsia="Geomanist Light" w:hAnsi="Verdana" w:cs="Arial"/>
          <w:lang w:val="es-MX"/>
        </w:rPr>
      </w:pPr>
      <w:r w:rsidRPr="00EA7EA8">
        <w:rPr>
          <w:rFonts w:ascii="Verdana" w:eastAsia="Geomanist Light" w:hAnsi="Verdana" w:cs="Arial"/>
          <w:lang w:val="es-MX"/>
        </w:rPr>
        <w:lastRenderedPageBreak/>
        <w:t>Bogotá D.C., [Día] de [</w:t>
      </w:r>
      <w:proofErr w:type="spellStart"/>
      <w:r w:rsidRPr="00EA7EA8">
        <w:rPr>
          <w:rFonts w:ascii="Verdana" w:eastAsia="Geomanist Light" w:hAnsi="Verdana" w:cs="Arial"/>
          <w:lang w:val="es-MX"/>
        </w:rPr>
        <w:t>Mes.NombreCapitalizado</w:t>
      </w:r>
      <w:proofErr w:type="spellEnd"/>
      <w:r w:rsidRPr="00EA7EA8">
        <w:rPr>
          <w:rFonts w:ascii="Verdana" w:eastAsia="Geomanist Light" w:hAnsi="Verdana" w:cs="Arial"/>
          <w:lang w:val="es-MX"/>
        </w:rPr>
        <w:t>] de [Año]</w:t>
      </w:r>
    </w:p>
    <w:p w14:paraId="044B12B5" w14:textId="77777777" w:rsidR="00E62E55" w:rsidRPr="00EA7EA8" w:rsidRDefault="00E62E55" w:rsidP="00E62E55">
      <w:pPr>
        <w:spacing w:after="0" w:line="240" w:lineRule="auto"/>
        <w:jc w:val="both"/>
        <w:rPr>
          <w:rFonts w:ascii="Verdana" w:eastAsia="Calibri" w:hAnsi="Verdana" w:cs="Arial"/>
          <w:lang w:val="es-ES"/>
        </w:rPr>
      </w:pPr>
    </w:p>
    <w:p w14:paraId="4F195583" w14:textId="567B164F" w:rsidR="00E62E55" w:rsidRDefault="008C0736" w:rsidP="00E62E55">
      <w:pPr>
        <w:spacing w:after="0" w:line="240" w:lineRule="auto"/>
        <w:jc w:val="both"/>
        <w:rPr>
          <w:rFonts w:ascii="Verdana" w:eastAsia="Calibri" w:hAnsi="Verdana" w:cs="Arial"/>
          <w:lang w:val="es-ES" w:eastAsia="es-ES"/>
        </w:rPr>
      </w:pPr>
      <w:r w:rsidRPr="008C0736">
        <w:rPr>
          <w:rFonts w:ascii="Verdana" w:eastAsia="Calibri" w:hAnsi="Verdana" w:cs="Arial"/>
          <w:noProof/>
          <w:lang w:val="es-ES" w:eastAsia="es-ES"/>
        </w:rPr>
        <w:drawing>
          <wp:anchor distT="0" distB="0" distL="114300" distR="114300" simplePos="0" relativeHeight="251658240" behindDoc="1" locked="0" layoutInCell="1" allowOverlap="1" wp14:anchorId="2C99936E" wp14:editId="4B6DE043">
            <wp:simplePos x="0" y="0"/>
            <wp:positionH relativeFrom="column">
              <wp:posOffset>2961005</wp:posOffset>
            </wp:positionH>
            <wp:positionV relativeFrom="paragraph">
              <wp:posOffset>33020</wp:posOffset>
            </wp:positionV>
            <wp:extent cx="2878455" cy="763270"/>
            <wp:effectExtent l="0" t="0" r="0" b="0"/>
            <wp:wrapSquare wrapText="bothSides"/>
            <wp:docPr id="8421235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12350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78455" cy="763270"/>
                    </a:xfrm>
                    <a:prstGeom prst="rect">
                      <a:avLst/>
                    </a:prstGeom>
                  </pic:spPr>
                </pic:pic>
              </a:graphicData>
            </a:graphic>
            <wp14:sizeRelH relativeFrom="page">
              <wp14:pctWidth>0</wp14:pctWidth>
            </wp14:sizeRelH>
            <wp14:sizeRelV relativeFrom="page">
              <wp14:pctHeight>0</wp14:pctHeight>
            </wp14:sizeRelV>
          </wp:anchor>
        </w:drawing>
      </w:r>
      <w:r w:rsidR="00E62E55" w:rsidRPr="00EA7EA8">
        <w:rPr>
          <w:rFonts w:ascii="Verdana" w:eastAsia="Calibri" w:hAnsi="Verdana" w:cs="Arial"/>
          <w:lang w:val="es-ES" w:eastAsia="es-ES"/>
        </w:rPr>
        <w:t>Señor</w:t>
      </w:r>
    </w:p>
    <w:p w14:paraId="19F25F6E" w14:textId="293FC1B9" w:rsidR="00E62E55" w:rsidRDefault="00E62E55" w:rsidP="00E62E55">
      <w:pPr>
        <w:spacing w:after="0" w:line="240" w:lineRule="auto"/>
        <w:jc w:val="both"/>
        <w:rPr>
          <w:rFonts w:ascii="Verdana" w:eastAsia="Calibri" w:hAnsi="Verdana" w:cs="Arial"/>
          <w:b/>
          <w:bCs/>
          <w:lang w:val="es-ES" w:eastAsia="es-ES"/>
        </w:rPr>
      </w:pPr>
      <w:r>
        <w:rPr>
          <w:rFonts w:ascii="Verdana" w:eastAsia="Calibri" w:hAnsi="Verdana" w:cs="Arial"/>
          <w:b/>
          <w:bCs/>
          <w:lang w:val="es-ES" w:eastAsia="es-ES"/>
        </w:rPr>
        <w:t>Alfonso Carlos Sánchez Sierra</w:t>
      </w:r>
    </w:p>
    <w:p w14:paraId="0243B477" w14:textId="2FAB3773" w:rsidR="00E62E55" w:rsidRPr="009B7998" w:rsidRDefault="00E62E55" w:rsidP="00E62E55">
      <w:pPr>
        <w:spacing w:after="0" w:line="240" w:lineRule="auto"/>
        <w:jc w:val="both"/>
        <w:rPr>
          <w:rFonts w:ascii="Verdana" w:eastAsia="Calibri" w:hAnsi="Verdana" w:cs="Arial"/>
          <w:lang w:val="es-ES" w:eastAsia="es-ES"/>
        </w:rPr>
      </w:pPr>
      <w:r>
        <w:rPr>
          <w:rFonts w:ascii="Verdana" w:eastAsia="Calibri" w:hAnsi="Verdana" w:cs="Arial"/>
          <w:lang w:val="es-ES" w:eastAsia="es-ES"/>
        </w:rPr>
        <w:t>ponchosierrasanchez@gmail.com</w:t>
      </w:r>
      <w:r w:rsidR="008C0736" w:rsidRPr="008C0736">
        <w:rPr>
          <w:noProof/>
        </w:rPr>
        <w:t xml:space="preserve"> </w:t>
      </w:r>
    </w:p>
    <w:p w14:paraId="7A6EE0DD" w14:textId="77777777" w:rsidR="00E62E55" w:rsidRPr="00EA7EA8" w:rsidRDefault="00E62E55" w:rsidP="00E62E55">
      <w:pPr>
        <w:spacing w:after="0" w:line="240" w:lineRule="auto"/>
        <w:rPr>
          <w:rFonts w:ascii="Verdana" w:eastAsia="Calibri" w:hAnsi="Verdana" w:cs="Arial"/>
          <w:b/>
          <w:bCs/>
          <w:lang w:val="es-ES" w:eastAsia="es-ES"/>
        </w:rPr>
      </w:pPr>
      <w:r>
        <w:rPr>
          <w:rFonts w:ascii="Verdana" w:eastAsia="Calibri" w:hAnsi="Verdana" w:cs="Arial"/>
          <w:lang w:val="es-ES" w:eastAsia="es-ES"/>
        </w:rPr>
        <w:t>Bosconia, Cesar</w:t>
      </w:r>
    </w:p>
    <w:p w14:paraId="0AB581DD" w14:textId="77777777" w:rsidR="00E62E55" w:rsidRPr="00EA7EA8" w:rsidRDefault="00E62E55" w:rsidP="00E62E55">
      <w:pPr>
        <w:spacing w:after="0" w:line="240" w:lineRule="auto"/>
        <w:rPr>
          <w:rFonts w:ascii="Verdana" w:eastAsia="Calibri" w:hAnsi="Verdana" w:cs="Arial"/>
          <w:b/>
          <w:bCs/>
          <w:lang w:val="es-ES_tradnl" w:eastAsia="es-ES_tradnl"/>
        </w:rPr>
      </w:pPr>
    </w:p>
    <w:p w14:paraId="7043C456" w14:textId="77777777" w:rsidR="00E62E55" w:rsidRPr="00EA7EA8" w:rsidRDefault="00E62E55" w:rsidP="00E62E55">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62E55" w:rsidRPr="00EA7EA8" w14:paraId="56486ED2" w14:textId="77777777" w:rsidTr="00066823">
        <w:trPr>
          <w:trHeight w:val="190"/>
        </w:trPr>
        <w:tc>
          <w:tcPr>
            <w:tcW w:w="2689" w:type="dxa"/>
          </w:tcPr>
          <w:p w14:paraId="72D01B43" w14:textId="77777777" w:rsidR="00E62E55" w:rsidRPr="00EA7EA8" w:rsidRDefault="00E62E55" w:rsidP="00BD39D6">
            <w:pPr>
              <w:jc w:val="both"/>
              <w:rPr>
                <w:rFonts w:ascii="Verdana" w:eastAsia="Calibri" w:hAnsi="Verdana" w:cs="Arial"/>
                <w:b/>
                <w:bCs/>
                <w:lang w:val="es-ES_tradnl" w:eastAsia="es-ES_tradnl"/>
              </w:rPr>
            </w:pPr>
          </w:p>
        </w:tc>
        <w:tc>
          <w:tcPr>
            <w:tcW w:w="6100" w:type="dxa"/>
          </w:tcPr>
          <w:p w14:paraId="34B2DBA4" w14:textId="77777777" w:rsidR="00E62E55" w:rsidRPr="00780323" w:rsidRDefault="00E62E55" w:rsidP="00BD39D6">
            <w:pPr>
              <w:jc w:val="both"/>
              <w:rPr>
                <w:rFonts w:ascii="Verdana" w:eastAsia="Calibri" w:hAnsi="Verdana" w:cs="Arial"/>
                <w:b/>
                <w:bCs/>
                <w:lang w:val="es-ES" w:eastAsia="es-ES"/>
              </w:rPr>
            </w:pPr>
            <w:r w:rsidRPr="00EA7EA8">
              <w:rPr>
                <w:rFonts w:ascii="Verdana" w:eastAsia="Calibri" w:hAnsi="Verdana" w:cs="Arial"/>
                <w:b/>
                <w:bCs/>
                <w:lang w:val="es-ES" w:eastAsia="es-ES"/>
              </w:rPr>
              <w:t xml:space="preserve">Concepto C- </w:t>
            </w:r>
            <w:r>
              <w:rPr>
                <w:rFonts w:ascii="Verdana" w:eastAsia="Calibri" w:hAnsi="Verdana" w:cs="Arial"/>
                <w:b/>
                <w:bCs/>
                <w:lang w:val="es-ES" w:eastAsia="es-ES"/>
              </w:rPr>
              <w:t xml:space="preserve">1015 </w:t>
            </w:r>
            <w:r w:rsidRPr="00EA7EA8">
              <w:rPr>
                <w:rFonts w:ascii="Verdana" w:eastAsia="Calibri" w:hAnsi="Verdana" w:cs="Arial"/>
                <w:b/>
                <w:bCs/>
                <w:lang w:val="es-ES" w:eastAsia="es-ES"/>
              </w:rPr>
              <w:t>de 202</w:t>
            </w:r>
            <w:r>
              <w:rPr>
                <w:rFonts w:ascii="Verdana" w:eastAsia="Calibri" w:hAnsi="Verdana" w:cs="Arial"/>
                <w:b/>
                <w:bCs/>
                <w:lang w:val="es-ES" w:eastAsia="es-ES"/>
              </w:rPr>
              <w:t>5</w:t>
            </w:r>
          </w:p>
          <w:p w14:paraId="4CA0F79F" w14:textId="77777777" w:rsidR="00E62E55" w:rsidRPr="00EA7EA8" w:rsidRDefault="00E62E55" w:rsidP="00BD39D6">
            <w:pPr>
              <w:jc w:val="both"/>
              <w:rPr>
                <w:rFonts w:ascii="Verdana" w:eastAsia="Calibri" w:hAnsi="Verdana" w:cs="Arial"/>
                <w:b/>
                <w:bCs/>
                <w:lang w:val="es-ES" w:eastAsia="es-ES"/>
              </w:rPr>
            </w:pPr>
          </w:p>
        </w:tc>
      </w:tr>
      <w:tr w:rsidR="00E62E55" w:rsidRPr="00EA7EA8" w14:paraId="29ED7E0D" w14:textId="77777777" w:rsidTr="00066823">
        <w:trPr>
          <w:trHeight w:val="884"/>
        </w:trPr>
        <w:tc>
          <w:tcPr>
            <w:tcW w:w="2689" w:type="dxa"/>
          </w:tcPr>
          <w:p w14:paraId="33D042E2" w14:textId="77777777" w:rsidR="00E62E55" w:rsidRPr="00740B33" w:rsidRDefault="00E62E55" w:rsidP="00BD39D6">
            <w:pPr>
              <w:jc w:val="both"/>
              <w:rPr>
                <w:rFonts w:ascii="Verdana" w:eastAsia="Calibri" w:hAnsi="Verdana" w:cs="Arial"/>
                <w:lang w:val="es-ES_tradnl" w:eastAsia="es-ES_tradnl"/>
              </w:rPr>
            </w:pPr>
            <w:r w:rsidRPr="00740B33">
              <w:rPr>
                <w:rFonts w:ascii="Verdana" w:eastAsia="Calibri" w:hAnsi="Verdana" w:cs="Arial"/>
                <w:b/>
                <w:lang w:val="es-ES_tradnl" w:eastAsia="es-ES_tradnl"/>
              </w:rPr>
              <w:t>Temas:</w:t>
            </w:r>
            <w:r w:rsidRPr="00740B33">
              <w:rPr>
                <w:rFonts w:ascii="Verdana" w:eastAsia="Calibri" w:hAnsi="Verdana" w:cs="Arial"/>
                <w:lang w:val="es-ES_tradnl" w:eastAsia="es-ES_tradnl"/>
              </w:rPr>
              <w:t xml:space="preserve">                   </w:t>
            </w:r>
          </w:p>
        </w:tc>
        <w:tc>
          <w:tcPr>
            <w:tcW w:w="6100" w:type="dxa"/>
          </w:tcPr>
          <w:p w14:paraId="57A2B4B6" w14:textId="61D2E85C" w:rsidR="00E62E55" w:rsidRDefault="00AD3688" w:rsidP="00066823">
            <w:pPr>
              <w:autoSpaceDE w:val="0"/>
              <w:autoSpaceDN w:val="0"/>
              <w:adjustRightInd w:val="0"/>
              <w:contextualSpacing/>
              <w:jc w:val="both"/>
              <w:rPr>
                <w:rFonts w:ascii="Verdana" w:eastAsia="Calibri" w:hAnsi="Verdana" w:cs="Arial"/>
                <w:lang w:eastAsia="es-ES_tradnl"/>
              </w:rPr>
            </w:pPr>
            <w:r w:rsidRPr="00066823">
              <w:rPr>
                <w:rFonts w:ascii="Verdana" w:eastAsia="Calibri" w:hAnsi="Verdana" w:cs="Arial"/>
                <w:lang w:val="es-MX"/>
              </w:rPr>
              <w:t xml:space="preserve">LEY DE GARANTÍAS ELECTORALES – Finalidad / LEY DE GARANTÍAS ELECTORALES ‒ Restricciones ‒ Contratación ‒ Tipos de elección / LEY DE GARANTÍAS ELECTORALES ─ Prohibición artículo 33 ‒ Contratación directa ‒ Alcance / </w:t>
            </w:r>
            <w:r w:rsidRPr="00066823">
              <w:rPr>
                <w:rFonts w:ascii="Verdana" w:hAnsi="Verdana" w:cs="Arial"/>
                <w:lang w:eastAsia="es-CO"/>
              </w:rPr>
              <w:t xml:space="preserve">LEY DE GARANTÍAS ELECTORALES ‒ Excepciones / </w:t>
            </w:r>
            <w:r w:rsidR="00F56460" w:rsidRPr="00066823">
              <w:rPr>
                <w:rFonts w:ascii="Verdana" w:eastAsia="Calibri" w:hAnsi="Verdana" w:cs="Arial"/>
                <w:lang w:val="es-MX"/>
              </w:rPr>
              <w:t xml:space="preserve">LEY DE GARANTÍAS ELECTORALES ─ Prohibición artículo 38 ‒ Convenios interadministrativos </w:t>
            </w:r>
            <w:r w:rsidRPr="00066823">
              <w:rPr>
                <w:rFonts w:ascii="Verdana" w:eastAsia="Calibri" w:hAnsi="Verdana" w:cs="Arial"/>
                <w:lang w:val="es-MX"/>
              </w:rPr>
              <w:t xml:space="preserve">/ </w:t>
            </w:r>
            <w:r w:rsidRPr="00066823">
              <w:rPr>
                <w:rFonts w:ascii="Verdana" w:hAnsi="Verdana" w:cs="Arial"/>
                <w:lang w:eastAsia="es-ES"/>
              </w:rPr>
              <w:t>CONVENIOS SOLIDARIOS</w:t>
            </w:r>
            <w:r w:rsidRPr="00066823">
              <w:rPr>
                <w:rFonts w:ascii="Verdana" w:hAnsi="Verdana" w:cs="Arial"/>
              </w:rPr>
              <w:t xml:space="preserve"> – </w:t>
            </w:r>
            <w:r w:rsidRPr="00066823">
              <w:rPr>
                <w:rFonts w:ascii="Verdana" w:eastAsia="Calibri" w:hAnsi="Verdana" w:cs="Arial"/>
                <w:lang w:val="es-ES"/>
              </w:rPr>
              <w:t xml:space="preserve">Regímenes de celebración – Juntas de Acción Comunal </w:t>
            </w:r>
            <w:r w:rsidRPr="00066823">
              <w:rPr>
                <w:rFonts w:ascii="Verdana" w:hAnsi="Verdana" w:cs="Arial"/>
              </w:rPr>
              <w:t>– Naturaleza jurídica – Aplicación de Ley de Garantías</w:t>
            </w:r>
            <w:r w:rsidR="00455D63" w:rsidRPr="00066823">
              <w:rPr>
                <w:rFonts w:ascii="Verdana" w:hAnsi="Verdana" w:cs="Arial"/>
              </w:rPr>
              <w:t xml:space="preserve"> / CONVENIOS SOLIDARIOS – </w:t>
            </w:r>
            <w:proofErr w:type="spellStart"/>
            <w:r w:rsidR="00455D63" w:rsidRPr="00066823">
              <w:rPr>
                <w:rFonts w:ascii="Verdana" w:hAnsi="Verdana" w:cs="Arial"/>
              </w:rPr>
              <w:t>Secop</w:t>
            </w:r>
            <w:proofErr w:type="spellEnd"/>
            <w:r w:rsidR="00455D63" w:rsidRPr="00066823">
              <w:rPr>
                <w:rFonts w:ascii="Verdana" w:hAnsi="Verdana" w:cs="Arial"/>
              </w:rPr>
              <w:t xml:space="preserve"> II / </w:t>
            </w:r>
            <w:r w:rsidR="00E62E55" w:rsidRPr="00C25AD6">
              <w:rPr>
                <w:rFonts w:ascii="Verdana" w:eastAsia="Calibri" w:hAnsi="Verdana" w:cs="Arial"/>
                <w:lang w:eastAsia="es-ES_tradnl"/>
              </w:rPr>
              <w:t xml:space="preserve">INTEGRACIÓN NORMATIVA – Convenios de asociación </w:t>
            </w:r>
            <w:r w:rsidR="00A2491D" w:rsidRPr="00A2491D">
              <w:rPr>
                <w:rFonts w:ascii="Verdana" w:eastAsia="Calibri" w:hAnsi="Verdana" w:cs="Arial"/>
                <w:b/>
                <w:bCs/>
                <w:lang w:val="es-ES" w:eastAsia="es-ES_tradnl"/>
              </w:rPr>
              <w:t>–</w:t>
            </w:r>
            <w:r w:rsidR="00E62E55" w:rsidRPr="00C25AD6">
              <w:rPr>
                <w:rFonts w:ascii="Verdana" w:eastAsia="Calibri" w:hAnsi="Verdana" w:cs="Arial"/>
                <w:lang w:eastAsia="es-ES_tradnl"/>
              </w:rPr>
              <w:t xml:space="preserve"> Reglas – </w:t>
            </w:r>
            <w:r w:rsidR="00A2491D">
              <w:rPr>
                <w:rFonts w:ascii="Verdana" w:eastAsia="Calibri" w:hAnsi="Verdana" w:cs="Arial"/>
                <w:lang w:eastAsia="es-ES_tradnl"/>
              </w:rPr>
              <w:t>I</w:t>
            </w:r>
            <w:r w:rsidR="00E62E55" w:rsidRPr="00C25AD6">
              <w:rPr>
                <w:rFonts w:ascii="Verdana" w:eastAsia="Calibri" w:hAnsi="Verdana" w:cs="Arial"/>
                <w:lang w:eastAsia="es-ES_tradnl"/>
              </w:rPr>
              <w:t>naplicabilidad del anticipo y pago anticipado/</w:t>
            </w:r>
            <w:r w:rsidR="00E62E55" w:rsidRPr="00066823">
              <w:rPr>
                <w:rFonts w:ascii="Verdana" w:hAnsi="Verdana"/>
              </w:rPr>
              <w:t xml:space="preserve"> </w:t>
            </w:r>
            <w:r w:rsidR="00E62E55" w:rsidRPr="00C25AD6">
              <w:rPr>
                <w:rFonts w:ascii="Verdana" w:eastAsia="Calibri" w:hAnsi="Verdana" w:cs="Arial"/>
                <w:lang w:eastAsia="es-ES_tradnl"/>
              </w:rPr>
              <w:t xml:space="preserve">CONVENIOS DE ASOCIACIÓN – </w:t>
            </w:r>
            <w:r w:rsidR="00A2491D">
              <w:rPr>
                <w:rFonts w:ascii="Verdana" w:eastAsia="Calibri" w:hAnsi="Verdana" w:cs="Arial"/>
                <w:lang w:eastAsia="es-ES_tradnl"/>
              </w:rPr>
              <w:t>C</w:t>
            </w:r>
            <w:r w:rsidR="00E62E55" w:rsidRPr="00C25AD6">
              <w:rPr>
                <w:rFonts w:ascii="Verdana" w:eastAsia="Calibri" w:hAnsi="Verdana" w:cs="Arial"/>
                <w:lang w:eastAsia="es-ES_tradnl"/>
              </w:rPr>
              <w:t xml:space="preserve">arácter no conmutativo </w:t>
            </w:r>
            <w:r w:rsidR="00A2491D" w:rsidRPr="00A2491D">
              <w:rPr>
                <w:rFonts w:ascii="Verdana" w:eastAsia="Calibri" w:hAnsi="Verdana" w:cs="Arial"/>
                <w:b/>
                <w:bCs/>
                <w:lang w:val="es-ES" w:eastAsia="es-ES_tradnl"/>
              </w:rPr>
              <w:t>–</w:t>
            </w:r>
            <w:r w:rsidR="00E62E55" w:rsidRPr="00C25AD6">
              <w:rPr>
                <w:rFonts w:ascii="Verdana" w:eastAsia="Calibri" w:hAnsi="Verdana" w:cs="Arial"/>
                <w:lang w:eastAsia="es-ES_tradnl"/>
              </w:rPr>
              <w:t xml:space="preserve"> </w:t>
            </w:r>
            <w:r w:rsidR="00A2491D">
              <w:rPr>
                <w:rFonts w:ascii="Verdana" w:eastAsia="Calibri" w:hAnsi="Verdana" w:cs="Arial"/>
                <w:lang w:eastAsia="es-ES_tradnl"/>
              </w:rPr>
              <w:t>N</w:t>
            </w:r>
            <w:r w:rsidR="00E62E55" w:rsidRPr="00C25AD6">
              <w:rPr>
                <w:rFonts w:ascii="Verdana" w:eastAsia="Calibri" w:hAnsi="Verdana" w:cs="Arial"/>
                <w:lang w:eastAsia="es-ES_tradnl"/>
              </w:rPr>
              <w:t xml:space="preserve">o obligatoriedad </w:t>
            </w:r>
            <w:r w:rsidR="00A2491D" w:rsidRPr="00A2491D">
              <w:rPr>
                <w:rFonts w:ascii="Verdana" w:eastAsia="Calibri" w:hAnsi="Verdana" w:cs="Arial"/>
                <w:b/>
                <w:bCs/>
                <w:lang w:val="es-ES" w:eastAsia="es-ES_tradnl"/>
              </w:rPr>
              <w:t>–</w:t>
            </w:r>
            <w:r w:rsidR="00E62E55" w:rsidRPr="00C25AD6">
              <w:rPr>
                <w:rFonts w:ascii="Verdana" w:eastAsia="Calibri" w:hAnsi="Verdana" w:cs="Arial"/>
                <w:lang w:eastAsia="es-ES_tradnl"/>
              </w:rPr>
              <w:t xml:space="preserve"> </w:t>
            </w:r>
            <w:r w:rsidR="00597171">
              <w:rPr>
                <w:rFonts w:ascii="Verdana" w:eastAsia="Calibri" w:hAnsi="Verdana" w:cs="Arial"/>
                <w:lang w:eastAsia="es-ES_tradnl"/>
              </w:rPr>
              <w:t>A</w:t>
            </w:r>
            <w:r w:rsidR="00E62E55" w:rsidRPr="00C25AD6">
              <w:rPr>
                <w:rFonts w:ascii="Verdana" w:eastAsia="Calibri" w:hAnsi="Verdana" w:cs="Arial"/>
                <w:lang w:eastAsia="es-ES_tradnl"/>
              </w:rPr>
              <w:t xml:space="preserve">mparo de buen manejo y correcta inversión del anticipo – </w:t>
            </w:r>
            <w:r w:rsidR="00597171">
              <w:rPr>
                <w:rFonts w:ascii="Verdana" w:eastAsia="Calibri" w:hAnsi="Verdana" w:cs="Arial"/>
                <w:lang w:eastAsia="es-ES_tradnl"/>
              </w:rPr>
              <w:t>A</w:t>
            </w:r>
            <w:r w:rsidR="00E62E55" w:rsidRPr="00C25AD6">
              <w:rPr>
                <w:rFonts w:ascii="Verdana" w:eastAsia="Calibri" w:hAnsi="Verdana" w:cs="Arial"/>
                <w:lang w:eastAsia="es-ES_tradnl"/>
              </w:rPr>
              <w:t>mparo de devolución del pago anticipado</w:t>
            </w:r>
          </w:p>
          <w:p w14:paraId="17FB9771" w14:textId="77777777" w:rsidR="00E62E55" w:rsidRPr="00740B33" w:rsidRDefault="00E62E55" w:rsidP="00BD39D6">
            <w:pPr>
              <w:jc w:val="both"/>
              <w:rPr>
                <w:rFonts w:ascii="Verdana" w:eastAsia="Calibri" w:hAnsi="Verdana" w:cs="Arial"/>
                <w:lang w:val="es-ES" w:eastAsia="es-ES"/>
              </w:rPr>
            </w:pPr>
          </w:p>
        </w:tc>
      </w:tr>
      <w:tr w:rsidR="00E62E55" w:rsidRPr="00EA7EA8" w14:paraId="133D58A9" w14:textId="77777777" w:rsidTr="00066823">
        <w:tc>
          <w:tcPr>
            <w:tcW w:w="2689" w:type="dxa"/>
          </w:tcPr>
          <w:p w14:paraId="170994D0" w14:textId="77777777" w:rsidR="00E62E55" w:rsidRPr="00EA7EA8" w:rsidRDefault="00E62E55" w:rsidP="00BD39D6">
            <w:pPr>
              <w:jc w:val="both"/>
              <w:rPr>
                <w:rFonts w:ascii="Verdana" w:eastAsia="Calibri" w:hAnsi="Verdana" w:cs="Arial"/>
                <w:b/>
                <w:lang w:val="es-ES_tradnl" w:eastAsia="es-ES_tradnl"/>
              </w:rPr>
            </w:pPr>
            <w:r w:rsidRPr="00EA7EA8">
              <w:rPr>
                <w:rFonts w:ascii="Verdana" w:eastAsia="Calibri" w:hAnsi="Verdana" w:cs="Arial"/>
                <w:b/>
                <w:lang w:val="es-ES_tradnl" w:eastAsia="es-ES_tradnl"/>
              </w:rPr>
              <w:t>Radicación:</w:t>
            </w:r>
            <w:r w:rsidRPr="00EA7EA8">
              <w:rPr>
                <w:rFonts w:ascii="Verdana" w:eastAsia="Calibri" w:hAnsi="Verdana" w:cs="Arial"/>
                <w:lang w:val="es-ES_tradnl" w:eastAsia="es-ES_tradnl"/>
              </w:rPr>
              <w:t xml:space="preserve">               </w:t>
            </w:r>
          </w:p>
        </w:tc>
        <w:tc>
          <w:tcPr>
            <w:tcW w:w="6100" w:type="dxa"/>
          </w:tcPr>
          <w:p w14:paraId="659EAC1A" w14:textId="77777777" w:rsidR="00E62E55" w:rsidRPr="00EA7EA8" w:rsidRDefault="00E62E55" w:rsidP="00BD39D6">
            <w:pPr>
              <w:jc w:val="both"/>
              <w:rPr>
                <w:rFonts w:ascii="Verdana" w:eastAsia="Calibri" w:hAnsi="Verdana" w:cs="Arial"/>
                <w:lang w:val="es-ES_tradnl" w:eastAsia="es-ES_tradnl"/>
              </w:rPr>
            </w:pPr>
            <w:r w:rsidRPr="00EA7EA8">
              <w:rPr>
                <w:rFonts w:ascii="Verdana" w:eastAsia="Calibri" w:hAnsi="Verdana" w:cs="Arial"/>
                <w:lang w:val="es-ES_tradnl" w:eastAsia="es-ES_tradnl"/>
              </w:rPr>
              <w:t xml:space="preserve">Respuesta a consulta con radicado </w:t>
            </w:r>
            <w:r w:rsidRPr="00780323">
              <w:rPr>
                <w:rFonts w:ascii="Verdana" w:eastAsia="Calibri" w:hAnsi="Verdana" w:cs="Arial"/>
                <w:lang w:val="es-ES_tradnl" w:eastAsia="es-ES_tradnl"/>
              </w:rPr>
              <w:t xml:space="preserve">No. </w:t>
            </w:r>
            <w:r w:rsidRPr="00BC2558">
              <w:rPr>
                <w:rFonts w:ascii="Verdana" w:eastAsia="Calibri" w:hAnsi="Verdana" w:cs="Arial"/>
                <w:lang w:eastAsia="es-ES_tradnl"/>
              </w:rPr>
              <w:t>1_2025_07_24_007634</w:t>
            </w:r>
          </w:p>
        </w:tc>
      </w:tr>
    </w:tbl>
    <w:p w14:paraId="337EFE7F" w14:textId="77777777" w:rsidR="00E62E55" w:rsidRPr="00EA7EA8" w:rsidRDefault="00E62E55" w:rsidP="00066823">
      <w:pPr>
        <w:spacing w:after="0" w:line="240" w:lineRule="auto"/>
        <w:jc w:val="both"/>
        <w:rPr>
          <w:rFonts w:ascii="Verdana" w:eastAsia="Calibri" w:hAnsi="Verdana" w:cs="Arial"/>
          <w:lang w:val="es-ES_tradnl" w:eastAsia="es-ES_tradnl"/>
        </w:rPr>
      </w:pPr>
    </w:p>
    <w:p w14:paraId="29F62355" w14:textId="77777777" w:rsidR="00E62E55" w:rsidRPr="00EA7EA8" w:rsidRDefault="00E62E55" w:rsidP="00066823">
      <w:pPr>
        <w:spacing w:after="0" w:line="240" w:lineRule="auto"/>
        <w:jc w:val="both"/>
        <w:rPr>
          <w:rFonts w:ascii="Verdana" w:eastAsia="Calibri" w:hAnsi="Verdana" w:cs="Arial"/>
          <w:lang w:val="es-ES_tradnl" w:eastAsia="es-ES_tradnl"/>
        </w:rPr>
      </w:pPr>
    </w:p>
    <w:p w14:paraId="62B63B82" w14:textId="77777777" w:rsidR="00E62E55" w:rsidRPr="00EA7EA8" w:rsidRDefault="00E62E55" w:rsidP="00E62E55">
      <w:pPr>
        <w:spacing w:after="0" w:line="276" w:lineRule="auto"/>
        <w:jc w:val="both"/>
        <w:rPr>
          <w:rFonts w:ascii="Verdana" w:eastAsia="Calibri" w:hAnsi="Verdana" w:cs="Arial"/>
          <w:lang w:val="es-ES" w:eastAsia="es-ES"/>
        </w:rPr>
      </w:pPr>
      <w:r w:rsidRPr="00EA7EA8">
        <w:rPr>
          <w:rFonts w:ascii="Verdana" w:eastAsia="Calibri" w:hAnsi="Verdana" w:cs="Arial"/>
          <w:lang w:val="es-ES" w:eastAsia="es-ES"/>
        </w:rPr>
        <w:t>Estimad</w:t>
      </w:r>
      <w:r>
        <w:rPr>
          <w:rFonts w:ascii="Verdana" w:eastAsia="Calibri" w:hAnsi="Verdana" w:cs="Arial"/>
          <w:lang w:val="es-ES" w:eastAsia="es-ES"/>
        </w:rPr>
        <w:t>o</w:t>
      </w:r>
      <w:r w:rsidRPr="00EA7EA8">
        <w:rPr>
          <w:rFonts w:ascii="Verdana" w:eastAsia="Calibri" w:hAnsi="Verdana" w:cs="Arial"/>
          <w:lang w:val="es-ES" w:eastAsia="es-ES"/>
        </w:rPr>
        <w:t xml:space="preserve"> señor </w:t>
      </w:r>
      <w:r>
        <w:rPr>
          <w:rFonts w:ascii="Verdana" w:eastAsia="Calibri" w:hAnsi="Verdana" w:cs="Arial"/>
          <w:lang w:val="es-ES" w:eastAsia="es-ES"/>
        </w:rPr>
        <w:t>Sánchez</w:t>
      </w:r>
      <w:r w:rsidRPr="00EA7EA8">
        <w:rPr>
          <w:rFonts w:ascii="Verdana" w:eastAsia="Calibri" w:hAnsi="Verdana" w:cs="Arial"/>
          <w:lang w:val="es-ES" w:eastAsia="es-ES"/>
        </w:rPr>
        <w:t xml:space="preserve">: </w:t>
      </w:r>
    </w:p>
    <w:p w14:paraId="0415DCF2" w14:textId="77777777" w:rsidR="00E62E55" w:rsidRPr="00EA7EA8" w:rsidRDefault="00E62E55" w:rsidP="00E62E55">
      <w:pPr>
        <w:tabs>
          <w:tab w:val="left" w:pos="3768"/>
        </w:tabs>
        <w:spacing w:after="0" w:line="276" w:lineRule="auto"/>
        <w:jc w:val="both"/>
        <w:rPr>
          <w:rFonts w:ascii="Verdana" w:eastAsia="Calibri" w:hAnsi="Verdana" w:cs="Arial"/>
          <w:lang w:val="es-ES" w:eastAsia="es-ES"/>
        </w:rPr>
      </w:pPr>
    </w:p>
    <w:p w14:paraId="55C9E6E9" w14:textId="77777777" w:rsidR="00E62E55" w:rsidRDefault="00E62E55" w:rsidP="00E62E55">
      <w:pPr>
        <w:spacing w:after="0" w:line="276" w:lineRule="auto"/>
        <w:jc w:val="both"/>
        <w:rPr>
          <w:rFonts w:ascii="Verdana" w:eastAsia="Calibri" w:hAnsi="Verdana" w:cs="Arial"/>
          <w:lang w:val="es-ES" w:eastAsia="es-ES"/>
        </w:rPr>
      </w:pPr>
      <w:r w:rsidRPr="00EA7EA8">
        <w:rPr>
          <w:rFonts w:ascii="Verdana" w:eastAsia="Calibri" w:hAnsi="Verdana" w:cs="Arial"/>
          <w:lang w:val="es-ES" w:eastAsia="es-ES"/>
        </w:rPr>
        <w:t>En ejercicio de la competencia otorgada por los artículos 3, numeral 5º, y 11, numeral 8º, del Decreto Ley 4170 de 2011,</w:t>
      </w:r>
      <w:r w:rsidRPr="00EA7EA8">
        <w:rPr>
          <w:rFonts w:ascii="Verdana" w:eastAsia="Arial MT" w:hAnsi="Verdana" w:cs="Arial MT"/>
          <w:lang w:val="es-ES" w:eastAsia="es-ES"/>
        </w:rPr>
        <w:t xml:space="preserve"> </w:t>
      </w:r>
      <w:r w:rsidRPr="00EA7EA8">
        <w:rPr>
          <w:rFonts w:ascii="Verdana" w:hAnsi="Verdana" w:cs="Arial"/>
        </w:rPr>
        <w:t xml:space="preserve">así como lo establecido en el artículo 4 de la Resolución 1707 de 2018 expedida por esta Entidad, </w:t>
      </w:r>
      <w:r w:rsidRPr="00EA7EA8">
        <w:rPr>
          <w:rFonts w:ascii="Verdana" w:eastAsia="Calibri" w:hAnsi="Verdana" w:cs="Arial"/>
          <w:lang w:val="es-ES" w:eastAsia="es-ES"/>
        </w:rPr>
        <w:t xml:space="preserve">la Agencia Nacional de Contratación Pública – Colombia Compra Eficiente– responde su solicitud de consulta </w:t>
      </w:r>
      <w:r>
        <w:rPr>
          <w:rFonts w:ascii="Verdana" w:eastAsia="Calibri" w:hAnsi="Verdana" w:cs="Arial"/>
          <w:lang w:val="es-ES" w:eastAsia="es-ES"/>
        </w:rPr>
        <w:t xml:space="preserve">de fecha del 24 de julio de </w:t>
      </w:r>
      <w:r w:rsidRPr="00ED1294">
        <w:rPr>
          <w:rFonts w:ascii="Verdana" w:eastAsia="Calibri" w:hAnsi="Verdana" w:cs="Arial"/>
          <w:lang w:val="es-ES" w:eastAsia="es-ES"/>
        </w:rPr>
        <w:t>2025</w:t>
      </w:r>
      <w:r w:rsidRPr="00EA7EA8">
        <w:rPr>
          <w:rFonts w:ascii="Verdana" w:eastAsia="Calibri" w:hAnsi="Verdana" w:cs="Arial"/>
          <w:lang w:val="es-ES" w:eastAsia="es-ES"/>
        </w:rPr>
        <w:t xml:space="preserve">, en la cual manifiesta lo siguiente: </w:t>
      </w:r>
    </w:p>
    <w:p w14:paraId="3DAC5EEC" w14:textId="77777777" w:rsidR="00E62E55" w:rsidRDefault="00E62E55" w:rsidP="00E62E55">
      <w:pPr>
        <w:spacing w:after="0" w:line="276" w:lineRule="auto"/>
        <w:jc w:val="both"/>
        <w:rPr>
          <w:rFonts w:ascii="Verdana" w:eastAsia="Calibri" w:hAnsi="Verdana" w:cs="Arial"/>
          <w:lang w:val="es-ES" w:eastAsia="es-ES"/>
        </w:rPr>
      </w:pPr>
    </w:p>
    <w:p w14:paraId="18C25B41" w14:textId="2EA54E39" w:rsidR="00E62E55" w:rsidRPr="007F7862" w:rsidRDefault="00BD7EB2" w:rsidP="00BD7EB2">
      <w:pPr>
        <w:spacing w:after="0" w:line="240" w:lineRule="auto"/>
        <w:ind w:left="709" w:right="709"/>
        <w:jc w:val="both"/>
        <w:rPr>
          <w:rFonts w:ascii="Verdana" w:eastAsia="Calibri" w:hAnsi="Verdana" w:cs="Arial"/>
          <w:sz w:val="20"/>
          <w:szCs w:val="20"/>
          <w:lang w:val="es-ES" w:eastAsia="es-ES"/>
        </w:rPr>
      </w:pPr>
      <w:r>
        <w:rPr>
          <w:rFonts w:ascii="Verdana" w:eastAsia="Calibri" w:hAnsi="Verdana" w:cs="Arial"/>
          <w:sz w:val="20"/>
          <w:szCs w:val="20"/>
          <w:lang w:val="es-ES" w:eastAsia="es-ES"/>
        </w:rPr>
        <w:t>“</w:t>
      </w:r>
      <w:r w:rsidR="00E62E55" w:rsidRPr="009B7998">
        <w:rPr>
          <w:rFonts w:ascii="Verdana" w:eastAsia="Calibri" w:hAnsi="Verdana" w:cs="Arial"/>
          <w:sz w:val="20"/>
          <w:szCs w:val="20"/>
          <w:lang w:val="es-ES" w:eastAsia="es-ES"/>
        </w:rPr>
        <w:t xml:space="preserve">… </w:t>
      </w:r>
      <w:r w:rsidR="00E62E55">
        <w:rPr>
          <w:rFonts w:ascii="Verdana" w:eastAsia="Calibri" w:hAnsi="Verdana" w:cs="Arial"/>
          <w:sz w:val="20"/>
          <w:szCs w:val="20"/>
          <w:lang w:val="es-ES" w:eastAsia="es-ES"/>
        </w:rPr>
        <w:t>1</w:t>
      </w:r>
      <w:r w:rsidR="00E62E55" w:rsidRPr="007F7862">
        <w:rPr>
          <w:rFonts w:ascii="Verdana" w:eastAsia="Calibri" w:hAnsi="Verdana" w:cs="Arial"/>
          <w:sz w:val="20"/>
          <w:szCs w:val="20"/>
          <w:lang w:val="es-ES" w:eastAsia="es-ES"/>
        </w:rPr>
        <w:t>. darme un concepto claro sobre la ley de garantías en los procesos contractuales.</w:t>
      </w:r>
    </w:p>
    <w:p w14:paraId="57D4B0EB" w14:textId="77777777" w:rsidR="00BD7EB2" w:rsidRPr="007F7862" w:rsidRDefault="00BD7EB2" w:rsidP="00066823">
      <w:pPr>
        <w:spacing w:after="0" w:line="240" w:lineRule="auto"/>
        <w:ind w:left="709" w:right="709"/>
        <w:jc w:val="both"/>
        <w:rPr>
          <w:rFonts w:ascii="Verdana" w:eastAsia="Calibri" w:hAnsi="Verdana" w:cs="Arial"/>
          <w:sz w:val="20"/>
          <w:szCs w:val="20"/>
          <w:lang w:val="es-ES" w:eastAsia="es-ES"/>
        </w:rPr>
      </w:pPr>
    </w:p>
    <w:p w14:paraId="73338615" w14:textId="77777777" w:rsidR="00E62E55" w:rsidRPr="007F7862" w:rsidRDefault="00E62E55" w:rsidP="00BD7EB2">
      <w:pPr>
        <w:spacing w:after="0" w:line="240" w:lineRule="auto"/>
        <w:ind w:left="709" w:right="709"/>
        <w:jc w:val="both"/>
        <w:rPr>
          <w:rFonts w:ascii="Verdana" w:eastAsia="Calibri" w:hAnsi="Verdana" w:cs="Arial"/>
          <w:sz w:val="20"/>
          <w:szCs w:val="20"/>
          <w:lang w:val="es-ES" w:eastAsia="es-ES"/>
        </w:rPr>
      </w:pPr>
      <w:r w:rsidRPr="007F7862">
        <w:rPr>
          <w:rFonts w:ascii="Verdana" w:eastAsia="Calibri" w:hAnsi="Verdana" w:cs="Arial"/>
          <w:sz w:val="20"/>
          <w:szCs w:val="20"/>
          <w:lang w:val="es-ES" w:eastAsia="es-ES"/>
        </w:rPr>
        <w:t xml:space="preserve">2. en concordancia con el decreto 092 del 2017, es obligación de </w:t>
      </w:r>
      <w:proofErr w:type="gramStart"/>
      <w:r w:rsidRPr="007F7862">
        <w:rPr>
          <w:rFonts w:ascii="Verdana" w:eastAsia="Calibri" w:hAnsi="Verdana" w:cs="Arial"/>
          <w:sz w:val="20"/>
          <w:szCs w:val="20"/>
          <w:lang w:val="es-ES" w:eastAsia="es-ES"/>
        </w:rPr>
        <w:t>la entidades</w:t>
      </w:r>
      <w:r>
        <w:rPr>
          <w:rFonts w:ascii="Verdana" w:eastAsia="Calibri" w:hAnsi="Verdana" w:cs="Arial"/>
          <w:sz w:val="20"/>
          <w:szCs w:val="20"/>
          <w:lang w:val="es-ES" w:eastAsia="es-ES"/>
        </w:rPr>
        <w:t xml:space="preserve"> </w:t>
      </w:r>
      <w:r w:rsidRPr="007F7862">
        <w:rPr>
          <w:rFonts w:ascii="Verdana" w:eastAsia="Calibri" w:hAnsi="Verdana" w:cs="Arial"/>
          <w:sz w:val="20"/>
          <w:szCs w:val="20"/>
          <w:lang w:val="es-ES" w:eastAsia="es-ES"/>
        </w:rPr>
        <w:t>municipales</w:t>
      </w:r>
      <w:proofErr w:type="gramEnd"/>
      <w:r w:rsidRPr="007F7862">
        <w:rPr>
          <w:rFonts w:ascii="Verdana" w:eastAsia="Calibri" w:hAnsi="Verdana" w:cs="Arial"/>
          <w:sz w:val="20"/>
          <w:szCs w:val="20"/>
          <w:lang w:val="es-ES" w:eastAsia="es-ES"/>
        </w:rPr>
        <w:t xml:space="preserve"> contratar convenios solidarios y de Asociación mediante el </w:t>
      </w:r>
      <w:proofErr w:type="spellStart"/>
      <w:r w:rsidRPr="007F7862">
        <w:rPr>
          <w:rFonts w:ascii="Verdana" w:eastAsia="Calibri" w:hAnsi="Verdana" w:cs="Arial"/>
          <w:sz w:val="20"/>
          <w:szCs w:val="20"/>
          <w:lang w:val="es-ES" w:eastAsia="es-ES"/>
        </w:rPr>
        <w:t>secop</w:t>
      </w:r>
      <w:proofErr w:type="spellEnd"/>
      <w:r w:rsidRPr="007F7862">
        <w:rPr>
          <w:rFonts w:ascii="Verdana" w:eastAsia="Calibri" w:hAnsi="Verdana" w:cs="Arial"/>
          <w:sz w:val="20"/>
          <w:szCs w:val="20"/>
          <w:lang w:val="es-ES" w:eastAsia="es-ES"/>
        </w:rPr>
        <w:t xml:space="preserve"> 2?</w:t>
      </w:r>
      <w:r>
        <w:rPr>
          <w:rFonts w:ascii="Verdana" w:eastAsia="Calibri" w:hAnsi="Verdana" w:cs="Arial"/>
          <w:sz w:val="20"/>
          <w:szCs w:val="20"/>
          <w:lang w:val="es-ES" w:eastAsia="es-ES"/>
        </w:rPr>
        <w:t xml:space="preserve"> </w:t>
      </w:r>
      <w:r w:rsidRPr="007F7862">
        <w:rPr>
          <w:rFonts w:ascii="Verdana" w:eastAsia="Calibri" w:hAnsi="Verdana" w:cs="Arial"/>
          <w:sz w:val="20"/>
          <w:szCs w:val="20"/>
          <w:lang w:val="es-ES" w:eastAsia="es-ES"/>
        </w:rPr>
        <w:t xml:space="preserve">que sucede si la entidad no </w:t>
      </w:r>
      <w:proofErr w:type="spellStart"/>
      <w:r w:rsidRPr="007F7862">
        <w:rPr>
          <w:rFonts w:ascii="Verdana" w:eastAsia="Calibri" w:hAnsi="Verdana" w:cs="Arial"/>
          <w:sz w:val="20"/>
          <w:szCs w:val="20"/>
          <w:lang w:val="es-ES" w:eastAsia="es-ES"/>
        </w:rPr>
        <w:t>esta</w:t>
      </w:r>
      <w:proofErr w:type="spellEnd"/>
      <w:r w:rsidRPr="007F7862">
        <w:rPr>
          <w:rFonts w:ascii="Verdana" w:eastAsia="Calibri" w:hAnsi="Verdana" w:cs="Arial"/>
          <w:sz w:val="20"/>
          <w:szCs w:val="20"/>
          <w:lang w:val="es-ES" w:eastAsia="es-ES"/>
        </w:rPr>
        <w:t xml:space="preserve"> implementando aun el </w:t>
      </w:r>
      <w:proofErr w:type="spellStart"/>
      <w:r w:rsidRPr="007F7862">
        <w:rPr>
          <w:rFonts w:ascii="Verdana" w:eastAsia="Calibri" w:hAnsi="Verdana" w:cs="Arial"/>
          <w:sz w:val="20"/>
          <w:szCs w:val="20"/>
          <w:lang w:val="es-ES" w:eastAsia="es-ES"/>
        </w:rPr>
        <w:t>secop</w:t>
      </w:r>
      <w:proofErr w:type="spellEnd"/>
      <w:r w:rsidRPr="007F7862">
        <w:rPr>
          <w:rFonts w:ascii="Verdana" w:eastAsia="Calibri" w:hAnsi="Verdana" w:cs="Arial"/>
          <w:sz w:val="20"/>
          <w:szCs w:val="20"/>
          <w:lang w:val="es-ES" w:eastAsia="es-ES"/>
        </w:rPr>
        <w:t xml:space="preserve"> 2? se puede mediante </w:t>
      </w:r>
      <w:proofErr w:type="spellStart"/>
      <w:r w:rsidRPr="007F7862">
        <w:rPr>
          <w:rFonts w:ascii="Verdana" w:eastAsia="Calibri" w:hAnsi="Verdana" w:cs="Arial"/>
          <w:sz w:val="20"/>
          <w:szCs w:val="20"/>
          <w:lang w:val="es-ES" w:eastAsia="es-ES"/>
        </w:rPr>
        <w:t>secop</w:t>
      </w:r>
      <w:proofErr w:type="spellEnd"/>
      <w:r w:rsidRPr="007F7862">
        <w:rPr>
          <w:rFonts w:ascii="Verdana" w:eastAsia="Calibri" w:hAnsi="Verdana" w:cs="Arial"/>
          <w:sz w:val="20"/>
          <w:szCs w:val="20"/>
          <w:lang w:val="es-ES" w:eastAsia="es-ES"/>
        </w:rPr>
        <w:t xml:space="preserve"> </w:t>
      </w:r>
      <w:proofErr w:type="gramStart"/>
      <w:r w:rsidRPr="007F7862">
        <w:rPr>
          <w:rFonts w:ascii="Verdana" w:eastAsia="Calibri" w:hAnsi="Verdana" w:cs="Arial"/>
          <w:sz w:val="20"/>
          <w:szCs w:val="20"/>
          <w:lang w:val="es-ES" w:eastAsia="es-ES"/>
        </w:rPr>
        <w:t>1 ?</w:t>
      </w:r>
      <w:proofErr w:type="gramEnd"/>
      <w:r w:rsidRPr="007F7862">
        <w:rPr>
          <w:rFonts w:ascii="Verdana" w:eastAsia="Calibri" w:hAnsi="Verdana" w:cs="Arial"/>
          <w:sz w:val="20"/>
          <w:szCs w:val="20"/>
          <w:lang w:val="es-ES" w:eastAsia="es-ES"/>
        </w:rPr>
        <w:t>.</w:t>
      </w:r>
    </w:p>
    <w:p w14:paraId="5958B907" w14:textId="77777777" w:rsidR="00BD7EB2" w:rsidRPr="007F7862" w:rsidRDefault="00BD7EB2" w:rsidP="00066823">
      <w:pPr>
        <w:spacing w:after="0" w:line="240" w:lineRule="auto"/>
        <w:ind w:left="709" w:right="709"/>
        <w:jc w:val="both"/>
        <w:rPr>
          <w:rFonts w:ascii="Verdana" w:eastAsia="Calibri" w:hAnsi="Verdana" w:cs="Arial"/>
          <w:sz w:val="20"/>
          <w:szCs w:val="20"/>
          <w:lang w:val="es-ES" w:eastAsia="es-ES"/>
        </w:rPr>
      </w:pPr>
    </w:p>
    <w:p w14:paraId="1AABB9AF" w14:textId="35DB83C7" w:rsidR="00E62E55" w:rsidRPr="009B7998" w:rsidRDefault="00E62E55" w:rsidP="00066823">
      <w:pPr>
        <w:spacing w:after="0" w:line="240" w:lineRule="auto"/>
        <w:ind w:left="709" w:right="709"/>
        <w:jc w:val="both"/>
        <w:rPr>
          <w:rFonts w:ascii="Verdana" w:eastAsia="Calibri" w:hAnsi="Verdana" w:cs="Arial"/>
          <w:sz w:val="20"/>
          <w:szCs w:val="20"/>
          <w:lang w:val="es-ES" w:eastAsia="es-ES"/>
        </w:rPr>
      </w:pPr>
      <w:r w:rsidRPr="007F7862">
        <w:rPr>
          <w:rFonts w:ascii="Verdana" w:eastAsia="Calibri" w:hAnsi="Verdana" w:cs="Arial"/>
          <w:sz w:val="20"/>
          <w:szCs w:val="20"/>
          <w:lang w:val="es-ES" w:eastAsia="es-ES"/>
        </w:rPr>
        <w:t>3. a los convenios solidarios y de Asociación se le puede aplicar las normas</w:t>
      </w:r>
      <w:r>
        <w:rPr>
          <w:rFonts w:ascii="Verdana" w:eastAsia="Calibri" w:hAnsi="Verdana" w:cs="Arial"/>
          <w:sz w:val="20"/>
          <w:szCs w:val="20"/>
          <w:lang w:val="es-ES" w:eastAsia="es-ES"/>
        </w:rPr>
        <w:t xml:space="preserve"> </w:t>
      </w:r>
      <w:r w:rsidRPr="007F7862">
        <w:rPr>
          <w:rFonts w:ascii="Verdana" w:eastAsia="Calibri" w:hAnsi="Verdana" w:cs="Arial"/>
          <w:sz w:val="20"/>
          <w:szCs w:val="20"/>
          <w:lang w:val="es-ES" w:eastAsia="es-ES"/>
        </w:rPr>
        <w:t>que</w:t>
      </w:r>
      <w:r>
        <w:rPr>
          <w:rFonts w:ascii="Verdana" w:eastAsia="Calibri" w:hAnsi="Verdana" w:cs="Arial"/>
          <w:sz w:val="20"/>
          <w:szCs w:val="20"/>
          <w:lang w:val="es-ES" w:eastAsia="es-ES"/>
        </w:rPr>
        <w:t xml:space="preserve"> </w:t>
      </w:r>
      <w:r w:rsidRPr="007F7862">
        <w:rPr>
          <w:rFonts w:ascii="Verdana" w:eastAsia="Calibri" w:hAnsi="Verdana" w:cs="Arial"/>
          <w:sz w:val="20"/>
          <w:szCs w:val="20"/>
          <w:lang w:val="es-ES" w:eastAsia="es-ES"/>
        </w:rPr>
        <w:t xml:space="preserve">adicionan y prorrogan? </w:t>
      </w:r>
      <w:proofErr w:type="gramStart"/>
      <w:r w:rsidRPr="007F7862">
        <w:rPr>
          <w:rFonts w:ascii="Verdana" w:eastAsia="Calibri" w:hAnsi="Verdana" w:cs="Arial"/>
          <w:sz w:val="20"/>
          <w:szCs w:val="20"/>
          <w:lang w:val="es-ES" w:eastAsia="es-ES"/>
        </w:rPr>
        <w:t>se puede aplicar el anticipo</w:t>
      </w:r>
      <w:r>
        <w:rPr>
          <w:rFonts w:ascii="Verdana" w:eastAsia="Calibri" w:hAnsi="Verdana" w:cs="Arial"/>
          <w:sz w:val="20"/>
          <w:szCs w:val="20"/>
          <w:lang w:val="es-ES" w:eastAsia="es-ES"/>
        </w:rPr>
        <w:t>?</w:t>
      </w:r>
      <w:proofErr w:type="gramEnd"/>
      <w:r w:rsidRPr="00BE08D9">
        <w:rPr>
          <w:rFonts w:ascii="Verdana" w:eastAsia="Calibri" w:hAnsi="Verdana" w:cs="Arial"/>
          <w:sz w:val="20"/>
          <w:szCs w:val="20"/>
          <w:lang w:val="es-ES" w:eastAsia="es-ES"/>
        </w:rPr>
        <w:t>:</w:t>
      </w:r>
      <w:r w:rsidR="00BD7EB2">
        <w:rPr>
          <w:rFonts w:ascii="Verdana" w:eastAsia="Calibri" w:hAnsi="Verdana" w:cs="Arial"/>
          <w:sz w:val="20"/>
          <w:szCs w:val="20"/>
          <w:lang w:val="es-ES" w:eastAsia="es-ES"/>
        </w:rPr>
        <w:t>”</w:t>
      </w:r>
    </w:p>
    <w:p w14:paraId="48FF3156" w14:textId="77777777" w:rsidR="00E62E55" w:rsidRPr="00EA7EA8" w:rsidRDefault="00E62E55" w:rsidP="00E62E55">
      <w:pPr>
        <w:spacing w:after="0" w:line="276" w:lineRule="auto"/>
        <w:jc w:val="both"/>
      </w:pPr>
    </w:p>
    <w:p w14:paraId="01148404" w14:textId="77777777" w:rsidR="00E62E55" w:rsidRPr="00EA7EA8" w:rsidRDefault="00E62E55" w:rsidP="00E62E55">
      <w:pPr>
        <w:spacing w:after="120" w:line="276" w:lineRule="auto"/>
        <w:ind w:firstLine="709"/>
        <w:jc w:val="both"/>
        <w:rPr>
          <w:rFonts w:ascii="Verdana" w:eastAsia="Calibri" w:hAnsi="Verdana" w:cs="Arial"/>
          <w:szCs w:val="24"/>
          <w:lang w:val="es-ES_tradnl" w:eastAsia="es-ES_tradnl"/>
        </w:rPr>
      </w:pPr>
      <w:r w:rsidRPr="00EA7EA8">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lang w:val="es-ES" w:eastAsia="es-ES"/>
        </w:rPr>
        <w:t xml:space="preserve">la Agencia Nacional de Contratación Pública – </w:t>
      </w:r>
      <w:r w:rsidRPr="00EA7EA8">
        <w:rPr>
          <w:rFonts w:ascii="Verdana" w:eastAsia="Calibri" w:hAnsi="Verdana" w:cs="Arial"/>
          <w:lang w:val="es-ES" w:eastAsia="es-ES"/>
        </w:rPr>
        <w:t>Colombia</w:t>
      </w:r>
      <w:r>
        <w:rPr>
          <w:rFonts w:ascii="Verdana" w:eastAsia="Calibri" w:hAnsi="Verdana" w:cs="Arial"/>
          <w:lang w:val="es-ES" w:eastAsia="es-ES"/>
        </w:rPr>
        <w:t xml:space="preserve"> </w:t>
      </w:r>
      <w:r w:rsidRPr="00EA7EA8">
        <w:rPr>
          <w:rFonts w:ascii="Verdana" w:eastAsia="Calibri" w:hAnsi="Verdana" w:cs="Arial"/>
          <w:lang w:val="es-ES" w:eastAsia="es-ES"/>
        </w:rPr>
        <w:t xml:space="preserve">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A7EA8">
        <w:rPr>
          <w:rFonts w:ascii="Verdana" w:eastAsia="Calibri" w:hAnsi="Verdana" w:cs="Arial"/>
          <w:szCs w:val="24"/>
          <w:lang w:val="es-ES_tradnl" w:eastAsia="es-ES_tradnl"/>
        </w:rPr>
        <w:tab/>
      </w:r>
    </w:p>
    <w:p w14:paraId="0B1943C8" w14:textId="77777777" w:rsidR="00E62E55" w:rsidRPr="00EA7EA8" w:rsidRDefault="00E62E55" w:rsidP="00E62E55">
      <w:pPr>
        <w:spacing w:after="0" w:line="276" w:lineRule="auto"/>
        <w:ind w:firstLine="709"/>
        <w:jc w:val="both"/>
        <w:rPr>
          <w:rFonts w:ascii="Verdana" w:eastAsia="Calibri" w:hAnsi="Verdana" w:cs="Arial"/>
          <w:lang w:val="es-ES" w:eastAsia="es-ES"/>
        </w:rPr>
      </w:pPr>
      <w:r w:rsidRPr="00EA7EA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349F738" w14:textId="77777777" w:rsidR="00E62E55" w:rsidRPr="00EA7EA8" w:rsidRDefault="00E62E55" w:rsidP="00E62E55">
      <w:pPr>
        <w:spacing w:after="0" w:line="276" w:lineRule="auto"/>
        <w:ind w:firstLine="709"/>
        <w:jc w:val="both"/>
        <w:rPr>
          <w:rFonts w:ascii="Verdana" w:eastAsia="Calibri" w:hAnsi="Verdana" w:cs="Arial"/>
          <w:lang w:val="es-ES" w:eastAsia="es-ES"/>
        </w:rPr>
      </w:pPr>
    </w:p>
    <w:p w14:paraId="279E0117" w14:textId="77777777" w:rsidR="00E62E55" w:rsidRPr="00EA7EA8" w:rsidRDefault="00E62E55" w:rsidP="0006682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A7EA8">
        <w:rPr>
          <w:rFonts w:ascii="Verdana" w:eastAsia="Century Gothic" w:hAnsi="Verdana" w:cs="Century Gothic"/>
          <w:b/>
          <w:bCs/>
        </w:rPr>
        <w:t>Problema planteado:</w:t>
      </w:r>
    </w:p>
    <w:p w14:paraId="739C9423" w14:textId="77777777" w:rsidR="00E62E55" w:rsidRPr="00EA7EA8" w:rsidRDefault="00E62E55" w:rsidP="00E62E55">
      <w:pPr>
        <w:tabs>
          <w:tab w:val="left" w:pos="426"/>
        </w:tabs>
        <w:spacing w:after="0" w:line="276" w:lineRule="auto"/>
        <w:jc w:val="both"/>
        <w:rPr>
          <w:rFonts w:ascii="Verdana" w:eastAsia="Century Gothic" w:hAnsi="Verdana" w:cs="Century Gothic"/>
          <w:lang w:val="es-ES"/>
        </w:rPr>
      </w:pPr>
    </w:p>
    <w:p w14:paraId="58EBF92D" w14:textId="25FE1F7A" w:rsidR="00E62E55" w:rsidRDefault="00E62E55" w:rsidP="00E62E55">
      <w:pPr>
        <w:spacing w:after="0" w:line="276" w:lineRule="auto"/>
        <w:jc w:val="both"/>
        <w:rPr>
          <w:rFonts w:ascii="Verdana" w:eastAsia="Century Gothic" w:hAnsi="Verdana" w:cs="Century Gothic"/>
        </w:rPr>
      </w:pPr>
      <w:r w:rsidRPr="00EA7EA8">
        <w:rPr>
          <w:rFonts w:ascii="Verdana" w:eastAsia="Century Gothic" w:hAnsi="Verdana" w:cs="Century Gothic"/>
        </w:rPr>
        <w:t xml:space="preserve">De acuerdo con el contenido de su solicitud, esta Agencia resolverá el siguiente problema jurídico: </w:t>
      </w:r>
      <w:r w:rsidR="004269EF">
        <w:rPr>
          <w:rFonts w:ascii="Verdana" w:eastAsia="Century Gothic" w:hAnsi="Verdana" w:cs="Century Gothic"/>
        </w:rPr>
        <w:t xml:space="preserve">(i) </w:t>
      </w:r>
      <w:r w:rsidRPr="009E59EB">
        <w:rPr>
          <w:rFonts w:ascii="Verdana" w:eastAsia="Century Gothic" w:hAnsi="Verdana" w:cs="Century Gothic"/>
        </w:rPr>
        <w:t xml:space="preserve">En los procesos contractuales </w:t>
      </w:r>
      <w:r w:rsidR="00843B0F" w:rsidRPr="005A2185">
        <w:rPr>
          <w:rFonts w:ascii="Verdana" w:eastAsia="Century Gothic" w:hAnsi="Verdana" w:cs="Century Gothic"/>
        </w:rPr>
        <w:t>¿</w:t>
      </w:r>
      <w:r w:rsidRPr="009E59EB">
        <w:rPr>
          <w:rFonts w:ascii="Verdana" w:eastAsia="Century Gothic" w:hAnsi="Verdana" w:cs="Century Gothic"/>
        </w:rPr>
        <w:t>cuál es el alcance de la Ley de Garantías Electorales</w:t>
      </w:r>
      <w:r w:rsidR="00843B0F">
        <w:rPr>
          <w:rFonts w:ascii="Verdana" w:eastAsia="Century Gothic" w:hAnsi="Verdana" w:cs="Century Gothic"/>
        </w:rPr>
        <w:t>?</w:t>
      </w:r>
      <w:r w:rsidR="00F3512D">
        <w:rPr>
          <w:rFonts w:ascii="Verdana" w:eastAsia="Century Gothic" w:hAnsi="Verdana" w:cs="Century Gothic"/>
        </w:rPr>
        <w:t>;</w:t>
      </w:r>
      <w:r w:rsidRPr="009E59EB">
        <w:rPr>
          <w:rFonts w:ascii="Verdana" w:eastAsia="Century Gothic" w:hAnsi="Verdana" w:cs="Century Gothic"/>
        </w:rPr>
        <w:t xml:space="preserve"> </w:t>
      </w:r>
      <w:r>
        <w:rPr>
          <w:rFonts w:ascii="Verdana" w:eastAsia="Century Gothic" w:hAnsi="Verdana" w:cs="Century Gothic"/>
        </w:rPr>
        <w:t>(</w:t>
      </w:r>
      <w:proofErr w:type="spellStart"/>
      <w:r>
        <w:rPr>
          <w:rFonts w:ascii="Verdana" w:eastAsia="Century Gothic" w:hAnsi="Verdana" w:cs="Century Gothic"/>
        </w:rPr>
        <w:t>ii</w:t>
      </w:r>
      <w:proofErr w:type="spellEnd"/>
      <w:r>
        <w:rPr>
          <w:rFonts w:ascii="Verdana" w:eastAsia="Century Gothic" w:hAnsi="Verdana" w:cs="Century Gothic"/>
        </w:rPr>
        <w:t xml:space="preserve">) </w:t>
      </w:r>
      <w:r w:rsidRPr="009E59EB">
        <w:rPr>
          <w:rFonts w:ascii="Verdana" w:eastAsia="Century Gothic" w:hAnsi="Verdana" w:cs="Century Gothic"/>
        </w:rPr>
        <w:t xml:space="preserve">en concordancia con el Decreto 092 de 2017, </w:t>
      </w:r>
      <w:r w:rsidR="00843B0F">
        <w:rPr>
          <w:rFonts w:ascii="Verdana" w:eastAsia="Century Gothic" w:hAnsi="Verdana" w:cs="Century Gothic"/>
        </w:rPr>
        <w:t>¿</w:t>
      </w:r>
      <w:r w:rsidRPr="009E59EB">
        <w:rPr>
          <w:rFonts w:ascii="Verdana" w:eastAsia="Century Gothic" w:hAnsi="Verdana" w:cs="Century Gothic"/>
        </w:rPr>
        <w:t>están obligadas las entidades municipales a publicar y gestionar los convenios solidarios y de asociación a través del SECOP II —o, en caso de no tenerlo implementado, pueden hacerlo en el SECOP I—</w:t>
      </w:r>
      <w:r w:rsidR="00843B0F">
        <w:rPr>
          <w:rFonts w:ascii="Verdana" w:eastAsia="Century Gothic" w:hAnsi="Verdana" w:cs="Century Gothic"/>
        </w:rPr>
        <w:t>?</w:t>
      </w:r>
      <w:r w:rsidRPr="009E59EB">
        <w:rPr>
          <w:rFonts w:ascii="Verdana" w:eastAsia="Century Gothic" w:hAnsi="Verdana" w:cs="Century Gothic"/>
        </w:rPr>
        <w:t xml:space="preserve"> y</w:t>
      </w:r>
      <w:r w:rsidR="00843B0F">
        <w:rPr>
          <w:rFonts w:ascii="Verdana" w:eastAsia="Century Gothic" w:hAnsi="Verdana" w:cs="Century Gothic"/>
        </w:rPr>
        <w:t>;</w:t>
      </w:r>
      <w:r w:rsidRPr="009E59EB">
        <w:rPr>
          <w:rFonts w:ascii="Verdana" w:eastAsia="Century Gothic" w:hAnsi="Verdana" w:cs="Century Gothic"/>
        </w:rPr>
        <w:t xml:space="preserve"> </w:t>
      </w:r>
      <w:r>
        <w:rPr>
          <w:rFonts w:ascii="Verdana" w:eastAsia="Century Gothic" w:hAnsi="Verdana" w:cs="Century Gothic"/>
        </w:rPr>
        <w:t>(</w:t>
      </w:r>
      <w:proofErr w:type="spellStart"/>
      <w:r>
        <w:rPr>
          <w:rFonts w:ascii="Verdana" w:eastAsia="Century Gothic" w:hAnsi="Verdana" w:cs="Century Gothic"/>
        </w:rPr>
        <w:t>iii</w:t>
      </w:r>
      <w:proofErr w:type="spellEnd"/>
      <w:r>
        <w:rPr>
          <w:rFonts w:ascii="Verdana" w:eastAsia="Century Gothic" w:hAnsi="Verdana" w:cs="Century Gothic"/>
        </w:rPr>
        <w:t xml:space="preserve">) </w:t>
      </w:r>
      <w:r w:rsidR="00843B0F">
        <w:rPr>
          <w:rFonts w:ascii="Verdana" w:eastAsia="Century Gothic" w:hAnsi="Verdana" w:cs="Century Gothic"/>
        </w:rPr>
        <w:t>¿</w:t>
      </w:r>
      <w:r w:rsidRPr="009E59EB">
        <w:rPr>
          <w:rFonts w:ascii="Verdana" w:eastAsia="Century Gothic" w:hAnsi="Verdana" w:cs="Century Gothic"/>
        </w:rPr>
        <w:t>les resultan aplicables a dichos convenios las normas sobre adiciones y prórrogas, así como la posibilidad de pactar anticipos o pagos anticipados</w:t>
      </w:r>
      <w:r>
        <w:rPr>
          <w:rFonts w:ascii="Verdana" w:eastAsia="Century Gothic" w:hAnsi="Verdana" w:cs="Century Gothic"/>
        </w:rPr>
        <w:t>?</w:t>
      </w:r>
    </w:p>
    <w:p w14:paraId="6FC313ED" w14:textId="77777777" w:rsidR="00E62E55" w:rsidRPr="00070C1E" w:rsidRDefault="00E62E55" w:rsidP="00E62E55">
      <w:pPr>
        <w:spacing w:after="0" w:line="276" w:lineRule="auto"/>
        <w:jc w:val="both"/>
        <w:rPr>
          <w:rFonts w:ascii="Verdana" w:eastAsia="Century Gothic" w:hAnsi="Verdana" w:cs="Century Gothic"/>
        </w:rPr>
      </w:pPr>
    </w:p>
    <w:p w14:paraId="29E07079" w14:textId="77777777" w:rsidR="00E62E55" w:rsidRPr="00EA7EA8" w:rsidRDefault="00E62E55" w:rsidP="00E62E5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A7EA8">
        <w:rPr>
          <w:rFonts w:ascii="Verdana" w:eastAsia="Century Gothic" w:hAnsi="Verdana" w:cs="Century Gothic"/>
          <w:b/>
          <w:bCs/>
        </w:rPr>
        <w:t>Respuesta:</w:t>
      </w:r>
    </w:p>
    <w:p w14:paraId="224791B9" w14:textId="77777777" w:rsidR="00E62E55" w:rsidRPr="00EA7EA8" w:rsidRDefault="00E62E55" w:rsidP="00E62E55">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62E55" w:rsidRPr="00EA7EA8" w14:paraId="6184DD6C" w14:textId="77777777" w:rsidTr="00BD39D6">
        <w:tc>
          <w:tcPr>
            <w:tcW w:w="8828" w:type="dxa"/>
          </w:tcPr>
          <w:p w14:paraId="0C100F9A" w14:textId="210A42EC" w:rsidR="000C2996" w:rsidRPr="00B1272A" w:rsidRDefault="00E62E55" w:rsidP="00066823">
            <w:pPr>
              <w:spacing w:after="120" w:line="276" w:lineRule="auto"/>
              <w:jc w:val="both"/>
              <w:rPr>
                <w:rFonts w:ascii="Verdana" w:eastAsia="Calibri" w:hAnsi="Verdana" w:cs="Arial"/>
              </w:rPr>
            </w:pPr>
            <w:r>
              <w:rPr>
                <w:rFonts w:ascii="Verdana" w:eastAsia="Calibri" w:hAnsi="Verdana" w:cs="Arial"/>
              </w:rPr>
              <w:t xml:space="preserve">(i) En atención al problema jurídico planteado, en primer </w:t>
            </w:r>
            <w:r w:rsidR="0014159F" w:rsidRPr="00B1272A">
              <w:rPr>
                <w:rFonts w:ascii="Verdana" w:eastAsia="Calibri" w:hAnsi="Verdana" w:cs="Arial"/>
              </w:rPr>
              <w:t>lugar,</w:t>
            </w:r>
            <w:r>
              <w:rPr>
                <w:rFonts w:ascii="Verdana" w:eastAsia="Calibri" w:hAnsi="Verdana" w:cs="Arial"/>
              </w:rPr>
              <w:t xml:space="preserve"> es necesario indicar que l</w:t>
            </w:r>
            <w:r w:rsidRPr="00875867">
              <w:rPr>
                <w:rFonts w:ascii="Verdana" w:eastAsia="Calibri" w:hAnsi="Verdana" w:cs="Arial"/>
              </w:rPr>
              <w:t>a Ley de Garantías Electorales (Ley 996 de 2005) establece restricciones en materia contractual en época preelectoral, dirigidas principalmente a evitar el uso político de los recursos públicos. Existen dos prohibiciones centrales: (i) la contenida en el artículo 33, que aplica a elecciones presidenciales y prohíbe la contratación directa dentro de los cuatro meses previos a los comicios, salvo excepciones taxativas, y (</w:t>
            </w:r>
            <w:proofErr w:type="spellStart"/>
            <w:r w:rsidRPr="00875867">
              <w:rPr>
                <w:rFonts w:ascii="Verdana" w:eastAsia="Calibri" w:hAnsi="Verdana" w:cs="Arial"/>
              </w:rPr>
              <w:t>ii</w:t>
            </w:r>
            <w:proofErr w:type="spellEnd"/>
            <w:r w:rsidRPr="00875867">
              <w:rPr>
                <w:rFonts w:ascii="Verdana" w:eastAsia="Calibri" w:hAnsi="Verdana" w:cs="Arial"/>
              </w:rPr>
              <w:t xml:space="preserve">) la del parágrafo del artículo 38, que recae sobre gobernadores, alcaldes y directores de entidades descentralizadas, respecto de la celebración de convenios interadministrativos de ejecución de recursos públicos dentro de los cuatro meses anteriores a elecciones locales o regionales. </w:t>
            </w:r>
          </w:p>
          <w:p w14:paraId="5C95E681" w14:textId="21B619AC" w:rsidR="007D1A21" w:rsidRPr="00066823" w:rsidRDefault="00C66204" w:rsidP="00066823">
            <w:pPr>
              <w:spacing w:after="120" w:line="276" w:lineRule="auto"/>
              <w:ind w:firstLine="709"/>
              <w:jc w:val="both"/>
              <w:rPr>
                <w:rFonts w:ascii="Verdana" w:eastAsia="Calibri" w:hAnsi="Verdana" w:cs="Arial"/>
                <w:color w:val="000000" w:themeColor="text1"/>
                <w:lang w:val="es-ES"/>
              </w:rPr>
            </w:pPr>
            <w:r w:rsidRPr="00B1272A">
              <w:rPr>
                <w:rFonts w:ascii="Verdana" w:eastAsia="Calibri" w:hAnsi="Verdana" w:cs="Arial"/>
              </w:rPr>
              <w:t xml:space="preserve">Ahora bien, respecto de la aplicación de las restricciones antes señaladas a </w:t>
            </w:r>
            <w:r w:rsidR="009B4C1F">
              <w:rPr>
                <w:rFonts w:ascii="Verdana" w:eastAsia="Calibri" w:hAnsi="Verdana" w:cs="Arial"/>
              </w:rPr>
              <w:t>l</w:t>
            </w:r>
            <w:r w:rsidRPr="00B1272A">
              <w:rPr>
                <w:rFonts w:ascii="Verdana" w:eastAsia="Calibri" w:hAnsi="Verdana" w:cs="Arial"/>
              </w:rPr>
              <w:t>os convenios solidarios, debe señalarse que,</w:t>
            </w:r>
            <w:r w:rsidR="007D1A21" w:rsidRPr="00B1272A">
              <w:rPr>
                <w:rFonts w:ascii="Verdana" w:eastAsia="Calibri" w:hAnsi="Verdana" w:cs="Arial"/>
              </w:rPr>
              <w:t xml:space="preserve"> por un lado,</w:t>
            </w:r>
            <w:r w:rsidRPr="00B1272A">
              <w:rPr>
                <w:rFonts w:ascii="Verdana" w:eastAsia="Calibri" w:hAnsi="Verdana" w:cs="Arial"/>
              </w:rPr>
              <w:t xml:space="preserve"> </w:t>
            </w:r>
            <w:r w:rsidR="007D1A21" w:rsidRPr="00066823">
              <w:rPr>
                <w:rFonts w:ascii="Verdana" w:eastAsia="Calibri" w:hAnsi="Verdana" w:cs="Arial"/>
                <w:color w:val="000000" w:themeColor="text1"/>
                <w:lang w:val="es-ES"/>
              </w:rPr>
              <w:t>el artículo 33 de la Ley de Garantías Electorales “restringe la contratación directa por parte de todos los entes del Estado desde el día 29 de enero de 202</w:t>
            </w:r>
            <w:r w:rsidR="007819E3">
              <w:rPr>
                <w:rFonts w:ascii="Verdana" w:eastAsia="Calibri" w:hAnsi="Verdana" w:cs="Arial"/>
                <w:color w:val="000000" w:themeColor="text1"/>
                <w:lang w:val="es-ES"/>
              </w:rPr>
              <w:t>6</w:t>
            </w:r>
            <w:r w:rsidR="007D1A21" w:rsidRPr="00066823">
              <w:rPr>
                <w:rFonts w:ascii="Verdana" w:eastAsia="Calibri" w:hAnsi="Verdana" w:cs="Arial"/>
                <w:color w:val="000000" w:themeColor="text1"/>
                <w:lang w:val="es-ES"/>
              </w:rPr>
              <w:t xml:space="preserve"> y hasta la elección en segunda vuelta, si fuere el caso”. Dentro de esta restricción queda contemplada la prohibición de celebrar </w:t>
            </w:r>
            <w:r w:rsidR="007D1A21" w:rsidRPr="00066823">
              <w:rPr>
                <w:rFonts w:ascii="Verdana" w:eastAsia="Calibri" w:hAnsi="Verdana" w:cs="Arial"/>
                <w:i/>
                <w:iCs/>
                <w:color w:val="000000" w:themeColor="text1"/>
                <w:lang w:val="es-ES"/>
              </w:rPr>
              <w:t>directamente</w:t>
            </w:r>
            <w:r w:rsidR="007D1A21" w:rsidRPr="00066823">
              <w:rPr>
                <w:rFonts w:ascii="Verdana" w:eastAsia="Calibri" w:hAnsi="Verdana" w:cs="Arial"/>
                <w:color w:val="000000" w:themeColor="text1"/>
                <w:lang w:val="es-ES"/>
              </w:rPr>
              <w:t xml:space="preserve"> convenios solidarios. Lo anterior, salvo que en el caso concreto se presente alguna de las excepciones establecidas a la prohibición consagrada en el inciso segundo del artículo 33 de la Ley de Garantías Electorales.</w:t>
            </w:r>
          </w:p>
          <w:p w14:paraId="32F087D8" w14:textId="4A00E17E" w:rsidR="00C66204" w:rsidRPr="00B1272A" w:rsidRDefault="007D1A21" w:rsidP="00066823">
            <w:pPr>
              <w:spacing w:after="120" w:line="276" w:lineRule="auto"/>
              <w:ind w:firstLine="709"/>
              <w:jc w:val="both"/>
              <w:rPr>
                <w:rFonts w:ascii="Verdana" w:eastAsia="Calibri" w:hAnsi="Verdana" w:cs="Arial"/>
              </w:rPr>
            </w:pPr>
            <w:r w:rsidRPr="00066823">
              <w:rPr>
                <w:rFonts w:ascii="Verdana" w:hAnsi="Verdana" w:cs="Arial"/>
                <w:bCs/>
                <w:color w:val="000000" w:themeColor="text1"/>
                <w:lang w:val="es-ES_tradnl" w:eastAsia="es-ES_tradnl"/>
              </w:rPr>
              <w:t>Sin perjuicio de lo anterior,</w:t>
            </w:r>
            <w:r w:rsidRPr="00066823">
              <w:rPr>
                <w:rFonts w:ascii="Verdana" w:eastAsia="Calibri" w:hAnsi="Verdana" w:cs="Arial"/>
                <w:color w:val="000000" w:themeColor="text1"/>
                <w:lang w:val="es-ES"/>
              </w:rPr>
              <w:t xml:space="preserve"> dado que lo prohibido es la contratación </w:t>
            </w:r>
            <w:r w:rsidRPr="00066823">
              <w:rPr>
                <w:rFonts w:ascii="Verdana" w:eastAsia="Calibri" w:hAnsi="Verdana" w:cs="Arial"/>
                <w:i/>
                <w:iCs/>
                <w:color w:val="000000" w:themeColor="text1"/>
                <w:lang w:val="es-ES"/>
              </w:rPr>
              <w:t xml:space="preserve">directa, </w:t>
            </w:r>
            <w:r w:rsidRPr="00066823">
              <w:rPr>
                <w:rFonts w:ascii="Verdana" w:eastAsia="Calibri" w:hAnsi="Verdana" w:cs="Arial"/>
                <w:color w:val="000000" w:themeColor="text1"/>
                <w:lang w:val="es-ES"/>
              </w:rPr>
              <w:t xml:space="preserve">en cada caso particular debe analizarse la forma en que se celebrará el convenio solidario, de acuerdo con el marco jurídico que los regula, bajo la premisa de que </w:t>
            </w:r>
            <w:r w:rsidRPr="00066823">
              <w:rPr>
                <w:rFonts w:ascii="Verdana" w:eastAsia="Calibri" w:hAnsi="Verdana" w:cs="Arial"/>
                <w:i/>
                <w:iCs/>
                <w:color w:val="000000" w:themeColor="text1"/>
                <w:lang w:val="es-ES"/>
              </w:rPr>
              <w:t xml:space="preserve">las entidades estatales </w:t>
            </w:r>
            <w:r w:rsidRPr="00066823">
              <w:rPr>
                <w:rFonts w:ascii="Verdana" w:hAnsi="Verdana" w:cs="Arial"/>
                <w:i/>
                <w:iCs/>
                <w:color w:val="000000" w:themeColor="text1"/>
                <w:lang w:val="es-MX"/>
              </w:rPr>
              <w:t>podrán suscribir convenios solidarios durante la vigencia de la prohibición analizada, en tanto se de aplicación a un proceso competitivo para la selección del contratista</w:t>
            </w:r>
            <w:r w:rsidRPr="00066823">
              <w:rPr>
                <w:rFonts w:ascii="Verdana" w:hAnsi="Verdana" w:cs="Arial"/>
                <w:color w:val="000000" w:themeColor="text1"/>
                <w:lang w:val="es-MX"/>
              </w:rPr>
              <w:t>, esto es, en el que exista convocatoria pública y posibilidad de participación de pluralidad de oferentes. Esto, debido a que la prohibición de contratación directa del artículo 33 de la Ley de Garantías Electorales únicamente aplica a los procedimientos “no competitivos</w:t>
            </w:r>
            <w:r w:rsidR="00B1272A" w:rsidRPr="00066823">
              <w:rPr>
                <w:rFonts w:ascii="Verdana" w:hAnsi="Verdana" w:cs="Arial"/>
                <w:color w:val="000000" w:themeColor="text1"/>
                <w:lang w:val="es-MX"/>
              </w:rPr>
              <w:t>”</w:t>
            </w:r>
            <w:r w:rsidRPr="00066823">
              <w:rPr>
                <w:rFonts w:ascii="Verdana" w:hAnsi="Verdana" w:cs="Arial"/>
                <w:color w:val="000000" w:themeColor="text1"/>
                <w:lang w:val="es-MX"/>
              </w:rPr>
              <w:t>, que son los que implican una contratación directa.</w:t>
            </w:r>
          </w:p>
          <w:p w14:paraId="2EAE2FCA" w14:textId="6203AF54" w:rsidR="00E62E55" w:rsidRPr="00875867" w:rsidRDefault="00B1272A" w:rsidP="00066823">
            <w:pPr>
              <w:spacing w:line="276" w:lineRule="auto"/>
              <w:ind w:firstLine="709"/>
              <w:jc w:val="both"/>
              <w:rPr>
                <w:rFonts w:ascii="Verdana" w:eastAsia="Calibri" w:hAnsi="Verdana" w:cs="Arial"/>
              </w:rPr>
            </w:pPr>
            <w:r w:rsidRPr="00B1272A">
              <w:rPr>
                <w:rFonts w:ascii="Verdana" w:eastAsia="Calibri" w:hAnsi="Verdana" w:cs="Arial"/>
              </w:rPr>
              <w:t>Por otro lado</w:t>
            </w:r>
            <w:r w:rsidR="00E62E55" w:rsidRPr="00875867">
              <w:rPr>
                <w:rFonts w:ascii="Verdana" w:eastAsia="Calibri" w:hAnsi="Verdana" w:cs="Arial"/>
              </w:rPr>
              <w:t xml:space="preserve">, los convenios solidarios con organismos de acción comunal </w:t>
            </w:r>
            <w:r w:rsidR="00E138D7">
              <w:rPr>
                <w:rFonts w:ascii="Verdana" w:eastAsia="Calibri" w:hAnsi="Verdana" w:cs="Arial"/>
              </w:rPr>
              <w:t xml:space="preserve">y los convenios de asociaciones con las ESALES </w:t>
            </w:r>
            <w:r w:rsidR="00E62E55" w:rsidRPr="00875867">
              <w:rPr>
                <w:rFonts w:ascii="Verdana" w:eastAsia="Calibri" w:hAnsi="Verdana" w:cs="Arial"/>
              </w:rPr>
              <w:t xml:space="preserve">no son convenios interadministrativos, pues se suscriben entre una entidad estatal y una </w:t>
            </w:r>
            <w:r w:rsidR="00E62E55" w:rsidRPr="00875867">
              <w:rPr>
                <w:rFonts w:ascii="Verdana" w:eastAsia="Calibri" w:hAnsi="Verdana" w:cs="Arial"/>
              </w:rPr>
              <w:lastRenderedPageBreak/>
              <w:t>persona jurídica de derecho privado, razón por la cual no les aplica la restricción del artículo 38 de la Ley de Garantías.</w:t>
            </w:r>
          </w:p>
          <w:p w14:paraId="1C511202" w14:textId="77777777" w:rsidR="0014159F" w:rsidRPr="00875867" w:rsidRDefault="0014159F" w:rsidP="00066823">
            <w:pPr>
              <w:spacing w:line="276" w:lineRule="auto"/>
              <w:jc w:val="both"/>
              <w:rPr>
                <w:rFonts w:ascii="Verdana" w:eastAsia="Calibri" w:hAnsi="Verdana" w:cs="Arial"/>
              </w:rPr>
            </w:pPr>
          </w:p>
          <w:p w14:paraId="6B6C1A18" w14:textId="77777777" w:rsidR="00E62E55" w:rsidRPr="00EF2F43" w:rsidRDefault="00E62E55" w:rsidP="00066823">
            <w:pPr>
              <w:spacing w:after="120" w:line="276" w:lineRule="auto"/>
              <w:jc w:val="both"/>
              <w:rPr>
                <w:rFonts w:ascii="Verdana" w:eastAsia="Calibri" w:hAnsi="Verdana" w:cs="Arial"/>
              </w:rPr>
            </w:pPr>
            <w:r>
              <w:rPr>
                <w:rFonts w:ascii="Verdana" w:eastAsia="Calibri" w:hAnsi="Verdana" w:cs="Arial"/>
              </w:rPr>
              <w:t>(</w:t>
            </w:r>
            <w:proofErr w:type="spellStart"/>
            <w:r>
              <w:rPr>
                <w:rFonts w:ascii="Verdana" w:eastAsia="Calibri" w:hAnsi="Verdana" w:cs="Arial"/>
              </w:rPr>
              <w:t>ii</w:t>
            </w:r>
            <w:proofErr w:type="spellEnd"/>
            <w:r>
              <w:rPr>
                <w:rFonts w:ascii="Verdana" w:eastAsia="Calibri" w:hAnsi="Verdana" w:cs="Arial"/>
              </w:rPr>
              <w:t xml:space="preserve">) </w:t>
            </w:r>
            <w:r w:rsidRPr="00EF2F43">
              <w:rPr>
                <w:rFonts w:ascii="Verdana" w:eastAsia="Calibri" w:hAnsi="Verdana" w:cs="Arial"/>
              </w:rPr>
              <w:t xml:space="preserve">En relación con el Decreto 092 de 2017, este regula la contratación con entidades sin ánimo de lucro y los convenios de asociación en desarrollo del artículo 355 de la Constitución y del artículo 96 de la Ley 489 de 1998. Ahora bien, en cuanto a la publicación de convenios solidarios y de asociación, la Guía para la celebración de convenios solidarios </w:t>
            </w:r>
            <w:r>
              <w:rPr>
                <w:rFonts w:ascii="Verdana" w:eastAsia="Calibri" w:hAnsi="Verdana" w:cs="Arial"/>
              </w:rPr>
              <w:t xml:space="preserve">expedida por </w:t>
            </w:r>
            <w:r w:rsidRPr="00EA7EA8">
              <w:rPr>
                <w:rFonts w:ascii="Verdana" w:eastAsia="Calibri" w:hAnsi="Verdana" w:cs="Arial"/>
                <w:lang w:val="es-ES" w:eastAsia="es-ES"/>
              </w:rPr>
              <w:t>la Agencia Nacional de Contratación Pública – Colombia Compra Eficiente–</w:t>
            </w:r>
            <w:r>
              <w:rPr>
                <w:rFonts w:ascii="Verdana" w:eastAsia="Calibri" w:hAnsi="Verdana" w:cs="Arial"/>
                <w:lang w:val="es-ES" w:eastAsia="es-ES"/>
              </w:rPr>
              <w:t xml:space="preserve"> </w:t>
            </w:r>
            <w:r w:rsidRPr="00EF2F43">
              <w:rPr>
                <w:rFonts w:ascii="Verdana" w:eastAsia="Calibri" w:hAnsi="Verdana" w:cs="Arial"/>
              </w:rPr>
              <w:t>es clara al señalar que la plataforma habilitada para gestionar estos procesos es únicamente el SECOP II, ya que este es el sistema transaccional del Sistema de Compra Pública que permite tramitar la contratación bajo el régimen especial, habilitar la inscripción de las Juntas de Acción Comunal y demás organizaciones de la sociedad civil, y dar cumplimiento integral a los principios de publicidad y transparencia.</w:t>
            </w:r>
          </w:p>
          <w:p w14:paraId="2D31F006" w14:textId="77777777" w:rsidR="00E62E55" w:rsidRDefault="00E62E55" w:rsidP="00066823">
            <w:pPr>
              <w:spacing w:line="276" w:lineRule="auto"/>
              <w:ind w:firstLine="708"/>
              <w:jc w:val="both"/>
              <w:rPr>
                <w:rFonts w:ascii="Verdana" w:eastAsia="Calibri" w:hAnsi="Verdana" w:cs="Arial"/>
              </w:rPr>
            </w:pPr>
            <w:r w:rsidRPr="00EF2F43">
              <w:rPr>
                <w:rFonts w:ascii="Verdana" w:eastAsia="Calibri" w:hAnsi="Verdana" w:cs="Arial"/>
              </w:rPr>
              <w:t>De esta forma, no existe habilitación para usar SECOP I como alternativa en convenios solidarios o de asociación, pues la gestión debe realizarse en SECOP II. La obligatoriedad aplica para todas las entidades estatales, incluidas las del nivel municipal, departamental y nacional</w:t>
            </w:r>
            <w:r>
              <w:rPr>
                <w:rFonts w:ascii="Verdana" w:eastAsia="Calibri" w:hAnsi="Verdana" w:cs="Arial"/>
              </w:rPr>
              <w:t>.</w:t>
            </w:r>
          </w:p>
          <w:p w14:paraId="74C8C616" w14:textId="77777777" w:rsidR="0014159F" w:rsidRDefault="0014159F" w:rsidP="00066823">
            <w:pPr>
              <w:spacing w:line="276" w:lineRule="auto"/>
              <w:jc w:val="both"/>
              <w:rPr>
                <w:rFonts w:ascii="Verdana" w:eastAsia="Calibri" w:hAnsi="Verdana" w:cs="Arial"/>
              </w:rPr>
            </w:pPr>
          </w:p>
          <w:p w14:paraId="6FD1DFD5" w14:textId="1EDF3A35" w:rsidR="00E62E55" w:rsidRPr="00CE1580" w:rsidRDefault="00E62E55" w:rsidP="00066823">
            <w:pPr>
              <w:spacing w:after="120" w:line="276" w:lineRule="auto"/>
              <w:jc w:val="both"/>
              <w:rPr>
                <w:rFonts w:ascii="Verdana" w:eastAsia="Calibri" w:hAnsi="Verdana" w:cs="Arial"/>
              </w:rPr>
            </w:pPr>
            <w:r>
              <w:rPr>
                <w:rFonts w:ascii="Verdana" w:eastAsia="Calibri" w:hAnsi="Verdana" w:cs="Arial"/>
              </w:rPr>
              <w:t>(</w:t>
            </w:r>
            <w:proofErr w:type="spellStart"/>
            <w:r>
              <w:rPr>
                <w:rFonts w:ascii="Verdana" w:eastAsia="Calibri" w:hAnsi="Verdana" w:cs="Arial"/>
              </w:rPr>
              <w:t>iii</w:t>
            </w:r>
            <w:proofErr w:type="spellEnd"/>
            <w:r>
              <w:rPr>
                <w:rFonts w:ascii="Verdana" w:eastAsia="Calibri" w:hAnsi="Verdana" w:cs="Arial"/>
              </w:rPr>
              <w:t>)</w:t>
            </w:r>
            <w:r w:rsidRPr="00875867">
              <w:rPr>
                <w:rFonts w:ascii="Verdana" w:eastAsia="Calibri" w:hAnsi="Verdana" w:cs="Arial"/>
              </w:rPr>
              <w:t>Respecto a la aplicación de normas sobre adiciones, prórrogas y anticipos, es importante aclarar lo siguiente: los convenios solidarios y de asociación se caracterizan por ser relaciones de cooperación y no contratos conmutativos con contraprestación económica. Por ello, la regla general es que no procede e</w:t>
            </w:r>
            <w:r>
              <w:rPr>
                <w:rFonts w:ascii="Verdana" w:eastAsia="Calibri" w:hAnsi="Verdana" w:cs="Arial"/>
              </w:rPr>
              <w:t>stablecer un</w:t>
            </w:r>
            <w:r w:rsidRPr="00875867">
              <w:rPr>
                <w:rFonts w:ascii="Verdana" w:eastAsia="Calibri" w:hAnsi="Verdana" w:cs="Arial"/>
              </w:rPr>
              <w:t xml:space="preserve"> anticipo ni pago anticipado en estos convenios, ya que tales figuras están asociadas a la lógica del contrato oneroso. </w:t>
            </w:r>
            <w:r>
              <w:rPr>
                <w:rFonts w:ascii="Verdana" w:eastAsia="Calibri" w:hAnsi="Verdana" w:cs="Arial"/>
              </w:rPr>
              <w:t>A</w:t>
            </w:r>
            <w:r w:rsidRPr="00875867">
              <w:rPr>
                <w:rFonts w:ascii="Verdana" w:eastAsia="Calibri" w:hAnsi="Verdana" w:cs="Arial"/>
              </w:rPr>
              <w:t>unque los anticipos y pagos anticipados cumplen una función de financiación en contratos estatales, no son aplicables a convenios solidarios ni de asociación, en donde los aportes no constituyen una retribución sino un mecanismo de colaboración. Lo que sí puede pactarse son aportes de las partes y la exigencia de garantías para cubrir riesgos derivados del incumplimiento, pero no amparos específicos de devolución de anticipo o de pago anticipado. En cuanto a adiciones y prórrogas, sí les resulta aplicable la prohibición general del artículo 40 de la Ley 80 de 1993 en lo relacionado con no adicionar en más del 50% del valor inicial, dado que el Decreto 092 remite a las normas del Estatuto General de Contratación en lo que sea compatible.</w:t>
            </w:r>
          </w:p>
        </w:tc>
      </w:tr>
    </w:tbl>
    <w:p w14:paraId="412F5991" w14:textId="77777777" w:rsidR="00E62E55" w:rsidRPr="00EA7EA8" w:rsidRDefault="00E62E55" w:rsidP="00E62E55">
      <w:pPr>
        <w:tabs>
          <w:tab w:val="left" w:pos="142"/>
          <w:tab w:val="left" w:pos="284"/>
        </w:tabs>
        <w:spacing w:after="0" w:line="276" w:lineRule="auto"/>
        <w:jc w:val="both"/>
        <w:rPr>
          <w:rFonts w:ascii="Verdana" w:eastAsia="Century Gothic" w:hAnsi="Verdana" w:cs="Century Gothic"/>
          <w:b/>
          <w:bCs/>
          <w:lang w:val="es-ES"/>
        </w:rPr>
      </w:pPr>
    </w:p>
    <w:p w14:paraId="508BE7A4" w14:textId="77777777" w:rsidR="00E62E55" w:rsidRPr="00EA7EA8" w:rsidRDefault="00E62E55" w:rsidP="00E62E5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A7EA8">
        <w:rPr>
          <w:rFonts w:ascii="Verdana" w:eastAsia="Century Gothic" w:hAnsi="Verdana" w:cs="Century Gothic"/>
          <w:b/>
          <w:bCs/>
        </w:rPr>
        <w:t>Razones de la respuesta:</w:t>
      </w:r>
    </w:p>
    <w:p w14:paraId="224261DC" w14:textId="77777777" w:rsidR="00E62E55" w:rsidRPr="00EA7EA8" w:rsidRDefault="00E62E55" w:rsidP="00E62E55">
      <w:pPr>
        <w:spacing w:after="0" w:line="276" w:lineRule="auto"/>
        <w:jc w:val="both"/>
        <w:rPr>
          <w:rFonts w:ascii="Verdana" w:eastAsia="Calibri" w:hAnsi="Verdana" w:cs="Arial"/>
          <w:lang w:val="es-ES"/>
        </w:rPr>
      </w:pPr>
    </w:p>
    <w:p w14:paraId="67B1023F" w14:textId="77777777" w:rsidR="00E62E55" w:rsidRDefault="00E62E55" w:rsidP="00E62E55">
      <w:pPr>
        <w:spacing w:after="0" w:line="276" w:lineRule="auto"/>
        <w:jc w:val="both"/>
        <w:rPr>
          <w:rFonts w:ascii="Verdana" w:eastAsia="Calibri" w:hAnsi="Verdana" w:cs="Arial"/>
          <w:lang w:val="es-ES"/>
        </w:rPr>
      </w:pPr>
      <w:r w:rsidRPr="00EA7EA8">
        <w:rPr>
          <w:rFonts w:ascii="Verdana" w:eastAsia="Calibri" w:hAnsi="Verdana" w:cs="Arial"/>
          <w:lang w:val="es-ES"/>
        </w:rPr>
        <w:t xml:space="preserve">Lo anterior se sustenta en las siguientes consideraciones: </w:t>
      </w:r>
    </w:p>
    <w:p w14:paraId="0CB0161D" w14:textId="77777777" w:rsidR="00E62E55" w:rsidRDefault="00E62E55" w:rsidP="00E62E55">
      <w:pPr>
        <w:spacing w:after="0" w:line="276" w:lineRule="auto"/>
        <w:jc w:val="both"/>
        <w:rPr>
          <w:rFonts w:ascii="Verdana" w:eastAsia="Calibri" w:hAnsi="Verdana" w:cs="Arial"/>
          <w:lang w:val="es-ES"/>
        </w:rPr>
      </w:pPr>
    </w:p>
    <w:p w14:paraId="5A4D073D" w14:textId="6861DA28" w:rsidR="00E62E55" w:rsidRDefault="00E62E55" w:rsidP="00066823">
      <w:pPr>
        <w:spacing w:after="120" w:line="276" w:lineRule="auto"/>
        <w:ind w:firstLine="707"/>
        <w:jc w:val="both"/>
        <w:rPr>
          <w:rFonts w:ascii="Verdana" w:eastAsia="Calibri" w:hAnsi="Verdana" w:cs="Arial"/>
          <w:lang w:val="es-MX"/>
        </w:rPr>
      </w:pPr>
      <w:bookmarkStart w:id="0" w:name="_Hlk77153296"/>
      <w:bookmarkStart w:id="1" w:name="_Hlk75784645"/>
      <w:r>
        <w:rPr>
          <w:rFonts w:ascii="Verdana" w:eastAsia="Calibri" w:hAnsi="Verdana" w:cs="Arial"/>
          <w:lang w:val="es-MX"/>
        </w:rPr>
        <w:t xml:space="preserve">(i) </w:t>
      </w:r>
      <w:r w:rsidR="001B6071">
        <w:rPr>
          <w:rFonts w:ascii="Verdana" w:eastAsia="Calibri" w:hAnsi="Verdana" w:cs="Arial"/>
          <w:lang w:val="es-MX"/>
        </w:rPr>
        <w:t>e</w:t>
      </w:r>
      <w:r w:rsidRPr="00A60F9C">
        <w:rPr>
          <w:rFonts w:ascii="Verdana" w:eastAsia="Calibri" w:hAnsi="Verdana" w:cs="Arial"/>
          <w:lang w:val="es-MX"/>
        </w:rPr>
        <w:t xml:space="preserve">n cuanto a las </w:t>
      </w:r>
      <w:r w:rsidR="00253460">
        <w:rPr>
          <w:rFonts w:ascii="Verdana" w:eastAsia="Times New Roman" w:hAnsi="Verdana" w:cs="Arial"/>
          <w:lang w:val="es-MX" w:eastAsia="es-CO"/>
        </w:rPr>
        <w:t>r</w:t>
      </w:r>
      <w:r w:rsidRPr="00A60F9C">
        <w:rPr>
          <w:rFonts w:ascii="Verdana" w:eastAsia="Times New Roman" w:hAnsi="Verdana" w:cs="Arial"/>
          <w:lang w:val="es-MX" w:eastAsia="es-CO"/>
        </w:rPr>
        <w:t xml:space="preserve">estricciones </w:t>
      </w:r>
      <w:bookmarkStart w:id="2" w:name="_Hlk75643279"/>
      <w:r w:rsidRPr="00A60F9C">
        <w:rPr>
          <w:rFonts w:ascii="Verdana" w:eastAsia="Times New Roman" w:hAnsi="Verdana" w:cs="Arial"/>
          <w:lang w:val="es-MX" w:eastAsia="es-CO"/>
        </w:rPr>
        <w:t>para la celebración de contratos y convenios interadministrativos en los comicios para cargos de elección popular</w:t>
      </w:r>
      <w:bookmarkStart w:id="3" w:name="_Hlk88210558"/>
      <w:bookmarkEnd w:id="0"/>
      <w:bookmarkEnd w:id="2"/>
      <w:r>
        <w:rPr>
          <w:rFonts w:ascii="Verdana" w:eastAsia="Times New Roman" w:hAnsi="Verdana" w:cs="Arial"/>
          <w:lang w:val="es-MX" w:eastAsia="es-CO"/>
        </w:rPr>
        <w:t xml:space="preserve">, </w:t>
      </w:r>
      <w:r>
        <w:rPr>
          <w:rFonts w:ascii="Verdana" w:eastAsia="Calibri" w:hAnsi="Verdana" w:cs="Arial"/>
          <w:bCs/>
        </w:rPr>
        <w:t>e</w:t>
      </w:r>
      <w:r w:rsidRPr="00896CCA">
        <w:rPr>
          <w:rFonts w:ascii="Verdana" w:eastAsia="Calibri" w:hAnsi="Verdana" w:cs="Arial"/>
          <w:bCs/>
        </w:rPr>
        <w:t>l parágrafo del artículo 38 de la Ley 996 de 2005 dispone que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896CCA">
        <w:rPr>
          <w:rFonts w:ascii="Verdana" w:eastAsia="Times New Roman" w:hAnsi="Verdana" w:cs="Arial"/>
          <w:bCs/>
          <w:iCs/>
          <w:lang w:val="es-MX" w:eastAsia="x-none"/>
        </w:rPr>
        <w:t xml:space="preserve"> </w:t>
      </w:r>
      <w:bookmarkStart w:id="4" w:name="_Hlk99578153"/>
      <w:bookmarkEnd w:id="3"/>
      <w:r w:rsidRPr="00896CCA">
        <w:rPr>
          <w:rFonts w:ascii="Verdana" w:eastAsia="Times New Roman" w:hAnsi="Verdana" w:cs="Arial"/>
          <w:bCs/>
          <w:iCs/>
          <w:lang w:val="es-MX" w:eastAsia="x-none"/>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bookmarkEnd w:id="4"/>
      <w:r w:rsidRPr="00896CCA">
        <w:rPr>
          <w:rFonts w:ascii="Verdana" w:eastAsia="Times New Roman" w:hAnsi="Verdana" w:cs="Arial"/>
          <w:bCs/>
          <w:iCs/>
          <w:vertAlign w:val="superscript"/>
          <w:lang w:val="es-MX" w:eastAsia="x-none"/>
        </w:rPr>
        <w:footnoteReference w:id="4"/>
      </w:r>
      <w:r w:rsidRPr="00896CCA">
        <w:rPr>
          <w:rFonts w:ascii="Verdana" w:eastAsia="Times New Roman" w:hAnsi="Verdana" w:cs="Arial"/>
          <w:bCs/>
          <w:iCs/>
          <w:lang w:val="es-MX" w:eastAsia="x-none"/>
        </w:rPr>
        <w:t>.</w:t>
      </w:r>
      <w:r w:rsidRPr="00896CCA">
        <w:rPr>
          <w:rFonts w:ascii="Verdana" w:eastAsia="Calibri" w:hAnsi="Verdana" w:cs="Arial"/>
          <w:lang w:val="es-MX"/>
        </w:rPr>
        <w:t xml:space="preserve"> </w:t>
      </w:r>
    </w:p>
    <w:p w14:paraId="33C55247" w14:textId="77777777" w:rsidR="00E62E55" w:rsidRPr="00896CCA" w:rsidRDefault="00E62E55" w:rsidP="00E62E55">
      <w:pPr>
        <w:widowControl w:val="0"/>
        <w:autoSpaceDE w:val="0"/>
        <w:autoSpaceDN w:val="0"/>
        <w:spacing w:after="120" w:line="276" w:lineRule="auto"/>
        <w:ind w:firstLine="707"/>
        <w:jc w:val="both"/>
        <w:rPr>
          <w:rFonts w:ascii="Verdana" w:eastAsia="Arial" w:hAnsi="Verdana" w:cs="Arial"/>
          <w:lang w:val="es-ES" w:eastAsia="es-ES" w:bidi="es-ES"/>
        </w:rPr>
      </w:pPr>
      <w:r w:rsidRPr="00896CCA">
        <w:rPr>
          <w:rFonts w:ascii="Verdana" w:eastAsia="Calibri" w:hAnsi="Verdana" w:cs="Arial"/>
          <w:bCs/>
          <w:lang w:eastAsia="es-ES" w:bidi="es-ES"/>
        </w:rPr>
        <w:t xml:space="preserve">Ahora bien, </w:t>
      </w:r>
      <w:bookmarkStart w:id="5" w:name="_Hlk78820161"/>
      <w:r w:rsidRPr="00896CCA">
        <w:rPr>
          <w:rFonts w:ascii="Verdana" w:eastAsia="Calibri" w:hAnsi="Verdana" w:cs="Arial"/>
          <w:bCs/>
          <w:lang w:eastAsia="es-ES" w:bidi="es-ES"/>
        </w:rPr>
        <w:t xml:space="preserve">para determinar el alcance de la prohibición consagrada por la Ley de Garantías Electorales, conviene precisar la tipología de convenios o contratos interadministrativos. </w:t>
      </w:r>
      <w:r w:rsidRPr="00896CCA">
        <w:rPr>
          <w:rFonts w:ascii="Verdana" w:eastAsia="Arial" w:hAnsi="Verdana" w:cs="Arial"/>
          <w:lang w:val="es-ES" w:eastAsia="es-ES" w:bidi="es-ES"/>
        </w:rPr>
        <w:t>Aunque la ley no la definió ni desarrolló, el Decreto 1082 de 2015 califica a los convenios o contratos interadministrativos como aquella contratación entre entidades estatales</w:t>
      </w:r>
      <w:r w:rsidRPr="00896CCA">
        <w:rPr>
          <w:rFonts w:ascii="Verdana" w:eastAsia="Arial" w:hAnsi="Verdana" w:cs="Arial"/>
          <w:vertAlign w:val="superscript"/>
          <w:lang w:val="es-ES" w:eastAsia="es-ES" w:bidi="es-ES"/>
        </w:rPr>
        <w:footnoteReference w:id="5"/>
      </w:r>
      <w:r w:rsidRPr="00896CCA">
        <w:rPr>
          <w:rFonts w:ascii="Verdana" w:eastAsia="Arial" w:hAnsi="Verdana" w:cs="Arial"/>
          <w:lang w:val="es-ES" w:eastAsia="es-ES" w:bidi="es-ES"/>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896CCA">
        <w:rPr>
          <w:rFonts w:ascii="Verdana" w:eastAsia="Arial" w:hAnsi="Verdana" w:cs="Arial"/>
          <w:spacing w:val="-6"/>
          <w:lang w:val="es-ES" w:eastAsia="es-ES" w:bidi="es-ES"/>
        </w:rPr>
        <w:t xml:space="preserve"> </w:t>
      </w:r>
      <w:r w:rsidRPr="00896CCA">
        <w:rPr>
          <w:rFonts w:ascii="Verdana" w:eastAsia="Arial" w:hAnsi="Verdana" w:cs="Arial"/>
          <w:lang w:val="es-ES" w:eastAsia="es-ES" w:bidi="es-ES"/>
        </w:rPr>
        <w:t>estatales.</w:t>
      </w:r>
    </w:p>
    <w:p w14:paraId="33F22E28" w14:textId="77777777" w:rsidR="00E62E55" w:rsidRPr="00896CCA" w:rsidRDefault="00E62E55" w:rsidP="00066823">
      <w:pPr>
        <w:widowControl w:val="0"/>
        <w:autoSpaceDE w:val="0"/>
        <w:autoSpaceDN w:val="0"/>
        <w:spacing w:after="120" w:line="276" w:lineRule="auto"/>
        <w:ind w:firstLine="707"/>
        <w:jc w:val="both"/>
        <w:rPr>
          <w:rFonts w:ascii="Verdana" w:eastAsia="Calibri" w:hAnsi="Verdana" w:cs="Arial"/>
          <w:bCs/>
          <w:lang w:val="es-ES"/>
        </w:rPr>
      </w:pPr>
      <w:bookmarkStart w:id="6" w:name="_Hlk78820654"/>
      <w:bookmarkEnd w:id="5"/>
      <w:r w:rsidRPr="00896CCA">
        <w:rPr>
          <w:rFonts w:ascii="Verdana" w:eastAsia="Arial" w:hAnsi="Verdana" w:cs="Arial"/>
          <w:lang w:val="es-ES" w:eastAsia="es-ES" w:bidi="es-ES"/>
        </w:rPr>
        <w:t xml:space="preserve">Si bien los contratos o convenios interadministrativos están previstos en la Ley 80 de 1993, en la Ley 1150 de 2007 y en el Decreto en el 1082 de 2015, no quiere decir que solo puedan celebrarse entre entidades estatales que </w:t>
      </w:r>
      <w:r w:rsidRPr="00896CCA">
        <w:rPr>
          <w:rFonts w:ascii="Verdana" w:eastAsia="Arial" w:hAnsi="Verdana" w:cs="Arial"/>
          <w:lang w:val="es-ES" w:eastAsia="es-ES" w:bidi="es-ES"/>
        </w:rPr>
        <w:lastRenderedPageBreak/>
        <w:t>apliquen el régimen de contratación allí previsto, pues bien puede una entidad estatal sometida a la Ley 80 de 1993 celebrar esta clase de convenios con una entidad estatal de régimen especial y no por ello dejará de ser un contrato o convenio interadministrativo. De esta manera, sin perjuicio de lo dispuesto en el artículo 56 de la Ley 2195 de 2022, el literal c) del artículo 2.4 de la Ley 1150 de 2007 dispone que “</w:t>
      </w:r>
      <w:r w:rsidRPr="00896CCA">
        <w:rPr>
          <w:rFonts w:ascii="Verdana" w:eastAsia="Arial" w:hAnsi="Verdana" w:cs="Arial"/>
          <w:lang w:eastAsia="es-ES" w:bidi="es-ES"/>
        </w:rPr>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w:t>
      </w:r>
    </w:p>
    <w:p w14:paraId="6CE18F7E" w14:textId="77777777" w:rsidR="00E62E55" w:rsidRPr="00896CCA" w:rsidRDefault="00E62E55" w:rsidP="00066823">
      <w:pPr>
        <w:widowControl w:val="0"/>
        <w:autoSpaceDE w:val="0"/>
        <w:autoSpaceDN w:val="0"/>
        <w:spacing w:after="120" w:line="276" w:lineRule="auto"/>
        <w:ind w:firstLine="707"/>
        <w:jc w:val="both"/>
        <w:rPr>
          <w:rFonts w:ascii="Verdana" w:eastAsia="Arial" w:hAnsi="Verdana" w:cs="Arial"/>
          <w:lang w:val="es-ES" w:eastAsia="es-ES" w:bidi="es-ES"/>
        </w:rPr>
      </w:pPr>
      <w:bookmarkStart w:id="7" w:name="_Hlk99578261"/>
      <w:bookmarkEnd w:id="6"/>
      <w:r w:rsidRPr="00896CCA">
        <w:rPr>
          <w:rFonts w:ascii="Verdana" w:eastAsia="Arial" w:hAnsi="Verdana" w:cs="Arial"/>
          <w:lang w:val="es-ES" w:eastAsia="es-ES" w:bidi="es-ES"/>
        </w:rPr>
        <w:t>Adicionalmente, 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896CCA">
        <w:rPr>
          <w:rFonts w:ascii="Verdana" w:eastAsia="Arial" w:hAnsi="Verdana" w:cs="Arial"/>
          <w:vertAlign w:val="superscript"/>
          <w:lang w:val="es-ES" w:eastAsia="es-ES" w:bidi="es-ES"/>
        </w:rPr>
        <w:footnoteReference w:id="6"/>
      </w:r>
      <w:r w:rsidRPr="00896CCA">
        <w:rPr>
          <w:rFonts w:ascii="Verdana" w:eastAsia="Arial" w:hAnsi="Verdana" w:cs="Arial"/>
          <w:lang w:val="es-ES" w:eastAsia="es-ES" w:bidi="es-ES"/>
        </w:rPr>
        <w:t>. Nótese que, en este caso, lo que cambia es la modalidad de selección y no la naturaleza de contrato</w:t>
      </w:r>
      <w:r w:rsidRPr="00896CCA">
        <w:rPr>
          <w:rFonts w:ascii="Verdana" w:eastAsia="Arial" w:hAnsi="Verdana" w:cs="Arial"/>
          <w:spacing w:val="-18"/>
          <w:lang w:val="es-ES" w:eastAsia="es-ES" w:bidi="es-ES"/>
        </w:rPr>
        <w:t xml:space="preserve"> </w:t>
      </w:r>
      <w:r w:rsidRPr="00896CCA">
        <w:rPr>
          <w:rFonts w:ascii="Verdana" w:eastAsia="Arial" w:hAnsi="Verdana" w:cs="Arial"/>
          <w:lang w:val="es-ES" w:eastAsia="es-ES" w:bidi="es-ES"/>
        </w:rPr>
        <w:t>interadministrativo.</w:t>
      </w:r>
    </w:p>
    <w:bookmarkEnd w:id="7"/>
    <w:p w14:paraId="79BA395B" w14:textId="77777777" w:rsidR="00E62E55" w:rsidRPr="00896CCA" w:rsidRDefault="00E62E55" w:rsidP="00E62E55">
      <w:pPr>
        <w:tabs>
          <w:tab w:val="left" w:pos="426"/>
        </w:tabs>
        <w:spacing w:after="120" w:line="276" w:lineRule="auto"/>
        <w:ind w:firstLine="709"/>
        <w:jc w:val="both"/>
        <w:rPr>
          <w:rFonts w:ascii="Verdana" w:eastAsia="Times New Roman" w:hAnsi="Verdana" w:cs="Arial"/>
          <w:bCs/>
          <w:lang w:val="es-MX" w:eastAsia="es-CO"/>
        </w:rPr>
      </w:pPr>
      <w:r w:rsidRPr="00896CCA">
        <w:rPr>
          <w:rFonts w:ascii="Verdana" w:eastAsia="Times New Roman" w:hAnsi="Verdana" w:cs="Arial"/>
          <w:bCs/>
          <w:lang w:eastAsia="es-CO"/>
        </w:rPr>
        <w:t xml:space="preserve">Se observa entonces que </w:t>
      </w:r>
      <w:r w:rsidRPr="00896CCA">
        <w:rPr>
          <w:rFonts w:ascii="Verdana" w:eastAsia="Times New Roman" w:hAnsi="Verdana" w:cs="Arial"/>
          <w:bCs/>
          <w:lang w:val="es-MX" w:eastAsia="es-CO"/>
        </w:rPr>
        <w:t xml:space="preserve">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896CCA">
        <w:rPr>
          <w:rFonts w:ascii="Verdana" w:eastAsia="Times New Roman" w:hAnsi="Verdana" w:cs="Arial"/>
          <w:bCs/>
          <w:i/>
          <w:iCs/>
          <w:lang w:val="es-MX" w:eastAsia="es-CO"/>
        </w:rPr>
        <w:t>ibidem</w:t>
      </w:r>
      <w:r w:rsidRPr="00896CCA">
        <w:rPr>
          <w:rFonts w:ascii="Verdana" w:eastAsia="Times New Roman" w:hAnsi="Verdana" w:cs="Arial"/>
          <w:bCs/>
          <w:lang w:val="es-MX" w:eastAsia="es-CO"/>
        </w:rPr>
        <w:t xml:space="preserve">, no podrá celebrar tales convenios o contratos durante la aplicación de la Ley de Garantías Electorales, toda vez que la citada disposición hace referencia a dicha tipología contractual sin que el </w:t>
      </w:r>
      <w:r w:rsidRPr="00896CCA">
        <w:rPr>
          <w:rFonts w:ascii="Verdana" w:eastAsia="Times New Roman" w:hAnsi="Verdana" w:cs="Arial"/>
          <w:bCs/>
          <w:lang w:val="es-MX" w:eastAsia="es-CO"/>
        </w:rPr>
        <w:lastRenderedPageBreak/>
        <w:t>legislador hubiere contemplado excepción alguna frente a la modalidad de selección o naturaleza de su objeto</w:t>
      </w:r>
      <w:r w:rsidRPr="00896CCA">
        <w:rPr>
          <w:rFonts w:ascii="Verdana" w:eastAsia="Calibri" w:hAnsi="Verdana" w:cs="Arial"/>
          <w:bCs/>
          <w:vertAlign w:val="superscript"/>
          <w:lang w:val="es-MX" w:eastAsia="es-CO"/>
        </w:rPr>
        <w:footnoteReference w:id="7"/>
      </w:r>
      <w:r w:rsidRPr="00896CCA">
        <w:rPr>
          <w:rFonts w:ascii="Verdana" w:eastAsia="Times New Roman" w:hAnsi="Verdana" w:cs="Arial"/>
          <w:bCs/>
          <w:lang w:val="es-MX" w:eastAsia="es-CO"/>
        </w:rPr>
        <w:t xml:space="preserve">. </w:t>
      </w:r>
    </w:p>
    <w:p w14:paraId="6F480E9D" w14:textId="3A6BB0B5" w:rsidR="00720C6C" w:rsidRPr="00E2397D" w:rsidRDefault="00720C6C" w:rsidP="00720C6C">
      <w:pPr>
        <w:spacing w:after="120" w:line="276" w:lineRule="auto"/>
        <w:ind w:firstLine="709"/>
        <w:jc w:val="both"/>
        <w:rPr>
          <w:rFonts w:ascii="Verdana" w:eastAsia="Calibri" w:hAnsi="Verdana" w:cs="Arial"/>
          <w:lang w:bidi="es-ES"/>
        </w:rPr>
      </w:pPr>
      <w:r>
        <w:rPr>
          <w:rFonts w:ascii="Verdana" w:eastAsia="Times New Roman" w:hAnsi="Verdana" w:cs="Arial"/>
          <w:lang w:val="es-MX" w:eastAsia="x-none"/>
        </w:rPr>
        <w:t>E</w:t>
      </w:r>
      <w:r w:rsidRPr="00E2397D">
        <w:rPr>
          <w:rFonts w:ascii="Verdana" w:eastAsia="Times New Roman" w:hAnsi="Verdana" w:cs="Arial"/>
          <w:lang w:val="es-MX" w:eastAsia="x-none"/>
        </w:rPr>
        <w:t xml:space="preserve">s importante señalar que esta Subdirección, en los conceptos emitidos sobre la aplicación de la Ley de Garantías Electorales, ha defendido y mantenido la postura acerca de que la prohibición señalada en </w:t>
      </w:r>
      <w:r w:rsidRPr="00E2397D">
        <w:rPr>
          <w:rFonts w:ascii="Verdana" w:eastAsia="Arial" w:hAnsi="Verdana" w:cs="Arial"/>
          <w:lang w:val="es-ES" w:eastAsia="es-ES" w:bidi="es-ES"/>
        </w:rPr>
        <w:t>e</w:t>
      </w:r>
      <w:r w:rsidRPr="00E2397D">
        <w:rPr>
          <w:rFonts w:ascii="Verdana" w:eastAsia="Calibri" w:hAnsi="Verdana" w:cs="Arial"/>
        </w:rPr>
        <w:t xml:space="preserve">l parágrafo del artículo 38 cobija tanto a los convenios como a los contratos interadministrativos. Esta tesis se fundamenta en que </w:t>
      </w:r>
      <w:r w:rsidRPr="00E2397D">
        <w:rPr>
          <w:rFonts w:ascii="Verdana" w:eastAsia="Calibri" w:hAnsi="Verdana" w:cs="Arial"/>
          <w:lang w:bidi="es-ES"/>
        </w:rPr>
        <w:t>si bien actualmente el Estatuto General de Contratación de la Administración Públ</w:t>
      </w:r>
      <w:r>
        <w:rPr>
          <w:rFonts w:ascii="Verdana" w:eastAsia="Calibri" w:hAnsi="Verdana" w:cs="Arial"/>
          <w:lang w:bidi="es-ES"/>
        </w:rPr>
        <w:t>ica – en adelante EGCAP – se refiere</w:t>
      </w:r>
      <w:r w:rsidRPr="00E2397D">
        <w:rPr>
          <w:rFonts w:ascii="Verdana" w:eastAsia="Calibri" w:hAnsi="Verdana" w:cs="Arial"/>
          <w:lang w:bidi="es-ES"/>
        </w:rPr>
        <w:t xml:space="preserve">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w:t>
      </w:r>
    </w:p>
    <w:p w14:paraId="3A659705" w14:textId="77777777" w:rsidR="00720C6C" w:rsidRPr="00E2397D" w:rsidRDefault="00720C6C" w:rsidP="00720C6C">
      <w:pPr>
        <w:spacing w:after="120" w:line="276" w:lineRule="auto"/>
        <w:ind w:firstLine="709"/>
        <w:jc w:val="both"/>
        <w:rPr>
          <w:rFonts w:ascii="Verdana" w:eastAsia="Calibri" w:hAnsi="Verdana" w:cs="Arial"/>
          <w:lang w:bidi="es-ES"/>
        </w:rPr>
      </w:pPr>
      <w:r w:rsidRPr="00E2397D">
        <w:rPr>
          <w:rFonts w:ascii="Verdana" w:eastAsia="Calibri" w:hAnsi="Verdana" w:cs="Arial"/>
          <w:lang w:bidi="es-ES"/>
        </w:rPr>
        <w:t xml:space="preserve">Por este motivo, se argumenta en dichos conceptos que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 Además, se señala que </w:t>
      </w:r>
      <w:r w:rsidRPr="00E2397D">
        <w:rPr>
          <w:rFonts w:ascii="Verdana" w:eastAsia="Arial" w:hAnsi="Verdana" w:cs="Arial"/>
          <w:lang w:val="es-ES" w:eastAsia="es-ES" w:bidi="es-ES"/>
        </w:rPr>
        <w:t>el legislador y el ordenamiento jurídico, en general, en distintas ocasiones utiliza de forma indistinta los conceptos de contrato o convenio para referirse a la misma institución jurídica</w:t>
      </w:r>
      <w:r w:rsidRPr="00E2397D">
        <w:rPr>
          <w:rFonts w:ascii="Verdana" w:eastAsia="Arial" w:hAnsi="Verdana" w:cs="Arial"/>
          <w:vertAlign w:val="superscript"/>
          <w:lang w:val="es-ES" w:eastAsia="es-ES" w:bidi="es-ES"/>
        </w:rPr>
        <w:footnoteReference w:id="8"/>
      </w:r>
      <w:r w:rsidRPr="00E2397D">
        <w:rPr>
          <w:rFonts w:ascii="Verdana" w:eastAsia="Arial" w:hAnsi="Verdana" w:cs="Arial"/>
          <w:lang w:val="es-ES" w:eastAsia="es-ES" w:bidi="es-ES"/>
        </w:rPr>
        <w:t>. Incluso, la Corte Constitucional fundamenta la posibilidad de celebrar convenios interadministrativos de forma directa, con fundamento en la causal establecida en la Ley 1150 de 2007 respecto a los contratos interadministrativos</w:t>
      </w:r>
      <w:r w:rsidRPr="00E2397D">
        <w:rPr>
          <w:rFonts w:ascii="Verdana" w:eastAsia="Arial" w:hAnsi="Verdana" w:cs="Arial"/>
          <w:vertAlign w:val="superscript"/>
          <w:lang w:val="es-ES" w:eastAsia="es-ES" w:bidi="es-ES"/>
        </w:rPr>
        <w:footnoteReference w:id="9"/>
      </w:r>
      <w:r w:rsidRPr="00E2397D">
        <w:rPr>
          <w:rFonts w:ascii="Verdana" w:eastAsia="Arial" w:hAnsi="Verdana" w:cs="Arial"/>
          <w:lang w:val="es-ES" w:eastAsia="es-ES" w:bidi="es-ES"/>
        </w:rPr>
        <w:t>.</w:t>
      </w:r>
    </w:p>
    <w:p w14:paraId="665F6990" w14:textId="77777777" w:rsidR="00720C6C" w:rsidRPr="00E2397D" w:rsidRDefault="00720C6C" w:rsidP="00720C6C">
      <w:pPr>
        <w:widowControl w:val="0"/>
        <w:autoSpaceDE w:val="0"/>
        <w:autoSpaceDN w:val="0"/>
        <w:spacing w:after="0" w:line="276" w:lineRule="auto"/>
        <w:ind w:firstLine="709"/>
        <w:contextualSpacing/>
        <w:jc w:val="both"/>
        <w:rPr>
          <w:rFonts w:ascii="Verdana" w:eastAsia="Arial" w:hAnsi="Verdana" w:cs="Arial"/>
          <w:lang w:val="es-ES" w:eastAsia="es-ES" w:bidi="es-ES"/>
        </w:rPr>
      </w:pPr>
      <w:r w:rsidRPr="00E2397D">
        <w:rPr>
          <w:rFonts w:ascii="Verdana" w:eastAsia="Calibri" w:hAnsi="Verdana" w:cs="Arial"/>
          <w:lang w:val="es-ES" w:bidi="es-ES"/>
        </w:rPr>
        <w:t>De este modo, en la Circular Externa</w:t>
      </w:r>
      <w:r w:rsidRPr="00E2397D">
        <w:rPr>
          <w:rFonts w:ascii="Verdana" w:eastAsia="Arial" w:hAnsi="Verdana" w:cs="Arial"/>
          <w:lang w:val="es-ES" w:eastAsia="es-ES" w:bidi="es-ES"/>
        </w:rPr>
        <w:t xml:space="preserve"> Única de Colombia Compra Eficiente, pese a reconocer que se han realizado algunas distinciones jurisprudenciales en </w:t>
      </w:r>
      <w:r w:rsidRPr="00E2397D">
        <w:rPr>
          <w:rFonts w:ascii="Verdana" w:eastAsia="Arial" w:hAnsi="Verdana" w:cs="Arial"/>
          <w:lang w:val="es-ES" w:eastAsia="es-ES" w:bidi="es-ES"/>
        </w:rPr>
        <w:lastRenderedPageBreak/>
        <w:t>torno a los contratos y convenios interadministrativos, relacionados con el alcance de las obligaciones que los caracterizan, se señaló que no existe una definición legal que diferencie los conceptos de convenio o de contrato. En este sentido, la Circular, refiriéndose al parágrafo del artículo 38 de la Ley 996 de 2005, expresa lo siguiente en el numeral 16.2:</w:t>
      </w:r>
    </w:p>
    <w:p w14:paraId="7561B5D7" w14:textId="77777777" w:rsidR="00720C6C" w:rsidRPr="00E2397D" w:rsidRDefault="00720C6C" w:rsidP="00720C6C">
      <w:pPr>
        <w:widowControl w:val="0"/>
        <w:autoSpaceDE w:val="0"/>
        <w:autoSpaceDN w:val="0"/>
        <w:spacing w:after="0" w:line="276" w:lineRule="auto"/>
        <w:contextualSpacing/>
        <w:jc w:val="both"/>
        <w:rPr>
          <w:rFonts w:ascii="Verdana" w:eastAsia="Arial" w:hAnsi="Verdana" w:cs="Arial"/>
          <w:lang w:val="es-ES" w:eastAsia="es-ES" w:bidi="es-ES"/>
        </w:rPr>
      </w:pPr>
    </w:p>
    <w:p w14:paraId="4089F4F6" w14:textId="77777777" w:rsidR="00720C6C" w:rsidRPr="00E2397D" w:rsidRDefault="00720C6C" w:rsidP="00720C6C">
      <w:pPr>
        <w:spacing w:after="0" w:line="240" w:lineRule="auto"/>
        <w:ind w:left="709" w:right="709"/>
        <w:jc w:val="both"/>
        <w:rPr>
          <w:rFonts w:ascii="Verdana" w:eastAsia="Calibri" w:hAnsi="Verdana" w:cs="Arial"/>
          <w:sz w:val="20"/>
          <w:szCs w:val="20"/>
          <w:lang w:val="es-MX"/>
        </w:rPr>
      </w:pPr>
      <w:r w:rsidRPr="00E2397D">
        <w:rPr>
          <w:rFonts w:ascii="Verdana" w:eastAsia="Calibri" w:hAnsi="Verdana" w:cs="Arial"/>
          <w:sz w:val="20"/>
          <w:szCs w:val="20"/>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E2397D">
        <w:rPr>
          <w:rFonts w:ascii="Verdana" w:eastAsia="Calibri" w:hAnsi="Verdana" w:cs="Arial"/>
          <w:sz w:val="20"/>
          <w:szCs w:val="20"/>
          <w:lang w:val="es-MX"/>
        </w:rPr>
        <w:t>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14:paraId="078764F3" w14:textId="77777777" w:rsidR="00720C6C" w:rsidRPr="00E2397D" w:rsidRDefault="00720C6C" w:rsidP="00720C6C">
      <w:pPr>
        <w:spacing w:after="0" w:line="240" w:lineRule="auto"/>
        <w:ind w:left="709" w:right="709"/>
        <w:jc w:val="both"/>
        <w:rPr>
          <w:rFonts w:ascii="Verdana" w:eastAsia="Calibri" w:hAnsi="Verdana" w:cs="Arial"/>
          <w:sz w:val="20"/>
          <w:szCs w:val="20"/>
          <w:lang w:val="es-MX"/>
        </w:rPr>
      </w:pPr>
    </w:p>
    <w:p w14:paraId="7038811C" w14:textId="77777777" w:rsidR="00720C6C" w:rsidRPr="00E2397D" w:rsidRDefault="00720C6C" w:rsidP="00720C6C">
      <w:pPr>
        <w:spacing w:after="0" w:line="240" w:lineRule="auto"/>
        <w:ind w:left="709" w:right="709"/>
        <w:jc w:val="both"/>
        <w:rPr>
          <w:rFonts w:ascii="Verdana" w:eastAsia="Calibri" w:hAnsi="Verdana" w:cs="Arial"/>
          <w:sz w:val="20"/>
          <w:szCs w:val="20"/>
          <w:lang w:val="es-MX"/>
        </w:rPr>
      </w:pPr>
      <w:r w:rsidRPr="00E2397D">
        <w:rPr>
          <w:rFonts w:ascii="Verdana" w:eastAsia="Calibri" w:hAnsi="Verdana" w:cs="Arial"/>
          <w:sz w:val="20"/>
          <w:szCs w:val="20"/>
          <w:lang w:val="es-MX"/>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42BE1046" w14:textId="77777777" w:rsidR="00720C6C" w:rsidRPr="00E2397D" w:rsidRDefault="00720C6C" w:rsidP="00720C6C">
      <w:pPr>
        <w:spacing w:after="0" w:line="240" w:lineRule="auto"/>
        <w:ind w:left="709" w:right="709"/>
        <w:jc w:val="both"/>
        <w:rPr>
          <w:rFonts w:ascii="Verdana" w:eastAsia="Calibri" w:hAnsi="Verdana" w:cs="Arial"/>
          <w:sz w:val="20"/>
          <w:szCs w:val="20"/>
          <w:lang w:val="es-MX"/>
        </w:rPr>
      </w:pPr>
    </w:p>
    <w:p w14:paraId="10832613" w14:textId="77777777" w:rsidR="00720C6C" w:rsidRPr="00E2397D" w:rsidRDefault="00720C6C" w:rsidP="00720C6C">
      <w:pPr>
        <w:spacing w:after="0" w:line="240" w:lineRule="auto"/>
        <w:ind w:left="709" w:right="709"/>
        <w:jc w:val="both"/>
        <w:rPr>
          <w:rFonts w:ascii="Verdana" w:eastAsia="Calibri" w:hAnsi="Verdana" w:cs="Arial"/>
          <w:sz w:val="20"/>
          <w:szCs w:val="20"/>
          <w:lang w:val="es-MX"/>
        </w:rPr>
      </w:pPr>
      <w:r w:rsidRPr="00E2397D">
        <w:rPr>
          <w:rFonts w:ascii="Verdana" w:eastAsia="Calibri" w:hAnsi="Verdana" w:cs="Arial"/>
          <w:sz w:val="20"/>
          <w:szCs w:val="20"/>
          <w:lang w:val="es-MX"/>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125855D0" w14:textId="77777777" w:rsidR="00720C6C" w:rsidRPr="00E2397D" w:rsidRDefault="00720C6C" w:rsidP="00720C6C">
      <w:pPr>
        <w:widowControl w:val="0"/>
        <w:autoSpaceDE w:val="0"/>
        <w:autoSpaceDN w:val="0"/>
        <w:spacing w:after="0" w:line="276" w:lineRule="auto"/>
        <w:contextualSpacing/>
        <w:jc w:val="both"/>
        <w:rPr>
          <w:rFonts w:ascii="Verdana" w:eastAsia="Arial" w:hAnsi="Verdana" w:cs="Arial"/>
          <w:lang w:val="es-ES" w:eastAsia="es-ES" w:bidi="es-ES"/>
        </w:rPr>
      </w:pPr>
    </w:p>
    <w:p w14:paraId="61E0B4CC" w14:textId="77777777" w:rsidR="00720C6C" w:rsidRPr="00E2397D" w:rsidRDefault="00720C6C" w:rsidP="00720C6C">
      <w:pPr>
        <w:spacing w:after="120" w:line="276" w:lineRule="auto"/>
        <w:ind w:firstLine="709"/>
        <w:jc w:val="both"/>
        <w:rPr>
          <w:rFonts w:ascii="Verdana" w:eastAsia="Arial" w:hAnsi="Verdana" w:cs="Arial"/>
          <w:lang w:val="es-MX" w:eastAsia="es-ES" w:bidi="es-ES"/>
        </w:rPr>
      </w:pPr>
      <w:r w:rsidRPr="00E2397D">
        <w:rPr>
          <w:rFonts w:ascii="Verdana" w:eastAsia="Arial" w:hAnsi="Verdana" w:cs="Arial"/>
          <w:lang w:val="es-ES" w:eastAsia="es-ES" w:bidi="es-ES"/>
        </w:rPr>
        <w:t>Con base en lo expuesto, debido a que no existe una definición legal que diferencie los conceptos de contrato y convenio, esta Agencia ha partido de su asimilación para la aplicación de la Ley de Garantías Electorales, por lo que la interpretación que se ha efectuado d</w:t>
      </w:r>
      <w:r w:rsidRPr="00E2397D">
        <w:rPr>
          <w:rFonts w:ascii="Verdana" w:eastAsia="Arial" w:hAnsi="Verdana" w:cs="Arial"/>
          <w:lang w:val="es-MX" w:eastAsia="es-ES" w:bidi="es-ES"/>
        </w:rPr>
        <w:t xml:space="preserve">el parágrafo del artículo 38 de la Ley 996 de 2005 es que prohíbe a los alcaldes, gobernadores, secretarios, gerentes y </w:t>
      </w:r>
      <w:r w:rsidRPr="00E2397D">
        <w:rPr>
          <w:rFonts w:ascii="Verdana" w:eastAsia="Arial" w:hAnsi="Verdana" w:cs="Arial"/>
          <w:lang w:val="es-MX" w:eastAsia="es-ES" w:bidi="es-ES"/>
        </w:rPr>
        <w:lastRenderedPageBreak/>
        <w:t>directores de las entidades del orden municipal, departamental o distrital celebrar convenios y contratos interadministrativos para la ejecución de recursos públicos.</w:t>
      </w:r>
    </w:p>
    <w:p w14:paraId="0484E4B5" w14:textId="77777777" w:rsidR="00720C6C" w:rsidRPr="00E2397D" w:rsidRDefault="00720C6C" w:rsidP="00720C6C">
      <w:pPr>
        <w:spacing w:after="0" w:line="276" w:lineRule="auto"/>
        <w:ind w:firstLine="709"/>
        <w:jc w:val="both"/>
      </w:pPr>
      <w:r w:rsidRPr="00E2397D">
        <w:rPr>
          <w:rFonts w:ascii="Verdana" w:eastAsia="Arial" w:hAnsi="Verdana" w:cs="Arial"/>
          <w:lang w:val="es-MX" w:eastAsia="es-ES" w:bidi="es-ES"/>
        </w:rPr>
        <w:t xml:space="preserve">No obstante, conviene señalar que, mediante auto de 4 de octubre del 2024, el Consejo de Estado, Sección Tercera, decretó medida de suspensión provisional parcial del </w:t>
      </w:r>
      <w:r w:rsidRPr="00E2397D">
        <w:rPr>
          <w:rFonts w:ascii="Verdana" w:hAnsi="Verdana"/>
        </w:rPr>
        <w:t>numeral 16.2 de la Circular Externa Única de 2022 expedida por la Agencia Nacional de Contratación Pública -Colombia Compra Eficiente-, concretamente, respecto de los siguientes apartes normativos</w:t>
      </w:r>
      <w:r w:rsidRPr="00E2397D">
        <w:rPr>
          <w:rFonts w:ascii="Verdana" w:hAnsi="Verdana"/>
          <w:vertAlign w:val="superscript"/>
        </w:rPr>
        <w:footnoteReference w:id="10"/>
      </w:r>
      <w:r w:rsidRPr="00E2397D">
        <w:rPr>
          <w:rFonts w:ascii="Verdana" w:hAnsi="Verdana"/>
        </w:rPr>
        <w:t>:</w:t>
      </w:r>
      <w:r w:rsidRPr="00E2397D">
        <w:t xml:space="preserve"> </w:t>
      </w:r>
    </w:p>
    <w:p w14:paraId="7946AB1F" w14:textId="77777777" w:rsidR="00720C6C" w:rsidRPr="00E2397D" w:rsidRDefault="00720C6C" w:rsidP="00720C6C">
      <w:pPr>
        <w:spacing w:after="0" w:line="276" w:lineRule="auto"/>
        <w:ind w:firstLine="709"/>
        <w:jc w:val="both"/>
      </w:pPr>
    </w:p>
    <w:p w14:paraId="271FCD62" w14:textId="77777777" w:rsidR="00720C6C" w:rsidRPr="00E2397D" w:rsidRDefault="00720C6C" w:rsidP="00720C6C">
      <w:pPr>
        <w:spacing w:after="0" w:line="240" w:lineRule="auto"/>
        <w:ind w:left="709" w:right="709"/>
        <w:jc w:val="both"/>
        <w:rPr>
          <w:rFonts w:ascii="Verdana" w:eastAsia="Calibri" w:hAnsi="Verdana" w:cs="Arial"/>
          <w:sz w:val="20"/>
          <w:szCs w:val="20"/>
        </w:rPr>
      </w:pPr>
      <w:r w:rsidRPr="00E2397D">
        <w:rPr>
          <w:rFonts w:ascii="Verdana" w:eastAsia="Calibri" w:hAnsi="Verdana" w:cs="Arial"/>
          <w:sz w:val="20"/>
          <w:szCs w:val="20"/>
          <w:lang w:val="es-MX"/>
        </w:rPr>
        <w:t>i)</w:t>
      </w:r>
      <w:r w:rsidRPr="00E2397D">
        <w:rPr>
          <w:rFonts w:ascii="Verdana" w:eastAsia="Calibri"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0A16EBAA" w14:textId="77777777" w:rsidR="00720C6C" w:rsidRPr="00E2397D" w:rsidRDefault="00720C6C" w:rsidP="00720C6C">
      <w:pPr>
        <w:spacing w:after="0" w:line="240" w:lineRule="auto"/>
        <w:ind w:left="709" w:right="709"/>
        <w:jc w:val="both"/>
        <w:rPr>
          <w:rFonts w:ascii="Verdana" w:eastAsia="Calibri" w:hAnsi="Verdana" w:cs="Arial"/>
          <w:sz w:val="20"/>
          <w:szCs w:val="20"/>
        </w:rPr>
      </w:pPr>
    </w:p>
    <w:p w14:paraId="2C5BA20A" w14:textId="77777777" w:rsidR="00720C6C" w:rsidRPr="00E2397D" w:rsidRDefault="00720C6C" w:rsidP="00720C6C">
      <w:pPr>
        <w:spacing w:after="0" w:line="240" w:lineRule="auto"/>
        <w:ind w:left="709" w:right="709"/>
        <w:jc w:val="both"/>
        <w:rPr>
          <w:rFonts w:ascii="Verdana" w:hAnsi="Verdana"/>
          <w:sz w:val="20"/>
          <w:szCs w:val="20"/>
        </w:rPr>
      </w:pPr>
      <w:proofErr w:type="spellStart"/>
      <w:r w:rsidRPr="00E2397D">
        <w:rPr>
          <w:rFonts w:ascii="Verdana" w:hAnsi="Verdana"/>
          <w:sz w:val="20"/>
          <w:szCs w:val="20"/>
        </w:rPr>
        <w:t>ii</w:t>
      </w:r>
      <w:proofErr w:type="spellEnd"/>
      <w:r w:rsidRPr="00E2397D">
        <w:rPr>
          <w:rFonts w:ascii="Verdana" w:hAnsi="Verdana"/>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526425D6" w14:textId="77777777" w:rsidR="00720C6C" w:rsidRPr="00E2397D" w:rsidRDefault="00720C6C" w:rsidP="00720C6C">
      <w:pPr>
        <w:spacing w:after="0" w:line="276" w:lineRule="auto"/>
        <w:ind w:left="709" w:right="709"/>
        <w:jc w:val="both"/>
        <w:rPr>
          <w:rFonts w:ascii="Verdana" w:hAnsi="Verdana"/>
        </w:rPr>
      </w:pPr>
    </w:p>
    <w:p w14:paraId="670C522A" w14:textId="77777777" w:rsidR="00720C6C" w:rsidRPr="00E2397D" w:rsidRDefault="00720C6C" w:rsidP="00720C6C">
      <w:pPr>
        <w:spacing w:after="120" w:line="276" w:lineRule="auto"/>
        <w:ind w:firstLine="709"/>
        <w:jc w:val="both"/>
        <w:rPr>
          <w:rFonts w:ascii="Verdana" w:eastAsia="Arial" w:hAnsi="Verdana" w:cs="Arial"/>
          <w:i/>
          <w:iCs/>
          <w:lang w:val="es-MX" w:eastAsia="es-ES" w:bidi="es-ES"/>
        </w:rPr>
      </w:pPr>
      <w:r w:rsidRPr="00E2397D">
        <w:rPr>
          <w:rFonts w:ascii="Verdana" w:eastAsia="Arial" w:hAnsi="Verdana" w:cs="Arial"/>
          <w:lang w:val="es-MX" w:eastAsia="es-ES" w:bidi="es-ES"/>
        </w:rPr>
        <w:t xml:space="preserve">De conformidad con los argumentos de dicha providencia, se parte de la distinción entre los conceptos </w:t>
      </w:r>
      <w:r w:rsidRPr="00E2397D">
        <w:rPr>
          <w:rFonts w:ascii="Verdana" w:eastAsia="Arial" w:hAnsi="Verdana" w:cs="Arial"/>
          <w:lang w:eastAsia="es-ES" w:bidi="es-ES"/>
        </w:rPr>
        <w:t xml:space="preserve">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 En este sentido, en relación con el parágrafo del artículo 38 de la Ley 996 de 2005 concluyó que </w:t>
      </w:r>
      <w:r w:rsidRPr="00E2397D">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E2397D">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E2397D">
        <w:rPr>
          <w:rFonts w:ascii="Verdana" w:eastAsia="Arial" w:hAnsi="Verdana" w:cs="Arial"/>
          <w:i/>
          <w:iCs/>
          <w:lang w:eastAsia="es-ES" w:bidi="es-ES"/>
        </w:rPr>
        <w:t xml:space="preserve">“con independencia del propósito loable o plausible de la </w:t>
      </w:r>
      <w:r w:rsidRPr="00E2397D">
        <w:rPr>
          <w:rFonts w:ascii="Verdana" w:eastAsia="Arial" w:hAnsi="Verdana" w:cs="Arial"/>
          <w:i/>
          <w:iCs/>
          <w:lang w:eastAsia="es-ES" w:bidi="es-ES"/>
        </w:rPr>
        <w:lastRenderedPageBreak/>
        <w:t xml:space="preserve">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5EB903C7" w14:textId="77777777" w:rsidR="00720C6C" w:rsidRPr="00E2397D" w:rsidRDefault="00720C6C" w:rsidP="00720C6C">
      <w:pPr>
        <w:spacing w:after="120" w:line="276" w:lineRule="auto"/>
        <w:ind w:firstLine="709"/>
        <w:jc w:val="both"/>
        <w:rPr>
          <w:rFonts w:ascii="Verdana" w:eastAsia="Calibri" w:hAnsi="Verdana" w:cs="Arial"/>
          <w:lang w:val="es-MX"/>
        </w:rPr>
      </w:pPr>
      <w:r w:rsidRPr="00E2397D">
        <w:rPr>
          <w:rFonts w:ascii="Verdana" w:eastAsia="Arial" w:hAnsi="Verdana" w:cs="Arial"/>
          <w:lang w:val="es-MX" w:eastAsia="es-ES" w:bidi="es-ES"/>
        </w:rPr>
        <w:t xml:space="preserve">Bajo este contexto, esta Agencia debe manifestar que, si bien respeta y acata las decisiones proferidas por el Consejo de Estado, como es el caso del auto de suspensión provisional parcial del numeral </w:t>
      </w:r>
      <w:r w:rsidRPr="00E2397D">
        <w:rPr>
          <w:rFonts w:ascii="Verdana" w:eastAsia="Arial" w:hAnsi="Verdana" w:cs="Arial"/>
          <w:lang w:eastAsia="es-ES" w:bidi="es-ES"/>
        </w:rPr>
        <w:t>16.2 de la Circular Externa Única</w:t>
      </w:r>
      <w:r w:rsidRPr="00E2397D">
        <w:rPr>
          <w:rFonts w:ascii="Verdana" w:eastAsia="Arial" w:hAnsi="Verdana" w:cs="Arial"/>
          <w:lang w:val="es-MX" w:eastAsia="es-ES" w:bidi="es-ES"/>
        </w:rPr>
        <w:t xml:space="preserve">, no comparte los argumentos expuestos por dicha Corporación. Esto, en la medida que, a juicio de esta Entidad, señalar que la Ley de Garantías Electorales no aplica para el caso de los contratos interadministrativos deja sin efecto el propósito buscado por la norma, que no es otro que </w:t>
      </w:r>
      <w:r w:rsidRPr="00E2397D">
        <w:rPr>
          <w:rFonts w:ascii="Verdana" w:eastAsia="Times New Roman" w:hAnsi="Verdana" w:cs="Arial"/>
          <w:lang w:val="es-MX" w:eastAsia="es-CO"/>
        </w:rPr>
        <w:t xml:space="preserve">evitar cualquier tipo de arbitrariedad, de ventaja injustificada, de uso irregular de los recursos del Estado en las campañas políticas, o que </w:t>
      </w:r>
      <w:r w:rsidRPr="00E2397D">
        <w:rPr>
          <w:rFonts w:ascii="Verdana" w:eastAsia="Calibri" w:hAnsi="Verdana" w:cs="Arial"/>
          <w:lang w:val="es-MX"/>
        </w:rPr>
        <w:t xml:space="preserve">los recursos del Estado se ejecuten para lograr apoyos indebidos mediante la suscripción de contratos y/o convenios, que para efectos de la Ley de Garantías tienen la misma connotación y propósitos. </w:t>
      </w:r>
    </w:p>
    <w:p w14:paraId="7AD2C00F" w14:textId="77777777" w:rsidR="00720C6C" w:rsidRPr="00E2397D" w:rsidRDefault="00720C6C" w:rsidP="00720C6C">
      <w:pPr>
        <w:spacing w:after="120" w:line="276" w:lineRule="auto"/>
        <w:ind w:firstLine="709"/>
        <w:jc w:val="both"/>
        <w:rPr>
          <w:rFonts w:ascii="Verdana" w:eastAsia="Arial" w:hAnsi="Verdana" w:cs="Arial"/>
          <w:lang w:val="es-MX" w:eastAsia="es-ES" w:bidi="es-ES"/>
        </w:rPr>
      </w:pPr>
      <w:r w:rsidRPr="00E2397D">
        <w:rPr>
          <w:rFonts w:ascii="Verdana" w:eastAsia="Calibri" w:hAnsi="Verdana" w:cs="Arial"/>
        </w:rPr>
        <w:t xml:space="preserve">Conforme a lo anterior, si bien la Agencia es respetuosa de las providencias proferidas por las autoridades judiciales, es necesario expresar el desacuerdo con el decreto de medida cautelar de suspensión provisional y la oposición a que se declare la nulidad del numeral </w:t>
      </w:r>
      <w:r w:rsidRPr="00E2397D">
        <w:rPr>
          <w:rFonts w:ascii="Verdana" w:eastAsia="Arial" w:hAnsi="Verdana" w:cs="Arial"/>
          <w:lang w:eastAsia="es-ES" w:bidi="es-ES"/>
        </w:rPr>
        <w:t xml:space="preserve">16.2 de la Circular Externa Única. Al señalar que los contratos interadministrativos deberían estar sujetos a las restricciones consagradas en el parágrafo del artículo 38, la Agencia busca proteger la transparencia, igualdad e integridad del proceso electoral. Así las cosas, </w:t>
      </w:r>
      <w:r w:rsidRPr="00E2397D">
        <w:rPr>
          <w:rFonts w:ascii="Verdana" w:eastAsia="Calibri" w:hAnsi="Verdana" w:cs="Arial"/>
          <w:lang w:val="es-MX"/>
        </w:rPr>
        <w:t xml:space="preserve">a la fecha, se espera la decisión final respecto a la declaratoria de nulidad del numeral 16.2 de la Circular Externa Única que adopte el Consejo de Estado. </w:t>
      </w:r>
    </w:p>
    <w:p w14:paraId="021EE654" w14:textId="77777777" w:rsidR="00720C6C" w:rsidRDefault="00720C6C" w:rsidP="00720C6C">
      <w:pPr>
        <w:spacing w:after="120" w:line="276" w:lineRule="auto"/>
        <w:ind w:firstLine="709"/>
        <w:jc w:val="both"/>
        <w:rPr>
          <w:rFonts w:ascii="Verdana" w:eastAsia="Times New Roman" w:hAnsi="Verdana" w:cs="Arial"/>
          <w:lang w:val="es-MX" w:eastAsia="es-CO"/>
        </w:rPr>
      </w:pPr>
      <w:r w:rsidRPr="00E2397D">
        <w:rPr>
          <w:rFonts w:ascii="Verdana" w:eastAsia="Arial" w:hAnsi="Verdana" w:cs="Arial"/>
          <w:lang w:val="es-MX" w:eastAsia="es-ES" w:bidi="es-ES"/>
        </w:rPr>
        <w:t>De esta manera, s</w:t>
      </w:r>
      <w:proofErr w:type="spellStart"/>
      <w:r w:rsidRPr="00E2397D">
        <w:rPr>
          <w:rFonts w:ascii="Verdana" w:eastAsia="Times New Roman" w:hAnsi="Verdana" w:cs="Arial"/>
          <w:lang w:eastAsia="es-CO"/>
        </w:rPr>
        <w:t>e</w:t>
      </w:r>
      <w:proofErr w:type="spellEnd"/>
      <w:r w:rsidRPr="00E2397D">
        <w:rPr>
          <w:rFonts w:ascii="Verdana" w:eastAsia="Times New Roman" w:hAnsi="Verdana" w:cs="Arial"/>
          <w:lang w:eastAsia="es-CO"/>
        </w:rPr>
        <w:t xml:space="preserve"> observa entonces que </w:t>
      </w:r>
      <w:r w:rsidRPr="00E2397D">
        <w:rPr>
          <w:rFonts w:ascii="Verdana" w:eastAsia="Times New Roman" w:hAnsi="Verdana" w:cs="Arial"/>
          <w:lang w:val="es-MX" w:eastAsia="es-CO"/>
        </w:rPr>
        <w:t xml:space="preserve">el parágrafo del artículo 38 de la Ley 996 de 2005 prohíbe a los </w:t>
      </w:r>
      <w:proofErr w:type="gramStart"/>
      <w:r w:rsidRPr="00E2397D">
        <w:rPr>
          <w:rFonts w:ascii="Verdana" w:eastAsia="Times New Roman" w:hAnsi="Verdana" w:cs="Arial"/>
          <w:lang w:val="es-MX" w:eastAsia="es-CO"/>
        </w:rPr>
        <w:t>Alcaldes</w:t>
      </w:r>
      <w:proofErr w:type="gramEnd"/>
      <w:r w:rsidRPr="00E2397D">
        <w:rPr>
          <w:rFonts w:ascii="Verdana" w:eastAsia="Times New Roman" w:hAnsi="Verdana" w:cs="Arial"/>
          <w:lang w:val="es-MX" w:eastAsia="es-CO"/>
        </w:rPr>
        <w:t xml:space="preserve">, Gobernadores, </w:t>
      </w:r>
      <w:proofErr w:type="gramStart"/>
      <w:r w:rsidRPr="00E2397D">
        <w:rPr>
          <w:rFonts w:ascii="Verdana" w:eastAsia="Times New Roman" w:hAnsi="Verdana" w:cs="Arial"/>
          <w:lang w:val="es-MX" w:eastAsia="es-CO"/>
        </w:rPr>
        <w:t>Secretarios</w:t>
      </w:r>
      <w:proofErr w:type="gramEnd"/>
      <w:r w:rsidRPr="00E2397D">
        <w:rPr>
          <w:rFonts w:ascii="Verdana" w:eastAsia="Times New Roman" w:hAnsi="Verdana" w:cs="Arial"/>
          <w:lang w:val="es-MX" w:eastAsia="es-CO"/>
        </w:rPr>
        <w:t xml:space="preserve">, Gerentes y </w:t>
      </w:r>
      <w:proofErr w:type="gramStart"/>
      <w:r w:rsidRPr="00E2397D">
        <w:rPr>
          <w:rFonts w:ascii="Verdana" w:eastAsia="Times New Roman" w:hAnsi="Verdana" w:cs="Arial"/>
          <w:lang w:val="es-MX" w:eastAsia="es-CO"/>
        </w:rPr>
        <w:t>Directores</w:t>
      </w:r>
      <w:proofErr w:type="gramEnd"/>
      <w:r w:rsidRPr="00E2397D">
        <w:rPr>
          <w:rFonts w:ascii="Verdana" w:eastAsia="Times New Roman" w:hAnsi="Verdana" w:cs="Arial"/>
          <w:lang w:val="es-MX" w:eastAsia="es-CO"/>
        </w:rPr>
        <w:t xml:space="preserve"> de las entidades del orden municipal, departamental o distrital celebrar </w:t>
      </w:r>
      <w:r w:rsidRPr="00E2397D">
        <w:rPr>
          <w:rFonts w:ascii="Verdana" w:eastAsia="Times New Roman" w:hAnsi="Verdana" w:cs="Arial"/>
          <w:i/>
          <w:iCs/>
          <w:lang w:val="es-MX" w:eastAsia="es-CO"/>
        </w:rPr>
        <w:t>convenios interadministrativos</w:t>
      </w:r>
      <w:r w:rsidRPr="00E2397D">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E2397D">
        <w:rPr>
          <w:rFonts w:ascii="Verdana" w:eastAsia="Times New Roman" w:hAnsi="Verdana" w:cs="Arial"/>
          <w:i/>
          <w:lang w:val="es-MX" w:eastAsia="es-CO"/>
        </w:rPr>
        <w:t>ibidem</w:t>
      </w:r>
      <w:r w:rsidRPr="00E2397D">
        <w:rPr>
          <w:rFonts w:ascii="Verdana" w:eastAsia="Times New Roman" w:hAnsi="Verdana" w:cs="Arial"/>
          <w:lang w:val="es-MX" w:eastAsia="es-CO"/>
        </w:rPr>
        <w:t xml:space="preserve">, no podrá celebrar tales </w:t>
      </w:r>
      <w:r w:rsidRPr="00E2397D">
        <w:rPr>
          <w:rFonts w:ascii="Verdana" w:eastAsia="Times New Roman" w:hAnsi="Verdana" w:cs="Arial"/>
          <w:i/>
          <w:iCs/>
          <w:lang w:val="es-MX" w:eastAsia="es-CO"/>
        </w:rPr>
        <w:t>convenios</w:t>
      </w:r>
      <w:r w:rsidRPr="00E2397D">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Ahora bien, como se expuso anteriormente, para esta Agencia tal restricción también cobijaría a los contratos interadmin</w:t>
      </w:r>
      <w:r>
        <w:rPr>
          <w:rFonts w:ascii="Verdana" w:eastAsia="Times New Roman" w:hAnsi="Verdana" w:cs="Arial"/>
          <w:lang w:val="es-MX" w:eastAsia="es-CO"/>
        </w:rPr>
        <w:t xml:space="preserve">istrativos. </w:t>
      </w:r>
    </w:p>
    <w:p w14:paraId="783750C4" w14:textId="77777777" w:rsidR="00E62E55" w:rsidRDefault="00E62E55" w:rsidP="00E36D89">
      <w:pPr>
        <w:widowControl w:val="0"/>
        <w:autoSpaceDE w:val="0"/>
        <w:autoSpaceDN w:val="0"/>
        <w:spacing w:after="120" w:line="276" w:lineRule="auto"/>
        <w:ind w:firstLine="709"/>
        <w:jc w:val="both"/>
        <w:rPr>
          <w:rFonts w:ascii="Verdana" w:eastAsia="Calibri" w:hAnsi="Verdana" w:cs="Arial"/>
          <w:lang w:eastAsia="es-ES" w:bidi="es-ES"/>
        </w:rPr>
      </w:pPr>
      <w:bookmarkStart w:id="8" w:name="_Hlk77154098"/>
      <w:r w:rsidRPr="00896CCA">
        <w:rPr>
          <w:rFonts w:ascii="Verdana" w:eastAsia="Times New Roman" w:hAnsi="Verdana" w:cs="Arial"/>
          <w:bCs/>
          <w:lang w:val="es-ES" w:eastAsia="es-CO" w:bidi="es-ES"/>
        </w:rPr>
        <w:lastRenderedPageBreak/>
        <w:t>En todo caso</w:t>
      </w:r>
      <w:r w:rsidRPr="00896CCA">
        <w:rPr>
          <w:rFonts w:ascii="Verdana" w:eastAsia="Arial" w:hAnsi="Verdana" w:cs="Arial"/>
          <w:lang w:val="es-ES" w:eastAsia="es-ES" w:bidi="es-ES"/>
        </w:rPr>
        <w:t xml:space="preserve">, es importante resaltar que la Sala de Consulta y Servicio Civil del Consejo de Estado se ha pronunciado en el sentido de que </w:t>
      </w:r>
      <w:bookmarkStart w:id="9" w:name="_Hlk78820889"/>
      <w:r w:rsidRPr="00896CCA">
        <w:rPr>
          <w:rFonts w:ascii="Verdana" w:eastAsia="Arial" w:hAnsi="Verdana" w:cs="Arial"/>
          <w:lang w:val="es-ES" w:eastAsia="es-ES" w:bidi="es-ES"/>
        </w:rPr>
        <w:t>no se les aplica la restricción contemplada en el artículo 38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9"/>
      <w:r w:rsidRPr="00896CCA">
        <w:rPr>
          <w:rFonts w:ascii="Verdana" w:eastAsia="Arial" w:hAnsi="Verdana" w:cs="Arial"/>
          <w:vertAlign w:val="superscript"/>
          <w:lang w:val="es-ES" w:eastAsia="es-ES" w:bidi="es-ES"/>
        </w:rPr>
        <w:footnoteReference w:id="11"/>
      </w:r>
      <w:r w:rsidRPr="00896CCA">
        <w:rPr>
          <w:rFonts w:ascii="Verdana" w:eastAsia="Calibri" w:hAnsi="Verdana" w:cs="Arial"/>
          <w:lang w:eastAsia="es-ES" w:bidi="es-ES"/>
        </w:rPr>
        <w:t>.</w:t>
      </w:r>
      <w:bookmarkEnd w:id="1"/>
      <w:bookmarkEnd w:id="8"/>
    </w:p>
    <w:p w14:paraId="7D226104" w14:textId="436F72E9" w:rsidR="00E62E55" w:rsidRDefault="00E62E55" w:rsidP="00066823">
      <w:pPr>
        <w:widowControl w:val="0"/>
        <w:autoSpaceDE w:val="0"/>
        <w:autoSpaceDN w:val="0"/>
        <w:spacing w:after="120" w:line="276" w:lineRule="auto"/>
        <w:ind w:firstLine="708"/>
        <w:jc w:val="both"/>
        <w:rPr>
          <w:rFonts w:ascii="Verdana" w:eastAsia="Calibri" w:hAnsi="Verdana" w:cs="Arial"/>
          <w:color w:val="000000" w:themeColor="text1"/>
          <w:lang w:val="es-ES"/>
        </w:rPr>
      </w:pPr>
      <w:r>
        <w:rPr>
          <w:rFonts w:ascii="Verdana" w:eastAsia="Calibri" w:hAnsi="Verdana" w:cs="Arial"/>
          <w:bCs/>
          <w:lang w:eastAsia="es-ES" w:bidi="es-ES"/>
        </w:rPr>
        <w:t xml:space="preserve">Hecha la aclaración precedente se tiene que, </w:t>
      </w:r>
      <w:r w:rsidRPr="00BC2608">
        <w:rPr>
          <w:rFonts w:ascii="Verdana" w:eastAsia="Calibri" w:hAnsi="Verdana" w:cs="Arial"/>
          <w:bCs/>
          <w:lang w:eastAsia="es-ES" w:bidi="es-ES"/>
        </w:rPr>
        <w:t xml:space="preserve">frente </w:t>
      </w:r>
      <w:bookmarkStart w:id="10" w:name="_Hlk140574556"/>
      <w:r w:rsidRPr="00BC2608">
        <w:rPr>
          <w:rFonts w:ascii="Verdana" w:eastAsia="Calibri" w:hAnsi="Verdana" w:cs="Arial"/>
          <w:bCs/>
          <w:lang w:eastAsia="es-ES" w:bidi="es-ES"/>
        </w:rPr>
        <w:t>al alcance y ámbito de aplicación de los convenios solidarios</w:t>
      </w:r>
      <w:bookmarkEnd w:id="10"/>
      <w:r>
        <w:rPr>
          <w:rFonts w:ascii="Verdana" w:eastAsia="Calibri" w:hAnsi="Verdana" w:cs="Arial"/>
          <w:bCs/>
          <w:lang w:eastAsia="es-ES" w:bidi="es-ES"/>
        </w:rPr>
        <w:t>, l</w:t>
      </w:r>
      <w:r w:rsidRPr="00896CCA">
        <w:rPr>
          <w:rFonts w:ascii="Verdana" w:eastAsia="Calibri" w:hAnsi="Verdana" w:cs="Arial"/>
          <w:color w:val="000000" w:themeColor="text1"/>
          <w:lang w:val="es-ES"/>
        </w:rPr>
        <w:t>a contratación estatal con Entidades privadas sin ánimo de lucro encuentra su fundamento en el artículo 355 de la Constitución Política. Esta norma proscribe cualquier tipo de donación por parte del Estado a personas de derecho privado, y dispone que: “El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w:t>
      </w:r>
    </w:p>
    <w:p w14:paraId="73E94277" w14:textId="77777777" w:rsidR="00E62E55" w:rsidRPr="00896CCA" w:rsidRDefault="00E62E55" w:rsidP="00E62E55">
      <w:pPr>
        <w:spacing w:after="120" w:line="276" w:lineRule="auto"/>
        <w:ind w:firstLine="709"/>
        <w:jc w:val="both"/>
        <w:rPr>
          <w:rFonts w:ascii="Verdana" w:hAnsi="Verdana" w:cs="Arial"/>
          <w:color w:val="000000" w:themeColor="text1"/>
          <w:lang w:val="es-ES_tradnl"/>
        </w:rPr>
      </w:pPr>
      <w:r w:rsidRPr="00896CCA">
        <w:rPr>
          <w:rFonts w:ascii="Verdana" w:eastAsia="Calibri" w:hAnsi="Verdana" w:cs="Arial"/>
          <w:color w:val="000000" w:themeColor="text1"/>
          <w:lang w:val="es-ES"/>
        </w:rPr>
        <w:t xml:space="preserve">Conforme a lo anterior, el </w:t>
      </w:r>
      <w:r w:rsidRPr="00896CCA">
        <w:rPr>
          <w:rFonts w:ascii="Verdana" w:hAnsi="Verdana" w:cs="Arial"/>
          <w:color w:val="000000" w:themeColor="text1"/>
          <w:lang w:val="es-ES_tradnl"/>
        </w:rPr>
        <w:t xml:space="preserve">artículo 3.16 de la Ley 136 de 1994 –modificado por la Ley 1551 de 2012, artículo 6– prescribe que “En concordancia con lo establecido en el artículo 355 de la Constitución Política, los municipios y distritos podrán celebrar convenios solidarios con: </w:t>
      </w:r>
      <w:bookmarkStart w:id="11" w:name="_Hlk140510368"/>
      <w:r w:rsidRPr="00896CCA">
        <w:rPr>
          <w:rFonts w:ascii="Verdana" w:hAnsi="Verdana" w:cs="Arial"/>
          <w:color w:val="000000" w:themeColor="text1"/>
          <w:lang w:val="es-ES_tradnl"/>
        </w:rPr>
        <w:t>los cabildos, las autoridades y organizaciones indígenas, los organismos de acción comunal y demás organizaciones civiles y asociaciones residentes en el territorio</w:t>
      </w:r>
      <w:bookmarkEnd w:id="11"/>
      <w:r w:rsidRPr="00896CCA">
        <w:rPr>
          <w:rFonts w:ascii="Verdana" w:hAnsi="Verdana" w:cs="Arial"/>
          <w:color w:val="000000" w:themeColor="text1"/>
          <w:lang w:val="es-ES_tradnl"/>
        </w:rPr>
        <w:t xml:space="preserve">, para el desarrollo conjunto de programas y actividades establecidas por la Ley a los municipios y distritos, acorde con sus planes de desarrollo”. Además, el parágrafo 3 del artículo 3 </w:t>
      </w:r>
      <w:r w:rsidRPr="00896CCA">
        <w:rPr>
          <w:rFonts w:ascii="Verdana" w:hAnsi="Verdana" w:cs="Arial"/>
          <w:i/>
          <w:iCs/>
          <w:color w:val="000000" w:themeColor="text1"/>
          <w:lang w:val="es-ES_tradnl"/>
        </w:rPr>
        <w:t>ibidem</w:t>
      </w:r>
      <w:r w:rsidRPr="00896CCA">
        <w:rPr>
          <w:rFonts w:ascii="Verdana" w:hAnsi="Verdana" w:cs="Arial"/>
          <w:color w:val="000000" w:themeColor="text1"/>
          <w:lang w:val="es-ES_tradnl"/>
        </w:rPr>
        <w:t xml:space="preserve">, define los convenios solidarios como “la complementación de esfuerzos institucionales, comunitarios, económicos y sociales para la construcción de obras y la satisfacción de necesidades y aspiraciones de las comunidades”. </w:t>
      </w:r>
    </w:p>
    <w:p w14:paraId="56A7CB76" w14:textId="77777777" w:rsidR="00E62E55" w:rsidRPr="00896CCA" w:rsidRDefault="00E62E55" w:rsidP="00E62E55">
      <w:pPr>
        <w:spacing w:after="120" w:line="276" w:lineRule="auto"/>
        <w:ind w:firstLine="709"/>
        <w:jc w:val="both"/>
        <w:rPr>
          <w:rFonts w:ascii="Verdana" w:hAnsi="Verdana" w:cs="Arial"/>
          <w:color w:val="000000" w:themeColor="text1"/>
          <w:lang w:val="es-ES"/>
        </w:rPr>
      </w:pPr>
      <w:r w:rsidRPr="419B12FF">
        <w:rPr>
          <w:rFonts w:ascii="Verdana" w:hAnsi="Verdana" w:cs="Arial"/>
          <w:color w:val="000000" w:themeColor="text1"/>
          <w:lang w:val="es-ES"/>
        </w:rPr>
        <w:t xml:space="preserve">De una interpretación armónica entre las normas anteriormente citadas, se desprende que los municipios y Distritos pueden celebrar convenios </w:t>
      </w:r>
      <w:r w:rsidRPr="419B12FF">
        <w:rPr>
          <w:rFonts w:ascii="Verdana" w:hAnsi="Verdana" w:cs="Arial"/>
          <w:color w:val="000000" w:themeColor="text1"/>
          <w:lang w:val="es-ES"/>
        </w:rPr>
        <w:lastRenderedPageBreak/>
        <w:t xml:space="preserve">solidarios: i) para el desarrollo conjunto de programas y actividades establecidas en la Ley a los municipios y distritos, acorde con sus planes de desarrollo, </w:t>
      </w:r>
      <w:proofErr w:type="spellStart"/>
      <w:r w:rsidRPr="419B12FF">
        <w:rPr>
          <w:rFonts w:ascii="Verdana" w:hAnsi="Verdana" w:cs="Arial"/>
          <w:color w:val="000000" w:themeColor="text1"/>
          <w:lang w:val="es-ES"/>
        </w:rPr>
        <w:t>ii</w:t>
      </w:r>
      <w:proofErr w:type="spellEnd"/>
      <w:r w:rsidRPr="419B12FF">
        <w:rPr>
          <w:rFonts w:ascii="Verdana" w:hAnsi="Verdana" w:cs="Arial"/>
          <w:color w:val="000000" w:themeColor="text1"/>
          <w:lang w:val="es-ES"/>
        </w:rPr>
        <w:t xml:space="preserve">) para la construcción de obras, y </w:t>
      </w:r>
      <w:proofErr w:type="spellStart"/>
      <w:r w:rsidRPr="419B12FF">
        <w:rPr>
          <w:rFonts w:ascii="Verdana" w:hAnsi="Verdana" w:cs="Arial"/>
          <w:color w:val="000000" w:themeColor="text1"/>
          <w:lang w:val="es-ES"/>
        </w:rPr>
        <w:t>iii</w:t>
      </w:r>
      <w:proofErr w:type="spellEnd"/>
      <w:r w:rsidRPr="419B12FF">
        <w:rPr>
          <w:rFonts w:ascii="Verdana" w:hAnsi="Verdana" w:cs="Arial"/>
          <w:color w:val="000000" w:themeColor="text1"/>
          <w:lang w:val="es-ES"/>
        </w:rPr>
        <w:t xml:space="preserve">) para la satisfacción de necesidades y aspiraciones de las comunidades. Además, la celebración de estos convenios está limitada únicamente a los sujetos allí contemplados, esto es, los municipios y distritos con los cabildos, las autoridades y organizaciones indígenas, los organismos de acción comunal y demás organizaciones civiles y asociaciones residentes en el territorio. Así las cosas, de conformidad con las normas citadas se concluye que es posible celebrar convenios solidarios para ejecutar cualquiera de los objetos antes referidos con los sujetos señalados. </w:t>
      </w:r>
    </w:p>
    <w:p w14:paraId="7E354DFF" w14:textId="77777777" w:rsidR="00E62E55" w:rsidRPr="00896CCA" w:rsidRDefault="00E62E55" w:rsidP="00E62E55">
      <w:pPr>
        <w:spacing w:before="120" w:after="0" w:line="276" w:lineRule="auto"/>
        <w:ind w:firstLine="709"/>
        <w:jc w:val="both"/>
        <w:rPr>
          <w:rFonts w:ascii="Verdana" w:hAnsi="Verdana" w:cs="Arial"/>
          <w:color w:val="000000" w:themeColor="text1"/>
          <w:lang w:val="es-ES"/>
        </w:rPr>
      </w:pPr>
      <w:r w:rsidRPr="419B12FF">
        <w:rPr>
          <w:rFonts w:ascii="Verdana" w:hAnsi="Verdana" w:cs="Arial"/>
          <w:color w:val="000000" w:themeColor="text1"/>
          <w:lang w:val="es-ES"/>
        </w:rPr>
        <w:t xml:space="preserve">El parágrafo 4 del artículo 3 de la Ley 136 de 1994 –modificado por la Ley 1551 de 2012, artículo 6– dispone que “Se autoriza a los entes territoriales del orden departamental y municipal para celebrar directamente convenios solidarios con las juntas de acción comunal con el fin de ejecutar obras hasta por la mínima cuantía. Para la ejecución de estas deberán contratar con los habitantes de la comunidad”. Dicho parágrafo establecía una </w:t>
      </w:r>
      <w:proofErr w:type="spellStart"/>
      <w:r w:rsidRPr="419B12FF">
        <w:rPr>
          <w:rFonts w:ascii="Verdana" w:hAnsi="Verdana" w:cs="Arial"/>
          <w:color w:val="000000" w:themeColor="text1"/>
          <w:lang w:val="es-ES"/>
        </w:rPr>
        <w:t>sub-regla</w:t>
      </w:r>
      <w:proofErr w:type="spellEnd"/>
      <w:r w:rsidRPr="419B12FF">
        <w:rPr>
          <w:rFonts w:ascii="Verdana" w:hAnsi="Verdana" w:cs="Arial"/>
          <w:color w:val="000000" w:themeColor="text1"/>
          <w:lang w:val="es-ES"/>
        </w:rPr>
        <w:t xml:space="preserve"> en la cual los convenios solidarios solo podían celebrarse de manera directa </w:t>
      </w:r>
      <w:r>
        <w:rPr>
          <w:rFonts w:ascii="Verdana" w:hAnsi="Verdana" w:cs="Arial"/>
          <w:color w:val="000000" w:themeColor="text1"/>
          <w:lang w:val="es-ES"/>
        </w:rPr>
        <w:t xml:space="preserve">                                                                                                                                                                                                                                                                                                                                                                                                                                                                                                                                                                                                                                                                          por</w:t>
      </w:r>
      <w:r w:rsidRPr="419B12FF">
        <w:rPr>
          <w:rFonts w:ascii="Verdana" w:hAnsi="Verdana" w:cs="Arial"/>
          <w:color w:val="000000" w:themeColor="text1"/>
          <w:lang w:val="es-ES"/>
        </w:rPr>
        <w:t xml:space="preserve"> los entes del nivel departamental y municipal con las juntas de acción comunal para ejecutar obras hasta por la mínima cuantía. En otras palabras, del contenido del parágrafo 4 se deduce que el legislador estableció un trámite preferencial que no requiere adelantar procedimiento de selección con pluralidad de oferentes para celebrar convenios solidarios cuyo objeto sea ejecutar obras hasta por la mínima cuantía con las juntas de acción comunal. Sin embargo, el artículo 95 de la Ley 2166 de 2021 –posteriormente desarrollado por el artículo 2.2.15.1.2 del Decreto 1082 de 2015 y modificado por el artículo 372 de la Ley 2294 de 2023– amplió esta subregla en cuanto a los sujetos aplicables, condiciones y la cuantía del contrato:</w:t>
      </w:r>
    </w:p>
    <w:p w14:paraId="5DFE3190" w14:textId="77777777" w:rsidR="00E62E55" w:rsidRPr="00896CCA" w:rsidRDefault="00E62E55" w:rsidP="00E62E55">
      <w:pPr>
        <w:spacing w:after="0" w:line="276" w:lineRule="auto"/>
        <w:ind w:firstLine="709"/>
        <w:jc w:val="both"/>
        <w:rPr>
          <w:rFonts w:ascii="Verdana" w:hAnsi="Verdana" w:cs="Arial"/>
          <w:color w:val="000000" w:themeColor="text1"/>
          <w:lang w:val="es-ES_tradnl"/>
        </w:rPr>
      </w:pPr>
    </w:p>
    <w:p w14:paraId="7BC039F3" w14:textId="77777777" w:rsidR="00E62E55" w:rsidRPr="00066823" w:rsidRDefault="00E62E55" w:rsidP="00E62E55">
      <w:pPr>
        <w:spacing w:after="0" w:line="240" w:lineRule="auto"/>
        <w:ind w:left="709" w:right="709"/>
        <w:jc w:val="both"/>
        <w:rPr>
          <w:rFonts w:ascii="Verdana" w:hAnsi="Verdana" w:cs="Arial"/>
          <w:color w:val="000000" w:themeColor="text1"/>
          <w:sz w:val="20"/>
          <w:szCs w:val="20"/>
          <w:lang w:val="es-ES_tradnl"/>
        </w:rPr>
      </w:pPr>
      <w:r w:rsidRPr="00066823">
        <w:rPr>
          <w:rFonts w:ascii="Verdana" w:hAnsi="Verdana" w:cs="Arial"/>
          <w:color w:val="000000" w:themeColor="text1"/>
          <w:sz w:val="20"/>
          <w:szCs w:val="20"/>
          <w:lang w:val="es-ES_tradnl"/>
        </w:rPr>
        <w:t>“ARTÍCULO 95. Convenios solidarios. Se autoriza a los entes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187C1AE9" w14:textId="77777777" w:rsidR="00E62E55" w:rsidRPr="00066823" w:rsidRDefault="00E62E55" w:rsidP="00E62E55">
      <w:pPr>
        <w:spacing w:after="0" w:line="240" w:lineRule="auto"/>
        <w:ind w:left="709" w:right="709"/>
        <w:jc w:val="both"/>
        <w:rPr>
          <w:rFonts w:ascii="Verdana" w:hAnsi="Verdana" w:cs="Arial"/>
          <w:color w:val="000000" w:themeColor="text1"/>
          <w:sz w:val="20"/>
          <w:szCs w:val="20"/>
          <w:lang w:val="es-ES_tradnl"/>
        </w:rPr>
      </w:pPr>
    </w:p>
    <w:p w14:paraId="6C212B64" w14:textId="77777777" w:rsidR="00E62E55" w:rsidRPr="00066823" w:rsidRDefault="00E62E55" w:rsidP="00E62E55">
      <w:pPr>
        <w:spacing w:after="0" w:line="240" w:lineRule="auto"/>
        <w:ind w:left="709" w:right="709"/>
        <w:jc w:val="both"/>
        <w:rPr>
          <w:rFonts w:ascii="Verdana" w:hAnsi="Verdana" w:cs="Arial"/>
          <w:color w:val="000000" w:themeColor="text1"/>
          <w:sz w:val="20"/>
          <w:szCs w:val="20"/>
          <w:lang w:val="es-ES_tradnl"/>
        </w:rPr>
      </w:pPr>
      <w:r w:rsidRPr="00066823">
        <w:rPr>
          <w:rFonts w:ascii="Verdana" w:hAnsi="Verdana" w:cs="Arial"/>
          <w:color w:val="000000" w:themeColor="text1"/>
          <w:sz w:val="20"/>
          <w:szCs w:val="20"/>
          <w:lang w:val="es-ES_tradnl"/>
        </w:rPr>
        <w:t>PARÁGRAFO 1. Los entes podrán incluir en el monto total de los Convenios Solidarios los costos directos, los costos administrativos y el Subsidio al dignatario representante legal para transportes de que trata el literal c) del Artículo 38 de la presente ley.</w:t>
      </w:r>
    </w:p>
    <w:p w14:paraId="4F8A97DC" w14:textId="77777777" w:rsidR="00E62E55" w:rsidRPr="00066823" w:rsidRDefault="00E62E55" w:rsidP="00E62E55">
      <w:pPr>
        <w:spacing w:after="0" w:line="240" w:lineRule="auto"/>
        <w:ind w:left="709" w:right="709"/>
        <w:jc w:val="both"/>
        <w:rPr>
          <w:rFonts w:ascii="Verdana" w:hAnsi="Verdana" w:cs="Arial"/>
          <w:color w:val="000000" w:themeColor="text1"/>
          <w:sz w:val="20"/>
          <w:szCs w:val="20"/>
          <w:lang w:val="es-ES_tradnl"/>
        </w:rPr>
      </w:pPr>
    </w:p>
    <w:p w14:paraId="12F0A891" w14:textId="77777777" w:rsidR="00E62E55" w:rsidRPr="00066823" w:rsidRDefault="00E62E55" w:rsidP="00E62E55">
      <w:pPr>
        <w:spacing w:after="0" w:line="240" w:lineRule="auto"/>
        <w:ind w:left="709" w:right="709"/>
        <w:jc w:val="both"/>
        <w:rPr>
          <w:rFonts w:ascii="Verdana" w:hAnsi="Verdana" w:cs="Arial"/>
          <w:color w:val="000000" w:themeColor="text1"/>
          <w:sz w:val="20"/>
          <w:szCs w:val="20"/>
          <w:lang w:val="es-ES_tradnl"/>
        </w:rPr>
      </w:pPr>
      <w:r w:rsidRPr="00066823">
        <w:rPr>
          <w:rFonts w:ascii="Verdana" w:hAnsi="Verdana" w:cs="Arial"/>
          <w:color w:val="000000" w:themeColor="text1"/>
          <w:sz w:val="20"/>
          <w:szCs w:val="20"/>
          <w:lang w:val="es-ES_tradnl"/>
        </w:rPr>
        <w:lastRenderedPageBreak/>
        <w:t xml:space="preserve">PARÁGRAFO 2. Adicional del monto del Convenio Solidario, los entes deberán contar o disponer de personal técnico y administrativo-contable, para supervisar y apoyar a los Organismos de Acción Comunal en la ejecución de las obras”. </w:t>
      </w:r>
    </w:p>
    <w:p w14:paraId="357F8DC1" w14:textId="77777777" w:rsidR="00E62E55" w:rsidRPr="00622304" w:rsidRDefault="00E62E55" w:rsidP="00E62E55">
      <w:pPr>
        <w:spacing w:after="0" w:line="276" w:lineRule="auto"/>
        <w:jc w:val="both"/>
        <w:rPr>
          <w:rFonts w:ascii="Verdana" w:hAnsi="Verdana" w:cs="Arial"/>
          <w:color w:val="000000" w:themeColor="text1"/>
          <w:lang w:val="es-ES_tradnl"/>
        </w:rPr>
      </w:pPr>
    </w:p>
    <w:p w14:paraId="796DFF19" w14:textId="77777777" w:rsidR="00E62E55" w:rsidRDefault="00E62E55" w:rsidP="00066823">
      <w:pPr>
        <w:spacing w:after="120" w:line="276" w:lineRule="auto"/>
        <w:ind w:firstLine="709"/>
        <w:jc w:val="both"/>
        <w:rPr>
          <w:rFonts w:ascii="Verdana" w:hAnsi="Verdana"/>
        </w:rPr>
      </w:pPr>
      <w:bookmarkStart w:id="12" w:name="OLE_LINK1"/>
      <w:r>
        <w:rPr>
          <w:rFonts w:ascii="Verdana" w:hAnsi="Verdana" w:cs="Arial"/>
          <w:color w:val="000000" w:themeColor="text1"/>
          <w:lang w:val="es-ES_tradnl"/>
        </w:rPr>
        <w:t>De otro lado</w:t>
      </w:r>
      <w:r w:rsidRPr="00622304">
        <w:rPr>
          <w:rFonts w:ascii="Verdana" w:hAnsi="Verdana" w:cs="Arial"/>
          <w:color w:val="000000" w:themeColor="text1"/>
          <w:lang w:val="es-ES_tradnl"/>
        </w:rPr>
        <w:t xml:space="preserve">, </w:t>
      </w:r>
      <w:r w:rsidRPr="00622304">
        <w:rPr>
          <w:rFonts w:ascii="Verdana" w:hAnsi="Verdana"/>
        </w:rPr>
        <w:t>el artículo 7 de la Ley 2294 de 2023, "Por la cual se expide el Plan Nacional de Desarrollo 2022-2026 - Colombia Potencia Mundial de la Vida". Permit</w:t>
      </w:r>
      <w:r>
        <w:rPr>
          <w:rFonts w:ascii="Verdana" w:hAnsi="Verdana"/>
        </w:rPr>
        <w:t>e</w:t>
      </w:r>
      <w:r w:rsidRPr="00622304">
        <w:rPr>
          <w:rFonts w:ascii="Verdana" w:hAnsi="Verdana"/>
        </w:rPr>
        <w:t xml:space="preserve"> a las entidades estatales celebrar directamente convenios solidarios con los Organismos de Acción Comunal, organizaciones indígenas, consejos comunitarios, entre otros. A través de esta disposición, se faculta la contratación directa para ejecutar obras, bienes y servicios hasta por la menor cuantía de la entidad y, de manera excepcional, se establece un nuevo y significativamente mayor tope de hasta seis mil salarios mínimos mensuales legales vigentes (6.000 SMML</w:t>
      </w:r>
      <w:r>
        <w:rPr>
          <w:rFonts w:ascii="Verdana" w:hAnsi="Verdana"/>
        </w:rPr>
        <w:t>V)</w:t>
      </w:r>
      <w:r w:rsidRPr="00622304">
        <w:rPr>
          <w:rFonts w:ascii="Verdana" w:hAnsi="Verdana"/>
        </w:rPr>
        <w:t xml:space="preserve"> para la ejecución de proyectos específicos de infraestructura vial, social y productiva.</w:t>
      </w:r>
      <w:bookmarkEnd w:id="12"/>
    </w:p>
    <w:p w14:paraId="3B04B23C" w14:textId="77777777" w:rsidR="00E62E55" w:rsidRDefault="00E62E55" w:rsidP="00066823">
      <w:pPr>
        <w:spacing w:after="120" w:line="276" w:lineRule="auto"/>
        <w:ind w:firstLine="709"/>
        <w:jc w:val="both"/>
        <w:rPr>
          <w:rFonts w:ascii="Verdana" w:eastAsia="Arial" w:hAnsi="Verdana" w:cs="Arial"/>
          <w:lang w:val="es-ES" w:eastAsia="es-ES" w:bidi="es-ES"/>
        </w:rPr>
      </w:pPr>
      <w:r w:rsidRPr="00896CCA">
        <w:rPr>
          <w:rFonts w:ascii="Verdana" w:eastAsia="Arial" w:hAnsi="Verdana" w:cs="Arial"/>
          <w:lang w:val="es-MX"/>
        </w:rPr>
        <w:t xml:space="preserve">De acuerdo con la interpretación de las normas generales del sistema de compras y contratación pública, </w:t>
      </w:r>
      <w:r w:rsidRPr="00896CCA">
        <w:rPr>
          <w:rFonts w:ascii="Verdana" w:eastAsia="Arial" w:hAnsi="Verdana" w:cs="Arial"/>
          <w:lang w:val="es-ES" w:eastAsia="es-ES" w:bidi="es-ES"/>
        </w:rPr>
        <w:t xml:space="preserve">la Ley 996 de 2005 establece dos (2) tipos de restricciones en materia de contratación, las cuales coinciden parcialmente. </w:t>
      </w:r>
      <w:r w:rsidRPr="00896CCA">
        <w:rPr>
          <w:rFonts w:ascii="Verdana" w:eastAsia="Arial" w:hAnsi="Verdana" w:cs="Arial"/>
          <w:i/>
          <w:iCs/>
          <w:lang w:val="es-ES" w:eastAsia="es-ES" w:bidi="es-ES"/>
        </w:rPr>
        <w:t>En primer lugar</w:t>
      </w:r>
      <w:r w:rsidRPr="00896CCA">
        <w:rPr>
          <w:rFonts w:ascii="Verdana" w:eastAsia="Arial" w:hAnsi="Verdana"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896CCA">
        <w:rPr>
          <w:rFonts w:ascii="Verdana" w:eastAsia="Arial" w:hAnsi="Verdana" w:cs="Arial"/>
          <w:i/>
          <w:iCs/>
          <w:lang w:val="es-ES" w:eastAsia="es-ES" w:bidi="es-ES"/>
        </w:rPr>
        <w:t>En segundo lugar</w:t>
      </w:r>
      <w:r w:rsidRPr="00896CCA">
        <w:rPr>
          <w:rFonts w:ascii="Verdana" w:eastAsia="Arial" w:hAnsi="Verdana" w:cs="Arial"/>
          <w:lang w:val="es-ES" w:eastAsia="es-ES" w:bidi="es-ES"/>
        </w:rPr>
        <w:t>, también se encuentra la prohibición del parágrafo del artículo 38,</w:t>
      </w:r>
      <w:r w:rsidRPr="00896CCA">
        <w:rPr>
          <w:rFonts w:ascii="Verdana" w:eastAsia="Calibri" w:hAnsi="Verdana" w:cs="Arial"/>
        </w:rPr>
        <w:t xml:space="preserve"> que prevé una restricción, aplicable en las elecciones para </w:t>
      </w:r>
      <w:r w:rsidRPr="00896CCA">
        <w:rPr>
          <w:rFonts w:ascii="Verdana" w:eastAsia="Arial" w:hAnsi="Verdana" w:cs="Arial"/>
          <w:lang w:val="es-ES" w:eastAsia="es-ES" w:bidi="es-ES"/>
        </w:rPr>
        <w:t>cargos de elección popular, dirigida</w:t>
      </w:r>
      <w:r w:rsidRPr="00896CCA">
        <w:rPr>
          <w:rFonts w:ascii="Verdana" w:eastAsia="Calibri" w:hAnsi="Verdana" w:cs="Arial"/>
        </w:rPr>
        <w:t xml:space="preserve"> a los gobernadores, alcaldes municipales o distritales, secretarios, gerentes y directores de Entidades descentralizadas del orden municipal, departamental o distrital, en lo que respecta a la celebración de </w:t>
      </w:r>
      <w:r w:rsidRPr="00896CCA">
        <w:rPr>
          <w:rFonts w:ascii="Verdana" w:eastAsia="Arial" w:hAnsi="Verdana" w:cs="Arial"/>
          <w:lang w:val="es-ES" w:eastAsia="es-ES" w:bidi="es-ES"/>
        </w:rPr>
        <w:t>convenios interadministrativos que impliquen la ejecución de recursos públicos dentro de los cuatro (4) meses anteriores a la respectiva jornada de votaciones.</w:t>
      </w:r>
    </w:p>
    <w:p w14:paraId="4A774EA3" w14:textId="77777777" w:rsidR="00E62E55" w:rsidRPr="00896CCA" w:rsidRDefault="00E62E55" w:rsidP="00E62E55">
      <w:pPr>
        <w:spacing w:after="120" w:line="276" w:lineRule="auto"/>
        <w:ind w:firstLine="708"/>
        <w:jc w:val="both"/>
        <w:rPr>
          <w:rFonts w:ascii="Verdana" w:hAnsi="Verdana" w:cs="Arial"/>
          <w:color w:val="000000" w:themeColor="text1"/>
          <w:lang w:val="es-ES_tradnl"/>
        </w:rPr>
      </w:pPr>
      <w:r w:rsidRPr="00896CCA">
        <w:rPr>
          <w:rFonts w:ascii="Verdana" w:hAnsi="Verdana" w:cs="Arial"/>
          <w:lang w:val="es-ES"/>
        </w:rPr>
        <w:t xml:space="preserve">Ahora bien, con relación a la celebración de </w:t>
      </w:r>
      <w:r w:rsidRPr="00896CCA">
        <w:rPr>
          <w:rFonts w:ascii="Verdana" w:hAnsi="Verdana" w:cs="Arial"/>
          <w:i/>
          <w:iCs/>
          <w:lang w:val="es-ES"/>
        </w:rPr>
        <w:t>convenios</w:t>
      </w:r>
      <w:r w:rsidRPr="00896CCA">
        <w:rPr>
          <w:rFonts w:ascii="Verdana" w:hAnsi="Verdana" w:cs="Arial"/>
          <w:lang w:val="es-ES"/>
        </w:rPr>
        <w:t xml:space="preserve"> y en aras de dar respuesta a la consulta elevada, ha de tenerse en cuenta que el </w:t>
      </w:r>
      <w:r w:rsidRPr="00896CCA">
        <w:rPr>
          <w:rFonts w:ascii="Verdana" w:hAnsi="Verdana" w:cs="Arial"/>
          <w:color w:val="000000" w:themeColor="text1"/>
          <w:lang w:val="es-ES_tradnl"/>
        </w:rPr>
        <w:t xml:space="preserve">artículo 3.16 de </w:t>
      </w:r>
      <w:r w:rsidRPr="00896CCA">
        <w:rPr>
          <w:rFonts w:ascii="Verdana" w:hAnsi="Verdana" w:cs="Arial"/>
          <w:color w:val="000000" w:themeColor="text1"/>
          <w:lang w:val="es-ES_tradnl"/>
        </w:rPr>
        <w:lastRenderedPageBreak/>
        <w:t xml:space="preserve">la Ley 136 de 1994 hace referencia a los convenios suscritos entre los municipios y distritos con los cabildos, las autoridades y organizaciones indígenas, los </w:t>
      </w:r>
      <w:r w:rsidRPr="00896CCA">
        <w:rPr>
          <w:rFonts w:ascii="Verdana" w:hAnsi="Verdana" w:cs="Arial"/>
          <w:i/>
          <w:iCs/>
          <w:color w:val="000000" w:themeColor="text1"/>
          <w:lang w:val="es-ES_tradnl"/>
        </w:rPr>
        <w:t>organismos de acción comunal</w:t>
      </w:r>
      <w:r w:rsidRPr="00896CCA">
        <w:rPr>
          <w:rFonts w:ascii="Verdana" w:hAnsi="Verdana" w:cs="Arial"/>
          <w:color w:val="000000" w:themeColor="text1"/>
          <w:lang w:val="es-ES_tradnl"/>
        </w:rPr>
        <w:t xml:space="preserve"> y demás organizaciones civiles y asociaciones residentes en el territorio. Por su parte, el artículo 95 de la Ley 2166 de 2021</w:t>
      </w:r>
      <w:r w:rsidRPr="00896CCA">
        <w:rPr>
          <w:rFonts w:ascii="Verdana" w:hAnsi="Verdana" w:cs="Arial"/>
          <w:i/>
          <w:iCs/>
          <w:lang w:val="es-ES"/>
        </w:rPr>
        <w:t xml:space="preserve"> </w:t>
      </w:r>
      <w:r w:rsidRPr="00896CCA">
        <w:rPr>
          <w:rFonts w:ascii="Verdana" w:eastAsia="Calibri" w:hAnsi="Verdana" w:cs="Arial"/>
          <w:color w:val="000000" w:themeColor="text1"/>
          <w:lang w:val="es-ES"/>
        </w:rPr>
        <w:t xml:space="preserve">señala que las Entidades del orden nacional, departamental, distrital y municipal podrán celebrar directamente convenios solidarios con organismos de acción comunal para la ejecución de obras hasta por la menor cuantía. Y finalmente, el parágrafo 2 del artículo 63 </w:t>
      </w:r>
      <w:r w:rsidRPr="00896CCA">
        <w:rPr>
          <w:rFonts w:ascii="Verdana" w:eastAsia="Calibri" w:hAnsi="Verdana" w:cs="Arial"/>
          <w:i/>
          <w:iCs/>
          <w:color w:val="000000" w:themeColor="text1"/>
          <w:lang w:val="es-ES"/>
        </w:rPr>
        <w:t>ibidem</w:t>
      </w:r>
      <w:r w:rsidRPr="00896CCA">
        <w:rPr>
          <w:rFonts w:ascii="Verdana" w:eastAsia="Calibri" w:hAnsi="Verdana" w:cs="Arial"/>
          <w:color w:val="000000" w:themeColor="text1"/>
          <w:lang w:val="es-ES"/>
        </w:rPr>
        <w:t xml:space="preserve"> permite la celebración de convenios solidarios entre Entidades del orden nacional, departamental, distrital, local y municipal con los organismos de acción comunal</w:t>
      </w:r>
      <w:r w:rsidRPr="00896CCA">
        <w:rPr>
          <w:rFonts w:ascii="Verdana" w:eastAsia="Calibri" w:hAnsi="Verdana" w:cs="Arial"/>
          <w:i/>
          <w:iCs/>
          <w:color w:val="000000" w:themeColor="text1"/>
          <w:lang w:val="es-ES"/>
        </w:rPr>
        <w:t xml:space="preserve"> </w:t>
      </w:r>
      <w:r w:rsidRPr="00896CCA">
        <w:rPr>
          <w:rFonts w:ascii="Verdana" w:eastAsia="Calibri" w:hAnsi="Verdana" w:cs="Arial"/>
          <w:color w:val="000000" w:themeColor="text1"/>
          <w:lang w:val="es-ES"/>
        </w:rPr>
        <w:t>para la ejecución de proyectos incluidos en el respectivo plan nacional de desarrollo o para la ejecución de los proyectos derivados del Acuerdo Final de Paz</w:t>
      </w:r>
      <w:r w:rsidRPr="00896CCA">
        <w:rPr>
          <w:rFonts w:ascii="Verdana" w:eastAsia="Calibri" w:hAnsi="Verdana" w:cs="Arial"/>
          <w:i/>
          <w:iCs/>
          <w:color w:val="000000" w:themeColor="text1"/>
          <w:lang w:val="es-ES"/>
        </w:rPr>
        <w:t>.</w:t>
      </w:r>
    </w:p>
    <w:p w14:paraId="5E10B2B5" w14:textId="666E5A3C" w:rsidR="00E62E55" w:rsidRDefault="00E62E55" w:rsidP="00E62E55">
      <w:pPr>
        <w:spacing w:after="120" w:line="276" w:lineRule="auto"/>
        <w:ind w:firstLine="709"/>
        <w:jc w:val="both"/>
        <w:rPr>
          <w:rFonts w:ascii="Verdana" w:hAnsi="Verdana" w:cs="Arial"/>
          <w:color w:val="000000" w:themeColor="text1"/>
          <w:lang w:val="es-ES" w:eastAsia="es-CO"/>
        </w:rPr>
      </w:pPr>
      <w:r w:rsidRPr="00896CCA">
        <w:rPr>
          <w:rFonts w:ascii="Verdana" w:eastAsia="Calibri" w:hAnsi="Verdana" w:cs="Arial"/>
          <w:i/>
          <w:iCs/>
          <w:color w:val="000000" w:themeColor="text1"/>
          <w:lang w:val="es-ES"/>
        </w:rPr>
        <w:t xml:space="preserve"> </w:t>
      </w:r>
      <w:r w:rsidRPr="00896CCA">
        <w:rPr>
          <w:rFonts w:ascii="Verdana" w:eastAsia="Calibri" w:hAnsi="Verdana" w:cs="Arial"/>
          <w:lang w:val="es-ES" w:eastAsia="es-ES" w:bidi="es-ES"/>
        </w:rPr>
        <w:t>Bajo este contexto</w:t>
      </w:r>
      <w:r w:rsidRPr="00896CCA">
        <w:rPr>
          <w:rFonts w:ascii="Verdana" w:eastAsia="Calibri" w:hAnsi="Verdana" w:cs="Arial"/>
          <w:color w:val="000000" w:themeColor="text1"/>
        </w:rPr>
        <w:t xml:space="preserve">, y </w:t>
      </w:r>
      <w:r w:rsidRPr="00896CCA">
        <w:rPr>
          <w:rFonts w:ascii="Verdana" w:hAnsi="Verdana" w:cs="Arial"/>
          <w:color w:val="000000" w:themeColor="text1"/>
          <w:lang w:eastAsia="es-CO"/>
        </w:rPr>
        <w:t xml:space="preserve">considerando la naturaleza jurídica de las partes, los convenios suscritos entre </w:t>
      </w:r>
      <w:r w:rsidR="00AA08F0" w:rsidRPr="00896CCA">
        <w:rPr>
          <w:rFonts w:ascii="Verdana" w:hAnsi="Verdana" w:cs="Arial"/>
          <w:color w:val="000000" w:themeColor="text1"/>
          <w:lang w:eastAsia="es-CO"/>
        </w:rPr>
        <w:t>entidades</w:t>
      </w:r>
      <w:r w:rsidRPr="00896CCA">
        <w:rPr>
          <w:rFonts w:ascii="Verdana" w:hAnsi="Verdana" w:cs="Arial"/>
          <w:color w:val="000000" w:themeColor="text1"/>
          <w:lang w:eastAsia="es-CO"/>
        </w:rPr>
        <w:t xml:space="preserve"> del orden nacional, </w:t>
      </w:r>
      <w:r w:rsidRPr="00896CCA">
        <w:rPr>
          <w:rFonts w:ascii="Verdana" w:eastAsia="Calibri" w:hAnsi="Verdana" w:cs="Arial"/>
          <w:color w:val="000000" w:themeColor="text1"/>
          <w:lang w:val="es-ES"/>
        </w:rPr>
        <w:t>departamental, distrital, local y municipal</w:t>
      </w:r>
      <w:r w:rsidRPr="00896CCA">
        <w:rPr>
          <w:rFonts w:ascii="Verdana" w:hAnsi="Verdana" w:cs="Arial"/>
          <w:color w:val="000000" w:themeColor="text1"/>
          <w:lang w:eastAsia="es-CO"/>
        </w:rPr>
        <w:t xml:space="preserve"> y organismos de acción comunal </w:t>
      </w:r>
      <w:r w:rsidRPr="00896CCA">
        <w:rPr>
          <w:rFonts w:ascii="Verdana" w:hAnsi="Verdana" w:cs="Arial"/>
          <w:i/>
          <w:iCs/>
          <w:color w:val="000000" w:themeColor="text1"/>
          <w:lang w:eastAsia="es-CO"/>
        </w:rPr>
        <w:t>no se califican como contratos o convenios interadministrativos</w:t>
      </w:r>
      <w:r w:rsidRPr="00896CCA">
        <w:rPr>
          <w:rFonts w:ascii="Verdana" w:hAnsi="Verdana" w:cs="Arial"/>
          <w:color w:val="000000" w:themeColor="text1"/>
          <w:lang w:eastAsia="es-CO"/>
        </w:rPr>
        <w:t xml:space="preserve">, toda vez, que </w:t>
      </w:r>
      <w:r w:rsidRPr="00896CCA">
        <w:rPr>
          <w:rFonts w:ascii="Verdana" w:hAnsi="Verdana" w:cs="Arial"/>
          <w:color w:val="000000"/>
          <w:lang w:val="es-ES" w:eastAsia="es-CO"/>
        </w:rPr>
        <w:t>no implica una contratación entre autoridades del Estado sino un negocio jurídico entre una Entidad y una persona jurídica de derecho privado</w:t>
      </w:r>
      <w:r w:rsidRPr="00896CCA">
        <w:rPr>
          <w:rFonts w:ascii="Verdana" w:hAnsi="Verdana" w:cs="Arial"/>
          <w:color w:val="000000" w:themeColor="text1"/>
          <w:lang w:val="es-ES" w:eastAsia="es-CO"/>
        </w:rPr>
        <w:t xml:space="preserve"> </w:t>
      </w:r>
      <w:r w:rsidRPr="00896CCA">
        <w:rPr>
          <w:rFonts w:ascii="Verdana" w:hAnsi="Verdana" w:cs="Arial"/>
          <w:color w:val="000000" w:themeColor="text1"/>
          <w:lang w:eastAsia="es-CO"/>
        </w:rPr>
        <w:t xml:space="preserve">y en razón a ello </w:t>
      </w:r>
      <w:r>
        <w:rPr>
          <w:rFonts w:ascii="Verdana" w:hAnsi="Verdana" w:cs="Arial"/>
          <w:color w:val="000000" w:themeColor="text1"/>
          <w:lang w:eastAsia="es-CO"/>
        </w:rPr>
        <w:t>NO</w:t>
      </w:r>
      <w:r w:rsidRPr="00896CCA">
        <w:rPr>
          <w:rFonts w:ascii="Verdana" w:hAnsi="Verdana" w:cs="Arial"/>
          <w:color w:val="000000" w:themeColor="text1"/>
          <w:lang w:eastAsia="es-CO"/>
        </w:rPr>
        <w:t xml:space="preserve"> sería aplicable la restricción establecida en el artículo 38 de la </w:t>
      </w:r>
      <w:r w:rsidR="000503CE" w:rsidRPr="00896CCA">
        <w:rPr>
          <w:rFonts w:ascii="Verdana" w:hAnsi="Verdana" w:cs="Arial"/>
          <w:color w:val="000000" w:themeColor="text1"/>
          <w:lang w:eastAsia="es-CO"/>
        </w:rPr>
        <w:t>Ley</w:t>
      </w:r>
      <w:r w:rsidRPr="00896CCA">
        <w:rPr>
          <w:rFonts w:ascii="Verdana" w:hAnsi="Verdana" w:cs="Arial"/>
          <w:color w:val="000000" w:themeColor="text1"/>
          <w:lang w:eastAsia="es-CO"/>
        </w:rPr>
        <w:t xml:space="preserve"> 996 del 2005, puesto que la calificación de </w:t>
      </w:r>
      <w:r w:rsidRPr="00896CCA">
        <w:rPr>
          <w:rFonts w:ascii="Verdana" w:hAnsi="Verdana" w:cs="Arial"/>
          <w:color w:val="000000" w:themeColor="text1"/>
          <w:lang w:val="es-ES" w:eastAsia="es-CO"/>
        </w:rPr>
        <w:t>convenios o contratos interadministrativos está definida por un criterio orgánico, esto es, que la contratación se efectúa entre dos o más personas jurídicas de derecho público con la finalidad de cumplir, en el marco de sus objetivos misionales y sus competencias, con los fines del Estado.</w:t>
      </w:r>
    </w:p>
    <w:p w14:paraId="534D3B5A" w14:textId="7F08037F" w:rsidR="00F05AFE" w:rsidRPr="00066823" w:rsidRDefault="000503CE" w:rsidP="00066823">
      <w:pPr>
        <w:spacing w:after="0" w:line="276" w:lineRule="auto"/>
        <w:ind w:firstLine="708"/>
        <w:jc w:val="both"/>
        <w:rPr>
          <w:rFonts w:ascii="Verdana" w:eastAsia="Calibri" w:hAnsi="Verdana" w:cs="Arial"/>
          <w:color w:val="000000" w:themeColor="text1"/>
          <w:lang w:val="es-ES"/>
        </w:rPr>
      </w:pPr>
      <w:r w:rsidRPr="00BB4793">
        <w:rPr>
          <w:rFonts w:ascii="Verdana" w:hAnsi="Verdana" w:cs="Arial"/>
          <w:color w:val="000000" w:themeColor="text1"/>
          <w:lang w:val="es-ES" w:eastAsia="es-CO"/>
        </w:rPr>
        <w:t xml:space="preserve">Ahora bien, en relación con la </w:t>
      </w:r>
      <w:r w:rsidR="00F05AFE" w:rsidRPr="00BB4793">
        <w:rPr>
          <w:rFonts w:ascii="Verdana" w:hAnsi="Verdana" w:cs="Arial"/>
          <w:color w:val="000000" w:themeColor="text1"/>
          <w:lang w:val="es-ES" w:eastAsia="es-CO"/>
        </w:rPr>
        <w:t>restricción</w:t>
      </w:r>
      <w:r w:rsidRPr="00BB4793">
        <w:rPr>
          <w:rFonts w:ascii="Verdana" w:hAnsi="Verdana" w:cs="Arial"/>
          <w:color w:val="000000" w:themeColor="text1"/>
          <w:lang w:val="es-ES" w:eastAsia="es-CO"/>
        </w:rPr>
        <w:t xml:space="preserve"> establecida en el artículo 33 ibidem debe señalarse que </w:t>
      </w:r>
      <w:r w:rsidR="00F05AFE" w:rsidRPr="00BB4793">
        <w:rPr>
          <w:rFonts w:ascii="Verdana" w:hAnsi="Verdana" w:cs="Arial"/>
          <w:color w:val="000000" w:themeColor="text1"/>
          <w:lang w:val="es-ES" w:eastAsia="es-CO"/>
        </w:rPr>
        <w:t>d</w:t>
      </w:r>
      <w:r w:rsidR="00F05AFE" w:rsidRPr="00066823">
        <w:rPr>
          <w:rFonts w:ascii="Verdana" w:eastAsia="Calibri" w:hAnsi="Verdana" w:cs="Arial"/>
          <w:color w:val="000000" w:themeColor="text1"/>
          <w:lang w:val="es-ES"/>
        </w:rPr>
        <w:t xml:space="preserve">entro de esta restricción queda contemplada la prohibición de celebrar </w:t>
      </w:r>
      <w:r w:rsidR="00F05AFE" w:rsidRPr="00066823">
        <w:rPr>
          <w:rFonts w:ascii="Verdana" w:eastAsia="Calibri" w:hAnsi="Verdana" w:cs="Arial"/>
          <w:i/>
          <w:iCs/>
          <w:color w:val="000000" w:themeColor="text1"/>
          <w:lang w:val="es-ES"/>
        </w:rPr>
        <w:t>directamente</w:t>
      </w:r>
      <w:r w:rsidR="00F05AFE" w:rsidRPr="00066823">
        <w:rPr>
          <w:rFonts w:ascii="Verdana" w:eastAsia="Calibri" w:hAnsi="Verdana" w:cs="Arial"/>
          <w:color w:val="000000" w:themeColor="text1"/>
          <w:lang w:val="es-ES"/>
        </w:rPr>
        <w:t xml:space="preserve"> convenios solidarios. Lo anterior, salvo que en el caso concreto se presente alguna de las excepciones establecidas a la prohibición consagrada en el inciso segundo del artículo 33 de la Ley de Garantías Electorales.</w:t>
      </w:r>
      <w:r w:rsidR="009671D0" w:rsidRPr="00066823">
        <w:rPr>
          <w:rFonts w:ascii="Verdana" w:eastAsia="Calibri" w:hAnsi="Verdana" w:cs="Arial"/>
          <w:color w:val="000000" w:themeColor="text1"/>
          <w:lang w:val="es-ES"/>
        </w:rPr>
        <w:t xml:space="preserve"> </w:t>
      </w:r>
      <w:r w:rsidR="009671D0" w:rsidRPr="00066823">
        <w:rPr>
          <w:rFonts w:ascii="Verdana" w:hAnsi="Verdana" w:cs="Arial"/>
          <w:bCs/>
          <w:color w:val="000000" w:themeColor="text1"/>
          <w:lang w:val="es-ES_tradnl" w:eastAsia="es-ES_tradnl"/>
        </w:rPr>
        <w:t>Sin perjuicio de lo anterior,</w:t>
      </w:r>
      <w:r w:rsidR="009671D0" w:rsidRPr="00066823">
        <w:rPr>
          <w:rFonts w:ascii="Verdana" w:eastAsia="Calibri" w:hAnsi="Verdana" w:cs="Arial"/>
          <w:color w:val="000000" w:themeColor="text1"/>
          <w:lang w:val="es-ES"/>
        </w:rPr>
        <w:t xml:space="preserve"> dado que lo prohibido es la contratación </w:t>
      </w:r>
      <w:r w:rsidR="009671D0" w:rsidRPr="00066823">
        <w:rPr>
          <w:rFonts w:ascii="Verdana" w:eastAsia="Calibri" w:hAnsi="Verdana" w:cs="Arial"/>
          <w:i/>
          <w:iCs/>
          <w:color w:val="000000" w:themeColor="text1"/>
          <w:lang w:val="es-ES"/>
        </w:rPr>
        <w:t xml:space="preserve">directa, </w:t>
      </w:r>
      <w:r w:rsidR="009671D0" w:rsidRPr="00066823">
        <w:rPr>
          <w:rFonts w:ascii="Verdana" w:eastAsia="Calibri" w:hAnsi="Verdana" w:cs="Arial"/>
          <w:color w:val="000000" w:themeColor="text1"/>
          <w:lang w:val="es-ES"/>
        </w:rPr>
        <w:t xml:space="preserve">en cada caso particular debe analizarse la forma en que se celebrará el convenio solidario, de acuerdo con el marco jurídico que los regula, bajo la premisa de que </w:t>
      </w:r>
      <w:r w:rsidR="009671D0" w:rsidRPr="00066823">
        <w:rPr>
          <w:rFonts w:ascii="Verdana" w:eastAsia="Calibri" w:hAnsi="Verdana" w:cs="Arial"/>
          <w:i/>
          <w:iCs/>
          <w:color w:val="000000" w:themeColor="text1"/>
          <w:lang w:val="es-ES"/>
        </w:rPr>
        <w:t xml:space="preserve">las entidades estatales </w:t>
      </w:r>
      <w:r w:rsidR="009671D0" w:rsidRPr="00066823">
        <w:rPr>
          <w:rFonts w:ascii="Verdana" w:hAnsi="Verdana" w:cs="Arial"/>
          <w:i/>
          <w:iCs/>
          <w:color w:val="000000" w:themeColor="text1"/>
          <w:lang w:val="es-MX"/>
        </w:rPr>
        <w:t>podrán suscribir convenios solidarios durante la vigencia de la prohibición analizada, en tanto se de aplicación a un proceso competitivo para la selección del contratista</w:t>
      </w:r>
      <w:r w:rsidR="009671D0" w:rsidRPr="00066823">
        <w:rPr>
          <w:rFonts w:ascii="Verdana" w:hAnsi="Verdana" w:cs="Arial"/>
          <w:color w:val="000000" w:themeColor="text1"/>
          <w:lang w:val="es-MX"/>
        </w:rPr>
        <w:t xml:space="preserve">, esto es, en el que exista convocatoria pública y posibilidad de participación de pluralidad de </w:t>
      </w:r>
      <w:r w:rsidR="009671D0" w:rsidRPr="00066823">
        <w:rPr>
          <w:rFonts w:ascii="Verdana" w:hAnsi="Verdana" w:cs="Arial"/>
          <w:color w:val="000000" w:themeColor="text1"/>
          <w:lang w:val="es-MX"/>
        </w:rPr>
        <w:lastRenderedPageBreak/>
        <w:t xml:space="preserve">oferentes. Esto, debido a que la prohibición de contratación directa del artículo 33 de la Ley de Garantías Electorales únicamente aplica a los procedimientos </w:t>
      </w:r>
      <w:r w:rsidR="00BB4793">
        <w:rPr>
          <w:rFonts w:ascii="Verdana" w:hAnsi="Verdana" w:cs="Arial"/>
          <w:color w:val="000000" w:themeColor="text1"/>
          <w:lang w:val="es-MX"/>
        </w:rPr>
        <w:t>“</w:t>
      </w:r>
      <w:r w:rsidR="009671D0" w:rsidRPr="00066823">
        <w:rPr>
          <w:rFonts w:ascii="Verdana" w:hAnsi="Verdana" w:cs="Arial"/>
          <w:color w:val="000000" w:themeColor="text1"/>
          <w:lang w:val="es-MX"/>
        </w:rPr>
        <w:t>no competitivos</w:t>
      </w:r>
      <w:r w:rsidR="00BB4793">
        <w:rPr>
          <w:rFonts w:ascii="Verdana" w:hAnsi="Verdana" w:cs="Arial"/>
          <w:color w:val="000000" w:themeColor="text1"/>
          <w:lang w:val="es-MX"/>
        </w:rPr>
        <w:t>”</w:t>
      </w:r>
      <w:r w:rsidR="009671D0" w:rsidRPr="00066823">
        <w:rPr>
          <w:rFonts w:ascii="Verdana" w:hAnsi="Verdana" w:cs="Arial"/>
          <w:color w:val="000000" w:themeColor="text1"/>
          <w:lang w:val="es-MX"/>
        </w:rPr>
        <w:t>, que son los que implican una contratación directa.</w:t>
      </w:r>
    </w:p>
    <w:p w14:paraId="666FA14C" w14:textId="77777777" w:rsidR="00E36D89" w:rsidRDefault="00E36D89" w:rsidP="00066823">
      <w:pPr>
        <w:spacing w:after="0" w:line="276" w:lineRule="auto"/>
        <w:jc w:val="both"/>
        <w:rPr>
          <w:rFonts w:ascii="Verdana" w:hAnsi="Verdana" w:cs="Arial"/>
          <w:color w:val="000000" w:themeColor="text1"/>
          <w:lang w:val="es-ES" w:eastAsia="es-CO"/>
        </w:rPr>
      </w:pPr>
    </w:p>
    <w:p w14:paraId="41A4AE62" w14:textId="76BDB257" w:rsidR="00E62E55" w:rsidRPr="00EF2F43" w:rsidRDefault="00E62E55" w:rsidP="00066823">
      <w:pPr>
        <w:spacing w:after="120" w:line="276" w:lineRule="auto"/>
        <w:jc w:val="both"/>
        <w:rPr>
          <w:rFonts w:ascii="Verdana" w:eastAsia="Calibri" w:hAnsi="Verdana" w:cs="Arial"/>
        </w:rPr>
      </w:pPr>
      <w:r>
        <w:rPr>
          <w:rFonts w:ascii="Verdana" w:hAnsi="Verdana" w:cs="Arial"/>
          <w:color w:val="000000" w:themeColor="text1"/>
          <w:lang w:val="es-ES" w:eastAsia="es-CO"/>
        </w:rPr>
        <w:t>(</w:t>
      </w:r>
      <w:proofErr w:type="spellStart"/>
      <w:r>
        <w:rPr>
          <w:rFonts w:ascii="Verdana" w:hAnsi="Verdana" w:cs="Arial"/>
          <w:color w:val="000000" w:themeColor="text1"/>
          <w:lang w:val="es-ES" w:eastAsia="es-CO"/>
        </w:rPr>
        <w:t>ii</w:t>
      </w:r>
      <w:proofErr w:type="spellEnd"/>
      <w:r>
        <w:rPr>
          <w:rFonts w:ascii="Verdana" w:hAnsi="Verdana" w:cs="Arial"/>
          <w:color w:val="000000" w:themeColor="text1"/>
          <w:lang w:val="es-ES" w:eastAsia="es-CO"/>
        </w:rPr>
        <w:t xml:space="preserve">) Seguidamente y respecto al segundo interrogante, es preciso indicar que, </w:t>
      </w:r>
      <w:r>
        <w:rPr>
          <w:rFonts w:ascii="Verdana" w:eastAsia="Calibri" w:hAnsi="Verdana" w:cs="Arial"/>
        </w:rPr>
        <w:t>e</w:t>
      </w:r>
      <w:r w:rsidRPr="00EF2F43">
        <w:rPr>
          <w:rFonts w:ascii="Verdana" w:eastAsia="Calibri" w:hAnsi="Verdana" w:cs="Arial"/>
        </w:rPr>
        <w:t xml:space="preserve">n relación con el Decreto 092 de 2017, este regula la contratación con entidades sin ánimo de lucro y los convenios de asociación en desarrollo del artículo 355 de la Constitución y del artículo 96 de la Ley 489 de 1998. Ahora bien, en cuanto a la publicación de convenios solidarios y de asociación, la Guía para la </w:t>
      </w:r>
      <w:r>
        <w:rPr>
          <w:rFonts w:ascii="Verdana" w:eastAsia="Calibri" w:hAnsi="Verdana" w:cs="Arial"/>
        </w:rPr>
        <w:t>C</w:t>
      </w:r>
      <w:r w:rsidRPr="00EF2F43">
        <w:rPr>
          <w:rFonts w:ascii="Verdana" w:eastAsia="Calibri" w:hAnsi="Verdana" w:cs="Arial"/>
        </w:rPr>
        <w:t xml:space="preserve">elebración de </w:t>
      </w:r>
      <w:r>
        <w:rPr>
          <w:rFonts w:ascii="Verdana" w:eastAsia="Calibri" w:hAnsi="Verdana" w:cs="Arial"/>
        </w:rPr>
        <w:t>C</w:t>
      </w:r>
      <w:r w:rsidRPr="00EF2F43">
        <w:rPr>
          <w:rFonts w:ascii="Verdana" w:eastAsia="Calibri" w:hAnsi="Verdana" w:cs="Arial"/>
        </w:rPr>
        <w:t xml:space="preserve">onvenios </w:t>
      </w:r>
      <w:r>
        <w:rPr>
          <w:rFonts w:ascii="Verdana" w:eastAsia="Calibri" w:hAnsi="Verdana" w:cs="Arial"/>
        </w:rPr>
        <w:t>S</w:t>
      </w:r>
      <w:r w:rsidRPr="00EF2F43">
        <w:rPr>
          <w:rFonts w:ascii="Verdana" w:eastAsia="Calibri" w:hAnsi="Verdana" w:cs="Arial"/>
        </w:rPr>
        <w:t>olidarios</w:t>
      </w:r>
      <w:r>
        <w:rPr>
          <w:rStyle w:val="Refdenotaalpie"/>
          <w:rFonts w:ascii="Verdana" w:eastAsia="Calibri" w:hAnsi="Verdana" w:cs="Arial"/>
        </w:rPr>
        <w:footnoteReference w:id="12"/>
      </w:r>
      <w:r w:rsidRPr="00EF2F43">
        <w:rPr>
          <w:rFonts w:ascii="Verdana" w:eastAsia="Calibri" w:hAnsi="Verdana" w:cs="Arial"/>
        </w:rPr>
        <w:t xml:space="preserve"> </w:t>
      </w:r>
      <w:r>
        <w:rPr>
          <w:rFonts w:ascii="Verdana" w:eastAsia="Calibri" w:hAnsi="Verdana" w:cs="Arial"/>
        </w:rPr>
        <w:t xml:space="preserve">expedida por </w:t>
      </w:r>
      <w:r w:rsidRPr="00EA7EA8">
        <w:rPr>
          <w:rFonts w:ascii="Verdana" w:eastAsia="Calibri" w:hAnsi="Verdana" w:cs="Arial"/>
          <w:lang w:val="es-ES" w:eastAsia="es-ES"/>
        </w:rPr>
        <w:t>la Agencia Nacional de Contratación Pública – Colombia Compra Eficiente–</w:t>
      </w:r>
      <w:r>
        <w:rPr>
          <w:rFonts w:ascii="Verdana" w:eastAsia="Calibri" w:hAnsi="Verdana" w:cs="Arial"/>
          <w:lang w:val="es-ES" w:eastAsia="es-ES"/>
        </w:rPr>
        <w:t xml:space="preserve"> </w:t>
      </w:r>
      <w:r w:rsidRPr="00EF2F43">
        <w:rPr>
          <w:rFonts w:ascii="Verdana" w:eastAsia="Calibri" w:hAnsi="Verdana" w:cs="Arial"/>
        </w:rPr>
        <w:t>es clara al señalar que la plataforma habilitada para gestionar estos procesos es únicamente el SECOP II, ya que este es el sistema transaccional del Sistema de Compra Pública que permite tramitar la contratación bajo el régimen especial, habilitar la inscripción de las Juntas de Acción Comunal y demás organizaciones de la sociedad civil, y dar cumplimiento integral a los principios de publicidad y transparencia.</w:t>
      </w:r>
    </w:p>
    <w:p w14:paraId="65C2BD44" w14:textId="77777777" w:rsidR="00E62E55" w:rsidRDefault="00E62E55" w:rsidP="00066823">
      <w:pPr>
        <w:spacing w:after="0" w:line="276" w:lineRule="auto"/>
        <w:ind w:firstLine="709"/>
        <w:jc w:val="both"/>
        <w:rPr>
          <w:rFonts w:ascii="Verdana" w:eastAsia="Calibri" w:hAnsi="Verdana" w:cs="Arial"/>
        </w:rPr>
      </w:pPr>
      <w:r w:rsidRPr="00EF2F43">
        <w:rPr>
          <w:rFonts w:ascii="Verdana" w:eastAsia="Calibri" w:hAnsi="Verdana" w:cs="Arial"/>
        </w:rPr>
        <w:t>De esta forma, no existe habilitación para usar SECOP I como alternativa en convenios solidarios o de asociación, pues la gestión debe realizarse en SECOP II. La obligatoriedad aplica para todas las entidades estatales, incluidas las del nivel municipal, departamental y nacional</w:t>
      </w:r>
      <w:r>
        <w:rPr>
          <w:rFonts w:ascii="Verdana" w:eastAsia="Calibri" w:hAnsi="Verdana" w:cs="Arial"/>
        </w:rPr>
        <w:t>.</w:t>
      </w:r>
    </w:p>
    <w:p w14:paraId="7AE3C778" w14:textId="77777777" w:rsidR="00E62E55" w:rsidRDefault="00E62E55" w:rsidP="00066823">
      <w:pPr>
        <w:spacing w:after="0" w:line="276" w:lineRule="auto"/>
        <w:ind w:firstLine="709"/>
        <w:jc w:val="both"/>
        <w:rPr>
          <w:rFonts w:ascii="Verdana" w:hAnsi="Verdana" w:cs="Arial"/>
          <w:color w:val="000000" w:themeColor="text1"/>
          <w:lang w:val="es-ES" w:eastAsia="es-CO"/>
        </w:rPr>
      </w:pPr>
    </w:p>
    <w:p w14:paraId="0F684AC5" w14:textId="3B47BF4F" w:rsidR="00E62E55" w:rsidRPr="00E9090B" w:rsidRDefault="00E62E55" w:rsidP="00E62E55">
      <w:pPr>
        <w:spacing w:after="120" w:line="276" w:lineRule="auto"/>
        <w:jc w:val="both"/>
        <w:rPr>
          <w:rFonts w:ascii="Verdana" w:eastAsia="Calibri" w:hAnsi="Verdana" w:cs="Arial"/>
          <w:lang w:val="es-MX"/>
        </w:rPr>
      </w:pPr>
      <w:r>
        <w:rPr>
          <w:rFonts w:ascii="Verdana" w:hAnsi="Verdana" w:cs="Arial"/>
          <w:color w:val="000000" w:themeColor="text1"/>
          <w:lang w:val="es-ES" w:eastAsia="es-CO"/>
        </w:rPr>
        <w:t>(</w:t>
      </w:r>
      <w:proofErr w:type="spellStart"/>
      <w:r>
        <w:rPr>
          <w:rFonts w:ascii="Verdana" w:hAnsi="Verdana" w:cs="Arial"/>
          <w:color w:val="000000" w:themeColor="text1"/>
          <w:lang w:val="es-ES" w:eastAsia="es-CO"/>
        </w:rPr>
        <w:t>iii</w:t>
      </w:r>
      <w:proofErr w:type="spellEnd"/>
      <w:r>
        <w:rPr>
          <w:rFonts w:ascii="Verdana" w:hAnsi="Verdana" w:cs="Arial"/>
          <w:color w:val="000000" w:themeColor="text1"/>
          <w:lang w:val="es-ES" w:eastAsia="es-CO"/>
        </w:rPr>
        <w:t xml:space="preserve">) Finalmente, </w:t>
      </w:r>
      <w:r w:rsidR="002C551E">
        <w:rPr>
          <w:rFonts w:ascii="Verdana" w:eastAsia="Calibri" w:hAnsi="Verdana" w:cs="Arial"/>
          <w:lang w:val="es-MX"/>
        </w:rPr>
        <w:t>l</w:t>
      </w:r>
      <w:r w:rsidRPr="00E9090B">
        <w:rPr>
          <w:rFonts w:ascii="Verdana" w:eastAsia="Calibri" w:hAnsi="Verdana" w:cs="Arial"/>
          <w:lang w:val="es-MX"/>
        </w:rPr>
        <w:t xml:space="preserve">os </w:t>
      </w:r>
      <w:r w:rsidRPr="00E9090B">
        <w:rPr>
          <w:rFonts w:ascii="Verdana" w:eastAsia="Calibri" w:hAnsi="Verdana" w:cs="Arial"/>
          <w:i/>
          <w:iCs/>
          <w:lang w:val="es-MX"/>
        </w:rPr>
        <w:t>convenios de asociación</w:t>
      </w:r>
      <w:r w:rsidRPr="00E9090B">
        <w:rPr>
          <w:rFonts w:ascii="Verdana" w:eastAsia="Calibri" w:hAnsi="Verdana" w:cs="Arial"/>
          <w:lang w:val="es-MX"/>
        </w:rPr>
        <w:t xml:space="preserve"> tienen como fin que la entidad estatal, cualquiera que sea su naturaleza y orden administrativo como es el caso de las entidades territoriales –distritos, municipios, departamentos, entre otros- se asocien con personas jurídicas particulares para el desarrollo conjunto de actividades relacionadas con los cometidos y funciones asignadas a aquellas conforme a la Constitución y a la Ley. Los convenios de asociación están regulados en el artículo 5° del Decreto 092 de 2017 y el artículo 96 de la Ley 489 de 1998, sin dejar de lado los artículos 6,7, 8, 9, 10 y 11 del precitado Decreto. </w:t>
      </w:r>
    </w:p>
    <w:p w14:paraId="2F092AEE" w14:textId="77777777" w:rsidR="00E62E55" w:rsidRPr="00E9090B" w:rsidRDefault="00E62E55" w:rsidP="00E62E55">
      <w:pPr>
        <w:spacing w:after="120" w:line="276" w:lineRule="auto"/>
        <w:ind w:firstLine="708"/>
        <w:jc w:val="both"/>
        <w:rPr>
          <w:rFonts w:ascii="Verdana" w:eastAsia="Calibri" w:hAnsi="Verdana" w:cs="Arial"/>
          <w:lang w:val="es-MX"/>
        </w:rPr>
      </w:pPr>
      <w:r w:rsidRPr="00E9090B">
        <w:rPr>
          <w:rFonts w:ascii="Verdana" w:eastAsia="Calibri" w:hAnsi="Verdana" w:cs="Arial"/>
          <w:lang w:val="es-MX"/>
        </w:rPr>
        <w:t xml:space="preserve">En estos convenios no existe contraprestación o pago, sino aportes, los cuales están dirigidos, exclusivamente, a lograr la ejecución del convenio y no a remunerar la actividad o actuaciones del asociado. De todos modos, la entidad </w:t>
      </w:r>
      <w:r w:rsidRPr="00E9090B">
        <w:rPr>
          <w:rFonts w:ascii="Verdana" w:eastAsia="Calibri" w:hAnsi="Verdana" w:cs="Arial"/>
          <w:lang w:val="es-MX"/>
        </w:rPr>
        <w:lastRenderedPageBreak/>
        <w:t xml:space="preserve">debe adelantar un proceso competitivo, salvo cuando la ESAL comprometa recursos en dinero para la ejecución de estas actividades, en una proporción no inferior al 30% del valor total del convenio. </w:t>
      </w:r>
    </w:p>
    <w:p w14:paraId="0DC0AB41" w14:textId="77777777" w:rsidR="00E62E55" w:rsidRPr="00E9090B" w:rsidRDefault="00E62E55" w:rsidP="00E62E55">
      <w:pPr>
        <w:spacing w:after="120" w:line="276" w:lineRule="auto"/>
        <w:ind w:firstLine="708"/>
        <w:jc w:val="both"/>
        <w:rPr>
          <w:rFonts w:ascii="Verdana" w:eastAsia="Calibri" w:hAnsi="Verdana" w:cs="Arial"/>
          <w:lang w:val="es-MX"/>
        </w:rPr>
      </w:pPr>
      <w:r w:rsidRPr="00E9090B">
        <w:rPr>
          <w:rFonts w:ascii="Verdana" w:eastAsia="Calibri" w:hAnsi="Verdana" w:cs="Arial"/>
          <w:lang w:val="es-MX"/>
        </w:rPr>
        <w:t>De conformidad con el inciso segundo del artículo 96 de la Ley 489 de 1998, en est</w:t>
      </w:r>
      <w:r>
        <w:rPr>
          <w:rFonts w:ascii="Verdana" w:eastAsia="Calibri" w:hAnsi="Verdana" w:cs="Arial"/>
          <w:lang w:val="es-MX"/>
        </w:rPr>
        <w:t>os convenios debe determinarse “</w:t>
      </w:r>
      <w:r w:rsidRPr="00E9090B">
        <w:rPr>
          <w:rFonts w:ascii="Verdana" w:eastAsia="Calibri" w:hAnsi="Verdana" w:cs="Arial"/>
          <w:lang w:val="es-MX"/>
        </w:rPr>
        <w:t>con precisión su objeto, término, obligaciones de las partes, aportes, coordinación y todos aquellos aspecto</w:t>
      </w:r>
      <w:r>
        <w:rPr>
          <w:rFonts w:ascii="Verdana" w:eastAsia="Calibri" w:hAnsi="Verdana" w:cs="Arial"/>
          <w:lang w:val="es-MX"/>
        </w:rPr>
        <w:t>s que se consideren pertinentes”</w:t>
      </w:r>
      <w:r w:rsidRPr="00E9090B">
        <w:rPr>
          <w:rFonts w:ascii="Verdana" w:eastAsia="Calibri" w:hAnsi="Verdana" w:cs="Arial"/>
          <w:lang w:val="es-MX"/>
        </w:rPr>
        <w:t xml:space="preserve">, elementos dentro de los que resalta la exigencia de aportes, que debe interpretarse en el sentido de que las ESAL deben realizar aportes a los convenios que suscriban, los cuales pueden ser en dinero, en porcentajes inferiores o superiores al 30%, o en especie, los cuales deben servir al desarrollo de los objetivos comunes de la asociación. </w:t>
      </w:r>
    </w:p>
    <w:p w14:paraId="33769855" w14:textId="77777777" w:rsidR="00E62E55" w:rsidRPr="00E9090B" w:rsidRDefault="00E62E55" w:rsidP="00E62E55">
      <w:pPr>
        <w:spacing w:after="120" w:line="276" w:lineRule="auto"/>
        <w:ind w:firstLine="708"/>
        <w:jc w:val="both"/>
        <w:rPr>
          <w:rFonts w:ascii="Verdana" w:eastAsia="Calibri" w:hAnsi="Verdana" w:cs="Arial"/>
          <w:lang w:val="es-MX"/>
        </w:rPr>
      </w:pPr>
      <w:r w:rsidRPr="00E9090B">
        <w:rPr>
          <w:rFonts w:ascii="Verdana" w:eastAsia="Calibri" w:hAnsi="Verdana" w:cs="Arial"/>
          <w:lang w:val="es-MX"/>
        </w:rPr>
        <w:t>La normativa vigente no impide que varias entidades suscriban conjuntamente el convenio de asociación ni tampoco que dos o más ESAL pueden hacerlo a través de las figuras asociativas autorizadas por la ley, por ejemplo, la unión temporal o el consorcio</w:t>
      </w:r>
      <w:r w:rsidRPr="00E9090B">
        <w:rPr>
          <w:rFonts w:ascii="Verdana" w:eastAsia="Calibri" w:hAnsi="Verdana" w:cs="Arial"/>
          <w:vertAlign w:val="superscript"/>
          <w:lang w:val="es-MX"/>
        </w:rPr>
        <w:footnoteReference w:id="13"/>
      </w:r>
      <w:r w:rsidRPr="00E9090B">
        <w:rPr>
          <w:rFonts w:ascii="Verdana" w:eastAsia="Calibri" w:hAnsi="Verdana" w:cs="Arial"/>
          <w:lang w:val="es-MX"/>
        </w:rPr>
        <w:t xml:space="preserve">. Sin embargo, comoquiera que el artículo 96 de la Ley 489 de 1998 determina que el convenio debe buscar el desarrollo conjunto de actividades relacionadas con los cometidos y funciones que la ley les asigna a las entidades estatales involucradas, es necesario que las funciones legales de las entidades estatales que suscriben conjuntamente el convenio coincidan de alguna de tal manera que, los cometidos funcionales de una y otra entidad se relacionen con el objeto del convenio.  </w:t>
      </w:r>
    </w:p>
    <w:p w14:paraId="67BEC5CD" w14:textId="77777777" w:rsidR="00E62E55" w:rsidRPr="00E9090B" w:rsidRDefault="00E62E55" w:rsidP="00E62E55">
      <w:pPr>
        <w:spacing w:after="120" w:line="276" w:lineRule="auto"/>
        <w:ind w:firstLine="708"/>
        <w:jc w:val="both"/>
        <w:rPr>
          <w:rFonts w:ascii="Verdana" w:eastAsia="Calibri" w:hAnsi="Verdana" w:cs="Arial"/>
          <w:lang w:val="es-MX"/>
        </w:rPr>
      </w:pPr>
      <w:r w:rsidRPr="00E9090B">
        <w:rPr>
          <w:rFonts w:ascii="Verdana" w:eastAsia="Calibri" w:hAnsi="Verdana" w:cs="Arial"/>
          <w:lang w:val="es-MX"/>
        </w:rPr>
        <w:t xml:space="preserve">Igualmente, considerando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una o varias ESAL, aporten al menos el treinta por ciento (30%), en dinero, del valor del convenio para celebrarlo directamente, pues de lo contrario deberá adelantarse un proceso competitivo. Además, en atención al inciso 2 del artículo 5 del Decreto 092 de 2017, deben “asegurarse que no haya otras ESAL que ofrezcan su compromiso de recursos en dinero en una proporción no inferior al 30% del valor total del convenio. En caso de que la entidad encuentre que más de una ESAL le ofrece al menos el 30% de recursos </w:t>
      </w:r>
      <w:r w:rsidRPr="00E9090B">
        <w:rPr>
          <w:rFonts w:ascii="Verdana" w:eastAsia="Calibri" w:hAnsi="Verdana" w:cs="Arial"/>
          <w:lang w:val="es-MX"/>
        </w:rPr>
        <w:lastRenderedPageBreak/>
        <w:t>en dinero para el convenio de asociación, debe seleccionar objetivamente con cual asociarse”</w:t>
      </w:r>
      <w:r w:rsidRPr="00E9090B">
        <w:rPr>
          <w:rFonts w:ascii="Verdana" w:eastAsia="Calibri" w:hAnsi="Verdana" w:cs="Arial"/>
          <w:vertAlign w:val="superscript"/>
          <w:lang w:val="es-MX"/>
        </w:rPr>
        <w:footnoteReference w:id="14"/>
      </w:r>
      <w:r w:rsidRPr="00E9090B">
        <w:rPr>
          <w:rFonts w:ascii="Verdana" w:eastAsia="Calibri" w:hAnsi="Verdana" w:cs="Arial"/>
          <w:lang w:val="es-MX"/>
        </w:rPr>
        <w:t>.</w:t>
      </w:r>
    </w:p>
    <w:p w14:paraId="1CB729E8" w14:textId="77777777" w:rsidR="00E62E55" w:rsidRPr="00E9090B" w:rsidRDefault="00E62E55" w:rsidP="00E62E55">
      <w:pPr>
        <w:spacing w:after="120" w:line="276" w:lineRule="auto"/>
        <w:ind w:firstLine="708"/>
        <w:jc w:val="both"/>
        <w:rPr>
          <w:rFonts w:ascii="Verdana" w:eastAsia="Calibri" w:hAnsi="Verdana" w:cs="Arial"/>
          <w:lang w:val="es-MX"/>
        </w:rPr>
      </w:pPr>
      <w:r w:rsidRPr="00E9090B">
        <w:rPr>
          <w:rFonts w:ascii="Verdana" w:eastAsia="Calibri" w:hAnsi="Verdana" w:cs="Arial"/>
          <w:lang w:val="es-MX"/>
        </w:rPr>
        <w:t xml:space="preserve">La noción “seleccionar de forma objetiva”, contenida en la disposición </w:t>
      </w:r>
      <w:r w:rsidRPr="00E9090B">
        <w:rPr>
          <w:rFonts w:ascii="Verdana" w:eastAsia="Calibri" w:hAnsi="Verdana" w:cs="Arial"/>
          <w:i/>
          <w:iCs/>
          <w:lang w:val="es-MX"/>
        </w:rPr>
        <w:t xml:space="preserve">sub examine </w:t>
      </w:r>
      <w:r w:rsidRPr="00E9090B">
        <w:rPr>
          <w:rFonts w:ascii="Verdana" w:eastAsia="Calibri" w:hAnsi="Verdana" w:cs="Arial"/>
          <w:lang w:val="es-MX"/>
        </w:rPr>
        <w:t>no puede ser entendida como una remisión total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92 de 2017.</w:t>
      </w:r>
    </w:p>
    <w:p w14:paraId="39CF7A5B" w14:textId="77777777" w:rsidR="00E62E55" w:rsidRPr="00E9090B" w:rsidRDefault="00E62E55" w:rsidP="00E62E55">
      <w:pPr>
        <w:spacing w:after="120" w:line="276" w:lineRule="auto"/>
        <w:ind w:firstLine="708"/>
        <w:jc w:val="both"/>
        <w:textAlignment w:val="baseline"/>
        <w:rPr>
          <w:rFonts w:ascii="Verdana" w:eastAsia="Calibri" w:hAnsi="Verdana" w:cs="Arial"/>
          <w:lang w:val="es-MX"/>
        </w:rPr>
      </w:pPr>
      <w:r w:rsidRPr="00E9090B">
        <w:rPr>
          <w:rFonts w:ascii="Verdana" w:eastAsia="Arial" w:hAnsi="Verdana" w:cs="Arial"/>
          <w:lang w:val="es-ES"/>
        </w:rPr>
        <w:t>En suma, las entidades estatales son autónomas en la configuración del proceso competitivo en desarrollo del artículo 5 del Decreto 092 de 2017. En todo caso, el proceso competitivo que definan las entidades estatales para sus convenios de asociación debe garantizar que esté relacionado con las funciones de la entidad, la libre concurrencia y la pluralidad de interesados y la comparación objetiva de las ofertas. Este procedimiento puede ser análogo a otros donde existe competencia, como la licitación pública</w:t>
      </w:r>
      <w:r w:rsidRPr="00E9090B">
        <w:rPr>
          <w:rFonts w:ascii="Verdana" w:eastAsia="Calibri" w:hAnsi="Verdana" w:cs="Arial"/>
          <w:lang w:val="es-MX"/>
        </w:rPr>
        <w:t>. </w:t>
      </w:r>
    </w:p>
    <w:p w14:paraId="6795BD10" w14:textId="77777777" w:rsidR="00E62E55" w:rsidRPr="00E9090B" w:rsidRDefault="00E62E55" w:rsidP="00E62E55">
      <w:pPr>
        <w:spacing w:after="120" w:line="276" w:lineRule="auto"/>
        <w:ind w:firstLine="709"/>
        <w:jc w:val="both"/>
        <w:rPr>
          <w:rFonts w:ascii="Verdana" w:eastAsia="Calibri" w:hAnsi="Verdana" w:cs="Arial"/>
          <w:lang w:val="es-MX"/>
        </w:rPr>
      </w:pPr>
      <w:r w:rsidRPr="00E9090B">
        <w:rPr>
          <w:rFonts w:ascii="Verdana" w:eastAsia="Calibri" w:hAnsi="Verdana" w:cs="Arial"/>
          <w:lang w:val="es-MX"/>
        </w:rPr>
        <w:t>Ahora bien, el Consejo de Estado, en el Auto del 6 de agosto de 2019 de la Sección Tercera, Subsección A –</w:t>
      </w:r>
      <w:proofErr w:type="spellStart"/>
      <w:r w:rsidRPr="00E9090B">
        <w:rPr>
          <w:rFonts w:ascii="Verdana" w:eastAsia="Calibri" w:hAnsi="Verdana" w:cs="Arial"/>
          <w:lang w:val="es-MX"/>
        </w:rPr>
        <w:t>Exp</w:t>
      </w:r>
      <w:proofErr w:type="spellEnd"/>
      <w:r w:rsidRPr="00E9090B">
        <w:rPr>
          <w:rFonts w:ascii="Verdana" w:eastAsia="Calibri" w:hAnsi="Verdana" w:cs="Arial"/>
          <w:lang w:val="es-MX"/>
        </w:rPr>
        <w:t>. 62.003–, estudió la solicitud de suspensión provisional</w:t>
      </w:r>
      <w:r w:rsidRPr="00E9090B">
        <w:rPr>
          <w:rFonts w:ascii="Verdana" w:eastAsia="Calibri" w:hAnsi="Verdana" w:cs="Arial"/>
          <w:vertAlign w:val="superscript"/>
          <w:lang w:val="es-MX"/>
        </w:rPr>
        <w:footnoteReference w:id="15"/>
      </w:r>
      <w:r w:rsidRPr="00E9090B">
        <w:rPr>
          <w:rFonts w:ascii="Verdana" w:eastAsia="Calibri" w:hAnsi="Verdana" w:cs="Arial"/>
          <w:lang w:val="es-MX"/>
        </w:rPr>
        <w:t xml:space="preserve"> del inciso 2 del artículo 1, literales a y c del artículo 2, inciso 5 del artículo 2, inciso 2 del artículo 3, inciso final del artículo 4 y artículo 5 del Decreto 092 de 2017. No obstante, sobre esta última norma concluyó que el análisis de esta disposición debe realizarse a profundidad para establecer si efectivamente existe una contradicción normativa que implique que se afectó la competencia del legislador. En consecuencia, negó la solicitud de suspensión provisional frente a la última disposición relacionada con los convenios de asociación, reservando el análisis sobre la legalidad de dicho artículo a la sentencia de fondo. Por tanto, si se pretende realizar un </w:t>
      </w:r>
      <w:r w:rsidRPr="00E9090B">
        <w:rPr>
          <w:rFonts w:ascii="Verdana" w:eastAsia="Calibri" w:hAnsi="Verdana" w:cs="Arial"/>
          <w:i/>
          <w:iCs/>
          <w:lang w:val="es-MX"/>
        </w:rPr>
        <w:t>convenio de asociación</w:t>
      </w:r>
      <w:r w:rsidRPr="00E9090B">
        <w:rPr>
          <w:rFonts w:ascii="Verdana" w:eastAsia="Calibri" w:hAnsi="Verdana" w:cs="Arial"/>
          <w:lang w:val="es-MX"/>
        </w:rPr>
        <w:t xml:space="preserve"> con ESAL de reconocida idoneidad para el cumplimiento de las funciones que la </w:t>
      </w:r>
      <w:r w:rsidRPr="00E9090B">
        <w:rPr>
          <w:rFonts w:ascii="Verdana" w:eastAsia="Calibri" w:hAnsi="Verdana" w:cs="Arial"/>
          <w:lang w:val="es-MX"/>
        </w:rPr>
        <w:lastRenderedPageBreak/>
        <w:t xml:space="preserve">ley les asigna a las entidades públicas, debe aplicarse lo dispuesto en el artículo 5 del Decreto 092 de 2017. </w:t>
      </w:r>
      <w:r w:rsidRPr="00E9090B">
        <w:rPr>
          <w:rFonts w:ascii="Verdana" w:eastAsia="Calibri" w:hAnsi="Verdana" w:cs="Arial"/>
          <w:lang w:val="es-ES_tradnl"/>
        </w:rPr>
        <w:t>En todo caso, conviene precisar que mediante Auto del 15 de marzo de 2022</w:t>
      </w:r>
      <w:r w:rsidRPr="00E9090B">
        <w:rPr>
          <w:rFonts w:ascii="Verdana" w:eastAsia="Calibri" w:hAnsi="Verdana" w:cs="Arial"/>
          <w:vertAlign w:val="superscript"/>
          <w:lang w:val="es-ES_tradnl"/>
        </w:rPr>
        <w:footnoteReference w:id="16"/>
      </w:r>
      <w:r w:rsidRPr="00E9090B">
        <w:rPr>
          <w:rFonts w:ascii="Verdana" w:eastAsia="Calibri" w:hAnsi="Verdana" w:cs="Arial"/>
          <w:lang w:val="es-ES_tradnl"/>
        </w:rPr>
        <w:t>, el Consejo de Estado levantó la medida cautelar de suspensión provisional respecto del inciso 2 del artículo 1 y el inciso 2 del artículo 3, del Decreto 092 de 2007, por lo que surten en la actualidad efectos jurídicos</w:t>
      </w:r>
      <w:r w:rsidRPr="00E9090B">
        <w:rPr>
          <w:rFonts w:ascii="Verdana" w:eastAsia="Calibri" w:hAnsi="Verdana" w:cs="Arial"/>
          <w:vertAlign w:val="superscript"/>
          <w:lang w:val="es-ES_tradnl"/>
        </w:rPr>
        <w:footnoteReference w:id="17"/>
      </w:r>
      <w:r w:rsidRPr="00E9090B">
        <w:rPr>
          <w:rFonts w:ascii="Verdana" w:eastAsia="Calibri" w:hAnsi="Verdana" w:cs="Arial"/>
          <w:lang w:val="es-ES_tradnl"/>
        </w:rPr>
        <w:t>.</w:t>
      </w:r>
    </w:p>
    <w:p w14:paraId="7682FE01" w14:textId="77777777" w:rsidR="00E62E55" w:rsidRPr="00E9090B" w:rsidRDefault="00E62E55" w:rsidP="00066823">
      <w:pPr>
        <w:spacing w:after="120" w:line="276" w:lineRule="auto"/>
        <w:ind w:firstLine="708"/>
        <w:jc w:val="both"/>
        <w:textAlignment w:val="baseline"/>
        <w:rPr>
          <w:rFonts w:ascii="Verdana" w:eastAsia="Calibri" w:hAnsi="Verdana" w:cs="Arial"/>
          <w:lang w:val="es-ES_tradnl" w:eastAsia="es-ES_tradnl"/>
        </w:rPr>
      </w:pPr>
      <w:r w:rsidRPr="00E9090B">
        <w:rPr>
          <w:rFonts w:ascii="Verdana" w:eastAsia="Calibri" w:hAnsi="Verdana" w:cs="Arial"/>
          <w:lang w:val="es-MX"/>
        </w:rPr>
        <w:t xml:space="preserve">Como se explicó, en relación con los convenios de asociación, el artículo 5 del citado Decreto establece que el proceso para la selección de la ESAL, por regla general, debe estar sujeto a competencia; salvo en aquellos casos en que </w:t>
      </w:r>
      <w:r w:rsidRPr="00E9090B">
        <w:rPr>
          <w:rFonts w:ascii="Verdana" w:eastAsia="Calibri" w:hAnsi="Verdana" w:cs="Arial"/>
          <w:i/>
          <w:iCs/>
          <w:lang w:val="es-MX"/>
        </w:rPr>
        <w:t>una</w:t>
      </w:r>
      <w:r w:rsidRPr="00E9090B">
        <w:rPr>
          <w:rFonts w:ascii="Verdana" w:eastAsia="Calibri" w:hAnsi="Verdana" w:cs="Arial"/>
          <w:lang w:val="es-MX"/>
        </w:rPr>
        <w:t xml:space="preserve"> entidad sin ánimo de lucro comprometa recursos en dinero por un valor igual o superior al 30% del valor total del convenio</w:t>
      </w:r>
      <w:r w:rsidRPr="00E9090B">
        <w:rPr>
          <w:rFonts w:ascii="Verdana" w:eastAsia="Calibri" w:hAnsi="Verdana" w:cs="Arial"/>
          <w:vertAlign w:val="superscript"/>
          <w:lang w:val="es-MX"/>
        </w:rPr>
        <w:footnoteReference w:id="18"/>
      </w:r>
      <w:r w:rsidRPr="00E9090B">
        <w:rPr>
          <w:rFonts w:ascii="Verdana" w:eastAsia="Calibri" w:hAnsi="Verdana" w:cs="Arial"/>
          <w:lang w:val="es-MX"/>
        </w:rPr>
        <w:t>, y siempre que la entidad estatal verifique previamente que no existe ninguna otra entidad sin ánimo de lucro que ofrezca aportes en dinero iguales o superiores al 30%, ya que en este último evento también deberá adelantar un proceso competitivo. De hecho, en relación con la naturaleza y cuantía de los convenios, la norma anteriormente citada no prohíbe la celebración de convenios en que la ESAL aporte menos del 30% o cuando aporten recursos en especie. En efecto, solo indica que en esos casos la entidad estatal debe acudir al proceso competitivo para seleccionar a la entidad sin ánimo de lucro con la cual celebrará el respectivo convenio.</w:t>
      </w:r>
    </w:p>
    <w:p w14:paraId="1A575B7C" w14:textId="77777777" w:rsidR="00E62E55" w:rsidRPr="00E9090B" w:rsidRDefault="00E62E55" w:rsidP="00066823">
      <w:pPr>
        <w:spacing w:after="120" w:line="276" w:lineRule="auto"/>
        <w:ind w:firstLine="709"/>
        <w:jc w:val="both"/>
        <w:rPr>
          <w:rFonts w:ascii="Verdana" w:eastAsia="Calibri" w:hAnsi="Verdana" w:cs="Arial"/>
          <w:lang w:val="es-ES_tradnl"/>
        </w:rPr>
      </w:pPr>
      <w:r w:rsidRPr="00E9090B">
        <w:rPr>
          <w:rFonts w:ascii="Verdana" w:eastAsia="Calibri" w:hAnsi="Verdana" w:cs="Arial"/>
          <w:lang w:val="es-ES_tradnl" w:eastAsia="es-ES_tradnl"/>
        </w:rPr>
        <w:t>Finalmente,</w:t>
      </w:r>
      <w:r>
        <w:rPr>
          <w:rFonts w:ascii="Verdana" w:eastAsia="Calibri" w:hAnsi="Verdana" w:cs="Arial"/>
          <w:lang w:val="es-ES_tradnl" w:eastAsia="es-ES_tradnl"/>
        </w:rPr>
        <w:t xml:space="preserve"> en cuanto al tercer interrogante planteado </w:t>
      </w:r>
      <w:proofErr w:type="gramStart"/>
      <w:r>
        <w:rPr>
          <w:rFonts w:ascii="Verdana" w:eastAsia="Calibri" w:hAnsi="Verdana" w:cs="Arial"/>
          <w:lang w:val="es-ES_tradnl" w:eastAsia="es-ES_tradnl"/>
        </w:rPr>
        <w:t xml:space="preserve">y </w:t>
      </w:r>
      <w:r w:rsidRPr="00E9090B">
        <w:rPr>
          <w:rFonts w:ascii="Verdana" w:eastAsia="Calibri" w:hAnsi="Verdana" w:cs="Arial"/>
          <w:lang w:val="es-ES_tradnl" w:eastAsia="es-ES_tradnl"/>
        </w:rPr>
        <w:t xml:space="preserve"> </w:t>
      </w:r>
      <w:r>
        <w:rPr>
          <w:rFonts w:ascii="Verdana" w:eastAsia="Calibri" w:hAnsi="Verdana" w:cs="Arial"/>
          <w:lang w:val="es-ES_tradnl" w:eastAsia="es-ES_tradnl"/>
        </w:rPr>
        <w:t>sobre</w:t>
      </w:r>
      <w:proofErr w:type="gramEnd"/>
      <w:r>
        <w:rPr>
          <w:rFonts w:ascii="Verdana" w:eastAsia="Calibri" w:hAnsi="Verdana" w:cs="Arial"/>
          <w:lang w:val="es-ES_tradnl" w:eastAsia="es-ES_tradnl"/>
        </w:rPr>
        <w:t xml:space="preserve"> los</w:t>
      </w:r>
      <w:r w:rsidRPr="00E9090B">
        <w:rPr>
          <w:rFonts w:ascii="Verdana" w:eastAsia="Calibri" w:hAnsi="Verdana" w:cs="Arial"/>
          <w:lang w:val="es-ES_tradnl" w:eastAsia="es-ES_tradnl"/>
        </w:rPr>
        <w:t xml:space="preserve"> </w:t>
      </w:r>
      <w:r w:rsidRPr="00E9090B">
        <w:rPr>
          <w:rFonts w:ascii="Verdana" w:eastAsia="Calibri" w:hAnsi="Verdana" w:cs="Arial"/>
          <w:i/>
          <w:iCs/>
          <w:lang w:val="es-ES_tradnl" w:eastAsia="es-ES_tradnl"/>
        </w:rPr>
        <w:t xml:space="preserve">convenios de </w:t>
      </w:r>
      <w:r w:rsidRPr="00E9090B">
        <w:rPr>
          <w:rFonts w:ascii="Verdana" w:eastAsia="Calibri" w:hAnsi="Verdana" w:cs="Arial"/>
          <w:lang w:val="es-ES_tradnl" w:eastAsia="es-ES_tradnl"/>
        </w:rPr>
        <w:t xml:space="preserve">asociación, la finalidad de los aportes está dirigido concretamente </w:t>
      </w:r>
      <w:r w:rsidRPr="00E9090B">
        <w:rPr>
          <w:rFonts w:ascii="Verdana" w:eastAsia="Calibri" w:hAnsi="Verdana" w:cs="Arial"/>
          <w:lang w:val="es-ES_tradnl" w:eastAsia="es-ES_tradnl"/>
        </w:rPr>
        <w:lastRenderedPageBreak/>
        <w:t xml:space="preserve">a lograr la ejecución del convenio. </w:t>
      </w:r>
      <w:r>
        <w:rPr>
          <w:rFonts w:ascii="Verdana" w:eastAsia="Calibri" w:hAnsi="Verdana" w:cs="Arial"/>
          <w:lang w:val="es-ES_tradnl" w:eastAsia="es-ES_tradnl"/>
        </w:rPr>
        <w:t>L</w:t>
      </w:r>
      <w:r w:rsidRPr="00E9090B">
        <w:rPr>
          <w:rFonts w:ascii="Verdana" w:eastAsia="Calibri" w:hAnsi="Verdana" w:cs="Arial"/>
          <w:lang w:val="es-ES_tradnl" w:eastAsia="es-ES_tradnl"/>
        </w:rPr>
        <w:t xml:space="preserve">a entidad deberá adelantar un proceso competitivo, salvo cuando la ESAL comprometa recursos en dinero para la ejecución de estas actividades, en una proporción no inferior al 30% del valor total del convenio. Así, </w:t>
      </w:r>
      <w:r w:rsidRPr="00E9090B">
        <w:rPr>
          <w:rFonts w:ascii="Verdana" w:eastAsia="Calibri" w:hAnsi="Verdana" w:cs="Arial"/>
          <w:lang w:val="es-ES_tradnl"/>
        </w:rPr>
        <w:t xml:space="preserve">si se pretende suscribir un </w:t>
      </w:r>
      <w:r w:rsidRPr="00E9090B">
        <w:rPr>
          <w:rFonts w:ascii="Verdana" w:eastAsia="Calibri" w:hAnsi="Verdana" w:cs="Arial"/>
          <w:i/>
          <w:iCs/>
          <w:lang w:val="es-ES_tradnl"/>
        </w:rPr>
        <w:t>convenio de asociación</w:t>
      </w:r>
      <w:r w:rsidRPr="00E9090B">
        <w:rPr>
          <w:rFonts w:ascii="Verdana" w:eastAsia="Calibri" w:hAnsi="Verdana" w:cs="Arial"/>
          <w:lang w:val="es-ES_tradnl"/>
        </w:rPr>
        <w:t xml:space="preserve"> con una ESAL de reconocida idoneidad para el cumplimiento de las funciones que la ley les asigna a las entidades públicas, deben aplicar lo dispuesto en el artículo 5 del Decreto 92 de 2017. Como se estableció </w:t>
      </w:r>
      <w:r w:rsidRPr="00E9090B">
        <w:rPr>
          <w:rFonts w:ascii="Verdana" w:eastAsia="Calibri" w:hAnsi="Verdana" w:cs="Arial"/>
          <w:i/>
          <w:iCs/>
          <w:lang w:val="es-ES_tradnl"/>
        </w:rPr>
        <w:t>supra</w:t>
      </w:r>
      <w:r w:rsidRPr="00E9090B">
        <w:rPr>
          <w:rFonts w:ascii="Verdana" w:eastAsia="Calibri" w:hAnsi="Verdana" w:cs="Arial"/>
          <w:lang w:val="es-ES_tradnl"/>
        </w:rPr>
        <w:t xml:space="preserve">, este artículo dispone que el proceso para la escogencia de la ESAL, por regla general, debe estar sujeto a competencia. </w:t>
      </w:r>
    </w:p>
    <w:p w14:paraId="245D65E9" w14:textId="77777777" w:rsidR="00E62E55" w:rsidRPr="00E9090B" w:rsidRDefault="00E62E55" w:rsidP="00066823">
      <w:pPr>
        <w:spacing w:after="120" w:line="276" w:lineRule="auto"/>
        <w:ind w:firstLine="709"/>
        <w:jc w:val="both"/>
        <w:rPr>
          <w:rFonts w:ascii="Verdana" w:eastAsia="Calibri" w:hAnsi="Verdana" w:cs="Arial"/>
          <w:lang w:val="es-ES"/>
        </w:rPr>
      </w:pPr>
      <w:r w:rsidRPr="00E9090B">
        <w:rPr>
          <w:rFonts w:ascii="Verdana" w:eastAsia="Calibri" w:hAnsi="Verdana" w:cs="Arial"/>
          <w:lang w:val="es-ES"/>
        </w:rPr>
        <w:t xml:space="preserve">Esto, salvo en aquellos casos en los que una ESAL manifieste su compromiso de aportar recursos en dinero por un valor igual o superior al 30% del valor total del convenio, con la condición de que no existan otras ESAL que ofrezca aportes en monto igual o superior a dicho porcentaje, pues en este evento también se tendría que realizar un proceso competitivo. Finalmente, dada la regla concreta y específica establecida en la norma, si los aportes no son en dinero, sino únicamente en especie, esto es, bienes diferentes o no equivalente al dinero, no se dará aplicación a dicha regla y el proceso de selección será competitivo. </w:t>
      </w:r>
    </w:p>
    <w:p w14:paraId="2E1B6886" w14:textId="77777777" w:rsidR="00E62E55" w:rsidRPr="00E9090B" w:rsidRDefault="00E62E55" w:rsidP="00066823">
      <w:pPr>
        <w:spacing w:after="120" w:line="276" w:lineRule="auto"/>
        <w:ind w:firstLine="709"/>
        <w:jc w:val="both"/>
        <w:textAlignment w:val="baseline"/>
        <w:rPr>
          <w:rFonts w:ascii="Verdana" w:eastAsia="Calibri" w:hAnsi="Verdana" w:cs="Arial"/>
          <w:lang w:val="es-ES"/>
        </w:rPr>
      </w:pPr>
      <w:r w:rsidRPr="00E9090B">
        <w:rPr>
          <w:rFonts w:ascii="Verdana" w:eastAsia="Calibri" w:hAnsi="Verdana" w:cs="Arial"/>
          <w:lang w:val="es-ES"/>
        </w:rPr>
        <w:t xml:space="preserve">En ese contexto, cuando el aporte de la ESAL al convenio de asociación, que se realizará con una entidad estatal bajo los términos del artículo 5 del Decreto 092 de 2017, no sea en dinero, sino en especie, esto es, con bienes tangibles e intangibles distintos al dinero o que no sean equivalentes a este, en los términos indicados en el párrafo anterior, </w:t>
      </w:r>
      <w:r w:rsidRPr="00E9090B">
        <w:rPr>
          <w:rFonts w:ascii="Verdana" w:eastAsia="Calibri" w:hAnsi="Verdana" w:cs="Arial"/>
          <w:i/>
          <w:iCs/>
          <w:lang w:val="es-ES"/>
        </w:rPr>
        <w:t>no</w:t>
      </w:r>
      <w:r w:rsidRPr="00E9090B">
        <w:rPr>
          <w:rFonts w:ascii="Verdana" w:eastAsia="Calibri" w:hAnsi="Verdana" w:cs="Arial"/>
          <w:lang w:val="es-ES"/>
        </w:rPr>
        <w:t xml:space="preserve"> se aplicará la regla que determina que si el aporte de recursos en dinero es igual o superior a un 30% del valor del convenio, este se podrá celebrar de forma directa, por lo que deberá adelantarse un proceso competitivo. No obstante, se precisa que no significa que no puedan hacerse aportes en especie, sino que como mínimo debe realizarse un aporte en dinero del 30% del valor del convenio de asociación para que pueda aplicar la selección directa de la ESAL, siempre que no haya otra entidad privada sin ánimo de lucro que realice el mismo ofrecimiento.</w:t>
      </w:r>
    </w:p>
    <w:p w14:paraId="6C859E17" w14:textId="77777777" w:rsidR="00E62E55" w:rsidRPr="00E9090B" w:rsidRDefault="00E62E55" w:rsidP="00E62E55">
      <w:pPr>
        <w:spacing w:before="120" w:after="0" w:line="276" w:lineRule="auto"/>
        <w:ind w:firstLine="709"/>
        <w:jc w:val="both"/>
        <w:rPr>
          <w:rFonts w:ascii="Verdana" w:eastAsia="Calibri" w:hAnsi="Verdana" w:cs="Arial"/>
          <w:bCs/>
          <w:lang w:val="es-ES_tradnl"/>
        </w:rPr>
      </w:pPr>
      <w:r w:rsidRPr="00E9090B">
        <w:rPr>
          <w:rFonts w:ascii="Verdana" w:eastAsia="Calibri" w:hAnsi="Verdana" w:cs="Arial"/>
          <w:bCs/>
          <w:lang w:val="es-MX"/>
        </w:rPr>
        <w:t xml:space="preserve">Ahora bien, </w:t>
      </w:r>
      <w:r w:rsidRPr="00E9090B">
        <w:rPr>
          <w:rFonts w:ascii="Verdana" w:eastAsia="Calibri" w:hAnsi="Verdana" w:cs="Arial"/>
          <w:bCs/>
          <w:lang w:val="es-ES_tradnl"/>
        </w:rPr>
        <w:t>frente a la regulación sumaria de los contratos del artículo 355 de la Constitución y los convenios de asociación, los artículos 6, 7 y 8 del Decreto 092 de 2017 disponen:</w:t>
      </w:r>
    </w:p>
    <w:p w14:paraId="5D0EC826" w14:textId="77777777" w:rsidR="00E62E55" w:rsidRPr="00E9090B" w:rsidRDefault="00E62E55" w:rsidP="00E62E55">
      <w:pPr>
        <w:spacing w:after="0" w:line="276" w:lineRule="auto"/>
        <w:ind w:firstLine="709"/>
        <w:jc w:val="both"/>
        <w:rPr>
          <w:rFonts w:ascii="Verdana" w:eastAsia="Calibri" w:hAnsi="Verdana" w:cs="Arial"/>
          <w:bCs/>
          <w:lang w:val="es-ES_tradnl"/>
        </w:rPr>
      </w:pPr>
    </w:p>
    <w:p w14:paraId="1B2133F2" w14:textId="77777777" w:rsidR="00E62E55" w:rsidRPr="00E9090B" w:rsidRDefault="00E62E55" w:rsidP="00E62E55">
      <w:pPr>
        <w:spacing w:after="0" w:line="240" w:lineRule="auto"/>
        <w:ind w:left="709" w:right="709"/>
        <w:jc w:val="both"/>
        <w:rPr>
          <w:rFonts w:ascii="Verdana" w:eastAsia="Calibri" w:hAnsi="Verdana" w:cs="Arial"/>
          <w:sz w:val="21"/>
          <w:szCs w:val="21"/>
          <w:lang w:val="es-ES_tradnl"/>
        </w:rPr>
      </w:pPr>
      <w:r w:rsidRPr="00E9090B">
        <w:rPr>
          <w:rFonts w:ascii="Verdana" w:eastAsia="Calibri" w:hAnsi="Verdana" w:cs="Arial"/>
          <w:sz w:val="21"/>
          <w:szCs w:val="21"/>
          <w:lang w:val="es-ES_tradnl"/>
        </w:rPr>
        <w:t xml:space="preserve">“Artículo 6°. Prohibiciones, inhabilidades e incompatibilidades. Las prohibiciones, inhabilidades e incompatibilidades establecidas en la </w:t>
      </w:r>
      <w:r w:rsidRPr="00E9090B">
        <w:rPr>
          <w:rFonts w:ascii="Verdana" w:eastAsia="Calibri" w:hAnsi="Verdana" w:cs="Arial"/>
          <w:sz w:val="21"/>
          <w:szCs w:val="21"/>
          <w:lang w:val="es-ES_tradnl"/>
        </w:rPr>
        <w:lastRenderedPageBreak/>
        <w:t>Constitución y en las Leyes 80 de 1993, 1150 de 2007 y 1474 de 2011, y en las normas que las modifiquen, aclaren, adicionen o sustituyan, o en cualquier otra norma especial, son aplicables a la contratación a la que hace referencia el presente decreto.</w:t>
      </w:r>
    </w:p>
    <w:p w14:paraId="63D29218" w14:textId="77777777" w:rsidR="00E62E55" w:rsidRPr="00E9090B" w:rsidRDefault="00E62E55" w:rsidP="00E62E55">
      <w:pPr>
        <w:spacing w:after="0" w:line="240" w:lineRule="auto"/>
        <w:ind w:left="709" w:right="709"/>
        <w:jc w:val="both"/>
        <w:rPr>
          <w:rFonts w:ascii="Verdana" w:eastAsia="Calibri" w:hAnsi="Verdana" w:cs="Arial"/>
          <w:sz w:val="21"/>
          <w:szCs w:val="21"/>
          <w:lang w:val="es-ES_tradnl"/>
        </w:rPr>
      </w:pPr>
    </w:p>
    <w:p w14:paraId="203B91FD" w14:textId="77777777" w:rsidR="00E62E55" w:rsidRPr="00E9090B" w:rsidRDefault="00E62E55" w:rsidP="00E62E55">
      <w:pPr>
        <w:spacing w:after="0" w:line="240" w:lineRule="auto"/>
        <w:ind w:left="709" w:right="709"/>
        <w:jc w:val="both"/>
        <w:rPr>
          <w:rFonts w:ascii="Verdana" w:eastAsia="Calibri" w:hAnsi="Verdana" w:cs="Arial"/>
          <w:sz w:val="21"/>
          <w:szCs w:val="21"/>
          <w:lang w:val="es-ES_tradnl"/>
        </w:rPr>
      </w:pPr>
      <w:r w:rsidRPr="00E9090B">
        <w:rPr>
          <w:rFonts w:ascii="Verdana" w:eastAsia="Calibri" w:hAnsi="Verdana" w:cs="Arial"/>
          <w:sz w:val="21"/>
          <w:szCs w:val="21"/>
          <w:lang w:val="es-ES_tradnl"/>
        </w:rPr>
        <w:t>Artículo 7°. Aplicación de los principios de la contratación estatal. La contratación a la que hace referencia el presente decreto está sujeta a los principios de la contratación estatal y a las normas presupuestales aplicables […]</w:t>
      </w:r>
    </w:p>
    <w:p w14:paraId="285C66A3" w14:textId="77777777" w:rsidR="00E62E55" w:rsidRPr="00E9090B" w:rsidRDefault="00E62E55" w:rsidP="00E62E55">
      <w:pPr>
        <w:spacing w:after="0" w:line="240" w:lineRule="auto"/>
        <w:ind w:left="709" w:right="709"/>
        <w:jc w:val="both"/>
        <w:rPr>
          <w:rFonts w:ascii="Verdana" w:eastAsia="Calibri" w:hAnsi="Verdana" w:cs="Arial"/>
          <w:sz w:val="21"/>
          <w:szCs w:val="21"/>
          <w:lang w:val="es-ES_tradnl"/>
        </w:rPr>
      </w:pPr>
    </w:p>
    <w:p w14:paraId="7BDA38E1" w14:textId="77777777" w:rsidR="00E62E55" w:rsidRPr="00E9090B" w:rsidRDefault="00E62E55" w:rsidP="00E62E55">
      <w:pPr>
        <w:spacing w:after="0" w:line="240" w:lineRule="auto"/>
        <w:ind w:left="709" w:right="709"/>
        <w:jc w:val="both"/>
        <w:rPr>
          <w:rFonts w:ascii="Verdana" w:eastAsia="Calibri" w:hAnsi="Verdana" w:cs="Arial"/>
          <w:sz w:val="21"/>
          <w:szCs w:val="21"/>
          <w:lang w:val="es-ES_tradnl"/>
        </w:rPr>
      </w:pPr>
      <w:r w:rsidRPr="00E9090B">
        <w:rPr>
          <w:rFonts w:ascii="Verdana" w:eastAsia="Calibri" w:hAnsi="Verdana" w:cs="Arial"/>
          <w:sz w:val="21"/>
          <w:szCs w:val="21"/>
          <w:lang w:val="es-ES_tradnl"/>
        </w:rPr>
        <w:t xml:space="preserve">Artículo 8°. Aplicación de normas generales del sistema de contratación pública. La contratación a la que hace referencia el presente decreto está sujeta a las normas generales aplicables a la contratación pública excepto en lo reglamentado en el presente decreto”. </w:t>
      </w:r>
    </w:p>
    <w:p w14:paraId="7DC4FC62" w14:textId="77777777" w:rsidR="00E62E55" w:rsidRPr="00E9090B" w:rsidRDefault="00E62E55" w:rsidP="00E62E55">
      <w:pPr>
        <w:spacing w:after="0" w:line="276" w:lineRule="auto"/>
        <w:ind w:firstLine="709"/>
        <w:jc w:val="both"/>
        <w:rPr>
          <w:rFonts w:ascii="Arial" w:eastAsia="Calibri" w:hAnsi="Arial" w:cs="Arial"/>
          <w:bCs/>
          <w:lang w:val="es-MX"/>
        </w:rPr>
      </w:pPr>
    </w:p>
    <w:p w14:paraId="09132421" w14:textId="77777777" w:rsidR="00E62E55" w:rsidRPr="00E9090B" w:rsidRDefault="00E62E55" w:rsidP="00E62E55">
      <w:pPr>
        <w:spacing w:after="120" w:line="276" w:lineRule="auto"/>
        <w:ind w:firstLine="709"/>
        <w:jc w:val="both"/>
        <w:rPr>
          <w:rFonts w:ascii="Verdana" w:eastAsia="Calibri" w:hAnsi="Verdana" w:cs="Arial"/>
          <w:bCs/>
        </w:rPr>
      </w:pPr>
      <w:r w:rsidRPr="00E9090B">
        <w:rPr>
          <w:rFonts w:ascii="Verdana" w:eastAsia="Calibri" w:hAnsi="Verdana" w:cs="Arial"/>
          <w:bCs/>
        </w:rPr>
        <w:t xml:space="preserve">Estas normas integran las lagunas o vacíos normativos del reglamento autónomo, y se aplican a todo lo que no esté expresamente regulado en él. Por ello no es posible aplicar ninguna de las disposiciones anteriormente citadas en temas como la competencia para celebrar los contratos del artículo 355 de la Constitución y la </w:t>
      </w:r>
      <w:proofErr w:type="spellStart"/>
      <w:r w:rsidRPr="00E9090B">
        <w:rPr>
          <w:rFonts w:ascii="Verdana" w:eastAsia="Calibri" w:hAnsi="Verdana" w:cs="Arial"/>
          <w:bCs/>
        </w:rPr>
        <w:t>indelegabilidad</w:t>
      </w:r>
      <w:proofErr w:type="spellEnd"/>
      <w:r w:rsidRPr="00E9090B">
        <w:rPr>
          <w:rFonts w:ascii="Verdana" w:eastAsia="Calibri" w:hAnsi="Verdana" w:cs="Arial"/>
          <w:bCs/>
        </w:rPr>
        <w:t xml:space="preserve"> de la autorización –art. 2–, la idoneidad de las ESAL –art. 3–, su registro en el SECOP –art. 9– y la inaplicación del registro único de proponentes –art. 10–. </w:t>
      </w:r>
    </w:p>
    <w:p w14:paraId="3E5DC873" w14:textId="77777777" w:rsidR="00E62E55" w:rsidRPr="00E9090B" w:rsidRDefault="00E62E55" w:rsidP="00066823">
      <w:pPr>
        <w:spacing w:after="120" w:line="276" w:lineRule="auto"/>
        <w:ind w:firstLine="708"/>
        <w:jc w:val="both"/>
        <w:rPr>
          <w:rFonts w:ascii="Verdana" w:eastAsia="Calibri" w:hAnsi="Verdana" w:cs="Arial"/>
        </w:rPr>
      </w:pPr>
      <w:r w:rsidRPr="00E9090B">
        <w:rPr>
          <w:rFonts w:ascii="Verdana" w:eastAsia="Rockwell" w:hAnsi="Verdana" w:cs="Arial"/>
          <w:lang w:eastAsia="es-CO"/>
        </w:rPr>
        <w:t xml:space="preserve">Sobre la interpretación de estos artículos del </w:t>
      </w:r>
      <w:r w:rsidRPr="00E9090B">
        <w:rPr>
          <w:rFonts w:ascii="Verdana" w:eastAsia="Calibri" w:hAnsi="Verdana" w:cs="Arial"/>
        </w:rPr>
        <w:t xml:space="preserve">Decreto 092 de 2017, </w:t>
      </w:r>
      <w:r w:rsidRPr="00E9090B">
        <w:rPr>
          <w:rFonts w:ascii="Verdana" w:eastAsia="Rockwell" w:hAnsi="Verdana" w:cs="Arial"/>
          <w:lang w:eastAsia="es-CO"/>
        </w:rPr>
        <w:t>esta Agencia en el</w:t>
      </w:r>
      <w:r w:rsidRPr="00E9090B">
        <w:rPr>
          <w:rFonts w:ascii="Verdana" w:eastAsia="Calibri" w:hAnsi="Verdana" w:cs="Arial"/>
        </w:rPr>
        <w:t xml:space="preserve"> Concepto C-223 del 29 de abril de 2020 señaló que cuando el artículo 8 menciona a las “[…] normas generales aplicables a la contratación pública […]”, bien podrían referirse a las disposiciones comunes del Estatuto General –</w:t>
      </w:r>
      <w:r w:rsidRPr="00E9090B">
        <w:rPr>
          <w:rFonts w:ascii="Verdana" w:eastAsia="Calibri" w:hAnsi="Verdana" w:cs="Arial"/>
          <w:i/>
          <w:iCs/>
        </w:rPr>
        <w:t xml:space="preserve">remisión parcial </w:t>
      </w:r>
      <w:proofErr w:type="spellStart"/>
      <w:r w:rsidRPr="00E9090B">
        <w:rPr>
          <w:rFonts w:ascii="Verdana" w:eastAsia="Calibri" w:hAnsi="Verdana" w:cs="Arial"/>
          <w:i/>
          <w:iCs/>
        </w:rPr>
        <w:t>latu</w:t>
      </w:r>
      <w:proofErr w:type="spellEnd"/>
      <w:r w:rsidRPr="00E9090B">
        <w:rPr>
          <w:rFonts w:ascii="Verdana" w:eastAsia="Calibri" w:hAnsi="Verdana" w:cs="Arial"/>
          <w:i/>
          <w:iCs/>
        </w:rPr>
        <w:t xml:space="preserve"> sensu</w:t>
      </w:r>
      <w:r w:rsidRPr="00E9090B">
        <w:rPr>
          <w:rFonts w:ascii="Verdana" w:eastAsia="Calibri" w:hAnsi="Verdana" w:cs="Arial"/>
        </w:rPr>
        <w:t>– o a la totalidad de la Ley 80 de 1993 –</w:t>
      </w:r>
      <w:r w:rsidRPr="00E9090B">
        <w:rPr>
          <w:rFonts w:ascii="Verdana" w:eastAsia="Calibri" w:hAnsi="Verdana" w:cs="Arial"/>
          <w:i/>
          <w:iCs/>
        </w:rPr>
        <w:t>remisión integral</w:t>
      </w:r>
      <w:r w:rsidRPr="00E9090B">
        <w:rPr>
          <w:rFonts w:ascii="Verdana" w:eastAsia="Calibri" w:hAnsi="Verdana" w:cs="Arial"/>
        </w:rPr>
        <w:t xml:space="preserve">–. En esta medida, determinar el alcance de la remisión del artículo 8 del Decreto 092 requiere considerar que no hay lugar a distinguir entre normas de carácter general o especial dentro del Estatuto de Contratación de la Administración Pública, ya que de la competencia dispuesta en el inciso final del artículo 150 de la Constitución Política se desprende que todas estas disposiciones regulan con el mismo grado de generalidad la actividad contractual del Estado.     </w:t>
      </w:r>
    </w:p>
    <w:p w14:paraId="2EDFC20A" w14:textId="77777777" w:rsidR="00E62E55" w:rsidRPr="00E9090B" w:rsidRDefault="00E62E55" w:rsidP="00066823">
      <w:pPr>
        <w:spacing w:after="120" w:line="276" w:lineRule="auto"/>
        <w:ind w:firstLine="708"/>
        <w:jc w:val="both"/>
        <w:rPr>
          <w:rFonts w:ascii="Verdana" w:eastAsia="Calibri" w:hAnsi="Verdana" w:cs="Arial"/>
          <w:lang w:val="es-ES"/>
        </w:rPr>
      </w:pPr>
      <w:r w:rsidRPr="00E9090B">
        <w:rPr>
          <w:rFonts w:ascii="Verdana" w:eastAsia="Calibri" w:hAnsi="Verdana" w:cs="Arial"/>
          <w:lang w:val="es-ES"/>
        </w:rPr>
        <w:t xml:space="preserve">Por ello, considerando que la Ley 80 de 1993 tiene el mismo grado de generalidad, se concluyó que el artículo 8 del Decreto 092 de 2017 remite integralmente al Estatuto de Contratación. Esta remisión alcanza tanto el régimen de inhabilidades e incompatibilidades como los principios aplicables a la </w:t>
      </w:r>
      <w:r w:rsidRPr="00E9090B">
        <w:rPr>
          <w:rFonts w:ascii="Verdana" w:eastAsia="Calibri" w:hAnsi="Verdana" w:cs="Arial"/>
          <w:lang w:val="es-ES"/>
        </w:rPr>
        <w:lastRenderedPageBreak/>
        <w:t xml:space="preserve">contratación estatal. Por tanto, los artículos 6, 7 y 8 del reglamento autónomo deben interpretarse en bloque, es decir, aplicando la Ley 80 de 1993 a todo supuesto que no esté expresamente regulado en el Decreto 092 de 2017.  </w:t>
      </w:r>
    </w:p>
    <w:p w14:paraId="5923C070" w14:textId="77777777" w:rsidR="00E62E55" w:rsidRPr="00E9090B" w:rsidRDefault="00E62E55" w:rsidP="00066823">
      <w:pPr>
        <w:spacing w:after="120" w:line="276" w:lineRule="auto"/>
        <w:ind w:firstLine="708"/>
        <w:jc w:val="both"/>
        <w:rPr>
          <w:rFonts w:ascii="Verdana" w:eastAsia="Calibri" w:hAnsi="Verdana" w:cs="Arial"/>
          <w:lang w:val="es-ES"/>
        </w:rPr>
      </w:pPr>
      <w:r w:rsidRPr="00E9090B">
        <w:rPr>
          <w:rFonts w:ascii="Verdana" w:eastAsia="Calibri" w:hAnsi="Verdana" w:cs="Arial"/>
          <w:lang w:val="es-ES"/>
        </w:rPr>
        <w:t xml:space="preserve">En esta medida, los </w:t>
      </w:r>
      <w:r w:rsidRPr="00E9090B">
        <w:rPr>
          <w:rFonts w:ascii="Verdana" w:eastAsia="Calibri" w:hAnsi="Verdana" w:cs="Arial"/>
          <w:i/>
          <w:iCs/>
          <w:lang w:val="es-ES"/>
        </w:rPr>
        <w:t xml:space="preserve">contratos del artículo 355 de la Constitución </w:t>
      </w:r>
      <w:r w:rsidRPr="00E9090B">
        <w:rPr>
          <w:rFonts w:ascii="Verdana" w:eastAsia="Calibri" w:hAnsi="Verdana" w:cs="Arial"/>
          <w:lang w:val="es-ES"/>
        </w:rPr>
        <w:t xml:space="preserve">y los </w:t>
      </w:r>
      <w:r w:rsidRPr="00E9090B">
        <w:rPr>
          <w:rFonts w:ascii="Verdana" w:eastAsia="Calibri" w:hAnsi="Verdana" w:cs="Arial"/>
          <w:i/>
          <w:iCs/>
          <w:lang w:val="es-ES"/>
        </w:rPr>
        <w:t>convenios de asociación</w:t>
      </w:r>
      <w:r w:rsidRPr="00E9090B">
        <w:rPr>
          <w:rFonts w:ascii="Verdana" w:eastAsia="Calibri" w:hAnsi="Verdana" w:cs="Arial"/>
          <w:lang w:val="es-ES"/>
        </w:rPr>
        <w:t xml:space="preserve"> se rigen por el decreto y las normas del Estatuto General que sean compatibles con él, como, por ejemplo, los fines de la contratación –art. 3–, los derechos y deberes del contratante y del contratista –arts. 4 y 5–, los consorcios o uniones temporales –art. 7–, el régimen de inhabilidades e incompatibilidades –art. 8–, los principios de la contratación estatal –art. 23 y ss.–, las tipologías contractuales –art. 32–, el contenido del contrato, la prohibición de adicionarlo en más del cincuenta por ciento –art. 40–, el régimen de perfeccionamiento –art. 41–, las causales de nulidad –art. 44 y ss.–, el régimen de responsabilidad contractual –art. 50 y ss.– y de liquidación de los contratos –art. 60–. </w:t>
      </w:r>
    </w:p>
    <w:p w14:paraId="4B9A7B7A" w14:textId="77777777" w:rsidR="00E62E55" w:rsidRPr="00E9090B" w:rsidRDefault="00E62E55" w:rsidP="00066823">
      <w:pPr>
        <w:spacing w:after="120" w:line="276" w:lineRule="auto"/>
        <w:ind w:firstLine="708"/>
        <w:jc w:val="both"/>
        <w:rPr>
          <w:rFonts w:ascii="Verdana" w:eastAsia="Calibri" w:hAnsi="Verdana" w:cs="Arial"/>
          <w:lang w:val="es-ES"/>
        </w:rPr>
      </w:pPr>
      <w:r w:rsidRPr="00E9090B">
        <w:rPr>
          <w:rFonts w:ascii="Verdana" w:eastAsia="Calibri" w:hAnsi="Verdana" w:cs="Arial"/>
          <w:lang w:val="es-ES"/>
        </w:rPr>
        <w:t xml:space="preserve">Ahora bien, esta remisión del artículo 8 del Decreto 092 de 2017 no puede integrarse de plano con las normas del Estatuto General de Contratación de la Administración Pública, sin tener en cuenta las características y condiciones especiales de los diferentes tipos de convenios que se suscribe bajo el amparo del artículo 355 de la Constitución Política y cuya reglamentación está dispuesta en el Decreto 092 de 2017. </w:t>
      </w:r>
    </w:p>
    <w:p w14:paraId="007FDBA7" w14:textId="77777777" w:rsidR="00E62E55" w:rsidRPr="00E9090B" w:rsidRDefault="00E62E55" w:rsidP="00066823">
      <w:pPr>
        <w:tabs>
          <w:tab w:val="left" w:pos="284"/>
        </w:tabs>
        <w:spacing w:after="120" w:line="276" w:lineRule="auto"/>
        <w:jc w:val="both"/>
        <w:rPr>
          <w:rFonts w:ascii="Verdana" w:eastAsia="Arial" w:hAnsi="Verdana" w:cs="Arial"/>
          <w:lang w:eastAsia="es-ES" w:bidi="es-ES"/>
        </w:rPr>
      </w:pPr>
      <w:r w:rsidRPr="00E9090B">
        <w:rPr>
          <w:rFonts w:ascii="Verdana" w:eastAsia="Calibri" w:hAnsi="Verdana" w:cs="Arial"/>
          <w:lang w:val="es-ES_tradnl"/>
        </w:rPr>
        <w:tab/>
      </w:r>
      <w:r w:rsidRPr="00E9090B">
        <w:rPr>
          <w:rFonts w:ascii="Verdana" w:eastAsia="Calibri" w:hAnsi="Verdana" w:cs="Arial"/>
          <w:lang w:val="es-ES_tradnl"/>
        </w:rPr>
        <w:tab/>
        <w:t xml:space="preserve">En efecto, es necesario revisar si los anticipos o los pagos anticipados son procedentes en los convenios de asociación regulados en el artículo 5° del Decreto 092 de 2017, así como en los demás tipos de convenios. </w:t>
      </w:r>
      <w:r w:rsidRPr="00E9090B">
        <w:rPr>
          <w:rFonts w:ascii="Verdana" w:eastAsia="Arial" w:hAnsi="Verdana" w:cs="Arial"/>
          <w:lang w:eastAsia="es-ES" w:bidi="es-ES"/>
        </w:rPr>
        <w:t>En materia de contratación pública, el anticipo ha sido definido como “un recurso o suma correspondiente a un porcentaje del valor total del contrato, pactado como contraprestación, que la entidad pública le entrega al contratista para que sea invertida específicamente en la ejecución del contrato y sea manejada generalmente en cuenta separada, con imposición de obligaciones relacionadas con legalización y amortización de la inversión, de suerte que el monto entregado como anticipo no ingresa al patrimonio del contratista sino cuando ha sido debidamente amortizado”</w:t>
      </w:r>
      <w:r w:rsidRPr="00E9090B">
        <w:rPr>
          <w:rFonts w:ascii="Verdana" w:eastAsia="Arial" w:hAnsi="Verdana" w:cs="Arial"/>
          <w:vertAlign w:val="superscript"/>
          <w:lang w:eastAsia="es-ES" w:bidi="es-ES"/>
        </w:rPr>
        <w:footnoteReference w:id="19"/>
      </w:r>
      <w:r w:rsidRPr="00E9090B">
        <w:rPr>
          <w:rFonts w:ascii="Verdana" w:eastAsia="Arial" w:hAnsi="Verdana" w:cs="Arial"/>
          <w:lang w:eastAsia="es-ES" w:bidi="es-ES"/>
        </w:rPr>
        <w:t xml:space="preserve">. Esta institución es un mecanismo de apalancamiento financiero que implica un endeudamiento, que posibilita que la entidad contratante le entregue </w:t>
      </w:r>
      <w:r w:rsidRPr="00E9090B">
        <w:rPr>
          <w:rFonts w:ascii="Verdana" w:eastAsia="Arial" w:hAnsi="Verdana" w:cs="Arial"/>
          <w:i/>
          <w:lang w:eastAsia="es-ES" w:bidi="es-ES"/>
        </w:rPr>
        <w:t xml:space="preserve">ex ante </w:t>
      </w:r>
      <w:r w:rsidRPr="00E9090B">
        <w:rPr>
          <w:rFonts w:ascii="Verdana" w:eastAsia="Arial" w:hAnsi="Verdana" w:cs="Arial"/>
          <w:lang w:eastAsia="es-ES" w:bidi="es-ES"/>
        </w:rPr>
        <w:t xml:space="preserve">una suma de dinero al contratista, con </w:t>
      </w:r>
      <w:r w:rsidRPr="00E9090B">
        <w:rPr>
          <w:rFonts w:ascii="Verdana" w:eastAsia="Arial" w:hAnsi="Verdana" w:cs="Arial"/>
          <w:lang w:eastAsia="es-ES" w:bidi="es-ES"/>
        </w:rPr>
        <w:lastRenderedPageBreak/>
        <w:t xml:space="preserve">el propósito de iniciar la ejecución del proyecto, la cual es amortizada y debitada de la contraprestación pactada. Mientras el pago anticipado </w:t>
      </w:r>
      <w:r w:rsidRPr="00E9090B">
        <w:rPr>
          <w:rFonts w:ascii="Verdana" w:eastAsia="Arial" w:hAnsi="Verdana" w:cs="Arial"/>
          <w:lang w:val="es-ES" w:eastAsia="es-ES" w:bidi="es-ES"/>
        </w:rPr>
        <w:t>es un pago efectivo del precio que se efectúa y se causa en forma anticipada. Por tanto, los recursos se integran al patrimonio del contratista desde su desembolso.</w:t>
      </w:r>
      <w:r w:rsidRPr="00E9090B">
        <w:rPr>
          <w:rFonts w:ascii="Bookman Old Style" w:eastAsia="Calibri" w:hAnsi="Bookman Old Style" w:cs="Times New Roman"/>
          <w:sz w:val="20"/>
          <w:szCs w:val="20"/>
          <w:lang w:val="es-ES"/>
        </w:rPr>
        <w:t xml:space="preserve"> </w:t>
      </w:r>
    </w:p>
    <w:p w14:paraId="441A5176" w14:textId="77777777" w:rsidR="00E62E55" w:rsidRPr="00E9090B" w:rsidRDefault="00E62E55" w:rsidP="00066823">
      <w:pPr>
        <w:tabs>
          <w:tab w:val="left" w:pos="284"/>
        </w:tabs>
        <w:spacing w:after="120" w:line="276" w:lineRule="auto"/>
        <w:jc w:val="both"/>
        <w:rPr>
          <w:rFonts w:ascii="Verdana" w:eastAsia="Calibri" w:hAnsi="Verdana" w:cs="Arial"/>
          <w:bCs/>
        </w:rPr>
      </w:pPr>
      <w:r w:rsidRPr="00E9090B">
        <w:rPr>
          <w:rFonts w:ascii="Verdana" w:eastAsia="Arial" w:hAnsi="Verdana" w:cs="Arial"/>
          <w:lang w:eastAsia="es-ES" w:bidi="es-ES"/>
        </w:rPr>
        <w:tab/>
      </w:r>
      <w:r w:rsidRPr="00E9090B">
        <w:rPr>
          <w:rFonts w:ascii="Verdana" w:eastAsia="Arial" w:hAnsi="Verdana" w:cs="Arial"/>
          <w:lang w:eastAsia="es-ES" w:bidi="es-ES"/>
        </w:rPr>
        <w:tab/>
        <w:t xml:space="preserve">Conforme a lo expresado, el anticipo, al igual que el pago anticipado, son conceptos vinculados a la contraprestación que suelen recibir los contratistas en el marco de los contratos conmutativos que ejecutan como una manifestación de la actividad económica que ejercen. Esto significa que, en relaciones jurídico-negociales colaborativas como los convenios de asociación, así como los contratos de interés público o de colaboración y en los convenios solidarios, en las que se caractericen por no recibir </w:t>
      </w:r>
      <w:r w:rsidRPr="00E9090B">
        <w:rPr>
          <w:rFonts w:ascii="Verdana" w:eastAsia="Calibri" w:hAnsi="Verdana" w:cs="Arial"/>
          <w:bCs/>
        </w:rPr>
        <w:t xml:space="preserve">una contraprestación económica, no es aplicable la remisión integral al anticipo o pago anticipado. </w:t>
      </w:r>
    </w:p>
    <w:p w14:paraId="40B3F3C2" w14:textId="77777777" w:rsidR="00E62E55" w:rsidRPr="00E9090B" w:rsidRDefault="00E62E55" w:rsidP="00E62E55">
      <w:pPr>
        <w:shd w:val="clear" w:color="auto" w:fill="FFFFFF"/>
        <w:spacing w:after="120" w:line="276" w:lineRule="auto"/>
        <w:ind w:firstLine="709"/>
        <w:jc w:val="both"/>
        <w:textAlignment w:val="baseline"/>
        <w:rPr>
          <w:rFonts w:ascii="Verdana" w:eastAsia="Calibri" w:hAnsi="Verdana" w:cs="Arial"/>
          <w:bCs/>
          <w:lang w:val="es-ES_tradnl"/>
        </w:rPr>
      </w:pPr>
      <w:r w:rsidRPr="00E9090B">
        <w:rPr>
          <w:rFonts w:ascii="Verdana" w:eastAsia="Calibri" w:hAnsi="Verdana" w:cs="Arial"/>
          <w:bCs/>
        </w:rPr>
        <w:t xml:space="preserve">Según el marco jurídico aplicable del Decreto 092 de 2017, se prohíbe que de dichos convenios emanen intereses onerosos, o produzca obligaciones entre los extremos con equivalencia entre sí, como sucede con los contratos de obra o de suministro, </w:t>
      </w:r>
      <w:proofErr w:type="gramStart"/>
      <w:r w:rsidRPr="00E9090B">
        <w:rPr>
          <w:rFonts w:ascii="Verdana" w:eastAsia="Calibri" w:hAnsi="Verdana" w:cs="Arial"/>
          <w:bCs/>
        </w:rPr>
        <w:t>y</w:t>
      </w:r>
      <w:proofErr w:type="gramEnd"/>
      <w:r w:rsidRPr="00E9090B">
        <w:rPr>
          <w:rFonts w:ascii="Verdana" w:eastAsia="Calibri" w:hAnsi="Verdana" w:cs="Arial"/>
          <w:bCs/>
        </w:rPr>
        <w:t xml:space="preserve"> por tanto, no puede estipularse anticipos y pagos anticipados que por su naturaleza tienen un carácter prestacional. </w:t>
      </w:r>
      <w:r w:rsidRPr="00E9090B">
        <w:rPr>
          <w:rFonts w:ascii="Verdana" w:eastAsia="Calibri" w:hAnsi="Verdana" w:cs="Arial"/>
          <w:bCs/>
          <w:lang w:val="es-ES_tradnl"/>
        </w:rPr>
        <w:t xml:space="preserve">En línea con lo expuesto, resalta la exigencia de determinar con precisión las obligaciones de las partes y los aportes, por lo cual puede estipularse que una de las obligaciones a cargo de una de partes sea lo referente a las labores administrativas necesarias para el desarrollo del objeto del convenio. </w:t>
      </w:r>
    </w:p>
    <w:p w14:paraId="529B4140" w14:textId="77777777" w:rsidR="00E62E55" w:rsidRPr="00E9090B" w:rsidRDefault="00E62E55" w:rsidP="00E62E55">
      <w:pPr>
        <w:spacing w:after="120" w:line="276" w:lineRule="auto"/>
        <w:ind w:firstLine="709"/>
        <w:jc w:val="both"/>
        <w:rPr>
          <w:rFonts w:ascii="Verdana" w:eastAsia="Calibri" w:hAnsi="Verdana" w:cs="Arial"/>
          <w:bCs/>
          <w:lang w:val="es-ES_tradnl" w:bidi="es-ES"/>
        </w:rPr>
      </w:pPr>
      <w:r w:rsidRPr="00E9090B">
        <w:rPr>
          <w:rFonts w:ascii="Verdana" w:eastAsia="Calibri" w:hAnsi="Verdana" w:cs="Arial"/>
          <w:bCs/>
          <w:lang w:val="es-ES_tradnl" w:bidi="es-ES"/>
        </w:rPr>
        <w:t xml:space="preserve">Sin embargo, no implica que, en el marco de convenios de asociación, en los contratos de colaboración o de interés público, así como en los convenios solidarios las partes no puedan establecer cláusulas que garanticen el desembolso temprano de recursos, de manera que las entidades sin ánimo de lucro que actúan como ejecutoras, puedan contar con los recursos necesarios para comenzar el inicio de la ejecución de los proyectos a su cargo. Por tanto, se recomienda establecer giros vinculados a las fases del proyecto y el cronograma de ejecución, al igual que condiciones administrativas claras y concisas para los desembolsos, que faciliten el entendimiento entre partes del convenio. </w:t>
      </w:r>
      <w:r w:rsidRPr="00E9090B">
        <w:rPr>
          <w:rFonts w:ascii="Verdana" w:eastAsia="Calibri" w:hAnsi="Verdana" w:cs="Arial"/>
          <w:bCs/>
          <w:lang w:val="es-ES_tradnl"/>
        </w:rPr>
        <w:t>A modo de ejemplo, en el caso del documento tipo para convenios solidarios, se incluyó la “Cláusula 7 Giro de los recursos” que establece tres (3) opciones para que la Entidad Estatal decida el mecanismo que más se adecúe a la necesidad y características propias de cada convenio solidario que pretenda adelantar.</w:t>
      </w:r>
    </w:p>
    <w:p w14:paraId="2923240B" w14:textId="77777777" w:rsidR="00E62E55" w:rsidRPr="00E9090B" w:rsidRDefault="00E62E55" w:rsidP="00E62E55">
      <w:pPr>
        <w:spacing w:after="120" w:line="276" w:lineRule="auto"/>
        <w:ind w:firstLine="709"/>
        <w:jc w:val="both"/>
        <w:rPr>
          <w:rFonts w:ascii="Verdana" w:eastAsia="Arial" w:hAnsi="Verdana" w:cs="Arial"/>
          <w:lang w:val="es-ES" w:eastAsia="es-ES" w:bidi="es-ES"/>
        </w:rPr>
      </w:pPr>
      <w:r w:rsidRPr="00E9090B">
        <w:rPr>
          <w:rFonts w:ascii="Verdana" w:eastAsia="Calibri" w:hAnsi="Verdana" w:cs="Arial"/>
          <w:bCs/>
          <w:lang w:val="es-ES_tradnl"/>
        </w:rPr>
        <w:lastRenderedPageBreak/>
        <w:t xml:space="preserve">Conforme lo expuesto, dichas estipulaciones no deben entenderse como una contraprestación para algunas de las partes o no pueden destinarse a remunerar a la ESAL o a la entidad pública que participe del convenio. </w:t>
      </w:r>
      <w:r w:rsidRPr="00E9090B">
        <w:rPr>
          <w:rFonts w:ascii="Verdana" w:eastAsia="Calibri" w:hAnsi="Verdana" w:cs="Arial"/>
          <w:bCs/>
        </w:rPr>
        <w:t xml:space="preserve">De las precisiones se infiere, que en los convenios de asociación, no debe constituirse el amparo de </w:t>
      </w:r>
      <w:r w:rsidRPr="00E9090B">
        <w:rPr>
          <w:rFonts w:ascii="Verdana" w:eastAsia="Arial" w:hAnsi="Verdana" w:cs="Arial"/>
          <w:i/>
          <w:lang w:val="es-ES" w:eastAsia="es-ES" w:bidi="es-ES"/>
        </w:rPr>
        <w:t>buen manejo y correcta inversión del mismo</w:t>
      </w:r>
      <w:r w:rsidRPr="00E9090B">
        <w:rPr>
          <w:rFonts w:ascii="Verdana" w:eastAsia="Arial" w:hAnsi="Verdana" w:cs="Arial"/>
          <w:lang w:val="es-ES" w:eastAsia="es-ES" w:bidi="es-ES"/>
        </w:rPr>
        <w:t xml:space="preserve">, en la que debe ampararse los perjuicios que puede afectar a la entidad por: i) la no inversión, esto es, cuando el contratista pese a recibir los recursos no los invierte de acuerdo al plan de inversión del anticipo, pudiendo generar retrasos en la ejecución del contrato; </w:t>
      </w:r>
      <w:proofErr w:type="spellStart"/>
      <w:r w:rsidRPr="00E9090B">
        <w:rPr>
          <w:rFonts w:ascii="Verdana" w:eastAsia="Arial" w:hAnsi="Verdana" w:cs="Arial"/>
          <w:lang w:val="es-ES" w:eastAsia="es-ES" w:bidi="es-ES"/>
        </w:rPr>
        <w:t>ii</w:t>
      </w:r>
      <w:proofErr w:type="spellEnd"/>
      <w:r w:rsidRPr="00E9090B">
        <w:rPr>
          <w:rFonts w:ascii="Verdana" w:eastAsia="Arial" w:hAnsi="Verdana" w:cs="Arial"/>
          <w:lang w:val="es-ES" w:eastAsia="es-ES" w:bidi="es-ES"/>
        </w:rPr>
        <w:t xml:space="preserve">) el uso indebido del anticipo, por ejemplo, cuando el contratista emplea dichos recursos con una finalidad diferente a la estipulada, v. gr. para saldar deudas propias;; y </w:t>
      </w:r>
      <w:proofErr w:type="spellStart"/>
      <w:r w:rsidRPr="00E9090B">
        <w:rPr>
          <w:rFonts w:ascii="Verdana" w:eastAsia="Arial" w:hAnsi="Verdana" w:cs="Arial"/>
          <w:lang w:val="es-ES" w:eastAsia="es-ES" w:bidi="es-ES"/>
        </w:rPr>
        <w:t>iii</w:t>
      </w:r>
      <w:proofErr w:type="spellEnd"/>
      <w:r w:rsidRPr="00E9090B">
        <w:rPr>
          <w:rFonts w:ascii="Verdana" w:eastAsia="Arial" w:hAnsi="Verdana" w:cs="Arial"/>
          <w:lang w:val="es-ES" w:eastAsia="es-ES" w:bidi="es-ES"/>
        </w:rPr>
        <w:t xml:space="preserve">) por la apropiación indebida de dichos recursos -art.  2.2.1.2.3.1.7., numeral 1 del Decreto 1082 de 2015-. De igual forma, no es posible exigir el amparo de devolución del pago anticipado, que cubre los perjuicios sufridos por la entidad por la no devolución total o parcial del dinero que se entregó al contratista por pago anticipado -art. 2.2.1.2.3.1.7., numeral 2- del Decreto 1082 de 2015-. Sin embargo, esta precisión no implica que la entidad no exija en el respectivo convenio la exigencia de amparos que cubran los diferentes riesgos que se presenten por incumplimiento de las obligaciones, el pago de salarios y prestaciones sociales, entre otros. </w:t>
      </w:r>
    </w:p>
    <w:p w14:paraId="442A9423" w14:textId="77777777" w:rsidR="00E62E55" w:rsidRPr="00E9090B" w:rsidRDefault="00E62E55" w:rsidP="00066823">
      <w:pPr>
        <w:spacing w:after="0" w:line="276" w:lineRule="auto"/>
        <w:ind w:firstLine="709"/>
        <w:jc w:val="both"/>
        <w:rPr>
          <w:rFonts w:ascii="Verdana" w:eastAsia="Arial" w:hAnsi="Verdana" w:cs="Arial"/>
          <w:lang w:eastAsia="es-ES" w:bidi="es-ES"/>
        </w:rPr>
      </w:pPr>
      <w:r w:rsidRPr="00E9090B">
        <w:rPr>
          <w:rFonts w:ascii="Verdana" w:eastAsia="Arial" w:hAnsi="Verdana" w:cs="Arial"/>
          <w:bCs/>
          <w:lang w:val="es-ES_tradnl" w:eastAsia="es-ES" w:bidi="es-ES"/>
        </w:rPr>
        <w:t>En todo caso</w:t>
      </w:r>
      <w:r w:rsidRPr="00E9090B">
        <w:rPr>
          <w:rFonts w:ascii="Verdana" w:eastAsia="Arial" w:hAnsi="Verdana" w:cs="Arial"/>
          <w:lang w:eastAsia="es-ES" w:bidi="es-ES"/>
        </w:rPr>
        <w:t>, las entidades públicas definirán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que sea acorde con el principio de juridicidad, sin que sea atribución de esta Agencia validarla.</w:t>
      </w:r>
    </w:p>
    <w:p w14:paraId="5D148F97" w14:textId="77777777" w:rsidR="00E62E55" w:rsidRDefault="00E62E55" w:rsidP="00E62E55">
      <w:pPr>
        <w:spacing w:after="0" w:line="276" w:lineRule="auto"/>
        <w:jc w:val="both"/>
        <w:rPr>
          <w:rFonts w:ascii="Verdana" w:eastAsia="Calibri" w:hAnsi="Verdana" w:cs="Arial"/>
          <w:lang w:val="es-ES"/>
        </w:rPr>
      </w:pPr>
    </w:p>
    <w:p w14:paraId="78D577E2" w14:textId="77777777" w:rsidR="00E62E55" w:rsidRPr="00593A5F" w:rsidRDefault="00E62E55" w:rsidP="00E62E5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306505C0" w14:textId="77777777" w:rsidR="00E62E55" w:rsidRPr="00593A5F" w:rsidRDefault="00E62E55" w:rsidP="00E62E5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62E55" w:rsidRPr="0065682A" w14:paraId="74FA63B7" w14:textId="77777777" w:rsidTr="00BD39D6">
        <w:trPr>
          <w:trHeight w:val="870"/>
        </w:trPr>
        <w:tc>
          <w:tcPr>
            <w:tcW w:w="8647" w:type="dxa"/>
          </w:tcPr>
          <w:p w14:paraId="2E9A58EA" w14:textId="77777777" w:rsidR="00E62E55" w:rsidRPr="00542CA3" w:rsidRDefault="00E62E55" w:rsidP="00BD39D6">
            <w:pPr>
              <w:numPr>
                <w:ilvl w:val="0"/>
                <w:numId w:val="17"/>
              </w:numPr>
              <w:spacing w:line="276" w:lineRule="auto"/>
              <w:jc w:val="both"/>
              <w:rPr>
                <w:rFonts w:ascii="Verdana" w:eastAsia="Calibri" w:hAnsi="Verdana"/>
                <w:bCs/>
                <w:color w:val="000000"/>
                <w:lang w:val="es-ES_tradnl" w:eastAsia="es-ES_tradnl" w:bidi="es-ES"/>
              </w:rPr>
            </w:pPr>
            <w:r w:rsidRPr="00542CA3">
              <w:rPr>
                <w:rFonts w:ascii="Verdana" w:eastAsia="Calibri" w:hAnsi="Verdana"/>
                <w:bCs/>
                <w:color w:val="000000"/>
                <w:lang w:val="es-ES_tradnl" w:eastAsia="es-ES_tradnl" w:bidi="es-ES"/>
              </w:rPr>
              <w:t>Constitución política de Colombia 1991, artículo</w:t>
            </w:r>
            <w:r>
              <w:rPr>
                <w:rFonts w:ascii="Verdana" w:eastAsia="Calibri" w:hAnsi="Verdana"/>
                <w:bCs/>
                <w:color w:val="000000"/>
                <w:lang w:val="es-ES_tradnl" w:eastAsia="es-ES_tradnl" w:bidi="es-ES"/>
              </w:rPr>
              <w:t>s 38,</w:t>
            </w:r>
            <w:r w:rsidRPr="00542CA3">
              <w:rPr>
                <w:rFonts w:ascii="Verdana" w:eastAsia="Calibri" w:hAnsi="Verdana"/>
                <w:bCs/>
                <w:color w:val="000000"/>
                <w:lang w:val="es-ES_tradnl" w:eastAsia="es-ES_tradnl" w:bidi="es-ES"/>
              </w:rPr>
              <w:t xml:space="preserve"> 209 y 355</w:t>
            </w:r>
          </w:p>
          <w:p w14:paraId="0704D2C7" w14:textId="77777777" w:rsidR="00714781" w:rsidRPr="00052119" w:rsidRDefault="00714781" w:rsidP="00714781">
            <w:pPr>
              <w:pStyle w:val="Prrafodelista"/>
              <w:widowControl w:val="0"/>
              <w:numPr>
                <w:ilvl w:val="0"/>
                <w:numId w:val="17"/>
              </w:numPr>
              <w:autoSpaceDE w:val="0"/>
              <w:autoSpaceDN w:val="0"/>
              <w:spacing w:line="276" w:lineRule="auto"/>
              <w:contextualSpacing w:val="0"/>
              <w:jc w:val="both"/>
              <w:rPr>
                <w:rFonts w:ascii="Verdana" w:hAnsi="Verdana" w:cs="Arial"/>
              </w:rPr>
            </w:pPr>
            <w:r w:rsidRPr="00052119">
              <w:rPr>
                <w:rFonts w:ascii="Verdana" w:hAnsi="Verdana" w:cs="Arial"/>
              </w:rPr>
              <w:t>Ley 136 de 1994, artículo 3.</w:t>
            </w:r>
          </w:p>
          <w:p w14:paraId="2CC1003E" w14:textId="77777777" w:rsidR="00714781" w:rsidRPr="00052119" w:rsidRDefault="00714781" w:rsidP="00714781">
            <w:pPr>
              <w:numPr>
                <w:ilvl w:val="0"/>
                <w:numId w:val="17"/>
              </w:numPr>
              <w:spacing w:line="276" w:lineRule="auto"/>
              <w:jc w:val="both"/>
              <w:rPr>
                <w:rFonts w:ascii="Verdana" w:eastAsia="Calibri" w:hAnsi="Verdana"/>
                <w:bCs/>
                <w:color w:val="000000"/>
                <w:lang w:val="es-ES_tradnl" w:eastAsia="es-ES_tradnl" w:bidi="es-ES"/>
              </w:rPr>
            </w:pPr>
            <w:r w:rsidRPr="00052119">
              <w:rPr>
                <w:rFonts w:ascii="Verdana" w:eastAsia="Calibri" w:hAnsi="Verdana"/>
                <w:bCs/>
                <w:color w:val="000000"/>
                <w:lang w:val="es-ES_tradnl" w:eastAsia="es-ES_tradnl" w:bidi="es-ES"/>
              </w:rPr>
              <w:t>Ley 489 de 1998, artículo 96.</w:t>
            </w:r>
          </w:p>
          <w:p w14:paraId="03331754" w14:textId="77777777" w:rsidR="00714781" w:rsidRPr="00052119" w:rsidRDefault="00714781" w:rsidP="00714781">
            <w:pPr>
              <w:pStyle w:val="Prrafodelista"/>
              <w:widowControl w:val="0"/>
              <w:numPr>
                <w:ilvl w:val="0"/>
                <w:numId w:val="17"/>
              </w:numPr>
              <w:autoSpaceDE w:val="0"/>
              <w:autoSpaceDN w:val="0"/>
              <w:spacing w:line="276" w:lineRule="auto"/>
              <w:contextualSpacing w:val="0"/>
              <w:jc w:val="both"/>
              <w:rPr>
                <w:rFonts w:ascii="Verdana" w:hAnsi="Verdana" w:cs="Arial"/>
              </w:rPr>
            </w:pPr>
            <w:r w:rsidRPr="00052119">
              <w:rPr>
                <w:rFonts w:ascii="Verdana" w:hAnsi="Verdana" w:cs="ArialMT"/>
                <w:bCs/>
                <w14:ligatures w14:val="standardContextual"/>
              </w:rPr>
              <w:t>Ley 789 de 2002, artículo 50.</w:t>
            </w:r>
          </w:p>
          <w:p w14:paraId="7251CB64" w14:textId="63542362" w:rsidR="00E62E55" w:rsidRDefault="00E62E55" w:rsidP="00BD39D6">
            <w:pPr>
              <w:numPr>
                <w:ilvl w:val="0"/>
                <w:numId w:val="17"/>
              </w:numPr>
              <w:spacing w:line="276" w:lineRule="auto"/>
              <w:jc w:val="both"/>
              <w:rPr>
                <w:rFonts w:ascii="Verdana" w:eastAsia="Calibri" w:hAnsi="Verdana"/>
                <w:bCs/>
                <w:color w:val="000000"/>
                <w:lang w:val="es-ES_tradnl" w:eastAsia="es-ES_tradnl" w:bidi="es-ES"/>
              </w:rPr>
            </w:pPr>
            <w:r w:rsidRPr="00896CCA">
              <w:rPr>
                <w:rFonts w:ascii="Verdana" w:hAnsi="Verdana"/>
              </w:rPr>
              <w:t>Ley 996 de 2005</w:t>
            </w:r>
            <w:r>
              <w:rPr>
                <w:rFonts w:ascii="Verdana" w:hAnsi="Verdana"/>
              </w:rPr>
              <w:t>, artículo 38</w:t>
            </w:r>
          </w:p>
          <w:p w14:paraId="2790023F" w14:textId="77777777" w:rsidR="00E62E55" w:rsidRDefault="00E62E55" w:rsidP="00BD39D6">
            <w:pPr>
              <w:pStyle w:val="Prrafodelista"/>
              <w:widowControl w:val="0"/>
              <w:numPr>
                <w:ilvl w:val="0"/>
                <w:numId w:val="17"/>
              </w:numPr>
              <w:autoSpaceDE w:val="0"/>
              <w:autoSpaceDN w:val="0"/>
              <w:spacing w:line="276" w:lineRule="auto"/>
              <w:contextualSpacing w:val="0"/>
              <w:jc w:val="both"/>
              <w:rPr>
                <w:rFonts w:ascii="Verdana" w:hAnsi="Verdana" w:cs="Arial"/>
              </w:rPr>
            </w:pPr>
            <w:r w:rsidRPr="00B00396">
              <w:rPr>
                <w:rFonts w:ascii="Verdana" w:hAnsi="Verdana" w:cs="Arial"/>
              </w:rPr>
              <w:t xml:space="preserve">Ley 2022 de 2020, artículo 1. </w:t>
            </w:r>
          </w:p>
          <w:p w14:paraId="5AB2E840" w14:textId="77777777" w:rsidR="00E62E55" w:rsidRDefault="00E62E55" w:rsidP="00BD39D6">
            <w:pPr>
              <w:pStyle w:val="Prrafodelista"/>
              <w:widowControl w:val="0"/>
              <w:numPr>
                <w:ilvl w:val="0"/>
                <w:numId w:val="17"/>
              </w:numPr>
              <w:autoSpaceDE w:val="0"/>
              <w:autoSpaceDN w:val="0"/>
              <w:spacing w:line="276" w:lineRule="auto"/>
              <w:contextualSpacing w:val="0"/>
              <w:jc w:val="both"/>
              <w:rPr>
                <w:rFonts w:ascii="Verdana" w:hAnsi="Verdana" w:cs="Arial"/>
              </w:rPr>
            </w:pPr>
            <w:r w:rsidRPr="00D71195">
              <w:rPr>
                <w:rFonts w:ascii="Verdana" w:hAnsi="Verdana"/>
              </w:rPr>
              <w:t>Ley 2294 de 2023</w:t>
            </w:r>
            <w:r>
              <w:rPr>
                <w:rFonts w:ascii="Verdana" w:hAnsi="Verdana"/>
              </w:rPr>
              <w:t>, articulo 7</w:t>
            </w:r>
          </w:p>
          <w:p w14:paraId="1C84D663" w14:textId="77777777" w:rsidR="00E62E55" w:rsidRDefault="00E62E55" w:rsidP="00BD39D6">
            <w:pPr>
              <w:pStyle w:val="Prrafodelista"/>
              <w:widowControl w:val="0"/>
              <w:numPr>
                <w:ilvl w:val="0"/>
                <w:numId w:val="17"/>
              </w:numPr>
              <w:autoSpaceDE w:val="0"/>
              <w:autoSpaceDN w:val="0"/>
              <w:spacing w:line="276" w:lineRule="auto"/>
              <w:contextualSpacing w:val="0"/>
              <w:jc w:val="both"/>
              <w:rPr>
                <w:rFonts w:ascii="Verdana" w:hAnsi="Verdana" w:cs="Arial"/>
              </w:rPr>
            </w:pPr>
            <w:r w:rsidRPr="00B00396">
              <w:rPr>
                <w:rFonts w:ascii="Verdana" w:hAnsi="Verdana" w:cs="Arial"/>
              </w:rPr>
              <w:t>Ley 2166 de 2021, artículo</w:t>
            </w:r>
            <w:r>
              <w:rPr>
                <w:rFonts w:ascii="Verdana" w:hAnsi="Verdana" w:cs="Arial"/>
              </w:rPr>
              <w:t>s 63 y</w:t>
            </w:r>
            <w:r w:rsidRPr="00B00396">
              <w:rPr>
                <w:rFonts w:ascii="Verdana" w:hAnsi="Verdana" w:cs="Arial"/>
              </w:rPr>
              <w:t xml:space="preserve"> 95.</w:t>
            </w:r>
          </w:p>
          <w:p w14:paraId="2F64962F" w14:textId="77777777" w:rsidR="00E62E55" w:rsidRPr="000805A9" w:rsidRDefault="00E62E55" w:rsidP="00BD39D6">
            <w:pPr>
              <w:pStyle w:val="Prrafodelista"/>
              <w:widowControl w:val="0"/>
              <w:numPr>
                <w:ilvl w:val="0"/>
                <w:numId w:val="17"/>
              </w:numPr>
              <w:autoSpaceDE w:val="0"/>
              <w:autoSpaceDN w:val="0"/>
              <w:spacing w:line="276" w:lineRule="auto"/>
              <w:contextualSpacing w:val="0"/>
              <w:jc w:val="both"/>
              <w:rPr>
                <w:rFonts w:ascii="Verdana" w:eastAsia="Calibri" w:hAnsi="Verdana"/>
                <w:bCs/>
                <w:color w:val="000000"/>
                <w:lang w:val="es-ES_tradnl" w:eastAsia="es-ES_tradnl" w:bidi="es-ES"/>
              </w:rPr>
            </w:pPr>
            <w:r w:rsidRPr="000805A9">
              <w:rPr>
                <w:rFonts w:ascii="Verdana" w:hAnsi="Verdana" w:cs="Arial"/>
              </w:rPr>
              <w:lastRenderedPageBreak/>
              <w:t>Ley 2294 del 2023, artículo 372</w:t>
            </w:r>
            <w:r w:rsidRPr="00B00396">
              <w:rPr>
                <w:rFonts w:ascii="Verdana" w:hAnsi="Verdana" w:cs="Arial"/>
              </w:rPr>
              <w:t>.</w:t>
            </w:r>
          </w:p>
          <w:p w14:paraId="40E25055" w14:textId="77777777" w:rsidR="00E62E55" w:rsidRPr="004836A5" w:rsidRDefault="00E62E55" w:rsidP="00BD39D6">
            <w:pPr>
              <w:pStyle w:val="Prrafodelista"/>
              <w:widowControl w:val="0"/>
              <w:numPr>
                <w:ilvl w:val="0"/>
                <w:numId w:val="17"/>
              </w:numPr>
              <w:autoSpaceDE w:val="0"/>
              <w:autoSpaceDN w:val="0"/>
              <w:spacing w:line="276" w:lineRule="auto"/>
              <w:contextualSpacing w:val="0"/>
              <w:jc w:val="both"/>
              <w:rPr>
                <w:rFonts w:ascii="Verdana" w:eastAsia="Calibri" w:hAnsi="Verdana"/>
                <w:bCs/>
                <w:color w:val="000000"/>
                <w:lang w:val="es-ES_tradnl" w:eastAsia="es-ES_tradnl" w:bidi="es-ES"/>
              </w:rPr>
            </w:pPr>
            <w:r w:rsidRPr="004836A5">
              <w:rPr>
                <w:rFonts w:ascii="Verdana" w:eastAsia="Calibri" w:hAnsi="Verdana"/>
                <w:bCs/>
                <w:color w:val="000000"/>
                <w:lang w:val="es-ES_tradnl" w:eastAsia="es-ES_tradnl" w:bidi="es-ES"/>
              </w:rPr>
              <w:t>Decreto 092 de 2017.</w:t>
            </w:r>
          </w:p>
          <w:p w14:paraId="45309CC1" w14:textId="77777777" w:rsidR="00E62E55" w:rsidRPr="00445C26" w:rsidRDefault="00E62E55" w:rsidP="00066823">
            <w:pPr>
              <w:pStyle w:val="Prrafodelista"/>
              <w:widowControl w:val="0"/>
              <w:numPr>
                <w:ilvl w:val="0"/>
                <w:numId w:val="17"/>
              </w:numPr>
              <w:autoSpaceDE w:val="0"/>
              <w:autoSpaceDN w:val="0"/>
              <w:spacing w:line="276" w:lineRule="auto"/>
              <w:contextualSpacing w:val="0"/>
              <w:jc w:val="both"/>
              <w:rPr>
                <w:rFonts w:ascii="Verdana" w:hAnsi="Verdana" w:cs="Arial"/>
              </w:rPr>
            </w:pPr>
            <w:r w:rsidRPr="004836A5">
              <w:rPr>
                <w:rFonts w:ascii="Verdana" w:hAnsi="Verdana" w:cs="Arial"/>
              </w:rPr>
              <w:t>Consejo de Estado. Sala de Consulta y Servicio Civil. Concepto del 15 de noviembre de 2007. Expediente número 1863. Consejero Ponente: Luis Fernando Álvarez Jaramillo.</w:t>
            </w:r>
          </w:p>
        </w:tc>
      </w:tr>
    </w:tbl>
    <w:p w14:paraId="44D047E2" w14:textId="77777777" w:rsidR="00E62E55" w:rsidRPr="00EA7EA8" w:rsidRDefault="00E62E55" w:rsidP="00E62E55">
      <w:pPr>
        <w:widowControl w:val="0"/>
        <w:autoSpaceDE w:val="0"/>
        <w:autoSpaceDN w:val="0"/>
        <w:spacing w:after="0" w:line="276" w:lineRule="auto"/>
        <w:jc w:val="both"/>
        <w:rPr>
          <w:rFonts w:ascii="Verdana" w:hAnsi="Verdana" w:cs="Arial"/>
        </w:rPr>
      </w:pPr>
    </w:p>
    <w:p w14:paraId="0562923B" w14:textId="77777777" w:rsidR="00E62E55" w:rsidRPr="00EA7EA8" w:rsidRDefault="00E62E55" w:rsidP="00E62E5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A7EA8">
        <w:rPr>
          <w:rFonts w:ascii="Verdana" w:eastAsia="Century Gothic" w:hAnsi="Verdana" w:cs="Century Gothic"/>
          <w:b/>
          <w:bCs/>
        </w:rPr>
        <w:t>Doctrina de la Agencia Nacional de Contratación Pública:</w:t>
      </w:r>
    </w:p>
    <w:p w14:paraId="31908ED7" w14:textId="77777777" w:rsidR="00E62E55" w:rsidRPr="00EA7EA8" w:rsidRDefault="00E62E55" w:rsidP="00E62E55">
      <w:pPr>
        <w:widowControl w:val="0"/>
        <w:autoSpaceDE w:val="0"/>
        <w:autoSpaceDN w:val="0"/>
        <w:spacing w:after="0" w:line="276" w:lineRule="auto"/>
        <w:jc w:val="both"/>
        <w:rPr>
          <w:rFonts w:ascii="Verdana" w:hAnsi="Verdana" w:cs="Arial"/>
        </w:rPr>
      </w:pPr>
    </w:p>
    <w:p w14:paraId="11C4AACB" w14:textId="77777777" w:rsidR="00E62E55" w:rsidRPr="00E9090B" w:rsidRDefault="00E62E55" w:rsidP="00E62E55">
      <w:pPr>
        <w:widowControl w:val="0"/>
        <w:autoSpaceDE w:val="0"/>
        <w:autoSpaceDN w:val="0"/>
        <w:spacing w:after="0" w:line="276" w:lineRule="auto"/>
        <w:jc w:val="both"/>
        <w:rPr>
          <w:rFonts w:ascii="Verdana" w:hAnsi="Verdana" w:cs="Arial"/>
          <w:bCs/>
          <w:shd w:val="clear" w:color="auto" w:fill="FFFFFF"/>
        </w:rPr>
      </w:pPr>
      <w:r w:rsidRPr="00E9090B">
        <w:rPr>
          <w:rFonts w:ascii="Verdana" w:hAnsi="Verdana" w:cs="Arial"/>
          <w:bCs/>
          <w:shd w:val="clear" w:color="auto" w:fill="FFFFFF"/>
        </w:rPr>
        <w:t xml:space="preserve">La Agencia Nacional de Contratación Pública – Colombia Compra Eficiente, se ha pronunciado en diferentes conceptos en torno a los anticipos y los pagos anticipados en los convenios que se enmarcan en el artículo 355 de la Constitución Política: C-037 del 5 de abril de 2023, C-197 del 28 de marzo de 2025, C-341 del 27 de agosto de 2024, entre otros. Con el fin de unificar la línea, se expide este Concepto, en la que precisa que el anticipo, al igual que el pago anticipado, son conceptos vinculados a la contraprestación que suelen recibir los contratistas en el marco de los contratos conmutativos que ejecutan como una manifestación de la actividad económica que ejercen. Esto significa que, en relaciones jurídico-negociales colaborativas como los convenios de asociación, así como los contratos de interés público o de colaboración y en los convenios solidarios, en las que se caractericen por no recibir una contraprestación económica, no es aplicable la remisión integral al anticipo o pago anticipado. Por tanto, no es procedente los amparos de buen manejo y correcta inversión del anticipo o devolución del pago anticipado.  </w:t>
      </w:r>
    </w:p>
    <w:p w14:paraId="44EFB28E" w14:textId="77777777" w:rsidR="005F0B1C" w:rsidRDefault="005F0B1C" w:rsidP="00714781">
      <w:pPr>
        <w:widowControl w:val="0"/>
        <w:autoSpaceDE w:val="0"/>
        <w:autoSpaceDN w:val="0"/>
        <w:spacing w:after="0" w:line="276" w:lineRule="auto"/>
        <w:jc w:val="both"/>
        <w:rPr>
          <w:rFonts w:ascii="Verdana" w:hAnsi="Verdana" w:cs="Arial"/>
          <w:bCs/>
          <w:shd w:val="clear" w:color="auto" w:fill="FFFFFF"/>
        </w:rPr>
      </w:pPr>
    </w:p>
    <w:p w14:paraId="2C981A7C" w14:textId="77777777" w:rsidR="004264D1" w:rsidRPr="00BA4B56" w:rsidRDefault="005F0B1C" w:rsidP="004264D1">
      <w:pPr>
        <w:widowControl w:val="0"/>
        <w:autoSpaceDE w:val="0"/>
        <w:autoSpaceDN w:val="0"/>
        <w:spacing w:after="0" w:line="276" w:lineRule="auto"/>
        <w:jc w:val="both"/>
        <w:rPr>
          <w:rFonts w:ascii="Verdana" w:hAnsi="Verdana" w:cs="Arial"/>
          <w:color w:val="000000" w:themeColor="text1"/>
          <w:shd w:val="clear" w:color="auto" w:fill="FFFFFF"/>
          <w:lang w:val="es-ES"/>
        </w:rPr>
      </w:pPr>
      <w:r w:rsidRPr="00BA4B56">
        <w:rPr>
          <w:rFonts w:ascii="Verdana" w:hAnsi="Verdana" w:cs="Arial"/>
          <w:shd w:val="clear" w:color="auto" w:fill="FFFFFF"/>
        </w:rPr>
        <w:t xml:space="preserve">Sobre la finalidad y propósito de la Ley de Garantías Electorales, la ANCP- CCE se ha pronunciado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C-163 del 29 de marzo </w:t>
      </w:r>
      <w:r w:rsidRPr="00BA4B56">
        <w:rPr>
          <w:rFonts w:ascii="Verdana" w:hAnsi="Verdana" w:cs="Arial"/>
          <w:shd w:val="clear" w:color="auto" w:fill="FFFFFF"/>
        </w:rPr>
        <w:lastRenderedPageBreak/>
        <w:t xml:space="preserve">de 2022, C-180 del 21 de marzo de 2025, C-317 del 25 de abril de 2025, C-510 del 4 de junio de 2025, C -635 del 27 de junio de 2025 y C–750 de 17 de julio 2025, </w:t>
      </w:r>
      <w:r w:rsidRPr="00BA4B56">
        <w:rPr>
          <w:rFonts w:ascii="Verdana" w:eastAsia="Aptos" w:hAnsi="Verdana" w:cs="Arial"/>
          <w:shd w:val="clear" w:color="auto" w:fill="FFFFFF"/>
          <w:lang w:val="es-ES"/>
        </w:rPr>
        <w:t>entre otros.</w:t>
      </w:r>
      <w:r w:rsidR="004264D1">
        <w:rPr>
          <w:rFonts w:ascii="Verdana" w:eastAsia="Aptos" w:hAnsi="Verdana" w:cs="Arial"/>
          <w:shd w:val="clear" w:color="auto" w:fill="FFFFFF"/>
          <w:lang w:val="es-ES"/>
        </w:rPr>
        <w:t xml:space="preserve"> </w:t>
      </w:r>
      <w:r w:rsidR="004264D1" w:rsidRPr="00BA4B56">
        <w:rPr>
          <w:rFonts w:ascii="Verdana" w:eastAsia="Calibri" w:hAnsi="Verdana" w:cs="Arial"/>
          <w:lang w:val="es-ES" w:eastAsia="es-ES_tradnl"/>
        </w:rPr>
        <w:t>Estos</w:t>
      </w:r>
      <w:r w:rsidR="004264D1" w:rsidRPr="00BA4B56">
        <w:rPr>
          <w:rFonts w:ascii="Verdana" w:hAnsi="Verdana"/>
        </w:rPr>
        <w:t xml:space="preserve"> y otros conceptos se encuentran disponibles para consulta en el Sistema de relatoría de la Agencia, al cual se puede acceder a través del siguiente enlace:</w:t>
      </w:r>
      <w:r w:rsidR="004264D1" w:rsidRPr="00BA4B56">
        <w:rPr>
          <w:rFonts w:ascii="Verdana" w:hAnsi="Verdana" w:cs="Arial"/>
          <w:shd w:val="clear" w:color="auto" w:fill="FFFFFF"/>
          <w:lang w:val="es-ES"/>
        </w:rPr>
        <w:t xml:space="preserve"> </w:t>
      </w:r>
      <w:r w:rsidR="004264D1" w:rsidRPr="00BA4B56">
        <w:rPr>
          <w:rFonts w:ascii="Verdana" w:hAnsi="Verdana" w:cs="Arial"/>
          <w:color w:val="0563C1" w:themeColor="hyperlink"/>
          <w:u w:val="single"/>
          <w:shd w:val="clear" w:color="auto" w:fill="FFFFFF"/>
          <w:lang w:val="es-ES"/>
        </w:rPr>
        <w:t>https://relatoria.colombiacompra.gov.co /</w:t>
      </w:r>
      <w:proofErr w:type="spellStart"/>
      <w:r w:rsidR="004264D1" w:rsidRPr="00BA4B56">
        <w:rPr>
          <w:rFonts w:ascii="Verdana" w:hAnsi="Verdana" w:cs="Arial"/>
          <w:color w:val="0563C1" w:themeColor="hyperlink"/>
          <w:u w:val="single"/>
          <w:shd w:val="clear" w:color="auto" w:fill="FFFFFF"/>
          <w:lang w:val="es-ES"/>
        </w:rPr>
        <w:t>busqueda</w:t>
      </w:r>
      <w:proofErr w:type="spellEnd"/>
      <w:r w:rsidR="004264D1" w:rsidRPr="00BA4B56">
        <w:rPr>
          <w:rFonts w:ascii="Verdana" w:hAnsi="Verdana" w:cs="Arial"/>
          <w:color w:val="0563C1" w:themeColor="hyperlink"/>
          <w:u w:val="single"/>
          <w:shd w:val="clear" w:color="auto" w:fill="FFFFFF"/>
          <w:lang w:val="es-ES"/>
        </w:rPr>
        <w:t>/conceptos</w:t>
      </w:r>
    </w:p>
    <w:p w14:paraId="40D8FBAC" w14:textId="77777777" w:rsidR="00E62E55" w:rsidRDefault="00E62E55" w:rsidP="00E62E55">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5F3BCBBA" w14:textId="77777777" w:rsidR="00E62E55" w:rsidRPr="001B29FE" w:rsidRDefault="00E62E55" w:rsidP="00E62E55">
      <w:pPr>
        <w:widowControl w:val="0"/>
        <w:autoSpaceDE w:val="0"/>
        <w:autoSpaceDN w:val="0"/>
        <w:spacing w:after="0" w:line="276" w:lineRule="auto"/>
        <w:jc w:val="both"/>
        <w:rPr>
          <w:rFonts w:ascii="Verdana" w:hAnsi="Verdana"/>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1"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rsidRPr="001B29FE">
        <w:rPr>
          <w:rFonts w:ascii="Verdana" w:hAnsi="Verdana"/>
        </w:rPr>
        <w:t>.</w:t>
      </w:r>
    </w:p>
    <w:p w14:paraId="14037B09" w14:textId="77777777" w:rsidR="00E62E55" w:rsidRPr="001B29FE" w:rsidRDefault="00E62E55" w:rsidP="00E62E55">
      <w:pPr>
        <w:widowControl w:val="0"/>
        <w:autoSpaceDE w:val="0"/>
        <w:autoSpaceDN w:val="0"/>
        <w:spacing w:after="0" w:line="276" w:lineRule="auto"/>
        <w:jc w:val="both"/>
        <w:rPr>
          <w:rFonts w:ascii="Verdana" w:hAnsi="Verdana"/>
        </w:rPr>
      </w:pPr>
    </w:p>
    <w:p w14:paraId="6493C14A" w14:textId="77777777" w:rsidR="00E62E55" w:rsidRPr="00505CD6" w:rsidRDefault="00E62E55" w:rsidP="00E62E55">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136B167E" w14:textId="77777777" w:rsidR="00E62E55" w:rsidRPr="00505CD6" w:rsidRDefault="00E62E55" w:rsidP="00E62E55">
      <w:pPr>
        <w:widowControl w:val="0"/>
        <w:autoSpaceDE w:val="0"/>
        <w:autoSpaceDN w:val="0"/>
        <w:spacing w:after="0" w:line="276" w:lineRule="auto"/>
        <w:jc w:val="both"/>
        <w:rPr>
          <w:rFonts w:ascii="Verdana" w:hAnsi="Verdana" w:cs="Arial"/>
        </w:rPr>
      </w:pPr>
    </w:p>
    <w:p w14:paraId="0E4A94C0" w14:textId="77777777" w:rsidR="00E62E55" w:rsidRDefault="00E62E55" w:rsidP="00E62E55">
      <w:pPr>
        <w:spacing w:after="0" w:line="276" w:lineRule="auto"/>
        <w:jc w:val="both"/>
        <w:rPr>
          <w:rFonts w:ascii="Verdana" w:hAnsi="Verdana"/>
          <w:noProof/>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5E394D55" w14:textId="08D236D8" w:rsidR="00E62E55" w:rsidRPr="00AC6E46" w:rsidRDefault="008C0736" w:rsidP="00E62E55">
      <w:pPr>
        <w:spacing w:line="276" w:lineRule="auto"/>
        <w:jc w:val="center"/>
        <w:rPr>
          <w:rFonts w:ascii="Verdana" w:hAnsi="Verdana"/>
          <w:noProof/>
        </w:rPr>
      </w:pPr>
      <w:r>
        <w:rPr>
          <w:rFonts w:ascii="Verdana" w:hAnsi="Verdana"/>
          <w:noProof/>
        </w:rPr>
        <w:drawing>
          <wp:inline distT="0" distB="0" distL="0" distR="0" wp14:anchorId="038EAFA6" wp14:editId="588D846B">
            <wp:extent cx="3639058" cy="1343212"/>
            <wp:effectExtent l="0" t="0" r="0" b="0"/>
            <wp:docPr id="78883919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839194" name="Imagen 1"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62E55" w:rsidRPr="00593A5F" w14:paraId="5A068162" w14:textId="77777777" w:rsidTr="00BD39D6">
        <w:trPr>
          <w:trHeight w:val="315"/>
        </w:trPr>
        <w:tc>
          <w:tcPr>
            <w:tcW w:w="893" w:type="dxa"/>
            <w:vAlign w:val="center"/>
            <w:hideMark/>
          </w:tcPr>
          <w:p w14:paraId="5758AFF0" w14:textId="77777777" w:rsidR="00E62E55" w:rsidRPr="003751C7" w:rsidRDefault="00E62E55" w:rsidP="00BD39D6">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0625FE9" w14:textId="77777777" w:rsidR="00E62E55" w:rsidRPr="007911EE" w:rsidRDefault="00E62E55" w:rsidP="00BD39D6">
            <w:pPr>
              <w:contextualSpacing/>
              <w:rPr>
                <w:rFonts w:ascii="Verdana" w:hAnsi="Verdana"/>
                <w:sz w:val="16"/>
                <w:szCs w:val="16"/>
              </w:rPr>
            </w:pPr>
            <w:r>
              <w:rPr>
                <w:rFonts w:ascii="Verdana" w:hAnsi="Verdana"/>
                <w:sz w:val="16"/>
                <w:szCs w:val="16"/>
              </w:rPr>
              <w:t>Gloria Elizabeth Arango Builes</w:t>
            </w:r>
          </w:p>
          <w:p w14:paraId="59061954" w14:textId="77777777" w:rsidR="00E62E55" w:rsidRPr="007911EE" w:rsidRDefault="00E62E55" w:rsidP="00BD39D6">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E62E55" w:rsidRPr="00593A5F" w14:paraId="3A1E5B5E" w14:textId="77777777" w:rsidTr="00BD39D6">
        <w:trPr>
          <w:trHeight w:val="330"/>
        </w:trPr>
        <w:tc>
          <w:tcPr>
            <w:tcW w:w="893" w:type="dxa"/>
            <w:vAlign w:val="center"/>
            <w:hideMark/>
          </w:tcPr>
          <w:p w14:paraId="469E7AF9" w14:textId="77777777" w:rsidR="00E62E55" w:rsidRPr="003751C7" w:rsidRDefault="00E62E55" w:rsidP="00BD39D6">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8E06B4A" w14:textId="77777777" w:rsidR="00E62E55" w:rsidRDefault="00E62E55" w:rsidP="00BD39D6">
            <w:pPr>
              <w:spacing w:line="276" w:lineRule="auto"/>
              <w:contextualSpacing/>
              <w:jc w:val="both"/>
              <w:rPr>
                <w:rFonts w:ascii="Verdana" w:hAnsi="Verdana"/>
                <w:sz w:val="16"/>
                <w:szCs w:val="16"/>
              </w:rPr>
            </w:pPr>
            <w:r>
              <w:rPr>
                <w:rFonts w:ascii="Verdana" w:hAnsi="Verdana"/>
                <w:sz w:val="16"/>
                <w:szCs w:val="16"/>
              </w:rPr>
              <w:t>Diana Lucía Saavedra Castañeda</w:t>
            </w:r>
          </w:p>
          <w:p w14:paraId="6480BEA3" w14:textId="77777777" w:rsidR="00E62E55" w:rsidRPr="007911EE" w:rsidRDefault="00E62E55" w:rsidP="00BD39D6">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E62E55" w:rsidRPr="00593A5F" w14:paraId="2ED2889B" w14:textId="77777777" w:rsidTr="00BD39D6">
        <w:trPr>
          <w:trHeight w:val="330"/>
        </w:trPr>
        <w:tc>
          <w:tcPr>
            <w:tcW w:w="893" w:type="dxa"/>
            <w:vAlign w:val="center"/>
          </w:tcPr>
          <w:p w14:paraId="39A3EB0F" w14:textId="77777777" w:rsidR="00E62E55" w:rsidRPr="003751C7" w:rsidRDefault="00E62E55" w:rsidP="00BD39D6">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07D63FB" w14:textId="77777777" w:rsidR="00E62E55" w:rsidRPr="00EB1CF7" w:rsidRDefault="00E62E55" w:rsidP="00BD39D6">
            <w:pPr>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Carolina Quintero </w:t>
            </w:r>
            <w:proofErr w:type="spellStart"/>
            <w:r>
              <w:rPr>
                <w:rFonts w:ascii="Verdana" w:eastAsia="Calibri" w:hAnsi="Verdana" w:cs="Arial"/>
                <w:sz w:val="16"/>
                <w:szCs w:val="16"/>
                <w:lang w:val="pt-BR" w:eastAsia="es-ES"/>
              </w:rPr>
              <w:t>Gacharná</w:t>
            </w:r>
            <w:proofErr w:type="spellEnd"/>
          </w:p>
          <w:p w14:paraId="4571839A" w14:textId="77777777" w:rsidR="00E62E55" w:rsidRDefault="00E62E55" w:rsidP="00BD39D6">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Contratual</w:t>
            </w:r>
            <w:r>
              <w:rPr>
                <w:rFonts w:ascii="Verdana" w:eastAsia="Calibri" w:hAnsi="Verdana" w:cs="Arial"/>
                <w:sz w:val="16"/>
                <w:szCs w:val="16"/>
                <w:lang w:val="pt-BR" w:eastAsia="es-ES"/>
              </w:rPr>
              <w:t xml:space="preserve"> -</w:t>
            </w:r>
            <w:r w:rsidRPr="00EB1CF7">
              <w:rPr>
                <w:rFonts w:ascii="Verdana" w:eastAsia="Calibri" w:hAnsi="Verdana" w:cs="Arial"/>
                <w:sz w:val="16"/>
                <w:szCs w:val="16"/>
                <w:lang w:val="pt-BR" w:eastAsia="es-ES"/>
              </w:rPr>
              <w:t xml:space="preserve"> ANCP – CCE</w:t>
            </w:r>
          </w:p>
        </w:tc>
      </w:tr>
    </w:tbl>
    <w:p w14:paraId="5DCF7E18" w14:textId="77777777" w:rsidR="00E62E55" w:rsidRPr="00EA6F8B" w:rsidRDefault="00E62E55" w:rsidP="00E62E55"/>
    <w:p w14:paraId="7C254C1C" w14:textId="77777777" w:rsidR="00E62E55" w:rsidRPr="00EA7EA8" w:rsidRDefault="00E62E55" w:rsidP="00E62E55"/>
    <w:sectPr w:rsidR="00E62E55" w:rsidRPr="00EA7EA8" w:rsidSect="007C0C0F">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F5D82" w14:textId="77777777" w:rsidR="001C2C56" w:rsidRDefault="001C2C56" w:rsidP="004A1847">
      <w:pPr>
        <w:spacing w:after="0" w:line="240" w:lineRule="auto"/>
      </w:pPr>
      <w:r>
        <w:separator/>
      </w:r>
    </w:p>
  </w:endnote>
  <w:endnote w:type="continuationSeparator" w:id="0">
    <w:p w14:paraId="176AE8A3" w14:textId="77777777" w:rsidR="001C2C56" w:rsidRDefault="001C2C56" w:rsidP="004A1847">
      <w:pPr>
        <w:spacing w:after="0" w:line="240" w:lineRule="auto"/>
      </w:pPr>
      <w:r>
        <w:continuationSeparator/>
      </w:r>
    </w:p>
  </w:endnote>
  <w:endnote w:type="continuationNotice" w:id="1">
    <w:p w14:paraId="6265826E" w14:textId="77777777" w:rsidR="001C2C56" w:rsidRDefault="001C2C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Rockwell">
    <w:panose1 w:val="02060603020205020403"/>
    <w:charset w:val="00"/>
    <w:family w:val="roman"/>
    <w:pitch w:val="variable"/>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BF90A" w14:textId="77777777" w:rsidR="001C2C56" w:rsidRDefault="001C2C56" w:rsidP="004A1847">
      <w:pPr>
        <w:spacing w:after="0" w:line="240" w:lineRule="auto"/>
      </w:pPr>
      <w:r>
        <w:separator/>
      </w:r>
    </w:p>
  </w:footnote>
  <w:footnote w:type="continuationSeparator" w:id="0">
    <w:p w14:paraId="52654A17" w14:textId="77777777" w:rsidR="001C2C56" w:rsidRDefault="001C2C56" w:rsidP="004A1847">
      <w:pPr>
        <w:spacing w:after="0" w:line="240" w:lineRule="auto"/>
      </w:pPr>
      <w:r>
        <w:continuationSeparator/>
      </w:r>
    </w:p>
  </w:footnote>
  <w:footnote w:type="continuationNotice" w:id="1">
    <w:p w14:paraId="0A292913" w14:textId="77777777" w:rsidR="001C2C56" w:rsidRDefault="001C2C56">
      <w:pPr>
        <w:spacing w:after="0" w:line="240" w:lineRule="auto"/>
      </w:pPr>
    </w:p>
  </w:footnote>
  <w:footnote w:id="2">
    <w:p w14:paraId="4FD8AF73" w14:textId="77777777" w:rsidR="00663874" w:rsidRPr="00066823" w:rsidRDefault="00663874" w:rsidP="00663874">
      <w:pPr>
        <w:pStyle w:val="Textonotapie"/>
        <w:ind w:firstLine="709"/>
        <w:jc w:val="both"/>
        <w:rPr>
          <w:rFonts w:ascii="Verdana" w:hAnsi="Verdana" w:cs="Arial"/>
          <w:sz w:val="14"/>
          <w:szCs w:val="14"/>
        </w:rPr>
      </w:pPr>
      <w:r w:rsidRPr="00066823">
        <w:rPr>
          <w:rStyle w:val="Refdenotaalpie"/>
          <w:rFonts w:ascii="Verdana" w:hAnsi="Verdana" w:cs="Arial"/>
          <w:sz w:val="14"/>
          <w:szCs w:val="14"/>
        </w:rPr>
        <w:footnoteRef/>
      </w:r>
      <w:r w:rsidRPr="00066823">
        <w:rPr>
          <w:rFonts w:ascii="Verdana" w:hAnsi="Verdana" w:cs="Arial"/>
          <w:sz w:val="14"/>
          <w:szCs w:val="14"/>
        </w:rPr>
        <w:t xml:space="preserve"> Consejo de Estado. Sala de Consulta y Servicio Civil. Concepto de 20 de febrero de2006. Radicación 11001-03-06-000-2006-00023-00(1724). Consejero Ponente: Flavio Augusto Rodríguez Arce.</w:t>
      </w:r>
    </w:p>
    <w:p w14:paraId="46CF9F40" w14:textId="77777777" w:rsidR="00663874" w:rsidRPr="00066823" w:rsidRDefault="00663874" w:rsidP="00663874">
      <w:pPr>
        <w:pStyle w:val="Textonotapie"/>
        <w:ind w:firstLine="709"/>
        <w:jc w:val="both"/>
        <w:rPr>
          <w:rFonts w:ascii="Verdana" w:hAnsi="Verdana" w:cs="Arial"/>
          <w:sz w:val="14"/>
          <w:szCs w:val="14"/>
        </w:rPr>
      </w:pPr>
    </w:p>
  </w:footnote>
  <w:footnote w:id="3">
    <w:p w14:paraId="261D373D" w14:textId="77777777" w:rsidR="00663874" w:rsidRPr="00066823" w:rsidRDefault="00663874" w:rsidP="00663874">
      <w:pPr>
        <w:spacing w:after="0" w:line="240" w:lineRule="auto"/>
        <w:ind w:firstLine="709"/>
        <w:jc w:val="both"/>
        <w:rPr>
          <w:rFonts w:ascii="Verdana" w:hAnsi="Verdana" w:cs="Arial"/>
          <w:sz w:val="14"/>
          <w:szCs w:val="14"/>
        </w:rPr>
      </w:pPr>
      <w:r w:rsidRPr="00066823">
        <w:rPr>
          <w:rStyle w:val="Refdenotaalpie"/>
          <w:rFonts w:ascii="Verdana" w:hAnsi="Verdana" w:cs="Arial"/>
          <w:sz w:val="14"/>
          <w:szCs w:val="14"/>
        </w:rPr>
        <w:footnoteRef/>
      </w:r>
      <w:r w:rsidRPr="00066823">
        <w:rPr>
          <w:rFonts w:ascii="Verdana" w:hAnsi="Verdana" w:cs="Arial"/>
          <w:sz w:val="14"/>
          <w:szCs w:val="14"/>
        </w:rPr>
        <w:t xml:space="preserve"> Decreto 1082 de 2015: “Artículo 2.2.1.2.1.4.4. Convenios o contratos interadministrativos. La modalidad de selección para la contratación entre Entidades Estatales es la contratación directa; </w:t>
      </w:r>
      <w:proofErr w:type="gramStart"/>
      <w:r w:rsidRPr="00066823">
        <w:rPr>
          <w:rFonts w:ascii="Verdana" w:hAnsi="Verdana" w:cs="Arial"/>
          <w:sz w:val="14"/>
          <w:szCs w:val="14"/>
        </w:rPr>
        <w:t>y</w:t>
      </w:r>
      <w:proofErr w:type="gramEnd"/>
      <w:r w:rsidRPr="00066823">
        <w:rPr>
          <w:rFonts w:ascii="Verdana" w:hAnsi="Verdana" w:cs="Arial"/>
          <w:sz w:val="14"/>
          <w:szCs w:val="14"/>
        </w:rPr>
        <w:t xml:space="preserve"> en consecuencia, le es aplicable lo establecido en el artículo 2.2.1.2.1.4.1 del presente decreto.</w:t>
      </w:r>
    </w:p>
    <w:p w14:paraId="49DCE298" w14:textId="77777777" w:rsidR="00663874" w:rsidRPr="00066823" w:rsidRDefault="00663874" w:rsidP="00663874">
      <w:pPr>
        <w:spacing w:after="0" w:line="240" w:lineRule="auto"/>
        <w:ind w:firstLine="709"/>
        <w:jc w:val="both"/>
        <w:rPr>
          <w:rFonts w:ascii="Verdana" w:hAnsi="Verdana" w:cs="Arial"/>
          <w:sz w:val="14"/>
          <w:szCs w:val="14"/>
        </w:rPr>
      </w:pPr>
      <w:r w:rsidRPr="00066823">
        <w:rPr>
          <w:rFonts w:ascii="Verdana" w:hAnsi="Verdana" w:cs="Arial"/>
          <w:sz w:val="14"/>
          <w:szCs w:val="14"/>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066823">
        <w:rPr>
          <w:rFonts w:ascii="Verdana" w:hAnsi="Verdana" w:cs="Arial"/>
          <w:spacing w:val="-1"/>
          <w:sz w:val="14"/>
          <w:szCs w:val="14"/>
        </w:rPr>
        <w:t xml:space="preserve"> </w:t>
      </w:r>
      <w:r w:rsidRPr="00066823">
        <w:rPr>
          <w:rFonts w:ascii="Verdana" w:hAnsi="Verdana" w:cs="Arial"/>
          <w:sz w:val="14"/>
          <w:szCs w:val="14"/>
        </w:rPr>
        <w:t>Estatales”.</w:t>
      </w:r>
    </w:p>
    <w:p w14:paraId="39EDCD57" w14:textId="77777777" w:rsidR="00663874" w:rsidRPr="00066823" w:rsidRDefault="00663874" w:rsidP="00663874">
      <w:pPr>
        <w:spacing w:after="0" w:line="240" w:lineRule="auto"/>
        <w:ind w:firstLine="709"/>
        <w:jc w:val="both"/>
        <w:rPr>
          <w:rFonts w:ascii="Verdana" w:hAnsi="Verdana" w:cs="Arial"/>
          <w:sz w:val="14"/>
          <w:szCs w:val="14"/>
        </w:rPr>
      </w:pPr>
    </w:p>
  </w:footnote>
  <w:footnote w:id="4">
    <w:p w14:paraId="627D7DE4" w14:textId="77777777" w:rsidR="00E62E55" w:rsidRPr="00066823" w:rsidRDefault="00E62E55" w:rsidP="00066823">
      <w:pPr>
        <w:pStyle w:val="Textonotapie"/>
        <w:ind w:firstLine="709"/>
        <w:jc w:val="both"/>
        <w:rPr>
          <w:rFonts w:ascii="Verdana" w:hAnsi="Verdana" w:cs="Arial"/>
          <w:sz w:val="14"/>
          <w:szCs w:val="14"/>
        </w:rPr>
      </w:pPr>
      <w:r w:rsidRPr="00066823">
        <w:rPr>
          <w:rStyle w:val="Refdenotaalpie"/>
          <w:rFonts w:ascii="Verdana" w:hAnsi="Verdana" w:cs="Arial"/>
          <w:sz w:val="14"/>
          <w:szCs w:val="14"/>
        </w:rPr>
        <w:footnoteRef/>
      </w:r>
      <w:r w:rsidRPr="00066823">
        <w:rPr>
          <w:rFonts w:ascii="Verdana" w:hAnsi="Verdana" w:cs="Arial"/>
          <w:sz w:val="14"/>
          <w:szCs w:val="14"/>
        </w:rPr>
        <w:t xml:space="preserve"> Consejo de Estado. Sala de Consulta y Servicio Civil. Concepto de 20 de febrero de2006. Radicación 11001-03-06-000-2006-00023-00(1724). Consejero Ponente: Flavio Augusto Rodríguez Arce.</w:t>
      </w:r>
    </w:p>
    <w:p w14:paraId="035381FA" w14:textId="77777777" w:rsidR="00E62E55" w:rsidRPr="00066823" w:rsidRDefault="00E62E55" w:rsidP="00066823">
      <w:pPr>
        <w:pStyle w:val="Textonotapie"/>
        <w:ind w:firstLine="709"/>
        <w:jc w:val="both"/>
        <w:rPr>
          <w:rFonts w:ascii="Verdana" w:hAnsi="Verdana" w:cs="Arial"/>
          <w:sz w:val="14"/>
          <w:szCs w:val="14"/>
        </w:rPr>
      </w:pPr>
    </w:p>
  </w:footnote>
  <w:footnote w:id="5">
    <w:p w14:paraId="35AE07BF" w14:textId="77777777" w:rsidR="00E62E55" w:rsidRPr="00066823" w:rsidRDefault="00E62E55" w:rsidP="00066823">
      <w:pPr>
        <w:spacing w:after="0" w:line="240" w:lineRule="auto"/>
        <w:ind w:firstLine="709"/>
        <w:jc w:val="both"/>
        <w:rPr>
          <w:rFonts w:ascii="Verdana" w:hAnsi="Verdana" w:cs="Arial"/>
          <w:sz w:val="14"/>
          <w:szCs w:val="14"/>
        </w:rPr>
      </w:pPr>
      <w:r w:rsidRPr="00066823">
        <w:rPr>
          <w:rStyle w:val="Refdenotaalpie"/>
          <w:rFonts w:ascii="Verdana" w:hAnsi="Verdana" w:cs="Arial"/>
          <w:sz w:val="14"/>
          <w:szCs w:val="14"/>
        </w:rPr>
        <w:footnoteRef/>
      </w:r>
      <w:r w:rsidRPr="00066823">
        <w:rPr>
          <w:rFonts w:ascii="Verdana" w:hAnsi="Verdana" w:cs="Arial"/>
          <w:sz w:val="14"/>
          <w:szCs w:val="14"/>
        </w:rPr>
        <w:t xml:space="preserve"> Decreto 1082 de 2015: “Artículo 2.2.1.2.1.4.4. Convenios o contratos interadministrativos. La modalidad de selección para la contratación entre Entidades Estatales es la contratación directa; </w:t>
      </w:r>
      <w:proofErr w:type="gramStart"/>
      <w:r w:rsidRPr="00066823">
        <w:rPr>
          <w:rFonts w:ascii="Verdana" w:hAnsi="Verdana" w:cs="Arial"/>
          <w:sz w:val="14"/>
          <w:szCs w:val="14"/>
        </w:rPr>
        <w:t>y</w:t>
      </w:r>
      <w:proofErr w:type="gramEnd"/>
      <w:r w:rsidRPr="00066823">
        <w:rPr>
          <w:rFonts w:ascii="Verdana" w:hAnsi="Verdana" w:cs="Arial"/>
          <w:sz w:val="14"/>
          <w:szCs w:val="14"/>
        </w:rPr>
        <w:t xml:space="preserve"> en consecuencia, le es aplicable lo establecido en el artículo 2.2.1.2.1.4.1 del presente decreto.</w:t>
      </w:r>
    </w:p>
    <w:p w14:paraId="706BFF81" w14:textId="77777777" w:rsidR="00E62E55" w:rsidRPr="00066823" w:rsidRDefault="00E62E55" w:rsidP="00066823">
      <w:pPr>
        <w:spacing w:after="0" w:line="240" w:lineRule="auto"/>
        <w:ind w:firstLine="709"/>
        <w:jc w:val="both"/>
        <w:rPr>
          <w:rFonts w:ascii="Verdana" w:hAnsi="Verdana" w:cs="Arial"/>
          <w:sz w:val="14"/>
          <w:szCs w:val="14"/>
        </w:rPr>
      </w:pPr>
      <w:r w:rsidRPr="00066823">
        <w:rPr>
          <w:rFonts w:ascii="Verdana" w:hAnsi="Verdana" w:cs="Arial"/>
          <w:sz w:val="14"/>
          <w:szCs w:val="14"/>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066823">
        <w:rPr>
          <w:rFonts w:ascii="Verdana" w:hAnsi="Verdana" w:cs="Arial"/>
          <w:spacing w:val="-1"/>
          <w:sz w:val="14"/>
          <w:szCs w:val="14"/>
        </w:rPr>
        <w:t xml:space="preserve"> </w:t>
      </w:r>
      <w:r w:rsidRPr="00066823">
        <w:rPr>
          <w:rFonts w:ascii="Verdana" w:hAnsi="Verdana" w:cs="Arial"/>
          <w:sz w:val="14"/>
          <w:szCs w:val="14"/>
        </w:rPr>
        <w:t>Estatales”.</w:t>
      </w:r>
    </w:p>
    <w:p w14:paraId="7A35F5E4" w14:textId="77777777" w:rsidR="00E62E55" w:rsidRPr="00066823" w:rsidRDefault="00E62E55" w:rsidP="00066823">
      <w:pPr>
        <w:spacing w:after="0" w:line="240" w:lineRule="auto"/>
        <w:ind w:firstLine="709"/>
        <w:jc w:val="both"/>
        <w:rPr>
          <w:rFonts w:ascii="Verdana" w:hAnsi="Verdana" w:cs="Arial"/>
          <w:sz w:val="14"/>
          <w:szCs w:val="14"/>
        </w:rPr>
      </w:pPr>
    </w:p>
  </w:footnote>
  <w:footnote w:id="6">
    <w:p w14:paraId="032719C1" w14:textId="77777777" w:rsidR="00E62E55" w:rsidRPr="00066823" w:rsidRDefault="00E62E55" w:rsidP="00066823">
      <w:pPr>
        <w:spacing w:after="0" w:line="240" w:lineRule="auto"/>
        <w:ind w:firstLine="709"/>
        <w:jc w:val="both"/>
        <w:rPr>
          <w:rFonts w:ascii="Verdana" w:hAnsi="Verdana" w:cs="Arial"/>
          <w:sz w:val="14"/>
          <w:szCs w:val="14"/>
        </w:rPr>
      </w:pPr>
      <w:r w:rsidRPr="00066823">
        <w:rPr>
          <w:rStyle w:val="Refdenotaalpie"/>
          <w:rFonts w:ascii="Verdana" w:hAnsi="Verdana" w:cs="Arial"/>
          <w:sz w:val="14"/>
          <w:szCs w:val="14"/>
        </w:rPr>
        <w:footnoteRef/>
      </w:r>
      <w:r w:rsidRPr="00066823">
        <w:rPr>
          <w:rFonts w:ascii="Verdana" w:hAnsi="Verdana" w:cs="Arial"/>
          <w:sz w:val="14"/>
          <w:szCs w:val="14"/>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066823">
        <w:rPr>
          <w:rFonts w:ascii="Verdana" w:hAnsi="Verdana" w:cs="Arial"/>
          <w:spacing w:val="-6"/>
          <w:sz w:val="14"/>
          <w:szCs w:val="14"/>
        </w:rPr>
        <w:t xml:space="preserve"> </w:t>
      </w:r>
      <w:r w:rsidRPr="00066823">
        <w:rPr>
          <w:rFonts w:ascii="Verdana" w:hAnsi="Verdana" w:cs="Arial"/>
          <w:sz w:val="14"/>
          <w:szCs w:val="14"/>
        </w:rPr>
        <w:t>artículo”.</w:t>
      </w:r>
    </w:p>
    <w:p w14:paraId="0E13A036" w14:textId="77777777" w:rsidR="00E62E55" w:rsidRPr="00066823" w:rsidRDefault="00E62E55" w:rsidP="00066823">
      <w:pPr>
        <w:spacing w:after="0" w:line="240" w:lineRule="auto"/>
        <w:ind w:firstLine="709"/>
        <w:jc w:val="both"/>
        <w:rPr>
          <w:rFonts w:ascii="Verdana" w:hAnsi="Verdana" w:cs="Arial"/>
          <w:sz w:val="14"/>
          <w:szCs w:val="14"/>
        </w:rPr>
      </w:pPr>
    </w:p>
  </w:footnote>
  <w:footnote w:id="7">
    <w:p w14:paraId="45FFA71E" w14:textId="77777777" w:rsidR="00E62E55" w:rsidRPr="00066823" w:rsidRDefault="00E62E55" w:rsidP="00066823">
      <w:pPr>
        <w:pStyle w:val="Textonotapie"/>
        <w:ind w:firstLine="709"/>
        <w:jc w:val="both"/>
        <w:rPr>
          <w:rFonts w:ascii="Verdana" w:hAnsi="Verdana" w:cs="Arial"/>
          <w:sz w:val="14"/>
          <w:szCs w:val="14"/>
        </w:rPr>
      </w:pPr>
      <w:r w:rsidRPr="00066823">
        <w:rPr>
          <w:rStyle w:val="Refdenotaalpie"/>
          <w:rFonts w:ascii="Verdana" w:hAnsi="Verdana" w:cs="Arial"/>
          <w:sz w:val="14"/>
          <w:szCs w:val="14"/>
        </w:rPr>
        <w:footnoteRef/>
      </w:r>
      <w:r w:rsidRPr="00066823">
        <w:rPr>
          <w:rFonts w:ascii="Verdana" w:hAnsi="Verdana" w:cs="Arial"/>
          <w:sz w:val="14"/>
          <w:szCs w:val="14"/>
        </w:rPr>
        <w:t xml:space="preserve"> Lo anterior, salvo que se traten de organismos internacionales que se rijan por normas internacionales y se financien con cargo a recursos de esos organismos (Cfr. Colombia Compra Eficiente. Concepto C-559 del 31 de agosto de 2021). </w:t>
      </w:r>
    </w:p>
    <w:p w14:paraId="7BBB0070" w14:textId="77777777" w:rsidR="00E62E55" w:rsidRPr="00066823" w:rsidRDefault="00E62E55" w:rsidP="00066823">
      <w:pPr>
        <w:pStyle w:val="Textonotapie"/>
        <w:ind w:firstLine="709"/>
        <w:jc w:val="both"/>
        <w:rPr>
          <w:rFonts w:ascii="Verdana" w:hAnsi="Verdana" w:cs="Arial"/>
          <w:sz w:val="14"/>
          <w:szCs w:val="14"/>
        </w:rPr>
      </w:pPr>
    </w:p>
  </w:footnote>
  <w:footnote w:id="8">
    <w:p w14:paraId="7676E720" w14:textId="77777777" w:rsidR="00720C6C" w:rsidRPr="00066823" w:rsidRDefault="00720C6C" w:rsidP="00E138D7">
      <w:pPr>
        <w:pStyle w:val="Textonotapie"/>
        <w:ind w:firstLine="709"/>
        <w:jc w:val="both"/>
        <w:rPr>
          <w:rFonts w:ascii="Verdana" w:hAnsi="Verdana" w:cs="Arial"/>
          <w:sz w:val="14"/>
          <w:szCs w:val="14"/>
        </w:rPr>
      </w:pPr>
      <w:r w:rsidRPr="00066823">
        <w:rPr>
          <w:rStyle w:val="Refdenotaalpie"/>
          <w:rFonts w:ascii="Verdana" w:hAnsi="Verdana" w:cs="Arial"/>
          <w:sz w:val="14"/>
          <w:szCs w:val="14"/>
        </w:rPr>
        <w:footnoteRef/>
      </w:r>
      <w:r w:rsidRPr="00066823">
        <w:rPr>
          <w:rFonts w:ascii="Verdana" w:hAnsi="Verdana" w:cs="Arial"/>
          <w:sz w:val="14"/>
          <w:szCs w:val="14"/>
        </w:rPr>
        <w:t xml:space="preserve"> Es lo que sucede, por ejemplo, con el Decreto 092 de 2017, que en su desarrollo hace referencia tanto a los “contratos” como a los “convenios”. </w:t>
      </w:r>
    </w:p>
    <w:p w14:paraId="4A8DA2D3" w14:textId="77777777" w:rsidR="00720C6C" w:rsidRPr="00066823" w:rsidRDefault="00720C6C" w:rsidP="00E138D7">
      <w:pPr>
        <w:pStyle w:val="Textonotapie"/>
        <w:ind w:firstLine="709"/>
        <w:jc w:val="both"/>
        <w:rPr>
          <w:rFonts w:ascii="Verdana" w:hAnsi="Verdana" w:cs="Arial"/>
          <w:sz w:val="14"/>
          <w:szCs w:val="14"/>
        </w:rPr>
      </w:pPr>
    </w:p>
  </w:footnote>
  <w:footnote w:id="9">
    <w:p w14:paraId="36AC4E4C" w14:textId="77777777" w:rsidR="00720C6C" w:rsidRPr="00066823" w:rsidRDefault="00720C6C" w:rsidP="00E138D7">
      <w:pPr>
        <w:pStyle w:val="Textonotapie"/>
        <w:ind w:firstLine="709"/>
        <w:jc w:val="both"/>
        <w:rPr>
          <w:rFonts w:ascii="Verdana" w:hAnsi="Verdana" w:cs="Arial"/>
          <w:sz w:val="14"/>
          <w:szCs w:val="14"/>
          <w:lang w:val="pt-BR"/>
        </w:rPr>
      </w:pPr>
      <w:r w:rsidRPr="00066823">
        <w:rPr>
          <w:rStyle w:val="Refdenotaalpie"/>
          <w:rFonts w:ascii="Verdana" w:hAnsi="Verdana" w:cs="Arial"/>
          <w:sz w:val="14"/>
          <w:szCs w:val="14"/>
        </w:rPr>
        <w:footnoteRef/>
      </w:r>
      <w:r w:rsidRPr="00066823">
        <w:rPr>
          <w:rFonts w:ascii="Verdana" w:hAnsi="Verdana" w:cs="Arial"/>
          <w:sz w:val="14"/>
          <w:szCs w:val="14"/>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w:t>
      </w:r>
      <w:r w:rsidRPr="00066823">
        <w:rPr>
          <w:rFonts w:ascii="Verdana" w:hAnsi="Verdana" w:cs="Arial"/>
          <w:sz w:val="14"/>
          <w:szCs w:val="14"/>
          <w:lang w:val="pt-BR"/>
        </w:rPr>
        <w:t>(Corte Constitucional. Sentencia C-671 de 2015. M.P. Alberto Rojas Ríos).</w:t>
      </w:r>
    </w:p>
    <w:p w14:paraId="0B4484B1" w14:textId="77777777" w:rsidR="00720C6C" w:rsidRPr="00066823" w:rsidRDefault="00720C6C" w:rsidP="00E138D7">
      <w:pPr>
        <w:pStyle w:val="Textonotapie"/>
        <w:ind w:firstLine="709"/>
        <w:jc w:val="both"/>
        <w:rPr>
          <w:rFonts w:ascii="Verdana" w:hAnsi="Verdana" w:cs="Arial"/>
          <w:sz w:val="14"/>
          <w:szCs w:val="14"/>
          <w:lang w:val="pt-BR"/>
        </w:rPr>
      </w:pPr>
    </w:p>
  </w:footnote>
  <w:footnote w:id="10">
    <w:p w14:paraId="5EA32DED" w14:textId="77777777" w:rsidR="00720C6C" w:rsidRPr="00066823" w:rsidRDefault="00720C6C" w:rsidP="00E138D7">
      <w:pPr>
        <w:pStyle w:val="Textonotapie"/>
        <w:ind w:firstLine="709"/>
        <w:jc w:val="both"/>
        <w:rPr>
          <w:rFonts w:ascii="Verdana" w:hAnsi="Verdana" w:cs="Arial"/>
          <w:sz w:val="14"/>
          <w:szCs w:val="14"/>
          <w:lang w:val="es-CO"/>
        </w:rPr>
      </w:pPr>
      <w:r w:rsidRPr="00066823">
        <w:rPr>
          <w:rStyle w:val="Refdenotaalpie"/>
          <w:rFonts w:ascii="Verdana" w:hAnsi="Verdana"/>
          <w:sz w:val="14"/>
          <w:szCs w:val="14"/>
        </w:rPr>
        <w:footnoteRef/>
      </w:r>
      <w:r w:rsidRPr="00066823">
        <w:rPr>
          <w:rFonts w:ascii="Verdana" w:hAnsi="Verdana"/>
          <w:sz w:val="14"/>
          <w:szCs w:val="14"/>
          <w:lang w:val="es-CO"/>
        </w:rPr>
        <w:t xml:space="preserve"> </w:t>
      </w:r>
      <w:r w:rsidRPr="00066823">
        <w:rPr>
          <w:rFonts w:ascii="Verdana" w:hAnsi="Verdana" w:cs="Arial"/>
          <w:sz w:val="14"/>
          <w:szCs w:val="14"/>
          <w:lang w:val="es-CO"/>
        </w:rPr>
        <w:t xml:space="preserve">Consejo de Estado, Sección Tercera. Auto del 4 de octubre de 2024. </w:t>
      </w:r>
      <w:proofErr w:type="spellStart"/>
      <w:r w:rsidRPr="00066823">
        <w:rPr>
          <w:rFonts w:ascii="Verdana" w:hAnsi="Verdana" w:cs="Arial"/>
          <w:sz w:val="14"/>
          <w:szCs w:val="14"/>
          <w:lang w:val="es-CO"/>
        </w:rPr>
        <w:t>Exp</w:t>
      </w:r>
      <w:proofErr w:type="spellEnd"/>
      <w:r w:rsidRPr="00066823">
        <w:rPr>
          <w:rFonts w:ascii="Verdana" w:hAnsi="Verdana" w:cs="Arial"/>
          <w:sz w:val="14"/>
          <w:szCs w:val="14"/>
          <w:lang w:val="es-CO"/>
        </w:rPr>
        <w:t>. 70.313. C.P: Fredy Ibarra Martínez</w:t>
      </w:r>
    </w:p>
    <w:p w14:paraId="3525BCB5" w14:textId="77777777" w:rsidR="00720C6C" w:rsidRPr="00066823" w:rsidRDefault="00720C6C" w:rsidP="00E138D7">
      <w:pPr>
        <w:pStyle w:val="Textonotapie"/>
        <w:ind w:firstLine="709"/>
        <w:jc w:val="both"/>
        <w:rPr>
          <w:rFonts w:ascii="Verdana" w:hAnsi="Verdana"/>
          <w:sz w:val="14"/>
          <w:szCs w:val="14"/>
          <w:lang w:val="es-CO"/>
        </w:rPr>
      </w:pPr>
    </w:p>
  </w:footnote>
  <w:footnote w:id="11">
    <w:p w14:paraId="500CC106" w14:textId="77777777" w:rsidR="00E62E55" w:rsidRPr="00066823" w:rsidRDefault="00E62E55" w:rsidP="00066823">
      <w:pPr>
        <w:pStyle w:val="Textonotapie"/>
        <w:ind w:firstLine="709"/>
        <w:jc w:val="both"/>
        <w:rPr>
          <w:rFonts w:ascii="Verdana" w:hAnsi="Verdana" w:cs="Arial"/>
          <w:sz w:val="14"/>
          <w:szCs w:val="14"/>
        </w:rPr>
      </w:pPr>
      <w:r w:rsidRPr="00066823">
        <w:rPr>
          <w:rStyle w:val="Refdenotaalpie"/>
          <w:rFonts w:ascii="Verdana" w:hAnsi="Verdana" w:cs="Arial"/>
          <w:sz w:val="14"/>
          <w:szCs w:val="14"/>
        </w:rPr>
        <w:footnoteRef/>
      </w:r>
      <w:r w:rsidRPr="00066823">
        <w:rPr>
          <w:rFonts w:ascii="Verdana" w:hAnsi="Verdana" w:cs="Arial"/>
          <w:sz w:val="14"/>
          <w:szCs w:val="14"/>
        </w:rPr>
        <w:t xml:space="preserve"> Consejo de Estado. Sala de Consulta y Servicio Civil. Concepto del 15 de noviembre de 2007. Expediente número 1863. Consejero Ponente: Luis Fernando Álvarez Jaramillo.</w:t>
      </w:r>
    </w:p>
    <w:p w14:paraId="1455D23B" w14:textId="77777777" w:rsidR="00E62E55" w:rsidRPr="00066823" w:rsidRDefault="00E62E55" w:rsidP="00066823">
      <w:pPr>
        <w:pStyle w:val="Textonotapie"/>
        <w:ind w:firstLine="709"/>
        <w:jc w:val="both"/>
        <w:rPr>
          <w:rFonts w:ascii="Verdana" w:hAnsi="Verdana" w:cs="Arial"/>
          <w:sz w:val="14"/>
          <w:szCs w:val="14"/>
        </w:rPr>
      </w:pPr>
    </w:p>
    <w:p w14:paraId="3B6EED1D" w14:textId="77777777" w:rsidR="00E62E55" w:rsidRPr="00066823" w:rsidRDefault="00E62E55" w:rsidP="00066823">
      <w:pPr>
        <w:pStyle w:val="Textonotapie"/>
        <w:ind w:firstLine="709"/>
        <w:jc w:val="both"/>
        <w:rPr>
          <w:rFonts w:ascii="Verdana" w:hAnsi="Verdana" w:cs="Arial"/>
          <w:sz w:val="14"/>
          <w:szCs w:val="14"/>
        </w:rPr>
      </w:pPr>
    </w:p>
  </w:footnote>
  <w:footnote w:id="12">
    <w:p w14:paraId="298B368C" w14:textId="77777777" w:rsidR="00E62E55" w:rsidRDefault="00E62E55" w:rsidP="00E138D7">
      <w:pPr>
        <w:pStyle w:val="Textonotapie"/>
        <w:ind w:firstLine="709"/>
        <w:jc w:val="both"/>
        <w:rPr>
          <w:rFonts w:ascii="Verdana" w:hAnsi="Verdana"/>
          <w:sz w:val="14"/>
          <w:szCs w:val="14"/>
        </w:rPr>
      </w:pPr>
      <w:r w:rsidRPr="00066823">
        <w:rPr>
          <w:rStyle w:val="Refdenotaalpie"/>
          <w:rFonts w:ascii="Verdana" w:hAnsi="Verdana"/>
          <w:sz w:val="14"/>
          <w:szCs w:val="14"/>
        </w:rPr>
        <w:footnoteRef/>
      </w:r>
      <w:r w:rsidRPr="00066823">
        <w:rPr>
          <w:rFonts w:ascii="Verdana" w:hAnsi="Verdana"/>
          <w:sz w:val="14"/>
          <w:szCs w:val="14"/>
        </w:rPr>
        <w:t xml:space="preserve"> </w:t>
      </w:r>
      <w:r w:rsidRPr="00066823">
        <w:rPr>
          <w:rFonts w:ascii="Verdana" w:hAnsi="Verdana"/>
          <w:b/>
          <w:sz w:val="14"/>
          <w:szCs w:val="14"/>
          <w:lang w:val="es-CO"/>
        </w:rPr>
        <w:t>Agencia Nacional de Contratación Pública – Colombia Compra Eficiente.</w:t>
      </w:r>
      <w:r w:rsidRPr="00066823">
        <w:rPr>
          <w:rFonts w:ascii="Verdana" w:hAnsi="Verdana"/>
          <w:sz w:val="14"/>
          <w:szCs w:val="14"/>
          <w:lang w:val="es-CO"/>
        </w:rPr>
        <w:t xml:space="preserve"> (2025, 18 de junio). </w:t>
      </w:r>
      <w:r w:rsidRPr="00066823">
        <w:rPr>
          <w:rFonts w:ascii="Verdana" w:hAnsi="Verdana"/>
          <w:i/>
          <w:sz w:val="14"/>
          <w:szCs w:val="14"/>
          <w:lang w:val="es-CO"/>
        </w:rPr>
        <w:t>Guía para la celebración de convenios solidarios</w:t>
      </w:r>
      <w:r w:rsidRPr="00066823">
        <w:rPr>
          <w:rFonts w:ascii="Verdana" w:hAnsi="Verdana"/>
          <w:sz w:val="14"/>
          <w:szCs w:val="14"/>
          <w:lang w:val="es-CO"/>
        </w:rPr>
        <w:t xml:space="preserve"> (Versión 01) [Guía]. </w:t>
      </w:r>
      <w:hyperlink r:id="rId1" w:tgtFrame="_new" w:history="1">
        <w:r w:rsidRPr="00066823">
          <w:rPr>
            <w:rStyle w:val="Hipervnculo"/>
            <w:rFonts w:ascii="Verdana" w:hAnsi="Verdana"/>
            <w:sz w:val="14"/>
            <w:szCs w:val="14"/>
            <w:lang w:val="es-CO"/>
          </w:rPr>
          <w:t>https://www.colombiacompra.gov.co/wp-content/uploads/2025/06/Guia-para-la-Celebracion-de-Convenios-Solidarios-20250618.pdf</w:t>
        </w:r>
      </w:hyperlink>
    </w:p>
    <w:p w14:paraId="70BF2911" w14:textId="77777777" w:rsidR="00E62E55" w:rsidRPr="00066823" w:rsidRDefault="00E62E55" w:rsidP="009D7AA1">
      <w:pPr>
        <w:pStyle w:val="Textonotapie"/>
        <w:ind w:firstLine="709"/>
        <w:jc w:val="both"/>
        <w:rPr>
          <w:rFonts w:ascii="Verdana" w:hAnsi="Verdana"/>
          <w:sz w:val="14"/>
          <w:szCs w:val="14"/>
          <w:lang w:val="es-ES"/>
        </w:rPr>
      </w:pPr>
    </w:p>
  </w:footnote>
  <w:footnote w:id="13">
    <w:p w14:paraId="5CB8577F" w14:textId="77777777" w:rsidR="00E62E55" w:rsidRPr="00066823" w:rsidRDefault="00E62E55" w:rsidP="00066823">
      <w:pPr>
        <w:pStyle w:val="Textonotapie"/>
        <w:ind w:firstLine="709"/>
        <w:jc w:val="both"/>
        <w:rPr>
          <w:rFonts w:ascii="Verdana" w:hAnsi="Verdana" w:cs="Arial"/>
          <w:color w:val="000000"/>
          <w:sz w:val="14"/>
          <w:szCs w:val="14"/>
        </w:rPr>
      </w:pPr>
      <w:r w:rsidRPr="00066823">
        <w:rPr>
          <w:rStyle w:val="Refdenotaalpie"/>
          <w:rFonts w:ascii="Verdana" w:hAnsi="Verdana" w:cs="Arial"/>
          <w:color w:val="000000"/>
          <w:sz w:val="14"/>
          <w:szCs w:val="14"/>
        </w:rPr>
        <w:footnoteRef/>
      </w:r>
      <w:r w:rsidRPr="00066823">
        <w:rPr>
          <w:rFonts w:ascii="Verdana" w:hAnsi="Verdana" w:cs="Arial"/>
          <w:color w:val="000000"/>
          <w:sz w:val="14"/>
          <w:szCs w:val="14"/>
        </w:rPr>
        <w:t xml:space="preserve"> “[…] dado que el Decreto 092 de 2017 no restringe ninguna forma de asociación, las ESAL pueden constituirse como unión temporal o consorcio para efectos de la celebración de contratos de colaboración o convenios de asociación”. (AGENCIA NACIONAL DE CONTRATACIÓN PÚBLICA – COLOMBIA COMPRA EFICIENTE. Guía para la contratación con entidades privadas sin ánimo de lucro y de reconocida idoneidad. Disponible en:  </w:t>
      </w:r>
      <w:hyperlink r:id="rId2" w:history="1">
        <w:r w:rsidRPr="00066823">
          <w:rPr>
            <w:rStyle w:val="Hipervnculo"/>
            <w:rFonts w:ascii="Verdana" w:hAnsi="Verdana" w:cs="Arial"/>
            <w:sz w:val="14"/>
            <w:szCs w:val="14"/>
          </w:rPr>
          <w:t>https://www.colombiacompra.gov.co/manuales-guias-y-pliegos-tipo/manuales-y-guias</w:t>
        </w:r>
      </w:hyperlink>
      <w:r w:rsidRPr="00066823">
        <w:rPr>
          <w:rFonts w:ascii="Verdana" w:hAnsi="Verdana" w:cs="Arial"/>
          <w:color w:val="000000"/>
          <w:sz w:val="14"/>
          <w:szCs w:val="14"/>
        </w:rPr>
        <w:t xml:space="preserve">). </w:t>
      </w:r>
    </w:p>
    <w:p w14:paraId="27019DA5" w14:textId="77777777" w:rsidR="00E62E55" w:rsidRPr="00066823" w:rsidRDefault="00E62E55" w:rsidP="00066823">
      <w:pPr>
        <w:pStyle w:val="Textonotapie"/>
        <w:ind w:firstLine="709"/>
        <w:jc w:val="both"/>
        <w:rPr>
          <w:rFonts w:ascii="Verdana" w:hAnsi="Verdana" w:cs="Arial"/>
          <w:color w:val="000000"/>
          <w:sz w:val="14"/>
          <w:szCs w:val="14"/>
        </w:rPr>
      </w:pPr>
    </w:p>
  </w:footnote>
  <w:footnote w:id="14">
    <w:p w14:paraId="04099C1C" w14:textId="77777777" w:rsidR="00E62E55" w:rsidRPr="00066823" w:rsidRDefault="00E62E55" w:rsidP="00066823">
      <w:pPr>
        <w:pStyle w:val="Textonotapie"/>
        <w:ind w:firstLine="709"/>
        <w:jc w:val="both"/>
        <w:rPr>
          <w:rFonts w:ascii="Verdana" w:hAnsi="Verdana" w:cs="Arial"/>
          <w:color w:val="000000"/>
          <w:sz w:val="14"/>
          <w:szCs w:val="14"/>
          <w:lang w:val="es-ES"/>
        </w:rPr>
      </w:pPr>
      <w:r w:rsidRPr="00066823">
        <w:rPr>
          <w:rStyle w:val="Refdenotaalpie"/>
          <w:rFonts w:ascii="Verdana" w:hAnsi="Verdana" w:cs="Arial"/>
          <w:color w:val="000000"/>
          <w:sz w:val="14"/>
          <w:szCs w:val="14"/>
        </w:rPr>
        <w:footnoteRef/>
      </w:r>
      <w:r w:rsidRPr="00066823">
        <w:rPr>
          <w:rFonts w:ascii="Verdana" w:hAnsi="Verdana" w:cs="Arial"/>
          <w:color w:val="000000"/>
          <w:sz w:val="14"/>
          <w:szCs w:val="14"/>
        </w:rPr>
        <w:t xml:space="preserve"> Concepto del 19 de noviembre de 2019, emitido en el radicado No. 2201913000008611.</w:t>
      </w:r>
    </w:p>
  </w:footnote>
  <w:footnote w:id="15">
    <w:p w14:paraId="7FB6977D" w14:textId="77777777" w:rsidR="00E62E55" w:rsidRPr="00066823" w:rsidRDefault="00E62E55" w:rsidP="00066823">
      <w:pPr>
        <w:pStyle w:val="Textonotapie"/>
        <w:ind w:firstLine="709"/>
        <w:jc w:val="both"/>
        <w:rPr>
          <w:rFonts w:ascii="Verdana" w:hAnsi="Verdana" w:cs="Arial"/>
          <w:color w:val="000000"/>
          <w:sz w:val="14"/>
          <w:szCs w:val="14"/>
        </w:rPr>
      </w:pPr>
      <w:r w:rsidRPr="00066823">
        <w:rPr>
          <w:rStyle w:val="Refdenotaalpie"/>
          <w:rFonts w:ascii="Verdana" w:hAnsi="Verdana" w:cs="Arial"/>
          <w:color w:val="000000"/>
          <w:sz w:val="14"/>
          <w:szCs w:val="14"/>
        </w:rPr>
        <w:footnoteRef/>
      </w:r>
      <w:r w:rsidRPr="00066823">
        <w:rPr>
          <w:rFonts w:ascii="Verdana" w:hAnsi="Verdana" w:cs="Arial"/>
          <w:color w:val="000000"/>
          <w:sz w:val="14"/>
          <w:szCs w:val="14"/>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p w14:paraId="1ADE94E4" w14:textId="77777777" w:rsidR="00E62E55" w:rsidRPr="00066823" w:rsidRDefault="00E62E55" w:rsidP="00066823">
      <w:pPr>
        <w:pStyle w:val="Textonotapie"/>
        <w:ind w:firstLine="709"/>
        <w:jc w:val="both"/>
        <w:rPr>
          <w:rFonts w:ascii="Verdana" w:hAnsi="Verdana" w:cs="Arial"/>
          <w:color w:val="000000"/>
          <w:sz w:val="14"/>
          <w:szCs w:val="14"/>
        </w:rPr>
      </w:pPr>
    </w:p>
  </w:footnote>
  <w:footnote w:id="16">
    <w:p w14:paraId="6802B9AE" w14:textId="77777777" w:rsidR="00E62E55" w:rsidRPr="00066823" w:rsidRDefault="00E62E55" w:rsidP="00066823">
      <w:pPr>
        <w:pStyle w:val="Textonotapie"/>
        <w:ind w:firstLine="709"/>
        <w:jc w:val="both"/>
        <w:rPr>
          <w:rFonts w:ascii="Verdana" w:hAnsi="Verdana" w:cs="Arial"/>
          <w:sz w:val="14"/>
          <w:szCs w:val="14"/>
          <w:lang w:val="es-ES"/>
        </w:rPr>
      </w:pPr>
      <w:r w:rsidRPr="00066823">
        <w:rPr>
          <w:rStyle w:val="Refdenotaalpie"/>
          <w:rFonts w:ascii="Verdana" w:hAnsi="Verdana" w:cs="Arial"/>
          <w:sz w:val="14"/>
          <w:szCs w:val="14"/>
        </w:rPr>
        <w:footnoteRef/>
      </w:r>
      <w:r w:rsidRPr="00066823">
        <w:rPr>
          <w:rFonts w:ascii="Verdana" w:hAnsi="Verdana" w:cs="Arial"/>
          <w:sz w:val="14"/>
          <w:szCs w:val="14"/>
        </w:rPr>
        <w:t xml:space="preserve"> </w:t>
      </w:r>
      <w:r w:rsidRPr="00066823">
        <w:rPr>
          <w:rFonts w:ascii="Verdana" w:hAnsi="Verdana" w:cs="Arial"/>
          <w:sz w:val="14"/>
          <w:szCs w:val="14"/>
          <w:lang w:val="es-ES"/>
        </w:rPr>
        <w:t>Consejo de Estado. Sala Plena. Auto del 15 de marzo de 2022. Consejera Ponente: Rocío Araujo Oñate. Expediente: 62.003. En esta decisión, en efecto, se decidió: “REVOCAR los numerales primero y tercero de la parte resolutiva del auto proferido el 6 de agosto de 2019, que suspendieron de manera provisional los efectos del inciso segundo del artículo 1 y del inciso segundo del artículo 3 del Decreto 92 de 2017, respectivamente, y en su lugar NEGAR la medida cautelar”, y “CONFIRMAR LA SUSPENSIÓN PROVISIONAL de los literales a) y c) del artículo segundo y el inciso quinto de la misma norma, así como del inciso final del artículo 4 del Decreto 92 de 2017, por las razones expuestas”.</w:t>
      </w:r>
    </w:p>
    <w:p w14:paraId="4B9A33A8" w14:textId="77777777" w:rsidR="00E62E55" w:rsidRPr="00066823" w:rsidRDefault="00E62E55" w:rsidP="00066823">
      <w:pPr>
        <w:pStyle w:val="Textonotapie"/>
        <w:ind w:firstLine="709"/>
        <w:jc w:val="both"/>
        <w:rPr>
          <w:rFonts w:ascii="Verdana" w:hAnsi="Verdana" w:cs="Arial"/>
          <w:sz w:val="14"/>
          <w:szCs w:val="14"/>
          <w:lang w:val="es-ES"/>
        </w:rPr>
      </w:pPr>
    </w:p>
  </w:footnote>
  <w:footnote w:id="17">
    <w:p w14:paraId="75BCA000" w14:textId="77777777" w:rsidR="00E62E55" w:rsidRDefault="00E62E55" w:rsidP="00E138D7">
      <w:pPr>
        <w:spacing w:after="0" w:line="240" w:lineRule="auto"/>
        <w:ind w:firstLine="709"/>
        <w:jc w:val="both"/>
        <w:textAlignment w:val="baseline"/>
        <w:rPr>
          <w:rFonts w:ascii="Verdana" w:eastAsia="Calibri" w:hAnsi="Verdana" w:cs="Arial"/>
          <w:color w:val="000000"/>
          <w:sz w:val="14"/>
          <w:szCs w:val="14"/>
          <w:lang w:val="es-MX"/>
        </w:rPr>
      </w:pPr>
      <w:r w:rsidRPr="00066823">
        <w:rPr>
          <w:rStyle w:val="Refdenotaalpie"/>
          <w:rFonts w:ascii="Verdana" w:hAnsi="Verdana" w:cs="Arial"/>
          <w:sz w:val="14"/>
          <w:szCs w:val="14"/>
        </w:rPr>
        <w:footnoteRef/>
      </w:r>
      <w:r w:rsidRPr="00066823">
        <w:rPr>
          <w:rFonts w:ascii="Verdana" w:hAnsi="Verdana" w:cs="Arial"/>
          <w:sz w:val="14"/>
          <w:szCs w:val="14"/>
        </w:rPr>
        <w:t xml:space="preserve"> </w:t>
      </w:r>
      <w:r w:rsidRPr="00066823">
        <w:rPr>
          <w:rFonts w:ascii="Verdana" w:eastAsia="Calibri" w:hAnsi="Verdana" w:cs="Arial"/>
          <w:color w:val="000000"/>
          <w:sz w:val="14"/>
          <w:szCs w:val="14"/>
          <w:lang w:val="es-MX"/>
        </w:rPr>
        <w:t>E</w:t>
      </w:r>
      <w:r w:rsidRPr="00066823">
        <w:rPr>
          <w:rFonts w:ascii="Verdana" w:eastAsia="Calibri" w:hAnsi="Verdana" w:cs="Arial"/>
          <w:sz w:val="14"/>
          <w:szCs w:val="14"/>
          <w:lang w:val="es-ES_tradnl" w:eastAsia="es-ES_tradnl"/>
        </w:rPr>
        <w:t xml:space="preserve">n armonía con lo anterior, las siguientes son las conclusiones que dedujo esta Agencia en relación con los </w:t>
      </w:r>
      <w:r w:rsidRPr="00066823">
        <w:rPr>
          <w:rFonts w:ascii="Verdana" w:eastAsia="Calibri" w:hAnsi="Verdana" w:cs="Arial"/>
          <w:i/>
          <w:sz w:val="14"/>
          <w:szCs w:val="14"/>
          <w:lang w:val="es-ES_tradnl" w:eastAsia="es-ES_tradnl"/>
        </w:rPr>
        <w:t>contratos de colaboración</w:t>
      </w:r>
      <w:r w:rsidRPr="00066823">
        <w:rPr>
          <w:rFonts w:ascii="Verdana" w:eastAsia="Calibri" w:hAnsi="Verdana" w:cs="Arial"/>
          <w:sz w:val="14"/>
          <w:szCs w:val="14"/>
          <w:lang w:val="es-ES_tradnl" w:eastAsia="es-ES_tradnl"/>
        </w:rPr>
        <w:t>, tal como se expresa, por ejemplo, en el concepto C-529 del 11 de agosto de 2020: “</w:t>
      </w:r>
      <w:r w:rsidRPr="00066823">
        <w:rPr>
          <w:rFonts w:ascii="Verdana" w:eastAsia="Calibri" w:hAnsi="Verdana" w:cs="Arial"/>
          <w:color w:val="000000"/>
          <w:sz w:val="14"/>
          <w:szCs w:val="14"/>
          <w:lang w:val="es-MX"/>
        </w:rPr>
        <w:t xml:space="preserve">En este orden de ideas, 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deben contratar con ESAL de reconocida idoneidad, como ya se dijo, realizando un proceso competitivo, y teniendo en cuenta, se insiste, las siguientes características: i) no se debe condicionar el proceso de contratación a la inexistencia de oferta en el mercado de bienes y servicios; </w:t>
      </w:r>
      <w:proofErr w:type="spellStart"/>
      <w:r w:rsidRPr="00066823">
        <w:rPr>
          <w:rFonts w:ascii="Verdana" w:eastAsia="Calibri" w:hAnsi="Verdana" w:cs="Arial"/>
          <w:color w:val="000000"/>
          <w:sz w:val="14"/>
          <w:szCs w:val="14"/>
          <w:lang w:val="es-MX"/>
        </w:rPr>
        <w:t>ii</w:t>
      </w:r>
      <w:proofErr w:type="spellEnd"/>
      <w:r w:rsidRPr="00066823">
        <w:rPr>
          <w:rFonts w:ascii="Verdana" w:eastAsia="Calibri" w:hAnsi="Verdana" w:cs="Arial"/>
          <w:color w:val="000000"/>
          <w:sz w:val="14"/>
          <w:szCs w:val="14"/>
          <w:lang w:val="es-MX"/>
        </w:rPr>
        <w:t xml:space="preserve">) tampoco se debe condicionar a que la contratación con las ESAL garantice la optimización de los recursos públicos en términos de eficiencia, eficacia, economía y manejo del riesgo; </w:t>
      </w:r>
      <w:proofErr w:type="spellStart"/>
      <w:r w:rsidRPr="00066823">
        <w:rPr>
          <w:rFonts w:ascii="Verdana" w:eastAsia="Calibri" w:hAnsi="Verdana" w:cs="Arial"/>
          <w:color w:val="000000"/>
          <w:sz w:val="14"/>
          <w:szCs w:val="14"/>
          <w:lang w:val="es-MX"/>
        </w:rPr>
        <w:t>iii</w:t>
      </w:r>
      <w:proofErr w:type="spellEnd"/>
      <w:r w:rsidRPr="00066823">
        <w:rPr>
          <w:rFonts w:ascii="Verdana" w:eastAsia="Calibri" w:hAnsi="Verdana" w:cs="Arial"/>
          <w:color w:val="000000"/>
          <w:sz w:val="14"/>
          <w:szCs w:val="14"/>
          <w:lang w:val="es-MX"/>
        </w:rPr>
        <w:t xml:space="preserve">) el objeto del contrato debe estar acorde con el plan nacional o seccional de desarrollo; </w:t>
      </w:r>
      <w:proofErr w:type="spellStart"/>
      <w:r w:rsidRPr="00066823">
        <w:rPr>
          <w:rFonts w:ascii="Verdana" w:eastAsia="Calibri" w:hAnsi="Verdana" w:cs="Arial"/>
          <w:color w:val="000000"/>
          <w:sz w:val="14"/>
          <w:szCs w:val="14"/>
          <w:lang w:val="es-MX"/>
        </w:rPr>
        <w:t>iv</w:t>
      </w:r>
      <w:proofErr w:type="spellEnd"/>
      <w:r w:rsidRPr="00066823">
        <w:rPr>
          <w:rFonts w:ascii="Verdana" w:eastAsia="Calibri" w:hAnsi="Verdana" w:cs="Arial"/>
          <w:color w:val="000000"/>
          <w:sz w:val="14"/>
          <w:szCs w:val="14"/>
          <w:lang w:val="es-MX"/>
        </w:rPr>
        <w:t xml:space="preserve">) no se puede condicionar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proofErr w:type="spellStart"/>
      <w:r w:rsidRPr="00066823">
        <w:rPr>
          <w:rFonts w:ascii="Verdana" w:eastAsia="Calibri" w:hAnsi="Verdana" w:cs="Arial"/>
          <w:color w:val="000000"/>
          <w:sz w:val="14"/>
          <w:szCs w:val="14"/>
          <w:lang w:val="es-MX"/>
        </w:rPr>
        <w:t>iii</w:t>
      </w:r>
      <w:proofErr w:type="spellEnd"/>
      <w:r w:rsidRPr="00066823">
        <w:rPr>
          <w:rFonts w:ascii="Verdana" w:eastAsia="Calibri" w:hAnsi="Verdana" w:cs="Arial"/>
          <w:color w:val="000000"/>
          <w:sz w:val="14"/>
          <w:szCs w:val="14"/>
          <w:lang w:val="es-MX"/>
        </w:rPr>
        <w:t>); y v) el contrato no establezca una relación conmutativa en el cual haya una contraprestación directa a favor de la entidad, ni instrucciones precisas dadas por esta al contratista para cumplir con el objeto del contrato”.</w:t>
      </w:r>
    </w:p>
    <w:p w14:paraId="32966954" w14:textId="77777777" w:rsidR="00E62E55" w:rsidRPr="00066823" w:rsidRDefault="00E62E55" w:rsidP="009D7AA1">
      <w:pPr>
        <w:spacing w:after="0" w:line="240" w:lineRule="auto"/>
        <w:ind w:firstLine="709"/>
        <w:jc w:val="both"/>
        <w:textAlignment w:val="baseline"/>
        <w:rPr>
          <w:rFonts w:ascii="Verdana" w:hAnsi="Verdana" w:cs="Arial"/>
          <w:sz w:val="14"/>
          <w:szCs w:val="14"/>
        </w:rPr>
      </w:pPr>
    </w:p>
  </w:footnote>
  <w:footnote w:id="18">
    <w:p w14:paraId="60531663" w14:textId="77777777" w:rsidR="00E62E55" w:rsidRDefault="00E62E55" w:rsidP="00E138D7">
      <w:pPr>
        <w:pStyle w:val="Textonotapie"/>
        <w:ind w:firstLine="709"/>
        <w:jc w:val="both"/>
        <w:rPr>
          <w:rFonts w:ascii="Verdana" w:hAnsi="Verdana" w:cs="Arial"/>
          <w:color w:val="000000"/>
          <w:sz w:val="14"/>
          <w:szCs w:val="14"/>
        </w:rPr>
      </w:pPr>
      <w:r w:rsidRPr="00066823">
        <w:rPr>
          <w:rStyle w:val="Refdenotaalpie"/>
          <w:rFonts w:ascii="Verdana" w:hAnsi="Verdana" w:cs="Arial"/>
          <w:color w:val="000000"/>
          <w:sz w:val="14"/>
          <w:szCs w:val="14"/>
        </w:rPr>
        <w:footnoteRef/>
      </w:r>
      <w:r w:rsidRPr="00066823">
        <w:rPr>
          <w:rFonts w:ascii="Verdana" w:hAnsi="Verdana" w:cs="Arial"/>
          <w:color w:val="000000"/>
          <w:sz w:val="14"/>
          <w:szCs w:val="14"/>
        </w:rPr>
        <w:t xml:space="preserve"> Decreto 092,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14:paraId="5D166C8D" w14:textId="77777777" w:rsidR="00E62E55" w:rsidRPr="009D7AA1" w:rsidRDefault="00E62E55" w:rsidP="009D7AA1">
      <w:pPr>
        <w:pStyle w:val="Textonotapie"/>
        <w:ind w:firstLine="709"/>
        <w:jc w:val="both"/>
        <w:rPr>
          <w:rFonts w:ascii="Verdana" w:hAnsi="Verdana" w:cs="Arial"/>
          <w:color w:val="000000"/>
          <w:sz w:val="14"/>
          <w:szCs w:val="14"/>
        </w:rPr>
      </w:pPr>
    </w:p>
  </w:footnote>
  <w:footnote w:id="19">
    <w:p w14:paraId="6E8EAD80" w14:textId="77777777" w:rsidR="00E62E55" w:rsidRPr="00066823" w:rsidRDefault="00E62E55" w:rsidP="00E62E55">
      <w:pPr>
        <w:pStyle w:val="Textonotapie"/>
        <w:ind w:firstLine="709"/>
        <w:jc w:val="both"/>
        <w:rPr>
          <w:rFonts w:ascii="Verdana" w:hAnsi="Verdana"/>
          <w:color w:val="000000" w:themeColor="text1"/>
          <w:sz w:val="14"/>
          <w:szCs w:val="14"/>
        </w:rPr>
      </w:pPr>
      <w:r w:rsidRPr="00066823">
        <w:rPr>
          <w:rStyle w:val="Refdenotaalpie"/>
          <w:rFonts w:ascii="Verdana" w:hAnsi="Verdana"/>
          <w:color w:val="000000" w:themeColor="text1"/>
          <w:sz w:val="14"/>
          <w:szCs w:val="14"/>
        </w:rPr>
        <w:footnoteRef/>
      </w:r>
      <w:r w:rsidRPr="00066823">
        <w:rPr>
          <w:rFonts w:ascii="Verdana" w:hAnsi="Verdana"/>
          <w:color w:val="000000" w:themeColor="text1"/>
          <w:sz w:val="14"/>
          <w:szCs w:val="14"/>
        </w:rPr>
        <w:t xml:space="preserve"> Consejo de Estado. Sección Tercera – Subsección A. Sentencia del 16 de mayo de 2019. </w:t>
      </w:r>
      <w:proofErr w:type="spellStart"/>
      <w:r w:rsidRPr="00066823">
        <w:rPr>
          <w:rFonts w:ascii="Verdana" w:hAnsi="Verdana"/>
          <w:color w:val="000000" w:themeColor="text1"/>
          <w:sz w:val="14"/>
          <w:szCs w:val="14"/>
        </w:rPr>
        <w:t>Exp</w:t>
      </w:r>
      <w:proofErr w:type="spellEnd"/>
      <w:r w:rsidRPr="00066823">
        <w:rPr>
          <w:rFonts w:ascii="Verdana" w:hAnsi="Verdana"/>
          <w:color w:val="000000" w:themeColor="text1"/>
          <w:sz w:val="14"/>
          <w:szCs w:val="14"/>
        </w:rPr>
        <w:t>. 40102. C.P: María Adriana Marín.</w:t>
      </w:r>
    </w:p>
    <w:p w14:paraId="72A30A06" w14:textId="77777777" w:rsidR="00E62E55" w:rsidRPr="00066823" w:rsidRDefault="00E62E55" w:rsidP="00E62E55">
      <w:pPr>
        <w:pStyle w:val="Textonotapie"/>
        <w:ind w:firstLine="709"/>
        <w:jc w:val="both"/>
        <w:rPr>
          <w:rFonts w:ascii="Verdana" w:hAnsi="Verdana"/>
          <w:color w:val="000000" w:themeColor="text1"/>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7CF"/>
    <w:rsid w:val="00016F78"/>
    <w:rsid w:val="00046945"/>
    <w:rsid w:val="000503CE"/>
    <w:rsid w:val="00052119"/>
    <w:rsid w:val="00061B2A"/>
    <w:rsid w:val="00066823"/>
    <w:rsid w:val="00082362"/>
    <w:rsid w:val="000A683E"/>
    <w:rsid w:val="000B19B9"/>
    <w:rsid w:val="000C2996"/>
    <w:rsid w:val="000D0334"/>
    <w:rsid w:val="000F6486"/>
    <w:rsid w:val="00125105"/>
    <w:rsid w:val="00127233"/>
    <w:rsid w:val="0014159F"/>
    <w:rsid w:val="001511A0"/>
    <w:rsid w:val="00164714"/>
    <w:rsid w:val="001B6071"/>
    <w:rsid w:val="001C2C56"/>
    <w:rsid w:val="001E4177"/>
    <w:rsid w:val="001F7DC6"/>
    <w:rsid w:val="002421BB"/>
    <w:rsid w:val="00253460"/>
    <w:rsid w:val="0025796E"/>
    <w:rsid w:val="002707A2"/>
    <w:rsid w:val="002951A0"/>
    <w:rsid w:val="002962BC"/>
    <w:rsid w:val="002A093D"/>
    <w:rsid w:val="002A0DD0"/>
    <w:rsid w:val="002A49AC"/>
    <w:rsid w:val="002A64FD"/>
    <w:rsid w:val="002C551E"/>
    <w:rsid w:val="002C7A84"/>
    <w:rsid w:val="002E1FDE"/>
    <w:rsid w:val="002E4FD9"/>
    <w:rsid w:val="0031229D"/>
    <w:rsid w:val="00322A85"/>
    <w:rsid w:val="00324168"/>
    <w:rsid w:val="003448F4"/>
    <w:rsid w:val="00355DDD"/>
    <w:rsid w:val="00374F5E"/>
    <w:rsid w:val="00377E3E"/>
    <w:rsid w:val="003A779E"/>
    <w:rsid w:val="003B6CA8"/>
    <w:rsid w:val="003C66BF"/>
    <w:rsid w:val="003D0F4D"/>
    <w:rsid w:val="003D5B0D"/>
    <w:rsid w:val="003E0499"/>
    <w:rsid w:val="003F3941"/>
    <w:rsid w:val="00406575"/>
    <w:rsid w:val="00414C74"/>
    <w:rsid w:val="004264D1"/>
    <w:rsid w:val="004269EF"/>
    <w:rsid w:val="0042722E"/>
    <w:rsid w:val="0044528D"/>
    <w:rsid w:val="00455D63"/>
    <w:rsid w:val="00471D82"/>
    <w:rsid w:val="004720E8"/>
    <w:rsid w:val="004A1847"/>
    <w:rsid w:val="004A305D"/>
    <w:rsid w:val="004F21C4"/>
    <w:rsid w:val="004F685F"/>
    <w:rsid w:val="00534578"/>
    <w:rsid w:val="005566E8"/>
    <w:rsid w:val="00574867"/>
    <w:rsid w:val="00591460"/>
    <w:rsid w:val="00597171"/>
    <w:rsid w:val="005B3816"/>
    <w:rsid w:val="005B51AD"/>
    <w:rsid w:val="005C3777"/>
    <w:rsid w:val="005C3E1F"/>
    <w:rsid w:val="005C5CDC"/>
    <w:rsid w:val="005D3AE0"/>
    <w:rsid w:val="005D476C"/>
    <w:rsid w:val="005F0B1C"/>
    <w:rsid w:val="006219F8"/>
    <w:rsid w:val="0065756A"/>
    <w:rsid w:val="00663874"/>
    <w:rsid w:val="00665D70"/>
    <w:rsid w:val="006900D9"/>
    <w:rsid w:val="00693E8C"/>
    <w:rsid w:val="00706C16"/>
    <w:rsid w:val="00711102"/>
    <w:rsid w:val="007121AA"/>
    <w:rsid w:val="00714781"/>
    <w:rsid w:val="00720C6C"/>
    <w:rsid w:val="0074107F"/>
    <w:rsid w:val="00756841"/>
    <w:rsid w:val="007649AB"/>
    <w:rsid w:val="00771D0C"/>
    <w:rsid w:val="007819E3"/>
    <w:rsid w:val="007833AC"/>
    <w:rsid w:val="007B268C"/>
    <w:rsid w:val="007B7171"/>
    <w:rsid w:val="007C0C0F"/>
    <w:rsid w:val="007C3DC2"/>
    <w:rsid w:val="007C40CD"/>
    <w:rsid w:val="007D1A21"/>
    <w:rsid w:val="007E5497"/>
    <w:rsid w:val="00806F5F"/>
    <w:rsid w:val="00820278"/>
    <w:rsid w:val="00826E62"/>
    <w:rsid w:val="00843B0F"/>
    <w:rsid w:val="00865B14"/>
    <w:rsid w:val="00867F95"/>
    <w:rsid w:val="008843B6"/>
    <w:rsid w:val="00891928"/>
    <w:rsid w:val="008A446D"/>
    <w:rsid w:val="008C0736"/>
    <w:rsid w:val="008D180B"/>
    <w:rsid w:val="008F0EA7"/>
    <w:rsid w:val="00923EEF"/>
    <w:rsid w:val="009419F9"/>
    <w:rsid w:val="00947918"/>
    <w:rsid w:val="0095685E"/>
    <w:rsid w:val="00961B09"/>
    <w:rsid w:val="00965334"/>
    <w:rsid w:val="009671D0"/>
    <w:rsid w:val="0097093E"/>
    <w:rsid w:val="00986AC5"/>
    <w:rsid w:val="009A0DFA"/>
    <w:rsid w:val="009B2D26"/>
    <w:rsid w:val="009B4C1F"/>
    <w:rsid w:val="009C71FA"/>
    <w:rsid w:val="009C72E7"/>
    <w:rsid w:val="009D3058"/>
    <w:rsid w:val="009D67DF"/>
    <w:rsid w:val="009D7AA1"/>
    <w:rsid w:val="009F3A13"/>
    <w:rsid w:val="00A122D3"/>
    <w:rsid w:val="00A17F13"/>
    <w:rsid w:val="00A20739"/>
    <w:rsid w:val="00A2491D"/>
    <w:rsid w:val="00A33C78"/>
    <w:rsid w:val="00A351DD"/>
    <w:rsid w:val="00A63633"/>
    <w:rsid w:val="00AA08F0"/>
    <w:rsid w:val="00AB0ADB"/>
    <w:rsid w:val="00AD3688"/>
    <w:rsid w:val="00B01B1A"/>
    <w:rsid w:val="00B1272A"/>
    <w:rsid w:val="00B66319"/>
    <w:rsid w:val="00B72CD3"/>
    <w:rsid w:val="00B72FFF"/>
    <w:rsid w:val="00B87CE1"/>
    <w:rsid w:val="00BB4793"/>
    <w:rsid w:val="00BC3D36"/>
    <w:rsid w:val="00BD7EB2"/>
    <w:rsid w:val="00BD7F72"/>
    <w:rsid w:val="00C04FB3"/>
    <w:rsid w:val="00C25AD6"/>
    <w:rsid w:val="00C330EB"/>
    <w:rsid w:val="00C41061"/>
    <w:rsid w:val="00C66204"/>
    <w:rsid w:val="00C754BE"/>
    <w:rsid w:val="00C76B1C"/>
    <w:rsid w:val="00CB6357"/>
    <w:rsid w:val="00CC1B26"/>
    <w:rsid w:val="00CE144A"/>
    <w:rsid w:val="00D15095"/>
    <w:rsid w:val="00D423A2"/>
    <w:rsid w:val="00D520D8"/>
    <w:rsid w:val="00D63AC2"/>
    <w:rsid w:val="00D7383B"/>
    <w:rsid w:val="00DA231B"/>
    <w:rsid w:val="00DC39FC"/>
    <w:rsid w:val="00DF5254"/>
    <w:rsid w:val="00E138D7"/>
    <w:rsid w:val="00E16408"/>
    <w:rsid w:val="00E20894"/>
    <w:rsid w:val="00E245AB"/>
    <w:rsid w:val="00E2764C"/>
    <w:rsid w:val="00E27F2E"/>
    <w:rsid w:val="00E33EFF"/>
    <w:rsid w:val="00E36D89"/>
    <w:rsid w:val="00E50AFE"/>
    <w:rsid w:val="00E62E55"/>
    <w:rsid w:val="00E75C92"/>
    <w:rsid w:val="00E771DC"/>
    <w:rsid w:val="00E8772A"/>
    <w:rsid w:val="00E90F6B"/>
    <w:rsid w:val="00E92C27"/>
    <w:rsid w:val="00EA0E3D"/>
    <w:rsid w:val="00EC38A7"/>
    <w:rsid w:val="00ED7384"/>
    <w:rsid w:val="00EE1AA8"/>
    <w:rsid w:val="00F047F9"/>
    <w:rsid w:val="00F05AFE"/>
    <w:rsid w:val="00F31EDC"/>
    <w:rsid w:val="00F3512D"/>
    <w:rsid w:val="00F462B3"/>
    <w:rsid w:val="00F56460"/>
    <w:rsid w:val="00F5664F"/>
    <w:rsid w:val="00F579A7"/>
    <w:rsid w:val="00F666C4"/>
    <w:rsid w:val="00F76AFC"/>
    <w:rsid w:val="00F96420"/>
    <w:rsid w:val="00FA47C0"/>
    <w:rsid w:val="00FB0EE6"/>
    <w:rsid w:val="00FB5DD1"/>
    <w:rsid w:val="00FC2B5D"/>
    <w:rsid w:val="00FF1449"/>
    <w:rsid w:val="165E9519"/>
    <w:rsid w:val="382536D9"/>
    <w:rsid w:val="3B655EFA"/>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62E5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62E55"/>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manuales-guias-y-pliegos-tipo/manuales-y-guias" TargetMode="External"/><Relationship Id="rId1" Type="http://schemas.openxmlformats.org/officeDocument/2006/relationships/hyperlink" Target="https://www.colombiacompra.gov.co/wp-content/uploads/2025/06/Guia-para-la-Celebracion-de-Convenios-Solidarios-20250618.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documentManagement/types"/>
    <ds:schemaRef ds:uri="http://schemas.openxmlformats.org/package/2006/metadata/core-properties"/>
    <ds:schemaRef ds:uri="http://purl.org/dc/dcmitype/"/>
    <ds:schemaRef ds:uri="http://purl.org/dc/elements/1.1/"/>
    <ds:schemaRef ds:uri="http://schemas.microsoft.com/office/2006/metadata/properties"/>
    <ds:schemaRef ds:uri="http://schemas.microsoft.com/office/infopath/2007/PartnerControls"/>
    <ds:schemaRef ds:uri="http://purl.org/dc/terms/"/>
    <ds:schemaRef ds:uri="a6cb9e4b-f1d1-4245-83ec-6cad768d538a"/>
    <ds:schemaRef ds:uri="9d85dbaf-23eb-4e57-a637-93dcacc8b1a1"/>
    <ds:schemaRef ds:uri="http://www.w3.org/XML/1998/namespace"/>
  </ds:schemaRefs>
</ds:datastoreItem>
</file>

<file path=customXml/itemProps3.xml><?xml version="1.0" encoding="utf-8"?>
<ds:datastoreItem xmlns:ds="http://schemas.openxmlformats.org/officeDocument/2006/customXml" ds:itemID="{2E3B5992-564D-48F9-A2BC-DB28606742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10874</Words>
  <Characters>59808</Characters>
  <Application>Microsoft Office Word</Application>
  <DocSecurity>0</DocSecurity>
  <Lines>498</Lines>
  <Paragraphs>141</Paragraphs>
  <ScaleCrop>false</ScaleCrop>
  <Company/>
  <LinksUpToDate>false</LinksUpToDate>
  <CharactersWithSpaces>70541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2025-09-04T17:01:00Z</dcterms:created>
  <dcterms:modified xsi:type="dcterms:W3CDTF">2025-09-04T17:01:00Z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