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67D50" w14:textId="585A88C9" w:rsidR="00071D26" w:rsidRPr="00071D26" w:rsidRDefault="00071D26" w:rsidP="00071D26">
      <w:pPr>
        <w:spacing w:after="0"/>
        <w:jc w:val="both"/>
        <w:rPr>
          <w:rFonts w:ascii="Verdana" w:hAnsi="Verdana"/>
        </w:rPr>
      </w:pPr>
      <w:bookmarkStart w:id="0" w:name="_Hlk143780582"/>
      <w:r w:rsidRPr="00071D26">
        <w:rPr>
          <w:rFonts w:ascii="Verdana" w:eastAsia="Aptos" w:hAnsi="Verdana" w:cs="Arial"/>
          <w:b/>
          <w:bCs/>
          <w:kern w:val="2"/>
          <w:lang w:val="es-ES_tradnl"/>
          <w14:ligatures w14:val="standardContextual"/>
        </w:rPr>
        <w:t>DOCUMENTOS TIPO – Fundamento normativo – Inalterabilidad</w:t>
      </w:r>
    </w:p>
    <w:p w14:paraId="6B024BAA" w14:textId="77777777" w:rsidR="00071D26" w:rsidRPr="00071D26" w:rsidRDefault="00071D26" w:rsidP="00071D26">
      <w:pPr>
        <w:spacing w:after="0" w:line="276" w:lineRule="auto"/>
        <w:jc w:val="both"/>
        <w:rPr>
          <w:rFonts w:ascii="Verdana" w:eastAsia="Aptos" w:hAnsi="Verdana" w:cs="Arial"/>
          <w:b/>
          <w:bCs/>
          <w:kern w:val="2"/>
          <w:lang w:val="es-ES_tradnl"/>
          <w14:ligatures w14:val="standardContextual"/>
        </w:rPr>
      </w:pPr>
    </w:p>
    <w:p w14:paraId="0D2E6B85" w14:textId="684D094A" w:rsidR="003839E9" w:rsidRDefault="003839E9" w:rsidP="003839E9">
      <w:pPr>
        <w:snapToGrid w:val="0"/>
        <w:spacing w:after="0" w:line="240" w:lineRule="auto"/>
        <w:jc w:val="both"/>
        <w:rPr>
          <w:rFonts w:ascii="Verdana" w:eastAsia="Calibri" w:hAnsi="Verdana" w:cs="Arial"/>
          <w:kern w:val="2"/>
          <w:sz w:val="20"/>
          <w:szCs w:val="20"/>
          <w:lang w:val="es-ES_tradnl"/>
          <w14:ligatures w14:val="standardContextual"/>
        </w:rPr>
      </w:pPr>
      <w:r w:rsidRPr="003839E9">
        <w:rPr>
          <w:rFonts w:ascii="Verdana" w:eastAsia="Calibri" w:hAnsi="Verdana" w:cs="Arial"/>
          <w:kern w:val="2"/>
          <w:sz w:val="20"/>
          <w:szCs w:val="20"/>
          <w:lang w:val="es-ES_tradnl"/>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EEF2847" w14:textId="77777777" w:rsidR="003839E9" w:rsidRPr="003839E9" w:rsidRDefault="003839E9" w:rsidP="003839E9">
      <w:pPr>
        <w:snapToGrid w:val="0"/>
        <w:spacing w:after="0" w:line="240" w:lineRule="auto"/>
        <w:jc w:val="both"/>
        <w:rPr>
          <w:rFonts w:ascii="Verdana" w:eastAsia="Calibri" w:hAnsi="Verdana" w:cs="Arial"/>
          <w:kern w:val="2"/>
          <w:sz w:val="20"/>
          <w:szCs w:val="20"/>
          <w:lang w:val="es-ES_tradnl"/>
          <w14:ligatures w14:val="standardContextual"/>
        </w:rPr>
      </w:pPr>
    </w:p>
    <w:p w14:paraId="48DF7F71" w14:textId="49718917" w:rsidR="003839E9" w:rsidRPr="003839E9" w:rsidRDefault="003839E9" w:rsidP="003839E9">
      <w:pPr>
        <w:snapToGrid w:val="0"/>
        <w:spacing w:after="0" w:line="240" w:lineRule="auto"/>
        <w:jc w:val="both"/>
        <w:rPr>
          <w:rFonts w:ascii="Verdana" w:eastAsia="Calibri" w:hAnsi="Verdana" w:cs="Arial"/>
          <w:kern w:val="2"/>
          <w:sz w:val="20"/>
          <w:szCs w:val="20"/>
          <w:lang w:val="es-ES_tradnl" w:eastAsia="es-ES"/>
          <w14:ligatures w14:val="standardContextual"/>
        </w:rPr>
      </w:pPr>
      <w:r w:rsidRPr="003839E9">
        <w:rPr>
          <w:rFonts w:ascii="Verdana" w:eastAsia="Times New Roman" w:hAnsi="Verdana" w:cs="Arial"/>
          <w:kern w:val="2"/>
          <w:sz w:val="20"/>
          <w:szCs w:val="20"/>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3839E9">
        <w:rPr>
          <w:rFonts w:ascii="Verdana" w:eastAsia="Times New Roman" w:hAnsi="Verdana" w:cs="Arial"/>
          <w:i/>
          <w:iCs/>
          <w:kern w:val="2"/>
          <w:sz w:val="20"/>
          <w:szCs w:val="20"/>
          <w:shd w:val="clear" w:color="auto" w:fill="FFFFFF"/>
          <w:lang w:val="es-ES_tradnl" w:eastAsia="es-ES_tradnl"/>
          <w14:ligatures w14:val="standardContextual"/>
        </w:rPr>
        <w:t>Documentos del Proceso</w:t>
      </w:r>
      <w:r w:rsidRPr="003839E9">
        <w:rPr>
          <w:rFonts w:ascii="Verdana" w:eastAsia="Times New Roman" w:hAnsi="Verdana" w:cs="Arial"/>
          <w:kern w:val="2"/>
          <w:sz w:val="20"/>
          <w:szCs w:val="20"/>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C2AEA1B" w14:textId="77777777" w:rsidR="00071D26" w:rsidRPr="003839E9" w:rsidRDefault="00071D26" w:rsidP="00071D26">
      <w:pPr>
        <w:spacing w:after="0" w:line="276" w:lineRule="auto"/>
        <w:jc w:val="both"/>
        <w:rPr>
          <w:rFonts w:ascii="Verdana" w:eastAsia="Aptos" w:hAnsi="Verdana" w:cs="Arial"/>
          <w:b/>
          <w:bCs/>
          <w:kern w:val="2"/>
          <w:lang w:val="es-ES_tradnl"/>
          <w14:ligatures w14:val="standardContextual"/>
        </w:rPr>
      </w:pPr>
    </w:p>
    <w:p w14:paraId="15641A61" w14:textId="77777777" w:rsidR="00071D26" w:rsidRPr="00071D26" w:rsidRDefault="00071D26" w:rsidP="00071D26">
      <w:pPr>
        <w:spacing w:after="0" w:line="276" w:lineRule="auto"/>
        <w:jc w:val="both"/>
        <w:rPr>
          <w:rFonts w:ascii="Verdana" w:eastAsia="Aptos" w:hAnsi="Verdana" w:cs="Arial"/>
          <w:b/>
          <w:bCs/>
          <w:kern w:val="2"/>
          <w:lang w:val="es-ES_tradnl"/>
          <w14:ligatures w14:val="standardContextual"/>
        </w:rPr>
      </w:pPr>
      <w:r w:rsidRPr="00071D26">
        <w:rPr>
          <w:rFonts w:ascii="Verdana" w:eastAsia="Aptos" w:hAnsi="Verdana" w:cs="Arial"/>
          <w:b/>
          <w:bCs/>
          <w:kern w:val="2"/>
          <w:lang w:val="es-ES_tradnl"/>
          <w14:ligatures w14:val="standardContextual"/>
        </w:rPr>
        <w:t>DOCUMENTOS TIPO – Infraestructura de agua potable y saneamiento básico – Anexo 5 – Minuta del Contrato</w:t>
      </w:r>
    </w:p>
    <w:p w14:paraId="3C54A56C" w14:textId="77777777" w:rsidR="00071D26" w:rsidRPr="00071D26" w:rsidRDefault="00071D26" w:rsidP="00071D26">
      <w:pPr>
        <w:spacing w:after="0" w:line="276" w:lineRule="auto"/>
        <w:jc w:val="both"/>
        <w:rPr>
          <w:rFonts w:ascii="Verdana" w:eastAsia="Aptos" w:hAnsi="Verdana" w:cs="Arial"/>
          <w:b/>
          <w:bCs/>
          <w:kern w:val="2"/>
          <w:lang w:val="es-ES_tradnl"/>
          <w14:ligatures w14:val="standardContextual"/>
        </w:rPr>
      </w:pPr>
    </w:p>
    <w:p w14:paraId="3ABE49B1" w14:textId="5DAE720D" w:rsidR="002C23E8" w:rsidRDefault="002C23E8" w:rsidP="002C23E8">
      <w:pPr>
        <w:widowControl w:val="0"/>
        <w:autoSpaceDE w:val="0"/>
        <w:autoSpaceDN w:val="0"/>
        <w:snapToGrid w:val="0"/>
        <w:spacing w:after="0" w:line="240" w:lineRule="auto"/>
        <w:jc w:val="both"/>
        <w:rPr>
          <w:rFonts w:ascii="Verdana" w:eastAsia="Calibri" w:hAnsi="Verdana" w:cs="Arial"/>
          <w:kern w:val="2"/>
          <w:sz w:val="20"/>
          <w:szCs w:val="20"/>
          <w:lang w:val="es-ES_tradnl" w:eastAsia="es-MX"/>
          <w14:ligatures w14:val="standardContextual"/>
        </w:rPr>
      </w:pPr>
      <w:r w:rsidRPr="002C23E8">
        <w:rPr>
          <w:rFonts w:ascii="Verdana" w:eastAsia="Calibri" w:hAnsi="Verdana" w:cs="Arial"/>
          <w:kern w:val="2"/>
          <w:sz w:val="20"/>
          <w:szCs w:val="20"/>
          <w:lang w:val="es-ES_tradnl" w:eastAsia="es-MX"/>
          <w14:ligatures w14:val="standardContextual"/>
        </w:rPr>
        <w:t>Por otra parte, los documentos tipo de infraestructura de agua potable y saneamiento básico se componen del “Anexo 5 – Minuta del Contrato”, el cual consta de veinticinco (25) cláusulas orientadas a servir de insumo para el contrato que finalmente será suscrito por las partes. Este anexo constituye una particularidad frente a los demás anexos de los documentos tipo, ya que no está destinado a regular aspectos propios del proceso de selección sino de la relación contractual.</w:t>
      </w:r>
    </w:p>
    <w:p w14:paraId="07876884" w14:textId="77777777" w:rsidR="002C23E8" w:rsidRPr="002C23E8" w:rsidRDefault="002C23E8" w:rsidP="002C23E8">
      <w:pPr>
        <w:widowControl w:val="0"/>
        <w:autoSpaceDE w:val="0"/>
        <w:autoSpaceDN w:val="0"/>
        <w:snapToGrid w:val="0"/>
        <w:spacing w:after="0" w:line="240" w:lineRule="auto"/>
        <w:jc w:val="both"/>
        <w:rPr>
          <w:rFonts w:ascii="Verdana" w:eastAsia="Calibri" w:hAnsi="Verdana" w:cs="Arial"/>
          <w:kern w:val="2"/>
          <w:sz w:val="20"/>
          <w:szCs w:val="20"/>
          <w:lang w:val="es-ES_tradnl" w:eastAsia="es-MX"/>
          <w14:ligatures w14:val="standardContextual"/>
        </w:rPr>
      </w:pPr>
    </w:p>
    <w:p w14:paraId="3DB538F4" w14:textId="499D1AFA" w:rsidR="00071D26" w:rsidRDefault="002C23E8" w:rsidP="002C23E8">
      <w:pPr>
        <w:widowControl w:val="0"/>
        <w:autoSpaceDE w:val="0"/>
        <w:autoSpaceDN w:val="0"/>
        <w:snapToGrid w:val="0"/>
        <w:spacing w:after="0" w:line="240" w:lineRule="auto"/>
        <w:jc w:val="both"/>
        <w:rPr>
          <w:rFonts w:ascii="Verdana" w:eastAsia="Calibri" w:hAnsi="Verdana" w:cs="Arial"/>
          <w:kern w:val="2"/>
          <w:sz w:val="20"/>
          <w:szCs w:val="20"/>
          <w:lang w:val="es-ES" w:eastAsia="es-MX"/>
          <w14:ligatures w14:val="standardContextual"/>
        </w:rPr>
      </w:pPr>
      <w:proofErr w:type="gramStart"/>
      <w:r w:rsidRPr="002C23E8">
        <w:rPr>
          <w:rFonts w:ascii="Verdana" w:eastAsia="Calibri" w:hAnsi="Verdana" w:cs="Arial"/>
          <w:kern w:val="2"/>
          <w:sz w:val="20"/>
          <w:szCs w:val="20"/>
          <w:lang w:val="es-ES_tradnl" w:eastAsia="es-MX"/>
          <w14:ligatures w14:val="standardContextual"/>
        </w:rPr>
        <w:t>En razón de</w:t>
      </w:r>
      <w:proofErr w:type="gramEnd"/>
      <w:r w:rsidRPr="002C23E8">
        <w:rPr>
          <w:rFonts w:ascii="Verdana" w:eastAsia="Calibri" w:hAnsi="Verdana" w:cs="Arial"/>
          <w:kern w:val="2"/>
          <w:sz w:val="20"/>
          <w:szCs w:val="20"/>
          <w:lang w:val="es-ES_tradnl" w:eastAsia="es-MX"/>
          <w14:ligatures w14:val="standardContextual"/>
        </w:rPr>
        <w:t xml:space="preserve"> ello, dentro de las 25 cláusulas que conforman este documento, es posible encontrar una serie de apartados grises entre corchetes –que se presentan con mayor frecuencia que en otros documentos– destinados a que las entidades estatales, en el marco de la autonomía que les corresponde, dispongan en ellos información relativa a las necesidades que pretenden satisfacer, el objeto a contratar y, en general, información necesaria para regular la relación contractual. Lo anterior teniendo en cuenta los aspectos más básicos del contrato, como el objeto, el plazo, la forma de pago, las obligaciones, etc., a partir de opciones, alternativas y sugerencias de cláusulas preestablecidas en el Anexo 5. Al respecto, el documento base establece en el “CAPÍTULO VIII MINUTA Y CONDICIONES DEL CONTRATO” lo siguiente</w:t>
      </w:r>
      <w:r>
        <w:rPr>
          <w:rFonts w:ascii="Verdana" w:eastAsia="Calibri" w:hAnsi="Verdana" w:cs="Arial"/>
          <w:kern w:val="2"/>
          <w:sz w:val="20"/>
          <w:szCs w:val="20"/>
          <w:lang w:val="es-ES_tradnl" w:eastAsia="es-MX"/>
          <w14:ligatures w14:val="standardContextual"/>
        </w:rPr>
        <w:t xml:space="preserve">: </w:t>
      </w:r>
      <w:r w:rsidR="00071D26" w:rsidRPr="5B6BE307">
        <w:rPr>
          <w:rFonts w:ascii="Verdana" w:eastAsia="Calibri" w:hAnsi="Verdana" w:cs="Arial"/>
          <w:kern w:val="2"/>
          <w:sz w:val="20"/>
          <w:szCs w:val="20"/>
          <w:lang w:val="es-ES" w:eastAsia="es-MX"/>
          <w14:ligatures w14:val="standardContextual"/>
        </w:rPr>
        <w:t>[…</w:t>
      </w:r>
      <w:r w:rsidR="00512B14">
        <w:rPr>
          <w:rFonts w:ascii="Verdana" w:eastAsia="Calibri" w:hAnsi="Verdana" w:cs="Arial"/>
          <w:kern w:val="2"/>
          <w:sz w:val="20"/>
          <w:szCs w:val="20"/>
          <w:lang w:val="es-ES" w:eastAsia="es-MX"/>
          <w14:ligatures w14:val="standardContextual"/>
        </w:rPr>
        <w:t>]</w:t>
      </w:r>
    </w:p>
    <w:p w14:paraId="7BBFF8E1" w14:textId="77777777" w:rsidR="00512B14" w:rsidRDefault="00512B14" w:rsidP="002C23E8">
      <w:pPr>
        <w:widowControl w:val="0"/>
        <w:autoSpaceDE w:val="0"/>
        <w:autoSpaceDN w:val="0"/>
        <w:snapToGrid w:val="0"/>
        <w:spacing w:after="0" w:line="240" w:lineRule="auto"/>
        <w:jc w:val="both"/>
        <w:rPr>
          <w:rFonts w:ascii="Verdana" w:eastAsia="Calibri" w:hAnsi="Verdana" w:cs="Arial"/>
          <w:kern w:val="2"/>
          <w:sz w:val="20"/>
          <w:szCs w:val="20"/>
          <w:lang w:val="es-ES" w:eastAsia="es-MX"/>
          <w14:ligatures w14:val="standardContextual"/>
        </w:rPr>
      </w:pPr>
    </w:p>
    <w:p w14:paraId="56366185" w14:textId="77777777" w:rsidR="00512B14" w:rsidRDefault="00512B14" w:rsidP="002C23E8">
      <w:pPr>
        <w:widowControl w:val="0"/>
        <w:autoSpaceDE w:val="0"/>
        <w:autoSpaceDN w:val="0"/>
        <w:snapToGrid w:val="0"/>
        <w:spacing w:after="0" w:line="240" w:lineRule="auto"/>
        <w:jc w:val="both"/>
        <w:rPr>
          <w:rFonts w:ascii="Verdana" w:eastAsia="Calibri" w:hAnsi="Verdana" w:cs="Arial"/>
          <w:kern w:val="2"/>
          <w:sz w:val="20"/>
          <w:szCs w:val="20"/>
          <w:lang w:val="es-ES" w:eastAsia="es-MX"/>
          <w14:ligatures w14:val="standardContextual"/>
        </w:rPr>
      </w:pPr>
    </w:p>
    <w:p w14:paraId="0BFFDE6B" w14:textId="77777777" w:rsidR="00512B14" w:rsidRPr="002C23E8" w:rsidRDefault="00512B14" w:rsidP="002C23E8">
      <w:pPr>
        <w:widowControl w:val="0"/>
        <w:autoSpaceDE w:val="0"/>
        <w:autoSpaceDN w:val="0"/>
        <w:snapToGrid w:val="0"/>
        <w:spacing w:after="0" w:line="240" w:lineRule="auto"/>
        <w:jc w:val="both"/>
        <w:rPr>
          <w:rFonts w:ascii="Verdana" w:eastAsia="Calibri" w:hAnsi="Verdana" w:cs="Arial"/>
          <w:kern w:val="2"/>
          <w:sz w:val="20"/>
          <w:szCs w:val="20"/>
          <w:lang w:val="es-ES" w:eastAsia="es-MX"/>
          <w14:ligatures w14:val="standardContextual"/>
        </w:rPr>
      </w:pPr>
    </w:p>
    <w:p w14:paraId="310D215C" w14:textId="6B0C0F17" w:rsidR="00071D26" w:rsidRPr="00071D26" w:rsidRDefault="00071D26" w:rsidP="00071D26">
      <w:pPr>
        <w:spacing w:after="0" w:line="240" w:lineRule="auto"/>
        <w:jc w:val="both"/>
        <w:rPr>
          <w:rFonts w:ascii="Verdana" w:eastAsia="Calibri" w:hAnsi="Verdana" w:cs="Arial"/>
          <w:lang w:val="es-ES_tradnl"/>
        </w:rPr>
      </w:pPr>
      <w:r w:rsidRPr="0044528D">
        <w:rPr>
          <w:rFonts w:ascii="Verdana" w:hAnsi="Verdana"/>
        </w:rPr>
        <w:lastRenderedPageBreak/>
        <w:t xml:space="preserve">Bogotá D.C., </w:t>
      </w:r>
      <w:r w:rsidR="0033701C">
        <w:rPr>
          <w:rFonts w:ascii="Verdana" w:hAnsi="Verdana"/>
        </w:rPr>
        <w:t>04 Septiembre 2025</w:t>
      </w:r>
    </w:p>
    <w:p w14:paraId="6C56BE95" w14:textId="77777777" w:rsidR="00071D26" w:rsidRDefault="00071D26" w:rsidP="00071D26">
      <w:pPr>
        <w:spacing w:after="0" w:line="240" w:lineRule="auto"/>
        <w:jc w:val="both"/>
        <w:rPr>
          <w:rFonts w:ascii="Verdana" w:eastAsia="Calibri" w:hAnsi="Verdana" w:cs="Arial"/>
          <w:lang w:val="es-ES_tradnl"/>
        </w:rPr>
      </w:pPr>
    </w:p>
    <w:p w14:paraId="66E7A088" w14:textId="696EA003" w:rsidR="00071D26" w:rsidRDefault="0033701C" w:rsidP="0033701C">
      <w:pPr>
        <w:spacing w:after="0" w:line="240" w:lineRule="auto"/>
        <w:jc w:val="right"/>
        <w:rPr>
          <w:rFonts w:ascii="Verdana" w:eastAsia="Calibri" w:hAnsi="Verdana" w:cs="Arial"/>
          <w:lang w:val="es-ES_tradnl"/>
        </w:rPr>
      </w:pPr>
      <w:r>
        <w:rPr>
          <w:rFonts w:ascii="Verdana" w:eastAsia="Calibri" w:hAnsi="Verdana" w:cs="Arial"/>
          <w:noProof/>
          <w:lang w:val="es-ES_tradnl"/>
        </w:rPr>
        <w:drawing>
          <wp:inline distT="0" distB="0" distL="0" distR="0" wp14:anchorId="53FD770B" wp14:editId="0B292DFA">
            <wp:extent cx="2920114" cy="841741"/>
            <wp:effectExtent l="0" t="0" r="1270" b="0"/>
            <wp:docPr id="11971312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31279" name="Imagen 1197131279"/>
                    <pic:cNvPicPr/>
                  </pic:nvPicPr>
                  <pic:blipFill>
                    <a:blip r:embed="rId10">
                      <a:extLst>
                        <a:ext uri="{28A0092B-C50C-407E-A947-70E740481C1C}">
                          <a14:useLocalDpi xmlns:a14="http://schemas.microsoft.com/office/drawing/2010/main" val="0"/>
                        </a:ext>
                      </a:extLst>
                    </a:blip>
                    <a:stretch>
                      <a:fillRect/>
                    </a:stretch>
                  </pic:blipFill>
                  <pic:spPr>
                    <a:xfrm>
                      <a:off x="0" y="0"/>
                      <a:ext cx="2932511" cy="845315"/>
                    </a:xfrm>
                    <a:prstGeom prst="rect">
                      <a:avLst/>
                    </a:prstGeom>
                  </pic:spPr>
                </pic:pic>
              </a:graphicData>
            </a:graphic>
          </wp:inline>
        </w:drawing>
      </w:r>
    </w:p>
    <w:p w14:paraId="5A2AD136" w14:textId="77777777" w:rsidR="0033701C" w:rsidRPr="00071D26" w:rsidRDefault="0033701C" w:rsidP="00071D26">
      <w:pPr>
        <w:spacing w:after="0" w:line="240" w:lineRule="auto"/>
        <w:jc w:val="both"/>
        <w:rPr>
          <w:rFonts w:ascii="Verdana" w:eastAsia="Calibri" w:hAnsi="Verdana" w:cs="Arial"/>
          <w:lang w:val="es-ES_tradnl"/>
        </w:rPr>
      </w:pPr>
    </w:p>
    <w:p w14:paraId="56DA4114" w14:textId="77777777" w:rsidR="00071D26" w:rsidRPr="00071D26" w:rsidRDefault="00071D26" w:rsidP="00071D26">
      <w:pPr>
        <w:spacing w:after="0" w:line="240" w:lineRule="auto"/>
        <w:jc w:val="both"/>
        <w:rPr>
          <w:rFonts w:ascii="Verdana" w:eastAsia="Calibri" w:hAnsi="Verdana" w:cs="Arial"/>
          <w:lang w:val="es-ES_tradnl" w:eastAsia="es-ES"/>
        </w:rPr>
      </w:pPr>
      <w:r w:rsidRPr="00071D26">
        <w:rPr>
          <w:rFonts w:ascii="Verdana" w:eastAsia="Calibri" w:hAnsi="Verdana" w:cs="Arial"/>
          <w:lang w:val="es-ES_tradnl" w:eastAsia="es-ES"/>
        </w:rPr>
        <w:t>Señora</w:t>
      </w:r>
    </w:p>
    <w:p w14:paraId="0DFF8C49" w14:textId="77777777" w:rsidR="00071D26" w:rsidRPr="00071D26" w:rsidRDefault="00071D26" w:rsidP="00071D26">
      <w:pPr>
        <w:spacing w:after="0" w:line="240" w:lineRule="auto"/>
        <w:rPr>
          <w:rFonts w:ascii="Verdana" w:eastAsia="Calibri" w:hAnsi="Verdana" w:cs="Arial"/>
          <w:b/>
          <w:lang w:val="es-ES" w:eastAsia="es-ES"/>
        </w:rPr>
      </w:pPr>
      <w:r w:rsidRPr="5B6BE307">
        <w:rPr>
          <w:rFonts w:ascii="Verdana" w:eastAsia="Calibri" w:hAnsi="Verdana" w:cs="Arial"/>
          <w:b/>
          <w:lang w:val="es-ES" w:eastAsia="es-ES"/>
        </w:rPr>
        <w:t xml:space="preserve">Gloria Milena Cruz </w:t>
      </w:r>
      <w:proofErr w:type="spellStart"/>
      <w:r w:rsidRPr="5B6BE307">
        <w:rPr>
          <w:rFonts w:ascii="Verdana" w:eastAsia="Calibri" w:hAnsi="Verdana" w:cs="Arial"/>
          <w:b/>
          <w:lang w:val="es-ES" w:eastAsia="es-ES"/>
        </w:rPr>
        <w:t>Alzate</w:t>
      </w:r>
      <w:proofErr w:type="spellEnd"/>
    </w:p>
    <w:p w14:paraId="1FB59534" w14:textId="77777777" w:rsidR="00071D26" w:rsidRPr="00071D26" w:rsidRDefault="00071D26" w:rsidP="00071D26">
      <w:pPr>
        <w:spacing w:after="0" w:line="240" w:lineRule="auto"/>
        <w:rPr>
          <w:rFonts w:ascii="Verdana" w:eastAsia="Calibri" w:hAnsi="Verdana" w:cs="Arial"/>
          <w:b/>
          <w:bCs/>
          <w:lang w:val="es-ES_tradnl" w:eastAsia="es-ES_tradnl"/>
        </w:rPr>
      </w:pPr>
      <w:r w:rsidRPr="00071D26">
        <w:rPr>
          <w:rFonts w:ascii="Verdana" w:eastAsia="Calibri" w:hAnsi="Verdana" w:cs="Arial"/>
          <w:lang w:val="es-ES_tradnl" w:eastAsia="es-ES"/>
        </w:rPr>
        <w:t>Ibagué, Tolima</w:t>
      </w:r>
    </w:p>
    <w:p w14:paraId="1429A6B6" w14:textId="77777777" w:rsidR="00071D26" w:rsidRPr="00071D26" w:rsidRDefault="00071D26" w:rsidP="00071D2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71D26" w:rsidRPr="00071D26" w14:paraId="452F7C4F" w14:textId="77777777" w:rsidTr="00064BA0">
        <w:trPr>
          <w:trHeight w:val="884"/>
        </w:trPr>
        <w:tc>
          <w:tcPr>
            <w:tcW w:w="2689" w:type="dxa"/>
          </w:tcPr>
          <w:p w14:paraId="1CED5E26" w14:textId="77777777" w:rsidR="00071D26" w:rsidRPr="00071D26" w:rsidRDefault="00071D26" w:rsidP="00071D26">
            <w:pPr>
              <w:jc w:val="both"/>
              <w:rPr>
                <w:rFonts w:ascii="Verdana" w:eastAsia="Calibri" w:hAnsi="Verdana" w:cs="Arial"/>
                <w:b/>
                <w:bCs/>
                <w:lang w:val="es-ES_tradnl" w:eastAsia="es-ES_tradnl"/>
              </w:rPr>
            </w:pPr>
          </w:p>
        </w:tc>
        <w:tc>
          <w:tcPr>
            <w:tcW w:w="6100" w:type="dxa"/>
          </w:tcPr>
          <w:p w14:paraId="59419CF6" w14:textId="77777777" w:rsidR="00071D26" w:rsidRPr="00071D26" w:rsidRDefault="00071D26" w:rsidP="00071D26">
            <w:pPr>
              <w:jc w:val="both"/>
              <w:rPr>
                <w:rFonts w:ascii="Verdana" w:eastAsia="Calibri" w:hAnsi="Verdana" w:cs="Arial"/>
                <w:b/>
                <w:bCs/>
                <w:lang w:val="es-ES_tradnl" w:eastAsia="es-ES"/>
              </w:rPr>
            </w:pPr>
            <w:r w:rsidRPr="00071D26">
              <w:rPr>
                <w:rFonts w:ascii="Verdana" w:eastAsia="Calibri" w:hAnsi="Verdana" w:cs="Arial"/>
                <w:b/>
                <w:bCs/>
                <w:lang w:val="es-ES_tradnl" w:eastAsia="es-ES"/>
              </w:rPr>
              <w:t>Concepto C – 1017 de 2025</w:t>
            </w:r>
          </w:p>
        </w:tc>
      </w:tr>
      <w:tr w:rsidR="00071D26" w:rsidRPr="00071D26" w14:paraId="528874A8" w14:textId="77777777" w:rsidTr="00064BA0">
        <w:trPr>
          <w:trHeight w:val="884"/>
        </w:trPr>
        <w:tc>
          <w:tcPr>
            <w:tcW w:w="2689" w:type="dxa"/>
          </w:tcPr>
          <w:p w14:paraId="49C0AE9A" w14:textId="77777777" w:rsidR="00071D26" w:rsidRPr="00071D26" w:rsidRDefault="00071D26" w:rsidP="00071D26">
            <w:pPr>
              <w:jc w:val="both"/>
              <w:rPr>
                <w:rFonts w:ascii="Verdana" w:eastAsia="Calibri" w:hAnsi="Verdana" w:cs="Arial"/>
                <w:lang w:val="es-ES_tradnl" w:eastAsia="es-ES_tradnl"/>
              </w:rPr>
            </w:pPr>
            <w:r w:rsidRPr="00071D26">
              <w:rPr>
                <w:rFonts w:ascii="Verdana" w:eastAsia="Calibri" w:hAnsi="Verdana" w:cs="Arial"/>
                <w:b/>
                <w:lang w:val="es-ES_tradnl" w:eastAsia="es-ES_tradnl"/>
              </w:rPr>
              <w:t>Temas:</w:t>
            </w:r>
            <w:r w:rsidRPr="00071D26">
              <w:rPr>
                <w:rFonts w:ascii="Verdana" w:eastAsia="Calibri" w:hAnsi="Verdana" w:cs="Arial"/>
                <w:lang w:val="es-ES_tradnl" w:eastAsia="es-ES_tradnl"/>
              </w:rPr>
              <w:t xml:space="preserve">                   </w:t>
            </w:r>
          </w:p>
        </w:tc>
        <w:tc>
          <w:tcPr>
            <w:tcW w:w="6100" w:type="dxa"/>
          </w:tcPr>
          <w:p w14:paraId="7FF723DB" w14:textId="77777777" w:rsidR="00071D26" w:rsidRPr="00071D26" w:rsidRDefault="00071D26" w:rsidP="00071D26">
            <w:pPr>
              <w:spacing w:line="276" w:lineRule="auto"/>
              <w:jc w:val="both"/>
              <w:rPr>
                <w:rFonts w:ascii="Verdana" w:eastAsia="Aptos" w:hAnsi="Verdana" w:cs="Arial"/>
                <w:lang w:val="es-ES_tradnl"/>
              </w:rPr>
            </w:pPr>
            <w:r w:rsidRPr="00071D26">
              <w:rPr>
                <w:rFonts w:ascii="Verdana" w:eastAsia="Aptos" w:hAnsi="Verdana" w:cs="Arial"/>
                <w:lang w:val="es-ES"/>
              </w:rPr>
              <w:t xml:space="preserve">DOCUMENTOS TIPO – Fundamento normativo – Inalterabilidad / </w:t>
            </w:r>
            <w:r w:rsidRPr="00071D26">
              <w:rPr>
                <w:rFonts w:ascii="Verdana" w:eastAsia="Aptos" w:hAnsi="Verdana" w:cs="Arial"/>
                <w:lang w:val="es-ES_tradnl"/>
              </w:rPr>
              <w:t>DOCUMENTOS TIPO – Infraestructura de agua potable y saneamiento básico – Anexo 5 – Minuta del Contrato</w:t>
            </w:r>
          </w:p>
          <w:p w14:paraId="47278790" w14:textId="77777777" w:rsidR="00071D26" w:rsidRPr="00071D26" w:rsidRDefault="00071D26" w:rsidP="00071D26">
            <w:pPr>
              <w:tabs>
                <w:tab w:val="left" w:pos="0"/>
              </w:tabs>
              <w:spacing w:line="276" w:lineRule="auto"/>
              <w:jc w:val="both"/>
              <w:rPr>
                <w:rFonts w:ascii="Verdana" w:eastAsia="Calibri" w:hAnsi="Verdana" w:cs="Arial"/>
                <w:lang w:val="es-ES_tradnl" w:eastAsia="es-ES"/>
              </w:rPr>
            </w:pPr>
          </w:p>
        </w:tc>
      </w:tr>
      <w:tr w:rsidR="00071D26" w:rsidRPr="00071D26" w14:paraId="7AC04531" w14:textId="77777777" w:rsidTr="00064BA0">
        <w:tc>
          <w:tcPr>
            <w:tcW w:w="2689" w:type="dxa"/>
          </w:tcPr>
          <w:p w14:paraId="57F02699" w14:textId="77777777" w:rsidR="00071D26" w:rsidRPr="00071D26" w:rsidRDefault="00071D26" w:rsidP="00071D26">
            <w:pPr>
              <w:jc w:val="both"/>
              <w:rPr>
                <w:rFonts w:ascii="Verdana" w:eastAsia="Calibri" w:hAnsi="Verdana" w:cs="Arial"/>
                <w:b/>
                <w:lang w:val="es-ES_tradnl" w:eastAsia="es-ES_tradnl"/>
              </w:rPr>
            </w:pPr>
            <w:r w:rsidRPr="00071D26">
              <w:rPr>
                <w:rFonts w:ascii="Verdana" w:eastAsia="Calibri" w:hAnsi="Verdana" w:cs="Arial"/>
                <w:b/>
                <w:lang w:val="es-ES_tradnl" w:eastAsia="es-ES_tradnl"/>
              </w:rPr>
              <w:t>Radicación:</w:t>
            </w:r>
            <w:r w:rsidRPr="00071D26">
              <w:rPr>
                <w:rFonts w:ascii="Verdana" w:eastAsia="Calibri" w:hAnsi="Verdana" w:cs="Arial"/>
                <w:lang w:val="es-ES_tradnl" w:eastAsia="es-ES_tradnl"/>
              </w:rPr>
              <w:t xml:space="preserve">               </w:t>
            </w:r>
          </w:p>
        </w:tc>
        <w:tc>
          <w:tcPr>
            <w:tcW w:w="6100" w:type="dxa"/>
          </w:tcPr>
          <w:p w14:paraId="3305A60E" w14:textId="77777777" w:rsidR="00071D26" w:rsidRPr="00071D26" w:rsidRDefault="00071D26" w:rsidP="00071D26">
            <w:pPr>
              <w:jc w:val="both"/>
              <w:rPr>
                <w:rFonts w:ascii="Verdana" w:eastAsia="Calibri" w:hAnsi="Verdana" w:cs="Arial"/>
                <w:lang w:val="es-ES_tradnl" w:eastAsia="es-ES_tradnl"/>
              </w:rPr>
            </w:pPr>
            <w:r w:rsidRPr="00071D26">
              <w:rPr>
                <w:rFonts w:ascii="Verdana" w:eastAsia="Calibri" w:hAnsi="Verdana" w:cs="Arial"/>
                <w:lang w:val="es-ES_tradnl" w:eastAsia="es-ES_tradnl"/>
              </w:rPr>
              <w:t>Respuesta a consulta con radicado No. 1_2025_07_24_007644</w:t>
            </w:r>
          </w:p>
        </w:tc>
      </w:tr>
    </w:tbl>
    <w:p w14:paraId="3D2B6E66" w14:textId="77777777" w:rsidR="00071D26" w:rsidRPr="00071D26" w:rsidRDefault="00071D26" w:rsidP="00071D26">
      <w:pPr>
        <w:spacing w:after="0" w:line="240" w:lineRule="auto"/>
        <w:jc w:val="both"/>
        <w:rPr>
          <w:rFonts w:ascii="Verdana" w:eastAsia="Calibri" w:hAnsi="Verdana" w:cs="Arial"/>
          <w:lang w:val="es-ES_tradnl" w:eastAsia="es-ES_tradnl"/>
        </w:rPr>
      </w:pPr>
    </w:p>
    <w:p w14:paraId="463713CC" w14:textId="77777777" w:rsidR="00071D26" w:rsidRPr="00071D26" w:rsidRDefault="00071D26" w:rsidP="00071D26">
      <w:pPr>
        <w:spacing w:after="0" w:line="240" w:lineRule="auto"/>
        <w:jc w:val="both"/>
        <w:rPr>
          <w:rFonts w:ascii="Verdana" w:eastAsia="Calibri" w:hAnsi="Verdana" w:cs="Arial"/>
          <w:lang w:val="es-ES_tradnl" w:eastAsia="es-ES_tradnl"/>
        </w:rPr>
      </w:pPr>
    </w:p>
    <w:p w14:paraId="49FF63A8" w14:textId="77777777" w:rsidR="00071D26" w:rsidRPr="00071D26" w:rsidRDefault="00071D26" w:rsidP="00071D26">
      <w:pPr>
        <w:spacing w:after="0" w:line="276" w:lineRule="auto"/>
        <w:jc w:val="both"/>
        <w:rPr>
          <w:rFonts w:ascii="Verdana" w:eastAsia="Calibri" w:hAnsi="Verdana" w:cs="Arial"/>
          <w:lang w:val="es-ES" w:eastAsia="es-ES"/>
        </w:rPr>
      </w:pPr>
      <w:r w:rsidRPr="5B6BE307">
        <w:rPr>
          <w:rFonts w:ascii="Verdana" w:eastAsia="Calibri" w:hAnsi="Verdana" w:cs="Arial"/>
          <w:lang w:val="es-ES" w:eastAsia="es-ES"/>
        </w:rPr>
        <w:t xml:space="preserve">Estimada señora Cruz </w:t>
      </w:r>
      <w:proofErr w:type="spellStart"/>
      <w:r w:rsidRPr="5B6BE307">
        <w:rPr>
          <w:rFonts w:ascii="Verdana" w:eastAsia="Calibri" w:hAnsi="Verdana" w:cs="Arial"/>
          <w:lang w:val="es-ES" w:eastAsia="es-ES"/>
        </w:rPr>
        <w:t>Alzate</w:t>
      </w:r>
      <w:proofErr w:type="spellEnd"/>
      <w:r w:rsidRPr="5B6BE307">
        <w:rPr>
          <w:rFonts w:ascii="Verdana" w:eastAsia="Calibri" w:hAnsi="Verdana" w:cs="Arial"/>
          <w:lang w:val="es-ES" w:eastAsia="es-ES"/>
        </w:rPr>
        <w:t xml:space="preserve">: </w:t>
      </w:r>
    </w:p>
    <w:p w14:paraId="659F091C" w14:textId="77777777" w:rsidR="00071D26" w:rsidRPr="00071D26" w:rsidRDefault="00071D26" w:rsidP="00071D26">
      <w:pPr>
        <w:tabs>
          <w:tab w:val="left" w:pos="3768"/>
        </w:tabs>
        <w:spacing w:after="0" w:line="276" w:lineRule="auto"/>
        <w:jc w:val="both"/>
        <w:rPr>
          <w:rFonts w:ascii="Verdana" w:eastAsia="Calibri" w:hAnsi="Verdana" w:cs="Arial"/>
          <w:lang w:val="es-ES_tradnl" w:eastAsia="es-ES"/>
        </w:rPr>
      </w:pPr>
      <w:r w:rsidRPr="00071D26">
        <w:rPr>
          <w:rFonts w:ascii="Verdana" w:eastAsia="Calibri" w:hAnsi="Verdana" w:cs="Arial"/>
          <w:lang w:val="es-ES_tradnl" w:eastAsia="es-ES"/>
        </w:rPr>
        <w:tab/>
      </w:r>
    </w:p>
    <w:p w14:paraId="212D5249" w14:textId="77777777" w:rsidR="00071D26" w:rsidRPr="00071D26" w:rsidRDefault="00071D26" w:rsidP="00071D26">
      <w:pPr>
        <w:spacing w:after="0" w:line="276" w:lineRule="auto"/>
        <w:jc w:val="both"/>
        <w:rPr>
          <w:rFonts w:ascii="Verdana" w:eastAsia="Calibri" w:hAnsi="Verdana" w:cs="Arial"/>
          <w:lang w:val="es-ES_tradnl" w:eastAsia="es-ES"/>
        </w:rPr>
      </w:pPr>
      <w:r w:rsidRPr="00071D26">
        <w:rPr>
          <w:rFonts w:ascii="Verdana" w:eastAsia="Calibri" w:hAnsi="Verdana" w:cs="Arial"/>
          <w:lang w:val="es-ES_tradnl" w:eastAsia="es-ES"/>
        </w:rPr>
        <w:t>En ejercicio de la competencia otorgada por los artículos 3, numeral 5º, y 11, numeral 8º, del Decreto Ley 4170 de 2011,</w:t>
      </w:r>
      <w:r w:rsidRPr="00071D26">
        <w:rPr>
          <w:rFonts w:ascii="Verdana" w:eastAsia="Arial MT" w:hAnsi="Verdana" w:cs="Arial MT"/>
          <w:lang w:val="es-ES_tradnl" w:eastAsia="es-ES"/>
        </w:rPr>
        <w:t xml:space="preserve"> </w:t>
      </w:r>
      <w:r w:rsidRPr="00071D26">
        <w:rPr>
          <w:rFonts w:ascii="Verdana" w:eastAsia="Calibri" w:hAnsi="Verdana" w:cs="Arial"/>
          <w:lang w:val="es-ES_tradnl"/>
        </w:rPr>
        <w:t xml:space="preserve">así como lo establecido en el artículo 4 de la Resolución 1707 de 2018 expedida por esta Entidad, </w:t>
      </w:r>
      <w:r w:rsidRPr="00071D26">
        <w:rPr>
          <w:rFonts w:ascii="Verdana" w:eastAsia="Calibri" w:hAnsi="Verdana" w:cs="Arial"/>
          <w:lang w:val="es-ES_tradnl" w:eastAsia="es-ES"/>
        </w:rPr>
        <w:t>la Agencia Nacional de Contratación Pública –Colombia Compra Eficiente– responde su solicitud de consulta de fecha 23 de julio de 2025, en la que manifiesta lo siguiente:</w:t>
      </w:r>
    </w:p>
    <w:p w14:paraId="62BA8F90" w14:textId="77777777" w:rsidR="00071D26" w:rsidRPr="00071D26" w:rsidRDefault="00071D26" w:rsidP="00071D26">
      <w:pPr>
        <w:tabs>
          <w:tab w:val="left" w:pos="142"/>
          <w:tab w:val="left" w:pos="284"/>
        </w:tabs>
        <w:spacing w:line="276" w:lineRule="auto"/>
        <w:contextualSpacing/>
        <w:jc w:val="both"/>
        <w:rPr>
          <w:rFonts w:ascii="Verdana" w:eastAsia="Century Gothic" w:hAnsi="Verdana" w:cs="Century Gothic"/>
          <w:b/>
          <w:bCs/>
          <w:lang w:val="es-ES_tradnl"/>
        </w:rPr>
      </w:pPr>
    </w:p>
    <w:p w14:paraId="2A22675F" w14:textId="77777777" w:rsidR="00071D26" w:rsidRPr="00071D26" w:rsidRDefault="00071D26" w:rsidP="00071D26">
      <w:pPr>
        <w:spacing w:after="0" w:line="240" w:lineRule="auto"/>
        <w:ind w:left="709" w:right="709"/>
        <w:jc w:val="both"/>
        <w:rPr>
          <w:rFonts w:ascii="Verdana" w:eastAsia="Century Gothic" w:hAnsi="Verdana" w:cs="Century Gothic"/>
          <w:sz w:val="21"/>
          <w:szCs w:val="21"/>
          <w:lang w:val="es-ES"/>
        </w:rPr>
      </w:pPr>
      <w:r w:rsidRPr="5B6BE307">
        <w:rPr>
          <w:rFonts w:ascii="Verdana" w:eastAsia="Century Gothic" w:hAnsi="Verdana" w:cs="Century Gothic"/>
          <w:sz w:val="21"/>
          <w:szCs w:val="21"/>
          <w:lang w:val="es-ES"/>
        </w:rPr>
        <w:t xml:space="preserve">“Actualmente en el IBAL SA ESP OFICIAL adelantamos el proceso contractual LPO-086-2025 por pliego tipo de LICITACIÓN DE OBRA PÚBLICA DE INFRAESTRUCTURA DE AGUA POTABLE Y SANEAMIENTO BÁSICO V.4, el cual se encuentra en etapa de evaluación de las 22 ofertas recibidas; frente al cual hemos recibido solicitud de la Procuraduría Delegada Primera para la Vigilancia Preventiva de la Función Pública de Ibagué (se adjunta), donde nos cuestiona por no haber incluido aspectos que no hacen parte del pliego tipo y sugiere la revocatoria del proceso contractual considerando que dicha omisión </w:t>
      </w:r>
      <w:r w:rsidRPr="5B6BE307">
        <w:rPr>
          <w:rFonts w:ascii="Verdana" w:eastAsia="Century Gothic" w:hAnsi="Verdana" w:cs="Century Gothic"/>
          <w:sz w:val="21"/>
          <w:szCs w:val="21"/>
          <w:lang w:val="es-ES"/>
        </w:rPr>
        <w:lastRenderedPageBreak/>
        <w:t xml:space="preserve">puede generar la nulidad del mismo. Con base en lo anterior, se consulta a Colombia Compra Eficiente lo siguiente: 1. Es viable para una entidad contratante modificar </w:t>
      </w:r>
      <w:proofErr w:type="gramStart"/>
      <w:r w:rsidRPr="5B6BE307">
        <w:rPr>
          <w:rFonts w:ascii="Verdana" w:eastAsia="Century Gothic" w:hAnsi="Verdana" w:cs="Century Gothic"/>
          <w:sz w:val="21"/>
          <w:szCs w:val="21"/>
          <w:lang w:val="es-ES"/>
        </w:rPr>
        <w:t>los pliego</w:t>
      </w:r>
      <w:proofErr w:type="gramEnd"/>
      <w:r w:rsidRPr="5B6BE307">
        <w:rPr>
          <w:rFonts w:ascii="Verdana" w:eastAsia="Century Gothic" w:hAnsi="Verdana" w:cs="Century Gothic"/>
          <w:sz w:val="21"/>
          <w:szCs w:val="21"/>
          <w:lang w:val="es-ES"/>
        </w:rPr>
        <w:t xml:space="preserve"> tipo e incluir nuevos requisitos o aspectos por solicitud de los entes de control 2. Se pueden modificar </w:t>
      </w:r>
      <w:proofErr w:type="gramStart"/>
      <w:r w:rsidRPr="5B6BE307">
        <w:rPr>
          <w:rFonts w:ascii="Verdana" w:eastAsia="Century Gothic" w:hAnsi="Verdana" w:cs="Century Gothic"/>
          <w:sz w:val="21"/>
          <w:szCs w:val="21"/>
          <w:lang w:val="es-ES"/>
        </w:rPr>
        <w:t>los pliego</w:t>
      </w:r>
      <w:proofErr w:type="gramEnd"/>
      <w:r w:rsidRPr="5B6BE307">
        <w:rPr>
          <w:rFonts w:ascii="Verdana" w:eastAsia="Century Gothic" w:hAnsi="Verdana" w:cs="Century Gothic"/>
          <w:sz w:val="21"/>
          <w:szCs w:val="21"/>
          <w:lang w:val="es-ES"/>
        </w:rPr>
        <w:t xml:space="preserve"> tipo específicamente incluyendo: 2.1. Inserción laboral o contractual de jóvenes en el sector privado según artículo 8 de la Ley 2119 de 2021. 2.2. Ejecución de contratos estatales por parte de población con especial protección constitucional como población en pobreza extrema, desplazados por la violencia, personas en proceso de reintegración o reincorporación. 3. Es indebida la aplicación del pliego tipo de agua potable y saneamiento básico sólo por el no diligenciamiento completo del anexo 5 minuta del contrato. 4. Genera nulidad del proceso contractual que conlleve a la revocatoria del mismo el no diligenciamiento del anexo 5 minuta del contrato.”</w:t>
      </w:r>
    </w:p>
    <w:p w14:paraId="04E47C1C" w14:textId="77777777" w:rsidR="00071D26" w:rsidRPr="00071D26" w:rsidRDefault="00071D26" w:rsidP="00071D26">
      <w:pPr>
        <w:spacing w:after="0" w:line="240" w:lineRule="auto"/>
        <w:ind w:right="709"/>
        <w:jc w:val="both"/>
        <w:rPr>
          <w:rFonts w:ascii="Verdana" w:eastAsia="Century Gothic" w:hAnsi="Verdana" w:cs="Century Gothic"/>
          <w:lang w:val="es-ES_tradnl"/>
        </w:rPr>
      </w:pPr>
    </w:p>
    <w:p w14:paraId="4C79F46B" w14:textId="77777777" w:rsidR="00071D26" w:rsidRPr="00071D26" w:rsidRDefault="00071D26" w:rsidP="00071D26">
      <w:pPr>
        <w:spacing w:after="120" w:line="276" w:lineRule="auto"/>
        <w:ind w:firstLine="709"/>
        <w:jc w:val="both"/>
        <w:rPr>
          <w:rFonts w:ascii="Verdana" w:eastAsia="Calibri" w:hAnsi="Verdana" w:cs="Arial"/>
          <w:szCs w:val="24"/>
          <w:lang w:val="es-ES_tradnl" w:eastAsia="es-ES_tradnl"/>
        </w:rPr>
      </w:pPr>
      <w:r w:rsidRPr="00071D26">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1D26">
        <w:rPr>
          <w:rFonts w:ascii="Verdana" w:eastAsia="Calibri" w:hAnsi="Verdana" w:cs="Arial"/>
          <w:szCs w:val="24"/>
          <w:lang w:val="es-ES_tradnl" w:eastAsia="es-ES_tradnl"/>
        </w:rPr>
        <w:tab/>
      </w:r>
    </w:p>
    <w:p w14:paraId="7DA29A30" w14:textId="77777777" w:rsidR="00071D26" w:rsidRPr="00071D26" w:rsidRDefault="00071D26" w:rsidP="00071D26">
      <w:pPr>
        <w:spacing w:after="0" w:line="276" w:lineRule="auto"/>
        <w:ind w:firstLine="709"/>
        <w:jc w:val="both"/>
        <w:rPr>
          <w:rFonts w:ascii="Verdana" w:eastAsia="Calibri" w:hAnsi="Verdana" w:cs="Arial"/>
          <w:lang w:val="es-ES_tradnl" w:eastAsia="es-ES"/>
        </w:rPr>
      </w:pPr>
      <w:r w:rsidRPr="00071D26">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202242A" w14:textId="77777777" w:rsidR="00071D26" w:rsidRPr="00071D26" w:rsidRDefault="00071D26" w:rsidP="00071D26">
      <w:pPr>
        <w:spacing w:after="0" w:line="276" w:lineRule="auto"/>
        <w:ind w:firstLine="709"/>
        <w:jc w:val="both"/>
        <w:rPr>
          <w:rFonts w:ascii="Verdana" w:eastAsia="Calibri" w:hAnsi="Verdana" w:cs="Arial"/>
          <w:lang w:val="es-ES_tradnl" w:eastAsia="es-ES"/>
        </w:rPr>
      </w:pPr>
    </w:p>
    <w:p w14:paraId="07323B80" w14:textId="77777777" w:rsidR="00071D26" w:rsidRPr="00071D26" w:rsidRDefault="00071D26" w:rsidP="00071D26">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_tradnl"/>
        </w:rPr>
      </w:pPr>
      <w:r w:rsidRPr="00071D26">
        <w:rPr>
          <w:rFonts w:ascii="Verdana" w:eastAsia="Century Gothic" w:hAnsi="Verdana" w:cs="Century Gothic"/>
          <w:b/>
          <w:bCs/>
          <w:lang w:val="es-ES_tradnl"/>
        </w:rPr>
        <w:t>Problema planteado:</w:t>
      </w:r>
    </w:p>
    <w:p w14:paraId="2D21419E" w14:textId="77777777" w:rsidR="00071D26" w:rsidRPr="00071D26" w:rsidRDefault="00071D26" w:rsidP="00071D26">
      <w:pPr>
        <w:tabs>
          <w:tab w:val="left" w:pos="426"/>
        </w:tabs>
        <w:spacing w:after="0" w:line="276" w:lineRule="auto"/>
        <w:jc w:val="both"/>
        <w:rPr>
          <w:rFonts w:ascii="Verdana" w:eastAsia="Century Gothic" w:hAnsi="Verdana" w:cs="Century Gothic"/>
          <w:lang w:val="es-ES_tradnl"/>
        </w:rPr>
      </w:pPr>
    </w:p>
    <w:p w14:paraId="6FDF1300" w14:textId="77777777" w:rsidR="00071D26" w:rsidRPr="00071D26" w:rsidRDefault="00071D26" w:rsidP="00071D26">
      <w:pPr>
        <w:snapToGrid w:val="0"/>
        <w:spacing w:after="0" w:line="276" w:lineRule="auto"/>
        <w:jc w:val="both"/>
        <w:rPr>
          <w:rFonts w:ascii="Verdana" w:eastAsia="Century Gothic" w:hAnsi="Verdana" w:cs="Century Gothic"/>
          <w:lang w:val="es-ES_tradnl"/>
        </w:rPr>
      </w:pPr>
      <w:r w:rsidRPr="00071D26">
        <w:rPr>
          <w:rFonts w:ascii="Verdana" w:eastAsia="Century Gothic" w:hAnsi="Verdana" w:cs="Century Gothic"/>
          <w:lang w:val="es-ES_tradnl"/>
        </w:rPr>
        <w:t>De acuerdo con el contenido de su solicitud, esta Agencia resolverá el siguiente problema jurídico: ¿qué aspectos pueden modificarse en los documentos tipo de infraestructura de agua potable y saneamiento básico, particularmente, tratándose del “Anexo 5 – Minuta del Contrato”?</w:t>
      </w:r>
    </w:p>
    <w:p w14:paraId="5BE8E793" w14:textId="77777777" w:rsidR="00071D26" w:rsidRPr="00071D26" w:rsidRDefault="00071D26" w:rsidP="00071D26">
      <w:pPr>
        <w:snapToGrid w:val="0"/>
        <w:spacing w:after="0" w:line="276" w:lineRule="auto"/>
        <w:jc w:val="both"/>
        <w:rPr>
          <w:rFonts w:ascii="Verdana" w:eastAsia="Calibri" w:hAnsi="Verdana" w:cs="Arial"/>
          <w:lang w:val="es-ES_tradnl"/>
        </w:rPr>
      </w:pPr>
    </w:p>
    <w:p w14:paraId="1108E6EB" w14:textId="77777777" w:rsidR="00071D26" w:rsidRPr="00071D26" w:rsidRDefault="00071D26" w:rsidP="00071D2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1D26">
        <w:rPr>
          <w:rFonts w:ascii="Verdana" w:eastAsia="Century Gothic" w:hAnsi="Verdana" w:cs="Century Gothic"/>
          <w:b/>
          <w:bCs/>
          <w:lang w:val="es-ES_tradnl"/>
        </w:rPr>
        <w:t>Respuesta:</w:t>
      </w:r>
    </w:p>
    <w:p w14:paraId="1D8F8A28" w14:textId="77777777" w:rsidR="00071D26" w:rsidRPr="00071D26" w:rsidRDefault="00071D26" w:rsidP="00071D26">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1D26" w:rsidRPr="00071D26" w14:paraId="75A51771" w14:textId="77777777" w:rsidTr="00064BA0">
        <w:tc>
          <w:tcPr>
            <w:tcW w:w="8828" w:type="dxa"/>
          </w:tcPr>
          <w:p w14:paraId="26B3F0A2" w14:textId="77777777" w:rsidR="00071D26" w:rsidRPr="00071D26" w:rsidRDefault="00071D26" w:rsidP="00071D26">
            <w:pPr>
              <w:snapToGrid w:val="0"/>
              <w:spacing w:after="120" w:line="276" w:lineRule="auto"/>
              <w:jc w:val="both"/>
              <w:rPr>
                <w:rFonts w:ascii="Verdana" w:eastAsia="Times New Roman" w:hAnsi="Verdana" w:cs="Arial"/>
                <w:shd w:val="clear" w:color="auto" w:fill="FFFFFF"/>
                <w:lang w:val="es-ES_tradnl" w:eastAsia="es-ES_tradnl"/>
              </w:rPr>
            </w:pPr>
            <w:r w:rsidRPr="00071D26">
              <w:rPr>
                <w:rFonts w:ascii="Verdana" w:eastAsia="Times New Roman" w:hAnsi="Verdana" w:cs="Arial"/>
                <w:shd w:val="clear" w:color="auto" w:fill="FFFFFF"/>
                <w:lang w:val="es-ES_tradnl" w:eastAsia="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071D26">
              <w:rPr>
                <w:rFonts w:ascii="Verdana" w:eastAsia="Times New Roman" w:hAnsi="Verdana" w:cs="Arial"/>
                <w:i/>
                <w:iCs/>
                <w:shd w:val="clear" w:color="auto" w:fill="FFFFFF"/>
                <w:lang w:val="es-ES_tradnl" w:eastAsia="es-ES_tradnl"/>
              </w:rPr>
              <w:t>Documentos del Proceso</w:t>
            </w:r>
            <w:r w:rsidRPr="00071D26">
              <w:rPr>
                <w:rFonts w:ascii="Verdana" w:eastAsia="Times New Roman" w:hAnsi="Verdana" w:cs="Arial"/>
                <w:shd w:val="clear" w:color="auto" w:fill="FFFFFF"/>
                <w:lang w:val="es-ES_tradnl" w:eastAsia="es-ES_tradn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02330FF" w14:textId="77777777" w:rsidR="00071D26" w:rsidRPr="00071D26" w:rsidRDefault="00071D26" w:rsidP="00071D26">
            <w:pPr>
              <w:snapToGrid w:val="0"/>
              <w:spacing w:after="120" w:line="276" w:lineRule="auto"/>
              <w:ind w:firstLine="709"/>
              <w:jc w:val="both"/>
              <w:rPr>
                <w:rFonts w:ascii="Verdana" w:eastAsia="Calibri" w:hAnsi="Verdana" w:cs="Arial"/>
                <w:lang w:val="es-ES_tradnl" w:eastAsia="es-MX"/>
              </w:rPr>
            </w:pPr>
            <w:r w:rsidRPr="00071D26">
              <w:rPr>
                <w:rFonts w:ascii="Verdana" w:eastAsia="Calibri" w:hAnsi="Verdana" w:cs="Arial"/>
                <w:lang w:val="es-ES_tradnl" w:eastAsia="es-MX"/>
              </w:rPr>
              <w:t xml:space="preserve">Ahora bien, los documentos tipo de infraestructura de agua potable y saneamiento básico contemplan, en la parte introductoria, la siguiente obligación de observar el marco normativo aplicable al proceso de contratación particular: </w:t>
            </w:r>
            <w:r w:rsidRPr="00071D26">
              <w:rPr>
                <w:rFonts w:ascii="Verdana" w:eastAsia="Calibri" w:hAnsi="Verdana" w:cs="Arial"/>
                <w:i/>
                <w:iCs/>
                <w:lang w:val="es-ES_tradnl" w:eastAsia="es-MX"/>
              </w:rPr>
              <w:t>“[e]l uso de los Documentos Tipo no exime a la entidad estatal de la obligación que le asiste de aplicar la normativa y la jurisprudencia aplicable al proceso de contratación, así como de dar cumplimiento a lo ordenado por sentencia judicial.”</w:t>
            </w:r>
          </w:p>
          <w:p w14:paraId="411B7EAD" w14:textId="77777777" w:rsidR="00071D26" w:rsidRPr="00071D26" w:rsidRDefault="00071D26" w:rsidP="00071D26">
            <w:pPr>
              <w:snapToGrid w:val="0"/>
              <w:spacing w:after="120" w:line="276" w:lineRule="auto"/>
              <w:ind w:firstLine="709"/>
              <w:jc w:val="both"/>
              <w:rPr>
                <w:rFonts w:ascii="Verdana" w:eastAsia="Calibri" w:hAnsi="Verdana" w:cs="Arial"/>
                <w:lang w:val="es-ES_tradnl" w:eastAsia="es-MX"/>
              </w:rPr>
            </w:pPr>
            <w:r w:rsidRPr="00071D26">
              <w:rPr>
                <w:rFonts w:ascii="Verdana" w:eastAsia="Calibri" w:hAnsi="Verdana" w:cs="Arial"/>
                <w:lang w:val="es-ES_tradnl" w:eastAsia="es-MX"/>
              </w:rPr>
              <w:t xml:space="preserve">Por lo anterior, el uso de los documentos tipo debe realizarse, a su vez, a la par de las normas aplicables a los procesos de contratación que la entidad estatal pretenda adelantar. De esta manera, una entidad no podrá justificar la no aplicación de una norma basándose en la utilización de los pliegos tipo. </w:t>
            </w:r>
          </w:p>
          <w:p w14:paraId="56D79D18" w14:textId="77777777" w:rsidR="00071D26" w:rsidRPr="00071D26" w:rsidRDefault="00071D26" w:rsidP="00071D26">
            <w:pPr>
              <w:snapToGrid w:val="0"/>
              <w:spacing w:after="120" w:line="276" w:lineRule="auto"/>
              <w:ind w:firstLine="709"/>
              <w:jc w:val="both"/>
              <w:rPr>
                <w:rFonts w:ascii="Verdana" w:eastAsia="Calibri" w:hAnsi="Verdana" w:cs="Arial"/>
                <w:lang w:val="es-ES_tradnl" w:eastAsia="es-MX"/>
              </w:rPr>
            </w:pPr>
            <w:r w:rsidRPr="00071D26">
              <w:rPr>
                <w:rFonts w:ascii="Verdana" w:eastAsia="Calibri" w:hAnsi="Verdana" w:cs="Arial"/>
                <w:lang w:val="es-ES_tradnl" w:eastAsia="es-MX"/>
              </w:rPr>
              <w:t>Finalmente, estos documentos tipo se componen del “Anexo 5 – Minuta del Contrato”, el cual</w:t>
            </w:r>
            <w:r w:rsidRPr="00071D26">
              <w:rPr>
                <w:rFonts w:ascii="Aptos" w:eastAsia="Aptos" w:hAnsi="Aptos" w:cs="Times New Roman"/>
              </w:rPr>
              <w:t xml:space="preserve"> </w:t>
            </w:r>
            <w:r w:rsidRPr="00071D26">
              <w:rPr>
                <w:rFonts w:ascii="Verdana" w:eastAsia="Calibri" w:hAnsi="Verdana" w:cs="Arial"/>
                <w:lang w:val="es-ES_tradnl" w:eastAsia="es-MX"/>
              </w:rPr>
              <w:t>consta de veinticinco (25) cláusulas orientadas a servir de insumo para el contrato que finalmente será suscrito por las partes. Este anexo constituye una particularidad frente a los demás anexos de los documentos tipo, ya que no está destinado a regular aspectos propios del proceso de selección sino de la relación contractual.</w:t>
            </w:r>
          </w:p>
          <w:p w14:paraId="28B2914A" w14:textId="77777777" w:rsidR="00071D26" w:rsidRPr="00071D26" w:rsidRDefault="00071D26" w:rsidP="00071D26">
            <w:pPr>
              <w:snapToGrid w:val="0"/>
              <w:spacing w:after="120" w:line="276" w:lineRule="auto"/>
              <w:ind w:firstLine="709"/>
              <w:jc w:val="both"/>
              <w:rPr>
                <w:rFonts w:ascii="Verdana" w:eastAsia="Calibri" w:hAnsi="Verdana" w:cs="Arial"/>
                <w:lang w:val="es-ES_tradnl" w:eastAsia="es-MX"/>
              </w:rPr>
            </w:pPr>
            <w:proofErr w:type="gramStart"/>
            <w:r w:rsidRPr="00071D26">
              <w:rPr>
                <w:rFonts w:ascii="Verdana" w:eastAsia="Calibri" w:hAnsi="Verdana" w:cs="Arial"/>
                <w:lang w:val="es-ES_tradnl" w:eastAsia="es-MX"/>
              </w:rPr>
              <w:t>En razón de</w:t>
            </w:r>
            <w:proofErr w:type="gramEnd"/>
            <w:r w:rsidRPr="00071D26">
              <w:rPr>
                <w:rFonts w:ascii="Verdana" w:eastAsia="Calibri" w:hAnsi="Verdana" w:cs="Arial"/>
                <w:lang w:val="es-ES_tradnl" w:eastAsia="es-MX"/>
              </w:rPr>
              <w:t xml:space="preserve"> ello, dentro de las 25 cláusulas que conforman este documento, es posible encontrar una serie de apartados grises entre corchetes </w:t>
            </w:r>
            <w:r w:rsidRPr="00071D26">
              <w:rPr>
                <w:rFonts w:ascii="Verdana" w:eastAsia="Calibri" w:hAnsi="Verdana" w:cs="Arial"/>
                <w:lang w:val="es-ES_tradnl" w:eastAsia="es-MX"/>
              </w:rPr>
              <w:lastRenderedPageBreak/>
              <w:t>–que se presentan con mayor frecuencia que en otros documentos– destinados a que las entidades estatales, en el marco de la autonomía que les corresponde, dispongan en ellos información relativa a las necesidades que pretenden satisfacer, el objeto a contratar y, en general, información necesaria para regular la relación contractual. Lo anterior teniendo en cuenta los aspectos más básicos del contrato, como el objeto, el plazo, la forma de pago, las obligaciones, etc., a partir de opciones, alternativas y sugerencias de cláusulas preestablecidas en el Anexo 5.</w:t>
            </w:r>
          </w:p>
          <w:p w14:paraId="657C891D" w14:textId="77777777" w:rsidR="00071D26" w:rsidRPr="00071D26" w:rsidRDefault="00071D26" w:rsidP="00071D26">
            <w:pPr>
              <w:snapToGrid w:val="0"/>
              <w:spacing w:after="120" w:line="276" w:lineRule="auto"/>
              <w:ind w:firstLine="709"/>
              <w:jc w:val="both"/>
              <w:rPr>
                <w:rFonts w:ascii="Verdana" w:eastAsia="Calibri" w:hAnsi="Verdana" w:cs="Arial"/>
                <w:lang w:val="es-ES_tradnl"/>
              </w:rPr>
            </w:pPr>
            <w:r w:rsidRPr="00071D26">
              <w:rPr>
                <w:rFonts w:ascii="Verdana" w:eastAsia="Calibri" w:hAnsi="Verdana" w:cs="Arial"/>
                <w:lang w:val="es-ES_tradnl"/>
              </w:rPr>
              <w:t xml:space="preserve">En ese sentido, en la Minuta del Contrato es completamente válido que la entidad adecúe su contenido conforme a las necesidades que pretenda satisfacer y en atención al marco normativo aplicable, sin que sea posible eludir los aspectos básicos del contrato o de los documentos tipo que no pueden alterarse. </w:t>
            </w:r>
          </w:p>
        </w:tc>
      </w:tr>
    </w:tbl>
    <w:p w14:paraId="59813832" w14:textId="77777777" w:rsidR="00071D26" w:rsidRPr="00071D26" w:rsidRDefault="00071D26" w:rsidP="00071D26">
      <w:pPr>
        <w:tabs>
          <w:tab w:val="left" w:pos="142"/>
          <w:tab w:val="left" w:pos="284"/>
        </w:tabs>
        <w:snapToGrid w:val="0"/>
        <w:spacing w:after="0" w:line="276" w:lineRule="auto"/>
        <w:jc w:val="both"/>
        <w:rPr>
          <w:rFonts w:ascii="Verdana" w:eastAsia="Century Gothic" w:hAnsi="Verdana" w:cs="Century Gothic"/>
          <w:b/>
          <w:bCs/>
          <w:lang w:val="es-ES_tradnl"/>
        </w:rPr>
      </w:pPr>
    </w:p>
    <w:p w14:paraId="4D55B09A" w14:textId="77777777" w:rsidR="00071D26" w:rsidRPr="00071D26" w:rsidRDefault="00071D26" w:rsidP="00071D2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71D26">
        <w:rPr>
          <w:rFonts w:ascii="Verdana" w:eastAsia="Century Gothic" w:hAnsi="Verdana" w:cs="Century Gothic"/>
          <w:b/>
          <w:bCs/>
          <w:lang w:val="es-ES_tradnl"/>
        </w:rPr>
        <w:t>Razones de la respuesta:</w:t>
      </w:r>
    </w:p>
    <w:p w14:paraId="6B64E700" w14:textId="77777777" w:rsidR="00071D26" w:rsidRPr="00071D26" w:rsidRDefault="00071D26" w:rsidP="00071D26">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18FEC9C9" w14:textId="77777777" w:rsidR="00071D26" w:rsidRPr="00071D26" w:rsidRDefault="00071D26" w:rsidP="00071D26">
      <w:pPr>
        <w:snapToGrid w:val="0"/>
        <w:spacing w:after="0" w:line="276" w:lineRule="auto"/>
        <w:jc w:val="both"/>
        <w:rPr>
          <w:rFonts w:ascii="Verdana" w:eastAsia="Calibri" w:hAnsi="Verdana" w:cs="Arial"/>
          <w:lang w:val="es-ES_tradnl"/>
        </w:rPr>
      </w:pPr>
      <w:r w:rsidRPr="00071D26">
        <w:rPr>
          <w:rFonts w:ascii="Verdana" w:eastAsia="Calibri" w:hAnsi="Verdana" w:cs="Arial"/>
          <w:lang w:val="es-ES_tradnl"/>
        </w:rPr>
        <w:t>Lo anterior se sustenta en las siguientes consideraciones:</w:t>
      </w:r>
    </w:p>
    <w:p w14:paraId="018FF552" w14:textId="77777777" w:rsidR="00071D26" w:rsidRPr="00071D26" w:rsidRDefault="00071D26" w:rsidP="00071D26">
      <w:pPr>
        <w:snapToGrid w:val="0"/>
        <w:spacing w:after="0" w:line="276" w:lineRule="auto"/>
        <w:jc w:val="both"/>
        <w:rPr>
          <w:rFonts w:ascii="Verdana" w:eastAsia="Calibri" w:hAnsi="Verdana" w:cs="Arial"/>
          <w:lang w:val="es-ES_tradnl"/>
        </w:rPr>
      </w:pPr>
      <w:r w:rsidRPr="00071D26">
        <w:rPr>
          <w:rFonts w:ascii="Verdana" w:eastAsia="Calibri" w:hAnsi="Verdana" w:cs="Arial"/>
          <w:lang w:val="es-ES_tradnl"/>
        </w:rPr>
        <w:t xml:space="preserve"> </w:t>
      </w:r>
    </w:p>
    <w:p w14:paraId="0AC30157" w14:textId="77777777" w:rsidR="00071D26" w:rsidRPr="00071D26" w:rsidRDefault="00071D26" w:rsidP="00071D26">
      <w:pPr>
        <w:snapToGrid w:val="0"/>
        <w:spacing w:after="120" w:line="276" w:lineRule="auto"/>
        <w:jc w:val="both"/>
        <w:rPr>
          <w:rFonts w:ascii="Verdana" w:eastAsia="Calibri" w:hAnsi="Verdana" w:cs="Arial"/>
          <w:kern w:val="2"/>
          <w:lang w:val="es-ES_tradnl"/>
          <w14:ligatures w14:val="standardContextual"/>
        </w:rPr>
      </w:pPr>
      <w:r w:rsidRPr="00071D26">
        <w:rPr>
          <w:rFonts w:ascii="Verdana" w:eastAsia="Calibri" w:hAnsi="Verdana" w:cs="Arial"/>
          <w:kern w:val="2"/>
          <w:lang w:val="es-ES_tradnl"/>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76172312" w14:textId="77777777" w:rsidR="00071D26" w:rsidRPr="00071D26" w:rsidRDefault="00071D26" w:rsidP="00071D26">
      <w:pPr>
        <w:snapToGrid w:val="0"/>
        <w:spacing w:after="120" w:line="276" w:lineRule="auto"/>
        <w:ind w:firstLine="709"/>
        <w:jc w:val="both"/>
        <w:rPr>
          <w:rFonts w:ascii="Verdana" w:eastAsia="Calibri" w:hAnsi="Verdana" w:cs="Arial"/>
          <w:kern w:val="2"/>
          <w:lang w:val="es-ES_tradnl" w:eastAsia="es-ES"/>
          <w14:ligatures w14:val="standardContextual"/>
        </w:rPr>
      </w:pPr>
      <w:r w:rsidRPr="00071D26">
        <w:rPr>
          <w:rFonts w:ascii="Verdana" w:eastAsia="Times New Roman" w:hAnsi="Verdana" w:cs="Arial"/>
          <w:kern w:val="2"/>
          <w:shd w:val="clear" w:color="auto" w:fill="FFFFFF"/>
          <w:lang w:val="es-ES_tradnl" w:eastAsia="es-ES_tradnl"/>
          <w14:ligatures w14:val="standardContextual"/>
        </w:rPr>
        <w:t>Todas las resoluciones expedidas por la Agencia Nacional de Contratación Pública – Colombia Compra Eficiente, mediante las cuales se han adoptado los documentos tipo, consagran la regla de la inalterabilidad</w:t>
      </w:r>
      <w:r w:rsidRPr="00071D26">
        <w:rPr>
          <w:rFonts w:ascii="Verdana" w:eastAsia="Aptos" w:hAnsi="Verdana" w:cs="Times New Roman"/>
          <w:kern w:val="2"/>
          <w:shd w:val="clear" w:color="auto" w:fill="FFFFFF"/>
          <w:vertAlign w:val="superscript"/>
          <w:lang w:val="es-ES_tradnl" w:eastAsia="es-ES_tradnl"/>
          <w14:ligatures w14:val="standardContextual"/>
        </w:rPr>
        <w:footnoteReference w:id="1"/>
      </w:r>
      <w:r w:rsidRPr="00071D26">
        <w:rPr>
          <w:rFonts w:ascii="Verdana" w:eastAsia="Times New Roman" w:hAnsi="Verdana" w:cs="Arial"/>
          <w:kern w:val="2"/>
          <w:shd w:val="clear" w:color="auto" w:fill="FFFFFF"/>
          <w:lang w:val="es-ES_tradnl" w:eastAsia="es-ES_tradnl"/>
          <w14:ligatures w14:val="standardContextual"/>
        </w:rPr>
        <w:t xml:space="preserve">. Esta prohibición consiste en que las entidades estatales no pueden incluir o modificar en los </w:t>
      </w:r>
      <w:r w:rsidRPr="00071D26">
        <w:rPr>
          <w:rFonts w:ascii="Verdana" w:eastAsia="Times New Roman" w:hAnsi="Verdana" w:cs="Arial"/>
          <w:i/>
          <w:iCs/>
          <w:kern w:val="2"/>
          <w:shd w:val="clear" w:color="auto" w:fill="FFFFFF"/>
          <w:lang w:val="es-ES_tradnl" w:eastAsia="es-ES_tradnl"/>
          <w14:ligatures w14:val="standardContextual"/>
        </w:rPr>
        <w:t>Documentos del Proceso</w:t>
      </w:r>
      <w:r w:rsidRPr="00071D26">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w:t>
      </w:r>
      <w:r w:rsidRPr="00071D26">
        <w:rPr>
          <w:rFonts w:ascii="Verdana" w:eastAsia="Times New Roman" w:hAnsi="Verdana" w:cs="Arial"/>
          <w:kern w:val="2"/>
          <w:shd w:val="clear" w:color="auto" w:fill="FFFFFF"/>
          <w:lang w:val="es-ES_tradnl" w:eastAsia="es-ES_tradnl"/>
          <w14:ligatures w14:val="standardContextual"/>
        </w:rPr>
        <w:lastRenderedPageBreak/>
        <w:t>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0A96548" w14:textId="77777777" w:rsidR="00071D26" w:rsidRPr="00071D26" w:rsidRDefault="00071D26" w:rsidP="00071D26">
      <w:pPr>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071D26">
        <w:rPr>
          <w:rFonts w:ascii="Verdana" w:eastAsia="Times New Roman" w:hAnsi="Verdana" w:cs="Arial"/>
          <w:kern w:val="2"/>
          <w:shd w:val="clear" w:color="auto" w:fill="FFFFFF"/>
          <w:lang w:val="es-ES_tradnl" w:eastAsia="es-ES_tradnl"/>
          <w14:ligatures w14:val="standardContextual"/>
        </w:rPr>
        <w:t>El fundamento legal vigente de la regla de inalterabilidad se encuentra en el artículo 1 de la Ley 2022 de 2020, según el cual “</w:t>
      </w:r>
      <w:r w:rsidRPr="00071D26">
        <w:rPr>
          <w:rFonts w:ascii="Verdana" w:eastAsia="Times New Roman" w:hAnsi="Verdana" w:cs="Arial"/>
          <w:kern w:val="2"/>
          <w:lang w:val="es-ES_tradnl" w:eastAsia="es-ES_tradnl"/>
          <w14:ligatures w14:val="standardContextual"/>
        </w:rPr>
        <w:t xml:space="preserve">[…] </w:t>
      </w:r>
      <w:r w:rsidRPr="00071D26">
        <w:rPr>
          <w:rFonts w:ascii="Verdana" w:eastAsia="Times New Roman" w:hAnsi="Verdana" w:cs="Arial"/>
          <w:kern w:val="2"/>
          <w:shd w:val="clear" w:color="auto" w:fill="FFFFFF"/>
          <w:lang w:val="es-ES_tradnl"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2D9F676E" w14:textId="77777777" w:rsidR="00071D26" w:rsidRPr="00071D26" w:rsidRDefault="00071D26" w:rsidP="00071D26">
      <w:pPr>
        <w:snapToGrid w:val="0"/>
        <w:spacing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071D26">
        <w:rPr>
          <w:rFonts w:ascii="Verdana" w:eastAsia="Times New Roman" w:hAnsi="Verdana" w:cs="Arial"/>
          <w:kern w:val="2"/>
          <w:shd w:val="clear" w:color="auto" w:fill="FFFFFF"/>
          <w:lang w:val="es-ES_tradnl" w:eastAsia="es-ES"/>
          <w14:ligatures w14:val="standardContextual"/>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071D26">
        <w:rPr>
          <w:rFonts w:ascii="Verdana" w:eastAsia="Times New Roman" w:hAnsi="Verdana" w:cs="Arial"/>
          <w:kern w:val="2"/>
          <w:highlight w:val="lightGray"/>
          <w:shd w:val="clear" w:color="auto" w:fill="FFFFFF"/>
          <w:lang w:val="es-ES_tradnl" w:eastAsia="es-ES"/>
          <w14:ligatures w14:val="standardContextual"/>
        </w:rPr>
        <w:t>–[texto]–</w:t>
      </w:r>
      <w:r w:rsidRPr="00071D26">
        <w:rPr>
          <w:rFonts w:ascii="Verdana" w:eastAsia="Times New Roman" w:hAnsi="Verdana" w:cs="Arial"/>
          <w:kern w:val="2"/>
          <w:shd w:val="clear" w:color="auto" w:fill="FFFFFF"/>
          <w:lang w:val="es-ES_tradnl" w:eastAsia="es-ES"/>
          <w14:ligatures w14:val="standardContextual"/>
        </w:rPr>
        <w:t>, para lo cual deberán observarse las instrucciones contenidas en los mismos para su diligenciamiento.</w:t>
      </w:r>
    </w:p>
    <w:p w14:paraId="574FAC91" w14:textId="77777777" w:rsidR="00071D26" w:rsidRPr="00071D26" w:rsidRDefault="00071D26" w:rsidP="00071D26">
      <w:pPr>
        <w:snapToGrid w:val="0"/>
        <w:spacing w:after="120" w:line="276" w:lineRule="auto"/>
        <w:ind w:firstLine="709"/>
        <w:jc w:val="both"/>
        <w:rPr>
          <w:rFonts w:ascii="Verdana" w:eastAsia="Times New Roman" w:hAnsi="Verdana" w:cs="Arial"/>
          <w:kern w:val="2"/>
          <w:shd w:val="clear" w:color="auto" w:fill="FFFFFF"/>
          <w:lang w:val="es-ES_tradnl" w:eastAsia="es-ES_tradnl"/>
          <w14:ligatures w14:val="standardContextual"/>
        </w:rPr>
      </w:pPr>
      <w:r w:rsidRPr="00071D26">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69C2D10" w14:textId="77777777" w:rsidR="00071D26" w:rsidRPr="00071D26" w:rsidRDefault="00071D26" w:rsidP="00071D26">
      <w:pPr>
        <w:snapToGrid w:val="0"/>
        <w:spacing w:after="0" w:line="276" w:lineRule="auto"/>
        <w:ind w:firstLine="709"/>
        <w:jc w:val="both"/>
        <w:rPr>
          <w:rFonts w:ascii="Verdana" w:eastAsia="Calibri" w:hAnsi="Verdana" w:cs="Arial"/>
          <w:kern w:val="2"/>
          <w:lang w:val="es-ES_tradnl" w:eastAsia="es-MX"/>
          <w14:ligatures w14:val="standardContextual"/>
        </w:rPr>
      </w:pPr>
      <w:r w:rsidRPr="00071D26">
        <w:rPr>
          <w:rFonts w:ascii="Verdana" w:eastAsia="Calibri" w:hAnsi="Verdana" w:cs="Arial"/>
          <w:kern w:val="2"/>
          <w:lang w:val="es-ES_tradnl" w:eastAsia="es-MX"/>
          <w14:ligatures w14:val="standardContextual"/>
        </w:rPr>
        <w:t>Ahora bien, los documentos tipo de infraestructura de agua potable y saneamiento básico contemplan, en la parte introductoria, el siguiente párrafo relacionado con la obligación de observar el marco normativo aplicable al proceso de contratación particular:</w:t>
      </w:r>
    </w:p>
    <w:p w14:paraId="5079985A" w14:textId="77777777" w:rsidR="00071D26" w:rsidRPr="00071D26" w:rsidRDefault="00071D26" w:rsidP="00071D26">
      <w:pPr>
        <w:snapToGrid w:val="0"/>
        <w:spacing w:after="0" w:line="276" w:lineRule="auto"/>
        <w:ind w:firstLine="709"/>
        <w:jc w:val="both"/>
        <w:rPr>
          <w:rFonts w:ascii="Verdana" w:eastAsia="Calibri" w:hAnsi="Verdana" w:cs="Arial"/>
          <w:kern w:val="2"/>
          <w:lang w:val="es-ES_tradnl" w:eastAsia="es-MX"/>
          <w14:ligatures w14:val="standardContextual"/>
        </w:rPr>
      </w:pPr>
    </w:p>
    <w:p w14:paraId="63D690DB" w14:textId="77777777" w:rsidR="00071D26" w:rsidRPr="00071D26" w:rsidRDefault="00071D26" w:rsidP="00071D26">
      <w:pPr>
        <w:snapToGrid w:val="0"/>
        <w:spacing w:after="0" w:line="240" w:lineRule="auto"/>
        <w:ind w:left="709" w:right="709"/>
        <w:jc w:val="both"/>
        <w:rPr>
          <w:rFonts w:ascii="Verdana" w:eastAsia="Calibri" w:hAnsi="Verdana" w:cs="Arial"/>
          <w:kern w:val="2"/>
          <w:sz w:val="21"/>
          <w:szCs w:val="21"/>
          <w:lang w:val="es-ES_tradnl" w:eastAsia="es-MX"/>
          <w14:ligatures w14:val="standardContextual"/>
        </w:rPr>
      </w:pPr>
      <w:r w:rsidRPr="00071D26">
        <w:rPr>
          <w:rFonts w:ascii="Verdana" w:eastAsia="Calibri" w:hAnsi="Verdana" w:cs="Arial"/>
          <w:kern w:val="2"/>
          <w:sz w:val="21"/>
          <w:szCs w:val="21"/>
          <w:lang w:val="es-ES_tradnl" w:eastAsia="es-MX"/>
          <w14:ligatures w14:val="standardContextual"/>
        </w:rPr>
        <w:t>“La entidad evaluará las ofertas con base en las reglas establecidas en el pliego de condiciones y en la normativa aplicable.</w:t>
      </w:r>
    </w:p>
    <w:p w14:paraId="39800B6F" w14:textId="77777777" w:rsidR="00071D26" w:rsidRPr="00071D26" w:rsidRDefault="00071D26" w:rsidP="00071D26">
      <w:pPr>
        <w:snapToGrid w:val="0"/>
        <w:spacing w:after="0" w:line="240" w:lineRule="auto"/>
        <w:ind w:left="709" w:right="709"/>
        <w:jc w:val="both"/>
        <w:rPr>
          <w:rFonts w:ascii="Verdana" w:eastAsia="Calibri" w:hAnsi="Verdana" w:cs="Arial"/>
          <w:kern w:val="2"/>
          <w:sz w:val="21"/>
          <w:szCs w:val="21"/>
          <w:lang w:val="es-ES_tradnl" w:eastAsia="es-MX"/>
          <w14:ligatures w14:val="standardContextual"/>
        </w:rPr>
      </w:pPr>
    </w:p>
    <w:p w14:paraId="00436E0E" w14:textId="77777777" w:rsidR="00071D26" w:rsidRPr="00071D26" w:rsidRDefault="00071D26" w:rsidP="00071D26">
      <w:pPr>
        <w:snapToGrid w:val="0"/>
        <w:spacing w:after="0" w:line="240" w:lineRule="auto"/>
        <w:ind w:left="709" w:right="709"/>
        <w:jc w:val="both"/>
        <w:rPr>
          <w:rFonts w:ascii="Verdana" w:eastAsia="Calibri" w:hAnsi="Verdana" w:cs="Arial"/>
          <w:kern w:val="2"/>
          <w:sz w:val="21"/>
          <w:szCs w:val="21"/>
          <w:lang w:val="es-ES_tradnl" w:eastAsia="es-MX"/>
          <w14:ligatures w14:val="standardContextual"/>
        </w:rPr>
      </w:pPr>
      <w:r w:rsidRPr="00071D26">
        <w:rPr>
          <w:rFonts w:ascii="Verdana" w:eastAsia="Calibri" w:hAnsi="Verdana" w:cs="Arial"/>
          <w:kern w:val="2"/>
          <w:sz w:val="21"/>
          <w:szCs w:val="21"/>
          <w:lang w:val="es-ES_tradnl" w:eastAsia="es-MX"/>
          <w14:ligatures w14:val="standardContextual"/>
        </w:rPr>
        <w:t>El uso de los Documentos Tipo no exime a la entidad estatal de la obligación que le asiste de aplicar la normativa y la jurisprudencia aplicable al proceso de contratación, así como de dar cumplimiento a lo ordenado por sentencia judicial.”</w:t>
      </w:r>
    </w:p>
    <w:p w14:paraId="35E1C290" w14:textId="77777777" w:rsidR="00071D26" w:rsidRPr="00071D26" w:rsidRDefault="00071D26" w:rsidP="00071D26">
      <w:pPr>
        <w:snapToGrid w:val="0"/>
        <w:spacing w:after="0" w:line="240" w:lineRule="auto"/>
        <w:ind w:left="709" w:right="709"/>
        <w:jc w:val="both"/>
        <w:rPr>
          <w:rFonts w:ascii="Verdana" w:eastAsia="Calibri" w:hAnsi="Verdana" w:cs="Arial"/>
          <w:kern w:val="2"/>
          <w:sz w:val="21"/>
          <w:szCs w:val="21"/>
          <w:lang w:val="es-ES_tradnl" w:eastAsia="es-MX"/>
          <w14:ligatures w14:val="standardContextual"/>
        </w:rPr>
      </w:pPr>
    </w:p>
    <w:p w14:paraId="30F1DFFD" w14:textId="77777777" w:rsidR="00071D26" w:rsidRPr="00071D26" w:rsidRDefault="00071D26" w:rsidP="00071D26">
      <w:pPr>
        <w:snapToGrid w:val="0"/>
        <w:spacing w:after="120" w:line="276" w:lineRule="auto"/>
        <w:ind w:firstLine="709"/>
        <w:jc w:val="both"/>
        <w:rPr>
          <w:rFonts w:ascii="Verdana" w:eastAsia="Calibri" w:hAnsi="Verdana" w:cs="Arial"/>
          <w:kern w:val="2"/>
          <w:lang w:val="es-ES_tradnl" w:eastAsia="es-MX"/>
          <w14:ligatures w14:val="standardContextual"/>
        </w:rPr>
      </w:pPr>
      <w:r w:rsidRPr="00071D26">
        <w:rPr>
          <w:rFonts w:ascii="Verdana" w:eastAsia="Calibri" w:hAnsi="Verdana" w:cs="Arial"/>
          <w:kern w:val="2"/>
          <w:lang w:val="es-ES_tradnl" w:eastAsia="es-MX"/>
          <w14:ligatures w14:val="standardContextual"/>
        </w:rPr>
        <w:lastRenderedPageBreak/>
        <w:t xml:space="preserve">Por lo anterior, el uso de los documentos tipo debe realizarse, a su vez, a la par de las normas aplicables a los procesos de contratación que la entidad estatal pretenda adelantar. De esta manera, una entidad no podrá justificar la no aplicación de una norma basándose en la utilización de los pliegos tipo. </w:t>
      </w:r>
    </w:p>
    <w:p w14:paraId="4A2AAE52" w14:textId="77777777" w:rsidR="00071D26" w:rsidRPr="00071D26" w:rsidRDefault="00071D26" w:rsidP="00071D26">
      <w:pPr>
        <w:snapToGrid w:val="0"/>
        <w:spacing w:after="120" w:line="276" w:lineRule="auto"/>
        <w:ind w:firstLine="709"/>
        <w:jc w:val="both"/>
        <w:rPr>
          <w:rFonts w:ascii="Verdana" w:eastAsia="Calibri" w:hAnsi="Verdana" w:cs="Arial"/>
          <w:kern w:val="2"/>
          <w:lang w:val="es-ES_tradnl" w:eastAsia="es-MX"/>
          <w14:ligatures w14:val="standardContextual"/>
        </w:rPr>
      </w:pPr>
      <w:r w:rsidRPr="00071D26">
        <w:rPr>
          <w:rFonts w:ascii="Verdana" w:eastAsia="Calibri" w:hAnsi="Verdana" w:cs="Arial"/>
          <w:kern w:val="2"/>
          <w:lang w:val="es-ES_tradnl" w:eastAsia="es-MX"/>
          <w14:ligatures w14:val="standardContextual"/>
        </w:rPr>
        <w:t xml:space="preserve"> Por otra parte, los documentos tipo de infraestructura de agua potable y saneamiento básico se componen del “Anexo 5 – Minuta del Contrato”, el cual</w:t>
      </w:r>
      <w:r w:rsidRPr="00071D26">
        <w:rPr>
          <w:rFonts w:ascii="Aptos" w:eastAsia="Aptos" w:hAnsi="Aptos" w:cs="Times New Roman"/>
          <w:kern w:val="2"/>
          <w:sz w:val="24"/>
          <w:szCs w:val="24"/>
          <w14:ligatures w14:val="standardContextual"/>
        </w:rPr>
        <w:t xml:space="preserve"> </w:t>
      </w:r>
      <w:r w:rsidRPr="00071D26">
        <w:rPr>
          <w:rFonts w:ascii="Verdana" w:eastAsia="Calibri" w:hAnsi="Verdana" w:cs="Arial"/>
          <w:kern w:val="2"/>
          <w:lang w:val="es-ES_tradnl" w:eastAsia="es-MX"/>
          <w14:ligatures w14:val="standardContextual"/>
        </w:rPr>
        <w:t>consta de veinticinco (25) cláusulas orientadas a servir de insumo para el contrato que finalmente será suscrito por las partes. Este anexo constituye una particularidad frente a los demás anexos de los documentos tipo, ya que no está destinado a regular aspectos propios del proceso de selección sino de la relación contractual.</w:t>
      </w:r>
    </w:p>
    <w:p w14:paraId="626E6F95" w14:textId="77777777" w:rsidR="00071D26" w:rsidRPr="00071D26" w:rsidRDefault="00071D26" w:rsidP="00071D26">
      <w:pPr>
        <w:snapToGrid w:val="0"/>
        <w:spacing w:after="0" w:line="276" w:lineRule="auto"/>
        <w:ind w:firstLine="709"/>
        <w:jc w:val="both"/>
        <w:rPr>
          <w:rFonts w:ascii="Verdana" w:eastAsia="Calibri" w:hAnsi="Verdana" w:cs="Arial"/>
          <w:kern w:val="2"/>
          <w:lang w:val="es-ES_tradnl" w:eastAsia="es-MX"/>
          <w14:ligatures w14:val="standardContextual"/>
        </w:rPr>
      </w:pPr>
      <w:proofErr w:type="gramStart"/>
      <w:r w:rsidRPr="00071D26">
        <w:rPr>
          <w:rFonts w:ascii="Verdana" w:eastAsia="Calibri" w:hAnsi="Verdana" w:cs="Arial"/>
          <w:kern w:val="2"/>
          <w:lang w:val="es-ES_tradnl" w:eastAsia="es-MX"/>
          <w14:ligatures w14:val="standardContextual"/>
        </w:rPr>
        <w:t>En razón de</w:t>
      </w:r>
      <w:proofErr w:type="gramEnd"/>
      <w:r w:rsidRPr="00071D26">
        <w:rPr>
          <w:rFonts w:ascii="Verdana" w:eastAsia="Calibri" w:hAnsi="Verdana" w:cs="Arial"/>
          <w:kern w:val="2"/>
          <w:lang w:val="es-ES_tradnl" w:eastAsia="es-MX"/>
          <w14:ligatures w14:val="standardContextual"/>
        </w:rPr>
        <w:t xml:space="preserve"> ello, dentro de las 25 cláusulas que conforman este documento, es posible encontrar una serie de apartados grises entre corchetes –que se presentan con mayor frecuencia que en otros documentos– destinados a que las entidades estatales, en el marco de la autonomía que les corresponde, dispongan en ellos información relativa a las necesidades que pretenden satisfacer, el objeto a contratar y, en general, información necesaria para regular la relación contractual. Lo anterior teniendo en cuenta los aspectos más básicos del contrato, como el objeto, el plazo, la forma de pago, las obligaciones, etc., a partir de opciones, alternativas y sugerencias de cláusulas preestablecidas en el Anexo 5. Al respecto, el documento base establece en el “CAPÍTULO VIII MINUTA Y CONDICIONES DEL CONTRATO” lo siguiente:</w:t>
      </w:r>
    </w:p>
    <w:p w14:paraId="41BB8145" w14:textId="77777777" w:rsidR="00071D26" w:rsidRPr="00071D26" w:rsidRDefault="00071D26" w:rsidP="00071D26">
      <w:pPr>
        <w:snapToGrid w:val="0"/>
        <w:spacing w:after="0" w:line="276" w:lineRule="auto"/>
        <w:ind w:firstLine="709"/>
        <w:jc w:val="both"/>
        <w:rPr>
          <w:rFonts w:ascii="Verdana" w:eastAsia="Calibri" w:hAnsi="Verdana" w:cs="Arial"/>
          <w:kern w:val="2"/>
          <w:lang w:val="es-ES_tradnl" w:eastAsia="es-MX"/>
          <w14:ligatures w14:val="standardContextual"/>
        </w:rPr>
      </w:pPr>
    </w:p>
    <w:p w14:paraId="515AFB3F" w14:textId="77777777" w:rsidR="00071D26" w:rsidRPr="00071D26" w:rsidRDefault="00071D26" w:rsidP="00071D26">
      <w:pPr>
        <w:spacing w:after="0" w:line="240" w:lineRule="auto"/>
        <w:ind w:left="709" w:right="709"/>
        <w:jc w:val="both"/>
        <w:rPr>
          <w:rFonts w:ascii="Verdana" w:eastAsia="Arial" w:hAnsi="Verdana" w:cs="Arial"/>
          <w:kern w:val="2"/>
          <w:sz w:val="21"/>
          <w:szCs w:val="21"/>
          <w14:ligatures w14:val="standardContextual"/>
        </w:rPr>
      </w:pPr>
      <w:bookmarkStart w:id="1" w:name="_Hlk532199788"/>
      <w:r w:rsidRPr="00071D26">
        <w:rPr>
          <w:rFonts w:ascii="Verdana" w:eastAsia="Arial" w:hAnsi="Verdana" w:cs="Arial"/>
          <w:kern w:val="2"/>
          <w:sz w:val="21"/>
          <w:szCs w:val="21"/>
          <w:highlight w:val="lightGray"/>
          <w14:ligatures w14:val="standardContextual"/>
        </w:rPr>
        <w:t>[La entidad deberá incluir en el Anexo el contenido mínimo allí establecido. Podrá incluir cláusulas con condiciones adicionales que no contradigan lo dispuesto en el Anexo. En todo caso, las cláusulas adicionales deberán obedecer a las necesidades de ejecución del contrato ni deben contrariar las condiciones señaladas en los Documentos Tipo]</w:t>
      </w:r>
    </w:p>
    <w:p w14:paraId="2A658F28" w14:textId="77777777" w:rsidR="00071D26" w:rsidRPr="00071D26" w:rsidRDefault="00071D26" w:rsidP="00071D26">
      <w:pPr>
        <w:spacing w:after="0" w:line="276" w:lineRule="auto"/>
        <w:jc w:val="both"/>
        <w:rPr>
          <w:rFonts w:ascii="Verdana" w:eastAsia="Arial" w:hAnsi="Verdana" w:cs="Arial"/>
          <w:kern w:val="2"/>
          <w14:ligatures w14:val="standardContextual"/>
        </w:rPr>
      </w:pPr>
    </w:p>
    <w:bookmarkEnd w:id="1"/>
    <w:p w14:paraId="1531C142" w14:textId="77777777" w:rsidR="00071D26" w:rsidRPr="00071D26" w:rsidRDefault="00071D26" w:rsidP="00071D26">
      <w:pPr>
        <w:snapToGrid w:val="0"/>
        <w:spacing w:after="0" w:line="276" w:lineRule="auto"/>
        <w:ind w:firstLine="709"/>
        <w:jc w:val="both"/>
        <w:rPr>
          <w:rFonts w:ascii="Verdana" w:eastAsia="Calibri" w:hAnsi="Verdana" w:cs="Arial"/>
          <w:kern w:val="2"/>
          <w:lang w:val="es-ES_tradnl"/>
          <w14:ligatures w14:val="standardContextual"/>
        </w:rPr>
      </w:pPr>
      <w:r w:rsidRPr="00071D26">
        <w:rPr>
          <w:rFonts w:ascii="Verdana" w:eastAsia="Calibri" w:hAnsi="Verdana" w:cs="Arial"/>
          <w:kern w:val="2"/>
          <w:lang w:val="es-ES_tradnl"/>
          <w14:ligatures w14:val="standardContextual"/>
        </w:rPr>
        <w:t>A su turno, el referido Anexo 5 también señala que:</w:t>
      </w:r>
    </w:p>
    <w:p w14:paraId="30CFBEA5" w14:textId="77777777" w:rsidR="00071D26" w:rsidRPr="00071D26" w:rsidRDefault="00071D26" w:rsidP="00071D26">
      <w:pPr>
        <w:snapToGrid w:val="0"/>
        <w:spacing w:after="0" w:line="276" w:lineRule="auto"/>
        <w:ind w:firstLine="709"/>
        <w:jc w:val="both"/>
        <w:rPr>
          <w:rFonts w:ascii="Verdana" w:eastAsia="Calibri" w:hAnsi="Verdana" w:cs="Arial"/>
          <w:kern w:val="2"/>
          <w:lang w:val="es-ES_tradnl"/>
          <w14:ligatures w14:val="standardContextual"/>
        </w:rPr>
      </w:pPr>
    </w:p>
    <w:p w14:paraId="2CD1863A" w14:textId="77777777" w:rsidR="00071D26" w:rsidRPr="00071D26" w:rsidRDefault="00071D26" w:rsidP="00071D26">
      <w:pPr>
        <w:spacing w:after="0" w:line="240" w:lineRule="auto"/>
        <w:ind w:left="709" w:right="709"/>
        <w:jc w:val="both"/>
        <w:rPr>
          <w:rFonts w:ascii="Verdana" w:eastAsia="Aptos" w:hAnsi="Verdana" w:cs="Times New Roman"/>
          <w:kern w:val="2"/>
          <w:sz w:val="21"/>
          <w:szCs w:val="21"/>
          <w:highlight w:val="lightGray"/>
          <w14:ligatures w14:val="standardContextual"/>
        </w:rPr>
      </w:pPr>
      <w:r w:rsidRPr="00071D26">
        <w:rPr>
          <w:rFonts w:ascii="Verdana" w:eastAsia="Aptos" w:hAnsi="Verdana" w:cs="Times New Roman"/>
          <w:kern w:val="2"/>
          <w:sz w:val="21"/>
          <w:szCs w:val="21"/>
          <w:highlight w:val="lightGray"/>
          <w14:ligatures w14:val="standardContextual"/>
        </w:rPr>
        <w:t xml:space="preserve">[La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w:t>
      </w:r>
      <w:r w:rsidRPr="00071D26">
        <w:rPr>
          <w:rFonts w:ascii="Verdana" w:eastAsia="Aptos" w:hAnsi="Verdana" w:cs="Times New Roman"/>
          <w:kern w:val="2"/>
          <w:sz w:val="21"/>
          <w:szCs w:val="21"/>
          <w:highlight w:val="lightGray"/>
          <w14:ligatures w14:val="standardContextual"/>
        </w:rPr>
        <w:lastRenderedPageBreak/>
        <w:t xml:space="preserve">construir su propia cláusula, esto se indicará de manera clara cuando a ello haya lugar] </w:t>
      </w:r>
    </w:p>
    <w:p w14:paraId="7D172114" w14:textId="77777777" w:rsidR="00071D26" w:rsidRPr="00071D26" w:rsidRDefault="00071D26" w:rsidP="00071D26">
      <w:pPr>
        <w:spacing w:after="0" w:line="276" w:lineRule="auto"/>
        <w:ind w:left="709" w:right="709"/>
        <w:jc w:val="both"/>
        <w:rPr>
          <w:rFonts w:ascii="Verdana" w:eastAsia="Aptos" w:hAnsi="Verdana" w:cs="Times New Roman"/>
          <w:kern w:val="2"/>
          <w:highlight w:val="lightGray"/>
          <w14:ligatures w14:val="standardContextual"/>
        </w:rPr>
      </w:pPr>
    </w:p>
    <w:p w14:paraId="7B5CFD70" w14:textId="77777777" w:rsidR="00071D26" w:rsidRPr="00071D26" w:rsidRDefault="00071D26" w:rsidP="00071D26">
      <w:pPr>
        <w:snapToGrid w:val="0"/>
        <w:spacing w:after="120" w:line="276" w:lineRule="auto"/>
        <w:ind w:firstLine="709"/>
        <w:jc w:val="both"/>
        <w:rPr>
          <w:rFonts w:ascii="Verdana" w:eastAsia="Calibri" w:hAnsi="Verdana" w:cs="Arial"/>
          <w:kern w:val="2"/>
          <w:lang w:val="es-ES_tradnl"/>
          <w14:ligatures w14:val="standardContextual"/>
        </w:rPr>
      </w:pPr>
      <w:r w:rsidRPr="00071D26">
        <w:rPr>
          <w:rFonts w:ascii="Verdana" w:eastAsia="Calibri" w:hAnsi="Verdana" w:cs="Arial"/>
          <w:kern w:val="2"/>
          <w:lang w:val="es-ES_tradnl"/>
          <w14:ligatures w14:val="standardContextual"/>
        </w:rPr>
        <w:t xml:space="preserve">En ese sentido, en la Minuta del Contrato es completamente válido que la entidad adecúe su contenido conforme a las necesidades que pretenda satisfacer y en atención al marco normativo aplicable, sin que sea posible eludir los aspectos básicos del contrato o de los documentos tipo que no pueden alterarse. </w:t>
      </w:r>
    </w:p>
    <w:p w14:paraId="3973B796" w14:textId="77777777" w:rsidR="00071D26" w:rsidRPr="00071D26" w:rsidRDefault="00071D26" w:rsidP="00071D26">
      <w:pPr>
        <w:spacing w:after="120" w:line="276" w:lineRule="auto"/>
        <w:ind w:firstLine="709"/>
        <w:jc w:val="both"/>
        <w:rPr>
          <w:rFonts w:ascii="Verdana" w:eastAsia="Calibri" w:hAnsi="Verdana" w:cs="Vrinda"/>
          <w:kern w:val="2"/>
          <w:lang w:val="es-ES"/>
          <w14:ligatures w14:val="standardContextual"/>
        </w:rPr>
      </w:pPr>
      <w:r w:rsidRPr="00071D26">
        <w:rPr>
          <w:rFonts w:ascii="Verdana" w:eastAsia="Calibri" w:hAnsi="Verdana" w:cs="Vrinda"/>
          <w:bCs/>
          <w:kern w:val="2"/>
          <w14:ligatures w14:val="standardContextual"/>
        </w:rPr>
        <w:t xml:space="preserve">Finalmente, es importante resaltar que, </w:t>
      </w:r>
      <w:r w:rsidRPr="00071D26">
        <w:rPr>
          <w:rFonts w:ascii="Verdana" w:eastAsia="Calibri" w:hAnsi="Verdana" w:cs="Vrinda"/>
          <w:kern w:val="2"/>
          <w:lang w:val="es-ES"/>
          <w14:ligatures w14:val="standardContextu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71D26">
        <w:rPr>
          <w:rFonts w:ascii="Verdana" w:eastAsia="Calibri" w:hAnsi="Verdana" w:cs="Vrinda"/>
          <w:kern w:val="2"/>
          <w:vertAlign w:val="superscript"/>
          <w:lang w:val="es-ES"/>
          <w14:ligatures w14:val="standardContextual"/>
        </w:rPr>
        <w:footnoteReference w:id="2"/>
      </w:r>
      <w:r w:rsidRPr="00071D26">
        <w:rPr>
          <w:rFonts w:ascii="Verdana" w:eastAsia="Calibri" w:hAnsi="Verdana" w:cs="Vrinda"/>
          <w:kern w:val="2"/>
          <w:lang w:val="es-ES"/>
          <w14:ligatures w14:val="standardContextual"/>
        </w:rPr>
        <w:t>.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p w14:paraId="2756BFBF" w14:textId="77777777" w:rsidR="00071D26" w:rsidRPr="00071D26" w:rsidRDefault="00071D26" w:rsidP="00071D26">
      <w:pPr>
        <w:spacing w:after="0" w:line="276" w:lineRule="auto"/>
        <w:ind w:firstLine="709"/>
        <w:jc w:val="both"/>
        <w:rPr>
          <w:rFonts w:ascii="Verdana" w:eastAsia="Calibri" w:hAnsi="Verdana" w:cs="Vrinda"/>
          <w:bCs/>
          <w:kern w:val="2"/>
          <w:lang w:eastAsia="es-ES_tradnl"/>
          <w14:ligatures w14:val="standardContextual"/>
        </w:rPr>
      </w:pPr>
      <w:r w:rsidRPr="00071D26">
        <w:rPr>
          <w:rFonts w:ascii="Verdana" w:eastAsia="Calibri" w:hAnsi="Verdana" w:cs="Vrinda"/>
          <w:bCs/>
          <w:color w:val="1A1A1A"/>
          <w:kern w:val="2"/>
          <w14:ligatures w14:val="standardContextual"/>
        </w:rPr>
        <w:t xml:space="preserve">Para efectos disciplinarios, el inciso 3 del artículo 226 del Código General del Proceso, normativa a la que remite el artículo 241 de la Ley 1952 de 2019 en materia probatoria, establece expresamente que “No serán admisibles los dictámenes periciales que versen sobre puntos de derecho”. </w:t>
      </w:r>
      <w:r w:rsidRPr="00071D26">
        <w:rPr>
          <w:rFonts w:ascii="Verdana" w:eastAsia="Calibri" w:hAnsi="Verdana" w:cs="Vrinda"/>
          <w:kern w:val="2"/>
          <w:lang w:val="es-ES"/>
          <w14:ligatures w14:val="standardContextual"/>
        </w:rPr>
        <w:t xml:space="preserve">En este contexto, </w:t>
      </w:r>
      <w:r w:rsidRPr="00071D26">
        <w:rPr>
          <w:rFonts w:ascii="Verdana" w:eastAsia="Calibri" w:hAnsi="Verdana" w:cs="Vrinda"/>
          <w:bCs/>
          <w:color w:val="1A1A1A"/>
          <w:kern w:val="2"/>
          <w14:ligatures w14:val="standardContextual"/>
        </w:rPr>
        <w:t xml:space="preserve">lo decidido en torno al proceso del </w:t>
      </w:r>
      <w:r w:rsidRPr="00071D26">
        <w:rPr>
          <w:rFonts w:ascii="Verdana" w:eastAsia="Calibri" w:hAnsi="Verdana" w:cs="Vrinda"/>
          <w:color w:val="000000"/>
          <w:kern w:val="2"/>
          <w:lang w:val="es-ES_tradnl"/>
          <w14:ligatures w14:val="standardContextual"/>
        </w:rPr>
        <w:t xml:space="preserve">expediente </w:t>
      </w:r>
      <w:r w:rsidRPr="00071D26">
        <w:rPr>
          <w:rFonts w:ascii="Verdana" w:eastAsia="Calibri" w:hAnsi="Verdana" w:cs="Vrinda"/>
          <w:kern w:val="2"/>
          <w:lang w:val="es-ES" w:eastAsia="es-ES"/>
          <w14:ligatures w14:val="standardContextual"/>
        </w:rPr>
        <w:t>adjunto</w:t>
      </w:r>
      <w:r w:rsidRPr="00071D26">
        <w:rPr>
          <w:rFonts w:ascii="Verdana" w:eastAsia="Calibri" w:hAnsi="Verdana" w:cs="Vrinda"/>
          <w:b/>
          <w:bCs/>
          <w:kern w:val="2"/>
          <w:lang w:val="es-ES" w:eastAsia="es-ES"/>
          <w14:ligatures w14:val="standardContextual"/>
        </w:rPr>
        <w:t xml:space="preserve"> </w:t>
      </w:r>
      <w:r w:rsidRPr="00071D26">
        <w:rPr>
          <w:rFonts w:ascii="Verdana" w:eastAsia="Calibri" w:hAnsi="Verdana" w:cs="Vrinda"/>
          <w:color w:val="000000"/>
          <w:kern w:val="2"/>
          <w:lang w:val="es-ES_tradnl"/>
          <w14:ligatures w14:val="standardContextual"/>
        </w:rPr>
        <w:t xml:space="preserve">es responsabilidad única y exclusiva de la </w:t>
      </w:r>
      <w:r w:rsidRPr="00071D26">
        <w:rPr>
          <w:rFonts w:ascii="Verdana" w:eastAsia="Calibri" w:hAnsi="Verdana" w:cs="Vrinda"/>
          <w:bCs/>
          <w:kern w:val="2"/>
          <w:lang w:eastAsia="es-ES_tradnl"/>
          <w14:ligatures w14:val="standardContextual"/>
        </w:rPr>
        <w:t xml:space="preserve">Procuraduría General de la Nación. </w:t>
      </w:r>
    </w:p>
    <w:p w14:paraId="4606DC73" w14:textId="77777777" w:rsidR="00071D26" w:rsidRPr="00071D26" w:rsidRDefault="00071D26" w:rsidP="00071D26">
      <w:pPr>
        <w:spacing w:after="0" w:line="276" w:lineRule="auto"/>
        <w:ind w:firstLine="709"/>
        <w:jc w:val="both"/>
        <w:rPr>
          <w:rFonts w:ascii="Verdana" w:eastAsia="Calibri" w:hAnsi="Verdana" w:cs="Vrinda"/>
          <w:bCs/>
          <w:color w:val="1A1A1A"/>
          <w:kern w:val="2"/>
          <w:sz w:val="24"/>
          <w:szCs w:val="24"/>
          <w14:ligatures w14:val="standardContextual"/>
        </w:rPr>
      </w:pPr>
    </w:p>
    <w:p w14:paraId="10440E5B" w14:textId="77777777" w:rsidR="00071D26" w:rsidRPr="00071D26" w:rsidRDefault="00071D26" w:rsidP="00071D2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071D26">
        <w:rPr>
          <w:rFonts w:ascii="Verdana" w:eastAsia="Century Gothic" w:hAnsi="Verdana" w:cs="Century Gothic"/>
          <w:b/>
          <w:bCs/>
          <w:lang w:val="es-ES_tradnl"/>
        </w:rPr>
        <w:t>Referencias normativas, jurisprudenciales y otras fuentes:</w:t>
      </w:r>
    </w:p>
    <w:p w14:paraId="1DE78616" w14:textId="77777777" w:rsidR="00071D26" w:rsidRPr="00071D26" w:rsidRDefault="00071D26" w:rsidP="00071D26">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71D26" w:rsidRPr="00071D26" w14:paraId="7E0F376A" w14:textId="77777777" w:rsidTr="00064BA0">
        <w:trPr>
          <w:trHeight w:val="870"/>
        </w:trPr>
        <w:tc>
          <w:tcPr>
            <w:tcW w:w="8647" w:type="dxa"/>
          </w:tcPr>
          <w:p w14:paraId="560FC957" w14:textId="77777777" w:rsidR="00071D26" w:rsidRPr="00071D26" w:rsidRDefault="00071D26" w:rsidP="00071D26">
            <w:pPr>
              <w:widowControl w:val="0"/>
              <w:numPr>
                <w:ilvl w:val="0"/>
                <w:numId w:val="17"/>
              </w:numPr>
              <w:autoSpaceDE w:val="0"/>
              <w:autoSpaceDN w:val="0"/>
              <w:spacing w:after="120" w:line="276" w:lineRule="auto"/>
              <w:jc w:val="both"/>
              <w:rPr>
                <w:rFonts w:ascii="Verdana" w:eastAsia="Calibri" w:hAnsi="Verdana" w:cs="Arial"/>
                <w:lang w:val="es-ES_tradnl"/>
              </w:rPr>
            </w:pPr>
            <w:r w:rsidRPr="00071D26">
              <w:rPr>
                <w:rFonts w:ascii="Verdana" w:eastAsia="Calibri" w:hAnsi="Verdana" w:cs="Arial"/>
                <w:lang w:val="es-ES_tradnl"/>
              </w:rPr>
              <w:t>Ley 2022 de 2020, artículo 1.</w:t>
            </w:r>
          </w:p>
          <w:p w14:paraId="36ABF628" w14:textId="77777777" w:rsidR="00071D26" w:rsidRPr="00071D26" w:rsidRDefault="00071D26" w:rsidP="00071D26">
            <w:pPr>
              <w:widowControl w:val="0"/>
              <w:numPr>
                <w:ilvl w:val="0"/>
                <w:numId w:val="17"/>
              </w:numPr>
              <w:autoSpaceDE w:val="0"/>
              <w:autoSpaceDN w:val="0"/>
              <w:spacing w:after="120" w:line="276" w:lineRule="auto"/>
              <w:jc w:val="both"/>
              <w:rPr>
                <w:rFonts w:ascii="Verdana" w:eastAsia="Calibri" w:hAnsi="Verdana" w:cs="Arial"/>
                <w:lang w:val="es-ES_tradnl"/>
              </w:rPr>
            </w:pPr>
            <w:r w:rsidRPr="00071D26">
              <w:rPr>
                <w:rFonts w:ascii="Verdana" w:eastAsia="Calibri" w:hAnsi="Verdana" w:cs="Arial"/>
                <w:lang w:val="es-ES_tradnl"/>
              </w:rPr>
              <w:t xml:space="preserve">Documentos tipo de infraestructura de agua potable y saneamiento básico. Disponibles en: </w:t>
            </w:r>
            <w:hyperlink r:id="rId11" w:history="1">
              <w:r w:rsidRPr="00071D26">
                <w:rPr>
                  <w:rFonts w:ascii="Verdana" w:eastAsia="Calibri" w:hAnsi="Verdana" w:cs="Arial"/>
                  <w:color w:val="467886"/>
                  <w:u w:val="single"/>
                  <w:lang w:val="es-ES_tradnl"/>
                </w:rPr>
                <w:t>https://www.colombiacompra.gov.co/normativa-y-relatoria/documentos-tipo</w:t>
              </w:r>
            </w:hyperlink>
            <w:r w:rsidRPr="00071D26">
              <w:rPr>
                <w:rFonts w:ascii="Verdana" w:eastAsia="Calibri" w:hAnsi="Verdana" w:cs="Arial"/>
                <w:lang w:val="es-ES_tradnl"/>
              </w:rPr>
              <w:t>.</w:t>
            </w:r>
          </w:p>
        </w:tc>
      </w:tr>
    </w:tbl>
    <w:p w14:paraId="28CDEA60" w14:textId="77777777" w:rsidR="00071D26" w:rsidRPr="00071D26" w:rsidRDefault="00071D26" w:rsidP="00071D26">
      <w:pPr>
        <w:widowControl w:val="0"/>
        <w:autoSpaceDE w:val="0"/>
        <w:autoSpaceDN w:val="0"/>
        <w:spacing w:after="0" w:line="276" w:lineRule="auto"/>
        <w:jc w:val="both"/>
        <w:rPr>
          <w:rFonts w:ascii="Verdana" w:eastAsia="Calibri" w:hAnsi="Verdana" w:cs="Arial"/>
          <w:lang w:val="es-ES_tradnl"/>
        </w:rPr>
      </w:pPr>
    </w:p>
    <w:p w14:paraId="7EA52AEE" w14:textId="77777777" w:rsidR="00071D26" w:rsidRPr="00071D26" w:rsidRDefault="00071D26" w:rsidP="00071D2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071D26">
        <w:rPr>
          <w:rFonts w:ascii="Verdana" w:eastAsia="Century Gothic" w:hAnsi="Verdana" w:cs="Century Gothic"/>
          <w:b/>
          <w:bCs/>
          <w:lang w:val="es-ES_tradnl"/>
        </w:rPr>
        <w:t>Doctrina de la Agencia Nacional de Contratación Pública:</w:t>
      </w:r>
    </w:p>
    <w:p w14:paraId="216CE64C" w14:textId="77777777" w:rsidR="00071D26" w:rsidRPr="00071D26" w:rsidRDefault="00071D26" w:rsidP="00071D26">
      <w:pPr>
        <w:widowControl w:val="0"/>
        <w:autoSpaceDE w:val="0"/>
        <w:autoSpaceDN w:val="0"/>
        <w:spacing w:after="0" w:line="276" w:lineRule="auto"/>
        <w:jc w:val="both"/>
        <w:rPr>
          <w:rFonts w:ascii="Verdana" w:eastAsia="Calibri" w:hAnsi="Verdana" w:cs="Arial"/>
          <w:lang w:val="es-ES_tradnl"/>
        </w:rPr>
      </w:pPr>
    </w:p>
    <w:p w14:paraId="69CBB292" w14:textId="77777777" w:rsidR="00071D26" w:rsidRPr="00071D26" w:rsidRDefault="00071D26" w:rsidP="00071D26">
      <w:pPr>
        <w:widowControl w:val="0"/>
        <w:autoSpaceDE w:val="0"/>
        <w:autoSpaceDN w:val="0"/>
        <w:spacing w:after="0" w:line="276" w:lineRule="auto"/>
        <w:jc w:val="both"/>
        <w:rPr>
          <w:rFonts w:ascii="Verdana" w:eastAsia="Calibri" w:hAnsi="Verdana" w:cs="Arial"/>
          <w:shd w:val="clear" w:color="auto" w:fill="FFFFFF"/>
          <w:lang w:val="es-ES_tradnl"/>
        </w:rPr>
      </w:pPr>
      <w:r w:rsidRPr="00071D26">
        <w:rPr>
          <w:rFonts w:ascii="Verdana" w:eastAsia="Calibri" w:hAnsi="Verdana" w:cs="Arial"/>
          <w:shd w:val="clear" w:color="auto" w:fill="FFFFFF"/>
          <w:lang w:val="es-ES_tradnl"/>
        </w:rPr>
        <w:t xml:space="preserve">La Agencia Nacional de Contratación Pública − Colombia Compra Eficiente se pronunció sobre los pliegos de condiciones tipo en la contratación estatal, en los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C-031 del 1 de febrero de 2021, C-157 de 13 de abril de 2021, C-862 del 16 de diciembre de 2022, C-217 del 12 de julio de 2024, entre otros. </w:t>
      </w:r>
      <w:r w:rsidRPr="00071D26">
        <w:rPr>
          <w:rFonts w:ascii="Verdana" w:eastAsia="Times New Roman" w:hAnsi="Verdana" w:cs="Arial"/>
          <w:kern w:val="2"/>
          <w:shd w:val="clear" w:color="auto" w:fill="FFFFFF"/>
          <w:lang w:val="es-ES_tradnl"/>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071D26">
          <w:rPr>
            <w:rFonts w:ascii="Verdana" w:eastAsia="Times New Roman" w:hAnsi="Verdana" w:cs="Arial"/>
            <w:kern w:val="2"/>
            <w:shd w:val="clear" w:color="auto" w:fill="FFFFFF"/>
            <w:lang w:val="es-ES_tradnl"/>
            <w14:ligatures w14:val="standardContextual"/>
          </w:rPr>
          <w:t>https://relatoria.colombiacompra.gov.co/</w:t>
        </w:r>
      </w:hyperlink>
      <w:r w:rsidRPr="00071D26">
        <w:rPr>
          <w:rFonts w:ascii="Verdana" w:eastAsia="Times New Roman" w:hAnsi="Verdana" w:cs="Arial"/>
          <w:kern w:val="2"/>
          <w:shd w:val="clear" w:color="auto" w:fill="FFFFFF"/>
          <w:lang w:val="es-ES_tradnl"/>
          <w14:ligatures w14:val="standardContextual"/>
        </w:rPr>
        <w:t>.</w:t>
      </w:r>
    </w:p>
    <w:p w14:paraId="468E7763" w14:textId="77777777" w:rsidR="00071D26" w:rsidRPr="00071D26" w:rsidRDefault="00071D26" w:rsidP="00071D26">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286DD77" w14:textId="77777777" w:rsidR="00071D26" w:rsidRPr="00071D26" w:rsidRDefault="00071D26" w:rsidP="00071D2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71D26">
        <w:rPr>
          <w:rFonts w:ascii="Verdana" w:eastAsia="Calibri" w:hAnsi="Verdana" w:cs="Arial"/>
          <w:kern w:val="2"/>
          <w:shd w:val="clear" w:color="auto" w:fill="FFFFFF"/>
          <w:lang w:val="es-ES_tradnl"/>
          <w14:ligatures w14:val="standardContextual"/>
        </w:rPr>
        <w:t>La</w:t>
      </w:r>
      <w:r w:rsidRPr="00071D26">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071D26">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071D26">
        <w:rPr>
          <w:rFonts w:ascii="Verdana" w:eastAsia="Calibri" w:hAnsi="Verdana" w:cs="Arial"/>
          <w:b/>
          <w:bCs/>
          <w:kern w:val="2"/>
          <w:shd w:val="clear" w:color="auto" w:fill="FFFFFF"/>
          <w:lang w:val="es-ES_tradnl"/>
          <w14:ligatures w14:val="standardContextual"/>
        </w:rPr>
        <w:t>Documentos Tipo</w:t>
      </w:r>
      <w:r w:rsidRPr="00071D26">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071D26">
        <w:rPr>
          <w:rFonts w:ascii="Verdana" w:eastAsia="Calibri" w:hAnsi="Verdana" w:cs="Arial"/>
          <w:b/>
          <w:bCs/>
          <w:kern w:val="2"/>
          <w:shd w:val="clear" w:color="auto" w:fill="FFFFFF"/>
          <w:lang w:val="es-ES_tradnl"/>
          <w14:ligatures w14:val="standardContextual"/>
        </w:rPr>
        <w:t>transparencia</w:t>
      </w:r>
      <w:r w:rsidRPr="00071D26">
        <w:rPr>
          <w:rFonts w:ascii="Verdana" w:eastAsia="Calibri" w:hAnsi="Verdana" w:cs="Arial"/>
          <w:kern w:val="2"/>
          <w:shd w:val="clear" w:color="auto" w:fill="FFFFFF"/>
          <w:lang w:val="es-ES_tradnl"/>
          <w14:ligatures w14:val="standardContextual"/>
        </w:rPr>
        <w:t> y promover un proceso de </w:t>
      </w:r>
      <w:r w:rsidRPr="00071D26">
        <w:rPr>
          <w:rFonts w:ascii="Verdana" w:eastAsia="Calibri" w:hAnsi="Verdana" w:cs="Arial"/>
          <w:b/>
          <w:bCs/>
          <w:kern w:val="2"/>
          <w:shd w:val="clear" w:color="auto" w:fill="FFFFFF"/>
          <w:lang w:val="es-ES_tradnl"/>
          <w14:ligatures w14:val="standardContextual"/>
        </w:rPr>
        <w:t>selección objetiva</w:t>
      </w:r>
      <w:r w:rsidRPr="00071D26">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AEB0987" w14:textId="77777777" w:rsidR="00071D26" w:rsidRPr="00071D26" w:rsidRDefault="00071D26" w:rsidP="00071D2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5D95E14" w14:textId="77777777" w:rsidR="00071D26" w:rsidRPr="00071D26" w:rsidRDefault="00071D26" w:rsidP="00071D2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71D26">
        <w:rPr>
          <w:rFonts w:ascii="Verdana" w:eastAsia="Calibri" w:hAnsi="Verdana" w:cs="Arial"/>
          <w:kern w:val="2"/>
          <w:shd w:val="clear" w:color="auto" w:fill="FFFFFF"/>
          <w:lang w:val="es-ES_tradnl"/>
          <w14:ligatures w14:val="standardContextual"/>
        </w:rPr>
        <w:t>También, le contamos que ya se encuentra disponible la </w:t>
      </w:r>
      <w:r w:rsidRPr="00071D26">
        <w:rPr>
          <w:rFonts w:ascii="Verdana" w:eastAsia="Calibri" w:hAnsi="Verdana" w:cs="Arial"/>
          <w:b/>
          <w:bCs/>
          <w:kern w:val="2"/>
          <w:shd w:val="clear" w:color="auto" w:fill="FFFFFF"/>
          <w:lang w:val="es-ES_tradnl"/>
          <w14:ligatures w14:val="standardContextual"/>
        </w:rPr>
        <w:t>Guía de lineamientos de transparencia y selección objetiva para el departamento de La Guajira – Objetivo sexto constitucional de la Sentencia T-302 del 2017. </w:t>
      </w:r>
      <w:r w:rsidRPr="00071D26">
        <w:rPr>
          <w:rFonts w:ascii="Verdana" w:eastAsia="Calibri" w:hAnsi="Verdana" w:cs="Arial"/>
          <w:kern w:val="2"/>
          <w:shd w:val="clear" w:color="auto" w:fill="FFFFFF"/>
          <w:lang w:val="es-ES_tradnl"/>
          <w14:ligatures w14:val="standardContextual"/>
        </w:rPr>
        <w:t xml:space="preserve">Esta Guía se expide en el marco del cumplimiento de la orden proferida por la Honorable Corte Constitucional en la Sentencia T-302 del 2017. Con su </w:t>
      </w:r>
      <w:r w:rsidRPr="00071D26">
        <w:rPr>
          <w:rFonts w:ascii="Verdana" w:eastAsia="Calibri" w:hAnsi="Verdana" w:cs="Arial"/>
          <w:kern w:val="2"/>
          <w:shd w:val="clear" w:color="auto" w:fill="FFFFFF"/>
          <w:lang w:val="es-ES_tradnl"/>
          <w14:ligatures w14:val="standardContextual"/>
        </w:rPr>
        <w:lastRenderedPageBreak/>
        <w:t xml:space="preserve">implementación, se busca contribuir a la superación del Estado de Cosas Inconstitucional declarado por la situación de vulneración masiva y recurrente de los derechos fundamentales de los niños y de las niñas del Pueblo </w:t>
      </w:r>
      <w:proofErr w:type="spellStart"/>
      <w:r w:rsidRPr="00071D26">
        <w:rPr>
          <w:rFonts w:ascii="Verdana" w:eastAsia="Calibri" w:hAnsi="Verdana" w:cs="Arial"/>
          <w:kern w:val="2"/>
          <w:shd w:val="clear" w:color="auto" w:fill="FFFFFF"/>
          <w:lang w:val="es-ES_tradnl"/>
          <w14:ligatures w14:val="standardContextual"/>
        </w:rPr>
        <w:t>Wayúu</w:t>
      </w:r>
      <w:proofErr w:type="spellEnd"/>
      <w:r w:rsidRPr="00071D26">
        <w:rPr>
          <w:rFonts w:ascii="Verdana" w:eastAsia="Calibri" w:hAnsi="Verdana" w:cs="Arial"/>
          <w:kern w:val="2"/>
          <w:shd w:val="clear" w:color="auto" w:fill="FFFFFF"/>
          <w:lang w:val="es-ES_tradnl"/>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071D26">
          <w:rPr>
            <w:rFonts w:ascii="Verdana" w:eastAsia="Calibri" w:hAnsi="Verdana" w:cs="Arial"/>
            <w:color w:val="0000FF"/>
            <w:kern w:val="2"/>
            <w:u w:val="single"/>
            <w:shd w:val="clear" w:color="auto" w:fill="FFFFFF"/>
            <w:lang w:val="es-ES_tradnl"/>
            <w14:ligatures w14:val="standardContextual"/>
          </w:rPr>
          <w:t>Guía de lineamientos de transparencia y selección objetiva para el departamento de La Guajira – Objetivo sexto constitucional de la Sentencia T-302 del 2017</w:t>
        </w:r>
      </w:hyperlink>
      <w:r w:rsidRPr="00071D26">
        <w:rPr>
          <w:rFonts w:ascii="Verdana" w:eastAsia="Calibri" w:hAnsi="Verdana" w:cs="Arial"/>
          <w:kern w:val="2"/>
          <w:u w:val="single"/>
          <w:shd w:val="clear" w:color="auto" w:fill="FFFFFF"/>
          <w:lang w:val="es-ES_tradnl"/>
          <w14:ligatures w14:val="standardContextual"/>
        </w:rPr>
        <w:t>.</w:t>
      </w:r>
    </w:p>
    <w:p w14:paraId="0EFAFD9C" w14:textId="77777777" w:rsidR="00071D26" w:rsidRPr="00071D26" w:rsidRDefault="00071D26" w:rsidP="00071D2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DE00311" w14:textId="77777777" w:rsidR="00071D26" w:rsidRPr="00071D26" w:rsidRDefault="00071D26" w:rsidP="00071D26">
      <w:pPr>
        <w:spacing w:after="0" w:line="276" w:lineRule="auto"/>
        <w:jc w:val="both"/>
        <w:rPr>
          <w:rFonts w:ascii="Verdana" w:eastAsia="Calibri" w:hAnsi="Verdana" w:cs="Times New Roman"/>
          <w:kern w:val="2"/>
          <w:lang w:val="es-ES_tradnl"/>
          <w14:ligatures w14:val="standardContextual"/>
        </w:rPr>
      </w:pPr>
      <w:r w:rsidRPr="00071D26">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25E28243" w14:textId="77777777" w:rsidR="00071D26" w:rsidRPr="00071D26" w:rsidRDefault="00071D26" w:rsidP="00071D26">
      <w:pPr>
        <w:spacing w:after="0" w:line="240" w:lineRule="auto"/>
        <w:jc w:val="both"/>
        <w:rPr>
          <w:rFonts w:ascii="Verdana" w:eastAsia="Calibri" w:hAnsi="Verdana" w:cs="Times New Roman"/>
          <w:kern w:val="2"/>
          <w:lang w:val="es-ES_tradnl"/>
          <w14:ligatures w14:val="standardContextual"/>
        </w:rPr>
      </w:pPr>
    </w:p>
    <w:p w14:paraId="7DAC0B12" w14:textId="77777777" w:rsidR="00071D26" w:rsidRPr="00071D26" w:rsidRDefault="00071D26" w:rsidP="00071D26">
      <w:pPr>
        <w:spacing w:after="0" w:line="240" w:lineRule="auto"/>
        <w:jc w:val="both"/>
        <w:rPr>
          <w:rFonts w:ascii="Verdana" w:eastAsia="Calibri" w:hAnsi="Verdana" w:cs="Times New Roman"/>
          <w:kern w:val="2"/>
          <w:lang w:val="es-ES_tradnl"/>
          <w14:ligatures w14:val="standardContextual"/>
        </w:rPr>
      </w:pPr>
      <w:r w:rsidRPr="00071D26">
        <w:rPr>
          <w:rFonts w:ascii="Verdana" w:eastAsia="Calibri" w:hAnsi="Verdana" w:cs="Times New Roman"/>
          <w:kern w:val="2"/>
          <w:lang w:val="es-ES_tradnl"/>
          <w14:ligatures w14:val="standardContextual"/>
        </w:rPr>
        <w:t xml:space="preserve">X: </w:t>
      </w:r>
      <w:r w:rsidRPr="00071D26">
        <w:rPr>
          <w:rFonts w:ascii="Verdana" w:eastAsia="Calibri" w:hAnsi="Verdana" w:cs="Times New Roman"/>
          <w:kern w:val="2"/>
          <w:u w:val="single"/>
          <w:lang w:val="es-ES_tradnl"/>
          <w14:ligatures w14:val="standardContextual"/>
        </w:rPr>
        <w:t>@colombiacompra</w:t>
      </w:r>
      <w:r w:rsidRPr="00071D26">
        <w:rPr>
          <w:rFonts w:ascii="Verdana" w:eastAsia="Calibri" w:hAnsi="Verdana" w:cs="Times New Roman"/>
          <w:kern w:val="2"/>
          <w:lang w:val="es-ES_tradnl"/>
          <w14:ligatures w14:val="standardContextual"/>
        </w:rPr>
        <w:t xml:space="preserve"> </w:t>
      </w:r>
    </w:p>
    <w:p w14:paraId="4C319D5C" w14:textId="77777777" w:rsidR="00071D26" w:rsidRPr="00071D26" w:rsidRDefault="00071D26" w:rsidP="00071D26">
      <w:pPr>
        <w:spacing w:after="0" w:line="240" w:lineRule="auto"/>
        <w:jc w:val="both"/>
        <w:rPr>
          <w:rFonts w:ascii="Verdana" w:eastAsia="Calibri" w:hAnsi="Verdana" w:cs="Times New Roman"/>
          <w:kern w:val="2"/>
          <w:lang w:val="es-ES"/>
          <w14:ligatures w14:val="standardContextual"/>
        </w:rPr>
      </w:pPr>
      <w:r w:rsidRPr="00071D26">
        <w:rPr>
          <w:rFonts w:ascii="Verdana" w:eastAsia="Calibri" w:hAnsi="Verdana" w:cs="Times New Roman"/>
          <w:kern w:val="2"/>
          <w:lang w:val="es-ES"/>
          <w14:ligatures w14:val="standardContextual"/>
        </w:rPr>
        <w:t xml:space="preserve">Facebook: </w:t>
      </w:r>
      <w:proofErr w:type="spellStart"/>
      <w:r w:rsidRPr="00071D26">
        <w:rPr>
          <w:rFonts w:ascii="Verdana" w:eastAsia="Calibri" w:hAnsi="Verdana" w:cs="Times New Roman"/>
          <w:kern w:val="2"/>
          <w:u w:val="single"/>
          <w:lang w:val="es-ES"/>
          <w14:ligatures w14:val="standardContextual"/>
        </w:rPr>
        <w:t>ColombiaCompraEficiente</w:t>
      </w:r>
      <w:proofErr w:type="spellEnd"/>
    </w:p>
    <w:p w14:paraId="266EBAF3" w14:textId="77777777" w:rsidR="00071D26" w:rsidRPr="00071D26" w:rsidRDefault="00071D26" w:rsidP="00071D26">
      <w:pPr>
        <w:spacing w:after="0" w:line="240" w:lineRule="auto"/>
        <w:jc w:val="both"/>
        <w:rPr>
          <w:rFonts w:ascii="Verdana" w:eastAsia="Calibri" w:hAnsi="Verdana" w:cs="Times New Roman"/>
          <w:kern w:val="2"/>
          <w:lang w:val="es-ES_tradnl"/>
          <w14:ligatures w14:val="standardContextual"/>
        </w:rPr>
      </w:pPr>
      <w:r w:rsidRPr="00071D26">
        <w:rPr>
          <w:rFonts w:ascii="Verdana" w:eastAsia="Calibri" w:hAnsi="Verdana" w:cs="Times New Roman"/>
          <w:kern w:val="2"/>
          <w:lang w:val="es-ES_tradnl"/>
          <w14:ligatures w14:val="standardContextual"/>
        </w:rPr>
        <w:t xml:space="preserve">LinkedIn: </w:t>
      </w:r>
      <w:r w:rsidRPr="00071D26">
        <w:rPr>
          <w:rFonts w:ascii="Verdana" w:eastAsia="Calibri" w:hAnsi="Verdana" w:cs="Times New Roman"/>
          <w:kern w:val="2"/>
          <w:u w:val="single"/>
          <w:lang w:val="es-ES_tradnl"/>
          <w14:ligatures w14:val="standardContextual"/>
        </w:rPr>
        <w:t>Agencia Nacional de Contratación Pública - Colombia Compra Eficiente</w:t>
      </w:r>
      <w:r w:rsidRPr="00071D26">
        <w:rPr>
          <w:rFonts w:ascii="Verdana" w:eastAsia="Calibri" w:hAnsi="Verdana" w:cs="Times New Roman"/>
          <w:kern w:val="2"/>
          <w:lang w:val="es-ES_tradnl"/>
          <w14:ligatures w14:val="standardContextual"/>
        </w:rPr>
        <w:t xml:space="preserve"> Instagram: </w:t>
      </w:r>
      <w:r w:rsidRPr="00071D26">
        <w:rPr>
          <w:rFonts w:ascii="Verdana" w:eastAsia="Calibri" w:hAnsi="Verdana" w:cs="Times New Roman"/>
          <w:kern w:val="2"/>
          <w:u w:val="single"/>
          <w:lang w:val="es-ES_tradnl"/>
          <w14:ligatures w14:val="standardContextual"/>
        </w:rPr>
        <w:t>@colombiacompraeficiente_cce</w:t>
      </w:r>
    </w:p>
    <w:p w14:paraId="0106BEAB" w14:textId="77777777" w:rsidR="00071D26" w:rsidRPr="00071D26" w:rsidRDefault="00071D26" w:rsidP="00071D26">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ACD570C" w14:textId="77777777" w:rsidR="00071D26" w:rsidRPr="00071D26" w:rsidRDefault="00071D26" w:rsidP="00071D26">
      <w:pPr>
        <w:widowControl w:val="0"/>
        <w:autoSpaceDE w:val="0"/>
        <w:autoSpaceDN w:val="0"/>
        <w:spacing w:after="0" w:line="276" w:lineRule="auto"/>
        <w:jc w:val="both"/>
        <w:rPr>
          <w:rFonts w:ascii="Verdana" w:eastAsia="Calibri" w:hAnsi="Verdana" w:cs="Arial"/>
          <w:kern w:val="2"/>
          <w:lang w:val="es-ES_tradnl"/>
          <w14:ligatures w14:val="standardContextual"/>
        </w:rPr>
      </w:pPr>
      <w:r w:rsidRPr="00071D26">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29158A7" w14:textId="77777777" w:rsidR="00071D26" w:rsidRPr="00071D26" w:rsidRDefault="00071D26" w:rsidP="00071D26">
      <w:pPr>
        <w:widowControl w:val="0"/>
        <w:autoSpaceDE w:val="0"/>
        <w:autoSpaceDN w:val="0"/>
        <w:spacing w:after="0" w:line="276" w:lineRule="auto"/>
        <w:jc w:val="both"/>
        <w:rPr>
          <w:rFonts w:ascii="Verdana" w:eastAsia="Aptos" w:hAnsi="Verdana" w:cs="Arial"/>
          <w:kern w:val="2"/>
          <w:lang w:val="es-ES_tradnl"/>
          <w14:ligatures w14:val="standardContextual"/>
        </w:rPr>
      </w:pPr>
    </w:p>
    <w:p w14:paraId="0D02D643" w14:textId="77777777" w:rsidR="00071D26" w:rsidRPr="00071D26" w:rsidRDefault="00071D26" w:rsidP="00071D26">
      <w:pPr>
        <w:spacing w:after="0" w:line="240" w:lineRule="auto"/>
        <w:rPr>
          <w:rFonts w:ascii="Verdana" w:eastAsia="Aptos" w:hAnsi="Verdana" w:cs="Arial"/>
          <w:kern w:val="2"/>
          <w:lang w:val="es-ES_tradnl" w:eastAsia="es-CO"/>
          <w14:ligatures w14:val="standardContextual"/>
        </w:rPr>
      </w:pPr>
      <w:r w:rsidRPr="00071D26">
        <w:rPr>
          <w:rFonts w:ascii="Verdana" w:eastAsia="Times New Roman" w:hAnsi="Verdana" w:cs="Arial"/>
          <w:kern w:val="2"/>
          <w:lang w:val="es-ES_tradnl" w:eastAsia="es-CO"/>
          <w14:ligatures w14:val="standardContextual"/>
        </w:rPr>
        <w:t>Atentamente,</w:t>
      </w:r>
      <w:r w:rsidRPr="00071D26">
        <w:rPr>
          <w:rFonts w:ascii="Verdana" w:eastAsia="Aptos" w:hAnsi="Verdana" w:cs="Arial"/>
          <w:kern w:val="2"/>
          <w:lang w:val="es-ES_tradnl" w:eastAsia="es-CO"/>
          <w14:ligatures w14:val="standardContextual"/>
        </w:rPr>
        <w:t xml:space="preserve"> </w:t>
      </w:r>
    </w:p>
    <w:p w14:paraId="40E288C7" w14:textId="77777777" w:rsidR="00071D26" w:rsidRPr="00071D26" w:rsidRDefault="00071D26" w:rsidP="00071D26">
      <w:pPr>
        <w:spacing w:after="0" w:line="276" w:lineRule="auto"/>
        <w:jc w:val="center"/>
        <w:rPr>
          <w:rFonts w:ascii="Verdana" w:eastAsia="Aptos" w:hAnsi="Verdana" w:cs="Arial"/>
          <w:kern w:val="2"/>
          <w:sz w:val="24"/>
          <w:szCs w:val="24"/>
          <w:lang w:val="es-ES_tradnl" w:eastAsia="es-CO"/>
          <w14:ligatures w14:val="standardContextual"/>
        </w:rPr>
      </w:pPr>
    </w:p>
    <w:p w14:paraId="4DA61C39" w14:textId="21667ECE" w:rsidR="00071D26" w:rsidRPr="00071D26" w:rsidRDefault="006746C6" w:rsidP="00071D26">
      <w:pPr>
        <w:spacing w:after="0" w:line="276" w:lineRule="auto"/>
        <w:jc w:val="center"/>
        <w:rPr>
          <w:rFonts w:ascii="Verdana" w:eastAsia="Aptos" w:hAnsi="Verdana" w:cs="Arial"/>
          <w:kern w:val="2"/>
          <w:sz w:val="24"/>
          <w:szCs w:val="24"/>
          <w:lang w:val="es-ES_tradnl" w:eastAsia="es-CO"/>
          <w14:ligatures w14:val="standardContextual"/>
        </w:rPr>
      </w:pPr>
      <w:r>
        <w:rPr>
          <w:noProof/>
        </w:rPr>
        <w:drawing>
          <wp:inline distT="0" distB="0" distL="0" distR="0" wp14:anchorId="741B7694" wp14:editId="5CA1127C">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769"/>
      </w:tblGrid>
      <w:tr w:rsidR="00071D26" w:rsidRPr="00071D26" w14:paraId="6822282D" w14:textId="77777777" w:rsidTr="00064BA0">
        <w:trPr>
          <w:trHeight w:val="286"/>
        </w:trPr>
        <w:tc>
          <w:tcPr>
            <w:tcW w:w="901" w:type="dxa"/>
            <w:vAlign w:val="center"/>
            <w:hideMark/>
          </w:tcPr>
          <w:p w14:paraId="7895A00E"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Elaboró:</w:t>
            </w:r>
          </w:p>
        </w:tc>
        <w:tc>
          <w:tcPr>
            <w:tcW w:w="4769" w:type="dxa"/>
            <w:tcBorders>
              <w:top w:val="nil"/>
              <w:left w:val="nil"/>
              <w:bottom w:val="dotted" w:sz="4" w:space="0" w:color="7F7F7F"/>
              <w:right w:val="nil"/>
            </w:tcBorders>
            <w:vAlign w:val="center"/>
            <w:hideMark/>
          </w:tcPr>
          <w:p w14:paraId="1F2A21C3"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Kevin Arlid Herrera Santa</w:t>
            </w:r>
          </w:p>
          <w:p w14:paraId="2E5E063D"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Contratista de la Subdirección de Gestión Contractual</w:t>
            </w:r>
          </w:p>
        </w:tc>
      </w:tr>
      <w:tr w:rsidR="00071D26" w:rsidRPr="00071D26" w14:paraId="11E35E62" w14:textId="77777777" w:rsidTr="00064BA0">
        <w:trPr>
          <w:trHeight w:val="299"/>
        </w:trPr>
        <w:tc>
          <w:tcPr>
            <w:tcW w:w="901" w:type="dxa"/>
            <w:vAlign w:val="center"/>
          </w:tcPr>
          <w:p w14:paraId="016C3446"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Revisó:</w:t>
            </w:r>
          </w:p>
        </w:tc>
        <w:tc>
          <w:tcPr>
            <w:tcW w:w="4769" w:type="dxa"/>
            <w:tcBorders>
              <w:top w:val="dotted" w:sz="4" w:space="0" w:color="7F7F7F"/>
              <w:left w:val="nil"/>
              <w:bottom w:val="dotted" w:sz="4" w:space="0" w:color="7F7F7F"/>
              <w:right w:val="nil"/>
            </w:tcBorders>
            <w:vAlign w:val="center"/>
          </w:tcPr>
          <w:p w14:paraId="2F1E0074"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Juan David Cárdenas Cabeza</w:t>
            </w:r>
          </w:p>
          <w:p w14:paraId="2D041D43"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Contratista de la Subdirección de Gestión Contractual</w:t>
            </w:r>
          </w:p>
        </w:tc>
      </w:tr>
      <w:tr w:rsidR="00071D26" w:rsidRPr="00071D26" w14:paraId="2B965BF1" w14:textId="77777777" w:rsidTr="00064BA0">
        <w:trPr>
          <w:trHeight w:val="272"/>
        </w:trPr>
        <w:tc>
          <w:tcPr>
            <w:tcW w:w="901" w:type="dxa"/>
            <w:vAlign w:val="center"/>
            <w:hideMark/>
          </w:tcPr>
          <w:p w14:paraId="5AA898EC"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Aprobó:</w:t>
            </w:r>
          </w:p>
        </w:tc>
        <w:tc>
          <w:tcPr>
            <w:tcW w:w="4769" w:type="dxa"/>
            <w:tcBorders>
              <w:top w:val="dotted" w:sz="4" w:space="0" w:color="7F7F7F"/>
              <w:left w:val="nil"/>
              <w:bottom w:val="dotted" w:sz="4" w:space="0" w:color="7F7F7F"/>
              <w:right w:val="nil"/>
            </w:tcBorders>
            <w:vAlign w:val="center"/>
            <w:hideMark/>
          </w:tcPr>
          <w:p w14:paraId="10FF8A97"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 xml:space="preserve">Carolina Quintero </w:t>
            </w:r>
            <w:proofErr w:type="spellStart"/>
            <w:r w:rsidRPr="00071D26">
              <w:rPr>
                <w:rFonts w:ascii="Verdana" w:eastAsia="Aptos" w:hAnsi="Verdana" w:cs="Arial"/>
                <w:sz w:val="16"/>
                <w:szCs w:val="16"/>
                <w:lang w:val="es-ES_tradnl" w:eastAsia="es-ES"/>
              </w:rPr>
              <w:t>Gacharná</w:t>
            </w:r>
            <w:proofErr w:type="spellEnd"/>
          </w:p>
          <w:p w14:paraId="36746D6A" w14:textId="77777777" w:rsidR="00071D26" w:rsidRPr="00071D26" w:rsidRDefault="00071D26" w:rsidP="00071D26">
            <w:pPr>
              <w:rPr>
                <w:rFonts w:ascii="Verdana" w:eastAsia="Aptos" w:hAnsi="Verdana" w:cs="Arial"/>
                <w:sz w:val="16"/>
                <w:szCs w:val="16"/>
                <w:lang w:val="es-ES_tradnl" w:eastAsia="es-ES"/>
              </w:rPr>
            </w:pPr>
            <w:r w:rsidRPr="00071D26">
              <w:rPr>
                <w:rFonts w:ascii="Verdana" w:eastAsia="Aptos" w:hAnsi="Verdana" w:cs="Arial"/>
                <w:sz w:val="16"/>
                <w:szCs w:val="16"/>
                <w:lang w:val="es-ES_tradnl" w:eastAsia="es-ES"/>
              </w:rPr>
              <w:t>Subdirectora de Gestión Contractual ANCP – CCE</w:t>
            </w:r>
          </w:p>
        </w:tc>
      </w:tr>
    </w:tbl>
    <w:p w14:paraId="4251FDA0" w14:textId="77777777" w:rsidR="00071D26" w:rsidRPr="00071D26" w:rsidRDefault="00071D26" w:rsidP="00071D26">
      <w:pPr>
        <w:spacing w:after="0" w:line="240" w:lineRule="auto"/>
        <w:rPr>
          <w:rFonts w:ascii="Verdana" w:eastAsia="Times New Roman" w:hAnsi="Verdana" w:cs="Arial"/>
          <w:kern w:val="2"/>
          <w:sz w:val="16"/>
          <w:szCs w:val="16"/>
          <w:lang w:val="es-ES_tradnl" w:eastAsia="es-ES"/>
          <w14:ligatures w14:val="standardContextual"/>
        </w:rPr>
      </w:pPr>
    </w:p>
    <w:p w14:paraId="5E7BAB21" w14:textId="77777777" w:rsidR="00071D26" w:rsidRPr="00071D26" w:rsidRDefault="00071D26" w:rsidP="00071D26">
      <w:pPr>
        <w:spacing w:after="0" w:line="240" w:lineRule="auto"/>
        <w:rPr>
          <w:rFonts w:ascii="Verdana" w:eastAsia="Aptos" w:hAnsi="Verdana" w:cs="Times New Roman"/>
          <w:kern w:val="2"/>
          <w:sz w:val="16"/>
          <w:szCs w:val="16"/>
          <w:lang w:val="es-ES_tradnl"/>
          <w14:ligatures w14:val="standardContextual"/>
        </w:rPr>
      </w:pPr>
    </w:p>
    <w:p w14:paraId="4961002E" w14:textId="77777777" w:rsidR="00071D26" w:rsidRPr="00071D26" w:rsidRDefault="00071D26" w:rsidP="00071D26">
      <w:pPr>
        <w:spacing w:after="0" w:line="240" w:lineRule="auto"/>
        <w:rPr>
          <w:rFonts w:ascii="Verdana" w:eastAsia="Aptos" w:hAnsi="Verdana" w:cs="Times New Roman"/>
          <w:kern w:val="2"/>
          <w:sz w:val="24"/>
          <w:szCs w:val="24"/>
          <w:lang w:val="es-ES_tradnl"/>
          <w14:ligatures w14:val="standardContextual"/>
        </w:rPr>
      </w:pPr>
    </w:p>
    <w:p w14:paraId="2950D3D5" w14:textId="77777777" w:rsidR="00071D26" w:rsidRPr="00071D26" w:rsidRDefault="00071D26" w:rsidP="00071D26">
      <w:pPr>
        <w:spacing w:after="0" w:line="240" w:lineRule="auto"/>
        <w:rPr>
          <w:rFonts w:ascii="Verdana" w:eastAsia="Aptos" w:hAnsi="Verdana"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DF89" w14:textId="77777777" w:rsidR="0062770E" w:rsidRDefault="0062770E" w:rsidP="004A1847">
      <w:pPr>
        <w:spacing w:after="0" w:line="240" w:lineRule="auto"/>
      </w:pPr>
      <w:r>
        <w:separator/>
      </w:r>
    </w:p>
  </w:endnote>
  <w:endnote w:type="continuationSeparator" w:id="0">
    <w:p w14:paraId="66AFF851" w14:textId="77777777" w:rsidR="0062770E" w:rsidRDefault="0062770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19A5F" w14:textId="77777777" w:rsidR="0062770E" w:rsidRDefault="0062770E" w:rsidP="004A1847">
      <w:pPr>
        <w:spacing w:after="0" w:line="240" w:lineRule="auto"/>
      </w:pPr>
      <w:r>
        <w:separator/>
      </w:r>
    </w:p>
  </w:footnote>
  <w:footnote w:type="continuationSeparator" w:id="0">
    <w:p w14:paraId="7932C455" w14:textId="77777777" w:rsidR="0062770E" w:rsidRDefault="0062770E" w:rsidP="004A1847">
      <w:pPr>
        <w:spacing w:after="0" w:line="240" w:lineRule="auto"/>
      </w:pPr>
      <w:r>
        <w:continuationSeparator/>
      </w:r>
    </w:p>
  </w:footnote>
  <w:footnote w:id="1">
    <w:p w14:paraId="0B5422F9" w14:textId="77777777" w:rsidR="00071D26" w:rsidRPr="000568B7" w:rsidRDefault="00071D26" w:rsidP="00071D26">
      <w:pPr>
        <w:pStyle w:val="Textonotapie"/>
        <w:ind w:firstLine="709"/>
        <w:jc w:val="both"/>
        <w:rPr>
          <w:rFonts w:ascii="Verdana" w:hAnsi="Verdana" w:cs="Arial"/>
          <w:sz w:val="17"/>
          <w:szCs w:val="17"/>
          <w:lang w:val="es-ES"/>
        </w:rPr>
      </w:pPr>
      <w:r w:rsidRPr="000568B7">
        <w:rPr>
          <w:rStyle w:val="Refdenotaalpie"/>
          <w:rFonts w:ascii="Verdana" w:hAnsi="Verdana" w:cs="Arial"/>
          <w:sz w:val="17"/>
          <w:szCs w:val="17"/>
        </w:rPr>
        <w:footnoteRef/>
      </w:r>
      <w:r w:rsidRPr="000568B7">
        <w:rPr>
          <w:rFonts w:ascii="Verdana" w:hAnsi="Verdana" w:cs="Arial"/>
          <w:sz w:val="17"/>
          <w:szCs w:val="17"/>
        </w:rPr>
        <w:t xml:space="preserve"> </w:t>
      </w:r>
      <w:r w:rsidRPr="000568B7">
        <w:rPr>
          <w:rFonts w:ascii="Verdana" w:hAnsi="Verdana" w:cs="Arial"/>
          <w:sz w:val="17"/>
          <w:szCs w:val="17"/>
          <w:lang w:val="es-ES"/>
        </w:rPr>
        <w:t>En cuanto a las resoluciones expedidas, dicha regla se observa en el artículo 3 de las Resoluciones 240, 241, 248, 249, 256 y 269 de 2020, así como en el artículo 2 de la Resolución 094 de 2020 y de la Resolución 326 de 2022, entre otras.</w:t>
      </w:r>
    </w:p>
  </w:footnote>
  <w:footnote w:id="2">
    <w:p w14:paraId="35CE5FE2" w14:textId="77777777" w:rsidR="00071D26" w:rsidRPr="000568B7" w:rsidRDefault="00071D26" w:rsidP="00071D26">
      <w:pPr>
        <w:pStyle w:val="Textonotapie"/>
        <w:ind w:firstLine="708"/>
        <w:jc w:val="both"/>
        <w:rPr>
          <w:rFonts w:ascii="Verdana" w:hAnsi="Verdana" w:cs="Arial"/>
          <w:sz w:val="17"/>
          <w:szCs w:val="17"/>
        </w:rPr>
      </w:pPr>
      <w:r w:rsidRPr="000568B7">
        <w:rPr>
          <w:rStyle w:val="Refdenotaalpie"/>
          <w:rFonts w:ascii="Verdana" w:hAnsi="Verdana" w:cs="Arial"/>
          <w:sz w:val="17"/>
          <w:szCs w:val="17"/>
        </w:rPr>
        <w:footnoteRef/>
      </w:r>
      <w:r w:rsidRPr="000568B7">
        <w:rPr>
          <w:rFonts w:ascii="Verdana" w:hAnsi="Verdana" w:cs="Arial"/>
          <w:sz w:val="17"/>
          <w:szCs w:val="17"/>
        </w:rPr>
        <w:t xml:space="preserve"> La Agencia Nacional de Contratación Pública ‒ Colombia Compra Eficiente fue creada por el Decreto Ley 4170 de 2011. Su objetivo es servir como ente rector de la pol</w:t>
      </w:r>
      <w:r w:rsidRPr="000568B7">
        <w:rPr>
          <w:rFonts w:ascii="Verdana" w:hAnsi="Verdana" w:cs="Century Gothic"/>
          <w:sz w:val="17"/>
          <w:szCs w:val="17"/>
        </w:rPr>
        <w:t>í</w:t>
      </w:r>
      <w:r w:rsidRPr="000568B7">
        <w:rPr>
          <w:rFonts w:ascii="Verdana" w:hAnsi="Verdana" w:cs="Arial"/>
          <w:sz w:val="17"/>
          <w:szCs w:val="17"/>
        </w:rPr>
        <w:t>tica de compras y contrataci</w:t>
      </w:r>
      <w:r w:rsidRPr="000568B7">
        <w:rPr>
          <w:rFonts w:ascii="Verdana" w:hAnsi="Verdana" w:cs="Century Gothic"/>
          <w:sz w:val="17"/>
          <w:szCs w:val="17"/>
        </w:rPr>
        <w:t>ó</w:t>
      </w:r>
      <w:r w:rsidRPr="000568B7">
        <w:rPr>
          <w:rFonts w:ascii="Verdana" w:hAnsi="Verdana" w:cs="Arial"/>
          <w:sz w:val="17"/>
          <w:szCs w:val="17"/>
        </w:rPr>
        <w:t xml:space="preserve">n del Estado. Para tales fines, como </w:t>
      </w:r>
      <w:r w:rsidRPr="000568B7">
        <w:rPr>
          <w:rFonts w:ascii="Verdana" w:hAnsi="Verdana" w:cs="Century Gothic"/>
          <w:sz w:val="17"/>
          <w:szCs w:val="17"/>
        </w:rPr>
        <w:t>ó</w:t>
      </w:r>
      <w:r w:rsidRPr="000568B7">
        <w:rPr>
          <w:rFonts w:ascii="Verdana" w:hAnsi="Verdana" w:cs="Arial"/>
          <w:sz w:val="17"/>
          <w:szCs w:val="17"/>
        </w:rPr>
        <w:t>rgano t</w:t>
      </w:r>
      <w:r w:rsidRPr="000568B7">
        <w:rPr>
          <w:rFonts w:ascii="Verdana" w:hAnsi="Verdana" w:cs="Century Gothic"/>
          <w:sz w:val="17"/>
          <w:szCs w:val="17"/>
        </w:rPr>
        <w:t>é</w:t>
      </w:r>
      <w:r w:rsidRPr="000568B7">
        <w:rPr>
          <w:rFonts w:ascii="Verdana" w:hAnsi="Verdana" w:cs="Arial"/>
          <w:sz w:val="17"/>
          <w:szCs w:val="17"/>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0568B7">
        <w:rPr>
          <w:rFonts w:ascii="Verdana" w:hAnsi="Verdana" w:cs="Arial"/>
          <w:i/>
          <w:iCs/>
          <w:sz w:val="17"/>
          <w:szCs w:val="17"/>
        </w:rPr>
        <w:t xml:space="preserve">ibidem </w:t>
      </w:r>
      <w:r w:rsidRPr="000568B7">
        <w:rPr>
          <w:rFonts w:ascii="Verdana" w:hAnsi="Verdana" w:cs="Arial"/>
          <w:sz w:val="17"/>
          <w:szCs w:val="17"/>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10.9pt;height:10.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1D26"/>
    <w:rsid w:val="00082362"/>
    <w:rsid w:val="000A683E"/>
    <w:rsid w:val="000B19B9"/>
    <w:rsid w:val="000D0334"/>
    <w:rsid w:val="000F6486"/>
    <w:rsid w:val="00125105"/>
    <w:rsid w:val="00127233"/>
    <w:rsid w:val="001511A0"/>
    <w:rsid w:val="00195DF4"/>
    <w:rsid w:val="001E4177"/>
    <w:rsid w:val="001F7DC6"/>
    <w:rsid w:val="002421BB"/>
    <w:rsid w:val="0025796E"/>
    <w:rsid w:val="002707A2"/>
    <w:rsid w:val="002951A0"/>
    <w:rsid w:val="002962BC"/>
    <w:rsid w:val="002A093D"/>
    <w:rsid w:val="002A0DD0"/>
    <w:rsid w:val="002A49AC"/>
    <w:rsid w:val="002A64FD"/>
    <w:rsid w:val="002C23E8"/>
    <w:rsid w:val="002C7A84"/>
    <w:rsid w:val="002E4FD9"/>
    <w:rsid w:val="00322A85"/>
    <w:rsid w:val="00324168"/>
    <w:rsid w:val="0033701C"/>
    <w:rsid w:val="003448F4"/>
    <w:rsid w:val="0036027B"/>
    <w:rsid w:val="00374F5E"/>
    <w:rsid w:val="00377E3E"/>
    <w:rsid w:val="003839E9"/>
    <w:rsid w:val="003A779E"/>
    <w:rsid w:val="003D0F4D"/>
    <w:rsid w:val="003D5B0D"/>
    <w:rsid w:val="003E0499"/>
    <w:rsid w:val="003E0820"/>
    <w:rsid w:val="003F3941"/>
    <w:rsid w:val="00406575"/>
    <w:rsid w:val="00414C74"/>
    <w:rsid w:val="0042722E"/>
    <w:rsid w:val="00444C68"/>
    <w:rsid w:val="0044528D"/>
    <w:rsid w:val="004843F7"/>
    <w:rsid w:val="004A1847"/>
    <w:rsid w:val="004A305D"/>
    <w:rsid w:val="004F21C4"/>
    <w:rsid w:val="004F685F"/>
    <w:rsid w:val="00512B14"/>
    <w:rsid w:val="005566E8"/>
    <w:rsid w:val="00574867"/>
    <w:rsid w:val="00591460"/>
    <w:rsid w:val="005B3816"/>
    <w:rsid w:val="005C3777"/>
    <w:rsid w:val="005C5CDC"/>
    <w:rsid w:val="005D476C"/>
    <w:rsid w:val="006219F8"/>
    <w:rsid w:val="0062770E"/>
    <w:rsid w:val="00665D70"/>
    <w:rsid w:val="006746C6"/>
    <w:rsid w:val="006900D9"/>
    <w:rsid w:val="00692902"/>
    <w:rsid w:val="00706C16"/>
    <w:rsid w:val="00756841"/>
    <w:rsid w:val="007649AB"/>
    <w:rsid w:val="00771D0C"/>
    <w:rsid w:val="00782B01"/>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65B81"/>
    <w:rsid w:val="00E75C92"/>
    <w:rsid w:val="00E771DC"/>
    <w:rsid w:val="00E8772A"/>
    <w:rsid w:val="00E90F6B"/>
    <w:rsid w:val="00E92C27"/>
    <w:rsid w:val="00EA0E3D"/>
    <w:rsid w:val="00EB4029"/>
    <w:rsid w:val="00EC38A7"/>
    <w:rsid w:val="00ED7384"/>
    <w:rsid w:val="00EE1AA8"/>
    <w:rsid w:val="00F31EDC"/>
    <w:rsid w:val="00F462B3"/>
    <w:rsid w:val="00F5664F"/>
    <w:rsid w:val="00F666C4"/>
    <w:rsid w:val="00F76AFC"/>
    <w:rsid w:val="00FA47C0"/>
    <w:rsid w:val="00FB5DD1"/>
    <w:rsid w:val="00FC2B5D"/>
    <w:rsid w:val="00FF1449"/>
    <w:rsid w:val="165E9519"/>
    <w:rsid w:val="382536D9"/>
    <w:rsid w:val="5B6BE307"/>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71D26"/>
    <w:pPr>
      <w:spacing w:line="240" w:lineRule="exact"/>
    </w:pPr>
    <w:rPr>
      <w:vertAlign w:val="superscript"/>
    </w:rPr>
  </w:style>
  <w:style w:type="table" w:customStyle="1" w:styleId="Tablaconcuadrcula11">
    <w:name w:val="Tabla con cuadrícula11"/>
    <w:basedOn w:val="Tablanormal"/>
    <w:next w:val="Tablaconcuadrcula"/>
    <w:uiPriority w:val="59"/>
    <w:qFormat/>
    <w:rsid w:val="00071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F868DD2-DB73-4247-A1CB-3B171A13DF07}"/>
</file>

<file path=docProps/app.xml><?xml version="1.0" encoding="utf-8"?>
<Properties xmlns="http://schemas.openxmlformats.org/officeDocument/2006/extended-properties" xmlns:vt="http://schemas.openxmlformats.org/officeDocument/2006/docPropsVTypes">
  <Template>Normal.dotm</Template>
  <TotalTime>2</TotalTime>
  <Pages>10</Pages>
  <Words>3466</Words>
  <Characters>19066</Characters>
  <Application>Microsoft Office Word</Application>
  <DocSecurity>0</DocSecurity>
  <Lines>158</Lines>
  <Paragraphs>44</Paragraphs>
  <ScaleCrop>false</ScaleCrop>
  <Company/>
  <LinksUpToDate>false</LinksUpToDate>
  <CharactersWithSpaces>22488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2025-09-08T23:09:00Z</dcterms:created>
  <dcterms:modified xsi:type="dcterms:W3CDTF">2025-09-08T23:11:00Z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