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BD492B" w:rsidP="00BD492B" w:rsidRDefault="00BD492B" w14:paraId="6BA83321" w14:textId="77777777">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b/>
          <w:bCs/>
          <w:sz w:val="22"/>
          <w:szCs w:val="22"/>
        </w:rPr>
        <w:t>CONTRATO D EPRESTACIÓN DE SERVICIOS – Concepto – Características</w:t>
      </w:r>
      <w:r>
        <w:rPr>
          <w:rStyle w:val="eop"/>
          <w:rFonts w:ascii="Arial" w:hAnsi="Arial" w:cs="Arial"/>
          <w:sz w:val="22"/>
          <w:szCs w:val="22"/>
        </w:rPr>
        <w:t> </w:t>
      </w:r>
    </w:p>
    <w:p w:rsidR="00BD492B" w:rsidP="00BD492B" w:rsidRDefault="00BD492B" w14:paraId="2EBE72C0" w14:textId="77777777">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p w:rsidR="00BD492B" w:rsidP="00BD492B" w:rsidRDefault="00BD492B" w14:paraId="5B44E9AB" w14:textId="77777777">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20"/>
          <w:szCs w:val="20"/>
        </w:rPr>
        <w:t>El contrato de prestación de servicios es un contrato estatal típico regulado en el artículo 32.3 de la Ley 80 de 1993. Es definido como aquel que “celebren las entidades estatales para desarrollar actividades relacionadas con la administración o funcionamiento de la entidad.</w:t>
      </w:r>
      <w:r>
        <w:rPr>
          <w:rStyle w:val="normaltextrun"/>
          <w:rFonts w:ascii="Calibri" w:hAnsi="Calibri" w:cs="Calibri"/>
          <w:sz w:val="22"/>
          <w:szCs w:val="22"/>
        </w:rPr>
        <w:t xml:space="preserve"> </w:t>
      </w:r>
      <w:r>
        <w:rPr>
          <w:rStyle w:val="normaltextrun"/>
          <w:rFonts w:ascii="Arial" w:hAnsi="Arial" w:cs="Arial"/>
          <w:sz w:val="20"/>
          <w:szCs w:val="20"/>
        </w:rPr>
        <w:t>Estos contratos sólo podrán celebrarse con personas naturales cuando dichas actividades no puedan realizarse con personal de planta o requieran conocimientos especializados. En ningún caso estos contratos generan relación laboral ni prestaciones sociales y se celebrarán por el término estrictamente indispensable». La celebración de dicho contrato debe efectuarse a través de la modalidad de contratación directa.</w:t>
      </w:r>
      <w:r>
        <w:rPr>
          <w:rStyle w:val="eop"/>
          <w:rFonts w:ascii="Arial" w:hAnsi="Arial" w:cs="Arial"/>
        </w:rPr>
        <w:t> </w:t>
      </w:r>
    </w:p>
    <w:p w:rsidR="00BD492B" w:rsidP="00BD492B" w:rsidRDefault="00BD492B" w14:paraId="7DC52E9E" w14:textId="77777777">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20"/>
          <w:szCs w:val="20"/>
        </w:rPr>
        <w:t>[…]</w:t>
      </w:r>
      <w:r>
        <w:rPr>
          <w:rStyle w:val="eop"/>
          <w:rFonts w:ascii="Arial" w:hAnsi="Arial" w:cs="Arial"/>
        </w:rPr>
        <w:t> </w:t>
      </w:r>
    </w:p>
    <w:p w:rsidR="00BD492B" w:rsidP="00BD492B" w:rsidRDefault="00BD492B" w14:paraId="109A5A03" w14:textId="77777777">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20"/>
          <w:szCs w:val="20"/>
        </w:rPr>
        <w:t xml:space="preserve">[…] de la reciente Sentencia de Unificación Jurisprudencial del 9 de septiembre de 2021, proferida por el Consejo de Estado, es posible señalar las siguientes características del contrato de prestación de servicios: i) Solo puede celebrarse para realizar «actividades relacionadas con la administración o funcionamiento de la entidad» […]. </w:t>
      </w:r>
      <w:proofErr w:type="spellStart"/>
      <w:r>
        <w:rPr>
          <w:rStyle w:val="normaltextrun"/>
          <w:rFonts w:ascii="Arial" w:hAnsi="Arial" w:cs="Arial"/>
          <w:sz w:val="20"/>
          <w:szCs w:val="20"/>
        </w:rPr>
        <w:t>ii</w:t>
      </w:r>
      <w:proofErr w:type="spellEnd"/>
      <w:r>
        <w:rPr>
          <w:rStyle w:val="normaltextrun"/>
          <w:rFonts w:ascii="Arial" w:hAnsi="Arial" w:cs="Arial"/>
          <w:sz w:val="20"/>
          <w:szCs w:val="20"/>
        </w:rPr>
        <w:t xml:space="preserve">) Respecto del tipo de personas que pueden ser contratadas, admite que se suscriba con personas naturales o jurídicas. </w:t>
      </w:r>
      <w:proofErr w:type="spellStart"/>
      <w:r>
        <w:rPr>
          <w:rStyle w:val="normaltextrun"/>
          <w:rFonts w:ascii="Arial" w:hAnsi="Arial" w:cs="Arial"/>
          <w:sz w:val="20"/>
          <w:szCs w:val="20"/>
        </w:rPr>
        <w:t>iii</w:t>
      </w:r>
      <w:proofErr w:type="spellEnd"/>
      <w:r>
        <w:rPr>
          <w:rStyle w:val="normaltextrun"/>
          <w:rFonts w:ascii="Arial" w:hAnsi="Arial" w:cs="Arial"/>
          <w:sz w:val="20"/>
          <w:szCs w:val="20"/>
        </w:rPr>
        <w:t xml:space="preserve">) Si bien se celebran para obtener la prestación personal de un servicio, se diferencian del contrato de trabajo en que quien celebra el contrato de prestación de servicios debe mantener autonomía e independencia en la ejecución de la labor […]; </w:t>
      </w:r>
      <w:proofErr w:type="spellStart"/>
      <w:r>
        <w:rPr>
          <w:rStyle w:val="normaltextrun"/>
          <w:rFonts w:ascii="Arial" w:hAnsi="Arial" w:cs="Arial"/>
          <w:sz w:val="20"/>
          <w:szCs w:val="20"/>
        </w:rPr>
        <w:t>iv</w:t>
      </w:r>
      <w:proofErr w:type="spellEnd"/>
      <w:r>
        <w:rPr>
          <w:rStyle w:val="normaltextrun"/>
          <w:rFonts w:ascii="Arial" w:hAnsi="Arial" w:cs="Arial"/>
          <w:sz w:val="20"/>
          <w:szCs w:val="20"/>
        </w:rPr>
        <w:t xml:space="preserve">) Deben ser temporales. v) Se celebran a través de la modalidad de contratación directa, independientemente de la cuantía y del tipo de servicio profesional, siempre que su objeto no sea la consultoría. vi) Para su celebración no se requiere expedir un acto administrativo de justificación de la contratación directa. </w:t>
      </w:r>
      <w:proofErr w:type="spellStart"/>
      <w:r>
        <w:rPr>
          <w:rStyle w:val="normaltextrun"/>
          <w:rFonts w:ascii="Arial" w:hAnsi="Arial" w:cs="Arial"/>
          <w:sz w:val="20"/>
          <w:szCs w:val="20"/>
        </w:rPr>
        <w:t>vii</w:t>
      </w:r>
      <w:proofErr w:type="spellEnd"/>
      <w:r>
        <w:rPr>
          <w:rStyle w:val="normaltextrun"/>
          <w:rFonts w:ascii="Arial" w:hAnsi="Arial" w:cs="Arial"/>
          <w:sz w:val="20"/>
          <w:szCs w:val="20"/>
        </w:rPr>
        <w:t xml:space="preserve">) El contrato admite la inclusión de cláusulas excepcionales. </w:t>
      </w:r>
      <w:proofErr w:type="spellStart"/>
      <w:r>
        <w:rPr>
          <w:rStyle w:val="normaltextrun"/>
          <w:rFonts w:ascii="Arial" w:hAnsi="Arial" w:cs="Arial"/>
          <w:sz w:val="20"/>
          <w:szCs w:val="20"/>
        </w:rPr>
        <w:t>viii</w:t>
      </w:r>
      <w:proofErr w:type="spellEnd"/>
      <w:r>
        <w:rPr>
          <w:rStyle w:val="normaltextrun"/>
          <w:rFonts w:ascii="Arial" w:hAnsi="Arial" w:cs="Arial"/>
          <w:sz w:val="20"/>
          <w:szCs w:val="20"/>
        </w:rPr>
        <w:t xml:space="preserve">) No es obligatoria la liquidación de estos contratos, como lo establece el artículo 217 del Decreto 019 de 2012, que modificó el artículo 60 de la Ley 80 de 1993. </w:t>
      </w:r>
      <w:proofErr w:type="spellStart"/>
      <w:r>
        <w:rPr>
          <w:rStyle w:val="normaltextrun"/>
          <w:rFonts w:ascii="Arial" w:hAnsi="Arial" w:cs="Arial"/>
          <w:sz w:val="20"/>
          <w:szCs w:val="20"/>
        </w:rPr>
        <w:t>ix</w:t>
      </w:r>
      <w:proofErr w:type="spellEnd"/>
      <w:r>
        <w:rPr>
          <w:rStyle w:val="normaltextrun"/>
          <w:rFonts w:ascii="Arial" w:hAnsi="Arial" w:cs="Arial"/>
          <w:sz w:val="20"/>
          <w:szCs w:val="20"/>
        </w:rPr>
        <w:t xml:space="preserve">) Para su celebración el contratista no requiere estar inscrito en el Registro Único de Proponentes –RUP–, como lo señala el artículo 6 de la Ley 1150 de 2007. x) No es obligatoria la exigencia de garantías. xi) Como los demás contratos estatales, se trata de un contrato solemne que debe constar por escrito y debe ser publicado en el SECOP. </w:t>
      </w:r>
      <w:proofErr w:type="spellStart"/>
      <w:r>
        <w:rPr>
          <w:rStyle w:val="normaltextrun"/>
          <w:rFonts w:ascii="Arial" w:hAnsi="Arial" w:cs="Arial"/>
          <w:sz w:val="20"/>
          <w:szCs w:val="20"/>
        </w:rPr>
        <w:t>xii</w:t>
      </w:r>
      <w:proofErr w:type="spellEnd"/>
      <w:r>
        <w:rPr>
          <w:rStyle w:val="normaltextrun"/>
          <w:rFonts w:ascii="Arial" w:hAnsi="Arial" w:cs="Arial"/>
          <w:sz w:val="20"/>
          <w:szCs w:val="20"/>
        </w:rPr>
        <w:t>) Como especies del género prestación de servicios, se incluyen los contratos de prestación de servicios profesionales, los contratos de prestación de servicios de apoyo a la gestión y los contratos de prestación de servicios artísticos que solo pueden encomendarse a determinadas personas naturales.</w:t>
      </w:r>
      <w:r>
        <w:rPr>
          <w:rStyle w:val="eop"/>
          <w:rFonts w:ascii="Arial" w:hAnsi="Arial" w:cs="Arial"/>
        </w:rPr>
        <w:t> </w:t>
      </w:r>
    </w:p>
    <w:p w:rsidR="00BD492B" w:rsidP="00BD492B" w:rsidRDefault="00BD492B" w14:paraId="0C7BED40" w14:textId="77777777">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rPr>
        <w:t> </w:t>
      </w:r>
    </w:p>
    <w:p w:rsidR="00BD492B" w:rsidP="00BD492B" w:rsidRDefault="00BD492B" w14:paraId="094960A8" w14:textId="77777777">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b/>
          <w:bCs/>
          <w:sz w:val="22"/>
          <w:szCs w:val="22"/>
        </w:rPr>
        <w:t>CONTRATOS DE PRESTACIÓN DE SERVICIOS – Fijación de honorarios – Tablas de honorarios – Inclusión de impuestos</w:t>
      </w:r>
      <w:r>
        <w:rPr>
          <w:rStyle w:val="eop"/>
          <w:rFonts w:ascii="Arial" w:hAnsi="Arial" w:cs="Arial"/>
          <w:sz w:val="22"/>
          <w:szCs w:val="22"/>
        </w:rPr>
        <w:t> </w:t>
      </w:r>
    </w:p>
    <w:p w:rsidR="00BD492B" w:rsidP="00BD492B" w:rsidRDefault="00BD492B" w14:paraId="5F0DCD8B" w14:textId="77777777">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rPr>
        <w:t> </w:t>
      </w:r>
    </w:p>
    <w:p w:rsidR="00BD492B" w:rsidP="00BD492B" w:rsidRDefault="00BD492B" w14:paraId="2F933666" w14:textId="77777777">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20"/>
          <w:szCs w:val="20"/>
        </w:rPr>
        <w:t>[…] las entidades públicas determinan el monto de los honorarios de los contratos de prestación de servicios profesionales, de apoyo a la gestión y trabajos artísticos de conformidad con lo establecido en el análisis del sector y en los documentos o estudios previos. Así pues, cabe resaltar, que en la Ley 80 de 1993, Ley 1150 de 2007 y en el Decreto 1082 de 2015 no se encuentran disposiciones que establezcan la obligatoriedad de implementar tablas de honorarios o estandarizar perfiles para los contratos de prestación de servicios, pero, lo anterior, no significa que las entidades no puedan hacerlo.</w:t>
      </w:r>
      <w:r>
        <w:rPr>
          <w:rStyle w:val="eop"/>
          <w:rFonts w:ascii="Arial" w:hAnsi="Arial" w:cs="Arial"/>
        </w:rPr>
        <w:t> </w:t>
      </w:r>
    </w:p>
    <w:p w:rsidR="00BD492B" w:rsidP="00BD492B" w:rsidRDefault="00BD492B" w14:paraId="3D9AA5EC" w14:textId="77777777">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rPr>
        <w:t> </w:t>
      </w:r>
    </w:p>
    <w:p w:rsidR="00BD492B" w:rsidP="00BD492B" w:rsidRDefault="00BD492B" w14:paraId="70DC116B" w14:textId="77777777">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20"/>
          <w:szCs w:val="20"/>
        </w:rPr>
        <w:t>[…] la fijación de honorarios incluye impuestos y otros costos que se generen para el contratista con ocasión de la ejecución del contrato y, concretamente del IVA, […]. La ejecución de un contrato de prestación de servicios puede involucrar múltiples tributos –impuestos (v. gr. Renta, IVA, ICA), tasas y contribuciones– para las partes del contrato, de ahí que, la Entidad Estatal al establecer el valor estimado del contrato debe incluir el impuesto al valor agregado (IVA) siempre que las actividades derivadas de su ejecución o dependiendo del régimen tributario del contratista, estén gravadas con este impuesto, de lo contrario no debe incluirlo.</w:t>
      </w:r>
      <w:r>
        <w:rPr>
          <w:rStyle w:val="eop"/>
          <w:rFonts w:ascii="Arial" w:hAnsi="Arial" w:cs="Arial"/>
        </w:rPr>
        <w:t> </w:t>
      </w:r>
    </w:p>
    <w:p w:rsidR="00BD492B" w:rsidP="00380DD4" w:rsidRDefault="00BD492B" w14:paraId="1483D2D4" w14:textId="77777777">
      <w:pPr>
        <w:spacing w:after="0"/>
        <w:jc w:val="both"/>
        <w:rPr>
          <w:rFonts w:ascii="Arial" w:hAnsi="Arial" w:cs="Arial"/>
        </w:rPr>
      </w:pPr>
    </w:p>
    <w:p w:rsidR="00BD492B" w:rsidP="00380DD4" w:rsidRDefault="00BD492B" w14:paraId="308CE2D8" w14:textId="77777777" w14:noSpellErr="1">
      <w:pPr>
        <w:spacing w:after="0"/>
        <w:jc w:val="both"/>
        <w:rPr>
          <w:rFonts w:ascii="Arial" w:hAnsi="Arial" w:cs="Arial"/>
        </w:rPr>
      </w:pPr>
    </w:p>
    <w:p w:rsidR="4080CB4F" w:rsidP="4080CB4F" w:rsidRDefault="4080CB4F" w14:paraId="1D73E7FA" w14:textId="4405C8FF">
      <w:pPr>
        <w:pStyle w:val="Normal"/>
        <w:spacing w:after="0"/>
        <w:jc w:val="both"/>
        <w:rPr>
          <w:rFonts w:ascii="Arial" w:hAnsi="Arial" w:cs="Arial"/>
        </w:rPr>
      </w:pPr>
    </w:p>
    <w:p w:rsidR="4080CB4F" w:rsidP="4080CB4F" w:rsidRDefault="4080CB4F" w14:paraId="7290228D" w14:textId="10E74088">
      <w:pPr>
        <w:pStyle w:val="Normal"/>
        <w:spacing w:after="0"/>
        <w:jc w:val="both"/>
        <w:rPr>
          <w:rFonts w:ascii="Arial" w:hAnsi="Arial" w:cs="Arial"/>
        </w:rPr>
      </w:pPr>
    </w:p>
    <w:p w:rsidR="4080CB4F" w:rsidP="4080CB4F" w:rsidRDefault="4080CB4F" w14:paraId="771C178D" w14:textId="15B819FB">
      <w:pPr>
        <w:pStyle w:val="Normal"/>
        <w:spacing w:after="0"/>
        <w:jc w:val="both"/>
        <w:rPr>
          <w:rFonts w:ascii="Arial" w:hAnsi="Arial" w:cs="Arial"/>
        </w:rPr>
      </w:pPr>
    </w:p>
    <w:p w:rsidR="4080CB4F" w:rsidP="4080CB4F" w:rsidRDefault="4080CB4F" w14:paraId="69B88C03" w14:textId="1321E2CF">
      <w:pPr>
        <w:pStyle w:val="Normal"/>
        <w:spacing w:after="0"/>
        <w:jc w:val="both"/>
        <w:rPr>
          <w:rFonts w:ascii="Arial" w:hAnsi="Arial" w:cs="Arial"/>
        </w:rPr>
      </w:pPr>
    </w:p>
    <w:p w:rsidR="00BD492B" w:rsidP="00380DD4" w:rsidRDefault="00BD492B" w14:paraId="6B9628B0" w14:textId="77777777">
      <w:pPr>
        <w:spacing w:after="0"/>
        <w:jc w:val="both"/>
        <w:rPr>
          <w:rFonts w:ascii="Arial" w:hAnsi="Arial" w:cs="Arial"/>
        </w:rPr>
      </w:pPr>
    </w:p>
    <w:p w:rsidRPr="00380DD4" w:rsidR="009157E3" w:rsidP="00380DD4" w:rsidRDefault="00380DD4" w14:paraId="2C973238" w14:textId="27E732D7">
      <w:pPr>
        <w:spacing w:after="0"/>
        <w:jc w:val="both"/>
        <w:rPr>
          <w:rFonts w:ascii="Arial" w:hAnsi="Arial" w:eastAsia="Geomanist Light" w:cs="Arial"/>
          <w:color w:val="201F1E"/>
          <w:lang w:val="es-MX"/>
        </w:rPr>
      </w:pPr>
      <w:r w:rsidRPr="00380DD4">
        <w:rPr>
          <w:rFonts w:ascii="Arial" w:hAnsi="Arial" w:cs="Arial"/>
        </w:rPr>
        <w:t>B</w:t>
      </w:r>
      <w:proofErr w:type="spellStart"/>
      <w:r w:rsidRPr="00380DD4" w:rsidR="009157E3">
        <w:rPr>
          <w:rFonts w:ascii="Arial" w:hAnsi="Arial" w:eastAsia="Geomanist Light" w:cs="Arial"/>
          <w:color w:val="000000" w:themeColor="text1"/>
          <w:lang w:val="es-MX"/>
        </w:rPr>
        <w:t>ogotá</w:t>
      </w:r>
      <w:proofErr w:type="spellEnd"/>
      <w:r w:rsidRPr="00380DD4" w:rsidR="009157E3">
        <w:rPr>
          <w:rFonts w:ascii="Arial" w:hAnsi="Arial" w:eastAsia="Geomanist Light" w:cs="Arial"/>
          <w:color w:val="000000" w:themeColor="text1"/>
          <w:lang w:val="es-MX"/>
        </w:rPr>
        <w:t xml:space="preserve"> D.C., </w:t>
      </w:r>
      <w:r w:rsidRPr="00380DD4">
        <w:rPr>
          <w:rFonts w:ascii="Arial" w:hAnsi="Arial" w:eastAsia="Geomanist Light" w:cs="Arial"/>
          <w:color w:val="201F1E"/>
          <w:lang w:val="es-MX"/>
        </w:rPr>
        <w:t>04 de Mayo de 2023</w:t>
      </w:r>
    </w:p>
    <w:p w:rsidRPr="00CA71FB" w:rsidR="009157E3" w:rsidP="009157E3" w:rsidRDefault="009157E3" w14:paraId="3F6E50E1" w14:textId="77777777">
      <w:pPr>
        <w:spacing w:after="0" w:line="240" w:lineRule="auto"/>
        <w:rPr>
          <w:rFonts w:ascii="Arial" w:hAnsi="Arial" w:eastAsia="Calibri" w:cs="Arial"/>
          <w:lang w:val="es-ES_tradnl"/>
        </w:rPr>
      </w:pPr>
    </w:p>
    <w:p w:rsidRPr="00CA71FB" w:rsidR="009157E3" w:rsidP="009157E3" w:rsidRDefault="009157E3" w14:paraId="0621ACF8" w14:textId="77777777">
      <w:pPr>
        <w:spacing w:after="0" w:line="240" w:lineRule="auto"/>
        <w:rPr>
          <w:rFonts w:ascii="Arial" w:hAnsi="Arial" w:eastAsia="Calibri" w:cs="Arial"/>
          <w:lang w:val="es-ES_tradnl"/>
        </w:rPr>
      </w:pPr>
    </w:p>
    <w:p w:rsidRPr="00CA71FB" w:rsidR="009157E3" w:rsidP="009157E3" w:rsidRDefault="009157E3" w14:paraId="54F568C7" w14:textId="0A2953EE">
      <w:pPr>
        <w:spacing w:after="0" w:line="240" w:lineRule="auto"/>
        <w:rPr>
          <w:rFonts w:ascii="Arial" w:hAnsi="Arial" w:eastAsia="Calibri" w:cs="Arial"/>
          <w:lang w:val="es-ES_tradnl"/>
        </w:rPr>
      </w:pPr>
      <w:r w:rsidRPr="00CA71FB">
        <w:rPr>
          <w:rFonts w:ascii="Arial" w:hAnsi="Arial" w:eastAsia="Calibri" w:cs="Arial"/>
          <w:lang w:val="es-ES_tradnl"/>
        </w:rPr>
        <w:t>Señor</w:t>
      </w:r>
    </w:p>
    <w:p w:rsidRPr="00CA71FB" w:rsidR="009157E3" w:rsidP="009157E3" w:rsidRDefault="00F17003" w14:paraId="65C18D75" w14:textId="64870913">
      <w:pPr>
        <w:spacing w:after="0" w:line="240" w:lineRule="auto"/>
        <w:rPr>
          <w:rFonts w:ascii="Arial" w:hAnsi="Arial" w:eastAsia="Calibri" w:cs="Arial"/>
          <w:b/>
          <w:lang w:val="es-ES_tradnl"/>
        </w:rPr>
      </w:pPr>
      <w:r>
        <w:rPr>
          <w:rFonts w:ascii="Arial" w:hAnsi="Arial" w:eastAsia="Calibri" w:cs="Arial"/>
          <w:b/>
          <w:lang w:val="es-ES_tradnl"/>
        </w:rPr>
        <w:t>Esteban Sanabria</w:t>
      </w:r>
    </w:p>
    <w:p w:rsidRPr="00F17003" w:rsidR="00F17003" w:rsidP="009157E3" w:rsidRDefault="00E849BD" w14:paraId="3F90AC90" w14:textId="77777777">
      <w:pPr>
        <w:spacing w:after="0" w:line="240" w:lineRule="auto"/>
        <w:rPr>
          <w:rFonts w:ascii="Arial" w:hAnsi="Arial" w:cs="Arial"/>
        </w:rPr>
      </w:pPr>
      <w:hyperlink w:history="1" r:id="rId9">
        <w:r w:rsidRPr="00F17003" w:rsidR="00F17003">
          <w:rPr>
            <w:rStyle w:val="Hipervnculo"/>
            <w:rFonts w:ascii="Arial" w:hAnsi="Arial" w:cs="Arial"/>
          </w:rPr>
          <w:t>esteban1sanabria@gmail.com</w:t>
        </w:r>
      </w:hyperlink>
      <w:r w:rsidRPr="00F17003" w:rsidR="00F17003">
        <w:rPr>
          <w:rFonts w:ascii="Arial" w:hAnsi="Arial" w:cs="Arial"/>
        </w:rPr>
        <w:t xml:space="preserve"> </w:t>
      </w:r>
    </w:p>
    <w:p w:rsidRPr="00CA71FB" w:rsidR="009157E3" w:rsidP="009157E3" w:rsidRDefault="00F17003" w14:paraId="75CBA49C" w14:textId="52472AF6">
      <w:pPr>
        <w:spacing w:after="0" w:line="240" w:lineRule="auto"/>
        <w:rPr>
          <w:rFonts w:ascii="Arial" w:hAnsi="Arial" w:eastAsia="Calibri" w:cs="Arial"/>
          <w:lang w:val="es-ES_tradnl"/>
        </w:rPr>
      </w:pPr>
      <w:r>
        <w:rPr>
          <w:rFonts w:ascii="Arial" w:hAnsi="Arial" w:eastAsia="Calibri" w:cs="Arial"/>
          <w:noProof/>
          <w:color w:val="000000"/>
          <w:lang w:val="es-ES_tradnl"/>
        </w:rPr>
        <w:t>Ciudad</w:t>
      </w:r>
    </w:p>
    <w:p w:rsidRPr="00CA71FB" w:rsidR="009157E3" w:rsidP="009157E3" w:rsidRDefault="009157E3" w14:paraId="2076F4CD" w14:textId="77777777">
      <w:pPr>
        <w:spacing w:after="0" w:line="240" w:lineRule="auto"/>
        <w:rPr>
          <w:rFonts w:ascii="Arial" w:hAnsi="Arial" w:eastAsia="Calibri" w:cs="Arial"/>
          <w:lang w:val="es-ES_tradnl"/>
        </w:rPr>
      </w:pPr>
    </w:p>
    <w:p w:rsidRPr="00CA71FB" w:rsidR="009157E3" w:rsidP="009157E3" w:rsidRDefault="009157E3" w14:paraId="0E9A2754" w14:textId="77777777">
      <w:pPr>
        <w:spacing w:after="0" w:line="240" w:lineRule="auto"/>
        <w:rPr>
          <w:rFonts w:ascii="Arial" w:hAnsi="Arial" w:eastAsia="Calibri" w:cs="Arial"/>
          <w:lang w:val="es-ES_tradnl"/>
        </w:rPr>
      </w:pPr>
    </w:p>
    <w:p w:rsidRPr="00CA71FB" w:rsidR="009157E3" w:rsidP="009157E3" w:rsidRDefault="009157E3" w14:paraId="4AE38699" w14:textId="3570591F">
      <w:pPr>
        <w:spacing w:after="0" w:line="240" w:lineRule="auto"/>
        <w:rPr>
          <w:rFonts w:ascii="Arial" w:hAnsi="Arial" w:eastAsia="Calibri" w:cs="Arial"/>
          <w:b/>
          <w:lang w:val="es-ES_tradnl"/>
        </w:rPr>
      </w:pPr>
      <w:r w:rsidRPr="00CA71FB">
        <w:rPr>
          <w:rFonts w:ascii="Arial" w:hAnsi="Arial" w:eastAsia="Calibri" w:cs="Arial"/>
          <w:b/>
          <w:lang w:val="es-ES_tradnl"/>
        </w:rPr>
        <w:t xml:space="preserve">                                            </w:t>
      </w:r>
      <w:r w:rsidRPr="00CA71FB">
        <w:rPr>
          <w:rFonts w:ascii="Arial" w:hAnsi="Arial" w:eastAsia="Calibri" w:cs="Arial"/>
          <w:b/>
          <w:lang w:val="es-ES_tradnl"/>
        </w:rPr>
        <w:tab/>
      </w:r>
      <w:r w:rsidRPr="00CA71FB">
        <w:rPr>
          <w:rFonts w:ascii="Arial" w:hAnsi="Arial" w:eastAsia="Calibri" w:cs="Arial"/>
          <w:b/>
          <w:lang w:val="es-ES_tradnl"/>
        </w:rPr>
        <w:t>Concepto C-</w:t>
      </w:r>
      <w:r w:rsidR="00F17003">
        <w:rPr>
          <w:rFonts w:ascii="Arial" w:hAnsi="Arial" w:eastAsia="Calibri" w:cs="Arial"/>
          <w:b/>
          <w:lang w:val="es-ES_tradnl"/>
        </w:rPr>
        <w:t>102</w:t>
      </w:r>
      <w:r w:rsidRPr="00CA71FB">
        <w:rPr>
          <w:rFonts w:ascii="Arial" w:hAnsi="Arial" w:eastAsia="Calibri" w:cs="Arial"/>
          <w:b/>
          <w:lang w:val="es-ES_tradnl"/>
        </w:rPr>
        <w:t xml:space="preserve"> de 2023</w:t>
      </w:r>
    </w:p>
    <w:p w:rsidRPr="00CA71FB" w:rsidR="009157E3" w:rsidP="009157E3" w:rsidRDefault="009157E3" w14:paraId="15AF878E" w14:textId="77777777">
      <w:pPr>
        <w:spacing w:after="0" w:line="240" w:lineRule="auto"/>
        <w:rPr>
          <w:rFonts w:ascii="Arial" w:hAnsi="Arial" w:eastAsia="Calibri" w:cs="Arial"/>
          <w:b/>
          <w:lang w:val="es-ES_tradnl"/>
        </w:rPr>
      </w:pPr>
    </w:p>
    <w:p w:rsidRPr="00CA71FB" w:rsidR="009157E3" w:rsidP="009157E3" w:rsidRDefault="009157E3" w14:paraId="09F0229D" w14:textId="77777777">
      <w:pPr>
        <w:spacing w:after="0" w:line="240" w:lineRule="auto"/>
        <w:rPr>
          <w:rFonts w:ascii="Arial" w:hAnsi="Arial" w:eastAsia="Calibri" w:cs="Arial"/>
          <w:lang w:val="es-ES_tradnl"/>
        </w:rPr>
      </w:pP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CA71FB" w:rsidR="009157E3" w:rsidTr="0062443E" w14:paraId="0AD6D84C" w14:textId="77777777">
        <w:tc>
          <w:tcPr>
            <w:tcW w:w="2689" w:type="dxa"/>
            <w:hideMark/>
          </w:tcPr>
          <w:p w:rsidRPr="00380DD4" w:rsidR="009157E3" w:rsidP="0062443E" w:rsidRDefault="009157E3" w14:paraId="5C6C9436" w14:textId="77777777">
            <w:pPr>
              <w:rPr>
                <w:rFonts w:ascii="Arial" w:hAnsi="Arial" w:eastAsia="Calibri" w:cs="Arial"/>
                <w:lang w:val="es-ES_tradnl"/>
              </w:rPr>
            </w:pPr>
            <w:r w:rsidRPr="00380DD4">
              <w:rPr>
                <w:rFonts w:ascii="Arial" w:hAnsi="Arial" w:eastAsia="Calibri" w:cs="Arial"/>
                <w:b/>
                <w:lang w:val="es-ES_tradnl"/>
              </w:rPr>
              <w:t>Temas:</w:t>
            </w:r>
            <w:r w:rsidRPr="00380DD4">
              <w:rPr>
                <w:rFonts w:ascii="Arial" w:hAnsi="Arial" w:eastAsia="Calibri" w:cs="Arial"/>
                <w:lang w:val="es-ES_tradnl"/>
              </w:rPr>
              <w:t xml:space="preserve">           </w:t>
            </w:r>
          </w:p>
          <w:p w:rsidRPr="00380DD4" w:rsidR="009157E3" w:rsidP="0062443E" w:rsidRDefault="009157E3" w14:paraId="4C7EB7C7" w14:textId="77777777">
            <w:pPr>
              <w:rPr>
                <w:rFonts w:ascii="Arial" w:hAnsi="Arial" w:eastAsia="Calibri" w:cs="Arial"/>
                <w:lang w:val="es-ES_tradnl"/>
              </w:rPr>
            </w:pPr>
            <w:r w:rsidRPr="00380DD4">
              <w:rPr>
                <w:rFonts w:ascii="Arial" w:hAnsi="Arial" w:eastAsia="Calibri" w:cs="Arial"/>
                <w:lang w:val="es-ES_tradnl"/>
              </w:rPr>
              <w:t xml:space="preserve">                           </w:t>
            </w:r>
          </w:p>
        </w:tc>
        <w:tc>
          <w:tcPr>
            <w:tcW w:w="6237" w:type="dxa"/>
            <w:hideMark/>
          </w:tcPr>
          <w:p w:rsidRPr="00380DD4" w:rsidR="00AF2ED0" w:rsidP="0062443E" w:rsidRDefault="00413926" w14:paraId="2F86AAF4" w14:textId="61D5F5D5">
            <w:pPr>
              <w:jc w:val="both"/>
              <w:rPr>
                <w:rFonts w:ascii="Arial" w:hAnsi="Arial" w:eastAsia="Calibri" w:cs="Arial"/>
                <w:bCs/>
                <w:color w:val="000000"/>
                <w:lang w:val="es-ES_tradnl"/>
              </w:rPr>
            </w:pPr>
            <w:r w:rsidRPr="00380DD4">
              <w:rPr>
                <w:rFonts w:ascii="Arial" w:hAnsi="Arial" w:eastAsia="Calibri" w:cs="Arial"/>
                <w:bCs/>
                <w:color w:val="000000"/>
                <w:lang w:val="es-ES_tradnl"/>
              </w:rPr>
              <w:t xml:space="preserve">CONTRATO DE PRESTACIÓN DE SERVICIOS </w:t>
            </w:r>
            <w:r w:rsidRPr="00380DD4" w:rsidR="00E3502B">
              <w:rPr>
                <w:rFonts w:ascii="Arial" w:hAnsi="Arial" w:eastAsia="Calibri" w:cs="Arial"/>
                <w:bCs/>
                <w:color w:val="000000"/>
                <w:lang w:val="es-ES_tradnl"/>
              </w:rPr>
              <w:t>–</w:t>
            </w:r>
            <w:r w:rsidRPr="00380DD4">
              <w:rPr>
                <w:rFonts w:ascii="Arial" w:hAnsi="Arial" w:eastAsia="Calibri" w:cs="Arial"/>
                <w:bCs/>
                <w:color w:val="000000"/>
                <w:lang w:val="es-ES_tradnl"/>
              </w:rPr>
              <w:t xml:space="preserve"> </w:t>
            </w:r>
            <w:r w:rsidRPr="00380DD4" w:rsidR="00E3502B">
              <w:rPr>
                <w:rFonts w:ascii="Arial" w:hAnsi="Arial" w:eastAsia="Calibri" w:cs="Arial"/>
                <w:bCs/>
                <w:color w:val="000000"/>
                <w:lang w:val="es-ES_tradnl"/>
              </w:rPr>
              <w:t xml:space="preserve">Concepto </w:t>
            </w:r>
            <w:r w:rsidRPr="00380DD4" w:rsidR="008A50BB">
              <w:rPr>
                <w:rFonts w:ascii="Arial" w:hAnsi="Arial" w:eastAsia="Calibri" w:cs="Arial"/>
                <w:bCs/>
                <w:color w:val="000000"/>
                <w:lang w:val="es-ES_tradnl"/>
              </w:rPr>
              <w:t xml:space="preserve">/ Características </w:t>
            </w:r>
            <w:r w:rsidRPr="00380DD4" w:rsidR="00A741D5">
              <w:rPr>
                <w:rFonts w:ascii="Arial" w:hAnsi="Arial" w:eastAsia="Calibri" w:cs="Arial"/>
                <w:bCs/>
                <w:color w:val="000000"/>
                <w:lang w:val="es-ES_tradnl"/>
              </w:rPr>
              <w:t xml:space="preserve">/ </w:t>
            </w:r>
            <w:r w:rsidRPr="00380DD4" w:rsidR="00D80836">
              <w:rPr>
                <w:rFonts w:ascii="Arial" w:hAnsi="Arial" w:eastAsia="Calibri" w:cs="Arial"/>
                <w:bCs/>
                <w:color w:val="000000"/>
                <w:lang w:val="es-ES_tradnl"/>
              </w:rPr>
              <w:t xml:space="preserve">CONTRATOS DE PRESTACIÓN DE SERVICIOS </w:t>
            </w:r>
            <w:r w:rsidRPr="00380DD4" w:rsidR="002E77EE">
              <w:rPr>
                <w:rFonts w:ascii="Arial" w:hAnsi="Arial" w:eastAsia="Calibri" w:cs="Arial"/>
                <w:bCs/>
                <w:color w:val="000000"/>
                <w:lang w:val="es-ES_tradnl"/>
              </w:rPr>
              <w:t>–</w:t>
            </w:r>
            <w:r w:rsidRPr="00380DD4" w:rsidR="00D80836">
              <w:rPr>
                <w:rFonts w:ascii="Arial" w:hAnsi="Arial" w:eastAsia="Calibri" w:cs="Arial"/>
                <w:bCs/>
                <w:color w:val="000000"/>
                <w:lang w:val="es-ES_tradnl"/>
              </w:rPr>
              <w:t xml:space="preserve"> </w:t>
            </w:r>
            <w:r w:rsidRPr="00380DD4" w:rsidR="002E2EAC">
              <w:rPr>
                <w:rFonts w:ascii="Arial" w:hAnsi="Arial" w:eastAsia="Calibri" w:cs="Arial"/>
                <w:bCs/>
                <w:color w:val="000000"/>
                <w:lang w:val="es-ES_tradnl"/>
              </w:rPr>
              <w:t>Fij</w:t>
            </w:r>
            <w:r w:rsidRPr="00380DD4" w:rsidR="002E77EE">
              <w:rPr>
                <w:rFonts w:ascii="Arial" w:hAnsi="Arial" w:eastAsia="Calibri" w:cs="Arial"/>
                <w:bCs/>
                <w:color w:val="000000"/>
                <w:lang w:val="es-ES_tradnl"/>
              </w:rPr>
              <w:t>ación de honorarios –</w:t>
            </w:r>
            <w:r w:rsidRPr="00380DD4" w:rsidR="00AF2ED0">
              <w:rPr>
                <w:rFonts w:ascii="Arial" w:hAnsi="Arial" w:eastAsia="Calibri" w:cs="Arial"/>
                <w:bCs/>
                <w:color w:val="000000"/>
                <w:lang w:val="es-ES_tradnl"/>
              </w:rPr>
              <w:t xml:space="preserve"> Tablas de honorarios –</w:t>
            </w:r>
          </w:p>
          <w:p w:rsidRPr="00380DD4" w:rsidR="009157E3" w:rsidP="0062443E" w:rsidRDefault="002E77EE" w14:paraId="345D372B" w14:textId="6844CBFC">
            <w:pPr>
              <w:jc w:val="both"/>
              <w:rPr>
                <w:rFonts w:ascii="Arial" w:hAnsi="Arial" w:eastAsia="Calibri" w:cs="Arial"/>
                <w:bCs/>
                <w:color w:val="000000"/>
                <w:lang w:val="es-ES_tradnl"/>
              </w:rPr>
            </w:pPr>
            <w:r w:rsidRPr="00380DD4">
              <w:rPr>
                <w:rFonts w:ascii="Arial" w:hAnsi="Arial" w:eastAsia="Calibri" w:cs="Arial"/>
                <w:bCs/>
                <w:color w:val="000000"/>
                <w:lang w:val="es-ES_tradnl"/>
              </w:rPr>
              <w:t xml:space="preserve"> Inclusión de impuestos</w:t>
            </w:r>
          </w:p>
          <w:p w:rsidRPr="00380DD4" w:rsidR="009157E3" w:rsidP="0062443E" w:rsidRDefault="009157E3" w14:paraId="771A3958" w14:textId="77777777">
            <w:pPr>
              <w:jc w:val="both"/>
              <w:rPr>
                <w:rFonts w:ascii="Arial" w:hAnsi="Arial" w:eastAsia="Calibri" w:cs="Arial"/>
                <w:bCs/>
                <w:color w:val="000000"/>
                <w:lang w:val="es-ES_tradnl"/>
              </w:rPr>
            </w:pPr>
          </w:p>
          <w:p w:rsidRPr="00380DD4" w:rsidR="009157E3" w:rsidP="0062443E" w:rsidRDefault="009157E3" w14:paraId="4416E52C" w14:textId="77777777">
            <w:pPr>
              <w:jc w:val="both"/>
              <w:rPr>
                <w:rFonts w:ascii="Arial" w:hAnsi="Arial" w:eastAsia="Calibri" w:cs="Arial"/>
                <w:bCs/>
                <w:color w:val="000000"/>
                <w:lang w:val="es-ES_tradnl"/>
              </w:rPr>
            </w:pPr>
          </w:p>
          <w:p w:rsidRPr="00380DD4" w:rsidR="009157E3" w:rsidP="0062443E" w:rsidRDefault="009157E3" w14:paraId="3D629ABB" w14:textId="77777777">
            <w:pPr>
              <w:jc w:val="both"/>
              <w:rPr>
                <w:rFonts w:ascii="Arial" w:hAnsi="Arial" w:eastAsia="Calibri" w:cs="Arial"/>
              </w:rPr>
            </w:pPr>
          </w:p>
        </w:tc>
      </w:tr>
      <w:tr w:rsidRPr="00CA71FB" w:rsidR="009157E3" w:rsidTr="0062443E" w14:paraId="2D63461C" w14:textId="77777777">
        <w:trPr>
          <w:trHeight w:val="239"/>
        </w:trPr>
        <w:tc>
          <w:tcPr>
            <w:tcW w:w="2689" w:type="dxa"/>
          </w:tcPr>
          <w:p w:rsidRPr="00CA71FB" w:rsidR="009157E3" w:rsidP="0062443E" w:rsidRDefault="009157E3" w14:paraId="6F347F59" w14:textId="77777777">
            <w:pPr>
              <w:rPr>
                <w:rFonts w:ascii="Arial" w:hAnsi="Arial" w:eastAsia="Calibri" w:cs="Arial"/>
                <w:b/>
                <w:lang w:val="es-ES_tradnl"/>
              </w:rPr>
            </w:pPr>
            <w:r w:rsidRPr="00CA71FB">
              <w:rPr>
                <w:rFonts w:ascii="Arial" w:hAnsi="Arial" w:eastAsia="Calibri" w:cs="Arial"/>
                <w:b/>
                <w:lang w:val="es-ES_tradnl"/>
              </w:rPr>
              <w:t>Radicación:</w:t>
            </w:r>
            <w:r w:rsidRPr="00CA71FB">
              <w:rPr>
                <w:rFonts w:ascii="Arial" w:hAnsi="Arial" w:eastAsia="Calibri" w:cs="Arial"/>
                <w:lang w:val="es-ES_tradnl"/>
              </w:rPr>
              <w:t xml:space="preserve">                              </w:t>
            </w:r>
          </w:p>
        </w:tc>
        <w:tc>
          <w:tcPr>
            <w:tcW w:w="6237" w:type="dxa"/>
          </w:tcPr>
          <w:p w:rsidRPr="00CA71FB" w:rsidR="009157E3" w:rsidP="0062443E" w:rsidRDefault="009157E3" w14:paraId="4C066BD2" w14:textId="115B10D1">
            <w:pPr>
              <w:jc w:val="both"/>
              <w:rPr>
                <w:rFonts w:ascii="Arial" w:hAnsi="Arial" w:eastAsia="Calibri" w:cs="Arial"/>
                <w:lang w:val="es-ES"/>
              </w:rPr>
            </w:pPr>
            <w:r w:rsidRPr="00CA71FB">
              <w:rPr>
                <w:rFonts w:ascii="Arial" w:hAnsi="Arial" w:eastAsia="Calibri" w:cs="Arial"/>
                <w:lang w:val="es-ES"/>
              </w:rPr>
              <w:t xml:space="preserve">Respuesta a consulta No. </w:t>
            </w:r>
            <w:r w:rsidRPr="00F17003" w:rsidR="00F17003">
              <w:rPr>
                <w:rFonts w:ascii="Arial" w:hAnsi="Arial" w:eastAsia="Calibri" w:cs="Arial"/>
                <w:lang w:val="es-ES"/>
              </w:rPr>
              <w:t>P20230321002615</w:t>
            </w:r>
            <w:r w:rsidRPr="00CA71FB">
              <w:rPr>
                <w:rFonts w:ascii="Arial" w:hAnsi="Arial" w:eastAsia="Calibri" w:cs="Arial"/>
              </w:rPr>
              <w:tab/>
            </w:r>
          </w:p>
        </w:tc>
      </w:tr>
    </w:tbl>
    <w:p w:rsidRPr="00CA71FB" w:rsidR="009157E3" w:rsidP="009157E3" w:rsidRDefault="009157E3" w14:paraId="54856C73" w14:textId="77777777">
      <w:pPr>
        <w:spacing w:after="0" w:line="240" w:lineRule="auto"/>
        <w:contextualSpacing/>
        <w:jc w:val="both"/>
        <w:rPr>
          <w:rFonts w:ascii="Arial" w:hAnsi="Arial" w:eastAsia="Calibri" w:cs="Arial"/>
          <w:lang w:val="es-ES_tradnl"/>
        </w:rPr>
      </w:pPr>
    </w:p>
    <w:p w:rsidRPr="00CA71FB" w:rsidR="009157E3" w:rsidP="009157E3" w:rsidRDefault="009157E3" w14:paraId="1D9E4E2C" w14:textId="77777777">
      <w:pPr>
        <w:spacing w:after="0" w:line="240" w:lineRule="auto"/>
        <w:contextualSpacing/>
        <w:rPr>
          <w:rFonts w:ascii="Arial" w:hAnsi="Arial" w:eastAsia="Calibri" w:cs="Arial"/>
          <w:lang w:val="es-ES_tradnl"/>
        </w:rPr>
      </w:pPr>
    </w:p>
    <w:p w:rsidRPr="00CA71FB" w:rsidR="009157E3" w:rsidP="009157E3" w:rsidRDefault="00F17003" w14:paraId="5D29B205" w14:textId="3F15B38D">
      <w:pPr>
        <w:spacing w:after="0" w:line="276" w:lineRule="auto"/>
        <w:contextualSpacing/>
        <w:rPr>
          <w:rFonts w:ascii="Arial" w:hAnsi="Arial" w:eastAsia="Calibri" w:cs="Arial"/>
          <w:lang w:val="es-ES_tradnl"/>
        </w:rPr>
      </w:pPr>
      <w:r>
        <w:rPr>
          <w:rFonts w:ascii="Arial" w:hAnsi="Arial" w:eastAsia="Calibri" w:cs="Arial"/>
          <w:lang w:val="es-ES_tradnl"/>
        </w:rPr>
        <w:t>Estimado señor Sanabria</w:t>
      </w:r>
      <w:r w:rsidRPr="00CA71FB" w:rsidR="009157E3">
        <w:rPr>
          <w:rFonts w:ascii="Arial" w:hAnsi="Arial" w:eastAsia="Calibri" w:cs="Arial"/>
          <w:lang w:val="es-ES_tradnl"/>
        </w:rPr>
        <w:t>:</w:t>
      </w:r>
    </w:p>
    <w:p w:rsidRPr="00CA71FB" w:rsidR="009157E3" w:rsidP="009157E3" w:rsidRDefault="009157E3" w14:paraId="239F40F6" w14:textId="77777777">
      <w:pPr>
        <w:spacing w:after="0" w:line="240" w:lineRule="auto"/>
        <w:jc w:val="both"/>
        <w:rPr>
          <w:rFonts w:ascii="Arial" w:hAnsi="Arial" w:eastAsia="Calibri" w:cs="Arial"/>
          <w:lang w:val="es-ES_tradnl"/>
        </w:rPr>
      </w:pPr>
    </w:p>
    <w:p w:rsidRPr="00CA71FB" w:rsidR="009157E3" w:rsidP="009157E3" w:rsidRDefault="009157E3" w14:paraId="2F8BDA5C" w14:textId="6767AD6D">
      <w:pPr>
        <w:spacing w:after="0" w:line="276" w:lineRule="auto"/>
        <w:ind w:right="51"/>
        <w:contextualSpacing/>
        <w:jc w:val="both"/>
        <w:rPr>
          <w:rFonts w:ascii="Arial" w:hAnsi="Arial" w:eastAsia="Calibri" w:cs="Arial"/>
          <w:lang w:val="es-ES_tradnl"/>
        </w:rPr>
      </w:pPr>
      <w:r w:rsidRPr="00CA71FB">
        <w:rPr>
          <w:rFonts w:ascii="Arial" w:hAnsi="Arial" w:eastAsia="Calibri" w:cs="Arial"/>
          <w:lang w:val="es-ES_tradnl"/>
        </w:rPr>
        <w:t>En ejercicio de la competencia otorgada por el numeral 8 del artículo 11 y el numeral 5 del artículo 3 del Decreto Ley 4170 de 2011</w:t>
      </w:r>
      <w:r w:rsidRPr="00CA71FB">
        <w:rPr>
          <w:rFonts w:ascii="Arial" w:hAnsi="Arial" w:eastAsia="Arial MT" w:cs="Arial"/>
          <w:lang w:val="es-ES"/>
        </w:rPr>
        <w:t>,</w:t>
      </w:r>
      <w:r w:rsidRPr="00CA71FB">
        <w:rPr>
          <w:rFonts w:ascii="Arial" w:hAnsi="Arial" w:eastAsia="Arial MT" w:cs="Arial"/>
          <w:spacing w:val="-7"/>
          <w:lang w:val="es-ES"/>
        </w:rPr>
        <w:t xml:space="preserve"> </w:t>
      </w:r>
      <w:r w:rsidRPr="00CA71FB">
        <w:rPr>
          <w:rFonts w:ascii="Arial" w:hAnsi="Arial" w:eastAsia="Arial MT" w:cs="Arial"/>
          <w:lang w:val="es-ES"/>
        </w:rPr>
        <w:t>y</w:t>
      </w:r>
      <w:r w:rsidRPr="00CA71FB">
        <w:rPr>
          <w:rFonts w:ascii="Arial" w:hAnsi="Arial" w:eastAsia="Arial MT" w:cs="Arial"/>
          <w:spacing w:val="-7"/>
          <w:lang w:val="es-ES"/>
        </w:rPr>
        <w:t xml:space="preserve"> </w:t>
      </w:r>
      <w:r w:rsidRPr="00CA71FB">
        <w:rPr>
          <w:rFonts w:ascii="Arial" w:hAnsi="Arial" w:eastAsia="Arial MT" w:cs="Arial"/>
          <w:lang w:val="es-ES"/>
        </w:rPr>
        <w:t>dentro</w:t>
      </w:r>
      <w:r w:rsidRPr="00CA71FB">
        <w:rPr>
          <w:rFonts w:ascii="Arial" w:hAnsi="Arial" w:eastAsia="Arial MT" w:cs="Arial"/>
          <w:spacing w:val="-7"/>
          <w:lang w:val="es-ES"/>
        </w:rPr>
        <w:t xml:space="preserve"> </w:t>
      </w:r>
      <w:r w:rsidRPr="00CA71FB">
        <w:rPr>
          <w:rFonts w:ascii="Arial" w:hAnsi="Arial" w:eastAsia="Arial MT" w:cs="Arial"/>
          <w:lang w:val="es-ES"/>
        </w:rPr>
        <w:t>de</w:t>
      </w:r>
      <w:r w:rsidRPr="00CA71FB">
        <w:rPr>
          <w:rFonts w:ascii="Arial" w:hAnsi="Arial" w:eastAsia="Arial MT" w:cs="Arial"/>
          <w:spacing w:val="-8"/>
          <w:lang w:val="es-ES"/>
        </w:rPr>
        <w:t xml:space="preserve"> </w:t>
      </w:r>
      <w:r w:rsidRPr="00CA71FB">
        <w:rPr>
          <w:rFonts w:ascii="Arial" w:hAnsi="Arial" w:eastAsia="Arial MT" w:cs="Arial"/>
          <w:lang w:val="es-ES"/>
        </w:rPr>
        <w:t>los</w:t>
      </w:r>
      <w:r w:rsidRPr="00CA71FB">
        <w:rPr>
          <w:rFonts w:ascii="Arial" w:hAnsi="Arial" w:eastAsia="Arial MT" w:cs="Arial"/>
          <w:spacing w:val="-7"/>
          <w:lang w:val="es-ES"/>
        </w:rPr>
        <w:t xml:space="preserve"> </w:t>
      </w:r>
      <w:r w:rsidRPr="00CA71FB">
        <w:rPr>
          <w:rFonts w:ascii="Arial" w:hAnsi="Arial" w:eastAsia="Arial MT" w:cs="Arial"/>
          <w:lang w:val="es-ES"/>
        </w:rPr>
        <w:t>términos</w:t>
      </w:r>
      <w:r w:rsidRPr="00CA71FB">
        <w:rPr>
          <w:rFonts w:ascii="Arial" w:hAnsi="Arial" w:eastAsia="Arial MT" w:cs="Arial"/>
          <w:spacing w:val="-6"/>
          <w:lang w:val="es-ES"/>
        </w:rPr>
        <w:t xml:space="preserve"> </w:t>
      </w:r>
      <w:r w:rsidRPr="00CA71FB">
        <w:rPr>
          <w:rFonts w:ascii="Arial" w:hAnsi="Arial" w:eastAsia="Arial MT" w:cs="Arial"/>
          <w:lang w:val="es-ES"/>
        </w:rPr>
        <w:t>establecidos</w:t>
      </w:r>
      <w:r w:rsidRPr="00CA71FB">
        <w:rPr>
          <w:rFonts w:ascii="Arial" w:hAnsi="Arial" w:eastAsia="Arial MT" w:cs="Arial"/>
          <w:spacing w:val="-8"/>
          <w:lang w:val="es-ES"/>
        </w:rPr>
        <w:t xml:space="preserve"> </w:t>
      </w:r>
      <w:r w:rsidRPr="00CA71FB">
        <w:rPr>
          <w:rFonts w:ascii="Arial" w:hAnsi="Arial" w:eastAsia="Arial MT" w:cs="Arial"/>
          <w:lang w:val="es-ES"/>
        </w:rPr>
        <w:t>en</w:t>
      </w:r>
      <w:r w:rsidRPr="00CA71FB">
        <w:rPr>
          <w:rFonts w:ascii="Arial" w:hAnsi="Arial" w:eastAsia="Arial MT" w:cs="Arial"/>
          <w:spacing w:val="-7"/>
          <w:lang w:val="es-ES"/>
        </w:rPr>
        <w:t xml:space="preserve"> </w:t>
      </w:r>
      <w:r w:rsidRPr="00CA71FB">
        <w:rPr>
          <w:rFonts w:ascii="Arial" w:hAnsi="Arial" w:eastAsia="Arial MT" w:cs="Arial"/>
          <w:lang w:val="es-ES"/>
        </w:rPr>
        <w:t>el artículo</w:t>
      </w:r>
      <w:r w:rsidRPr="00CA71FB">
        <w:rPr>
          <w:rFonts w:ascii="Arial" w:hAnsi="Arial" w:eastAsia="Arial MT" w:cs="Arial"/>
          <w:spacing w:val="-7"/>
          <w:lang w:val="es-ES"/>
        </w:rPr>
        <w:t xml:space="preserve"> </w:t>
      </w:r>
      <w:r w:rsidRPr="00CA71FB">
        <w:rPr>
          <w:rFonts w:ascii="Arial" w:hAnsi="Arial" w:eastAsia="Arial MT" w:cs="Arial"/>
          <w:lang w:val="es-ES"/>
        </w:rPr>
        <w:t>14</w:t>
      </w:r>
      <w:r w:rsidRPr="00CA71FB">
        <w:rPr>
          <w:rFonts w:ascii="Arial" w:hAnsi="Arial" w:eastAsia="Arial MT" w:cs="Arial"/>
          <w:spacing w:val="-6"/>
          <w:lang w:val="es-ES"/>
        </w:rPr>
        <w:t xml:space="preserve"> </w:t>
      </w:r>
      <w:r w:rsidRPr="00CA71FB">
        <w:rPr>
          <w:rFonts w:ascii="Arial" w:hAnsi="Arial" w:eastAsia="Arial MT" w:cs="Arial"/>
          <w:lang w:val="es-ES"/>
        </w:rPr>
        <w:t>de</w:t>
      </w:r>
      <w:r w:rsidRPr="00CA71FB">
        <w:rPr>
          <w:rFonts w:ascii="Arial" w:hAnsi="Arial" w:eastAsia="Arial MT" w:cs="Arial"/>
          <w:spacing w:val="-6"/>
          <w:lang w:val="es-ES"/>
        </w:rPr>
        <w:t xml:space="preserve"> </w:t>
      </w:r>
      <w:r w:rsidRPr="00CA71FB">
        <w:rPr>
          <w:rFonts w:ascii="Arial" w:hAnsi="Arial" w:eastAsia="Arial MT" w:cs="Arial"/>
          <w:lang w:val="es-ES"/>
        </w:rPr>
        <w:t>la</w:t>
      </w:r>
      <w:r w:rsidRPr="00CA71FB">
        <w:rPr>
          <w:rFonts w:ascii="Arial" w:hAnsi="Arial" w:eastAsia="Arial MT" w:cs="Arial"/>
          <w:spacing w:val="-6"/>
          <w:lang w:val="es-ES"/>
        </w:rPr>
        <w:t xml:space="preserve"> </w:t>
      </w:r>
      <w:r w:rsidRPr="00CA71FB">
        <w:rPr>
          <w:rFonts w:ascii="Arial" w:hAnsi="Arial" w:eastAsia="Arial MT" w:cs="Arial"/>
          <w:lang w:val="es-ES"/>
        </w:rPr>
        <w:t>Ley</w:t>
      </w:r>
      <w:r w:rsidRPr="00CA71FB">
        <w:rPr>
          <w:rFonts w:ascii="Arial" w:hAnsi="Arial" w:eastAsia="Arial MT" w:cs="Arial"/>
          <w:spacing w:val="-6"/>
          <w:lang w:val="es-ES"/>
        </w:rPr>
        <w:t xml:space="preserve"> </w:t>
      </w:r>
      <w:r w:rsidRPr="00CA71FB">
        <w:rPr>
          <w:rFonts w:ascii="Arial" w:hAnsi="Arial" w:eastAsia="Arial MT" w:cs="Arial"/>
          <w:lang w:val="es-ES"/>
        </w:rPr>
        <w:t>1437</w:t>
      </w:r>
      <w:r w:rsidRPr="00CA71FB">
        <w:rPr>
          <w:rFonts w:ascii="Arial" w:hAnsi="Arial" w:eastAsia="Arial MT" w:cs="Arial"/>
          <w:spacing w:val="-6"/>
          <w:lang w:val="es-ES"/>
        </w:rPr>
        <w:t xml:space="preserve"> </w:t>
      </w:r>
      <w:r w:rsidRPr="00CA71FB">
        <w:rPr>
          <w:rFonts w:ascii="Arial" w:hAnsi="Arial" w:eastAsia="Arial MT" w:cs="Arial"/>
          <w:lang w:val="es-ES"/>
        </w:rPr>
        <w:t>de</w:t>
      </w:r>
      <w:r w:rsidRPr="00CA71FB">
        <w:rPr>
          <w:rFonts w:ascii="Arial" w:hAnsi="Arial" w:eastAsia="Arial MT" w:cs="Arial"/>
          <w:spacing w:val="-6"/>
          <w:lang w:val="es-ES"/>
        </w:rPr>
        <w:t xml:space="preserve"> </w:t>
      </w:r>
      <w:r w:rsidRPr="00CA71FB">
        <w:rPr>
          <w:rFonts w:ascii="Arial" w:hAnsi="Arial" w:eastAsia="Arial MT" w:cs="Arial"/>
          <w:lang w:val="es-ES"/>
        </w:rPr>
        <w:t>2011,</w:t>
      </w:r>
      <w:r w:rsidRPr="00CA71FB">
        <w:rPr>
          <w:rFonts w:ascii="Arial" w:hAnsi="Arial" w:eastAsia="Arial MT" w:cs="Arial"/>
          <w:spacing w:val="-6"/>
          <w:lang w:val="es-ES"/>
        </w:rPr>
        <w:t xml:space="preserve"> </w:t>
      </w:r>
      <w:r w:rsidRPr="00CA71FB">
        <w:rPr>
          <w:rFonts w:ascii="Arial" w:hAnsi="Arial" w:eastAsia="Arial MT" w:cs="Arial"/>
          <w:lang w:val="es-ES"/>
        </w:rPr>
        <w:t>modificados</w:t>
      </w:r>
      <w:r w:rsidRPr="00CA71FB">
        <w:rPr>
          <w:rFonts w:ascii="Arial" w:hAnsi="Arial" w:eastAsia="Arial MT" w:cs="Arial"/>
          <w:spacing w:val="-6"/>
          <w:lang w:val="es-ES"/>
        </w:rPr>
        <w:t xml:space="preserve"> </w:t>
      </w:r>
      <w:r w:rsidRPr="00CA71FB">
        <w:rPr>
          <w:rFonts w:ascii="Arial" w:hAnsi="Arial" w:eastAsia="Arial MT" w:cs="Arial"/>
          <w:lang w:val="es-ES"/>
        </w:rPr>
        <w:t>por</w:t>
      </w:r>
      <w:r w:rsidRPr="00CA71FB">
        <w:rPr>
          <w:rFonts w:ascii="Arial" w:hAnsi="Arial" w:eastAsia="Arial MT" w:cs="Arial"/>
          <w:spacing w:val="-6"/>
          <w:lang w:val="es-ES"/>
        </w:rPr>
        <w:t xml:space="preserve"> </w:t>
      </w:r>
      <w:r w:rsidRPr="00CA71FB">
        <w:rPr>
          <w:rFonts w:ascii="Arial" w:hAnsi="Arial" w:eastAsia="Arial MT" w:cs="Arial"/>
          <w:lang w:val="es-ES"/>
        </w:rPr>
        <w:t>el</w:t>
      </w:r>
      <w:r w:rsidRPr="00CA71FB">
        <w:rPr>
          <w:rFonts w:ascii="Arial" w:hAnsi="Arial" w:eastAsia="Arial MT" w:cs="Arial"/>
          <w:spacing w:val="-6"/>
          <w:lang w:val="es-ES"/>
        </w:rPr>
        <w:t xml:space="preserve"> </w:t>
      </w:r>
      <w:r w:rsidRPr="00CA71FB">
        <w:rPr>
          <w:rFonts w:ascii="Arial" w:hAnsi="Arial" w:eastAsia="Arial MT" w:cs="Arial"/>
          <w:lang w:val="es-ES"/>
        </w:rPr>
        <w:t>artículo</w:t>
      </w:r>
      <w:r w:rsidRPr="00CA71FB">
        <w:rPr>
          <w:rFonts w:ascii="Arial" w:hAnsi="Arial" w:eastAsia="Arial MT" w:cs="Arial"/>
          <w:spacing w:val="-7"/>
          <w:lang w:val="es-ES"/>
        </w:rPr>
        <w:t xml:space="preserve"> </w:t>
      </w:r>
      <w:r w:rsidRPr="00CA71FB">
        <w:rPr>
          <w:rFonts w:ascii="Arial" w:hAnsi="Arial" w:eastAsia="Arial MT" w:cs="Arial"/>
          <w:lang w:val="es-ES"/>
        </w:rPr>
        <w:t>5</w:t>
      </w:r>
      <w:r w:rsidRPr="00CA71FB">
        <w:rPr>
          <w:rFonts w:ascii="Arial" w:hAnsi="Arial" w:eastAsia="Arial MT" w:cs="Arial"/>
          <w:spacing w:val="-6"/>
          <w:lang w:val="es-ES"/>
        </w:rPr>
        <w:t xml:space="preserve"> </w:t>
      </w:r>
      <w:r w:rsidRPr="00CA71FB">
        <w:rPr>
          <w:rFonts w:ascii="Arial" w:hAnsi="Arial" w:eastAsia="Arial MT" w:cs="Arial"/>
          <w:lang w:val="es-ES"/>
        </w:rPr>
        <w:t>del</w:t>
      </w:r>
      <w:r w:rsidRPr="00CA71FB">
        <w:rPr>
          <w:rFonts w:ascii="Arial" w:hAnsi="Arial" w:eastAsia="Arial MT" w:cs="Arial"/>
          <w:spacing w:val="-6"/>
          <w:lang w:val="es-ES"/>
        </w:rPr>
        <w:t xml:space="preserve"> </w:t>
      </w:r>
      <w:r w:rsidRPr="00CA71FB">
        <w:rPr>
          <w:rFonts w:ascii="Arial" w:hAnsi="Arial" w:eastAsia="Arial MT" w:cs="Arial"/>
          <w:lang w:val="es-ES"/>
        </w:rPr>
        <w:t>Decreto</w:t>
      </w:r>
      <w:r w:rsidRPr="00CA71FB">
        <w:rPr>
          <w:rFonts w:ascii="Arial" w:hAnsi="Arial" w:eastAsia="Arial MT" w:cs="Arial"/>
          <w:spacing w:val="-6"/>
          <w:lang w:val="es-ES"/>
        </w:rPr>
        <w:t xml:space="preserve"> </w:t>
      </w:r>
      <w:r w:rsidRPr="00CA71FB">
        <w:rPr>
          <w:rFonts w:ascii="Arial" w:hAnsi="Arial" w:eastAsia="Arial MT" w:cs="Arial"/>
          <w:lang w:val="es-ES"/>
        </w:rPr>
        <w:t>Legislativo 491 del 28 de marzo de 2020, l</w:t>
      </w:r>
      <w:r w:rsidRPr="00CA71FB">
        <w:rPr>
          <w:rFonts w:ascii="Arial" w:hAnsi="Arial" w:eastAsia="Calibri" w:cs="Arial"/>
          <w:lang w:val="es-ES_tradnl"/>
        </w:rPr>
        <w:t xml:space="preserve">a Agencia Nacional de Contratación Pública – Colombia Compra Eficiente responde su consulta recibida el </w:t>
      </w:r>
      <w:r w:rsidR="00F17003">
        <w:rPr>
          <w:rFonts w:ascii="Arial" w:hAnsi="Arial" w:eastAsia="Calibri" w:cs="Arial"/>
          <w:lang w:val="es-ES_tradnl"/>
        </w:rPr>
        <w:t>21</w:t>
      </w:r>
      <w:r w:rsidRPr="00CA71FB">
        <w:rPr>
          <w:rFonts w:ascii="Arial" w:hAnsi="Arial" w:eastAsia="Calibri" w:cs="Arial"/>
          <w:lang w:val="es-ES_tradnl"/>
        </w:rPr>
        <w:t xml:space="preserve"> de marzo de 2023.</w:t>
      </w:r>
    </w:p>
    <w:p w:rsidRPr="00CA71FB" w:rsidR="009157E3" w:rsidP="009157E3" w:rsidRDefault="009157E3" w14:paraId="2344CFB8" w14:textId="77777777">
      <w:pPr>
        <w:tabs>
          <w:tab w:val="left" w:pos="284"/>
        </w:tabs>
        <w:spacing w:after="0" w:line="276" w:lineRule="auto"/>
        <w:contextualSpacing/>
        <w:jc w:val="both"/>
        <w:rPr>
          <w:rFonts w:ascii="Arial" w:hAnsi="Arial" w:eastAsia="Calibri" w:cs="Arial"/>
          <w:lang w:val="es-ES_tradnl"/>
        </w:rPr>
      </w:pPr>
    </w:p>
    <w:p w:rsidRPr="00CA71FB" w:rsidR="009157E3" w:rsidP="009157E3" w:rsidRDefault="009157E3" w14:paraId="21E18695" w14:textId="77777777">
      <w:pPr>
        <w:tabs>
          <w:tab w:val="left" w:pos="284"/>
        </w:tabs>
        <w:spacing w:after="0" w:line="276" w:lineRule="auto"/>
        <w:contextualSpacing/>
        <w:jc w:val="both"/>
        <w:rPr>
          <w:rFonts w:ascii="Arial" w:hAnsi="Arial" w:eastAsia="Calibri" w:cs="Arial"/>
          <w:b/>
          <w:lang w:val="es-ES_tradnl"/>
        </w:rPr>
      </w:pPr>
      <w:r w:rsidRPr="00CA71FB">
        <w:rPr>
          <w:rFonts w:ascii="Arial" w:hAnsi="Arial" w:eastAsia="Calibri" w:cs="Arial"/>
          <w:b/>
          <w:lang w:val="es-ES_tradnl"/>
        </w:rPr>
        <w:t>1.</w:t>
      </w:r>
      <w:r w:rsidRPr="00CA71FB">
        <w:rPr>
          <w:rFonts w:ascii="Arial" w:hAnsi="Arial" w:eastAsia="Calibri" w:cs="Arial"/>
          <w:lang w:val="es-ES_tradnl"/>
        </w:rPr>
        <w:t xml:space="preserve"> </w:t>
      </w:r>
      <w:r w:rsidRPr="00CA71FB">
        <w:rPr>
          <w:rFonts w:ascii="Arial" w:hAnsi="Arial" w:eastAsia="Calibri" w:cs="Arial"/>
          <w:b/>
          <w:lang w:val="es-ES_tradnl"/>
        </w:rPr>
        <w:t xml:space="preserve">Problema planteado </w:t>
      </w:r>
    </w:p>
    <w:p w:rsidRPr="00CA71FB" w:rsidR="009157E3" w:rsidP="009157E3" w:rsidRDefault="009157E3" w14:paraId="63F4D991" w14:textId="77777777">
      <w:pPr>
        <w:tabs>
          <w:tab w:val="left" w:pos="284"/>
        </w:tabs>
        <w:spacing w:after="0" w:line="276" w:lineRule="auto"/>
        <w:contextualSpacing/>
        <w:jc w:val="both"/>
        <w:rPr>
          <w:rFonts w:ascii="Arial" w:hAnsi="Arial" w:eastAsia="Calibri" w:cs="Arial"/>
          <w:b/>
          <w:lang w:val="es-ES_tradnl"/>
        </w:rPr>
      </w:pPr>
    </w:p>
    <w:p w:rsidR="005B7B3A" w:rsidP="009157E3" w:rsidRDefault="009157E3" w14:paraId="5298DBC2" w14:textId="77777777">
      <w:pPr>
        <w:tabs>
          <w:tab w:val="left" w:pos="284"/>
        </w:tabs>
        <w:spacing w:after="0" w:line="276" w:lineRule="auto"/>
        <w:contextualSpacing/>
        <w:jc w:val="both"/>
        <w:rPr>
          <w:rFonts w:ascii="Arial" w:hAnsi="Arial" w:eastAsia="Calibri" w:cs="Arial"/>
          <w:bCs/>
          <w:lang w:val="es-ES_tradnl"/>
        </w:rPr>
      </w:pPr>
      <w:r w:rsidRPr="00CA71FB">
        <w:rPr>
          <w:rFonts w:ascii="Arial" w:hAnsi="Arial" w:eastAsia="Calibri" w:cs="Arial"/>
          <w:bCs/>
          <w:lang w:val="es-ES_tradnl"/>
        </w:rPr>
        <w:t xml:space="preserve">Usted realiza la siguiente petición de consulta: </w:t>
      </w:r>
    </w:p>
    <w:p w:rsidR="005B7B3A" w:rsidP="009157E3" w:rsidRDefault="005B7B3A" w14:paraId="4E30A004" w14:textId="77777777">
      <w:pPr>
        <w:tabs>
          <w:tab w:val="left" w:pos="284"/>
        </w:tabs>
        <w:spacing w:after="0" w:line="276" w:lineRule="auto"/>
        <w:contextualSpacing/>
        <w:jc w:val="both"/>
        <w:rPr>
          <w:rFonts w:ascii="Arial" w:hAnsi="Arial" w:eastAsia="Calibri" w:cs="Arial"/>
          <w:bCs/>
          <w:lang w:val="es-ES_tradnl"/>
        </w:rPr>
      </w:pPr>
    </w:p>
    <w:p w:rsidRPr="00131E11" w:rsidR="00A613B3" w:rsidP="00131E11" w:rsidRDefault="009157E3" w14:paraId="5021AFAC" w14:textId="30066829">
      <w:pPr>
        <w:tabs>
          <w:tab w:val="left" w:pos="284"/>
        </w:tabs>
        <w:spacing w:after="0" w:line="240" w:lineRule="auto"/>
        <w:ind w:left="709" w:right="709"/>
        <w:contextualSpacing/>
        <w:jc w:val="both"/>
        <w:rPr>
          <w:rFonts w:ascii="Arial" w:hAnsi="Arial" w:eastAsia="Calibri" w:cs="Arial"/>
          <w:bCs/>
          <w:sz w:val="21"/>
          <w:szCs w:val="21"/>
          <w:lang w:val="es-ES_tradnl"/>
        </w:rPr>
      </w:pPr>
      <w:bookmarkStart w:name="_Hlk132965427" w:id="0"/>
      <w:r w:rsidRPr="00131E11">
        <w:rPr>
          <w:rFonts w:ascii="Arial" w:hAnsi="Arial" w:eastAsia="Calibri" w:cs="Arial"/>
          <w:bCs/>
          <w:sz w:val="21"/>
          <w:szCs w:val="21"/>
          <w:lang w:val="es-ES_tradnl"/>
        </w:rPr>
        <w:t>“</w:t>
      </w:r>
      <w:r w:rsidRPr="00131E11" w:rsidR="00E05BA1">
        <w:rPr>
          <w:rFonts w:ascii="Arial" w:hAnsi="Arial" w:eastAsia="Calibri" w:cs="Arial"/>
          <w:bCs/>
          <w:sz w:val="21"/>
          <w:szCs w:val="21"/>
          <w:lang w:val="es-ES_tradnl"/>
        </w:rPr>
        <w:t xml:space="preserve">Si una entidad fija </w:t>
      </w:r>
      <w:r w:rsidRPr="00131E11" w:rsidR="006D77CA">
        <w:rPr>
          <w:rFonts w:ascii="Arial" w:hAnsi="Arial" w:eastAsia="Calibri" w:cs="Arial"/>
          <w:bCs/>
          <w:sz w:val="21"/>
          <w:szCs w:val="21"/>
          <w:lang w:val="es-ES_tradnl"/>
        </w:rPr>
        <w:t>el valor de la remuneración de los contratistas que prestan servici</w:t>
      </w:r>
      <w:r w:rsidRPr="00131E11" w:rsidR="00450613">
        <w:rPr>
          <w:rFonts w:ascii="Arial" w:hAnsi="Arial" w:eastAsia="Calibri" w:cs="Arial"/>
          <w:bCs/>
          <w:sz w:val="21"/>
          <w:szCs w:val="21"/>
          <w:lang w:val="es-ES_tradnl"/>
        </w:rPr>
        <w:t>os profesionales de acuerdo con una tabl</w:t>
      </w:r>
      <w:r w:rsidR="005D70C7">
        <w:rPr>
          <w:rFonts w:ascii="Arial" w:hAnsi="Arial" w:eastAsia="Calibri" w:cs="Arial"/>
          <w:bCs/>
          <w:sz w:val="21"/>
          <w:szCs w:val="21"/>
          <w:lang w:val="es-ES_tradnl"/>
        </w:rPr>
        <w:t xml:space="preserve">a </w:t>
      </w:r>
      <w:r w:rsidRPr="00131E11" w:rsidR="00450613">
        <w:rPr>
          <w:rFonts w:ascii="Arial" w:hAnsi="Arial" w:eastAsia="Calibri" w:cs="Arial"/>
          <w:bCs/>
          <w:sz w:val="21"/>
          <w:szCs w:val="21"/>
          <w:lang w:val="es-ES_tradnl"/>
        </w:rPr>
        <w:t xml:space="preserve">interna de Honorarios, y el contratista es responsable de IVA, ¿el valor </w:t>
      </w:r>
      <w:r w:rsidRPr="00131E11" w:rsidR="00A503A6">
        <w:rPr>
          <w:rFonts w:ascii="Arial" w:hAnsi="Arial" w:eastAsia="Calibri" w:cs="Arial"/>
          <w:bCs/>
          <w:sz w:val="21"/>
          <w:szCs w:val="21"/>
          <w:lang w:val="es-ES_tradnl"/>
        </w:rPr>
        <w:t>fijado en la tabla de honorarios incluye el valor del IVA, o dicho impuesto debe sumarse al valor establecido de la tabla de honorarios?</w:t>
      </w:r>
    </w:p>
    <w:p w:rsidRPr="00131E11" w:rsidR="009157E3" w:rsidP="00131E11" w:rsidRDefault="00D42D87" w14:paraId="434B8EE7" w14:textId="515CBCB7">
      <w:pPr>
        <w:spacing w:before="120" w:after="120" w:line="240" w:lineRule="auto"/>
        <w:ind w:left="709" w:right="709"/>
        <w:jc w:val="both"/>
        <w:rPr>
          <w:rFonts w:ascii="Arial" w:hAnsi="Arial" w:eastAsia="Calibri" w:cs="Arial"/>
          <w:bCs/>
          <w:sz w:val="21"/>
          <w:szCs w:val="21"/>
          <w:lang w:val="es-ES_tradnl"/>
        </w:rPr>
      </w:pPr>
      <w:r w:rsidRPr="00131E11">
        <w:rPr>
          <w:rFonts w:ascii="Arial" w:hAnsi="Arial" w:eastAsia="Calibri" w:cs="Arial"/>
          <w:bCs/>
          <w:sz w:val="21"/>
          <w:szCs w:val="21"/>
          <w:lang w:val="es-ES_tradnl"/>
        </w:rPr>
        <w:t>Si la entidad pública decide incluir el IVA del valor establecido en la tabla de honorarios y en consecuencia es el contratista quien asume el IVA, y se desagre</w:t>
      </w:r>
      <w:r w:rsidRPr="00131E11" w:rsidR="00245D95">
        <w:rPr>
          <w:rFonts w:ascii="Arial" w:hAnsi="Arial" w:eastAsia="Calibri" w:cs="Arial"/>
          <w:bCs/>
          <w:sz w:val="21"/>
          <w:szCs w:val="21"/>
          <w:lang w:val="es-ES_tradnl"/>
        </w:rPr>
        <w:t>ga el valor de los honorarios y del IVA en la cláusula de pago del contrato estableciendo la cuantía de cada uno, y en ejecución del contrato el contratista deja de ser responsable de IVA, ¿ese valor del IVA pasa a ser de propiedad de la entidad pública y debe liberarse presupuestalmente? ¿debe disminuir</w:t>
      </w:r>
      <w:r w:rsidRPr="00131E11" w:rsidR="00BB24FC">
        <w:rPr>
          <w:rFonts w:ascii="Arial" w:hAnsi="Arial" w:eastAsia="Calibri" w:cs="Arial"/>
          <w:bCs/>
          <w:sz w:val="21"/>
          <w:szCs w:val="21"/>
          <w:lang w:val="es-ES_tradnl"/>
        </w:rPr>
        <w:t>se el valor del contrato? o por el contrario ¿ese valor debe pagarse al contratista como honorarios?</w:t>
      </w:r>
      <w:r w:rsidRPr="00131E11" w:rsidR="009157E3">
        <w:rPr>
          <w:rFonts w:ascii="Arial" w:hAnsi="Arial" w:eastAsia="Calibri" w:cs="Arial"/>
          <w:bCs/>
          <w:sz w:val="21"/>
          <w:szCs w:val="21"/>
          <w:lang w:val="es-ES_tradnl"/>
        </w:rPr>
        <w:t xml:space="preserve"> [</w:t>
      </w:r>
      <w:r w:rsidRPr="00131E11" w:rsidR="009157E3">
        <w:rPr>
          <w:rFonts w:ascii="Arial" w:hAnsi="Arial" w:eastAsia="Calibri" w:cs="Arial"/>
          <w:bCs/>
          <w:sz w:val="21"/>
          <w:szCs w:val="21"/>
          <w:lang w:val="es-MX"/>
        </w:rPr>
        <w:t>sic</w:t>
      </w:r>
      <w:r w:rsidRPr="00131E11" w:rsidR="009157E3">
        <w:rPr>
          <w:rFonts w:ascii="Arial" w:hAnsi="Arial" w:eastAsia="Calibri" w:cs="Arial"/>
          <w:bCs/>
          <w:sz w:val="21"/>
          <w:szCs w:val="21"/>
          <w:lang w:val="es-ES_tradnl"/>
        </w:rPr>
        <w:t>]”</w:t>
      </w:r>
    </w:p>
    <w:p w:rsidRPr="00CA71FB" w:rsidR="009157E3" w:rsidP="009157E3" w:rsidRDefault="009157E3" w14:paraId="44B61E17" w14:textId="77777777">
      <w:pPr>
        <w:spacing w:after="0" w:line="276" w:lineRule="auto"/>
        <w:jc w:val="both"/>
        <w:rPr>
          <w:rFonts w:ascii="Arial" w:hAnsi="Arial" w:eastAsia="Calibri" w:cs="Arial"/>
          <w:lang w:val="es-ES_tradnl"/>
        </w:rPr>
      </w:pPr>
    </w:p>
    <w:bookmarkEnd w:id="0"/>
    <w:p w:rsidRPr="00CA71FB" w:rsidR="009157E3" w:rsidP="009157E3" w:rsidRDefault="009157E3" w14:paraId="19AD40F5" w14:textId="77777777">
      <w:pPr>
        <w:tabs>
          <w:tab w:val="left" w:pos="426"/>
        </w:tabs>
        <w:spacing w:after="0" w:line="276" w:lineRule="auto"/>
        <w:jc w:val="both"/>
        <w:rPr>
          <w:rFonts w:ascii="Arial" w:hAnsi="Arial" w:eastAsia="Calibri" w:cs="Arial"/>
          <w:b/>
          <w:lang w:val="es-ES_tradnl"/>
        </w:rPr>
      </w:pPr>
      <w:r w:rsidRPr="00CA71FB">
        <w:rPr>
          <w:rFonts w:ascii="Arial" w:hAnsi="Arial" w:eastAsia="Calibri" w:cs="Arial"/>
          <w:b/>
          <w:lang w:val="es-ES_tradnl"/>
        </w:rPr>
        <w:t>2.</w:t>
      </w:r>
      <w:r w:rsidRPr="00CA71FB">
        <w:rPr>
          <w:rFonts w:ascii="Arial" w:hAnsi="Arial" w:eastAsia="Calibri" w:cs="Arial"/>
          <w:lang w:val="es-ES_tradnl"/>
        </w:rPr>
        <w:t xml:space="preserve"> </w:t>
      </w:r>
      <w:r w:rsidRPr="00CA71FB">
        <w:rPr>
          <w:rFonts w:ascii="Arial" w:hAnsi="Arial" w:eastAsia="Calibri" w:cs="Arial"/>
          <w:b/>
          <w:lang w:val="es-ES_tradnl"/>
        </w:rPr>
        <w:t>Consideraciones</w:t>
      </w:r>
    </w:p>
    <w:p w:rsidRPr="00CA71FB" w:rsidR="009157E3" w:rsidP="009157E3" w:rsidRDefault="009157E3" w14:paraId="26A1C05C" w14:textId="77777777">
      <w:pPr>
        <w:spacing w:after="0" w:line="276" w:lineRule="auto"/>
        <w:jc w:val="both"/>
        <w:rPr>
          <w:rFonts w:ascii="Arial" w:hAnsi="Arial" w:eastAsia="Calibri" w:cs="Arial"/>
          <w:color w:val="000000"/>
          <w:lang w:val="es-ES_tradnl"/>
        </w:rPr>
      </w:pPr>
    </w:p>
    <w:p w:rsidR="0021371F" w:rsidP="0021371F" w:rsidRDefault="009157E3" w14:paraId="398AC098" w14:textId="77777777">
      <w:pPr>
        <w:pStyle w:val="paragraph"/>
        <w:spacing w:before="0" w:beforeAutospacing="0" w:after="0" w:afterAutospacing="0"/>
        <w:jc w:val="both"/>
        <w:textAlignment w:val="baseline"/>
        <w:rPr>
          <w:rFonts w:ascii="Segoe UI" w:hAnsi="Segoe UI" w:cs="Segoe UI"/>
          <w:sz w:val="18"/>
          <w:szCs w:val="18"/>
        </w:rPr>
      </w:pPr>
      <w:r w:rsidRPr="00CA71FB">
        <w:rPr>
          <w:rFonts w:ascii="Arial" w:hAnsi="Arial" w:eastAsia="Calibri" w:cs="Arial"/>
          <w:bCs/>
          <w:lang w:val="es-MX"/>
        </w:rPr>
        <w:t xml:space="preserve">En ejercicio de las competencias establecidas en los artículos 3.5 y 11.8 del Decreto 4170 de </w:t>
      </w:r>
      <w:r w:rsidR="0021371F">
        <w:rPr>
          <w:rStyle w:val="normaltextrun"/>
          <w:rFonts w:ascii="Arial" w:hAnsi="Arial" w:cs="Arial"/>
          <w:sz w:val="22"/>
          <w:szCs w:val="22"/>
          <w:lang w:val="es-MX"/>
        </w:rPr>
        <w:t>En ejercicio de las competencias establecidas en los artículos 3, numeral 5° y 11, numeral 8° del Decreto 4170 de 2011, la Agencia Nacional de Contratación Pública – Colombia Compra Eficiente resuelve consultas sobre los asuntos de su competencia, esto es, sobre las temáticas de la contratación estatal relacionados en los artículos citados.</w:t>
      </w:r>
      <w:r w:rsidR="0021371F">
        <w:rPr>
          <w:rStyle w:val="normaltextrun"/>
          <w:rFonts w:ascii="Arial" w:hAnsi="Arial" w:cs="Arial"/>
          <w:sz w:val="22"/>
          <w:szCs w:val="22"/>
          <w:lang w:val="es-ES"/>
        </w:rPr>
        <w:t xml:space="preserve"> Es necesario tener en cuenta que 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0021371F">
        <w:rPr>
          <w:rStyle w:val="normaltextrun"/>
          <w:rFonts w:ascii="Arial" w:hAnsi="Arial" w:cs="Arial"/>
          <w:sz w:val="22"/>
          <w:szCs w:val="22"/>
          <w:lang w:val="es-MX"/>
        </w:rPr>
        <w:t xml:space="preserve"> de todos los partícipes de la contratación estatal.</w:t>
      </w:r>
      <w:r w:rsidR="0021371F">
        <w:rPr>
          <w:rStyle w:val="eop"/>
          <w:rFonts w:ascii="Arial" w:hAnsi="Arial" w:cs="Arial"/>
          <w:sz w:val="22"/>
          <w:szCs w:val="22"/>
        </w:rPr>
        <w:t> </w:t>
      </w:r>
    </w:p>
    <w:p w:rsidR="0021371F" w:rsidP="0021371F" w:rsidRDefault="0021371F" w14:paraId="1B0B622F" w14:textId="01F78A6A">
      <w:pPr>
        <w:pStyle w:val="paragraph"/>
        <w:spacing w:before="120" w:beforeAutospacing="0" w:after="0" w:afterAutospacing="0"/>
        <w:ind w:firstLine="703"/>
        <w:jc w:val="both"/>
        <w:textAlignment w:val="baseline"/>
        <w:rPr>
          <w:rFonts w:ascii="Segoe UI" w:hAnsi="Segoe UI" w:cs="Segoe UI"/>
          <w:sz w:val="18"/>
          <w:szCs w:val="18"/>
        </w:rPr>
      </w:pPr>
      <w:r>
        <w:rPr>
          <w:rStyle w:val="normaltextrun"/>
          <w:rFonts w:ascii="Arial" w:hAnsi="Arial" w:cs="Arial"/>
          <w:sz w:val="22"/>
          <w:szCs w:val="22"/>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Pr>
          <w:rStyle w:val="superscript"/>
          <w:rFonts w:ascii="Arial" w:hAnsi="Arial" w:cs="Arial"/>
          <w:sz w:val="17"/>
          <w:szCs w:val="17"/>
          <w:vertAlign w:val="superscript"/>
          <w:lang w:val="es-ES"/>
        </w:rPr>
        <w:t>1</w:t>
      </w:r>
      <w:r>
        <w:rPr>
          <w:rStyle w:val="normaltextrun"/>
          <w:rFonts w:ascii="Arial" w:hAnsi="Arial" w:cs="Arial"/>
          <w:sz w:val="22"/>
          <w:szCs w:val="22"/>
          <w:lang w:val="es-ES"/>
        </w:rPr>
        <w:t>. Esta competencia de interpretación de normas generales, por definición, no puede extenderse a la resolución de controversias, ni a brindar asesorías sobre casos puntuales.</w:t>
      </w:r>
      <w:r>
        <w:rPr>
          <w:rStyle w:val="eop"/>
          <w:rFonts w:ascii="Arial" w:hAnsi="Arial" w:cs="Arial"/>
          <w:sz w:val="22"/>
          <w:szCs w:val="22"/>
        </w:rPr>
        <w:t> </w:t>
      </w:r>
    </w:p>
    <w:p w:rsidR="0021371F" w:rsidP="0021371F" w:rsidRDefault="0021371F" w14:paraId="1EC26C2F" w14:textId="046486C0">
      <w:pPr>
        <w:pStyle w:val="paragraph"/>
        <w:spacing w:before="120" w:beforeAutospacing="0" w:after="0" w:afterAutospacing="0"/>
        <w:ind w:firstLine="703"/>
        <w:jc w:val="both"/>
        <w:textAlignment w:val="baseline"/>
        <w:rPr>
          <w:rFonts w:ascii="Segoe UI" w:hAnsi="Segoe UI" w:cs="Segoe UI"/>
          <w:sz w:val="18"/>
          <w:szCs w:val="18"/>
        </w:rPr>
      </w:pPr>
      <w:r>
        <w:rPr>
          <w:rStyle w:val="normaltextrun"/>
          <w:rFonts w:ascii="Arial" w:hAnsi="Arial" w:cs="Arial"/>
          <w:sz w:val="22"/>
          <w:szCs w:val="22"/>
          <w:lang w:val="es-MX"/>
        </w:rPr>
        <w:t xml:space="preserve">Sin perjuicio de lo anterior, </w:t>
      </w:r>
      <w:r>
        <w:rPr>
          <w:rStyle w:val="normaltextrun"/>
          <w:rFonts w:ascii="Arial" w:hAnsi="Arial" w:cs="Arial"/>
          <w:sz w:val="22"/>
          <w:szCs w:val="22"/>
          <w:lang w:val="es-ES"/>
        </w:rPr>
        <w:t xml:space="preserve">la Subdirección de Gestión Contractual –dentro de los límites de sus atribuciones, esto es, haciendo abstracción del caso particular expuesto por </w:t>
      </w:r>
      <w:r w:rsidR="00A362E6">
        <w:rPr>
          <w:rStyle w:val="normaltextrun"/>
          <w:rFonts w:ascii="Arial" w:hAnsi="Arial" w:cs="Arial"/>
          <w:sz w:val="22"/>
          <w:szCs w:val="22"/>
          <w:lang w:val="es-ES"/>
        </w:rPr>
        <w:t>el</w:t>
      </w:r>
      <w:r>
        <w:rPr>
          <w:rStyle w:val="normaltextrun"/>
          <w:rFonts w:ascii="Arial" w:hAnsi="Arial" w:cs="Arial"/>
          <w:sz w:val="22"/>
          <w:szCs w:val="22"/>
          <w:lang w:val="es-ES"/>
        </w:rPr>
        <w:t xml:space="preserve"> peticionari</w:t>
      </w:r>
      <w:r w:rsidR="009F386E">
        <w:rPr>
          <w:rStyle w:val="normaltextrun"/>
          <w:rFonts w:ascii="Arial" w:hAnsi="Arial" w:cs="Arial"/>
          <w:sz w:val="22"/>
          <w:szCs w:val="22"/>
          <w:lang w:val="es-ES"/>
        </w:rPr>
        <w:t>o</w:t>
      </w:r>
      <w:r>
        <w:rPr>
          <w:rStyle w:val="normaltextrun"/>
          <w:rFonts w:ascii="Arial" w:hAnsi="Arial" w:cs="Arial"/>
          <w:sz w:val="22"/>
          <w:szCs w:val="22"/>
          <w:lang w:val="es-ES"/>
        </w:rPr>
        <w:t>– resolverá la consulta conforme a las normas generales en materia de contratación estatal. Con este objetivo, se analizará</w:t>
      </w:r>
      <w:r w:rsidR="008F7F7A">
        <w:rPr>
          <w:rStyle w:val="normaltextrun"/>
          <w:rFonts w:ascii="Arial" w:hAnsi="Arial" w:cs="Arial"/>
          <w:sz w:val="22"/>
          <w:szCs w:val="22"/>
          <w:lang w:val="es-ES"/>
        </w:rPr>
        <w:t xml:space="preserve"> i) </w:t>
      </w:r>
      <w:r w:rsidR="00A34213">
        <w:rPr>
          <w:rStyle w:val="normaltextrun"/>
          <w:rFonts w:ascii="Arial" w:hAnsi="Arial" w:cs="Arial"/>
          <w:sz w:val="22"/>
          <w:szCs w:val="22"/>
          <w:lang w:val="es-ES"/>
        </w:rPr>
        <w:t>Características generales del contrato de prestación de servicios</w:t>
      </w:r>
      <w:r w:rsidR="0012569D">
        <w:rPr>
          <w:rStyle w:val="normaltextrun"/>
          <w:rFonts w:ascii="Arial" w:hAnsi="Arial" w:cs="Arial"/>
          <w:sz w:val="22"/>
          <w:szCs w:val="22"/>
          <w:lang w:val="es-ES"/>
        </w:rPr>
        <w:t xml:space="preserve"> y</w:t>
      </w:r>
      <w:r w:rsidR="00113A00">
        <w:rPr>
          <w:rStyle w:val="normaltextrun"/>
          <w:rFonts w:ascii="Arial" w:hAnsi="Arial" w:cs="Arial"/>
          <w:sz w:val="22"/>
          <w:szCs w:val="22"/>
          <w:lang w:val="es-ES"/>
        </w:rPr>
        <w:t xml:space="preserve"> </w:t>
      </w:r>
      <w:proofErr w:type="spellStart"/>
      <w:r w:rsidR="00113A00">
        <w:rPr>
          <w:rStyle w:val="normaltextrun"/>
          <w:rFonts w:ascii="Arial" w:hAnsi="Arial" w:cs="Arial"/>
          <w:sz w:val="22"/>
          <w:szCs w:val="22"/>
          <w:lang w:val="es-ES"/>
        </w:rPr>
        <w:t>ii</w:t>
      </w:r>
      <w:proofErr w:type="spellEnd"/>
      <w:r w:rsidR="00113A00">
        <w:rPr>
          <w:rStyle w:val="normaltextrun"/>
          <w:rFonts w:ascii="Arial" w:hAnsi="Arial" w:cs="Arial"/>
          <w:sz w:val="22"/>
          <w:szCs w:val="22"/>
          <w:lang w:val="es-ES"/>
        </w:rPr>
        <w:t>) la fijación de honorarios</w:t>
      </w:r>
      <w:r w:rsidR="008C7EC6">
        <w:rPr>
          <w:rStyle w:val="normaltextrun"/>
          <w:rFonts w:ascii="Arial" w:hAnsi="Arial" w:cs="Arial"/>
          <w:sz w:val="22"/>
          <w:szCs w:val="22"/>
          <w:lang w:val="es-ES"/>
        </w:rPr>
        <w:t xml:space="preserve"> en los contratos de prestación de servicios</w:t>
      </w:r>
      <w:r w:rsidR="000E7C14">
        <w:rPr>
          <w:rStyle w:val="normaltextrun"/>
          <w:rFonts w:ascii="Arial" w:hAnsi="Arial" w:cs="Arial"/>
          <w:sz w:val="22"/>
          <w:szCs w:val="22"/>
          <w:lang w:val="es-ES"/>
        </w:rPr>
        <w:t>.</w:t>
      </w:r>
    </w:p>
    <w:p w:rsidRPr="002421CC" w:rsidR="009157E3" w:rsidP="0012569D" w:rsidRDefault="000A76CC" w14:paraId="09776DA3" w14:textId="5841B608">
      <w:pPr>
        <w:spacing w:before="120" w:after="0" w:line="276" w:lineRule="auto"/>
        <w:ind w:firstLine="703"/>
        <w:jc w:val="both"/>
        <w:rPr>
          <w:rFonts w:ascii="Arial" w:hAnsi="Arial" w:eastAsia="Calibri" w:cs="Arial"/>
          <w:bCs/>
          <w:lang w:val="es-MX"/>
        </w:rPr>
      </w:pPr>
      <w:r w:rsidRPr="000A76CC">
        <w:rPr>
          <w:rFonts w:ascii="Arial" w:hAnsi="Arial" w:eastAsia="Calibri" w:cs="Arial"/>
          <w:bCs/>
          <w:lang w:val="es-MX"/>
        </w:rPr>
        <w:t>La Agencia Nacional de Contratación Pública – Colombia Compra Eficiente ha analizado los contratos de prestación de servicios, así como los requisitos para su celebración, entre otros, en los conceptos con radicado: 4201913000006452 del 07 de octubre de 2019, 4201912000006434 del 30 de octubre de 2019,   4201913000006444 del 01 de noviembre de 2019, 4201913000006331 del 07 de noviembre de 2019, 4201912000006692 del 12 de noviembre de 2019, 4201912000007378 del 11 de diciembre de 2019, 4201912000007781 del 26 de diciembre de 2019, C−047 del 19 de febrero de 2020, C−105 del 12 de marzo de 2020, C−208 del 24 de marzo de 2020, C−005 del 11 de mayo de 2020, C−006 del 11 de mayo de 2020,  C−018 del 11 de mayo de 2020, C−138 del 11 de mayo de 2020,  C−053 del 12 de mayo de 2020, C−175 del 12 de mayo de 2020, C−320 del 12 de mayo de 2020, C−255 del 12 de mayo de 2020, C−282 del 12 de mayo de 2020, C−238 del 18 de mayo de 2020, C−260 del 18 de mayo de 2020, C−288 del 21 de mayo de 2020, C−293 del 12 de mayo de 2020, C−313 del 21 de mayo de 2020, C−345 del 21 de mayo de 2020, C−359 del 04 de junio de 2020, C−379 del 30 de junio de 2020, C−414 del 30 de junio de 2020, C-661 del 17 de noviembre de 2020 C−685 del 18 de diciembre de 2020, C- 004 del 12 de febrero de 2021, C−106 del 7 de abril de 2021, C-181 del  07 de abril de 2022, C-214 del 22 de abril de 2022 y C-491 de 01 de agosto de 2022</w:t>
      </w:r>
      <w:r w:rsidRPr="00CA71FB" w:rsidR="009157E3">
        <w:rPr>
          <w:rFonts w:ascii="Arial" w:hAnsi="Arial" w:eastAsia="Calibri" w:cs="Arial"/>
          <w:lang w:val="es-ES_tradnl" w:eastAsia="es-MX"/>
        </w:rPr>
        <w:t xml:space="preserve">, </w:t>
      </w:r>
      <w:r w:rsidRPr="00CA71FB" w:rsidR="009157E3">
        <w:rPr>
          <w:rFonts w:ascii="Arial" w:hAnsi="Arial" w:eastAsia="Calibri" w:cs="Arial"/>
          <w:color w:val="000000"/>
          <w:lang w:val="es-MX" w:eastAsia="es-MX"/>
        </w:rPr>
        <w:t>entre otros</w:t>
      </w:r>
      <w:r w:rsidRPr="00CA71FB" w:rsidR="009157E3">
        <w:rPr>
          <w:rFonts w:ascii="Arial" w:hAnsi="Arial" w:eastAsia="Times New Roman" w:cs="Arial"/>
          <w:szCs w:val="24"/>
          <w:lang w:val="es-ES_tradnl" w:eastAsia="es-ES_tradnl"/>
        </w:rPr>
        <w:t xml:space="preserve">. </w:t>
      </w:r>
      <w:r w:rsidRPr="00CA71FB" w:rsidR="009157E3">
        <w:rPr>
          <w:rFonts w:ascii="Arial" w:hAnsi="Arial" w:eastAsia="Calibri" w:cs="Arial"/>
          <w:lang w:val="es-ES_tradnl" w:eastAsia="es-ES_tradnl"/>
        </w:rPr>
        <w:t>Algunas de las consideraciones de estos conceptos se reiteran y se complementan en lo pertinente, teniendo en cuenta lo consultado.</w:t>
      </w:r>
    </w:p>
    <w:p w:rsidRPr="00CA71FB" w:rsidR="009157E3" w:rsidP="0012569D" w:rsidRDefault="009157E3" w14:paraId="45B5AB3B" w14:textId="77777777">
      <w:pPr>
        <w:spacing w:after="0" w:line="276" w:lineRule="auto"/>
        <w:ind w:firstLine="709"/>
        <w:jc w:val="both"/>
        <w:rPr>
          <w:rFonts w:ascii="Arial" w:hAnsi="Arial" w:eastAsia="Calibri" w:cs="Arial"/>
          <w:bCs/>
          <w:lang w:val="es-MX"/>
        </w:rPr>
      </w:pPr>
    </w:p>
    <w:p w:rsidR="009157E3" w:rsidP="002421CC" w:rsidRDefault="009157E3" w14:paraId="01F0B54F" w14:textId="70E71A00">
      <w:pPr>
        <w:spacing w:after="0" w:line="276" w:lineRule="auto"/>
        <w:contextualSpacing/>
        <w:jc w:val="both"/>
        <w:rPr>
          <w:rFonts w:ascii="Arial" w:hAnsi="Arial" w:eastAsia="Calibri" w:cs="Arial"/>
          <w:b/>
          <w:lang w:val="es-MX"/>
        </w:rPr>
      </w:pPr>
      <w:r w:rsidRPr="00CA71FB">
        <w:rPr>
          <w:rFonts w:ascii="Arial" w:hAnsi="Arial" w:eastAsia="Calibri" w:cs="Arial"/>
          <w:b/>
          <w:lang w:val="es-MX"/>
        </w:rPr>
        <w:t xml:space="preserve">2.1. </w:t>
      </w:r>
      <w:r w:rsidR="00A34213">
        <w:rPr>
          <w:rFonts w:ascii="Arial" w:hAnsi="Arial" w:eastAsia="Calibri" w:cs="Arial"/>
          <w:b/>
          <w:lang w:val="es-MX"/>
        </w:rPr>
        <w:t>Características generales</w:t>
      </w:r>
      <w:r w:rsidR="00C80D53">
        <w:rPr>
          <w:rFonts w:ascii="Arial" w:hAnsi="Arial" w:eastAsia="Calibri" w:cs="Arial"/>
          <w:b/>
          <w:lang w:val="es-MX"/>
        </w:rPr>
        <w:t xml:space="preserve"> del</w:t>
      </w:r>
      <w:r w:rsidR="006C5C2E">
        <w:rPr>
          <w:rFonts w:ascii="Arial" w:hAnsi="Arial" w:eastAsia="Calibri" w:cs="Arial"/>
          <w:b/>
          <w:lang w:val="es-MX"/>
        </w:rPr>
        <w:t xml:space="preserve"> contrato de prestación de servicios. Reiteración de línea</w:t>
      </w:r>
    </w:p>
    <w:p w:rsidR="002B0231" w:rsidP="002421CC" w:rsidRDefault="002B0231" w14:paraId="655801A0" w14:textId="77777777">
      <w:pPr>
        <w:spacing w:after="0" w:line="276" w:lineRule="auto"/>
        <w:contextualSpacing/>
        <w:jc w:val="both"/>
        <w:rPr>
          <w:rFonts w:ascii="Arial" w:hAnsi="Arial" w:eastAsia="Calibri" w:cs="Arial"/>
          <w:b/>
          <w:lang w:val="es-MX"/>
        </w:rPr>
      </w:pPr>
      <w:bookmarkStart w:name="_Hlk133214950" w:id="1"/>
    </w:p>
    <w:p w:rsidRPr="003B420E" w:rsidR="003B420E" w:rsidP="00802394" w:rsidRDefault="009F386E" w14:paraId="795B5A7F" w14:textId="79412327">
      <w:pPr>
        <w:tabs>
          <w:tab w:val="left" w:pos="0"/>
        </w:tabs>
        <w:spacing w:after="120" w:line="276" w:lineRule="auto"/>
        <w:jc w:val="both"/>
        <w:rPr>
          <w:rFonts w:ascii="Arial" w:hAnsi="Arial" w:eastAsia="Calibri" w:cs="Arial"/>
          <w:color w:val="000000"/>
          <w:lang w:val="es-ES_tradnl"/>
        </w:rPr>
      </w:pPr>
      <w:r>
        <w:rPr>
          <w:rFonts w:ascii="Arial" w:hAnsi="Arial" w:eastAsia="Calibri" w:cs="Arial"/>
          <w:bCs/>
          <w:lang w:val="es-MX"/>
        </w:rPr>
        <w:t xml:space="preserve">El contrato de prestación de servicios es un contrato estatal </w:t>
      </w:r>
      <w:r w:rsidR="000E6B82">
        <w:rPr>
          <w:rFonts w:ascii="Arial" w:hAnsi="Arial" w:eastAsia="Calibri" w:cs="Arial"/>
          <w:bCs/>
          <w:lang w:val="es-MX"/>
        </w:rPr>
        <w:t>típico regulado en el</w:t>
      </w:r>
      <w:r w:rsidRPr="008514FE" w:rsidR="008514FE">
        <w:rPr>
          <w:rFonts w:ascii="Arial" w:hAnsi="Arial" w:eastAsia="Calibri" w:cs="Arial"/>
          <w:bCs/>
        </w:rPr>
        <w:t xml:space="preserve">el numeral 3 del artículo 32 </w:t>
      </w:r>
      <w:r w:rsidRPr="003B420E" w:rsidR="003B420E">
        <w:rPr>
          <w:rFonts w:ascii="Arial" w:hAnsi="Arial" w:eastAsia="Calibri" w:cs="Arial"/>
          <w:color w:val="000000"/>
        </w:rPr>
        <w:t>de la Ley 80 de 1993. Es definido como aquel que “celebren las entidades estatales para desarrollar actividades relacionadas con la administración o funcionamiento de la entidad.</w:t>
      </w:r>
      <w:bookmarkEnd w:id="1"/>
      <w:r w:rsidRPr="003B420E" w:rsidR="003B420E">
        <w:rPr>
          <w:rFonts w:ascii="Arial" w:hAnsi="Arial" w:eastAsia="Calibri" w:cs="Arial"/>
          <w:color w:val="000000"/>
        </w:rPr>
        <w:t xml:space="preserve"> Estos contratos sólo podrán celebrarse con personas naturales cuando dichas actividades no puedan realizarse con personal de planta o requieran conocimientos especializados. En ningún caso estos contratos generan relación laboral ni prestaciones sociales y se celebrarán por el término estrictamente indispensable".</w:t>
      </w:r>
      <w:r w:rsidRPr="003B420E" w:rsidR="003B420E">
        <w:rPr>
          <w:rFonts w:ascii="Arial" w:hAnsi="Arial" w:eastAsia="Calibri" w:cs="Arial"/>
          <w:color w:val="000000"/>
          <w:lang w:val="es-ES_tradnl"/>
        </w:rPr>
        <w:t xml:space="preserve"> </w:t>
      </w:r>
    </w:p>
    <w:p w:rsidRPr="003B420E" w:rsidR="003B420E" w:rsidP="00802394" w:rsidRDefault="003B420E" w14:paraId="40ABA98E" w14:textId="77777777">
      <w:pPr>
        <w:tabs>
          <w:tab w:val="left" w:pos="0"/>
        </w:tabs>
        <w:spacing w:after="0" w:line="276" w:lineRule="auto"/>
        <w:jc w:val="both"/>
        <w:rPr>
          <w:rFonts w:ascii="Arial" w:hAnsi="Arial" w:eastAsia="Calibri" w:cs="Arial"/>
          <w:color w:val="000000"/>
          <w:lang w:val="es-ES_tradnl"/>
        </w:rPr>
      </w:pPr>
      <w:r w:rsidRPr="003B420E">
        <w:rPr>
          <w:rFonts w:ascii="Arial" w:hAnsi="Arial" w:eastAsia="Calibri" w:cs="Arial"/>
          <w:color w:val="000000"/>
          <w:lang w:val="es-ES_tradnl"/>
        </w:rPr>
        <w:tab/>
      </w:r>
      <w:r w:rsidRPr="003B420E">
        <w:rPr>
          <w:rFonts w:ascii="Arial" w:hAnsi="Arial" w:eastAsia="Calibri" w:cs="Arial"/>
          <w:color w:val="000000"/>
          <w:lang w:val="es-ES_tradnl"/>
        </w:rPr>
        <w:t>La celebración de dicho contrato debe efectuarse a través de la modalidad de contratación directa. Así lo dispone el artículo 2, numeral 4º, literal h), de la Ley 1150 de 2007:</w:t>
      </w:r>
    </w:p>
    <w:p w:rsidRPr="003B420E" w:rsidR="003B420E" w:rsidP="00802394" w:rsidRDefault="003B420E" w14:paraId="14948A53" w14:textId="77777777">
      <w:pPr>
        <w:tabs>
          <w:tab w:val="left" w:pos="0"/>
        </w:tabs>
        <w:spacing w:after="0" w:line="276" w:lineRule="auto"/>
        <w:jc w:val="both"/>
        <w:rPr>
          <w:rFonts w:ascii="Arial" w:hAnsi="Arial" w:eastAsia="Calibri" w:cs="Arial"/>
          <w:color w:val="000000"/>
          <w:lang w:val="es-ES_tradnl"/>
        </w:rPr>
      </w:pPr>
    </w:p>
    <w:p w:rsidRPr="003B420E" w:rsidR="003B420E" w:rsidP="00802394" w:rsidRDefault="003B420E" w14:paraId="218B4E8C" w14:textId="77777777">
      <w:pPr>
        <w:spacing w:after="0" w:line="276" w:lineRule="auto"/>
        <w:ind w:left="709" w:right="709"/>
        <w:jc w:val="both"/>
        <w:rPr>
          <w:rFonts w:ascii="Arial" w:hAnsi="Arial" w:eastAsia="Calibri" w:cs="Arial"/>
          <w:color w:val="000000"/>
          <w:sz w:val="21"/>
          <w:szCs w:val="21"/>
        </w:rPr>
      </w:pPr>
      <w:r w:rsidRPr="003B420E">
        <w:rPr>
          <w:rFonts w:ascii="Arial" w:hAnsi="Arial" w:eastAsia="Calibri" w:cs="Arial"/>
          <w:color w:val="000000"/>
          <w:sz w:val="21"/>
          <w:szCs w:val="21"/>
        </w:rPr>
        <w:t>“La escogencia del contratista se efectuará con arreglo a las modalidades de selección de licitación pública, selección abreviada, concurso de méritos y contratación directa, con base en las siguientes reglas:</w:t>
      </w:r>
    </w:p>
    <w:p w:rsidRPr="003B420E" w:rsidR="003B420E" w:rsidP="00802394" w:rsidRDefault="003B420E" w14:paraId="785113C4" w14:textId="77777777">
      <w:pPr>
        <w:spacing w:after="0" w:line="276" w:lineRule="auto"/>
        <w:ind w:left="709" w:right="709"/>
        <w:jc w:val="both"/>
        <w:rPr>
          <w:rFonts w:ascii="Arial" w:hAnsi="Arial" w:eastAsia="Calibri" w:cs="Arial"/>
          <w:color w:val="000000"/>
          <w:sz w:val="21"/>
          <w:szCs w:val="21"/>
        </w:rPr>
      </w:pPr>
    </w:p>
    <w:p w:rsidRPr="003B420E" w:rsidR="003B420E" w:rsidP="00802394" w:rsidRDefault="003B420E" w14:paraId="59704E46" w14:textId="77777777">
      <w:pPr>
        <w:spacing w:after="0" w:line="276" w:lineRule="auto"/>
        <w:ind w:left="709" w:right="709"/>
        <w:jc w:val="both"/>
        <w:rPr>
          <w:rFonts w:ascii="Arial" w:hAnsi="Arial" w:eastAsia="Calibri" w:cs="Arial"/>
          <w:color w:val="000000"/>
          <w:sz w:val="21"/>
          <w:szCs w:val="21"/>
        </w:rPr>
      </w:pPr>
      <w:r w:rsidRPr="003B420E">
        <w:rPr>
          <w:rFonts w:ascii="Arial" w:hAnsi="Arial" w:eastAsia="Calibri" w:cs="Arial"/>
          <w:color w:val="000000"/>
          <w:sz w:val="21"/>
          <w:szCs w:val="21"/>
        </w:rPr>
        <w:t>[…]</w:t>
      </w:r>
    </w:p>
    <w:p w:rsidRPr="003B420E" w:rsidR="003B420E" w:rsidP="00802394" w:rsidRDefault="003B420E" w14:paraId="4477A7E0" w14:textId="77777777">
      <w:pPr>
        <w:spacing w:after="0" w:line="276" w:lineRule="auto"/>
        <w:ind w:left="709" w:right="709"/>
        <w:jc w:val="both"/>
        <w:rPr>
          <w:rFonts w:ascii="Arial" w:hAnsi="Arial" w:eastAsia="Calibri" w:cs="Arial"/>
          <w:color w:val="000000"/>
          <w:sz w:val="21"/>
          <w:szCs w:val="21"/>
        </w:rPr>
      </w:pPr>
    </w:p>
    <w:p w:rsidRPr="003B420E" w:rsidR="003B420E" w:rsidP="00802394" w:rsidRDefault="003B420E" w14:paraId="3D700B0D" w14:textId="77777777">
      <w:pPr>
        <w:spacing w:after="0" w:line="276" w:lineRule="auto"/>
        <w:ind w:left="709" w:right="709"/>
        <w:jc w:val="both"/>
        <w:rPr>
          <w:rFonts w:ascii="Arial" w:hAnsi="Arial" w:eastAsia="Calibri" w:cs="Arial"/>
          <w:color w:val="000000"/>
          <w:sz w:val="21"/>
          <w:szCs w:val="21"/>
        </w:rPr>
      </w:pPr>
      <w:r w:rsidRPr="003B420E">
        <w:rPr>
          <w:rFonts w:ascii="Arial" w:hAnsi="Arial" w:eastAsia="Calibri" w:cs="Arial"/>
          <w:color w:val="000000"/>
          <w:sz w:val="21"/>
          <w:szCs w:val="21"/>
        </w:rPr>
        <w:t>4. Contratación directa. La modalidad de selección de contratación directa solamente procederá en los siguientes casos:</w:t>
      </w:r>
    </w:p>
    <w:p w:rsidRPr="003B420E" w:rsidR="003B420E" w:rsidP="00802394" w:rsidRDefault="003B420E" w14:paraId="0E64C0ED" w14:textId="77777777">
      <w:pPr>
        <w:spacing w:after="0" w:line="276" w:lineRule="auto"/>
        <w:ind w:left="709" w:right="709"/>
        <w:jc w:val="both"/>
        <w:rPr>
          <w:rFonts w:ascii="Arial" w:hAnsi="Arial" w:eastAsia="Calibri" w:cs="Arial"/>
          <w:color w:val="000000"/>
          <w:sz w:val="21"/>
          <w:szCs w:val="21"/>
        </w:rPr>
      </w:pPr>
    </w:p>
    <w:p w:rsidRPr="003B420E" w:rsidR="003B420E" w:rsidP="00802394" w:rsidRDefault="003B420E" w14:paraId="4A49F759" w14:textId="77777777">
      <w:pPr>
        <w:spacing w:after="0" w:line="276" w:lineRule="auto"/>
        <w:ind w:left="709" w:right="709"/>
        <w:jc w:val="both"/>
        <w:rPr>
          <w:rFonts w:ascii="Arial" w:hAnsi="Arial" w:eastAsia="Calibri" w:cs="Arial"/>
          <w:color w:val="000000"/>
          <w:sz w:val="21"/>
          <w:szCs w:val="21"/>
        </w:rPr>
      </w:pPr>
      <w:r w:rsidRPr="003B420E">
        <w:rPr>
          <w:rFonts w:ascii="Arial" w:hAnsi="Arial" w:eastAsia="Calibri" w:cs="Arial"/>
          <w:color w:val="000000"/>
          <w:sz w:val="21"/>
          <w:szCs w:val="21"/>
        </w:rPr>
        <w:t>[…]</w:t>
      </w:r>
    </w:p>
    <w:p w:rsidRPr="003B420E" w:rsidR="003B420E" w:rsidP="00802394" w:rsidRDefault="003B420E" w14:paraId="12A2F477" w14:textId="77777777">
      <w:pPr>
        <w:spacing w:after="0" w:line="276" w:lineRule="auto"/>
        <w:ind w:left="709" w:right="709"/>
        <w:jc w:val="both"/>
        <w:rPr>
          <w:rFonts w:ascii="Arial" w:hAnsi="Arial" w:eastAsia="Calibri" w:cs="Arial"/>
          <w:color w:val="000000"/>
          <w:sz w:val="21"/>
          <w:szCs w:val="21"/>
        </w:rPr>
      </w:pPr>
    </w:p>
    <w:p w:rsidRPr="003B420E" w:rsidR="003B420E" w:rsidP="00802394" w:rsidRDefault="003B420E" w14:paraId="1089389F" w14:textId="77777777">
      <w:pPr>
        <w:spacing w:after="0" w:line="276" w:lineRule="auto"/>
        <w:ind w:left="709" w:right="709"/>
        <w:jc w:val="both"/>
        <w:rPr>
          <w:rFonts w:ascii="Arial" w:hAnsi="Arial" w:eastAsia="Calibri" w:cs="Arial"/>
          <w:color w:val="000000"/>
          <w:sz w:val="21"/>
          <w:szCs w:val="21"/>
        </w:rPr>
      </w:pPr>
      <w:r w:rsidRPr="003B420E">
        <w:rPr>
          <w:rFonts w:ascii="Arial" w:hAnsi="Arial" w:eastAsia="Calibri" w:cs="Arial"/>
          <w:color w:val="000000"/>
          <w:sz w:val="21"/>
          <w:szCs w:val="21"/>
        </w:rPr>
        <w:t>h) Para la prestación de servicios profesionales y de apoyo a la gestión, o para la ejecución de trabajos artísticos que sólo puedan encomendarse a determinadas personas naturales”.</w:t>
      </w:r>
    </w:p>
    <w:p w:rsidRPr="003B420E" w:rsidR="003B420E" w:rsidP="00802394" w:rsidRDefault="003B420E" w14:paraId="7B4DF8DC" w14:textId="77777777">
      <w:pPr>
        <w:spacing w:after="0" w:line="276" w:lineRule="auto"/>
        <w:ind w:left="709" w:right="709"/>
        <w:jc w:val="both"/>
        <w:rPr>
          <w:rFonts w:ascii="Arial" w:hAnsi="Arial" w:eastAsia="Calibri" w:cs="Arial"/>
          <w:color w:val="000000"/>
        </w:rPr>
      </w:pPr>
    </w:p>
    <w:p w:rsidRPr="003B420E" w:rsidR="003B420E" w:rsidP="00802394" w:rsidRDefault="003B420E" w14:paraId="79510C99" w14:textId="77777777">
      <w:pPr>
        <w:tabs>
          <w:tab w:val="left" w:pos="0"/>
        </w:tabs>
        <w:spacing w:after="120" w:line="276" w:lineRule="auto"/>
        <w:jc w:val="both"/>
        <w:rPr>
          <w:rFonts w:ascii="Arial" w:hAnsi="Arial" w:eastAsia="Calibri" w:cs="Arial"/>
          <w:noProof/>
          <w:lang w:val="es-ES_tradnl"/>
        </w:rPr>
      </w:pPr>
      <w:r w:rsidRPr="003B420E">
        <w:rPr>
          <w:rFonts w:ascii="Arial" w:hAnsi="Arial" w:eastAsia="Calibri" w:cs="Arial"/>
          <w:noProof/>
          <w:lang w:val="es-ES_tradnl"/>
        </w:rPr>
        <w:tab/>
      </w:r>
      <w:r w:rsidRPr="003B420E">
        <w:rPr>
          <w:rFonts w:ascii="Arial" w:hAnsi="Arial" w:eastAsia="Calibri" w:cs="Arial"/>
          <w:color w:val="000000"/>
          <w:lang w:val="es-ES_tradnl"/>
        </w:rPr>
        <w:t>A partir de las disposiciones normativas citadas y de los pronunciamientos judiciales más destacados sobre el tema, es posible señalar las siguientes características del contrato de prestación de servicios</w:t>
      </w:r>
      <w:r w:rsidRPr="003B420E">
        <w:rPr>
          <w:rFonts w:ascii="Arial" w:hAnsi="Arial" w:eastAsia="Calibri" w:cs="Arial"/>
          <w:noProof/>
          <w:lang w:val="es-ES_tradnl"/>
        </w:rPr>
        <w:t>:</w:t>
      </w:r>
    </w:p>
    <w:p w:rsidRPr="003B420E" w:rsidR="003B420E" w:rsidP="00802394" w:rsidRDefault="003B420E" w14:paraId="355D5360" w14:textId="77777777">
      <w:pPr>
        <w:spacing w:after="120" w:line="276" w:lineRule="auto"/>
        <w:ind w:firstLine="709"/>
        <w:jc w:val="both"/>
        <w:rPr>
          <w:rFonts w:ascii="Arial" w:hAnsi="Arial" w:eastAsia="Calibri" w:cs="Arial"/>
          <w:noProof/>
          <w:lang w:val="es-ES_tradnl"/>
        </w:rPr>
      </w:pPr>
      <w:r w:rsidRPr="003B420E">
        <w:rPr>
          <w:rFonts w:ascii="Arial" w:hAnsi="Arial" w:eastAsia="Calibri" w:cs="Arial"/>
          <w:noProof/>
          <w:lang w:val="es-ES_tradnl"/>
        </w:rPr>
        <w:t>i) Solo puede celebrarse para realizar “actividades relacionadas con la administración o funcionamiento de la entidad”, es decir, que hagan parte de su giro ordinario o quehacer cotidiano.</w:t>
      </w:r>
    </w:p>
    <w:p w:rsidRPr="003B420E" w:rsidR="003B420E" w:rsidP="00802394" w:rsidRDefault="003B420E" w14:paraId="58546536" w14:textId="77777777">
      <w:pPr>
        <w:spacing w:after="120" w:line="276" w:lineRule="auto"/>
        <w:ind w:firstLine="709"/>
        <w:jc w:val="both"/>
        <w:rPr>
          <w:rFonts w:ascii="Arial" w:hAnsi="Arial" w:eastAsia="Calibri" w:cs="Arial"/>
          <w:noProof/>
          <w:lang w:val="es-ES_tradnl"/>
        </w:rPr>
      </w:pPr>
      <w:r w:rsidRPr="003B420E">
        <w:rPr>
          <w:rFonts w:ascii="Arial" w:hAnsi="Arial" w:eastAsia="Calibri" w:cs="Arial"/>
          <w:noProof/>
          <w:lang w:val="es-ES_tradnl"/>
        </w:rPr>
        <w:t xml:space="preserve">ii) Admite que se suscriba tanto con personas naturales como con personas jurídicas. Sin embargo, cuando se celebre con personas naturales, la Entidad Estatal debe justificar, en los estudios previos, que las actividades “no puedan realizarse con personal de planta o requieran conocimientos especializados”. Esto sucede en varios eventos, por ejemplo, cuando no exista personal de planta para ejecutar las labores; o existiendo, está sobrecargado de trabajo, necesitando apoyo externo; o habiendo personal de planta, carece de la experticia o conocimiento </w:t>
      </w:r>
      <w:r w:rsidRPr="003B420E">
        <w:rPr>
          <w:rFonts w:ascii="Arial" w:hAnsi="Arial" w:eastAsia="Calibri" w:cs="Arial"/>
          <w:noProof/>
          <w:lang w:val="es-ES_tradnl"/>
        </w:rPr>
        <w:t>especializado, razón por la cual es necesario contratar los servicios de una persona natural que tenga el conocimiento y la experiencia en el tema.</w:t>
      </w:r>
    </w:p>
    <w:p w:rsidRPr="003B420E" w:rsidR="003B420E" w:rsidP="00802394" w:rsidRDefault="003B420E" w14:paraId="38BBB291" w14:textId="77777777">
      <w:pPr>
        <w:spacing w:after="120" w:line="276" w:lineRule="auto"/>
        <w:ind w:firstLine="709"/>
        <w:jc w:val="both"/>
        <w:rPr>
          <w:rFonts w:ascii="Arial" w:hAnsi="Arial" w:eastAsia="Calibri" w:cs="Arial"/>
          <w:noProof/>
          <w:lang w:val="es-ES_tradnl"/>
        </w:rPr>
      </w:pPr>
      <w:r w:rsidRPr="003B420E">
        <w:rPr>
          <w:rFonts w:ascii="Arial" w:hAnsi="Arial" w:eastAsia="Calibri" w:cs="Arial"/>
          <w:noProof/>
          <w:lang w:val="es-ES_tradnl"/>
        </w:rPr>
        <w:t xml:space="preserve">iii) Si bien se celebran para obtener la prestación personal de un servicio, se diferencian del contrato de trabajo en que quien celebra el contrato de prestación de servicios debe mantener autonomía e independencia en la ejecución de la labor, lo que significa que no debe existir </w:t>
      </w:r>
      <w:r w:rsidRPr="003B420E">
        <w:rPr>
          <w:rFonts w:ascii="Arial" w:hAnsi="Arial" w:eastAsia="Calibri" w:cs="Arial"/>
          <w:i/>
          <w:noProof/>
          <w:lang w:val="es-ES_tradnl"/>
        </w:rPr>
        <w:t xml:space="preserve">subordinación </w:t>
      </w:r>
      <w:r w:rsidRPr="003B420E">
        <w:rPr>
          <w:rFonts w:ascii="Arial" w:hAnsi="Arial" w:eastAsia="Calibri" w:cs="Arial"/>
          <w:iCs/>
          <w:noProof/>
          <w:lang w:val="es-ES_tradnl"/>
        </w:rPr>
        <w:t>ni</w:t>
      </w:r>
      <w:r w:rsidRPr="003B420E">
        <w:rPr>
          <w:rFonts w:ascii="Arial" w:hAnsi="Arial" w:eastAsia="Calibri" w:cs="Arial"/>
          <w:i/>
          <w:noProof/>
          <w:lang w:val="es-ES_tradnl"/>
        </w:rPr>
        <w:t xml:space="preserve"> dependencia</w:t>
      </w:r>
      <w:r w:rsidRPr="003B420E">
        <w:rPr>
          <w:rFonts w:ascii="Arial" w:hAnsi="Arial" w:eastAsia="Calibri" w:cs="Arial"/>
          <w:iCs/>
          <w:noProof/>
          <w:lang w:val="es-ES_tradnl"/>
        </w:rPr>
        <w:t>,</w:t>
      </w:r>
      <w:r w:rsidRPr="003B420E">
        <w:rPr>
          <w:rFonts w:ascii="Arial" w:hAnsi="Arial" w:eastAsia="Calibri" w:cs="Arial"/>
          <w:noProof/>
          <w:lang w:val="es-ES_tradnl"/>
        </w:rPr>
        <w:t xml:space="preserve"> que es uno de los elementos constitutivos del vínculo laboral</w:t>
      </w:r>
      <w:r w:rsidRPr="003B420E">
        <w:rPr>
          <w:rFonts w:ascii="Arial" w:hAnsi="Arial" w:eastAsia="Calibri" w:cs="Arial"/>
          <w:noProof/>
          <w:vertAlign w:val="superscript"/>
          <w:lang w:val="es-ES_tradnl"/>
        </w:rPr>
        <w:footnoteReference w:id="1"/>
      </w:r>
      <w:r w:rsidRPr="003B420E">
        <w:rPr>
          <w:rFonts w:ascii="Arial" w:hAnsi="Arial" w:eastAsia="Calibri" w:cs="Arial"/>
          <w:noProof/>
          <w:lang w:val="es-ES_tradnl"/>
        </w:rPr>
        <w:t xml:space="preserve">. Por eso, el artículo 32, numeral 3º, de la Ley 80 de 1993 establece que “En ningún caso estos contratos generan relación laboral ni prestaciones sociales”. Este inciso, más que un enunciado que aluda al ”ser”, se refiere al “deber ser”, pues debe interpretarse en el sentido de que los contratos de prestación de servicios profesionales </w:t>
      </w:r>
      <w:r w:rsidRPr="003B420E">
        <w:rPr>
          <w:rFonts w:ascii="Arial" w:hAnsi="Arial" w:eastAsia="Calibri" w:cs="Arial"/>
          <w:i/>
          <w:noProof/>
          <w:lang w:val="es-ES_tradnl"/>
        </w:rPr>
        <w:t>no pueden</w:t>
      </w:r>
      <w:r w:rsidRPr="003B420E">
        <w:rPr>
          <w:rFonts w:ascii="Arial" w:hAnsi="Arial" w:eastAsia="Calibri" w:cs="Arial"/>
          <w:noProof/>
          <w:lang w:val="es-ES_tradnl"/>
        </w:rPr>
        <w:t xml:space="preserve"> generar relación laboral, ni dar lugar a que las Entidades Estatales paguen por su cuenta los aportes al Sistema de Seguridad Social Integral del contratista. Tal como se indicó, no puede existir subordinación y dependencia; entonces, la relación laboral está proscrita y el contratista es quien, como «trabajador independiente» –como lo califican las normas de la seguridad social– debe cotizar por su cuenta y riesgo al Sistema de Seguridad Social Integral</w:t>
      </w:r>
      <w:r w:rsidRPr="003B420E">
        <w:rPr>
          <w:rFonts w:ascii="Arial" w:hAnsi="Arial" w:eastAsia="Calibri" w:cs="Arial"/>
          <w:noProof/>
          <w:vertAlign w:val="superscript"/>
          <w:lang w:val="es-ES_tradnl"/>
        </w:rPr>
        <w:footnoteReference w:id="2"/>
      </w:r>
      <w:r w:rsidRPr="003B420E">
        <w:rPr>
          <w:rFonts w:ascii="Arial" w:hAnsi="Arial" w:eastAsia="Calibri" w:cs="Arial"/>
          <w:noProof/>
          <w:lang w:val="es-ES_tradnl"/>
        </w:rPr>
        <w:t xml:space="preserve">. </w:t>
      </w:r>
    </w:p>
    <w:p w:rsidRPr="003B420E" w:rsidR="003B420E" w:rsidP="00802394" w:rsidRDefault="003B420E" w14:paraId="13BE3860" w14:textId="77777777">
      <w:pPr>
        <w:spacing w:after="120" w:line="276" w:lineRule="auto"/>
        <w:ind w:firstLine="709"/>
        <w:jc w:val="both"/>
        <w:rPr>
          <w:rFonts w:ascii="Arial" w:hAnsi="Arial" w:eastAsia="Calibri" w:cs="Arial"/>
          <w:noProof/>
          <w:lang w:val="es-ES_tradnl"/>
        </w:rPr>
      </w:pPr>
      <w:r w:rsidRPr="003B420E">
        <w:rPr>
          <w:rFonts w:ascii="Arial" w:hAnsi="Arial" w:eastAsia="Calibri" w:cs="Arial"/>
          <w:noProof/>
          <w:lang w:val="es-ES_tradnl"/>
        </w:rPr>
        <w:t xml:space="preserve">A pesar de este mandato deontológico, es posible que en la práctica se configure una relación laboral, pues el contrato de trabajo es </w:t>
      </w:r>
      <w:r w:rsidRPr="003B420E">
        <w:rPr>
          <w:rFonts w:ascii="Arial" w:hAnsi="Arial" w:eastAsia="Calibri" w:cs="Arial"/>
          <w:i/>
          <w:iCs/>
          <w:noProof/>
          <w:lang w:val="es-ES_tradnl"/>
        </w:rPr>
        <w:t xml:space="preserve">de </w:t>
      </w:r>
      <w:r w:rsidRPr="003B420E">
        <w:rPr>
          <w:rFonts w:ascii="Arial" w:hAnsi="Arial" w:eastAsia="Calibri" w:cs="Arial"/>
          <w:i/>
          <w:noProof/>
          <w:lang w:val="es-ES_tradnl"/>
        </w:rPr>
        <w:t>realidad</w:t>
      </w:r>
      <w:r w:rsidRPr="003B420E">
        <w:rPr>
          <w:rFonts w:ascii="Arial" w:hAnsi="Arial" w:eastAsia="Calibri" w:cs="Arial"/>
          <w:noProof/>
          <w:lang w:val="es-ES_tradnl"/>
        </w:rPr>
        <w:t>, y para perfeccionarlo rige el principio de prevalencia de la realidad sobre las formalidades. En el sentido anterior, la Corte Constitucional declaró la exequibilidad condicionada del segundo inciso del numeral 3º del artículo 32, indicando que “las expresiones acusadas del numeral 3º del artículo 32 de la Ley 80 de 1993, no vulneran los preceptos constitucionales, razón por la cual deberán ser declaradas exequibles, salvo que se acredite por parte del contratista la existencia de una relación laboral subordinada”</w:t>
      </w:r>
      <w:r w:rsidRPr="003B420E">
        <w:rPr>
          <w:rFonts w:ascii="Arial" w:hAnsi="Arial" w:eastAsia="Calibri" w:cs="Arial"/>
          <w:noProof/>
          <w:vertAlign w:val="superscript"/>
          <w:lang w:val="es-ES_tradnl"/>
        </w:rPr>
        <w:footnoteReference w:id="3"/>
      </w:r>
      <w:r w:rsidRPr="003B420E">
        <w:rPr>
          <w:rFonts w:ascii="Arial" w:hAnsi="Arial" w:eastAsia="Calibri" w:cs="Arial"/>
          <w:noProof/>
          <w:lang w:val="es-ES_tradnl"/>
        </w:rPr>
        <w:t>.</w:t>
      </w:r>
    </w:p>
    <w:p w:rsidRPr="003B420E" w:rsidR="003B420E" w:rsidP="00802394" w:rsidRDefault="003B420E" w14:paraId="03856A3C" w14:textId="77777777">
      <w:pPr>
        <w:spacing w:after="0" w:line="276" w:lineRule="auto"/>
        <w:ind w:firstLine="709"/>
        <w:jc w:val="both"/>
        <w:rPr>
          <w:rFonts w:ascii="Arial" w:hAnsi="Arial" w:eastAsia="Calibri" w:cs="Arial"/>
          <w:noProof/>
          <w:lang w:val="es-ES_tradnl"/>
        </w:rPr>
      </w:pPr>
      <w:r w:rsidRPr="003B420E">
        <w:rPr>
          <w:rFonts w:ascii="Arial" w:hAnsi="Arial" w:eastAsia="Calibri" w:cs="Arial"/>
          <w:noProof/>
          <w:lang w:val="es-ES_tradnl"/>
        </w:rPr>
        <w:t xml:space="preserve">iv) Deben ser temporales. Así lo consideró la Corte Constitucional en la misma providencia a la que se aludió antes, expresando que: </w:t>
      </w:r>
    </w:p>
    <w:p w:rsidRPr="003B420E" w:rsidR="003B420E" w:rsidP="00802394" w:rsidRDefault="003B420E" w14:paraId="30492B7B" w14:textId="77777777">
      <w:pPr>
        <w:spacing w:after="0" w:line="276" w:lineRule="auto"/>
        <w:ind w:firstLine="709"/>
        <w:jc w:val="both"/>
        <w:rPr>
          <w:rFonts w:ascii="Arial" w:hAnsi="Arial" w:eastAsia="Calibri" w:cs="Arial"/>
          <w:noProof/>
          <w:lang w:val="es-ES_tradnl"/>
        </w:rPr>
      </w:pPr>
    </w:p>
    <w:p w:rsidRPr="003B420E" w:rsidR="003B420E" w:rsidP="003B420E" w:rsidRDefault="003B420E" w14:paraId="0215E38E" w14:textId="77777777">
      <w:pPr>
        <w:spacing w:after="0" w:line="240" w:lineRule="auto"/>
        <w:ind w:left="709" w:right="709"/>
        <w:jc w:val="both"/>
        <w:rPr>
          <w:rFonts w:ascii="Arial" w:hAnsi="Arial" w:eastAsia="Calibri" w:cs="Arial"/>
          <w:noProof/>
          <w:sz w:val="21"/>
          <w:szCs w:val="21"/>
          <w:lang w:val="es-ES_tradnl"/>
        </w:rPr>
      </w:pPr>
      <w:r w:rsidRPr="003B420E">
        <w:rPr>
          <w:rFonts w:ascii="Arial" w:hAnsi="Arial" w:eastAsia="Calibri" w:cs="Arial"/>
          <w:noProof/>
          <w:sz w:val="21"/>
          <w:szCs w:val="21"/>
          <w:lang w:val="es-ES_tradnl"/>
        </w:rPr>
        <w:t xml:space="preserve">“La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 y permanente, será necesario que la respectiva entidad adopte las medidas y provisiones pertinentes a fin de que se dé cabal cumplimiento a lo previsto en el artículo </w:t>
      </w:r>
      <w:r w:rsidRPr="003B420E">
        <w:rPr>
          <w:rFonts w:ascii="Arial" w:hAnsi="Arial" w:eastAsia="Calibri" w:cs="Arial"/>
          <w:noProof/>
          <w:sz w:val="21"/>
          <w:szCs w:val="21"/>
          <w:lang w:val="es-ES_tradnl"/>
        </w:rPr>
        <w:t>122 de la Carta Política, según el cual se requiere que el empleo público quede contemplado en la respectiva planta y previstos sus emolumentos en el presupuesto correspondiente»</w:t>
      </w:r>
      <w:r w:rsidRPr="003B420E">
        <w:rPr>
          <w:rFonts w:ascii="Arial" w:hAnsi="Arial" w:eastAsia="Calibri" w:cs="Arial"/>
          <w:noProof/>
          <w:sz w:val="21"/>
          <w:szCs w:val="21"/>
          <w:vertAlign w:val="superscript"/>
          <w:lang w:val="es-ES_tradnl"/>
        </w:rPr>
        <w:footnoteReference w:id="4"/>
      </w:r>
      <w:r w:rsidRPr="003B420E">
        <w:rPr>
          <w:rFonts w:ascii="Arial" w:hAnsi="Arial" w:eastAsia="Calibri" w:cs="Arial"/>
          <w:noProof/>
          <w:sz w:val="21"/>
          <w:szCs w:val="21"/>
          <w:lang w:val="es-ES_tradnl"/>
        </w:rPr>
        <w:t>.</w:t>
      </w:r>
    </w:p>
    <w:p w:rsidRPr="003B420E" w:rsidR="003B420E" w:rsidP="003B420E" w:rsidRDefault="003B420E" w14:paraId="1CC77835" w14:textId="77777777">
      <w:pPr>
        <w:spacing w:after="0" w:line="276" w:lineRule="auto"/>
        <w:ind w:left="709" w:right="709" w:firstLine="709"/>
        <w:jc w:val="both"/>
        <w:rPr>
          <w:rFonts w:ascii="Arial" w:hAnsi="Arial" w:eastAsia="Calibri" w:cs="Arial"/>
          <w:noProof/>
          <w:lang w:val="es-ES_tradnl"/>
        </w:rPr>
      </w:pPr>
    </w:p>
    <w:p w:rsidRPr="003B420E" w:rsidR="003B420E" w:rsidP="003B420E" w:rsidRDefault="003B420E" w14:paraId="2B5B56E2" w14:textId="77777777">
      <w:pPr>
        <w:spacing w:after="0" w:line="276" w:lineRule="auto"/>
        <w:ind w:firstLine="709"/>
        <w:jc w:val="both"/>
        <w:rPr>
          <w:rFonts w:ascii="Arial" w:hAnsi="Arial" w:eastAsia="Calibri" w:cs="Arial"/>
          <w:color w:val="000000"/>
          <w:lang w:val="es-ES_tradnl"/>
        </w:rPr>
      </w:pPr>
      <w:r w:rsidRPr="003B420E">
        <w:rPr>
          <w:rFonts w:ascii="Arial" w:hAnsi="Arial" w:eastAsia="Calibri" w:cs="Arial"/>
          <w:noProof/>
          <w:lang w:val="es-ES_tradnl"/>
        </w:rPr>
        <w:t xml:space="preserve">v) </w:t>
      </w:r>
      <w:r w:rsidRPr="003B420E">
        <w:rPr>
          <w:rFonts w:ascii="Arial" w:hAnsi="Arial" w:eastAsia="Calibri" w:cs="Arial"/>
          <w:color w:val="000000"/>
          <w:lang w:val="es-ES_tradnl"/>
        </w:rPr>
        <w:t xml:space="preserve">Los contratos de prestación de servicios constituyen un </w:t>
      </w:r>
      <w:r w:rsidRPr="003B420E">
        <w:rPr>
          <w:rFonts w:ascii="Arial" w:hAnsi="Arial" w:eastAsia="Calibri" w:cs="Arial"/>
          <w:i/>
          <w:iCs/>
          <w:color w:val="000000"/>
          <w:lang w:val="es-ES_tradnl"/>
        </w:rPr>
        <w:t>género</w:t>
      </w:r>
      <w:r w:rsidRPr="003B420E">
        <w:rPr>
          <w:rFonts w:ascii="Arial" w:hAnsi="Arial" w:eastAsia="Calibri" w:cs="Arial"/>
          <w:color w:val="000000"/>
          <w:lang w:val="es-ES_tradnl"/>
        </w:rPr>
        <w:t xml:space="preserve"> que incluye, como </w:t>
      </w:r>
      <w:r w:rsidRPr="003B420E">
        <w:rPr>
          <w:rFonts w:ascii="Arial" w:hAnsi="Arial" w:eastAsia="Calibri" w:cs="Arial"/>
          <w:i/>
          <w:iCs/>
          <w:color w:val="000000"/>
          <w:lang w:val="es-ES_tradnl"/>
        </w:rPr>
        <w:t>especies</w:t>
      </w:r>
      <w:r w:rsidRPr="003B420E">
        <w:rPr>
          <w:rFonts w:ascii="Arial" w:hAnsi="Arial" w:eastAsia="Calibri" w:cs="Arial"/>
          <w:color w:val="000000"/>
          <w:lang w:val="es-ES_tradnl"/>
        </w:rPr>
        <w:t>, los contratos de prestación de servicios profesionales, los contratos de prestación de servicios de apoyo a la gestión y los contratos de prestación de servicios artísticos que solo pueden encomendarse a determinadas personas naturales</w:t>
      </w:r>
      <w:r w:rsidRPr="003B420E">
        <w:rPr>
          <w:rFonts w:ascii="Arial" w:hAnsi="Arial" w:eastAsia="Calibri" w:cs="Arial"/>
          <w:color w:val="000000"/>
          <w:vertAlign w:val="superscript"/>
          <w:lang w:val="es-ES_tradnl"/>
        </w:rPr>
        <w:footnoteReference w:id="5"/>
      </w:r>
      <w:r w:rsidRPr="003B420E">
        <w:rPr>
          <w:rFonts w:ascii="Arial" w:hAnsi="Arial" w:eastAsia="Calibri" w:cs="Arial"/>
          <w:color w:val="000000"/>
          <w:lang w:val="es-ES_tradnl"/>
        </w:rPr>
        <w:t xml:space="preserve">. La diferencia entre el contrato de prestación de servicios </w:t>
      </w:r>
      <w:r w:rsidRPr="003B420E">
        <w:rPr>
          <w:rFonts w:ascii="Arial" w:hAnsi="Arial" w:eastAsia="Calibri" w:cs="Arial"/>
          <w:i/>
          <w:color w:val="000000"/>
          <w:lang w:val="es-ES_tradnl"/>
        </w:rPr>
        <w:t>profesionales</w:t>
      </w:r>
      <w:r w:rsidRPr="003B420E">
        <w:rPr>
          <w:rFonts w:ascii="Arial" w:hAnsi="Arial" w:eastAsia="Calibri" w:cs="Arial"/>
          <w:color w:val="000000"/>
          <w:lang w:val="es-ES_tradnl"/>
        </w:rPr>
        <w:t xml:space="preserve"> con las otras dos especies del género en el cual se ubican radica en su contenido intelectual intangible y, al mismo tiempo, en la formación profesional que se exige para desempeñar la labor. Así lo consideró el Consejo de Estado en sentencia de unificación jurisprudencial del 2 de diciembre de 2013, al indicar, respecto del contrato de prestación de servicios profesionales, que:</w:t>
      </w:r>
    </w:p>
    <w:p w:rsidRPr="003B420E" w:rsidR="003B420E" w:rsidP="003B420E" w:rsidRDefault="003B420E" w14:paraId="6A20ED79" w14:textId="77777777">
      <w:pPr>
        <w:spacing w:after="0" w:line="276" w:lineRule="auto"/>
        <w:ind w:firstLine="709"/>
        <w:jc w:val="both"/>
        <w:rPr>
          <w:rFonts w:ascii="Arial" w:hAnsi="Arial" w:eastAsia="Calibri" w:cs="Arial"/>
          <w:color w:val="000000"/>
          <w:lang w:val="es-ES_tradnl"/>
        </w:rPr>
      </w:pPr>
    </w:p>
    <w:p w:rsidRPr="003B420E" w:rsidR="003B420E" w:rsidP="003B420E" w:rsidRDefault="003B420E" w14:paraId="0C431ED7" w14:textId="77777777">
      <w:pPr>
        <w:spacing w:after="0" w:line="240" w:lineRule="auto"/>
        <w:ind w:left="709" w:right="709"/>
        <w:jc w:val="both"/>
        <w:rPr>
          <w:rFonts w:ascii="Arial" w:hAnsi="Arial" w:eastAsia="Calibri" w:cs="Arial"/>
          <w:color w:val="000000"/>
          <w:sz w:val="21"/>
          <w:szCs w:val="21"/>
          <w:lang w:val="es-ES"/>
        </w:rPr>
      </w:pPr>
      <w:r w:rsidRPr="003B420E">
        <w:rPr>
          <w:rFonts w:ascii="Arial" w:hAnsi="Arial" w:eastAsia="Calibri" w:cs="Arial"/>
          <w:color w:val="000000"/>
          <w:sz w:val="21"/>
          <w:szCs w:val="21"/>
          <w:lang w:val="es-ES"/>
        </w:rPr>
        <w:t>“Su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con conocimientos especializados siempre y cuando dichos objetos estén encomendados a personas consideradas legalmente como profesionales. Se caracteriza por demandar un conocimiento intelectivo cualificado: el saber profesional”</w:t>
      </w:r>
      <w:r w:rsidRPr="003B420E">
        <w:rPr>
          <w:rFonts w:ascii="Arial" w:hAnsi="Arial" w:eastAsia="Calibri" w:cs="Arial"/>
          <w:color w:val="000000"/>
          <w:sz w:val="21"/>
          <w:szCs w:val="21"/>
          <w:vertAlign w:val="superscript"/>
          <w:lang w:val="es-ES"/>
        </w:rPr>
        <w:footnoteReference w:id="6"/>
      </w:r>
    </w:p>
    <w:p w:rsidRPr="003B420E" w:rsidR="003B420E" w:rsidP="003B420E" w:rsidRDefault="003B420E" w14:paraId="0602D675" w14:textId="77777777">
      <w:pPr>
        <w:spacing w:after="0" w:line="276" w:lineRule="auto"/>
        <w:ind w:firstLine="709"/>
        <w:jc w:val="both"/>
        <w:rPr>
          <w:rFonts w:ascii="Arial" w:hAnsi="Arial" w:eastAsia="Calibri" w:cs="Arial"/>
          <w:color w:val="000000"/>
          <w:lang w:val="es-ES_tradnl"/>
        </w:rPr>
      </w:pPr>
    </w:p>
    <w:p w:rsidRPr="003B420E" w:rsidR="003B420E" w:rsidP="00802394" w:rsidRDefault="003B420E" w14:paraId="35E9EA65" w14:textId="77777777">
      <w:pPr>
        <w:spacing w:after="0" w:line="276" w:lineRule="auto"/>
        <w:ind w:firstLine="709"/>
        <w:jc w:val="both"/>
        <w:rPr>
          <w:rFonts w:ascii="Arial" w:hAnsi="Arial" w:eastAsia="Calibri" w:cs="Arial"/>
          <w:color w:val="000000"/>
          <w:lang w:val="es-ES_tradnl"/>
        </w:rPr>
      </w:pPr>
      <w:r w:rsidRPr="003B420E">
        <w:rPr>
          <w:rFonts w:ascii="Arial" w:hAnsi="Arial" w:eastAsia="Calibri" w:cs="Arial"/>
          <w:color w:val="000000"/>
          <w:lang w:val="es-ES_tradnl"/>
        </w:rPr>
        <w:t>Objeto que, según la sentencia que se cita, se diferencia del objeto del contrato de prestación de servicios de apoyo a la gestión, porque en este:</w:t>
      </w:r>
    </w:p>
    <w:p w:rsidRPr="003B420E" w:rsidR="003B420E" w:rsidP="00802394" w:rsidRDefault="003B420E" w14:paraId="69D1FEC1" w14:textId="77777777">
      <w:pPr>
        <w:spacing w:after="0" w:line="276" w:lineRule="auto"/>
        <w:ind w:firstLine="709"/>
        <w:jc w:val="both"/>
        <w:rPr>
          <w:rFonts w:ascii="Arial" w:hAnsi="Arial" w:eastAsia="Calibri" w:cs="Arial"/>
          <w:color w:val="000000"/>
          <w:lang w:val="es-ES_tradnl"/>
        </w:rPr>
      </w:pPr>
    </w:p>
    <w:p w:rsidRPr="003B420E" w:rsidR="003B420E" w:rsidP="00802394" w:rsidRDefault="003B420E" w14:paraId="382718B1" w14:textId="77777777">
      <w:pPr>
        <w:spacing w:after="0" w:line="276" w:lineRule="auto"/>
        <w:ind w:left="709" w:right="709"/>
        <w:jc w:val="both"/>
        <w:rPr>
          <w:rFonts w:ascii="Arial" w:hAnsi="Arial" w:eastAsia="Calibri" w:cs="Arial"/>
          <w:color w:val="000000"/>
          <w:sz w:val="21"/>
          <w:szCs w:val="21"/>
          <w:lang w:val="es-ES_tradnl"/>
        </w:rPr>
      </w:pPr>
      <w:r w:rsidRPr="003B420E">
        <w:rPr>
          <w:rFonts w:ascii="Arial" w:hAnsi="Arial" w:eastAsia="Calibri" w:cs="Arial"/>
          <w:color w:val="000000"/>
          <w:sz w:val="21"/>
          <w:szCs w:val="21"/>
          <w:lang w:val="es-ES_tradnl"/>
        </w:rPr>
        <w:t>“Su objeto contractual participa de las características encaminadas a desarrollar actividades identificables e intangibles. Hay lugar a su celebración en aquellos casos en donde las necesidades de la Administración no demanden la presencia de personal profesional.</w:t>
      </w:r>
    </w:p>
    <w:p w:rsidRPr="003B420E" w:rsidR="003B420E" w:rsidP="00802394" w:rsidRDefault="003B420E" w14:paraId="4EEB0B54" w14:textId="77777777">
      <w:pPr>
        <w:spacing w:after="0" w:line="276" w:lineRule="auto"/>
        <w:ind w:left="709" w:right="709"/>
        <w:jc w:val="both"/>
        <w:rPr>
          <w:rFonts w:ascii="Arial" w:hAnsi="Arial" w:eastAsia="Calibri" w:cs="Arial"/>
          <w:color w:val="000000"/>
          <w:sz w:val="21"/>
          <w:szCs w:val="21"/>
          <w:lang w:val="es-ES_tradnl"/>
        </w:rPr>
      </w:pPr>
    </w:p>
    <w:p w:rsidRPr="003B420E" w:rsidR="003B420E" w:rsidP="00802394" w:rsidRDefault="003B420E" w14:paraId="2A1E64DE" w14:textId="77777777">
      <w:pPr>
        <w:spacing w:after="0" w:line="276" w:lineRule="auto"/>
        <w:ind w:left="709" w:right="709"/>
        <w:jc w:val="both"/>
        <w:rPr>
          <w:rFonts w:ascii="Arial" w:hAnsi="Arial" w:eastAsia="Calibri" w:cs="Arial"/>
          <w:color w:val="000000"/>
          <w:sz w:val="21"/>
          <w:szCs w:val="21"/>
          <w:lang w:val="es-ES_tradnl"/>
        </w:rPr>
      </w:pPr>
      <w:r w:rsidRPr="003B420E">
        <w:rPr>
          <w:rFonts w:ascii="Arial" w:hAnsi="Arial" w:eastAsia="Calibri" w:cs="Arial"/>
          <w:color w:val="000000"/>
          <w:sz w:val="21"/>
          <w:szCs w:val="21"/>
          <w:lang w:val="es-ES_tradnl"/>
        </w:rPr>
        <w:t>Aunque también se caracteriza por el desempeño de actividad intelectiva, ésta se enmarca dentro de un saber propiamente técnico; igualmente involucra actividades en donde prima el esfuerzo físico o mecánico, en donde no se requiere de personal profesional.</w:t>
      </w:r>
    </w:p>
    <w:p w:rsidRPr="003B420E" w:rsidR="003B420E" w:rsidP="00802394" w:rsidRDefault="003B420E" w14:paraId="6B1059D5" w14:textId="77777777">
      <w:pPr>
        <w:spacing w:after="0" w:line="276" w:lineRule="auto"/>
        <w:ind w:left="709" w:right="709"/>
        <w:jc w:val="both"/>
        <w:rPr>
          <w:rFonts w:ascii="Arial" w:hAnsi="Arial" w:eastAsia="Calibri" w:cs="Arial"/>
          <w:color w:val="000000"/>
          <w:sz w:val="21"/>
          <w:szCs w:val="21"/>
          <w:lang w:val="es-ES_tradnl"/>
        </w:rPr>
      </w:pPr>
    </w:p>
    <w:p w:rsidRPr="003B420E" w:rsidR="003B420E" w:rsidP="00802394" w:rsidRDefault="003B420E" w14:paraId="6D5341A1" w14:textId="77777777">
      <w:pPr>
        <w:spacing w:after="0" w:line="276" w:lineRule="auto"/>
        <w:ind w:left="709" w:right="709"/>
        <w:jc w:val="both"/>
        <w:rPr>
          <w:rFonts w:ascii="Arial" w:hAnsi="Arial" w:eastAsia="Calibri" w:cs="Arial"/>
          <w:color w:val="000000"/>
          <w:sz w:val="21"/>
          <w:szCs w:val="21"/>
          <w:lang w:val="es-ES_tradnl"/>
        </w:rPr>
      </w:pPr>
      <w:r w:rsidRPr="003B420E">
        <w:rPr>
          <w:rFonts w:ascii="Arial" w:hAnsi="Arial" w:eastAsia="Calibri" w:cs="Arial"/>
          <w:color w:val="000000"/>
          <w:sz w:val="21"/>
          <w:szCs w:val="21"/>
          <w:lang w:val="es-ES_tradnl"/>
        </w:rPr>
        <w:t>Dentro de su objeto contractual pueden tener lugar actividades operativas, logísticas o asistenciales, siempre que satisfaga los requisitos antes mencionados y sea acorde con las necesidades de la Administración y el principio de planeación”</w:t>
      </w:r>
      <w:r w:rsidRPr="003B420E">
        <w:rPr>
          <w:rFonts w:ascii="Arial" w:hAnsi="Arial" w:eastAsia="Calibri" w:cs="Arial"/>
          <w:color w:val="000000"/>
          <w:sz w:val="21"/>
          <w:szCs w:val="21"/>
          <w:vertAlign w:val="superscript"/>
          <w:lang w:val="es-ES_tradnl"/>
        </w:rPr>
        <w:footnoteReference w:id="7"/>
      </w:r>
      <w:r w:rsidRPr="003B420E">
        <w:rPr>
          <w:rFonts w:ascii="Arial" w:hAnsi="Arial" w:eastAsia="Calibri" w:cs="Arial"/>
          <w:color w:val="000000"/>
          <w:sz w:val="21"/>
          <w:szCs w:val="21"/>
          <w:lang w:val="es-ES_tradnl"/>
        </w:rPr>
        <w:t>.</w:t>
      </w:r>
    </w:p>
    <w:p w:rsidRPr="003B420E" w:rsidR="003B420E" w:rsidP="00802394" w:rsidRDefault="003B420E" w14:paraId="2E09A411" w14:textId="77777777">
      <w:pPr>
        <w:spacing w:after="0" w:line="276" w:lineRule="auto"/>
        <w:ind w:firstLine="709"/>
        <w:jc w:val="both"/>
        <w:rPr>
          <w:rFonts w:ascii="Arial" w:hAnsi="Arial" w:eastAsia="Calibri" w:cs="Arial"/>
          <w:color w:val="000000"/>
          <w:lang w:val="es-ES_tradnl"/>
        </w:rPr>
      </w:pPr>
    </w:p>
    <w:p w:rsidRPr="003B420E" w:rsidR="003B420E" w:rsidP="00802394" w:rsidRDefault="003B420E" w14:paraId="42E7ED47" w14:textId="77777777">
      <w:pPr>
        <w:spacing w:after="0" w:line="276" w:lineRule="auto"/>
        <w:ind w:firstLine="709"/>
        <w:jc w:val="both"/>
        <w:rPr>
          <w:rFonts w:ascii="Arial" w:hAnsi="Arial" w:eastAsia="Calibri" w:cs="Arial"/>
          <w:color w:val="000000"/>
          <w:lang w:val="es-ES_tradnl"/>
        </w:rPr>
      </w:pPr>
      <w:r w:rsidRPr="003B420E">
        <w:rPr>
          <w:rFonts w:ascii="Arial" w:hAnsi="Arial" w:eastAsia="Calibri" w:cs="Arial"/>
          <w:color w:val="000000"/>
          <w:lang w:val="es-ES_tradnl"/>
        </w:rPr>
        <w:t>En relación con el contrato de prestación de servicios artísticos que solo pueden encomendarse a determinadas personas naturales, señala el mencionado fallo que:</w:t>
      </w:r>
    </w:p>
    <w:p w:rsidRPr="003B420E" w:rsidR="003B420E" w:rsidP="003B420E" w:rsidRDefault="003B420E" w14:paraId="5686931C" w14:textId="77777777">
      <w:pPr>
        <w:spacing w:after="0" w:line="276" w:lineRule="auto"/>
        <w:ind w:left="709" w:right="709"/>
        <w:jc w:val="both"/>
        <w:rPr>
          <w:rFonts w:ascii="Arial" w:hAnsi="Arial" w:eastAsia="Calibri" w:cs="Arial"/>
          <w:color w:val="000000"/>
          <w:sz w:val="21"/>
          <w:szCs w:val="21"/>
          <w:lang w:val="es-ES_tradnl"/>
        </w:rPr>
      </w:pPr>
    </w:p>
    <w:p w:rsidRPr="003B420E" w:rsidR="003B420E" w:rsidP="003B420E" w:rsidRDefault="003B420E" w14:paraId="03C67C9B" w14:textId="5E6B04FD">
      <w:pPr>
        <w:spacing w:after="0" w:line="240" w:lineRule="auto"/>
        <w:ind w:left="709" w:right="709"/>
        <w:jc w:val="both"/>
        <w:rPr>
          <w:rFonts w:ascii="Arial" w:hAnsi="Arial" w:eastAsia="Calibri" w:cs="Arial"/>
          <w:color w:val="000000"/>
          <w:sz w:val="21"/>
          <w:szCs w:val="21"/>
          <w:lang w:val="es-ES_tradnl"/>
        </w:rPr>
      </w:pPr>
      <w:r w:rsidRPr="003B420E">
        <w:rPr>
          <w:rFonts w:ascii="Arial" w:hAnsi="Arial" w:eastAsia="Calibri" w:cs="Arial"/>
          <w:color w:val="000000"/>
          <w:sz w:val="21"/>
          <w:szCs w:val="21"/>
          <w:lang w:val="es-ES_tradnl"/>
        </w:rPr>
        <w:t>“Tienen lugar dentro de esta categoría los contratos de prestación de servicios que tengan por objeto la ejecución de trabajos artísticos, esto es, trabajos que corresponden al conjunto de creaciones humanas que expresan una especial visión del mundo, tanto real como imaginaria, y que sólo pueda celebrarse con determinadas personas naturales, lo que implica que el contratista debe ser un artista, esto es, una persona reconocida como realizador o productor de arte o trabajos artísticos”</w:t>
      </w:r>
      <w:r w:rsidRPr="003B420E">
        <w:rPr>
          <w:rFonts w:ascii="Arial" w:hAnsi="Arial" w:eastAsia="Calibri" w:cs="Arial"/>
          <w:color w:val="000000"/>
          <w:sz w:val="21"/>
          <w:szCs w:val="21"/>
          <w:vertAlign w:val="superscript"/>
          <w:lang w:val="es-ES_tradnl"/>
        </w:rPr>
        <w:footnoteReference w:id="8"/>
      </w:r>
      <w:r w:rsidRPr="003B420E">
        <w:rPr>
          <w:rFonts w:ascii="Arial" w:hAnsi="Arial" w:eastAsia="Calibri" w:cs="Arial"/>
          <w:color w:val="000000"/>
          <w:sz w:val="21"/>
          <w:szCs w:val="21"/>
          <w:lang w:val="es-ES_tradnl"/>
        </w:rPr>
        <w:t>.</w:t>
      </w:r>
    </w:p>
    <w:p w:rsidRPr="003B420E" w:rsidR="003B420E" w:rsidP="00111E41" w:rsidRDefault="003B420E" w14:paraId="70A6FB35" w14:textId="77777777">
      <w:pPr>
        <w:spacing w:after="0" w:line="276" w:lineRule="auto"/>
        <w:ind w:firstLine="709"/>
        <w:jc w:val="both"/>
        <w:rPr>
          <w:rFonts w:ascii="Arial" w:hAnsi="Arial" w:eastAsia="Calibri" w:cs="Arial"/>
          <w:noProof/>
          <w:lang w:val="es-ES_tradnl"/>
        </w:rPr>
      </w:pPr>
    </w:p>
    <w:p w:rsidRPr="003B420E" w:rsidR="003B420E" w:rsidP="00111E41" w:rsidRDefault="003B420E" w14:paraId="5100033C" w14:textId="77777777">
      <w:pPr>
        <w:spacing w:after="120" w:line="276" w:lineRule="auto"/>
        <w:ind w:firstLine="709"/>
        <w:jc w:val="both"/>
        <w:rPr>
          <w:rFonts w:ascii="Arial" w:hAnsi="Arial" w:eastAsia="Calibri" w:cs="Arial"/>
          <w:noProof/>
          <w:lang w:val="es-ES_tradnl"/>
        </w:rPr>
      </w:pPr>
      <w:r w:rsidRPr="003B420E">
        <w:rPr>
          <w:rFonts w:ascii="Arial" w:hAnsi="Arial" w:eastAsia="Calibri" w:cs="Arial"/>
          <w:noProof/>
          <w:lang w:val="es-ES_tradnl"/>
        </w:rPr>
        <w:t>vi) Se celebran a través de la modalidad de contratación directa, independientemente de la cuantía y del tipo de servicio profesional, siempre que su objeto no sea la consultoría. Esto por cuanto, como lo indicó el Consejo de Estado, en la sentencia de unificación jurisprudencial, si bien en ambos existe un componente intelectual y profesional, el objeto del contrato de consultoría es especial y debe celebrarse, por regla general, mediante un concurso de méritos</w:t>
      </w:r>
      <w:r w:rsidRPr="003B420E">
        <w:rPr>
          <w:rFonts w:ascii="Arial" w:hAnsi="Arial" w:eastAsia="Calibri" w:cs="Arial"/>
          <w:noProof/>
          <w:vertAlign w:val="superscript"/>
          <w:lang w:val="es-ES_tradnl"/>
        </w:rPr>
        <w:footnoteReference w:id="9"/>
      </w:r>
      <w:r w:rsidRPr="003B420E">
        <w:rPr>
          <w:rFonts w:ascii="Arial" w:hAnsi="Arial" w:eastAsia="Calibri" w:cs="Arial"/>
          <w:noProof/>
          <w:lang w:val="es-ES_tradnl"/>
        </w:rPr>
        <w:t>. Debe aclararse que no debe suscribirse un contrato de prestación de servicios profesionales para ejecutar actividades que se enmarcan en los otros contratos tipificados en el artículo 32 de la Ley 80 de 1993, como, por ejemplo, la construcción de una obra.</w:t>
      </w:r>
    </w:p>
    <w:p w:rsidRPr="003B420E" w:rsidR="003B420E" w:rsidP="00111E41" w:rsidRDefault="003B420E" w14:paraId="0888ECB1" w14:textId="77777777">
      <w:pPr>
        <w:spacing w:after="120" w:line="276" w:lineRule="auto"/>
        <w:ind w:firstLine="709"/>
        <w:jc w:val="both"/>
        <w:rPr>
          <w:rFonts w:ascii="Arial" w:hAnsi="Arial" w:eastAsia="Calibri" w:cs="Arial"/>
          <w:noProof/>
          <w:lang w:val="es-ES_tradnl"/>
        </w:rPr>
      </w:pPr>
      <w:r w:rsidRPr="003B420E">
        <w:rPr>
          <w:rFonts w:ascii="Arial" w:hAnsi="Arial" w:eastAsia="Calibri" w:cs="Arial"/>
          <w:noProof/>
          <w:lang w:val="es-ES_tradnl"/>
        </w:rPr>
        <w:t>vi) Para celebrarlo no se requiere en algunos casos expedir un acto administrativo de justificación de la contratación directa</w:t>
      </w:r>
      <w:r w:rsidRPr="003B420E">
        <w:rPr>
          <w:rFonts w:ascii="Arial" w:hAnsi="Arial" w:eastAsia="Calibri" w:cs="Arial"/>
          <w:noProof/>
          <w:vertAlign w:val="superscript"/>
          <w:lang w:val="es-ES_tradnl"/>
        </w:rPr>
        <w:footnoteReference w:id="10"/>
      </w:r>
      <w:r w:rsidRPr="003B420E">
        <w:rPr>
          <w:rFonts w:ascii="Arial" w:hAnsi="Arial" w:eastAsia="Calibri" w:cs="Arial"/>
          <w:noProof/>
          <w:lang w:val="es-ES_tradnl"/>
        </w:rPr>
        <w:t>.</w:t>
      </w:r>
    </w:p>
    <w:p w:rsidRPr="003B420E" w:rsidR="003B420E" w:rsidP="00111E41" w:rsidRDefault="003B420E" w14:paraId="07ECF841" w14:textId="77777777">
      <w:pPr>
        <w:spacing w:after="120" w:line="276" w:lineRule="auto"/>
        <w:ind w:firstLine="709"/>
        <w:jc w:val="both"/>
        <w:rPr>
          <w:rFonts w:ascii="Arial" w:hAnsi="Arial" w:eastAsia="Calibri" w:cs="Arial"/>
          <w:noProof/>
          <w:lang w:val="es-ES_tradnl"/>
        </w:rPr>
      </w:pPr>
      <w:r w:rsidRPr="003B420E">
        <w:rPr>
          <w:rFonts w:ascii="Arial" w:hAnsi="Arial" w:eastAsia="Calibri" w:cs="Arial"/>
          <w:noProof/>
          <w:lang w:val="es-ES_tradnl"/>
        </w:rPr>
        <w:t>vii) El contrato admite la inclusión de cláusulas excepcionales. En los contratos de prestación de servicios se puede pactar la caducidad, la modificación, interpretación o terminación unilateral, como acuerdos o elementos accidentales, así que para ejercer estas exorbitancias deben incluirse expresamente, porque no se entienden pactadas por naturaleza. Así se infiere del artículo 14, numeral 2º, de la Ley 80 de 1993</w:t>
      </w:r>
      <w:r w:rsidRPr="003B420E">
        <w:rPr>
          <w:rFonts w:ascii="Arial" w:hAnsi="Arial" w:eastAsia="Calibri" w:cs="Arial"/>
          <w:noProof/>
          <w:vertAlign w:val="superscript"/>
          <w:lang w:val="es-ES_tradnl"/>
        </w:rPr>
        <w:footnoteReference w:id="11"/>
      </w:r>
      <w:r w:rsidRPr="003B420E">
        <w:rPr>
          <w:rFonts w:ascii="Arial" w:hAnsi="Arial" w:eastAsia="Calibri" w:cs="Arial"/>
          <w:noProof/>
          <w:lang w:val="es-ES_tradnl"/>
        </w:rPr>
        <w:t>.</w:t>
      </w:r>
    </w:p>
    <w:p w:rsidRPr="003B420E" w:rsidR="003B420E" w:rsidP="00111E41" w:rsidRDefault="003B420E" w14:paraId="28FC80B3" w14:textId="77777777">
      <w:pPr>
        <w:spacing w:after="120" w:line="276" w:lineRule="auto"/>
        <w:ind w:firstLine="709"/>
        <w:jc w:val="both"/>
        <w:rPr>
          <w:rFonts w:ascii="Arial" w:hAnsi="Arial" w:eastAsia="Calibri" w:cs="Arial"/>
          <w:noProof/>
          <w:lang w:val="es-ES_tradnl"/>
        </w:rPr>
      </w:pPr>
      <w:r w:rsidRPr="003B420E">
        <w:rPr>
          <w:rFonts w:ascii="Arial" w:hAnsi="Arial" w:eastAsia="Calibri" w:cs="Arial"/>
          <w:noProof/>
          <w:lang w:val="es-ES_tradnl"/>
        </w:rPr>
        <w:t>viii) No es obligatorio liquidar estos contratos, como lo establece el artículo 217 del Decreto 019 de 2012, que modificó el artículo 60 de la Ley 80 de 1993, refiriendose a los contratos de prestacion de servicios y de paoyo a la gestión</w:t>
      </w:r>
      <w:r w:rsidRPr="003B420E">
        <w:rPr>
          <w:rFonts w:ascii="Arial" w:hAnsi="Arial" w:eastAsia="Calibri" w:cs="Arial"/>
          <w:noProof/>
          <w:vertAlign w:val="superscript"/>
          <w:lang w:val="es-ES_tradnl"/>
        </w:rPr>
        <w:footnoteReference w:id="12"/>
      </w:r>
      <w:r w:rsidRPr="003B420E">
        <w:rPr>
          <w:rFonts w:ascii="Arial" w:hAnsi="Arial" w:eastAsia="Calibri" w:cs="Arial"/>
          <w:noProof/>
          <w:lang w:val="es-ES_tradnl"/>
        </w:rPr>
        <w:t>.</w:t>
      </w:r>
    </w:p>
    <w:p w:rsidRPr="003B420E" w:rsidR="003B420E" w:rsidP="00111E41" w:rsidRDefault="003B420E" w14:paraId="79E21782" w14:textId="77777777">
      <w:pPr>
        <w:spacing w:after="120" w:line="276" w:lineRule="auto"/>
        <w:ind w:firstLine="709"/>
        <w:jc w:val="both"/>
        <w:rPr>
          <w:rFonts w:ascii="Arial" w:hAnsi="Arial" w:eastAsia="Calibri" w:cs="Arial"/>
          <w:noProof/>
          <w:lang w:val="es-ES_tradnl"/>
        </w:rPr>
      </w:pPr>
      <w:r w:rsidRPr="003B420E">
        <w:rPr>
          <w:rFonts w:ascii="Arial" w:hAnsi="Arial" w:eastAsia="Calibri" w:cs="Arial"/>
          <w:noProof/>
          <w:lang w:val="es-ES_tradnl"/>
        </w:rPr>
        <w:t>ix) Para celebrarlos no se requiere estar inscrito en el Registro Único de Proponentes –RUP–, como lo señala el artículo 6 de la Ley 1150 de 2007</w:t>
      </w:r>
      <w:r w:rsidRPr="003B420E">
        <w:rPr>
          <w:rFonts w:ascii="Arial" w:hAnsi="Arial" w:eastAsia="Calibri" w:cs="Arial"/>
          <w:noProof/>
          <w:vertAlign w:val="superscript"/>
          <w:lang w:val="es-ES_tradnl"/>
        </w:rPr>
        <w:footnoteReference w:id="13"/>
      </w:r>
      <w:r w:rsidRPr="003B420E">
        <w:rPr>
          <w:rFonts w:ascii="Arial" w:hAnsi="Arial" w:eastAsia="Calibri" w:cs="Arial"/>
          <w:noProof/>
          <w:lang w:val="es-ES_tradnl"/>
        </w:rPr>
        <w:t>.</w:t>
      </w:r>
    </w:p>
    <w:p w:rsidRPr="003B420E" w:rsidR="003B420E" w:rsidP="00896F85" w:rsidRDefault="003B420E" w14:paraId="0EC7CA6B" w14:textId="1A88813C">
      <w:pPr>
        <w:spacing w:after="120" w:line="276" w:lineRule="auto"/>
        <w:ind w:firstLine="709"/>
        <w:jc w:val="both"/>
        <w:rPr>
          <w:rFonts w:ascii="Arial" w:hAnsi="Arial" w:eastAsia="Calibri" w:cs="Arial"/>
          <w:noProof/>
          <w:lang w:val="es-ES_tradnl"/>
        </w:rPr>
      </w:pPr>
      <w:r w:rsidRPr="003B420E">
        <w:rPr>
          <w:rFonts w:ascii="Arial" w:hAnsi="Arial" w:eastAsia="Calibri" w:cs="Arial"/>
          <w:noProof/>
          <w:lang w:val="es-ES_tradnl"/>
        </w:rPr>
        <w:t>x) No es necesario que el Estado exija garantías</w:t>
      </w:r>
      <w:r w:rsidRPr="003B420E">
        <w:rPr>
          <w:rFonts w:ascii="Arial" w:hAnsi="Arial" w:eastAsia="Calibri" w:cs="Arial"/>
          <w:noProof/>
          <w:vertAlign w:val="superscript"/>
          <w:lang w:val="es-ES_tradnl"/>
        </w:rPr>
        <w:footnoteReference w:id="14"/>
      </w:r>
      <w:r w:rsidRPr="003B420E">
        <w:rPr>
          <w:rFonts w:ascii="Arial" w:hAnsi="Arial" w:eastAsia="Calibri" w:cs="Arial"/>
          <w:noProof/>
          <w:lang w:val="es-ES_tradnl"/>
        </w:rPr>
        <w:t>.</w:t>
      </w:r>
      <w:r w:rsidRPr="003B420E">
        <w:rPr>
          <w:rFonts w:ascii="Arial" w:hAnsi="Arial" w:eastAsia="Calibri" w:cs="Arial"/>
          <w:color w:val="000000"/>
          <w:lang w:val="es-ES_tradnl"/>
        </w:rPr>
        <w:t xml:space="preserve">. </w:t>
      </w:r>
    </w:p>
    <w:p w:rsidR="005811D1" w:rsidP="005811D1" w:rsidRDefault="005811D1" w14:paraId="097D5EB8" w14:textId="77777777">
      <w:pPr>
        <w:pStyle w:val="paragraph"/>
        <w:spacing w:before="0" w:beforeAutospacing="0" w:after="0" w:afterAutospacing="0"/>
        <w:ind w:firstLine="705"/>
        <w:jc w:val="both"/>
        <w:textAlignment w:val="baseline"/>
        <w:rPr>
          <w:rFonts w:ascii="Segoe UI" w:hAnsi="Segoe UI" w:cs="Segoe UI"/>
          <w:sz w:val="18"/>
          <w:szCs w:val="18"/>
        </w:rPr>
      </w:pPr>
      <w:r>
        <w:rPr>
          <w:rStyle w:val="normaltextrun"/>
          <w:rFonts w:ascii="Arial" w:hAnsi="Arial" w:cs="Arial"/>
          <w:sz w:val="22"/>
          <w:szCs w:val="22"/>
          <w:lang w:val="es-ES"/>
        </w:rPr>
        <w:t>xi) Como los demás contratos estatales, se trata de un contrato solemne que debe constar por escrito y debe ser publicado en el SECOP.</w:t>
      </w:r>
      <w:r>
        <w:rPr>
          <w:rStyle w:val="eop"/>
          <w:rFonts w:ascii="Arial" w:hAnsi="Arial" w:cs="Arial"/>
          <w:sz w:val="22"/>
          <w:szCs w:val="22"/>
        </w:rPr>
        <w:t> </w:t>
      </w:r>
    </w:p>
    <w:p w:rsidR="005811D1" w:rsidP="00896F85" w:rsidRDefault="005811D1" w14:paraId="29A75BB0" w14:textId="77777777">
      <w:pPr>
        <w:pStyle w:val="paragraph"/>
        <w:spacing w:before="120" w:beforeAutospacing="0" w:after="0" w:afterAutospacing="0"/>
        <w:ind w:firstLine="703"/>
        <w:jc w:val="both"/>
        <w:textAlignment w:val="baseline"/>
        <w:rPr>
          <w:rFonts w:ascii="Segoe UI" w:hAnsi="Segoe UI" w:cs="Segoe UI"/>
          <w:sz w:val="18"/>
          <w:szCs w:val="18"/>
        </w:rPr>
      </w:pPr>
      <w:proofErr w:type="spellStart"/>
      <w:r>
        <w:rPr>
          <w:rStyle w:val="normaltextrun"/>
          <w:rFonts w:ascii="Arial" w:hAnsi="Arial" w:cs="Arial"/>
          <w:color w:val="000000"/>
          <w:sz w:val="22"/>
          <w:szCs w:val="22"/>
          <w:lang w:val="es-ES"/>
        </w:rPr>
        <w:t>xii</w:t>
      </w:r>
      <w:proofErr w:type="spellEnd"/>
      <w:r>
        <w:rPr>
          <w:rStyle w:val="normaltextrun"/>
          <w:rFonts w:ascii="Arial" w:hAnsi="Arial" w:cs="Arial"/>
          <w:color w:val="000000"/>
          <w:sz w:val="22"/>
          <w:szCs w:val="22"/>
          <w:lang w:val="es-ES"/>
        </w:rPr>
        <w:t>) C</w:t>
      </w:r>
      <w:proofErr w:type="spellStart"/>
      <w:r>
        <w:rPr>
          <w:rStyle w:val="normaltextrun"/>
          <w:rFonts w:ascii="Arial" w:hAnsi="Arial" w:cs="Arial"/>
          <w:color w:val="000000"/>
          <w:sz w:val="22"/>
          <w:szCs w:val="22"/>
          <w:lang w:val="es-MX"/>
        </w:rPr>
        <w:t>omo</w:t>
      </w:r>
      <w:proofErr w:type="spellEnd"/>
      <w:r>
        <w:rPr>
          <w:rStyle w:val="normaltextrun"/>
          <w:rFonts w:ascii="Arial" w:hAnsi="Arial" w:cs="Arial"/>
          <w:color w:val="000000"/>
          <w:sz w:val="22"/>
          <w:szCs w:val="22"/>
          <w:lang w:val="es-MX"/>
        </w:rPr>
        <w:t xml:space="preserve"> especies del género </w:t>
      </w:r>
      <w:r>
        <w:rPr>
          <w:rStyle w:val="normaltextrun"/>
          <w:rFonts w:ascii="Arial" w:hAnsi="Arial" w:cs="Arial"/>
          <w:i/>
          <w:iCs/>
          <w:color w:val="000000"/>
          <w:sz w:val="22"/>
          <w:szCs w:val="22"/>
          <w:lang w:val="es-MX"/>
        </w:rPr>
        <w:t>prestación de servicios,</w:t>
      </w:r>
      <w:r>
        <w:rPr>
          <w:rStyle w:val="normaltextrun"/>
          <w:rFonts w:ascii="Arial" w:hAnsi="Arial" w:cs="Arial"/>
          <w:color w:val="000000"/>
          <w:sz w:val="22"/>
          <w:szCs w:val="22"/>
          <w:lang w:val="es-MX"/>
        </w:rPr>
        <w:t xml:space="preserve"> se incluyen </w:t>
      </w:r>
      <w:r>
        <w:rPr>
          <w:rStyle w:val="normaltextrun"/>
          <w:rFonts w:ascii="Arial" w:hAnsi="Arial" w:cs="Arial"/>
          <w:color w:val="000000"/>
          <w:sz w:val="22"/>
          <w:szCs w:val="22"/>
          <w:lang w:val="es-ES"/>
        </w:rPr>
        <w:t xml:space="preserve">los </w:t>
      </w:r>
      <w:r>
        <w:rPr>
          <w:rStyle w:val="normaltextrun"/>
          <w:rFonts w:ascii="Arial" w:hAnsi="Arial" w:cs="Arial"/>
          <w:i/>
          <w:iCs/>
          <w:color w:val="000000"/>
          <w:sz w:val="22"/>
          <w:szCs w:val="22"/>
          <w:lang w:val="es-ES"/>
        </w:rPr>
        <w:t>contratos de prestación de servicios profesionales, los contratos de prestación de servicios de apoyo a la gestión</w:t>
      </w:r>
      <w:r>
        <w:rPr>
          <w:rStyle w:val="normaltextrun"/>
          <w:rFonts w:ascii="Arial" w:hAnsi="Arial" w:cs="Arial"/>
          <w:color w:val="000000"/>
          <w:sz w:val="22"/>
          <w:szCs w:val="22"/>
          <w:lang w:val="es-ES"/>
        </w:rPr>
        <w:t xml:space="preserve"> y los </w:t>
      </w:r>
      <w:r>
        <w:rPr>
          <w:rStyle w:val="normaltextrun"/>
          <w:rFonts w:ascii="Arial" w:hAnsi="Arial" w:cs="Arial"/>
          <w:i/>
          <w:iCs/>
          <w:color w:val="000000"/>
          <w:sz w:val="22"/>
          <w:szCs w:val="22"/>
          <w:lang w:val="es-ES"/>
        </w:rPr>
        <w:t>contratos de prestación de servicios artísticos que solo pueden encomendarse a determinadas personas naturales</w:t>
      </w:r>
      <w:r>
        <w:rPr>
          <w:rStyle w:val="superscript"/>
          <w:rFonts w:ascii="Arial" w:hAnsi="Arial" w:cs="Arial"/>
          <w:color w:val="000000"/>
          <w:sz w:val="17"/>
          <w:szCs w:val="17"/>
          <w:vertAlign w:val="superscript"/>
          <w:lang w:val="es-ES"/>
        </w:rPr>
        <w:t>13</w:t>
      </w:r>
      <w:r>
        <w:rPr>
          <w:rStyle w:val="normaltextrun"/>
          <w:rFonts w:ascii="Arial" w:hAnsi="Arial" w:cs="Arial"/>
          <w:color w:val="000000"/>
          <w:sz w:val="22"/>
          <w:szCs w:val="22"/>
          <w:lang w:val="es-MX"/>
        </w:rPr>
        <w:t xml:space="preserve">. </w:t>
      </w:r>
      <w:r>
        <w:rPr>
          <w:rStyle w:val="normaltextrun"/>
          <w:rFonts w:ascii="Arial" w:hAnsi="Arial" w:cs="Arial"/>
          <w:color w:val="000000"/>
          <w:sz w:val="22"/>
          <w:szCs w:val="22"/>
          <w:lang w:val="es-ES"/>
        </w:rPr>
        <w:t xml:space="preserve">La diferencia entre el contrato de prestación de servicios </w:t>
      </w:r>
      <w:r>
        <w:rPr>
          <w:rStyle w:val="normaltextrun"/>
          <w:rFonts w:ascii="Arial" w:hAnsi="Arial" w:cs="Arial"/>
          <w:i/>
          <w:iCs/>
          <w:color w:val="000000"/>
          <w:sz w:val="22"/>
          <w:szCs w:val="22"/>
          <w:lang w:val="es-ES"/>
        </w:rPr>
        <w:t>profesionales</w:t>
      </w:r>
      <w:r>
        <w:rPr>
          <w:rStyle w:val="normaltextrun"/>
          <w:rFonts w:ascii="Arial" w:hAnsi="Arial" w:cs="Arial"/>
          <w:color w:val="000000"/>
          <w:sz w:val="22"/>
          <w:szCs w:val="22"/>
          <w:lang w:val="es-ES"/>
        </w:rPr>
        <w:t xml:space="preserve"> con las otras dos especies del género en el cual se ubican, radica en su contenido intelectual intangible y, al mismo tiempo, en la formación profesional que se exige para desempeñar la labor. Así lo consideró el Consejo de Estado en Sentencia de Unificación jurisprudencial del 2 de diciembre de 2013, al explicar que:</w:t>
      </w:r>
      <w:r>
        <w:rPr>
          <w:rStyle w:val="eop"/>
          <w:rFonts w:ascii="Arial" w:hAnsi="Arial" w:cs="Arial"/>
          <w:color w:val="000000"/>
          <w:sz w:val="22"/>
          <w:szCs w:val="22"/>
        </w:rPr>
        <w:t> </w:t>
      </w:r>
    </w:p>
    <w:p w:rsidR="005811D1" w:rsidP="005811D1" w:rsidRDefault="005811D1" w14:paraId="1475342D" w14:textId="77777777">
      <w:pPr>
        <w:pStyle w:val="paragraph"/>
        <w:spacing w:before="0" w:beforeAutospacing="0" w:after="0" w:afterAutospacing="0"/>
        <w:ind w:firstLine="705"/>
        <w:jc w:val="both"/>
        <w:textAlignment w:val="baseline"/>
        <w:rPr>
          <w:rFonts w:ascii="Segoe UI" w:hAnsi="Segoe UI" w:cs="Segoe UI"/>
          <w:sz w:val="18"/>
          <w:szCs w:val="18"/>
        </w:rPr>
      </w:pPr>
      <w:r>
        <w:rPr>
          <w:rStyle w:val="eop"/>
          <w:rFonts w:ascii="Arial" w:hAnsi="Arial" w:cs="Arial"/>
          <w:color w:val="000000"/>
          <w:sz w:val="22"/>
          <w:szCs w:val="22"/>
        </w:rPr>
        <w:t> </w:t>
      </w:r>
    </w:p>
    <w:p w:rsidR="005811D1" w:rsidP="005811D1" w:rsidRDefault="005811D1" w14:paraId="6F5F4F87" w14:textId="77777777">
      <w:pPr>
        <w:pStyle w:val="paragraph"/>
        <w:spacing w:before="0" w:beforeAutospacing="0" w:after="0" w:afterAutospacing="0"/>
        <w:ind w:left="705" w:right="705"/>
        <w:jc w:val="both"/>
        <w:textAlignment w:val="baseline"/>
        <w:rPr>
          <w:rFonts w:ascii="Segoe UI" w:hAnsi="Segoe UI" w:cs="Segoe UI"/>
          <w:sz w:val="18"/>
          <w:szCs w:val="18"/>
        </w:rPr>
      </w:pPr>
      <w:r>
        <w:rPr>
          <w:rStyle w:val="normaltextrun"/>
          <w:rFonts w:ascii="Arial" w:hAnsi="Arial" w:cs="Arial"/>
          <w:color w:val="000000"/>
          <w:sz w:val="21"/>
          <w:szCs w:val="21"/>
          <w:lang w:val="es-ES"/>
        </w:rPr>
        <w:t>“Su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con conocimientos especializados siempre y cuando dichos objetos estén encomendados a personas consideradas legalmente como profesionales. Se caracteriza por demandar un conocimiento intelectivo cualificado: el saber profesional”</w:t>
      </w:r>
      <w:r>
        <w:rPr>
          <w:rStyle w:val="superscript"/>
          <w:rFonts w:ascii="Arial" w:hAnsi="Arial" w:cs="Arial"/>
          <w:color w:val="000000"/>
          <w:sz w:val="16"/>
          <w:szCs w:val="16"/>
          <w:vertAlign w:val="superscript"/>
          <w:lang w:val="es-ES"/>
        </w:rPr>
        <w:t>14</w:t>
      </w:r>
      <w:r>
        <w:rPr>
          <w:rStyle w:val="normaltextrun"/>
          <w:rFonts w:ascii="Arial" w:hAnsi="Arial" w:cs="Arial"/>
          <w:color w:val="000000"/>
          <w:sz w:val="21"/>
          <w:szCs w:val="21"/>
          <w:lang w:val="es-ES"/>
        </w:rPr>
        <w:t>.</w:t>
      </w:r>
      <w:r>
        <w:rPr>
          <w:rStyle w:val="eop"/>
          <w:rFonts w:ascii="Arial" w:hAnsi="Arial" w:cs="Arial"/>
          <w:color w:val="000000"/>
          <w:sz w:val="21"/>
          <w:szCs w:val="21"/>
        </w:rPr>
        <w:t> </w:t>
      </w:r>
    </w:p>
    <w:p w:rsidR="005811D1" w:rsidP="005811D1" w:rsidRDefault="005811D1" w14:paraId="05F1C69E" w14:textId="6A736D4A">
      <w:pPr>
        <w:pStyle w:val="paragraph"/>
        <w:spacing w:before="0" w:beforeAutospacing="0" w:after="0" w:afterAutospacing="0"/>
        <w:ind w:firstLine="705"/>
        <w:jc w:val="both"/>
        <w:textAlignment w:val="baseline"/>
        <w:rPr>
          <w:rFonts w:ascii="Segoe UI" w:hAnsi="Segoe UI" w:cs="Segoe UI"/>
          <w:sz w:val="18"/>
          <w:szCs w:val="18"/>
        </w:rPr>
      </w:pPr>
      <w:r>
        <w:rPr>
          <w:rStyle w:val="eop"/>
          <w:rFonts w:ascii="Arial" w:hAnsi="Arial" w:cs="Arial"/>
          <w:color w:val="000000"/>
          <w:sz w:val="22"/>
          <w:szCs w:val="22"/>
        </w:rPr>
        <w:t> </w:t>
      </w:r>
    </w:p>
    <w:p w:rsidR="005811D1" w:rsidP="00380DD4" w:rsidRDefault="005811D1" w14:paraId="7CECD052" w14:textId="465C0535">
      <w:pPr>
        <w:pStyle w:val="paragraph"/>
        <w:spacing w:before="0" w:beforeAutospacing="0" w:after="0" w:afterAutospacing="0"/>
        <w:ind w:left="705" w:right="705"/>
        <w:jc w:val="both"/>
        <w:textAlignment w:val="baseline"/>
        <w:rPr>
          <w:rFonts w:ascii="Segoe UI" w:hAnsi="Segoe UI" w:cs="Segoe UI"/>
          <w:sz w:val="18"/>
          <w:szCs w:val="18"/>
        </w:rPr>
      </w:pPr>
      <w:r>
        <w:rPr>
          <w:rStyle w:val="eop"/>
          <w:rFonts w:ascii="Arial" w:hAnsi="Arial" w:cs="Arial"/>
          <w:color w:val="000000"/>
          <w:sz w:val="22"/>
          <w:szCs w:val="22"/>
        </w:rPr>
        <w:t> </w:t>
      </w:r>
      <w:r>
        <w:rPr>
          <w:rStyle w:val="normaltextrun"/>
          <w:rFonts w:ascii="Arial" w:hAnsi="Arial" w:cs="Arial"/>
          <w:color w:val="000000"/>
          <w:sz w:val="22"/>
          <w:szCs w:val="22"/>
          <w:lang w:val="es-ES"/>
        </w:rPr>
        <w:t xml:space="preserve">En este sentido, el contrato de prestación de servicios </w:t>
      </w:r>
      <w:r>
        <w:rPr>
          <w:rStyle w:val="normaltextrun"/>
          <w:rFonts w:ascii="Arial" w:hAnsi="Arial" w:cs="Arial"/>
          <w:i/>
          <w:iCs/>
          <w:color w:val="000000"/>
          <w:sz w:val="22"/>
          <w:szCs w:val="22"/>
          <w:lang w:val="es-ES"/>
        </w:rPr>
        <w:t>profesionales</w:t>
      </w:r>
      <w:r>
        <w:rPr>
          <w:rStyle w:val="normaltextrun"/>
          <w:rFonts w:ascii="Arial" w:hAnsi="Arial" w:cs="Arial"/>
          <w:color w:val="000000"/>
          <w:sz w:val="22"/>
          <w:szCs w:val="22"/>
          <w:lang w:val="es-ES"/>
        </w:rPr>
        <w:t xml:space="preserve"> se caracteriza porque su objeto guarda relación con el desarrollo de actividades que demandan competencias y habilidades profesionales o especializadas de la persona natural o jurídica a contratar, de manera que se trata de un </w:t>
      </w:r>
      <w:r>
        <w:rPr>
          <w:rStyle w:val="normaltextrun"/>
          <w:rFonts w:ascii="Arial" w:hAnsi="Arial" w:cs="Arial"/>
          <w:i/>
          <w:iCs/>
          <w:color w:val="000000"/>
          <w:sz w:val="22"/>
          <w:szCs w:val="22"/>
          <w:lang w:val="es-ES"/>
        </w:rPr>
        <w:t>saber intelectivo cualificado.</w:t>
      </w:r>
      <w:r>
        <w:rPr>
          <w:rStyle w:val="normaltextrun"/>
          <w:rFonts w:ascii="Arial" w:hAnsi="Arial" w:cs="Arial"/>
          <w:color w:val="000000"/>
          <w:sz w:val="22"/>
          <w:szCs w:val="22"/>
          <w:lang w:val="es-ES"/>
        </w:rPr>
        <w:t xml:space="preserve"> En cambio, los contratos de prestación de servicios de </w:t>
      </w:r>
      <w:r>
        <w:rPr>
          <w:rStyle w:val="normaltextrun"/>
          <w:rFonts w:ascii="Arial" w:hAnsi="Arial" w:cs="Arial"/>
          <w:i/>
          <w:iCs/>
          <w:color w:val="000000"/>
          <w:sz w:val="22"/>
          <w:szCs w:val="22"/>
          <w:lang w:val="es-ES"/>
        </w:rPr>
        <w:t>apoyo a la gestión</w:t>
      </w:r>
      <w:r>
        <w:rPr>
          <w:rStyle w:val="normaltextrun"/>
          <w:rFonts w:ascii="Arial" w:hAnsi="Arial" w:cs="Arial"/>
          <w:color w:val="000000"/>
          <w:sz w:val="22"/>
          <w:szCs w:val="22"/>
          <w:lang w:val="es-ES"/>
        </w:rPr>
        <w:t xml:space="preserve"> y de </w:t>
      </w:r>
      <w:r>
        <w:rPr>
          <w:rStyle w:val="normaltextrun"/>
          <w:rFonts w:ascii="Arial" w:hAnsi="Arial" w:cs="Arial"/>
          <w:i/>
          <w:iCs/>
          <w:color w:val="000000"/>
          <w:sz w:val="22"/>
          <w:szCs w:val="22"/>
          <w:lang w:val="es-ES"/>
        </w:rPr>
        <w:t>servicios artísticos</w:t>
      </w:r>
      <w:r>
        <w:rPr>
          <w:rStyle w:val="normaltextrun"/>
          <w:rFonts w:ascii="Arial" w:hAnsi="Arial" w:cs="Arial"/>
          <w:color w:val="000000"/>
          <w:sz w:val="22"/>
          <w:szCs w:val="22"/>
          <w:lang w:val="es-ES"/>
        </w:rPr>
        <w:t xml:space="preserve"> no involucran ese conocimiento profesional </w:t>
      </w:r>
      <w:r>
        <w:rPr>
          <w:rStyle w:val="normaltextrun"/>
          <w:rFonts w:ascii="Arial" w:hAnsi="Arial" w:cs="Arial"/>
          <w:color w:val="000000"/>
          <w:sz w:val="22"/>
          <w:szCs w:val="22"/>
          <w:lang w:val="es-MX"/>
        </w:rPr>
        <w:t xml:space="preserve">o especializados para su ejecución. En los contratos de apoyo a la gestión </w:t>
      </w:r>
      <w:r>
        <w:rPr>
          <w:rStyle w:val="normaltextrun"/>
          <w:rFonts w:ascii="Arial" w:hAnsi="Arial" w:cs="Arial"/>
          <w:color w:val="000000"/>
          <w:sz w:val="22"/>
          <w:szCs w:val="22"/>
          <w:lang w:val="es-ES"/>
        </w:rPr>
        <w:t xml:space="preserve">el contratista desempeña un esfuerzo o actividad de apoyo, acompañamiento, o soporte, </w:t>
      </w:r>
      <w:r>
        <w:rPr>
          <w:rStyle w:val="normaltextrun"/>
          <w:rFonts w:ascii="Arial" w:hAnsi="Arial" w:cs="Arial"/>
          <w:color w:val="000000"/>
          <w:sz w:val="22"/>
          <w:szCs w:val="22"/>
          <w:lang w:val="es-MX"/>
        </w:rPr>
        <w:t xml:space="preserve">donde </w:t>
      </w:r>
      <w:r>
        <w:rPr>
          <w:rStyle w:val="normaltextrun"/>
          <w:rFonts w:ascii="Arial" w:hAnsi="Arial" w:cs="Arial"/>
          <w:color w:val="000000"/>
          <w:sz w:val="22"/>
          <w:szCs w:val="22"/>
          <w:lang w:val="es-ES"/>
        </w:rPr>
        <w:t xml:space="preserve">“lo predominante es el actuar como ejecutor, con el propósito y finalidad de satisfacer necesidades de las Entidades Estatales en lo relacionado con la gestión </w:t>
      </w:r>
      <w:r>
        <w:rPr>
          <w:rStyle w:val="normaltextrun"/>
          <w:rFonts w:ascii="Arial" w:hAnsi="Arial" w:cs="Arial"/>
          <w:color w:val="000000"/>
          <w:sz w:val="22"/>
          <w:szCs w:val="22"/>
          <w:lang w:val="es-ES"/>
        </w:rPr>
        <w:t>administrativa o funcionamiento de la misma, por personas no profesionales y que no implican el ejercicio de funciones públicas administrativas”. Igualmente, en el contrato de prestación de servicios artísticos lo prevalente es que la persona que lo ejecute se trate de un artista, es decir, «una persona reconocida como realizador o productor de arte, de obras de arte, ejecutor de trabajos artísticos», para lo cual es indiferente el carácter de profesional.</w:t>
      </w:r>
      <w:r>
        <w:rPr>
          <w:rStyle w:val="eop"/>
          <w:rFonts w:ascii="Arial" w:hAnsi="Arial" w:cs="Arial"/>
          <w:color w:val="000000"/>
          <w:sz w:val="22"/>
          <w:szCs w:val="22"/>
        </w:rPr>
        <w:t> </w:t>
      </w:r>
    </w:p>
    <w:p w:rsidR="00380DD4" w:rsidP="00380DD4" w:rsidRDefault="00380DD4" w14:paraId="1013F3EF" w14:textId="77777777">
      <w:pPr>
        <w:pStyle w:val="paragraph"/>
        <w:spacing w:before="0" w:beforeAutospacing="0" w:after="0" w:afterAutospacing="0"/>
        <w:ind w:firstLine="703"/>
        <w:jc w:val="both"/>
        <w:textAlignment w:val="baseline"/>
        <w:rPr>
          <w:rStyle w:val="normaltextrun"/>
          <w:rFonts w:ascii="Arial" w:hAnsi="Arial" w:cs="Arial"/>
          <w:color w:val="000000"/>
          <w:sz w:val="22"/>
          <w:szCs w:val="22"/>
          <w:lang w:val="es-ES"/>
        </w:rPr>
      </w:pPr>
    </w:p>
    <w:p w:rsidR="005811D1" w:rsidP="00380DD4" w:rsidRDefault="005811D1" w14:paraId="2400D6EC" w14:textId="67F72A05">
      <w:pPr>
        <w:pStyle w:val="paragraph"/>
        <w:spacing w:before="0" w:beforeAutospacing="0" w:after="0" w:afterAutospacing="0"/>
        <w:ind w:firstLine="703"/>
        <w:jc w:val="both"/>
        <w:textAlignment w:val="baseline"/>
        <w:rPr>
          <w:rFonts w:ascii="Segoe UI" w:hAnsi="Segoe UI" w:cs="Segoe UI"/>
          <w:sz w:val="18"/>
          <w:szCs w:val="18"/>
        </w:rPr>
      </w:pPr>
      <w:r>
        <w:rPr>
          <w:rStyle w:val="normaltextrun"/>
          <w:rFonts w:ascii="Arial" w:hAnsi="Arial" w:cs="Arial"/>
          <w:color w:val="000000"/>
          <w:sz w:val="22"/>
          <w:szCs w:val="22"/>
          <w:lang w:val="es-ES"/>
        </w:rPr>
        <w:t>Ahora bien, teniendo en cuenta que para la celebración de este tipo contractual las entidades están en la obligación de aplicar el principio de planeación, esta Agencia analizará a continuación, la importancia de la elaboración de estudios previos y del sector en la contratación estatal, según lo dispuesto en el Estatuto General de Contratación de la Administración Pública –Ley 80 de 1993, Ley 1150 de 2007, y demás normas complementarias–.</w:t>
      </w:r>
      <w:r>
        <w:rPr>
          <w:rStyle w:val="eop"/>
          <w:rFonts w:ascii="Arial" w:hAnsi="Arial" w:cs="Arial"/>
          <w:color w:val="000000"/>
          <w:sz w:val="22"/>
          <w:szCs w:val="22"/>
        </w:rPr>
        <w:t> </w:t>
      </w:r>
    </w:p>
    <w:p w:rsidRPr="003B420E" w:rsidR="003B420E" w:rsidP="003B420E" w:rsidRDefault="003B420E" w14:paraId="21AD2218" w14:textId="77777777">
      <w:pPr>
        <w:spacing w:after="0" w:line="276" w:lineRule="auto"/>
        <w:ind w:firstLine="709"/>
        <w:jc w:val="both"/>
        <w:rPr>
          <w:rFonts w:ascii="Arial" w:hAnsi="Arial" w:eastAsia="Calibri" w:cs="Arial"/>
          <w:color w:val="000000"/>
          <w:lang w:val="es-ES_tradnl"/>
        </w:rPr>
      </w:pPr>
    </w:p>
    <w:p w:rsidR="002B0231" w:rsidP="002421CC" w:rsidRDefault="003B420E" w14:paraId="38DCC3DA" w14:textId="7D311A2F">
      <w:pPr>
        <w:spacing w:after="0" w:line="276" w:lineRule="auto"/>
        <w:contextualSpacing/>
        <w:jc w:val="both"/>
        <w:rPr>
          <w:rFonts w:ascii="Arial" w:hAnsi="Arial" w:eastAsia="Calibri" w:cs="Arial"/>
          <w:b/>
          <w:color w:val="000000"/>
          <w:kern w:val="2"/>
          <w14:ligatures w14:val="standardContextual"/>
        </w:rPr>
      </w:pPr>
      <w:r>
        <w:rPr>
          <w:rFonts w:ascii="Arial" w:hAnsi="Arial" w:eastAsia="Calibri" w:cs="Arial"/>
          <w:b/>
          <w:color w:val="000000"/>
          <w:kern w:val="2"/>
          <w14:ligatures w14:val="standardContextual"/>
        </w:rPr>
        <w:t>2.2.</w:t>
      </w:r>
      <w:r w:rsidR="008F622E">
        <w:rPr>
          <w:rFonts w:ascii="Arial" w:hAnsi="Arial" w:eastAsia="Calibri" w:cs="Arial"/>
          <w:b/>
          <w:color w:val="000000"/>
          <w:kern w:val="2"/>
          <w14:ligatures w14:val="standardContextual"/>
        </w:rPr>
        <w:t xml:space="preserve"> Fijación</w:t>
      </w:r>
      <w:r w:rsidR="00E47491">
        <w:rPr>
          <w:rFonts w:ascii="Arial" w:hAnsi="Arial" w:eastAsia="Calibri" w:cs="Arial"/>
          <w:b/>
          <w:color w:val="000000"/>
          <w:kern w:val="2"/>
          <w14:ligatures w14:val="standardContextual"/>
        </w:rPr>
        <w:t xml:space="preserve"> de honorarios </w:t>
      </w:r>
      <w:r w:rsidR="00111E41">
        <w:rPr>
          <w:rFonts w:ascii="Arial" w:hAnsi="Arial" w:eastAsia="Calibri" w:cs="Arial"/>
          <w:b/>
          <w:color w:val="000000"/>
          <w:kern w:val="2"/>
          <w14:ligatures w14:val="standardContextual"/>
        </w:rPr>
        <w:t>en</w:t>
      </w:r>
      <w:r w:rsidR="00E47491">
        <w:rPr>
          <w:rFonts w:ascii="Arial" w:hAnsi="Arial" w:eastAsia="Calibri" w:cs="Arial"/>
          <w:b/>
          <w:color w:val="000000"/>
          <w:kern w:val="2"/>
          <w14:ligatures w14:val="standardContextual"/>
        </w:rPr>
        <w:t xml:space="preserve"> los contratos de prestación de servicios</w:t>
      </w:r>
    </w:p>
    <w:p w:rsidR="00E47491" w:rsidP="00262637" w:rsidRDefault="00E47491" w14:paraId="5915FF72" w14:textId="77777777">
      <w:pPr>
        <w:spacing w:before="120" w:after="0" w:line="276" w:lineRule="auto"/>
        <w:contextualSpacing/>
        <w:jc w:val="both"/>
        <w:rPr>
          <w:rFonts w:ascii="Arial" w:hAnsi="Arial" w:eastAsia="Calibri" w:cs="Arial"/>
          <w:b/>
          <w:color w:val="000000"/>
          <w:kern w:val="2"/>
          <w14:ligatures w14:val="standardContextual"/>
        </w:rPr>
      </w:pPr>
    </w:p>
    <w:p w:rsidR="00E47491" w:rsidP="002421CC" w:rsidRDefault="00E47491" w14:paraId="59F816C1" w14:textId="4AAC7F77">
      <w:pPr>
        <w:spacing w:after="0" w:line="276" w:lineRule="auto"/>
        <w:contextualSpacing/>
        <w:jc w:val="both"/>
        <w:rPr>
          <w:rFonts w:ascii="Arial" w:hAnsi="Arial" w:eastAsia="Calibri" w:cs="Arial"/>
          <w:bCs/>
          <w:color w:val="000000"/>
          <w:kern w:val="2"/>
          <w14:ligatures w14:val="standardContextual"/>
        </w:rPr>
      </w:pPr>
      <w:r>
        <w:rPr>
          <w:rFonts w:ascii="Arial" w:hAnsi="Arial" w:eastAsia="Calibri" w:cs="Arial"/>
          <w:bCs/>
          <w:color w:val="000000"/>
          <w:kern w:val="2"/>
          <w14:ligatures w14:val="standardContextual"/>
        </w:rPr>
        <w:t>En relación</w:t>
      </w:r>
      <w:r w:rsidR="005D645B">
        <w:rPr>
          <w:rFonts w:ascii="Arial" w:hAnsi="Arial" w:eastAsia="Calibri" w:cs="Arial"/>
          <w:bCs/>
          <w:color w:val="000000"/>
          <w:kern w:val="2"/>
          <w14:ligatures w14:val="standardContextual"/>
        </w:rPr>
        <w:t xml:space="preserve"> con el objeto bajo consulta, es </w:t>
      </w:r>
      <w:r w:rsidRPr="00A80116" w:rsidR="005D645B">
        <w:rPr>
          <w:rFonts w:ascii="Arial" w:hAnsi="Arial" w:eastAsia="Calibri" w:cs="Arial"/>
          <w:bCs/>
          <w:color w:val="000000"/>
          <w:kern w:val="2"/>
          <w14:ligatures w14:val="standardContextual"/>
        </w:rPr>
        <w:t xml:space="preserve">pertinente precisar que no existe en el sistema de compra y contratación pública una disposición que establezca la forma en la que </w:t>
      </w:r>
      <w:r w:rsidRPr="00A80116" w:rsidR="005C44E4">
        <w:rPr>
          <w:rFonts w:ascii="Arial" w:hAnsi="Arial" w:eastAsia="Calibri" w:cs="Arial"/>
          <w:bCs/>
          <w:color w:val="000000"/>
          <w:kern w:val="2"/>
          <w14:ligatures w14:val="standardContextual"/>
        </w:rPr>
        <w:t>deberían fijarse los honorarios de los contratistas de prestación de servi</w:t>
      </w:r>
      <w:r w:rsidRPr="00A80116" w:rsidR="00D52453">
        <w:rPr>
          <w:rFonts w:ascii="Arial" w:hAnsi="Arial" w:eastAsia="Calibri" w:cs="Arial"/>
          <w:bCs/>
          <w:color w:val="000000"/>
          <w:kern w:val="2"/>
          <w14:ligatures w14:val="standardContextual"/>
        </w:rPr>
        <w:t>cios profesionales, de apoyo a la gestión y de trabajas artísticos, pues en virtud del principio de autonomía de la voluntad, las partes pueden determinar el contenido de los contratos estatales</w:t>
      </w:r>
      <w:r w:rsidR="00D52453">
        <w:rPr>
          <w:rFonts w:ascii="Arial" w:hAnsi="Arial" w:eastAsia="Calibri" w:cs="Arial"/>
          <w:bCs/>
          <w:color w:val="000000"/>
          <w:kern w:val="2"/>
          <w14:ligatures w14:val="standardContextual"/>
        </w:rPr>
        <w:t xml:space="preserve"> e incluir las condiciones, cláusulas o estipulaciones que consideren necesarias para desarrollar el objeto contractual, siempre que no sean contrarias a la Constitución Política, la ley y el orden público</w:t>
      </w:r>
      <w:r w:rsidR="00262637">
        <w:rPr>
          <w:rFonts w:ascii="Arial" w:hAnsi="Arial" w:eastAsia="Calibri" w:cs="Arial"/>
          <w:bCs/>
          <w:color w:val="000000"/>
          <w:kern w:val="2"/>
          <w14:ligatures w14:val="standardContextual"/>
        </w:rPr>
        <w:t>.</w:t>
      </w:r>
    </w:p>
    <w:p w:rsidR="00262637" w:rsidP="00262637" w:rsidRDefault="00CD4B57" w14:paraId="3D87838D" w14:textId="3C50EA69">
      <w:pPr>
        <w:spacing w:before="120" w:after="120" w:line="276" w:lineRule="auto"/>
        <w:ind w:firstLine="709"/>
        <w:jc w:val="both"/>
        <w:rPr>
          <w:rFonts w:ascii="Arial" w:hAnsi="Arial" w:eastAsia="Calibri" w:cs="Arial"/>
          <w:bCs/>
          <w:color w:val="000000"/>
          <w:kern w:val="2"/>
          <w14:ligatures w14:val="standardContextual"/>
        </w:rPr>
      </w:pPr>
      <w:r>
        <w:rPr>
          <w:rFonts w:ascii="Arial" w:hAnsi="Arial" w:eastAsia="Calibri" w:cs="Arial"/>
          <w:bCs/>
          <w:color w:val="000000"/>
          <w:kern w:val="2"/>
          <w14:ligatures w14:val="standardContextual"/>
        </w:rPr>
        <w:t>Los entes estatales</w:t>
      </w:r>
      <w:r w:rsidR="00795E69">
        <w:rPr>
          <w:rFonts w:ascii="Arial" w:hAnsi="Arial" w:eastAsia="Calibri" w:cs="Arial"/>
          <w:bCs/>
          <w:color w:val="000000"/>
          <w:kern w:val="2"/>
          <w14:ligatures w14:val="standardContextual"/>
        </w:rPr>
        <w:t xml:space="preserve"> durante la etapa de planeación, tiene</w:t>
      </w:r>
      <w:r>
        <w:rPr>
          <w:rFonts w:ascii="Arial" w:hAnsi="Arial" w:eastAsia="Calibri" w:cs="Arial"/>
          <w:bCs/>
          <w:color w:val="000000"/>
          <w:kern w:val="2"/>
          <w14:ligatures w14:val="standardContextual"/>
        </w:rPr>
        <w:t>n</w:t>
      </w:r>
      <w:r w:rsidR="00795E69">
        <w:rPr>
          <w:rFonts w:ascii="Arial" w:hAnsi="Arial" w:eastAsia="Calibri" w:cs="Arial"/>
          <w:bCs/>
          <w:color w:val="000000"/>
          <w:kern w:val="2"/>
          <w14:ligatures w14:val="standardContextual"/>
        </w:rPr>
        <w:t xml:space="preserve"> el deber de realizar el análisis del sector y justificar la modalidad de contratación en los documentos del proceso, que para el caso de los procesos que impliquen una contratación directa y en lo concerniente a los contratos de prestación de servicios profesionales, de apoyo a la gestión y de trabajos artís</w:t>
      </w:r>
      <w:r w:rsidR="00F56F89">
        <w:rPr>
          <w:rFonts w:ascii="Arial" w:hAnsi="Arial" w:eastAsia="Calibri" w:cs="Arial"/>
          <w:bCs/>
          <w:color w:val="000000"/>
          <w:kern w:val="2"/>
          <w14:ligatures w14:val="standardContextual"/>
        </w:rPr>
        <w:t>ticos, se constata en los estudios y documentos previos, los cuales deben indicar, entre otras, las condiciones mínimas exigidas para s</w:t>
      </w:r>
      <w:r w:rsidR="00443E0F">
        <w:rPr>
          <w:rFonts w:ascii="Arial" w:hAnsi="Arial" w:eastAsia="Calibri" w:cs="Arial"/>
          <w:bCs/>
          <w:color w:val="000000"/>
          <w:kern w:val="2"/>
          <w14:ligatures w14:val="standardContextual"/>
        </w:rPr>
        <w:t>uplir la necesidad de la entidad así como los requisitos que debe acreditar el futuro contratista para el cumplimiento del objeto contractual.</w:t>
      </w:r>
    </w:p>
    <w:p w:rsidRPr="00F64F89" w:rsidR="00443E0F" w:rsidP="00262637" w:rsidRDefault="00443E0F" w14:paraId="39F51B76" w14:textId="52B47C55">
      <w:pPr>
        <w:spacing w:before="120" w:after="120" w:line="276" w:lineRule="auto"/>
        <w:ind w:firstLine="709"/>
        <w:jc w:val="both"/>
        <w:rPr>
          <w:rFonts w:ascii="Arial" w:hAnsi="Arial" w:eastAsia="Calibri" w:cs="Arial"/>
          <w:bCs/>
          <w:color w:val="000000"/>
          <w:kern w:val="2"/>
          <w14:ligatures w14:val="standardContextual"/>
        </w:rPr>
      </w:pPr>
      <w:r>
        <w:rPr>
          <w:rFonts w:ascii="Arial" w:hAnsi="Arial" w:eastAsia="Calibri" w:cs="Arial"/>
          <w:bCs/>
          <w:color w:val="000000"/>
          <w:kern w:val="2"/>
          <w14:ligatures w14:val="standardContextual"/>
        </w:rPr>
        <w:t>En ese sentido, las entidades públicas determinan el monto de los honorarios de los contratos de prestación</w:t>
      </w:r>
      <w:r w:rsidR="003C7991">
        <w:rPr>
          <w:rFonts w:ascii="Arial" w:hAnsi="Arial" w:eastAsia="Calibri" w:cs="Arial"/>
          <w:bCs/>
          <w:color w:val="000000"/>
          <w:kern w:val="2"/>
          <w14:ligatures w14:val="standardContextual"/>
        </w:rPr>
        <w:t xml:space="preserve"> de servicios</w:t>
      </w:r>
      <w:r w:rsidR="00922D6D">
        <w:rPr>
          <w:rFonts w:ascii="Arial" w:hAnsi="Arial" w:eastAsia="Calibri" w:cs="Arial"/>
          <w:bCs/>
          <w:color w:val="000000"/>
          <w:kern w:val="2"/>
          <w14:ligatures w14:val="standardContextual"/>
        </w:rPr>
        <w:t xml:space="preserve"> profesionales, de apoyo a la gestión y trabajos artísticos de conformidad con lo establecido en el análisis del sector y en los documentos o estudios previos. </w:t>
      </w:r>
      <w:r w:rsidR="00782188">
        <w:rPr>
          <w:rFonts w:ascii="Arial" w:hAnsi="Arial" w:eastAsia="Calibri" w:cs="Arial"/>
          <w:bCs/>
          <w:color w:val="000000"/>
          <w:kern w:val="2"/>
          <w14:ligatures w14:val="standardContextual"/>
        </w:rPr>
        <w:t>Así pues</w:t>
      </w:r>
      <w:r w:rsidR="003C7991">
        <w:rPr>
          <w:rFonts w:ascii="Arial" w:hAnsi="Arial" w:eastAsia="Calibri" w:cs="Arial"/>
          <w:bCs/>
          <w:color w:val="000000"/>
          <w:kern w:val="2"/>
          <w14:ligatures w14:val="standardContextual"/>
        </w:rPr>
        <w:t>,</w:t>
      </w:r>
      <w:r w:rsidR="00782188">
        <w:rPr>
          <w:rFonts w:ascii="Arial" w:hAnsi="Arial" w:eastAsia="Calibri" w:cs="Arial"/>
          <w:bCs/>
          <w:color w:val="000000"/>
          <w:kern w:val="2"/>
          <w14:ligatures w14:val="standardContextual"/>
        </w:rPr>
        <w:t xml:space="preserve"> cabe resaltar, que en la Ley 80 de 1993, Ley 1150 de 2007</w:t>
      </w:r>
      <w:r w:rsidR="000A6E69">
        <w:rPr>
          <w:rFonts w:ascii="Arial" w:hAnsi="Arial" w:eastAsia="Calibri" w:cs="Arial"/>
          <w:bCs/>
          <w:color w:val="000000"/>
          <w:kern w:val="2"/>
          <w14:ligatures w14:val="standardContextual"/>
        </w:rPr>
        <w:t xml:space="preserve"> y en el Decreto 1082 de 2015 no se encuentra</w:t>
      </w:r>
      <w:r w:rsidR="003C7991">
        <w:rPr>
          <w:rFonts w:ascii="Arial" w:hAnsi="Arial" w:eastAsia="Calibri" w:cs="Arial"/>
          <w:bCs/>
          <w:color w:val="000000"/>
          <w:kern w:val="2"/>
          <w14:ligatures w14:val="standardContextual"/>
        </w:rPr>
        <w:t>n</w:t>
      </w:r>
      <w:r w:rsidR="000A6E69">
        <w:rPr>
          <w:rFonts w:ascii="Arial" w:hAnsi="Arial" w:eastAsia="Calibri" w:cs="Arial"/>
          <w:bCs/>
          <w:color w:val="000000"/>
          <w:kern w:val="2"/>
          <w14:ligatures w14:val="standardContextual"/>
        </w:rPr>
        <w:t xml:space="preserve"> disposici</w:t>
      </w:r>
      <w:r w:rsidR="003C7991">
        <w:rPr>
          <w:rFonts w:ascii="Arial" w:hAnsi="Arial" w:eastAsia="Calibri" w:cs="Arial"/>
          <w:bCs/>
          <w:color w:val="000000"/>
          <w:kern w:val="2"/>
          <w14:ligatures w14:val="standardContextual"/>
        </w:rPr>
        <w:t>ones</w:t>
      </w:r>
      <w:r w:rsidR="000A6E69">
        <w:rPr>
          <w:rFonts w:ascii="Arial" w:hAnsi="Arial" w:eastAsia="Calibri" w:cs="Arial"/>
          <w:bCs/>
          <w:color w:val="000000"/>
          <w:kern w:val="2"/>
          <w14:ligatures w14:val="standardContextual"/>
        </w:rPr>
        <w:t xml:space="preserve"> que establezca</w:t>
      </w:r>
      <w:r w:rsidR="00315230">
        <w:rPr>
          <w:rFonts w:ascii="Arial" w:hAnsi="Arial" w:eastAsia="Calibri" w:cs="Arial"/>
          <w:bCs/>
          <w:color w:val="000000"/>
          <w:kern w:val="2"/>
          <w14:ligatures w14:val="standardContextual"/>
        </w:rPr>
        <w:t>n</w:t>
      </w:r>
      <w:r w:rsidR="00E35F9D">
        <w:rPr>
          <w:rFonts w:ascii="Arial" w:hAnsi="Arial" w:eastAsia="Calibri" w:cs="Arial"/>
          <w:bCs/>
          <w:color w:val="000000"/>
          <w:kern w:val="2"/>
          <w14:ligatures w14:val="standardContextual"/>
        </w:rPr>
        <w:t xml:space="preserve"> la obligatoriedad de implementar tablas de honorarios o estandarizar perfiles para los contratos de prestación de servicios, pero, lo ante</w:t>
      </w:r>
      <w:r w:rsidR="00DB51B6">
        <w:rPr>
          <w:rFonts w:ascii="Arial" w:hAnsi="Arial" w:eastAsia="Calibri" w:cs="Arial"/>
          <w:bCs/>
          <w:color w:val="000000"/>
          <w:kern w:val="2"/>
          <w14:ligatures w14:val="standardContextual"/>
        </w:rPr>
        <w:t xml:space="preserve">rior, no significa que las </w:t>
      </w:r>
      <w:r w:rsidRPr="00F64F89" w:rsidR="00DB51B6">
        <w:rPr>
          <w:rFonts w:ascii="Arial" w:hAnsi="Arial" w:eastAsia="Calibri" w:cs="Arial"/>
          <w:bCs/>
          <w:color w:val="000000"/>
          <w:kern w:val="2"/>
          <w14:ligatures w14:val="standardContextual"/>
        </w:rPr>
        <w:t>entidades no puedan hacerlo.</w:t>
      </w:r>
    </w:p>
    <w:p w:rsidRPr="00F64F89" w:rsidR="00E824B1" w:rsidP="00BF3D39" w:rsidRDefault="009F03AD" w14:paraId="1749E58A" w14:textId="77777777">
      <w:pPr>
        <w:spacing w:before="120" w:after="120" w:line="276" w:lineRule="auto"/>
        <w:ind w:firstLine="709"/>
        <w:jc w:val="both"/>
        <w:rPr>
          <w:rFonts w:ascii="Arial" w:hAnsi="Arial" w:eastAsia="Calibri" w:cs="Arial"/>
          <w:bCs/>
          <w:color w:val="000000"/>
          <w:kern w:val="2"/>
          <w14:ligatures w14:val="standardContextual"/>
        </w:rPr>
      </w:pPr>
      <w:r w:rsidRPr="00F64F89">
        <w:rPr>
          <w:rFonts w:ascii="Arial" w:hAnsi="Arial" w:eastAsia="Calibri" w:cs="Arial"/>
          <w:bCs/>
          <w:color w:val="000000"/>
          <w:kern w:val="2"/>
          <w14:ligatures w14:val="standardContextual"/>
        </w:rPr>
        <w:t>Ahora bien,</w:t>
      </w:r>
      <w:r w:rsidRPr="00F64F89" w:rsidR="00697EFA">
        <w:rPr>
          <w:rFonts w:ascii="Arial" w:hAnsi="Arial" w:eastAsia="Calibri" w:cs="Arial"/>
          <w:bCs/>
          <w:color w:val="000000"/>
          <w:kern w:val="2"/>
          <w14:ligatures w14:val="standardContextual"/>
        </w:rPr>
        <w:t xml:space="preserve"> teniendo en cuenta lo consultado por el peticionario, se aclara que </w:t>
      </w:r>
      <w:r w:rsidRPr="00F64F89" w:rsidR="004B3F1E">
        <w:rPr>
          <w:rFonts w:ascii="Arial" w:hAnsi="Arial" w:eastAsia="Calibri" w:cs="Arial"/>
          <w:bCs/>
          <w:color w:val="000000"/>
          <w:kern w:val="2"/>
          <w14:ligatures w14:val="standardContextual"/>
        </w:rPr>
        <w:t>la fijación de honorarios incluye impuestos y otros costos que se generen para el contratista con ocasión de la ejecución del contrato</w:t>
      </w:r>
      <w:r w:rsidRPr="00F64F89" w:rsidR="009657BE">
        <w:rPr>
          <w:rFonts w:ascii="Arial" w:hAnsi="Arial" w:eastAsia="Calibri" w:cs="Arial"/>
          <w:bCs/>
          <w:color w:val="000000"/>
          <w:kern w:val="2"/>
          <w14:ligatures w14:val="standardContextual"/>
        </w:rPr>
        <w:t xml:space="preserve"> y, concretamente del IVA, por las siguientes razones:</w:t>
      </w:r>
    </w:p>
    <w:p w:rsidR="00BF3D39" w:rsidP="00BF3D39" w:rsidRDefault="009657BE" w14:paraId="59896700" w14:textId="537E386D">
      <w:pPr>
        <w:spacing w:before="120" w:after="120" w:line="276" w:lineRule="auto"/>
        <w:ind w:firstLine="709"/>
        <w:jc w:val="both"/>
        <w:rPr>
          <w:rFonts w:ascii="Arial" w:hAnsi="Arial" w:eastAsia="Calibri" w:cs="Arial"/>
          <w:bCs/>
          <w:color w:val="000000"/>
          <w:kern w:val="2"/>
          <w14:ligatures w14:val="standardContextual"/>
        </w:rPr>
      </w:pPr>
      <w:r w:rsidRPr="00F64F89">
        <w:rPr>
          <w:rFonts w:ascii="Arial" w:hAnsi="Arial" w:eastAsia="Calibri" w:cs="Arial"/>
          <w:bCs/>
          <w:color w:val="000000"/>
          <w:kern w:val="2"/>
          <w14:ligatures w14:val="standardContextual"/>
        </w:rPr>
        <w:t xml:space="preserve">i) </w:t>
      </w:r>
      <w:r w:rsidRPr="00F64F89" w:rsidR="00246E69">
        <w:rPr>
          <w:rFonts w:ascii="Arial" w:hAnsi="Arial" w:eastAsia="Calibri" w:cs="Arial"/>
          <w:bCs/>
          <w:color w:val="000000"/>
          <w:kern w:val="2"/>
          <w14:ligatures w14:val="standardContextual"/>
        </w:rPr>
        <w:t>S</w:t>
      </w:r>
      <w:r w:rsidRPr="00F64F89">
        <w:rPr>
          <w:rFonts w:ascii="Arial" w:hAnsi="Arial" w:eastAsia="Calibri" w:cs="Arial"/>
          <w:bCs/>
          <w:color w:val="000000"/>
          <w:kern w:val="2"/>
          <w14:ligatures w14:val="standardContextual"/>
        </w:rPr>
        <w:t xml:space="preserve">e entiende por honorarios el pago o la retribución </w:t>
      </w:r>
      <w:r w:rsidRPr="00F64F89" w:rsidR="00BF3D39">
        <w:rPr>
          <w:rFonts w:ascii="Arial" w:hAnsi="Arial" w:eastAsia="Calibri" w:cs="Arial"/>
          <w:bCs/>
          <w:color w:val="000000"/>
          <w:kern w:val="2"/>
          <w14:ligatures w14:val="standardContextual"/>
        </w:rPr>
        <w:t>económica –contraprestación– efectuada en favor de quien realiza en forma independiente una actividad, en</w:t>
      </w:r>
      <w:r w:rsidR="00BF3D39">
        <w:rPr>
          <w:rFonts w:ascii="Arial" w:hAnsi="Arial" w:eastAsia="Calibri" w:cs="Arial"/>
          <w:bCs/>
          <w:color w:val="000000"/>
          <w:kern w:val="2"/>
          <w14:ligatures w14:val="standardContextual"/>
        </w:rPr>
        <w:t xml:space="preserve"> este caso, mediante un contrato de prestación de servicios, es </w:t>
      </w:r>
      <w:r w:rsidR="00321346">
        <w:rPr>
          <w:rFonts w:ascii="Arial" w:hAnsi="Arial" w:eastAsia="Calibri" w:cs="Arial"/>
          <w:bCs/>
          <w:color w:val="000000"/>
          <w:kern w:val="2"/>
          <w14:ligatures w14:val="standardContextual"/>
        </w:rPr>
        <w:t>preciso indicar que el precio o el valor que se da por el objeto del contrato, generalmente en dinero, debe ser determinado o determinable, en los términos de los artículos 1864 y 1865 del Código Civil y, de manera general, está compuesto por dos elementos esenciales</w:t>
      </w:r>
      <w:r w:rsidR="00AA0913">
        <w:rPr>
          <w:rFonts w:ascii="Arial" w:hAnsi="Arial" w:eastAsia="Calibri" w:cs="Arial"/>
          <w:bCs/>
          <w:color w:val="000000"/>
          <w:kern w:val="2"/>
          <w14:ligatures w14:val="standardContextual"/>
        </w:rPr>
        <w:t xml:space="preserve">, a) </w:t>
      </w:r>
      <w:r w:rsidRPr="001930B8" w:rsidR="00AA0913">
        <w:rPr>
          <w:rFonts w:ascii="Arial" w:hAnsi="Arial" w:eastAsia="Calibri" w:cs="Arial"/>
          <w:bCs/>
          <w:i/>
          <w:iCs/>
          <w:color w:val="000000"/>
          <w:kern w:val="2"/>
          <w14:ligatures w14:val="standardContextual"/>
        </w:rPr>
        <w:t>los costos</w:t>
      </w:r>
      <w:r w:rsidR="00AA0913">
        <w:rPr>
          <w:rFonts w:ascii="Arial" w:hAnsi="Arial" w:eastAsia="Calibri" w:cs="Arial"/>
          <w:bCs/>
          <w:color w:val="000000"/>
          <w:kern w:val="2"/>
          <w14:ligatures w14:val="standardContextual"/>
        </w:rPr>
        <w:t xml:space="preserve"> y b) </w:t>
      </w:r>
      <w:r w:rsidRPr="001930B8" w:rsidR="00AA0913">
        <w:rPr>
          <w:rFonts w:ascii="Arial" w:hAnsi="Arial" w:eastAsia="Calibri" w:cs="Arial"/>
          <w:bCs/>
          <w:i/>
          <w:iCs/>
          <w:color w:val="000000"/>
          <w:kern w:val="2"/>
          <w14:ligatures w14:val="standardContextual"/>
        </w:rPr>
        <w:t>la utilidad</w:t>
      </w:r>
      <w:r w:rsidR="00AA0913">
        <w:rPr>
          <w:rFonts w:ascii="Arial" w:hAnsi="Arial" w:eastAsia="Calibri" w:cs="Arial"/>
          <w:bCs/>
          <w:color w:val="000000"/>
          <w:kern w:val="2"/>
          <w14:ligatures w14:val="standardContextual"/>
        </w:rPr>
        <w:t>, cuya estructuración interna depende de las condiciones</w:t>
      </w:r>
      <w:r w:rsidR="00E824B1">
        <w:rPr>
          <w:rFonts w:ascii="Arial" w:hAnsi="Arial" w:eastAsia="Calibri" w:cs="Arial"/>
          <w:bCs/>
          <w:color w:val="000000"/>
          <w:kern w:val="2"/>
          <w14:ligatures w14:val="standardContextual"/>
        </w:rPr>
        <w:t xml:space="preserve"> técnicas, financieras, regulatorias, etc. de ca</w:t>
      </w:r>
      <w:r w:rsidR="00C701EE">
        <w:rPr>
          <w:rFonts w:ascii="Arial" w:hAnsi="Arial" w:eastAsia="Calibri" w:cs="Arial"/>
          <w:bCs/>
          <w:color w:val="000000"/>
          <w:kern w:val="2"/>
          <w14:ligatures w14:val="standardContextual"/>
        </w:rPr>
        <w:t>da contrato</w:t>
      </w:r>
      <w:r w:rsidR="00260E25">
        <w:rPr>
          <w:rFonts w:ascii="Arial" w:hAnsi="Arial" w:eastAsia="Calibri" w:cs="Arial"/>
          <w:bCs/>
          <w:color w:val="000000"/>
          <w:kern w:val="2"/>
          <w14:ligatures w14:val="standardContextual"/>
        </w:rPr>
        <w:t>.</w:t>
      </w:r>
      <w:r w:rsidR="00C701EE">
        <w:rPr>
          <w:rFonts w:ascii="Arial" w:hAnsi="Arial" w:eastAsia="Calibri" w:cs="Arial"/>
          <w:bCs/>
          <w:color w:val="000000"/>
          <w:kern w:val="2"/>
          <w14:ligatures w14:val="standardContextual"/>
        </w:rPr>
        <w:t xml:space="preserve"> </w:t>
      </w:r>
      <w:r w:rsidR="00260E25">
        <w:rPr>
          <w:rFonts w:ascii="Arial" w:hAnsi="Arial" w:eastAsia="Calibri" w:cs="Arial"/>
          <w:bCs/>
          <w:color w:val="000000"/>
          <w:kern w:val="2"/>
          <w14:ligatures w14:val="standardContextual"/>
        </w:rPr>
        <w:t>P</w:t>
      </w:r>
      <w:r w:rsidR="00C701EE">
        <w:rPr>
          <w:rFonts w:ascii="Arial" w:hAnsi="Arial" w:eastAsia="Calibri" w:cs="Arial"/>
          <w:bCs/>
          <w:color w:val="000000"/>
          <w:kern w:val="2"/>
          <w14:ligatures w14:val="standardContextual"/>
        </w:rPr>
        <w:t>or tanto, se puede afirmar que el precio</w:t>
      </w:r>
      <w:r w:rsidR="00246E69">
        <w:rPr>
          <w:rFonts w:ascii="Arial" w:hAnsi="Arial" w:eastAsia="Calibri" w:cs="Arial"/>
          <w:bCs/>
          <w:color w:val="000000"/>
          <w:kern w:val="2"/>
          <w14:ligatures w14:val="standardContextual"/>
        </w:rPr>
        <w:t>, contraprestación o remuneración es el total del valor que paga el comprador por un bien o servicio, y eso incluye impuestos.</w:t>
      </w:r>
    </w:p>
    <w:p w:rsidR="00117732" w:rsidP="00117732" w:rsidRDefault="00246E69" w14:paraId="223ECF16" w14:textId="2A13402A">
      <w:pPr>
        <w:spacing w:before="120" w:after="120" w:line="276" w:lineRule="auto"/>
        <w:ind w:firstLine="709"/>
        <w:jc w:val="both"/>
        <w:rPr>
          <w:rFonts w:ascii="Arial" w:hAnsi="Arial" w:eastAsia="Calibri" w:cs="Arial"/>
          <w:bCs/>
          <w:color w:val="000000"/>
          <w:kern w:val="2"/>
          <w14:ligatures w14:val="standardContextual"/>
        </w:rPr>
      </w:pPr>
      <w:proofErr w:type="spellStart"/>
      <w:r>
        <w:rPr>
          <w:rFonts w:ascii="Arial" w:hAnsi="Arial" w:eastAsia="Calibri" w:cs="Arial"/>
          <w:bCs/>
          <w:color w:val="000000"/>
          <w:kern w:val="2"/>
          <w14:ligatures w14:val="standardContextual"/>
        </w:rPr>
        <w:t>ii</w:t>
      </w:r>
      <w:proofErr w:type="spellEnd"/>
      <w:r>
        <w:rPr>
          <w:rFonts w:ascii="Arial" w:hAnsi="Arial" w:eastAsia="Calibri" w:cs="Arial"/>
          <w:bCs/>
          <w:color w:val="000000"/>
          <w:kern w:val="2"/>
          <w14:ligatures w14:val="standardContextual"/>
        </w:rPr>
        <w:t>) La ejecución de un contrato</w:t>
      </w:r>
      <w:r w:rsidR="004B7F58">
        <w:rPr>
          <w:rFonts w:ascii="Arial" w:hAnsi="Arial" w:eastAsia="Calibri" w:cs="Arial"/>
          <w:bCs/>
          <w:color w:val="000000"/>
          <w:kern w:val="2"/>
          <w14:ligatures w14:val="standardContextual"/>
        </w:rPr>
        <w:t xml:space="preserve"> de prestación de servicios puede involucrar múltiples tributos –</w:t>
      </w:r>
      <w:r w:rsidR="00C03F44">
        <w:rPr>
          <w:rFonts w:ascii="Arial" w:hAnsi="Arial" w:eastAsia="Calibri" w:cs="Arial"/>
          <w:bCs/>
          <w:color w:val="000000"/>
          <w:kern w:val="2"/>
          <w14:ligatures w14:val="standardContextual"/>
        </w:rPr>
        <w:t xml:space="preserve">impuestos (v. gr. Renta, IVA, ICA), tasas y contribuciones– para las partes del contrato, </w:t>
      </w:r>
      <w:r w:rsidR="006C1B75">
        <w:rPr>
          <w:rFonts w:ascii="Arial" w:hAnsi="Arial" w:eastAsia="Calibri" w:cs="Arial"/>
          <w:bCs/>
          <w:color w:val="000000"/>
          <w:kern w:val="2"/>
          <w14:ligatures w14:val="standardContextual"/>
        </w:rPr>
        <w:t>de ahí que</w:t>
      </w:r>
      <w:r w:rsidR="00C03F44">
        <w:rPr>
          <w:rFonts w:ascii="Arial" w:hAnsi="Arial" w:eastAsia="Calibri" w:cs="Arial"/>
          <w:bCs/>
          <w:color w:val="000000"/>
          <w:kern w:val="2"/>
          <w14:ligatures w14:val="standardContextual"/>
        </w:rPr>
        <w:t>, la Entidad Estatal al establecer el valor del contrato debe incluir el impuest</w:t>
      </w:r>
      <w:r w:rsidR="00D562B8">
        <w:rPr>
          <w:rFonts w:ascii="Arial" w:hAnsi="Arial" w:eastAsia="Calibri" w:cs="Arial"/>
          <w:bCs/>
          <w:color w:val="000000"/>
          <w:kern w:val="2"/>
          <w14:ligatures w14:val="standardContextual"/>
        </w:rPr>
        <w:t>o al valor agregado (IVA) siempre que las actividades derivadas de su ejecución o dependiendo del régimen tribu</w:t>
      </w:r>
      <w:r w:rsidR="001A6B42">
        <w:rPr>
          <w:rFonts w:ascii="Arial" w:hAnsi="Arial" w:eastAsia="Calibri" w:cs="Arial"/>
          <w:bCs/>
          <w:color w:val="000000"/>
          <w:kern w:val="2"/>
          <w14:ligatures w14:val="standardContextual"/>
        </w:rPr>
        <w:t>tario del contratista, estén gravadas</w:t>
      </w:r>
      <w:r w:rsidR="00117732">
        <w:rPr>
          <w:rFonts w:ascii="Arial" w:hAnsi="Arial" w:eastAsia="Calibri" w:cs="Arial"/>
          <w:bCs/>
          <w:color w:val="000000"/>
          <w:kern w:val="2"/>
          <w14:ligatures w14:val="standardContextual"/>
        </w:rPr>
        <w:t xml:space="preserve"> con este impuesto, de lo contrario no debe incluirlo.</w:t>
      </w:r>
    </w:p>
    <w:p w:rsidR="001D0DB8" w:rsidP="001D0DB8" w:rsidRDefault="00117732" w14:paraId="240203BC" w14:textId="283B7B04">
      <w:pPr>
        <w:spacing w:before="120" w:after="120" w:line="276" w:lineRule="auto"/>
        <w:ind w:firstLine="709"/>
        <w:jc w:val="both"/>
        <w:rPr>
          <w:rFonts w:ascii="Arial" w:hAnsi="Arial" w:eastAsia="Calibri" w:cs="Arial"/>
          <w:bCs/>
          <w:color w:val="000000"/>
          <w:kern w:val="2"/>
          <w14:ligatures w14:val="standardContextual"/>
        </w:rPr>
      </w:pPr>
      <w:proofErr w:type="spellStart"/>
      <w:r>
        <w:rPr>
          <w:rFonts w:ascii="Arial" w:hAnsi="Arial" w:eastAsia="Calibri" w:cs="Arial"/>
          <w:bCs/>
          <w:color w:val="000000"/>
          <w:kern w:val="2"/>
          <w14:ligatures w14:val="standardContextual"/>
        </w:rPr>
        <w:t>iii</w:t>
      </w:r>
      <w:proofErr w:type="spellEnd"/>
      <w:r>
        <w:rPr>
          <w:rFonts w:ascii="Arial" w:hAnsi="Arial" w:eastAsia="Calibri" w:cs="Arial"/>
          <w:bCs/>
          <w:color w:val="000000"/>
          <w:kern w:val="2"/>
          <w14:ligatures w14:val="standardContextual"/>
        </w:rPr>
        <w:t>) De conformidad con la noción de honora</w:t>
      </w:r>
      <w:r w:rsidR="00BD76EB">
        <w:rPr>
          <w:rFonts w:ascii="Arial" w:hAnsi="Arial" w:eastAsia="Calibri" w:cs="Arial"/>
          <w:bCs/>
          <w:color w:val="000000"/>
          <w:kern w:val="2"/>
          <w14:ligatures w14:val="standardContextual"/>
        </w:rPr>
        <w:t>rios establecido en el Diccionario de la Lengua Española –DEL</w:t>
      </w:r>
      <w:r w:rsidR="007921EF">
        <w:rPr>
          <w:rFonts w:ascii="Arial" w:hAnsi="Arial" w:eastAsia="Calibri" w:cs="Arial"/>
          <w:bCs/>
          <w:color w:val="000000"/>
          <w:kern w:val="2"/>
          <w14:ligatures w14:val="standardContextual"/>
        </w:rPr>
        <w:t>–, que es concepto utilizado en las limitaciones analizadas, este término se define como: “</w:t>
      </w:r>
      <w:r w:rsidR="001D0DB8">
        <w:rPr>
          <w:rFonts w:ascii="Arial" w:hAnsi="Arial" w:eastAsia="Calibri" w:cs="Arial"/>
          <w:bCs/>
          <w:color w:val="000000"/>
          <w:kern w:val="2"/>
          <w14:ligatures w14:val="standardContextual"/>
        </w:rPr>
        <w:t>5. m. pl. Importe de los servicios de algunas profesiones liberales”, adicionalmente, la palabra</w:t>
      </w:r>
      <w:r w:rsidR="00DC29D8">
        <w:rPr>
          <w:rFonts w:ascii="Arial" w:hAnsi="Arial" w:eastAsia="Calibri" w:cs="Arial"/>
          <w:bCs/>
          <w:color w:val="000000"/>
          <w:kern w:val="2"/>
          <w14:ligatures w14:val="standardContextual"/>
        </w:rPr>
        <w:t xml:space="preserve"> importe se define como: “1. </w:t>
      </w:r>
      <w:r w:rsidR="00F838FE">
        <w:rPr>
          <w:rFonts w:ascii="Arial" w:hAnsi="Arial" w:eastAsia="Calibri" w:cs="Arial"/>
          <w:bCs/>
          <w:color w:val="000000"/>
          <w:kern w:val="2"/>
          <w14:ligatures w14:val="standardContextual"/>
        </w:rPr>
        <w:t>m. Cuantía de un precio, crédito, deuda o saldo “.</w:t>
      </w:r>
    </w:p>
    <w:p w:rsidR="00262637" w:rsidP="00EE6D5C" w:rsidRDefault="007878C3" w14:paraId="6692436B" w14:textId="57B1B049">
      <w:pPr>
        <w:spacing w:before="120" w:after="120" w:line="276" w:lineRule="auto"/>
        <w:ind w:firstLine="709"/>
        <w:jc w:val="both"/>
        <w:rPr>
          <w:rFonts w:ascii="Arial" w:hAnsi="Arial" w:eastAsia="Calibri" w:cs="Arial"/>
          <w:bCs/>
          <w:color w:val="000000"/>
          <w:kern w:val="2"/>
          <w14:ligatures w14:val="standardContextual"/>
        </w:rPr>
      </w:pPr>
      <w:r>
        <w:rPr>
          <w:rFonts w:ascii="Arial" w:hAnsi="Arial" w:eastAsia="Calibri" w:cs="Arial"/>
          <w:bCs/>
          <w:color w:val="000000"/>
          <w:kern w:val="2"/>
          <w14:ligatures w14:val="standardContextual"/>
        </w:rPr>
        <w:t>Corolario de lo anterior</w:t>
      </w:r>
      <w:r w:rsidR="00255DF1">
        <w:rPr>
          <w:rFonts w:ascii="Arial" w:hAnsi="Arial" w:eastAsia="Calibri" w:cs="Arial"/>
          <w:bCs/>
          <w:color w:val="000000"/>
          <w:kern w:val="2"/>
          <w14:ligatures w14:val="standardContextual"/>
        </w:rPr>
        <w:t xml:space="preserve">, debe entenderse </w:t>
      </w:r>
      <w:r>
        <w:rPr>
          <w:rFonts w:ascii="Arial" w:hAnsi="Arial" w:eastAsia="Calibri" w:cs="Arial"/>
          <w:bCs/>
          <w:color w:val="000000"/>
          <w:kern w:val="2"/>
          <w14:ligatures w14:val="standardContextual"/>
        </w:rPr>
        <w:t xml:space="preserve">entonces, </w:t>
      </w:r>
      <w:r w:rsidR="00255DF1">
        <w:rPr>
          <w:rFonts w:ascii="Arial" w:hAnsi="Arial" w:eastAsia="Calibri" w:cs="Arial"/>
          <w:bCs/>
          <w:color w:val="000000"/>
          <w:kern w:val="2"/>
          <w14:ligatures w14:val="standardContextual"/>
        </w:rPr>
        <w:t xml:space="preserve">que dentro del valor de los honorarios </w:t>
      </w:r>
      <w:r>
        <w:rPr>
          <w:rFonts w:ascii="Arial" w:hAnsi="Arial" w:eastAsia="Calibri" w:cs="Arial"/>
          <w:bCs/>
          <w:color w:val="000000"/>
          <w:kern w:val="2"/>
          <w14:ligatures w14:val="standardContextual"/>
        </w:rPr>
        <w:t xml:space="preserve">fijados en los contratos de prestación de servicios sin distinción de su especie, </w:t>
      </w:r>
      <w:r w:rsidR="00255DF1">
        <w:rPr>
          <w:rFonts w:ascii="Arial" w:hAnsi="Arial" w:eastAsia="Calibri" w:cs="Arial"/>
          <w:bCs/>
          <w:color w:val="000000"/>
          <w:kern w:val="2"/>
          <w14:ligatures w14:val="standardContextual"/>
        </w:rPr>
        <w:t>están incluidos los costos e impuestos generados con ocasión</w:t>
      </w:r>
      <w:r>
        <w:rPr>
          <w:rFonts w:ascii="Arial" w:hAnsi="Arial" w:eastAsia="Calibri" w:cs="Arial"/>
          <w:bCs/>
          <w:color w:val="000000"/>
          <w:kern w:val="2"/>
          <w14:ligatures w14:val="standardContextual"/>
        </w:rPr>
        <w:t xml:space="preserve"> a </w:t>
      </w:r>
      <w:r w:rsidR="00255DF1">
        <w:rPr>
          <w:rFonts w:ascii="Arial" w:hAnsi="Arial" w:eastAsia="Calibri" w:cs="Arial"/>
          <w:bCs/>
          <w:color w:val="000000"/>
          <w:kern w:val="2"/>
          <w14:ligatures w14:val="standardContextual"/>
        </w:rPr>
        <w:t xml:space="preserve">la ejecución </w:t>
      </w:r>
      <w:r w:rsidR="00705270">
        <w:rPr>
          <w:rFonts w:ascii="Arial" w:hAnsi="Arial" w:eastAsia="Calibri" w:cs="Arial"/>
          <w:bCs/>
          <w:color w:val="000000"/>
          <w:kern w:val="2"/>
          <w14:ligatures w14:val="standardContextual"/>
        </w:rPr>
        <w:t>del contrato</w:t>
      </w:r>
      <w:r w:rsidR="00255DF1">
        <w:rPr>
          <w:rFonts w:ascii="Arial" w:hAnsi="Arial" w:eastAsia="Calibri" w:cs="Arial"/>
          <w:bCs/>
          <w:color w:val="000000"/>
          <w:kern w:val="2"/>
          <w14:ligatures w14:val="standardContextual"/>
        </w:rPr>
        <w:t>, por hacer parte del precio</w:t>
      </w:r>
      <w:r w:rsidR="00802394">
        <w:rPr>
          <w:rFonts w:ascii="Arial" w:hAnsi="Arial" w:eastAsia="Calibri" w:cs="Arial"/>
          <w:bCs/>
          <w:color w:val="000000"/>
          <w:kern w:val="2"/>
          <w14:ligatures w14:val="standardContextual"/>
        </w:rPr>
        <w:t>.</w:t>
      </w:r>
    </w:p>
    <w:p w:rsidRPr="00CA71FB" w:rsidR="009157E3" w:rsidP="009157E3" w:rsidRDefault="009157E3" w14:paraId="0A685093" w14:textId="77777777">
      <w:pPr>
        <w:spacing w:before="120" w:after="0" w:line="276" w:lineRule="auto"/>
        <w:jc w:val="both"/>
        <w:rPr>
          <w:rFonts w:ascii="Arial" w:hAnsi="Arial" w:eastAsia="Calibri" w:cs="Arial"/>
          <w:bCs/>
          <w:lang w:val="es-MX"/>
        </w:rPr>
      </w:pPr>
      <w:r w:rsidRPr="00CA71FB">
        <w:rPr>
          <w:rFonts w:ascii="Arial" w:hAnsi="Arial" w:eastAsia="Calibri" w:cs="Arial"/>
          <w:color w:val="000000"/>
          <w:kern w:val="2"/>
          <w14:ligatures w14:val="standardContextual"/>
        </w:rPr>
        <w:tab/>
      </w:r>
    </w:p>
    <w:p w:rsidRPr="00CA71FB" w:rsidR="009157E3" w:rsidP="009157E3" w:rsidRDefault="009157E3" w14:paraId="5EE7DCB4" w14:textId="77777777">
      <w:pPr>
        <w:tabs>
          <w:tab w:val="left" w:pos="284"/>
        </w:tabs>
        <w:spacing w:after="0" w:line="276" w:lineRule="auto"/>
        <w:contextualSpacing/>
        <w:jc w:val="both"/>
        <w:rPr>
          <w:rFonts w:ascii="Arial" w:hAnsi="Arial" w:eastAsia="Calibri" w:cs="Arial"/>
          <w:b/>
          <w:lang w:val="es-MX"/>
        </w:rPr>
      </w:pPr>
      <w:r w:rsidRPr="00000A37">
        <w:rPr>
          <w:rFonts w:ascii="Arial" w:hAnsi="Arial" w:eastAsia="Calibri" w:cs="Arial"/>
          <w:b/>
          <w:lang w:val="es-MX"/>
        </w:rPr>
        <w:t>3. Respuesta</w:t>
      </w:r>
    </w:p>
    <w:p w:rsidRPr="00CA71FB" w:rsidR="009157E3" w:rsidP="009157E3" w:rsidRDefault="009157E3" w14:paraId="000ADEA6" w14:textId="77777777">
      <w:pPr>
        <w:spacing w:after="0" w:line="276" w:lineRule="auto"/>
        <w:jc w:val="both"/>
        <w:rPr>
          <w:rFonts w:ascii="Arial" w:hAnsi="Arial" w:eastAsia="Calibri" w:cs="Arial"/>
          <w:bCs/>
          <w:lang w:val="es-MX"/>
        </w:rPr>
      </w:pPr>
    </w:p>
    <w:p w:rsidRPr="00131E11" w:rsidR="00705270" w:rsidP="00705270" w:rsidRDefault="00705270" w14:paraId="2E67391D" w14:textId="77777777">
      <w:pPr>
        <w:tabs>
          <w:tab w:val="left" w:pos="284"/>
        </w:tabs>
        <w:spacing w:after="0" w:line="240" w:lineRule="auto"/>
        <w:ind w:left="709" w:right="709"/>
        <w:contextualSpacing/>
        <w:jc w:val="both"/>
        <w:rPr>
          <w:rFonts w:ascii="Arial" w:hAnsi="Arial" w:eastAsia="Calibri" w:cs="Arial"/>
          <w:bCs/>
          <w:sz w:val="21"/>
          <w:szCs w:val="21"/>
          <w:lang w:val="es-ES_tradnl"/>
        </w:rPr>
      </w:pPr>
      <w:r w:rsidRPr="00131E11">
        <w:rPr>
          <w:rFonts w:ascii="Arial" w:hAnsi="Arial" w:eastAsia="Calibri" w:cs="Arial"/>
          <w:bCs/>
          <w:sz w:val="21"/>
          <w:szCs w:val="21"/>
          <w:lang w:val="es-ES_tradnl"/>
        </w:rPr>
        <w:t>“Si una entidad fija el valor de la remuneración de los contratistas que prestan servicios profesionales de acuerdo con una tabl</w:t>
      </w:r>
      <w:r>
        <w:rPr>
          <w:rFonts w:ascii="Arial" w:hAnsi="Arial" w:eastAsia="Calibri" w:cs="Arial"/>
          <w:bCs/>
          <w:sz w:val="21"/>
          <w:szCs w:val="21"/>
          <w:lang w:val="es-ES_tradnl"/>
        </w:rPr>
        <w:t xml:space="preserve">a </w:t>
      </w:r>
      <w:r w:rsidRPr="00131E11">
        <w:rPr>
          <w:rFonts w:ascii="Arial" w:hAnsi="Arial" w:eastAsia="Calibri" w:cs="Arial"/>
          <w:bCs/>
          <w:sz w:val="21"/>
          <w:szCs w:val="21"/>
          <w:lang w:val="es-ES_tradnl"/>
        </w:rPr>
        <w:t>interna de Honorarios, y el contratista es responsable de IVA, ¿el valor fijado en la tabla de honorarios incluye el valor del IVA, o dicho impuesto debe sumarse al valor establecido de la tabla de honorarios?</w:t>
      </w:r>
    </w:p>
    <w:p w:rsidRPr="00131E11" w:rsidR="00705270" w:rsidP="00705270" w:rsidRDefault="00705270" w14:paraId="4906D744" w14:textId="77777777">
      <w:pPr>
        <w:spacing w:before="120" w:after="120" w:line="240" w:lineRule="auto"/>
        <w:ind w:left="709" w:right="709"/>
        <w:jc w:val="both"/>
        <w:rPr>
          <w:rFonts w:ascii="Arial" w:hAnsi="Arial" w:eastAsia="Calibri" w:cs="Arial"/>
          <w:bCs/>
          <w:sz w:val="21"/>
          <w:szCs w:val="21"/>
          <w:lang w:val="es-ES_tradnl"/>
        </w:rPr>
      </w:pPr>
      <w:r w:rsidRPr="00131E11">
        <w:rPr>
          <w:rFonts w:ascii="Arial" w:hAnsi="Arial" w:eastAsia="Calibri" w:cs="Arial"/>
          <w:bCs/>
          <w:sz w:val="21"/>
          <w:szCs w:val="21"/>
          <w:lang w:val="es-ES_tradnl"/>
        </w:rPr>
        <w:t>Si la entidad pública decide incluir el IVA del valor establecido en la tabla de honorarios y en consecuencia es el contratista quien asume el IVA, y se desagrega el valor de los honorarios y del IVA en la cláusula de pago del contrato estableciendo la cuantía de cada uno, y en ejecución del contrato el contratista deja de ser responsable de IVA, ¿ese valor del IVA pasa a ser de propiedad de la entidad pública y debe liberarse presupuestalmente? ¿debe disminuirse el valor del contrato? o por el contrario ¿ese valor debe pagarse al contratista como honorarios? [</w:t>
      </w:r>
      <w:r w:rsidRPr="00131E11">
        <w:rPr>
          <w:rFonts w:ascii="Arial" w:hAnsi="Arial" w:eastAsia="Calibri" w:cs="Arial"/>
          <w:bCs/>
          <w:sz w:val="21"/>
          <w:szCs w:val="21"/>
          <w:lang w:val="es-MX"/>
        </w:rPr>
        <w:t>sic</w:t>
      </w:r>
      <w:r w:rsidRPr="00131E11">
        <w:rPr>
          <w:rFonts w:ascii="Arial" w:hAnsi="Arial" w:eastAsia="Calibri" w:cs="Arial"/>
          <w:bCs/>
          <w:sz w:val="21"/>
          <w:szCs w:val="21"/>
          <w:lang w:val="es-ES_tradnl"/>
        </w:rPr>
        <w:t>]”</w:t>
      </w:r>
    </w:p>
    <w:p w:rsidRPr="00CA71FB" w:rsidR="00705270" w:rsidP="00705270" w:rsidRDefault="00705270" w14:paraId="267D1B5B" w14:textId="77777777">
      <w:pPr>
        <w:spacing w:after="0" w:line="276" w:lineRule="auto"/>
        <w:jc w:val="both"/>
        <w:rPr>
          <w:rFonts w:ascii="Arial" w:hAnsi="Arial" w:eastAsia="Calibri" w:cs="Arial"/>
          <w:lang w:val="es-ES_tradnl"/>
        </w:rPr>
      </w:pPr>
    </w:p>
    <w:p w:rsidR="00705270" w:rsidP="009157E3" w:rsidRDefault="007822C6" w14:paraId="46C17FA6" w14:textId="0B58CB3C">
      <w:pPr>
        <w:spacing w:after="0" w:line="276" w:lineRule="auto"/>
        <w:jc w:val="both"/>
        <w:rPr>
          <w:rFonts w:ascii="Arial" w:hAnsi="Arial" w:eastAsia="Calibri" w:cs="Arial"/>
          <w:color w:val="000000"/>
          <w:kern w:val="2"/>
          <w14:ligatures w14:val="standardContextual"/>
        </w:rPr>
      </w:pPr>
      <w:r>
        <w:rPr>
          <w:rStyle w:val="normaltextrun"/>
          <w:rFonts w:ascii="Arial" w:hAnsi="Arial" w:cs="Arial"/>
          <w:color w:val="000000"/>
          <w:shd w:val="clear" w:color="auto" w:fill="FFFFFF"/>
        </w:rPr>
        <w:t xml:space="preserve">De manera preliminar, es necesario tener en cuenta que esta entidad sólo es competente para responder solicitudes sobre la aplicación de normas de carácter general en materia de compras y contratación pública. En ese sentido, resolver casos particulares desborda las atribuciones </w:t>
      </w:r>
      <w:r>
        <w:rPr>
          <w:rStyle w:val="normaltextrun"/>
          <w:rFonts w:ascii="Arial" w:hAnsi="Arial" w:cs="Arial"/>
          <w:color w:val="000000"/>
          <w:shd w:val="clear" w:color="auto" w:fill="FFFFFF"/>
        </w:rPr>
        <w:t>asignadas por el legislador extraordinario, que no concibió a Colombia Compra Eficiente como una autoridad para solucionar problemas jurídicos particulares de todos los participantes de la contratación estatal. Por ello, esta competencia de interpretación de normas generales, por definición, no puede extenderse a la resolución de controversias, ni a brindar asesorías sobre casos puntuales.</w:t>
      </w:r>
      <w:r>
        <w:rPr>
          <w:rStyle w:val="eop"/>
          <w:rFonts w:ascii="Arial" w:hAnsi="Arial" w:cs="Arial"/>
          <w:color w:val="000000"/>
          <w:shd w:val="clear" w:color="auto" w:fill="FFFFFF"/>
        </w:rPr>
        <w:t> </w:t>
      </w:r>
    </w:p>
    <w:p w:rsidRPr="00000A37" w:rsidR="00000A37" w:rsidP="00000A37" w:rsidRDefault="00000A37" w14:paraId="5FCFA771" w14:textId="77777777">
      <w:pPr>
        <w:widowControl w:val="0"/>
        <w:autoSpaceDE w:val="0"/>
        <w:autoSpaceDN w:val="0"/>
        <w:spacing w:before="120" w:after="120" w:line="276" w:lineRule="auto"/>
        <w:ind w:firstLine="709"/>
        <w:jc w:val="both"/>
        <w:rPr>
          <w:rFonts w:ascii="Arial" w:hAnsi="Arial" w:eastAsia="Calibri" w:cs="Arial"/>
          <w:bCs/>
          <w:color w:val="000000"/>
          <w:kern w:val="2"/>
          <w:lang w:val="es-ES"/>
          <w14:ligatures w14:val="standardContextual"/>
        </w:rPr>
      </w:pPr>
      <w:r w:rsidRPr="00000A37">
        <w:rPr>
          <w:rFonts w:ascii="Arial MT" w:hAnsi="Arial MT" w:eastAsia="Arial MT" w:cs="Arial MT"/>
          <w:lang w:val="es-ES"/>
        </w:rPr>
        <w:t xml:space="preserve">Como se expresó en el considerando 2.2 de este concepto, </w:t>
      </w:r>
      <w:r w:rsidRPr="00000A37">
        <w:rPr>
          <w:rFonts w:ascii="Arial" w:hAnsi="Arial" w:eastAsia="Calibri" w:cs="Arial"/>
          <w:bCs/>
          <w:color w:val="000000"/>
          <w:kern w:val="2"/>
          <w:lang w:val="es-ES"/>
          <w14:ligatures w14:val="standardContextual"/>
        </w:rPr>
        <w:t>las entidades públicas determinan el monto de los honorarios de los contratos de prestación de servicios profesionales, de apoyo a la gestión y trabajos artísticos de conformidad con lo establecido en el análisis del sector y en los documentos o estudios previos. Así pues, cabe resaltar, que en la Ley 80 de 1993, Ley 1150 de 2007 y en el Decreto 1082 de 2015 no se encuentran disposiciones que establezcan la obligatoriedad de implementar tablas de honorarios o estandarizar perfiles para los contratos de prestación de servicios, pero, lo anterior, no significa que las entidades no puedan hacerlo.</w:t>
      </w:r>
    </w:p>
    <w:p w:rsidRPr="00000A37" w:rsidR="00000A37" w:rsidP="00000A37" w:rsidRDefault="00000A37" w14:paraId="3C57868C" w14:textId="3F915AFA">
      <w:pPr>
        <w:widowControl w:val="0"/>
        <w:autoSpaceDE w:val="0"/>
        <w:autoSpaceDN w:val="0"/>
        <w:spacing w:before="120" w:after="120" w:line="276" w:lineRule="auto"/>
        <w:ind w:firstLine="709"/>
        <w:jc w:val="both"/>
        <w:rPr>
          <w:rFonts w:ascii="Arial" w:hAnsi="Arial" w:eastAsia="Calibri" w:cs="Arial"/>
          <w:bCs/>
          <w:color w:val="000000"/>
          <w:kern w:val="2"/>
          <w:lang w:val="es-ES"/>
          <w14:ligatures w14:val="standardContextual"/>
        </w:rPr>
      </w:pPr>
      <w:r w:rsidRPr="00000A37">
        <w:rPr>
          <w:rFonts w:ascii="Arial" w:hAnsi="Arial" w:eastAsia="Calibri" w:cs="Arial"/>
          <w:bCs/>
          <w:color w:val="000000"/>
          <w:kern w:val="2"/>
          <w:lang w:val="es-ES"/>
          <w14:ligatures w14:val="standardContextual"/>
        </w:rPr>
        <w:t>Finalmente se aclara, que en la fijación de honorarios se incluyen impuestos y otros costos que se generen para el contratista con ocasión de la ejecución del contrato y, concretamente del IVA. Esto en razón a que, la ejecución de un contrato de prestación de servicios puede involucrar múltiples tributos –impuestos (v. gr. Renta, IVA, ICA), tasas y contribuciones– para las partes del contrato, de ahí que, la Entidad Estatal al establecer el valor estimado del contrato debe incluir el impuesto al valor agregado (IVA) siempre que las actividades derivadas de su ejecución o dependiendo del régimen tributario del contratista, estén gravadas con este impuesto, de lo contrario no debe incluirlo</w:t>
      </w:r>
      <w:r w:rsidR="00BD65D6">
        <w:rPr>
          <w:rFonts w:ascii="Arial" w:hAnsi="Arial" w:eastAsia="Calibri" w:cs="Arial"/>
          <w:bCs/>
          <w:color w:val="000000"/>
          <w:kern w:val="2"/>
          <w:lang w:val="es-ES"/>
          <w14:ligatures w14:val="standardContextual"/>
        </w:rPr>
        <w:t>, en todo caso cada entidad deberá analizar y determinar las con</w:t>
      </w:r>
      <w:r w:rsidR="00511794">
        <w:rPr>
          <w:rFonts w:ascii="Arial" w:hAnsi="Arial" w:eastAsia="Calibri" w:cs="Arial"/>
          <w:bCs/>
          <w:color w:val="000000"/>
          <w:kern w:val="2"/>
          <w:lang w:val="es-ES"/>
          <w14:ligatures w14:val="standardContextual"/>
        </w:rPr>
        <w:t xml:space="preserve">diciones a estipular en el contrato para su debida ejecución contractual, lo anterior, </w:t>
      </w:r>
      <w:r w:rsidR="00BD65D6">
        <w:rPr>
          <w:rFonts w:ascii="Arial" w:hAnsi="Arial" w:eastAsia="Calibri" w:cs="Arial"/>
          <w:bCs/>
          <w:color w:val="000000"/>
          <w:kern w:val="2"/>
          <w:lang w:val="es-ES"/>
          <w14:ligatures w14:val="standardContextual"/>
        </w:rPr>
        <w:t>bajo</w:t>
      </w:r>
      <w:r w:rsidR="00511794">
        <w:rPr>
          <w:rFonts w:ascii="Arial" w:hAnsi="Arial" w:eastAsia="Calibri" w:cs="Arial"/>
          <w:bCs/>
          <w:color w:val="000000"/>
          <w:kern w:val="2"/>
          <w:lang w:val="es-ES"/>
          <w14:ligatures w14:val="standardContextual"/>
        </w:rPr>
        <w:t xml:space="preserve"> la facultad discrecional de la cual gozan las Entidades Estatales.</w:t>
      </w:r>
    </w:p>
    <w:p w:rsidR="00705270" w:rsidP="007822C6" w:rsidRDefault="00705270" w14:paraId="39E1F3D3" w14:textId="77777777">
      <w:pPr>
        <w:spacing w:before="120" w:after="0" w:line="276" w:lineRule="auto"/>
        <w:jc w:val="both"/>
        <w:rPr>
          <w:rFonts w:ascii="Arial" w:hAnsi="Arial" w:eastAsia="Calibri" w:cs="Arial"/>
          <w:color w:val="000000"/>
          <w:kern w:val="2"/>
          <w14:ligatures w14:val="standardContextual"/>
        </w:rPr>
      </w:pPr>
    </w:p>
    <w:p w:rsidRPr="00CA71FB" w:rsidR="009157E3" w:rsidP="009157E3" w:rsidRDefault="009157E3" w14:paraId="52BCCD03" w14:textId="74F38FCA">
      <w:pPr>
        <w:spacing w:after="0" w:line="276" w:lineRule="auto"/>
        <w:jc w:val="both"/>
        <w:rPr>
          <w:rFonts w:ascii="Arial" w:hAnsi="Arial" w:eastAsia="Calibri" w:cs="Arial"/>
          <w:color w:val="000000"/>
          <w:kern w:val="2"/>
          <w14:ligatures w14:val="standardContextual"/>
        </w:rPr>
      </w:pPr>
      <w:r w:rsidRPr="00CA71FB">
        <w:rPr>
          <w:rFonts w:ascii="Arial" w:hAnsi="Arial" w:eastAsia="Calibri" w:cs="Arial"/>
          <w:color w:val="000000"/>
          <w:kern w:val="2"/>
          <w14:ligatures w14:val="standardContextua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rsidRPr="00CA71FB" w:rsidR="009157E3" w:rsidP="009157E3" w:rsidRDefault="009157E3" w14:paraId="3011BD77" w14:textId="77777777">
      <w:pPr>
        <w:spacing w:after="0" w:line="276" w:lineRule="auto"/>
        <w:jc w:val="both"/>
        <w:rPr>
          <w:rFonts w:ascii="Arial" w:hAnsi="Arial" w:eastAsia="Calibri" w:cs="Arial"/>
          <w:color w:val="000000"/>
          <w:kern w:val="2"/>
          <w14:ligatures w14:val="standardContextual"/>
        </w:rPr>
      </w:pPr>
    </w:p>
    <w:p w:rsidRPr="00CA71FB" w:rsidR="009157E3" w:rsidP="009157E3" w:rsidRDefault="009157E3" w14:paraId="339E3BBF" w14:textId="77777777">
      <w:pPr>
        <w:spacing w:after="0" w:line="240" w:lineRule="auto"/>
        <w:rPr>
          <w:rFonts w:ascii="Arial" w:hAnsi="Arial" w:eastAsia="Calibri" w:cs="Arial"/>
          <w:bCs/>
          <w:lang w:val="es-MX"/>
        </w:rPr>
      </w:pPr>
      <w:r w:rsidRPr="00CA71FB">
        <w:rPr>
          <w:rFonts w:ascii="Arial" w:hAnsi="Arial" w:eastAsia="Calibri" w:cs="Arial"/>
          <w:bCs/>
          <w:lang w:val="es-MX"/>
        </w:rPr>
        <w:t>Atentamente,</w:t>
      </w:r>
    </w:p>
    <w:p w:rsidRPr="00CA71FB" w:rsidR="009157E3" w:rsidP="009157E3" w:rsidRDefault="009157E3" w14:paraId="5866ED18" w14:textId="77777777">
      <w:pPr>
        <w:spacing w:after="0" w:line="240" w:lineRule="auto"/>
        <w:rPr>
          <w:rFonts w:ascii="Arial" w:hAnsi="Arial" w:eastAsia="Calibri" w:cs="Arial"/>
          <w:bCs/>
          <w:lang w:val="es-MX"/>
        </w:rPr>
      </w:pPr>
    </w:p>
    <w:p w:rsidRPr="00CA71FB" w:rsidR="009157E3" w:rsidP="009157E3" w:rsidRDefault="00E849BD" w14:paraId="7FA2A255" w14:textId="148A47FB">
      <w:pPr>
        <w:spacing w:after="0" w:line="240" w:lineRule="auto"/>
        <w:jc w:val="center"/>
        <w:rPr>
          <w:rFonts w:ascii="Arial" w:hAnsi="Arial" w:eastAsia="Times New Roman" w:cs="Arial"/>
          <w:lang w:val="es-MX" w:eastAsia="es-CO"/>
        </w:rPr>
      </w:pPr>
      <w:r>
        <w:rPr>
          <w:rFonts w:ascii="Arial" w:hAnsi="Arial" w:eastAsia="Calibri" w:cs="Arial"/>
          <w:noProof/>
          <w:color w:val="3B3838"/>
          <w:shd w:val="clear" w:color="auto" w:fill="FFFFFF"/>
          <w:lang w:val="es-ES"/>
        </w:rPr>
        <w:drawing>
          <wp:inline distT="0" distB="0" distL="0" distR="0" wp14:anchorId="1601A40E" wp14:editId="09D6E7E1">
            <wp:extent cx="3152775" cy="1209675"/>
            <wp:effectExtent l="0" t="0" r="9525" b="9525"/>
            <wp:docPr id="92403796"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03796" name="Imagen 2" descr="Texto&#10;&#10;Descripción generada automáticament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52775" cy="1209675"/>
                    </a:xfrm>
                    <a:prstGeom prst="rect">
                      <a:avLst/>
                    </a:prstGeom>
                    <a:noFill/>
                    <a:ln>
                      <a:noFill/>
                    </a:ln>
                  </pic:spPr>
                </pic:pic>
              </a:graphicData>
            </a:graphic>
          </wp:inline>
        </w:drawing>
      </w:r>
      <w:r>
        <w:rPr>
          <w:rFonts w:ascii="Calibri" w:hAnsi="Calibri" w:cs="Calibri"/>
          <w:color w:val="000000"/>
          <w:shd w:val="clear" w:color="auto" w:fill="FFFFFF"/>
        </w:rPr>
        <w:br/>
      </w:r>
      <w:r w:rsidRPr="00CA71FB" w:rsidR="009157E3">
        <w:rPr>
          <w:rFonts w:ascii="Arial" w:hAnsi="Arial" w:eastAsia="Calibri" w:cs="Arial"/>
          <w:color w:val="3B3838"/>
          <w:shd w:val="clear" w:color="auto" w:fill="FFFFFF"/>
          <w:lang w:val="es-ES"/>
        </w:rPr>
        <w:br/>
      </w:r>
      <w:r w:rsidRPr="00CA71FB" w:rsidR="009157E3">
        <w:rPr>
          <w:rFonts w:ascii="Arial" w:hAnsi="Arial" w:eastAsia="Calibri" w:cs="Arial"/>
          <w:color w:val="000000"/>
          <w:shd w:val="clear" w:color="auto" w:fill="FFFFFF"/>
          <w:lang w:val="es-MX"/>
        </w:rPr>
        <w:br/>
      </w:r>
    </w:p>
    <w:tbl>
      <w:tblPr>
        <w:tblStyle w:val="Tablaconcuadrcula21"/>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221"/>
        <w:gridCol w:w="5206"/>
      </w:tblGrid>
      <w:tr w:rsidRPr="00CA71FB" w:rsidR="009157E3" w:rsidTr="0062443E" w14:paraId="0F94002D" w14:textId="77777777">
        <w:trPr>
          <w:trHeight w:val="287"/>
        </w:trPr>
        <w:tc>
          <w:tcPr>
            <w:tcW w:w="1221" w:type="dxa"/>
            <w:vAlign w:val="center"/>
            <w:hideMark/>
          </w:tcPr>
          <w:p w:rsidRPr="00CA71FB" w:rsidR="009157E3" w:rsidP="0062443E" w:rsidRDefault="009157E3" w14:paraId="1D3A974F" w14:textId="77777777">
            <w:pPr>
              <w:rPr>
                <w:rFonts w:ascii="Arial" w:hAnsi="Arial" w:eastAsia="Calibri" w:cs="Arial"/>
                <w:sz w:val="18"/>
                <w:szCs w:val="18"/>
                <w:lang w:val="es-MX" w:eastAsia="es-ES"/>
              </w:rPr>
            </w:pPr>
            <w:r w:rsidRPr="00CA71FB">
              <w:rPr>
                <w:rFonts w:ascii="Arial" w:hAnsi="Arial" w:eastAsia="Calibri" w:cs="Arial"/>
                <w:sz w:val="18"/>
                <w:szCs w:val="18"/>
                <w:lang w:val="es-MX" w:eastAsia="es-ES"/>
              </w:rPr>
              <w:t>Elaboró:</w:t>
            </w:r>
          </w:p>
        </w:tc>
        <w:tc>
          <w:tcPr>
            <w:tcW w:w="5206" w:type="dxa"/>
            <w:tcBorders>
              <w:top w:val="nil"/>
              <w:left w:val="nil"/>
              <w:bottom w:val="dotted" w:color="7F7F7F" w:sz="4" w:space="0"/>
              <w:right w:val="nil"/>
            </w:tcBorders>
            <w:vAlign w:val="center"/>
            <w:hideMark/>
          </w:tcPr>
          <w:p w:rsidRPr="00CA71FB" w:rsidR="009157E3" w:rsidP="0062443E" w:rsidRDefault="009157E3" w14:paraId="6BCB720F" w14:textId="77777777">
            <w:pPr>
              <w:rPr>
                <w:rFonts w:ascii="Arial" w:hAnsi="Arial" w:eastAsia="Calibri" w:cs="Arial"/>
                <w:sz w:val="18"/>
                <w:szCs w:val="18"/>
                <w:lang w:val="es-MX" w:eastAsia="es-ES"/>
              </w:rPr>
            </w:pPr>
          </w:p>
          <w:p w:rsidRPr="00CA71FB" w:rsidR="009157E3" w:rsidP="0062443E" w:rsidRDefault="009157E3" w14:paraId="76E3AAC6" w14:textId="77777777">
            <w:pPr>
              <w:rPr>
                <w:rFonts w:ascii="Arial" w:hAnsi="Arial" w:eastAsia="Calibri" w:cs="Arial"/>
                <w:sz w:val="18"/>
                <w:szCs w:val="18"/>
                <w:lang w:val="es-MX" w:eastAsia="es-ES"/>
              </w:rPr>
            </w:pPr>
            <w:r w:rsidRPr="00CA71FB">
              <w:rPr>
                <w:rFonts w:ascii="Arial" w:hAnsi="Arial" w:eastAsia="Calibri" w:cs="Arial"/>
                <w:sz w:val="18"/>
                <w:szCs w:val="18"/>
                <w:lang w:val="es-MX" w:eastAsia="es-ES"/>
              </w:rPr>
              <w:t>Nasly Yeana Mosquera Rivas</w:t>
            </w:r>
          </w:p>
          <w:p w:rsidRPr="00CA71FB" w:rsidR="009157E3" w:rsidP="0062443E" w:rsidRDefault="009157E3" w14:paraId="171B5B8D" w14:textId="77777777">
            <w:pPr>
              <w:rPr>
                <w:rFonts w:ascii="Arial" w:hAnsi="Arial" w:eastAsia="Calibri" w:cs="Arial"/>
                <w:sz w:val="18"/>
                <w:szCs w:val="18"/>
                <w:lang w:val="es-MX" w:eastAsia="es-ES"/>
              </w:rPr>
            </w:pPr>
            <w:r w:rsidRPr="00CA71FB">
              <w:rPr>
                <w:rFonts w:ascii="Arial" w:hAnsi="Arial" w:eastAsia="Calibri" w:cs="Arial"/>
                <w:sz w:val="18"/>
                <w:szCs w:val="18"/>
                <w:lang w:val="es-MX" w:eastAsia="es-ES"/>
              </w:rPr>
              <w:t>Analista T2–06 de la Subdirección de Gestión Contractual</w:t>
            </w:r>
          </w:p>
        </w:tc>
      </w:tr>
      <w:tr w:rsidRPr="00CA71FB" w:rsidR="009157E3" w:rsidTr="0062443E" w14:paraId="474DE90E" w14:textId="77777777">
        <w:trPr>
          <w:trHeight w:val="300"/>
        </w:trPr>
        <w:tc>
          <w:tcPr>
            <w:tcW w:w="1221" w:type="dxa"/>
            <w:vAlign w:val="center"/>
            <w:hideMark/>
          </w:tcPr>
          <w:p w:rsidRPr="00CA71FB" w:rsidR="009157E3" w:rsidP="0062443E" w:rsidRDefault="009157E3" w14:paraId="3BD76A8E" w14:textId="77777777">
            <w:pPr>
              <w:rPr>
                <w:rFonts w:ascii="Arial" w:hAnsi="Arial" w:eastAsia="Calibri" w:cs="Arial"/>
                <w:sz w:val="18"/>
                <w:szCs w:val="18"/>
                <w:lang w:val="es-MX" w:eastAsia="es-ES"/>
              </w:rPr>
            </w:pPr>
            <w:r w:rsidRPr="00CA71FB">
              <w:rPr>
                <w:rFonts w:ascii="Arial" w:hAnsi="Arial" w:eastAsia="Calibri" w:cs="Arial"/>
                <w:sz w:val="18"/>
                <w:szCs w:val="18"/>
                <w:lang w:val="es-MX" w:eastAsia="es-ES"/>
              </w:rPr>
              <w:t>Revisó:</w:t>
            </w:r>
          </w:p>
        </w:tc>
        <w:tc>
          <w:tcPr>
            <w:tcW w:w="5206" w:type="dxa"/>
            <w:tcBorders>
              <w:top w:val="dotted" w:color="7F7F7F" w:sz="4" w:space="0"/>
              <w:left w:val="nil"/>
              <w:bottom w:val="dotted" w:color="7F7F7F" w:sz="4" w:space="0"/>
              <w:right w:val="nil"/>
            </w:tcBorders>
            <w:vAlign w:val="center"/>
            <w:hideMark/>
          </w:tcPr>
          <w:p w:rsidRPr="00CA71FB" w:rsidR="009157E3" w:rsidP="0062443E" w:rsidRDefault="009157E3" w14:paraId="521FA9DE" w14:textId="77777777">
            <w:pPr>
              <w:jc w:val="both"/>
              <w:rPr>
                <w:rFonts w:ascii="Arial" w:hAnsi="Arial" w:eastAsia="Calibri" w:cs="Arial"/>
                <w:sz w:val="18"/>
                <w:szCs w:val="18"/>
                <w:lang w:val="es-MX" w:eastAsia="es-ES"/>
              </w:rPr>
            </w:pPr>
            <w:r w:rsidRPr="00CA71FB">
              <w:rPr>
                <w:rFonts w:ascii="Arial" w:hAnsi="Arial" w:eastAsia="Calibri" w:cs="Arial"/>
                <w:sz w:val="18"/>
                <w:szCs w:val="18"/>
                <w:lang w:val="es-MX" w:eastAsia="es-ES"/>
              </w:rPr>
              <w:t>Diana Carolina Armenta Celis</w:t>
            </w:r>
          </w:p>
          <w:p w:rsidRPr="00CA71FB" w:rsidR="009157E3" w:rsidP="0062443E" w:rsidRDefault="009157E3" w14:paraId="23C49326" w14:textId="77777777">
            <w:pPr>
              <w:rPr>
                <w:rFonts w:ascii="Arial" w:hAnsi="Arial" w:eastAsia="Calibri" w:cs="Arial"/>
                <w:sz w:val="18"/>
                <w:szCs w:val="18"/>
                <w:lang w:val="es-MX" w:eastAsia="es-ES"/>
              </w:rPr>
            </w:pPr>
            <w:r w:rsidRPr="00CA71FB">
              <w:rPr>
                <w:rFonts w:ascii="Arial" w:hAnsi="Arial" w:eastAsia="Calibri" w:cs="Arial"/>
                <w:sz w:val="18"/>
                <w:szCs w:val="18"/>
                <w:lang w:val="es-MX" w:eastAsia="es-ES"/>
              </w:rPr>
              <w:t>Contratista de la Subdirección de Contractual</w:t>
            </w:r>
          </w:p>
        </w:tc>
      </w:tr>
      <w:tr w:rsidRPr="00CA71FB" w:rsidR="009157E3" w:rsidTr="0062443E" w14:paraId="024C1B2D" w14:textId="77777777">
        <w:trPr>
          <w:trHeight w:val="273"/>
        </w:trPr>
        <w:tc>
          <w:tcPr>
            <w:tcW w:w="1221" w:type="dxa"/>
            <w:vAlign w:val="center"/>
            <w:hideMark/>
          </w:tcPr>
          <w:p w:rsidRPr="00CA71FB" w:rsidR="009157E3" w:rsidP="0062443E" w:rsidRDefault="009157E3" w14:paraId="12F2862C" w14:textId="77777777">
            <w:pPr>
              <w:rPr>
                <w:rFonts w:ascii="Arial" w:hAnsi="Arial" w:eastAsia="Calibri" w:cs="Arial"/>
                <w:sz w:val="18"/>
                <w:szCs w:val="18"/>
                <w:lang w:val="es-MX" w:eastAsia="es-ES"/>
              </w:rPr>
            </w:pPr>
            <w:r w:rsidRPr="00CA71FB">
              <w:rPr>
                <w:rFonts w:ascii="Arial" w:hAnsi="Arial" w:eastAsia="Calibri" w:cs="Arial"/>
                <w:sz w:val="18"/>
                <w:szCs w:val="18"/>
                <w:lang w:val="es-MX" w:eastAsia="es-ES"/>
              </w:rPr>
              <w:t>Aprobó:</w:t>
            </w:r>
          </w:p>
        </w:tc>
        <w:tc>
          <w:tcPr>
            <w:tcW w:w="5206" w:type="dxa"/>
            <w:tcBorders>
              <w:top w:val="dotted" w:color="7F7F7F" w:sz="4" w:space="0"/>
              <w:left w:val="nil"/>
              <w:bottom w:val="dotted" w:color="7F7F7F" w:sz="4" w:space="0"/>
              <w:right w:val="nil"/>
            </w:tcBorders>
            <w:vAlign w:val="center"/>
            <w:hideMark/>
          </w:tcPr>
          <w:p w:rsidRPr="00CA71FB" w:rsidR="009157E3" w:rsidP="0062443E" w:rsidRDefault="009157E3" w14:paraId="7D11EF6B" w14:textId="77777777">
            <w:pPr>
              <w:rPr>
                <w:rFonts w:ascii="Arial" w:hAnsi="Arial" w:eastAsia="Calibri" w:cs="Arial"/>
                <w:sz w:val="18"/>
                <w:szCs w:val="18"/>
                <w:lang w:val="es-MX" w:eastAsia="es-ES"/>
              </w:rPr>
            </w:pPr>
            <w:r w:rsidRPr="00CA71FB">
              <w:rPr>
                <w:rFonts w:ascii="Arial" w:hAnsi="Arial" w:eastAsia="Calibri" w:cs="Arial"/>
                <w:sz w:val="18"/>
                <w:szCs w:val="18"/>
                <w:lang w:val="es-MX" w:eastAsia="es-ES"/>
              </w:rPr>
              <w:t xml:space="preserve">Nohelia del Carmen </w:t>
            </w:r>
            <w:proofErr w:type="spellStart"/>
            <w:r w:rsidRPr="00CA71FB">
              <w:rPr>
                <w:rFonts w:ascii="Arial" w:hAnsi="Arial" w:eastAsia="Calibri" w:cs="Arial"/>
                <w:sz w:val="18"/>
                <w:szCs w:val="18"/>
                <w:lang w:val="es-MX" w:eastAsia="es-ES"/>
              </w:rPr>
              <w:t>Zawady</w:t>
            </w:r>
            <w:proofErr w:type="spellEnd"/>
            <w:r w:rsidRPr="00CA71FB">
              <w:rPr>
                <w:rFonts w:ascii="Arial" w:hAnsi="Arial" w:eastAsia="Calibri" w:cs="Arial"/>
                <w:sz w:val="18"/>
                <w:szCs w:val="18"/>
                <w:lang w:val="es-MX" w:eastAsia="es-ES"/>
              </w:rPr>
              <w:t xml:space="preserve"> Palacio</w:t>
            </w:r>
          </w:p>
          <w:p w:rsidRPr="00CA71FB" w:rsidR="009157E3" w:rsidP="0062443E" w:rsidRDefault="009157E3" w14:paraId="341AC6DF" w14:textId="77777777">
            <w:pPr>
              <w:rPr>
                <w:rFonts w:ascii="Arial" w:hAnsi="Arial" w:eastAsia="Calibri" w:cs="Arial"/>
                <w:sz w:val="18"/>
                <w:szCs w:val="18"/>
                <w:lang w:val="es-MX" w:eastAsia="es-ES"/>
              </w:rPr>
            </w:pPr>
            <w:r w:rsidRPr="00CA71FB">
              <w:rPr>
                <w:rFonts w:ascii="Arial" w:hAnsi="Arial" w:eastAsia="Calibri" w:cs="Arial"/>
                <w:sz w:val="18"/>
                <w:szCs w:val="18"/>
                <w:lang w:val="es-MX" w:eastAsia="es-ES"/>
              </w:rPr>
              <w:t>Subdirectora de Gestión Contractual ANCP – CCE</w:t>
            </w:r>
          </w:p>
        </w:tc>
      </w:tr>
    </w:tbl>
    <w:p w:rsidRPr="00CA71FB" w:rsidR="009157E3" w:rsidP="009157E3" w:rsidRDefault="009157E3" w14:paraId="3CBB4FBC" w14:textId="77777777">
      <w:pPr>
        <w:spacing w:after="0" w:line="240" w:lineRule="auto"/>
        <w:jc w:val="center"/>
        <w:rPr>
          <w:rFonts w:ascii="Arial" w:hAnsi="Arial" w:eastAsia="Calibri" w:cs="Arial"/>
          <w:sz w:val="18"/>
          <w:szCs w:val="18"/>
          <w:lang w:val="es-MX" w:eastAsia="es-CO"/>
        </w:rPr>
      </w:pPr>
    </w:p>
    <w:p w:rsidRPr="00CA71FB" w:rsidR="009157E3" w:rsidP="009157E3" w:rsidRDefault="009157E3" w14:paraId="78EEB696" w14:textId="77777777">
      <w:pPr>
        <w:spacing w:after="0" w:line="240" w:lineRule="auto"/>
        <w:jc w:val="center"/>
        <w:rPr>
          <w:rFonts w:ascii="Arial" w:hAnsi="Arial" w:eastAsia="Calibri" w:cs="Arial"/>
          <w:lang w:val="es-ES_tradnl" w:eastAsia="es-CO"/>
        </w:rPr>
      </w:pPr>
    </w:p>
    <w:p w:rsidR="009157E3" w:rsidP="009157E3" w:rsidRDefault="009157E3" w14:paraId="78DFA0C9" w14:textId="77777777">
      <w:pPr>
        <w:spacing w:after="0"/>
        <w:rPr>
          <w:rFonts w:ascii="Arial Nova" w:hAnsi="Arial Nova"/>
          <w:color w:val="000000" w:themeColor="text1"/>
        </w:rPr>
      </w:pPr>
    </w:p>
    <w:p w:rsidRPr="007566FE" w:rsidR="009157E3" w:rsidP="009157E3" w:rsidRDefault="009157E3" w14:paraId="36282872" w14:textId="77777777">
      <w:pPr>
        <w:spacing w:after="0"/>
        <w:rPr>
          <w:rFonts w:ascii="Arial Nova" w:hAnsi="Arial Nova"/>
          <w:color w:val="000000" w:themeColor="text1"/>
        </w:rPr>
      </w:pPr>
    </w:p>
    <w:p w:rsidR="008E5C2E" w:rsidRDefault="008E5C2E" w14:paraId="1F206453" w14:textId="77777777"/>
    <w:sectPr w:rsidR="008E5C2E" w:rsidSect="0039439C">
      <w:headerReference w:type="default" r:id="rId11"/>
      <w:footerReference w:type="default" r:id="rId12"/>
      <w:pgSz w:w="12240" w:h="15840" w:orient="portrait" w:code="1"/>
      <w:pgMar w:top="1418" w:right="1418" w:bottom="1418" w:left="1418" w:header="850" w:footer="397" w:gutter="0"/>
      <w:pgBorders w:offsetFrom="page">
        <w:top w:val="dotted" w:color="auto" w:sz="4" w:space="24"/>
        <w:left w:val="dotted" w:color="auto" w:sz="4" w:space="24"/>
        <w:bottom w:val="dotted" w:color="auto" w:sz="4" w:space="24"/>
        <w:right w:val="dotted" w:color="auto" w:sz="4" w:space="24"/>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630EE" w:rsidP="009157E3" w:rsidRDefault="002630EE" w14:paraId="02F86734" w14:textId="77777777">
      <w:pPr>
        <w:spacing w:after="0" w:line="240" w:lineRule="auto"/>
      </w:pPr>
      <w:r>
        <w:separator/>
      </w:r>
    </w:p>
  </w:endnote>
  <w:endnote w:type="continuationSeparator" w:id="0">
    <w:p w:rsidR="002630EE" w:rsidP="009157E3" w:rsidRDefault="002630EE" w14:paraId="0B40F043"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Light">
    <w:altName w:val="Calibri"/>
    <w:panose1 w:val="02000503000000020004"/>
    <w:charset w:val="00"/>
    <w:family w:val="modern"/>
    <w:notTrueType/>
    <w:pitch w:val="variable"/>
    <w:sig w:usb0="A000002F" w:usb1="1000004A" w:usb2="00000000" w:usb3="00000000" w:csb0="00000193" w:csb1="00000000"/>
  </w:font>
  <w:font w:name="Arial MT">
    <w:altName w:val="Arial"/>
    <w:charset w:val="01"/>
    <w:family w:val="swiss"/>
    <w:pitch w:val="variable"/>
  </w:font>
  <w:font w:name="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altName w:val="Calibri"/>
    <w:panose1 w:val="02000503000000020004"/>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4A1847" w:rsidP="008614E5" w:rsidRDefault="009157E3" w14:paraId="5DA48649" w14:textId="77777777">
    <w:pPr>
      <w:pStyle w:val="Piedepgina"/>
    </w:pPr>
    <w:r>
      <w:rPr>
        <w:noProof/>
      </w:rPr>
      <w:drawing>
        <wp:inline distT="0" distB="0" distL="0" distR="0" wp14:anchorId="765EDAE5" wp14:editId="30007070">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38"/>
      <w:gridCol w:w="678"/>
      <w:gridCol w:w="844"/>
      <w:gridCol w:w="1784"/>
      <w:gridCol w:w="720"/>
      <w:gridCol w:w="2818"/>
      <w:gridCol w:w="1527"/>
    </w:tblGrid>
    <w:tr w:rsidRPr="00080DA3" w:rsidR="008614E5" w:rsidTr="00A07532" w14:paraId="292D7B55" w14:textId="77777777">
      <w:trPr>
        <w:trHeight w:val="198"/>
        <w:jc w:val="center"/>
      </w:trPr>
      <w:tc>
        <w:tcPr>
          <w:tcW w:w="838" w:type="dxa"/>
          <w:tcBorders>
            <w:top w:val="dotted" w:color="808080" w:themeColor="background1" w:themeShade="80" w:sz="4" w:space="0"/>
            <w:left w:val="dotted" w:color="808080" w:themeColor="background1" w:themeShade="80" w:sz="4" w:space="0"/>
            <w:bottom w:val="dotted" w:color="808080" w:themeColor="background1" w:themeShade="80" w:sz="4" w:space="0"/>
          </w:tcBorders>
          <w:shd w:val="clear" w:color="auto" w:fill="auto"/>
        </w:tcPr>
        <w:p w:rsidRPr="00080DA3" w:rsidR="006219F8" w:rsidP="00A07532" w:rsidRDefault="009157E3" w14:paraId="0BC079A3" w14:textId="77777777">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color="808080" w:themeColor="background1" w:themeShade="80" w:sz="4" w:space="0"/>
            <w:bottom w:val="dotted" w:color="808080" w:themeColor="background1" w:themeShade="80" w:sz="4" w:space="0"/>
            <w:right w:val="dotted" w:color="808080" w:themeColor="background1" w:themeShade="80" w:sz="4" w:space="0"/>
          </w:tcBorders>
          <w:shd w:val="clear" w:color="auto" w:fill="auto"/>
        </w:tcPr>
        <w:p w:rsidRPr="00080DA3" w:rsidR="006219F8" w:rsidP="00A07532" w:rsidRDefault="009157E3" w14:paraId="720710E4" w14:textId="77777777">
          <w:pPr>
            <w:pStyle w:val="Piedepgina"/>
            <w:jc w:val="center"/>
            <w:rPr>
              <w:rFonts w:ascii="Geomanist Light" w:hAnsi="Geomanist Light"/>
              <w:sz w:val="18"/>
              <w:szCs w:val="18"/>
            </w:rPr>
          </w:pPr>
          <w:r w:rsidRPr="00080DA3">
            <w:rPr>
              <w:rFonts w:ascii="Geomanist Light" w:hAnsi="Geomanist Light"/>
              <w:sz w:val="18"/>
              <w:szCs w:val="18"/>
            </w:rPr>
            <w:t>0</w:t>
          </w:r>
          <w:r>
            <w:rPr>
              <w:rFonts w:ascii="Geomanist Light" w:hAnsi="Geomanist Light"/>
              <w:sz w:val="18"/>
              <w:szCs w:val="18"/>
            </w:rPr>
            <w:t>2</w:t>
          </w:r>
        </w:p>
      </w:tc>
      <w:tc>
        <w:tcPr>
          <w:tcW w:w="844" w:type="dxa"/>
          <w:tcBorders>
            <w:top w:val="dotted" w:color="808080" w:themeColor="background1" w:themeShade="80" w:sz="4" w:space="0"/>
            <w:left w:val="dotted" w:color="808080" w:themeColor="background1" w:themeShade="80" w:sz="4" w:space="0"/>
            <w:bottom w:val="dotted" w:color="808080" w:themeColor="background1" w:themeShade="80" w:sz="4" w:space="0"/>
          </w:tcBorders>
          <w:shd w:val="clear" w:color="auto" w:fill="auto"/>
        </w:tcPr>
        <w:p w:rsidRPr="00080DA3" w:rsidR="006219F8" w:rsidP="00A07532" w:rsidRDefault="009157E3" w14:paraId="14200141" w14:textId="77777777">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color="808080" w:themeColor="background1" w:themeShade="80" w:sz="4" w:space="0"/>
            <w:bottom w:val="dotted" w:color="808080" w:themeColor="background1" w:themeShade="80" w:sz="4" w:space="0"/>
            <w:right w:val="dotted" w:color="808080" w:themeColor="background1" w:themeShade="80" w:sz="4" w:space="0"/>
          </w:tcBorders>
          <w:shd w:val="clear" w:color="auto" w:fill="auto"/>
          <w:vAlign w:val="center"/>
        </w:tcPr>
        <w:p w:rsidRPr="004B6B0E" w:rsidR="006219F8" w:rsidP="00A07532" w:rsidRDefault="009157E3" w14:paraId="2ADCC8FF" w14:textId="77777777">
          <w:pPr>
            <w:pBdr>
              <w:top w:val="nil"/>
              <w:left w:val="nil"/>
              <w:bottom w:val="nil"/>
              <w:right w:val="nil"/>
              <w:between w:val="nil"/>
            </w:pBdr>
            <w:tabs>
              <w:tab w:val="center" w:pos="4419"/>
              <w:tab w:val="right" w:pos="8838"/>
              <w:tab w:val="center" w:pos="5400"/>
            </w:tabs>
            <w:jc w:val="center"/>
            <w:rPr>
              <w:rFonts w:ascii="Geomanist Bold" w:hAnsi="Geomanist Bold" w:eastAsia="Geo" w:cs="Geo"/>
              <w:b/>
              <w:color w:val="002060"/>
              <w:lang w:eastAsia="es-CO"/>
            </w:rPr>
          </w:pPr>
          <w:r w:rsidRPr="0000650B">
            <w:rPr>
              <w:rFonts w:ascii="Geomanist Light" w:hAnsi="Geomanist Light" w:eastAsia="Geo" w:cs="Geo"/>
              <w:b/>
              <w:color w:val="000000"/>
              <w:sz w:val="18"/>
              <w:szCs w:val="18"/>
              <w:lang w:eastAsia="es-CO"/>
            </w:rPr>
            <w:t>CCE-</w:t>
          </w:r>
          <w:r>
            <w:rPr>
              <w:rFonts w:ascii="Geomanist Light" w:hAnsi="Geomanist Light" w:eastAsia="Geo" w:cs="Geo"/>
              <w:b/>
              <w:color w:val="000000"/>
              <w:sz w:val="18"/>
              <w:szCs w:val="18"/>
              <w:lang w:eastAsia="es-CO"/>
            </w:rPr>
            <w:t>PQRSD</w:t>
          </w:r>
          <w:r w:rsidRPr="0000650B">
            <w:rPr>
              <w:rFonts w:ascii="Geomanist Light" w:hAnsi="Geomanist Light" w:eastAsia="Geo" w:cs="Geo"/>
              <w:b/>
              <w:color w:val="000000"/>
              <w:sz w:val="18"/>
              <w:szCs w:val="18"/>
              <w:lang w:eastAsia="es-CO"/>
            </w:rPr>
            <w:t>-</w:t>
          </w:r>
          <w:r>
            <w:rPr>
              <w:rFonts w:ascii="Geomanist Light" w:hAnsi="Geomanist Light" w:eastAsia="Geo" w:cs="Geo"/>
              <w:b/>
              <w:color w:val="000000"/>
              <w:sz w:val="18"/>
              <w:szCs w:val="18"/>
              <w:lang w:eastAsia="es-CO"/>
            </w:rPr>
            <w:t>FM</w:t>
          </w:r>
          <w:r w:rsidRPr="0000650B">
            <w:rPr>
              <w:rFonts w:ascii="Geomanist Light" w:hAnsi="Geomanist Light" w:eastAsia="Geo" w:cs="Geo"/>
              <w:b/>
              <w:color w:val="000000"/>
              <w:sz w:val="18"/>
              <w:szCs w:val="18"/>
              <w:lang w:eastAsia="es-CO"/>
            </w:rPr>
            <w:t>-</w:t>
          </w:r>
          <w:r>
            <w:rPr>
              <w:rFonts w:ascii="Geomanist Light" w:hAnsi="Geomanist Light" w:eastAsia="Geo" w:cs="Geo"/>
              <w:b/>
              <w:color w:val="000000"/>
              <w:sz w:val="18"/>
              <w:szCs w:val="18"/>
              <w:lang w:eastAsia="es-CO"/>
            </w:rPr>
            <w:t>08</w:t>
          </w:r>
        </w:p>
      </w:tc>
      <w:tc>
        <w:tcPr>
          <w:tcW w:w="720" w:type="dxa"/>
          <w:tcBorders>
            <w:top w:val="dotted" w:color="808080" w:themeColor="background1" w:themeShade="80" w:sz="4" w:space="0"/>
            <w:left w:val="dotted" w:color="808080" w:themeColor="background1" w:themeShade="80" w:sz="4" w:space="0"/>
            <w:bottom w:val="dotted" w:color="808080" w:themeColor="background1" w:themeShade="80" w:sz="4" w:space="0"/>
          </w:tcBorders>
          <w:shd w:val="clear" w:color="auto" w:fill="auto"/>
        </w:tcPr>
        <w:p w:rsidRPr="00080DA3" w:rsidR="006219F8" w:rsidP="00A07532" w:rsidRDefault="009157E3" w14:paraId="7317A2D2" w14:textId="77777777">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color="808080" w:themeColor="background1" w:themeShade="80" w:sz="4" w:space="0"/>
            <w:bottom w:val="dotted" w:color="808080" w:themeColor="background1" w:themeShade="80" w:sz="4" w:space="0"/>
            <w:right w:val="dotted" w:color="808080" w:themeColor="background1" w:themeShade="80" w:sz="4" w:space="0"/>
          </w:tcBorders>
          <w:shd w:val="clear" w:color="auto" w:fill="auto"/>
        </w:tcPr>
        <w:p w:rsidRPr="00080DA3" w:rsidR="00A07532" w:rsidP="00A07532" w:rsidRDefault="009157E3" w14:paraId="6CCE375D" w14:textId="77777777">
          <w:pPr>
            <w:pStyle w:val="Piedepgina"/>
            <w:jc w:val="center"/>
            <w:rPr>
              <w:rFonts w:ascii="Geomanist Light" w:hAnsi="Geomanist Light"/>
              <w:sz w:val="18"/>
              <w:szCs w:val="18"/>
            </w:rPr>
          </w:pPr>
          <w:r>
            <w:rPr>
              <w:rFonts w:ascii="Geomanist Light" w:hAnsi="Geomanist Light"/>
              <w:sz w:val="18"/>
              <w:szCs w:val="18"/>
            </w:rPr>
            <w:t>28</w:t>
          </w:r>
          <w:r w:rsidRPr="00080DA3">
            <w:rPr>
              <w:rFonts w:ascii="Geomanist Light" w:hAnsi="Geomanist Light"/>
              <w:sz w:val="18"/>
              <w:szCs w:val="18"/>
            </w:rPr>
            <w:t xml:space="preserve"> de </w:t>
          </w:r>
          <w:r>
            <w:rPr>
              <w:rFonts w:ascii="Geomanist Light" w:hAnsi="Geomanist Light"/>
              <w:sz w:val="18"/>
              <w:szCs w:val="18"/>
            </w:rPr>
            <w:t>septiembre</w:t>
          </w:r>
          <w:r w:rsidRPr="00080DA3">
            <w:rPr>
              <w:rFonts w:ascii="Geomanist Light" w:hAnsi="Geomanist Light"/>
              <w:sz w:val="18"/>
              <w:szCs w:val="18"/>
            </w:rPr>
            <w:t xml:space="preserve"> de 202</w:t>
          </w:r>
          <w:r>
            <w:rPr>
              <w:rFonts w:ascii="Geomanist Light" w:hAnsi="Geomanist Light"/>
              <w:sz w:val="18"/>
              <w:szCs w:val="18"/>
            </w:rPr>
            <w:t>2</w:t>
          </w:r>
        </w:p>
      </w:tc>
      <w:tc>
        <w:tcPr>
          <w:tcW w:w="1527" w:type="dxa"/>
          <w:tcBorders>
            <w:top w:val="dotted" w:color="808080" w:themeColor="background1" w:themeShade="80" w:sz="4" w:space="0"/>
            <w:left w:val="dotted" w:color="808080" w:themeColor="background1" w:themeShade="80" w:sz="4" w:space="0"/>
            <w:bottom w:val="dotted" w:color="808080" w:themeColor="background1" w:themeShade="80" w:sz="4" w:space="0"/>
            <w:right w:val="dotted" w:color="808080" w:themeColor="background1" w:themeShade="80" w:sz="4" w:space="0"/>
          </w:tcBorders>
          <w:shd w:val="clear" w:color="auto" w:fill="auto"/>
        </w:tcPr>
        <w:p w:rsidRPr="00080DA3" w:rsidR="006219F8" w:rsidP="00A07532" w:rsidRDefault="009157E3" w14:paraId="3E2EEC56" w14:textId="77777777">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rsidR="006219F8" w:rsidP="00A07532" w:rsidRDefault="00E849BD" w14:paraId="50E1286C" w14:textId="77777777">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630EE" w:rsidP="009157E3" w:rsidRDefault="002630EE" w14:paraId="5DFC1CE2" w14:textId="77777777">
      <w:pPr>
        <w:spacing w:after="0" w:line="240" w:lineRule="auto"/>
      </w:pPr>
      <w:r>
        <w:separator/>
      </w:r>
    </w:p>
  </w:footnote>
  <w:footnote w:type="continuationSeparator" w:id="0">
    <w:p w:rsidR="002630EE" w:rsidP="009157E3" w:rsidRDefault="002630EE" w14:paraId="3E5DF345" w14:textId="77777777">
      <w:pPr>
        <w:spacing w:after="0" w:line="240" w:lineRule="auto"/>
      </w:pPr>
      <w:r>
        <w:continuationSeparator/>
      </w:r>
    </w:p>
  </w:footnote>
  <w:footnote w:id="1">
    <w:p w:rsidRPr="007322CB" w:rsidR="003B420E" w:rsidP="003B420E" w:rsidRDefault="003B420E" w14:paraId="0150C44A" w14:textId="77777777">
      <w:pPr>
        <w:pStyle w:val="Textonotapie"/>
        <w:ind w:firstLine="709"/>
        <w:contextualSpacing/>
        <w:jc w:val="both"/>
        <w:rPr>
          <w:rFonts w:ascii="Arial" w:hAnsi="Arial" w:cs="Arial"/>
          <w:sz w:val="10"/>
          <w:szCs w:val="10"/>
          <w:lang w:val="es-ES"/>
        </w:rPr>
      </w:pPr>
      <w:r w:rsidRPr="007322CB">
        <w:rPr>
          <w:rStyle w:val="Refdenotaalpie"/>
          <w:rFonts w:ascii="Arial" w:hAnsi="Arial" w:cs="Arial"/>
          <w:sz w:val="10"/>
          <w:szCs w:val="10"/>
        </w:rPr>
        <w:footnoteRef/>
      </w:r>
      <w:r w:rsidRPr="007322CB">
        <w:rPr>
          <w:rFonts w:ascii="Arial" w:hAnsi="Arial" w:cs="Arial"/>
          <w:sz w:val="10"/>
          <w:szCs w:val="10"/>
        </w:rPr>
        <w:t xml:space="preserve"> </w:t>
      </w:r>
      <w:r w:rsidRPr="007322CB">
        <w:rPr>
          <w:rFonts w:ascii="Arial" w:hAnsi="Arial" w:cs="Arial"/>
          <w:sz w:val="10"/>
          <w:szCs w:val="10"/>
          <w:lang w:val="es-ES"/>
        </w:rPr>
        <w:t>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 2. Quien presta el servicio se denomina trabajador, quien lo recibe y remunera, empleador, y la remuneración, cualquiera que sea su forma, salario».</w:t>
      </w:r>
    </w:p>
    <w:p w:rsidRPr="007322CB" w:rsidR="003B420E" w:rsidP="003B420E" w:rsidRDefault="003B420E" w14:paraId="1287057B" w14:textId="77777777">
      <w:pPr>
        <w:pStyle w:val="Textonotapie"/>
        <w:ind w:firstLine="709"/>
        <w:contextualSpacing/>
        <w:jc w:val="both"/>
        <w:rPr>
          <w:rFonts w:ascii="Arial" w:hAnsi="Arial" w:cs="Arial"/>
          <w:sz w:val="10"/>
          <w:szCs w:val="10"/>
          <w:lang w:val="es-ES"/>
        </w:rPr>
      </w:pPr>
    </w:p>
  </w:footnote>
  <w:footnote w:id="2">
    <w:p w:rsidRPr="007322CB" w:rsidR="003B420E" w:rsidP="003B420E" w:rsidRDefault="003B420E" w14:paraId="60E9F4CF" w14:textId="77777777">
      <w:pPr>
        <w:pStyle w:val="Textonotapie"/>
        <w:ind w:firstLine="709"/>
        <w:contextualSpacing/>
        <w:jc w:val="both"/>
        <w:rPr>
          <w:rFonts w:ascii="Arial" w:hAnsi="Arial" w:cs="Arial"/>
          <w:sz w:val="10"/>
          <w:szCs w:val="10"/>
          <w:lang w:val="es-ES"/>
        </w:rPr>
      </w:pPr>
      <w:r w:rsidRPr="007322CB">
        <w:rPr>
          <w:rStyle w:val="Refdenotaalpie"/>
          <w:rFonts w:ascii="Arial" w:hAnsi="Arial" w:cs="Arial"/>
          <w:sz w:val="10"/>
          <w:szCs w:val="10"/>
        </w:rPr>
        <w:footnoteRef/>
      </w:r>
      <w:r w:rsidRPr="007322CB">
        <w:rPr>
          <w:rFonts w:ascii="Arial" w:hAnsi="Arial" w:cs="Arial"/>
          <w:sz w:val="10"/>
          <w:szCs w:val="10"/>
        </w:rPr>
        <w:t xml:space="preserve"> </w:t>
      </w:r>
      <w:r w:rsidRPr="007322CB">
        <w:rPr>
          <w:rFonts w:ascii="Arial" w:hAnsi="Arial" w:cs="Arial"/>
          <w:sz w:val="10"/>
          <w:szCs w:val="10"/>
          <w:lang w:val="es-ES"/>
        </w:rPr>
        <w:t>En efecto, el artículo 244 de la Ley 1955 de 2015 dispone, en lo pertinente: «Los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p>
    <w:p w:rsidRPr="007322CB" w:rsidR="003B420E" w:rsidP="003B420E" w:rsidRDefault="003B420E" w14:paraId="0A61863A" w14:textId="77777777">
      <w:pPr>
        <w:pStyle w:val="Textonotapie"/>
        <w:ind w:firstLine="709"/>
        <w:contextualSpacing/>
        <w:jc w:val="both"/>
        <w:rPr>
          <w:rFonts w:ascii="Arial" w:hAnsi="Arial" w:cs="Arial"/>
          <w:sz w:val="10"/>
          <w:szCs w:val="10"/>
          <w:lang w:val="es-ES"/>
        </w:rPr>
      </w:pPr>
      <w:r w:rsidRPr="007322CB">
        <w:rPr>
          <w:rFonts w:ascii="Arial" w:hAnsi="Arial" w:cs="Arial"/>
          <w:sz w:val="10"/>
          <w:szCs w:val="10"/>
          <w:lang w:val="es-ES"/>
        </w:rPr>
        <w:t>Los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w:t>
      </w:r>
    </w:p>
    <w:p w:rsidRPr="007322CB" w:rsidR="003B420E" w:rsidP="003B420E" w:rsidRDefault="003B420E" w14:paraId="5A6712C5" w14:textId="77777777">
      <w:pPr>
        <w:pStyle w:val="Textonotapie"/>
        <w:ind w:firstLine="709"/>
        <w:contextualSpacing/>
        <w:jc w:val="both"/>
        <w:rPr>
          <w:rFonts w:ascii="Arial" w:hAnsi="Arial" w:cs="Arial"/>
          <w:sz w:val="10"/>
          <w:szCs w:val="10"/>
          <w:lang w:val="es-ES"/>
        </w:rPr>
      </w:pPr>
      <w:r w:rsidRPr="007322CB">
        <w:rPr>
          <w:rFonts w:ascii="Arial" w:hAnsi="Arial" w:cs="Arial"/>
          <w:sz w:val="10"/>
          <w:szCs w:val="10"/>
          <w:lang w:val="es-ES"/>
        </w:rPr>
        <w:t>El Gobierno nacional reglamentará el mecanismo para realizar la mensualización de que trata el presente artículo.</w:t>
      </w:r>
    </w:p>
    <w:p w:rsidRPr="007322CB" w:rsidR="003B420E" w:rsidP="003B420E" w:rsidRDefault="003B420E" w14:paraId="3F47F625" w14:textId="77777777">
      <w:pPr>
        <w:pStyle w:val="Textonotapie"/>
        <w:ind w:firstLine="709"/>
        <w:contextualSpacing/>
        <w:jc w:val="both"/>
        <w:rPr>
          <w:rFonts w:ascii="Arial" w:hAnsi="Arial" w:cs="Arial"/>
          <w:sz w:val="10"/>
          <w:szCs w:val="10"/>
          <w:lang w:val="pt-BR"/>
        </w:rPr>
      </w:pPr>
      <w:r w:rsidRPr="007322CB">
        <w:rPr>
          <w:rFonts w:ascii="Arial" w:hAnsi="Arial" w:cs="Arial"/>
          <w:sz w:val="10"/>
          <w:szCs w:val="10"/>
          <w:lang w:val="pt-BR"/>
        </w:rPr>
        <w:t>[…]».</w:t>
      </w:r>
    </w:p>
    <w:p w:rsidRPr="007322CB" w:rsidR="003B420E" w:rsidP="003B420E" w:rsidRDefault="003B420E" w14:paraId="46BAB678" w14:textId="77777777">
      <w:pPr>
        <w:pStyle w:val="Textonotapie"/>
        <w:ind w:firstLine="709"/>
        <w:contextualSpacing/>
        <w:jc w:val="both"/>
        <w:rPr>
          <w:rFonts w:ascii="Arial" w:hAnsi="Arial" w:cs="Arial"/>
          <w:sz w:val="10"/>
          <w:szCs w:val="10"/>
          <w:lang w:val="pt-BR"/>
        </w:rPr>
      </w:pPr>
    </w:p>
  </w:footnote>
  <w:footnote w:id="3">
    <w:p w:rsidRPr="007322CB" w:rsidR="003B420E" w:rsidP="003B420E" w:rsidRDefault="003B420E" w14:paraId="03F6E8F2" w14:textId="77777777">
      <w:pPr>
        <w:pStyle w:val="Textonotapie"/>
        <w:ind w:firstLine="709"/>
        <w:contextualSpacing/>
        <w:jc w:val="both"/>
        <w:rPr>
          <w:rFonts w:ascii="Arial" w:hAnsi="Arial" w:cs="Arial"/>
          <w:sz w:val="10"/>
          <w:szCs w:val="10"/>
          <w:lang w:val="es-ES"/>
        </w:rPr>
      </w:pPr>
      <w:r w:rsidRPr="007322CB">
        <w:rPr>
          <w:rStyle w:val="Refdenotaalpie"/>
          <w:rFonts w:ascii="Arial" w:hAnsi="Arial" w:cs="Arial"/>
          <w:sz w:val="10"/>
          <w:szCs w:val="10"/>
        </w:rPr>
        <w:footnoteRef/>
      </w:r>
      <w:r w:rsidRPr="007322CB">
        <w:rPr>
          <w:rFonts w:ascii="Arial" w:hAnsi="Arial" w:cs="Arial"/>
          <w:sz w:val="10"/>
          <w:szCs w:val="10"/>
          <w:lang w:val="pt-BR"/>
        </w:rPr>
        <w:t xml:space="preserve"> Corte Constitucional. Sentencia C-154 de 1997. </w:t>
      </w:r>
      <w:r w:rsidRPr="007322CB">
        <w:rPr>
          <w:rFonts w:ascii="Arial" w:hAnsi="Arial" w:cs="Arial"/>
          <w:sz w:val="10"/>
          <w:szCs w:val="10"/>
          <w:lang w:val="es-ES"/>
        </w:rPr>
        <w:t>MP: Hernando Herrera Vergara.</w:t>
      </w:r>
    </w:p>
    <w:p w:rsidRPr="007322CB" w:rsidR="003B420E" w:rsidP="003B420E" w:rsidRDefault="003B420E" w14:paraId="32534D1A" w14:textId="77777777">
      <w:pPr>
        <w:pStyle w:val="Textonotapie"/>
        <w:ind w:firstLine="709"/>
        <w:contextualSpacing/>
        <w:jc w:val="both"/>
        <w:rPr>
          <w:rFonts w:ascii="Arial" w:hAnsi="Arial" w:cs="Arial"/>
          <w:sz w:val="10"/>
          <w:szCs w:val="10"/>
          <w:lang w:val="es-ES"/>
        </w:rPr>
      </w:pPr>
    </w:p>
  </w:footnote>
  <w:footnote w:id="4">
    <w:p w:rsidRPr="007322CB" w:rsidR="003B420E" w:rsidP="003B420E" w:rsidRDefault="003B420E" w14:paraId="40C1B955" w14:textId="77777777">
      <w:pPr>
        <w:pStyle w:val="Textonotapie"/>
        <w:ind w:firstLine="709"/>
        <w:contextualSpacing/>
        <w:jc w:val="both"/>
        <w:rPr>
          <w:rFonts w:ascii="Arial" w:hAnsi="Arial" w:cs="Arial"/>
          <w:sz w:val="10"/>
          <w:szCs w:val="10"/>
          <w:lang w:val="es-ES"/>
        </w:rPr>
      </w:pPr>
      <w:r w:rsidRPr="007322CB">
        <w:rPr>
          <w:rStyle w:val="Refdenotaalpie"/>
          <w:rFonts w:ascii="Arial" w:hAnsi="Arial" w:cs="Arial"/>
          <w:sz w:val="10"/>
          <w:szCs w:val="10"/>
        </w:rPr>
        <w:footnoteRef/>
      </w:r>
      <w:r w:rsidRPr="007322CB">
        <w:rPr>
          <w:rFonts w:ascii="Arial" w:hAnsi="Arial" w:cs="Arial"/>
          <w:sz w:val="10"/>
          <w:szCs w:val="10"/>
        </w:rPr>
        <w:t xml:space="preserve"> </w:t>
      </w:r>
      <w:proofErr w:type="spellStart"/>
      <w:r w:rsidRPr="007322CB">
        <w:rPr>
          <w:rFonts w:ascii="Arial" w:hAnsi="Arial" w:cs="Arial"/>
          <w:sz w:val="10"/>
          <w:szCs w:val="10"/>
          <w:lang w:val="es-ES"/>
        </w:rPr>
        <w:t>Ibíd</w:t>
      </w:r>
      <w:proofErr w:type="spellEnd"/>
      <w:r w:rsidRPr="007322CB">
        <w:rPr>
          <w:rFonts w:ascii="Arial" w:hAnsi="Arial" w:cs="Arial"/>
          <w:sz w:val="10"/>
          <w:szCs w:val="10"/>
          <w:lang w:val="es-ES"/>
        </w:rPr>
        <w:t>.</w:t>
      </w:r>
    </w:p>
    <w:p w:rsidRPr="007322CB" w:rsidR="003B420E" w:rsidP="003B420E" w:rsidRDefault="003B420E" w14:paraId="62EFD861" w14:textId="77777777">
      <w:pPr>
        <w:pStyle w:val="Textonotapie"/>
        <w:ind w:firstLine="709"/>
        <w:contextualSpacing/>
        <w:jc w:val="both"/>
        <w:rPr>
          <w:rFonts w:ascii="Arial" w:hAnsi="Arial" w:cs="Arial"/>
          <w:sz w:val="10"/>
          <w:szCs w:val="10"/>
          <w:lang w:val="es-ES"/>
        </w:rPr>
      </w:pPr>
    </w:p>
  </w:footnote>
  <w:footnote w:id="5">
    <w:p w:rsidRPr="007322CB" w:rsidR="003B420E" w:rsidP="003B420E" w:rsidRDefault="003B420E" w14:paraId="264CEDA9" w14:textId="77777777">
      <w:pPr>
        <w:pStyle w:val="Textonotapie"/>
        <w:ind w:firstLine="709"/>
        <w:contextualSpacing/>
        <w:jc w:val="both"/>
        <w:rPr>
          <w:rFonts w:ascii="Arial" w:hAnsi="Arial" w:cs="Arial"/>
          <w:color w:val="000000"/>
          <w:sz w:val="10"/>
          <w:szCs w:val="10"/>
          <w:lang w:val="es-ES"/>
        </w:rPr>
      </w:pPr>
      <w:r w:rsidRPr="007322CB">
        <w:rPr>
          <w:rStyle w:val="Refdenotaalpie"/>
          <w:rFonts w:ascii="Arial" w:hAnsi="Arial" w:cs="Arial"/>
          <w:color w:val="000000"/>
          <w:sz w:val="10"/>
          <w:szCs w:val="10"/>
        </w:rPr>
        <w:footnoteRef/>
      </w:r>
      <w:r w:rsidRPr="007322CB">
        <w:rPr>
          <w:rFonts w:ascii="Arial" w:hAnsi="Arial" w:cs="Arial"/>
          <w:color w:val="000000"/>
          <w:sz w:val="10"/>
          <w:szCs w:val="10"/>
        </w:rPr>
        <w:t xml:space="preserve"> </w:t>
      </w:r>
      <w:r w:rsidRPr="007322CB">
        <w:rPr>
          <w:rFonts w:ascii="Arial" w:hAnsi="Arial" w:cs="Arial"/>
          <w:color w:val="000000"/>
          <w:sz w:val="10"/>
          <w:szCs w:val="10"/>
          <w:lang w:val="es-ES"/>
        </w:rPr>
        <w:t>El Decreto 1082 de 2015 lo establece así: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rsidRPr="007322CB" w:rsidR="003B420E" w:rsidP="003B420E" w:rsidRDefault="003B420E" w14:paraId="70463FDD" w14:textId="77777777">
      <w:pPr>
        <w:pStyle w:val="Textonotapie"/>
        <w:ind w:firstLine="709"/>
        <w:contextualSpacing/>
        <w:jc w:val="both"/>
        <w:rPr>
          <w:rFonts w:ascii="Arial" w:hAnsi="Arial" w:cs="Arial"/>
          <w:color w:val="000000"/>
          <w:sz w:val="10"/>
          <w:szCs w:val="10"/>
          <w:lang w:val="es-ES"/>
        </w:rPr>
      </w:pPr>
      <w:r w:rsidRPr="007322CB">
        <w:rPr>
          <w:rFonts w:ascii="Arial" w:hAnsi="Arial" w:cs="Arial"/>
          <w:color w:val="000000"/>
          <w:sz w:val="10"/>
          <w:szCs w:val="10"/>
          <w:lang w:val="es-ES"/>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rsidRPr="007322CB" w:rsidR="003B420E" w:rsidP="003B420E" w:rsidRDefault="003B420E" w14:paraId="520CE876" w14:textId="77777777">
      <w:pPr>
        <w:pStyle w:val="Textonotapie"/>
        <w:ind w:firstLine="709"/>
        <w:contextualSpacing/>
        <w:jc w:val="both"/>
        <w:rPr>
          <w:rFonts w:ascii="Arial" w:hAnsi="Arial" w:cs="Arial"/>
          <w:color w:val="000000"/>
          <w:sz w:val="10"/>
          <w:szCs w:val="10"/>
          <w:lang w:val="es-ES"/>
        </w:rPr>
      </w:pPr>
      <w:r w:rsidRPr="007322CB">
        <w:rPr>
          <w:rFonts w:ascii="Arial" w:hAnsi="Arial" w:cs="Arial"/>
          <w:color w:val="000000"/>
          <w:sz w:val="10"/>
          <w:szCs w:val="10"/>
          <w:lang w:val="es-ES"/>
        </w:rPr>
        <w:t>»La Entidad Estatal, para la contratación de trabajos artísticos que solamente puedan en­comendarse a determinadas personas naturales, debe justificar esta situación en los estudios y documentos previos».</w:t>
      </w:r>
    </w:p>
  </w:footnote>
  <w:footnote w:id="6">
    <w:p w:rsidRPr="007322CB" w:rsidR="003B420E" w:rsidP="003B420E" w:rsidRDefault="003B420E" w14:paraId="543ED55A" w14:textId="77777777">
      <w:pPr>
        <w:pStyle w:val="Textonotapie"/>
        <w:ind w:firstLine="709"/>
        <w:contextualSpacing/>
        <w:jc w:val="both"/>
        <w:rPr>
          <w:rFonts w:ascii="Arial" w:hAnsi="Arial" w:cs="Arial"/>
          <w:color w:val="000000"/>
          <w:sz w:val="10"/>
          <w:szCs w:val="10"/>
          <w:lang w:val="es-ES"/>
        </w:rPr>
      </w:pPr>
      <w:r w:rsidRPr="007322CB">
        <w:rPr>
          <w:rStyle w:val="Refdenotaalpie"/>
          <w:rFonts w:ascii="Arial" w:hAnsi="Arial" w:cs="Arial"/>
          <w:color w:val="000000"/>
          <w:sz w:val="10"/>
          <w:szCs w:val="10"/>
        </w:rPr>
        <w:footnoteRef/>
      </w:r>
      <w:r w:rsidRPr="007322CB">
        <w:rPr>
          <w:rFonts w:ascii="Arial" w:hAnsi="Arial" w:cs="Arial"/>
          <w:color w:val="000000"/>
          <w:sz w:val="10"/>
          <w:szCs w:val="10"/>
        </w:rPr>
        <w:t xml:space="preserve"> </w:t>
      </w:r>
      <w:r w:rsidRPr="007322CB">
        <w:rPr>
          <w:rFonts w:ascii="Arial" w:hAnsi="Arial" w:cs="Arial"/>
          <w:color w:val="000000"/>
          <w:sz w:val="10"/>
          <w:szCs w:val="10"/>
          <w:lang w:val="es-ES"/>
        </w:rPr>
        <w:t xml:space="preserve">CONSEJO DE ESTADO. Sección Tercera. Subsección C. Sentencia del 2 de diciembre de 2013. </w:t>
      </w:r>
      <w:proofErr w:type="spellStart"/>
      <w:r w:rsidRPr="007322CB">
        <w:rPr>
          <w:rFonts w:ascii="Arial" w:hAnsi="Arial" w:cs="Arial"/>
          <w:color w:val="000000"/>
          <w:sz w:val="10"/>
          <w:szCs w:val="10"/>
          <w:lang w:val="es-ES"/>
        </w:rPr>
        <w:t>Exp</w:t>
      </w:r>
      <w:proofErr w:type="spellEnd"/>
      <w:r w:rsidRPr="007322CB">
        <w:rPr>
          <w:rFonts w:ascii="Arial" w:hAnsi="Arial" w:cs="Arial"/>
          <w:color w:val="000000"/>
          <w:sz w:val="10"/>
          <w:szCs w:val="10"/>
          <w:lang w:val="es-ES"/>
        </w:rPr>
        <w:t>. 41719. Consejero Ponente: Jaime Orlando Santofimio Gamboa.</w:t>
      </w:r>
    </w:p>
  </w:footnote>
  <w:footnote w:id="7">
    <w:p w:rsidRPr="007322CB" w:rsidR="003B420E" w:rsidP="003B420E" w:rsidRDefault="003B420E" w14:paraId="098BB969" w14:textId="77777777">
      <w:pPr>
        <w:pStyle w:val="Textonotapie"/>
        <w:ind w:firstLine="709"/>
        <w:contextualSpacing/>
        <w:jc w:val="both"/>
        <w:rPr>
          <w:rFonts w:ascii="Arial" w:hAnsi="Arial" w:cs="Arial"/>
          <w:color w:val="000000"/>
          <w:sz w:val="10"/>
          <w:szCs w:val="10"/>
          <w:lang w:val="es-ES"/>
        </w:rPr>
      </w:pPr>
      <w:r w:rsidRPr="007322CB">
        <w:rPr>
          <w:rStyle w:val="Refdenotaalpie"/>
          <w:rFonts w:ascii="Arial" w:hAnsi="Arial" w:cs="Arial"/>
          <w:color w:val="000000"/>
          <w:sz w:val="10"/>
          <w:szCs w:val="10"/>
        </w:rPr>
        <w:footnoteRef/>
      </w:r>
      <w:r w:rsidRPr="007322CB">
        <w:rPr>
          <w:rFonts w:ascii="Arial" w:hAnsi="Arial" w:cs="Arial"/>
          <w:color w:val="000000"/>
          <w:sz w:val="10"/>
          <w:szCs w:val="10"/>
        </w:rPr>
        <w:t xml:space="preserve"> </w:t>
      </w:r>
      <w:proofErr w:type="spellStart"/>
      <w:r w:rsidRPr="007322CB">
        <w:rPr>
          <w:rFonts w:ascii="Arial" w:hAnsi="Arial" w:cs="Arial"/>
          <w:color w:val="000000"/>
          <w:sz w:val="10"/>
          <w:szCs w:val="10"/>
          <w:lang w:val="es-ES"/>
        </w:rPr>
        <w:t>Ibíd</w:t>
      </w:r>
      <w:proofErr w:type="spellEnd"/>
      <w:r w:rsidRPr="007322CB">
        <w:rPr>
          <w:rFonts w:ascii="Arial" w:hAnsi="Arial" w:cs="Arial"/>
          <w:color w:val="000000"/>
          <w:sz w:val="10"/>
          <w:szCs w:val="10"/>
          <w:lang w:val="es-ES"/>
        </w:rPr>
        <w:t>.</w:t>
      </w:r>
    </w:p>
  </w:footnote>
  <w:footnote w:id="8">
    <w:p w:rsidRPr="007322CB" w:rsidR="003B420E" w:rsidP="003B420E" w:rsidRDefault="003B420E" w14:paraId="5054B135" w14:textId="77777777">
      <w:pPr>
        <w:pStyle w:val="Textonotapie"/>
        <w:ind w:firstLine="709"/>
        <w:contextualSpacing/>
        <w:jc w:val="both"/>
        <w:rPr>
          <w:rFonts w:ascii="Arial" w:hAnsi="Arial" w:cs="Arial"/>
          <w:color w:val="000000"/>
          <w:sz w:val="10"/>
          <w:szCs w:val="10"/>
          <w:lang w:val="es-ES"/>
        </w:rPr>
      </w:pPr>
      <w:r w:rsidRPr="007322CB">
        <w:rPr>
          <w:rStyle w:val="Refdenotaalpie"/>
          <w:rFonts w:ascii="Arial" w:hAnsi="Arial" w:cs="Arial"/>
          <w:color w:val="000000"/>
          <w:sz w:val="10"/>
          <w:szCs w:val="10"/>
        </w:rPr>
        <w:footnoteRef/>
      </w:r>
      <w:r w:rsidRPr="007322CB">
        <w:rPr>
          <w:rFonts w:ascii="Arial" w:hAnsi="Arial" w:cs="Arial"/>
          <w:color w:val="000000"/>
          <w:sz w:val="10"/>
          <w:szCs w:val="10"/>
        </w:rPr>
        <w:t xml:space="preserve"> </w:t>
      </w:r>
      <w:proofErr w:type="spellStart"/>
      <w:r w:rsidRPr="007322CB">
        <w:rPr>
          <w:rFonts w:ascii="Arial" w:hAnsi="Arial" w:cs="Arial"/>
          <w:color w:val="000000"/>
          <w:sz w:val="10"/>
          <w:szCs w:val="10"/>
          <w:lang w:val="es-ES"/>
        </w:rPr>
        <w:t>Ibíd</w:t>
      </w:r>
      <w:proofErr w:type="spellEnd"/>
      <w:r w:rsidRPr="007322CB">
        <w:rPr>
          <w:rFonts w:ascii="Arial" w:hAnsi="Arial" w:cs="Arial"/>
          <w:color w:val="000000"/>
          <w:sz w:val="10"/>
          <w:szCs w:val="10"/>
          <w:lang w:val="es-ES"/>
        </w:rPr>
        <w:t>.</w:t>
      </w:r>
    </w:p>
  </w:footnote>
  <w:footnote w:id="9">
    <w:p w:rsidRPr="007322CB" w:rsidR="003B420E" w:rsidP="003B420E" w:rsidRDefault="003B420E" w14:paraId="5C1F23B5" w14:textId="77777777">
      <w:pPr>
        <w:pStyle w:val="Textonotapie"/>
        <w:ind w:firstLine="709"/>
        <w:contextualSpacing/>
        <w:jc w:val="both"/>
        <w:rPr>
          <w:rFonts w:ascii="Arial" w:hAnsi="Arial" w:cs="Arial"/>
          <w:sz w:val="10"/>
          <w:szCs w:val="10"/>
          <w:lang w:val="es-ES"/>
        </w:rPr>
      </w:pPr>
      <w:r w:rsidRPr="007322CB">
        <w:rPr>
          <w:rStyle w:val="Refdenotaalpie"/>
          <w:rFonts w:ascii="Arial" w:hAnsi="Arial" w:cs="Arial"/>
          <w:sz w:val="10"/>
          <w:szCs w:val="10"/>
        </w:rPr>
        <w:footnoteRef/>
      </w:r>
      <w:r w:rsidRPr="007322CB">
        <w:rPr>
          <w:rFonts w:ascii="Arial" w:hAnsi="Arial" w:cs="Arial"/>
          <w:sz w:val="10"/>
          <w:szCs w:val="10"/>
        </w:rPr>
        <w:t xml:space="preserve"> </w:t>
      </w:r>
      <w:proofErr w:type="spellStart"/>
      <w:r w:rsidRPr="007322CB">
        <w:rPr>
          <w:rFonts w:ascii="Arial" w:hAnsi="Arial" w:cs="Arial"/>
          <w:sz w:val="10"/>
          <w:szCs w:val="10"/>
          <w:lang w:val="es-ES"/>
        </w:rPr>
        <w:t>Ibíd</w:t>
      </w:r>
      <w:proofErr w:type="spellEnd"/>
      <w:r w:rsidRPr="007322CB">
        <w:rPr>
          <w:rFonts w:ascii="Arial" w:hAnsi="Arial" w:cs="Arial"/>
          <w:sz w:val="10"/>
          <w:szCs w:val="10"/>
          <w:lang w:val="es-ES"/>
        </w:rPr>
        <w:t>. En efecto, el numeral 2º del artículo 32 de la Ley 80 de 1993 define el contrato de consultoría así: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rsidRPr="007322CB" w:rsidR="003B420E" w:rsidP="003B420E" w:rsidRDefault="003B420E" w14:paraId="31A9AE59" w14:textId="77777777">
      <w:pPr>
        <w:pStyle w:val="Textonotapie"/>
        <w:ind w:firstLine="709"/>
        <w:contextualSpacing/>
        <w:jc w:val="both"/>
        <w:rPr>
          <w:rFonts w:ascii="Arial" w:hAnsi="Arial" w:cs="Arial"/>
          <w:sz w:val="10"/>
          <w:szCs w:val="10"/>
          <w:lang w:val="es-ES"/>
        </w:rPr>
      </w:pPr>
      <w:r w:rsidRPr="007322CB">
        <w:rPr>
          <w:rFonts w:ascii="Arial" w:hAnsi="Arial" w:cs="Arial"/>
          <w:sz w:val="10"/>
          <w:szCs w:val="10"/>
          <w:lang w:val="es-ES"/>
        </w:rPr>
        <w:t>»Son también contratos de consultoría los que tienen por objeto la interventoría, asesoría, gerencia de obra o de proyectos, dirección, programación y la ejecución de diseños, planos, anteproyectos y proyectos.</w:t>
      </w:r>
    </w:p>
    <w:p w:rsidRPr="007322CB" w:rsidR="003B420E" w:rsidP="003B420E" w:rsidRDefault="003B420E" w14:paraId="55924CC5" w14:textId="77777777">
      <w:pPr>
        <w:pStyle w:val="Textonotapie"/>
        <w:ind w:firstLine="709"/>
        <w:contextualSpacing/>
        <w:jc w:val="both"/>
        <w:rPr>
          <w:rFonts w:ascii="Arial" w:hAnsi="Arial" w:cs="Arial"/>
          <w:sz w:val="10"/>
          <w:szCs w:val="10"/>
          <w:lang w:val="es-ES"/>
        </w:rPr>
      </w:pPr>
      <w:r w:rsidRPr="007322CB">
        <w:rPr>
          <w:rFonts w:ascii="Arial" w:hAnsi="Arial" w:cs="Arial"/>
          <w:sz w:val="10"/>
          <w:szCs w:val="10"/>
          <w:lang w:val="es-ES"/>
        </w:rPr>
        <w:t>»Ninguna orden del interventor de una obra podrá darse verbalmente. Es obligatorio para el interventor entregar por escrito sus órdenes o sugerencias y ellas deben enmarcarse dentro de los términos del respectivo contrato».</w:t>
      </w:r>
    </w:p>
  </w:footnote>
  <w:footnote w:id="10">
    <w:p w:rsidRPr="007322CB" w:rsidR="003B420E" w:rsidP="003B420E" w:rsidRDefault="003B420E" w14:paraId="6898037F" w14:textId="77777777">
      <w:pPr>
        <w:pStyle w:val="Textonotapie"/>
        <w:ind w:firstLine="709"/>
        <w:contextualSpacing/>
        <w:jc w:val="both"/>
        <w:rPr>
          <w:rFonts w:ascii="Arial" w:hAnsi="Arial" w:cs="Arial"/>
          <w:sz w:val="10"/>
          <w:szCs w:val="10"/>
          <w:lang w:val="es-ES"/>
        </w:rPr>
      </w:pPr>
      <w:r w:rsidRPr="007322CB">
        <w:rPr>
          <w:rStyle w:val="Refdenotaalpie"/>
          <w:rFonts w:ascii="Arial" w:hAnsi="Arial" w:cs="Arial"/>
          <w:sz w:val="10"/>
          <w:szCs w:val="10"/>
        </w:rPr>
        <w:footnoteRef/>
      </w:r>
      <w:r w:rsidRPr="007322CB">
        <w:rPr>
          <w:rFonts w:ascii="Arial" w:hAnsi="Arial" w:cs="Arial"/>
          <w:sz w:val="10"/>
          <w:szCs w:val="10"/>
        </w:rPr>
        <w:t xml:space="preserve"> </w:t>
      </w:r>
      <w:r w:rsidRPr="007322CB">
        <w:rPr>
          <w:rFonts w:ascii="Arial" w:hAnsi="Arial" w:cs="Arial"/>
          <w:sz w:val="10"/>
          <w:szCs w:val="10"/>
          <w:lang w:val="es-ES"/>
        </w:rPr>
        <w:t>Así lo dispone el artículo 2.2.1.2.1.4.1. del Decreto 1082 de 2015: «La Entidad Estatal debe señalar en un acto administrativo la justificación para contratar bajo la modalidad de contratación directa, el cual debe contener:</w:t>
      </w:r>
    </w:p>
    <w:p w:rsidRPr="007322CB" w:rsidR="003B420E" w:rsidP="003B420E" w:rsidRDefault="003B420E" w14:paraId="2ACB087D" w14:textId="77777777">
      <w:pPr>
        <w:pStyle w:val="Textonotapie"/>
        <w:ind w:firstLine="709"/>
        <w:contextualSpacing/>
        <w:jc w:val="both"/>
        <w:rPr>
          <w:rFonts w:ascii="Arial" w:hAnsi="Arial" w:cs="Arial"/>
          <w:sz w:val="10"/>
          <w:szCs w:val="10"/>
          <w:lang w:val="es-ES"/>
        </w:rPr>
      </w:pPr>
      <w:r w:rsidRPr="007322CB">
        <w:rPr>
          <w:rFonts w:ascii="Arial" w:hAnsi="Arial" w:cs="Arial"/>
          <w:sz w:val="10"/>
          <w:szCs w:val="10"/>
          <w:lang w:val="es-ES"/>
        </w:rPr>
        <w:t>»1. La causal que invoca para contratar directamente.</w:t>
      </w:r>
    </w:p>
    <w:p w:rsidRPr="007322CB" w:rsidR="003B420E" w:rsidP="003B420E" w:rsidRDefault="003B420E" w14:paraId="4A1165B9" w14:textId="77777777">
      <w:pPr>
        <w:pStyle w:val="Textonotapie"/>
        <w:ind w:firstLine="709"/>
        <w:contextualSpacing/>
        <w:jc w:val="both"/>
        <w:rPr>
          <w:rFonts w:ascii="Arial" w:hAnsi="Arial" w:cs="Arial"/>
          <w:sz w:val="10"/>
          <w:szCs w:val="10"/>
          <w:lang w:val="es-ES"/>
        </w:rPr>
      </w:pPr>
      <w:r w:rsidRPr="007322CB">
        <w:rPr>
          <w:rFonts w:ascii="Arial" w:hAnsi="Arial" w:cs="Arial"/>
          <w:sz w:val="10"/>
          <w:szCs w:val="10"/>
          <w:lang w:val="es-ES"/>
        </w:rPr>
        <w:t>»2. El objeto del contrato.</w:t>
      </w:r>
    </w:p>
    <w:p w:rsidRPr="007322CB" w:rsidR="003B420E" w:rsidP="003B420E" w:rsidRDefault="003B420E" w14:paraId="18783A88" w14:textId="77777777">
      <w:pPr>
        <w:pStyle w:val="Textonotapie"/>
        <w:ind w:firstLine="709"/>
        <w:contextualSpacing/>
        <w:jc w:val="both"/>
        <w:rPr>
          <w:rFonts w:ascii="Arial" w:hAnsi="Arial" w:cs="Arial"/>
          <w:sz w:val="10"/>
          <w:szCs w:val="10"/>
          <w:lang w:val="es-ES"/>
        </w:rPr>
      </w:pPr>
      <w:r w:rsidRPr="007322CB">
        <w:rPr>
          <w:rFonts w:ascii="Arial" w:hAnsi="Arial" w:cs="Arial"/>
          <w:sz w:val="10"/>
          <w:szCs w:val="10"/>
          <w:lang w:val="es-ES"/>
        </w:rPr>
        <w:t>»3. El presupuesto para la contratación y las condiciones que exigirá al contratista.</w:t>
      </w:r>
    </w:p>
    <w:p w:rsidRPr="007322CB" w:rsidR="003B420E" w:rsidP="003B420E" w:rsidRDefault="003B420E" w14:paraId="576A4274" w14:textId="77777777">
      <w:pPr>
        <w:pStyle w:val="Textonotapie"/>
        <w:ind w:firstLine="709"/>
        <w:contextualSpacing/>
        <w:jc w:val="both"/>
        <w:rPr>
          <w:rFonts w:ascii="Arial" w:hAnsi="Arial" w:cs="Arial"/>
          <w:sz w:val="10"/>
          <w:szCs w:val="10"/>
          <w:lang w:val="es-ES"/>
        </w:rPr>
      </w:pPr>
      <w:r w:rsidRPr="007322CB">
        <w:rPr>
          <w:rFonts w:ascii="Arial" w:hAnsi="Arial" w:cs="Arial"/>
          <w:sz w:val="10"/>
          <w:szCs w:val="10"/>
          <w:lang w:val="es-ES"/>
        </w:rPr>
        <w:t>»4. El lugar en el cual los interesados pueden consultar los estudios y documentos previos.</w:t>
      </w:r>
    </w:p>
    <w:p w:rsidRPr="007322CB" w:rsidR="003B420E" w:rsidP="003B420E" w:rsidRDefault="003B420E" w14:paraId="22844E2F" w14:textId="77777777">
      <w:pPr>
        <w:pStyle w:val="Textonotapie"/>
        <w:ind w:firstLine="709"/>
        <w:contextualSpacing/>
        <w:jc w:val="both"/>
        <w:rPr>
          <w:rFonts w:ascii="Arial" w:hAnsi="Arial" w:cs="Arial"/>
          <w:sz w:val="10"/>
          <w:szCs w:val="10"/>
          <w:lang w:val="es-ES"/>
        </w:rPr>
      </w:pPr>
      <w:r w:rsidRPr="007322CB">
        <w:rPr>
          <w:rFonts w:ascii="Arial" w:hAnsi="Arial" w:cs="Arial"/>
          <w:sz w:val="10"/>
          <w:szCs w:val="10"/>
          <w:lang w:val="es-ES"/>
        </w:rPr>
        <w:t>»Este acto administrativo no es necesario cuando el contrato a celebrar es de prestación de servicios profesionales y de apoyo a la gestión, y para los contratos de que tratan los literales (a) y (b) del artículo 2.2.1.2.1.4.3 del presente decreto».</w:t>
      </w:r>
    </w:p>
  </w:footnote>
  <w:footnote w:id="11">
    <w:p w:rsidRPr="007322CB" w:rsidR="003B420E" w:rsidP="003B420E" w:rsidRDefault="003B420E" w14:paraId="48B82615" w14:textId="77777777">
      <w:pPr>
        <w:pStyle w:val="Textonotapie"/>
        <w:contextualSpacing/>
        <w:jc w:val="both"/>
        <w:rPr>
          <w:rFonts w:ascii="Arial" w:hAnsi="Arial" w:cs="Arial"/>
          <w:sz w:val="10"/>
          <w:szCs w:val="10"/>
        </w:rPr>
      </w:pPr>
    </w:p>
    <w:p w:rsidRPr="007322CB" w:rsidR="003B420E" w:rsidP="003B420E" w:rsidRDefault="003B420E" w14:paraId="5B99D8A2" w14:textId="77777777">
      <w:pPr>
        <w:pStyle w:val="Textonotapie"/>
        <w:ind w:firstLine="709"/>
        <w:contextualSpacing/>
        <w:jc w:val="both"/>
        <w:rPr>
          <w:rFonts w:ascii="Arial" w:hAnsi="Arial" w:cs="Arial"/>
          <w:sz w:val="10"/>
          <w:szCs w:val="10"/>
          <w:lang w:val="es-ES"/>
        </w:rPr>
      </w:pPr>
      <w:r w:rsidRPr="007322CB">
        <w:rPr>
          <w:rStyle w:val="Refdenotaalpie"/>
          <w:rFonts w:ascii="Arial" w:hAnsi="Arial" w:cs="Arial"/>
          <w:sz w:val="10"/>
          <w:szCs w:val="10"/>
        </w:rPr>
        <w:footnoteRef/>
      </w:r>
      <w:r w:rsidRPr="007322CB">
        <w:rPr>
          <w:rFonts w:ascii="Arial" w:hAnsi="Arial" w:cs="Arial"/>
          <w:sz w:val="10"/>
          <w:szCs w:val="10"/>
        </w:rPr>
        <w:t xml:space="preserve"> </w:t>
      </w:r>
      <w:r w:rsidRPr="007322CB">
        <w:rPr>
          <w:rFonts w:ascii="Arial" w:hAnsi="Arial" w:cs="Arial"/>
          <w:sz w:val="10"/>
          <w:szCs w:val="10"/>
          <w:lang w:val="es-ES"/>
        </w:rPr>
        <w:t xml:space="preserve">La norma expresa: «Art. 14. </w:t>
      </w:r>
      <w:r w:rsidRPr="007322CB">
        <w:rPr>
          <w:rFonts w:ascii="Arial" w:hAnsi="Arial" w:cs="Arial"/>
          <w:sz w:val="10"/>
          <w:szCs w:val="10"/>
        </w:rPr>
        <w:t>P</w:t>
      </w:r>
      <w:r w:rsidRPr="007322CB">
        <w:rPr>
          <w:rFonts w:ascii="Arial" w:hAnsi="Arial" w:cs="Arial"/>
          <w:sz w:val="10"/>
          <w:szCs w:val="10"/>
          <w:lang w:val="es-ES"/>
        </w:rPr>
        <w:t>ara el cumplimiento de los fines de la contratación, las entidades estatales al celebrar un contrato:</w:t>
      </w:r>
    </w:p>
    <w:p w:rsidRPr="007322CB" w:rsidR="003B420E" w:rsidP="003B420E" w:rsidRDefault="003B420E" w14:paraId="381892FF" w14:textId="77777777">
      <w:pPr>
        <w:pStyle w:val="Textonotapie"/>
        <w:ind w:firstLine="709"/>
        <w:contextualSpacing/>
        <w:jc w:val="both"/>
        <w:rPr>
          <w:rFonts w:ascii="Arial" w:hAnsi="Arial" w:cs="Arial"/>
          <w:sz w:val="10"/>
          <w:szCs w:val="10"/>
          <w:lang w:val="es-ES"/>
        </w:rPr>
      </w:pPr>
      <w:r w:rsidRPr="007322CB">
        <w:rPr>
          <w:rFonts w:ascii="Arial" w:hAnsi="Arial" w:cs="Arial"/>
          <w:sz w:val="10"/>
          <w:szCs w:val="10"/>
          <w:lang w:val="es-ES"/>
        </w:rPr>
        <w:t>[…]</w:t>
      </w:r>
    </w:p>
    <w:p w:rsidRPr="007322CB" w:rsidR="003B420E" w:rsidP="003B420E" w:rsidRDefault="003B420E" w14:paraId="21CC19CE" w14:textId="77777777">
      <w:pPr>
        <w:pStyle w:val="Textonotapie"/>
        <w:ind w:firstLine="709"/>
        <w:contextualSpacing/>
        <w:jc w:val="both"/>
        <w:rPr>
          <w:rFonts w:ascii="Arial" w:hAnsi="Arial" w:cs="Arial"/>
          <w:sz w:val="10"/>
          <w:szCs w:val="10"/>
          <w:lang w:val="es-ES"/>
        </w:rPr>
      </w:pPr>
      <w:r w:rsidRPr="007322CB">
        <w:rPr>
          <w:rFonts w:ascii="Arial" w:hAnsi="Arial" w:cs="Arial"/>
          <w:sz w:val="10"/>
          <w:szCs w:val="10"/>
          <w:lang w:val="es-ES"/>
        </w:rPr>
        <w:t>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w:t>
      </w:r>
    </w:p>
    <w:p w:rsidRPr="007322CB" w:rsidR="003B420E" w:rsidP="003B420E" w:rsidRDefault="003B420E" w14:paraId="2E06AD28" w14:textId="77777777">
      <w:pPr>
        <w:pStyle w:val="Textonotapie"/>
        <w:ind w:firstLine="709"/>
        <w:contextualSpacing/>
        <w:jc w:val="both"/>
        <w:rPr>
          <w:rFonts w:ascii="Arial" w:hAnsi="Arial" w:cs="Arial"/>
          <w:sz w:val="10"/>
          <w:szCs w:val="10"/>
          <w:lang w:val="es-ES"/>
        </w:rPr>
      </w:pPr>
      <w:r w:rsidRPr="007322CB">
        <w:rPr>
          <w:rFonts w:ascii="Arial" w:hAnsi="Arial" w:cs="Arial"/>
          <w:sz w:val="10"/>
          <w:szCs w:val="10"/>
          <w:lang w:val="es-ES"/>
        </w:rPr>
        <w:t>Las entidades estatales podrán pactar estas cláusulas en los contratos de suministro y de prestación de servicios.</w:t>
      </w:r>
    </w:p>
    <w:p w:rsidRPr="007322CB" w:rsidR="003B420E" w:rsidP="003B420E" w:rsidRDefault="003B420E" w14:paraId="512DAFA5" w14:textId="77777777">
      <w:pPr>
        <w:pStyle w:val="Textonotapie"/>
        <w:ind w:firstLine="709"/>
        <w:contextualSpacing/>
        <w:jc w:val="both"/>
        <w:rPr>
          <w:rFonts w:ascii="Arial" w:hAnsi="Arial" w:cs="Arial"/>
          <w:sz w:val="10"/>
          <w:szCs w:val="10"/>
          <w:lang w:val="es-ES"/>
        </w:rPr>
      </w:pPr>
      <w:r w:rsidRPr="007322CB">
        <w:rPr>
          <w:rFonts w:ascii="Arial" w:hAnsi="Arial" w:cs="Arial"/>
          <w:sz w:val="10"/>
          <w:szCs w:val="10"/>
          <w:lang w:val="es-ES"/>
        </w:rPr>
        <w:t>[…]».</w:t>
      </w:r>
    </w:p>
    <w:p w:rsidRPr="007322CB" w:rsidR="003B420E" w:rsidP="003B420E" w:rsidRDefault="003B420E" w14:paraId="60B83E28" w14:textId="77777777">
      <w:pPr>
        <w:pStyle w:val="Textonotapie"/>
        <w:ind w:firstLine="709"/>
        <w:contextualSpacing/>
        <w:jc w:val="both"/>
        <w:rPr>
          <w:rFonts w:ascii="Arial" w:hAnsi="Arial" w:cs="Arial"/>
          <w:sz w:val="10"/>
          <w:szCs w:val="10"/>
          <w:lang w:val="es-ES"/>
        </w:rPr>
      </w:pPr>
    </w:p>
  </w:footnote>
  <w:footnote w:id="12">
    <w:p w:rsidRPr="007322CB" w:rsidR="003B420E" w:rsidP="003B420E" w:rsidRDefault="003B420E" w14:paraId="17356FFB" w14:textId="77777777">
      <w:pPr>
        <w:pStyle w:val="Textonotapie"/>
        <w:ind w:firstLine="709"/>
        <w:contextualSpacing/>
        <w:jc w:val="both"/>
        <w:rPr>
          <w:rFonts w:ascii="Arial" w:hAnsi="Arial" w:cs="Arial"/>
          <w:sz w:val="10"/>
          <w:szCs w:val="10"/>
          <w:lang w:val="es-ES"/>
        </w:rPr>
      </w:pPr>
      <w:r w:rsidRPr="007322CB">
        <w:rPr>
          <w:rStyle w:val="Refdenotaalpie"/>
          <w:rFonts w:ascii="Arial" w:hAnsi="Arial" w:cs="Arial"/>
          <w:sz w:val="10"/>
          <w:szCs w:val="10"/>
        </w:rPr>
        <w:footnoteRef/>
      </w:r>
      <w:r w:rsidRPr="007322CB">
        <w:rPr>
          <w:rFonts w:ascii="Arial" w:hAnsi="Arial" w:cs="Arial"/>
          <w:sz w:val="10"/>
          <w:szCs w:val="10"/>
        </w:rPr>
        <w:t xml:space="preserve"> </w:t>
      </w:r>
      <w:r w:rsidRPr="007322CB">
        <w:rPr>
          <w:rFonts w:ascii="Arial" w:hAnsi="Arial" w:cs="Arial"/>
          <w:sz w:val="10"/>
          <w:szCs w:val="10"/>
          <w:lang w:val="es-ES"/>
        </w:rPr>
        <w:t>La norma dispone: «La liquidación a que se refiere el presente artículo no será obligatoria en los contratos de prestación de servicios profesionales y de apoyo a la gestión».</w:t>
      </w:r>
    </w:p>
  </w:footnote>
  <w:footnote w:id="13">
    <w:p w:rsidRPr="007322CB" w:rsidR="003B420E" w:rsidP="003B420E" w:rsidRDefault="003B420E" w14:paraId="7815B5CA" w14:textId="77777777">
      <w:pPr>
        <w:pStyle w:val="Textonotapie"/>
        <w:ind w:firstLine="709"/>
        <w:contextualSpacing/>
        <w:jc w:val="both"/>
        <w:rPr>
          <w:rFonts w:ascii="Arial" w:hAnsi="Arial" w:cs="Arial"/>
          <w:sz w:val="10"/>
          <w:szCs w:val="10"/>
        </w:rPr>
      </w:pPr>
    </w:p>
    <w:p w:rsidRPr="007322CB" w:rsidR="003B420E" w:rsidP="003B420E" w:rsidRDefault="003B420E" w14:paraId="73EBFCC4" w14:textId="77777777">
      <w:pPr>
        <w:pStyle w:val="Textonotapie"/>
        <w:ind w:firstLine="709"/>
        <w:contextualSpacing/>
        <w:jc w:val="both"/>
        <w:rPr>
          <w:rFonts w:ascii="Arial" w:hAnsi="Arial" w:cs="Arial"/>
          <w:sz w:val="10"/>
          <w:szCs w:val="10"/>
        </w:rPr>
      </w:pPr>
      <w:r w:rsidRPr="007322CB">
        <w:rPr>
          <w:rStyle w:val="Refdenotaalpie"/>
          <w:rFonts w:ascii="Arial" w:hAnsi="Arial" w:cs="Arial"/>
          <w:sz w:val="10"/>
          <w:szCs w:val="10"/>
        </w:rPr>
        <w:footnoteRef/>
      </w:r>
      <w:r w:rsidRPr="007322CB">
        <w:rPr>
          <w:rFonts w:ascii="Arial" w:hAnsi="Arial" w:cs="Arial"/>
          <w:sz w:val="10"/>
          <w:szCs w:val="10"/>
        </w:rPr>
        <w:t xml:space="preserve"> Según dicho artículo: «Art. 6.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rsidRPr="007322CB" w:rsidR="003B420E" w:rsidP="003B420E" w:rsidRDefault="003B420E" w14:paraId="3F4CEB1B" w14:textId="77777777">
      <w:pPr>
        <w:pStyle w:val="Textonotapie"/>
        <w:ind w:firstLine="709"/>
        <w:contextualSpacing/>
        <w:jc w:val="both"/>
        <w:rPr>
          <w:rFonts w:ascii="Arial" w:hAnsi="Arial" w:cs="Arial"/>
          <w:sz w:val="10"/>
          <w:szCs w:val="10"/>
        </w:rPr>
      </w:pPr>
      <w:r w:rsidRPr="007322CB">
        <w:rPr>
          <w:rFonts w:ascii="Arial" w:hAnsi="Arial" w:cs="Arial"/>
          <w:sz w:val="10"/>
          <w:szCs w:val="10"/>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rsidRPr="007322CB" w:rsidR="003B420E" w:rsidP="003B420E" w:rsidRDefault="003B420E" w14:paraId="04E4470D" w14:textId="77777777">
      <w:pPr>
        <w:pStyle w:val="Textonotapie"/>
        <w:ind w:firstLine="709"/>
        <w:contextualSpacing/>
        <w:jc w:val="both"/>
        <w:rPr>
          <w:rFonts w:ascii="Arial" w:hAnsi="Arial" w:cs="Arial"/>
          <w:sz w:val="10"/>
          <w:szCs w:val="10"/>
          <w:lang w:val="es-ES"/>
        </w:rPr>
      </w:pPr>
      <w:r w:rsidRPr="007322CB">
        <w:rPr>
          <w:rFonts w:ascii="Arial" w:hAnsi="Arial" w:cs="Arial"/>
          <w:sz w:val="10"/>
          <w:szCs w:val="10"/>
        </w:rPr>
        <w:t>[…]».</w:t>
      </w:r>
    </w:p>
  </w:footnote>
  <w:footnote w:id="14">
    <w:p w:rsidRPr="007322CB" w:rsidR="003B420E" w:rsidP="003B420E" w:rsidRDefault="003B420E" w14:paraId="448661D7" w14:textId="77777777">
      <w:pPr>
        <w:pStyle w:val="Textonotapie"/>
        <w:ind w:firstLine="709"/>
        <w:contextualSpacing/>
        <w:jc w:val="both"/>
        <w:rPr>
          <w:rFonts w:ascii="Arial" w:hAnsi="Arial" w:cs="Arial"/>
          <w:sz w:val="10"/>
          <w:szCs w:val="10"/>
        </w:rPr>
      </w:pPr>
    </w:p>
    <w:p w:rsidRPr="007322CB" w:rsidR="003B420E" w:rsidP="003B420E" w:rsidRDefault="003B420E" w14:paraId="72643DB5" w14:textId="77777777">
      <w:pPr>
        <w:pStyle w:val="Textonotapie"/>
        <w:ind w:firstLine="709"/>
        <w:contextualSpacing/>
        <w:jc w:val="both"/>
        <w:rPr>
          <w:rFonts w:ascii="Arial" w:hAnsi="Arial" w:cs="Arial"/>
          <w:sz w:val="10"/>
          <w:szCs w:val="10"/>
          <w:lang w:val="es-ES"/>
        </w:rPr>
      </w:pPr>
      <w:r w:rsidRPr="007322CB">
        <w:rPr>
          <w:rStyle w:val="Refdenotaalpie"/>
          <w:rFonts w:ascii="Arial" w:hAnsi="Arial" w:cs="Arial"/>
          <w:sz w:val="10"/>
          <w:szCs w:val="10"/>
        </w:rPr>
        <w:footnoteRef/>
      </w:r>
      <w:r w:rsidRPr="007322CB">
        <w:rPr>
          <w:rFonts w:ascii="Arial" w:hAnsi="Arial" w:cs="Arial"/>
          <w:sz w:val="10"/>
          <w:szCs w:val="10"/>
        </w:rPr>
        <w:t xml:space="preserve"> </w:t>
      </w:r>
      <w:r w:rsidRPr="007322CB">
        <w:rPr>
          <w:rFonts w:ascii="Arial" w:hAnsi="Arial" w:cs="Arial"/>
          <w:sz w:val="10"/>
          <w:szCs w:val="10"/>
          <w:lang w:val="es-ES"/>
        </w:rPr>
        <w:t>Así lo establece el Decreto 1082 de 2015: «Artículo 2.2.1.2.1.4.5. No obligatoriedad de garantías. En la contratación directa la exigencia de garantías establecidas en la Sección 3, que comprende los artículos 2.2.1.2.3.1.1 al 2.2.1.2.3.5.1. del presente decreto no es obligatoria y la justificación para exigirlas o no debe estar en los estudios y documentos previos».</w:t>
      </w:r>
    </w:p>
    <w:p w:rsidRPr="007322CB" w:rsidR="003B420E" w:rsidP="003B420E" w:rsidRDefault="003B420E" w14:paraId="0AA04956" w14:textId="77777777">
      <w:pPr>
        <w:pStyle w:val="Textonotapie"/>
        <w:ind w:firstLine="709"/>
        <w:contextualSpacing/>
        <w:jc w:val="both"/>
        <w:rPr>
          <w:rFonts w:ascii="Arial" w:hAnsi="Arial" w:cs="Arial"/>
          <w:sz w:val="10"/>
          <w:szCs w:val="10"/>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Pr="007566FE" w:rsidR="00906B3C" w:rsidP="008614E5" w:rsidRDefault="009157E3" w14:paraId="255525A7" w14:textId="77777777">
    <w:pPr>
      <w:spacing w:after="0"/>
      <w:rPr>
        <w:rFonts w:ascii="Geomanist Light" w:hAnsi="Geomanist Light"/>
        <w:color w:val="002060"/>
        <w:sz w:val="16"/>
        <w:szCs w:val="16"/>
      </w:rPr>
    </w:pPr>
    <w:r w:rsidRPr="007566FE">
      <w:rPr>
        <w:rFonts w:ascii="Geomanist Light" w:hAnsi="Geomanist Light" w:eastAsia="Arial Nova" w:cs="Arial Nova"/>
        <w:noProof/>
        <w:sz w:val="16"/>
        <w:szCs w:val="16"/>
        <w:lang w:eastAsia="es-CO"/>
      </w:rPr>
      <w:drawing>
        <wp:anchor distT="0" distB="0" distL="0" distR="0" simplePos="0" relativeHeight="251659264" behindDoc="1" locked="0" layoutInCell="1" hidden="0" allowOverlap="1" wp14:anchorId="55E96718" wp14:editId="7624D8E9">
          <wp:simplePos x="0" y="0"/>
          <wp:positionH relativeFrom="margin">
            <wp:align>right</wp:align>
          </wp:positionH>
          <wp:positionV relativeFrom="paragraph">
            <wp:posOffset>-80564</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Pr="007566FE">
      <w:rPr>
        <w:rFonts w:ascii="Geomanist Light" w:hAnsi="Geomanist Light"/>
        <w:color w:val="002060"/>
        <w:sz w:val="16"/>
        <w:szCs w:val="16"/>
      </w:rPr>
      <w:t>FORMATO PQRSD</w:t>
    </w:r>
  </w:p>
  <w:p w:rsidRPr="007566FE" w:rsidR="007566FE" w:rsidP="00793403" w:rsidRDefault="009157E3" w14:paraId="4E9234BC" w14:textId="77777777">
    <w:pPr>
      <w:pBdr>
        <w:top w:val="nil"/>
        <w:left w:val="nil"/>
        <w:bottom w:val="nil"/>
        <w:right w:val="nil"/>
        <w:between w:val="nil"/>
      </w:pBdr>
      <w:tabs>
        <w:tab w:val="center" w:pos="4419"/>
        <w:tab w:val="right" w:pos="8838"/>
        <w:tab w:val="center" w:pos="5400"/>
      </w:tabs>
      <w:spacing w:after="0"/>
      <w:rPr>
        <w:rFonts w:ascii="Geomanist Light" w:hAnsi="Geomanist Light" w:eastAsia="Geo" w:cs="Geo"/>
        <w:b/>
        <w:color w:val="002060"/>
        <w:sz w:val="16"/>
        <w:szCs w:val="16"/>
        <w:lang w:eastAsia="es-CO"/>
      </w:rPr>
    </w:pPr>
    <w:r w:rsidRPr="007566FE">
      <w:rPr>
        <w:rFonts w:ascii="Geomanist Light" w:hAnsi="Geomanist Light" w:eastAsia="Geo" w:cs="Geo"/>
        <w:b/>
        <w:color w:val="000000"/>
        <w:sz w:val="16"/>
        <w:szCs w:val="16"/>
        <w:lang w:eastAsia="es-CO"/>
      </w:rPr>
      <w:t xml:space="preserve">Código: </w:t>
    </w:r>
    <w:r w:rsidRPr="007566FE">
      <w:rPr>
        <w:rFonts w:ascii="Geomanist Light" w:hAnsi="Geomanist Light" w:eastAsia="Geo" w:cs="Geo"/>
        <w:bCs/>
        <w:color w:val="000000"/>
        <w:sz w:val="16"/>
        <w:szCs w:val="16"/>
        <w:lang w:eastAsia="es-CO"/>
      </w:rPr>
      <w:t>CCE-PQRSD-FM-08</w:t>
    </w:r>
  </w:p>
  <w:p w:rsidR="00793403" w:rsidP="008614E5" w:rsidRDefault="009157E3" w14:paraId="59FDEB8F" w14:textId="77777777">
    <w:pPr>
      <w:spacing w:after="0"/>
      <w:rPr>
        <w:rFonts w:ascii="Geomanist Light" w:hAnsi="Geomanist Light" w:eastAsia="Geo" w:cs="Geo"/>
        <w:sz w:val="16"/>
        <w:szCs w:val="16"/>
        <w:lang w:eastAsia="es-CO"/>
      </w:rPr>
    </w:pPr>
    <w:r w:rsidRPr="00367110">
      <w:rPr>
        <w:rFonts w:eastAsia="Arial Nova" w:cs="Arial Nova"/>
        <w:noProof/>
        <w:color w:val="000000"/>
        <w:lang w:eastAsia="es-CO"/>
      </w:rPr>
      <w:drawing>
        <wp:anchor distT="0" distB="0" distL="114300" distR="114300" simplePos="0" relativeHeight="251660288" behindDoc="1" locked="0" layoutInCell="1" allowOverlap="1" wp14:anchorId="7EA250A3" wp14:editId="33FC6FEE">
          <wp:simplePos x="0" y="0"/>
          <wp:positionH relativeFrom="margin">
            <wp:align>left</wp:align>
          </wp:positionH>
          <wp:positionV relativeFrom="paragraph">
            <wp:posOffset>141605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Pr="007566FE">
      <w:rPr>
        <w:rFonts w:ascii="Geomanist Light" w:hAnsi="Geomanist Light" w:eastAsia="Geo" w:cs="Geo"/>
        <w:b/>
        <w:color w:val="000000"/>
        <w:sz w:val="16"/>
        <w:szCs w:val="16"/>
        <w:lang w:eastAsia="es-CO"/>
      </w:rPr>
      <w:t>Versión</w:t>
    </w:r>
    <w:r w:rsidRPr="007566FE">
      <w:rPr>
        <w:rFonts w:ascii="Geomanist Light" w:hAnsi="Geomanist Light" w:eastAsia="Arial Nova" w:cs="Arial Nova"/>
        <w:b/>
        <w:color w:val="000000"/>
        <w:sz w:val="16"/>
        <w:szCs w:val="16"/>
        <w:lang w:eastAsia="es-CO"/>
      </w:rPr>
      <w:t xml:space="preserve">: </w:t>
    </w:r>
    <w:r w:rsidRPr="007566FE">
      <w:rPr>
        <w:rFonts w:ascii="Geomanist Light" w:hAnsi="Geomanist Light" w:eastAsia="Geo" w:cs="Geo"/>
        <w:sz w:val="16"/>
        <w:szCs w:val="16"/>
        <w:lang w:eastAsia="es-CO"/>
      </w:rPr>
      <w:t>0</w:t>
    </w:r>
    <w:r>
      <w:rPr>
        <w:rFonts w:ascii="Geomanist Light" w:hAnsi="Geomanist Light" w:eastAsia="Geo" w:cs="Geo"/>
        <w:sz w:val="16"/>
        <w:szCs w:val="16"/>
        <w:lang w:eastAsia="es-CO"/>
      </w:rPr>
      <w:t>2</w:t>
    </w:r>
    <w:r w:rsidRPr="007566FE">
      <w:rPr>
        <w:rFonts w:ascii="Geomanist Light" w:hAnsi="Geomanist Light" w:eastAsia="Geo" w:cs="Geo"/>
        <w:sz w:val="16"/>
        <w:szCs w:val="16"/>
        <w:lang w:eastAsia="es-CO"/>
      </w:rPr>
      <w:t xml:space="preserve"> DEL </w:t>
    </w:r>
    <w:r>
      <w:rPr>
        <w:rFonts w:ascii="Geomanist Light" w:hAnsi="Geomanist Light" w:eastAsia="Geo" w:cs="Geo"/>
        <w:sz w:val="16"/>
        <w:szCs w:val="16"/>
        <w:lang w:eastAsia="es-CO"/>
      </w:rPr>
      <w:t>28</w:t>
    </w:r>
    <w:r w:rsidRPr="007566FE">
      <w:rPr>
        <w:rFonts w:ascii="Geomanist Light" w:hAnsi="Geomanist Light" w:eastAsia="Geo" w:cs="Geo"/>
        <w:sz w:val="16"/>
        <w:szCs w:val="16"/>
        <w:lang w:eastAsia="es-CO"/>
      </w:rPr>
      <w:t xml:space="preserve"> DE </w:t>
    </w:r>
    <w:r>
      <w:rPr>
        <w:rFonts w:ascii="Geomanist Light" w:hAnsi="Geomanist Light" w:eastAsia="Geo" w:cs="Geo"/>
        <w:sz w:val="16"/>
        <w:szCs w:val="16"/>
        <w:lang w:eastAsia="es-CO"/>
      </w:rPr>
      <w:t>SEPTIEMBRE</w:t>
    </w:r>
    <w:r w:rsidRPr="007566FE">
      <w:rPr>
        <w:rFonts w:ascii="Geomanist Light" w:hAnsi="Geomanist Light" w:eastAsia="Geo" w:cs="Geo"/>
        <w:sz w:val="16"/>
        <w:szCs w:val="16"/>
        <w:lang w:eastAsia="es-CO"/>
      </w:rPr>
      <w:t xml:space="preserve"> DE 2022</w:t>
    </w:r>
  </w:p>
  <w:p w:rsidRPr="007566FE" w:rsidR="00793403" w:rsidP="008614E5" w:rsidRDefault="00E849BD" w14:paraId="7D42AFED" w14:textId="77777777">
    <w:pPr>
      <w:spacing w:after="0"/>
      <w:rPr>
        <w:rFonts w:ascii="Geomanist Light" w:hAnsi="Geomanist Light"/>
        <w:color w:val="002060"/>
        <w:sz w:val="16"/>
        <w:szCs w:val="16"/>
      </w:rPr>
    </w:pPr>
  </w:p>
  <w:p w:rsidRPr="00906B3C" w:rsidR="004A1847" w:rsidP="00906B3C" w:rsidRDefault="00E849BD" w14:paraId="02641548" w14:textId="77777777">
    <w:pPr>
      <w:pStyle w:val="Encabezado"/>
      <w:tabs>
        <w:tab w:val="clear" w:pos="4419"/>
        <w:tab w:val="clear" w:pos="8838"/>
      </w:tabs>
      <w:ind w:left="3545" w:firstLine="709"/>
      <w:rPr>
        <w:b/>
        <w:bCs/>
        <w:color w:val="A5A5A5" w:themeColor="accent3"/>
        <w:sz w:val="18"/>
        <w:szCs w:val="18"/>
      </w:rPr>
    </w:pPr>
  </w:p>
</w:hdr>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proofState w:spelling="clean" w:grammar="dirty"/>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57E3"/>
    <w:rsid w:val="00000A37"/>
    <w:rsid w:val="000034AE"/>
    <w:rsid w:val="0007151D"/>
    <w:rsid w:val="000A6E69"/>
    <w:rsid w:val="000A76CC"/>
    <w:rsid w:val="000E6B82"/>
    <w:rsid w:val="000E7C14"/>
    <w:rsid w:val="00111E41"/>
    <w:rsid w:val="00113A00"/>
    <w:rsid w:val="00117732"/>
    <w:rsid w:val="0012569D"/>
    <w:rsid w:val="00131E11"/>
    <w:rsid w:val="001930B8"/>
    <w:rsid w:val="001A6B42"/>
    <w:rsid w:val="001D0DB8"/>
    <w:rsid w:val="0021371F"/>
    <w:rsid w:val="002421CC"/>
    <w:rsid w:val="00245D95"/>
    <w:rsid w:val="00246E69"/>
    <w:rsid w:val="00255DF1"/>
    <w:rsid w:val="00260E25"/>
    <w:rsid w:val="00262637"/>
    <w:rsid w:val="002630EE"/>
    <w:rsid w:val="002B0231"/>
    <w:rsid w:val="002E2EAC"/>
    <w:rsid w:val="002E77EE"/>
    <w:rsid w:val="00315230"/>
    <w:rsid w:val="00321346"/>
    <w:rsid w:val="00380DD4"/>
    <w:rsid w:val="003B420E"/>
    <w:rsid w:val="003C7991"/>
    <w:rsid w:val="00413926"/>
    <w:rsid w:val="00443E0F"/>
    <w:rsid w:val="00450613"/>
    <w:rsid w:val="004B3F1E"/>
    <w:rsid w:val="004B7F58"/>
    <w:rsid w:val="004C1B3B"/>
    <w:rsid w:val="00511794"/>
    <w:rsid w:val="005811D1"/>
    <w:rsid w:val="005818E2"/>
    <w:rsid w:val="005914B7"/>
    <w:rsid w:val="005B7B3A"/>
    <w:rsid w:val="005C44E4"/>
    <w:rsid w:val="005D645B"/>
    <w:rsid w:val="005D70C7"/>
    <w:rsid w:val="00600574"/>
    <w:rsid w:val="00697EFA"/>
    <w:rsid w:val="006C1B75"/>
    <w:rsid w:val="006C5C2E"/>
    <w:rsid w:val="006D77CA"/>
    <w:rsid w:val="00705270"/>
    <w:rsid w:val="00782188"/>
    <w:rsid w:val="007822C6"/>
    <w:rsid w:val="007878C3"/>
    <w:rsid w:val="007921EF"/>
    <w:rsid w:val="00795E69"/>
    <w:rsid w:val="00802394"/>
    <w:rsid w:val="008514FE"/>
    <w:rsid w:val="00896F85"/>
    <w:rsid w:val="008A50BB"/>
    <w:rsid w:val="008C7EC6"/>
    <w:rsid w:val="008E5C2E"/>
    <w:rsid w:val="008F622E"/>
    <w:rsid w:val="008F7F7A"/>
    <w:rsid w:val="009157E3"/>
    <w:rsid w:val="00922D6D"/>
    <w:rsid w:val="00962A4B"/>
    <w:rsid w:val="009657BE"/>
    <w:rsid w:val="009F03AD"/>
    <w:rsid w:val="009F386E"/>
    <w:rsid w:val="00A34213"/>
    <w:rsid w:val="00A362E6"/>
    <w:rsid w:val="00A503A6"/>
    <w:rsid w:val="00A613B3"/>
    <w:rsid w:val="00A741D5"/>
    <w:rsid w:val="00A80116"/>
    <w:rsid w:val="00AA0913"/>
    <w:rsid w:val="00AB0B49"/>
    <w:rsid w:val="00AF2ED0"/>
    <w:rsid w:val="00BB24FC"/>
    <w:rsid w:val="00BD492B"/>
    <w:rsid w:val="00BD65D6"/>
    <w:rsid w:val="00BD76EB"/>
    <w:rsid w:val="00BF3D39"/>
    <w:rsid w:val="00C03F44"/>
    <w:rsid w:val="00C44284"/>
    <w:rsid w:val="00C701EE"/>
    <w:rsid w:val="00C80D53"/>
    <w:rsid w:val="00CD4B57"/>
    <w:rsid w:val="00D42D87"/>
    <w:rsid w:val="00D52453"/>
    <w:rsid w:val="00D562B8"/>
    <w:rsid w:val="00D6062B"/>
    <w:rsid w:val="00D80836"/>
    <w:rsid w:val="00DB51B6"/>
    <w:rsid w:val="00DC29D8"/>
    <w:rsid w:val="00DD07E1"/>
    <w:rsid w:val="00DD5458"/>
    <w:rsid w:val="00DF759B"/>
    <w:rsid w:val="00E05BA1"/>
    <w:rsid w:val="00E3502B"/>
    <w:rsid w:val="00E35F9D"/>
    <w:rsid w:val="00E47491"/>
    <w:rsid w:val="00E824B1"/>
    <w:rsid w:val="00E849BD"/>
    <w:rsid w:val="00EE6D5C"/>
    <w:rsid w:val="00F17003"/>
    <w:rsid w:val="00F35CE8"/>
    <w:rsid w:val="00F56F89"/>
    <w:rsid w:val="00F64F89"/>
    <w:rsid w:val="00F838FE"/>
    <w:rsid w:val="4080CB4F"/>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F9BC47"/>
  <w15:chartTrackingRefBased/>
  <w15:docId w15:val="{989998BB-75FD-403C-AC7C-1734CB11F5D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157E3"/>
    <w:rPr>
      <w:kern w:val="0"/>
      <w14:ligatures w14:val="none"/>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Encabezado">
    <w:name w:val="header"/>
    <w:basedOn w:val="Normal"/>
    <w:link w:val="EncabezadoCar"/>
    <w:uiPriority w:val="99"/>
    <w:unhideWhenUsed/>
    <w:rsid w:val="009157E3"/>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9157E3"/>
    <w:rPr>
      <w:kern w:val="0"/>
      <w14:ligatures w14:val="none"/>
    </w:rPr>
  </w:style>
  <w:style w:type="paragraph" w:styleId="Piedepgina">
    <w:name w:val="footer"/>
    <w:basedOn w:val="Normal"/>
    <w:link w:val="PiedepginaCar"/>
    <w:uiPriority w:val="99"/>
    <w:unhideWhenUsed/>
    <w:rsid w:val="009157E3"/>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9157E3"/>
    <w:rPr>
      <w:kern w:val="0"/>
      <w14:ligatures w14:val="none"/>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9157E3"/>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9157E3"/>
    <w:pPr>
      <w:spacing w:after="0" w:line="240" w:lineRule="auto"/>
    </w:pPr>
    <w:rPr>
      <w:kern w:val="2"/>
      <w:sz w:val="20"/>
      <w:szCs w:val="20"/>
      <w:lang w:val="es-MX"/>
      <w14:ligatures w14:val="standardContextual"/>
    </w:rPr>
  </w:style>
  <w:style w:type="character" w:styleId="TextonotapieCar1" w:customStyle="1">
    <w:name w:val="Texto nota pie Car1"/>
    <w:basedOn w:val="Fuentedeprrafopredeter"/>
    <w:uiPriority w:val="99"/>
    <w:semiHidden/>
    <w:rsid w:val="009157E3"/>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9157E3"/>
    <w:rPr>
      <w:vertAlign w:val="superscript"/>
    </w:rPr>
  </w:style>
  <w:style w:type="table" w:styleId="Tablaconcuadrcula">
    <w:name w:val="Table Grid"/>
    <w:basedOn w:val="Tablanormal"/>
    <w:uiPriority w:val="59"/>
    <w:rsid w:val="009157E3"/>
    <w:pPr>
      <w:spacing w:after="0" w:line="240" w:lineRule="auto"/>
    </w:pPr>
    <w:rPr>
      <w:kern w:val="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rmalWeb">
    <w:name w:val="Normal (Web)"/>
    <w:basedOn w:val="Normal"/>
    <w:uiPriority w:val="99"/>
    <w:semiHidden/>
    <w:unhideWhenUsed/>
    <w:rsid w:val="009157E3"/>
    <w:rPr>
      <w:rFonts w:ascii="Times New Roman" w:hAnsi="Times New Roman" w:cs="Times New Roman"/>
      <w:sz w:val="24"/>
      <w:szCs w:val="24"/>
    </w:rPr>
  </w:style>
  <w:style w:type="character" w:styleId="Hipervnculo1" w:customStyle="1">
    <w:name w:val="Hipervínculo1"/>
    <w:basedOn w:val="Fuentedeprrafopredeter"/>
    <w:uiPriority w:val="99"/>
    <w:unhideWhenUsed/>
    <w:rsid w:val="009157E3"/>
    <w:rPr>
      <w:color w:val="F2F2F2"/>
      <w:u w:val="single"/>
    </w:rPr>
  </w:style>
  <w:style w:type="character" w:styleId="Textoennegrita">
    <w:name w:val="Strong"/>
    <w:basedOn w:val="Fuentedeprrafopredeter"/>
    <w:uiPriority w:val="22"/>
    <w:qFormat/>
    <w:rsid w:val="009157E3"/>
    <w:rPr>
      <w:b/>
      <w:bCs/>
    </w:rPr>
  </w:style>
  <w:style w:type="character" w:styleId="nfasis">
    <w:name w:val="Emphasis"/>
    <w:basedOn w:val="Fuentedeprrafopredeter"/>
    <w:uiPriority w:val="20"/>
    <w:qFormat/>
    <w:rsid w:val="009157E3"/>
    <w:rPr>
      <w:i/>
      <w:iCs/>
    </w:rPr>
  </w:style>
  <w:style w:type="paragraph" w:styleId="Appelnotedebasde" w:customStyle="1">
    <w:name w:val="Appel note de bas de..."/>
    <w:basedOn w:val="Normal"/>
    <w:link w:val="Refdenotaalpie"/>
    <w:uiPriority w:val="99"/>
    <w:rsid w:val="009157E3"/>
    <w:pPr>
      <w:spacing w:line="240" w:lineRule="exact"/>
    </w:pPr>
    <w:rPr>
      <w:kern w:val="2"/>
      <w:vertAlign w:val="superscript"/>
      <w14:ligatures w14:val="standardContextual"/>
    </w:rPr>
  </w:style>
  <w:style w:type="table" w:styleId="Tablaconcuadrcula21" w:customStyle="1">
    <w:name w:val="Tabla con cuadrícula21"/>
    <w:basedOn w:val="Tablanormal"/>
    <w:next w:val="Tablaconcuadrcula"/>
    <w:uiPriority w:val="59"/>
    <w:rsid w:val="009157E3"/>
    <w:pPr>
      <w:spacing w:after="0" w:line="240" w:lineRule="auto"/>
    </w:pPr>
    <w:rPr>
      <w:kern w:val="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F17003"/>
    <w:rPr>
      <w:color w:val="0563C1" w:themeColor="hyperlink"/>
      <w:u w:val="single"/>
    </w:rPr>
  </w:style>
  <w:style w:type="character" w:styleId="Mencinsinresolver">
    <w:name w:val="Unresolved Mention"/>
    <w:basedOn w:val="Fuentedeprrafopredeter"/>
    <w:uiPriority w:val="99"/>
    <w:semiHidden/>
    <w:unhideWhenUsed/>
    <w:rsid w:val="00F17003"/>
    <w:rPr>
      <w:color w:val="605E5C"/>
      <w:shd w:val="clear" w:color="auto" w:fill="E1DFDD"/>
    </w:rPr>
  </w:style>
  <w:style w:type="paragraph" w:styleId="paragraph" w:customStyle="1">
    <w:name w:val="paragraph"/>
    <w:basedOn w:val="Normal"/>
    <w:rsid w:val="0021371F"/>
    <w:pPr>
      <w:spacing w:before="100" w:beforeAutospacing="1" w:after="100" w:afterAutospacing="1" w:line="240" w:lineRule="auto"/>
    </w:pPr>
    <w:rPr>
      <w:rFonts w:ascii="Times New Roman" w:hAnsi="Times New Roman" w:eastAsia="Times New Roman" w:cs="Times New Roman"/>
      <w:sz w:val="24"/>
      <w:szCs w:val="24"/>
      <w:lang w:eastAsia="es-CO"/>
    </w:rPr>
  </w:style>
  <w:style w:type="character" w:styleId="normaltextrun" w:customStyle="1">
    <w:name w:val="normaltextrun"/>
    <w:basedOn w:val="Fuentedeprrafopredeter"/>
    <w:rsid w:val="0021371F"/>
  </w:style>
  <w:style w:type="character" w:styleId="eop" w:customStyle="1">
    <w:name w:val="eop"/>
    <w:basedOn w:val="Fuentedeprrafopredeter"/>
    <w:rsid w:val="0021371F"/>
  </w:style>
  <w:style w:type="character" w:styleId="superscript" w:customStyle="1">
    <w:name w:val="superscript"/>
    <w:basedOn w:val="Fuentedeprrafopredeter"/>
    <w:rsid w:val="0021371F"/>
  </w:style>
  <w:style w:type="paragraph" w:styleId="Revisin">
    <w:name w:val="Revision"/>
    <w:hidden/>
    <w:uiPriority w:val="99"/>
    <w:semiHidden/>
    <w:rsid w:val="008514FE"/>
    <w:pPr>
      <w:spacing w:after="0" w:line="240" w:lineRule="auto"/>
    </w:pPr>
    <w:rPr>
      <w:kern w:val="0"/>
      <w14:ligatures w14:val="none"/>
    </w:rPr>
  </w:style>
  <w:style w:type="character" w:styleId="Refdecomentario">
    <w:name w:val="annotation reference"/>
    <w:basedOn w:val="Fuentedeprrafopredeter"/>
    <w:uiPriority w:val="99"/>
    <w:semiHidden/>
    <w:unhideWhenUsed/>
    <w:rsid w:val="008514FE"/>
    <w:rPr>
      <w:sz w:val="16"/>
      <w:szCs w:val="16"/>
    </w:rPr>
  </w:style>
  <w:style w:type="paragraph" w:styleId="Textocomentario">
    <w:name w:val="annotation text"/>
    <w:basedOn w:val="Normal"/>
    <w:link w:val="TextocomentarioCar"/>
    <w:uiPriority w:val="99"/>
    <w:unhideWhenUsed/>
    <w:rsid w:val="008514FE"/>
    <w:pPr>
      <w:spacing w:line="240" w:lineRule="auto"/>
    </w:pPr>
    <w:rPr>
      <w:sz w:val="20"/>
      <w:szCs w:val="20"/>
    </w:rPr>
  </w:style>
  <w:style w:type="character" w:styleId="TextocomentarioCar" w:customStyle="1">
    <w:name w:val="Texto comentario Car"/>
    <w:basedOn w:val="Fuentedeprrafopredeter"/>
    <w:link w:val="Textocomentario"/>
    <w:uiPriority w:val="99"/>
    <w:rsid w:val="008514FE"/>
    <w:rPr>
      <w:kern w:val="0"/>
      <w:sz w:val="20"/>
      <w:szCs w:val="20"/>
      <w14:ligatures w14:val="none"/>
    </w:rPr>
  </w:style>
  <w:style w:type="paragraph" w:styleId="Asuntodelcomentario">
    <w:name w:val="annotation subject"/>
    <w:basedOn w:val="Textocomentario"/>
    <w:next w:val="Textocomentario"/>
    <w:link w:val="AsuntodelcomentarioCar"/>
    <w:uiPriority w:val="99"/>
    <w:semiHidden/>
    <w:unhideWhenUsed/>
    <w:rsid w:val="008514FE"/>
    <w:rPr>
      <w:b/>
      <w:bCs/>
    </w:rPr>
  </w:style>
  <w:style w:type="character" w:styleId="AsuntodelcomentarioCar" w:customStyle="1">
    <w:name w:val="Asunto del comentario Car"/>
    <w:basedOn w:val="TextocomentarioCar"/>
    <w:link w:val="Asuntodelcomentario"/>
    <w:uiPriority w:val="99"/>
    <w:semiHidden/>
    <w:rsid w:val="008514FE"/>
    <w:rPr>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5794352">
      <w:bodyDiv w:val="1"/>
      <w:marLeft w:val="0"/>
      <w:marRight w:val="0"/>
      <w:marTop w:val="0"/>
      <w:marBottom w:val="0"/>
      <w:divBdr>
        <w:top w:val="none" w:sz="0" w:space="0" w:color="auto"/>
        <w:left w:val="none" w:sz="0" w:space="0" w:color="auto"/>
        <w:bottom w:val="none" w:sz="0" w:space="0" w:color="auto"/>
        <w:right w:val="none" w:sz="0" w:space="0" w:color="auto"/>
      </w:divBdr>
      <w:divsChild>
        <w:div w:id="1894654370">
          <w:marLeft w:val="0"/>
          <w:marRight w:val="0"/>
          <w:marTop w:val="0"/>
          <w:marBottom w:val="0"/>
          <w:divBdr>
            <w:top w:val="none" w:sz="0" w:space="0" w:color="auto"/>
            <w:left w:val="none" w:sz="0" w:space="0" w:color="auto"/>
            <w:bottom w:val="none" w:sz="0" w:space="0" w:color="auto"/>
            <w:right w:val="none" w:sz="0" w:space="0" w:color="auto"/>
          </w:divBdr>
        </w:div>
        <w:div w:id="1719816329">
          <w:marLeft w:val="0"/>
          <w:marRight w:val="0"/>
          <w:marTop w:val="0"/>
          <w:marBottom w:val="0"/>
          <w:divBdr>
            <w:top w:val="none" w:sz="0" w:space="0" w:color="auto"/>
            <w:left w:val="none" w:sz="0" w:space="0" w:color="auto"/>
            <w:bottom w:val="none" w:sz="0" w:space="0" w:color="auto"/>
            <w:right w:val="none" w:sz="0" w:space="0" w:color="auto"/>
          </w:divBdr>
        </w:div>
        <w:div w:id="1244338992">
          <w:marLeft w:val="0"/>
          <w:marRight w:val="0"/>
          <w:marTop w:val="0"/>
          <w:marBottom w:val="0"/>
          <w:divBdr>
            <w:top w:val="none" w:sz="0" w:space="0" w:color="auto"/>
            <w:left w:val="none" w:sz="0" w:space="0" w:color="auto"/>
            <w:bottom w:val="none" w:sz="0" w:space="0" w:color="auto"/>
            <w:right w:val="none" w:sz="0" w:space="0" w:color="auto"/>
          </w:divBdr>
        </w:div>
        <w:div w:id="194779101">
          <w:marLeft w:val="0"/>
          <w:marRight w:val="0"/>
          <w:marTop w:val="0"/>
          <w:marBottom w:val="0"/>
          <w:divBdr>
            <w:top w:val="none" w:sz="0" w:space="0" w:color="auto"/>
            <w:left w:val="none" w:sz="0" w:space="0" w:color="auto"/>
            <w:bottom w:val="none" w:sz="0" w:space="0" w:color="auto"/>
            <w:right w:val="none" w:sz="0" w:space="0" w:color="auto"/>
          </w:divBdr>
        </w:div>
        <w:div w:id="1932320">
          <w:marLeft w:val="0"/>
          <w:marRight w:val="0"/>
          <w:marTop w:val="0"/>
          <w:marBottom w:val="0"/>
          <w:divBdr>
            <w:top w:val="none" w:sz="0" w:space="0" w:color="auto"/>
            <w:left w:val="none" w:sz="0" w:space="0" w:color="auto"/>
            <w:bottom w:val="none" w:sz="0" w:space="0" w:color="auto"/>
            <w:right w:val="none" w:sz="0" w:space="0" w:color="auto"/>
          </w:divBdr>
        </w:div>
        <w:div w:id="70197457">
          <w:marLeft w:val="0"/>
          <w:marRight w:val="0"/>
          <w:marTop w:val="0"/>
          <w:marBottom w:val="0"/>
          <w:divBdr>
            <w:top w:val="none" w:sz="0" w:space="0" w:color="auto"/>
            <w:left w:val="none" w:sz="0" w:space="0" w:color="auto"/>
            <w:bottom w:val="none" w:sz="0" w:space="0" w:color="auto"/>
            <w:right w:val="none" w:sz="0" w:space="0" w:color="auto"/>
          </w:divBdr>
        </w:div>
        <w:div w:id="190195156">
          <w:marLeft w:val="0"/>
          <w:marRight w:val="0"/>
          <w:marTop w:val="0"/>
          <w:marBottom w:val="0"/>
          <w:divBdr>
            <w:top w:val="none" w:sz="0" w:space="0" w:color="auto"/>
            <w:left w:val="none" w:sz="0" w:space="0" w:color="auto"/>
            <w:bottom w:val="none" w:sz="0" w:space="0" w:color="auto"/>
            <w:right w:val="none" w:sz="0" w:space="0" w:color="auto"/>
          </w:divBdr>
        </w:div>
        <w:div w:id="930312932">
          <w:marLeft w:val="0"/>
          <w:marRight w:val="0"/>
          <w:marTop w:val="0"/>
          <w:marBottom w:val="0"/>
          <w:divBdr>
            <w:top w:val="none" w:sz="0" w:space="0" w:color="auto"/>
            <w:left w:val="none" w:sz="0" w:space="0" w:color="auto"/>
            <w:bottom w:val="none" w:sz="0" w:space="0" w:color="auto"/>
            <w:right w:val="none" w:sz="0" w:space="0" w:color="auto"/>
          </w:divBdr>
        </w:div>
        <w:div w:id="1174957442">
          <w:marLeft w:val="0"/>
          <w:marRight w:val="0"/>
          <w:marTop w:val="0"/>
          <w:marBottom w:val="0"/>
          <w:divBdr>
            <w:top w:val="none" w:sz="0" w:space="0" w:color="auto"/>
            <w:left w:val="none" w:sz="0" w:space="0" w:color="auto"/>
            <w:bottom w:val="none" w:sz="0" w:space="0" w:color="auto"/>
            <w:right w:val="none" w:sz="0" w:space="0" w:color="auto"/>
          </w:divBdr>
        </w:div>
        <w:div w:id="1043940920">
          <w:marLeft w:val="0"/>
          <w:marRight w:val="0"/>
          <w:marTop w:val="0"/>
          <w:marBottom w:val="0"/>
          <w:divBdr>
            <w:top w:val="none" w:sz="0" w:space="0" w:color="auto"/>
            <w:left w:val="none" w:sz="0" w:space="0" w:color="auto"/>
            <w:bottom w:val="none" w:sz="0" w:space="0" w:color="auto"/>
            <w:right w:val="none" w:sz="0" w:space="0" w:color="auto"/>
          </w:divBdr>
        </w:div>
        <w:div w:id="2086146662">
          <w:marLeft w:val="0"/>
          <w:marRight w:val="0"/>
          <w:marTop w:val="0"/>
          <w:marBottom w:val="0"/>
          <w:divBdr>
            <w:top w:val="none" w:sz="0" w:space="0" w:color="auto"/>
            <w:left w:val="none" w:sz="0" w:space="0" w:color="auto"/>
            <w:bottom w:val="none" w:sz="0" w:space="0" w:color="auto"/>
            <w:right w:val="none" w:sz="0" w:space="0" w:color="auto"/>
          </w:divBdr>
        </w:div>
        <w:div w:id="1642734791">
          <w:marLeft w:val="0"/>
          <w:marRight w:val="0"/>
          <w:marTop w:val="0"/>
          <w:marBottom w:val="0"/>
          <w:divBdr>
            <w:top w:val="none" w:sz="0" w:space="0" w:color="auto"/>
            <w:left w:val="none" w:sz="0" w:space="0" w:color="auto"/>
            <w:bottom w:val="none" w:sz="0" w:space="0" w:color="auto"/>
            <w:right w:val="none" w:sz="0" w:space="0" w:color="auto"/>
          </w:divBdr>
        </w:div>
        <w:div w:id="1852992599">
          <w:marLeft w:val="0"/>
          <w:marRight w:val="0"/>
          <w:marTop w:val="0"/>
          <w:marBottom w:val="0"/>
          <w:divBdr>
            <w:top w:val="none" w:sz="0" w:space="0" w:color="auto"/>
            <w:left w:val="none" w:sz="0" w:space="0" w:color="auto"/>
            <w:bottom w:val="none" w:sz="0" w:space="0" w:color="auto"/>
            <w:right w:val="none" w:sz="0" w:space="0" w:color="auto"/>
          </w:divBdr>
        </w:div>
        <w:div w:id="1836801655">
          <w:marLeft w:val="0"/>
          <w:marRight w:val="0"/>
          <w:marTop w:val="0"/>
          <w:marBottom w:val="0"/>
          <w:divBdr>
            <w:top w:val="none" w:sz="0" w:space="0" w:color="auto"/>
            <w:left w:val="none" w:sz="0" w:space="0" w:color="auto"/>
            <w:bottom w:val="none" w:sz="0" w:space="0" w:color="auto"/>
            <w:right w:val="none" w:sz="0" w:space="0" w:color="auto"/>
          </w:divBdr>
        </w:div>
        <w:div w:id="684750907">
          <w:marLeft w:val="0"/>
          <w:marRight w:val="0"/>
          <w:marTop w:val="0"/>
          <w:marBottom w:val="0"/>
          <w:divBdr>
            <w:top w:val="none" w:sz="0" w:space="0" w:color="auto"/>
            <w:left w:val="none" w:sz="0" w:space="0" w:color="auto"/>
            <w:bottom w:val="none" w:sz="0" w:space="0" w:color="auto"/>
            <w:right w:val="none" w:sz="0" w:space="0" w:color="auto"/>
          </w:divBdr>
        </w:div>
        <w:div w:id="574046974">
          <w:marLeft w:val="0"/>
          <w:marRight w:val="0"/>
          <w:marTop w:val="0"/>
          <w:marBottom w:val="0"/>
          <w:divBdr>
            <w:top w:val="none" w:sz="0" w:space="0" w:color="auto"/>
            <w:left w:val="none" w:sz="0" w:space="0" w:color="auto"/>
            <w:bottom w:val="none" w:sz="0" w:space="0" w:color="auto"/>
            <w:right w:val="none" w:sz="0" w:space="0" w:color="auto"/>
          </w:divBdr>
        </w:div>
        <w:div w:id="770010602">
          <w:marLeft w:val="0"/>
          <w:marRight w:val="0"/>
          <w:marTop w:val="0"/>
          <w:marBottom w:val="0"/>
          <w:divBdr>
            <w:top w:val="none" w:sz="0" w:space="0" w:color="auto"/>
            <w:left w:val="none" w:sz="0" w:space="0" w:color="auto"/>
            <w:bottom w:val="none" w:sz="0" w:space="0" w:color="auto"/>
            <w:right w:val="none" w:sz="0" w:space="0" w:color="auto"/>
          </w:divBdr>
        </w:div>
        <w:div w:id="1689018567">
          <w:marLeft w:val="0"/>
          <w:marRight w:val="0"/>
          <w:marTop w:val="0"/>
          <w:marBottom w:val="0"/>
          <w:divBdr>
            <w:top w:val="none" w:sz="0" w:space="0" w:color="auto"/>
            <w:left w:val="none" w:sz="0" w:space="0" w:color="auto"/>
            <w:bottom w:val="none" w:sz="0" w:space="0" w:color="auto"/>
            <w:right w:val="none" w:sz="0" w:space="0" w:color="auto"/>
          </w:divBdr>
        </w:div>
        <w:div w:id="1177185772">
          <w:marLeft w:val="0"/>
          <w:marRight w:val="0"/>
          <w:marTop w:val="0"/>
          <w:marBottom w:val="0"/>
          <w:divBdr>
            <w:top w:val="none" w:sz="0" w:space="0" w:color="auto"/>
            <w:left w:val="none" w:sz="0" w:space="0" w:color="auto"/>
            <w:bottom w:val="none" w:sz="0" w:space="0" w:color="auto"/>
            <w:right w:val="none" w:sz="0" w:space="0" w:color="auto"/>
          </w:divBdr>
        </w:div>
      </w:divsChild>
    </w:div>
    <w:div w:id="389158762">
      <w:bodyDiv w:val="1"/>
      <w:marLeft w:val="0"/>
      <w:marRight w:val="0"/>
      <w:marTop w:val="0"/>
      <w:marBottom w:val="0"/>
      <w:divBdr>
        <w:top w:val="none" w:sz="0" w:space="0" w:color="auto"/>
        <w:left w:val="none" w:sz="0" w:space="0" w:color="auto"/>
        <w:bottom w:val="none" w:sz="0" w:space="0" w:color="auto"/>
        <w:right w:val="none" w:sz="0" w:space="0" w:color="auto"/>
      </w:divBdr>
      <w:divsChild>
        <w:div w:id="1255819170">
          <w:marLeft w:val="0"/>
          <w:marRight w:val="0"/>
          <w:marTop w:val="0"/>
          <w:marBottom w:val="0"/>
          <w:divBdr>
            <w:top w:val="none" w:sz="0" w:space="0" w:color="auto"/>
            <w:left w:val="none" w:sz="0" w:space="0" w:color="auto"/>
            <w:bottom w:val="none" w:sz="0" w:space="0" w:color="auto"/>
            <w:right w:val="none" w:sz="0" w:space="0" w:color="auto"/>
          </w:divBdr>
        </w:div>
        <w:div w:id="1058630165">
          <w:marLeft w:val="0"/>
          <w:marRight w:val="0"/>
          <w:marTop w:val="0"/>
          <w:marBottom w:val="0"/>
          <w:divBdr>
            <w:top w:val="none" w:sz="0" w:space="0" w:color="auto"/>
            <w:left w:val="none" w:sz="0" w:space="0" w:color="auto"/>
            <w:bottom w:val="none" w:sz="0" w:space="0" w:color="auto"/>
            <w:right w:val="none" w:sz="0" w:space="0" w:color="auto"/>
          </w:divBdr>
        </w:div>
        <w:div w:id="1298419164">
          <w:marLeft w:val="0"/>
          <w:marRight w:val="0"/>
          <w:marTop w:val="0"/>
          <w:marBottom w:val="0"/>
          <w:divBdr>
            <w:top w:val="none" w:sz="0" w:space="0" w:color="auto"/>
            <w:left w:val="none" w:sz="0" w:space="0" w:color="auto"/>
            <w:bottom w:val="none" w:sz="0" w:space="0" w:color="auto"/>
            <w:right w:val="none" w:sz="0" w:space="0" w:color="auto"/>
          </w:divBdr>
        </w:div>
      </w:divsChild>
    </w:div>
    <w:div w:id="1122309213">
      <w:bodyDiv w:val="1"/>
      <w:marLeft w:val="0"/>
      <w:marRight w:val="0"/>
      <w:marTop w:val="0"/>
      <w:marBottom w:val="0"/>
      <w:divBdr>
        <w:top w:val="none" w:sz="0" w:space="0" w:color="auto"/>
        <w:left w:val="none" w:sz="0" w:space="0" w:color="auto"/>
        <w:bottom w:val="none" w:sz="0" w:space="0" w:color="auto"/>
        <w:right w:val="none" w:sz="0" w:space="0" w:color="auto"/>
      </w:divBdr>
      <w:divsChild>
        <w:div w:id="1054810956">
          <w:marLeft w:val="0"/>
          <w:marRight w:val="0"/>
          <w:marTop w:val="0"/>
          <w:marBottom w:val="0"/>
          <w:divBdr>
            <w:top w:val="none" w:sz="0" w:space="0" w:color="auto"/>
            <w:left w:val="none" w:sz="0" w:space="0" w:color="auto"/>
            <w:bottom w:val="none" w:sz="0" w:space="0" w:color="auto"/>
            <w:right w:val="none" w:sz="0" w:space="0" w:color="auto"/>
          </w:divBdr>
        </w:div>
        <w:div w:id="1012487190">
          <w:marLeft w:val="0"/>
          <w:marRight w:val="0"/>
          <w:marTop w:val="0"/>
          <w:marBottom w:val="0"/>
          <w:divBdr>
            <w:top w:val="none" w:sz="0" w:space="0" w:color="auto"/>
            <w:left w:val="none" w:sz="0" w:space="0" w:color="auto"/>
            <w:bottom w:val="none" w:sz="0" w:space="0" w:color="auto"/>
            <w:right w:val="none" w:sz="0" w:space="0" w:color="auto"/>
          </w:divBdr>
        </w:div>
        <w:div w:id="1675112910">
          <w:marLeft w:val="0"/>
          <w:marRight w:val="0"/>
          <w:marTop w:val="0"/>
          <w:marBottom w:val="0"/>
          <w:divBdr>
            <w:top w:val="none" w:sz="0" w:space="0" w:color="auto"/>
            <w:left w:val="none" w:sz="0" w:space="0" w:color="auto"/>
            <w:bottom w:val="none" w:sz="0" w:space="0" w:color="auto"/>
            <w:right w:val="none" w:sz="0" w:space="0" w:color="auto"/>
          </w:divBdr>
        </w:div>
        <w:div w:id="906110194">
          <w:marLeft w:val="0"/>
          <w:marRight w:val="0"/>
          <w:marTop w:val="0"/>
          <w:marBottom w:val="0"/>
          <w:divBdr>
            <w:top w:val="none" w:sz="0" w:space="0" w:color="auto"/>
            <w:left w:val="none" w:sz="0" w:space="0" w:color="auto"/>
            <w:bottom w:val="none" w:sz="0" w:space="0" w:color="auto"/>
            <w:right w:val="none" w:sz="0" w:space="0" w:color="auto"/>
          </w:divBdr>
        </w:div>
        <w:div w:id="1839534071">
          <w:marLeft w:val="0"/>
          <w:marRight w:val="0"/>
          <w:marTop w:val="0"/>
          <w:marBottom w:val="0"/>
          <w:divBdr>
            <w:top w:val="none" w:sz="0" w:space="0" w:color="auto"/>
            <w:left w:val="none" w:sz="0" w:space="0" w:color="auto"/>
            <w:bottom w:val="none" w:sz="0" w:space="0" w:color="auto"/>
            <w:right w:val="none" w:sz="0" w:space="0" w:color="auto"/>
          </w:divBdr>
        </w:div>
        <w:div w:id="1972784194">
          <w:marLeft w:val="0"/>
          <w:marRight w:val="0"/>
          <w:marTop w:val="0"/>
          <w:marBottom w:val="0"/>
          <w:divBdr>
            <w:top w:val="none" w:sz="0" w:space="0" w:color="auto"/>
            <w:left w:val="none" w:sz="0" w:space="0" w:color="auto"/>
            <w:bottom w:val="none" w:sz="0" w:space="0" w:color="auto"/>
            <w:right w:val="none" w:sz="0" w:space="0" w:color="auto"/>
          </w:divBdr>
        </w:div>
        <w:div w:id="730353315">
          <w:marLeft w:val="0"/>
          <w:marRight w:val="0"/>
          <w:marTop w:val="0"/>
          <w:marBottom w:val="0"/>
          <w:divBdr>
            <w:top w:val="none" w:sz="0" w:space="0" w:color="auto"/>
            <w:left w:val="none" w:sz="0" w:space="0" w:color="auto"/>
            <w:bottom w:val="none" w:sz="0" w:space="0" w:color="auto"/>
            <w:right w:val="none" w:sz="0" w:space="0" w:color="auto"/>
          </w:divBdr>
        </w:div>
        <w:div w:id="1890409253">
          <w:marLeft w:val="0"/>
          <w:marRight w:val="0"/>
          <w:marTop w:val="0"/>
          <w:marBottom w:val="0"/>
          <w:divBdr>
            <w:top w:val="none" w:sz="0" w:space="0" w:color="auto"/>
            <w:left w:val="none" w:sz="0" w:space="0" w:color="auto"/>
            <w:bottom w:val="none" w:sz="0" w:space="0" w:color="auto"/>
            <w:right w:val="none" w:sz="0" w:space="0" w:color="auto"/>
          </w:divBdr>
        </w:div>
        <w:div w:id="1322923714">
          <w:marLeft w:val="0"/>
          <w:marRight w:val="0"/>
          <w:marTop w:val="0"/>
          <w:marBottom w:val="0"/>
          <w:divBdr>
            <w:top w:val="none" w:sz="0" w:space="0" w:color="auto"/>
            <w:left w:val="none" w:sz="0" w:space="0" w:color="auto"/>
            <w:bottom w:val="none" w:sz="0" w:space="0" w:color="auto"/>
            <w:right w:val="none" w:sz="0" w:space="0" w:color="auto"/>
          </w:divBdr>
        </w:div>
        <w:div w:id="1433435343">
          <w:marLeft w:val="0"/>
          <w:marRight w:val="0"/>
          <w:marTop w:val="0"/>
          <w:marBottom w:val="0"/>
          <w:divBdr>
            <w:top w:val="none" w:sz="0" w:space="0" w:color="auto"/>
            <w:left w:val="none" w:sz="0" w:space="0" w:color="auto"/>
            <w:bottom w:val="none" w:sz="0" w:space="0" w:color="auto"/>
            <w:right w:val="none" w:sz="0" w:space="0" w:color="auto"/>
          </w:divBdr>
        </w:div>
        <w:div w:id="7359794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footnotes" Target="footnote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header" Target="header1.xml" Id="rId11" /><Relationship Type="http://schemas.openxmlformats.org/officeDocument/2006/relationships/settings" Target="settings.xml" Id="rId5" /><Relationship Type="http://schemas.openxmlformats.org/officeDocument/2006/relationships/image" Target="media/image1.png" Id="rId10" /><Relationship Type="http://schemas.openxmlformats.org/officeDocument/2006/relationships/styles" Target="styles.xml" Id="rId4" /><Relationship Type="http://schemas.openxmlformats.org/officeDocument/2006/relationships/hyperlink" Target="mailto:esteban1sanabria@gmail.com" TargetMode="External" Id="rId9" /><Relationship Type="http://schemas.openxmlformats.org/officeDocument/2006/relationships/theme" Target="theme/theme1.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7" ma:contentTypeDescription="Crear nuevo documento." ma:contentTypeScope="" ma:versionID="a34407833354fcfc312bad70d6c3459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b353d508bfaf3d48e66d044e463fff7"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86A6315-0D1E-45E5-BAE9-230613325948}"/>
</file>

<file path=customXml/itemProps2.xml><?xml version="1.0" encoding="utf-8"?>
<ds:datastoreItem xmlns:ds="http://schemas.openxmlformats.org/officeDocument/2006/customXml" ds:itemID="{65B2C663-D947-4B2C-9D89-92288F869CB8}">
  <ds:schemaRefs>
    <ds:schemaRef ds:uri="http://purl.org/dc/dcmitype/"/>
    <ds:schemaRef ds:uri="53ac67a5-92a3-4296-a7d6-6eec8633cc35"/>
    <ds:schemaRef ds:uri="http://schemas.microsoft.com/office/2006/metadata/properties"/>
    <ds:schemaRef ds:uri="http://schemas.openxmlformats.org/package/2006/metadata/core-properties"/>
    <ds:schemaRef ds:uri="http://www.w3.org/XML/1998/namespace"/>
    <ds:schemaRef ds:uri="http://schemas.microsoft.com/office/2006/documentManagement/types"/>
    <ds:schemaRef ds:uri="http://purl.org/dc/elements/1.1/"/>
    <ds:schemaRef ds:uri="http://schemas.microsoft.com/office/infopath/2007/PartnerControls"/>
    <ds:schemaRef ds:uri="ba381f48-515a-4490-81c9-88db732c087d"/>
    <ds:schemaRef ds:uri="http://purl.org/dc/terms/"/>
  </ds:schemaRefs>
</ds:datastoreItem>
</file>

<file path=customXml/itemProps3.xml><?xml version="1.0" encoding="utf-8"?>
<ds:datastoreItem xmlns:ds="http://schemas.openxmlformats.org/officeDocument/2006/customXml" ds:itemID="{F985CD62-8C06-4F82-B33B-2A21F377B162}">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Nasly</dc:creator>
  <cp:keywords/>
  <dc:description/>
  <cp:lastModifiedBy>Oscar David Mórelo Pedroza</cp:lastModifiedBy>
  <cp:revision>4</cp:revision>
  <cp:lastPrinted>2023-05-04T19:27:00Z</cp:lastPrinted>
  <dcterms:created xsi:type="dcterms:W3CDTF">2023-05-04T19:33:00Z</dcterms:created>
  <dcterms:modified xsi:type="dcterms:W3CDTF">2023-07-21T14:58:37Z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