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A60B4" w14:textId="639A429A" w:rsidR="005440CD" w:rsidRPr="005440CD" w:rsidRDefault="005440CD" w:rsidP="00CB7774">
      <w:pPr>
        <w:spacing w:after="0"/>
        <w:jc w:val="both"/>
        <w:rPr>
          <w:rFonts w:ascii="Verdana" w:hAnsi="Verdana"/>
        </w:rPr>
      </w:pPr>
      <w:bookmarkStart w:id="0" w:name="_Hlk143780582"/>
      <w:r w:rsidRPr="005440CD">
        <w:rPr>
          <w:rFonts w:ascii="Verdana" w:eastAsia="Aptos" w:hAnsi="Verdana" w:cs="Arial"/>
          <w:b/>
          <w:color w:val="000000"/>
          <w:lang w:val="es-ES_tradnl"/>
        </w:rPr>
        <w:t xml:space="preserve">CAPACIDAD FINANCIERA Y ORGANIZACIONAL – RUP – Verificación </w:t>
      </w:r>
    </w:p>
    <w:p w14:paraId="45ECBDF2" w14:textId="77777777" w:rsidR="005440CD" w:rsidRPr="005440CD" w:rsidRDefault="005440CD" w:rsidP="005440CD">
      <w:pPr>
        <w:snapToGrid w:val="0"/>
        <w:spacing w:after="0" w:line="276" w:lineRule="auto"/>
        <w:jc w:val="both"/>
        <w:rPr>
          <w:rFonts w:ascii="Verdana" w:eastAsia="Aptos" w:hAnsi="Verdana" w:cs="Arial"/>
          <w:b/>
          <w:color w:val="000000"/>
          <w:lang w:val="es-ES_tradnl"/>
        </w:rPr>
      </w:pPr>
    </w:p>
    <w:p w14:paraId="2AC34399" w14:textId="77777777" w:rsidR="00906A92" w:rsidRPr="005440CD" w:rsidRDefault="00906A92" w:rsidP="00906A92">
      <w:pPr>
        <w:snapToGrid w:val="0"/>
        <w:spacing w:after="0" w:line="240" w:lineRule="auto"/>
        <w:jc w:val="both"/>
        <w:rPr>
          <w:rFonts w:ascii="Verdana" w:eastAsia="Century Gothic" w:hAnsi="Verdana" w:cs="Century Gothic"/>
          <w:color w:val="000000"/>
          <w:kern w:val="2"/>
          <w:lang w:val="es-ES_tradnl"/>
          <w14:ligatures w14:val="standardContextual"/>
        </w:rPr>
      </w:pPr>
      <w:r w:rsidRPr="00906A92">
        <w:rPr>
          <w:rFonts w:ascii="Verdana" w:eastAsia="Century Gothic" w:hAnsi="Verdana" w:cs="Century Gothic"/>
          <w:color w:val="000000"/>
          <w:kern w:val="2"/>
          <w:sz w:val="20"/>
          <w:szCs w:val="20"/>
          <w:lang w:val="es-ES_tradnl"/>
          <w14:ligatures w14:val="standardContextual"/>
        </w:rPr>
        <w:t xml:space="preserve">Teniendo en cuenta que el RUP debe contener la información financiera y organizacional del proponente correspondiente a los últimos tres años o al período transcurrido desde su primer cierre fiscal, según el caso, al momento de evaluar tales indicadores las Entidades Estatales debían tener en cuenta “el mejor año fiscal” que refleje el registro. 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sustituido por el artículo 3 del Decreto 579 de 2021 y reiterado por el </w:t>
      </w:r>
      <w:r w:rsidRPr="00906A92">
        <w:rPr>
          <w:rFonts w:ascii="Verdana" w:eastAsia="Century Gothic" w:hAnsi="Verdana" w:cs="Century Gothic"/>
          <w:kern w:val="2"/>
          <w:sz w:val="20"/>
          <w:szCs w:val="20"/>
          <w:lang w:val="es-ES_tradnl"/>
          <w14:ligatures w14:val="standardContextual"/>
        </w:rPr>
        <w:t>Decreto 1041 de 2022</w:t>
      </w:r>
      <w:r w:rsidRPr="00906A92">
        <w:rPr>
          <w:rFonts w:ascii="Verdana" w:eastAsia="Century Gothic" w:hAnsi="Verdana" w:cs="Century Gothic"/>
          <w:color w:val="000000"/>
          <w:kern w:val="2"/>
          <w:sz w:val="20"/>
          <w:szCs w:val="20"/>
          <w:lang w:val="es-ES_tradnl"/>
          <w14:ligatures w14:val="standardContextual"/>
        </w:rPr>
        <w:t>, establece que “[…] las Entidades Estatales evaluarán estos indicadores, teniendo en cuenta el mejor año fiscal que se refleje en el registro de cada proponente</w:t>
      </w:r>
      <w:r w:rsidRPr="00906A92">
        <w:rPr>
          <w:rFonts w:ascii="Verdana" w:eastAsia="Century Gothic" w:hAnsi="Verdana" w:cs="Century Gothic"/>
          <w:i/>
          <w:iCs/>
          <w:color w:val="000000"/>
          <w:kern w:val="2"/>
          <w:sz w:val="20"/>
          <w:szCs w:val="20"/>
          <w:lang w:val="es-ES_tradnl"/>
          <w14:ligatures w14:val="standardContextual"/>
        </w:rPr>
        <w:t xml:space="preserve">”, </w:t>
      </w:r>
      <w:r w:rsidRPr="00906A92">
        <w:rPr>
          <w:rFonts w:ascii="Verdana" w:eastAsia="Century Gothic" w:hAnsi="Verdana" w:cs="Century Gothic"/>
          <w:color w:val="000000"/>
          <w:kern w:val="2"/>
          <w:sz w:val="20"/>
          <w:szCs w:val="20"/>
          <w:lang w:val="es-ES_tradnl"/>
          <w14:ligatures w14:val="standardContextual"/>
        </w:rPr>
        <w:t>significa que deben examinar los años certificados en el RUP y escoger para ser evaluado el que refleje mejores indicadores de capacidad financiera y organizacional, que permita al proponente cumplir los requisitos habilitantes de capacidad financiera y organizacional</w:t>
      </w:r>
      <w:r w:rsidRPr="005440CD">
        <w:rPr>
          <w:rFonts w:ascii="Verdana" w:eastAsia="Century Gothic" w:hAnsi="Verdana" w:cs="Century Gothic"/>
          <w:color w:val="000000"/>
          <w:kern w:val="2"/>
          <w:lang w:val="es-ES_tradnl"/>
          <w14:ligatures w14:val="standardContextual"/>
        </w:rPr>
        <w:t>.</w:t>
      </w:r>
    </w:p>
    <w:p w14:paraId="7659FB8F" w14:textId="77777777" w:rsidR="005440CD" w:rsidRPr="00484F19" w:rsidRDefault="005440CD" w:rsidP="005440CD">
      <w:pPr>
        <w:snapToGrid w:val="0"/>
        <w:spacing w:after="0" w:line="276" w:lineRule="auto"/>
        <w:jc w:val="both"/>
        <w:rPr>
          <w:rFonts w:ascii="Verdana" w:eastAsia="Aptos" w:hAnsi="Verdana" w:cs="Arial"/>
          <w:b/>
          <w:bCs/>
          <w:color w:val="000000"/>
          <w:lang w:val="es-ES_tradnl"/>
        </w:rPr>
      </w:pPr>
    </w:p>
    <w:p w14:paraId="7514A0BF" w14:textId="77777777" w:rsidR="005440CD" w:rsidRPr="005440CD" w:rsidRDefault="005440CD" w:rsidP="005440CD">
      <w:pPr>
        <w:snapToGrid w:val="0"/>
        <w:spacing w:after="0" w:line="276" w:lineRule="auto"/>
        <w:jc w:val="both"/>
        <w:rPr>
          <w:rFonts w:ascii="Verdana" w:eastAsia="Aptos" w:hAnsi="Verdana" w:cs="Arial"/>
          <w:b/>
          <w:color w:val="000000"/>
          <w:lang w:val="es-ES_tradnl"/>
        </w:rPr>
      </w:pPr>
      <w:r w:rsidRPr="005440CD">
        <w:rPr>
          <w:rFonts w:ascii="Verdana" w:eastAsia="Aptos" w:hAnsi="Verdana" w:cs="Arial"/>
          <w:b/>
          <w:color w:val="000000"/>
          <w:lang w:val="es-ES_tradnl"/>
        </w:rPr>
        <w:t xml:space="preserve">MEJOR AÑO FISCAL – Interpretación – Vigencia – Capacidad financiera y organizacional – Documentos tipo de infraestructura social </w:t>
      </w:r>
    </w:p>
    <w:p w14:paraId="3367ACB5" w14:textId="77777777" w:rsidR="005440CD" w:rsidRPr="005440CD" w:rsidRDefault="005440CD" w:rsidP="005440CD">
      <w:pPr>
        <w:snapToGrid w:val="0"/>
        <w:spacing w:after="0" w:line="276" w:lineRule="auto"/>
        <w:jc w:val="both"/>
        <w:rPr>
          <w:rFonts w:ascii="Verdana" w:eastAsia="Aptos" w:hAnsi="Verdana" w:cs="Arial"/>
          <w:bCs/>
          <w:color w:val="000000"/>
          <w:lang w:val="es-ES_tradnl"/>
        </w:rPr>
      </w:pPr>
    </w:p>
    <w:p w14:paraId="4F2E9459" w14:textId="77777777" w:rsidR="00906A92" w:rsidRDefault="00906A92" w:rsidP="00906A92">
      <w:pPr>
        <w:snapToGrid w:val="0"/>
        <w:spacing w:after="0" w:line="240" w:lineRule="auto"/>
        <w:jc w:val="both"/>
        <w:rPr>
          <w:rFonts w:ascii="Verdana" w:eastAsia="Century Gothic" w:hAnsi="Verdana" w:cs="Century Gothic"/>
          <w:color w:val="000000"/>
          <w:kern w:val="2"/>
          <w:sz w:val="20"/>
          <w:szCs w:val="20"/>
          <w:lang w:val="es-ES_tradnl"/>
          <w14:ligatures w14:val="standardContextual"/>
        </w:rPr>
      </w:pPr>
      <w:r w:rsidRPr="00906A92">
        <w:rPr>
          <w:rFonts w:ascii="Verdana" w:eastAsia="Century Gothic" w:hAnsi="Verdana" w:cs="Century Gothic"/>
          <w:color w:val="000000"/>
          <w:kern w:val="2"/>
          <w:sz w:val="20"/>
          <w:szCs w:val="20"/>
          <w:lang w:val="es-ES_tradnl"/>
          <w14:ligatures w14:val="standardContextual"/>
        </w:rPr>
        <w:t xml:space="preserve">En ese sentido, debe tenerse en cuenta que, por no existir una norma que amplíe a la vigencia 2024 y siguientes las medidas adoptadas en los Decretos 399 y 579 de 2021 y 1041 de 2022, aquellas personas que partir del 1° de enero de 2024 realicen la inscripción o renovación del Registro Único de Proponentes solo podrán reportar ante las Cámaras de Comercio la información contable y los estados financieros del último año fiscal. </w:t>
      </w:r>
    </w:p>
    <w:p w14:paraId="541C5F82" w14:textId="77777777" w:rsidR="00906A92" w:rsidRPr="00906A92" w:rsidRDefault="00906A92" w:rsidP="00906A92">
      <w:pPr>
        <w:snapToGrid w:val="0"/>
        <w:spacing w:after="0" w:line="240" w:lineRule="auto"/>
        <w:jc w:val="both"/>
        <w:rPr>
          <w:rFonts w:ascii="Verdana" w:eastAsia="Century Gothic" w:hAnsi="Verdana" w:cs="Century Gothic"/>
          <w:color w:val="000000"/>
          <w:kern w:val="2"/>
          <w:sz w:val="20"/>
          <w:szCs w:val="20"/>
          <w:lang w:val="es-ES_tradnl"/>
          <w14:ligatures w14:val="standardContextual"/>
        </w:rPr>
      </w:pPr>
    </w:p>
    <w:p w14:paraId="3975C931" w14:textId="48FE08B4" w:rsidR="005440CD" w:rsidRPr="00906A92" w:rsidRDefault="00906A92" w:rsidP="00906A92">
      <w:pPr>
        <w:spacing w:after="0" w:line="240" w:lineRule="auto"/>
        <w:jc w:val="both"/>
        <w:rPr>
          <w:rFonts w:ascii="Verdana" w:eastAsia="Calibri" w:hAnsi="Verdana" w:cs="Times New Roman"/>
          <w:sz w:val="20"/>
          <w:szCs w:val="20"/>
          <w:lang w:val="es-ES_tradnl"/>
        </w:rPr>
      </w:pPr>
      <w:r w:rsidRPr="00906A92">
        <w:rPr>
          <w:rFonts w:ascii="Verdana" w:eastAsia="Century Gothic" w:hAnsi="Verdana" w:cs="Century Gothic"/>
          <w:color w:val="000000"/>
          <w:kern w:val="2"/>
          <w:sz w:val="20"/>
          <w:szCs w:val="20"/>
          <w:lang w:val="es-ES_tradnl"/>
          <w14:ligatures w14:val="standardContextual"/>
        </w:rPr>
        <w:t>Al respecto, la Agencia Nacional de Contratación Pública – Colombia Compra Eficiente se ha pronunciado, indicando que,</w:t>
      </w:r>
      <w:r w:rsidRPr="00906A92">
        <w:rPr>
          <w:rFonts w:ascii="Verdana" w:eastAsia="Century Gothic" w:hAnsi="Verdana" w:cs="Century Gothic"/>
          <w:i/>
          <w:iCs/>
          <w:kern w:val="2"/>
          <w:sz w:val="20"/>
          <w:szCs w:val="20"/>
          <w:lang w:val="es"/>
          <w14:ligatures w14:val="standardContextual"/>
        </w:rPr>
        <w:t xml:space="preserve"> </w:t>
      </w:r>
      <w:r w:rsidRPr="00906A92">
        <w:rPr>
          <w:rFonts w:ascii="Verdana" w:eastAsia="Century Gothic" w:hAnsi="Verdana" w:cs="Century Gothic"/>
          <w:kern w:val="2"/>
          <w:sz w:val="20"/>
          <w:szCs w:val="20"/>
          <w:lang w:val="es"/>
          <w14:ligatures w14:val="standardContextual"/>
        </w:rPr>
        <w:t xml:space="preserve">resulta valido afirmar que la posibilidad que tenían los oferentes de acreditar el mejor año fiscal de los tres últimos registrados en el RUP, finalizó el último día de la vigencia 2023; en consecuencia y en observancia del derecho a la igualdad con aquellos oferentes que en la vigencia 2024 ya han inscrito o renovado su RUP y solo cuentan en el mismo con la información del último año fiscal, las entidades deben estructurar la solicitud de indicadores financieros para sus procesos con referencia a lo dispuesto en </w:t>
      </w:r>
      <w:r w:rsidRPr="00906A92">
        <w:rPr>
          <w:rFonts w:ascii="Verdana" w:eastAsia="Century Gothic" w:hAnsi="Verdana" w:cs="Century Gothic"/>
          <w:color w:val="000000"/>
          <w:kern w:val="2"/>
          <w:sz w:val="20"/>
          <w:szCs w:val="20"/>
          <w:lang w:val="es-ES_tradnl"/>
          <w14:ligatures w14:val="standardContextual"/>
        </w:rPr>
        <w:t>los numerales 1.3 y 2.3 del artículo 2.2.1.1.1.5.2 del Decreto 1082 de 2015.</w:t>
      </w:r>
    </w:p>
    <w:p w14:paraId="76B432BE" w14:textId="77777777" w:rsidR="005440CD" w:rsidRPr="005440CD" w:rsidRDefault="005440CD" w:rsidP="005440CD">
      <w:pPr>
        <w:spacing w:after="0" w:line="240" w:lineRule="auto"/>
        <w:jc w:val="both"/>
        <w:rPr>
          <w:rFonts w:ascii="Verdana" w:eastAsia="Calibri" w:hAnsi="Verdana" w:cs="Times New Roman"/>
          <w:lang w:val="es-ES_tradnl"/>
        </w:rPr>
      </w:pPr>
    </w:p>
    <w:p w14:paraId="7A0B89F9" w14:textId="77777777" w:rsidR="005440CD" w:rsidRPr="005440CD" w:rsidRDefault="005440CD" w:rsidP="005440CD">
      <w:pPr>
        <w:spacing w:after="0" w:line="240" w:lineRule="auto"/>
        <w:jc w:val="both"/>
        <w:rPr>
          <w:rFonts w:ascii="Verdana" w:eastAsia="Calibri" w:hAnsi="Verdana" w:cs="Times New Roman"/>
          <w:lang w:val="es-ES_tradnl"/>
        </w:rPr>
      </w:pPr>
    </w:p>
    <w:p w14:paraId="27B9057A" w14:textId="77777777" w:rsidR="005440CD" w:rsidRPr="005440CD" w:rsidRDefault="005440CD" w:rsidP="005440CD">
      <w:pPr>
        <w:spacing w:after="0" w:line="240" w:lineRule="auto"/>
        <w:jc w:val="both"/>
        <w:rPr>
          <w:rFonts w:ascii="Verdana" w:eastAsia="Calibri" w:hAnsi="Verdana" w:cs="Times New Roman"/>
          <w:lang w:val="es-ES_tradnl"/>
        </w:rPr>
      </w:pPr>
    </w:p>
    <w:p w14:paraId="0013E214" w14:textId="77777777" w:rsidR="005440CD" w:rsidRPr="005440CD" w:rsidRDefault="005440CD" w:rsidP="005440CD">
      <w:pPr>
        <w:spacing w:after="0" w:line="240" w:lineRule="auto"/>
        <w:jc w:val="both"/>
        <w:rPr>
          <w:rFonts w:ascii="Verdana" w:eastAsia="Calibri" w:hAnsi="Verdana" w:cs="Times New Roman"/>
          <w:lang w:val="es-ES_tradnl"/>
        </w:rPr>
      </w:pPr>
    </w:p>
    <w:p w14:paraId="15D4DB0E" w14:textId="77777777" w:rsidR="005440CD" w:rsidRPr="005440CD" w:rsidRDefault="005440CD" w:rsidP="005440CD">
      <w:pPr>
        <w:spacing w:after="0" w:line="240" w:lineRule="auto"/>
        <w:jc w:val="both"/>
        <w:rPr>
          <w:rFonts w:ascii="Verdana" w:eastAsia="Calibri" w:hAnsi="Verdana" w:cs="Times New Roman"/>
          <w:lang w:val="es-ES_tradnl"/>
        </w:rPr>
      </w:pPr>
    </w:p>
    <w:p w14:paraId="21E46DFF" w14:textId="77777777" w:rsidR="005440CD" w:rsidRDefault="005440CD" w:rsidP="005440CD">
      <w:pPr>
        <w:spacing w:after="0" w:line="240" w:lineRule="auto"/>
        <w:jc w:val="both"/>
        <w:rPr>
          <w:rFonts w:ascii="Verdana" w:eastAsia="Calibri" w:hAnsi="Verdana" w:cs="Times New Roman"/>
          <w:lang w:val="es-ES_tradnl"/>
        </w:rPr>
      </w:pPr>
    </w:p>
    <w:p w14:paraId="4B377CC1" w14:textId="77777777" w:rsidR="00D80840" w:rsidRPr="005440CD" w:rsidRDefault="00D80840" w:rsidP="005440CD">
      <w:pPr>
        <w:spacing w:after="0" w:line="240" w:lineRule="auto"/>
        <w:jc w:val="both"/>
        <w:rPr>
          <w:rFonts w:ascii="Verdana" w:eastAsia="Calibri" w:hAnsi="Verdana" w:cs="Times New Roman"/>
          <w:lang w:val="es-ES_tradnl"/>
        </w:rPr>
      </w:pPr>
    </w:p>
    <w:p w14:paraId="23DF6274" w14:textId="77777777" w:rsidR="005440CD" w:rsidRPr="005440CD" w:rsidRDefault="005440CD" w:rsidP="005440CD">
      <w:pPr>
        <w:spacing w:after="0" w:line="240" w:lineRule="auto"/>
        <w:jc w:val="both"/>
        <w:rPr>
          <w:rFonts w:ascii="Verdana" w:eastAsia="Calibri" w:hAnsi="Verdana" w:cs="Times New Roman"/>
          <w:lang w:val="es-ES_tradnl"/>
        </w:rPr>
      </w:pPr>
    </w:p>
    <w:p w14:paraId="22AB7284" w14:textId="0A33E1AA" w:rsidR="005440CD" w:rsidRDefault="00CB7774" w:rsidP="005440CD">
      <w:pPr>
        <w:spacing w:after="0" w:line="240" w:lineRule="auto"/>
        <w:jc w:val="both"/>
        <w:rPr>
          <w:rFonts w:ascii="Verdana" w:hAnsi="Verdana"/>
        </w:rPr>
      </w:pPr>
      <w:r w:rsidRPr="0044528D">
        <w:rPr>
          <w:rFonts w:ascii="Verdana" w:hAnsi="Verdana"/>
        </w:rPr>
        <w:lastRenderedPageBreak/>
        <w:t>Bogotá D.C.</w:t>
      </w:r>
    </w:p>
    <w:p w14:paraId="67BCC382" w14:textId="77777777" w:rsidR="00CB7774" w:rsidRDefault="00CB7774" w:rsidP="005440CD">
      <w:pPr>
        <w:spacing w:after="0" w:line="240" w:lineRule="auto"/>
        <w:jc w:val="both"/>
        <w:rPr>
          <w:rFonts w:ascii="Verdana" w:eastAsia="Calibri" w:hAnsi="Verdana" w:cs="Times New Roman"/>
          <w:lang w:val="es-ES_tradnl"/>
        </w:rPr>
      </w:pPr>
    </w:p>
    <w:p w14:paraId="53A87861" w14:textId="51D6FA0B" w:rsidR="00A2751F" w:rsidRPr="005440CD" w:rsidRDefault="00FE5EFB" w:rsidP="006A55DB">
      <w:pPr>
        <w:spacing w:after="0" w:line="240" w:lineRule="auto"/>
        <w:jc w:val="right"/>
        <w:rPr>
          <w:rFonts w:ascii="Verdana" w:eastAsia="Calibri" w:hAnsi="Verdana" w:cs="Times New Roman"/>
          <w:lang w:val="es-ES_tradnl"/>
        </w:rPr>
      </w:pPr>
      <w:r>
        <w:rPr>
          <w:rFonts w:ascii="Verdana" w:eastAsia="Calibri" w:hAnsi="Verdana" w:cs="Times New Roman"/>
          <w:noProof/>
          <w:lang w:val="es-ES_tradnl"/>
        </w:rPr>
        <w:drawing>
          <wp:inline distT="0" distB="0" distL="0" distR="0" wp14:anchorId="3F435788" wp14:editId="686EA98E">
            <wp:extent cx="3453972" cy="1031460"/>
            <wp:effectExtent l="0" t="0" r="635" b="0"/>
            <wp:docPr id="8641596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159624" name="Imagen 864159624"/>
                    <pic:cNvPicPr/>
                  </pic:nvPicPr>
                  <pic:blipFill>
                    <a:blip r:embed="rId10">
                      <a:extLst>
                        <a:ext uri="{28A0092B-C50C-407E-A947-70E740481C1C}">
                          <a14:useLocalDpi xmlns:a14="http://schemas.microsoft.com/office/drawing/2010/main" val="0"/>
                        </a:ext>
                      </a:extLst>
                    </a:blip>
                    <a:stretch>
                      <a:fillRect/>
                    </a:stretch>
                  </pic:blipFill>
                  <pic:spPr>
                    <a:xfrm>
                      <a:off x="0" y="0"/>
                      <a:ext cx="3464961" cy="1034742"/>
                    </a:xfrm>
                    <a:prstGeom prst="rect">
                      <a:avLst/>
                    </a:prstGeom>
                  </pic:spPr>
                </pic:pic>
              </a:graphicData>
            </a:graphic>
          </wp:inline>
        </w:drawing>
      </w:r>
    </w:p>
    <w:p w14:paraId="26550341" w14:textId="77777777" w:rsidR="005440CD" w:rsidRPr="005440CD" w:rsidRDefault="005440CD" w:rsidP="005440CD">
      <w:pPr>
        <w:spacing w:after="0" w:line="240" w:lineRule="auto"/>
        <w:jc w:val="both"/>
        <w:rPr>
          <w:rFonts w:ascii="Verdana" w:eastAsia="Calibri" w:hAnsi="Verdana" w:cs="Arial"/>
          <w:lang w:val="es-ES_tradnl"/>
        </w:rPr>
      </w:pPr>
    </w:p>
    <w:p w14:paraId="266A8B2A" w14:textId="77777777" w:rsidR="005440CD" w:rsidRPr="005440CD" w:rsidRDefault="005440CD" w:rsidP="005440CD">
      <w:pPr>
        <w:spacing w:after="0" w:line="240" w:lineRule="auto"/>
        <w:jc w:val="both"/>
        <w:rPr>
          <w:rFonts w:ascii="Verdana" w:eastAsia="Calibri" w:hAnsi="Verdana" w:cs="Arial"/>
          <w:lang w:val="es-ES_tradnl" w:eastAsia="es-ES"/>
        </w:rPr>
      </w:pPr>
      <w:r w:rsidRPr="005440CD">
        <w:rPr>
          <w:rFonts w:ascii="Verdana" w:eastAsia="Calibri" w:hAnsi="Verdana" w:cs="Arial"/>
          <w:lang w:val="es-ES_tradnl" w:eastAsia="es-ES"/>
        </w:rPr>
        <w:t>Señora</w:t>
      </w:r>
    </w:p>
    <w:p w14:paraId="606986B9" w14:textId="77777777" w:rsidR="005440CD" w:rsidRPr="005440CD" w:rsidRDefault="005440CD" w:rsidP="005440CD">
      <w:pPr>
        <w:spacing w:after="0" w:line="240" w:lineRule="auto"/>
        <w:rPr>
          <w:rFonts w:ascii="Verdana" w:eastAsia="Calibri" w:hAnsi="Verdana" w:cs="Arial"/>
          <w:b/>
          <w:lang w:val="es-ES_tradnl" w:eastAsia="es-ES_tradnl"/>
        </w:rPr>
      </w:pPr>
      <w:r w:rsidRPr="005440CD">
        <w:rPr>
          <w:rFonts w:ascii="Verdana" w:eastAsia="Calibri" w:hAnsi="Verdana" w:cs="Arial"/>
          <w:b/>
          <w:lang w:val="es-ES_tradnl" w:eastAsia="es-ES_tradnl"/>
        </w:rPr>
        <w:t>Carolina Martan Ramos</w:t>
      </w:r>
    </w:p>
    <w:p w14:paraId="4B625773" w14:textId="77777777" w:rsidR="005440CD" w:rsidRPr="005440CD" w:rsidRDefault="005440CD" w:rsidP="005440CD">
      <w:pPr>
        <w:spacing w:after="0" w:line="240" w:lineRule="auto"/>
        <w:rPr>
          <w:rFonts w:ascii="Verdana" w:eastAsia="Calibri" w:hAnsi="Verdana" w:cs="Arial"/>
          <w:b/>
          <w:bCs/>
          <w:lang w:val="es-ES_tradnl" w:eastAsia="es-ES"/>
        </w:rPr>
      </w:pPr>
      <w:r w:rsidRPr="005440CD">
        <w:rPr>
          <w:rFonts w:ascii="Verdana" w:eastAsia="Calibri" w:hAnsi="Verdana" w:cs="Arial"/>
          <w:lang w:val="es-ES_tradnl" w:eastAsia="es-ES"/>
        </w:rPr>
        <w:t>Bogotá, D.C.</w:t>
      </w:r>
    </w:p>
    <w:p w14:paraId="16C1B45E" w14:textId="77777777" w:rsidR="005440CD" w:rsidRPr="005440CD" w:rsidRDefault="005440CD" w:rsidP="005440CD">
      <w:pPr>
        <w:spacing w:after="0" w:line="240" w:lineRule="auto"/>
        <w:rPr>
          <w:rFonts w:ascii="Verdana" w:eastAsia="Calibri" w:hAnsi="Verdana" w:cs="Arial"/>
          <w:b/>
          <w:bCs/>
          <w:lang w:val="es-ES_tradnl" w:eastAsia="es-ES_tradnl"/>
        </w:rPr>
      </w:pPr>
    </w:p>
    <w:p w14:paraId="2031289B" w14:textId="77777777" w:rsidR="005440CD" w:rsidRPr="005440CD" w:rsidRDefault="005440CD" w:rsidP="005440CD">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440CD" w:rsidRPr="005440CD" w14:paraId="20AF2224" w14:textId="77777777" w:rsidTr="00565520">
        <w:trPr>
          <w:trHeight w:val="884"/>
        </w:trPr>
        <w:tc>
          <w:tcPr>
            <w:tcW w:w="2689" w:type="dxa"/>
          </w:tcPr>
          <w:p w14:paraId="18EF8D77" w14:textId="77777777" w:rsidR="005440CD" w:rsidRPr="005440CD" w:rsidRDefault="005440CD" w:rsidP="005440CD">
            <w:pPr>
              <w:jc w:val="both"/>
              <w:rPr>
                <w:rFonts w:ascii="Verdana" w:eastAsia="Calibri" w:hAnsi="Verdana" w:cs="Arial"/>
                <w:b/>
                <w:bCs/>
                <w:lang w:val="es-ES_tradnl" w:eastAsia="es-ES_tradnl"/>
              </w:rPr>
            </w:pPr>
          </w:p>
        </w:tc>
        <w:tc>
          <w:tcPr>
            <w:tcW w:w="6100" w:type="dxa"/>
          </w:tcPr>
          <w:p w14:paraId="3912C8D3" w14:textId="77777777" w:rsidR="005440CD" w:rsidRPr="005440CD" w:rsidRDefault="005440CD" w:rsidP="005440CD">
            <w:pPr>
              <w:jc w:val="both"/>
              <w:rPr>
                <w:rFonts w:ascii="Verdana" w:eastAsia="Calibri" w:hAnsi="Verdana" w:cs="Arial"/>
                <w:b/>
                <w:bCs/>
                <w:lang w:val="es-ES_tradnl" w:eastAsia="es-ES"/>
              </w:rPr>
            </w:pPr>
            <w:r w:rsidRPr="005440CD">
              <w:rPr>
                <w:rFonts w:ascii="Verdana" w:eastAsia="Calibri" w:hAnsi="Verdana" w:cs="Arial"/>
                <w:b/>
                <w:bCs/>
                <w:lang w:val="es-ES_tradnl" w:eastAsia="es-ES"/>
              </w:rPr>
              <w:t>Concepto C – 102 de 2025</w:t>
            </w:r>
          </w:p>
        </w:tc>
      </w:tr>
      <w:tr w:rsidR="005440CD" w:rsidRPr="005440CD" w14:paraId="75F5E9A0" w14:textId="77777777" w:rsidTr="00565520">
        <w:trPr>
          <w:trHeight w:val="884"/>
        </w:trPr>
        <w:tc>
          <w:tcPr>
            <w:tcW w:w="2689" w:type="dxa"/>
          </w:tcPr>
          <w:p w14:paraId="79BD9099" w14:textId="77777777" w:rsidR="005440CD" w:rsidRPr="005440CD" w:rsidRDefault="005440CD" w:rsidP="005440CD">
            <w:pPr>
              <w:jc w:val="both"/>
              <w:rPr>
                <w:rFonts w:ascii="Verdana" w:eastAsia="Calibri" w:hAnsi="Verdana" w:cs="Arial"/>
                <w:lang w:val="es-ES_tradnl" w:eastAsia="es-ES_tradnl"/>
              </w:rPr>
            </w:pPr>
            <w:r w:rsidRPr="005440CD">
              <w:rPr>
                <w:rFonts w:ascii="Verdana" w:eastAsia="Calibri" w:hAnsi="Verdana" w:cs="Arial"/>
                <w:b/>
                <w:lang w:val="es-ES_tradnl" w:eastAsia="es-ES_tradnl"/>
              </w:rPr>
              <w:t>Temas:</w:t>
            </w:r>
            <w:r w:rsidRPr="005440CD">
              <w:rPr>
                <w:rFonts w:ascii="Verdana" w:eastAsia="Calibri" w:hAnsi="Verdana" w:cs="Arial"/>
                <w:lang w:val="es-ES_tradnl" w:eastAsia="es-ES_tradnl"/>
              </w:rPr>
              <w:t xml:space="preserve">                   </w:t>
            </w:r>
          </w:p>
        </w:tc>
        <w:tc>
          <w:tcPr>
            <w:tcW w:w="6100" w:type="dxa"/>
          </w:tcPr>
          <w:p w14:paraId="78612F65" w14:textId="77777777" w:rsidR="005440CD" w:rsidRPr="005440CD" w:rsidRDefault="005440CD" w:rsidP="005440CD">
            <w:pPr>
              <w:snapToGrid w:val="0"/>
              <w:spacing w:line="276" w:lineRule="auto"/>
              <w:jc w:val="both"/>
              <w:rPr>
                <w:rFonts w:ascii="Verdana" w:eastAsia="Aptos" w:hAnsi="Verdana" w:cs="Arial"/>
                <w:bCs/>
                <w:color w:val="000000"/>
                <w:lang w:val="es-ES_tradnl"/>
              </w:rPr>
            </w:pPr>
            <w:r w:rsidRPr="005440CD">
              <w:rPr>
                <w:rFonts w:ascii="Verdana" w:eastAsia="Aptos" w:hAnsi="Verdana" w:cs="Arial"/>
                <w:bCs/>
                <w:color w:val="000000"/>
                <w:lang w:val="es-ES_tradnl"/>
              </w:rPr>
              <w:t xml:space="preserve">CAPACIDAD FINANCIERA Y ORGANIZACIONAL – RUP – Verificación / MEJOR AÑO FISCAL – Interpretación – Vigencia – Capacidad financiera y organizacional – Documentos tipo de infraestructura social  </w:t>
            </w:r>
          </w:p>
          <w:p w14:paraId="43643299" w14:textId="77777777" w:rsidR="005440CD" w:rsidRPr="005440CD" w:rsidRDefault="005440CD" w:rsidP="005440CD">
            <w:pPr>
              <w:snapToGrid w:val="0"/>
              <w:spacing w:line="276" w:lineRule="auto"/>
              <w:jc w:val="both"/>
              <w:rPr>
                <w:rFonts w:ascii="Verdana" w:eastAsia="Calibri" w:hAnsi="Verdana" w:cs="Arial"/>
                <w:bCs/>
                <w:lang w:val="es-ES_tradnl" w:eastAsia="es-ES"/>
              </w:rPr>
            </w:pPr>
          </w:p>
        </w:tc>
      </w:tr>
      <w:tr w:rsidR="005440CD" w:rsidRPr="005440CD" w14:paraId="7DA07D6F" w14:textId="77777777" w:rsidTr="00565520">
        <w:tc>
          <w:tcPr>
            <w:tcW w:w="2689" w:type="dxa"/>
          </w:tcPr>
          <w:p w14:paraId="76109B5A" w14:textId="77777777" w:rsidR="005440CD" w:rsidRPr="005440CD" w:rsidRDefault="005440CD" w:rsidP="005440CD">
            <w:pPr>
              <w:jc w:val="both"/>
              <w:rPr>
                <w:rFonts w:ascii="Verdana" w:eastAsia="Calibri" w:hAnsi="Verdana" w:cs="Arial"/>
                <w:b/>
                <w:lang w:val="es-ES_tradnl" w:eastAsia="es-ES_tradnl"/>
              </w:rPr>
            </w:pPr>
            <w:r w:rsidRPr="005440CD">
              <w:rPr>
                <w:rFonts w:ascii="Verdana" w:eastAsia="Calibri" w:hAnsi="Verdana" w:cs="Arial"/>
                <w:b/>
                <w:lang w:val="es-ES_tradnl" w:eastAsia="es-ES_tradnl"/>
              </w:rPr>
              <w:t>Radicación:</w:t>
            </w:r>
            <w:r w:rsidRPr="005440CD">
              <w:rPr>
                <w:rFonts w:ascii="Verdana" w:eastAsia="Calibri" w:hAnsi="Verdana" w:cs="Arial"/>
                <w:lang w:val="es-ES_tradnl" w:eastAsia="es-ES_tradnl"/>
              </w:rPr>
              <w:t xml:space="preserve">               </w:t>
            </w:r>
          </w:p>
        </w:tc>
        <w:tc>
          <w:tcPr>
            <w:tcW w:w="6100" w:type="dxa"/>
          </w:tcPr>
          <w:p w14:paraId="7624D230" w14:textId="77777777" w:rsidR="005440CD" w:rsidRPr="005440CD" w:rsidRDefault="005440CD" w:rsidP="005440CD">
            <w:pPr>
              <w:jc w:val="both"/>
              <w:rPr>
                <w:rFonts w:ascii="Verdana" w:eastAsia="Calibri" w:hAnsi="Verdana" w:cs="Arial"/>
                <w:lang w:val="es-ES_tradnl" w:eastAsia="es-ES_tradnl"/>
              </w:rPr>
            </w:pPr>
            <w:r w:rsidRPr="005440CD">
              <w:rPr>
                <w:rFonts w:ascii="Verdana" w:eastAsia="Calibri" w:hAnsi="Verdana" w:cs="Arial"/>
                <w:lang w:val="es-ES_tradnl" w:eastAsia="es-ES_tradnl"/>
              </w:rPr>
              <w:t>Respuesta a consulta con radicado No. P20250130000837</w:t>
            </w:r>
          </w:p>
        </w:tc>
      </w:tr>
    </w:tbl>
    <w:p w14:paraId="10F91139" w14:textId="77777777" w:rsidR="005440CD" w:rsidRPr="005440CD" w:rsidRDefault="005440CD" w:rsidP="005440CD">
      <w:pPr>
        <w:spacing w:after="0" w:line="240" w:lineRule="auto"/>
        <w:jc w:val="both"/>
        <w:rPr>
          <w:rFonts w:ascii="Verdana" w:eastAsia="Calibri" w:hAnsi="Verdana" w:cs="Arial"/>
          <w:lang w:val="es-ES_tradnl" w:eastAsia="es-ES_tradnl"/>
        </w:rPr>
      </w:pPr>
    </w:p>
    <w:p w14:paraId="3E1681F6" w14:textId="77777777" w:rsidR="005440CD" w:rsidRPr="005440CD" w:rsidRDefault="005440CD" w:rsidP="005440CD">
      <w:pPr>
        <w:spacing w:after="0" w:line="240" w:lineRule="auto"/>
        <w:jc w:val="both"/>
        <w:rPr>
          <w:rFonts w:ascii="Verdana" w:eastAsia="Calibri" w:hAnsi="Verdana" w:cs="Arial"/>
          <w:lang w:val="es-ES_tradnl" w:eastAsia="es-ES_tradnl"/>
        </w:rPr>
      </w:pPr>
    </w:p>
    <w:p w14:paraId="0084946F" w14:textId="77777777" w:rsidR="005440CD" w:rsidRPr="005440CD" w:rsidRDefault="005440CD" w:rsidP="005440CD">
      <w:pPr>
        <w:spacing w:after="0" w:line="276" w:lineRule="auto"/>
        <w:jc w:val="both"/>
        <w:rPr>
          <w:rFonts w:ascii="Verdana" w:eastAsia="Calibri" w:hAnsi="Verdana" w:cs="Arial"/>
          <w:lang w:val="es-ES_tradnl" w:eastAsia="es-ES"/>
        </w:rPr>
      </w:pPr>
      <w:r w:rsidRPr="005440CD">
        <w:rPr>
          <w:rFonts w:ascii="Verdana" w:eastAsia="Calibri" w:hAnsi="Verdana" w:cs="Arial"/>
          <w:lang w:val="es-ES_tradnl" w:eastAsia="es-ES"/>
        </w:rPr>
        <w:t xml:space="preserve">Estimada señora Martan Ramos: </w:t>
      </w:r>
    </w:p>
    <w:p w14:paraId="793F2689" w14:textId="77777777" w:rsidR="005440CD" w:rsidRPr="005440CD" w:rsidRDefault="005440CD" w:rsidP="005440CD">
      <w:pPr>
        <w:tabs>
          <w:tab w:val="left" w:pos="3768"/>
        </w:tabs>
        <w:spacing w:after="0" w:line="276" w:lineRule="auto"/>
        <w:jc w:val="both"/>
        <w:rPr>
          <w:rFonts w:ascii="Verdana" w:eastAsia="Calibri" w:hAnsi="Verdana" w:cs="Arial"/>
          <w:lang w:val="es-ES_tradnl" w:eastAsia="es-ES"/>
        </w:rPr>
      </w:pPr>
      <w:r w:rsidRPr="005440CD">
        <w:rPr>
          <w:rFonts w:ascii="Verdana" w:eastAsia="Calibri" w:hAnsi="Verdana" w:cs="Arial"/>
          <w:lang w:val="es-ES_tradnl" w:eastAsia="es-ES"/>
        </w:rPr>
        <w:tab/>
      </w:r>
    </w:p>
    <w:p w14:paraId="06B6492A" w14:textId="77777777" w:rsidR="005440CD" w:rsidRPr="005440CD" w:rsidRDefault="005440CD" w:rsidP="005440CD">
      <w:pPr>
        <w:spacing w:after="0" w:line="276" w:lineRule="auto"/>
        <w:jc w:val="both"/>
        <w:rPr>
          <w:rFonts w:ascii="Verdana" w:eastAsia="Calibri" w:hAnsi="Verdana" w:cs="Arial"/>
          <w:lang w:val="es-ES" w:eastAsia="es-ES"/>
        </w:rPr>
      </w:pPr>
      <w:r w:rsidRPr="36AD473A">
        <w:rPr>
          <w:rFonts w:ascii="Verdana" w:eastAsia="Calibri" w:hAnsi="Verdana" w:cs="Arial"/>
          <w:lang w:val="es-ES" w:eastAsia="es-ES"/>
        </w:rPr>
        <w:t>En ejercicio de la competencia otorgada por los artículos 3, numeral 5º, y 11, numeral 8º, del Decreto Ley 4170 de 2011,</w:t>
      </w:r>
      <w:r w:rsidRPr="36AD473A">
        <w:rPr>
          <w:rFonts w:ascii="Verdana" w:eastAsia="Arial MT" w:hAnsi="Verdana" w:cs="Arial MT"/>
          <w:lang w:val="es-ES" w:eastAsia="es-ES"/>
        </w:rPr>
        <w:t xml:space="preserve"> </w:t>
      </w:r>
      <w:r w:rsidRPr="36AD473A">
        <w:rPr>
          <w:rFonts w:ascii="Verdana" w:eastAsia="Calibri" w:hAnsi="Verdana" w:cs="Arial"/>
          <w:lang w:val="es-ES"/>
        </w:rPr>
        <w:t xml:space="preserve">así como lo establecido en el artículo 4 de la Resolución 1707 de 2018 expedida por esta Entidad, </w:t>
      </w:r>
      <w:r w:rsidRPr="36AD473A">
        <w:rPr>
          <w:rFonts w:ascii="Verdana" w:eastAsia="Calibri" w:hAnsi="Verdana" w:cs="Arial"/>
          <w:lang w:val="es-ES" w:eastAsia="es-ES"/>
        </w:rPr>
        <w:t>la Agencia Nacional de Contratación Pública – Colombia Compra Eficiente– responde su solicitud de consulta de fecha 30 de enero de 2025. Esta consulta fue remitida por la Procuraduría General de la Nación, mediante oficio con radicado No. E-2025-025663 de la misma fecha. Usted manifiesta lo siguiente:</w:t>
      </w:r>
    </w:p>
    <w:p w14:paraId="1A2184C9" w14:textId="77777777" w:rsidR="005440CD" w:rsidRPr="005440CD" w:rsidRDefault="005440CD" w:rsidP="005440CD">
      <w:pPr>
        <w:tabs>
          <w:tab w:val="left" w:pos="142"/>
          <w:tab w:val="left" w:pos="284"/>
        </w:tabs>
        <w:spacing w:line="276" w:lineRule="auto"/>
        <w:contextualSpacing/>
        <w:jc w:val="both"/>
        <w:rPr>
          <w:rFonts w:ascii="Verdana" w:eastAsia="Century Gothic" w:hAnsi="Verdana" w:cs="Century Gothic"/>
          <w:b/>
          <w:bCs/>
          <w:lang w:val="es-ES_tradnl"/>
        </w:rPr>
      </w:pPr>
    </w:p>
    <w:p w14:paraId="12EFD329" w14:textId="77777777" w:rsidR="005440CD" w:rsidRPr="005440CD" w:rsidRDefault="005440CD" w:rsidP="005440CD">
      <w:pPr>
        <w:spacing w:after="0" w:line="240" w:lineRule="auto"/>
        <w:ind w:left="709" w:right="709"/>
        <w:jc w:val="both"/>
        <w:rPr>
          <w:rFonts w:ascii="Verdana" w:eastAsia="Century Gothic" w:hAnsi="Verdana" w:cs="Century Gothic"/>
          <w:sz w:val="21"/>
          <w:szCs w:val="21"/>
          <w:lang w:val="es-ES_tradnl"/>
        </w:rPr>
      </w:pPr>
      <w:r w:rsidRPr="005440CD">
        <w:rPr>
          <w:rFonts w:ascii="Verdana" w:eastAsia="Century Gothic" w:hAnsi="Verdana" w:cs="Century Gothic"/>
          <w:sz w:val="21"/>
          <w:szCs w:val="21"/>
          <w:lang w:val="es-ES_tradnl"/>
        </w:rPr>
        <w:t xml:space="preserve">“Respetuosamente se solicita el favor de revisar la información en los pliegos tipo de infraestructura social, ya que en la página 49 del documento base hace referencia al mejor año fiscal en 2 ocasiones, el </w:t>
      </w:r>
      <w:r w:rsidRPr="005440CD">
        <w:rPr>
          <w:rFonts w:ascii="Verdana" w:eastAsia="Century Gothic" w:hAnsi="Verdana" w:cs="Century Gothic"/>
          <w:sz w:val="21"/>
          <w:szCs w:val="21"/>
          <w:lang w:val="es-ES_tradnl"/>
        </w:rPr>
        <w:lastRenderedPageBreak/>
        <w:t>cual estuvo vigente hasta diciembre de 2023, por lo tanto, se solicita actualizar esta información.”</w:t>
      </w:r>
    </w:p>
    <w:p w14:paraId="158491F5" w14:textId="77777777" w:rsidR="005440CD" w:rsidRPr="005440CD" w:rsidRDefault="005440CD" w:rsidP="005440CD">
      <w:pPr>
        <w:spacing w:after="0" w:line="240" w:lineRule="auto"/>
        <w:ind w:left="709" w:right="709"/>
        <w:jc w:val="both"/>
        <w:rPr>
          <w:rFonts w:ascii="Verdana" w:eastAsia="Century Gothic" w:hAnsi="Verdana" w:cs="Century Gothic"/>
          <w:lang w:val="es-ES_tradnl"/>
        </w:rPr>
      </w:pPr>
      <w:r w:rsidRPr="005440CD">
        <w:rPr>
          <w:rFonts w:ascii="Verdana" w:eastAsia="Century Gothic" w:hAnsi="Verdana" w:cs="Century Gothic"/>
          <w:sz w:val="20"/>
          <w:szCs w:val="20"/>
          <w:lang w:val="es-ES_tradnl"/>
        </w:rPr>
        <w:t xml:space="preserve">   </w:t>
      </w:r>
    </w:p>
    <w:p w14:paraId="19E0111D" w14:textId="77777777" w:rsidR="005440CD" w:rsidRPr="005440CD" w:rsidRDefault="005440CD" w:rsidP="005440CD">
      <w:pPr>
        <w:spacing w:after="120" w:line="276" w:lineRule="auto"/>
        <w:ind w:firstLine="709"/>
        <w:jc w:val="both"/>
        <w:rPr>
          <w:rFonts w:ascii="Verdana" w:eastAsia="Calibri" w:hAnsi="Verdana" w:cs="Arial"/>
          <w:szCs w:val="24"/>
          <w:lang w:val="es-ES_tradnl" w:eastAsia="es-ES_tradnl"/>
        </w:rPr>
      </w:pPr>
      <w:r w:rsidRPr="005440CD">
        <w:rPr>
          <w:rFonts w:ascii="Verdana" w:eastAsia="Calibri" w:hAnsi="Verdana" w:cs="Arial"/>
          <w:lang w:val="es-ES_tradnl"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440CD">
        <w:rPr>
          <w:rFonts w:ascii="Verdana" w:eastAsia="Calibri" w:hAnsi="Verdana" w:cs="Arial"/>
          <w:szCs w:val="24"/>
          <w:lang w:val="es-ES_tradnl" w:eastAsia="es-ES_tradnl"/>
        </w:rPr>
        <w:tab/>
      </w:r>
    </w:p>
    <w:p w14:paraId="43FD4659" w14:textId="77777777" w:rsidR="005440CD" w:rsidRPr="005440CD" w:rsidRDefault="005440CD" w:rsidP="005440CD">
      <w:pPr>
        <w:spacing w:after="0" w:line="276" w:lineRule="auto"/>
        <w:ind w:firstLine="709"/>
        <w:jc w:val="both"/>
        <w:rPr>
          <w:rFonts w:ascii="Verdana" w:eastAsia="Calibri" w:hAnsi="Verdana" w:cs="Arial"/>
          <w:lang w:val="es-ES_tradnl" w:eastAsia="es-ES"/>
        </w:rPr>
      </w:pPr>
      <w:r w:rsidRPr="005440CD">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680A2BD" w14:textId="77777777" w:rsidR="005440CD" w:rsidRPr="005440CD" w:rsidRDefault="005440CD" w:rsidP="005440CD">
      <w:pPr>
        <w:spacing w:after="0" w:line="276" w:lineRule="auto"/>
        <w:ind w:firstLine="709"/>
        <w:jc w:val="both"/>
        <w:rPr>
          <w:rFonts w:ascii="Verdana" w:eastAsia="Calibri" w:hAnsi="Verdana" w:cs="Arial"/>
          <w:lang w:val="es-ES_tradnl" w:eastAsia="es-ES"/>
        </w:rPr>
      </w:pPr>
    </w:p>
    <w:p w14:paraId="6FF027C4" w14:textId="77777777" w:rsidR="005440CD" w:rsidRPr="005440CD" w:rsidRDefault="005440CD" w:rsidP="005440CD">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_tradnl"/>
        </w:rPr>
      </w:pPr>
      <w:r w:rsidRPr="005440CD">
        <w:rPr>
          <w:rFonts w:ascii="Verdana" w:eastAsia="Century Gothic" w:hAnsi="Verdana" w:cs="Century Gothic"/>
          <w:b/>
          <w:bCs/>
          <w:lang w:val="es-ES_tradnl"/>
        </w:rPr>
        <w:t>Problema planteado:</w:t>
      </w:r>
    </w:p>
    <w:p w14:paraId="6B3274C0" w14:textId="77777777" w:rsidR="005440CD" w:rsidRPr="005440CD" w:rsidRDefault="005440CD" w:rsidP="005440CD">
      <w:pPr>
        <w:tabs>
          <w:tab w:val="left" w:pos="426"/>
        </w:tabs>
        <w:spacing w:after="0" w:line="276" w:lineRule="auto"/>
        <w:jc w:val="both"/>
        <w:rPr>
          <w:rFonts w:ascii="Verdana" w:eastAsia="Century Gothic" w:hAnsi="Verdana" w:cs="Century Gothic"/>
          <w:lang w:val="es-ES_tradnl"/>
        </w:rPr>
      </w:pPr>
    </w:p>
    <w:p w14:paraId="09B5CEFB" w14:textId="77777777" w:rsidR="005440CD" w:rsidRPr="005440CD" w:rsidRDefault="005440CD" w:rsidP="005440CD">
      <w:pPr>
        <w:snapToGrid w:val="0"/>
        <w:spacing w:after="0" w:line="276" w:lineRule="auto"/>
        <w:jc w:val="both"/>
        <w:rPr>
          <w:rFonts w:ascii="Verdana" w:eastAsia="Century Gothic" w:hAnsi="Verdana" w:cs="Century Gothic"/>
          <w:lang w:val="es-ES_tradnl"/>
        </w:rPr>
      </w:pPr>
      <w:r w:rsidRPr="005440CD">
        <w:rPr>
          <w:rFonts w:ascii="Verdana" w:eastAsia="Century Gothic" w:hAnsi="Verdana" w:cs="Century Gothic"/>
          <w:lang w:val="es-ES_tradnl"/>
        </w:rPr>
        <w:t>De acuerdo con el contenido de su solicitud, esta Agencia resolverá los siguientes problemas jurídicos: ¿cómo se evalúa actualmente la información financiera contenida en el RUP en los documentos tipo de infraestructura social?</w:t>
      </w:r>
    </w:p>
    <w:p w14:paraId="1ED235F2" w14:textId="77777777" w:rsidR="005440CD" w:rsidRPr="005440CD" w:rsidRDefault="005440CD" w:rsidP="005440CD">
      <w:pPr>
        <w:snapToGrid w:val="0"/>
        <w:spacing w:after="0" w:line="276" w:lineRule="auto"/>
        <w:jc w:val="both"/>
        <w:rPr>
          <w:rFonts w:ascii="Verdana" w:eastAsia="Calibri" w:hAnsi="Verdana" w:cs="Arial"/>
          <w:lang w:val="es-ES_tradnl"/>
        </w:rPr>
      </w:pPr>
    </w:p>
    <w:p w14:paraId="016C58B0" w14:textId="77777777" w:rsidR="005440CD" w:rsidRPr="005440CD" w:rsidRDefault="005440CD" w:rsidP="005440CD">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5440CD">
        <w:rPr>
          <w:rFonts w:ascii="Verdana" w:eastAsia="Century Gothic" w:hAnsi="Verdana" w:cs="Century Gothic"/>
          <w:b/>
          <w:bCs/>
          <w:lang w:val="es-ES_tradnl"/>
        </w:rPr>
        <w:t>Respuesta:</w:t>
      </w:r>
    </w:p>
    <w:p w14:paraId="34930E43" w14:textId="77777777" w:rsidR="005440CD" w:rsidRPr="005440CD" w:rsidRDefault="005440CD" w:rsidP="005440CD">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440CD" w:rsidRPr="005440CD" w14:paraId="1198813F" w14:textId="77777777" w:rsidTr="00565520">
        <w:tc>
          <w:tcPr>
            <w:tcW w:w="8828" w:type="dxa"/>
            <w:shd w:val="clear" w:color="auto" w:fill="auto"/>
          </w:tcPr>
          <w:p w14:paraId="0896EE45" w14:textId="77777777" w:rsidR="005440CD" w:rsidRPr="005440CD" w:rsidRDefault="005440CD" w:rsidP="005440CD">
            <w:pPr>
              <w:snapToGrid w:val="0"/>
              <w:spacing w:line="276" w:lineRule="auto"/>
              <w:jc w:val="both"/>
              <w:rPr>
                <w:rFonts w:ascii="Verdana" w:eastAsia="Century Gothic" w:hAnsi="Verdana" w:cs="Century Gothic"/>
                <w:color w:val="000000"/>
                <w:lang w:val="es-ES_tradnl"/>
              </w:rPr>
            </w:pPr>
            <w:r w:rsidRPr="005440CD">
              <w:rPr>
                <w:rFonts w:ascii="Verdana" w:eastAsia="Century Gothic" w:hAnsi="Verdana" w:cs="Century Gothic"/>
                <w:color w:val="000000"/>
                <w:lang w:val="es-ES_tradnl"/>
              </w:rPr>
              <w:t xml:space="preserve">Por no existir una norma que amplíe a la vigencia 2024 y siguientes las medidas adoptadas en los Decretos 399 y 579 de 2021 y 1041 de 2022, aquellas personas que partir del 1° de enero de 2024 realicen la inscripción o renovación del Registro Único de Proponentes solo podrán reportar ante las Cámaras de Comercio la información contable y los estados financieros del último año fiscal. </w:t>
            </w:r>
          </w:p>
          <w:p w14:paraId="213F8873" w14:textId="77777777" w:rsidR="005440CD" w:rsidRPr="005440CD" w:rsidRDefault="005440CD" w:rsidP="005440CD">
            <w:pPr>
              <w:snapToGrid w:val="0"/>
              <w:spacing w:line="276" w:lineRule="auto"/>
              <w:jc w:val="both"/>
              <w:rPr>
                <w:rFonts w:ascii="Verdana" w:eastAsia="Century Gothic" w:hAnsi="Verdana" w:cs="Century Gothic"/>
                <w:color w:val="000000"/>
                <w:lang w:val="es-ES_tradnl"/>
              </w:rPr>
            </w:pPr>
          </w:p>
          <w:p w14:paraId="1D626887" w14:textId="77777777" w:rsidR="005440CD" w:rsidRPr="005440CD" w:rsidRDefault="005440CD" w:rsidP="005440CD">
            <w:pPr>
              <w:snapToGrid w:val="0"/>
              <w:spacing w:line="276" w:lineRule="auto"/>
              <w:jc w:val="both"/>
              <w:rPr>
                <w:rFonts w:ascii="Verdana" w:eastAsia="Century Gothic" w:hAnsi="Verdana" w:cs="Century Gothic"/>
                <w:color w:val="000000"/>
                <w:lang w:val="es-ES_tradnl"/>
              </w:rPr>
            </w:pPr>
            <w:r w:rsidRPr="005440CD">
              <w:rPr>
                <w:rFonts w:ascii="Verdana" w:eastAsia="Century Gothic" w:hAnsi="Verdana" w:cs="Century Gothic"/>
                <w:color w:val="000000"/>
                <w:lang w:val="es-ES_tradnl"/>
              </w:rPr>
              <w:lastRenderedPageBreak/>
              <w:t>Al respecto, la Agencia Nacional de Contratación Pública – Colombia Compra Eficiente se ha pronunciado, indicando que,</w:t>
            </w:r>
            <w:r w:rsidRPr="005440CD">
              <w:rPr>
                <w:rFonts w:ascii="Verdana" w:eastAsia="Century Gothic" w:hAnsi="Verdana" w:cs="Century Gothic"/>
                <w:i/>
                <w:iCs/>
                <w:lang w:val="es"/>
              </w:rPr>
              <w:t xml:space="preserve"> </w:t>
            </w:r>
            <w:r w:rsidRPr="005440CD">
              <w:rPr>
                <w:rFonts w:ascii="Verdana" w:eastAsia="Century Gothic" w:hAnsi="Verdana" w:cs="Century Gothic"/>
                <w:lang w:val="es"/>
              </w:rPr>
              <w:t xml:space="preserve">resulta valido afirmar que la posibilidad que tenían los oferentes de acreditar el mejor año fiscal de los tres últimos registrados en el RUP, finalizó el último día de la vigencia 2023; en consecuencia y en observancia del derecho a la igualdad con aquellos oferentes que en la vigencia 2024 ya han inscrito o renovado su RUP y solo cuentan en el mismo con la información del último año fiscal, las entidades deben estructurar la solicitud de indicadores financieros para sus procesos con referencia a lo dispuesto en </w:t>
            </w:r>
            <w:r w:rsidRPr="005440CD">
              <w:rPr>
                <w:rFonts w:ascii="Verdana" w:eastAsia="Century Gothic" w:hAnsi="Verdana" w:cs="Century Gothic"/>
                <w:color w:val="000000"/>
                <w:lang w:val="es-ES_tradnl"/>
              </w:rPr>
              <w:t>los numerales 1.3 y 2.3 del artículo 2.2.1.1.1.5.2 del Decreto 1082 de 2015.</w:t>
            </w:r>
          </w:p>
          <w:p w14:paraId="6350BC79" w14:textId="77777777" w:rsidR="005440CD" w:rsidRPr="005440CD" w:rsidRDefault="005440CD" w:rsidP="005440CD">
            <w:pPr>
              <w:snapToGrid w:val="0"/>
              <w:spacing w:line="276" w:lineRule="auto"/>
              <w:jc w:val="both"/>
              <w:rPr>
                <w:rFonts w:ascii="Verdana" w:eastAsia="Century Gothic" w:hAnsi="Verdana" w:cs="Century Gothic"/>
                <w:lang w:val="es"/>
              </w:rPr>
            </w:pPr>
          </w:p>
          <w:p w14:paraId="2B5B63B5" w14:textId="77777777" w:rsidR="005440CD" w:rsidRPr="005440CD" w:rsidRDefault="005440CD" w:rsidP="005440CD">
            <w:pPr>
              <w:tabs>
                <w:tab w:val="left" w:pos="426"/>
              </w:tabs>
              <w:snapToGrid w:val="0"/>
              <w:spacing w:line="276" w:lineRule="auto"/>
              <w:jc w:val="both"/>
              <w:rPr>
                <w:rFonts w:ascii="Verdana" w:eastAsia="Century Gothic" w:hAnsi="Verdana" w:cs="Century Gothic"/>
                <w:color w:val="000000"/>
                <w:lang w:val="es-ES_tradnl"/>
              </w:rPr>
            </w:pPr>
            <w:r w:rsidRPr="005440CD">
              <w:rPr>
                <w:rFonts w:ascii="Verdana" w:eastAsia="Century Gothic" w:hAnsi="Verdana" w:cs="Century Gothic"/>
                <w:color w:val="000000"/>
                <w:lang w:val="es-ES_tradnl"/>
              </w:rPr>
              <w:t xml:space="preserve">Teniendo en cuenta lo anterior, en las nuevas versiones de los documentos tipo estructurados y publicados (infraestructura de transporte) por la Agencia Nacional de Contratación Pública con posterioridad a esas fechas, se han realizado los ajustes pertinentes respecto a la </w:t>
            </w:r>
            <w:r w:rsidRPr="005440CD">
              <w:rPr>
                <w:rFonts w:ascii="Verdana" w:eastAsia="Century Gothic" w:hAnsi="Verdana" w:cs="Century Gothic"/>
                <w:b/>
                <w:bCs/>
                <w:color w:val="000000"/>
                <w:lang w:val="es-ES_tradnl"/>
              </w:rPr>
              <w:t>“Acreditación de la capacidad financiera”</w:t>
            </w:r>
            <w:r w:rsidRPr="005440CD">
              <w:rPr>
                <w:rFonts w:ascii="Verdana" w:eastAsia="Century Gothic" w:hAnsi="Verdana" w:cs="Century Gothic"/>
                <w:color w:val="000000"/>
                <w:lang w:val="es-ES_tradnl"/>
              </w:rPr>
              <w:t>.</w:t>
            </w:r>
          </w:p>
          <w:p w14:paraId="6C0CEE91" w14:textId="77777777" w:rsidR="005440CD" w:rsidRPr="005440CD" w:rsidRDefault="005440CD" w:rsidP="005440CD">
            <w:pPr>
              <w:tabs>
                <w:tab w:val="left" w:pos="426"/>
              </w:tabs>
              <w:snapToGrid w:val="0"/>
              <w:spacing w:line="276" w:lineRule="auto"/>
              <w:jc w:val="both"/>
              <w:rPr>
                <w:rFonts w:ascii="Verdana" w:eastAsia="Century Gothic" w:hAnsi="Verdana" w:cs="Century Gothic"/>
                <w:color w:val="000000"/>
                <w:lang w:val="es-ES_tradnl"/>
              </w:rPr>
            </w:pPr>
          </w:p>
          <w:p w14:paraId="47292C62" w14:textId="77777777" w:rsidR="005440CD" w:rsidRPr="005440CD" w:rsidRDefault="005440CD" w:rsidP="005440CD">
            <w:pPr>
              <w:tabs>
                <w:tab w:val="left" w:pos="426"/>
              </w:tabs>
              <w:snapToGrid w:val="0"/>
              <w:spacing w:line="276" w:lineRule="auto"/>
              <w:jc w:val="both"/>
              <w:rPr>
                <w:rFonts w:ascii="Verdana" w:eastAsia="Century Gothic" w:hAnsi="Verdana" w:cs="Century Gothic"/>
                <w:color w:val="000000"/>
                <w:lang w:val="es-ES_tradnl"/>
              </w:rPr>
            </w:pPr>
            <w:r w:rsidRPr="005440CD">
              <w:rPr>
                <w:rFonts w:ascii="Verdana" w:eastAsia="Century Gothic" w:hAnsi="Verdana" w:cs="Century Gothic"/>
                <w:color w:val="000000"/>
                <w:lang w:val="es-ES_tradnl"/>
              </w:rPr>
              <w:t>En este mismo sentido, en el marco de la actualización de los documentos tipo de infraestructura social y los demás que se adopten y/o actualicen, se realizará el ajuste respectivo.</w:t>
            </w:r>
          </w:p>
        </w:tc>
      </w:tr>
    </w:tbl>
    <w:p w14:paraId="22A318F8" w14:textId="77777777" w:rsidR="005440CD" w:rsidRPr="005440CD" w:rsidRDefault="005440CD" w:rsidP="005440CD">
      <w:pPr>
        <w:tabs>
          <w:tab w:val="left" w:pos="142"/>
          <w:tab w:val="left" w:pos="284"/>
        </w:tabs>
        <w:snapToGrid w:val="0"/>
        <w:spacing w:after="0" w:line="276" w:lineRule="auto"/>
        <w:jc w:val="both"/>
        <w:rPr>
          <w:rFonts w:ascii="Verdana" w:eastAsia="Century Gothic" w:hAnsi="Verdana" w:cs="Century Gothic"/>
          <w:b/>
          <w:bCs/>
          <w:lang w:val="es-ES_tradnl"/>
        </w:rPr>
      </w:pPr>
    </w:p>
    <w:p w14:paraId="660195B8" w14:textId="77777777" w:rsidR="005440CD" w:rsidRPr="005440CD" w:rsidRDefault="005440CD" w:rsidP="005440CD">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5440CD">
        <w:rPr>
          <w:rFonts w:ascii="Verdana" w:eastAsia="Century Gothic" w:hAnsi="Verdana" w:cs="Century Gothic"/>
          <w:b/>
          <w:bCs/>
          <w:lang w:val="es-ES_tradnl"/>
        </w:rPr>
        <w:t>Razones de la respuesta:</w:t>
      </w:r>
    </w:p>
    <w:p w14:paraId="65D99373" w14:textId="77777777" w:rsidR="005440CD" w:rsidRPr="005440CD" w:rsidRDefault="005440CD" w:rsidP="005440CD">
      <w:pPr>
        <w:tabs>
          <w:tab w:val="left" w:pos="142"/>
          <w:tab w:val="left" w:pos="284"/>
        </w:tabs>
        <w:snapToGrid w:val="0"/>
        <w:spacing w:after="0" w:line="276" w:lineRule="auto"/>
        <w:ind w:left="357"/>
        <w:jc w:val="both"/>
        <w:rPr>
          <w:rFonts w:ascii="Verdana" w:eastAsia="Century Gothic" w:hAnsi="Verdana" w:cs="Century Gothic"/>
          <w:b/>
          <w:bCs/>
          <w:lang w:val="es-ES_tradnl"/>
        </w:rPr>
      </w:pPr>
    </w:p>
    <w:p w14:paraId="66FA9A49" w14:textId="77777777" w:rsidR="005440CD" w:rsidRPr="005440CD" w:rsidRDefault="005440CD" w:rsidP="005440CD">
      <w:pPr>
        <w:snapToGrid w:val="0"/>
        <w:spacing w:after="120" w:line="276" w:lineRule="auto"/>
        <w:jc w:val="both"/>
        <w:rPr>
          <w:rFonts w:ascii="Verdana" w:eastAsia="Calibri" w:hAnsi="Verdana" w:cs="Arial"/>
          <w:lang w:val="es-ES_tradnl"/>
        </w:rPr>
      </w:pPr>
      <w:r w:rsidRPr="005440CD">
        <w:rPr>
          <w:rFonts w:ascii="Verdana" w:eastAsia="Calibri" w:hAnsi="Verdana" w:cs="Arial"/>
          <w:lang w:val="es-ES_tradnl"/>
        </w:rPr>
        <w:t xml:space="preserve">Lo anterior se sustenta en las siguientes consideraciones: </w:t>
      </w:r>
    </w:p>
    <w:p w14:paraId="36FDD7DC" w14:textId="77777777" w:rsidR="005440CD" w:rsidRPr="005440CD" w:rsidRDefault="005440CD" w:rsidP="005440CD">
      <w:pPr>
        <w:snapToGrid w:val="0"/>
        <w:spacing w:after="120" w:line="276" w:lineRule="auto"/>
        <w:ind w:firstLine="709"/>
        <w:jc w:val="both"/>
        <w:rPr>
          <w:rFonts w:ascii="Verdana" w:eastAsia="Calibri" w:hAnsi="Verdana" w:cs="Arial"/>
          <w:lang w:val="es-ES_tradnl"/>
        </w:rPr>
      </w:pPr>
      <w:r w:rsidRPr="005440CD">
        <w:rPr>
          <w:rFonts w:ascii="Verdana" w:eastAsia="Century Gothic" w:hAnsi="Verdana" w:cs="Century Gothic"/>
          <w:color w:val="000000"/>
          <w:kern w:val="2"/>
          <w:lang w:val="es-ES_tradnl" w:eastAsia="es-MX"/>
          <w14:ligatures w14:val="standardContextual"/>
        </w:rPr>
        <w:t>Los documentos tipo de licitación de obra pública de infraestructura social fueron adoptados mediante la Resolución 219 de 2021 y modificados por la Resolución 275 de 2022. Asimismo, los documentos tipo para los procesos de selección de concurso de méritos para contratar la interventoría de obras públicas de infraestructura social fueron expedidos mediante la Resolución 798 de 2023. Por lo tanto, es importante precisar que las reglas referidas respecto a la verificación de la capacidad financiera y organizacional definidas en estos documentos tipo, se estructuraron conforme con las disposiciones definidas en los Decretos 399 de 2021, 579 de 2021 y 1041 de 2022, los cuales indicaban, entre otras consideraciones, las siguiente:</w:t>
      </w:r>
    </w:p>
    <w:p w14:paraId="434ED7A2" w14:textId="77777777" w:rsidR="005440CD" w:rsidRPr="005440CD" w:rsidRDefault="005440CD" w:rsidP="005440CD">
      <w:pPr>
        <w:numPr>
          <w:ilvl w:val="0"/>
          <w:numId w:val="18"/>
        </w:numPr>
        <w:snapToGrid w:val="0"/>
        <w:spacing w:after="120" w:line="276" w:lineRule="auto"/>
        <w:ind w:left="714" w:hanging="357"/>
        <w:jc w:val="both"/>
        <w:rPr>
          <w:rFonts w:ascii="Verdana" w:eastAsia="Century Gothic" w:hAnsi="Verdana" w:cs="Century Gothic"/>
          <w:i/>
          <w:iCs/>
          <w:color w:val="000000"/>
          <w:kern w:val="2"/>
          <w:lang w:val="es-ES_tradnl"/>
          <w14:ligatures w14:val="standardContextual"/>
        </w:rPr>
      </w:pPr>
      <w:r w:rsidRPr="005440CD">
        <w:rPr>
          <w:rFonts w:ascii="Verdana" w:eastAsia="Century Gothic" w:hAnsi="Verdana" w:cs="Century Gothic"/>
          <w:i/>
          <w:iCs/>
          <w:color w:val="000000"/>
          <w:kern w:val="2"/>
          <w:lang w:val="es-ES_tradnl"/>
          <w14:ligatures w14:val="standardContextual"/>
        </w:rPr>
        <w:t xml:space="preserve">“[…] los requisitos e indicadores de la capacidad financiera y organizacional de que trata el literal (b) del artículo 2.2.1.1.1.5.6. del </w:t>
      </w:r>
      <w:r w:rsidRPr="005440CD">
        <w:rPr>
          <w:rFonts w:ascii="Verdana" w:eastAsia="Century Gothic" w:hAnsi="Verdana" w:cs="Century Gothic"/>
          <w:i/>
          <w:iCs/>
          <w:color w:val="000000"/>
          <w:kern w:val="2"/>
          <w:lang w:val="es-ES_tradnl"/>
          <w14:ligatures w14:val="standardContextual"/>
        </w:rPr>
        <w:lastRenderedPageBreak/>
        <w:t xml:space="preserve">Decreto 1082 de 2015 corresponderán a los últimos tres (3) años fiscales anteriores a la inscripción o renovación, dependiendo de la antigüedad del proponente”. </w:t>
      </w:r>
      <w:r w:rsidRPr="005440CD">
        <w:rPr>
          <w:rFonts w:ascii="Verdana" w:eastAsia="Century Gothic" w:hAnsi="Verdana" w:cs="Century Gothic"/>
          <w:color w:val="000000"/>
          <w:kern w:val="2"/>
          <w:lang w:val="es-ES_tradnl"/>
          <w14:ligatures w14:val="standardContextual"/>
        </w:rPr>
        <w:t>Para esto, las cámaras de comercio, a partir del 1 de julio de 2021,</w:t>
      </w:r>
      <w:r w:rsidRPr="005440CD">
        <w:rPr>
          <w:rFonts w:ascii="Verdana" w:eastAsia="Century Gothic" w:hAnsi="Verdana" w:cs="Century Gothic"/>
          <w:i/>
          <w:iCs/>
          <w:color w:val="000000"/>
          <w:kern w:val="2"/>
          <w:lang w:val="es-ES_tradnl"/>
          <w14:ligatures w14:val="standardContextual"/>
        </w:rPr>
        <w:t xml:space="preserve"> “certificarán la información de que tratan los parágrafos transitorios 1 y 2 del artículo 2.2.1.1.1.5.2. de este Decreto”.</w:t>
      </w:r>
    </w:p>
    <w:p w14:paraId="5F6B2BE3" w14:textId="6969C4A4" w:rsidR="00DA544F" w:rsidRPr="00DA544F" w:rsidRDefault="005440CD" w:rsidP="00DA544F">
      <w:pPr>
        <w:numPr>
          <w:ilvl w:val="0"/>
          <w:numId w:val="18"/>
        </w:numPr>
        <w:snapToGrid w:val="0"/>
        <w:spacing w:after="120" w:line="276" w:lineRule="auto"/>
        <w:ind w:left="714" w:hanging="357"/>
        <w:jc w:val="both"/>
        <w:rPr>
          <w:rFonts w:ascii="Verdana" w:eastAsia="Century Gothic" w:hAnsi="Verdana" w:cs="Century Gothic"/>
          <w:i/>
          <w:iCs/>
          <w:color w:val="000000"/>
          <w:kern w:val="2"/>
          <w:lang w:val="es-ES_tradnl"/>
          <w14:ligatures w14:val="standardContextual"/>
        </w:rPr>
      </w:pPr>
      <w:r w:rsidRPr="005440CD">
        <w:rPr>
          <w:rFonts w:ascii="Verdana" w:eastAsia="Century Gothic" w:hAnsi="Verdana" w:cs="Century Gothic"/>
          <w:color w:val="000000"/>
          <w:kern w:val="2"/>
          <w:lang w:val="es-ES_tradnl"/>
          <w14:ligatures w14:val="standardContextual"/>
        </w:rPr>
        <w:t>A partir del 1 de julio de 2021 las Entidades Estatales</w:t>
      </w:r>
      <w:r w:rsidRPr="005440CD">
        <w:rPr>
          <w:rFonts w:ascii="Verdana" w:eastAsia="Century Gothic" w:hAnsi="Verdana" w:cs="Century Gothic"/>
          <w:i/>
          <w:iCs/>
          <w:color w:val="000000"/>
          <w:kern w:val="2"/>
          <w:lang w:val="es-ES_tradnl"/>
          <w14:ligatures w14:val="standardContextual"/>
        </w:rPr>
        <w:t xml:space="preserve"> “[…] establecerán y evaluarán los requisitos habilitantes de capacidad financiera y organizacional teniendo en cuenta la información que conste en el Registro Único de Proponentes”. </w:t>
      </w:r>
      <w:r w:rsidRPr="005440CD">
        <w:rPr>
          <w:rFonts w:ascii="Verdana" w:eastAsia="Century Gothic" w:hAnsi="Verdana" w:cs="Century Gothic"/>
          <w:color w:val="000000"/>
          <w:kern w:val="2"/>
          <w:lang w:val="es-ES_tradnl"/>
          <w14:ligatures w14:val="standardContextual"/>
        </w:rPr>
        <w:t>Es decir, las Entidades Estatales debían tener en cuenta la información sobre la capacidad financiera y organizacional</w:t>
      </w:r>
      <w:r w:rsidRPr="005440CD">
        <w:rPr>
          <w:rFonts w:ascii="Verdana" w:eastAsia="Century Gothic" w:hAnsi="Verdana" w:cs="Century Gothic"/>
          <w:i/>
          <w:iCs/>
          <w:color w:val="000000"/>
          <w:kern w:val="2"/>
          <w:lang w:val="es-ES_tradnl"/>
          <w14:ligatures w14:val="standardContextual"/>
        </w:rPr>
        <w:t xml:space="preserve"> “correspondiente a los últimos tres (3) años fiscales anteriores al respectivo acto” o “desde su primer cierre fiscal”.</w:t>
      </w:r>
    </w:p>
    <w:p w14:paraId="6E84C3CF" w14:textId="77777777" w:rsidR="005440CD" w:rsidRPr="005440CD" w:rsidRDefault="005440CD" w:rsidP="005440CD">
      <w:pPr>
        <w:snapToGrid w:val="0"/>
        <w:spacing w:after="120" w:line="276" w:lineRule="auto"/>
        <w:ind w:firstLine="709"/>
        <w:jc w:val="both"/>
        <w:rPr>
          <w:rFonts w:ascii="Verdana" w:eastAsia="Century Gothic" w:hAnsi="Verdana" w:cs="Century Gothic"/>
          <w:color w:val="000000"/>
          <w:kern w:val="2"/>
          <w:lang w:val="es-ES_tradnl"/>
          <w14:ligatures w14:val="standardContextual"/>
        </w:rPr>
      </w:pPr>
      <w:r w:rsidRPr="005440CD">
        <w:rPr>
          <w:rFonts w:ascii="Verdana" w:eastAsia="Century Gothic" w:hAnsi="Verdana" w:cs="Century Gothic"/>
          <w:color w:val="000000"/>
          <w:kern w:val="2"/>
          <w:lang w:val="es-ES_tradnl"/>
          <w14:ligatures w14:val="standardContextual"/>
        </w:rPr>
        <w:t xml:space="preserve">Teniendo en cuenta que el RUP debe contener la información financiera y organizacional del proponente correspondiente a los últimos tres años o al período transcurrido desde su primer cierre fiscal, según el caso, al momento de evaluar tales indicadores las Entidades Estatales debían tener en cuenta “el mejor año fiscal” que refleje el registro. 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sustituido por el artículo 3 del Decreto 579 de 2021 y reiterado por el </w:t>
      </w:r>
      <w:r w:rsidRPr="005440CD">
        <w:rPr>
          <w:rFonts w:ascii="Verdana" w:eastAsia="Century Gothic" w:hAnsi="Verdana" w:cs="Century Gothic"/>
          <w:kern w:val="2"/>
          <w:lang w:val="es-ES_tradnl"/>
          <w14:ligatures w14:val="standardContextual"/>
        </w:rPr>
        <w:t>Decreto 1041 de 2022</w:t>
      </w:r>
      <w:r w:rsidRPr="005440CD">
        <w:rPr>
          <w:rFonts w:ascii="Verdana" w:eastAsia="Century Gothic" w:hAnsi="Verdana" w:cs="Century Gothic"/>
          <w:color w:val="000000"/>
          <w:kern w:val="2"/>
          <w:lang w:val="es-ES_tradnl"/>
          <w14:ligatures w14:val="standardContextual"/>
        </w:rPr>
        <w:t>, establece que “[…] las Entidades Estatales evaluarán estos indicadores, teniendo en cuenta el mejor año fiscal que se refleje en el registro de cada proponente</w:t>
      </w:r>
      <w:r w:rsidRPr="005440CD">
        <w:rPr>
          <w:rFonts w:ascii="Verdana" w:eastAsia="Century Gothic" w:hAnsi="Verdana" w:cs="Century Gothic"/>
          <w:i/>
          <w:iCs/>
          <w:color w:val="000000"/>
          <w:kern w:val="2"/>
          <w:lang w:val="es-ES_tradnl"/>
          <w14:ligatures w14:val="standardContextual"/>
        </w:rPr>
        <w:t xml:space="preserve">”, </w:t>
      </w:r>
      <w:r w:rsidRPr="005440CD">
        <w:rPr>
          <w:rFonts w:ascii="Verdana" w:eastAsia="Century Gothic" w:hAnsi="Verdana" w:cs="Century Gothic"/>
          <w:color w:val="000000"/>
          <w:kern w:val="2"/>
          <w:lang w:val="es-ES_tradnl"/>
          <w14:ligatures w14:val="standardContextual"/>
        </w:rPr>
        <w:t>significa que deben examinar los años certificados en el RUP y escoger para ser evaluado el que refleje mejores indicadores de capacidad financiera y organizacional, que permita al proponente cumplir los requisitos habilitantes de capacidad financiera y organizacional.</w:t>
      </w:r>
    </w:p>
    <w:p w14:paraId="7658DA3A" w14:textId="77777777" w:rsidR="005440CD" w:rsidRPr="005440CD" w:rsidRDefault="005440CD" w:rsidP="005440CD">
      <w:pPr>
        <w:snapToGrid w:val="0"/>
        <w:spacing w:after="120" w:line="276" w:lineRule="auto"/>
        <w:ind w:firstLine="709"/>
        <w:jc w:val="both"/>
        <w:rPr>
          <w:rFonts w:ascii="Verdana" w:eastAsia="Century Gothic" w:hAnsi="Verdana" w:cs="Century Gothic"/>
          <w:color w:val="000000"/>
          <w:kern w:val="2"/>
          <w:lang w:val="es-ES_tradnl"/>
          <w14:ligatures w14:val="standardContextual"/>
        </w:rPr>
      </w:pPr>
      <w:r w:rsidRPr="005440CD">
        <w:rPr>
          <w:rFonts w:ascii="Verdana" w:eastAsia="Century Gothic" w:hAnsi="Verdana" w:cs="Century Gothic"/>
          <w:color w:val="000000"/>
          <w:kern w:val="2"/>
          <w:lang w:val="es-ES_tradnl"/>
          <w14:ligatures w14:val="standardContextual"/>
        </w:rPr>
        <w:t xml:space="preserve">De la explicación anterior, se desprende que los parágrafos adicionados por los Decretos 399 de 2021, 579 de 2021 y 1041 de 2022 tienen naturaleza transitoria. Conforme a la definición del Diccionario de la RAE, por dicha expresión se entiende todo aquello que es “Pasajero, temporal” o “Caduco, perecedero, fugaz”. Es decir, el marco normativo descrito en los párrafos precedentes carece de vocación de permanencia, pues se trata de disposiciones efímeras, pasajeras, momentáneas, breves, temporales, provisionales y temporarias. Por ello, con la expiración de su vigencia y a falta de un reglamento </w:t>
      </w:r>
      <w:r w:rsidRPr="005440CD">
        <w:rPr>
          <w:rFonts w:ascii="Verdana" w:eastAsia="Century Gothic" w:hAnsi="Verdana" w:cs="Century Gothic"/>
          <w:color w:val="000000"/>
          <w:kern w:val="2"/>
          <w:lang w:val="es-ES_tradnl"/>
          <w14:ligatures w14:val="standardContextual"/>
        </w:rPr>
        <w:lastRenderedPageBreak/>
        <w:t xml:space="preserve">que prorrogue las medidas adoptadas, la capacidad financiera y organizacional debe acreditarse a la Cámara de Comercio en las condiciones descritas en los numerales 1.3 y 2.3 del artículo 2.2.1.1.1.5.2 del Decreto 1082 de 2015.  </w:t>
      </w:r>
    </w:p>
    <w:p w14:paraId="49B8D0FD" w14:textId="77777777" w:rsidR="005440CD" w:rsidRPr="005440CD" w:rsidRDefault="005440CD" w:rsidP="005440CD">
      <w:pPr>
        <w:snapToGrid w:val="0"/>
        <w:spacing w:after="120" w:line="276" w:lineRule="auto"/>
        <w:ind w:firstLine="709"/>
        <w:jc w:val="both"/>
        <w:rPr>
          <w:rFonts w:ascii="Verdana" w:eastAsia="Century Gothic" w:hAnsi="Verdana" w:cs="Century Gothic"/>
          <w:color w:val="000000"/>
          <w:kern w:val="2"/>
          <w:lang w:val="es-ES_tradnl"/>
          <w14:ligatures w14:val="standardContextual"/>
        </w:rPr>
      </w:pPr>
      <w:r w:rsidRPr="005440CD">
        <w:rPr>
          <w:rFonts w:ascii="Verdana" w:eastAsia="Century Gothic" w:hAnsi="Verdana" w:cs="Century Gothic"/>
          <w:color w:val="000000"/>
          <w:kern w:val="2"/>
          <w:lang w:val="es-ES_tradnl" w:eastAsia="es-MX"/>
          <w14:ligatures w14:val="standardContextual"/>
        </w:rPr>
        <w:t xml:space="preserve">Es decir, teniendo en cuenta que dichas medidas no se extendieron finalmente con posterioridad al 31 de diciembre de 2023 (conforme a lo consagrado en el Decreto 1041 de 2022), a partir </w:t>
      </w:r>
      <w:r w:rsidRPr="005440CD">
        <w:rPr>
          <w:rFonts w:ascii="Verdana" w:eastAsia="Century Gothic" w:hAnsi="Verdana" w:cs="Century Gothic"/>
          <w:color w:val="000000"/>
          <w:kern w:val="2"/>
          <w:lang w:val="es-ES_tradnl"/>
          <w14:ligatures w14:val="standardContextual"/>
        </w:rPr>
        <w:t>del 1° de enero de 2024 los indicadores deben acreditarse frente a la Cámara de Comercio conforme a las reglas de generales del Decreto 1082 de 2015, esto es, con la información contable del año inmediatamente anterior –</w:t>
      </w:r>
      <w:proofErr w:type="spellStart"/>
      <w:r w:rsidRPr="005440CD">
        <w:rPr>
          <w:rFonts w:ascii="Verdana" w:eastAsia="Century Gothic" w:hAnsi="Verdana" w:cs="Century Gothic"/>
          <w:color w:val="000000"/>
          <w:kern w:val="2"/>
          <w:lang w:val="es-ES_tradnl"/>
          <w14:ligatures w14:val="standardContextual"/>
        </w:rPr>
        <w:t>nums</w:t>
      </w:r>
      <w:proofErr w:type="spellEnd"/>
      <w:r w:rsidRPr="005440CD">
        <w:rPr>
          <w:rFonts w:ascii="Verdana" w:eastAsia="Century Gothic" w:hAnsi="Verdana" w:cs="Century Gothic"/>
          <w:color w:val="000000"/>
          <w:kern w:val="2"/>
          <w:lang w:val="es-ES_tradnl"/>
          <w14:ligatures w14:val="standardContextual"/>
        </w:rPr>
        <w:t>. 1.3 y 2.3 del artículo 2.2.1.1.1.5.2 del Decreto 1082 de 2015–.</w:t>
      </w:r>
    </w:p>
    <w:p w14:paraId="523665BB" w14:textId="77777777" w:rsidR="005440CD" w:rsidRPr="005440CD" w:rsidRDefault="005440CD" w:rsidP="005440CD">
      <w:pPr>
        <w:snapToGrid w:val="0"/>
        <w:spacing w:after="120" w:line="276" w:lineRule="auto"/>
        <w:ind w:firstLine="709"/>
        <w:jc w:val="both"/>
        <w:rPr>
          <w:rFonts w:ascii="Verdana" w:eastAsia="Century Gothic" w:hAnsi="Verdana" w:cs="Century Gothic"/>
          <w:color w:val="000000"/>
          <w:kern w:val="2"/>
          <w:lang w:val="es-ES_tradnl"/>
          <w14:ligatures w14:val="standardContextual"/>
        </w:rPr>
      </w:pPr>
      <w:r w:rsidRPr="005440CD">
        <w:rPr>
          <w:rFonts w:ascii="Verdana" w:eastAsia="Century Gothic" w:hAnsi="Verdana" w:cs="Century Gothic"/>
          <w:color w:val="000000"/>
          <w:kern w:val="2"/>
          <w:lang w:val="es-ES_tradnl"/>
          <w14:ligatures w14:val="standardContextual"/>
        </w:rPr>
        <w:t xml:space="preserve">En ese sentido, debe tenerse en cuenta que, por no existir una norma que amplíe a la vigencia 2024 y siguientes las medidas adoptadas en los Decretos 399 y 579 de 2021 y 1041 de 2022, aquellas personas que partir del 1° de enero de 2024 realicen la inscripción o renovación del Registro Único de Proponentes solo podrán reportar ante las Cámaras de Comercio la información contable y los estados financieros del último año fiscal. </w:t>
      </w:r>
    </w:p>
    <w:p w14:paraId="0BE99F63" w14:textId="77777777" w:rsidR="005440CD" w:rsidRPr="005440CD" w:rsidRDefault="005440CD" w:rsidP="005440CD">
      <w:pPr>
        <w:snapToGrid w:val="0"/>
        <w:spacing w:after="120" w:line="276" w:lineRule="auto"/>
        <w:ind w:firstLine="709"/>
        <w:jc w:val="both"/>
        <w:rPr>
          <w:rFonts w:ascii="Verdana" w:eastAsia="Century Gothic" w:hAnsi="Verdana" w:cs="Century Gothic"/>
          <w:kern w:val="2"/>
          <w:lang w:val="es"/>
          <w14:ligatures w14:val="standardContextual"/>
        </w:rPr>
      </w:pPr>
      <w:r w:rsidRPr="005440CD">
        <w:rPr>
          <w:rFonts w:ascii="Verdana" w:eastAsia="Century Gothic" w:hAnsi="Verdana" w:cs="Century Gothic"/>
          <w:color w:val="000000"/>
          <w:kern w:val="2"/>
          <w:lang w:val="es-ES_tradnl"/>
          <w14:ligatures w14:val="standardContextual"/>
        </w:rPr>
        <w:t>Al respecto, la Agencia Nacional de Contratación Pública – Colombia Compra Eficiente se ha pronunciado, indicando que,</w:t>
      </w:r>
      <w:r w:rsidRPr="005440CD">
        <w:rPr>
          <w:rFonts w:ascii="Verdana" w:eastAsia="Century Gothic" w:hAnsi="Verdana" w:cs="Century Gothic"/>
          <w:i/>
          <w:iCs/>
          <w:kern w:val="2"/>
          <w:lang w:val="es"/>
          <w14:ligatures w14:val="standardContextual"/>
        </w:rPr>
        <w:t xml:space="preserve"> </w:t>
      </w:r>
      <w:r w:rsidRPr="005440CD">
        <w:rPr>
          <w:rFonts w:ascii="Verdana" w:eastAsia="Century Gothic" w:hAnsi="Verdana" w:cs="Century Gothic"/>
          <w:kern w:val="2"/>
          <w:lang w:val="es"/>
          <w14:ligatures w14:val="standardContextual"/>
        </w:rPr>
        <w:t xml:space="preserve">resulta valido afirmar que la posibilidad que tenían los oferentes de acreditar el mejor año fiscal de los tres últimos registrados en el RUP, finalizó el último día de la vigencia 2023; en consecuencia y en observancia del derecho a la igualdad con aquellos oferentes que en la vigencia 2024 ya han inscrito o renovado su RUP y solo cuentan en el mismo con la información del último año fiscal, las entidades deben estructurar la solicitud de indicadores financieros para sus procesos con referencia a lo dispuesto en </w:t>
      </w:r>
      <w:r w:rsidRPr="005440CD">
        <w:rPr>
          <w:rFonts w:ascii="Verdana" w:eastAsia="Century Gothic" w:hAnsi="Verdana" w:cs="Century Gothic"/>
          <w:color w:val="000000"/>
          <w:kern w:val="2"/>
          <w:lang w:val="es-ES_tradnl"/>
          <w14:ligatures w14:val="standardContextual"/>
        </w:rPr>
        <w:t>los numerales 1.3 y 2.3 del artículo 2.2.1.1.1.5.2 del Decreto 1082 de 2015.</w:t>
      </w:r>
    </w:p>
    <w:p w14:paraId="1C945463" w14:textId="77777777" w:rsidR="005440CD" w:rsidRPr="005440CD" w:rsidRDefault="005440CD" w:rsidP="005440CD">
      <w:pPr>
        <w:tabs>
          <w:tab w:val="left" w:pos="426"/>
        </w:tabs>
        <w:snapToGrid w:val="0"/>
        <w:spacing w:after="120" w:line="276" w:lineRule="auto"/>
        <w:ind w:firstLine="709"/>
        <w:jc w:val="both"/>
        <w:rPr>
          <w:rFonts w:ascii="Verdana" w:eastAsia="Century Gothic" w:hAnsi="Verdana" w:cs="Century Gothic"/>
          <w:color w:val="000000"/>
          <w:kern w:val="2"/>
          <w:lang w:val="es-ES_tradnl"/>
          <w14:ligatures w14:val="standardContextual"/>
        </w:rPr>
      </w:pPr>
      <w:r w:rsidRPr="005440CD">
        <w:rPr>
          <w:rFonts w:ascii="Verdana" w:eastAsia="Century Gothic" w:hAnsi="Verdana" w:cs="Century Gothic"/>
          <w:color w:val="000000"/>
          <w:kern w:val="2"/>
          <w:lang w:val="es-ES_tradnl"/>
          <w14:ligatures w14:val="standardContextual"/>
        </w:rPr>
        <w:t xml:space="preserve">Teniendo en cuenta lo anterior, en las nuevas versiones de los documentos tipo estructurados y publicados (infraestructura de transporte) por la Agencia Nacional de Contratación Pública con posterioridad a esas fechas, se han realizado los ajustes pertinentes respecto a la </w:t>
      </w:r>
      <w:r w:rsidRPr="005440CD">
        <w:rPr>
          <w:rFonts w:ascii="Verdana" w:eastAsia="Century Gothic" w:hAnsi="Verdana" w:cs="Century Gothic"/>
          <w:b/>
          <w:bCs/>
          <w:color w:val="000000"/>
          <w:kern w:val="2"/>
          <w:lang w:val="es-ES_tradnl"/>
          <w14:ligatures w14:val="standardContextual"/>
        </w:rPr>
        <w:t>“Acreditación de la capacidad financiera”</w:t>
      </w:r>
      <w:r w:rsidRPr="005440CD">
        <w:rPr>
          <w:rFonts w:ascii="Verdana" w:eastAsia="Century Gothic" w:hAnsi="Verdana" w:cs="Century Gothic"/>
          <w:color w:val="000000"/>
          <w:kern w:val="2"/>
          <w:lang w:val="es-ES_tradnl"/>
          <w14:ligatures w14:val="standardContextual"/>
        </w:rPr>
        <w:t>.</w:t>
      </w:r>
    </w:p>
    <w:p w14:paraId="01760F05" w14:textId="77777777" w:rsidR="005440CD" w:rsidRPr="005440CD" w:rsidRDefault="005440CD" w:rsidP="005440CD">
      <w:pPr>
        <w:tabs>
          <w:tab w:val="left" w:pos="426"/>
        </w:tabs>
        <w:snapToGrid w:val="0"/>
        <w:spacing w:after="0" w:line="276" w:lineRule="auto"/>
        <w:ind w:firstLine="709"/>
        <w:jc w:val="both"/>
        <w:rPr>
          <w:rFonts w:ascii="Verdana" w:eastAsia="Century Gothic" w:hAnsi="Verdana" w:cs="Century Gothic"/>
          <w:color w:val="000000"/>
          <w:kern w:val="2"/>
          <w:lang w:val="es-ES_tradnl"/>
          <w14:ligatures w14:val="standardContextual"/>
        </w:rPr>
      </w:pPr>
      <w:r w:rsidRPr="005440CD">
        <w:rPr>
          <w:rFonts w:ascii="Verdana" w:eastAsia="Century Gothic" w:hAnsi="Verdana" w:cs="Century Gothic"/>
          <w:color w:val="000000"/>
          <w:kern w:val="2"/>
          <w:lang w:val="es-ES_tradnl"/>
          <w14:ligatures w14:val="standardContextual"/>
        </w:rPr>
        <w:t>En este mismo sentido, en el marco de la actualización de los documentos tipo de infraestructura social y los demás que se adopten y/o actualicen, se realizará el ajuste respectivo.</w:t>
      </w:r>
    </w:p>
    <w:p w14:paraId="292AD702" w14:textId="77777777" w:rsidR="005440CD" w:rsidRPr="005440CD" w:rsidRDefault="005440CD" w:rsidP="005440CD">
      <w:pPr>
        <w:spacing w:after="0" w:line="276" w:lineRule="auto"/>
        <w:contextualSpacing/>
        <w:jc w:val="both"/>
        <w:rPr>
          <w:rFonts w:ascii="Verdana" w:eastAsia="Calibri" w:hAnsi="Verdana" w:cs="Arial"/>
          <w:lang w:val="es-ES_tradnl"/>
        </w:rPr>
      </w:pPr>
    </w:p>
    <w:p w14:paraId="6B87374D" w14:textId="77777777" w:rsidR="005440CD" w:rsidRPr="005440CD" w:rsidRDefault="005440CD" w:rsidP="005440CD">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5440CD">
        <w:rPr>
          <w:rFonts w:ascii="Verdana" w:eastAsia="Century Gothic" w:hAnsi="Verdana" w:cs="Century Gothic"/>
          <w:b/>
          <w:bCs/>
          <w:lang w:val="es-ES_tradnl"/>
        </w:rPr>
        <w:lastRenderedPageBreak/>
        <w:t>Referencias normativas, jurisprudenciales y otras fuentes:</w:t>
      </w:r>
    </w:p>
    <w:p w14:paraId="3D616691" w14:textId="77777777" w:rsidR="005440CD" w:rsidRPr="005440CD" w:rsidRDefault="005440CD" w:rsidP="005440CD">
      <w:pPr>
        <w:widowControl w:val="0"/>
        <w:autoSpaceDE w:val="0"/>
        <w:autoSpaceDN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5440CD" w:rsidRPr="005440CD" w14:paraId="1EF1F182" w14:textId="77777777" w:rsidTr="00565520">
        <w:trPr>
          <w:trHeight w:val="870"/>
        </w:trPr>
        <w:tc>
          <w:tcPr>
            <w:tcW w:w="8647" w:type="dxa"/>
          </w:tcPr>
          <w:p w14:paraId="5CA8A5F6" w14:textId="77777777" w:rsidR="005440CD" w:rsidRPr="005440CD" w:rsidRDefault="005440CD" w:rsidP="005440CD">
            <w:pPr>
              <w:widowControl w:val="0"/>
              <w:numPr>
                <w:ilvl w:val="0"/>
                <w:numId w:val="17"/>
              </w:numPr>
              <w:autoSpaceDE w:val="0"/>
              <w:autoSpaceDN w:val="0"/>
              <w:spacing w:after="120" w:line="276" w:lineRule="auto"/>
              <w:jc w:val="both"/>
              <w:rPr>
                <w:rFonts w:ascii="Verdana" w:eastAsia="Calibri" w:hAnsi="Verdana" w:cs="Arial"/>
                <w:lang w:val="es-ES_tradnl"/>
              </w:rPr>
            </w:pPr>
            <w:r w:rsidRPr="005440CD">
              <w:rPr>
                <w:rFonts w:ascii="Verdana" w:eastAsia="Calibri" w:hAnsi="Verdana" w:cs="Arial"/>
                <w:lang w:val="es-ES_tradnl"/>
              </w:rPr>
              <w:t>Ley 2022 de 2020, artículo 1.</w:t>
            </w:r>
          </w:p>
          <w:p w14:paraId="4CF3ADAD" w14:textId="77777777" w:rsidR="005440CD" w:rsidRPr="005440CD" w:rsidRDefault="005440CD" w:rsidP="005440CD">
            <w:pPr>
              <w:widowControl w:val="0"/>
              <w:numPr>
                <w:ilvl w:val="0"/>
                <w:numId w:val="17"/>
              </w:numPr>
              <w:autoSpaceDE w:val="0"/>
              <w:autoSpaceDN w:val="0"/>
              <w:spacing w:after="120" w:line="276" w:lineRule="auto"/>
              <w:jc w:val="both"/>
              <w:rPr>
                <w:rFonts w:ascii="Verdana" w:eastAsia="Calibri" w:hAnsi="Verdana" w:cs="Arial"/>
                <w:lang w:val="es-ES_tradnl"/>
              </w:rPr>
            </w:pPr>
            <w:r w:rsidRPr="005440CD">
              <w:rPr>
                <w:rFonts w:ascii="Verdana" w:eastAsia="Calibri" w:hAnsi="Verdana" w:cs="Arial"/>
                <w:lang w:val="es-ES_tradnl"/>
              </w:rPr>
              <w:t>Decreto 1082 de 2015, artículo 2.2.1.1.1.5.2.</w:t>
            </w:r>
          </w:p>
          <w:p w14:paraId="3B5AA17C" w14:textId="77777777" w:rsidR="005440CD" w:rsidRPr="005440CD" w:rsidRDefault="005440CD" w:rsidP="005440CD">
            <w:pPr>
              <w:widowControl w:val="0"/>
              <w:numPr>
                <w:ilvl w:val="0"/>
                <w:numId w:val="17"/>
              </w:numPr>
              <w:autoSpaceDE w:val="0"/>
              <w:autoSpaceDN w:val="0"/>
              <w:spacing w:after="120" w:line="276" w:lineRule="auto"/>
              <w:jc w:val="both"/>
              <w:rPr>
                <w:rFonts w:ascii="Verdana" w:eastAsia="Calibri" w:hAnsi="Verdana" w:cs="Arial"/>
                <w:lang w:val="es-ES_tradnl"/>
              </w:rPr>
            </w:pPr>
            <w:r w:rsidRPr="005440CD">
              <w:rPr>
                <w:rFonts w:ascii="Verdana" w:eastAsia="Aptos" w:hAnsi="Verdana" w:cs="Arial"/>
                <w:spacing w:val="2"/>
                <w:lang w:val="es-ES_tradnl" w:eastAsia="es-CO"/>
              </w:rPr>
              <w:t xml:space="preserve">Documentos tipo de infraestructura social. Disponibles en: </w:t>
            </w:r>
            <w:hyperlink r:id="rId11" w:history="1">
              <w:r w:rsidRPr="005440CD">
                <w:rPr>
                  <w:rFonts w:ascii="Verdana" w:eastAsia="Aptos" w:hAnsi="Verdana" w:cs="Arial"/>
                  <w:color w:val="0000FF"/>
                  <w:spacing w:val="2"/>
                  <w:u w:val="single"/>
                  <w:lang w:val="es-ES_tradnl" w:eastAsia="es-CO"/>
                </w:rPr>
                <w:t>https://www.colombiacompra.gov.co/documentos-tipo/documentos-tipo</w:t>
              </w:r>
            </w:hyperlink>
            <w:r w:rsidRPr="005440CD">
              <w:rPr>
                <w:rFonts w:ascii="Verdana" w:eastAsia="Aptos" w:hAnsi="Verdana" w:cs="Arial"/>
                <w:spacing w:val="2"/>
                <w:lang w:val="es-ES_tradnl" w:eastAsia="es-CO"/>
              </w:rPr>
              <w:t xml:space="preserve">. </w:t>
            </w:r>
          </w:p>
        </w:tc>
      </w:tr>
    </w:tbl>
    <w:p w14:paraId="42CACB70" w14:textId="77777777" w:rsidR="005440CD" w:rsidRPr="005440CD" w:rsidRDefault="005440CD" w:rsidP="005440CD">
      <w:pPr>
        <w:widowControl w:val="0"/>
        <w:autoSpaceDE w:val="0"/>
        <w:autoSpaceDN w:val="0"/>
        <w:spacing w:after="0" w:line="276" w:lineRule="auto"/>
        <w:jc w:val="both"/>
        <w:rPr>
          <w:rFonts w:ascii="Verdana" w:eastAsia="Calibri" w:hAnsi="Verdana" w:cs="Arial"/>
          <w:lang w:val="es-ES_tradnl"/>
        </w:rPr>
      </w:pPr>
    </w:p>
    <w:p w14:paraId="78EB5EE7" w14:textId="77777777" w:rsidR="005440CD" w:rsidRPr="005440CD" w:rsidRDefault="005440CD" w:rsidP="005440CD">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_tradnl"/>
        </w:rPr>
      </w:pPr>
      <w:r w:rsidRPr="005440CD">
        <w:rPr>
          <w:rFonts w:ascii="Verdana" w:eastAsia="Century Gothic" w:hAnsi="Verdana" w:cs="Century Gothic"/>
          <w:b/>
          <w:bCs/>
          <w:lang w:val="es-ES_tradnl"/>
        </w:rPr>
        <w:t>Doctrina de la Agencia Nacional de Contratación Pública:</w:t>
      </w:r>
    </w:p>
    <w:p w14:paraId="78A4AE3D" w14:textId="77777777" w:rsidR="005440CD" w:rsidRPr="005440CD" w:rsidRDefault="005440CD" w:rsidP="005440CD">
      <w:pPr>
        <w:widowControl w:val="0"/>
        <w:autoSpaceDE w:val="0"/>
        <w:autoSpaceDN w:val="0"/>
        <w:spacing w:after="0" w:line="276" w:lineRule="auto"/>
        <w:jc w:val="both"/>
        <w:rPr>
          <w:rFonts w:ascii="Verdana" w:eastAsia="Calibri" w:hAnsi="Verdana" w:cs="Arial"/>
          <w:lang w:val="es-ES_tradnl"/>
        </w:rPr>
      </w:pPr>
    </w:p>
    <w:p w14:paraId="60BD50C5" w14:textId="77777777" w:rsidR="005440CD" w:rsidRPr="005440CD" w:rsidRDefault="005440CD" w:rsidP="005440CD">
      <w:pPr>
        <w:widowControl w:val="0"/>
        <w:autoSpaceDE w:val="0"/>
        <w:autoSpaceDN w:val="0"/>
        <w:spacing w:after="0" w:line="276" w:lineRule="auto"/>
        <w:jc w:val="both"/>
        <w:rPr>
          <w:rFonts w:ascii="Verdana" w:eastAsia="Calibri" w:hAnsi="Verdana" w:cs="Arial"/>
          <w:shd w:val="clear" w:color="auto" w:fill="FFFFFF"/>
          <w:lang w:val="es-ES_tradnl"/>
        </w:rPr>
      </w:pPr>
      <w:r w:rsidRPr="005440CD">
        <w:rPr>
          <w:rFonts w:ascii="Verdana" w:eastAsia="Calibri" w:hAnsi="Verdana" w:cs="Arial"/>
          <w:shd w:val="clear" w:color="auto" w:fill="FFFFFF"/>
          <w:lang w:val="es-ES_tradnl"/>
        </w:rPr>
        <w:t>La Agencia Nacional de Contratación Pública – Colombia Compra Eficiente ha impartido lineamientos sobre la acreditación de los indicadores de capacidad financiera y organizacional de los oferentes mediante el RUP en los conceptos No. 4201912000006798 del 24 de octubre de 2019, C-002 del 12 de febrero de 2020, C-089 del 4 de marzo de 2020, C-099 del 06 de abril de 2020, C-166 del 14 de abril de 2020, C-233 del 16 de abril de 2020, C-326 del 9 de junio de 2020, C-140 del 9 de abril de 202, entre otros. Respecto a la reglamentación establecida en los Decretos 399 y 579 de 2021 y 1041 de 2022, se pronunció en los conceptos C-288 de 17 de junio de 2021, C-353 del 19 de julio de 2021, C-366 del 26 de julio de 2021 y C-372 del 28 de julio de 2021, C-406 del 8 de agosto de 2021, C-407 del 25 de agosto de 2021, C-439 de 5 de julio de 2022, C-831 del 28 de noviembre del 2022, C-005 de 21 de febrero de 2023, C-050 de 22 de marzo de 2023, C-185 de 8 de junio de 2023, C-277 de 14 de julio de 2023, C-350 del 28 de agosto de 2023 y C-355 del 30 de agosto de 2023.</w:t>
      </w:r>
    </w:p>
    <w:p w14:paraId="59D08416" w14:textId="77777777" w:rsidR="005440CD" w:rsidRPr="005440CD" w:rsidRDefault="005440CD" w:rsidP="005440CD">
      <w:pPr>
        <w:widowControl w:val="0"/>
        <w:autoSpaceDE w:val="0"/>
        <w:autoSpaceDN w:val="0"/>
        <w:spacing w:after="0" w:line="276" w:lineRule="auto"/>
        <w:jc w:val="both"/>
        <w:rPr>
          <w:rFonts w:ascii="Verdana" w:eastAsia="Calibri" w:hAnsi="Verdana" w:cs="Arial"/>
          <w:shd w:val="clear" w:color="auto" w:fill="FFFFFF"/>
          <w:lang w:val="es-ES_tradnl"/>
        </w:rPr>
      </w:pPr>
    </w:p>
    <w:p w14:paraId="2F6816C3" w14:textId="77777777" w:rsidR="005440CD" w:rsidRPr="005440CD" w:rsidRDefault="005440CD" w:rsidP="005440CD">
      <w:pPr>
        <w:widowControl w:val="0"/>
        <w:autoSpaceDE w:val="0"/>
        <w:autoSpaceDN w:val="0"/>
        <w:spacing w:after="0" w:line="276" w:lineRule="auto"/>
        <w:jc w:val="both"/>
        <w:rPr>
          <w:rFonts w:ascii="Verdana" w:eastAsia="Calibri" w:hAnsi="Verdana" w:cs="Arial"/>
          <w:shd w:val="clear" w:color="auto" w:fill="FFFFFF"/>
          <w:lang w:val="es-ES_tradnl"/>
        </w:rPr>
      </w:pPr>
      <w:r w:rsidRPr="005440CD">
        <w:rPr>
          <w:rFonts w:ascii="Verdana" w:eastAsia="Calibri" w:hAnsi="Verdana" w:cs="Arial"/>
          <w:shd w:val="clear" w:color="auto" w:fill="FFFFFF"/>
          <w:lang w:val="es-ES_tradnl"/>
        </w:rPr>
        <w:t xml:space="preserve">Asimismo, se ha pronunciado sobre las problemáticas asociadas al RUP en los conceptos 4201713000001182 del 24 de marzo de 2017, 4201814000002165 del 23 de abril de 2017, 4201713000001647 del 27 de abril de 2017, 4201711000001879 del 11 de mayo de 2017, 4201714000002097 del 24 de mayo de 2017, 4201814000002927 del 11 de abril de 2018, 4201814000002917 del 11 de mayo de 2018, 4201813000003018 del 11 de mayo de 2018, 4201814000004174 del 18 de mayo de 2018, 4201814000004014 del 20 de junio de 2018, 4201813000004073 del 21 de junio de 2018, 4201912000003350 del 4 de julio de 2019, 4201912000007418 del 11 de diciembre de 2019, y C-005  del 14 de febrero de 2020, C-454 del 06 de julio de 2020 2020, C-466 del 24 de julio de 2020, C-420 del 28 de julio de </w:t>
      </w:r>
      <w:r w:rsidRPr="005440CD">
        <w:rPr>
          <w:rFonts w:ascii="Verdana" w:eastAsia="Calibri" w:hAnsi="Verdana" w:cs="Arial"/>
          <w:shd w:val="clear" w:color="auto" w:fill="FFFFFF"/>
          <w:lang w:val="es-ES_tradnl"/>
        </w:rPr>
        <w:lastRenderedPageBreak/>
        <w:t>2020, C-480 del 25 de agosto de 2021, C-534 del 12 de agosto de 2020, C-553 del 24 de agosto de 2021, C-576 del 31 de agosto de 2021, C-786 de 2020 del 19 de enero de 2021, C-800 del 1 de febrero de 2021, C-703 del 11 de enero de 2022, C-328 del 22 de julio de 2022, entre otros.</w:t>
      </w:r>
    </w:p>
    <w:p w14:paraId="473DF75A" w14:textId="77777777" w:rsidR="005440CD" w:rsidRPr="005440CD" w:rsidRDefault="005440CD" w:rsidP="005440CD">
      <w:pPr>
        <w:widowControl w:val="0"/>
        <w:autoSpaceDE w:val="0"/>
        <w:autoSpaceDN w:val="0"/>
        <w:spacing w:after="0" w:line="276" w:lineRule="auto"/>
        <w:jc w:val="both"/>
        <w:rPr>
          <w:rFonts w:ascii="Verdana" w:eastAsia="Calibri" w:hAnsi="Verdana" w:cs="Arial"/>
          <w:shd w:val="clear" w:color="auto" w:fill="FFFFFF"/>
          <w:lang w:val="es-ES_tradnl"/>
        </w:rPr>
      </w:pPr>
    </w:p>
    <w:p w14:paraId="2F472099" w14:textId="77777777" w:rsidR="005440CD" w:rsidRPr="005440CD" w:rsidRDefault="005440CD" w:rsidP="005440CD">
      <w:pPr>
        <w:widowControl w:val="0"/>
        <w:autoSpaceDE w:val="0"/>
        <w:autoSpaceDN w:val="0"/>
        <w:spacing w:after="0" w:line="276" w:lineRule="auto"/>
        <w:jc w:val="both"/>
        <w:rPr>
          <w:rFonts w:ascii="Verdana" w:eastAsia="Calibri" w:hAnsi="Verdana" w:cs="Arial"/>
          <w:shd w:val="clear" w:color="auto" w:fill="FFFFFF"/>
          <w:lang w:val="es-ES_tradnl"/>
        </w:rPr>
      </w:pPr>
      <w:r w:rsidRPr="005440CD">
        <w:rPr>
          <w:rFonts w:ascii="Verdana" w:eastAsia="Calibri" w:hAnsi="Verdana" w:cs="Arial"/>
          <w:kern w:val="2"/>
          <w:shd w:val="clear" w:color="auto" w:fill="FFFFFF"/>
          <w:lang w:val="es-ES_tradnl"/>
          <w14:ligatures w14:val="standardContextual"/>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14:paraId="56BA4C72" w14:textId="77777777" w:rsidR="005440CD" w:rsidRPr="005440CD" w:rsidRDefault="005440CD" w:rsidP="005440CD">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44139A77" w14:textId="77777777" w:rsidR="005440CD" w:rsidRPr="005440CD" w:rsidRDefault="005440CD" w:rsidP="005440CD">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5440CD">
        <w:rPr>
          <w:rFonts w:ascii="Verdana" w:eastAsia="Calibri" w:hAnsi="Verdana" w:cs="Arial"/>
          <w:kern w:val="2"/>
          <w:shd w:val="clear" w:color="auto" w:fill="FFFFFF"/>
          <w:lang w:val="es-ES_tradnl"/>
          <w14:ligatures w14:val="standardContextual"/>
        </w:rPr>
        <w:t>La</w:t>
      </w:r>
      <w:r w:rsidRPr="005440CD">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5440CD">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5440CD">
        <w:rPr>
          <w:rFonts w:ascii="Verdana" w:eastAsia="Calibri" w:hAnsi="Verdana" w:cs="Arial"/>
          <w:b/>
          <w:bCs/>
          <w:kern w:val="2"/>
          <w:shd w:val="clear" w:color="auto" w:fill="FFFFFF"/>
          <w:lang w:val="es-ES_tradnl"/>
          <w14:ligatures w14:val="standardContextual"/>
        </w:rPr>
        <w:t>Documentos Tipo</w:t>
      </w:r>
      <w:r w:rsidRPr="005440CD">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5440CD">
        <w:rPr>
          <w:rFonts w:ascii="Verdana" w:eastAsia="Calibri" w:hAnsi="Verdana" w:cs="Arial"/>
          <w:b/>
          <w:bCs/>
          <w:kern w:val="2"/>
          <w:shd w:val="clear" w:color="auto" w:fill="FFFFFF"/>
          <w:lang w:val="es-ES_tradnl"/>
          <w14:ligatures w14:val="standardContextual"/>
        </w:rPr>
        <w:t>transparencia</w:t>
      </w:r>
      <w:r w:rsidRPr="005440CD">
        <w:rPr>
          <w:rFonts w:ascii="Verdana" w:eastAsia="Calibri" w:hAnsi="Verdana" w:cs="Arial"/>
          <w:kern w:val="2"/>
          <w:shd w:val="clear" w:color="auto" w:fill="FFFFFF"/>
          <w:lang w:val="es-ES_tradnl"/>
          <w14:ligatures w14:val="standardContextual"/>
        </w:rPr>
        <w:t> y promover un proceso de </w:t>
      </w:r>
      <w:r w:rsidRPr="005440CD">
        <w:rPr>
          <w:rFonts w:ascii="Verdana" w:eastAsia="Calibri" w:hAnsi="Verdana" w:cs="Arial"/>
          <w:b/>
          <w:bCs/>
          <w:kern w:val="2"/>
          <w:shd w:val="clear" w:color="auto" w:fill="FFFFFF"/>
          <w:lang w:val="es-ES_tradnl"/>
          <w14:ligatures w14:val="standardContextual"/>
        </w:rPr>
        <w:t>selección objetiva</w:t>
      </w:r>
      <w:r w:rsidRPr="005440CD">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3F199408" w14:textId="77777777" w:rsidR="005440CD" w:rsidRPr="005440CD" w:rsidRDefault="005440CD" w:rsidP="005440CD">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5350D7B6" w14:textId="77777777" w:rsidR="005440CD" w:rsidRPr="005440CD" w:rsidRDefault="005440CD" w:rsidP="005440CD">
      <w:pPr>
        <w:widowControl w:val="0"/>
        <w:autoSpaceDE w:val="0"/>
        <w:autoSpaceDN w:val="0"/>
        <w:spacing w:after="0" w:line="276" w:lineRule="auto"/>
        <w:jc w:val="both"/>
        <w:rPr>
          <w:rFonts w:ascii="Verdana" w:eastAsia="Calibri" w:hAnsi="Verdana" w:cs="Arial"/>
          <w:shd w:val="clear" w:color="auto" w:fill="FFFFFF"/>
          <w:lang w:val="es-ES_tradnl"/>
        </w:rPr>
      </w:pPr>
      <w:r w:rsidRPr="005440CD">
        <w:rPr>
          <w:rFonts w:ascii="Verdana" w:eastAsia="Calibri" w:hAnsi="Verdana" w:cs="Arial"/>
          <w:shd w:val="clear" w:color="auto" w:fill="FFFFFF"/>
          <w:lang w:val="es-ES_tradnl"/>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2" w:tgtFrame="_blank" w:tooltip="Original URL: https://www.colombiacompra.gov.co/sites/cce_public/files/cce_documents/manual_para_el_manejo_de_acuerdos_comerciales_vf.pdf. Click or tap if you trust this link." w:history="1">
        <w:r w:rsidRPr="005440CD">
          <w:rPr>
            <w:rFonts w:ascii="Verdana" w:eastAsia="Calibri" w:hAnsi="Verdana" w:cs="Arial"/>
            <w:color w:val="0000FF"/>
            <w:u w:val="single"/>
            <w:shd w:val="clear" w:color="auto" w:fill="FFFFFF"/>
            <w:lang w:val="es-ES_tradnl"/>
          </w:rPr>
          <w:t>manual_para_el_manejo_de_acuerdos_comerciales_vf.pdf</w:t>
        </w:r>
      </w:hyperlink>
      <w:r w:rsidRPr="005440CD">
        <w:rPr>
          <w:rFonts w:ascii="Verdana" w:eastAsia="Calibri" w:hAnsi="Verdana" w:cs="Arial"/>
          <w:shd w:val="clear" w:color="auto" w:fill="FFFFFF"/>
          <w:lang w:val="es-ES_tradnl"/>
        </w:rPr>
        <w:t>.</w:t>
      </w:r>
    </w:p>
    <w:p w14:paraId="5F705508" w14:textId="77777777" w:rsidR="005440CD" w:rsidRPr="005440CD" w:rsidRDefault="005440CD" w:rsidP="005440CD">
      <w:pPr>
        <w:widowControl w:val="0"/>
        <w:autoSpaceDE w:val="0"/>
        <w:autoSpaceDN w:val="0"/>
        <w:spacing w:after="0" w:line="276" w:lineRule="auto"/>
        <w:jc w:val="both"/>
        <w:rPr>
          <w:rFonts w:ascii="Verdana" w:eastAsia="Calibri" w:hAnsi="Verdana" w:cs="Arial"/>
          <w:shd w:val="clear" w:color="auto" w:fill="FFFFFF"/>
          <w:lang w:val="es-ES_tradnl"/>
        </w:rPr>
      </w:pPr>
      <w:r w:rsidRPr="005440CD">
        <w:rPr>
          <w:rFonts w:ascii="Verdana" w:eastAsia="Calibri" w:hAnsi="Verdana" w:cs="Arial"/>
          <w:shd w:val="clear" w:color="auto" w:fill="FFFFFF"/>
          <w:lang w:val="es-ES_tradnl"/>
        </w:rPr>
        <w:t> </w:t>
      </w:r>
    </w:p>
    <w:p w14:paraId="737AEDAB" w14:textId="77777777" w:rsidR="005440CD" w:rsidRPr="005440CD" w:rsidRDefault="005440CD" w:rsidP="005440CD">
      <w:pPr>
        <w:widowControl w:val="0"/>
        <w:autoSpaceDE w:val="0"/>
        <w:autoSpaceDN w:val="0"/>
        <w:spacing w:after="0" w:line="276" w:lineRule="auto"/>
        <w:jc w:val="both"/>
        <w:rPr>
          <w:rFonts w:ascii="Verdana" w:eastAsia="Calibri" w:hAnsi="Verdana" w:cs="Arial"/>
          <w:shd w:val="clear" w:color="auto" w:fill="FFFFFF"/>
          <w:lang w:val="es-ES"/>
        </w:rPr>
      </w:pPr>
      <w:r w:rsidRPr="005440CD">
        <w:rPr>
          <w:rFonts w:ascii="Verdana" w:eastAsia="Calibri" w:hAnsi="Verdana" w:cs="Arial"/>
          <w:shd w:val="clear" w:color="auto" w:fill="FFFFFF"/>
          <w:lang w:val="es-ES"/>
        </w:rPr>
        <w:t>También, lo invitamos a consultar la versión VII  de 2024 del Boletín de Relatoría de la Subdirección de Gestión Contractual, relacionado con las ASOCIACIONES PÚBLICO POPULARES, el cual se puede descargar en la página web de la Agencia: </w:t>
      </w:r>
      <w:hyperlink r:id="rId13" w:tgtFrame="_blank" w:tooltip="Original URL: https://www.colombiacompra.gov.co/sala-de-prensa/boletin-digital. Click or tap if you trust this link." w:history="1">
        <w:r w:rsidRPr="005440CD">
          <w:rPr>
            <w:rFonts w:ascii="Verdana" w:eastAsia="Calibri" w:hAnsi="Verdana" w:cs="Arial"/>
            <w:color w:val="0000FF"/>
            <w:u w:val="single"/>
            <w:shd w:val="clear" w:color="auto" w:fill="FFFFFF"/>
            <w:lang w:val="es-ES"/>
          </w:rPr>
          <w:t>https://www.colombiacompra.gov.co/sala-de-prensa/boletin-digital</w:t>
        </w:r>
      </w:hyperlink>
      <w:r w:rsidRPr="005440CD">
        <w:rPr>
          <w:rFonts w:ascii="Verdana" w:eastAsia="Calibri" w:hAnsi="Verdana" w:cs="Arial"/>
          <w:shd w:val="clear" w:color="auto" w:fill="FFFFFF"/>
          <w:lang w:val="es-ES"/>
        </w:rPr>
        <w:t>.</w:t>
      </w:r>
    </w:p>
    <w:p w14:paraId="4DFCAA30" w14:textId="77777777" w:rsidR="005440CD" w:rsidRPr="005440CD" w:rsidRDefault="005440CD" w:rsidP="005440CD">
      <w:pPr>
        <w:widowControl w:val="0"/>
        <w:autoSpaceDE w:val="0"/>
        <w:autoSpaceDN w:val="0"/>
        <w:spacing w:after="0" w:line="276" w:lineRule="auto"/>
        <w:jc w:val="both"/>
        <w:rPr>
          <w:rFonts w:ascii="Verdana" w:eastAsia="Calibri" w:hAnsi="Verdana" w:cs="Arial"/>
          <w:shd w:val="clear" w:color="auto" w:fill="FFFFFF"/>
          <w:lang w:val="es-ES_tradnl"/>
        </w:rPr>
      </w:pPr>
    </w:p>
    <w:p w14:paraId="7119D105" w14:textId="77777777" w:rsidR="005440CD" w:rsidRPr="005440CD" w:rsidRDefault="005440CD" w:rsidP="005440CD">
      <w:pPr>
        <w:spacing w:after="0" w:line="276" w:lineRule="auto"/>
        <w:jc w:val="both"/>
        <w:rPr>
          <w:rFonts w:ascii="Verdana" w:eastAsia="Calibri" w:hAnsi="Verdana" w:cs="Times New Roman"/>
          <w:lang w:val="es-ES_tradnl"/>
        </w:rPr>
      </w:pPr>
      <w:r w:rsidRPr="005440CD">
        <w:rPr>
          <w:rFonts w:ascii="Verdana" w:eastAsia="Calibri" w:hAnsi="Verdana" w:cs="Times New Roman"/>
          <w:lang w:val="es-ES_tradnl"/>
        </w:rPr>
        <w:t xml:space="preserve">Por último, los invitamos a seguirnos en las redes sociales, en las cuales se difunde información institucional: </w:t>
      </w:r>
    </w:p>
    <w:p w14:paraId="0674A801" w14:textId="77777777" w:rsidR="005440CD" w:rsidRPr="005440CD" w:rsidRDefault="005440CD" w:rsidP="005440CD">
      <w:pPr>
        <w:spacing w:after="0" w:line="240" w:lineRule="auto"/>
        <w:jc w:val="both"/>
        <w:rPr>
          <w:rFonts w:ascii="Verdana" w:eastAsia="Calibri" w:hAnsi="Verdana" w:cs="Times New Roman"/>
          <w:lang w:val="es-ES_tradnl"/>
        </w:rPr>
      </w:pPr>
    </w:p>
    <w:p w14:paraId="445DD327" w14:textId="77777777" w:rsidR="005440CD" w:rsidRPr="005440CD" w:rsidRDefault="005440CD" w:rsidP="005440CD">
      <w:pPr>
        <w:spacing w:after="0" w:line="240" w:lineRule="auto"/>
        <w:jc w:val="both"/>
        <w:rPr>
          <w:rFonts w:ascii="Verdana" w:eastAsia="Calibri" w:hAnsi="Verdana" w:cs="Times New Roman"/>
          <w:lang w:val="es-ES_tradnl"/>
        </w:rPr>
      </w:pPr>
      <w:r w:rsidRPr="005440CD">
        <w:rPr>
          <w:rFonts w:ascii="Verdana" w:eastAsia="Calibri" w:hAnsi="Verdana" w:cs="Times New Roman"/>
          <w:lang w:val="es-ES_tradnl"/>
        </w:rPr>
        <w:t xml:space="preserve">Twitter: </w:t>
      </w:r>
      <w:r w:rsidRPr="005440CD">
        <w:rPr>
          <w:rFonts w:ascii="Verdana" w:eastAsia="Calibri" w:hAnsi="Verdana" w:cs="Times New Roman"/>
          <w:u w:val="single"/>
          <w:lang w:val="es-ES_tradnl"/>
        </w:rPr>
        <w:t>@colombiacompra</w:t>
      </w:r>
      <w:r w:rsidRPr="005440CD">
        <w:rPr>
          <w:rFonts w:ascii="Verdana" w:eastAsia="Calibri" w:hAnsi="Verdana" w:cs="Times New Roman"/>
          <w:lang w:val="es-ES_tradnl"/>
        </w:rPr>
        <w:t xml:space="preserve"> </w:t>
      </w:r>
    </w:p>
    <w:p w14:paraId="5E7A6020" w14:textId="77777777" w:rsidR="005440CD" w:rsidRPr="005440CD" w:rsidRDefault="005440CD" w:rsidP="005440CD">
      <w:pPr>
        <w:spacing w:after="0" w:line="240" w:lineRule="auto"/>
        <w:jc w:val="both"/>
        <w:rPr>
          <w:rFonts w:ascii="Verdana" w:eastAsia="Calibri" w:hAnsi="Verdana" w:cs="Times New Roman"/>
          <w:lang w:val="es-ES"/>
        </w:rPr>
      </w:pPr>
      <w:r w:rsidRPr="005440CD">
        <w:rPr>
          <w:rFonts w:ascii="Verdana" w:eastAsia="Calibri" w:hAnsi="Verdana" w:cs="Times New Roman"/>
          <w:lang w:val="es-ES"/>
        </w:rPr>
        <w:t xml:space="preserve">Facebook: </w:t>
      </w:r>
      <w:proofErr w:type="spellStart"/>
      <w:r w:rsidRPr="005440CD">
        <w:rPr>
          <w:rFonts w:ascii="Verdana" w:eastAsia="Calibri" w:hAnsi="Verdana" w:cs="Times New Roman"/>
          <w:u w:val="single"/>
          <w:lang w:val="es-ES"/>
        </w:rPr>
        <w:t>ColombiaCompraEficiente</w:t>
      </w:r>
      <w:proofErr w:type="spellEnd"/>
    </w:p>
    <w:p w14:paraId="17C6871D" w14:textId="77777777" w:rsidR="005440CD" w:rsidRPr="005440CD" w:rsidRDefault="005440CD" w:rsidP="005440CD">
      <w:pPr>
        <w:spacing w:after="0" w:line="240" w:lineRule="auto"/>
        <w:jc w:val="both"/>
        <w:rPr>
          <w:rFonts w:ascii="Verdana" w:eastAsia="Calibri" w:hAnsi="Verdana" w:cs="Times New Roman"/>
          <w:lang w:val="es-ES_tradnl"/>
        </w:rPr>
      </w:pPr>
      <w:r w:rsidRPr="005440CD">
        <w:rPr>
          <w:rFonts w:ascii="Verdana" w:eastAsia="Calibri" w:hAnsi="Verdana" w:cs="Times New Roman"/>
          <w:lang w:val="es-ES_tradnl"/>
        </w:rPr>
        <w:lastRenderedPageBreak/>
        <w:t xml:space="preserve">LinkedIn: </w:t>
      </w:r>
      <w:r w:rsidRPr="005440CD">
        <w:rPr>
          <w:rFonts w:ascii="Verdana" w:eastAsia="Calibri" w:hAnsi="Verdana" w:cs="Times New Roman"/>
          <w:u w:val="single"/>
          <w:lang w:val="es-ES_tradnl"/>
        </w:rPr>
        <w:t>Agencia Nacional de Contratación Pública - Colombia Compra Eficiente</w:t>
      </w:r>
      <w:r w:rsidRPr="005440CD">
        <w:rPr>
          <w:rFonts w:ascii="Verdana" w:eastAsia="Calibri" w:hAnsi="Verdana" w:cs="Times New Roman"/>
          <w:lang w:val="es-ES_tradnl"/>
        </w:rPr>
        <w:t xml:space="preserve"> Instagram: </w:t>
      </w:r>
      <w:r w:rsidRPr="005440CD">
        <w:rPr>
          <w:rFonts w:ascii="Verdana" w:eastAsia="Calibri" w:hAnsi="Verdana" w:cs="Times New Roman"/>
          <w:u w:val="single"/>
          <w:lang w:val="es-ES_tradnl"/>
        </w:rPr>
        <w:t>@colombiacompraeficiente_cce</w:t>
      </w:r>
    </w:p>
    <w:p w14:paraId="363A350F" w14:textId="77777777" w:rsidR="005440CD" w:rsidRPr="005440CD" w:rsidRDefault="005440CD" w:rsidP="005440CD">
      <w:pPr>
        <w:widowControl w:val="0"/>
        <w:autoSpaceDE w:val="0"/>
        <w:autoSpaceDN w:val="0"/>
        <w:spacing w:after="0" w:line="276" w:lineRule="auto"/>
        <w:jc w:val="both"/>
        <w:rPr>
          <w:rFonts w:ascii="Verdana" w:eastAsia="Calibri" w:hAnsi="Verdana" w:cs="Arial"/>
          <w:lang w:val="es-ES_tradnl"/>
        </w:rPr>
      </w:pPr>
    </w:p>
    <w:p w14:paraId="72124BE6" w14:textId="77777777" w:rsidR="005440CD" w:rsidRPr="005440CD" w:rsidRDefault="005440CD" w:rsidP="005440CD">
      <w:pPr>
        <w:widowControl w:val="0"/>
        <w:autoSpaceDE w:val="0"/>
        <w:autoSpaceDN w:val="0"/>
        <w:spacing w:after="0" w:line="276" w:lineRule="auto"/>
        <w:jc w:val="both"/>
        <w:rPr>
          <w:rFonts w:ascii="Verdana" w:eastAsia="Calibri" w:hAnsi="Verdana" w:cs="Arial"/>
          <w:lang w:val="es-ES_tradnl"/>
        </w:rPr>
      </w:pPr>
      <w:r w:rsidRPr="005440CD">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2F6B363" w14:textId="77777777" w:rsidR="005440CD" w:rsidRPr="005440CD" w:rsidRDefault="005440CD" w:rsidP="005440CD">
      <w:pPr>
        <w:widowControl w:val="0"/>
        <w:autoSpaceDE w:val="0"/>
        <w:autoSpaceDN w:val="0"/>
        <w:spacing w:after="0" w:line="276" w:lineRule="auto"/>
        <w:jc w:val="both"/>
        <w:rPr>
          <w:rFonts w:ascii="Verdana" w:eastAsia="Calibri" w:hAnsi="Verdana" w:cs="Arial"/>
          <w:lang w:val="es-ES_tradnl"/>
        </w:rPr>
      </w:pPr>
    </w:p>
    <w:p w14:paraId="0D4CA81F" w14:textId="77777777" w:rsidR="005440CD" w:rsidRPr="005440CD" w:rsidRDefault="005440CD" w:rsidP="005440CD">
      <w:pPr>
        <w:spacing w:after="0" w:line="240" w:lineRule="auto"/>
        <w:rPr>
          <w:rFonts w:ascii="Verdana" w:eastAsia="Calibri" w:hAnsi="Verdana" w:cs="Arial"/>
          <w:lang w:val="es-ES_tradnl" w:eastAsia="es-CO"/>
        </w:rPr>
      </w:pPr>
      <w:r w:rsidRPr="005440CD">
        <w:rPr>
          <w:rFonts w:ascii="Verdana" w:eastAsia="Times New Roman" w:hAnsi="Verdana" w:cs="Arial"/>
          <w:lang w:val="es-ES_tradnl" w:eastAsia="es-CO"/>
        </w:rPr>
        <w:t>Atentamente,</w:t>
      </w:r>
      <w:r w:rsidRPr="005440CD">
        <w:rPr>
          <w:rFonts w:ascii="Verdana" w:eastAsia="Calibri" w:hAnsi="Verdana" w:cs="Arial"/>
          <w:lang w:val="es-ES_tradnl" w:eastAsia="es-CO"/>
        </w:rPr>
        <w:t xml:space="preserve"> </w:t>
      </w:r>
    </w:p>
    <w:p w14:paraId="50DA67DB" w14:textId="0561FFC3" w:rsidR="005440CD" w:rsidRPr="005440CD" w:rsidRDefault="00A2751F" w:rsidP="005440CD">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1B9DA1E6" wp14:editId="0958C807">
            <wp:extent cx="3551709" cy="1318437"/>
            <wp:effectExtent l="0" t="0" r="4445" b="254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560419" cy="13216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440CD" w:rsidRPr="005440CD" w14:paraId="0AA45961" w14:textId="77777777" w:rsidTr="00565520">
        <w:trPr>
          <w:trHeight w:val="315"/>
        </w:trPr>
        <w:tc>
          <w:tcPr>
            <w:tcW w:w="893" w:type="dxa"/>
            <w:vAlign w:val="center"/>
            <w:hideMark/>
          </w:tcPr>
          <w:p w14:paraId="65CF180B" w14:textId="77777777" w:rsidR="005440CD" w:rsidRPr="005440CD" w:rsidRDefault="005440CD" w:rsidP="005440CD">
            <w:pPr>
              <w:rPr>
                <w:rFonts w:ascii="Verdana" w:eastAsia="Calibri" w:hAnsi="Verdana" w:cs="Arial"/>
                <w:sz w:val="16"/>
                <w:szCs w:val="16"/>
                <w:lang w:val="es-ES_tradnl" w:eastAsia="es-ES"/>
              </w:rPr>
            </w:pPr>
            <w:r w:rsidRPr="005440CD">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54DA55E1" w14:textId="77777777" w:rsidR="005440CD" w:rsidRPr="005440CD" w:rsidRDefault="005440CD" w:rsidP="005440CD">
            <w:pPr>
              <w:rPr>
                <w:rFonts w:ascii="Verdana" w:eastAsia="Arial" w:hAnsi="Verdana" w:cs="Arial"/>
                <w:sz w:val="16"/>
                <w:szCs w:val="16"/>
                <w:lang w:val="es-ES_tradnl"/>
              </w:rPr>
            </w:pPr>
            <w:r w:rsidRPr="005440CD">
              <w:rPr>
                <w:rFonts w:ascii="Verdana" w:eastAsia="Arial" w:hAnsi="Verdana" w:cs="Arial"/>
                <w:sz w:val="16"/>
                <w:szCs w:val="16"/>
                <w:lang w:val="es-ES_tradnl"/>
              </w:rPr>
              <w:t xml:space="preserve">Kevin </w:t>
            </w:r>
            <w:proofErr w:type="spellStart"/>
            <w:r w:rsidRPr="005440CD">
              <w:rPr>
                <w:rFonts w:ascii="Verdana" w:eastAsia="Arial" w:hAnsi="Verdana" w:cs="Arial"/>
                <w:sz w:val="16"/>
                <w:szCs w:val="16"/>
                <w:lang w:val="es-ES_tradnl"/>
              </w:rPr>
              <w:t>Arlid</w:t>
            </w:r>
            <w:proofErr w:type="spellEnd"/>
            <w:r w:rsidRPr="005440CD">
              <w:rPr>
                <w:rFonts w:ascii="Verdana" w:eastAsia="Arial" w:hAnsi="Verdana" w:cs="Arial"/>
                <w:sz w:val="16"/>
                <w:szCs w:val="16"/>
                <w:lang w:val="es-ES_tradnl"/>
              </w:rPr>
              <w:t xml:space="preserve"> Herrera Santa</w:t>
            </w:r>
          </w:p>
          <w:p w14:paraId="571D8A8E" w14:textId="77777777" w:rsidR="005440CD" w:rsidRPr="005440CD" w:rsidRDefault="005440CD" w:rsidP="005440CD">
            <w:pPr>
              <w:rPr>
                <w:rFonts w:ascii="Verdana" w:eastAsia="Arial" w:hAnsi="Verdana" w:cs="Arial"/>
                <w:sz w:val="16"/>
                <w:szCs w:val="16"/>
                <w:lang w:val="es-ES_tradnl"/>
              </w:rPr>
            </w:pPr>
            <w:r w:rsidRPr="005440CD">
              <w:rPr>
                <w:rFonts w:ascii="Verdana" w:eastAsia="Arial" w:hAnsi="Verdana" w:cs="Arial"/>
                <w:sz w:val="16"/>
                <w:szCs w:val="16"/>
                <w:lang w:val="es-ES_tradnl"/>
              </w:rPr>
              <w:t>Contratista de la Subdirección de Gestión Contractual</w:t>
            </w:r>
          </w:p>
          <w:p w14:paraId="2359400E" w14:textId="77777777" w:rsidR="005440CD" w:rsidRPr="005440CD" w:rsidRDefault="005440CD" w:rsidP="005440CD">
            <w:pPr>
              <w:rPr>
                <w:rFonts w:ascii="Verdana" w:eastAsia="Arial" w:hAnsi="Verdana" w:cs="Arial"/>
                <w:sz w:val="16"/>
                <w:szCs w:val="16"/>
                <w:lang w:val="es-ES_tradnl"/>
              </w:rPr>
            </w:pPr>
            <w:r w:rsidRPr="005440CD">
              <w:rPr>
                <w:rFonts w:ascii="Verdana" w:eastAsia="Arial" w:hAnsi="Verdana" w:cs="Arial"/>
                <w:sz w:val="16"/>
                <w:szCs w:val="16"/>
                <w:lang w:val="es-ES_tradnl"/>
              </w:rPr>
              <w:t>Alejandro Gamboa Cárdenas</w:t>
            </w:r>
          </w:p>
          <w:p w14:paraId="31FB2417" w14:textId="77777777" w:rsidR="005440CD" w:rsidRPr="005440CD" w:rsidRDefault="005440CD" w:rsidP="005440CD">
            <w:pPr>
              <w:rPr>
                <w:rFonts w:ascii="Verdana" w:eastAsia="Arial" w:hAnsi="Verdana" w:cs="Arial"/>
                <w:sz w:val="16"/>
                <w:szCs w:val="16"/>
                <w:lang w:val="es-ES_tradnl"/>
              </w:rPr>
            </w:pPr>
            <w:r w:rsidRPr="005440CD">
              <w:rPr>
                <w:rFonts w:ascii="Verdana" w:eastAsia="Arial" w:hAnsi="Verdana" w:cs="Arial"/>
                <w:sz w:val="16"/>
                <w:szCs w:val="16"/>
                <w:lang w:val="es-ES_tradnl"/>
              </w:rPr>
              <w:t>Contratista de la Subdirección de Gestión Contractual</w:t>
            </w:r>
          </w:p>
        </w:tc>
      </w:tr>
      <w:tr w:rsidR="005440CD" w:rsidRPr="005440CD" w14:paraId="674E66F0" w14:textId="77777777" w:rsidTr="00565520">
        <w:trPr>
          <w:trHeight w:val="330"/>
        </w:trPr>
        <w:tc>
          <w:tcPr>
            <w:tcW w:w="893" w:type="dxa"/>
            <w:vAlign w:val="center"/>
            <w:hideMark/>
          </w:tcPr>
          <w:p w14:paraId="5E059B9A" w14:textId="77777777" w:rsidR="005440CD" w:rsidRPr="005440CD" w:rsidRDefault="005440CD" w:rsidP="005440CD">
            <w:pPr>
              <w:rPr>
                <w:rFonts w:ascii="Verdana" w:eastAsia="Calibri" w:hAnsi="Verdana" w:cs="Arial"/>
                <w:sz w:val="16"/>
                <w:szCs w:val="16"/>
                <w:lang w:val="es-ES_tradnl" w:eastAsia="es-ES"/>
              </w:rPr>
            </w:pPr>
            <w:r w:rsidRPr="005440CD">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182F5A16" w14:textId="77777777" w:rsidR="005440CD" w:rsidRPr="005440CD" w:rsidRDefault="005440CD" w:rsidP="005440CD">
            <w:pPr>
              <w:textAlignment w:val="baseline"/>
              <w:rPr>
                <w:rFonts w:ascii="Verdana" w:eastAsia="Times New Roman" w:hAnsi="Verdana" w:cs="Segoe UI"/>
                <w:sz w:val="16"/>
                <w:szCs w:val="16"/>
                <w:lang w:val="es-ES_tradnl" w:eastAsia="es-ES_tradnl"/>
              </w:rPr>
            </w:pPr>
            <w:r w:rsidRPr="005440CD">
              <w:rPr>
                <w:rFonts w:ascii="Verdana" w:eastAsia="Times New Roman" w:hAnsi="Verdana" w:cs="Segoe UI"/>
                <w:sz w:val="16"/>
                <w:szCs w:val="16"/>
                <w:lang w:val="es-ES_tradnl" w:eastAsia="es-ES_tradnl"/>
              </w:rPr>
              <w:t>Juan David Cárdenas Cabeza</w:t>
            </w:r>
          </w:p>
          <w:p w14:paraId="6B9FAA1F" w14:textId="77777777" w:rsidR="005440CD" w:rsidRPr="005440CD" w:rsidRDefault="005440CD" w:rsidP="005440CD">
            <w:pPr>
              <w:textAlignment w:val="baseline"/>
              <w:rPr>
                <w:rFonts w:ascii="Verdana" w:eastAsia="Times New Roman" w:hAnsi="Verdana" w:cs="Segoe UI"/>
                <w:sz w:val="16"/>
                <w:szCs w:val="16"/>
                <w:lang w:val="es-ES_tradnl" w:eastAsia="es-ES_tradnl"/>
              </w:rPr>
            </w:pPr>
            <w:r w:rsidRPr="005440CD">
              <w:rPr>
                <w:rFonts w:ascii="Verdana" w:eastAsia="Times New Roman" w:hAnsi="Verdana" w:cs="Arial"/>
                <w:sz w:val="16"/>
                <w:szCs w:val="16"/>
                <w:lang w:val="es-ES_tradnl" w:eastAsia="es-ES_tradnl"/>
              </w:rPr>
              <w:t>Contratista de la Subdirección de Gestión Contractual </w:t>
            </w:r>
          </w:p>
        </w:tc>
      </w:tr>
      <w:tr w:rsidR="005440CD" w:rsidRPr="005440CD" w14:paraId="26F1C445" w14:textId="77777777" w:rsidTr="00565520">
        <w:trPr>
          <w:trHeight w:val="300"/>
        </w:trPr>
        <w:tc>
          <w:tcPr>
            <w:tcW w:w="893" w:type="dxa"/>
            <w:vAlign w:val="center"/>
          </w:tcPr>
          <w:p w14:paraId="45CFF2CF" w14:textId="77777777" w:rsidR="005440CD" w:rsidRPr="005440CD" w:rsidRDefault="005440CD" w:rsidP="005440CD">
            <w:pPr>
              <w:rPr>
                <w:rFonts w:ascii="Verdana" w:eastAsia="Calibri" w:hAnsi="Verdana" w:cs="Arial"/>
                <w:sz w:val="16"/>
                <w:szCs w:val="16"/>
                <w:lang w:val="es-ES_tradnl" w:eastAsia="es-ES"/>
              </w:rPr>
            </w:pPr>
            <w:r w:rsidRPr="005440CD">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55A2BF12" w14:textId="77777777" w:rsidR="005440CD" w:rsidRPr="005440CD" w:rsidRDefault="005440CD" w:rsidP="005440CD">
            <w:pPr>
              <w:rPr>
                <w:rFonts w:ascii="Verdana" w:eastAsia="Calibri" w:hAnsi="Verdana" w:cs="Arial"/>
                <w:sz w:val="16"/>
                <w:szCs w:val="16"/>
                <w:lang w:val="es-ES_tradnl" w:eastAsia="es-ES"/>
              </w:rPr>
            </w:pPr>
            <w:r w:rsidRPr="005440CD">
              <w:rPr>
                <w:rFonts w:ascii="Verdana" w:eastAsia="Calibri" w:hAnsi="Verdana" w:cs="Arial"/>
                <w:sz w:val="16"/>
                <w:szCs w:val="16"/>
                <w:lang w:val="es-ES_tradnl" w:eastAsia="es-ES"/>
              </w:rPr>
              <w:t xml:space="preserve">Carolina Quintero </w:t>
            </w:r>
            <w:proofErr w:type="spellStart"/>
            <w:r w:rsidRPr="005440CD">
              <w:rPr>
                <w:rFonts w:ascii="Verdana" w:eastAsia="Calibri" w:hAnsi="Verdana" w:cs="Arial"/>
                <w:sz w:val="16"/>
                <w:szCs w:val="16"/>
                <w:lang w:val="es-ES_tradnl" w:eastAsia="es-ES"/>
              </w:rPr>
              <w:t>Gacharná</w:t>
            </w:r>
            <w:proofErr w:type="spellEnd"/>
          </w:p>
          <w:p w14:paraId="5F890781" w14:textId="77777777" w:rsidR="005440CD" w:rsidRPr="005440CD" w:rsidRDefault="005440CD" w:rsidP="005440CD">
            <w:pPr>
              <w:rPr>
                <w:rFonts w:ascii="Verdana" w:eastAsia="Calibri" w:hAnsi="Verdana" w:cs="Arial"/>
                <w:sz w:val="16"/>
                <w:szCs w:val="16"/>
                <w:lang w:val="es-ES_tradnl" w:eastAsia="es-ES"/>
              </w:rPr>
            </w:pPr>
            <w:r w:rsidRPr="005440CD">
              <w:rPr>
                <w:rFonts w:ascii="Verdana" w:eastAsia="Calibri" w:hAnsi="Verdana" w:cs="Arial"/>
                <w:sz w:val="16"/>
                <w:szCs w:val="16"/>
                <w:lang w:val="es-ES_tradnl" w:eastAsia="es-ES"/>
              </w:rPr>
              <w:t>Subdirectora de Gestión Contractual ANCP – CCE</w:t>
            </w:r>
          </w:p>
        </w:tc>
      </w:tr>
    </w:tbl>
    <w:p w14:paraId="24034DD4" w14:textId="77777777" w:rsidR="005440CD" w:rsidRPr="005440CD" w:rsidRDefault="005440CD" w:rsidP="005440CD">
      <w:pPr>
        <w:spacing w:after="0" w:line="240" w:lineRule="auto"/>
        <w:rPr>
          <w:rFonts w:ascii="Aptos" w:eastAsia="Aptos" w:hAnsi="Aptos" w:cs="Times New Roman"/>
          <w:kern w:val="2"/>
          <w:sz w:val="24"/>
          <w:szCs w:val="24"/>
          <w:lang w:val="es-ES_tradnl"/>
          <w14:ligatures w14:val="standardContextual"/>
        </w:rPr>
      </w:pPr>
    </w:p>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96354" w14:textId="77777777" w:rsidR="00957CAE" w:rsidRDefault="00957CAE" w:rsidP="004A1847">
      <w:pPr>
        <w:spacing w:after="0" w:line="240" w:lineRule="auto"/>
      </w:pPr>
      <w:r>
        <w:separator/>
      </w:r>
    </w:p>
  </w:endnote>
  <w:endnote w:type="continuationSeparator" w:id="0">
    <w:p w14:paraId="41C550AC" w14:textId="77777777" w:rsidR="00957CAE" w:rsidRDefault="00957CAE" w:rsidP="004A1847">
      <w:pPr>
        <w:spacing w:after="0" w:line="240" w:lineRule="auto"/>
      </w:pPr>
      <w:r>
        <w:continuationSeparator/>
      </w:r>
    </w:p>
  </w:endnote>
  <w:endnote w:type="continuationNotice" w:id="1">
    <w:p w14:paraId="34364DD1" w14:textId="77777777" w:rsidR="00957CAE" w:rsidRDefault="00957C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panose1 w:val="020B0604020202020204"/>
    <w:charset w:val="01"/>
    <w:family w:val="swiss"/>
    <w:pitch w:val="variable"/>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05900" w14:textId="77777777" w:rsidR="00957CAE" w:rsidRDefault="00957CAE" w:rsidP="004A1847">
      <w:pPr>
        <w:spacing w:after="0" w:line="240" w:lineRule="auto"/>
      </w:pPr>
      <w:r>
        <w:separator/>
      </w:r>
    </w:p>
  </w:footnote>
  <w:footnote w:type="continuationSeparator" w:id="0">
    <w:p w14:paraId="667E3D60" w14:textId="77777777" w:rsidR="00957CAE" w:rsidRDefault="00957CAE" w:rsidP="004A1847">
      <w:pPr>
        <w:spacing w:after="0" w:line="240" w:lineRule="auto"/>
      </w:pPr>
      <w:r>
        <w:continuationSeparator/>
      </w:r>
    </w:p>
  </w:footnote>
  <w:footnote w:type="continuationNotice" w:id="1">
    <w:p w14:paraId="33998FEA" w14:textId="77777777" w:rsidR="00957CAE" w:rsidRDefault="00957C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06D6AA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874538930" o:spid="_x0000_i1025" type="#_x0000_t75" style="width:11.55pt;height:11.55pt;visibility:visible;mso-wrap-style:square">
            <v:imagedata r:id="rId1" o:title=""/>
          </v:shape>
        </w:pict>
      </mc:Choice>
      <mc:Fallback>
        <w:drawing>
          <wp:inline distT="0" distB="0" distL="0" distR="0" wp14:anchorId="11E8BE90" wp14:editId="11E8BE91">
            <wp:extent cx="146685" cy="146685"/>
            <wp:effectExtent l="0" t="0" r="0" b="0"/>
            <wp:docPr id="1874538930" name="Imagen 1874538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F46B0B"/>
    <w:multiLevelType w:val="hybridMultilevel"/>
    <w:tmpl w:val="CC44D9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 w:numId="18" w16cid:durableId="13986707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27AF"/>
    <w:rsid w:val="00046945"/>
    <w:rsid w:val="00061B2A"/>
    <w:rsid w:val="00082362"/>
    <w:rsid w:val="000A683E"/>
    <w:rsid w:val="000B186A"/>
    <w:rsid w:val="000B19B9"/>
    <w:rsid w:val="000D0334"/>
    <w:rsid w:val="000F6486"/>
    <w:rsid w:val="00125105"/>
    <w:rsid w:val="00127233"/>
    <w:rsid w:val="001511A0"/>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57175"/>
    <w:rsid w:val="00374F5E"/>
    <w:rsid w:val="00377E3E"/>
    <w:rsid w:val="003A779E"/>
    <w:rsid w:val="003D0F4D"/>
    <w:rsid w:val="003D5B0D"/>
    <w:rsid w:val="003E0499"/>
    <w:rsid w:val="003E68C0"/>
    <w:rsid w:val="003F3941"/>
    <w:rsid w:val="00406575"/>
    <w:rsid w:val="00414C74"/>
    <w:rsid w:val="0042722E"/>
    <w:rsid w:val="0044528D"/>
    <w:rsid w:val="004557CE"/>
    <w:rsid w:val="00461E4D"/>
    <w:rsid w:val="00484F19"/>
    <w:rsid w:val="004A1847"/>
    <w:rsid w:val="004A305D"/>
    <w:rsid w:val="004F1F3C"/>
    <w:rsid w:val="004F21C4"/>
    <w:rsid w:val="004F685F"/>
    <w:rsid w:val="005440CD"/>
    <w:rsid w:val="005566E8"/>
    <w:rsid w:val="00571566"/>
    <w:rsid w:val="00574867"/>
    <w:rsid w:val="00591460"/>
    <w:rsid w:val="005B3816"/>
    <w:rsid w:val="005C3777"/>
    <w:rsid w:val="005C5CDC"/>
    <w:rsid w:val="005D476C"/>
    <w:rsid w:val="005D60F9"/>
    <w:rsid w:val="006219F8"/>
    <w:rsid w:val="00644BDC"/>
    <w:rsid w:val="00650CF9"/>
    <w:rsid w:val="00665D70"/>
    <w:rsid w:val="006900D9"/>
    <w:rsid w:val="006A55DB"/>
    <w:rsid w:val="006B178E"/>
    <w:rsid w:val="00706C16"/>
    <w:rsid w:val="00756841"/>
    <w:rsid w:val="007649AB"/>
    <w:rsid w:val="00771D0C"/>
    <w:rsid w:val="007833AC"/>
    <w:rsid w:val="007B268C"/>
    <w:rsid w:val="007B7171"/>
    <w:rsid w:val="007C0C0F"/>
    <w:rsid w:val="007C3DC2"/>
    <w:rsid w:val="007E5497"/>
    <w:rsid w:val="007E6230"/>
    <w:rsid w:val="00806F5F"/>
    <w:rsid w:val="00820278"/>
    <w:rsid w:val="008273A2"/>
    <w:rsid w:val="00867F95"/>
    <w:rsid w:val="0087750A"/>
    <w:rsid w:val="008843B6"/>
    <w:rsid w:val="00891928"/>
    <w:rsid w:val="008A0E70"/>
    <w:rsid w:val="008A446D"/>
    <w:rsid w:val="008D180B"/>
    <w:rsid w:val="008F0EA7"/>
    <w:rsid w:val="008F3270"/>
    <w:rsid w:val="00906A92"/>
    <w:rsid w:val="00923EEF"/>
    <w:rsid w:val="009419F9"/>
    <w:rsid w:val="0095685E"/>
    <w:rsid w:val="00957CAE"/>
    <w:rsid w:val="00961B09"/>
    <w:rsid w:val="00965334"/>
    <w:rsid w:val="0097093E"/>
    <w:rsid w:val="00986AC5"/>
    <w:rsid w:val="009A0DFA"/>
    <w:rsid w:val="009B2D26"/>
    <w:rsid w:val="009C71FA"/>
    <w:rsid w:val="009C72E7"/>
    <w:rsid w:val="009D3058"/>
    <w:rsid w:val="009F3A13"/>
    <w:rsid w:val="00A122D3"/>
    <w:rsid w:val="00A17F13"/>
    <w:rsid w:val="00A20739"/>
    <w:rsid w:val="00A2751F"/>
    <w:rsid w:val="00A33C78"/>
    <w:rsid w:val="00AB0ADB"/>
    <w:rsid w:val="00B01B1A"/>
    <w:rsid w:val="00B113B0"/>
    <w:rsid w:val="00B66319"/>
    <w:rsid w:val="00B72CD3"/>
    <w:rsid w:val="00B72FFF"/>
    <w:rsid w:val="00BC3D36"/>
    <w:rsid w:val="00BD7F72"/>
    <w:rsid w:val="00C04FB3"/>
    <w:rsid w:val="00C330EB"/>
    <w:rsid w:val="00C41061"/>
    <w:rsid w:val="00C754BE"/>
    <w:rsid w:val="00C76B1C"/>
    <w:rsid w:val="00CB6357"/>
    <w:rsid w:val="00CB7774"/>
    <w:rsid w:val="00CC1B26"/>
    <w:rsid w:val="00D24CA8"/>
    <w:rsid w:val="00D423A2"/>
    <w:rsid w:val="00D44680"/>
    <w:rsid w:val="00D469AD"/>
    <w:rsid w:val="00D520D8"/>
    <w:rsid w:val="00D63AC2"/>
    <w:rsid w:val="00D7383B"/>
    <w:rsid w:val="00D80840"/>
    <w:rsid w:val="00DA231B"/>
    <w:rsid w:val="00DA544F"/>
    <w:rsid w:val="00DC39FC"/>
    <w:rsid w:val="00DC7EF7"/>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EE2C5C"/>
    <w:rsid w:val="00F31EDC"/>
    <w:rsid w:val="00F462B3"/>
    <w:rsid w:val="00F5664F"/>
    <w:rsid w:val="00F666C4"/>
    <w:rsid w:val="00F76AFC"/>
    <w:rsid w:val="00FA47C0"/>
    <w:rsid w:val="00FB5DD1"/>
    <w:rsid w:val="00FC2B5D"/>
    <w:rsid w:val="00FE5EFB"/>
    <w:rsid w:val="00FF1449"/>
    <w:rsid w:val="36AD473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ala-de-prensa%2Fboletin-digital&amp;data=05%7C02%7Ckevin.herrera%40colombiacompra.gov.co%7C6192b0470d324981a09708dd0a6c28db%7C7b09041e245149d08cb179d5e3d8c1be%7C0%7C0%7C638678181874638648%7CUnknown%7CTWFpbGZsb3d8eyJFbXB0eU1hcGkiOnRydWUsIlYiOiIwLjAuMDAwMCIsIlAiOiJXaW4zMiIsIkFOIjoiTWFpbCIsIldUIjoyfQ%3D%3D%7C0%7C%7C%7C&amp;sdata=swWp3x23oZgriNfciidMVGpvGoRrhuO5LWmbhexCmGE%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sites%2Fcce_public%2Ffiles%2Fcce_documents%2Fmanual_para_el_manejo_de_acuerdos_comerciales_vf.pdf&amp;data=05%7C02%7Ckevin.herrera%40colombiacompra.gov.co%7C6192b0470d324981a09708dd0a6c28db%7C7b09041e245149d08cb179d5e3d8c1be%7C0%7C0%7C638678181874517987%7CUnknown%7CTWFpbGZsb3d8eyJFbXB0eU1hcGkiOnRydWUsIlYiOiIwLjAuMDAwMCIsIlAiOiJXaW4zMiIsIkFOIjoiTWFpbCIsIldUIjoyfQ%3D%3D%7C0%7C%7C%7C&amp;sdata=aSC1cWiPtUP%2F82APpqHLo9CO0%2FIEySmFkHeYBod20v4%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FE94343F-0FF9-4396-97BC-67AD33701319}"/>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2996</Words>
  <Characters>16478</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5</cp:revision>
  <cp:lastPrinted>2023-01-10T21:18:00Z</cp:lastPrinted>
  <dcterms:created xsi:type="dcterms:W3CDTF">2025-03-25T23:21:00Z</dcterms:created>
  <dcterms:modified xsi:type="dcterms:W3CDTF">2025-03-25T23:25:00Z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