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054DA" w14:textId="77777777" w:rsidR="00111BA1" w:rsidRPr="006A5743" w:rsidRDefault="00DD0BDE" w:rsidP="00DD0BDE">
      <w:pPr>
        <w:spacing w:line="276" w:lineRule="auto"/>
        <w:jc w:val="both"/>
        <w:rPr>
          <w:rFonts w:ascii="Verdana" w:eastAsia="Century Gothic" w:hAnsi="Verdana" w:cs="Century Gothic"/>
          <w:b/>
        </w:rPr>
      </w:pPr>
      <w:bookmarkStart w:id="0" w:name="_Hlk143780582"/>
      <w:r w:rsidRPr="006A5743">
        <w:rPr>
          <w:rFonts w:ascii="Verdana" w:eastAsia="Century Gothic" w:hAnsi="Verdana" w:cs="Century Gothic"/>
          <w:b/>
        </w:rPr>
        <w:t xml:space="preserve">PROMOCIÓN AL DESARROLLO – Ley 2069 de 2020 – Artículo 34 </w:t>
      </w:r>
    </w:p>
    <w:p w14:paraId="2637D0E4" w14:textId="77777777" w:rsidR="00111BA1" w:rsidRPr="006A5743" w:rsidRDefault="00111BA1" w:rsidP="00111BA1">
      <w:pPr>
        <w:spacing w:after="0" w:line="240" w:lineRule="auto"/>
        <w:jc w:val="both"/>
        <w:rPr>
          <w:rStyle w:val="eop"/>
          <w:rFonts w:ascii="Verdana" w:hAnsi="Verdana" w:cs="Arial"/>
          <w:color w:val="000000"/>
          <w:sz w:val="20"/>
          <w:szCs w:val="20"/>
          <w:shd w:val="clear" w:color="auto" w:fill="FFFFFF"/>
        </w:rPr>
      </w:pPr>
      <w:r w:rsidRPr="006A5743">
        <w:rPr>
          <w:rStyle w:val="normaltextrun"/>
          <w:rFonts w:ascii="Verdana" w:hAnsi="Verdana" w:cs="Arial"/>
          <w:color w:val="000000"/>
          <w:sz w:val="20"/>
          <w:szCs w:val="20"/>
          <w:shd w:val="clear" w:color="auto" w:fill="FFFFFF"/>
          <w:lang w:val="es-ES"/>
        </w:rPr>
        <w:t>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Además, agrega que estas convocatorias se pueden realizar también en el ámbito municipal o departamental en el que se ejecute el contrato. ii) Indica que dichas convocatorias se deben efectuar –y así lo deberá reglamentar el gobierno nacional– siempre y cuando, antes del acto administrativo de apertura del proceso de selección, por lo menos dos (2) MiPymes hayan manifestado su interés. […]</w:t>
      </w:r>
      <w:r w:rsidRPr="006A5743">
        <w:rPr>
          <w:rStyle w:val="eop"/>
          <w:rFonts w:ascii="Verdana" w:hAnsi="Verdana" w:cs="Arial"/>
          <w:color w:val="000000"/>
          <w:sz w:val="20"/>
          <w:szCs w:val="20"/>
          <w:shd w:val="clear" w:color="auto" w:fill="FFFFFF"/>
        </w:rPr>
        <w:t> </w:t>
      </w:r>
    </w:p>
    <w:p w14:paraId="59A02A8A" w14:textId="77777777" w:rsidR="00111BA1" w:rsidRPr="006A5743" w:rsidRDefault="00111BA1" w:rsidP="00111BA1">
      <w:pPr>
        <w:spacing w:after="0" w:line="240" w:lineRule="auto"/>
        <w:jc w:val="both"/>
        <w:rPr>
          <w:rStyle w:val="eop"/>
          <w:rFonts w:ascii="Verdana" w:hAnsi="Verdana" w:cs="Arial"/>
          <w:color w:val="000000"/>
          <w:sz w:val="20"/>
          <w:szCs w:val="20"/>
          <w:shd w:val="clear" w:color="auto" w:fill="FFFFFF"/>
        </w:rPr>
      </w:pPr>
    </w:p>
    <w:p w14:paraId="570B2B1E" w14:textId="77777777" w:rsidR="00404A54" w:rsidRPr="006A5743" w:rsidRDefault="00DD0BDE" w:rsidP="00111BA1">
      <w:pPr>
        <w:spacing w:after="0" w:line="240" w:lineRule="auto"/>
        <w:jc w:val="both"/>
        <w:rPr>
          <w:rFonts w:ascii="Verdana" w:eastAsia="Century Gothic" w:hAnsi="Verdana" w:cs="Century Gothic"/>
          <w:b/>
        </w:rPr>
      </w:pPr>
      <w:r w:rsidRPr="006A5743">
        <w:rPr>
          <w:rFonts w:ascii="Verdana" w:eastAsia="Century Gothic" w:hAnsi="Verdana" w:cs="Century Gothic"/>
          <w:b/>
        </w:rPr>
        <w:t xml:space="preserve">CONVOCATORIAS LIMITADAS A MIPYMES NACIONALES – Requisitos </w:t>
      </w:r>
    </w:p>
    <w:p w14:paraId="2E6BC672" w14:textId="77777777" w:rsidR="00404A54" w:rsidRPr="006A5743" w:rsidRDefault="00404A54" w:rsidP="00111BA1">
      <w:pPr>
        <w:spacing w:after="0" w:line="240" w:lineRule="auto"/>
        <w:jc w:val="both"/>
        <w:rPr>
          <w:rFonts w:ascii="Verdana" w:eastAsia="Century Gothic" w:hAnsi="Verdana" w:cs="Century Gothic"/>
          <w:b/>
        </w:rPr>
      </w:pPr>
    </w:p>
    <w:p w14:paraId="31CFEB19" w14:textId="77777777" w:rsidR="00404A54" w:rsidRPr="006A5743" w:rsidRDefault="00404A54" w:rsidP="00404A54">
      <w:pPr>
        <w:pStyle w:val="paragraph"/>
        <w:spacing w:before="0" w:beforeAutospacing="0" w:after="0" w:afterAutospacing="0"/>
        <w:jc w:val="both"/>
        <w:textAlignment w:val="baseline"/>
        <w:rPr>
          <w:rStyle w:val="eop"/>
          <w:rFonts w:ascii="Verdana" w:hAnsi="Verdana" w:cs="Arial"/>
          <w:color w:val="000000"/>
          <w:sz w:val="20"/>
          <w:szCs w:val="20"/>
        </w:rPr>
      </w:pPr>
      <w:r w:rsidRPr="006A5743">
        <w:rPr>
          <w:rStyle w:val="normaltextrun"/>
          <w:rFonts w:ascii="Verdana" w:hAnsi="Verdana" w:cs="Arial"/>
          <w:color w:val="000000"/>
          <w:sz w:val="20"/>
          <w:szCs w:val="20"/>
        </w:rPr>
        <w:t>El artículo 2.2.1.2.4.2.2. del Decreto 1082 de 2015 establece los requisitos que se deben acreditar en las “convocatorias limitadas a MiPymes”.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 Esta redacción obedece a un cambio introducido por el Decreto 1860 de 2021, el cual solo permitía la limitación a MiPymes nacionales en los procedimientos de licitación pública, selección abreviada y concurso de méritos. </w:t>
      </w:r>
      <w:r w:rsidRPr="006A5743">
        <w:rPr>
          <w:rStyle w:val="eop"/>
          <w:rFonts w:ascii="Verdana" w:hAnsi="Verdana" w:cs="Arial"/>
          <w:color w:val="000000"/>
        </w:rPr>
        <w:t> </w:t>
      </w:r>
    </w:p>
    <w:p w14:paraId="531D9AFE" w14:textId="77777777" w:rsidR="00404A54" w:rsidRPr="006A5743" w:rsidRDefault="00404A54" w:rsidP="00111BA1">
      <w:pPr>
        <w:spacing w:after="0" w:line="240" w:lineRule="auto"/>
        <w:jc w:val="both"/>
        <w:rPr>
          <w:rFonts w:ascii="Verdana" w:eastAsia="Century Gothic" w:hAnsi="Verdana" w:cs="Century Gothic"/>
          <w:b/>
        </w:rPr>
      </w:pPr>
    </w:p>
    <w:p w14:paraId="68AA90D4" w14:textId="78AE55C7" w:rsidR="00DD0BDE" w:rsidRPr="006A5743" w:rsidRDefault="00DD0BDE" w:rsidP="00111BA1">
      <w:pPr>
        <w:spacing w:after="0" w:line="240" w:lineRule="auto"/>
        <w:jc w:val="both"/>
        <w:rPr>
          <w:rFonts w:ascii="Verdana" w:hAnsi="Verdana" w:cs="Arial"/>
          <w:color w:val="000000"/>
          <w:sz w:val="20"/>
          <w:szCs w:val="20"/>
          <w:shd w:val="clear" w:color="auto" w:fill="FFFFFF"/>
        </w:rPr>
      </w:pPr>
      <w:r w:rsidRPr="006A5743">
        <w:rPr>
          <w:rFonts w:ascii="Verdana" w:eastAsia="Century Gothic" w:hAnsi="Verdana" w:cs="Century Gothic"/>
          <w:b/>
        </w:rPr>
        <w:t xml:space="preserve"> CONVOCATORIAS LIMITADAS A MIPYMES EN EL ÁMBITO TERRITORIAL – Limitación territorial – Facultad discrecional </w:t>
      </w:r>
    </w:p>
    <w:p w14:paraId="7C3F305F" w14:textId="77777777" w:rsidR="00DD0BDE" w:rsidRPr="006A5743" w:rsidRDefault="00DD0BDE" w:rsidP="00E245AB">
      <w:pPr>
        <w:spacing w:after="0"/>
        <w:rPr>
          <w:rFonts w:ascii="Verdana" w:hAnsi="Verdana"/>
        </w:rPr>
      </w:pPr>
    </w:p>
    <w:p w14:paraId="0AD3C741" w14:textId="77777777" w:rsidR="006A5743" w:rsidRPr="006A5743" w:rsidRDefault="006A5743" w:rsidP="006A5743">
      <w:pPr>
        <w:pStyle w:val="paragraph"/>
        <w:spacing w:before="0" w:beforeAutospacing="0" w:after="0" w:afterAutospacing="0"/>
        <w:jc w:val="both"/>
        <w:textAlignment w:val="baseline"/>
        <w:rPr>
          <w:rFonts w:ascii="Verdana" w:hAnsi="Verdana" w:cs="Segoe UI"/>
          <w:sz w:val="18"/>
          <w:szCs w:val="18"/>
        </w:rPr>
      </w:pPr>
      <w:r w:rsidRPr="006A5743">
        <w:rPr>
          <w:rStyle w:val="normaltextrun"/>
          <w:rFonts w:ascii="Verdana" w:hAnsi="Verdana" w:cs="Arial"/>
          <w:color w:val="000000"/>
          <w:sz w:val="20"/>
          <w:szCs w:val="20"/>
        </w:rPr>
        <w:t xml:space="preserve">Cumplidos los dos requisitos del artículo 2.2.1.2.4.2.2. </w:t>
      </w:r>
      <w:r w:rsidRPr="006A5743">
        <w:rPr>
          <w:rStyle w:val="normaltextrun"/>
          <w:rFonts w:ascii="Verdana" w:hAnsi="Verdana" w:cs="Arial"/>
          <w:i/>
          <w:iCs/>
          <w:color w:val="000000"/>
          <w:sz w:val="20"/>
          <w:szCs w:val="20"/>
        </w:rPr>
        <w:t>ibidem</w:t>
      </w:r>
      <w:r w:rsidRPr="006A5743">
        <w:rPr>
          <w:rStyle w:val="normaltextrun"/>
          <w:rFonts w:ascii="Verdana" w:hAnsi="Verdana" w:cs="Arial"/>
          <w:color w:val="000000"/>
          <w:sz w:val="20"/>
          <w:szCs w:val="20"/>
        </w:rPr>
        <w:t>, la entidad puede ─no tiene que─ decidir si limita la convocatoria a las MiPymes nacionales domiciliadas en el municipio o departamento en el que se ejecutará el contrato</w:t>
      </w:r>
      <w:r w:rsidRPr="006A5743">
        <w:rPr>
          <w:rStyle w:val="superscript"/>
          <w:rFonts w:ascii="Verdana" w:hAnsi="Verdana" w:cs="Arial"/>
          <w:color w:val="000000"/>
          <w:sz w:val="16"/>
          <w:szCs w:val="16"/>
          <w:vertAlign w:val="superscript"/>
        </w:rPr>
        <w:t>1</w:t>
      </w:r>
      <w:r w:rsidRPr="006A5743">
        <w:rPr>
          <w:rStyle w:val="normaltextrun"/>
          <w:rFonts w:ascii="Verdana" w:hAnsi="Verdana" w:cs="Arial"/>
          <w:color w:val="000000"/>
          <w:sz w:val="20"/>
          <w:szCs w:val="20"/>
        </w:rPr>
        <w:t xml:space="preserve">.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 los artículos 2.2.1.2.4.2.2 y 2.2.1.2.4.2.3  deben ser interpretados de manera armónica, comoquiera que para proceder a limitar hacer una limitación territoriales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w:t>
      </w:r>
      <w:r w:rsidRPr="006A5743">
        <w:rPr>
          <w:rStyle w:val="normaltextrun"/>
          <w:rFonts w:ascii="Verdana" w:hAnsi="Verdana" w:cs="Arial"/>
          <w:color w:val="000000"/>
          <w:sz w:val="20"/>
          <w:szCs w:val="20"/>
        </w:rPr>
        <w:lastRenderedPageBreak/>
        <w:t>que se presenten al menos dos solicitudes de MiPymes domiciliadas en el departamento o municipio en donde se va a ejecutar el contrato.  Este entendimiento de la norma, sin embargo, da lugar a dos interpretaciones sobre las que se deben hacer unas precisiones.</w:t>
      </w:r>
      <w:r w:rsidRPr="006A5743">
        <w:rPr>
          <w:rStyle w:val="eop"/>
          <w:rFonts w:ascii="Verdana" w:hAnsi="Verdana" w:cs="Arial"/>
          <w:color w:val="000000"/>
          <w:sz w:val="20"/>
          <w:szCs w:val="20"/>
        </w:rPr>
        <w:t> </w:t>
      </w:r>
    </w:p>
    <w:p w14:paraId="20D79DF7" w14:textId="77777777" w:rsidR="006A5743" w:rsidRDefault="006A5743" w:rsidP="00E245AB">
      <w:pPr>
        <w:spacing w:after="0"/>
        <w:rPr>
          <w:rFonts w:ascii="Verdana" w:hAnsi="Verdana"/>
        </w:rPr>
      </w:pPr>
    </w:p>
    <w:p w14:paraId="020A855A" w14:textId="77777777" w:rsidR="00DD0BDE" w:rsidRDefault="00DD0BDE" w:rsidP="00E245AB">
      <w:pPr>
        <w:spacing w:after="0"/>
        <w:rPr>
          <w:rFonts w:ascii="Verdana" w:hAnsi="Verdana"/>
        </w:rPr>
      </w:pPr>
    </w:p>
    <w:p w14:paraId="5673BFD6" w14:textId="77777777" w:rsidR="006A5743" w:rsidRDefault="006A5743" w:rsidP="00E245AB">
      <w:pPr>
        <w:spacing w:after="0"/>
        <w:rPr>
          <w:rFonts w:ascii="Verdana" w:hAnsi="Verdana"/>
        </w:rPr>
      </w:pPr>
    </w:p>
    <w:p w14:paraId="7ED53249" w14:textId="77777777" w:rsidR="006A5743" w:rsidRDefault="006A5743" w:rsidP="00E245AB">
      <w:pPr>
        <w:spacing w:after="0"/>
        <w:rPr>
          <w:rFonts w:ascii="Verdana" w:hAnsi="Verdana"/>
        </w:rPr>
      </w:pPr>
    </w:p>
    <w:p w14:paraId="46F1BDC0" w14:textId="77777777" w:rsidR="006A5743" w:rsidRDefault="006A5743" w:rsidP="00E245AB">
      <w:pPr>
        <w:spacing w:after="0"/>
        <w:rPr>
          <w:rFonts w:ascii="Verdana" w:hAnsi="Verdana"/>
        </w:rPr>
      </w:pPr>
    </w:p>
    <w:p w14:paraId="537DD9B2" w14:textId="77777777" w:rsidR="006A5743" w:rsidRDefault="006A5743" w:rsidP="00E245AB">
      <w:pPr>
        <w:spacing w:after="0"/>
        <w:rPr>
          <w:rFonts w:ascii="Verdana" w:hAnsi="Verdana"/>
        </w:rPr>
      </w:pPr>
    </w:p>
    <w:p w14:paraId="33AF1DAF" w14:textId="77777777" w:rsidR="006A5743" w:rsidRDefault="006A5743" w:rsidP="00E245AB">
      <w:pPr>
        <w:spacing w:after="0"/>
        <w:rPr>
          <w:rFonts w:ascii="Verdana" w:hAnsi="Verdana"/>
        </w:rPr>
      </w:pPr>
    </w:p>
    <w:p w14:paraId="43A01058" w14:textId="77777777" w:rsidR="006A5743" w:rsidRDefault="006A5743" w:rsidP="00E245AB">
      <w:pPr>
        <w:spacing w:after="0"/>
        <w:rPr>
          <w:rFonts w:ascii="Verdana" w:hAnsi="Verdana"/>
        </w:rPr>
      </w:pPr>
    </w:p>
    <w:p w14:paraId="07D7F054" w14:textId="77777777" w:rsidR="006A5743" w:rsidRDefault="006A5743" w:rsidP="00E245AB">
      <w:pPr>
        <w:spacing w:after="0"/>
        <w:rPr>
          <w:rFonts w:ascii="Verdana" w:hAnsi="Verdana"/>
        </w:rPr>
      </w:pPr>
    </w:p>
    <w:p w14:paraId="5994CFB4" w14:textId="77777777" w:rsidR="006A5743" w:rsidRDefault="006A5743" w:rsidP="00E245AB">
      <w:pPr>
        <w:spacing w:after="0"/>
        <w:rPr>
          <w:rFonts w:ascii="Verdana" w:hAnsi="Verdana"/>
        </w:rPr>
      </w:pPr>
    </w:p>
    <w:p w14:paraId="0560AFEC" w14:textId="77777777" w:rsidR="006A5743" w:rsidRDefault="006A5743" w:rsidP="00E245AB">
      <w:pPr>
        <w:spacing w:after="0"/>
        <w:rPr>
          <w:rFonts w:ascii="Verdana" w:hAnsi="Verdana"/>
        </w:rPr>
      </w:pPr>
    </w:p>
    <w:p w14:paraId="4AA60C59" w14:textId="77777777" w:rsidR="006A5743" w:rsidRDefault="006A5743" w:rsidP="00E245AB">
      <w:pPr>
        <w:spacing w:after="0"/>
        <w:rPr>
          <w:rFonts w:ascii="Verdana" w:hAnsi="Verdana"/>
        </w:rPr>
      </w:pPr>
    </w:p>
    <w:p w14:paraId="7D76AB37" w14:textId="77777777" w:rsidR="006A5743" w:rsidRDefault="006A5743" w:rsidP="00E245AB">
      <w:pPr>
        <w:spacing w:after="0"/>
        <w:rPr>
          <w:rFonts w:ascii="Verdana" w:hAnsi="Verdana"/>
        </w:rPr>
      </w:pPr>
    </w:p>
    <w:p w14:paraId="4A28DFE4" w14:textId="77777777" w:rsidR="006A5743" w:rsidRDefault="006A5743" w:rsidP="00E245AB">
      <w:pPr>
        <w:spacing w:after="0"/>
        <w:rPr>
          <w:rFonts w:ascii="Verdana" w:hAnsi="Verdana"/>
        </w:rPr>
      </w:pPr>
    </w:p>
    <w:p w14:paraId="3D39A08B" w14:textId="77777777" w:rsidR="006A5743" w:rsidRDefault="006A5743" w:rsidP="00E245AB">
      <w:pPr>
        <w:spacing w:after="0"/>
        <w:rPr>
          <w:rFonts w:ascii="Verdana" w:hAnsi="Verdana"/>
        </w:rPr>
      </w:pPr>
    </w:p>
    <w:p w14:paraId="7420E40F" w14:textId="77777777" w:rsidR="006A5743" w:rsidRDefault="006A5743" w:rsidP="00E245AB">
      <w:pPr>
        <w:spacing w:after="0"/>
        <w:rPr>
          <w:rFonts w:ascii="Verdana" w:hAnsi="Verdana"/>
        </w:rPr>
      </w:pPr>
    </w:p>
    <w:p w14:paraId="41230E2D" w14:textId="77777777" w:rsidR="006A5743" w:rsidRDefault="006A5743" w:rsidP="00E245AB">
      <w:pPr>
        <w:spacing w:after="0"/>
        <w:rPr>
          <w:rFonts w:ascii="Verdana" w:hAnsi="Verdana"/>
        </w:rPr>
      </w:pPr>
    </w:p>
    <w:p w14:paraId="525ED072" w14:textId="77777777" w:rsidR="006A5743" w:rsidRDefault="006A5743" w:rsidP="00E245AB">
      <w:pPr>
        <w:spacing w:after="0"/>
        <w:rPr>
          <w:rFonts w:ascii="Verdana" w:hAnsi="Verdana"/>
        </w:rPr>
      </w:pPr>
    </w:p>
    <w:p w14:paraId="4140FFFE" w14:textId="77777777" w:rsidR="006A5743" w:rsidRDefault="006A5743" w:rsidP="00E245AB">
      <w:pPr>
        <w:spacing w:after="0"/>
        <w:rPr>
          <w:rFonts w:ascii="Verdana" w:hAnsi="Verdana"/>
        </w:rPr>
      </w:pPr>
    </w:p>
    <w:p w14:paraId="06BF4A61" w14:textId="77777777" w:rsidR="006A5743" w:rsidRDefault="006A5743" w:rsidP="00E245AB">
      <w:pPr>
        <w:spacing w:after="0"/>
        <w:rPr>
          <w:rFonts w:ascii="Verdana" w:hAnsi="Verdana"/>
        </w:rPr>
      </w:pPr>
    </w:p>
    <w:p w14:paraId="3CE48BD7" w14:textId="77777777" w:rsidR="006A5743" w:rsidRDefault="006A5743" w:rsidP="00E245AB">
      <w:pPr>
        <w:spacing w:after="0"/>
        <w:rPr>
          <w:rFonts w:ascii="Verdana" w:hAnsi="Verdana"/>
        </w:rPr>
      </w:pPr>
    </w:p>
    <w:p w14:paraId="68FB7309" w14:textId="77777777" w:rsidR="006A5743" w:rsidRDefault="006A5743" w:rsidP="00E245AB">
      <w:pPr>
        <w:spacing w:after="0"/>
        <w:rPr>
          <w:rFonts w:ascii="Verdana" w:hAnsi="Verdana"/>
        </w:rPr>
      </w:pPr>
    </w:p>
    <w:p w14:paraId="6A0B8B3D" w14:textId="77777777" w:rsidR="006A5743" w:rsidRDefault="006A5743" w:rsidP="00E245AB">
      <w:pPr>
        <w:spacing w:after="0"/>
        <w:rPr>
          <w:rFonts w:ascii="Verdana" w:hAnsi="Verdana"/>
        </w:rPr>
      </w:pPr>
    </w:p>
    <w:p w14:paraId="3475AEC6" w14:textId="77777777" w:rsidR="006A5743" w:rsidRDefault="006A5743" w:rsidP="00E245AB">
      <w:pPr>
        <w:spacing w:after="0"/>
        <w:rPr>
          <w:rFonts w:ascii="Verdana" w:hAnsi="Verdana"/>
        </w:rPr>
      </w:pPr>
    </w:p>
    <w:p w14:paraId="2DD17F42" w14:textId="77777777" w:rsidR="006A5743" w:rsidRDefault="006A5743" w:rsidP="00E245AB">
      <w:pPr>
        <w:spacing w:after="0"/>
        <w:rPr>
          <w:rFonts w:ascii="Verdana" w:hAnsi="Verdana"/>
        </w:rPr>
      </w:pPr>
    </w:p>
    <w:p w14:paraId="3310B966" w14:textId="77777777" w:rsidR="006A5743" w:rsidRDefault="006A5743" w:rsidP="00E245AB">
      <w:pPr>
        <w:spacing w:after="0"/>
        <w:rPr>
          <w:rFonts w:ascii="Verdana" w:hAnsi="Verdana"/>
        </w:rPr>
      </w:pPr>
    </w:p>
    <w:p w14:paraId="174C9356" w14:textId="77777777" w:rsidR="006A5743" w:rsidRDefault="006A5743" w:rsidP="00E245AB">
      <w:pPr>
        <w:spacing w:after="0"/>
        <w:rPr>
          <w:rFonts w:ascii="Verdana" w:hAnsi="Verdana"/>
        </w:rPr>
      </w:pPr>
    </w:p>
    <w:p w14:paraId="3F55D96A" w14:textId="77777777" w:rsidR="006A5743" w:rsidRDefault="006A5743" w:rsidP="00E245AB">
      <w:pPr>
        <w:spacing w:after="0"/>
        <w:rPr>
          <w:rFonts w:ascii="Verdana" w:hAnsi="Verdana"/>
        </w:rPr>
      </w:pPr>
    </w:p>
    <w:p w14:paraId="3A56DD48" w14:textId="77777777" w:rsidR="006A5743" w:rsidRDefault="006A5743" w:rsidP="00E245AB">
      <w:pPr>
        <w:spacing w:after="0"/>
        <w:rPr>
          <w:rFonts w:ascii="Verdana" w:hAnsi="Verdana"/>
        </w:rPr>
      </w:pPr>
    </w:p>
    <w:p w14:paraId="468E8D5C" w14:textId="77777777" w:rsidR="006A5743" w:rsidRDefault="006A5743" w:rsidP="00E245AB">
      <w:pPr>
        <w:spacing w:after="0"/>
        <w:rPr>
          <w:rFonts w:ascii="Verdana" w:hAnsi="Verdana"/>
        </w:rPr>
      </w:pPr>
    </w:p>
    <w:p w14:paraId="41E72663" w14:textId="77777777" w:rsidR="006A5743" w:rsidRDefault="006A5743" w:rsidP="00E245AB">
      <w:pPr>
        <w:spacing w:after="0"/>
        <w:rPr>
          <w:rFonts w:ascii="Verdana" w:hAnsi="Verdana"/>
        </w:rPr>
      </w:pPr>
    </w:p>
    <w:p w14:paraId="501555A1" w14:textId="77777777" w:rsidR="006A5743" w:rsidRDefault="006A5743" w:rsidP="00E245AB">
      <w:pPr>
        <w:spacing w:after="0"/>
        <w:rPr>
          <w:rFonts w:ascii="Verdana" w:hAnsi="Verdana"/>
        </w:rPr>
      </w:pPr>
    </w:p>
    <w:p w14:paraId="7ECC06B4" w14:textId="77777777" w:rsidR="006A5743" w:rsidRDefault="006A5743" w:rsidP="00E245AB">
      <w:pPr>
        <w:spacing w:after="0"/>
        <w:rPr>
          <w:rFonts w:ascii="Verdana" w:hAnsi="Verdana"/>
        </w:rPr>
      </w:pPr>
    </w:p>
    <w:p w14:paraId="0F8B8BFD" w14:textId="77777777" w:rsidR="006A5743" w:rsidRDefault="006A5743" w:rsidP="00E245AB">
      <w:pPr>
        <w:spacing w:after="0"/>
        <w:rPr>
          <w:rFonts w:ascii="Verdana" w:hAnsi="Verdana"/>
        </w:rPr>
      </w:pPr>
    </w:p>
    <w:p w14:paraId="6E049EC2" w14:textId="77777777" w:rsidR="006A5743" w:rsidRDefault="006A5743" w:rsidP="00E245AB">
      <w:pPr>
        <w:spacing w:after="0"/>
        <w:rPr>
          <w:rFonts w:ascii="Verdana" w:hAnsi="Verdana"/>
        </w:rPr>
      </w:pPr>
    </w:p>
    <w:p w14:paraId="5FEF302B" w14:textId="77777777" w:rsidR="006A5743" w:rsidRDefault="006A5743" w:rsidP="00E245AB">
      <w:pPr>
        <w:spacing w:after="0"/>
        <w:rPr>
          <w:rFonts w:ascii="Verdana" w:hAnsi="Verdana"/>
        </w:rPr>
      </w:pPr>
    </w:p>
    <w:p w14:paraId="0B92E099" w14:textId="77777777" w:rsidR="006A5743" w:rsidRDefault="006A5743" w:rsidP="00E245AB">
      <w:pPr>
        <w:spacing w:after="0"/>
        <w:rPr>
          <w:rFonts w:ascii="Verdana" w:hAnsi="Verdana"/>
        </w:rPr>
      </w:pPr>
    </w:p>
    <w:p w14:paraId="3FE2184B" w14:textId="1F2FA646" w:rsidR="00E245AB" w:rsidRPr="00C02F37" w:rsidRDefault="00E245AB" w:rsidP="00E245AB">
      <w:pPr>
        <w:spacing w:after="0"/>
        <w:rPr>
          <w:rFonts w:ascii="Verdana" w:hAnsi="Verdana"/>
        </w:rPr>
      </w:pPr>
      <w:r w:rsidRPr="00C02F37">
        <w:rPr>
          <w:rFonts w:ascii="Verdana" w:hAnsi="Verdana"/>
        </w:rPr>
        <w:lastRenderedPageBreak/>
        <w:t xml:space="preserve">Bogotá D.C., </w:t>
      </w:r>
      <w:r w:rsidR="00187F14">
        <w:rPr>
          <w:rFonts w:ascii="Verdana" w:hAnsi="Verdana"/>
        </w:rPr>
        <w:t>27 de diciembre del 2024</w:t>
      </w:r>
      <w:r w:rsidR="00891928" w:rsidRPr="00C02F37">
        <w:rPr>
          <w:rFonts w:ascii="Verdana" w:hAnsi="Verdana"/>
        </w:rPr>
        <w:tab/>
      </w:r>
    </w:p>
    <w:p w14:paraId="5FCADBF9" w14:textId="77777777" w:rsidR="00E245AB" w:rsidRDefault="00E245AB" w:rsidP="00E245AB">
      <w:pPr>
        <w:spacing w:after="0"/>
        <w:rPr>
          <w:rFonts w:ascii="Verdana" w:hAnsi="Verdana"/>
        </w:rPr>
      </w:pPr>
    </w:p>
    <w:p w14:paraId="478972A0" w14:textId="313601F3" w:rsidR="007C0D9B" w:rsidRDefault="00187F14" w:rsidP="00187F14">
      <w:pPr>
        <w:spacing w:after="0"/>
        <w:jc w:val="right"/>
        <w:rPr>
          <w:rFonts w:ascii="Verdana" w:hAnsi="Verdana"/>
        </w:rPr>
      </w:pPr>
      <w:r w:rsidRPr="00187F14">
        <w:rPr>
          <w:rFonts w:ascii="Verdana" w:hAnsi="Verdana"/>
        </w:rPr>
        <w:drawing>
          <wp:inline distT="0" distB="0" distL="0" distR="0" wp14:anchorId="7FF58F34" wp14:editId="394815A1">
            <wp:extent cx="2952750" cy="781050"/>
            <wp:effectExtent l="0" t="0" r="0" b="0"/>
            <wp:docPr id="18468961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96181" name=""/>
                    <pic:cNvPicPr/>
                  </pic:nvPicPr>
                  <pic:blipFill>
                    <a:blip r:embed="rId11"/>
                    <a:stretch>
                      <a:fillRect/>
                    </a:stretch>
                  </pic:blipFill>
                  <pic:spPr>
                    <a:xfrm>
                      <a:off x="0" y="0"/>
                      <a:ext cx="2953162" cy="781159"/>
                    </a:xfrm>
                    <a:prstGeom prst="rect">
                      <a:avLst/>
                    </a:prstGeom>
                  </pic:spPr>
                </pic:pic>
              </a:graphicData>
            </a:graphic>
          </wp:inline>
        </w:drawing>
      </w:r>
    </w:p>
    <w:p w14:paraId="5B56D098" w14:textId="77777777" w:rsidR="00187F14" w:rsidRDefault="00187F14" w:rsidP="000B674C">
      <w:pPr>
        <w:spacing w:after="0" w:line="240" w:lineRule="auto"/>
        <w:jc w:val="both"/>
        <w:rPr>
          <w:rFonts w:ascii="Verdana" w:eastAsia="Calibri" w:hAnsi="Verdana" w:cs="Arial"/>
          <w:lang w:val="es-ES" w:eastAsia="es-ES"/>
        </w:rPr>
      </w:pPr>
    </w:p>
    <w:p w14:paraId="7328E166" w14:textId="7D4857A2" w:rsidR="000B674C" w:rsidRPr="00C02F37" w:rsidRDefault="000B674C" w:rsidP="000B674C">
      <w:pPr>
        <w:spacing w:after="0" w:line="240" w:lineRule="auto"/>
        <w:jc w:val="both"/>
        <w:rPr>
          <w:rFonts w:ascii="Verdana" w:eastAsia="Calibri" w:hAnsi="Verdana" w:cs="Arial"/>
          <w:lang w:val="es-ES" w:eastAsia="es-ES"/>
        </w:rPr>
      </w:pPr>
      <w:r w:rsidRPr="00C02F37">
        <w:rPr>
          <w:rFonts w:ascii="Verdana" w:eastAsia="Calibri" w:hAnsi="Verdana" w:cs="Arial"/>
          <w:lang w:val="es-ES" w:eastAsia="es-ES"/>
        </w:rPr>
        <w:t>Señora:</w:t>
      </w:r>
    </w:p>
    <w:p w14:paraId="025BED03" w14:textId="57F71D28" w:rsidR="000B674C" w:rsidRPr="00C02F37" w:rsidRDefault="00003765" w:rsidP="000B674C">
      <w:pPr>
        <w:spacing w:after="0" w:line="240" w:lineRule="auto"/>
        <w:rPr>
          <w:rFonts w:ascii="Verdana" w:eastAsia="Calibri" w:hAnsi="Verdana" w:cs="Arial"/>
          <w:b/>
          <w:lang w:val="es-ES" w:eastAsia="es-ES"/>
        </w:rPr>
      </w:pPr>
      <w:r w:rsidRPr="00C02F37">
        <w:rPr>
          <w:rFonts w:ascii="Verdana" w:eastAsia="Calibri" w:hAnsi="Verdana" w:cs="Arial"/>
          <w:b/>
          <w:lang w:val="es-ES" w:eastAsia="es-ES"/>
        </w:rPr>
        <w:t xml:space="preserve">Silvia Stella </w:t>
      </w:r>
      <w:r w:rsidR="0027589C" w:rsidRPr="00C02F37">
        <w:rPr>
          <w:rFonts w:ascii="Verdana" w:eastAsia="Calibri" w:hAnsi="Verdana" w:cs="Arial"/>
          <w:b/>
          <w:lang w:val="es-ES" w:eastAsia="es-ES"/>
        </w:rPr>
        <w:t>Sánchez</w:t>
      </w:r>
      <w:r w:rsidRPr="00C02F37">
        <w:rPr>
          <w:rFonts w:ascii="Verdana" w:eastAsia="Calibri" w:hAnsi="Verdana" w:cs="Arial"/>
          <w:b/>
          <w:lang w:val="es-ES" w:eastAsia="es-ES"/>
        </w:rPr>
        <w:t xml:space="preserve"> Día</w:t>
      </w:r>
      <w:r w:rsidR="00535519" w:rsidRPr="00C02F37">
        <w:rPr>
          <w:rFonts w:ascii="Verdana" w:eastAsia="Calibri" w:hAnsi="Verdana" w:cs="Arial"/>
          <w:b/>
          <w:lang w:val="es-ES" w:eastAsia="es-ES"/>
        </w:rPr>
        <w:t>z</w:t>
      </w:r>
    </w:p>
    <w:p w14:paraId="0B5CB671" w14:textId="4AAB12C2" w:rsidR="004A35EA" w:rsidRPr="00C02F37" w:rsidRDefault="004A35EA" w:rsidP="000B674C">
      <w:pPr>
        <w:spacing w:after="0" w:line="240" w:lineRule="auto"/>
        <w:rPr>
          <w:rFonts w:ascii="Verdana" w:hAnsi="Verdana"/>
        </w:rPr>
      </w:pPr>
      <w:hyperlink r:id="rId12" w:history="1">
        <w:r w:rsidRPr="00C02F37">
          <w:rPr>
            <w:rStyle w:val="Hipervnculo"/>
            <w:rFonts w:ascii="Verdana" w:hAnsi="Verdana"/>
          </w:rPr>
          <w:t>sanchezdiazsilviastella@gmail.com</w:t>
        </w:r>
      </w:hyperlink>
    </w:p>
    <w:p w14:paraId="6B468B48" w14:textId="655E3494" w:rsidR="000B674C" w:rsidRPr="00C02F37" w:rsidRDefault="003A4060" w:rsidP="000B674C">
      <w:pPr>
        <w:spacing w:after="0" w:line="240" w:lineRule="auto"/>
        <w:rPr>
          <w:rFonts w:ascii="Verdana" w:hAnsi="Verdana"/>
        </w:rPr>
      </w:pPr>
      <w:r w:rsidRPr="00C02F37">
        <w:rPr>
          <w:rFonts w:ascii="Verdana" w:hAnsi="Verdana"/>
        </w:rPr>
        <w:t>Bogotá D.C.</w:t>
      </w:r>
    </w:p>
    <w:p w14:paraId="7D898DEE" w14:textId="77777777" w:rsidR="000B674C" w:rsidRDefault="000B674C" w:rsidP="000B674C">
      <w:pPr>
        <w:spacing w:after="0" w:line="240" w:lineRule="auto"/>
        <w:rPr>
          <w:rFonts w:ascii="Verdana" w:eastAsia="Calibri" w:hAnsi="Verdana" w:cs="Arial"/>
          <w:b/>
          <w:bCs/>
          <w:highlight w:val="cyan"/>
          <w:lang w:val="es-ES_tradnl" w:eastAsia="es-ES_tradnl"/>
        </w:rPr>
      </w:pPr>
    </w:p>
    <w:p w14:paraId="5EC4D363" w14:textId="77777777" w:rsidR="007C0D9B" w:rsidRPr="00C02F37" w:rsidRDefault="007C0D9B" w:rsidP="000B674C">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29"/>
        <w:gridCol w:w="6760"/>
      </w:tblGrid>
      <w:tr w:rsidR="000B674C" w:rsidRPr="00C02F37" w14:paraId="3DD9F211" w14:textId="77777777" w:rsidTr="00252124">
        <w:trPr>
          <w:trHeight w:val="747"/>
        </w:trPr>
        <w:tc>
          <w:tcPr>
            <w:tcW w:w="2029" w:type="dxa"/>
          </w:tcPr>
          <w:p w14:paraId="2116CFCF" w14:textId="77777777" w:rsidR="000B674C" w:rsidRPr="00C02F37" w:rsidRDefault="000B674C" w:rsidP="00252124">
            <w:pPr>
              <w:jc w:val="both"/>
              <w:rPr>
                <w:rFonts w:ascii="Verdana" w:eastAsia="Calibri" w:hAnsi="Verdana" w:cs="Arial"/>
                <w:b/>
                <w:bCs/>
                <w:highlight w:val="cyan"/>
                <w:lang w:val="es-ES_tradnl" w:eastAsia="es-ES_tradnl"/>
              </w:rPr>
            </w:pPr>
          </w:p>
        </w:tc>
        <w:tc>
          <w:tcPr>
            <w:tcW w:w="6760" w:type="dxa"/>
          </w:tcPr>
          <w:p w14:paraId="032F04DB" w14:textId="75FAF227" w:rsidR="000B674C" w:rsidRPr="00C02F37" w:rsidRDefault="000B674C" w:rsidP="00252124">
            <w:pPr>
              <w:jc w:val="both"/>
              <w:rPr>
                <w:rFonts w:ascii="Verdana" w:eastAsia="Calibri" w:hAnsi="Verdana" w:cs="Arial"/>
                <w:b/>
                <w:bCs/>
                <w:highlight w:val="cyan"/>
                <w:lang w:val="es-ES" w:eastAsia="es-ES"/>
              </w:rPr>
            </w:pPr>
            <w:r w:rsidRPr="00C02F37">
              <w:rPr>
                <w:rFonts w:ascii="Verdana" w:eastAsia="Calibri" w:hAnsi="Verdana" w:cs="Arial"/>
                <w:b/>
                <w:bCs/>
                <w:lang w:val="es-ES" w:eastAsia="es-ES"/>
              </w:rPr>
              <w:t xml:space="preserve">Concepto </w:t>
            </w:r>
            <w:r w:rsidR="00593EC7" w:rsidRPr="00C02F37">
              <w:rPr>
                <w:rFonts w:ascii="Verdana" w:eastAsia="Calibri" w:hAnsi="Verdana" w:cs="Arial"/>
                <w:b/>
                <w:bCs/>
                <w:lang w:eastAsia="es-ES"/>
              </w:rPr>
              <w:t xml:space="preserve">C-1021 </w:t>
            </w:r>
            <w:r w:rsidRPr="00C02F37">
              <w:rPr>
                <w:rFonts w:ascii="Verdana" w:eastAsia="Calibri" w:hAnsi="Verdana" w:cs="Arial"/>
                <w:b/>
                <w:bCs/>
                <w:lang w:val="es-ES" w:eastAsia="es-ES"/>
              </w:rPr>
              <w:t>de 2024</w:t>
            </w:r>
          </w:p>
        </w:tc>
      </w:tr>
      <w:tr w:rsidR="000B674C" w:rsidRPr="00C02F37" w14:paraId="5522764A" w14:textId="77777777" w:rsidTr="00252124">
        <w:trPr>
          <w:trHeight w:val="884"/>
        </w:trPr>
        <w:tc>
          <w:tcPr>
            <w:tcW w:w="2029" w:type="dxa"/>
            <w:shd w:val="clear" w:color="auto" w:fill="auto"/>
          </w:tcPr>
          <w:p w14:paraId="6D284BF8" w14:textId="77777777" w:rsidR="000B674C" w:rsidRPr="00C02F37" w:rsidRDefault="000B674C" w:rsidP="00252124">
            <w:pPr>
              <w:jc w:val="both"/>
              <w:rPr>
                <w:rFonts w:ascii="Verdana" w:eastAsia="Calibri" w:hAnsi="Verdana" w:cs="Arial"/>
                <w:b/>
                <w:lang w:val="es-ES_tradnl" w:eastAsia="es-ES_tradnl"/>
              </w:rPr>
            </w:pPr>
            <w:r w:rsidRPr="00C02F37">
              <w:rPr>
                <w:rFonts w:ascii="Verdana" w:eastAsia="Calibri" w:hAnsi="Verdana" w:cs="Arial"/>
                <w:b/>
                <w:lang w:val="es-ES_tradnl" w:eastAsia="es-ES_tradnl"/>
              </w:rPr>
              <w:t xml:space="preserve">Temas:                   </w:t>
            </w:r>
          </w:p>
        </w:tc>
        <w:tc>
          <w:tcPr>
            <w:tcW w:w="6760" w:type="dxa"/>
            <w:shd w:val="clear" w:color="auto" w:fill="auto"/>
          </w:tcPr>
          <w:p w14:paraId="43E5828D" w14:textId="11E31756" w:rsidR="000B674C" w:rsidRPr="00C02F37" w:rsidRDefault="00002676" w:rsidP="00252124">
            <w:pPr>
              <w:spacing w:line="276" w:lineRule="auto"/>
              <w:jc w:val="both"/>
              <w:rPr>
                <w:rFonts w:ascii="Verdana" w:eastAsia="Century Gothic" w:hAnsi="Verdana" w:cs="Century Gothic"/>
                <w:bCs/>
              </w:rPr>
            </w:pPr>
            <w:r w:rsidRPr="00C02F37">
              <w:rPr>
                <w:rFonts w:ascii="Verdana" w:eastAsia="Century Gothic" w:hAnsi="Verdana" w:cs="Century Gothic"/>
                <w:bCs/>
              </w:rPr>
              <w:t xml:space="preserve">PROMOCIÓN AL DESARROLLO – Ley 2069 de 2020 – Artículo 34 / CONVOCATORIAS LIMITADAS A MIPYMES NACIONALES – Requisitos / CONVOCATORIAS LIMITADAS A MIPYMES EN EL ÁMBITO TERRITORIAL – Limitación territorial – Facultad discrecional </w:t>
            </w:r>
          </w:p>
          <w:p w14:paraId="3DF7591D" w14:textId="7BA67516" w:rsidR="00002676" w:rsidRPr="00C02F37" w:rsidRDefault="00002676" w:rsidP="00252124">
            <w:pPr>
              <w:spacing w:line="276" w:lineRule="auto"/>
              <w:jc w:val="both"/>
              <w:rPr>
                <w:rFonts w:ascii="Verdana" w:eastAsia="Century Gothic" w:hAnsi="Verdana" w:cs="Century Gothic"/>
                <w:bCs/>
                <w:lang w:val="es-MX"/>
              </w:rPr>
            </w:pPr>
          </w:p>
        </w:tc>
      </w:tr>
      <w:tr w:rsidR="000B674C" w:rsidRPr="00C02F37" w14:paraId="1DC5723F" w14:textId="77777777" w:rsidTr="00252124">
        <w:trPr>
          <w:trHeight w:val="80"/>
        </w:trPr>
        <w:tc>
          <w:tcPr>
            <w:tcW w:w="2029" w:type="dxa"/>
            <w:shd w:val="clear" w:color="auto" w:fill="auto"/>
          </w:tcPr>
          <w:p w14:paraId="2620DD09" w14:textId="77777777" w:rsidR="000B674C" w:rsidRPr="00C02F37" w:rsidRDefault="000B674C" w:rsidP="00252124">
            <w:pPr>
              <w:jc w:val="both"/>
              <w:rPr>
                <w:rFonts w:ascii="Verdana" w:eastAsia="Calibri" w:hAnsi="Verdana" w:cs="Arial"/>
                <w:b/>
                <w:lang w:val="es-ES_tradnl" w:eastAsia="es-ES_tradnl"/>
              </w:rPr>
            </w:pPr>
            <w:r w:rsidRPr="00C02F37">
              <w:rPr>
                <w:rFonts w:ascii="Verdana" w:eastAsia="Calibri" w:hAnsi="Verdana" w:cs="Arial"/>
                <w:b/>
                <w:lang w:val="es-ES_tradnl" w:eastAsia="es-ES_tradnl"/>
              </w:rPr>
              <w:t>Radicación:</w:t>
            </w:r>
            <w:r w:rsidRPr="00C02F37">
              <w:rPr>
                <w:rFonts w:ascii="Verdana" w:eastAsia="Calibri" w:hAnsi="Verdana" w:cs="Arial"/>
                <w:lang w:val="es-ES_tradnl" w:eastAsia="es-ES_tradnl"/>
              </w:rPr>
              <w:t xml:space="preserve">               </w:t>
            </w:r>
          </w:p>
        </w:tc>
        <w:tc>
          <w:tcPr>
            <w:tcW w:w="6760" w:type="dxa"/>
            <w:shd w:val="clear" w:color="auto" w:fill="auto"/>
          </w:tcPr>
          <w:p w14:paraId="55CC682D" w14:textId="28519B69" w:rsidR="000B674C" w:rsidRPr="00C02F37" w:rsidRDefault="000B674C" w:rsidP="00252124">
            <w:pPr>
              <w:jc w:val="both"/>
              <w:rPr>
                <w:rFonts w:ascii="Verdana" w:eastAsia="Calibri" w:hAnsi="Verdana" w:cs="Arial"/>
                <w:lang w:eastAsia="es-ES_tradnl"/>
              </w:rPr>
            </w:pPr>
            <w:r w:rsidRPr="00C02F37">
              <w:rPr>
                <w:rFonts w:ascii="Verdana" w:eastAsia="Calibri" w:hAnsi="Verdana" w:cs="Arial"/>
                <w:lang w:val="es-ES_tradnl" w:eastAsia="es-ES_tradnl"/>
              </w:rPr>
              <w:t xml:space="preserve">Respuesta a consulta con radicado No. </w:t>
            </w:r>
            <w:r w:rsidR="000B03C6" w:rsidRPr="00C02F37">
              <w:rPr>
                <w:rFonts w:ascii="Verdana" w:eastAsia="Calibri" w:hAnsi="Verdana" w:cs="Arial"/>
                <w:lang w:eastAsia="es-ES_tradnl"/>
              </w:rPr>
              <w:t>P20241218012655</w:t>
            </w:r>
            <w:r w:rsidR="00B33D8A" w:rsidRPr="00C02F37">
              <w:rPr>
                <w:rFonts w:ascii="Verdana" w:eastAsia="Calibri" w:hAnsi="Verdana" w:cs="Arial"/>
                <w:lang w:eastAsia="es-ES_tradnl"/>
              </w:rPr>
              <w:t>.</w:t>
            </w:r>
          </w:p>
        </w:tc>
      </w:tr>
    </w:tbl>
    <w:p w14:paraId="3ABCA3F1" w14:textId="77777777" w:rsidR="000B674C" w:rsidRDefault="000B674C" w:rsidP="000B674C">
      <w:pPr>
        <w:spacing w:after="0" w:line="240" w:lineRule="auto"/>
        <w:jc w:val="both"/>
        <w:rPr>
          <w:rFonts w:ascii="Verdana" w:eastAsia="Calibri" w:hAnsi="Verdana" w:cs="Arial"/>
          <w:lang w:val="es-ES_tradnl" w:eastAsia="es-ES_tradnl"/>
        </w:rPr>
      </w:pPr>
    </w:p>
    <w:p w14:paraId="71EA3235" w14:textId="27D1FE41" w:rsidR="000B674C" w:rsidRDefault="000B674C" w:rsidP="000B674C">
      <w:pPr>
        <w:spacing w:after="0" w:line="240" w:lineRule="auto"/>
        <w:jc w:val="both"/>
        <w:rPr>
          <w:rFonts w:ascii="Verdana" w:eastAsia="Calibri" w:hAnsi="Verdana" w:cs="Arial"/>
          <w:lang w:val="es-ES_tradnl" w:eastAsia="es-ES_tradnl"/>
        </w:rPr>
      </w:pPr>
    </w:p>
    <w:p w14:paraId="40951D68" w14:textId="0E2D1918" w:rsidR="000B674C" w:rsidRPr="00C02F37" w:rsidRDefault="000B674C" w:rsidP="000B674C">
      <w:pPr>
        <w:spacing w:after="0" w:line="276" w:lineRule="auto"/>
        <w:jc w:val="both"/>
        <w:rPr>
          <w:rFonts w:ascii="Verdana" w:eastAsia="Calibri" w:hAnsi="Verdana" w:cs="Arial"/>
          <w:lang w:val="es-ES" w:eastAsia="es-ES"/>
        </w:rPr>
      </w:pPr>
      <w:r w:rsidRPr="00C02F37">
        <w:rPr>
          <w:rFonts w:ascii="Verdana" w:eastAsia="Calibri" w:hAnsi="Verdana" w:cs="Arial"/>
          <w:lang w:val="es-ES" w:eastAsia="es-ES"/>
        </w:rPr>
        <w:t xml:space="preserve">Estimada señora </w:t>
      </w:r>
      <w:r w:rsidR="00535519" w:rsidRPr="00C02F37">
        <w:rPr>
          <w:rFonts w:ascii="Verdana" w:eastAsia="Calibri" w:hAnsi="Verdana" w:cs="Arial"/>
          <w:lang w:val="es-ES" w:eastAsia="es-ES"/>
        </w:rPr>
        <w:t>Sánchez</w:t>
      </w:r>
      <w:r w:rsidRPr="00C02F37">
        <w:rPr>
          <w:rFonts w:ascii="Verdana" w:eastAsia="Calibri" w:hAnsi="Verdana" w:cs="Arial"/>
          <w:lang w:val="es-ES" w:eastAsia="es-ES"/>
        </w:rPr>
        <w:t>;</w:t>
      </w:r>
    </w:p>
    <w:p w14:paraId="3395E5E4" w14:textId="77777777" w:rsidR="000B674C" w:rsidRPr="00C02F37" w:rsidRDefault="000B674C" w:rsidP="000B674C">
      <w:pPr>
        <w:tabs>
          <w:tab w:val="left" w:pos="3768"/>
        </w:tabs>
        <w:spacing w:after="0" w:line="276" w:lineRule="auto"/>
        <w:jc w:val="both"/>
        <w:rPr>
          <w:rFonts w:ascii="Verdana" w:eastAsia="Calibri" w:hAnsi="Verdana" w:cs="Arial"/>
          <w:highlight w:val="cyan"/>
          <w:lang w:val="es-ES" w:eastAsia="es-ES"/>
        </w:rPr>
      </w:pPr>
    </w:p>
    <w:p w14:paraId="18A11DC5" w14:textId="77777777" w:rsidR="000B674C" w:rsidRPr="00C02F37" w:rsidRDefault="000B674C" w:rsidP="000B674C">
      <w:pPr>
        <w:spacing w:after="0" w:line="276" w:lineRule="auto"/>
        <w:jc w:val="both"/>
        <w:rPr>
          <w:rFonts w:ascii="Verdana" w:eastAsia="Calibri" w:hAnsi="Verdana" w:cs="Arial"/>
          <w:lang w:val="es-ES" w:eastAsia="es-ES"/>
        </w:rPr>
      </w:pPr>
      <w:r w:rsidRPr="00C02F37">
        <w:rPr>
          <w:rFonts w:ascii="Verdana" w:eastAsia="Calibri" w:hAnsi="Verdana" w:cs="Arial"/>
          <w:lang w:val="es-ES" w:eastAsia="es-ES"/>
        </w:rPr>
        <w:t>En ejercicio de la competencia otorgada por los artículos 3, numeral 5º, y 11, numeral 8º, del Decreto Ley 4170 de 2011,</w:t>
      </w:r>
      <w:r w:rsidRPr="00C02F37">
        <w:rPr>
          <w:rFonts w:ascii="Verdana" w:eastAsia="Arial MT" w:hAnsi="Verdana" w:cs="Arial MT"/>
          <w:lang w:val="es-ES" w:eastAsia="es-ES"/>
        </w:rPr>
        <w:t xml:space="preserve"> </w:t>
      </w:r>
      <w:r w:rsidRPr="00C02F37">
        <w:rPr>
          <w:rFonts w:ascii="Verdana" w:hAnsi="Verdana" w:cs="Arial"/>
        </w:rPr>
        <w:t xml:space="preserve">así como lo establecido en el artículo 4 de la Resolución 1707 de 2018 expedida por esta Entidad, </w:t>
      </w:r>
      <w:r w:rsidRPr="00C02F37">
        <w:rPr>
          <w:rFonts w:ascii="Verdana" w:eastAsia="Calibri" w:hAnsi="Verdana" w:cs="Arial"/>
          <w:lang w:val="es-ES" w:eastAsia="es-ES"/>
        </w:rPr>
        <w:t xml:space="preserve">la Agencia Nacional de Contratación Pública – Colombia Compra Eficiente– responde su solicitud de consulta de fecha 18 de diciembre del 2024, en la cual manifiesta lo siguiente: </w:t>
      </w:r>
    </w:p>
    <w:p w14:paraId="7B118A69" w14:textId="77777777" w:rsidR="00101153" w:rsidRPr="00C02F37" w:rsidRDefault="00101153" w:rsidP="00383B09">
      <w:pPr>
        <w:spacing w:after="0" w:line="240" w:lineRule="auto"/>
        <w:jc w:val="both"/>
        <w:rPr>
          <w:rFonts w:ascii="Verdana" w:hAnsi="Verdana"/>
          <w:highlight w:val="cyan"/>
          <w:lang w:val="es-ES"/>
        </w:rPr>
      </w:pPr>
    </w:p>
    <w:p w14:paraId="0A49F0B6" w14:textId="496E3929" w:rsidR="00386D80" w:rsidRPr="00C02F37" w:rsidRDefault="000B674C" w:rsidP="00383B09">
      <w:pPr>
        <w:spacing w:after="0" w:line="240" w:lineRule="auto"/>
        <w:ind w:left="709" w:right="709"/>
        <w:jc w:val="both"/>
        <w:rPr>
          <w:rFonts w:ascii="Verdana" w:eastAsia="Century Gothic" w:hAnsi="Verdana" w:cs="Century Gothic"/>
          <w:sz w:val="20"/>
          <w:szCs w:val="20"/>
          <w:lang w:val="es-ES"/>
        </w:rPr>
      </w:pPr>
      <w:r w:rsidRPr="00C02F37">
        <w:rPr>
          <w:rFonts w:ascii="Verdana" w:eastAsia="Century Gothic" w:hAnsi="Verdana" w:cs="Century Gothic"/>
          <w:sz w:val="20"/>
          <w:szCs w:val="20"/>
          <w:lang w:val="es-ES"/>
        </w:rPr>
        <w:t xml:space="preserve">“[…] </w:t>
      </w:r>
      <w:r w:rsidR="00386D80" w:rsidRPr="00C02F37">
        <w:rPr>
          <w:rFonts w:ascii="Verdana" w:eastAsia="Century Gothic" w:hAnsi="Verdana" w:cs="Century Gothic"/>
          <w:sz w:val="20"/>
          <w:szCs w:val="20"/>
          <w:lang w:val="es-ES"/>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r w:rsidR="00101153" w:rsidRPr="00C02F37">
        <w:rPr>
          <w:rFonts w:ascii="Verdana" w:eastAsia="Century Gothic" w:hAnsi="Verdana" w:cs="Century Gothic"/>
          <w:sz w:val="20"/>
          <w:szCs w:val="20"/>
          <w:lang w:val="es-ES"/>
        </w:rPr>
        <w:t>MiPymes</w:t>
      </w:r>
      <w:r w:rsidR="00386D80" w:rsidRPr="00C02F37">
        <w:rPr>
          <w:rFonts w:ascii="Verdana" w:eastAsia="Century Gothic" w:hAnsi="Verdana" w:cs="Century Gothic"/>
          <w:sz w:val="20"/>
          <w:szCs w:val="20"/>
          <w:lang w:val="es-ES"/>
        </w:rPr>
        <w:t xml:space="preserve"> colombianas que tengan domicilio en los departamentos o municipios en donde se va a ejecutar el contrato. Cada </w:t>
      </w:r>
      <w:r w:rsidR="00101153" w:rsidRPr="00C02F37">
        <w:rPr>
          <w:rFonts w:ascii="Verdana" w:eastAsia="Century Gothic" w:hAnsi="Verdana" w:cs="Century Gothic"/>
          <w:sz w:val="20"/>
          <w:szCs w:val="20"/>
          <w:lang w:val="es-ES"/>
        </w:rPr>
        <w:lastRenderedPageBreak/>
        <w:t>Mipymes</w:t>
      </w:r>
      <w:r w:rsidR="00386D80" w:rsidRPr="00C02F37">
        <w:rPr>
          <w:rFonts w:ascii="Verdana" w:eastAsia="Century Gothic" w:hAnsi="Verdana" w:cs="Century Gothic"/>
          <w:sz w:val="20"/>
          <w:szCs w:val="20"/>
          <w:lang w:val="es-ES"/>
        </w:rPr>
        <w:t xml:space="preserve"> deberá acreditar su domicilio con los documentos a los que se refiere el siguiente artículo. </w:t>
      </w:r>
    </w:p>
    <w:p w14:paraId="22E4F1FF" w14:textId="77777777" w:rsidR="00386D80" w:rsidRPr="00C02F37" w:rsidRDefault="00386D80" w:rsidP="00383B09">
      <w:pPr>
        <w:spacing w:after="0" w:line="240" w:lineRule="auto"/>
        <w:ind w:left="709" w:right="709"/>
        <w:jc w:val="both"/>
        <w:rPr>
          <w:rFonts w:ascii="Verdana" w:eastAsia="Century Gothic" w:hAnsi="Verdana" w:cs="Century Gothic"/>
          <w:sz w:val="20"/>
          <w:szCs w:val="20"/>
          <w:lang w:val="es-ES"/>
        </w:rPr>
      </w:pPr>
    </w:p>
    <w:p w14:paraId="7A44801E" w14:textId="172BFA4A" w:rsidR="00386D80" w:rsidRPr="00386D80" w:rsidRDefault="00386D80" w:rsidP="00383B09">
      <w:pPr>
        <w:spacing w:after="0" w:line="240" w:lineRule="auto"/>
        <w:ind w:left="709" w:right="709"/>
        <w:jc w:val="both"/>
        <w:rPr>
          <w:rFonts w:ascii="Verdana" w:eastAsia="Century Gothic" w:hAnsi="Verdana" w:cs="Century Gothic"/>
          <w:sz w:val="20"/>
          <w:szCs w:val="20"/>
        </w:rPr>
      </w:pPr>
      <w:r w:rsidRPr="00386D80">
        <w:rPr>
          <w:rFonts w:ascii="Verdana" w:eastAsia="Century Gothic" w:hAnsi="Verdana" w:cs="Century Gothic"/>
          <w:sz w:val="20"/>
          <w:szCs w:val="20"/>
        </w:rPr>
        <w:t xml:space="preserve">En este artículo se prevé que la limitación a </w:t>
      </w:r>
      <w:r w:rsidR="00101153" w:rsidRPr="00C02F37">
        <w:rPr>
          <w:rFonts w:ascii="Verdana" w:eastAsia="Century Gothic" w:hAnsi="Verdana" w:cs="Century Gothic"/>
          <w:sz w:val="20"/>
          <w:szCs w:val="20"/>
        </w:rPr>
        <w:t xml:space="preserve">MiPymes </w:t>
      </w:r>
      <w:r w:rsidRPr="00C02F37">
        <w:rPr>
          <w:rFonts w:ascii="Verdana" w:eastAsia="Century Gothic" w:hAnsi="Verdana" w:cs="Century Gothic"/>
          <w:sz w:val="20"/>
          <w:szCs w:val="20"/>
        </w:rPr>
        <w:t>depende</w:t>
      </w:r>
      <w:r w:rsidRPr="00386D80">
        <w:rPr>
          <w:rFonts w:ascii="Verdana" w:eastAsia="Century Gothic" w:hAnsi="Verdana" w:cs="Century Gothic"/>
          <w:sz w:val="20"/>
          <w:szCs w:val="20"/>
        </w:rPr>
        <w:t xml:space="preserve"> del lugar de ejecución del contrato.</w:t>
      </w:r>
    </w:p>
    <w:p w14:paraId="1F8440B7" w14:textId="77777777" w:rsidR="00386D80" w:rsidRPr="00C02F37" w:rsidRDefault="00386D80" w:rsidP="00383B09">
      <w:pPr>
        <w:spacing w:after="0" w:line="240" w:lineRule="auto"/>
        <w:ind w:left="709" w:right="709"/>
        <w:jc w:val="both"/>
        <w:rPr>
          <w:rFonts w:ascii="Verdana" w:eastAsia="Century Gothic" w:hAnsi="Verdana" w:cs="Century Gothic"/>
          <w:sz w:val="20"/>
          <w:szCs w:val="20"/>
        </w:rPr>
      </w:pPr>
    </w:p>
    <w:p w14:paraId="5CC06514" w14:textId="0382DBB3" w:rsidR="000B674C" w:rsidRPr="00C02F37" w:rsidRDefault="00386D80" w:rsidP="00383B09">
      <w:pPr>
        <w:spacing w:after="0" w:line="240" w:lineRule="auto"/>
        <w:ind w:left="709" w:right="709"/>
        <w:jc w:val="both"/>
        <w:rPr>
          <w:rFonts w:ascii="Verdana" w:eastAsia="Century Gothic" w:hAnsi="Verdana" w:cs="Century Gothic"/>
          <w:sz w:val="20"/>
          <w:szCs w:val="20"/>
        </w:rPr>
      </w:pPr>
      <w:r w:rsidRPr="00386D80">
        <w:rPr>
          <w:rFonts w:ascii="Verdana" w:eastAsia="Century Gothic" w:hAnsi="Verdana" w:cs="Century Gothic"/>
          <w:sz w:val="20"/>
          <w:szCs w:val="20"/>
        </w:rPr>
        <w:t xml:space="preserve">Sin embargo hemos evidenciado que las GOBERNACIONES no limitan a </w:t>
      </w:r>
      <w:r w:rsidR="00101153" w:rsidRPr="00C02F37">
        <w:rPr>
          <w:rFonts w:ascii="Verdana" w:eastAsia="Century Gothic" w:hAnsi="Verdana" w:cs="Century Gothic"/>
          <w:sz w:val="20"/>
          <w:szCs w:val="20"/>
        </w:rPr>
        <w:t>MiPymes</w:t>
      </w:r>
      <w:r w:rsidRPr="00386D80">
        <w:rPr>
          <w:rFonts w:ascii="Verdana" w:eastAsia="Century Gothic" w:hAnsi="Verdana" w:cs="Century Gothic"/>
          <w:sz w:val="20"/>
          <w:szCs w:val="20"/>
        </w:rPr>
        <w:t xml:space="preserve"> municipal </w:t>
      </w:r>
      <w:r w:rsidRPr="00C02F37">
        <w:rPr>
          <w:rFonts w:ascii="Verdana" w:eastAsia="Century Gothic" w:hAnsi="Verdana" w:cs="Century Gothic"/>
          <w:sz w:val="20"/>
          <w:szCs w:val="20"/>
        </w:rPr>
        <w:t>a pesar de que</w:t>
      </w:r>
      <w:r w:rsidRPr="00386D80">
        <w:rPr>
          <w:rFonts w:ascii="Verdana" w:eastAsia="Century Gothic" w:hAnsi="Verdana" w:cs="Century Gothic"/>
          <w:sz w:val="20"/>
          <w:szCs w:val="20"/>
        </w:rPr>
        <w:t xml:space="preserve"> en el proceso se diga que la ejecución es el municipio de ubicación de la GOBERNACION.</w:t>
      </w:r>
      <w:r w:rsidRPr="00C02F37">
        <w:rPr>
          <w:rFonts w:ascii="Verdana" w:eastAsia="Century Gothic" w:hAnsi="Verdana" w:cs="Century Gothic"/>
          <w:sz w:val="20"/>
          <w:szCs w:val="20"/>
        </w:rPr>
        <w:t xml:space="preserve"> </w:t>
      </w:r>
      <w:r w:rsidR="000B674C" w:rsidRPr="00C02F37">
        <w:rPr>
          <w:rFonts w:ascii="Verdana" w:eastAsia="Century Gothic" w:hAnsi="Verdana" w:cs="Century Gothic"/>
          <w:sz w:val="20"/>
          <w:szCs w:val="20"/>
          <w:lang w:val="es-ES"/>
        </w:rPr>
        <w:t>[…]”</w:t>
      </w:r>
    </w:p>
    <w:p w14:paraId="5BF28DB3" w14:textId="77777777" w:rsidR="000B674C" w:rsidRPr="00C02F37" w:rsidRDefault="000B674C" w:rsidP="000B674C">
      <w:pPr>
        <w:spacing w:after="0"/>
        <w:jc w:val="both"/>
        <w:rPr>
          <w:rStyle w:val="Hipervnculo"/>
          <w:rFonts w:ascii="Verdana" w:hAnsi="Verdana"/>
          <w:lang w:val="es-ES"/>
        </w:rPr>
      </w:pPr>
    </w:p>
    <w:p w14:paraId="0332F947" w14:textId="77777777" w:rsidR="000B674C" w:rsidRPr="00C02F37" w:rsidRDefault="000B674C" w:rsidP="000B674C">
      <w:pPr>
        <w:spacing w:after="120" w:line="276" w:lineRule="auto"/>
        <w:ind w:firstLine="709"/>
        <w:jc w:val="both"/>
        <w:rPr>
          <w:rFonts w:ascii="Verdana" w:eastAsia="Calibri" w:hAnsi="Verdana" w:cs="Arial"/>
          <w:color w:val="000000"/>
          <w:lang w:val="es-ES_tradnl" w:eastAsia="es-ES_tradnl"/>
        </w:rPr>
      </w:pPr>
      <w:r w:rsidRPr="00C02F37">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5591C5D3" w14:textId="77777777" w:rsidR="000B674C" w:rsidRPr="00C02F37" w:rsidRDefault="000B674C" w:rsidP="000B674C">
      <w:pPr>
        <w:spacing w:after="0" w:line="276" w:lineRule="auto"/>
        <w:ind w:firstLine="709"/>
        <w:jc w:val="both"/>
        <w:rPr>
          <w:rFonts w:ascii="Verdana" w:eastAsia="Calibri" w:hAnsi="Verdana" w:cs="Arial"/>
          <w:color w:val="000000"/>
          <w:lang w:val="es-ES" w:eastAsia="es-ES"/>
        </w:rPr>
      </w:pPr>
      <w:r w:rsidRPr="00C02F37">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45F0FDD" w14:textId="77777777" w:rsidR="000B674C" w:rsidRPr="00C02F37" w:rsidRDefault="000B674C" w:rsidP="000B674C">
      <w:pPr>
        <w:spacing w:after="0"/>
        <w:jc w:val="both"/>
        <w:rPr>
          <w:rFonts w:ascii="Verdana" w:hAnsi="Verdana"/>
          <w:lang w:val="es-ES"/>
        </w:rPr>
      </w:pPr>
    </w:p>
    <w:p w14:paraId="5DF06474" w14:textId="77777777" w:rsidR="000B674C" w:rsidRPr="00C02F37" w:rsidRDefault="000B674C" w:rsidP="000B674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02F37">
        <w:rPr>
          <w:rFonts w:ascii="Verdana" w:eastAsia="Century Gothic" w:hAnsi="Verdana" w:cs="Century Gothic"/>
          <w:b/>
          <w:bCs/>
        </w:rPr>
        <w:t>Problema planteado:</w:t>
      </w:r>
    </w:p>
    <w:p w14:paraId="6A4AA7CE" w14:textId="77777777" w:rsidR="000B674C" w:rsidRPr="00C02F37" w:rsidRDefault="000B674C" w:rsidP="000B674C">
      <w:pPr>
        <w:spacing w:after="0"/>
        <w:jc w:val="both"/>
        <w:rPr>
          <w:rStyle w:val="Hipervnculo"/>
          <w:rFonts w:ascii="Verdana" w:hAnsi="Verdana"/>
          <w:highlight w:val="cyan"/>
        </w:rPr>
      </w:pPr>
    </w:p>
    <w:p w14:paraId="4D1478BB" w14:textId="2269784C" w:rsidR="000B674C" w:rsidRPr="00C02F37" w:rsidRDefault="000B674C" w:rsidP="000B674C">
      <w:pPr>
        <w:spacing w:after="0" w:line="276" w:lineRule="auto"/>
        <w:jc w:val="both"/>
        <w:rPr>
          <w:rFonts w:ascii="Verdana" w:eastAsia="Calibri" w:hAnsi="Verdana" w:cs="Arial"/>
          <w:lang w:val="es-ES" w:bidi="es-ES"/>
        </w:rPr>
      </w:pPr>
      <w:r w:rsidRPr="00C02F37">
        <w:rPr>
          <w:rFonts w:ascii="Verdana" w:eastAsia="Century Gothic" w:hAnsi="Verdana" w:cs="Arial"/>
        </w:rPr>
        <w:t xml:space="preserve">De acuerdo con el contenido de su solicitud, esta Agencia resolverá el siguiente problema jurídico: </w:t>
      </w:r>
      <w:r w:rsidR="007A775F" w:rsidRPr="00C02F37">
        <w:rPr>
          <w:rFonts w:ascii="Verdana" w:hAnsi="Verdana"/>
        </w:rPr>
        <w:t>¿</w:t>
      </w:r>
      <w:r w:rsidR="006F5FE2" w:rsidRPr="00C02F37">
        <w:rPr>
          <w:rFonts w:ascii="Verdana" w:hAnsi="Verdana"/>
        </w:rPr>
        <w:t>Bajo qué supuestos puede una Entidad Estatal limitar una convocatoria MiPymes a nivel territorial</w:t>
      </w:r>
      <w:r w:rsidR="00905667" w:rsidRPr="00C02F37">
        <w:rPr>
          <w:rFonts w:ascii="Verdana" w:hAnsi="Verdana"/>
        </w:rPr>
        <w:t>?</w:t>
      </w:r>
    </w:p>
    <w:p w14:paraId="71450DB7" w14:textId="77777777" w:rsidR="00322A85" w:rsidRPr="00C02F37" w:rsidRDefault="00322A85" w:rsidP="00E245AB">
      <w:pPr>
        <w:spacing w:after="0"/>
        <w:jc w:val="both"/>
        <w:rPr>
          <w:rStyle w:val="Hipervnculo"/>
          <w:rFonts w:ascii="Verdana" w:hAnsi="Verdana"/>
        </w:rPr>
      </w:pPr>
    </w:p>
    <w:p w14:paraId="3DA59756" w14:textId="4FE6A961" w:rsidR="006975AD" w:rsidRPr="00C02F37" w:rsidRDefault="006975AD" w:rsidP="00C82BA4">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C02F37">
        <w:rPr>
          <w:rFonts w:ascii="Verdana" w:eastAsia="Arial" w:hAnsi="Verdana" w:cs="Arial"/>
          <w:b/>
          <w:bCs/>
        </w:rPr>
        <w:t>Respuesta:</w:t>
      </w:r>
    </w:p>
    <w:p w14:paraId="14AB931A" w14:textId="77777777" w:rsidR="006975AD" w:rsidRPr="00C02F37" w:rsidRDefault="006975AD" w:rsidP="006975AD">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75AD" w:rsidRPr="00C02F37" w14:paraId="065E297B" w14:textId="77777777" w:rsidTr="00252124">
        <w:tc>
          <w:tcPr>
            <w:tcW w:w="8828" w:type="dxa"/>
            <w:shd w:val="clear" w:color="auto" w:fill="auto"/>
          </w:tcPr>
          <w:p w14:paraId="67DEC3B4" w14:textId="77777777" w:rsidR="006975AD" w:rsidRPr="00C02F37" w:rsidRDefault="006975AD" w:rsidP="006975AD">
            <w:pPr>
              <w:spacing w:after="120" w:line="276" w:lineRule="auto"/>
              <w:jc w:val="both"/>
              <w:rPr>
                <w:rFonts w:ascii="Verdana" w:eastAsia="Calibri" w:hAnsi="Verdana" w:cs="Arial"/>
                <w:lang w:val="es-ES"/>
              </w:rPr>
            </w:pPr>
            <w:bookmarkStart w:id="1" w:name="_Hlk171067516"/>
            <w:r w:rsidRPr="00C02F37">
              <w:rPr>
                <w:rFonts w:ascii="Verdana" w:eastAsia="Calibri" w:hAnsi="Verdana" w:cs="Arial"/>
                <w:lang w:val="es-ES"/>
              </w:rPr>
              <w:t>En respuesta al problema planteado esta Subdirección manifiesta:</w:t>
            </w:r>
          </w:p>
          <w:p w14:paraId="03FD263E" w14:textId="3AA2F219" w:rsidR="0000448F" w:rsidRPr="00C02F37" w:rsidRDefault="0000448F" w:rsidP="0000448F">
            <w:pPr>
              <w:spacing w:after="120" w:line="276" w:lineRule="auto"/>
              <w:jc w:val="both"/>
              <w:rPr>
                <w:rFonts w:ascii="Verdana" w:eastAsia="Century Gothic" w:hAnsi="Verdana" w:cs="Century Gothic"/>
              </w:rPr>
            </w:pPr>
            <w:r w:rsidRPr="00C02F37">
              <w:rPr>
                <w:rFonts w:ascii="Verdana" w:eastAsia="Century Gothic" w:hAnsi="Verdana" w:cs="Century Gothic"/>
              </w:rPr>
              <w:t xml:space="preserve">La facultad de limitar convocatorias territorialmente en favor de las Mipymes con domicilio en un municipio o en un departamento específico debe ejercerse </w:t>
            </w:r>
            <w:r w:rsidRPr="00C02F37">
              <w:rPr>
                <w:rFonts w:ascii="Verdana" w:eastAsia="Century Gothic" w:hAnsi="Verdana" w:cs="Century Gothic"/>
              </w:rPr>
              <w:lastRenderedPageBreak/>
              <w:t xml:space="preserve">por las </w:t>
            </w:r>
            <w:r w:rsidR="00270F31" w:rsidRPr="00C02F37">
              <w:rPr>
                <w:rFonts w:ascii="Verdana" w:eastAsia="Century Gothic" w:hAnsi="Verdana" w:cs="Century Gothic"/>
              </w:rPr>
              <w:t>E</w:t>
            </w:r>
            <w:r w:rsidRPr="00C02F37">
              <w:rPr>
                <w:rFonts w:ascii="Verdana" w:eastAsia="Century Gothic" w:hAnsi="Verdana" w:cs="Century Gothic"/>
              </w:rPr>
              <w:t xml:space="preserve">ntidades </w:t>
            </w:r>
            <w:r w:rsidR="00270F31" w:rsidRPr="00C02F37">
              <w:rPr>
                <w:rFonts w:ascii="Verdana" w:eastAsia="Century Gothic" w:hAnsi="Verdana" w:cs="Century Gothic"/>
              </w:rPr>
              <w:t>E</w:t>
            </w:r>
            <w:r w:rsidRPr="00C02F37">
              <w:rPr>
                <w:rFonts w:ascii="Verdana" w:eastAsia="Century Gothic" w:hAnsi="Verdana" w:cs="Century Gothic"/>
              </w:rPr>
              <w:t xml:space="preserve">statales dentro del marco de lo regulado por el artículo 2.2.1.2.4.2.3 del Decreto 1082 de 2015, el cual establece como presupuesto que las Mipymes tengan su domicilio en el lugar en donde se va a ejecutar el contrato. En ese sentido, en el marco de estas convocatorias, la exigibilidad de que el domicilio de las Mipymes se ubique en un único municipio en particular o en alguno de los municipios que conforman un departamento en concreto, depende del ámbito territorial en el que se va a desarrollar el objeto contractual. </w:t>
            </w:r>
          </w:p>
          <w:p w14:paraId="343331DD" w14:textId="77777777" w:rsidR="00500422" w:rsidRPr="00C02F37" w:rsidRDefault="0000448F" w:rsidP="0000448F">
            <w:pPr>
              <w:spacing w:after="120" w:line="276" w:lineRule="auto"/>
              <w:jc w:val="both"/>
              <w:rPr>
                <w:rFonts w:ascii="Verdana" w:eastAsia="Century Gothic" w:hAnsi="Verdana" w:cs="Century Gothic"/>
              </w:rPr>
            </w:pPr>
            <w:r w:rsidRPr="00C02F37">
              <w:rPr>
                <w:rFonts w:ascii="Verdana" w:eastAsia="Century Gothic" w:hAnsi="Verdana" w:cs="Century Gothic"/>
              </w:rPr>
              <w:t xml:space="preserve">Conforme a lo anterior, sí un contrato se va a ejecutar en un único municipio, las Mipymes que participen la convocatoria limitada por el factor territorial deberán tener su domicilio principal en dicha entidad territorial.  Asimismo, tratándose de un contrato cuya ejecución deberá desplegarse en el ámbito departamental, habiéndose limitado la convocatoria según lo dispuesto en el artículo 2.2.1.2.4.2.3, podrán participar Mipymes cuyos domicilios se encuentren establecidos en alguno de los municipios que conforman el departamento en el que se va a ejecutar el contrato.  </w:t>
            </w:r>
          </w:p>
          <w:p w14:paraId="6BED36DA" w14:textId="4EDC6277" w:rsidR="00270F31" w:rsidRPr="00C02F37" w:rsidRDefault="00500422" w:rsidP="0000448F">
            <w:pPr>
              <w:spacing w:after="120" w:line="276" w:lineRule="auto"/>
              <w:jc w:val="both"/>
              <w:rPr>
                <w:rFonts w:ascii="Verdana" w:hAnsi="Verdana"/>
              </w:rPr>
            </w:pPr>
            <w:r w:rsidRPr="00C02F37">
              <w:rPr>
                <w:rFonts w:ascii="Verdana" w:hAnsi="Verdana"/>
                <w:lang w:val="es-ES"/>
              </w:rPr>
              <w:t>Ahora bien, conforme</w:t>
            </w:r>
            <w:r w:rsidR="00663CF4" w:rsidRPr="00C02F37">
              <w:rPr>
                <w:rFonts w:ascii="Verdana" w:hAnsi="Verdana"/>
                <w:lang w:val="es-ES"/>
              </w:rPr>
              <w:t xml:space="preserve"> a</w:t>
            </w:r>
            <w:r w:rsidRPr="00C02F37">
              <w:rPr>
                <w:rFonts w:ascii="Verdana" w:hAnsi="Verdana"/>
              </w:rPr>
              <w:t xml:space="preserve"> lo establecido en los artículos 12 de la Ley 1150 de 2007 y 2.2.1.2.4.2.2 del Decreto 1082 de 2015, modificado por el Decreto 1860 de 2021, </w:t>
            </w:r>
            <w:r w:rsidR="003C38AA" w:rsidRPr="00C02F37">
              <w:rPr>
                <w:rFonts w:ascii="Verdana" w:hAnsi="Verdana"/>
              </w:rPr>
              <w:t xml:space="preserve">si bien cualquier interesado puede solicitar limitar </w:t>
            </w:r>
            <w:r w:rsidRPr="00C02F37">
              <w:rPr>
                <w:rFonts w:ascii="Verdana" w:hAnsi="Verdana"/>
              </w:rPr>
              <w:t>una convocatoria a MiPymes a nivel territorial</w:t>
            </w:r>
            <w:r w:rsidR="003C38AA" w:rsidRPr="00C02F37">
              <w:rPr>
                <w:rFonts w:ascii="Verdana" w:hAnsi="Verdana"/>
              </w:rPr>
              <w:t xml:space="preserve">, lo cierto es que, </w:t>
            </w:r>
            <w:r w:rsidRPr="00C02F37">
              <w:rPr>
                <w:rFonts w:ascii="Verdana" w:hAnsi="Verdana"/>
              </w:rPr>
              <w:t>la decisión de limitar o no territorialmente la convocatoria corresponderá a la Entidad contratante, esto en el entendido que se trata de una facultad discrecional, y esta última será la encargada de valorar si es oportuno y conveniente adoptarla.</w:t>
            </w:r>
          </w:p>
        </w:tc>
      </w:tr>
      <w:bookmarkEnd w:id="1"/>
    </w:tbl>
    <w:p w14:paraId="656A16E4" w14:textId="77777777" w:rsidR="006975AD" w:rsidRPr="00C02F37" w:rsidRDefault="006975AD" w:rsidP="006975AD">
      <w:pPr>
        <w:widowControl w:val="0"/>
        <w:autoSpaceDE w:val="0"/>
        <w:autoSpaceDN w:val="0"/>
        <w:spacing w:before="1" w:after="0" w:line="240" w:lineRule="auto"/>
        <w:ind w:left="360" w:hanging="360"/>
        <w:outlineLvl w:val="0"/>
        <w:rPr>
          <w:rFonts w:ascii="Verdana" w:eastAsia="Arial" w:hAnsi="Verdana" w:cs="Arial"/>
          <w:b/>
          <w:bCs/>
          <w:lang w:val="es-ES"/>
        </w:rPr>
      </w:pPr>
    </w:p>
    <w:p w14:paraId="31FD2669" w14:textId="77777777" w:rsidR="006975AD" w:rsidRPr="00C02F37" w:rsidRDefault="006975AD" w:rsidP="006975AD">
      <w:pPr>
        <w:widowControl w:val="0"/>
        <w:autoSpaceDE w:val="0"/>
        <w:autoSpaceDN w:val="0"/>
        <w:spacing w:before="1" w:after="0" w:line="240" w:lineRule="auto"/>
        <w:ind w:left="360" w:hanging="360"/>
        <w:outlineLvl w:val="0"/>
        <w:rPr>
          <w:rFonts w:ascii="Verdana" w:eastAsia="Arial" w:hAnsi="Verdana" w:cs="Arial"/>
          <w:b/>
          <w:bCs/>
          <w:lang w:val="es-ES"/>
        </w:rPr>
      </w:pPr>
      <w:r w:rsidRPr="00C02F37">
        <w:rPr>
          <w:rFonts w:ascii="Verdana" w:eastAsia="Arial" w:hAnsi="Verdana" w:cs="Arial"/>
          <w:b/>
          <w:bCs/>
          <w:lang w:val="es-ES"/>
        </w:rPr>
        <w:t>3. Razones de la respuesta</w:t>
      </w:r>
    </w:p>
    <w:p w14:paraId="57B74E1A" w14:textId="77777777" w:rsidR="006975AD" w:rsidRPr="00C02F37" w:rsidRDefault="006975AD" w:rsidP="006975AD">
      <w:pPr>
        <w:spacing w:after="0" w:line="276" w:lineRule="auto"/>
        <w:jc w:val="both"/>
        <w:rPr>
          <w:rFonts w:ascii="Verdana" w:eastAsia="Calibri" w:hAnsi="Verdana" w:cs="Arial"/>
          <w:lang w:val="es-ES"/>
        </w:rPr>
      </w:pPr>
    </w:p>
    <w:p w14:paraId="2E3C31FC" w14:textId="77777777" w:rsidR="006975AD" w:rsidRPr="00C02F37" w:rsidRDefault="006975AD" w:rsidP="006975AD">
      <w:pPr>
        <w:spacing w:after="0" w:line="276" w:lineRule="auto"/>
        <w:jc w:val="both"/>
        <w:rPr>
          <w:rFonts w:ascii="Verdana" w:eastAsia="Calibri" w:hAnsi="Verdana" w:cs="Arial"/>
          <w:lang w:val="es-ES"/>
        </w:rPr>
      </w:pPr>
      <w:r w:rsidRPr="00C02F37">
        <w:rPr>
          <w:rFonts w:ascii="Verdana" w:eastAsia="Calibri" w:hAnsi="Verdana" w:cs="Arial"/>
          <w:lang w:val="es-ES"/>
        </w:rPr>
        <w:t xml:space="preserve">La respuesta anterior se sustenta en las siguientes consideraciones: </w:t>
      </w:r>
    </w:p>
    <w:p w14:paraId="48A1EFE8" w14:textId="5FDF7663" w:rsidR="002707A2" w:rsidRPr="00C02F37" w:rsidRDefault="002707A2" w:rsidP="00E245AB">
      <w:pPr>
        <w:spacing w:after="0"/>
        <w:jc w:val="both"/>
        <w:rPr>
          <w:rStyle w:val="Hipervnculo"/>
          <w:rFonts w:ascii="Verdana" w:hAnsi="Verdana"/>
          <w:lang w:val="es-ES"/>
        </w:rPr>
      </w:pPr>
    </w:p>
    <w:p w14:paraId="76E03FAD" w14:textId="77777777" w:rsidR="0049671A" w:rsidRPr="00C02F37" w:rsidRDefault="006C2427" w:rsidP="0049671A">
      <w:pPr>
        <w:pStyle w:val="Prrafodelista"/>
        <w:numPr>
          <w:ilvl w:val="0"/>
          <w:numId w:val="19"/>
        </w:numPr>
        <w:spacing w:after="0"/>
        <w:jc w:val="both"/>
        <w:rPr>
          <w:rFonts w:ascii="Verdana" w:eastAsia="Calibri" w:hAnsi="Verdana" w:cs="Arial"/>
        </w:rPr>
      </w:pPr>
      <w:r w:rsidRPr="00C02F37">
        <w:rPr>
          <w:rFonts w:ascii="Verdana" w:hAnsi="Verdana" w:cs="Arial"/>
          <w:color w:val="000000" w:themeColor="text1"/>
          <w:lang w:val="es-ES_tradnl"/>
        </w:rPr>
        <w:t xml:space="preserve">Respecto a las convocatorias limitadas a MiPymes,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w:t>
      </w:r>
      <w:r w:rsidRPr="00C02F37">
        <w:rPr>
          <w:rFonts w:ascii="Verdana" w:hAnsi="Verdana" w:cs="Arial"/>
          <w:color w:val="000000" w:themeColor="text1"/>
          <w:lang w:val="es-ES_tradnl"/>
        </w:rPr>
        <w:lastRenderedPageBreak/>
        <w:t>de esta finalidad, se establecen medidas de apoyo para las micro, pequeñas y medianas empresas –MiPymes–,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24A7B7E3" w14:textId="77777777" w:rsidR="0049671A" w:rsidRPr="00C02F37" w:rsidRDefault="0049671A" w:rsidP="0049671A">
      <w:pPr>
        <w:pStyle w:val="Prrafodelista"/>
        <w:spacing w:after="0"/>
        <w:ind w:left="360"/>
        <w:jc w:val="both"/>
        <w:rPr>
          <w:rFonts w:ascii="Verdana" w:eastAsia="Calibri" w:hAnsi="Verdana" w:cs="Arial"/>
        </w:rPr>
      </w:pPr>
    </w:p>
    <w:p w14:paraId="218ADBD8" w14:textId="77777777" w:rsidR="002728C9" w:rsidRPr="00C02F37" w:rsidRDefault="0049671A" w:rsidP="002728C9">
      <w:pPr>
        <w:pStyle w:val="Prrafodelista"/>
        <w:numPr>
          <w:ilvl w:val="0"/>
          <w:numId w:val="19"/>
        </w:numPr>
        <w:spacing w:after="0"/>
        <w:jc w:val="both"/>
        <w:rPr>
          <w:rFonts w:ascii="Verdana" w:eastAsia="Calibri" w:hAnsi="Verdana" w:cs="Arial"/>
        </w:rPr>
      </w:pPr>
      <w:r w:rsidRPr="00C02F37">
        <w:rPr>
          <w:rFonts w:ascii="Verdana" w:eastAsia="Calibri" w:hAnsi="Verdana" w:cs="Arial"/>
        </w:rPr>
        <w:t>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MiPymes, a continuación de se estudiará el contenido y alcance del artículo 34.</w:t>
      </w:r>
    </w:p>
    <w:p w14:paraId="6720A9B6" w14:textId="77777777" w:rsidR="002728C9" w:rsidRPr="00C02F37" w:rsidRDefault="002728C9" w:rsidP="002728C9">
      <w:pPr>
        <w:pStyle w:val="Prrafodelista"/>
        <w:rPr>
          <w:rFonts w:ascii="Verdana" w:eastAsia="Calibri" w:hAnsi="Verdana" w:cs="Arial"/>
        </w:rPr>
      </w:pPr>
    </w:p>
    <w:p w14:paraId="7FB2D74D" w14:textId="77777777" w:rsidR="005B30E8" w:rsidRPr="00C02F37" w:rsidRDefault="002728C9" w:rsidP="005B30E8">
      <w:pPr>
        <w:pStyle w:val="Prrafodelista"/>
        <w:numPr>
          <w:ilvl w:val="0"/>
          <w:numId w:val="19"/>
        </w:numPr>
        <w:spacing w:after="0"/>
        <w:jc w:val="both"/>
        <w:rPr>
          <w:rFonts w:ascii="Verdana" w:eastAsia="Calibri" w:hAnsi="Verdana" w:cs="Arial"/>
        </w:rPr>
      </w:pPr>
      <w:r w:rsidRPr="00C02F37">
        <w:rPr>
          <w:rFonts w:ascii="Verdana" w:eastAsia="Calibri" w:hAnsi="Verdana" w:cs="Arial"/>
        </w:rPr>
        <w:t xml:space="preserve">El artículo 34 de la Ley 2069 de 2020 </w:t>
      </w:r>
      <w:r w:rsidRPr="00C02F37">
        <w:rPr>
          <w:rFonts w:ascii="Verdana" w:eastAsia="Calibri" w:hAnsi="Verdana" w:cs="Arial"/>
          <w:i/>
          <w:iCs/>
        </w:rPr>
        <w:t>modificó</w:t>
      </w:r>
      <w:r w:rsidRPr="00C02F37">
        <w:rPr>
          <w:rFonts w:ascii="Verdana" w:eastAsia="Calibri" w:hAnsi="Verdana" w:cs="Arial"/>
        </w:rPr>
        <w:t xml:space="preserve"> el artículo 12 de la Ley 1150 de 2007, el cual regula la promoción del desarrollo en la contratación pública, cambiando </w:t>
      </w:r>
      <w:r w:rsidRPr="00C02F37">
        <w:rPr>
          <w:rFonts w:ascii="Verdana" w:eastAsia="Calibri" w:hAnsi="Verdana" w:cs="Arial"/>
          <w:bdr w:val="none" w:sz="0" w:space="0" w:color="auto" w:frame="1"/>
        </w:rPr>
        <w:t xml:space="preserve">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ii) señaló que los patrimonios autónomos constituidos por Entidades Estatales y los particulares que ejecuten recursos públicos también son destinatarios de esta exigencia; y,  iii) indicó que para que pueda haber convocatorias limitadas a MiPymes, dos (2) de ellas deben manifestar su interés. </w:t>
      </w:r>
    </w:p>
    <w:p w14:paraId="0AFA96DE" w14:textId="77777777" w:rsidR="005B30E8" w:rsidRPr="00C02F37" w:rsidRDefault="005B30E8" w:rsidP="005B30E8">
      <w:pPr>
        <w:pStyle w:val="Prrafodelista"/>
        <w:rPr>
          <w:rFonts w:ascii="Verdana" w:eastAsia="Calibri" w:hAnsi="Verdana" w:cs="Arial"/>
        </w:rPr>
      </w:pPr>
    </w:p>
    <w:p w14:paraId="4495AAF0" w14:textId="77777777" w:rsidR="00434C04" w:rsidRPr="00C02F37" w:rsidRDefault="005B30E8" w:rsidP="00434C04">
      <w:pPr>
        <w:pStyle w:val="Prrafodelista"/>
        <w:numPr>
          <w:ilvl w:val="0"/>
          <w:numId w:val="19"/>
        </w:numPr>
        <w:spacing w:after="0"/>
        <w:jc w:val="both"/>
        <w:rPr>
          <w:rFonts w:ascii="Verdana" w:eastAsia="Calibri" w:hAnsi="Verdana" w:cs="Arial"/>
        </w:rPr>
      </w:pPr>
      <w:r w:rsidRPr="00C02F37">
        <w:rPr>
          <w:rFonts w:ascii="Verdana" w:eastAsia="Calibri" w:hAnsi="Verdana" w:cs="Arial"/>
        </w:rPr>
        <w:t xml:space="preserve">Según se evidencia, el numeral primero del </w:t>
      </w:r>
      <w:r w:rsidRPr="00C02F37">
        <w:rPr>
          <w:rFonts w:ascii="Verdana" w:eastAsia="Calibri" w:hAnsi="Verdana" w:cs="Arial"/>
          <w:lang w:val="es-ES_tradnl"/>
        </w:rPr>
        <w:t xml:space="preserve">artículo 2.2.1.2.4.2.2 del Decreto 1082 de 2015 </w:t>
      </w:r>
      <w:r w:rsidRPr="00C02F37">
        <w:rPr>
          <w:rFonts w:ascii="Verdana" w:eastAsia="Calibri" w:hAnsi="Verdana" w:cs="Arial"/>
        </w:rPr>
        <w:t xml:space="preserve">limita cuantitativamente los procesos contractuales para las convocatorias limitadas a Mipyme,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la Mipyme, cuyo objeto social les permita ejecutar el contrato </w:t>
      </w:r>
      <w:r w:rsidRPr="00C02F37">
        <w:rPr>
          <w:rFonts w:ascii="Verdana" w:eastAsia="Calibri" w:hAnsi="Verdana" w:cs="Arial"/>
        </w:rPr>
        <w:lastRenderedPageBreak/>
        <w:t>relacionado con el proceso contractual. Por lo demás, este artículo incluye a las cooperativas y demás entidades de economía solidaria dentro de los sujetos que pueden solicitar y participar en las convocatorias limitadas a Mipyme, siempre que estas cumplan con las condiciones señaladas en el artículo.</w:t>
      </w:r>
    </w:p>
    <w:p w14:paraId="6608856A" w14:textId="77777777" w:rsidR="00434C04" w:rsidRPr="00C02F37" w:rsidRDefault="00434C04" w:rsidP="00434C04">
      <w:pPr>
        <w:pStyle w:val="Prrafodelista"/>
        <w:spacing w:after="0"/>
        <w:ind w:left="360"/>
        <w:jc w:val="both"/>
        <w:rPr>
          <w:rFonts w:ascii="Verdana" w:eastAsia="Calibri" w:hAnsi="Verdana" w:cs="Arial"/>
        </w:rPr>
      </w:pPr>
    </w:p>
    <w:p w14:paraId="43349015" w14:textId="77777777" w:rsidR="0073621D" w:rsidRPr="00C02F37" w:rsidRDefault="00434C04" w:rsidP="0073621D">
      <w:pPr>
        <w:pStyle w:val="Prrafodelista"/>
        <w:numPr>
          <w:ilvl w:val="0"/>
          <w:numId w:val="19"/>
        </w:numPr>
        <w:spacing w:after="0"/>
        <w:jc w:val="both"/>
        <w:rPr>
          <w:rFonts w:ascii="Verdana" w:eastAsia="Calibri" w:hAnsi="Verdana" w:cs="Arial"/>
        </w:rPr>
      </w:pPr>
      <w:r w:rsidRPr="00C02F37">
        <w:rPr>
          <w:rFonts w:ascii="Verdana" w:eastAsia="Calibri" w:hAnsi="Verdana" w:cs="Arial"/>
        </w:rPr>
        <w:t>En relación con las limitaciones territorial</w:t>
      </w:r>
      <w:r w:rsidRPr="00C02F37">
        <w:rPr>
          <w:rFonts w:ascii="Verdana" w:hAnsi="Verdana" w:cs="Arial"/>
        </w:rPr>
        <w:t xml:space="preserve">es de las convocatorias a Mipyme, </w:t>
      </w:r>
      <w:r w:rsidRPr="00C02F37">
        <w:rPr>
          <w:rFonts w:ascii="Verdana" w:eastAsia="Calibri" w:hAnsi="Verdana" w:cs="Arial"/>
        </w:rPr>
        <w:t>a la luz del antiguo artículo 2.2.1.2.4.2.3 del Decreto 1082 de 2015, esta Agencia –</w:t>
      </w:r>
      <w:r w:rsidRPr="00C02F37">
        <w:rPr>
          <w:rFonts w:ascii="Verdana" w:hAnsi="Verdana" w:cs="Arial"/>
        </w:rPr>
        <w:t>en los Conceptos 4201714000006924 del 29 de enero de 2018,</w:t>
      </w:r>
      <w:r w:rsidRPr="00C02F37">
        <w:rPr>
          <w:rFonts w:ascii="Verdana" w:eastAsia="Calibri" w:hAnsi="Verdana" w:cs="Arial"/>
        </w:rPr>
        <w:t xml:space="preserve"> C-045 del 17 de marzo de 2020, C-162 del 16 de abril de 2020, C-214 del 21 de abril de 2020, C-258 del 17 de abril de 2020, C-364 del 4 de junio de 2020, C-413 del 30 de junio de 2020</w:t>
      </w:r>
      <w:r w:rsidRPr="00C02F37">
        <w:rPr>
          <w:rFonts w:ascii="Verdana" w:hAnsi="Verdana" w:cs="Arial"/>
        </w:rPr>
        <w:t xml:space="preserve">, </w:t>
      </w:r>
      <w:r w:rsidRPr="00C02F37">
        <w:rPr>
          <w:rFonts w:ascii="Verdana" w:eastAsia="Calibri" w:hAnsi="Verdana" w:cs="Arial"/>
        </w:rPr>
        <w:t xml:space="preserve">C-492 del 24 de julio de 2020, C-523 del 11 de agosto de 2020, C-610 del 14 de septiembre de 2020 y C-700 de 1 de diciembre de 2020– había sostenido que, para que se permitiera la participación de una Mipyme en uno de estos procesos, era necesario que esta demostrara estar domiciliada en el municipio o departamento en el que se ejecutaría el contrato. </w:t>
      </w:r>
    </w:p>
    <w:p w14:paraId="5288408E" w14:textId="77777777" w:rsidR="0073621D" w:rsidRPr="00C02F37" w:rsidRDefault="0073621D" w:rsidP="0073621D">
      <w:pPr>
        <w:pStyle w:val="Prrafodelista"/>
        <w:rPr>
          <w:rFonts w:ascii="Verdana" w:eastAsia="Calibri" w:hAnsi="Verdana" w:cs="Arial"/>
        </w:rPr>
      </w:pPr>
    </w:p>
    <w:p w14:paraId="13881CAC" w14:textId="77777777" w:rsidR="00E41247" w:rsidRPr="00C02F37" w:rsidRDefault="0073621D" w:rsidP="00E41247">
      <w:pPr>
        <w:pStyle w:val="Prrafodelista"/>
        <w:numPr>
          <w:ilvl w:val="0"/>
          <w:numId w:val="19"/>
        </w:numPr>
        <w:spacing w:after="0"/>
        <w:jc w:val="both"/>
        <w:rPr>
          <w:rFonts w:ascii="Verdana" w:eastAsia="Calibri" w:hAnsi="Verdana" w:cs="Arial"/>
        </w:rPr>
      </w:pPr>
      <w:r w:rsidRPr="00C02F37">
        <w:rPr>
          <w:rFonts w:ascii="Verdana" w:eastAsia="Calibri" w:hAnsi="Verdana" w:cs="Arial"/>
        </w:rPr>
        <w:t>La postura sostenida por esta Agencia en vigencia del artículo 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 Ahora bien, el texto del actual artículo 2.2.1.2.4.2.3, modificado por el artículo 5 del Decreto 1860 de 2021, no cambia la tesis adoptada en conceptos anteriores de Colombia Compra Eficiente. Lo anterior en la medida en que, respecto al domicilio de las Mipyme en el departamento o municipio donde se ejecuta el contrato, la reglamentación no tuvo cambios.</w:t>
      </w:r>
    </w:p>
    <w:p w14:paraId="67C09E51" w14:textId="77777777" w:rsidR="00E41247" w:rsidRPr="00C02F37" w:rsidRDefault="00E41247" w:rsidP="00E41247">
      <w:pPr>
        <w:pStyle w:val="Prrafodelista"/>
        <w:rPr>
          <w:rFonts w:ascii="Verdana" w:eastAsia="Calibri" w:hAnsi="Verdana" w:cs="Arial"/>
          <w:lang w:val="es-ES_tradnl"/>
        </w:rPr>
      </w:pPr>
    </w:p>
    <w:p w14:paraId="77CD90C8" w14:textId="77777777" w:rsidR="00CA2908" w:rsidRPr="00C02F37" w:rsidRDefault="00E41247" w:rsidP="00CA2908">
      <w:pPr>
        <w:pStyle w:val="Prrafodelista"/>
        <w:numPr>
          <w:ilvl w:val="0"/>
          <w:numId w:val="19"/>
        </w:numPr>
        <w:spacing w:after="0"/>
        <w:jc w:val="both"/>
        <w:rPr>
          <w:rFonts w:ascii="Verdana" w:eastAsia="Calibri" w:hAnsi="Verdana" w:cs="Arial"/>
        </w:rPr>
      </w:pPr>
      <w:r w:rsidRPr="00C02F37">
        <w:rPr>
          <w:rFonts w:ascii="Verdana" w:eastAsia="Calibri" w:hAnsi="Verdana" w:cs="Arial"/>
          <w:lang w:val="es-ES_tradnl"/>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MiPymes del ámbito municipal o departamental correspondiente al de la ejecución del contrato”. En tales términos, la norma citada solo contempla la posibilidad de limitar convocatorias a MiPymes con domicilio en esos dos tipos de entidades territoriales. </w:t>
      </w:r>
    </w:p>
    <w:p w14:paraId="24383F58" w14:textId="77777777" w:rsidR="00CA2908" w:rsidRPr="00C02F37" w:rsidRDefault="00CA2908" w:rsidP="00CA2908">
      <w:pPr>
        <w:pStyle w:val="Prrafodelista"/>
        <w:rPr>
          <w:rFonts w:ascii="Verdana" w:eastAsia="Arial" w:hAnsi="Verdana" w:cs="Arial"/>
          <w:color w:val="000000" w:themeColor="text1"/>
        </w:rPr>
      </w:pPr>
    </w:p>
    <w:p w14:paraId="0EDA5D06" w14:textId="77777777" w:rsidR="00082384" w:rsidRPr="00C02F37" w:rsidRDefault="00CA2908" w:rsidP="00082384">
      <w:pPr>
        <w:pStyle w:val="Prrafodelista"/>
        <w:numPr>
          <w:ilvl w:val="0"/>
          <w:numId w:val="19"/>
        </w:numPr>
        <w:spacing w:after="0"/>
        <w:jc w:val="both"/>
        <w:rPr>
          <w:rFonts w:ascii="Verdana" w:eastAsia="Calibri" w:hAnsi="Verdana" w:cs="Arial"/>
        </w:rPr>
      </w:pPr>
      <w:r w:rsidRPr="00C02F37">
        <w:rPr>
          <w:rFonts w:ascii="Verdana" w:eastAsia="Arial" w:hAnsi="Verdana" w:cs="Arial"/>
          <w:color w:val="000000" w:themeColor="text1"/>
        </w:rPr>
        <w:lastRenderedPageBreak/>
        <w:t xml:space="preserve">En ese sentido, toda empresa constituida bajo las leyes colombianas o que tenga su domicilio principal en el territorio colombiano y, además, cumpla los criterios previstos por la Ley 590 de 2000 y el Decreto 957 de 2019, será considerada Mipyme nacional. Además, las normas de contratación permiten que las Mipyme nacionales puedan beneficiarse de la ejecución de un contrato dentro de la entidad territorial en la que tienen su “domicilio”. </w:t>
      </w:r>
    </w:p>
    <w:p w14:paraId="6A2F75A6" w14:textId="77777777" w:rsidR="00082384" w:rsidRPr="00C02F37" w:rsidRDefault="00082384" w:rsidP="00082384">
      <w:pPr>
        <w:pStyle w:val="Prrafodelista"/>
        <w:rPr>
          <w:rFonts w:ascii="Verdana" w:eastAsia="Arial" w:hAnsi="Verdana" w:cs="Arial"/>
          <w:color w:val="000000" w:themeColor="text1"/>
        </w:rPr>
      </w:pPr>
    </w:p>
    <w:p w14:paraId="7298E550" w14:textId="77777777" w:rsidR="00AA1913" w:rsidRPr="00C02F37" w:rsidRDefault="00082384" w:rsidP="00AA1913">
      <w:pPr>
        <w:pStyle w:val="Prrafodelista"/>
        <w:numPr>
          <w:ilvl w:val="0"/>
          <w:numId w:val="19"/>
        </w:numPr>
        <w:spacing w:after="0"/>
        <w:jc w:val="both"/>
        <w:rPr>
          <w:rFonts w:ascii="Verdana" w:eastAsia="Calibri" w:hAnsi="Verdana" w:cs="Arial"/>
        </w:rPr>
      </w:pPr>
      <w:r w:rsidRPr="00C02F37">
        <w:rPr>
          <w:rFonts w:ascii="Verdana" w:eastAsia="Arial" w:hAnsi="Verdana" w:cs="Arial"/>
          <w:color w:val="000000" w:themeColor="text1"/>
        </w:rPr>
        <w:t xml:space="preserve">Por otro lado,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Mipyme, no puede </w:t>
      </w:r>
      <w:r w:rsidRPr="00C02F37">
        <w:rPr>
          <w:rFonts w:ascii="Verdana" w:eastAsia="Arial" w:hAnsi="Verdana" w:cs="Arial"/>
          <w:i/>
          <w:iCs/>
          <w:color w:val="000000" w:themeColor="text1"/>
        </w:rPr>
        <w:t xml:space="preserve">motu proprio </w:t>
      </w:r>
      <w:r w:rsidRPr="00C02F37">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6EA23561" w14:textId="77777777" w:rsidR="00AA1913" w:rsidRPr="00C02F37" w:rsidRDefault="00AA1913" w:rsidP="00AA1913">
      <w:pPr>
        <w:pStyle w:val="Prrafodelista"/>
        <w:rPr>
          <w:rFonts w:ascii="Verdana" w:hAnsi="Verdana" w:cs="Arial"/>
          <w:color w:val="000000" w:themeColor="text1"/>
        </w:rPr>
      </w:pPr>
    </w:p>
    <w:p w14:paraId="21061944" w14:textId="77777777" w:rsidR="00004ADF" w:rsidRPr="00C02F37" w:rsidRDefault="00AA1913" w:rsidP="00004ADF">
      <w:pPr>
        <w:pStyle w:val="Prrafodelista"/>
        <w:numPr>
          <w:ilvl w:val="0"/>
          <w:numId w:val="19"/>
        </w:numPr>
        <w:spacing w:after="0"/>
        <w:jc w:val="both"/>
        <w:rPr>
          <w:rFonts w:ascii="Verdana" w:eastAsia="Calibri" w:hAnsi="Verdana" w:cs="Arial"/>
        </w:rPr>
      </w:pPr>
      <w:r w:rsidRPr="00C02F37">
        <w:rPr>
          <w:rFonts w:ascii="Verdana" w:hAnsi="Verdana" w:cs="Arial"/>
          <w:color w:val="000000" w:themeColor="text1"/>
        </w:rPr>
        <w:t xml:space="preserve">Cumplidos los dos requisitos del artículo 2.2.1.2.4.2.2 </w:t>
      </w:r>
      <w:r w:rsidRPr="00C02F37">
        <w:rPr>
          <w:rFonts w:ascii="Verdana" w:hAnsi="Verdana" w:cs="Arial"/>
          <w:i/>
          <w:iCs/>
          <w:color w:val="000000" w:themeColor="text1"/>
        </w:rPr>
        <w:t>ibídem</w:t>
      </w:r>
      <w:r w:rsidRPr="00C02F37">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Mipyme colombianas domiciliadas en el municipio o departamento en el que se ejecutará el contrato. Esto de acuerdo con el artículo 2.2.1.2.4.2.3 del Decreto 1082 de 2015 </w:t>
      </w:r>
      <w:r w:rsidRPr="00C02F37">
        <w:rPr>
          <w:rFonts w:ascii="Verdana" w:eastAsia="Arial" w:hAnsi="Verdana" w:cs="Arial"/>
          <w:color w:val="000000"/>
          <w:lang w:val="es-ES_tradnl"/>
        </w:rPr>
        <w:t>modificado por el Decreto 1860 de 2021</w:t>
      </w:r>
      <w:r w:rsidRPr="00C02F37">
        <w:rPr>
          <w:rFonts w:ascii="Verdana" w:hAnsi="Verdana" w:cs="Arial"/>
          <w:color w:val="000000" w:themeColor="text1"/>
        </w:rPr>
        <w:t xml:space="preserve">, norma que se refiere a la facultad de la administración con el verbo infinitivo “poder”, no “deber”. </w:t>
      </w:r>
    </w:p>
    <w:p w14:paraId="0203FF07" w14:textId="77777777" w:rsidR="00004ADF" w:rsidRPr="00C02F37" w:rsidRDefault="00004ADF" w:rsidP="00004ADF">
      <w:pPr>
        <w:pStyle w:val="Prrafodelista"/>
        <w:rPr>
          <w:rFonts w:ascii="Verdana" w:hAnsi="Verdana" w:cs="Arial"/>
          <w:color w:val="000000" w:themeColor="text1"/>
        </w:rPr>
      </w:pPr>
    </w:p>
    <w:p w14:paraId="172DA5F3" w14:textId="72A43403" w:rsidR="00ED1FD6" w:rsidRPr="00C02F37" w:rsidRDefault="00004ADF" w:rsidP="00ED1FD6">
      <w:pPr>
        <w:pStyle w:val="Prrafodelista"/>
        <w:numPr>
          <w:ilvl w:val="0"/>
          <w:numId w:val="19"/>
        </w:numPr>
        <w:spacing w:after="0"/>
        <w:jc w:val="both"/>
        <w:rPr>
          <w:rFonts w:ascii="Verdana" w:eastAsia="Calibri" w:hAnsi="Verdana" w:cs="Arial"/>
        </w:rPr>
      </w:pPr>
      <w:r w:rsidRPr="00C02F37">
        <w:rPr>
          <w:rFonts w:ascii="Verdana" w:hAnsi="Verdana" w:cs="Arial"/>
          <w:color w:val="000000" w:themeColor="text1"/>
        </w:rPr>
        <w:t xml:space="preserve">En tal sentido, </w:t>
      </w:r>
      <w:r w:rsidRPr="00C02F37">
        <w:rPr>
          <w:rFonts w:ascii="Verdana" w:eastAsia="Calibri" w:hAnsi="Verdana" w:cs="Arial"/>
          <w:color w:val="000000" w:themeColor="text1"/>
        </w:rPr>
        <w:t>lo que debe adoptarse obligatoriamente es la</w:t>
      </w:r>
      <w:r w:rsidRPr="00C02F37">
        <w:rPr>
          <w:rFonts w:ascii="Verdana" w:hAnsi="Verdana" w:cs="Arial"/>
          <w:color w:val="000000" w:themeColor="text1"/>
        </w:rPr>
        <w:t xml:space="preserve"> limitación a MiPymes colombianas</w:t>
      </w:r>
      <w:r w:rsidRPr="00C02F37">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r w:rsidRPr="00C02F37">
        <w:rPr>
          <w:rFonts w:ascii="Verdana" w:eastAsia="Calibri" w:hAnsi="Verdana" w:cs="Arial"/>
          <w:i/>
          <w:iCs/>
          <w:color w:val="000000" w:themeColor="text1"/>
        </w:rPr>
        <w:t>ibídem</w:t>
      </w:r>
      <w:r w:rsidRPr="00C02F37">
        <w:rPr>
          <w:rFonts w:ascii="Verdana" w:eastAsia="Calibri" w:hAnsi="Verdana" w:cs="Arial"/>
          <w:color w:val="000000" w:themeColor="text1"/>
        </w:rPr>
        <w:t>, pues esta es facultativa para la Entidad. Las únicas exigencias son que la convocatoria esté l</w:t>
      </w:r>
      <w:r w:rsidRPr="00C02F37">
        <w:rPr>
          <w:rFonts w:ascii="Verdana" w:hAnsi="Verdana" w:cs="Arial"/>
          <w:color w:val="000000" w:themeColor="text1"/>
        </w:rPr>
        <w:t>imitada a las Mipyme colombianas</w:t>
      </w:r>
      <w:r w:rsidRPr="00C02F37">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C02F37">
        <w:rPr>
          <w:rStyle w:val="Refdenotaalpie"/>
          <w:rFonts w:ascii="Verdana" w:eastAsia="Calibri" w:hAnsi="Verdana" w:cs="Arial"/>
          <w:color w:val="000000" w:themeColor="text1"/>
        </w:rPr>
        <w:footnoteReference w:id="1"/>
      </w:r>
      <w:r w:rsidRPr="00C02F37">
        <w:rPr>
          <w:rFonts w:ascii="Verdana" w:eastAsia="Calibri" w:hAnsi="Verdana" w:cs="Arial"/>
          <w:color w:val="000000" w:themeColor="text1"/>
        </w:rPr>
        <w:t xml:space="preserve"> No es procedente, entonces, que sean las </w:t>
      </w:r>
      <w:r w:rsidRPr="00C02F37">
        <w:rPr>
          <w:rFonts w:ascii="Verdana" w:eastAsia="Calibri" w:hAnsi="Verdana" w:cs="Arial"/>
          <w:color w:val="000000" w:themeColor="text1"/>
        </w:rPr>
        <w:lastRenderedPageBreak/>
        <w:t xml:space="preserve">MiPymes las que soliciten la “limitación territorial” a la que se refiere el artículo 2.2.1.2.4.2.3 del Decreto 1082 de 2015. </w:t>
      </w:r>
    </w:p>
    <w:p w14:paraId="4D4410ED" w14:textId="77777777" w:rsidR="00ED1FD6" w:rsidRPr="00C02F37" w:rsidRDefault="00ED1FD6" w:rsidP="00ED1FD6">
      <w:pPr>
        <w:pStyle w:val="Prrafodelista"/>
        <w:rPr>
          <w:rFonts w:ascii="Verdana" w:eastAsia="Calibri" w:hAnsi="Verdana" w:cs="Arial"/>
          <w:color w:val="000000" w:themeColor="text1"/>
        </w:rPr>
      </w:pPr>
    </w:p>
    <w:p w14:paraId="0CAFBF24" w14:textId="77777777" w:rsidR="0040155B" w:rsidRPr="00C02F37" w:rsidRDefault="00ED1FD6" w:rsidP="0040155B">
      <w:pPr>
        <w:pStyle w:val="Prrafodelista"/>
        <w:numPr>
          <w:ilvl w:val="0"/>
          <w:numId w:val="19"/>
        </w:numPr>
        <w:spacing w:after="0"/>
        <w:jc w:val="both"/>
        <w:rPr>
          <w:rFonts w:ascii="Verdana" w:eastAsia="Calibri" w:hAnsi="Verdana" w:cs="Arial"/>
        </w:rPr>
      </w:pPr>
      <w:r w:rsidRPr="00C02F37">
        <w:rPr>
          <w:rFonts w:ascii="Verdana" w:eastAsia="Calibri" w:hAnsi="Verdana" w:cs="Arial"/>
          <w:color w:val="000000" w:themeColor="text1"/>
        </w:rPr>
        <w:t>E</w:t>
      </w:r>
      <w:r w:rsidRPr="00C02F37">
        <w:rPr>
          <w:rFonts w:ascii="Verdana" w:hAnsi="Verdana" w:cs="Arial"/>
          <w:color w:val="000000" w:themeColor="text1"/>
        </w:rPr>
        <w:t>l origen de las Mipyme</w:t>
      </w:r>
      <w:r w:rsidRPr="00C02F37">
        <w:rPr>
          <w:rFonts w:ascii="Verdana" w:eastAsia="Calibri" w:hAnsi="Verdana" w:cs="Arial"/>
          <w:color w:val="000000" w:themeColor="text1"/>
        </w:rPr>
        <w:t xml:space="preserve"> que solicitan la “limitación territorial” no es relevante frente a dicha decisión por dos razo</w:t>
      </w:r>
      <w:r w:rsidRPr="00C02F37">
        <w:rPr>
          <w:rFonts w:ascii="Verdana" w:hAnsi="Verdana" w:cs="Arial"/>
          <w:color w:val="000000" w:themeColor="text1"/>
        </w:rPr>
        <w:t>nes: primero, porque las Mipyme</w:t>
      </w:r>
      <w:r w:rsidRPr="00C02F37">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para tener en cuenta, una vez se ha decidido justificadamente limitar territorialmente la convocatori</w:t>
      </w:r>
      <w:r w:rsidRPr="00C02F37">
        <w:rPr>
          <w:rFonts w:ascii="Verdana" w:hAnsi="Verdana" w:cs="Arial"/>
          <w:color w:val="000000" w:themeColor="text1"/>
        </w:rPr>
        <w:t>a previamente limitada a Mipyme</w:t>
      </w:r>
      <w:r w:rsidRPr="00C02F37">
        <w:rPr>
          <w:rFonts w:ascii="Verdana" w:eastAsia="Calibri" w:hAnsi="Verdana" w:cs="Arial"/>
          <w:color w:val="000000" w:themeColor="text1"/>
        </w:rPr>
        <w:t>, es el lugar donde se va a ejecutar el contrato.</w:t>
      </w:r>
    </w:p>
    <w:p w14:paraId="4D44848C" w14:textId="77777777" w:rsidR="0040155B" w:rsidRPr="00C02F37" w:rsidRDefault="0040155B" w:rsidP="0040155B">
      <w:pPr>
        <w:pStyle w:val="Prrafodelista"/>
        <w:rPr>
          <w:rFonts w:ascii="Verdana" w:eastAsia="Calibri" w:hAnsi="Verdana" w:cs="Arial"/>
          <w:color w:val="000000" w:themeColor="text1"/>
        </w:rPr>
      </w:pPr>
    </w:p>
    <w:p w14:paraId="450DEA92" w14:textId="01289383" w:rsidR="0040155B" w:rsidRPr="00C02F37" w:rsidRDefault="0040155B" w:rsidP="0040155B">
      <w:pPr>
        <w:pStyle w:val="Prrafodelista"/>
        <w:numPr>
          <w:ilvl w:val="0"/>
          <w:numId w:val="19"/>
        </w:numPr>
        <w:spacing w:after="0"/>
        <w:jc w:val="both"/>
        <w:rPr>
          <w:rFonts w:ascii="Verdana" w:eastAsia="Calibri" w:hAnsi="Verdana" w:cs="Arial"/>
        </w:rPr>
      </w:pPr>
      <w:r w:rsidRPr="00C02F37">
        <w:rPr>
          <w:rFonts w:ascii="Verdana" w:eastAsia="Calibri" w:hAnsi="Verdana" w:cs="Arial"/>
          <w:color w:val="000000" w:themeColor="text1"/>
        </w:rPr>
        <w:t>En resumen, la decisión de limitar o no territorialmente una convocatoria limitada a MiPymes nacionales es una facultad discrecional, de manera que</w:t>
      </w:r>
      <w:r w:rsidRPr="00C02F37">
        <w:rPr>
          <w:rFonts w:ascii="Verdana" w:eastAsia="Arial" w:hAnsi="Verdana" w:cs="Arial"/>
          <w:color w:val="000000"/>
        </w:rPr>
        <w:t xml:space="preserve"> la Entidad contratante valorará si es oportuno y conveniente adoptarla</w:t>
      </w:r>
      <w:r w:rsidRPr="00C02F37">
        <w:rPr>
          <w:rStyle w:val="Refdenotaalpie"/>
          <w:rFonts w:ascii="Verdana" w:eastAsia="Arial" w:hAnsi="Verdana" w:cs="Arial"/>
          <w:color w:val="000000"/>
        </w:rPr>
        <w:footnoteReference w:id="2"/>
      </w:r>
      <w:r w:rsidRPr="00C02F37">
        <w:rPr>
          <w:rFonts w:ascii="Verdana" w:eastAsia="Arial" w:hAnsi="Verdana" w:cs="Arial"/>
          <w:color w:val="000000"/>
        </w:rPr>
        <w:t xml:space="preserve">. Sin </w:t>
      </w:r>
      <w:r w:rsidRPr="00C02F37">
        <w:rPr>
          <w:rFonts w:ascii="Verdana" w:eastAsia="Arial" w:hAnsi="Verdana" w:cs="Arial"/>
          <w:color w:val="000000"/>
        </w:rPr>
        <w:lastRenderedPageBreak/>
        <w:t xml:space="preserve">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p>
    <w:p w14:paraId="70C669E2" w14:textId="77777777" w:rsidR="005B30E8" w:rsidRPr="00C02F37" w:rsidRDefault="005B30E8" w:rsidP="00E245AB">
      <w:pPr>
        <w:spacing w:after="0"/>
        <w:jc w:val="both"/>
        <w:rPr>
          <w:rStyle w:val="Hipervnculo"/>
          <w:rFonts w:ascii="Verdana" w:hAnsi="Verdana"/>
          <w:lang w:val="es-ES"/>
        </w:rPr>
      </w:pPr>
    </w:p>
    <w:p w14:paraId="70EEFF41" w14:textId="77777777" w:rsidR="003B61C6" w:rsidRPr="00C02F37" w:rsidRDefault="003B61C6" w:rsidP="003B61C6">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C02F37">
        <w:rPr>
          <w:rFonts w:ascii="Verdana" w:eastAsia="Century Gothic" w:hAnsi="Verdana" w:cs="Century Gothic"/>
          <w:b/>
          <w:bCs/>
        </w:rPr>
        <w:t>Referencias normativas, jurisprudenciales y otras fuentes:</w:t>
      </w:r>
    </w:p>
    <w:p w14:paraId="1BC35009" w14:textId="77777777" w:rsidR="003B61C6" w:rsidRPr="00C02F37" w:rsidRDefault="003B61C6" w:rsidP="003B61C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61C6" w:rsidRPr="00C02F37" w14:paraId="2F0A9A14" w14:textId="77777777" w:rsidTr="00252124">
        <w:trPr>
          <w:trHeight w:val="870"/>
        </w:trPr>
        <w:tc>
          <w:tcPr>
            <w:tcW w:w="8647" w:type="dxa"/>
          </w:tcPr>
          <w:p w14:paraId="7CF0FC33" w14:textId="77777777" w:rsidR="005A2617" w:rsidRPr="00C02F37" w:rsidRDefault="005A2617" w:rsidP="005A261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hAnsi="Verdana" w:cs="Arial"/>
                <w:color w:val="000000" w:themeColor="text1"/>
                <w:lang w:val="es-ES_tradnl"/>
              </w:rPr>
              <w:t>Decreto 1860 de 2021, numerales 1 y 2 del artículo 2.2.1.2.4.2.2. artículos, 2.2.1.2.4.2.3 2.2.1.2.4.2.4. Ley 1150 de 2007 artículo 12.</w:t>
            </w:r>
          </w:p>
          <w:p w14:paraId="4408330D" w14:textId="77777777" w:rsidR="005A2617" w:rsidRPr="00C02F37" w:rsidRDefault="005A2617" w:rsidP="005A261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eastAsia="Calibri" w:hAnsi="Verdana" w:cs="Arial"/>
                <w:lang w:val="es-ES_tradnl"/>
              </w:rPr>
              <w:t>Ley 80 de 1993, literal g), numeral 1, Artículo 8.</w:t>
            </w:r>
          </w:p>
          <w:p w14:paraId="1AB50EEF" w14:textId="099B63C0" w:rsidR="003B61C6" w:rsidRPr="00C02F37" w:rsidRDefault="005A2617" w:rsidP="005A261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02F37">
              <w:rPr>
                <w:rFonts w:ascii="Verdana" w:eastAsia="Calibri" w:hAnsi="Verdana" w:cs="Arial"/>
                <w:lang w:val="es-ES_tradnl"/>
              </w:rPr>
              <w:t>Ley 1150 de 2007, parágrafo 1, Artículo 5.</w:t>
            </w:r>
          </w:p>
        </w:tc>
      </w:tr>
    </w:tbl>
    <w:p w14:paraId="44C5AE08" w14:textId="77777777" w:rsidR="003B61C6" w:rsidRPr="00C02F37" w:rsidRDefault="003B61C6" w:rsidP="00E80320">
      <w:pPr>
        <w:spacing w:before="120" w:after="0" w:line="276" w:lineRule="auto"/>
        <w:jc w:val="both"/>
        <w:rPr>
          <w:rFonts w:ascii="Verdana" w:eastAsia="Calibri" w:hAnsi="Verdana" w:cs="Arial"/>
          <w:color w:val="000000"/>
          <w:lang w:eastAsia="es-ES" w:bidi="es-ES"/>
        </w:rPr>
      </w:pPr>
    </w:p>
    <w:p w14:paraId="6EB24EA8" w14:textId="77777777" w:rsidR="003B61C6" w:rsidRPr="00C02F37" w:rsidRDefault="003B61C6" w:rsidP="00E80320">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F37">
        <w:rPr>
          <w:rFonts w:ascii="Verdana" w:eastAsia="Century Gothic" w:hAnsi="Verdana" w:cs="Century Gothic"/>
          <w:b/>
          <w:bCs/>
        </w:rPr>
        <w:t>Doctrina de la Agencia Nacional de Contratación Pública:</w:t>
      </w:r>
    </w:p>
    <w:p w14:paraId="4980767F" w14:textId="77777777" w:rsidR="003B61C6" w:rsidRPr="00C02F37" w:rsidRDefault="003B61C6" w:rsidP="003B61C6">
      <w:pPr>
        <w:widowControl w:val="0"/>
        <w:autoSpaceDE w:val="0"/>
        <w:autoSpaceDN w:val="0"/>
        <w:spacing w:after="0" w:line="276" w:lineRule="auto"/>
        <w:jc w:val="both"/>
        <w:rPr>
          <w:rFonts w:ascii="Verdana" w:hAnsi="Verdana" w:cs="Arial"/>
        </w:rPr>
      </w:pPr>
    </w:p>
    <w:p w14:paraId="604EBC87" w14:textId="1B39CB51" w:rsidR="003B61C6" w:rsidRPr="00C02F37" w:rsidRDefault="003B61C6" w:rsidP="003B61C6">
      <w:pPr>
        <w:widowControl w:val="0"/>
        <w:autoSpaceDE w:val="0"/>
        <w:autoSpaceDN w:val="0"/>
        <w:spacing w:after="0" w:line="276" w:lineRule="auto"/>
        <w:jc w:val="both"/>
        <w:rPr>
          <w:rStyle w:val="normaltextrun"/>
          <w:rFonts w:ascii="Verdana" w:hAnsi="Verdana"/>
        </w:rPr>
      </w:pPr>
      <w:r w:rsidRPr="00C02F37">
        <w:rPr>
          <w:rFonts w:ascii="Verdana" w:hAnsi="Verdana"/>
        </w:rPr>
        <w:t xml:space="preserve">En lo relacionado con el ámbito de la consulta, esta Subdirección se ha pronunciado </w:t>
      </w:r>
      <w:r w:rsidRPr="00C02F37">
        <w:rPr>
          <w:rStyle w:val="normaltextrun"/>
          <w:rFonts w:ascii="Verdana" w:hAnsi="Verdana" w:cs="Arial"/>
          <w:shd w:val="clear" w:color="auto" w:fill="FFFFFF"/>
        </w:rPr>
        <w:t>sobre</w:t>
      </w:r>
      <w:r w:rsidRPr="00C02F37">
        <w:rPr>
          <w:rStyle w:val="normaltextrun"/>
          <w:rFonts w:ascii="Verdana" w:hAnsi="Verdana" w:cs="Arial"/>
          <w:shd w:val="clear" w:color="auto" w:fill="FFFFFF"/>
          <w:lang w:val="es-ES"/>
        </w:rPr>
        <w:t xml:space="preserve"> </w:t>
      </w:r>
      <w:r w:rsidR="002E5A79" w:rsidRPr="00C02F37">
        <w:rPr>
          <w:rStyle w:val="normaltextrun"/>
          <w:rFonts w:ascii="Verdana" w:hAnsi="Verdana" w:cs="Arial"/>
          <w:shd w:val="clear" w:color="auto" w:fill="FFFFFF"/>
          <w:lang w:val="es-ES"/>
        </w:rPr>
        <w:t>las convocatorias limitadas a MiPymes, sus requisitos y características</w:t>
      </w:r>
      <w:r w:rsidRPr="00C02F37">
        <w:rPr>
          <w:rFonts w:ascii="Verdana" w:hAnsi="Verdana"/>
        </w:rPr>
        <w:t xml:space="preserve">, en los Conceptos Nro. </w:t>
      </w:r>
      <w:r w:rsidR="00D21445" w:rsidRPr="00C02F37">
        <w:rPr>
          <w:rFonts w:ascii="Verdana" w:hAnsi="Verdana"/>
        </w:rPr>
        <w:t xml:space="preserve">C-677 del 24 de octubre del 2022, C-339 del 24 de julio de 2023, C-335 del 26 de septiembre de 2023, C-436 del 24 de octubre de 2023, C-279 del 31 de octubre de 2023, C-048 del 23 de abril de 2024, C-084 del 30 de mayo de 2024, C-165 del 22 de julio de 2024, </w:t>
      </w:r>
      <w:r w:rsidR="00226700" w:rsidRPr="00C02F37">
        <w:rPr>
          <w:rFonts w:ascii="Verdana" w:hAnsi="Verdana"/>
        </w:rPr>
        <w:t xml:space="preserve">C-569 del 21 de octubre del 2024, </w:t>
      </w:r>
      <w:r w:rsidR="00D21445" w:rsidRPr="00C02F37">
        <w:rPr>
          <w:rFonts w:ascii="Verdana" w:hAnsi="Verdana"/>
        </w:rPr>
        <w:t>C-532 del 10 de octubre de 2024,</w:t>
      </w:r>
      <w:r w:rsidR="00E00651" w:rsidRPr="00C02F37">
        <w:rPr>
          <w:rFonts w:ascii="Verdana" w:hAnsi="Verdana"/>
        </w:rPr>
        <w:t xml:space="preserve"> </w:t>
      </w:r>
      <w:r w:rsidR="00CC793C" w:rsidRPr="00C02F37">
        <w:rPr>
          <w:rFonts w:ascii="Verdana" w:hAnsi="Verdana"/>
        </w:rPr>
        <w:t>C-586 del 22 de octubre del 2024</w:t>
      </w:r>
      <w:r w:rsidR="00226700" w:rsidRPr="00C02F37">
        <w:rPr>
          <w:rFonts w:ascii="Verdana" w:hAnsi="Verdana"/>
        </w:rPr>
        <w:t xml:space="preserve">, </w:t>
      </w:r>
      <w:r w:rsidR="00C35113" w:rsidRPr="00C02F37">
        <w:rPr>
          <w:rFonts w:ascii="Verdana" w:hAnsi="Verdana"/>
        </w:rPr>
        <w:t xml:space="preserve">C-623 del </w:t>
      </w:r>
      <w:r w:rsidR="00CC793C" w:rsidRPr="00C02F37">
        <w:rPr>
          <w:rFonts w:ascii="Verdana" w:hAnsi="Verdana"/>
        </w:rPr>
        <w:t xml:space="preserve">30 de octubre del 2024, </w:t>
      </w:r>
      <w:r w:rsidR="00C35113" w:rsidRPr="00C02F37">
        <w:rPr>
          <w:rFonts w:ascii="Verdana" w:hAnsi="Verdana"/>
        </w:rPr>
        <w:t xml:space="preserve">C-752 del 28 de noviembre del 2024 y </w:t>
      </w:r>
      <w:r w:rsidR="00E00651" w:rsidRPr="00C02F37">
        <w:rPr>
          <w:rFonts w:ascii="Verdana" w:hAnsi="Verdana"/>
        </w:rPr>
        <w:t xml:space="preserve">C-829 del 03 de diciembre del 2024. </w:t>
      </w:r>
      <w:r w:rsidRPr="00C02F37">
        <w:rPr>
          <w:rStyle w:val="normaltextrun"/>
          <w:rFonts w:ascii="Verdana" w:hAnsi="Verdana" w:cs="Arial"/>
          <w:shd w:val="clear" w:color="auto" w:fill="FFFFFF"/>
          <w:lang w:val="es-ES"/>
        </w:rPr>
        <w:t>Es</w:t>
      </w:r>
      <w:r w:rsidRPr="00C02F37">
        <w:rPr>
          <w:rFonts w:ascii="Verdana" w:hAnsi="Verdana"/>
        </w:rPr>
        <w:t>tos y otros conceptos se encuentran disponibles para consulta en el Sistema de relatoría de la Agencia, al cual se puede acceder a través del siguiente enlace:</w:t>
      </w:r>
      <w:r w:rsidRPr="00C02F37">
        <w:rPr>
          <w:rStyle w:val="normaltextrun"/>
          <w:rFonts w:ascii="Verdana" w:hAnsi="Verdana" w:cs="Arial"/>
          <w:shd w:val="clear" w:color="auto" w:fill="FFFFFF"/>
          <w:lang w:val="es-ES"/>
        </w:rPr>
        <w:t xml:space="preserve"> </w:t>
      </w:r>
      <w:hyperlink r:id="rId13" w:history="1">
        <w:r w:rsidRPr="00C02F37">
          <w:rPr>
            <w:rStyle w:val="Hipervnculo"/>
            <w:rFonts w:ascii="Verdana" w:hAnsi="Verdana" w:cs="Arial"/>
            <w:shd w:val="clear" w:color="auto" w:fill="FFFFFF"/>
            <w:lang w:val="es-ES"/>
          </w:rPr>
          <w:t>https://relatoria.colombiacompra.gov.co/busqueda/conceptos</w:t>
        </w:r>
      </w:hyperlink>
      <w:r w:rsidRPr="00C02F37">
        <w:rPr>
          <w:rStyle w:val="normaltextrun"/>
          <w:rFonts w:ascii="Verdana" w:hAnsi="Verdana" w:cs="Arial"/>
          <w:color w:val="FF0000"/>
          <w:shd w:val="clear" w:color="auto" w:fill="FFFFFF"/>
          <w:lang w:val="es-ES"/>
        </w:rPr>
        <w:t xml:space="preserve">. </w:t>
      </w:r>
    </w:p>
    <w:p w14:paraId="47A37171" w14:textId="77777777" w:rsidR="003B61C6" w:rsidRPr="00C02F37" w:rsidRDefault="003B61C6" w:rsidP="003B61C6">
      <w:pPr>
        <w:widowControl w:val="0"/>
        <w:autoSpaceDE w:val="0"/>
        <w:autoSpaceDN w:val="0"/>
        <w:spacing w:after="0" w:line="276" w:lineRule="auto"/>
        <w:jc w:val="both"/>
        <w:rPr>
          <w:rStyle w:val="normaltextrun"/>
          <w:rFonts w:ascii="Verdana" w:hAnsi="Verdana"/>
          <w:lang w:val="es-ES"/>
        </w:rPr>
      </w:pPr>
    </w:p>
    <w:p w14:paraId="6443D331" w14:textId="77777777" w:rsidR="003B61C6" w:rsidRPr="00C02F37" w:rsidRDefault="003B61C6" w:rsidP="003B61C6">
      <w:pPr>
        <w:widowControl w:val="0"/>
        <w:autoSpaceDE w:val="0"/>
        <w:autoSpaceDN w:val="0"/>
        <w:spacing w:after="0" w:line="276" w:lineRule="auto"/>
        <w:jc w:val="both"/>
        <w:rPr>
          <w:rFonts w:ascii="Verdana" w:hAnsi="Verdana"/>
        </w:rPr>
      </w:pPr>
      <w:r w:rsidRPr="00C02F37">
        <w:rPr>
          <w:rFonts w:ascii="Verdana" w:hAnsi="Verdana" w:cs="Arial"/>
          <w:color w:val="000000" w:themeColor="text1"/>
          <w:shd w:val="clear" w:color="auto" w:fill="FFFFFF"/>
        </w:rPr>
        <w:t xml:space="preserve">Le informamos que ya se encuentra disponible la Guía para el manejo de ofertas artificialmente bajas en Procesos de Contratación. En este documento se podrán consultar una serie de pautas para el manejo ofertas artificialmente bajas, en línea con las mejores prácticas internacionales en la materia. Puede consultar la versión actualizada en el siguiente enlace: </w:t>
      </w:r>
      <w:hyperlink r:id="rId14" w:history="1">
        <w:r w:rsidRPr="00C02F37">
          <w:rPr>
            <w:rStyle w:val="Hipervnculo"/>
            <w:rFonts w:ascii="Verdana" w:hAnsi="Verdana" w:cs="Arial"/>
            <w:shd w:val="clear" w:color="auto" w:fill="FFFFFF"/>
          </w:rPr>
          <w:t>https://www.colombiacompra.gov.co/manuales-guias-y-pliegos-tipo/manuales-y-guias/guia-para-el-manejo-de-ofertas-artificialmente-baja-0</w:t>
        </w:r>
      </w:hyperlink>
    </w:p>
    <w:p w14:paraId="1909E229" w14:textId="77777777" w:rsidR="003B61C6" w:rsidRPr="00C02F37" w:rsidRDefault="003B61C6" w:rsidP="003B61C6">
      <w:pPr>
        <w:widowControl w:val="0"/>
        <w:autoSpaceDE w:val="0"/>
        <w:autoSpaceDN w:val="0"/>
        <w:spacing w:after="0" w:line="276" w:lineRule="auto"/>
        <w:jc w:val="both"/>
        <w:rPr>
          <w:rFonts w:ascii="Verdana" w:hAnsi="Verdana"/>
        </w:rPr>
      </w:pPr>
    </w:p>
    <w:p w14:paraId="2B35ECD4" w14:textId="77777777" w:rsidR="003B61C6" w:rsidRPr="00C02F37" w:rsidRDefault="003B61C6" w:rsidP="003B61C6">
      <w:pPr>
        <w:widowControl w:val="0"/>
        <w:autoSpaceDE w:val="0"/>
        <w:autoSpaceDN w:val="0"/>
        <w:spacing w:after="0" w:line="276" w:lineRule="auto"/>
        <w:jc w:val="both"/>
        <w:rPr>
          <w:rFonts w:ascii="Verdana" w:hAnsi="Verdana"/>
        </w:rPr>
      </w:pPr>
      <w:r w:rsidRPr="00C02F37">
        <w:rPr>
          <w:rFonts w:ascii="Verdana" w:hAnsi="Verdana" w:cs="Arial"/>
          <w:color w:val="000000" w:themeColor="text1"/>
          <w:shd w:val="clear" w:color="auto" w:fill="FFFFFF"/>
        </w:rPr>
        <w:t xml:space="preserve">De otra parte, publicamos la Guía para incentivar la participación de Mujeres en el Sistema de Compras y Contratación Pública. Este instrumento tiene como finalidad ofrecer información de valor para que las Entidades Estatales fomenten de manera efectiva la participación de las mujeres en el mercado de compras públicas. La guía se encuentra disponible para consulta en el siguiente enlace: </w:t>
      </w:r>
      <w:hyperlink r:id="rId15" w:history="1">
        <w:r w:rsidRPr="00C02F37">
          <w:rPr>
            <w:rStyle w:val="Hipervnculo"/>
            <w:rFonts w:ascii="Verdana" w:hAnsi="Verdana" w:cs="Arial"/>
            <w:shd w:val="clear" w:color="auto" w:fill="FFFFFF"/>
          </w:rPr>
          <w:t>https://www.colombiacompra.gov.co/manuales-guias-y-pliegos-tipo/manuales-y-guias/guia-para-incentivar-la-participacion-de-las-mujeres</w:t>
        </w:r>
      </w:hyperlink>
      <w:r w:rsidRPr="00C02F37">
        <w:rPr>
          <w:rFonts w:ascii="Verdana" w:hAnsi="Verdana" w:cs="Arial"/>
          <w:color w:val="000000" w:themeColor="text1"/>
          <w:shd w:val="clear" w:color="auto" w:fill="FFFFFF"/>
        </w:rPr>
        <w:t xml:space="preserve"> </w:t>
      </w:r>
    </w:p>
    <w:p w14:paraId="4ECB41C1" w14:textId="77777777" w:rsidR="003B61C6" w:rsidRPr="00C02F37" w:rsidRDefault="003B61C6" w:rsidP="003B61C6">
      <w:pPr>
        <w:widowControl w:val="0"/>
        <w:autoSpaceDE w:val="0"/>
        <w:autoSpaceDN w:val="0"/>
        <w:spacing w:after="0" w:line="276" w:lineRule="auto"/>
        <w:jc w:val="both"/>
        <w:rPr>
          <w:rFonts w:ascii="Verdana" w:hAnsi="Verdana"/>
        </w:rPr>
      </w:pPr>
    </w:p>
    <w:p w14:paraId="66A6608D" w14:textId="77777777" w:rsidR="003B61C6" w:rsidRPr="00C02F37" w:rsidRDefault="003B61C6" w:rsidP="003B61C6">
      <w:pPr>
        <w:widowControl w:val="0"/>
        <w:autoSpaceDE w:val="0"/>
        <w:autoSpaceDN w:val="0"/>
        <w:spacing w:after="0" w:line="276" w:lineRule="auto"/>
        <w:jc w:val="both"/>
        <w:rPr>
          <w:rFonts w:ascii="Verdana" w:hAnsi="Verdana" w:cs="Arial"/>
          <w:color w:val="000000" w:themeColor="text1"/>
          <w:shd w:val="clear" w:color="auto" w:fill="FFFFFF"/>
        </w:rPr>
      </w:pPr>
      <w:r w:rsidRPr="00C02F37">
        <w:rPr>
          <w:rFonts w:ascii="Verdana" w:hAnsi="Verdana" w:cs="Arial"/>
          <w:color w:val="000000" w:themeColor="text1"/>
          <w:shd w:val="clear" w:color="auto" w:fill="FFFFFF"/>
        </w:rPr>
        <w:t xml:space="preserve">También lo invitamos a consultar la versión VIII de 2024, del Boletín de Relatoría de la Subdirección de Gestión Contractual relacionado con la participación de las MIPYMES en los procesos de compra y contratación pública, el cual se puede descargar en la página web de la Agencia: </w:t>
      </w:r>
      <w:hyperlink r:id="rId16" w:history="1">
        <w:r w:rsidRPr="00C02F37">
          <w:rPr>
            <w:rStyle w:val="Hipervnculo"/>
            <w:rFonts w:ascii="Verdana" w:hAnsi="Verdana" w:cs="Arial"/>
            <w:shd w:val="clear" w:color="auto" w:fill="FFFFFF"/>
          </w:rPr>
          <w:t>https://www.colombiacompra.gov.co/sites/cce_public/files/files_2020/boletin_de_realtoria_viii.pdf</w:t>
        </w:r>
      </w:hyperlink>
    </w:p>
    <w:p w14:paraId="17D30074" w14:textId="77777777" w:rsidR="003B61C6" w:rsidRPr="00C02F37" w:rsidRDefault="003B61C6" w:rsidP="003B61C6">
      <w:pPr>
        <w:widowControl w:val="0"/>
        <w:autoSpaceDE w:val="0"/>
        <w:autoSpaceDN w:val="0"/>
        <w:spacing w:after="0" w:line="276" w:lineRule="auto"/>
        <w:jc w:val="both"/>
        <w:rPr>
          <w:rFonts w:ascii="Verdana" w:hAnsi="Verdana" w:cs="Arial"/>
          <w:color w:val="000000" w:themeColor="text1"/>
          <w:shd w:val="clear" w:color="auto" w:fill="FFFFFF"/>
        </w:rPr>
      </w:pPr>
    </w:p>
    <w:p w14:paraId="14C525F4" w14:textId="77777777" w:rsidR="003B61C6" w:rsidRPr="00C02F37" w:rsidRDefault="003B61C6" w:rsidP="003B61C6">
      <w:pPr>
        <w:widowControl w:val="0"/>
        <w:autoSpaceDE w:val="0"/>
        <w:autoSpaceDN w:val="0"/>
        <w:spacing w:after="0" w:line="276" w:lineRule="auto"/>
        <w:jc w:val="both"/>
        <w:rPr>
          <w:rFonts w:ascii="Verdana" w:hAnsi="Verdana"/>
        </w:rPr>
      </w:pPr>
      <w:r w:rsidRPr="00C02F37">
        <w:rPr>
          <w:rFonts w:ascii="Verdana" w:hAnsi="Verdana"/>
        </w:rPr>
        <w:t xml:space="preserve">Por último, lo invitamos a seguirnos en las redes sociales en las cuales se difunde información institucional: </w:t>
      </w:r>
    </w:p>
    <w:p w14:paraId="6A4DC3E0" w14:textId="77777777" w:rsidR="003B61C6" w:rsidRPr="00C02F37" w:rsidRDefault="003B61C6" w:rsidP="003B61C6">
      <w:pPr>
        <w:widowControl w:val="0"/>
        <w:autoSpaceDE w:val="0"/>
        <w:autoSpaceDN w:val="0"/>
        <w:spacing w:after="0" w:line="276" w:lineRule="auto"/>
        <w:jc w:val="both"/>
        <w:rPr>
          <w:rFonts w:ascii="Verdana" w:hAnsi="Verdana"/>
        </w:rPr>
      </w:pPr>
    </w:p>
    <w:p w14:paraId="44605818" w14:textId="77777777" w:rsidR="003B61C6" w:rsidRPr="00C02F37" w:rsidRDefault="003B61C6" w:rsidP="003B61C6">
      <w:pPr>
        <w:spacing w:after="0" w:line="240" w:lineRule="auto"/>
        <w:jc w:val="both"/>
        <w:rPr>
          <w:rFonts w:ascii="Verdana" w:hAnsi="Verdana"/>
        </w:rPr>
      </w:pPr>
      <w:r w:rsidRPr="00C02F37">
        <w:rPr>
          <w:rFonts w:ascii="Verdana" w:hAnsi="Verdana"/>
        </w:rPr>
        <w:t xml:space="preserve">Twitter: </w:t>
      </w:r>
      <w:r w:rsidRPr="00C02F37">
        <w:rPr>
          <w:rStyle w:val="Hipervnculo"/>
          <w:rFonts w:ascii="Verdana" w:hAnsi="Verdana" w:cs="Arial"/>
          <w:shd w:val="clear" w:color="auto" w:fill="FFFFFF"/>
          <w:lang w:val="es-ES"/>
        </w:rPr>
        <w:t>@colombiacompra</w:t>
      </w:r>
      <w:r w:rsidRPr="00C02F37">
        <w:rPr>
          <w:rFonts w:ascii="Verdana" w:eastAsia="Aptos" w:hAnsi="Verdana" w:cs="Times New Roman"/>
          <w:color w:val="156082"/>
        </w:rPr>
        <w:t xml:space="preserve"> </w:t>
      </w:r>
    </w:p>
    <w:p w14:paraId="3F2063E4" w14:textId="77777777" w:rsidR="003B61C6" w:rsidRPr="00C02F37" w:rsidRDefault="003B61C6" w:rsidP="003B61C6">
      <w:pPr>
        <w:spacing w:after="0" w:line="240" w:lineRule="auto"/>
        <w:jc w:val="both"/>
        <w:rPr>
          <w:rFonts w:ascii="Verdana" w:hAnsi="Verdana"/>
        </w:rPr>
      </w:pPr>
      <w:r w:rsidRPr="00C02F37">
        <w:rPr>
          <w:rFonts w:ascii="Verdana" w:hAnsi="Verdana"/>
        </w:rPr>
        <w:t xml:space="preserve">Facebook: </w:t>
      </w:r>
      <w:r w:rsidRPr="00C02F37">
        <w:rPr>
          <w:rStyle w:val="Hipervnculo"/>
          <w:rFonts w:ascii="Verdana" w:hAnsi="Verdana" w:cs="Arial"/>
          <w:shd w:val="clear" w:color="auto" w:fill="FFFFFF"/>
          <w:lang w:val="es-ES"/>
        </w:rPr>
        <w:t>ColombiaCompraEficiente</w:t>
      </w:r>
    </w:p>
    <w:p w14:paraId="58A4ED21" w14:textId="77777777" w:rsidR="003B61C6" w:rsidRPr="00C02F37" w:rsidRDefault="003B61C6" w:rsidP="003B61C6">
      <w:pPr>
        <w:spacing w:after="0" w:line="240" w:lineRule="auto"/>
        <w:jc w:val="both"/>
        <w:rPr>
          <w:rFonts w:ascii="Verdana" w:hAnsi="Verdana"/>
        </w:rPr>
      </w:pPr>
      <w:r w:rsidRPr="00C02F37">
        <w:rPr>
          <w:rFonts w:ascii="Verdana" w:hAnsi="Verdana"/>
        </w:rPr>
        <w:t xml:space="preserve">LinkedIn: </w:t>
      </w:r>
      <w:r w:rsidRPr="00C02F37">
        <w:rPr>
          <w:rStyle w:val="Hipervnculo"/>
          <w:rFonts w:ascii="Verdana" w:hAnsi="Verdana" w:cs="Arial"/>
          <w:shd w:val="clear" w:color="auto" w:fill="FFFFFF"/>
          <w:lang w:val="es-ES"/>
        </w:rPr>
        <w:t>Agencia Nacional de Contratación Pública - Colombia Compra Eficiente</w:t>
      </w:r>
      <w:r w:rsidRPr="00C02F37">
        <w:rPr>
          <w:rFonts w:ascii="Verdana" w:eastAsia="Aptos" w:hAnsi="Verdana" w:cs="Times New Roman"/>
          <w:color w:val="156082"/>
        </w:rPr>
        <w:t xml:space="preserve"> </w:t>
      </w:r>
      <w:r w:rsidRPr="00C02F37">
        <w:rPr>
          <w:rFonts w:ascii="Verdana" w:hAnsi="Verdana"/>
        </w:rPr>
        <w:t xml:space="preserve">Instagram: </w:t>
      </w:r>
      <w:r w:rsidRPr="00C02F37">
        <w:rPr>
          <w:rStyle w:val="Hipervnculo"/>
          <w:rFonts w:ascii="Verdana" w:hAnsi="Verdana" w:cs="Arial"/>
          <w:shd w:val="clear" w:color="auto" w:fill="FFFFFF"/>
          <w:lang w:val="es-ES"/>
        </w:rPr>
        <w:t>@colombiacompraeficiente_cce</w:t>
      </w:r>
    </w:p>
    <w:p w14:paraId="4A29F9E2" w14:textId="77777777" w:rsidR="003B61C6" w:rsidRPr="00C02F37" w:rsidRDefault="003B61C6" w:rsidP="003B61C6">
      <w:pPr>
        <w:widowControl w:val="0"/>
        <w:autoSpaceDE w:val="0"/>
        <w:autoSpaceDN w:val="0"/>
        <w:spacing w:after="0" w:line="276" w:lineRule="auto"/>
        <w:jc w:val="both"/>
        <w:rPr>
          <w:rFonts w:ascii="Verdana" w:hAnsi="Verdana"/>
        </w:rPr>
      </w:pPr>
    </w:p>
    <w:p w14:paraId="47642659" w14:textId="77777777" w:rsidR="003B61C6" w:rsidRPr="00C02F37" w:rsidRDefault="003B61C6" w:rsidP="003B61C6">
      <w:pPr>
        <w:widowControl w:val="0"/>
        <w:autoSpaceDE w:val="0"/>
        <w:autoSpaceDN w:val="0"/>
        <w:spacing w:after="0" w:line="276" w:lineRule="auto"/>
        <w:jc w:val="both"/>
        <w:rPr>
          <w:rFonts w:ascii="Verdana" w:eastAsia="Aptos" w:hAnsi="Verdana" w:cs="Arial"/>
          <w:lang w:val="es-ES_tradnl"/>
        </w:rPr>
      </w:pPr>
      <w:r w:rsidRPr="00C02F37">
        <w:rPr>
          <w:rFonts w:ascii="Verdana" w:eastAsia="Aptos" w:hAnsi="Verdana" w:cs="Arial"/>
        </w:rPr>
        <w:t xml:space="preserve">Este concepto tiene el alcance previsto en el artículo 28 del Código de Procedimiento Administrativo y de lo Contencioso Administrativo </w:t>
      </w:r>
      <w:r w:rsidRPr="00C02F37">
        <w:rPr>
          <w:rFonts w:ascii="Verdana" w:eastAsia="Aptos" w:hAnsi="Verdana" w:cs="Arial"/>
          <w:lang w:val="es-ES_tradnl"/>
        </w:rPr>
        <w:t>y las expresiones aquí utilizadas con mayúscula inicial deben ser entendidas con el significado que les otorga el artículo 2.2.1.1.1.3.1. del Decreto 1082 de 2015.</w:t>
      </w:r>
    </w:p>
    <w:p w14:paraId="681FF69A" w14:textId="77777777" w:rsidR="003B61C6" w:rsidRPr="00C02F37" w:rsidRDefault="003B61C6" w:rsidP="003B61C6">
      <w:pPr>
        <w:widowControl w:val="0"/>
        <w:autoSpaceDE w:val="0"/>
        <w:autoSpaceDN w:val="0"/>
        <w:spacing w:after="0" w:line="276" w:lineRule="auto"/>
        <w:jc w:val="both"/>
        <w:rPr>
          <w:rFonts w:ascii="Verdana" w:eastAsia="Aptos" w:hAnsi="Verdana" w:cs="Arial"/>
        </w:rPr>
      </w:pPr>
    </w:p>
    <w:p w14:paraId="2D445CB8" w14:textId="77777777" w:rsidR="003B61C6" w:rsidRPr="00C02F37" w:rsidRDefault="003B61C6" w:rsidP="003B61C6">
      <w:pPr>
        <w:spacing w:after="0" w:line="240" w:lineRule="auto"/>
        <w:rPr>
          <w:rFonts w:ascii="Verdana" w:hAnsi="Verdana" w:cs="Arial"/>
          <w:lang w:eastAsia="es-CO"/>
        </w:rPr>
      </w:pPr>
      <w:r w:rsidRPr="00C02F37">
        <w:rPr>
          <w:rFonts w:ascii="Verdana" w:eastAsia="Times New Roman" w:hAnsi="Verdana" w:cs="Arial"/>
          <w:lang w:eastAsia="es-CO"/>
        </w:rPr>
        <w:lastRenderedPageBreak/>
        <w:t>Atentamente,</w:t>
      </w:r>
      <w:r w:rsidRPr="00C02F37">
        <w:rPr>
          <w:rFonts w:ascii="Verdana" w:hAnsi="Verdana" w:cs="Arial"/>
          <w:lang w:eastAsia="es-CO"/>
        </w:rPr>
        <w:t xml:space="preserve"> </w:t>
      </w:r>
    </w:p>
    <w:p w14:paraId="32A5D277" w14:textId="697B4B8A" w:rsidR="003B61C6" w:rsidRPr="00C02F37" w:rsidRDefault="00C77602" w:rsidP="003B61C6">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A0DCEC4" wp14:editId="3EC202A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B61C6" w:rsidRPr="00C02F37" w14:paraId="6322CAF1" w14:textId="77777777" w:rsidTr="00252124">
        <w:trPr>
          <w:trHeight w:val="315"/>
        </w:trPr>
        <w:tc>
          <w:tcPr>
            <w:tcW w:w="893" w:type="dxa"/>
            <w:vAlign w:val="center"/>
            <w:hideMark/>
          </w:tcPr>
          <w:p w14:paraId="1E87EDFC" w14:textId="77777777" w:rsidR="003B61C6" w:rsidRPr="00C02F37" w:rsidRDefault="003B61C6" w:rsidP="00252124">
            <w:pPr>
              <w:contextualSpacing/>
              <w:rPr>
                <w:rFonts w:ascii="Verdana" w:hAnsi="Verdana" w:cs="Arial"/>
                <w:sz w:val="16"/>
                <w:szCs w:val="16"/>
                <w:lang w:val="es-ES" w:eastAsia="es-ES"/>
              </w:rPr>
            </w:pPr>
            <w:r w:rsidRPr="00C02F3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C18C59" w14:textId="77777777" w:rsidR="003B61C6" w:rsidRPr="00C02F37" w:rsidRDefault="003B61C6" w:rsidP="00252124">
            <w:pPr>
              <w:contextualSpacing/>
              <w:rPr>
                <w:rFonts w:ascii="Verdana" w:eastAsia="Arial" w:hAnsi="Verdana" w:cs="Arial"/>
                <w:sz w:val="16"/>
                <w:szCs w:val="16"/>
              </w:rPr>
            </w:pPr>
            <w:r w:rsidRPr="00C02F37">
              <w:rPr>
                <w:rFonts w:ascii="Verdana" w:eastAsia="Arial" w:hAnsi="Verdana" w:cs="Arial"/>
                <w:sz w:val="16"/>
                <w:szCs w:val="16"/>
              </w:rPr>
              <w:t>Ana María Ortiz Ballesteros</w:t>
            </w:r>
          </w:p>
          <w:p w14:paraId="1F322E31" w14:textId="77777777" w:rsidR="003B61C6" w:rsidRPr="00C02F37" w:rsidRDefault="003B61C6" w:rsidP="00252124">
            <w:pPr>
              <w:contextualSpacing/>
              <w:rPr>
                <w:rFonts w:ascii="Verdana" w:eastAsia="Arial" w:hAnsi="Verdana" w:cs="Arial"/>
                <w:sz w:val="16"/>
                <w:szCs w:val="16"/>
              </w:rPr>
            </w:pPr>
            <w:r w:rsidRPr="00C02F37">
              <w:rPr>
                <w:rStyle w:val="normaltextrun"/>
                <w:rFonts w:ascii="Verdana" w:eastAsia="Arial" w:hAnsi="Verdana" w:cs="Arial"/>
                <w:sz w:val="16"/>
                <w:szCs w:val="16"/>
              </w:rPr>
              <w:t>C</w:t>
            </w:r>
            <w:r w:rsidRPr="00C02F37">
              <w:rPr>
                <w:rStyle w:val="normaltextrun"/>
                <w:rFonts w:ascii="Verdana" w:hAnsi="Verdana" w:cs="Arial"/>
                <w:sz w:val="16"/>
                <w:szCs w:val="16"/>
              </w:rPr>
              <w:t>ontratista</w:t>
            </w:r>
            <w:r w:rsidRPr="00C02F37">
              <w:rPr>
                <w:rStyle w:val="normaltextrun"/>
                <w:rFonts w:ascii="Verdana" w:eastAsia="Arial" w:hAnsi="Verdana" w:cs="Arial"/>
                <w:sz w:val="16"/>
                <w:szCs w:val="16"/>
              </w:rPr>
              <w:t xml:space="preserve"> de la Subdirección de Gestión Contractual</w:t>
            </w:r>
          </w:p>
        </w:tc>
      </w:tr>
      <w:tr w:rsidR="003B61C6" w:rsidRPr="00C02F37" w14:paraId="56E43156" w14:textId="77777777" w:rsidTr="00252124">
        <w:trPr>
          <w:trHeight w:val="330"/>
        </w:trPr>
        <w:tc>
          <w:tcPr>
            <w:tcW w:w="893" w:type="dxa"/>
            <w:vAlign w:val="center"/>
            <w:hideMark/>
          </w:tcPr>
          <w:p w14:paraId="48D061C8" w14:textId="77777777" w:rsidR="003B61C6" w:rsidRPr="00C02F37" w:rsidRDefault="003B61C6" w:rsidP="00252124">
            <w:pPr>
              <w:contextualSpacing/>
              <w:rPr>
                <w:rFonts w:ascii="Verdana" w:hAnsi="Verdana" w:cs="Arial"/>
                <w:sz w:val="16"/>
                <w:szCs w:val="16"/>
                <w:lang w:val="es-ES" w:eastAsia="es-ES"/>
              </w:rPr>
            </w:pPr>
            <w:r w:rsidRPr="00C02F3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441483" w14:textId="77777777" w:rsidR="003B61C6" w:rsidRPr="00C02F37" w:rsidRDefault="003B61C6" w:rsidP="00252124">
            <w:pPr>
              <w:pStyle w:val="paragraph"/>
              <w:spacing w:before="0" w:beforeAutospacing="0" w:after="0" w:afterAutospacing="0"/>
              <w:contextualSpacing/>
              <w:textAlignment w:val="baseline"/>
              <w:rPr>
                <w:rStyle w:val="normaltextrun"/>
                <w:rFonts w:ascii="Verdana" w:hAnsi="Verdana" w:cs="Arial"/>
                <w:sz w:val="16"/>
                <w:szCs w:val="16"/>
                <w:lang w:val="es-ES"/>
              </w:rPr>
            </w:pPr>
            <w:r w:rsidRPr="00C02F37">
              <w:rPr>
                <w:rStyle w:val="normaltextrun"/>
                <w:rFonts w:ascii="Verdana" w:hAnsi="Verdana" w:cs="Arial"/>
                <w:sz w:val="16"/>
                <w:szCs w:val="16"/>
                <w:lang w:val="es-ES"/>
              </w:rPr>
              <w:t>Martha Alicia Romero Vargas</w:t>
            </w:r>
          </w:p>
          <w:p w14:paraId="37D3E425" w14:textId="77777777" w:rsidR="003B61C6" w:rsidRPr="00C02F37" w:rsidRDefault="003B61C6" w:rsidP="00252124">
            <w:pPr>
              <w:pStyle w:val="paragraph"/>
              <w:spacing w:before="0" w:beforeAutospacing="0" w:after="0" w:afterAutospacing="0"/>
              <w:contextualSpacing/>
              <w:textAlignment w:val="baseline"/>
              <w:rPr>
                <w:rFonts w:ascii="Verdana" w:hAnsi="Verdana" w:cs="Arial"/>
                <w:sz w:val="16"/>
                <w:szCs w:val="16"/>
              </w:rPr>
            </w:pPr>
            <w:r w:rsidRPr="00C02F37">
              <w:rPr>
                <w:rStyle w:val="normaltextrun"/>
                <w:rFonts w:ascii="Verdana" w:hAnsi="Verdana" w:cs="Arial"/>
                <w:sz w:val="16"/>
                <w:szCs w:val="16"/>
                <w:lang w:val="es-ES"/>
              </w:rPr>
              <w:t>Gestor T1 ‒ 15 de la Subdirección de Gestión Contractual</w:t>
            </w:r>
            <w:r w:rsidRPr="00C02F37">
              <w:rPr>
                <w:rStyle w:val="eop"/>
                <w:rFonts w:ascii="Verdana" w:hAnsi="Verdana" w:cs="Arial"/>
                <w:sz w:val="16"/>
                <w:szCs w:val="16"/>
              </w:rPr>
              <w:t> </w:t>
            </w:r>
          </w:p>
        </w:tc>
      </w:tr>
      <w:tr w:rsidR="003B61C6" w:rsidRPr="00C02F37" w14:paraId="3219DD5E" w14:textId="77777777" w:rsidTr="00252124">
        <w:trPr>
          <w:trHeight w:val="300"/>
        </w:trPr>
        <w:tc>
          <w:tcPr>
            <w:tcW w:w="893" w:type="dxa"/>
            <w:vAlign w:val="center"/>
          </w:tcPr>
          <w:p w14:paraId="0B459E8A" w14:textId="77777777" w:rsidR="003B61C6" w:rsidRPr="00C02F37" w:rsidRDefault="003B61C6" w:rsidP="00252124">
            <w:pPr>
              <w:contextualSpacing/>
              <w:rPr>
                <w:rFonts w:ascii="Verdana" w:hAnsi="Verdana" w:cs="Arial"/>
                <w:sz w:val="16"/>
                <w:szCs w:val="16"/>
                <w:lang w:val="es-ES" w:eastAsia="es-ES"/>
              </w:rPr>
            </w:pPr>
            <w:r w:rsidRPr="00C02F3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8DFD600" w14:textId="77777777" w:rsidR="003B61C6" w:rsidRPr="00C02F37" w:rsidRDefault="003B61C6" w:rsidP="00252124">
            <w:pPr>
              <w:contextualSpacing/>
              <w:rPr>
                <w:rFonts w:ascii="Verdana" w:eastAsia="Calibri" w:hAnsi="Verdana" w:cs="Arial"/>
                <w:sz w:val="16"/>
                <w:szCs w:val="16"/>
                <w:lang w:val="pt-BR" w:eastAsia="es-ES"/>
              </w:rPr>
            </w:pPr>
            <w:r w:rsidRPr="00C02F37">
              <w:rPr>
                <w:rFonts w:ascii="Verdana" w:eastAsia="Calibri" w:hAnsi="Verdana" w:cs="Arial"/>
                <w:sz w:val="16"/>
                <w:szCs w:val="16"/>
                <w:lang w:val="pt-BR" w:eastAsia="es-ES"/>
              </w:rPr>
              <w:t>Carolina Quintero Gacharná</w:t>
            </w:r>
          </w:p>
          <w:p w14:paraId="0E216484" w14:textId="77777777" w:rsidR="003B61C6" w:rsidRPr="00C02F37" w:rsidRDefault="003B61C6" w:rsidP="00252124">
            <w:pPr>
              <w:contextualSpacing/>
              <w:rPr>
                <w:rFonts w:ascii="Verdana" w:eastAsia="Calibri" w:hAnsi="Verdana" w:cs="Arial"/>
                <w:sz w:val="16"/>
                <w:szCs w:val="16"/>
                <w:lang w:val="pt-BR" w:eastAsia="es-ES"/>
              </w:rPr>
            </w:pPr>
            <w:r w:rsidRPr="00C02F37">
              <w:rPr>
                <w:rFonts w:ascii="Verdana" w:eastAsia="Calibri" w:hAnsi="Verdana" w:cs="Arial"/>
                <w:sz w:val="16"/>
                <w:szCs w:val="16"/>
                <w:lang w:eastAsia="es-ES"/>
              </w:rPr>
              <w:t>Subdirectora</w:t>
            </w:r>
            <w:r w:rsidRPr="00C02F37">
              <w:rPr>
                <w:rFonts w:ascii="Verdana" w:eastAsia="Calibri" w:hAnsi="Verdana" w:cs="Arial"/>
                <w:sz w:val="16"/>
                <w:szCs w:val="16"/>
                <w:lang w:val="pt-BR" w:eastAsia="es-ES"/>
              </w:rPr>
              <w:t xml:space="preserve">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10FB9B66" w14:textId="77777777" w:rsidR="00004ADF" w:rsidRPr="00D37D18" w:rsidRDefault="00004ADF" w:rsidP="0086223E">
      <w:pPr>
        <w:pStyle w:val="Textonotapie"/>
        <w:ind w:firstLine="708"/>
        <w:jc w:val="both"/>
        <w:rPr>
          <w:rFonts w:ascii="Verdana" w:hAnsi="Verdana" w:cs="Arial"/>
          <w:sz w:val="18"/>
          <w:szCs w:val="18"/>
        </w:rPr>
      </w:pPr>
      <w:r w:rsidRPr="0040622E">
        <w:rPr>
          <w:rStyle w:val="Refdenotaalpie"/>
          <w:rFonts w:ascii="Verdana" w:hAnsi="Verdana" w:cs="Arial"/>
          <w:sz w:val="10"/>
          <w:szCs w:val="10"/>
        </w:rPr>
        <w:footnoteRef/>
      </w:r>
      <w:r w:rsidRPr="0040622E">
        <w:rPr>
          <w:rFonts w:ascii="Verdana" w:hAnsi="Verdana" w:cs="Arial"/>
          <w:sz w:val="10"/>
          <w:szCs w:val="10"/>
        </w:rPr>
        <w:t xml:space="preserve"> </w:t>
      </w:r>
      <w:r w:rsidRPr="00D37D18">
        <w:rPr>
          <w:rFonts w:ascii="Verdana" w:hAnsi="Verdana" w:cs="Arial"/>
          <w:sz w:val="18"/>
          <w:szCs w:val="18"/>
        </w:rPr>
        <w:t>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1F855559" w14:textId="77777777" w:rsidR="00004ADF" w:rsidRPr="00D37D18" w:rsidRDefault="00004ADF" w:rsidP="0086223E">
      <w:pPr>
        <w:pStyle w:val="Textonotapie"/>
        <w:ind w:firstLine="708"/>
        <w:jc w:val="both"/>
        <w:rPr>
          <w:rFonts w:ascii="Verdana" w:hAnsi="Verdana" w:cs="Arial"/>
          <w:sz w:val="18"/>
          <w:szCs w:val="18"/>
        </w:rPr>
      </w:pPr>
    </w:p>
    <w:p w14:paraId="59280123" w14:textId="77777777" w:rsidR="00004ADF" w:rsidRPr="00D37D18" w:rsidRDefault="00004ADF" w:rsidP="0086223E">
      <w:pPr>
        <w:pStyle w:val="Textonotapie"/>
        <w:ind w:firstLine="708"/>
        <w:jc w:val="both"/>
        <w:rPr>
          <w:rFonts w:ascii="Verdana" w:hAnsi="Verdana" w:cs="Arial"/>
          <w:sz w:val="18"/>
          <w:szCs w:val="18"/>
        </w:rPr>
      </w:pPr>
      <w:r w:rsidRPr="00D37D18">
        <w:rPr>
          <w:rFonts w:ascii="Verdana" w:hAnsi="Verdana" w:cs="Arial"/>
          <w:sz w:val="18"/>
          <w:szCs w:val="18"/>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6EC07254" w14:textId="77777777" w:rsidR="00004ADF" w:rsidRPr="00D37D18" w:rsidRDefault="00004ADF" w:rsidP="0086223E">
      <w:pPr>
        <w:pStyle w:val="Textonotapie"/>
        <w:ind w:firstLine="708"/>
        <w:jc w:val="both"/>
        <w:rPr>
          <w:rFonts w:ascii="Verdana" w:hAnsi="Verdana" w:cs="Arial"/>
          <w:sz w:val="18"/>
          <w:szCs w:val="18"/>
        </w:rPr>
      </w:pPr>
    </w:p>
  </w:footnote>
  <w:footnote w:id="2">
    <w:p w14:paraId="41ECB622" w14:textId="200C8DF4" w:rsidR="0040155B" w:rsidRPr="00D37D18" w:rsidRDefault="0040155B" w:rsidP="0086223E">
      <w:pPr>
        <w:pStyle w:val="Textonotapie"/>
        <w:ind w:firstLine="708"/>
        <w:jc w:val="both"/>
        <w:rPr>
          <w:rFonts w:ascii="Verdana" w:hAnsi="Verdana" w:cs="Arial"/>
          <w:sz w:val="18"/>
          <w:szCs w:val="18"/>
        </w:rPr>
      </w:pPr>
      <w:r w:rsidRPr="00D37D18">
        <w:rPr>
          <w:rStyle w:val="Refdenotaalpie"/>
          <w:rFonts w:ascii="Verdana" w:hAnsi="Verdana" w:cs="Arial"/>
          <w:sz w:val="18"/>
          <w:szCs w:val="18"/>
        </w:rPr>
        <w:footnoteRef/>
      </w:r>
      <w:r w:rsidRPr="00D37D18">
        <w:rPr>
          <w:rFonts w:ascii="Verdana" w:hAnsi="Verdana" w:cs="Arial"/>
          <w:sz w:val="18"/>
          <w:szCs w:val="18"/>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72E93"/>
    <w:multiLevelType w:val="hybridMultilevel"/>
    <w:tmpl w:val="08DA01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04B0D11"/>
    <w:multiLevelType w:val="hybridMultilevel"/>
    <w:tmpl w:val="3B1611B4"/>
    <w:lvl w:ilvl="0" w:tplc="952A0668">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2F81F6F"/>
    <w:multiLevelType w:val="hybridMultilevel"/>
    <w:tmpl w:val="29B688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679089576">
    <w:abstractNumId w:val="11"/>
  </w:num>
  <w:num w:numId="18" w16cid:durableId="1670254484">
    <w:abstractNumId w:val="4"/>
  </w:num>
  <w:num w:numId="19" w16cid:durableId="1411123333">
    <w:abstractNumId w:val="3"/>
  </w:num>
  <w:num w:numId="20" w16cid:durableId="10324644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676"/>
    <w:rsid w:val="00003765"/>
    <w:rsid w:val="0000448F"/>
    <w:rsid w:val="00004ADF"/>
    <w:rsid w:val="00016F78"/>
    <w:rsid w:val="00032A67"/>
    <w:rsid w:val="00037AB9"/>
    <w:rsid w:val="00046945"/>
    <w:rsid w:val="00061B2A"/>
    <w:rsid w:val="000706A9"/>
    <w:rsid w:val="00082362"/>
    <w:rsid w:val="00082384"/>
    <w:rsid w:val="00093361"/>
    <w:rsid w:val="000A683E"/>
    <w:rsid w:val="000B03C6"/>
    <w:rsid w:val="000B19B9"/>
    <w:rsid w:val="000B674C"/>
    <w:rsid w:val="000C55A8"/>
    <w:rsid w:val="000D0334"/>
    <w:rsid w:val="000F6486"/>
    <w:rsid w:val="00101153"/>
    <w:rsid w:val="00111BA1"/>
    <w:rsid w:val="00125105"/>
    <w:rsid w:val="00126C1A"/>
    <w:rsid w:val="00127233"/>
    <w:rsid w:val="00135B40"/>
    <w:rsid w:val="001511A0"/>
    <w:rsid w:val="00187F14"/>
    <w:rsid w:val="001B2C68"/>
    <w:rsid w:val="001C2CD2"/>
    <w:rsid w:val="001E4177"/>
    <w:rsid w:val="001F3F68"/>
    <w:rsid w:val="001F7DC6"/>
    <w:rsid w:val="00226700"/>
    <w:rsid w:val="002421BB"/>
    <w:rsid w:val="0025796E"/>
    <w:rsid w:val="002707A2"/>
    <w:rsid w:val="00270F31"/>
    <w:rsid w:val="002728C9"/>
    <w:rsid w:val="0027589C"/>
    <w:rsid w:val="002951A0"/>
    <w:rsid w:val="002962BC"/>
    <w:rsid w:val="002A093D"/>
    <w:rsid w:val="002A0DD0"/>
    <w:rsid w:val="002A1680"/>
    <w:rsid w:val="002A49AC"/>
    <w:rsid w:val="002A64FD"/>
    <w:rsid w:val="002C7A84"/>
    <w:rsid w:val="002E4FD9"/>
    <w:rsid w:val="002E5A79"/>
    <w:rsid w:val="00322A85"/>
    <w:rsid w:val="00324168"/>
    <w:rsid w:val="003304F5"/>
    <w:rsid w:val="003448F4"/>
    <w:rsid w:val="003530E9"/>
    <w:rsid w:val="00374F5E"/>
    <w:rsid w:val="00377E3E"/>
    <w:rsid w:val="00383B09"/>
    <w:rsid w:val="00384CA3"/>
    <w:rsid w:val="00386D80"/>
    <w:rsid w:val="003943B6"/>
    <w:rsid w:val="003A3E51"/>
    <w:rsid w:val="003A4060"/>
    <w:rsid w:val="003A779E"/>
    <w:rsid w:val="003B1AB4"/>
    <w:rsid w:val="003B61C6"/>
    <w:rsid w:val="003C38AA"/>
    <w:rsid w:val="003D0F4D"/>
    <w:rsid w:val="003D371C"/>
    <w:rsid w:val="003D5B0D"/>
    <w:rsid w:val="003E0499"/>
    <w:rsid w:val="003F3941"/>
    <w:rsid w:val="0040155B"/>
    <w:rsid w:val="00404A54"/>
    <w:rsid w:val="0040622E"/>
    <w:rsid w:val="00406575"/>
    <w:rsid w:val="00414C74"/>
    <w:rsid w:val="0042722E"/>
    <w:rsid w:val="00434C04"/>
    <w:rsid w:val="0044528D"/>
    <w:rsid w:val="0049671A"/>
    <w:rsid w:val="004967EA"/>
    <w:rsid w:val="004A1032"/>
    <w:rsid w:val="004A1847"/>
    <w:rsid w:val="004A305D"/>
    <w:rsid w:val="004A35EA"/>
    <w:rsid w:val="004E0A1B"/>
    <w:rsid w:val="004F21C4"/>
    <w:rsid w:val="004F685F"/>
    <w:rsid w:val="00500422"/>
    <w:rsid w:val="00502782"/>
    <w:rsid w:val="00535519"/>
    <w:rsid w:val="0054003C"/>
    <w:rsid w:val="005566E8"/>
    <w:rsid w:val="00574867"/>
    <w:rsid w:val="00591460"/>
    <w:rsid w:val="00593EC7"/>
    <w:rsid w:val="005A2617"/>
    <w:rsid w:val="005B30E8"/>
    <w:rsid w:val="005B3816"/>
    <w:rsid w:val="005C3777"/>
    <w:rsid w:val="005C5CDC"/>
    <w:rsid w:val="005D476C"/>
    <w:rsid w:val="005F4C31"/>
    <w:rsid w:val="006219F8"/>
    <w:rsid w:val="00643ECE"/>
    <w:rsid w:val="00646852"/>
    <w:rsid w:val="00663CF4"/>
    <w:rsid w:val="00664810"/>
    <w:rsid w:val="00665D70"/>
    <w:rsid w:val="006900D9"/>
    <w:rsid w:val="006975AD"/>
    <w:rsid w:val="006A5743"/>
    <w:rsid w:val="006C2427"/>
    <w:rsid w:val="006E2239"/>
    <w:rsid w:val="006F0F89"/>
    <w:rsid w:val="006F5FE2"/>
    <w:rsid w:val="007061CA"/>
    <w:rsid w:val="00706C16"/>
    <w:rsid w:val="0073621D"/>
    <w:rsid w:val="00756841"/>
    <w:rsid w:val="00760F78"/>
    <w:rsid w:val="007649AB"/>
    <w:rsid w:val="00771D0C"/>
    <w:rsid w:val="007833AC"/>
    <w:rsid w:val="007A775F"/>
    <w:rsid w:val="007B268C"/>
    <w:rsid w:val="007B7171"/>
    <w:rsid w:val="007C0C0F"/>
    <w:rsid w:val="007C0D9B"/>
    <w:rsid w:val="007C3DC2"/>
    <w:rsid w:val="007E5497"/>
    <w:rsid w:val="00806F5F"/>
    <w:rsid w:val="008075CE"/>
    <w:rsid w:val="00820278"/>
    <w:rsid w:val="00844B54"/>
    <w:rsid w:val="0086223E"/>
    <w:rsid w:val="00867F95"/>
    <w:rsid w:val="008843B6"/>
    <w:rsid w:val="00891928"/>
    <w:rsid w:val="008A446D"/>
    <w:rsid w:val="008D180B"/>
    <w:rsid w:val="008E0844"/>
    <w:rsid w:val="008F0EA7"/>
    <w:rsid w:val="0090566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364BE"/>
    <w:rsid w:val="00AA0144"/>
    <w:rsid w:val="00AA1913"/>
    <w:rsid w:val="00AB0ADB"/>
    <w:rsid w:val="00AB276F"/>
    <w:rsid w:val="00AE5ACF"/>
    <w:rsid w:val="00B01B1A"/>
    <w:rsid w:val="00B33D8A"/>
    <w:rsid w:val="00B66319"/>
    <w:rsid w:val="00B72CD3"/>
    <w:rsid w:val="00B72FFF"/>
    <w:rsid w:val="00BC2A83"/>
    <w:rsid w:val="00BC3D36"/>
    <w:rsid w:val="00BD7F72"/>
    <w:rsid w:val="00BE2ACD"/>
    <w:rsid w:val="00BF6444"/>
    <w:rsid w:val="00C02F37"/>
    <w:rsid w:val="00C04FB3"/>
    <w:rsid w:val="00C21CBA"/>
    <w:rsid w:val="00C330EB"/>
    <w:rsid w:val="00C35113"/>
    <w:rsid w:val="00C41061"/>
    <w:rsid w:val="00C44B27"/>
    <w:rsid w:val="00C63268"/>
    <w:rsid w:val="00C754BE"/>
    <w:rsid w:val="00C76B1C"/>
    <w:rsid w:val="00C77602"/>
    <w:rsid w:val="00C82ACF"/>
    <w:rsid w:val="00C82BA4"/>
    <w:rsid w:val="00CA2908"/>
    <w:rsid w:val="00CA540B"/>
    <w:rsid w:val="00CB6357"/>
    <w:rsid w:val="00CC1B26"/>
    <w:rsid w:val="00CC793C"/>
    <w:rsid w:val="00D11AB0"/>
    <w:rsid w:val="00D21445"/>
    <w:rsid w:val="00D37D18"/>
    <w:rsid w:val="00D423A2"/>
    <w:rsid w:val="00D520D8"/>
    <w:rsid w:val="00D54C60"/>
    <w:rsid w:val="00D63AC2"/>
    <w:rsid w:val="00D71D16"/>
    <w:rsid w:val="00D7383B"/>
    <w:rsid w:val="00D765D1"/>
    <w:rsid w:val="00DA231B"/>
    <w:rsid w:val="00DA4D22"/>
    <w:rsid w:val="00DB3CBE"/>
    <w:rsid w:val="00DC39FC"/>
    <w:rsid w:val="00DD0BDE"/>
    <w:rsid w:val="00DF5254"/>
    <w:rsid w:val="00DF6B1B"/>
    <w:rsid w:val="00E00651"/>
    <w:rsid w:val="00E16408"/>
    <w:rsid w:val="00E20894"/>
    <w:rsid w:val="00E245AB"/>
    <w:rsid w:val="00E2764C"/>
    <w:rsid w:val="00E27F2E"/>
    <w:rsid w:val="00E30203"/>
    <w:rsid w:val="00E34E85"/>
    <w:rsid w:val="00E41247"/>
    <w:rsid w:val="00E50AFE"/>
    <w:rsid w:val="00E75C92"/>
    <w:rsid w:val="00E771DC"/>
    <w:rsid w:val="00E80320"/>
    <w:rsid w:val="00E8772A"/>
    <w:rsid w:val="00E90F6B"/>
    <w:rsid w:val="00E92C27"/>
    <w:rsid w:val="00EA0E3D"/>
    <w:rsid w:val="00EC38A7"/>
    <w:rsid w:val="00ED1FD6"/>
    <w:rsid w:val="00ED7384"/>
    <w:rsid w:val="00EE1AA8"/>
    <w:rsid w:val="00F04FD2"/>
    <w:rsid w:val="00F31190"/>
    <w:rsid w:val="00F31EDC"/>
    <w:rsid w:val="00F462B3"/>
    <w:rsid w:val="00F5664F"/>
    <w:rsid w:val="00F666C4"/>
    <w:rsid w:val="00F76AFC"/>
    <w:rsid w:val="00FA47C0"/>
    <w:rsid w:val="00FB0214"/>
    <w:rsid w:val="00FB1E58"/>
    <w:rsid w:val="00FB5DD1"/>
    <w:rsid w:val="00FC2B5D"/>
    <w:rsid w:val="00FF1449"/>
    <w:rsid w:val="00FF5A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674C"/>
    <w:rPr>
      <w:rFonts w:ascii="Geomanist Light" w:hAnsi="Geomanist Light"/>
      <w:lang w:val="es-ES"/>
    </w:rPr>
  </w:style>
  <w:style w:type="paragraph" w:customStyle="1" w:styleId="Appelnotedebasde">
    <w:name w:val="Appel note de bas de..."/>
    <w:basedOn w:val="Normal"/>
    <w:link w:val="Refdenotaalpie"/>
    <w:uiPriority w:val="99"/>
    <w:rsid w:val="00004ADF"/>
    <w:pPr>
      <w:spacing w:line="240" w:lineRule="exact"/>
    </w:pPr>
    <w:rPr>
      <w:vertAlign w:val="superscript"/>
    </w:rPr>
  </w:style>
  <w:style w:type="character" w:customStyle="1" w:styleId="superscript">
    <w:name w:val="superscript"/>
    <w:basedOn w:val="Fuentedeprrafopredeter"/>
    <w:rsid w:val="006A5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817317">
      <w:bodyDiv w:val="1"/>
      <w:marLeft w:val="0"/>
      <w:marRight w:val="0"/>
      <w:marTop w:val="0"/>
      <w:marBottom w:val="0"/>
      <w:divBdr>
        <w:top w:val="none" w:sz="0" w:space="0" w:color="auto"/>
        <w:left w:val="none" w:sz="0" w:space="0" w:color="auto"/>
        <w:bottom w:val="none" w:sz="0" w:space="0" w:color="auto"/>
        <w:right w:val="none" w:sz="0" w:space="0" w:color="auto"/>
      </w:divBdr>
      <w:divsChild>
        <w:div w:id="1262564996">
          <w:marLeft w:val="0"/>
          <w:marRight w:val="0"/>
          <w:marTop w:val="0"/>
          <w:marBottom w:val="0"/>
          <w:divBdr>
            <w:top w:val="none" w:sz="0" w:space="0" w:color="auto"/>
            <w:left w:val="none" w:sz="0" w:space="0" w:color="auto"/>
            <w:bottom w:val="none" w:sz="0" w:space="0" w:color="auto"/>
            <w:right w:val="none" w:sz="0" w:space="0" w:color="auto"/>
          </w:divBdr>
        </w:div>
      </w:divsChild>
    </w:div>
    <w:div w:id="103890450">
      <w:bodyDiv w:val="1"/>
      <w:marLeft w:val="0"/>
      <w:marRight w:val="0"/>
      <w:marTop w:val="0"/>
      <w:marBottom w:val="0"/>
      <w:divBdr>
        <w:top w:val="none" w:sz="0" w:space="0" w:color="auto"/>
        <w:left w:val="none" w:sz="0" w:space="0" w:color="auto"/>
        <w:bottom w:val="none" w:sz="0" w:space="0" w:color="auto"/>
        <w:right w:val="none" w:sz="0" w:space="0" w:color="auto"/>
      </w:divBdr>
      <w:divsChild>
        <w:div w:id="1202472955">
          <w:marLeft w:val="0"/>
          <w:marRight w:val="0"/>
          <w:marTop w:val="0"/>
          <w:marBottom w:val="0"/>
          <w:divBdr>
            <w:top w:val="none" w:sz="0" w:space="0" w:color="auto"/>
            <w:left w:val="none" w:sz="0" w:space="0" w:color="auto"/>
            <w:bottom w:val="none" w:sz="0" w:space="0" w:color="auto"/>
            <w:right w:val="none" w:sz="0" w:space="0" w:color="auto"/>
          </w:divBdr>
        </w:div>
      </w:divsChild>
    </w:div>
    <w:div w:id="195509732">
      <w:bodyDiv w:val="1"/>
      <w:marLeft w:val="0"/>
      <w:marRight w:val="0"/>
      <w:marTop w:val="0"/>
      <w:marBottom w:val="0"/>
      <w:divBdr>
        <w:top w:val="none" w:sz="0" w:space="0" w:color="auto"/>
        <w:left w:val="none" w:sz="0" w:space="0" w:color="auto"/>
        <w:bottom w:val="none" w:sz="0" w:space="0" w:color="auto"/>
        <w:right w:val="none" w:sz="0" w:space="0" w:color="auto"/>
      </w:divBdr>
      <w:divsChild>
        <w:div w:id="1041591420">
          <w:marLeft w:val="0"/>
          <w:marRight w:val="0"/>
          <w:marTop w:val="0"/>
          <w:marBottom w:val="0"/>
          <w:divBdr>
            <w:top w:val="none" w:sz="0" w:space="0" w:color="auto"/>
            <w:left w:val="none" w:sz="0" w:space="0" w:color="auto"/>
            <w:bottom w:val="none" w:sz="0" w:space="0" w:color="auto"/>
            <w:right w:val="none" w:sz="0" w:space="0" w:color="auto"/>
          </w:divBdr>
        </w:div>
      </w:divsChild>
    </w:div>
    <w:div w:id="287781241">
      <w:bodyDiv w:val="1"/>
      <w:marLeft w:val="0"/>
      <w:marRight w:val="0"/>
      <w:marTop w:val="0"/>
      <w:marBottom w:val="0"/>
      <w:divBdr>
        <w:top w:val="none" w:sz="0" w:space="0" w:color="auto"/>
        <w:left w:val="none" w:sz="0" w:space="0" w:color="auto"/>
        <w:bottom w:val="none" w:sz="0" w:space="0" w:color="auto"/>
        <w:right w:val="none" w:sz="0" w:space="0" w:color="auto"/>
      </w:divBdr>
      <w:divsChild>
        <w:div w:id="355539934">
          <w:marLeft w:val="0"/>
          <w:marRight w:val="0"/>
          <w:marTop w:val="0"/>
          <w:marBottom w:val="0"/>
          <w:divBdr>
            <w:top w:val="none" w:sz="0" w:space="0" w:color="auto"/>
            <w:left w:val="none" w:sz="0" w:space="0" w:color="auto"/>
            <w:bottom w:val="none" w:sz="0" w:space="0" w:color="auto"/>
            <w:right w:val="none" w:sz="0" w:space="0" w:color="auto"/>
          </w:divBdr>
        </w:div>
      </w:divsChild>
    </w:div>
    <w:div w:id="342171477">
      <w:bodyDiv w:val="1"/>
      <w:marLeft w:val="0"/>
      <w:marRight w:val="0"/>
      <w:marTop w:val="0"/>
      <w:marBottom w:val="0"/>
      <w:divBdr>
        <w:top w:val="none" w:sz="0" w:space="0" w:color="auto"/>
        <w:left w:val="none" w:sz="0" w:space="0" w:color="auto"/>
        <w:bottom w:val="none" w:sz="0" w:space="0" w:color="auto"/>
        <w:right w:val="none" w:sz="0" w:space="0" w:color="auto"/>
      </w:divBdr>
      <w:divsChild>
        <w:div w:id="32536551">
          <w:marLeft w:val="0"/>
          <w:marRight w:val="0"/>
          <w:marTop w:val="0"/>
          <w:marBottom w:val="0"/>
          <w:divBdr>
            <w:top w:val="none" w:sz="0" w:space="0" w:color="auto"/>
            <w:left w:val="none" w:sz="0" w:space="0" w:color="auto"/>
            <w:bottom w:val="none" w:sz="0" w:space="0" w:color="auto"/>
            <w:right w:val="none" w:sz="0" w:space="0" w:color="auto"/>
          </w:divBdr>
        </w:div>
      </w:divsChild>
    </w:div>
    <w:div w:id="579868081">
      <w:bodyDiv w:val="1"/>
      <w:marLeft w:val="0"/>
      <w:marRight w:val="0"/>
      <w:marTop w:val="0"/>
      <w:marBottom w:val="0"/>
      <w:divBdr>
        <w:top w:val="none" w:sz="0" w:space="0" w:color="auto"/>
        <w:left w:val="none" w:sz="0" w:space="0" w:color="auto"/>
        <w:bottom w:val="none" w:sz="0" w:space="0" w:color="auto"/>
        <w:right w:val="none" w:sz="0" w:space="0" w:color="auto"/>
      </w:divBdr>
      <w:divsChild>
        <w:div w:id="614212404">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9017603">
      <w:bodyDiv w:val="1"/>
      <w:marLeft w:val="0"/>
      <w:marRight w:val="0"/>
      <w:marTop w:val="0"/>
      <w:marBottom w:val="0"/>
      <w:divBdr>
        <w:top w:val="none" w:sz="0" w:space="0" w:color="auto"/>
        <w:left w:val="none" w:sz="0" w:space="0" w:color="auto"/>
        <w:bottom w:val="none" w:sz="0" w:space="0" w:color="auto"/>
        <w:right w:val="none" w:sz="0" w:space="0" w:color="auto"/>
      </w:divBdr>
      <w:divsChild>
        <w:div w:id="705132360">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3715809">
      <w:bodyDiv w:val="1"/>
      <w:marLeft w:val="0"/>
      <w:marRight w:val="0"/>
      <w:marTop w:val="0"/>
      <w:marBottom w:val="0"/>
      <w:divBdr>
        <w:top w:val="none" w:sz="0" w:space="0" w:color="auto"/>
        <w:left w:val="none" w:sz="0" w:space="0" w:color="auto"/>
        <w:bottom w:val="none" w:sz="0" w:space="0" w:color="auto"/>
        <w:right w:val="none" w:sz="0" w:space="0" w:color="auto"/>
      </w:divBdr>
      <w:divsChild>
        <w:div w:id="278949737">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35765555">
      <w:bodyDiv w:val="1"/>
      <w:marLeft w:val="0"/>
      <w:marRight w:val="0"/>
      <w:marTop w:val="0"/>
      <w:marBottom w:val="0"/>
      <w:divBdr>
        <w:top w:val="none" w:sz="0" w:space="0" w:color="auto"/>
        <w:left w:val="none" w:sz="0" w:space="0" w:color="auto"/>
        <w:bottom w:val="none" w:sz="0" w:space="0" w:color="auto"/>
        <w:right w:val="none" w:sz="0" w:space="0" w:color="auto"/>
      </w:divBdr>
      <w:divsChild>
        <w:div w:id="1900507535">
          <w:marLeft w:val="0"/>
          <w:marRight w:val="0"/>
          <w:marTop w:val="0"/>
          <w:marBottom w:val="0"/>
          <w:divBdr>
            <w:top w:val="none" w:sz="0" w:space="0" w:color="auto"/>
            <w:left w:val="none" w:sz="0" w:space="0" w:color="auto"/>
            <w:bottom w:val="none" w:sz="0" w:space="0" w:color="auto"/>
            <w:right w:val="none" w:sz="0" w:space="0" w:color="auto"/>
          </w:divBdr>
        </w:div>
      </w:divsChild>
    </w:div>
    <w:div w:id="1412000156">
      <w:bodyDiv w:val="1"/>
      <w:marLeft w:val="0"/>
      <w:marRight w:val="0"/>
      <w:marTop w:val="0"/>
      <w:marBottom w:val="0"/>
      <w:divBdr>
        <w:top w:val="none" w:sz="0" w:space="0" w:color="auto"/>
        <w:left w:val="none" w:sz="0" w:space="0" w:color="auto"/>
        <w:bottom w:val="none" w:sz="0" w:space="0" w:color="auto"/>
        <w:right w:val="none" w:sz="0" w:space="0" w:color="auto"/>
      </w:divBdr>
      <w:divsChild>
        <w:div w:id="1378627172">
          <w:marLeft w:val="0"/>
          <w:marRight w:val="0"/>
          <w:marTop w:val="0"/>
          <w:marBottom w:val="0"/>
          <w:divBdr>
            <w:top w:val="none" w:sz="0" w:space="0" w:color="auto"/>
            <w:left w:val="none" w:sz="0" w:space="0" w:color="auto"/>
            <w:bottom w:val="none" w:sz="0" w:space="0" w:color="auto"/>
            <w:right w:val="none" w:sz="0" w:space="0" w:color="auto"/>
          </w:divBdr>
        </w:div>
      </w:divsChild>
    </w:div>
    <w:div w:id="1662348604">
      <w:bodyDiv w:val="1"/>
      <w:marLeft w:val="0"/>
      <w:marRight w:val="0"/>
      <w:marTop w:val="0"/>
      <w:marBottom w:val="0"/>
      <w:divBdr>
        <w:top w:val="none" w:sz="0" w:space="0" w:color="auto"/>
        <w:left w:val="none" w:sz="0" w:space="0" w:color="auto"/>
        <w:bottom w:val="none" w:sz="0" w:space="0" w:color="auto"/>
        <w:right w:val="none" w:sz="0" w:space="0" w:color="auto"/>
      </w:divBdr>
      <w:divsChild>
        <w:div w:id="1313830085">
          <w:marLeft w:val="0"/>
          <w:marRight w:val="0"/>
          <w:marTop w:val="0"/>
          <w:marBottom w:val="0"/>
          <w:divBdr>
            <w:top w:val="none" w:sz="0" w:space="0" w:color="auto"/>
            <w:left w:val="none" w:sz="0" w:space="0" w:color="auto"/>
            <w:bottom w:val="none" w:sz="0" w:space="0" w:color="auto"/>
            <w:right w:val="none" w:sz="0" w:space="0" w:color="auto"/>
          </w:divBdr>
        </w:div>
      </w:divsChild>
    </w:div>
    <w:div w:id="1664047084">
      <w:bodyDiv w:val="1"/>
      <w:marLeft w:val="0"/>
      <w:marRight w:val="0"/>
      <w:marTop w:val="0"/>
      <w:marBottom w:val="0"/>
      <w:divBdr>
        <w:top w:val="none" w:sz="0" w:space="0" w:color="auto"/>
        <w:left w:val="none" w:sz="0" w:space="0" w:color="auto"/>
        <w:bottom w:val="none" w:sz="0" w:space="0" w:color="auto"/>
        <w:right w:val="none" w:sz="0" w:space="0" w:color="auto"/>
      </w:divBdr>
    </w:div>
    <w:div w:id="2115130085">
      <w:bodyDiv w:val="1"/>
      <w:marLeft w:val="0"/>
      <w:marRight w:val="0"/>
      <w:marTop w:val="0"/>
      <w:marBottom w:val="0"/>
      <w:divBdr>
        <w:top w:val="none" w:sz="0" w:space="0" w:color="auto"/>
        <w:left w:val="none" w:sz="0" w:space="0" w:color="auto"/>
        <w:bottom w:val="none" w:sz="0" w:space="0" w:color="auto"/>
        <w:right w:val="none" w:sz="0" w:space="0" w:color="auto"/>
      </w:divBdr>
      <w:divsChild>
        <w:div w:id="1960993522">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anchezdiazsilviastella@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ites/cce_public/files/files_2020/boletin_de_realtoria_viii.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guia-para-incentivar-la-participacion-de-las-mujere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guia-para-el-manejo-de-ofertas-artificialmente-baja-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8ae15d26-076e-464e-81a7-6f76a0fb3917"/>
    <ds:schemaRef ds:uri="http://www.w3.org/XML/1998/namespace"/>
    <ds:schemaRef ds:uri="http://schemas.microsoft.com/office/infopath/2007/PartnerControls"/>
    <ds:schemaRef ds:uri="http://purl.org/dc/elements/1.1/"/>
    <ds:schemaRef ds:uri="36c82cfe-0eda-494d-b392-a9281b89aaf0"/>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3693E0E-9FEC-4929-875E-81CF9219087C}"/>
</file>

<file path=customXml/itemProps3.xml><?xml version="1.0" encoding="utf-8"?>
<ds:datastoreItem xmlns:ds="http://schemas.openxmlformats.org/officeDocument/2006/customXml" ds:itemID="{515CF158-7518-495C-AF98-D0EB7332E1F3}">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3532</Words>
  <Characters>19429</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30</cp:revision>
  <cp:lastPrinted>2023-01-10T21:18:00Z</cp:lastPrinted>
  <dcterms:created xsi:type="dcterms:W3CDTF">2024-12-26T20:59:00Z</dcterms:created>
  <dcterms:modified xsi:type="dcterms:W3CDTF">2024-12-28T19:37:00Z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