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1593C" w14:textId="77777777" w:rsidR="009F70EC" w:rsidRPr="009B0A7A" w:rsidRDefault="009F70EC" w:rsidP="009F70EC">
      <w:pPr>
        <w:spacing w:after="0" w:line="240" w:lineRule="auto"/>
        <w:jc w:val="both"/>
        <w:rPr>
          <w:rFonts w:ascii="Verdana" w:hAnsi="Verdana"/>
          <w:b/>
        </w:rPr>
      </w:pPr>
      <w:bookmarkStart w:id="0" w:name="_Hlk143780582"/>
      <w:r w:rsidRPr="009B0A7A">
        <w:rPr>
          <w:rFonts w:ascii="Verdana" w:hAnsi="Verdana" w:cs="Arial"/>
          <w:b/>
          <w:bCs/>
          <w:lang w:val="es-ES_tradnl" w:eastAsia="es-ES" w:bidi="es-ES"/>
        </w:rPr>
        <w:t>PRINCIPIO DE PUBLICIDAD – Concepto – Fundamento axiológico – Fundamento constitucional</w:t>
      </w:r>
    </w:p>
    <w:p w14:paraId="5EF94A02" w14:textId="77777777" w:rsidR="009F70EC" w:rsidRPr="009B0A7A" w:rsidRDefault="009F70EC" w:rsidP="009F70EC">
      <w:pPr>
        <w:spacing w:after="0" w:line="240" w:lineRule="auto"/>
        <w:rPr>
          <w:rFonts w:ascii="Verdana" w:hAnsi="Verdana"/>
          <w:b/>
        </w:rPr>
      </w:pPr>
    </w:p>
    <w:p w14:paraId="1C990845" w14:textId="77777777" w:rsidR="009F70EC" w:rsidRDefault="009F70EC" w:rsidP="009F70EC">
      <w:pPr>
        <w:spacing w:after="0" w:line="240" w:lineRule="auto"/>
        <w:jc w:val="both"/>
        <w:rPr>
          <w:rFonts w:ascii="Verdana" w:eastAsia="Times New Roman" w:hAnsi="Verdana" w:cs="Arial"/>
          <w:sz w:val="20"/>
          <w:szCs w:val="20"/>
          <w:lang w:val="es-ES" w:eastAsia="es-ES"/>
          <w14:ligatures w14:val="standardContextual"/>
        </w:rPr>
      </w:pPr>
      <w:r w:rsidRPr="00276223">
        <w:rPr>
          <w:rFonts w:ascii="Verdana" w:eastAsia="Times New Roman" w:hAnsi="Verdana" w:cs="Arial"/>
          <w:sz w:val="20"/>
          <w:szCs w:val="20"/>
          <w:lang w:val="es-ES" w:eastAsia="es-ES"/>
          <w14:ligatures w14:val="standardContextual"/>
        </w:rPr>
        <w:t xml:space="preserve">Uno de los postulados más importantes de un Estado social y democrático de derecho es el principio de </w:t>
      </w:r>
      <w:r w:rsidRPr="00276223">
        <w:rPr>
          <w:rFonts w:ascii="Verdana" w:eastAsia="Times New Roman" w:hAnsi="Verdana" w:cs="Arial"/>
          <w:i/>
          <w:iCs/>
          <w:sz w:val="20"/>
          <w:szCs w:val="20"/>
          <w:lang w:val="es-ES" w:eastAsia="es-ES"/>
          <w14:ligatures w14:val="standardContextual"/>
        </w:rPr>
        <w:t>publicidad</w:t>
      </w:r>
      <w:r w:rsidRPr="00276223">
        <w:rPr>
          <w:rFonts w:ascii="Verdana" w:eastAsia="Times New Roman" w:hAnsi="Verdana" w:cs="Arial"/>
          <w:sz w:val="20"/>
          <w:szCs w:val="20"/>
          <w:lang w:val="es-ES" w:eastAsia="es-ES"/>
          <w14:ligatures w14:val="standardContextual"/>
        </w:rPr>
        <w:t xml:space="preserve">,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en los Estados de derecho se pregonan la publicidad de las actuaciones de los poderes públicos. </w:t>
      </w:r>
    </w:p>
    <w:p w14:paraId="35DEF4DE" w14:textId="77777777" w:rsidR="009F70EC" w:rsidRPr="00276223" w:rsidRDefault="009F70EC" w:rsidP="009F70EC">
      <w:pPr>
        <w:spacing w:after="0" w:line="240" w:lineRule="auto"/>
        <w:jc w:val="both"/>
        <w:rPr>
          <w:rFonts w:ascii="Verdana" w:eastAsia="Times New Roman" w:hAnsi="Verdana" w:cs="Arial"/>
          <w:sz w:val="20"/>
          <w:szCs w:val="20"/>
          <w:lang w:val="es-ES" w:eastAsia="es-ES"/>
          <w14:ligatures w14:val="standardContextual"/>
        </w:rPr>
      </w:pPr>
    </w:p>
    <w:p w14:paraId="4564AC29" w14:textId="77777777" w:rsidR="009F70EC" w:rsidRDefault="009F70EC" w:rsidP="009F70EC">
      <w:pPr>
        <w:spacing w:after="0" w:line="240" w:lineRule="auto"/>
        <w:jc w:val="both"/>
        <w:rPr>
          <w:rFonts w:ascii="Verdana" w:eastAsia="Times New Roman" w:hAnsi="Verdana" w:cs="Arial"/>
          <w:sz w:val="20"/>
          <w:szCs w:val="20"/>
          <w:lang w:val="es-ES" w:eastAsia="es-ES"/>
          <w14:ligatures w14:val="standardContextual"/>
        </w:rPr>
      </w:pPr>
      <w:r w:rsidRPr="00276223">
        <w:rPr>
          <w:rFonts w:ascii="Verdana" w:eastAsia="Times New Roman" w:hAnsi="Verdana" w:cs="Arial"/>
          <w:sz w:val="20"/>
          <w:szCs w:val="20"/>
          <w:lang w:val="es-ES" w:eastAsia="es-ES"/>
          <w14:ligatures w14:val="standardContextual"/>
        </w:rPr>
        <w:t>Como evidencia de ello,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w:t>
      </w:r>
    </w:p>
    <w:p w14:paraId="422D6D9F" w14:textId="77777777" w:rsidR="009F70EC" w:rsidRPr="00276223" w:rsidRDefault="009F70EC" w:rsidP="009F70EC">
      <w:pPr>
        <w:spacing w:after="0" w:line="240" w:lineRule="auto"/>
        <w:jc w:val="both"/>
        <w:rPr>
          <w:rFonts w:ascii="Verdana" w:hAnsi="Verdana"/>
          <w:b/>
          <w:sz w:val="20"/>
          <w:szCs w:val="20"/>
        </w:rPr>
      </w:pPr>
    </w:p>
    <w:p w14:paraId="63D34699" w14:textId="77777777" w:rsidR="009F70EC" w:rsidRPr="009B0A7A" w:rsidRDefault="009F70EC" w:rsidP="009F70EC">
      <w:pPr>
        <w:spacing w:after="0" w:line="240" w:lineRule="auto"/>
        <w:jc w:val="both"/>
        <w:rPr>
          <w:rFonts w:ascii="Verdana" w:hAnsi="Verdana"/>
          <w:b/>
        </w:rPr>
      </w:pPr>
      <w:r w:rsidRPr="009B0A7A">
        <w:rPr>
          <w:rFonts w:ascii="Verdana" w:hAnsi="Verdana" w:cs="Arial"/>
          <w:b/>
          <w:bCs/>
          <w:lang w:val="es-ES_tradnl" w:eastAsia="es-ES" w:bidi="es-ES"/>
        </w:rPr>
        <w:t>PRINCIPIO DE PUBLICIDAD – SECOP – Documentos del proceso – Deber de publicación</w:t>
      </w:r>
    </w:p>
    <w:p w14:paraId="3B48539E" w14:textId="77777777" w:rsidR="009F70EC" w:rsidRPr="009B0A7A" w:rsidRDefault="009F70EC" w:rsidP="009F70EC">
      <w:pPr>
        <w:spacing w:after="0" w:line="240" w:lineRule="auto"/>
        <w:rPr>
          <w:rFonts w:ascii="Verdana" w:hAnsi="Verdana"/>
          <w:b/>
        </w:rPr>
      </w:pPr>
    </w:p>
    <w:p w14:paraId="60BCADC9" w14:textId="77777777" w:rsidR="009F70EC" w:rsidRDefault="009F70EC" w:rsidP="009F70EC">
      <w:pPr>
        <w:spacing w:after="0" w:line="240" w:lineRule="auto"/>
        <w:jc w:val="both"/>
        <w:rPr>
          <w:rFonts w:ascii="Verdana" w:hAnsi="Verdana"/>
          <w:sz w:val="20"/>
          <w:szCs w:val="20"/>
          <w:lang w:val="es-ES_tradnl"/>
        </w:rPr>
      </w:pPr>
      <w:r w:rsidRPr="00276223">
        <w:rPr>
          <w:rFonts w:ascii="Verdana" w:hAnsi="Verdana"/>
          <w:sz w:val="20"/>
          <w:szCs w:val="20"/>
          <w:lang w:val="es-ES_tradnl"/>
        </w:rPr>
        <w:t>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r>
        <w:rPr>
          <w:rFonts w:ascii="Verdana" w:hAnsi="Verdana"/>
          <w:sz w:val="20"/>
          <w:szCs w:val="20"/>
          <w:lang w:val="es-ES_tradnl"/>
        </w:rPr>
        <w:t xml:space="preserve"> </w:t>
      </w:r>
      <w:r w:rsidRPr="00276223">
        <w:rPr>
          <w:rFonts w:ascii="Verdana" w:hAnsi="Verdana"/>
          <w:sz w:val="20"/>
          <w:szCs w:val="20"/>
          <w:lang w:val="es-ES_tradnl"/>
        </w:rPr>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legales. La Ley Estatutaria citada establece, en el literal e) del artículo 9, que los sujetos obligados, que son todas las entidades públicas, deben publicar la información relativa a su contratación. Esta obligación fue desarrollada por el Decreto Único Reglamentario 1081 de 2015, el cual dispuso que la publicación de la información contractual de los sujetos obligados, que contratan con cargo a recursos públicos, debe hacerse en el SECOP.</w:t>
      </w:r>
    </w:p>
    <w:p w14:paraId="4163EC9C" w14:textId="77777777" w:rsidR="009F70EC" w:rsidRPr="00276223" w:rsidRDefault="009F70EC" w:rsidP="009F70EC">
      <w:pPr>
        <w:spacing w:after="0" w:line="240" w:lineRule="auto"/>
        <w:jc w:val="both"/>
        <w:rPr>
          <w:rFonts w:ascii="Verdana" w:hAnsi="Verdana"/>
          <w:sz w:val="20"/>
          <w:szCs w:val="20"/>
          <w:lang w:val="es-ES_tradnl"/>
        </w:rPr>
      </w:pPr>
    </w:p>
    <w:p w14:paraId="3178E86D" w14:textId="77777777" w:rsidR="009F70EC" w:rsidRPr="009B0A7A" w:rsidRDefault="009F70EC" w:rsidP="009F70EC">
      <w:pPr>
        <w:spacing w:after="0" w:line="240" w:lineRule="auto"/>
        <w:jc w:val="both"/>
        <w:rPr>
          <w:rFonts w:ascii="Verdana" w:hAnsi="Verdana" w:cs="Arial"/>
          <w:b/>
          <w:bCs/>
          <w:lang w:val="es-ES_tradnl" w:eastAsia="es-ES" w:bidi="es-ES"/>
        </w:rPr>
      </w:pPr>
      <w:r w:rsidRPr="009B0A7A">
        <w:rPr>
          <w:rFonts w:ascii="Verdana" w:hAnsi="Verdana" w:cs="Arial"/>
          <w:b/>
          <w:bCs/>
          <w:lang w:val="es-ES_tradnl" w:eastAsia="es-ES" w:bidi="es-ES"/>
        </w:rPr>
        <w:lastRenderedPageBreak/>
        <w:t>PRINCPIO DE PUBLICIDAD -Asociaciones público-privadas – deber de publicidad –obligatoriedad de publicar en SECOP</w:t>
      </w:r>
    </w:p>
    <w:p w14:paraId="06796994" w14:textId="77777777" w:rsidR="009F70EC" w:rsidRPr="009B0A7A" w:rsidRDefault="009F70EC" w:rsidP="009F70EC">
      <w:pPr>
        <w:spacing w:after="0" w:line="240" w:lineRule="auto"/>
        <w:jc w:val="both"/>
        <w:rPr>
          <w:rFonts w:ascii="Verdana" w:hAnsi="Verdana" w:cs="Arial"/>
          <w:b/>
          <w:bCs/>
          <w:lang w:val="es-ES_tradnl" w:eastAsia="es-ES" w:bidi="es-ES"/>
        </w:rPr>
      </w:pPr>
    </w:p>
    <w:p w14:paraId="7AD40D48" w14:textId="77777777" w:rsidR="009F70EC" w:rsidRDefault="009F70EC" w:rsidP="009F70EC">
      <w:pPr>
        <w:spacing w:after="0" w:line="240" w:lineRule="auto"/>
        <w:jc w:val="both"/>
        <w:rPr>
          <w:rFonts w:ascii="Verdana" w:hAnsi="Verdana" w:cs="Arial"/>
          <w:bCs/>
          <w:sz w:val="20"/>
          <w:szCs w:val="20"/>
          <w:lang w:val="es-ES" w:eastAsia="es-ES" w:bidi="es-ES"/>
        </w:rPr>
      </w:pPr>
      <w:r w:rsidRPr="00276223">
        <w:rPr>
          <w:rFonts w:ascii="Verdana" w:hAnsi="Verdana" w:cs="Arial"/>
          <w:bCs/>
          <w:sz w:val="20"/>
          <w:szCs w:val="20"/>
          <w:lang w:val="es-MX" w:eastAsia="es-ES" w:bidi="es-ES"/>
        </w:rPr>
        <w:t xml:space="preserve">Conforme a la regulación vigente, las Asociaciones Público-Privadas constituyen </w:t>
      </w:r>
      <w:r w:rsidRPr="00276223">
        <w:rPr>
          <w:rFonts w:ascii="Verdana" w:hAnsi="Verdana" w:cs="Arial"/>
          <w:bCs/>
          <w:sz w:val="20"/>
          <w:szCs w:val="20"/>
          <w:lang w:val="es-ES_tradnl" w:eastAsia="es-ES" w:bidi="es-ES"/>
        </w:rPr>
        <w:t xml:space="preserve">modalidades de negocio en las cuales la disponibilidad y el nivel de la infraestructura o servicio resultan determinantes. </w:t>
      </w:r>
      <w:r w:rsidRPr="00276223">
        <w:rPr>
          <w:rFonts w:ascii="Verdana" w:hAnsi="Verdana" w:cs="Arial"/>
          <w:bCs/>
          <w:sz w:val="20"/>
          <w:szCs w:val="20"/>
          <w:lang w:val="es-ES" w:eastAsia="es-ES" w:bidi="es-ES"/>
        </w:rPr>
        <w:t xml:space="preserve">En relación con los contratos en los cuales resulta aplicable la institución de la </w:t>
      </w:r>
      <w:r w:rsidRPr="00276223">
        <w:rPr>
          <w:rFonts w:ascii="Verdana" w:hAnsi="Verdana" w:cs="Arial"/>
          <w:bCs/>
          <w:sz w:val="20"/>
          <w:szCs w:val="20"/>
          <w:lang w:eastAsia="es-ES" w:bidi="es-ES"/>
        </w:rPr>
        <w:t>Asociación Público-Privada</w:t>
      </w:r>
      <w:r w:rsidRPr="00276223">
        <w:rPr>
          <w:rFonts w:ascii="Verdana" w:hAnsi="Verdana" w:cs="Arial"/>
          <w:bCs/>
          <w:sz w:val="20"/>
          <w:szCs w:val="20"/>
          <w:lang w:val="es-ES" w:eastAsia="es-ES" w:bidi="es-ES"/>
        </w:rPr>
        <w:t xml:space="preserve">, es pertinente señalar que el artículo 3 de la Ley 1508 del 2015 prescribe que la ley </w:t>
      </w:r>
      <w:r w:rsidRPr="00276223">
        <w:rPr>
          <w:rFonts w:ascii="Verdana" w:hAnsi="Verdana" w:cs="Arial"/>
          <w:bCs/>
          <w:sz w:val="20"/>
          <w:szCs w:val="20"/>
          <w:lang w:val="es-MX" w:eastAsia="es-ES" w:bidi="es-ES"/>
        </w:rPr>
        <w:t>“[…] es aplicable a todos aquellos contratos en los cuales las entidades estatales encarguen a un inversionista privado el diseño y construcción de una infraestructura y sus servicios asociados, o su construcción, reparación, mejoramiento o equipamiento, actividades todas estas que deberán involucrar la operación y mantenimiento de dicha infraestructura</w:t>
      </w:r>
      <w:r w:rsidRPr="00276223">
        <w:rPr>
          <w:rFonts w:ascii="Verdana" w:hAnsi="Verdana" w:cs="Arial"/>
          <w:bCs/>
          <w:sz w:val="20"/>
          <w:szCs w:val="20"/>
          <w:lang w:val="es-ES_tradnl" w:eastAsia="es-ES" w:bidi="es-ES"/>
        </w:rPr>
        <w:t>”</w:t>
      </w:r>
      <w:r w:rsidRPr="00276223">
        <w:rPr>
          <w:rFonts w:ascii="Verdana" w:hAnsi="Verdana" w:cs="Arial"/>
          <w:bCs/>
          <w:sz w:val="20"/>
          <w:szCs w:val="20"/>
          <w:lang w:val="es-MX" w:eastAsia="es-ES" w:bidi="es-ES"/>
        </w:rPr>
        <w:t xml:space="preserve">. </w:t>
      </w:r>
      <w:r w:rsidRPr="00276223">
        <w:rPr>
          <w:rFonts w:ascii="Verdana" w:hAnsi="Verdana" w:cs="Arial"/>
          <w:bCs/>
          <w:sz w:val="20"/>
          <w:szCs w:val="20"/>
          <w:lang w:val="es-ES" w:eastAsia="es-ES" w:bidi="es-ES"/>
        </w:rPr>
        <w:t xml:space="preserve">Igualmente, el mencionado cuerpo normativo, y con ello las Asociaciones Público-Privadas, también aplican cuando el contrato verse </w:t>
      </w:r>
      <w:r w:rsidRPr="00276223">
        <w:rPr>
          <w:rFonts w:ascii="Verdana" w:hAnsi="Verdana" w:cs="Arial"/>
          <w:bCs/>
          <w:sz w:val="20"/>
          <w:szCs w:val="20"/>
          <w:lang w:val="es-MX" w:eastAsia="es-ES" w:bidi="es-ES"/>
        </w:rPr>
        <w:t>“</w:t>
      </w:r>
      <w:r w:rsidRPr="00276223">
        <w:rPr>
          <w:rFonts w:ascii="Verdana" w:hAnsi="Verdana" w:cs="Arial"/>
          <w:bCs/>
          <w:sz w:val="20"/>
          <w:szCs w:val="20"/>
          <w:lang w:val="es-ES" w:eastAsia="es-ES" w:bidi="es-ES"/>
        </w:rPr>
        <w:t>sobre infraestructura para la prestación de servicios públicos</w:t>
      </w:r>
      <w:r w:rsidRPr="00276223">
        <w:rPr>
          <w:rFonts w:ascii="Verdana" w:hAnsi="Verdana" w:cs="Arial"/>
          <w:bCs/>
          <w:sz w:val="20"/>
          <w:szCs w:val="20"/>
          <w:lang w:val="es-ES_tradnl" w:eastAsia="es-ES" w:bidi="es-ES"/>
        </w:rPr>
        <w:t>”</w:t>
      </w:r>
      <w:r w:rsidRPr="00276223">
        <w:rPr>
          <w:rFonts w:ascii="Verdana" w:hAnsi="Verdana" w:cs="Arial"/>
          <w:bCs/>
          <w:sz w:val="20"/>
          <w:szCs w:val="20"/>
          <w:lang w:val="es-ES" w:eastAsia="es-ES" w:bidi="es-ES"/>
        </w:rPr>
        <w:t>, de acuerdo con lo dispuesto en el inciso segundo del artículo 3 de la Ley 1508 de 2012. Ahora bien, es importante señalar que el inciso tercero del artículo 3 de la precitada Ley dispone: “</w:t>
      </w:r>
      <w:r w:rsidRPr="00276223">
        <w:rPr>
          <w:rFonts w:ascii="Verdana" w:hAnsi="Verdana" w:cs="Arial"/>
          <w:bCs/>
          <w:sz w:val="20"/>
          <w:szCs w:val="20"/>
          <w:lang w:eastAsia="es-ES" w:bidi="es-ES"/>
        </w:rPr>
        <w:t>Los procesos de selección y las reglas para la celebración y ejecución de los contratos que incluyan esquemas de Asociación Público-Privada se regirán por lo dispuesto en la Ley 80 de 1993 y la Ley 1150 de 2007, salvo en las materias particularmente reguladas en la presente ley”.</w:t>
      </w:r>
      <w:r w:rsidRPr="00276223">
        <w:rPr>
          <w:rFonts w:ascii="Verdana" w:hAnsi="Verdana" w:cs="Arial"/>
          <w:bCs/>
          <w:sz w:val="20"/>
          <w:szCs w:val="20"/>
          <w:lang w:val="es-ES" w:eastAsia="es-ES" w:bidi="es-ES"/>
        </w:rPr>
        <w:t xml:space="preserve"> Este inciso precitado permite inferir la integración normativa con las normas que establece la Leyes 80 de 1993 y 1150 de 2007. Por lo anterior, debe señalarse que estas normas integran las lagunas o vacíos normativos de la Ley 1508 de 2012, y se aplican a todo lo que no esté expresamente regulado en él, en cuanto a los procesos de selección y las reglas para la suscripción y ejecución de los contratos, entre lo que se encuentra el deber de publicidad.</w:t>
      </w:r>
    </w:p>
    <w:p w14:paraId="340E7E0A" w14:textId="77777777" w:rsidR="009F70EC" w:rsidRPr="00276223" w:rsidRDefault="009F70EC" w:rsidP="009F70EC">
      <w:pPr>
        <w:spacing w:after="0" w:line="240" w:lineRule="auto"/>
        <w:jc w:val="both"/>
        <w:rPr>
          <w:rFonts w:ascii="Verdana" w:hAnsi="Verdana" w:cs="Arial"/>
          <w:bCs/>
          <w:sz w:val="20"/>
          <w:szCs w:val="20"/>
          <w:lang w:val="es-ES" w:eastAsia="es-ES" w:bidi="es-ES"/>
        </w:rPr>
      </w:pPr>
    </w:p>
    <w:p w14:paraId="2B061B47" w14:textId="77777777" w:rsidR="009F70EC" w:rsidRPr="00276223" w:rsidRDefault="009F70EC" w:rsidP="009F70EC">
      <w:pPr>
        <w:spacing w:after="0" w:line="240" w:lineRule="auto"/>
        <w:jc w:val="both"/>
        <w:rPr>
          <w:rFonts w:ascii="Verdana" w:hAnsi="Verdana" w:cs="Arial"/>
          <w:bCs/>
          <w:sz w:val="20"/>
          <w:szCs w:val="20"/>
          <w:lang w:val="es-ES_tradnl" w:eastAsia="es-ES" w:bidi="es-ES"/>
        </w:rPr>
      </w:pPr>
      <w:r w:rsidRPr="00276223">
        <w:rPr>
          <w:rFonts w:ascii="Verdana" w:hAnsi="Verdana" w:cs="Arial"/>
          <w:bCs/>
          <w:sz w:val="20"/>
          <w:szCs w:val="20"/>
          <w:lang w:val="es-ES" w:eastAsia="es-ES" w:bidi="es-ES"/>
        </w:rPr>
        <w:t xml:space="preserve">A partir de esta interpretación sobre la integración normativa, debe tenerse en cuenta el artículo 3° de la Ley 1150 de 2007. En esta disposición se desarrollan los principios de publicidad y transparencia de las actuaciones contractuales. De estos principios se deriva un deber de publicar las actuaciones contractuales, lo que implica que todas las Entidades Estatales publiquen los documentos en los que se evidencia el desarrollo de sus procesos de contratación. En esta orientación, el artículo </w:t>
      </w:r>
      <w:r w:rsidRPr="00276223">
        <w:rPr>
          <w:rFonts w:ascii="Verdana" w:hAnsi="Verdana" w:cs="Arial"/>
          <w:bCs/>
          <w:sz w:val="20"/>
          <w:szCs w:val="20"/>
          <w:lang w:eastAsia="es-ES" w:bidi="es-ES"/>
        </w:rPr>
        <w:t>2.2.2.1.8.3. del Decreto 1082 de 2015 establece el deber de publicidad de los procedimientos, documentos y actos asociados con las Asociaciones Público-Privadas, excepto el modelo financiero que está sujeto a reserva legal.</w:t>
      </w:r>
    </w:p>
    <w:p w14:paraId="24513DE0" w14:textId="77777777" w:rsidR="009F70EC" w:rsidRPr="00A617AC" w:rsidRDefault="009F70EC" w:rsidP="009F70EC">
      <w:pPr>
        <w:spacing w:after="0" w:line="240" w:lineRule="auto"/>
        <w:jc w:val="both"/>
        <w:rPr>
          <w:rFonts w:ascii="Verdana" w:hAnsi="Verdana" w:cs="Arial"/>
          <w:bCs/>
          <w:sz w:val="20"/>
          <w:szCs w:val="20"/>
          <w:lang w:val="es-ES_tradnl" w:eastAsia="es-ES" w:bidi="es-ES"/>
        </w:rPr>
      </w:pPr>
    </w:p>
    <w:p w14:paraId="5BBF6E00" w14:textId="77777777" w:rsidR="009F70EC" w:rsidRPr="00A617AC" w:rsidRDefault="009F70EC" w:rsidP="009F70EC">
      <w:pPr>
        <w:spacing w:after="0" w:line="240" w:lineRule="auto"/>
        <w:jc w:val="both"/>
        <w:rPr>
          <w:rFonts w:ascii="Verdana" w:hAnsi="Verdana" w:cs="Arial"/>
          <w:bCs/>
          <w:sz w:val="20"/>
          <w:szCs w:val="20"/>
          <w:lang w:eastAsia="es-ES" w:bidi="es-ES"/>
        </w:rPr>
      </w:pPr>
      <w:r w:rsidRPr="00A617AC">
        <w:rPr>
          <w:rFonts w:ascii="Verdana" w:hAnsi="Verdana" w:cs="Arial"/>
          <w:bCs/>
          <w:sz w:val="20"/>
          <w:szCs w:val="20"/>
          <w:lang w:eastAsia="es-ES" w:bidi="es-ES"/>
        </w:rPr>
        <w:t xml:space="preserve">[…] el Decreto 1082 de 2015 reitera la obligación contemplada en el artículo 19 de la Ley 1508 de 2012, pues establece que la minuta del contrato hace parte de la información que la Entidad Estatal debe publicar en el SECOP, así como los estudios y sus anexos, tratándose de proyectos de APP de iniciativa privada que no requieren desembolso de recursos públicos. De hecho, es apenas lógico que si la Entidad Estatal debe publicar en el SECOP la minuta del contrato y sus anexos para ver si un tercero manifiesta interés –en los términos establecidos en los artículos 19 y 20 de la Ley 1508 de 2012 y en sus normas reglamentarias–, tenga que incluir en la minuta del contrato y sus anexos, para que los interesados puedan conocerla, analizarla y disponer de elementos de juicio para tomar la decisión de participar , sumado a la garantía del principio de transparencia. </w:t>
      </w:r>
    </w:p>
    <w:p w14:paraId="59EBD59B" w14:textId="77777777" w:rsidR="009F70EC" w:rsidRDefault="009F70EC" w:rsidP="009F70EC">
      <w:pPr>
        <w:spacing w:after="0" w:line="240" w:lineRule="auto"/>
        <w:jc w:val="both"/>
        <w:rPr>
          <w:rFonts w:ascii="Verdana" w:hAnsi="Verdana" w:cs="Arial"/>
          <w:b/>
          <w:bCs/>
          <w:lang w:val="es-ES_tradnl" w:eastAsia="es-ES" w:bidi="es-ES"/>
        </w:rPr>
      </w:pPr>
    </w:p>
    <w:p w14:paraId="476E92D2" w14:textId="77777777" w:rsidR="009F70EC" w:rsidRPr="009B0A7A" w:rsidRDefault="009F70EC" w:rsidP="009F70EC">
      <w:pPr>
        <w:spacing w:after="0" w:line="240" w:lineRule="auto"/>
        <w:jc w:val="both"/>
        <w:rPr>
          <w:rFonts w:ascii="Verdana" w:hAnsi="Verdana" w:cs="Arial"/>
          <w:b/>
          <w:bCs/>
          <w:lang w:eastAsia="es-ES" w:bidi="es-ES"/>
        </w:rPr>
      </w:pPr>
      <w:r w:rsidRPr="009B0A7A">
        <w:rPr>
          <w:rFonts w:ascii="Verdana" w:hAnsi="Verdana" w:cs="Arial"/>
          <w:b/>
          <w:bCs/>
          <w:lang w:val="es-ES_tradnl" w:eastAsia="es-ES" w:bidi="es-ES"/>
        </w:rPr>
        <w:t xml:space="preserve">PRINCIPIO DE PUBLICIDAD – deber de publicidad –SECOP I- Asociaciones </w:t>
      </w:r>
      <w:proofErr w:type="gramStart"/>
      <w:r w:rsidRPr="009B0A7A">
        <w:rPr>
          <w:rFonts w:ascii="Verdana" w:hAnsi="Verdana" w:cs="Arial"/>
          <w:b/>
          <w:bCs/>
          <w:lang w:val="es-ES_tradnl" w:eastAsia="es-ES" w:bidi="es-ES"/>
        </w:rPr>
        <w:t>Público Privadas</w:t>
      </w:r>
      <w:proofErr w:type="gramEnd"/>
      <w:r w:rsidRPr="009B0A7A">
        <w:rPr>
          <w:rFonts w:ascii="Verdana" w:hAnsi="Verdana" w:cs="Arial"/>
          <w:b/>
          <w:bCs/>
          <w:lang w:val="es-ES_tradnl" w:eastAsia="es-ES" w:bidi="es-ES"/>
        </w:rPr>
        <w:t xml:space="preserve"> - </w:t>
      </w:r>
      <w:r w:rsidRPr="009B0A7A">
        <w:rPr>
          <w:rFonts w:ascii="Verdana" w:hAnsi="Verdana" w:cs="Arial"/>
          <w:b/>
          <w:bCs/>
          <w:lang w:eastAsia="es-ES" w:bidi="es-ES"/>
        </w:rPr>
        <w:t>los contratos donde existan más de dos partes - los concursos de arquitectura - la enajenación de bienes a título gratuito</w:t>
      </w:r>
    </w:p>
    <w:p w14:paraId="78035143" w14:textId="77777777" w:rsidR="009F70EC" w:rsidRPr="00A617AC" w:rsidRDefault="009F70EC" w:rsidP="009F70EC">
      <w:pPr>
        <w:spacing w:after="0" w:line="240" w:lineRule="auto"/>
        <w:jc w:val="both"/>
        <w:rPr>
          <w:rFonts w:ascii="Verdana" w:hAnsi="Verdana" w:cs="Arial"/>
          <w:bCs/>
          <w:sz w:val="20"/>
          <w:szCs w:val="20"/>
          <w:lang w:eastAsia="es-ES" w:bidi="es-ES"/>
        </w:rPr>
      </w:pPr>
    </w:p>
    <w:p w14:paraId="3251626A" w14:textId="73570409" w:rsidR="009F70EC" w:rsidRDefault="009F70EC" w:rsidP="009F70EC">
      <w:pPr>
        <w:spacing w:after="0" w:line="240" w:lineRule="auto"/>
        <w:jc w:val="both"/>
        <w:rPr>
          <w:rFonts w:ascii="Verdana" w:hAnsi="Verdana" w:cs="Arial"/>
          <w:bCs/>
          <w:sz w:val="20"/>
          <w:szCs w:val="20"/>
          <w:lang w:val="es-MX" w:eastAsia="es-ES" w:bidi="es-ES"/>
        </w:rPr>
      </w:pPr>
      <w:r w:rsidRPr="00A617AC">
        <w:rPr>
          <w:rFonts w:ascii="Verdana" w:hAnsi="Verdana" w:cs="Arial"/>
          <w:bCs/>
          <w:sz w:val="20"/>
          <w:szCs w:val="20"/>
          <w:lang w:val="es-MX" w:eastAsia="es-ES" w:bidi="es-ES"/>
        </w:rPr>
        <w:t xml:space="preserve">Debe precisarse que la calidad de contrato estatal obedece a un criterio eminentemente orgánico, por lo que son todos aquellos celebrados por alguna de entidad estatal, de las cuales, las enlistadas en el artículo 2 de la Ley 80 de 1993 deben publicar en SECOP. Así mismo, el artículo 13 de la Ley 1150 de 2007 modificado </w:t>
      </w:r>
      <w:r w:rsidRPr="00A617AC">
        <w:rPr>
          <w:rFonts w:ascii="Verdana" w:hAnsi="Verdana" w:cs="Arial"/>
          <w:bCs/>
          <w:sz w:val="20"/>
          <w:szCs w:val="20"/>
          <w:lang w:eastAsia="es-ES" w:bidi="es-ES"/>
        </w:rPr>
        <w:t xml:space="preserve">el artículo 53 de la Ley 2195 de 2022, alude a la obligación de las entidades de régimen especial de </w:t>
      </w:r>
      <w:r w:rsidRPr="00A617AC">
        <w:rPr>
          <w:rFonts w:ascii="Verdana" w:hAnsi="Verdana" w:cs="Arial"/>
          <w:bCs/>
          <w:sz w:val="20"/>
          <w:szCs w:val="20"/>
          <w:lang w:val="es-MX" w:eastAsia="es-ES" w:bidi="es-ES"/>
        </w:rPr>
        <w:t xml:space="preserve">publicar la información en SECOP II o la plataforma transaccional que haga sus veces. </w:t>
      </w:r>
    </w:p>
    <w:p w14:paraId="773945B6" w14:textId="77777777" w:rsidR="009F70EC" w:rsidRPr="00A617AC" w:rsidRDefault="009F70EC" w:rsidP="009F70EC">
      <w:pPr>
        <w:spacing w:after="0" w:line="240" w:lineRule="auto"/>
        <w:jc w:val="both"/>
        <w:rPr>
          <w:rFonts w:ascii="Verdana" w:hAnsi="Verdana" w:cs="Arial"/>
          <w:bCs/>
          <w:sz w:val="20"/>
          <w:szCs w:val="20"/>
          <w:lang w:val="es-MX" w:eastAsia="es-ES" w:bidi="es-ES"/>
        </w:rPr>
      </w:pPr>
    </w:p>
    <w:p w14:paraId="6B3442B6" w14:textId="77777777" w:rsidR="009F70EC" w:rsidRPr="00A617AC" w:rsidRDefault="009F70EC" w:rsidP="009F70EC">
      <w:pPr>
        <w:spacing w:after="0" w:line="240" w:lineRule="auto"/>
        <w:jc w:val="both"/>
        <w:rPr>
          <w:rFonts w:ascii="Verdana" w:hAnsi="Verdana" w:cs="Arial"/>
          <w:bCs/>
          <w:sz w:val="20"/>
          <w:szCs w:val="20"/>
          <w:lang w:eastAsia="es-ES" w:bidi="es-ES"/>
        </w:rPr>
      </w:pPr>
      <w:r w:rsidRPr="00A617AC">
        <w:rPr>
          <w:rFonts w:ascii="Verdana" w:hAnsi="Verdana" w:cs="Arial"/>
          <w:bCs/>
          <w:sz w:val="20"/>
          <w:szCs w:val="20"/>
          <w:lang w:eastAsia="es-ES" w:bidi="es-ES"/>
        </w:rPr>
        <w:t>Así las cosas, existe un deber de publicar los contratos de Asociaciones Público-Privadas, los contratos donde existen más de dos partes, los concursos de arquitectura y la enajenación de bienes a título gratuito, en SECOP, que en el caso particular dispuesto en la Circular Externa 03 de 2024 será en SECOP I, con fundamento en todo caso de la normativa legal y reglamentaria ya precitada sobre el deber de publicidad de la información y transparencia, y teniendo en cuenta las directrices y lineamientos dispuestos por la Agencia Nacional de Contratación Pública –Colombia Compra Eficiente, como administrador de la plataforma y ente rector en contratación y compra pública.</w:t>
      </w:r>
    </w:p>
    <w:p w14:paraId="4EF03A06" w14:textId="77777777" w:rsidR="009F70EC" w:rsidRDefault="009F70EC" w:rsidP="009F70EC">
      <w:pPr>
        <w:spacing w:after="0"/>
        <w:jc w:val="both"/>
        <w:rPr>
          <w:rFonts w:ascii="Verdana" w:hAnsi="Verdana" w:cs="Arial"/>
          <w:bCs/>
          <w:lang w:eastAsia="es-ES" w:bidi="es-ES"/>
        </w:rPr>
      </w:pPr>
    </w:p>
    <w:p w14:paraId="3677EA5E" w14:textId="77777777" w:rsidR="00AF0E44" w:rsidRDefault="00AF0E44" w:rsidP="00AF0E44">
      <w:pPr>
        <w:spacing w:after="0"/>
        <w:jc w:val="both"/>
        <w:rPr>
          <w:rFonts w:ascii="Verdana" w:hAnsi="Verdana" w:cs="Arial"/>
          <w:bCs/>
          <w:lang w:eastAsia="es-ES" w:bidi="es-ES"/>
        </w:rPr>
      </w:pPr>
    </w:p>
    <w:p w14:paraId="7D90738F" w14:textId="77777777" w:rsidR="009F70EC" w:rsidRDefault="009F70EC" w:rsidP="00AF0E44">
      <w:pPr>
        <w:spacing w:after="0"/>
        <w:jc w:val="both"/>
        <w:rPr>
          <w:rFonts w:ascii="Verdana" w:hAnsi="Verdana" w:cs="Arial"/>
          <w:bCs/>
          <w:lang w:eastAsia="es-ES" w:bidi="es-ES"/>
        </w:rPr>
      </w:pPr>
    </w:p>
    <w:p w14:paraId="1BF4C270" w14:textId="77777777" w:rsidR="009F70EC" w:rsidRDefault="009F70EC" w:rsidP="00AF0E44">
      <w:pPr>
        <w:spacing w:after="0"/>
        <w:jc w:val="both"/>
        <w:rPr>
          <w:rFonts w:ascii="Verdana" w:hAnsi="Verdana" w:cs="Arial"/>
          <w:bCs/>
          <w:lang w:eastAsia="es-ES" w:bidi="es-ES"/>
        </w:rPr>
      </w:pPr>
    </w:p>
    <w:p w14:paraId="39A01A8B" w14:textId="77777777" w:rsidR="009F70EC" w:rsidRDefault="009F70EC" w:rsidP="00AF0E44">
      <w:pPr>
        <w:spacing w:after="0"/>
        <w:jc w:val="both"/>
        <w:rPr>
          <w:rFonts w:ascii="Verdana" w:hAnsi="Verdana" w:cs="Arial"/>
          <w:bCs/>
          <w:lang w:eastAsia="es-ES" w:bidi="es-ES"/>
        </w:rPr>
      </w:pPr>
    </w:p>
    <w:p w14:paraId="4C24CB07" w14:textId="77777777" w:rsidR="009F70EC" w:rsidRDefault="009F70EC" w:rsidP="00AF0E44">
      <w:pPr>
        <w:spacing w:after="0"/>
        <w:jc w:val="both"/>
        <w:rPr>
          <w:rFonts w:ascii="Verdana" w:hAnsi="Verdana" w:cs="Arial"/>
          <w:bCs/>
          <w:lang w:eastAsia="es-ES" w:bidi="es-ES"/>
        </w:rPr>
      </w:pPr>
    </w:p>
    <w:p w14:paraId="691C7A9B" w14:textId="77777777" w:rsidR="009F70EC" w:rsidRDefault="009F70EC" w:rsidP="00AF0E44">
      <w:pPr>
        <w:spacing w:after="0"/>
        <w:jc w:val="both"/>
        <w:rPr>
          <w:rFonts w:ascii="Verdana" w:hAnsi="Verdana" w:cs="Arial"/>
          <w:bCs/>
          <w:lang w:eastAsia="es-ES" w:bidi="es-ES"/>
        </w:rPr>
      </w:pPr>
    </w:p>
    <w:p w14:paraId="67795B9E" w14:textId="77777777" w:rsidR="009F70EC" w:rsidRDefault="009F70EC" w:rsidP="00AF0E44">
      <w:pPr>
        <w:spacing w:after="0"/>
        <w:jc w:val="both"/>
        <w:rPr>
          <w:rFonts w:ascii="Verdana" w:hAnsi="Verdana" w:cs="Arial"/>
          <w:bCs/>
          <w:lang w:eastAsia="es-ES" w:bidi="es-ES"/>
        </w:rPr>
      </w:pPr>
    </w:p>
    <w:p w14:paraId="23A7DC9D" w14:textId="77777777" w:rsidR="009F70EC" w:rsidRDefault="009F70EC" w:rsidP="00AF0E44">
      <w:pPr>
        <w:spacing w:after="0"/>
        <w:jc w:val="both"/>
        <w:rPr>
          <w:rFonts w:ascii="Verdana" w:hAnsi="Verdana" w:cs="Arial"/>
          <w:bCs/>
          <w:lang w:eastAsia="es-ES" w:bidi="es-ES"/>
        </w:rPr>
      </w:pPr>
    </w:p>
    <w:p w14:paraId="68CC995F" w14:textId="77777777" w:rsidR="009F70EC" w:rsidRDefault="009F70EC" w:rsidP="00AF0E44">
      <w:pPr>
        <w:spacing w:after="0"/>
        <w:jc w:val="both"/>
        <w:rPr>
          <w:rFonts w:ascii="Verdana" w:hAnsi="Verdana" w:cs="Arial"/>
          <w:bCs/>
          <w:lang w:eastAsia="es-ES" w:bidi="es-ES"/>
        </w:rPr>
      </w:pPr>
    </w:p>
    <w:p w14:paraId="78525065" w14:textId="77777777" w:rsidR="009F70EC" w:rsidRDefault="009F70EC" w:rsidP="00AF0E44">
      <w:pPr>
        <w:spacing w:after="0"/>
        <w:jc w:val="both"/>
        <w:rPr>
          <w:rFonts w:ascii="Verdana" w:hAnsi="Verdana" w:cs="Arial"/>
          <w:bCs/>
          <w:lang w:eastAsia="es-ES" w:bidi="es-ES"/>
        </w:rPr>
      </w:pPr>
    </w:p>
    <w:p w14:paraId="0EB711DB" w14:textId="77777777" w:rsidR="009F70EC" w:rsidRDefault="009F70EC" w:rsidP="00AF0E44">
      <w:pPr>
        <w:spacing w:after="0"/>
        <w:jc w:val="both"/>
        <w:rPr>
          <w:rFonts w:ascii="Verdana" w:hAnsi="Verdana" w:cs="Arial"/>
          <w:bCs/>
          <w:lang w:eastAsia="es-ES" w:bidi="es-ES"/>
        </w:rPr>
      </w:pPr>
    </w:p>
    <w:p w14:paraId="2211A443" w14:textId="77777777" w:rsidR="009F70EC" w:rsidRDefault="009F70EC" w:rsidP="00AF0E44">
      <w:pPr>
        <w:spacing w:after="0"/>
        <w:jc w:val="both"/>
        <w:rPr>
          <w:rFonts w:ascii="Verdana" w:hAnsi="Verdana" w:cs="Arial"/>
          <w:bCs/>
          <w:lang w:eastAsia="es-ES" w:bidi="es-ES"/>
        </w:rPr>
      </w:pPr>
    </w:p>
    <w:p w14:paraId="752B27EE" w14:textId="77777777" w:rsidR="009F70EC" w:rsidRDefault="009F70EC" w:rsidP="00AF0E44">
      <w:pPr>
        <w:spacing w:after="0"/>
        <w:jc w:val="both"/>
        <w:rPr>
          <w:rFonts w:ascii="Verdana" w:hAnsi="Verdana" w:cs="Arial"/>
          <w:bCs/>
          <w:lang w:eastAsia="es-ES" w:bidi="es-ES"/>
        </w:rPr>
      </w:pPr>
    </w:p>
    <w:p w14:paraId="27891A45" w14:textId="77777777" w:rsidR="009F70EC" w:rsidRDefault="009F70EC" w:rsidP="00AF0E44">
      <w:pPr>
        <w:spacing w:after="0"/>
        <w:jc w:val="both"/>
        <w:rPr>
          <w:rFonts w:ascii="Verdana" w:hAnsi="Verdana" w:cs="Arial"/>
          <w:bCs/>
          <w:lang w:eastAsia="es-ES" w:bidi="es-ES"/>
        </w:rPr>
      </w:pPr>
    </w:p>
    <w:p w14:paraId="0999B23A" w14:textId="77777777" w:rsidR="009F70EC" w:rsidRDefault="009F70EC" w:rsidP="00AF0E44">
      <w:pPr>
        <w:spacing w:after="0"/>
        <w:jc w:val="both"/>
        <w:rPr>
          <w:rFonts w:ascii="Verdana" w:hAnsi="Verdana" w:cs="Arial"/>
          <w:bCs/>
          <w:lang w:eastAsia="es-ES" w:bidi="es-ES"/>
        </w:rPr>
      </w:pPr>
    </w:p>
    <w:p w14:paraId="7173A465" w14:textId="77777777" w:rsidR="009F70EC" w:rsidRDefault="009F70EC" w:rsidP="00AF0E44">
      <w:pPr>
        <w:spacing w:after="0"/>
        <w:jc w:val="both"/>
        <w:rPr>
          <w:rFonts w:ascii="Verdana" w:hAnsi="Verdana" w:cs="Arial"/>
          <w:bCs/>
          <w:lang w:eastAsia="es-ES" w:bidi="es-ES"/>
        </w:rPr>
      </w:pPr>
    </w:p>
    <w:p w14:paraId="7116E3BA" w14:textId="77777777" w:rsidR="009F70EC" w:rsidRDefault="009F70EC" w:rsidP="00AF0E44">
      <w:pPr>
        <w:spacing w:after="0"/>
        <w:jc w:val="both"/>
        <w:rPr>
          <w:rFonts w:ascii="Verdana" w:hAnsi="Verdana" w:cs="Arial"/>
          <w:bCs/>
          <w:lang w:eastAsia="es-ES" w:bidi="es-ES"/>
        </w:rPr>
      </w:pPr>
    </w:p>
    <w:p w14:paraId="156DD58B" w14:textId="77777777" w:rsidR="009F70EC" w:rsidRDefault="009F70EC" w:rsidP="00AF0E44">
      <w:pPr>
        <w:spacing w:after="0"/>
        <w:jc w:val="both"/>
        <w:rPr>
          <w:rFonts w:ascii="Verdana" w:hAnsi="Verdana" w:cs="Arial"/>
          <w:bCs/>
          <w:lang w:eastAsia="es-ES" w:bidi="es-ES"/>
        </w:rPr>
      </w:pPr>
    </w:p>
    <w:p w14:paraId="48AA5ECE" w14:textId="77777777" w:rsidR="009F70EC" w:rsidRDefault="009F70EC" w:rsidP="00AF0E44">
      <w:pPr>
        <w:spacing w:after="0"/>
        <w:jc w:val="both"/>
        <w:rPr>
          <w:rFonts w:ascii="Verdana" w:hAnsi="Verdana" w:cs="Arial"/>
          <w:bCs/>
          <w:lang w:eastAsia="es-ES" w:bidi="es-ES"/>
        </w:rPr>
      </w:pPr>
    </w:p>
    <w:p w14:paraId="7B1B0D54" w14:textId="77777777" w:rsidR="009F70EC" w:rsidRDefault="009F70EC" w:rsidP="00AF0E44">
      <w:pPr>
        <w:spacing w:after="0"/>
        <w:jc w:val="both"/>
        <w:rPr>
          <w:rFonts w:ascii="Verdana" w:hAnsi="Verdana" w:cs="Arial"/>
          <w:bCs/>
          <w:lang w:eastAsia="es-ES" w:bidi="es-ES"/>
        </w:rPr>
      </w:pPr>
    </w:p>
    <w:p w14:paraId="638D5608" w14:textId="77777777" w:rsidR="009F70EC" w:rsidRDefault="00AF0E44" w:rsidP="00E21910">
      <w:pPr>
        <w:spacing w:after="0" w:line="240" w:lineRule="auto"/>
        <w:jc w:val="both"/>
        <w:rPr>
          <w:rFonts w:ascii="Verdana" w:hAnsi="Verdana"/>
        </w:rPr>
      </w:pPr>
      <w:r w:rsidRPr="00C0342E">
        <w:rPr>
          <w:rFonts w:ascii="Verdana" w:hAnsi="Verdana"/>
        </w:rPr>
        <w:lastRenderedPageBreak/>
        <w:t xml:space="preserve">Bogotá D.C., </w:t>
      </w:r>
      <w:r w:rsidR="000C19D9" w:rsidRPr="00C0342E">
        <w:rPr>
          <w:rFonts w:ascii="Verdana" w:hAnsi="Verdana"/>
        </w:rPr>
        <w:t>0</w:t>
      </w:r>
      <w:r w:rsidR="000C19D9">
        <w:rPr>
          <w:rFonts w:ascii="Verdana" w:hAnsi="Verdana"/>
        </w:rPr>
        <w:t>4</w:t>
      </w:r>
      <w:r w:rsidR="000C19D9" w:rsidRPr="00C0342E">
        <w:rPr>
          <w:rFonts w:ascii="Verdana" w:hAnsi="Verdana"/>
        </w:rPr>
        <w:t xml:space="preserve"> </w:t>
      </w:r>
      <w:r w:rsidRPr="00C0342E">
        <w:rPr>
          <w:rFonts w:ascii="Verdana" w:hAnsi="Verdana"/>
        </w:rPr>
        <w:t xml:space="preserve">de </w:t>
      </w:r>
      <w:r w:rsidR="00962DB9" w:rsidRPr="00C0342E">
        <w:rPr>
          <w:rFonts w:ascii="Verdana" w:hAnsi="Verdana"/>
        </w:rPr>
        <w:t>septiembre</w:t>
      </w:r>
      <w:r w:rsidRPr="00C0342E">
        <w:rPr>
          <w:rFonts w:ascii="Verdana" w:hAnsi="Verdana"/>
        </w:rPr>
        <w:t xml:space="preserve"> de 2025</w:t>
      </w:r>
    </w:p>
    <w:p w14:paraId="7F1280DC" w14:textId="132DEA97" w:rsidR="00AF0E44" w:rsidRPr="00C0342E" w:rsidRDefault="00AF0E44" w:rsidP="00E21910">
      <w:pPr>
        <w:spacing w:after="0" w:line="240" w:lineRule="auto"/>
        <w:jc w:val="both"/>
        <w:rPr>
          <w:rFonts w:ascii="Verdana" w:hAnsi="Verdana"/>
        </w:rPr>
      </w:pPr>
      <w:r w:rsidRPr="00C0342E">
        <w:rPr>
          <w:rFonts w:ascii="Verdana" w:hAnsi="Verdana"/>
        </w:rPr>
        <w:tab/>
      </w:r>
    </w:p>
    <w:p w14:paraId="738014FA" w14:textId="6B290547" w:rsidR="00AF0E44" w:rsidRPr="00E21910" w:rsidRDefault="009F70EC" w:rsidP="009F70EC">
      <w:pPr>
        <w:spacing w:after="0" w:line="240" w:lineRule="auto"/>
        <w:ind w:left="5664"/>
        <w:jc w:val="both"/>
        <w:rPr>
          <w:rFonts w:ascii="Verdana" w:hAnsi="Verdana" w:cs="Arial"/>
          <w:bCs/>
          <w:lang w:eastAsia="es-ES" w:bidi="es-ES"/>
        </w:rPr>
      </w:pPr>
      <w:r>
        <w:rPr>
          <w:noProof/>
        </w:rPr>
        <w:drawing>
          <wp:inline distT="0" distB="0" distL="0" distR="0" wp14:anchorId="1FBC6EA1" wp14:editId="1AECD774">
            <wp:extent cx="2286000" cy="590550"/>
            <wp:effectExtent l="0" t="0" r="0" b="0"/>
            <wp:docPr id="14040193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019376" name=""/>
                    <pic:cNvPicPr/>
                  </pic:nvPicPr>
                  <pic:blipFill>
                    <a:blip r:embed="rId10"/>
                    <a:stretch>
                      <a:fillRect/>
                    </a:stretch>
                  </pic:blipFill>
                  <pic:spPr>
                    <a:xfrm>
                      <a:off x="0" y="0"/>
                      <a:ext cx="2286000" cy="590550"/>
                    </a:xfrm>
                    <a:prstGeom prst="rect">
                      <a:avLst/>
                    </a:prstGeom>
                  </pic:spPr>
                </pic:pic>
              </a:graphicData>
            </a:graphic>
          </wp:inline>
        </w:drawing>
      </w:r>
    </w:p>
    <w:p w14:paraId="31DB6F0D" w14:textId="77777777" w:rsidR="009F70EC" w:rsidRDefault="009F70EC" w:rsidP="00C0342E">
      <w:pPr>
        <w:spacing w:after="0" w:line="240" w:lineRule="auto"/>
        <w:jc w:val="both"/>
        <w:rPr>
          <w:rFonts w:ascii="Verdana" w:hAnsi="Verdana" w:cs="Arial"/>
          <w:bCs/>
          <w:lang w:eastAsia="es-ES" w:bidi="es-ES"/>
        </w:rPr>
      </w:pPr>
    </w:p>
    <w:p w14:paraId="13B1B362" w14:textId="402A4D12" w:rsidR="00AF0E44" w:rsidRPr="00C0342E" w:rsidRDefault="00AF0E44" w:rsidP="00C0342E">
      <w:pPr>
        <w:spacing w:after="0" w:line="240" w:lineRule="auto"/>
        <w:jc w:val="both"/>
        <w:rPr>
          <w:rFonts w:ascii="Verdana" w:hAnsi="Verdana" w:cs="Arial"/>
          <w:bCs/>
          <w:lang w:eastAsia="es-ES" w:bidi="es-ES"/>
        </w:rPr>
      </w:pPr>
      <w:r w:rsidRPr="00C0342E">
        <w:rPr>
          <w:rFonts w:ascii="Verdana" w:hAnsi="Verdana" w:cs="Arial"/>
          <w:bCs/>
          <w:lang w:eastAsia="es-ES" w:bidi="es-ES"/>
        </w:rPr>
        <w:t>Señor</w:t>
      </w:r>
      <w:r w:rsidR="00962DB9" w:rsidRPr="00C0342E">
        <w:rPr>
          <w:rFonts w:ascii="Verdana" w:hAnsi="Verdana" w:cs="Arial"/>
          <w:bCs/>
          <w:lang w:eastAsia="es-ES" w:bidi="es-ES"/>
        </w:rPr>
        <w:t>es</w:t>
      </w:r>
    </w:p>
    <w:p w14:paraId="326F9957" w14:textId="2817DD28" w:rsidR="00E5654E" w:rsidRPr="00C0342E" w:rsidRDefault="00962DB9" w:rsidP="00C0342E">
      <w:pPr>
        <w:spacing w:after="0" w:line="240" w:lineRule="auto"/>
        <w:jc w:val="both"/>
        <w:rPr>
          <w:rFonts w:ascii="Verdana" w:hAnsi="Verdana" w:cs="Arial"/>
          <w:b/>
          <w:bCs/>
          <w:lang w:eastAsia="es-ES" w:bidi="es-ES"/>
        </w:rPr>
      </w:pPr>
      <w:r w:rsidRPr="00C0342E">
        <w:rPr>
          <w:rFonts w:ascii="Verdana" w:hAnsi="Verdana" w:cs="Arial"/>
          <w:b/>
          <w:bCs/>
          <w:lang w:eastAsia="es-ES" w:bidi="es-ES"/>
        </w:rPr>
        <w:t xml:space="preserve">Caja </w:t>
      </w:r>
      <w:r w:rsidR="00EA1430" w:rsidRPr="00C0342E">
        <w:rPr>
          <w:rFonts w:ascii="Verdana" w:hAnsi="Verdana" w:cs="Arial"/>
          <w:b/>
          <w:bCs/>
          <w:lang w:eastAsia="es-ES" w:bidi="es-ES"/>
        </w:rPr>
        <w:t>d</w:t>
      </w:r>
      <w:r w:rsidRPr="00C0342E">
        <w:rPr>
          <w:rFonts w:ascii="Verdana" w:hAnsi="Verdana" w:cs="Arial"/>
          <w:b/>
          <w:bCs/>
          <w:lang w:eastAsia="es-ES" w:bidi="es-ES"/>
        </w:rPr>
        <w:t xml:space="preserve">e Auxilios </w:t>
      </w:r>
      <w:r w:rsidR="007E34F3" w:rsidRPr="00C0342E">
        <w:rPr>
          <w:rFonts w:ascii="Verdana" w:hAnsi="Verdana" w:cs="Arial"/>
          <w:b/>
          <w:bCs/>
          <w:lang w:eastAsia="es-ES" w:bidi="es-ES"/>
        </w:rPr>
        <w:t>y</w:t>
      </w:r>
      <w:r w:rsidRPr="00C0342E">
        <w:rPr>
          <w:rFonts w:ascii="Verdana" w:hAnsi="Verdana" w:cs="Arial"/>
          <w:b/>
          <w:bCs/>
          <w:lang w:eastAsia="es-ES" w:bidi="es-ES"/>
        </w:rPr>
        <w:t xml:space="preserve"> </w:t>
      </w:r>
      <w:r w:rsidR="00EA1430" w:rsidRPr="00C0342E">
        <w:rPr>
          <w:rFonts w:ascii="Verdana" w:hAnsi="Verdana" w:cs="Arial"/>
          <w:b/>
          <w:bCs/>
          <w:lang w:eastAsia="es-ES" w:bidi="es-ES"/>
        </w:rPr>
        <w:t>d</w:t>
      </w:r>
      <w:r w:rsidRPr="00C0342E">
        <w:rPr>
          <w:rFonts w:ascii="Verdana" w:hAnsi="Verdana" w:cs="Arial"/>
          <w:b/>
          <w:bCs/>
          <w:lang w:eastAsia="es-ES" w:bidi="es-ES"/>
        </w:rPr>
        <w:t>e Prestaciones De A</w:t>
      </w:r>
      <w:r w:rsidR="00E5654E" w:rsidRPr="00C0342E">
        <w:rPr>
          <w:rFonts w:ascii="Verdana" w:hAnsi="Verdana" w:cs="Arial"/>
          <w:b/>
          <w:bCs/>
          <w:lang w:eastAsia="es-ES" w:bidi="es-ES"/>
        </w:rPr>
        <w:t>CDAC</w:t>
      </w:r>
      <w:r w:rsidR="00C0342E" w:rsidRPr="00C0342E">
        <w:rPr>
          <w:rFonts w:ascii="Verdana" w:hAnsi="Verdana" w:cs="Arial"/>
          <w:b/>
          <w:bCs/>
          <w:lang w:eastAsia="es-ES" w:bidi="es-ES"/>
        </w:rPr>
        <w:t xml:space="preserve"> - </w:t>
      </w:r>
      <w:r w:rsidR="00E5654E" w:rsidRPr="00C0342E">
        <w:rPr>
          <w:rFonts w:ascii="Verdana" w:hAnsi="Verdana" w:cs="Arial"/>
          <w:b/>
          <w:bCs/>
          <w:lang w:eastAsia="es-ES" w:bidi="es-ES"/>
        </w:rPr>
        <w:t>“CAXDAC”</w:t>
      </w:r>
    </w:p>
    <w:p w14:paraId="436F19F9" w14:textId="728A53C9" w:rsidR="00090195" w:rsidRPr="00C0342E" w:rsidRDefault="00090195" w:rsidP="00C0342E">
      <w:pPr>
        <w:spacing w:after="0" w:line="240" w:lineRule="auto"/>
        <w:jc w:val="both"/>
        <w:rPr>
          <w:rFonts w:ascii="Verdana" w:hAnsi="Verdana" w:cs="Arial"/>
          <w:lang w:eastAsia="es-ES" w:bidi="es-ES"/>
        </w:rPr>
      </w:pPr>
      <w:hyperlink r:id="rId11" w:history="1">
        <w:r w:rsidRPr="00C0342E">
          <w:rPr>
            <w:rStyle w:val="Hipervnculo"/>
            <w:rFonts w:ascii="Verdana" w:hAnsi="Verdana" w:cs="Arial"/>
            <w:lang w:eastAsia="es-ES" w:bidi="es-ES"/>
          </w:rPr>
          <w:t>institucional@caxdac.com</w:t>
        </w:r>
      </w:hyperlink>
    </w:p>
    <w:p w14:paraId="1E9307EE" w14:textId="77777777" w:rsidR="00AF0E44" w:rsidRPr="00C0342E" w:rsidRDefault="00AF0E44" w:rsidP="00C0342E">
      <w:pPr>
        <w:spacing w:after="0" w:line="240" w:lineRule="auto"/>
        <w:jc w:val="both"/>
        <w:rPr>
          <w:rFonts w:ascii="Verdana" w:hAnsi="Verdana" w:cs="Arial"/>
          <w:bCs/>
          <w:lang w:val="es-MX" w:eastAsia="es-ES" w:bidi="es-ES"/>
        </w:rPr>
      </w:pPr>
      <w:r w:rsidRPr="00C0342E">
        <w:rPr>
          <w:rFonts w:ascii="Verdana" w:hAnsi="Verdana" w:cs="Arial"/>
          <w:bCs/>
          <w:lang w:val="es-MX" w:eastAsia="es-ES" w:bidi="es-ES"/>
        </w:rPr>
        <w:t xml:space="preserve">Bogotá D.C. </w:t>
      </w:r>
    </w:p>
    <w:p w14:paraId="09A3E92A" w14:textId="77777777" w:rsidR="00AF0E44" w:rsidRPr="00C0342E" w:rsidRDefault="00AF0E44" w:rsidP="00C0342E">
      <w:pPr>
        <w:spacing w:after="0" w:line="240" w:lineRule="auto"/>
        <w:jc w:val="both"/>
        <w:rPr>
          <w:rFonts w:ascii="Verdana" w:hAnsi="Verdana" w:cs="Arial"/>
          <w:b/>
          <w:bCs/>
          <w:lang w:val="es-ES_tradnl" w:eastAsia="es-ES" w:bidi="es-ES"/>
        </w:rPr>
      </w:pPr>
    </w:p>
    <w:p w14:paraId="7034B078" w14:textId="77777777" w:rsidR="00AF0E44" w:rsidRPr="00C0342E" w:rsidRDefault="00AF0E44" w:rsidP="00C0342E">
      <w:pPr>
        <w:tabs>
          <w:tab w:val="left" w:pos="7184"/>
        </w:tabs>
        <w:spacing w:after="0" w:line="240" w:lineRule="auto"/>
        <w:jc w:val="both"/>
        <w:rPr>
          <w:rFonts w:ascii="Verdana" w:hAnsi="Verdana" w:cs="Arial"/>
          <w:b/>
          <w:bCs/>
          <w:lang w:val="es-ES_tradnl" w:eastAsia="es-ES" w:bidi="es-ES"/>
        </w:rPr>
      </w:pPr>
      <w:r w:rsidRPr="00C0342E">
        <w:rPr>
          <w:rFonts w:ascii="Verdana" w:hAnsi="Verdana" w:cs="Arial"/>
          <w:b/>
          <w:bCs/>
          <w:lang w:val="es-ES_tradnl" w:eastAsia="es-ES" w:bidi="es-ES"/>
        </w:rPr>
        <w:tab/>
      </w: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AF0E44" w:rsidRPr="00C0342E" w14:paraId="457DA3E9" w14:textId="77777777" w:rsidTr="00F37389">
        <w:trPr>
          <w:trHeight w:val="312"/>
        </w:trPr>
        <w:tc>
          <w:tcPr>
            <w:tcW w:w="2689" w:type="dxa"/>
          </w:tcPr>
          <w:p w14:paraId="3062DEFC" w14:textId="77777777" w:rsidR="00AF0E44" w:rsidRPr="00C0342E" w:rsidRDefault="00AF0E44" w:rsidP="00C0342E">
            <w:pPr>
              <w:jc w:val="both"/>
              <w:rPr>
                <w:rFonts w:ascii="Verdana" w:hAnsi="Verdana" w:cs="Arial"/>
                <w:b/>
                <w:bCs/>
                <w:lang w:val="es-ES_tradnl" w:eastAsia="es-ES" w:bidi="es-ES"/>
              </w:rPr>
            </w:pPr>
          </w:p>
        </w:tc>
        <w:tc>
          <w:tcPr>
            <w:tcW w:w="6242" w:type="dxa"/>
          </w:tcPr>
          <w:p w14:paraId="5C1138E5" w14:textId="76910B32" w:rsidR="00AF0E44" w:rsidRPr="00C0342E" w:rsidRDefault="00AF0E44" w:rsidP="00C0342E">
            <w:pPr>
              <w:tabs>
                <w:tab w:val="right" w:pos="6242"/>
              </w:tabs>
              <w:jc w:val="both"/>
              <w:rPr>
                <w:rFonts w:ascii="Verdana" w:hAnsi="Verdana" w:cs="Arial"/>
                <w:b/>
                <w:bCs/>
                <w:lang w:val="es-MX" w:eastAsia="es-ES" w:bidi="es-ES"/>
              </w:rPr>
            </w:pPr>
            <w:r w:rsidRPr="00C0342E">
              <w:rPr>
                <w:rFonts w:ascii="Verdana" w:hAnsi="Verdana" w:cs="Arial"/>
                <w:b/>
                <w:bCs/>
                <w:lang w:val="es-MX" w:eastAsia="es-ES" w:bidi="es-ES"/>
              </w:rPr>
              <w:t>Concepto C- 1</w:t>
            </w:r>
            <w:r w:rsidR="002807F0" w:rsidRPr="00C0342E">
              <w:rPr>
                <w:rFonts w:ascii="Verdana" w:hAnsi="Verdana" w:cs="Arial"/>
                <w:b/>
                <w:bCs/>
                <w:lang w:val="es-MX" w:eastAsia="es-ES" w:bidi="es-ES"/>
              </w:rPr>
              <w:t>022</w:t>
            </w:r>
            <w:r w:rsidRPr="00C0342E">
              <w:rPr>
                <w:rFonts w:ascii="Verdana" w:hAnsi="Verdana" w:cs="Arial"/>
                <w:b/>
                <w:bCs/>
                <w:lang w:val="es-MX" w:eastAsia="es-ES" w:bidi="es-ES"/>
              </w:rPr>
              <w:t xml:space="preserve"> de 2025</w:t>
            </w:r>
            <w:r w:rsidRPr="00C0342E">
              <w:rPr>
                <w:rFonts w:ascii="Verdana" w:hAnsi="Verdana" w:cs="Arial"/>
                <w:b/>
                <w:bCs/>
                <w:lang w:val="es-MX" w:eastAsia="es-ES" w:bidi="es-ES"/>
              </w:rPr>
              <w:tab/>
            </w:r>
          </w:p>
          <w:p w14:paraId="1BC090BF" w14:textId="77777777" w:rsidR="00AF0E44" w:rsidRPr="00C0342E" w:rsidRDefault="00AF0E44" w:rsidP="00C0342E">
            <w:pPr>
              <w:jc w:val="both"/>
              <w:rPr>
                <w:rFonts w:ascii="Verdana" w:hAnsi="Verdana" w:cs="Arial"/>
                <w:b/>
                <w:bCs/>
                <w:lang w:val="es-MX" w:eastAsia="es-ES" w:bidi="es-ES"/>
              </w:rPr>
            </w:pPr>
          </w:p>
        </w:tc>
      </w:tr>
      <w:tr w:rsidR="00AF0E44" w:rsidRPr="00C0342E" w14:paraId="3D1F90B4" w14:textId="77777777" w:rsidTr="00F37389">
        <w:trPr>
          <w:trHeight w:val="884"/>
        </w:trPr>
        <w:tc>
          <w:tcPr>
            <w:tcW w:w="2689" w:type="dxa"/>
          </w:tcPr>
          <w:p w14:paraId="00060827" w14:textId="77777777" w:rsidR="00AF0E44" w:rsidRPr="00C0342E" w:rsidRDefault="00AF0E44" w:rsidP="00C0342E">
            <w:pPr>
              <w:jc w:val="both"/>
              <w:rPr>
                <w:rFonts w:ascii="Verdana" w:hAnsi="Verdana" w:cs="Arial"/>
                <w:bCs/>
                <w:lang w:val="es-MX" w:eastAsia="es-ES" w:bidi="es-ES"/>
              </w:rPr>
            </w:pPr>
            <w:r w:rsidRPr="00C0342E">
              <w:rPr>
                <w:rFonts w:ascii="Verdana" w:hAnsi="Verdana" w:cs="Arial"/>
                <w:bCs/>
                <w:lang w:val="es-MX" w:eastAsia="es-ES" w:bidi="es-ES"/>
              </w:rPr>
              <w:t xml:space="preserve">Temas:                   </w:t>
            </w:r>
          </w:p>
        </w:tc>
        <w:tc>
          <w:tcPr>
            <w:tcW w:w="6242" w:type="dxa"/>
          </w:tcPr>
          <w:p w14:paraId="2A452E92" w14:textId="77777777" w:rsidR="001E3B2D" w:rsidRPr="004F74AD" w:rsidRDefault="00AF0E44" w:rsidP="001E3B2D">
            <w:pPr>
              <w:jc w:val="both"/>
              <w:rPr>
                <w:rFonts w:ascii="Verdana" w:eastAsia="Aptos" w:hAnsi="Verdana" w:cs="Times New Roman"/>
                <w:kern w:val="2"/>
                <w14:ligatures w14:val="standardContextual"/>
              </w:rPr>
            </w:pPr>
            <w:r w:rsidRPr="00E21910">
              <w:rPr>
                <w:rStyle w:val="TextoindependienteCar"/>
                <w:rFonts w:ascii="Verdana" w:hAnsi="Verdana"/>
              </w:rPr>
              <w:t>PRINCIPIO DE PUBLICIDAD – Concepto – Fundamento axiológico – Fundamento constitucional</w:t>
            </w:r>
            <w:r w:rsidRPr="00C0342E">
              <w:rPr>
                <w:rFonts w:ascii="Verdana" w:hAnsi="Verdana" w:cs="Arial"/>
                <w:bCs/>
                <w:lang w:val="es-ES_tradnl" w:eastAsia="es-ES" w:bidi="es-ES"/>
              </w:rPr>
              <w:t xml:space="preserve"> / PRINCIPIO DE PUBLICIDAD – SECOP – Documentos del proceso – Deber de publicación / </w:t>
            </w:r>
            <w:r w:rsidR="001E3B2D" w:rsidRPr="004F74AD">
              <w:rPr>
                <w:rFonts w:ascii="Verdana" w:eastAsia="Calibri" w:hAnsi="Verdana" w:cs="Arial"/>
                <w:lang w:val="es-ES" w:eastAsia="es-ES"/>
              </w:rPr>
              <w:t xml:space="preserve">PRINCIPIO DE PUBLICIDAD – Deber de publicación </w:t>
            </w:r>
            <w:r w:rsidR="001E3B2D" w:rsidRPr="004F74AD">
              <w:rPr>
                <w:rFonts w:ascii="Verdana" w:eastAsia="Aptos" w:hAnsi="Verdana" w:cs="Times New Roman"/>
                <w:kern w:val="2"/>
                <w14:ligatures w14:val="standardContextual"/>
              </w:rPr>
              <w:t>– SECOP – Actividad contractual – Recursos públicos - Procedencia</w:t>
            </w:r>
          </w:p>
          <w:p w14:paraId="02735FDE" w14:textId="14D50C1A" w:rsidR="00AF0E44" w:rsidRPr="00C0342E" w:rsidRDefault="00AF0E44" w:rsidP="00C0342E">
            <w:pPr>
              <w:jc w:val="both"/>
              <w:rPr>
                <w:rFonts w:ascii="Verdana" w:hAnsi="Verdana" w:cs="Arial"/>
                <w:bCs/>
                <w:lang w:val="es-MX" w:eastAsia="es-ES" w:bidi="es-ES"/>
              </w:rPr>
            </w:pPr>
          </w:p>
          <w:p w14:paraId="475904F2" w14:textId="77777777" w:rsidR="00AF0E44" w:rsidRPr="00C0342E" w:rsidRDefault="00AF0E44" w:rsidP="00C0342E">
            <w:pPr>
              <w:jc w:val="both"/>
              <w:rPr>
                <w:rFonts w:ascii="Verdana" w:hAnsi="Verdana" w:cs="Arial"/>
                <w:bCs/>
                <w:lang w:val="es-MX" w:eastAsia="es-ES" w:bidi="es-ES"/>
              </w:rPr>
            </w:pPr>
          </w:p>
        </w:tc>
      </w:tr>
      <w:tr w:rsidR="00AF0E44" w:rsidRPr="00C0342E" w14:paraId="0E960CF9" w14:textId="77777777" w:rsidTr="00F37389">
        <w:tc>
          <w:tcPr>
            <w:tcW w:w="2689" w:type="dxa"/>
          </w:tcPr>
          <w:p w14:paraId="7EFF2C98" w14:textId="77777777" w:rsidR="00AF0E44" w:rsidRPr="00C0342E" w:rsidRDefault="00AF0E44" w:rsidP="00C0342E">
            <w:pPr>
              <w:jc w:val="both"/>
              <w:rPr>
                <w:rFonts w:ascii="Verdana" w:hAnsi="Verdana" w:cs="Arial"/>
                <w:bCs/>
                <w:lang w:val="es-MX" w:eastAsia="es-ES" w:bidi="es-ES"/>
              </w:rPr>
            </w:pPr>
            <w:r w:rsidRPr="00C0342E">
              <w:rPr>
                <w:rFonts w:ascii="Verdana" w:hAnsi="Verdana" w:cs="Arial"/>
                <w:bCs/>
                <w:lang w:val="es-MX" w:eastAsia="es-ES" w:bidi="es-ES"/>
              </w:rPr>
              <w:t xml:space="preserve">Radicación:               </w:t>
            </w:r>
          </w:p>
        </w:tc>
        <w:tc>
          <w:tcPr>
            <w:tcW w:w="6242" w:type="dxa"/>
          </w:tcPr>
          <w:p w14:paraId="1E5EAFF1" w14:textId="330C14CD" w:rsidR="00AF0E44" w:rsidRPr="00C0342E" w:rsidRDefault="00AF0E44" w:rsidP="00C0342E">
            <w:pPr>
              <w:jc w:val="both"/>
              <w:rPr>
                <w:rFonts w:ascii="Verdana" w:hAnsi="Verdana" w:cs="Arial"/>
                <w:bCs/>
                <w:lang w:eastAsia="es-ES" w:bidi="es-ES"/>
              </w:rPr>
            </w:pPr>
            <w:r w:rsidRPr="00C0342E">
              <w:rPr>
                <w:rFonts w:ascii="Verdana" w:hAnsi="Verdana" w:cs="Arial"/>
                <w:bCs/>
                <w:lang w:val="es-MX" w:eastAsia="es-ES" w:bidi="es-ES"/>
              </w:rPr>
              <w:t xml:space="preserve">Respuesta a consulta con radicado No. </w:t>
            </w:r>
            <w:r w:rsidR="00E01665" w:rsidRPr="00C0342E">
              <w:rPr>
                <w:rFonts w:ascii="Verdana" w:hAnsi="Verdana" w:cs="Arial"/>
                <w:bCs/>
                <w:lang w:eastAsia="es-ES" w:bidi="es-ES"/>
              </w:rPr>
              <w:t>1_2025_07_25_007676</w:t>
            </w:r>
          </w:p>
          <w:p w14:paraId="3190799B" w14:textId="77777777" w:rsidR="00AF0E44" w:rsidRPr="00C0342E" w:rsidRDefault="00AF0E44" w:rsidP="00C0342E">
            <w:pPr>
              <w:jc w:val="both"/>
              <w:rPr>
                <w:rFonts w:ascii="Verdana" w:hAnsi="Verdana" w:cs="Arial"/>
                <w:bCs/>
                <w:lang w:val="es-MX" w:eastAsia="es-ES" w:bidi="es-ES"/>
              </w:rPr>
            </w:pPr>
          </w:p>
        </w:tc>
      </w:tr>
    </w:tbl>
    <w:p w14:paraId="2D7C61E2" w14:textId="77777777" w:rsidR="00AF0E44" w:rsidRPr="0041694B" w:rsidRDefault="00AF0E44" w:rsidP="00AF0E44">
      <w:pPr>
        <w:spacing w:after="0" w:line="240" w:lineRule="auto"/>
        <w:jc w:val="both"/>
        <w:rPr>
          <w:rFonts w:ascii="Verdana" w:hAnsi="Verdana" w:cs="Arial"/>
          <w:bCs/>
          <w:lang w:val="es-ES_tradnl" w:eastAsia="es-ES" w:bidi="es-ES"/>
        </w:rPr>
      </w:pPr>
    </w:p>
    <w:p w14:paraId="17C3E223" w14:textId="40A568CF" w:rsidR="00AF0E44" w:rsidRPr="00E21910" w:rsidRDefault="000C19D9" w:rsidP="00E21910">
      <w:pPr>
        <w:spacing w:after="0" w:line="276" w:lineRule="auto"/>
        <w:jc w:val="both"/>
        <w:rPr>
          <w:rFonts w:ascii="Verdana" w:hAnsi="Verdana" w:cs="Arial"/>
          <w:bCs/>
          <w:lang w:eastAsia="es-ES" w:bidi="es-ES"/>
        </w:rPr>
      </w:pPr>
      <w:r w:rsidRPr="000C19D9">
        <w:rPr>
          <w:rFonts w:ascii="Verdana" w:hAnsi="Verdana" w:cs="Arial"/>
          <w:bCs/>
          <w:lang w:val="es-MX" w:eastAsia="es-ES" w:bidi="es-ES"/>
        </w:rPr>
        <w:t xml:space="preserve">Señores, </w:t>
      </w:r>
      <w:r w:rsidRPr="00E21910">
        <w:rPr>
          <w:rFonts w:ascii="Verdana" w:hAnsi="Verdana" w:cs="Arial"/>
          <w:bCs/>
          <w:lang w:eastAsia="es-ES" w:bidi="es-ES"/>
        </w:rPr>
        <w:t>Caja de Auxilios y de Prestaciones De ACDAC - “CAXDAC”</w:t>
      </w:r>
      <w:r w:rsidR="00AF0E44" w:rsidRPr="000C19D9">
        <w:rPr>
          <w:rFonts w:ascii="Verdana" w:hAnsi="Verdana" w:cs="Arial"/>
          <w:bCs/>
          <w:lang w:val="es-MX" w:eastAsia="es-ES" w:bidi="es-ES"/>
        </w:rPr>
        <w:t>:</w:t>
      </w:r>
    </w:p>
    <w:p w14:paraId="50C713AF" w14:textId="77777777" w:rsidR="00AF0E44" w:rsidRPr="0041694B" w:rsidRDefault="00AF0E44" w:rsidP="00E21910">
      <w:pPr>
        <w:spacing w:after="0" w:line="276" w:lineRule="auto"/>
        <w:jc w:val="both"/>
        <w:rPr>
          <w:rFonts w:ascii="Verdana" w:hAnsi="Verdana" w:cs="Arial"/>
          <w:bCs/>
          <w:lang w:val="es-ES" w:eastAsia="es-ES" w:bidi="es-ES"/>
        </w:rPr>
      </w:pPr>
      <w:r w:rsidRPr="0041694B">
        <w:rPr>
          <w:rFonts w:ascii="Verdana" w:hAnsi="Verdana" w:cs="Arial"/>
          <w:bCs/>
          <w:lang w:val="es-ES" w:eastAsia="es-ES" w:bidi="es-ES"/>
        </w:rPr>
        <w:tab/>
      </w:r>
    </w:p>
    <w:p w14:paraId="004AF88B" w14:textId="05EB6FE8" w:rsidR="00AF0E44" w:rsidRPr="0041694B" w:rsidRDefault="00AF0E44" w:rsidP="001D3AAF">
      <w:pPr>
        <w:spacing w:after="0" w:line="276" w:lineRule="auto"/>
        <w:jc w:val="both"/>
        <w:rPr>
          <w:rFonts w:ascii="Verdana" w:hAnsi="Verdana" w:cs="Arial"/>
          <w:bCs/>
          <w:lang w:val="es-ES" w:eastAsia="es-ES" w:bidi="es-ES"/>
        </w:rPr>
      </w:pPr>
      <w:r w:rsidRPr="0041694B">
        <w:rPr>
          <w:rFonts w:ascii="Verdana" w:hAnsi="Verdana" w:cs="Arial"/>
          <w:bCs/>
          <w:lang w:val="es-ES" w:eastAsia="es-ES" w:bidi="es-ES"/>
        </w:rPr>
        <w:t xml:space="preserve">En ejercicio de la competencia otorgada por los artículos 3, numeral 5º, y 11, numeral 8º, del Decreto Ley 4170 de 2011, </w:t>
      </w:r>
      <w:r w:rsidRPr="0041694B">
        <w:rPr>
          <w:rFonts w:ascii="Verdana" w:hAnsi="Verdana" w:cs="Arial"/>
          <w:bCs/>
          <w:lang w:eastAsia="es-ES" w:bidi="es-ES"/>
        </w:rPr>
        <w:t xml:space="preserve">así como lo establecido en el artículo 4 de la Resolución 1707 de 2018 expedida por esta Entidad, </w:t>
      </w:r>
      <w:r w:rsidRPr="0041694B">
        <w:rPr>
          <w:rFonts w:ascii="Verdana" w:hAnsi="Verdana" w:cs="Arial"/>
          <w:bCs/>
          <w:lang w:val="es-ES" w:eastAsia="es-ES" w:bidi="es-ES"/>
        </w:rPr>
        <w:t xml:space="preserve">la Agencia Nacional de Contratación Pública – Colombia Compra Eficiente– responde su solicitud de consulta de fecha </w:t>
      </w:r>
      <w:r>
        <w:rPr>
          <w:rFonts w:ascii="Verdana" w:hAnsi="Verdana" w:cs="Arial"/>
          <w:bCs/>
          <w:lang w:val="es-ES" w:eastAsia="es-ES" w:bidi="es-ES"/>
        </w:rPr>
        <w:t xml:space="preserve">del </w:t>
      </w:r>
      <w:r w:rsidR="0059434F">
        <w:rPr>
          <w:rFonts w:ascii="Verdana" w:hAnsi="Verdana" w:cs="Arial"/>
          <w:bCs/>
          <w:lang w:val="es-ES" w:eastAsia="es-ES" w:bidi="es-ES"/>
        </w:rPr>
        <w:t>25</w:t>
      </w:r>
      <w:r>
        <w:rPr>
          <w:rFonts w:ascii="Verdana" w:hAnsi="Verdana" w:cs="Arial"/>
          <w:bCs/>
          <w:lang w:val="es-ES" w:eastAsia="es-ES" w:bidi="es-ES"/>
        </w:rPr>
        <w:t xml:space="preserve"> de </w:t>
      </w:r>
      <w:r w:rsidR="0059434F">
        <w:rPr>
          <w:rFonts w:ascii="Verdana" w:hAnsi="Verdana" w:cs="Arial"/>
          <w:bCs/>
          <w:lang w:val="es-ES" w:eastAsia="es-ES" w:bidi="es-ES"/>
        </w:rPr>
        <w:t>julio</w:t>
      </w:r>
      <w:r>
        <w:rPr>
          <w:rFonts w:ascii="Verdana" w:hAnsi="Verdana" w:cs="Arial"/>
          <w:bCs/>
          <w:lang w:val="es-ES" w:eastAsia="es-ES" w:bidi="es-ES"/>
        </w:rPr>
        <w:t xml:space="preserve"> de 2025</w:t>
      </w:r>
      <w:r w:rsidRPr="0041694B">
        <w:rPr>
          <w:rFonts w:ascii="Verdana" w:hAnsi="Verdana" w:cs="Arial"/>
          <w:bCs/>
          <w:lang w:val="es-ES" w:eastAsia="es-ES" w:bidi="es-ES"/>
        </w:rPr>
        <w:t xml:space="preserve">, en la cual manifiesta lo siguiente: </w:t>
      </w:r>
    </w:p>
    <w:p w14:paraId="572DA969" w14:textId="77777777" w:rsidR="00AF0E44" w:rsidRPr="0041694B" w:rsidRDefault="00AF0E44" w:rsidP="00E21910">
      <w:pPr>
        <w:spacing w:after="0" w:line="276" w:lineRule="auto"/>
        <w:jc w:val="both"/>
        <w:rPr>
          <w:rFonts w:ascii="Verdana" w:hAnsi="Verdana" w:cs="Arial"/>
          <w:b/>
          <w:bCs/>
          <w:lang w:val="es-ES" w:eastAsia="es-ES" w:bidi="es-ES"/>
        </w:rPr>
      </w:pPr>
    </w:p>
    <w:p w14:paraId="761EDBAF" w14:textId="24B2A458" w:rsidR="001D3AAF" w:rsidRDefault="00AF0E44" w:rsidP="00E1692B">
      <w:pPr>
        <w:spacing w:after="0" w:line="240" w:lineRule="auto"/>
        <w:ind w:left="709" w:right="709"/>
        <w:jc w:val="both"/>
        <w:rPr>
          <w:rFonts w:ascii="Verdana" w:hAnsi="Verdana" w:cs="Arial"/>
          <w:bCs/>
          <w:sz w:val="20"/>
          <w:lang w:eastAsia="es-ES" w:bidi="es-ES"/>
        </w:rPr>
      </w:pPr>
      <w:r w:rsidRPr="00121EA1">
        <w:rPr>
          <w:rFonts w:ascii="Verdana" w:hAnsi="Verdana" w:cs="Arial"/>
          <w:bCs/>
          <w:sz w:val="20"/>
          <w:lang w:val="es-ES" w:eastAsia="es-ES" w:bidi="es-ES"/>
        </w:rPr>
        <w:t>“</w:t>
      </w:r>
      <w:r>
        <w:rPr>
          <w:rFonts w:ascii="Verdana" w:hAnsi="Verdana" w:cs="Arial"/>
          <w:bCs/>
          <w:sz w:val="20"/>
          <w:lang w:val="es-ES" w:eastAsia="es-ES" w:bidi="es-ES"/>
        </w:rPr>
        <w:t>[…]</w:t>
      </w:r>
      <w:r w:rsidRPr="00177DC9">
        <w:rPr>
          <w:rFonts w:ascii="Verdana" w:hAnsi="Verdana" w:cs="Arial"/>
          <w:bCs/>
          <w:sz w:val="20"/>
          <w:lang w:eastAsia="es-ES" w:bidi="es-ES"/>
        </w:rPr>
        <w:t xml:space="preserve"> </w:t>
      </w:r>
      <w:r w:rsidR="002F783C">
        <w:rPr>
          <w:rFonts w:ascii="Verdana" w:hAnsi="Verdana" w:cs="Arial"/>
          <w:bCs/>
          <w:sz w:val="20"/>
          <w:lang w:eastAsia="es-ES" w:bidi="es-ES"/>
        </w:rPr>
        <w:t xml:space="preserve">Por lo tanto, teniendo en cuenta la naturaleza jurídica de CAXDAC, el origen de los recursos que administra, y la posición </w:t>
      </w:r>
      <w:r w:rsidR="004F489E">
        <w:rPr>
          <w:rFonts w:ascii="Verdana" w:hAnsi="Verdana" w:cs="Arial"/>
          <w:bCs/>
          <w:sz w:val="20"/>
          <w:lang w:eastAsia="es-ES" w:bidi="es-ES"/>
        </w:rPr>
        <w:t>jurídica in</w:t>
      </w:r>
      <w:r w:rsidR="0073322A">
        <w:rPr>
          <w:rFonts w:ascii="Verdana" w:hAnsi="Verdana" w:cs="Arial"/>
          <w:bCs/>
          <w:sz w:val="20"/>
          <w:lang w:eastAsia="es-ES" w:bidi="es-ES"/>
        </w:rPr>
        <w:t xml:space="preserve">stitucional, esta administradora  solicita a la Contaduría General de la Nación la emisión de concepto jurídico, con el fin de establecer si la posición </w:t>
      </w:r>
      <w:r w:rsidR="00E1692B">
        <w:rPr>
          <w:rFonts w:ascii="Verdana" w:hAnsi="Verdana" w:cs="Arial"/>
          <w:bCs/>
          <w:sz w:val="20"/>
          <w:lang w:eastAsia="es-ES" w:bidi="es-ES"/>
        </w:rPr>
        <w:t>jurídica de la caja está acorde con los lineamientos de esta entidad o si por el contrario debe modificarse, y en consecuencia CAXCAC debe realizar el reporte de contratos diferentes a los que se mencionaron anteriormente</w:t>
      </w:r>
      <w:r>
        <w:rPr>
          <w:rFonts w:ascii="Verdana" w:hAnsi="Verdana" w:cs="Arial"/>
          <w:bCs/>
          <w:sz w:val="20"/>
          <w:lang w:eastAsia="es-ES" w:bidi="es-ES"/>
        </w:rPr>
        <w:t>”</w:t>
      </w:r>
      <w:r w:rsidR="001D3AAF">
        <w:rPr>
          <w:rFonts w:ascii="Verdana" w:hAnsi="Verdana" w:cs="Arial"/>
          <w:bCs/>
          <w:sz w:val="20"/>
          <w:lang w:eastAsia="es-ES" w:bidi="es-ES"/>
        </w:rPr>
        <w:t>.</w:t>
      </w:r>
    </w:p>
    <w:p w14:paraId="763128FC" w14:textId="659A93A4" w:rsidR="00AF0E44" w:rsidRPr="00E1692B" w:rsidRDefault="00AF0E44" w:rsidP="00E21910">
      <w:pPr>
        <w:spacing w:after="0" w:line="276" w:lineRule="auto"/>
        <w:ind w:left="709" w:right="709"/>
        <w:jc w:val="both"/>
        <w:rPr>
          <w:rFonts w:ascii="Verdana" w:hAnsi="Verdana" w:cs="Arial"/>
          <w:bCs/>
          <w:sz w:val="20"/>
          <w:lang w:eastAsia="es-ES" w:bidi="es-ES"/>
        </w:rPr>
      </w:pPr>
      <w:r w:rsidRPr="00121EA1">
        <w:rPr>
          <w:rFonts w:ascii="Verdana" w:hAnsi="Verdana" w:cs="Arial"/>
          <w:bCs/>
          <w:sz w:val="20"/>
          <w:lang w:val="es-ES" w:eastAsia="es-ES" w:bidi="es-ES"/>
        </w:rPr>
        <w:t xml:space="preserve"> </w:t>
      </w:r>
    </w:p>
    <w:p w14:paraId="56FE442E" w14:textId="0AF90943" w:rsidR="00AF0E44" w:rsidRPr="00121EA1" w:rsidRDefault="00AF0E44" w:rsidP="00AF0E44">
      <w:pPr>
        <w:spacing w:after="120" w:line="276" w:lineRule="auto"/>
        <w:ind w:firstLine="709"/>
        <w:jc w:val="both"/>
        <w:rPr>
          <w:rFonts w:ascii="Verdana" w:eastAsia="Calibri" w:hAnsi="Verdana" w:cs="Times New Roman"/>
          <w:lang w:val="es-ES"/>
        </w:rPr>
      </w:pPr>
      <w:r w:rsidRPr="00121EA1">
        <w:rPr>
          <w:rFonts w:ascii="Verdana" w:eastAsia="Calibri" w:hAnsi="Verdana" w:cs="Times New Roman"/>
          <w:lang w:val="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CF610D">
        <w:rPr>
          <w:rFonts w:ascii="Verdana" w:eastAsia="Calibri" w:hAnsi="Verdana" w:cs="Times New Roman"/>
          <w:lang w:val="es-ES"/>
        </w:rPr>
        <w:t xml:space="preserve">la Agencia Nacional de Contratación Pública – </w:t>
      </w:r>
      <w:r w:rsidRPr="00121EA1">
        <w:rPr>
          <w:rFonts w:ascii="Verdana" w:eastAsia="Calibri" w:hAnsi="Verdana" w:cs="Times New Roman"/>
          <w:lang w:val="es-ES"/>
        </w:rPr>
        <w:t>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738A83A1" w14:textId="77777777" w:rsidR="00AF0E44" w:rsidRPr="00121EA1" w:rsidRDefault="00AF0E44" w:rsidP="00AF0E44">
      <w:pPr>
        <w:spacing w:after="0" w:line="276" w:lineRule="auto"/>
        <w:ind w:firstLine="708"/>
        <w:jc w:val="both"/>
        <w:rPr>
          <w:rFonts w:ascii="Verdana" w:eastAsia="Calibri" w:hAnsi="Verdana" w:cs="Times New Roman"/>
          <w:lang w:val="es-ES"/>
        </w:rPr>
      </w:pPr>
      <w:r w:rsidRPr="00121EA1">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23E8BF69" w14:textId="77777777" w:rsidR="00AF0E44" w:rsidRPr="00121EA1" w:rsidRDefault="00AF0E44" w:rsidP="00E21910">
      <w:pPr>
        <w:spacing w:after="0" w:line="276" w:lineRule="auto"/>
        <w:rPr>
          <w:rFonts w:ascii="Verdana" w:eastAsia="Calibri" w:hAnsi="Verdana" w:cs="Times New Roman"/>
          <w:lang w:val="es-ES"/>
        </w:rPr>
      </w:pPr>
    </w:p>
    <w:p w14:paraId="3303E5CE" w14:textId="77777777" w:rsidR="00AF0E44" w:rsidRPr="00121EA1" w:rsidRDefault="00AF0E44" w:rsidP="00E21910">
      <w:pPr>
        <w:numPr>
          <w:ilvl w:val="0"/>
          <w:numId w:val="16"/>
        </w:numPr>
        <w:spacing w:after="0" w:line="276" w:lineRule="auto"/>
        <w:rPr>
          <w:rFonts w:ascii="Verdana" w:eastAsia="Calibri" w:hAnsi="Verdana" w:cs="Times New Roman"/>
          <w:b/>
          <w:bCs/>
          <w:lang w:val="es-ES"/>
        </w:rPr>
      </w:pPr>
      <w:r w:rsidRPr="00121EA1">
        <w:rPr>
          <w:rFonts w:ascii="Verdana" w:eastAsia="Calibri" w:hAnsi="Verdana" w:cs="Times New Roman"/>
          <w:b/>
          <w:bCs/>
          <w:lang w:val="es-ES"/>
        </w:rPr>
        <w:t>Problema planteado:</w:t>
      </w:r>
    </w:p>
    <w:p w14:paraId="3793CE54" w14:textId="77777777" w:rsidR="00AF0E44" w:rsidRPr="00121EA1" w:rsidRDefault="00AF0E44" w:rsidP="00E21910">
      <w:pPr>
        <w:spacing w:after="0" w:line="276" w:lineRule="auto"/>
        <w:rPr>
          <w:rFonts w:ascii="Verdana" w:eastAsia="Calibri" w:hAnsi="Verdana" w:cs="Times New Roman"/>
        </w:rPr>
      </w:pPr>
    </w:p>
    <w:p w14:paraId="3C5F32B9" w14:textId="4BA1D399" w:rsidR="00AF0E44" w:rsidRPr="00770AC9" w:rsidRDefault="00AF0E44" w:rsidP="000B1ACB">
      <w:pPr>
        <w:spacing w:after="0" w:line="276" w:lineRule="auto"/>
        <w:jc w:val="both"/>
        <w:rPr>
          <w:rFonts w:ascii="Verdana" w:eastAsia="Calibri" w:hAnsi="Verdana" w:cs="Times New Roman"/>
        </w:rPr>
      </w:pPr>
      <w:r w:rsidRPr="00770AC9">
        <w:rPr>
          <w:rFonts w:ascii="Verdana" w:eastAsia="Calibri" w:hAnsi="Verdana" w:cs="Times New Roman"/>
        </w:rPr>
        <w:t xml:space="preserve">De acuerdo con el contenido de su solicitud, esta Agencia procede a resolver el siguiente problema jurídico: </w:t>
      </w:r>
      <w:r w:rsidR="00930FA2" w:rsidRPr="00770AC9">
        <w:rPr>
          <w:rFonts w:ascii="Verdana" w:eastAsia="Calibri" w:hAnsi="Verdana" w:cs="Times New Roman"/>
        </w:rPr>
        <w:t>¿</w:t>
      </w:r>
      <w:r w:rsidR="00220057" w:rsidRPr="00DA2B00">
        <w:rPr>
          <w:rFonts w:ascii="Verdana" w:eastAsia="Calibri" w:hAnsi="Verdana" w:cs="Times New Roman"/>
        </w:rPr>
        <w:t>CAXDAC</w:t>
      </w:r>
      <w:r w:rsidR="00220057" w:rsidRPr="00770AC9">
        <w:rPr>
          <w:rFonts w:ascii="Verdana" w:eastAsia="Calibri" w:hAnsi="Verdana" w:cs="Times New Roman"/>
        </w:rPr>
        <w:t xml:space="preserve"> se</w:t>
      </w:r>
      <w:r w:rsidR="00220057" w:rsidRPr="00DA2B00">
        <w:rPr>
          <w:rFonts w:ascii="Verdana" w:eastAsia="Calibri" w:hAnsi="Verdana" w:cs="Times New Roman"/>
        </w:rPr>
        <w:t xml:space="preserve"> </w:t>
      </w:r>
      <w:r w:rsidR="00DA2B00" w:rsidRPr="00DA2B00">
        <w:rPr>
          <w:rFonts w:ascii="Verdana" w:eastAsia="Calibri" w:hAnsi="Verdana" w:cs="Times New Roman"/>
        </w:rPr>
        <w:t>encuentra</w:t>
      </w:r>
      <w:r w:rsidR="00220057">
        <w:rPr>
          <w:rFonts w:ascii="Verdana" w:eastAsia="Calibri" w:hAnsi="Verdana" w:cs="Times New Roman"/>
        </w:rPr>
        <w:t xml:space="preserve"> en la obligación de</w:t>
      </w:r>
      <w:r w:rsidR="00930FA2">
        <w:rPr>
          <w:rFonts w:ascii="Verdana" w:eastAsia="Calibri" w:hAnsi="Verdana" w:cs="Times New Roman"/>
        </w:rPr>
        <w:t xml:space="preserve"> </w:t>
      </w:r>
      <w:r w:rsidRPr="00770AC9">
        <w:rPr>
          <w:rFonts w:ascii="Verdana" w:eastAsia="Calibri" w:hAnsi="Verdana" w:cs="Times New Roman"/>
        </w:rPr>
        <w:t xml:space="preserve">publicar </w:t>
      </w:r>
      <w:r w:rsidR="006E2565">
        <w:rPr>
          <w:rFonts w:ascii="Verdana" w:eastAsia="Calibri" w:hAnsi="Verdana" w:cs="Times New Roman"/>
        </w:rPr>
        <w:t>en</w:t>
      </w:r>
      <w:r w:rsidR="006E2565" w:rsidRPr="00770AC9">
        <w:rPr>
          <w:rFonts w:ascii="Verdana" w:eastAsia="Calibri" w:hAnsi="Verdana" w:cs="Times New Roman"/>
        </w:rPr>
        <w:t xml:space="preserve"> </w:t>
      </w:r>
      <w:r w:rsidRPr="00770AC9">
        <w:rPr>
          <w:rFonts w:ascii="Verdana" w:eastAsia="Calibri" w:hAnsi="Verdana" w:cs="Times New Roman"/>
        </w:rPr>
        <w:t>SECOP I</w:t>
      </w:r>
      <w:r w:rsidR="000365DC">
        <w:rPr>
          <w:rFonts w:ascii="Verdana" w:eastAsia="Calibri" w:hAnsi="Verdana" w:cs="Times New Roman"/>
        </w:rPr>
        <w:t xml:space="preserve"> y II todos los contratos que celebre</w:t>
      </w:r>
      <w:r w:rsidRPr="00770AC9">
        <w:rPr>
          <w:rFonts w:ascii="Verdana" w:eastAsia="Calibri" w:hAnsi="Verdana" w:cs="Times New Roman"/>
        </w:rPr>
        <w:t>?</w:t>
      </w:r>
      <w:r w:rsidR="006E2565">
        <w:rPr>
          <w:rFonts w:ascii="Verdana" w:eastAsia="Calibri" w:hAnsi="Verdana" w:cs="Times New Roman"/>
        </w:rPr>
        <w:t xml:space="preserve"> En otras palabras ¿Cuál es el alcance de </w:t>
      </w:r>
      <w:r w:rsidR="000B1ACB">
        <w:rPr>
          <w:rFonts w:ascii="Verdana" w:eastAsia="Calibri" w:hAnsi="Verdana" w:cs="Times New Roman"/>
        </w:rPr>
        <w:t>dicha</w:t>
      </w:r>
      <w:r w:rsidR="006E2565">
        <w:rPr>
          <w:rFonts w:ascii="Verdana" w:eastAsia="Calibri" w:hAnsi="Verdana" w:cs="Times New Roman"/>
        </w:rPr>
        <w:t xml:space="preserve"> obligación?</w:t>
      </w:r>
    </w:p>
    <w:p w14:paraId="2B29C49E" w14:textId="77777777" w:rsidR="00AF0E44" w:rsidRPr="00121EA1" w:rsidRDefault="00AF0E44" w:rsidP="00E21910">
      <w:pPr>
        <w:spacing w:after="0" w:line="276" w:lineRule="auto"/>
        <w:rPr>
          <w:rFonts w:ascii="Verdana" w:eastAsia="Calibri" w:hAnsi="Verdana" w:cs="Times New Roman"/>
        </w:rPr>
      </w:pPr>
    </w:p>
    <w:p w14:paraId="7C6899F7" w14:textId="77777777" w:rsidR="00AF0E44" w:rsidRPr="00121EA1" w:rsidRDefault="00AF0E44" w:rsidP="00E21910">
      <w:pPr>
        <w:numPr>
          <w:ilvl w:val="0"/>
          <w:numId w:val="16"/>
        </w:numPr>
        <w:spacing w:after="0" w:line="276" w:lineRule="auto"/>
        <w:rPr>
          <w:rFonts w:ascii="Verdana" w:eastAsia="Calibri" w:hAnsi="Verdana" w:cs="Times New Roman"/>
          <w:b/>
          <w:bCs/>
          <w:lang w:val="es-ES"/>
        </w:rPr>
      </w:pPr>
      <w:r w:rsidRPr="00121EA1">
        <w:rPr>
          <w:rFonts w:ascii="Verdana" w:eastAsia="Calibri" w:hAnsi="Verdana" w:cs="Times New Roman"/>
          <w:b/>
          <w:bCs/>
          <w:lang w:val="es-ES"/>
        </w:rPr>
        <w:t>Respuesta:</w:t>
      </w:r>
    </w:p>
    <w:p w14:paraId="53E79E40" w14:textId="77777777" w:rsidR="00AF0E44" w:rsidRDefault="00AF0E44" w:rsidP="00E21910">
      <w:pPr>
        <w:spacing w:after="0" w:line="276" w:lineRule="auto"/>
        <w:jc w:val="both"/>
        <w:rPr>
          <w:rFonts w:ascii="Verdana" w:hAnsi="Verdana" w:cs="Arial"/>
          <w:bCs/>
          <w:lang w:val="es-ES" w:eastAsia="es-ES" w:bidi="es-E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F0E44" w:rsidRPr="00C176B5" w14:paraId="23F27262" w14:textId="77777777" w:rsidTr="00F37389">
        <w:trPr>
          <w:trHeight w:val="870"/>
          <w:jc w:val="center"/>
        </w:trPr>
        <w:tc>
          <w:tcPr>
            <w:tcW w:w="8647" w:type="dxa"/>
          </w:tcPr>
          <w:p w14:paraId="37E2AED1" w14:textId="77777777" w:rsidR="006C7C62" w:rsidRPr="00E900A0" w:rsidRDefault="006C7C62" w:rsidP="006C7C62">
            <w:pPr>
              <w:spacing w:after="120" w:line="276" w:lineRule="auto"/>
              <w:jc w:val="both"/>
              <w:rPr>
                <w:rFonts w:ascii="Verdana" w:eastAsia="Calibri" w:hAnsi="Verdana" w:cs="Arial"/>
                <w:color w:val="000000" w:themeColor="text1"/>
              </w:rPr>
            </w:pPr>
            <w:r>
              <w:rPr>
                <w:rFonts w:ascii="Verdana" w:eastAsia="Calibri" w:hAnsi="Verdana" w:cs="Arial"/>
                <w:shd w:val="clear" w:color="auto" w:fill="FFFFFF"/>
                <w:lang w:val="es-ES"/>
              </w:rPr>
              <w:t>En relación con el problema jurídico</w:t>
            </w:r>
            <w:r w:rsidRPr="00E900A0">
              <w:rPr>
                <w:rFonts w:ascii="Verdana" w:eastAsia="Calibri" w:hAnsi="Verdana" w:cs="Arial"/>
                <w:lang w:val="es-ES" w:eastAsia="es-ES"/>
              </w:rPr>
              <w:t xml:space="preserve">, </w:t>
            </w:r>
            <w:r>
              <w:rPr>
                <w:rFonts w:ascii="Verdana" w:eastAsia="Calibri" w:hAnsi="Verdana" w:cs="Arial"/>
                <w:lang w:val="es-ES" w:eastAsia="es-ES"/>
              </w:rPr>
              <w:t xml:space="preserve">debe señalarse que, </w:t>
            </w:r>
            <w:r w:rsidRPr="00E900A0">
              <w:rPr>
                <w:rFonts w:ascii="Verdana" w:eastAsia="Calibri" w:hAnsi="Verdana" w:cs="Arial"/>
                <w:lang w:val="es-ES" w:eastAsia="es-ES"/>
              </w:rPr>
              <w:t>tratándose del deber de publicación de las entidades exceptuadas del Estatuto General de Contratación de la Administración Pública</w:t>
            </w:r>
            <w:r>
              <w:rPr>
                <w:rFonts w:ascii="Verdana" w:eastAsia="Calibri" w:hAnsi="Verdana" w:cs="Arial"/>
                <w:lang w:val="es-ES" w:eastAsia="es-ES"/>
              </w:rPr>
              <w:t xml:space="preserve"> </w:t>
            </w:r>
            <w:r w:rsidRPr="00E900A0">
              <w:rPr>
                <w:rFonts w:ascii="Verdana" w:eastAsia="Calibri" w:hAnsi="Verdana" w:cs="Arial"/>
                <w:lang w:val="es-ES" w:eastAsia="es-ES"/>
              </w:rPr>
              <w:t xml:space="preserve">resulta particularmente relevante lo dispuesto en el artículo 53 de la Ley 2195 de 2022, </w:t>
            </w:r>
            <w:r w:rsidRPr="00E900A0">
              <w:rPr>
                <w:rFonts w:ascii="Verdana" w:hAnsi="Verdana" w:cs="Arial"/>
                <w:bCs/>
              </w:rPr>
              <w:t xml:space="preserve">mediante el cual se adiciona el artículo 13 de la Ley 1150 de 2007. La referida disposición les asigna la obligación a las entidades que por disposición legal cuenten con un régimen contractual excepcional al del Estatuto General de Contratación de la Administración Pública de publicar los documentos relacionados con su </w:t>
            </w:r>
            <w:r w:rsidRPr="00E900A0">
              <w:rPr>
                <w:rFonts w:ascii="Verdana" w:hAnsi="Verdana" w:cs="Arial"/>
                <w:bCs/>
              </w:rPr>
              <w:lastRenderedPageBreak/>
              <w:t>actividad contractual en el Sistema Electrónico para la Contratación Pública –SECOP II- o la plataforma transaccional que haga sus veces</w:t>
            </w:r>
            <w:r w:rsidRPr="00E900A0">
              <w:rPr>
                <w:rFonts w:ascii="Verdana" w:eastAsia="Calibri" w:hAnsi="Verdana" w:cs="Arial"/>
                <w:color w:val="000000" w:themeColor="text1"/>
              </w:rPr>
              <w:t xml:space="preserve">, sin incluir ninguna excepción relacionada con la naturaleza u objeto contractual. </w:t>
            </w:r>
          </w:p>
          <w:p w14:paraId="0E5956AE" w14:textId="77777777" w:rsidR="006C7C62" w:rsidRDefault="006C7C62" w:rsidP="006C7C62">
            <w:pPr>
              <w:spacing w:after="120" w:line="276" w:lineRule="auto"/>
              <w:ind w:firstLine="709"/>
              <w:jc w:val="both"/>
              <w:rPr>
                <w:rFonts w:ascii="Verdana" w:eastAsia="Calibri" w:hAnsi="Verdana" w:cs="Arial"/>
                <w:shd w:val="clear" w:color="auto" w:fill="FFFFFF"/>
                <w:lang w:val="es-ES"/>
              </w:rPr>
            </w:pPr>
            <w:r>
              <w:rPr>
                <w:rFonts w:ascii="Verdana" w:eastAsia="Calibri" w:hAnsi="Verdana" w:cs="Arial"/>
                <w:lang w:val="es-ES"/>
              </w:rPr>
              <w:t>L</w:t>
            </w:r>
            <w:r w:rsidRPr="00E900A0">
              <w:rPr>
                <w:rFonts w:ascii="Verdana" w:eastAsia="Calibri" w:hAnsi="Verdana" w:cs="Arial"/>
                <w:lang w:val="es-ES"/>
              </w:rPr>
              <w:t>a contratación a la que se refiere el artículo 53 de la Ley 2195 de 2024</w:t>
            </w:r>
            <w:r>
              <w:rPr>
                <w:rFonts w:ascii="Verdana" w:eastAsia="Calibri" w:hAnsi="Verdana" w:cs="Arial"/>
                <w:lang w:val="es-ES"/>
              </w:rPr>
              <w:t xml:space="preserve"> </w:t>
            </w:r>
            <w:r w:rsidRPr="00E900A0">
              <w:rPr>
                <w:rFonts w:ascii="Verdana" w:eastAsia="Calibri" w:hAnsi="Verdana" w:cs="Arial"/>
                <w:lang w:val="es-ES"/>
              </w:rPr>
              <w:t xml:space="preserve">es aquella realizada con cargo a recursos públicos, cuya información es la que debe publicarse en el SECOP, acorde con la interpretación sistemática que permite armonizar la referida norma con todo el contexto normativo que establece que en dicha plataforma se debe publicar sólo la información relativa a la actividad contractual financiada dineros públicos. </w:t>
            </w:r>
            <w:r w:rsidRPr="00E900A0">
              <w:rPr>
                <w:rFonts w:ascii="Verdana" w:eastAsia="Calibri" w:hAnsi="Verdana" w:cs="Arial"/>
                <w:shd w:val="clear" w:color="auto" w:fill="FFFFFF"/>
              </w:rPr>
              <w:t xml:space="preserve">En consideración a esto, resulta claro que la obligatoriedad de publicar la actividad contractual establecida en el artículo 13 de la Ley 1150 de 2007, adicionado por el artículo 53 de la Ley 2195 de 2022, se refiere a la contratación financiada con recursos públicos, deviniendo en potestativa la publicación de la contratación </w:t>
            </w:r>
            <w:r w:rsidRPr="00E900A0">
              <w:rPr>
                <w:rFonts w:ascii="Verdana" w:eastAsia="Calibri" w:hAnsi="Verdana" w:cs="Arial"/>
                <w:shd w:val="clear" w:color="auto" w:fill="FFFFFF"/>
                <w:lang w:val="es-ES"/>
              </w:rPr>
              <w:t xml:space="preserve">desarrollada con otro tipo de recursos. </w:t>
            </w:r>
          </w:p>
          <w:p w14:paraId="145F0105" w14:textId="77777777" w:rsidR="006C7C62" w:rsidRPr="00E900A0" w:rsidRDefault="006C7C62" w:rsidP="006C7C62">
            <w:pPr>
              <w:spacing w:after="120" w:line="276" w:lineRule="auto"/>
              <w:ind w:firstLine="709"/>
              <w:jc w:val="both"/>
              <w:rPr>
                <w:rFonts w:ascii="Verdana" w:eastAsia="Calibri" w:hAnsi="Verdana" w:cs="Arial"/>
                <w:shd w:val="clear" w:color="auto" w:fill="FFFFFF"/>
                <w:lang w:val="es-ES"/>
              </w:rPr>
            </w:pPr>
            <w:r>
              <w:rPr>
                <w:rFonts w:ascii="Verdana" w:eastAsia="Calibri" w:hAnsi="Verdana" w:cs="Arial"/>
                <w:shd w:val="clear" w:color="auto" w:fill="FFFFFF"/>
                <w:lang w:val="es-ES"/>
              </w:rPr>
              <w:t>En ese mismo sentido, l</w:t>
            </w:r>
            <w:r w:rsidRPr="00E900A0">
              <w:rPr>
                <w:rFonts w:ascii="Verdana" w:eastAsia="Calibri" w:hAnsi="Verdana" w:cs="Arial"/>
                <w:shd w:val="clear" w:color="auto" w:fill="FFFFFF"/>
                <w:lang w:val="es-ES"/>
              </w:rPr>
              <w:t xml:space="preserve">a </w:t>
            </w:r>
            <w:r w:rsidRPr="00E900A0">
              <w:rPr>
                <w:rFonts w:ascii="Verdana" w:eastAsia="Calibri" w:hAnsi="Verdana" w:cs="Arial"/>
                <w:lang w:val="es-ES"/>
              </w:rPr>
              <w:t>Circular 002 del 23 de agosto de 2024, expedida por la Agencia Nacional de Contratación Pública – Colombia Compra Eficiente, a través de la cual se dictan lineamientos para la aplicación del artículo 53 de la Ley 2195 de 2022, en el literal d) –denominado “Procedencia de los recursos como punto de partida para la publicación en el SECOP II”–, señala:</w:t>
            </w:r>
            <w:r>
              <w:rPr>
                <w:rFonts w:ascii="Verdana" w:eastAsia="Calibri" w:hAnsi="Verdana" w:cs="Arial"/>
                <w:lang w:val="es-ES"/>
              </w:rPr>
              <w:t xml:space="preserve"> </w:t>
            </w:r>
            <w:r w:rsidRPr="0044457E">
              <w:rPr>
                <w:rFonts w:ascii="Verdana" w:eastAsia="Calibri" w:hAnsi="Verdana" w:cs="Arial"/>
                <w:color w:val="000000"/>
              </w:rPr>
              <w:t>“La obligación de publicar la actividad contractual siempre ha estado encaminada a que se publique aquella información relacionada con la ejecución de dineros públicos. Por tal razón, puede concluirse, a la luz de las disposiciones que regulan la materia, que el artículo 53 –al ampliar la obligación de las entidades con regímenes especiales de publicar su actividad contractual en el SECOP II– se refiere a aquella actividad contractual cuya fuente de financiación provenga de recursos públicos.</w:t>
            </w:r>
          </w:p>
          <w:p w14:paraId="1BB6CBF3" w14:textId="77777777" w:rsidR="006C7C62" w:rsidRPr="00E900A0" w:rsidRDefault="006C7C62" w:rsidP="006C7C62">
            <w:pPr>
              <w:spacing w:after="120" w:line="276" w:lineRule="auto"/>
              <w:ind w:firstLine="709"/>
              <w:jc w:val="both"/>
              <w:rPr>
                <w:rFonts w:ascii="Verdana" w:eastAsia="Calibri" w:hAnsi="Verdana" w:cs="Arial"/>
                <w:color w:val="000000" w:themeColor="text1"/>
              </w:rPr>
            </w:pPr>
            <w:r w:rsidRPr="00E900A0">
              <w:rPr>
                <w:rFonts w:ascii="Verdana" w:eastAsia="Calibri" w:hAnsi="Verdana" w:cs="Arial"/>
                <w:color w:val="000000" w:themeColor="text1"/>
              </w:rPr>
              <w:t>Por lo tanto, 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 Adicionalmente se aclara, que el cumplimiento del deber de publicación de la documentación contractual debe armonizarse con las normas aplicables al tipo de información que estas contienen</w:t>
            </w:r>
            <w:r w:rsidRPr="00E900A0">
              <w:rPr>
                <w:rStyle w:val="Refdenotaalpie"/>
                <w:rFonts w:ascii="Verdana" w:eastAsia="Calibri" w:hAnsi="Verdana" w:cs="Arial"/>
                <w:color w:val="000000" w:themeColor="text1"/>
              </w:rPr>
              <w:footnoteReference w:id="1"/>
            </w:r>
            <w:r w:rsidRPr="00E900A0">
              <w:rPr>
                <w:rFonts w:ascii="Verdana" w:eastAsia="Calibri" w:hAnsi="Verdana" w:cs="Arial"/>
                <w:color w:val="000000" w:themeColor="text1"/>
              </w:rPr>
              <w:t xml:space="preserve">. Lo anterior </w:t>
            </w:r>
            <w:r w:rsidRPr="00E900A0">
              <w:rPr>
                <w:rFonts w:ascii="Verdana" w:eastAsia="Calibri" w:hAnsi="Verdana" w:cs="Arial"/>
                <w:color w:val="000000" w:themeColor="text1"/>
              </w:rPr>
              <w:lastRenderedPageBreak/>
              <w:t>significa que, respecto de datos sensibles, información sometida a reserva o de la cual proceda un tratamiento especial que impida su publicidad, las entidades deberán proceder de conformidad con el tratamiento que impongan tales normas.</w:t>
            </w:r>
          </w:p>
          <w:p w14:paraId="4EBAE66B" w14:textId="77777777" w:rsidR="006C7C62" w:rsidRPr="00E900A0" w:rsidRDefault="006C7C62" w:rsidP="006C7C62">
            <w:pPr>
              <w:spacing w:after="120" w:line="276" w:lineRule="auto"/>
              <w:ind w:firstLine="709"/>
              <w:jc w:val="both"/>
              <w:rPr>
                <w:rFonts w:ascii="Verdana" w:eastAsia="Aptos" w:hAnsi="Verdana" w:cs="Arial"/>
                <w:shd w:val="clear" w:color="auto" w:fill="FFFFFF"/>
              </w:rPr>
            </w:pPr>
            <w:r w:rsidRPr="00E900A0">
              <w:rPr>
                <w:rFonts w:ascii="Verdana" w:eastAsia="Calibri" w:hAnsi="Verdana" w:cs="Arial"/>
                <w:color w:val="000000" w:themeColor="text1"/>
              </w:rPr>
              <w:t>Finalmente, resulta muy importante advertir y/o aclarar que la Agencia Nacional de Contratación Pública – Colombia Compra Eficiente, por vía consultiva, no puede definir un criterio universal y absoluto sobre la materia que se aborda, sino que brinda elementos hermenéuticos de carácter general para que los partícipes del sistema de compras y contratación pública adopten la decisión que corresponda, lo cual es acorde con el principio de juridicidad. Por lo que, e</w:t>
            </w:r>
            <w:r w:rsidRPr="00E900A0">
              <w:rPr>
                <w:rFonts w:ascii="Verdana" w:eastAsia="Aptos" w:hAnsi="Verdana" w:cs="Arial"/>
                <w:shd w:val="clear" w:color="auto" w:fill="FFFFFF"/>
              </w:rPr>
              <w:t xml:space="preserve">n todo caso, corresponde a cada entidad perteneciente al Estatuto General de Contratación dar cumplimiento al deber de publicación que les asiste en relación con su actividad contractual en cumplimiento del artículo 53 de la Ley 2195 de 2022. </w:t>
            </w:r>
          </w:p>
          <w:p w14:paraId="2C0A5883" w14:textId="1B97966F" w:rsidR="00AF0E44" w:rsidRPr="00C176B5" w:rsidRDefault="006C7C62" w:rsidP="00F37389">
            <w:pPr>
              <w:spacing w:line="276" w:lineRule="auto"/>
              <w:ind w:firstLine="709"/>
              <w:jc w:val="both"/>
              <w:rPr>
                <w:rFonts w:ascii="Verdana" w:eastAsia="Calibri" w:hAnsi="Verdana" w:cs="Arial"/>
                <w:lang w:eastAsia="es-ES_tradnl"/>
              </w:rPr>
            </w:pPr>
            <w:r w:rsidRPr="00E900A0">
              <w:rPr>
                <w:rFonts w:ascii="Verdana" w:eastAsia="Calibri" w:hAnsi="Verdana" w:cs="Arial"/>
              </w:rPr>
              <w:t>E</w:t>
            </w:r>
            <w:r w:rsidRPr="00E900A0">
              <w:rPr>
                <w:rFonts w:ascii="Verdana" w:eastAsia="Calibri" w:hAnsi="Verdana" w:cs="Arial"/>
                <w:lang w:val="es-ES"/>
              </w:rPr>
              <w:t>n concordancia con lo anterior, es importante aclarar que, teniendo</w:t>
            </w:r>
            <w:r w:rsidRPr="0044221C">
              <w:rPr>
                <w:rFonts w:ascii="Verdana" w:hAnsi="Verdana"/>
              </w:rPr>
              <w:t xml:space="preserve"> </w:t>
            </w:r>
            <w:r w:rsidRPr="00E900A0">
              <w:rPr>
                <w:rFonts w:ascii="Verdana" w:eastAsia="Calibri" w:hAnsi="Verdana" w:cs="Arial"/>
                <w:lang w:val="es-ES"/>
              </w:rPr>
              <w:t xml:space="preserve">en cuenta que esta entidad solo tiene competencia para responder solicitudes sobre la aplicación de normas de carácter general en materia de compras y contratación pública, </w:t>
            </w:r>
            <w:r w:rsidRPr="00E900A0">
              <w:rPr>
                <w:rFonts w:ascii="Verdana" w:eastAsia="Calibri" w:hAnsi="Verdana" w:cs="Arial"/>
                <w:i/>
                <w:lang w:val="es-ES"/>
              </w:rPr>
              <w:t>NO es la idónea para establecer la validez de la situación descrita en su consulta.</w:t>
            </w:r>
            <w:r w:rsidR="0022489C" w:rsidRPr="00E21910">
              <w:rPr>
                <w:rFonts w:ascii="Verdana" w:eastAsia="Calibri" w:hAnsi="Verdana" w:cs="Arial"/>
                <w:lang w:val="es-ES"/>
              </w:rPr>
              <w:t xml:space="preserve"> </w:t>
            </w:r>
            <w:r w:rsidRPr="00E900A0">
              <w:rPr>
                <w:rFonts w:ascii="Verdana" w:eastAsia="Calibri" w:hAnsi="Verdana" w:cs="Arial"/>
                <w:lang w:val="es-ES"/>
              </w:rPr>
              <w:t>Lo anterior</w:t>
            </w:r>
            <w:r w:rsidRPr="00E900A0">
              <w:rPr>
                <w:rFonts w:ascii="Verdana" w:eastAsia="Calibri" w:hAnsi="Verdana" w:cs="Arial"/>
                <w:color w:val="000000" w:themeColor="text1"/>
              </w:rPr>
              <w:t xml:space="preserve"> debido a que la competencia consultiva se fija con límites claros, con el objeto de evitar que se actúe como una instancia de validación de las actuaciones de las entidades sujetas a la Ley 80 de 1993</w:t>
            </w:r>
            <w:r w:rsidRPr="00CF54DC">
              <w:rPr>
                <w:rFonts w:ascii="Verdana" w:eastAsia="Calibri" w:hAnsi="Verdana" w:cs="Arial"/>
                <w:color w:val="000000" w:themeColor="text1"/>
              </w:rPr>
              <w:t xml:space="preserve"> o de los demás participantes en la contratación pública, lo cual corresponde a la competencia de los entes de control y los jueces de la República.</w:t>
            </w:r>
          </w:p>
        </w:tc>
      </w:tr>
    </w:tbl>
    <w:p w14:paraId="271AD672" w14:textId="77777777" w:rsidR="00AF0E44" w:rsidRPr="00C176B5" w:rsidRDefault="00AF0E44" w:rsidP="007E5987">
      <w:pPr>
        <w:spacing w:after="0" w:line="276" w:lineRule="auto"/>
        <w:jc w:val="both"/>
        <w:rPr>
          <w:rFonts w:ascii="Verdana" w:eastAsia="Calibri" w:hAnsi="Verdana" w:cs="Arial"/>
          <w:bCs/>
          <w:color w:val="000000" w:themeColor="text1"/>
        </w:rPr>
      </w:pPr>
    </w:p>
    <w:p w14:paraId="4BA199C5" w14:textId="77777777" w:rsidR="00AF0E44" w:rsidRPr="003F4BAF" w:rsidRDefault="00AF0E44" w:rsidP="007E5987">
      <w:pPr>
        <w:numPr>
          <w:ilvl w:val="0"/>
          <w:numId w:val="16"/>
        </w:numPr>
        <w:spacing w:after="0" w:line="276" w:lineRule="auto"/>
        <w:ind w:left="0" w:firstLine="0"/>
        <w:rPr>
          <w:rFonts w:ascii="Verdana" w:eastAsia="Calibri" w:hAnsi="Verdana" w:cs="Times New Roman"/>
          <w:b/>
          <w:bCs/>
          <w:lang w:val="es-ES"/>
        </w:rPr>
      </w:pPr>
      <w:r w:rsidRPr="003F4BAF">
        <w:rPr>
          <w:rFonts w:ascii="Verdana" w:eastAsia="Calibri" w:hAnsi="Verdana" w:cs="Times New Roman"/>
          <w:b/>
          <w:bCs/>
          <w:lang w:val="es-ES"/>
        </w:rPr>
        <w:t>Razones de la respuesta:</w:t>
      </w:r>
    </w:p>
    <w:p w14:paraId="119509EA" w14:textId="77777777" w:rsidR="00AF0E44" w:rsidRPr="003F4BAF" w:rsidRDefault="00AF0E44" w:rsidP="007E5987">
      <w:pPr>
        <w:spacing w:after="0" w:line="276" w:lineRule="auto"/>
        <w:rPr>
          <w:rFonts w:ascii="Verdana" w:eastAsia="Calibri" w:hAnsi="Verdana" w:cs="Times New Roman"/>
          <w:b/>
          <w:bCs/>
          <w:lang w:val="es-ES"/>
        </w:rPr>
      </w:pPr>
    </w:p>
    <w:p w14:paraId="1DAA0657" w14:textId="77777777" w:rsidR="00AF0E44" w:rsidRPr="003F4BAF" w:rsidRDefault="00AF0E44" w:rsidP="007E5987">
      <w:pPr>
        <w:spacing w:after="0" w:line="276" w:lineRule="auto"/>
        <w:jc w:val="both"/>
        <w:rPr>
          <w:rFonts w:ascii="Verdana" w:eastAsia="Calibri" w:hAnsi="Verdana" w:cs="Arial"/>
          <w:lang w:val="es-ES"/>
        </w:rPr>
      </w:pPr>
      <w:r w:rsidRPr="003F4BAF">
        <w:rPr>
          <w:rFonts w:ascii="Verdana" w:eastAsia="Calibri" w:hAnsi="Verdana" w:cs="Arial"/>
          <w:lang w:val="es-ES"/>
        </w:rPr>
        <w:t xml:space="preserve">Lo anterior se sustenta en las siguientes consideraciones: </w:t>
      </w:r>
    </w:p>
    <w:p w14:paraId="1EC1F127" w14:textId="77777777" w:rsidR="00AF0E44" w:rsidRPr="0041694B" w:rsidRDefault="00AF0E44" w:rsidP="007E5987">
      <w:pPr>
        <w:spacing w:after="0" w:line="276" w:lineRule="auto"/>
        <w:jc w:val="both"/>
        <w:rPr>
          <w:rFonts w:ascii="Verdana" w:hAnsi="Verdana" w:cs="Arial"/>
          <w:bCs/>
          <w:lang w:val="es-ES" w:eastAsia="es-ES" w:bidi="es-ES"/>
        </w:rPr>
      </w:pPr>
    </w:p>
    <w:p w14:paraId="114D2BD4" w14:textId="77777777" w:rsidR="00AF0E44" w:rsidRDefault="00AF0E44" w:rsidP="00E21910">
      <w:pPr>
        <w:spacing w:after="120" w:line="276" w:lineRule="auto"/>
        <w:jc w:val="both"/>
        <w:rPr>
          <w:rFonts w:ascii="Verdana" w:eastAsia="Times New Roman" w:hAnsi="Verdana" w:cs="Arial"/>
          <w:lang w:val="es-ES" w:eastAsia="es-ES"/>
          <w14:ligatures w14:val="standardContextual"/>
        </w:rPr>
      </w:pPr>
      <w:r w:rsidRPr="1BEC6B70">
        <w:rPr>
          <w:rFonts w:ascii="Verdana" w:eastAsia="Times New Roman" w:hAnsi="Verdana" w:cs="Arial"/>
          <w:lang w:val="es-ES" w:eastAsia="es-ES"/>
          <w14:ligatures w14:val="standardContextual"/>
        </w:rPr>
        <w:t>i</w:t>
      </w:r>
      <w:r>
        <w:rPr>
          <w:rFonts w:ascii="Verdana" w:eastAsia="Times New Roman" w:hAnsi="Verdana" w:cs="Arial"/>
          <w:lang w:val="es-ES" w:eastAsia="es-ES"/>
          <w14:ligatures w14:val="standardContextual"/>
        </w:rPr>
        <w:t>.</w:t>
      </w:r>
      <w:r w:rsidRPr="1BEC6B70">
        <w:rPr>
          <w:rFonts w:ascii="Verdana" w:eastAsia="Times New Roman" w:hAnsi="Verdana" w:cs="Arial"/>
          <w:lang w:val="es-ES" w:eastAsia="es-ES"/>
          <w14:ligatures w14:val="standardContextual"/>
        </w:rPr>
        <w:t xml:space="preserve"> Uno de los postulados más importantes de un Estado social y democrático de derecho es el principio de </w:t>
      </w:r>
      <w:r w:rsidRPr="1BEC6B70">
        <w:rPr>
          <w:rFonts w:ascii="Verdana" w:eastAsia="Times New Roman" w:hAnsi="Verdana" w:cs="Arial"/>
          <w:i/>
          <w:iCs/>
          <w:lang w:val="es-ES" w:eastAsia="es-ES"/>
          <w14:ligatures w14:val="standardContextual"/>
        </w:rPr>
        <w:t>publicidad</w:t>
      </w:r>
      <w:r w:rsidRPr="1BEC6B70">
        <w:rPr>
          <w:rFonts w:ascii="Verdana" w:eastAsia="Times New Roman" w:hAnsi="Verdana" w:cs="Arial"/>
          <w:lang w:val="es-ES" w:eastAsia="es-ES"/>
          <w14:ligatures w14:val="standardContextual"/>
        </w:rPr>
        <w:t>,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w:t>
      </w:r>
      <w:r w:rsidRPr="1BEC6B70">
        <w:rPr>
          <w:rFonts w:ascii="Verdana" w:eastAsia="Times New Roman" w:hAnsi="Verdana" w:cs="Arial"/>
          <w:vertAlign w:val="superscript"/>
          <w:lang w:val="es-ES" w:eastAsia="es-ES"/>
          <w14:ligatures w14:val="standardContextual"/>
        </w:rPr>
        <w:footnoteReference w:id="2"/>
      </w:r>
      <w:r w:rsidRPr="1BEC6B70">
        <w:rPr>
          <w:rFonts w:ascii="Verdana" w:eastAsia="Times New Roman" w:hAnsi="Verdana" w:cs="Arial"/>
          <w:lang w:val="es-ES" w:eastAsia="es-ES"/>
          <w14:ligatures w14:val="standardContextual"/>
        </w:rPr>
        <w:t xml:space="preserve">.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en los Estados de derecho se pregonan la publicidad de las actuaciones de los poderes públicos. </w:t>
      </w:r>
    </w:p>
    <w:p w14:paraId="58972281" w14:textId="77777777" w:rsidR="00AF0E44" w:rsidRPr="002A3450" w:rsidRDefault="00AF0E44" w:rsidP="00E21910">
      <w:pPr>
        <w:spacing w:after="120" w:line="276" w:lineRule="auto"/>
        <w:ind w:firstLine="708"/>
        <w:jc w:val="both"/>
        <w:rPr>
          <w:rFonts w:ascii="Verdana" w:eastAsia="Times New Roman" w:hAnsi="Verdana" w:cs="Arial"/>
          <w:lang w:val="es-ES" w:eastAsia="es-ES"/>
          <w14:ligatures w14:val="standardContextual"/>
        </w:rPr>
      </w:pPr>
      <w:r w:rsidRPr="1BEC6B70">
        <w:rPr>
          <w:rFonts w:ascii="Verdana" w:eastAsia="Times New Roman" w:hAnsi="Verdana" w:cs="Arial"/>
          <w:lang w:val="es-ES" w:eastAsia="es-ES"/>
          <w14:ligatures w14:val="standardContextual"/>
        </w:rPr>
        <w:t>Como evidencia de ello,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w:t>
      </w:r>
      <w:r>
        <w:rPr>
          <w:rFonts w:ascii="Verdana" w:eastAsia="Times New Roman" w:hAnsi="Verdana" w:cs="Arial"/>
          <w:lang w:val="es-ES" w:eastAsia="es-ES"/>
          <w14:ligatures w14:val="standardContextual"/>
        </w:rPr>
        <w:t>,</w:t>
      </w:r>
      <w:r w:rsidRPr="1BEC6B70">
        <w:rPr>
          <w:rFonts w:ascii="Verdana" w:eastAsia="Times New Roman" w:hAnsi="Verdana" w:cs="Arial"/>
          <w:lang w:val="es-ES" w:eastAsia="es-ES"/>
          <w14:ligatures w14:val="standardContextual"/>
        </w:rPr>
        <w:t xml:space="preserve"> y el 74, que consagra la garantía de acceso a los documentos públicos que no gocen de reserva –y esta, además, es excepcional, pues solo procede si existe causal constitucional o legal expresa–. </w:t>
      </w:r>
    </w:p>
    <w:p w14:paraId="39139B6F" w14:textId="77777777" w:rsidR="00AF0E44" w:rsidRDefault="00AF0E44" w:rsidP="00E21910">
      <w:pPr>
        <w:spacing w:after="120" w:line="276" w:lineRule="auto"/>
        <w:ind w:firstLine="709"/>
        <w:jc w:val="both"/>
        <w:rPr>
          <w:rFonts w:ascii="Verdana" w:eastAsia="Times New Roman" w:hAnsi="Verdana" w:cs="Arial"/>
          <w:lang w:val="es-ES_tradnl" w:eastAsia="es-ES_tradnl"/>
          <w14:ligatures w14:val="standardContextual"/>
        </w:rPr>
      </w:pPr>
      <w:r w:rsidRPr="005817C0">
        <w:rPr>
          <w:rFonts w:ascii="Verdana" w:eastAsia="Times New Roman" w:hAnsi="Verdana" w:cs="Arial"/>
          <w:lang w:val="es-ES_tradnl" w:eastAsia="es-ES_tradnl"/>
          <w14:ligatures w14:val="standardContextual"/>
        </w:rPr>
        <w:t>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r>
        <w:rPr>
          <w:rFonts w:ascii="Verdana" w:eastAsia="Times New Roman" w:hAnsi="Verdana" w:cs="Arial"/>
          <w:lang w:val="es-ES_tradnl" w:eastAsia="es-ES_tradnl"/>
          <w14:ligatures w14:val="standardContextual"/>
        </w:rPr>
        <w:t>”</w:t>
      </w:r>
      <w:r w:rsidRPr="005817C0">
        <w:rPr>
          <w:rFonts w:ascii="Verdana" w:eastAsia="Times New Roman" w:hAnsi="Verdana" w:cs="Arial"/>
          <w:vertAlign w:val="superscript"/>
          <w:lang w:val="es-ES_tradnl" w:eastAsia="es-ES_tradnl"/>
          <w14:ligatures w14:val="standardContextual"/>
        </w:rPr>
        <w:footnoteReference w:id="3"/>
      </w:r>
      <w:r w:rsidRPr="005817C0">
        <w:rPr>
          <w:rFonts w:ascii="Verdana" w:eastAsia="Times New Roman" w:hAnsi="Verdana" w:cs="Arial"/>
          <w:lang w:val="es-ES_tradnl" w:eastAsia="es-ES_tradnl"/>
          <w14:ligatures w14:val="standardContextual"/>
        </w:rPr>
        <w:t>.</w:t>
      </w:r>
    </w:p>
    <w:p w14:paraId="403ED2BB" w14:textId="77777777" w:rsidR="00AF0E44" w:rsidRDefault="00AF0E44" w:rsidP="00E21910">
      <w:pPr>
        <w:spacing w:after="120" w:line="276" w:lineRule="auto"/>
        <w:ind w:firstLine="709"/>
        <w:jc w:val="both"/>
        <w:rPr>
          <w:rFonts w:ascii="Verdana" w:eastAsia="Times New Roman" w:hAnsi="Verdana" w:cs="Arial"/>
          <w:lang w:val="es-ES_tradnl" w:eastAsia="es-ES_tradnl"/>
          <w14:ligatures w14:val="standardContextual"/>
        </w:rPr>
      </w:pPr>
      <w:r w:rsidRPr="002A3450">
        <w:rPr>
          <w:rFonts w:ascii="Verdana" w:eastAsia="Times New Roman" w:hAnsi="Verdana" w:cs="Arial"/>
          <w:lang w:val="es-ES_tradnl" w:eastAsia="es-ES_tradnl"/>
          <w14:ligatures w14:val="standardContextual"/>
        </w:rPr>
        <w:lastRenderedPageBreak/>
        <w:t>De ot</w:t>
      </w:r>
      <w:r>
        <w:rPr>
          <w:rFonts w:ascii="Verdana" w:eastAsia="Times New Roman" w:hAnsi="Verdana" w:cs="Arial"/>
          <w:lang w:val="es-ES_tradnl" w:eastAsia="es-ES_tradnl"/>
          <w14:ligatures w14:val="standardContextual"/>
        </w:rPr>
        <w:t>ra parte, la Ley 1712 de 2014 –L</w:t>
      </w:r>
      <w:r w:rsidRPr="002A3450">
        <w:rPr>
          <w:rFonts w:ascii="Verdana" w:eastAsia="Times New Roman" w:hAnsi="Verdana" w:cs="Arial"/>
          <w:lang w:val="es-ES_tradnl" w:eastAsia="es-ES_tradnl"/>
          <w14:ligatures w14:val="standardContextual"/>
        </w:rPr>
        <w:t xml:space="preserve">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w:t>
      </w:r>
      <w:r>
        <w:rPr>
          <w:rFonts w:ascii="Verdana" w:eastAsia="Times New Roman" w:hAnsi="Verdana" w:cs="Arial"/>
          <w:lang w:val="es-ES_tradnl" w:eastAsia="es-ES_tradnl"/>
          <w14:ligatures w14:val="standardContextual"/>
        </w:rPr>
        <w:t>“</w:t>
      </w:r>
      <w:r w:rsidRPr="002A3450">
        <w:rPr>
          <w:rFonts w:ascii="Verdana" w:eastAsia="Times New Roman" w:hAnsi="Verdana" w:cs="Arial"/>
          <w:lang w:val="es-ES_tradnl" w:eastAsia="es-ES_tradnl"/>
          <w14:ligatures w14:val="standardContextual"/>
        </w:rPr>
        <w:t>toda información en posesión, bajo control o custodia de un sujeto obligado es pública y no podrá ser reservada o limitada sino por disposición constitucional o legal</w:t>
      </w:r>
      <w:r>
        <w:rPr>
          <w:rFonts w:ascii="Verdana" w:eastAsia="Times New Roman" w:hAnsi="Verdana" w:cs="Arial"/>
          <w:lang w:val="es-ES_tradnl" w:eastAsia="es-ES_tradnl"/>
          <w14:ligatures w14:val="standardContextual"/>
        </w:rPr>
        <w:t>”</w:t>
      </w:r>
      <w:r w:rsidRPr="002A3450">
        <w:rPr>
          <w:rFonts w:ascii="Verdana" w:eastAsia="Times New Roman" w:hAnsi="Verdana" w:cs="Arial"/>
          <w:vertAlign w:val="superscript"/>
          <w:lang w:val="es-ES_tradnl" w:eastAsia="es-ES_tradnl"/>
          <w14:ligatures w14:val="standardContextual"/>
        </w:rPr>
        <w:footnoteReference w:id="4"/>
      </w:r>
      <w:r w:rsidRPr="002A3450">
        <w:rPr>
          <w:rFonts w:ascii="Verdana" w:eastAsia="Times New Roman" w:hAnsi="Verdana" w:cs="Arial"/>
          <w:lang w:val="es-ES_tradnl" w:eastAsia="es-ES_tradnl"/>
          <w14:ligatures w14:val="standardContextual"/>
        </w:rPr>
        <w:t>. El principio de transparencia en la información alude al deber de los sujetos de proporcionar y facilitar el acceso a la misma en los términos más amplios posibles, y a través de los medios y procedimientos legales.</w:t>
      </w:r>
    </w:p>
    <w:p w14:paraId="0B3DD9D0" w14:textId="7DDB913C" w:rsidR="00AF0E44" w:rsidRDefault="00AF0E44" w:rsidP="00E21910">
      <w:pPr>
        <w:spacing w:after="120" w:line="276" w:lineRule="auto"/>
        <w:ind w:firstLine="709"/>
        <w:jc w:val="both"/>
        <w:rPr>
          <w:rFonts w:ascii="Verdana" w:eastAsia="Times New Roman" w:hAnsi="Verdana" w:cs="Arial"/>
          <w:lang w:val="es-ES_tradnl" w:eastAsia="es-ES_tradnl"/>
          <w14:ligatures w14:val="standardContextual"/>
        </w:rPr>
      </w:pPr>
      <w:r w:rsidRPr="002A3450">
        <w:rPr>
          <w:rFonts w:ascii="Verdana" w:eastAsia="Times New Roman" w:hAnsi="Verdana" w:cs="Arial"/>
          <w:lang w:val="es-ES_tradnl" w:eastAsia="es-ES_tradnl"/>
          <w14:ligatures w14:val="standardContextual"/>
        </w:rPr>
        <w:t xml:space="preserve"> La Ley Estatutaria citada establece, en el literal e) del artículo 9, que los sujetos obligados, que son todas las entidades públicas</w:t>
      </w:r>
      <w:r w:rsidRPr="002A3450">
        <w:rPr>
          <w:rFonts w:ascii="Verdana" w:eastAsia="Times New Roman" w:hAnsi="Verdana" w:cs="Arial"/>
          <w:vertAlign w:val="superscript"/>
          <w:lang w:val="es-ES_tradnl" w:eastAsia="es-ES_tradnl"/>
          <w14:ligatures w14:val="standardContextual"/>
        </w:rPr>
        <w:footnoteReference w:id="5"/>
      </w:r>
      <w:r w:rsidRPr="002A3450">
        <w:rPr>
          <w:rFonts w:ascii="Verdana" w:eastAsia="Times New Roman" w:hAnsi="Verdana" w:cs="Arial"/>
          <w:lang w:val="es-ES_tradnl" w:eastAsia="es-ES_tradnl"/>
          <w14:ligatures w14:val="standardContextual"/>
        </w:rPr>
        <w:t>, deben publicar la información relativa a su contratación. Esta obligación fue desarrollada por el Decreto Único Reglamentario 1081 de 2015</w:t>
      </w:r>
      <w:r w:rsidRPr="002A3450">
        <w:rPr>
          <w:rFonts w:ascii="Verdana" w:eastAsia="Times New Roman" w:hAnsi="Verdana" w:cs="Arial"/>
          <w:vertAlign w:val="superscript"/>
          <w:lang w:val="es-ES_tradnl" w:eastAsia="es-ES_tradnl"/>
          <w14:ligatures w14:val="standardContextual"/>
        </w:rPr>
        <w:footnoteReference w:id="6"/>
      </w:r>
      <w:r w:rsidRPr="002A3450">
        <w:rPr>
          <w:rFonts w:ascii="Verdana" w:eastAsia="Times New Roman" w:hAnsi="Verdana" w:cs="Arial"/>
          <w:lang w:val="es-ES_tradnl" w:eastAsia="es-ES_tradnl"/>
          <w14:ligatures w14:val="standardContextual"/>
        </w:rPr>
        <w:t>, el cual dispuso que la publicación de la información contractual de los sujetos obligados, que contratan con cargo a recursos públicos, debe hacerse en el SECOP.</w:t>
      </w:r>
      <w:r w:rsidR="00995458">
        <w:rPr>
          <w:rFonts w:ascii="Verdana" w:eastAsia="Times New Roman" w:hAnsi="Verdana" w:cs="Arial"/>
          <w:lang w:val="es-ES_tradnl" w:eastAsia="es-ES_tradnl"/>
          <w14:ligatures w14:val="standardContextual"/>
        </w:rPr>
        <w:t xml:space="preserve"> </w:t>
      </w:r>
      <w:r w:rsidRPr="00E806EA">
        <w:rPr>
          <w:rFonts w:ascii="Verdana" w:eastAsia="Times New Roman" w:hAnsi="Verdana" w:cs="Arial"/>
          <w:lang w:val="es-ES_tradnl" w:eastAsia="es-ES_tradnl"/>
          <w14:ligatures w14:val="standardContextual"/>
        </w:rPr>
        <w:t xml:space="preserve">Asimismo, de acuerdo con el literal g) del artículo 11 de </w:t>
      </w:r>
      <w:r>
        <w:rPr>
          <w:rFonts w:ascii="Verdana" w:eastAsia="Times New Roman" w:hAnsi="Verdana" w:cs="Arial"/>
          <w:lang w:val="es-ES_tradnl" w:eastAsia="es-ES_tradnl"/>
          <w14:ligatures w14:val="standardContextual"/>
        </w:rPr>
        <w:t>la L</w:t>
      </w:r>
      <w:r w:rsidRPr="00E806EA">
        <w:rPr>
          <w:rFonts w:ascii="Verdana" w:eastAsia="Times New Roman" w:hAnsi="Verdana" w:cs="Arial"/>
          <w:lang w:val="es-ES_tradnl" w:eastAsia="es-ES_tradnl"/>
          <w14:ligatures w14:val="standardContextual"/>
        </w:rPr>
        <w:t>ey</w:t>
      </w:r>
      <w:r>
        <w:rPr>
          <w:rFonts w:ascii="Verdana" w:eastAsia="Times New Roman" w:hAnsi="Verdana" w:cs="Arial"/>
          <w:lang w:val="es-ES_tradnl" w:eastAsia="es-ES_tradnl"/>
          <w14:ligatures w14:val="standardContextual"/>
        </w:rPr>
        <w:t xml:space="preserve"> 1712 de 2014</w:t>
      </w:r>
      <w:r w:rsidRPr="00E806EA">
        <w:rPr>
          <w:rFonts w:ascii="Verdana" w:eastAsia="Times New Roman" w:hAnsi="Verdana" w:cs="Arial"/>
          <w:lang w:val="es-ES_tradnl" w:eastAsia="es-ES_tradnl"/>
          <w14:ligatures w14:val="standardContextual"/>
        </w:rPr>
        <w:t xml:space="preserve">, todos los destinatarios de la </w:t>
      </w:r>
      <w:r>
        <w:rPr>
          <w:rFonts w:ascii="Verdana" w:eastAsia="Times New Roman" w:hAnsi="Verdana" w:cs="Arial"/>
          <w:lang w:val="es-ES_tradnl" w:eastAsia="es-ES_tradnl"/>
          <w14:ligatures w14:val="standardContextual"/>
        </w:rPr>
        <w:t xml:space="preserve">Ley Estatutaria de Transparencia y Acceso a la Información Pública </w:t>
      </w:r>
      <w:r w:rsidRPr="00E806EA">
        <w:rPr>
          <w:rFonts w:ascii="Verdana" w:eastAsia="Times New Roman" w:hAnsi="Verdana" w:cs="Arial"/>
          <w:lang w:val="es-ES_tradnl" w:eastAsia="es-ES_tradnl"/>
          <w14:ligatures w14:val="standardContextual"/>
        </w:rPr>
        <w:t xml:space="preserve">deben garantizar la publicidad de “sus procedimientos, lineamientos, políticas en materia de adquisiciones y compras, así como todos los datos de adjudicación y </w:t>
      </w:r>
      <w:r w:rsidRPr="00E806EA">
        <w:rPr>
          <w:rFonts w:ascii="Verdana" w:eastAsia="Times New Roman" w:hAnsi="Verdana" w:cs="Arial"/>
          <w:lang w:val="es-ES_tradnl" w:eastAsia="es-ES_tradnl"/>
          <w14:ligatures w14:val="standardContextual"/>
        </w:rPr>
        <w:lastRenderedPageBreak/>
        <w:t xml:space="preserve">ejecución de contratos, incluidos concursos y licitaciones”, y esta información también debe estar en el SECOP. </w:t>
      </w:r>
    </w:p>
    <w:p w14:paraId="68811B24" w14:textId="77777777" w:rsidR="00D5218D" w:rsidRDefault="00B20A32" w:rsidP="00E21910">
      <w:pPr>
        <w:spacing w:after="120" w:line="276" w:lineRule="auto"/>
        <w:ind w:firstLine="709"/>
        <w:jc w:val="both"/>
        <w:rPr>
          <w:rFonts w:ascii="Verdana" w:eastAsia="Calibri" w:hAnsi="Verdana" w:cs="Arial"/>
          <w:lang w:val="es-ES_tradnl" w:eastAsia="es-ES_tradnl"/>
        </w:rPr>
      </w:pPr>
      <w:r w:rsidRPr="004977A2">
        <w:rPr>
          <w:rFonts w:ascii="Verdana" w:eastAsia="Calibri" w:hAnsi="Verdana" w:cs="Arial"/>
          <w:kern w:val="2"/>
          <w14:ligatures w14:val="standardContextual"/>
        </w:rPr>
        <w:t xml:space="preserve">Ahora </w:t>
      </w:r>
      <w:bookmarkStart w:id="1" w:name="_Hlk109111930"/>
      <w:r w:rsidRPr="004977A2">
        <w:rPr>
          <w:rFonts w:ascii="Verdana" w:eastAsia="Calibri" w:hAnsi="Verdana" w:cs="Arial"/>
          <w:kern w:val="2"/>
          <w14:ligatures w14:val="standardContextual"/>
        </w:rPr>
        <w:t>bien, las</w:t>
      </w:r>
      <w:r w:rsidRPr="004977A2">
        <w:rPr>
          <w:rFonts w:ascii="Verdana" w:hAnsi="Verdana" w:cs="Arial"/>
        </w:rPr>
        <w:t xml:space="preserve"> disposiciones normativas anteriormente mencionadas fueron complementadas con la expedición de la Ley 2195 de 2022, </w:t>
      </w:r>
      <w:r w:rsidRPr="004977A2">
        <w:rPr>
          <w:rFonts w:ascii="Verdana" w:eastAsia="Calibri" w:hAnsi="Verdana" w:cs="Arial"/>
        </w:rPr>
        <w:t>“P</w:t>
      </w:r>
      <w:r w:rsidRPr="004977A2">
        <w:rPr>
          <w:rFonts w:ascii="Verdana" w:hAnsi="Verdana" w:cs="Arial"/>
        </w:rPr>
        <w:t>or medio de la cual se adoptan medidas en materia de transparencia, prevención y lucha contra la corrupción y se dictan otras disposiciones</w:t>
      </w:r>
      <w:r w:rsidRPr="004977A2">
        <w:rPr>
          <w:rFonts w:ascii="Verdana" w:eastAsia="Calibri" w:hAnsi="Verdana" w:cs="Arial"/>
        </w:rPr>
        <w:t>”</w:t>
      </w:r>
      <w:r w:rsidRPr="004977A2">
        <w:rPr>
          <w:rFonts w:ascii="Verdana" w:hAnsi="Verdana" w:cs="Arial"/>
        </w:rPr>
        <w:t xml:space="preserve">. </w:t>
      </w:r>
      <w:r w:rsidRPr="004977A2">
        <w:rPr>
          <w:rFonts w:ascii="Verdana" w:eastAsia="Calibri" w:hAnsi="Verdana" w:cs="Arial"/>
          <w:lang w:val="es-ES_tradnl" w:eastAsia="es-ES_tradnl"/>
        </w:rPr>
        <w:t>Según el artículo 1, esta Ley “</w:t>
      </w:r>
      <w:r w:rsidRPr="004977A2">
        <w:rPr>
          <w:rFonts w:ascii="Verdana" w:eastAsia="Times New Roman" w:hAnsi="Verdana" w:cs="Arial"/>
          <w:lang w:val="es-ES_tradnl" w:eastAsia="es-ES_tradnl"/>
        </w:rPr>
        <w:t xml:space="preserve">[…] </w:t>
      </w:r>
      <w:r w:rsidRPr="004977A2">
        <w:rPr>
          <w:rFonts w:ascii="Verdana" w:eastAsia="Calibri" w:hAnsi="Verdana" w:cs="Arial"/>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w:t>
      </w:r>
    </w:p>
    <w:p w14:paraId="219D42EE" w14:textId="630F9983" w:rsidR="00B20A32" w:rsidRPr="004977A2" w:rsidRDefault="00B20A32" w:rsidP="00B20A32">
      <w:pPr>
        <w:spacing w:after="0" w:line="276" w:lineRule="auto"/>
        <w:ind w:firstLine="709"/>
        <w:contextualSpacing/>
        <w:jc w:val="both"/>
        <w:rPr>
          <w:rFonts w:ascii="Verdana" w:hAnsi="Verdana" w:cs="Arial"/>
        </w:rPr>
      </w:pPr>
      <w:r w:rsidRPr="004977A2">
        <w:rPr>
          <w:rFonts w:ascii="Verdana" w:eastAsia="Calibri" w:hAnsi="Verdana" w:cs="Arial"/>
          <w:lang w:val="es-ES_tradnl" w:eastAsia="es-ES_tradnl"/>
        </w:rPr>
        <w:t xml:space="preserve">Dentro del capítulo VIII de la mencionada Ley, que lleva por título “Disposiciones en materia contractual para la moralización y la transparencia”, se ubica </w:t>
      </w:r>
      <w:r w:rsidRPr="004977A2">
        <w:rPr>
          <w:rFonts w:ascii="Verdana" w:hAnsi="Verdana" w:cs="Arial"/>
        </w:rPr>
        <w:t xml:space="preserve">el artículo 53, mediante el cual se adiciona el artículo 13 de la Ley 1150 de 2007. La referida disposición les asigna a las entidades estatales que por disposición legal cuenten con un régimen contractual excepcional al del Estatuto General de Contratación de la Administración Pública – en adelante EGCAP, la obligación de publicar los documentos relacionados con su actividad contractual en el Sistema Electrónico para la Contratación Pública –SECOP II– o la plataforma transaccional que haga sus veces. </w:t>
      </w:r>
      <w:bookmarkEnd w:id="1"/>
      <w:r w:rsidRPr="004977A2">
        <w:rPr>
          <w:rFonts w:ascii="Verdana" w:hAnsi="Verdana" w:cs="Arial"/>
        </w:rPr>
        <w:t>Al respecto, la norma citada, de manera expresa, señala:</w:t>
      </w:r>
    </w:p>
    <w:p w14:paraId="291D6F51" w14:textId="77777777" w:rsidR="00B20A32" w:rsidRPr="004977A2" w:rsidRDefault="00B20A32" w:rsidP="00B20A32">
      <w:pPr>
        <w:spacing w:after="0" w:line="276" w:lineRule="auto"/>
        <w:ind w:firstLine="301"/>
        <w:contextualSpacing/>
        <w:rPr>
          <w:rFonts w:ascii="Verdana" w:hAnsi="Verdana" w:cs="Arial"/>
        </w:rPr>
      </w:pPr>
    </w:p>
    <w:p w14:paraId="69443B82" w14:textId="77777777" w:rsidR="00B20A32" w:rsidRPr="004977A2" w:rsidRDefault="00B20A32" w:rsidP="00B20A32">
      <w:pPr>
        <w:spacing w:after="0" w:line="240" w:lineRule="auto"/>
        <w:ind w:left="709" w:right="709"/>
        <w:contextualSpacing/>
        <w:jc w:val="both"/>
        <w:rPr>
          <w:rFonts w:ascii="Verdana" w:eastAsia="Calibri" w:hAnsi="Verdana" w:cs="Arial"/>
          <w:sz w:val="20"/>
          <w:szCs w:val="20"/>
        </w:rPr>
      </w:pPr>
      <w:r w:rsidRPr="004977A2">
        <w:rPr>
          <w:rFonts w:ascii="Verdana" w:eastAsia="Calibri" w:hAnsi="Verdana" w:cs="Arial"/>
          <w:sz w:val="20"/>
          <w:szCs w:val="20"/>
          <w:lang w:val="es-ES_tradnl" w:eastAsia="es-ES_tradnl"/>
        </w:rPr>
        <w:t>“</w:t>
      </w:r>
      <w:r w:rsidRPr="004977A2">
        <w:rPr>
          <w:rFonts w:ascii="Verdana" w:eastAsia="Calibri" w:hAnsi="Verdana" w:cs="Arial"/>
          <w:sz w:val="20"/>
          <w:szCs w:val="20"/>
        </w:rPr>
        <w:t>Adiciónese los siguientes incisos al artículo 13 de la Ley 1150 de 2007, el cual quedará así:</w:t>
      </w:r>
    </w:p>
    <w:p w14:paraId="79ABD632" w14:textId="77777777" w:rsidR="00B20A32" w:rsidRPr="004977A2" w:rsidRDefault="00B20A32" w:rsidP="00B20A32">
      <w:pPr>
        <w:spacing w:after="0" w:line="240" w:lineRule="auto"/>
        <w:ind w:left="709" w:right="709"/>
        <w:contextualSpacing/>
        <w:jc w:val="both"/>
        <w:rPr>
          <w:rFonts w:ascii="Verdana" w:eastAsia="Calibri" w:hAnsi="Verdana" w:cs="Arial"/>
          <w:sz w:val="20"/>
          <w:szCs w:val="20"/>
        </w:rPr>
      </w:pPr>
    </w:p>
    <w:p w14:paraId="5045328D" w14:textId="77777777" w:rsidR="00B20A32" w:rsidRPr="004977A2" w:rsidRDefault="00B20A32" w:rsidP="00B20A32">
      <w:pPr>
        <w:spacing w:after="0" w:line="240" w:lineRule="auto"/>
        <w:ind w:left="709" w:right="709"/>
        <w:contextualSpacing/>
        <w:jc w:val="both"/>
        <w:rPr>
          <w:rFonts w:ascii="Verdana" w:eastAsia="Calibri" w:hAnsi="Verdana" w:cs="Arial"/>
          <w:sz w:val="20"/>
          <w:szCs w:val="20"/>
        </w:rPr>
      </w:pPr>
      <w:r w:rsidRPr="004977A2">
        <w:rPr>
          <w:rFonts w:ascii="Verdana" w:eastAsia="Calibri" w:hAnsi="Verdana" w:cs="Arial"/>
          <w:sz w:val="20"/>
          <w:szCs w:val="20"/>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09B124C4" w14:textId="77777777" w:rsidR="00B20A32" w:rsidRPr="004977A2" w:rsidRDefault="00B20A32" w:rsidP="00B20A32">
      <w:pPr>
        <w:spacing w:after="0" w:line="240" w:lineRule="auto"/>
        <w:ind w:left="709" w:right="709"/>
        <w:contextualSpacing/>
        <w:jc w:val="both"/>
        <w:rPr>
          <w:rFonts w:ascii="Verdana" w:eastAsia="Calibri" w:hAnsi="Verdana" w:cs="Arial"/>
          <w:sz w:val="20"/>
          <w:szCs w:val="20"/>
        </w:rPr>
      </w:pPr>
    </w:p>
    <w:p w14:paraId="6BDC2900" w14:textId="77777777" w:rsidR="00B20A32" w:rsidRPr="004977A2" w:rsidRDefault="00B20A32" w:rsidP="00B20A32">
      <w:pPr>
        <w:spacing w:after="0" w:line="240" w:lineRule="auto"/>
        <w:ind w:left="709" w:right="709"/>
        <w:contextualSpacing/>
        <w:jc w:val="both"/>
        <w:rPr>
          <w:rFonts w:ascii="Verdana" w:eastAsia="Calibri" w:hAnsi="Verdana" w:cs="Arial"/>
          <w:i/>
          <w:iCs/>
          <w:sz w:val="20"/>
          <w:szCs w:val="20"/>
        </w:rPr>
      </w:pPr>
      <w:r w:rsidRPr="004977A2">
        <w:rPr>
          <w:rFonts w:ascii="Verdana" w:eastAsia="Calibri" w:hAnsi="Verdana" w:cs="Arial"/>
          <w:i/>
          <w:iCs/>
          <w:sz w:val="20"/>
          <w:szCs w:val="20"/>
        </w:rPr>
        <w:t xml:space="preserve">En desarrollo de los anteriores principios, deberán publicar los documentos relacionados con su actividad contractual en el Sistema Electrónico para la Contratación Pública –SECOP II– o la plataforma transaccional que haga </w:t>
      </w:r>
      <w:r w:rsidRPr="004977A2">
        <w:rPr>
          <w:rFonts w:ascii="Verdana" w:eastAsia="Calibri" w:hAnsi="Verdana" w:cs="Arial"/>
          <w:i/>
          <w:iCs/>
          <w:sz w:val="20"/>
          <w:szCs w:val="20"/>
        </w:rPr>
        <w:lastRenderedPageBreak/>
        <w:t xml:space="preserve">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4977A2">
        <w:rPr>
          <w:rFonts w:ascii="Verdana" w:eastAsia="Calibri" w:hAnsi="Verdana" w:cs="Arial"/>
          <w:i/>
          <w:iCs/>
          <w:sz w:val="20"/>
          <w:szCs w:val="20"/>
        </w:rPr>
        <w:t>postcontractual</w:t>
      </w:r>
      <w:proofErr w:type="spellEnd"/>
      <w:r w:rsidRPr="004977A2">
        <w:rPr>
          <w:rFonts w:ascii="Verdana" w:eastAsia="Calibri" w:hAnsi="Verdana" w:cs="Arial"/>
          <w:i/>
          <w:iCs/>
          <w:sz w:val="20"/>
          <w:szCs w:val="20"/>
        </w:rPr>
        <w:t>.</w:t>
      </w:r>
    </w:p>
    <w:p w14:paraId="781DCEDF" w14:textId="77777777" w:rsidR="00B20A32" w:rsidRPr="004977A2" w:rsidRDefault="00B20A32" w:rsidP="00B20A32">
      <w:pPr>
        <w:spacing w:after="0" w:line="240" w:lineRule="auto"/>
        <w:ind w:left="709" w:right="709"/>
        <w:contextualSpacing/>
        <w:jc w:val="both"/>
        <w:rPr>
          <w:rFonts w:ascii="Verdana" w:eastAsia="Calibri" w:hAnsi="Verdana" w:cs="Arial"/>
          <w:sz w:val="20"/>
          <w:szCs w:val="20"/>
        </w:rPr>
      </w:pPr>
    </w:p>
    <w:p w14:paraId="2A96342E" w14:textId="77777777" w:rsidR="00B20A32" w:rsidRPr="004977A2" w:rsidRDefault="00B20A32" w:rsidP="00B20A32">
      <w:pPr>
        <w:spacing w:after="0" w:line="240" w:lineRule="auto"/>
        <w:ind w:left="709" w:right="709"/>
        <w:contextualSpacing/>
        <w:jc w:val="both"/>
        <w:rPr>
          <w:rFonts w:ascii="Verdana" w:eastAsia="Calibri" w:hAnsi="Verdana" w:cs="Arial"/>
          <w:sz w:val="20"/>
          <w:szCs w:val="20"/>
        </w:rPr>
      </w:pPr>
      <w:r w:rsidRPr="004977A2">
        <w:rPr>
          <w:rFonts w:ascii="Verdana" w:eastAsia="Calibri" w:hAnsi="Verdana" w:cs="Arial"/>
          <w:sz w:val="20"/>
          <w:szCs w:val="20"/>
        </w:rPr>
        <w:t xml:space="preserve">A partir de la </w:t>
      </w:r>
      <w:proofErr w:type="gramStart"/>
      <w:r w:rsidRPr="004977A2">
        <w:rPr>
          <w:rFonts w:ascii="Verdana" w:eastAsia="Calibri" w:hAnsi="Verdana" w:cs="Arial"/>
          <w:sz w:val="20"/>
          <w:szCs w:val="20"/>
        </w:rPr>
        <w:t>entrada en vigencia</w:t>
      </w:r>
      <w:proofErr w:type="gramEnd"/>
      <w:r w:rsidRPr="004977A2">
        <w:rPr>
          <w:rFonts w:ascii="Verdana" w:eastAsia="Calibri" w:hAnsi="Verdana" w:cs="Arial"/>
          <w:sz w:val="20"/>
          <w:szCs w:val="20"/>
        </w:rPr>
        <w:t xml:space="preserve"> de la presente Ley, se establecerá un periodo de transición de seis (6) meses, para que las entidades den cumplimiento efectivo a lo aquí establecido. (Cursiva fuera del original).</w:t>
      </w:r>
      <w:r w:rsidRPr="004977A2">
        <w:rPr>
          <w:rFonts w:ascii="Verdana" w:eastAsia="Calibri" w:hAnsi="Verdana" w:cs="Arial"/>
          <w:sz w:val="20"/>
          <w:szCs w:val="20"/>
          <w:lang w:val="es-ES_tradnl" w:eastAsia="es-ES_tradnl"/>
        </w:rPr>
        <w:t>”</w:t>
      </w:r>
    </w:p>
    <w:p w14:paraId="5F5C833A" w14:textId="77777777" w:rsidR="00B20A32" w:rsidRPr="001B29FE" w:rsidRDefault="00B20A32" w:rsidP="00B20A32">
      <w:pPr>
        <w:spacing w:after="0" w:line="276" w:lineRule="auto"/>
        <w:ind w:firstLine="709"/>
        <w:contextualSpacing/>
        <w:jc w:val="both"/>
        <w:rPr>
          <w:rFonts w:ascii="Verdana" w:eastAsia="Calibri" w:hAnsi="Verdana" w:cs="Arial"/>
          <w:lang w:val="es-ES_tradnl"/>
        </w:rPr>
      </w:pPr>
    </w:p>
    <w:p w14:paraId="7B2342F3" w14:textId="77777777" w:rsidR="00B20A32" w:rsidRDefault="00B20A32" w:rsidP="534F9D2F">
      <w:pPr>
        <w:spacing w:after="120" w:line="276" w:lineRule="auto"/>
        <w:ind w:firstLine="709"/>
        <w:jc w:val="both"/>
        <w:rPr>
          <w:rFonts w:ascii="Verdana" w:eastAsia="Calibri" w:hAnsi="Verdana" w:cs="Arial"/>
          <w:lang w:val="es-ES"/>
        </w:rPr>
      </w:pPr>
      <w:r w:rsidRPr="534F9D2F">
        <w:rPr>
          <w:rFonts w:ascii="Verdana" w:eastAsia="Calibri" w:hAnsi="Verdana" w:cs="Arial"/>
          <w:lang w:val="es-ES"/>
        </w:rPr>
        <w:t xml:space="preserve">Como puede observarse, aunque la publicación en el SECOP de los documentos relacionados con la actividad contractual ya era obligatoria para las entidades que cuentan con un régimen especial, el artículo 53 de la Ley 2195 de 2022 –que modifica el artículo 13 de la Ley 1150 de 2007– establece con mayor precisión esta obligación y la complementa con la exigencia de emplear el SECOP II. En otras palabras, a través del artículo 53 de la Ley 2195 de 2022 el Congreso de la República dispone que las entidades estatales exceptuadas del EGCAP deben publicar en el SECOP II –es decir en la plataforma transaccional vigente– su actividad contractual. </w:t>
      </w:r>
    </w:p>
    <w:p w14:paraId="5D9B4E27" w14:textId="77777777" w:rsidR="009447D5" w:rsidRPr="004977A2" w:rsidRDefault="009447D5" w:rsidP="009447D5">
      <w:pPr>
        <w:spacing w:after="120" w:line="276" w:lineRule="auto"/>
        <w:ind w:firstLine="708"/>
        <w:jc w:val="both"/>
        <w:rPr>
          <w:rFonts w:ascii="Verdana" w:hAnsi="Verdana" w:cs="Arial"/>
          <w:shd w:val="clear" w:color="auto" w:fill="FFFFFF"/>
          <w:lang w:val="es-ES"/>
        </w:rPr>
      </w:pPr>
      <w:bookmarkStart w:id="2" w:name="_Hlk110869120"/>
      <w:r w:rsidRPr="004977A2">
        <w:rPr>
          <w:rFonts w:ascii="Verdana" w:hAnsi="Verdana" w:cs="Arial"/>
          <w:shd w:val="clear" w:color="auto" w:fill="FFFFFF"/>
          <w:lang w:val="es-ES"/>
        </w:rPr>
        <w:t xml:space="preserve">Así las cosas, dado que el artículo 53 de la Ley 2195 de 2022 complementó las disposiciones ya establecidas en la Ley 1150 de 2007, la lectura que se haga de dicho artículo debe efectuarse de forma sistemática. </w:t>
      </w:r>
      <w:r w:rsidRPr="004977A2">
        <w:rPr>
          <w:rFonts w:ascii="Verdana" w:hAnsi="Verdana" w:cs="Arial"/>
          <w:shd w:val="clear" w:color="auto" w:fill="FFFFFF"/>
        </w:rPr>
        <w:t xml:space="preserve"> En este sentido, debe </w:t>
      </w:r>
      <w:r w:rsidRPr="004977A2">
        <w:rPr>
          <w:rFonts w:ascii="Verdana" w:eastAsia="Calibri" w:hAnsi="Verdana" w:cs="Arial"/>
          <w:lang w:val="es-ES_tradnl" w:eastAsia="es-ES_tradnl"/>
        </w:rPr>
        <w:t xml:space="preserve">señalarse que </w:t>
      </w:r>
      <w:r w:rsidRPr="004977A2">
        <w:rPr>
          <w:rFonts w:ascii="Verdana" w:hAnsi="Verdana" w:cs="Arial"/>
          <w:i/>
          <w:iCs/>
          <w:lang w:val="es-ES_tradnl" w:eastAsia="es-CO"/>
        </w:rPr>
        <w:t>contratación con cargo a recursos públicos</w:t>
      </w:r>
      <w:r w:rsidRPr="004977A2">
        <w:rPr>
          <w:rFonts w:ascii="Verdana" w:hAnsi="Verdana" w:cs="Arial"/>
          <w:lang w:val="es-ES_tradnl" w:eastAsia="es-CO"/>
        </w:rPr>
        <w:t xml:space="preserve"> es un concepto al que alude expresamente la Ley 1150 de 2007, incluso desde el mismo título, pues este indica que dicha Ley es </w:t>
      </w:r>
      <w:r w:rsidRPr="004977A2">
        <w:rPr>
          <w:rFonts w:ascii="Verdana" w:eastAsia="Calibri" w:hAnsi="Verdana" w:cs="Arial"/>
          <w:lang w:val="es-ES_tradnl"/>
        </w:rPr>
        <w:t>“</w:t>
      </w:r>
      <w:r w:rsidRPr="004977A2">
        <w:rPr>
          <w:rFonts w:ascii="Verdana" w:hAnsi="Verdana" w:cs="Arial"/>
        </w:rPr>
        <w:t xml:space="preserve">Por medio de la cual se introducen medidas para la eficiencia y la transparencia en la Ley 80 de 1993 y se dictan otras disposiciones generales sobre la contratación con </w:t>
      </w:r>
      <w:r w:rsidRPr="004977A2">
        <w:rPr>
          <w:rFonts w:ascii="Verdana" w:hAnsi="Verdana" w:cs="Arial"/>
          <w:i/>
          <w:iCs/>
        </w:rPr>
        <w:t>Recursos Públicos</w:t>
      </w:r>
      <w:r w:rsidRPr="004977A2">
        <w:rPr>
          <w:rFonts w:ascii="Verdana" w:eastAsia="Calibri" w:hAnsi="Verdana" w:cs="Arial"/>
          <w:lang w:val="es-ES_tradnl"/>
        </w:rPr>
        <w:t>”</w:t>
      </w:r>
      <w:r w:rsidRPr="004977A2">
        <w:rPr>
          <w:rFonts w:ascii="Verdana" w:hAnsi="Verdana" w:cs="Arial"/>
        </w:rPr>
        <w:t>.</w:t>
      </w:r>
      <w:r w:rsidRPr="004977A2">
        <w:rPr>
          <w:rFonts w:ascii="Verdana" w:hAnsi="Verdana" w:cs="Arial"/>
          <w:lang w:val="es-ES_tradnl" w:eastAsia="es-CO"/>
        </w:rPr>
        <w:t xml:space="preserve"> Asimismo, la terminología </w:t>
      </w:r>
      <w:r w:rsidRPr="004977A2">
        <w:rPr>
          <w:rFonts w:ascii="Verdana" w:hAnsi="Verdana" w:cs="Arial"/>
          <w:i/>
          <w:iCs/>
          <w:lang w:val="es-ES_tradnl" w:eastAsia="es-CO"/>
        </w:rPr>
        <w:t xml:space="preserve">contratación con cargo recursos públicos </w:t>
      </w:r>
      <w:r w:rsidRPr="004977A2">
        <w:rPr>
          <w:rFonts w:ascii="Verdana" w:hAnsi="Verdana" w:cs="Arial"/>
          <w:lang w:val="es-ES_tradnl" w:eastAsia="es-CO"/>
        </w:rPr>
        <w:t>se encuentra en el artículo primero, al definir el ámbito de aplicación de sus disposiciones</w:t>
      </w:r>
      <w:r w:rsidRPr="004977A2">
        <w:rPr>
          <w:rFonts w:ascii="Verdana" w:hAnsi="Verdana" w:cs="Arial"/>
          <w:vertAlign w:val="superscript"/>
          <w:lang w:val="es-ES_tradnl" w:eastAsia="es-CO"/>
        </w:rPr>
        <w:footnoteReference w:id="7"/>
      </w:r>
      <w:r w:rsidRPr="004977A2">
        <w:rPr>
          <w:rFonts w:ascii="Verdana" w:hAnsi="Verdana" w:cs="Arial"/>
          <w:lang w:val="es-ES_tradnl" w:eastAsia="es-CO"/>
        </w:rPr>
        <w:t xml:space="preserve"> y en el literal c) del artículo 3 –del que surge el deber de publicar en el SECOP–, que expresamente </w:t>
      </w:r>
      <w:r w:rsidRPr="004977A2">
        <w:rPr>
          <w:rFonts w:ascii="Verdana" w:hAnsi="Verdana" w:cs="Arial"/>
          <w:shd w:val="clear" w:color="auto" w:fill="FFFFFF"/>
          <w:lang w:val="es-ES"/>
        </w:rPr>
        <w:t>establece que ese aparte del artículo se aplica a la “</w:t>
      </w:r>
      <w:r w:rsidRPr="004977A2">
        <w:rPr>
          <w:rFonts w:ascii="Verdana" w:hAnsi="Verdana" w:cs="Arial"/>
          <w:i/>
          <w:iCs/>
          <w:shd w:val="clear" w:color="auto" w:fill="FFFFFF"/>
          <w:lang w:val="es-ES"/>
        </w:rPr>
        <w:t>contratación realizada con dineros públicos</w:t>
      </w:r>
      <w:r w:rsidRPr="004977A2">
        <w:rPr>
          <w:rFonts w:ascii="Verdana" w:hAnsi="Verdana" w:cs="Arial"/>
          <w:shd w:val="clear" w:color="auto" w:fill="FFFFFF"/>
          <w:lang w:val="es-ES"/>
        </w:rPr>
        <w:t xml:space="preserve">”. </w:t>
      </w:r>
      <w:r w:rsidRPr="004977A2">
        <w:rPr>
          <w:rFonts w:ascii="Verdana" w:hAnsi="Verdana" w:cs="Arial"/>
          <w:shd w:val="clear" w:color="auto" w:fill="FFFFFF"/>
        </w:rPr>
        <w:t>Esta interpretación concuerda con el ámbito al que se encuentran destinadas las disposiciones del Título II de dicha norma, titulado “DISPOSICIONES GENERALES PARA LA CONTRATACION CON RECURSOS PUBLICOS”, en el cual se ubica el artículo 13 que fue modificado por el artículo 53 de la Ley 2195 de 2022.</w:t>
      </w:r>
    </w:p>
    <w:bookmarkEnd w:id="2"/>
    <w:p w14:paraId="5F0B0A41" w14:textId="67BB61BC" w:rsidR="00AF0E44" w:rsidRDefault="004C7F3E" w:rsidP="00E21910">
      <w:pPr>
        <w:spacing w:before="120" w:after="120" w:line="276" w:lineRule="auto"/>
        <w:ind w:firstLine="709"/>
        <w:jc w:val="both"/>
        <w:rPr>
          <w:rFonts w:ascii="Verdana" w:hAnsi="Verdana" w:cs="Arial"/>
          <w:shd w:val="clear" w:color="auto" w:fill="FFFFFF"/>
        </w:rPr>
      </w:pPr>
      <w:r>
        <w:rPr>
          <w:rFonts w:ascii="Verdana" w:eastAsia="Times New Roman" w:hAnsi="Verdana" w:cs="Arial"/>
          <w:lang w:val="es-ES_tradnl" w:eastAsia="es-ES_tradnl"/>
          <w14:ligatures w14:val="standardContextual"/>
        </w:rPr>
        <w:lastRenderedPageBreak/>
        <w:t>Ahora bien</w:t>
      </w:r>
      <w:r w:rsidR="00AF0E44" w:rsidRPr="00E806EA">
        <w:rPr>
          <w:rFonts w:ascii="Verdana" w:eastAsia="Times New Roman" w:hAnsi="Verdana" w:cs="Arial"/>
          <w:lang w:val="es-ES_tradnl" w:eastAsia="es-ES_tradnl"/>
          <w14:ligatures w14:val="standardContextual"/>
        </w:rPr>
        <w:t>,</w:t>
      </w:r>
      <w:r w:rsidR="00CE4EB1">
        <w:rPr>
          <w:rFonts w:ascii="Verdana" w:eastAsia="Times New Roman" w:hAnsi="Verdana" w:cs="Arial"/>
          <w:lang w:val="es-ES_tradnl" w:eastAsia="es-ES_tradnl"/>
          <w14:ligatures w14:val="standardContextual"/>
        </w:rPr>
        <w:t xml:space="preserve"> respecto de los documentos que deben publicarse, debe señalarse que</w:t>
      </w:r>
      <w:r w:rsidR="00AF0E44" w:rsidRPr="00E806EA">
        <w:rPr>
          <w:rFonts w:ascii="Verdana" w:eastAsia="Times New Roman" w:hAnsi="Verdana" w:cs="Arial"/>
          <w:lang w:val="es-ES_tradnl" w:eastAsia="es-ES_tradnl"/>
          <w14:ligatures w14:val="standardContextual"/>
        </w:rPr>
        <w:t xml:space="preserve"> las Entidades Estatales, conforme al artículo 2.2.1.1.1.7.1 del Decreto 1082 de 2015, tienen la obligación de publicar en el SECOP “[…] los Documentos del Proceso y los actos administrativos del Proceso de Contratación, dentro de los tres (3) días siguientes a su expedición […]”.</w:t>
      </w:r>
      <w:r w:rsidR="00395265">
        <w:rPr>
          <w:rFonts w:ascii="Verdana" w:hAnsi="Verdana" w:cs="Arial"/>
          <w:shd w:val="clear" w:color="auto" w:fill="FFFFFF"/>
        </w:rPr>
        <w:t xml:space="preserve"> </w:t>
      </w:r>
      <w:r w:rsidR="00AF0E44" w:rsidRPr="00052904">
        <w:rPr>
          <w:rFonts w:ascii="Verdana" w:hAnsi="Verdana" w:cs="Arial"/>
          <w:shd w:val="clear" w:color="auto" w:fill="FFFFFF"/>
        </w:rPr>
        <w:t xml:space="preserve">La expresión </w:t>
      </w:r>
      <w:r w:rsidR="00AF0E44" w:rsidRPr="00052904">
        <w:rPr>
          <w:rFonts w:ascii="Verdana" w:hAnsi="Verdana" w:cs="Arial"/>
          <w:i/>
          <w:iCs/>
          <w:shd w:val="clear" w:color="auto" w:fill="FFFFFF"/>
        </w:rPr>
        <w:t xml:space="preserve">Documentos del Proceso </w:t>
      </w:r>
      <w:r w:rsidR="00AF0E44" w:rsidRPr="00052904">
        <w:rPr>
          <w:rFonts w:ascii="Verdana" w:hAnsi="Verdana" w:cs="Arial"/>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00AF0E44" w:rsidRPr="00052904">
        <w:rPr>
          <w:rFonts w:ascii="Verdana" w:hAnsi="Verdana" w:cs="Arial"/>
          <w:i/>
          <w:iCs/>
          <w:shd w:val="clear" w:color="auto" w:fill="FFFFFF"/>
        </w:rPr>
        <w:t>y cualquier otro documento expedido por la Entidad Estatal durante el Proceso de Contratación</w:t>
      </w:r>
      <w:r w:rsidR="00AF0E44" w:rsidRPr="00052904">
        <w:rPr>
          <w:rFonts w:ascii="Verdana" w:hAnsi="Verdana" w:cs="Arial"/>
          <w:shd w:val="clear" w:color="auto" w:fill="FFFFFF"/>
        </w:rPr>
        <w:t>”. [Énfasis fuera de texto]</w:t>
      </w:r>
    </w:p>
    <w:p w14:paraId="45954870" w14:textId="77777777" w:rsidR="00AF0E44" w:rsidRDefault="00AF0E44" w:rsidP="00E21910">
      <w:pPr>
        <w:tabs>
          <w:tab w:val="left" w:pos="709"/>
        </w:tabs>
        <w:spacing w:after="120" w:line="276" w:lineRule="auto"/>
        <w:ind w:firstLine="709"/>
        <w:jc w:val="both"/>
        <w:rPr>
          <w:rFonts w:ascii="Verdana" w:hAnsi="Verdana" w:cs="Arial"/>
          <w:shd w:val="clear" w:color="auto" w:fill="FFFFFF"/>
        </w:rPr>
      </w:pPr>
      <w:r w:rsidRPr="00EF0BDA">
        <w:rPr>
          <w:rFonts w:ascii="Verdana" w:hAnsi="Verdana" w:cs="Arial"/>
          <w:shd w:val="clear" w:color="auto" w:fill="FFFFFF"/>
        </w:rPr>
        <w:t xml:space="preserve">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EF0BDA">
        <w:rPr>
          <w:rFonts w:ascii="Verdana" w:hAnsi="Verdana" w:cs="Arial"/>
          <w:i/>
          <w:iCs/>
          <w:shd w:val="clear" w:color="auto" w:fill="FFFFFF"/>
        </w:rPr>
        <w:t>Ibidem</w:t>
      </w:r>
      <w:r w:rsidRPr="00EF0BDA">
        <w:rPr>
          <w:rFonts w:ascii="Verdana" w:hAnsi="Verdana" w:cs="Arial"/>
          <w:shd w:val="clear" w:color="auto" w:fill="FFFFFF"/>
        </w:rPr>
        <w:t xml:space="preserve"> recoge en la noción de Documentos del Proceso “cualquier otro documento expedido por la Entidad Estatal durante el Proceso de Contratación”. </w:t>
      </w:r>
    </w:p>
    <w:p w14:paraId="0B08CEF3" w14:textId="77777777" w:rsidR="00AF0E44" w:rsidRDefault="00AF0E44" w:rsidP="00AF0E44">
      <w:pPr>
        <w:tabs>
          <w:tab w:val="left" w:pos="709"/>
        </w:tabs>
        <w:spacing w:before="120" w:after="0" w:line="276" w:lineRule="auto"/>
        <w:ind w:firstLine="709"/>
        <w:jc w:val="both"/>
        <w:rPr>
          <w:rFonts w:ascii="Verdana" w:hAnsi="Verdana" w:cs="Arial"/>
          <w:shd w:val="clear" w:color="auto" w:fill="FFFFFF"/>
        </w:rPr>
      </w:pPr>
      <w:r w:rsidRPr="00EF0BDA">
        <w:rPr>
          <w:rFonts w:ascii="Verdana" w:hAnsi="Verdana" w:cs="Arial"/>
          <w:shd w:val="clear" w:color="auto" w:fill="FFFFFF"/>
        </w:rPr>
        <w:t xml:space="preserve">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w:t>
      </w:r>
      <w:r>
        <w:rPr>
          <w:rFonts w:ascii="Verdana" w:hAnsi="Verdana" w:cs="Arial"/>
          <w:shd w:val="clear" w:color="auto" w:fill="FFFFFF"/>
        </w:rPr>
        <w:t xml:space="preserve">se refiere </w:t>
      </w:r>
      <w:r w:rsidRPr="00EF0BDA">
        <w:rPr>
          <w:rFonts w:ascii="Verdana" w:hAnsi="Verdana" w:cs="Arial"/>
          <w:shd w:val="clear" w:color="auto" w:fill="FFFFFF"/>
        </w:rPr>
        <w:t>a los documentos “expedidos por la entidad estatal” durante el proceso de contratación, excluyendo de la noción de Documentos del Proceso los expedidos por un sujeto distinto a la entidad, salvo la oferta, la cual se incluye expresamente en el referido artículo 2.2.1.1.1.3.</w:t>
      </w:r>
    </w:p>
    <w:p w14:paraId="6BF80715" w14:textId="77777777" w:rsidR="00AF0E44" w:rsidRDefault="00AF0E44" w:rsidP="00AF0E44">
      <w:pPr>
        <w:tabs>
          <w:tab w:val="left" w:pos="709"/>
        </w:tabs>
        <w:spacing w:before="120" w:after="120" w:line="276" w:lineRule="auto"/>
        <w:ind w:firstLine="709"/>
        <w:jc w:val="both"/>
        <w:rPr>
          <w:rFonts w:ascii="Verdana" w:hAnsi="Verdana" w:cs="Arial"/>
          <w:shd w:val="clear" w:color="auto" w:fill="FFFFFF"/>
        </w:rPr>
      </w:pPr>
      <w:r w:rsidRPr="00F14C13">
        <w:rPr>
          <w:rFonts w:ascii="Verdana" w:hAnsi="Verdana" w:cs="Arial"/>
          <w:shd w:val="clear" w:color="auto" w:fill="FFFFFF"/>
        </w:rPr>
        <w:t>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w:t>
      </w:r>
      <w:r>
        <w:rPr>
          <w:rFonts w:ascii="Verdana" w:hAnsi="Verdana" w:cs="Arial"/>
          <w:shd w:val="clear" w:color="auto" w:fill="FFFFFF"/>
        </w:rPr>
        <w:t xml:space="preserve"> </w:t>
      </w:r>
      <w:r w:rsidRPr="00F14C13">
        <w:rPr>
          <w:rFonts w:ascii="Verdana" w:hAnsi="Verdana" w:cs="Arial"/>
          <w:shd w:val="clear" w:color="auto" w:fill="FFFFFF"/>
        </w:rPr>
        <w:t>de ejecu</w:t>
      </w:r>
      <w:r>
        <w:rPr>
          <w:rFonts w:ascii="Verdana" w:hAnsi="Verdana" w:cs="Arial"/>
          <w:shd w:val="clear" w:color="auto" w:fill="FFFFFF"/>
        </w:rPr>
        <w:t xml:space="preserve">ción y </w:t>
      </w:r>
      <w:proofErr w:type="spellStart"/>
      <w:r>
        <w:rPr>
          <w:rFonts w:ascii="Verdana" w:hAnsi="Verdana" w:cs="Arial"/>
          <w:shd w:val="clear" w:color="auto" w:fill="FFFFFF"/>
        </w:rPr>
        <w:t>postcontractual</w:t>
      </w:r>
      <w:proofErr w:type="spellEnd"/>
      <w:r>
        <w:rPr>
          <w:rFonts w:ascii="Verdana" w:hAnsi="Verdana" w:cs="Arial"/>
          <w:shd w:val="clear" w:color="auto" w:fill="FFFFFF"/>
        </w:rPr>
        <w:t xml:space="preserve"> deberán publicarse</w:t>
      </w:r>
      <w:r w:rsidRPr="00F14C13">
        <w:rPr>
          <w:rFonts w:ascii="Verdana" w:hAnsi="Verdana" w:cs="Arial"/>
          <w:shd w:val="clear" w:color="auto" w:fill="FFFFFF"/>
        </w:rPr>
        <w:t xml:space="preserve"> en SECOP dentro de los tres (3) días siguientes a su expedición, para cumplir el deber de publicidad regulado por el artículo 2.2.1.1.1.7.1. del Decreto 1082 de 2015.</w:t>
      </w:r>
    </w:p>
    <w:p w14:paraId="278E039E" w14:textId="77777777" w:rsidR="00AF0E44" w:rsidRPr="003C545C" w:rsidRDefault="00AF0E44" w:rsidP="00AF0E44">
      <w:pPr>
        <w:tabs>
          <w:tab w:val="left" w:pos="709"/>
        </w:tabs>
        <w:spacing w:before="120" w:after="120" w:line="276" w:lineRule="auto"/>
        <w:ind w:firstLine="709"/>
        <w:jc w:val="both"/>
        <w:rPr>
          <w:rStyle w:val="eop"/>
          <w:rFonts w:ascii="Verdana" w:hAnsi="Verdana" w:cs="Arial"/>
          <w:shd w:val="clear" w:color="auto" w:fill="FFFFFF"/>
        </w:rPr>
      </w:pPr>
      <w:r>
        <w:rPr>
          <w:rFonts w:ascii="Verdana" w:hAnsi="Verdana" w:cs="Arial"/>
          <w:shd w:val="clear" w:color="auto" w:fill="FFFFFF"/>
        </w:rPr>
        <w:lastRenderedPageBreak/>
        <w:t>Conforme a lo anterior</w:t>
      </w:r>
      <w:r w:rsidRPr="003C545C">
        <w:rPr>
          <w:rFonts w:ascii="Verdana" w:hAnsi="Verdana" w:cs="Arial"/>
          <w:shd w:val="clear" w:color="auto" w:fill="FFFFFF"/>
        </w:rPr>
        <w:t xml:space="preserve">, </w:t>
      </w:r>
      <w:r>
        <w:rPr>
          <w:rFonts w:ascii="Verdana" w:hAnsi="Verdana" w:cs="Arial"/>
          <w:shd w:val="clear" w:color="auto" w:fill="FFFFFF"/>
        </w:rPr>
        <w:t xml:space="preserve">es clara </w:t>
      </w:r>
      <w:r w:rsidRPr="003C545C">
        <w:rPr>
          <w:rFonts w:ascii="Verdana" w:hAnsi="Verdana" w:cs="Arial"/>
          <w:shd w:val="clear" w:color="auto" w:fill="FFFFFF"/>
        </w:rPr>
        <w:t xml:space="preserve">la obligatoriedad de publicar la información </w:t>
      </w:r>
      <w:r>
        <w:rPr>
          <w:rFonts w:ascii="Verdana" w:hAnsi="Verdana" w:cs="Arial"/>
          <w:shd w:val="clear" w:color="auto" w:fill="FFFFFF"/>
        </w:rPr>
        <w:t xml:space="preserve">de la actividad </w:t>
      </w:r>
      <w:r w:rsidRPr="003C545C">
        <w:rPr>
          <w:rFonts w:ascii="Verdana" w:hAnsi="Verdana" w:cs="Arial"/>
          <w:shd w:val="clear" w:color="auto" w:fill="FFFFFF"/>
        </w:rPr>
        <w:t>contractual</w:t>
      </w:r>
      <w:r>
        <w:rPr>
          <w:rFonts w:ascii="Verdana" w:hAnsi="Verdana" w:cs="Arial"/>
          <w:shd w:val="clear" w:color="auto" w:fill="FFFFFF"/>
        </w:rPr>
        <w:t xml:space="preserve"> que se realiza con cargo a recursos públicos</w:t>
      </w:r>
      <w:r w:rsidRPr="003C545C">
        <w:rPr>
          <w:rFonts w:ascii="Verdana" w:hAnsi="Verdana" w:cs="Arial"/>
          <w:shd w:val="clear" w:color="auto" w:fill="FFFFFF"/>
        </w:rPr>
        <w:t xml:space="preserve"> en el SECOP, incluidas aquellas con regímenes contractuales especiales. Esta obligación incluye todos los documentos generados durante las fases precontractual, contractual y </w:t>
      </w:r>
      <w:proofErr w:type="spellStart"/>
      <w:r w:rsidRPr="003C545C">
        <w:rPr>
          <w:rFonts w:ascii="Verdana" w:hAnsi="Verdana" w:cs="Arial"/>
          <w:shd w:val="clear" w:color="auto" w:fill="FFFFFF"/>
        </w:rPr>
        <w:t>postcontractual</w:t>
      </w:r>
      <w:proofErr w:type="spellEnd"/>
      <w:r w:rsidRPr="003C545C">
        <w:rPr>
          <w:rFonts w:ascii="Verdana" w:hAnsi="Verdana" w:cs="Arial"/>
          <w:shd w:val="clear" w:color="auto" w:fill="FFFFFF"/>
        </w:rPr>
        <w:t>, como contratos, actos administrativos e información generada con ocasión al proceso de contratación. Esto tiene como objetivo garantizar la transparencia, el acceso público a la información y el control social sobre la contratación pública, permitiendo que la ciudadanía tenga acceso a los documentos en un sistema unificado y oficial.</w:t>
      </w:r>
    </w:p>
    <w:p w14:paraId="0E2D885D" w14:textId="77777777" w:rsidR="00AF0E44" w:rsidRDefault="00AF0E44" w:rsidP="00AF0E44">
      <w:pPr>
        <w:tabs>
          <w:tab w:val="left" w:pos="709"/>
        </w:tabs>
        <w:spacing w:before="120" w:after="0" w:line="276" w:lineRule="auto"/>
        <w:ind w:firstLine="709"/>
        <w:jc w:val="both"/>
        <w:rPr>
          <w:rFonts w:ascii="Verdana" w:hAnsi="Verdana" w:cs="Arial"/>
          <w:shd w:val="clear" w:color="auto" w:fill="FFFFFF"/>
        </w:rPr>
      </w:pPr>
      <w:r w:rsidRPr="003C545C">
        <w:rPr>
          <w:rFonts w:ascii="Verdana" w:hAnsi="Verdana" w:cs="Arial"/>
          <w:shd w:val="clear" w:color="auto" w:fill="FFFFFF"/>
        </w:rPr>
        <w:t xml:space="preserve">Por último, se precisa, que corresponderá a la Entidad Estatal, previo concepto de sus órganos asesores, dar cumplimiento a la publicación de los documentos que expiden dentro de un proceso de contratación en el SECOP, ya sea en SECOP I o en SECOP II en cumplimiento de las disposiciones legales y reglamentarias. </w:t>
      </w:r>
    </w:p>
    <w:p w14:paraId="03D50199" w14:textId="77777777" w:rsidR="00AF0E44" w:rsidRPr="008F40AA" w:rsidRDefault="00AF0E44" w:rsidP="008F40AA">
      <w:pPr>
        <w:tabs>
          <w:tab w:val="left" w:pos="709"/>
        </w:tabs>
        <w:spacing w:after="0" w:line="276" w:lineRule="auto"/>
        <w:ind w:firstLine="709"/>
        <w:jc w:val="both"/>
        <w:rPr>
          <w:rFonts w:ascii="Verdana" w:hAnsi="Verdana" w:cs="Arial"/>
          <w:shd w:val="clear" w:color="auto" w:fill="FFFFFF"/>
        </w:rPr>
      </w:pPr>
    </w:p>
    <w:p w14:paraId="435DC9DE" w14:textId="77777777" w:rsidR="00AF0E44" w:rsidRPr="008F40AA" w:rsidRDefault="00AF0E44" w:rsidP="00E21910">
      <w:pPr>
        <w:numPr>
          <w:ilvl w:val="0"/>
          <w:numId w:val="16"/>
        </w:numPr>
        <w:spacing w:after="0" w:line="276" w:lineRule="auto"/>
        <w:ind w:left="0" w:firstLine="0"/>
        <w:rPr>
          <w:rFonts w:ascii="Verdana" w:eastAsia="Calibri" w:hAnsi="Verdana" w:cs="Times New Roman"/>
          <w:b/>
          <w:bCs/>
          <w:lang w:val="es-ES"/>
        </w:rPr>
      </w:pPr>
      <w:r w:rsidRPr="008F40AA">
        <w:rPr>
          <w:rFonts w:ascii="Verdana" w:eastAsia="Calibri" w:hAnsi="Verdana" w:cs="Times New Roman"/>
          <w:b/>
          <w:bCs/>
          <w:lang w:val="es-ES"/>
        </w:rPr>
        <w:t>Referencias normativas, jurisprudenciales y otras fuentes:</w:t>
      </w:r>
    </w:p>
    <w:p w14:paraId="00161EC6" w14:textId="77777777" w:rsidR="00AF0E44" w:rsidRPr="008F40AA" w:rsidRDefault="00AF0E44" w:rsidP="008F40AA">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F0E44" w:rsidRPr="008F40AA" w14:paraId="3D941F5F" w14:textId="77777777" w:rsidTr="00F37389">
        <w:trPr>
          <w:trHeight w:val="870"/>
          <w:jc w:val="center"/>
        </w:trPr>
        <w:tc>
          <w:tcPr>
            <w:tcW w:w="8647" w:type="dxa"/>
          </w:tcPr>
          <w:p w14:paraId="6BA737B1" w14:textId="77777777" w:rsidR="00AF0E44" w:rsidRPr="008F40AA" w:rsidRDefault="00AF0E44" w:rsidP="00E21910">
            <w:pPr>
              <w:pStyle w:val="Prrafodelista"/>
              <w:spacing w:line="276" w:lineRule="auto"/>
              <w:rPr>
                <w:rFonts w:ascii="Verdana" w:hAnsi="Verdana" w:cs="Arial"/>
              </w:rPr>
            </w:pPr>
          </w:p>
          <w:p w14:paraId="09107020" w14:textId="77777777" w:rsidR="00AF0E44" w:rsidRPr="008F40AA" w:rsidRDefault="00AF0E44" w:rsidP="008F40AA">
            <w:pPr>
              <w:pStyle w:val="Prrafodelista"/>
              <w:widowControl w:val="0"/>
              <w:numPr>
                <w:ilvl w:val="0"/>
                <w:numId w:val="17"/>
              </w:numPr>
              <w:autoSpaceDE w:val="0"/>
              <w:autoSpaceDN w:val="0"/>
              <w:spacing w:line="276" w:lineRule="auto"/>
              <w:jc w:val="both"/>
              <w:rPr>
                <w:rFonts w:ascii="Verdana" w:hAnsi="Verdana" w:cs="Arial"/>
                <w:lang w:val="es-ES_tradnl"/>
              </w:rPr>
            </w:pPr>
            <w:r w:rsidRPr="008F40AA">
              <w:rPr>
                <w:rFonts w:ascii="Verdana" w:hAnsi="Verdana" w:cs="Arial"/>
                <w:lang w:val="es-ES_tradnl"/>
              </w:rPr>
              <w:t>Constitución Política, artículos 74 y 209.</w:t>
            </w:r>
          </w:p>
          <w:p w14:paraId="56AA2F40" w14:textId="77777777" w:rsidR="00AF0E44" w:rsidRPr="008F40AA" w:rsidRDefault="00AF0E44" w:rsidP="008F40AA">
            <w:pPr>
              <w:pStyle w:val="Prrafodelista"/>
              <w:widowControl w:val="0"/>
              <w:numPr>
                <w:ilvl w:val="0"/>
                <w:numId w:val="17"/>
              </w:numPr>
              <w:autoSpaceDE w:val="0"/>
              <w:autoSpaceDN w:val="0"/>
              <w:spacing w:line="276" w:lineRule="auto"/>
              <w:jc w:val="both"/>
              <w:rPr>
                <w:rFonts w:ascii="Verdana" w:hAnsi="Verdana" w:cs="Arial"/>
                <w:lang w:val="es-ES_tradnl"/>
              </w:rPr>
            </w:pPr>
            <w:r w:rsidRPr="008F40AA">
              <w:rPr>
                <w:rFonts w:ascii="Verdana" w:hAnsi="Verdana" w:cs="Arial"/>
                <w:lang w:val="es-ES_tradnl"/>
              </w:rPr>
              <w:t>Ley 1150 de 2007, artículo 3.</w:t>
            </w:r>
          </w:p>
          <w:p w14:paraId="59E389DB" w14:textId="77777777" w:rsidR="00AF0E44" w:rsidRPr="008F40AA" w:rsidRDefault="00AF0E44" w:rsidP="008F40AA">
            <w:pPr>
              <w:pStyle w:val="Prrafodelista"/>
              <w:widowControl w:val="0"/>
              <w:numPr>
                <w:ilvl w:val="0"/>
                <w:numId w:val="17"/>
              </w:numPr>
              <w:autoSpaceDE w:val="0"/>
              <w:autoSpaceDN w:val="0"/>
              <w:spacing w:line="276" w:lineRule="auto"/>
              <w:jc w:val="both"/>
              <w:rPr>
                <w:rFonts w:ascii="Verdana" w:hAnsi="Verdana" w:cs="Arial"/>
                <w:lang w:val="es-ES_tradnl"/>
              </w:rPr>
            </w:pPr>
            <w:r w:rsidRPr="008F40AA">
              <w:rPr>
                <w:rFonts w:ascii="Verdana" w:hAnsi="Verdana" w:cs="Arial"/>
                <w:lang w:val="es-CO"/>
              </w:rPr>
              <w:t xml:space="preserve">Decreto Ley 4170 de 2011, artículo 3° numerales 2, 5 y 8. </w:t>
            </w:r>
          </w:p>
          <w:p w14:paraId="092C8E13" w14:textId="77777777" w:rsidR="00AF0E44" w:rsidRPr="008F40AA" w:rsidRDefault="00AF0E44" w:rsidP="008F40AA">
            <w:pPr>
              <w:pStyle w:val="Prrafodelista"/>
              <w:numPr>
                <w:ilvl w:val="0"/>
                <w:numId w:val="17"/>
              </w:numPr>
              <w:spacing w:line="276" w:lineRule="auto"/>
              <w:rPr>
                <w:rFonts w:ascii="Verdana" w:hAnsi="Verdana" w:cs="Arial"/>
                <w:lang w:val="es-ES_tradnl"/>
              </w:rPr>
            </w:pPr>
            <w:r w:rsidRPr="008F40AA">
              <w:rPr>
                <w:rFonts w:ascii="Verdana" w:hAnsi="Verdana" w:cs="Arial"/>
                <w:lang w:val="es-ES_tradnl"/>
              </w:rPr>
              <w:t xml:space="preserve">Ley 1508 de 2012, artículos 1, 2, 3, 19. </w:t>
            </w:r>
          </w:p>
          <w:p w14:paraId="0D531784" w14:textId="77777777" w:rsidR="00AF0E44" w:rsidRPr="008F40AA" w:rsidRDefault="00AF0E44" w:rsidP="008F40AA">
            <w:pPr>
              <w:pStyle w:val="Prrafodelista"/>
              <w:widowControl w:val="0"/>
              <w:numPr>
                <w:ilvl w:val="0"/>
                <w:numId w:val="17"/>
              </w:numPr>
              <w:autoSpaceDE w:val="0"/>
              <w:autoSpaceDN w:val="0"/>
              <w:spacing w:line="276" w:lineRule="auto"/>
              <w:jc w:val="both"/>
              <w:rPr>
                <w:rFonts w:ascii="Verdana" w:hAnsi="Verdana" w:cs="Arial"/>
                <w:lang w:val="es-ES_tradnl"/>
              </w:rPr>
            </w:pPr>
            <w:r w:rsidRPr="008F40AA">
              <w:rPr>
                <w:rFonts w:ascii="Verdana" w:hAnsi="Verdana" w:cs="Arial"/>
                <w:lang w:val="es-ES_tradnl"/>
              </w:rPr>
              <w:t>Ley 1712 de 2014.</w:t>
            </w:r>
          </w:p>
          <w:p w14:paraId="47B9E7AA" w14:textId="77777777" w:rsidR="00AF0E44" w:rsidRPr="008F40AA" w:rsidRDefault="00AF0E44" w:rsidP="008F40AA">
            <w:pPr>
              <w:pStyle w:val="Prrafodelista"/>
              <w:widowControl w:val="0"/>
              <w:numPr>
                <w:ilvl w:val="0"/>
                <w:numId w:val="17"/>
              </w:numPr>
              <w:autoSpaceDE w:val="0"/>
              <w:autoSpaceDN w:val="0"/>
              <w:spacing w:line="276" w:lineRule="auto"/>
              <w:jc w:val="both"/>
              <w:rPr>
                <w:rFonts w:ascii="Verdana" w:hAnsi="Verdana" w:cs="Arial"/>
                <w:lang w:val="es-ES_tradnl"/>
              </w:rPr>
            </w:pPr>
            <w:r w:rsidRPr="008F40AA">
              <w:rPr>
                <w:rFonts w:ascii="Verdana" w:hAnsi="Verdana" w:cs="Arial"/>
                <w:lang w:val="es-ES_tradnl"/>
              </w:rPr>
              <w:t>Decreto 1081 de 2015, artículo 2.1.1.2.1.7.</w:t>
            </w:r>
          </w:p>
          <w:p w14:paraId="41F92DE3" w14:textId="77777777" w:rsidR="00AF0E44" w:rsidRPr="008F40AA" w:rsidRDefault="00AF0E44" w:rsidP="008F40AA">
            <w:pPr>
              <w:pStyle w:val="Prrafodelista"/>
              <w:widowControl w:val="0"/>
              <w:numPr>
                <w:ilvl w:val="0"/>
                <w:numId w:val="17"/>
              </w:numPr>
              <w:autoSpaceDE w:val="0"/>
              <w:autoSpaceDN w:val="0"/>
              <w:spacing w:line="276" w:lineRule="auto"/>
              <w:jc w:val="both"/>
              <w:rPr>
                <w:rFonts w:ascii="Verdana" w:hAnsi="Verdana" w:cs="Arial"/>
                <w:lang w:val="es-ES_tradnl"/>
              </w:rPr>
            </w:pPr>
            <w:r w:rsidRPr="008F40AA">
              <w:rPr>
                <w:rFonts w:ascii="Verdana" w:hAnsi="Verdana" w:cs="Arial"/>
                <w:lang w:val="es-ES_tradnl"/>
              </w:rPr>
              <w:t>Decreto 1082 de 2015, artículos 2.2.1.1.1.7.1, 2.2.1.1.1.3.1., 2.2.2.1.8.3., 2.2.2.1.5.11., 2.2.2.1.12.7.</w:t>
            </w:r>
          </w:p>
          <w:p w14:paraId="0F624219" w14:textId="77777777" w:rsidR="00AF0E44" w:rsidRPr="008F40AA" w:rsidRDefault="00AF0E44" w:rsidP="008F40AA">
            <w:pPr>
              <w:pStyle w:val="Prrafodelista"/>
              <w:widowControl w:val="0"/>
              <w:numPr>
                <w:ilvl w:val="0"/>
                <w:numId w:val="17"/>
              </w:numPr>
              <w:autoSpaceDE w:val="0"/>
              <w:autoSpaceDN w:val="0"/>
              <w:spacing w:line="276" w:lineRule="auto"/>
              <w:jc w:val="both"/>
              <w:rPr>
                <w:rFonts w:ascii="Verdana" w:hAnsi="Verdana" w:cs="Arial"/>
                <w:lang w:val="es-ES_tradnl"/>
              </w:rPr>
            </w:pPr>
            <w:r w:rsidRPr="008F40AA">
              <w:rPr>
                <w:rFonts w:ascii="Verdana" w:hAnsi="Verdana" w:cs="Arial"/>
                <w:lang w:val="es-ES_tradnl"/>
              </w:rPr>
              <w:t>Circular Externa 03 de 2024 de la Agencia Nacional de Contratación Pública –Colombia Compra Eficiente.</w:t>
            </w:r>
          </w:p>
          <w:p w14:paraId="478E6A62" w14:textId="77777777" w:rsidR="00AF0E44" w:rsidRPr="008F40AA" w:rsidRDefault="00AF0E44" w:rsidP="008F40AA">
            <w:pPr>
              <w:pStyle w:val="Prrafodelista"/>
              <w:widowControl w:val="0"/>
              <w:autoSpaceDE w:val="0"/>
              <w:autoSpaceDN w:val="0"/>
              <w:spacing w:line="276" w:lineRule="auto"/>
              <w:jc w:val="both"/>
              <w:rPr>
                <w:rFonts w:ascii="Verdana" w:hAnsi="Verdana" w:cs="Arial"/>
                <w:lang w:val="es-ES_tradnl"/>
              </w:rPr>
            </w:pPr>
          </w:p>
        </w:tc>
      </w:tr>
    </w:tbl>
    <w:p w14:paraId="76845D52" w14:textId="77777777" w:rsidR="00AF0E44" w:rsidRPr="008F40AA" w:rsidRDefault="00AF0E44" w:rsidP="008F40AA">
      <w:pPr>
        <w:spacing w:after="0" w:line="276" w:lineRule="auto"/>
        <w:ind w:right="709"/>
        <w:jc w:val="both"/>
        <w:rPr>
          <w:rFonts w:ascii="Verdana" w:hAnsi="Verdana" w:cs="Arial"/>
          <w:color w:val="000000" w:themeColor="text1"/>
          <w:lang w:val="es-ES_tradnl"/>
        </w:rPr>
      </w:pPr>
    </w:p>
    <w:p w14:paraId="4EFCFC83" w14:textId="77777777" w:rsidR="00AF0E44" w:rsidRPr="008F40AA" w:rsidRDefault="00AF0E44" w:rsidP="00E21910">
      <w:pPr>
        <w:numPr>
          <w:ilvl w:val="0"/>
          <w:numId w:val="16"/>
        </w:numPr>
        <w:spacing w:after="0" w:line="276" w:lineRule="auto"/>
        <w:ind w:left="0" w:firstLine="0"/>
        <w:rPr>
          <w:rFonts w:ascii="Verdana" w:eastAsia="Calibri" w:hAnsi="Verdana" w:cs="Times New Roman"/>
          <w:b/>
          <w:bCs/>
          <w:lang w:val="es-ES"/>
        </w:rPr>
      </w:pPr>
      <w:r w:rsidRPr="008F40AA">
        <w:rPr>
          <w:rFonts w:ascii="Verdana" w:eastAsia="Calibri" w:hAnsi="Verdana" w:cs="Times New Roman"/>
          <w:b/>
          <w:bCs/>
          <w:lang w:val="es-ES"/>
        </w:rPr>
        <w:t>Doctrina de la Agencia Nacional de Contratación Pública:</w:t>
      </w:r>
    </w:p>
    <w:p w14:paraId="5A7012D1" w14:textId="77777777" w:rsidR="00AF0E44" w:rsidRPr="008F40AA" w:rsidRDefault="00AF0E44" w:rsidP="008F40AA">
      <w:pPr>
        <w:widowControl w:val="0"/>
        <w:autoSpaceDE w:val="0"/>
        <w:autoSpaceDN w:val="0"/>
        <w:spacing w:after="0" w:line="276" w:lineRule="auto"/>
        <w:jc w:val="both"/>
        <w:rPr>
          <w:rFonts w:ascii="Verdana" w:hAnsi="Verdana" w:cs="Arial"/>
          <w:bCs/>
          <w:shd w:val="clear" w:color="auto" w:fill="FFFFFF"/>
        </w:rPr>
      </w:pPr>
    </w:p>
    <w:p w14:paraId="188EC4FA" w14:textId="77777777" w:rsidR="00AF0E44" w:rsidRPr="008F40AA" w:rsidRDefault="00AF0E44" w:rsidP="008F40AA">
      <w:pPr>
        <w:widowControl w:val="0"/>
        <w:autoSpaceDE w:val="0"/>
        <w:autoSpaceDN w:val="0"/>
        <w:spacing w:after="0" w:line="276" w:lineRule="auto"/>
        <w:jc w:val="both"/>
        <w:rPr>
          <w:rFonts w:ascii="Verdana" w:eastAsia="Calibri" w:hAnsi="Verdana" w:cs="Times New Roman"/>
        </w:rPr>
      </w:pPr>
      <w:r w:rsidRPr="008F40AA">
        <w:rPr>
          <w:rFonts w:ascii="Verdana" w:hAnsi="Verdana" w:cs="Arial"/>
          <w:bCs/>
          <w:shd w:val="clear" w:color="auto" w:fill="FFFFFF"/>
        </w:rPr>
        <w:t xml:space="preserve">La Agencia Nacional de Contratación Pública – Colombia Compra Eficiente, en los conceptos </w:t>
      </w:r>
      <w:r w:rsidRPr="008F40AA">
        <w:rPr>
          <w:rFonts w:ascii="Verdana" w:hAnsi="Verdana" w:cs="Arial"/>
          <w:bCs/>
          <w:shd w:val="clear" w:color="auto" w:fill="FFFFFF"/>
          <w:lang w:val="es-ES_tradnl"/>
        </w:rPr>
        <w:t xml:space="preserve">CU-367 del 23 de julio de 2020, reiterado en los conceptos: C−433 de 24 de julio de 2020, C−468 del 24 de julio de 2020, C−474 de 24 de julio de 2020, C−488 del 28 de julio de 2020, C−544 del 21 de agosto de 2020, C−575 del 27 de agosto de 2020, C−643 del 26 de octubre de 2020, C−661 del 17 de </w:t>
      </w:r>
      <w:r w:rsidRPr="008F40AA">
        <w:rPr>
          <w:rFonts w:ascii="Verdana" w:hAnsi="Verdana" w:cs="Arial"/>
          <w:bCs/>
          <w:shd w:val="clear" w:color="auto" w:fill="FFFFFF"/>
          <w:lang w:val="es-ES_tradnl"/>
        </w:rPr>
        <w:lastRenderedPageBreak/>
        <w:t>noviembre de 2020, C-094 del 13 de abril de 2021, C−068 del 22 de abril de 2021, C-185 del 29 de abril de 2021, C-472 del 6 de septiembre de 2021 y C-804 de 2024</w:t>
      </w:r>
      <w:r w:rsidRPr="008F40AA">
        <w:rPr>
          <w:rFonts w:ascii="Verdana" w:hAnsi="Verdana" w:cs="Arial"/>
          <w:bCs/>
          <w:shd w:val="clear" w:color="auto" w:fill="FFFFFF"/>
        </w:rPr>
        <w:t xml:space="preserve">, entre otros. </w:t>
      </w:r>
      <w:r w:rsidRPr="008F40AA">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3827779F" w14:textId="77777777" w:rsidR="00AF0E44" w:rsidRPr="008F40AA" w:rsidRDefault="00AF0E44" w:rsidP="00E21910">
      <w:pPr>
        <w:spacing w:after="0" w:line="276" w:lineRule="auto"/>
        <w:jc w:val="both"/>
        <w:rPr>
          <w:rFonts w:ascii="Verdana" w:eastAsia="Calibri" w:hAnsi="Verdana" w:cs="Times New Roman"/>
        </w:rPr>
      </w:pPr>
      <w:hyperlink r:id="rId12" w:history="1">
        <w:r w:rsidRPr="008F40AA">
          <w:rPr>
            <w:rFonts w:ascii="Verdana" w:eastAsia="Calibri" w:hAnsi="Verdana" w:cs="Times New Roman"/>
            <w:color w:val="0000FF"/>
            <w:u w:val="single"/>
            <w:lang w:val="es-ES"/>
          </w:rPr>
          <w:t>https://relatoria.colombiacompra.gov.co/busqueda/conceptos</w:t>
        </w:r>
      </w:hyperlink>
      <w:r w:rsidRPr="008F40AA">
        <w:rPr>
          <w:rFonts w:ascii="Verdana" w:eastAsia="Calibri" w:hAnsi="Verdana" w:cs="Times New Roman"/>
        </w:rPr>
        <w:t xml:space="preserve">. </w:t>
      </w:r>
    </w:p>
    <w:p w14:paraId="5D24EF91" w14:textId="77777777" w:rsidR="00AF0E44" w:rsidRPr="008F40AA" w:rsidRDefault="00AF0E44" w:rsidP="00E21910">
      <w:pPr>
        <w:spacing w:after="0" w:line="276" w:lineRule="auto"/>
        <w:jc w:val="both"/>
        <w:rPr>
          <w:rFonts w:ascii="Verdana" w:eastAsia="Calibri" w:hAnsi="Verdana" w:cs="Times New Roman"/>
        </w:rPr>
      </w:pPr>
      <w:r w:rsidRPr="008F40AA">
        <w:rPr>
          <w:rFonts w:ascii="Verdana" w:eastAsia="Calibri" w:hAnsi="Verdana" w:cs="Times New Roman"/>
        </w:rPr>
        <w:br/>
        <w:t>Te informamos que ya se encuentra disponible la </w:t>
      </w:r>
      <w:r w:rsidRPr="008F40AA">
        <w:rPr>
          <w:rFonts w:ascii="Verdana" w:eastAsia="Calibri" w:hAnsi="Verdana" w:cs="Times New Roman"/>
          <w:b/>
          <w:bCs/>
        </w:rPr>
        <w:t>Cartilla para incentivar y fortalecer el acceso a las compras y contratación pública de los pueblos y comunidades étnicas en Colombia.</w:t>
      </w:r>
      <w:r w:rsidRPr="008F40AA">
        <w:rPr>
          <w:rFonts w:ascii="Verdana" w:eastAsia="Calibri" w:hAnsi="Verdana" w:cs="Times New Roman"/>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3" w:tgtFrame="_blank" w:tooltip="Dirección URL original: https://www.colombiacompra.gov.co/manuales-guias-y-pliegos-tipo/manuales-y-guias/cartilla-para-incentivar-y-fortalecer-el-acceso-las. Haga clic o pulse si confía en este vínculo." w:history="1">
        <w:r w:rsidRPr="008F40AA">
          <w:rPr>
            <w:rStyle w:val="Hipervnculo"/>
            <w:rFonts w:ascii="Verdana" w:eastAsia="Calibri" w:hAnsi="Verdana" w:cs="Times New Roman"/>
          </w:rPr>
          <w:t>Cartilla para incentivar y fortalecer el acceso a las compras y contratación pública de los pueblos y comunidades étnicas en Colombia | Colombia Compra Eficiente | Agencia Nacional de Contratación Pública</w:t>
        </w:r>
      </w:hyperlink>
    </w:p>
    <w:p w14:paraId="6D078196" w14:textId="77777777" w:rsidR="00AF0E44" w:rsidRPr="008F40AA" w:rsidRDefault="00AF0E44" w:rsidP="00E21910">
      <w:pPr>
        <w:spacing w:after="0" w:line="276" w:lineRule="auto"/>
        <w:jc w:val="both"/>
        <w:rPr>
          <w:rFonts w:ascii="Verdana" w:eastAsia="Calibri" w:hAnsi="Verdana" w:cs="Times New Roman"/>
        </w:rPr>
      </w:pPr>
    </w:p>
    <w:p w14:paraId="3DC0277C" w14:textId="77777777" w:rsidR="00AF0E44" w:rsidRPr="008F40AA" w:rsidRDefault="00AF0E44" w:rsidP="00E21910">
      <w:pPr>
        <w:spacing w:after="0" w:line="276" w:lineRule="auto"/>
        <w:jc w:val="both"/>
        <w:rPr>
          <w:rFonts w:ascii="Verdana" w:eastAsia="Calibri" w:hAnsi="Verdana" w:cs="Times New Roman"/>
        </w:rPr>
      </w:pPr>
      <w:r w:rsidRPr="008F40AA">
        <w:rPr>
          <w:rFonts w:ascii="Verdana" w:eastAsia="Calibri" w:hAnsi="Verdana" w:cs="Times New Roman"/>
        </w:rPr>
        <w:t>También, te contamos que ya publicamos </w:t>
      </w:r>
      <w:r w:rsidRPr="008F40AA">
        <w:rPr>
          <w:rFonts w:ascii="Verdana" w:eastAsia="Calibri" w:hAnsi="Verdana" w:cs="Times New Roman"/>
          <w:b/>
          <w:bCs/>
        </w:rPr>
        <w:t>la nueva Guía de Contratación Pública Sostenible y Socialmente Responsable</w:t>
      </w:r>
      <w:r w:rsidRPr="008F40AA">
        <w:rPr>
          <w:rFonts w:ascii="Verdana" w:eastAsia="Calibri" w:hAnsi="Verdana" w:cs="Times New Roman"/>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4" w:tgtFrame="_blank" w:tooltip="Dirección URL original: https://www.colombiacompra.gov.co/manuales-guias-y-pliegos-tipo/manuales-y-guias/guia-de-contratacion-publica-sostenible-y-socialmente. Haga clic o pulse si confía en este vínculo." w:history="1">
        <w:r w:rsidRPr="008F40AA">
          <w:rPr>
            <w:rStyle w:val="Hipervnculo"/>
            <w:rFonts w:ascii="Verdana" w:eastAsia="Calibri" w:hAnsi="Verdana" w:cs="Times New Roman"/>
          </w:rPr>
          <w:t>Guía de Contratación Pública Sostenible y Socialmente Responsable | Colombia Compra Eficiente | Agencia Nacional de Contratación Pública</w:t>
        </w:r>
      </w:hyperlink>
    </w:p>
    <w:p w14:paraId="2AB248A0" w14:textId="77777777" w:rsidR="00AF0E44" w:rsidRPr="008F40AA" w:rsidRDefault="00AF0E44" w:rsidP="00E21910">
      <w:pPr>
        <w:spacing w:after="0" w:line="276" w:lineRule="auto"/>
        <w:jc w:val="both"/>
        <w:rPr>
          <w:rFonts w:ascii="Verdana" w:eastAsia="Calibri" w:hAnsi="Verdana" w:cs="Times New Roman"/>
          <w:lang w:val="es-ES"/>
        </w:rPr>
      </w:pPr>
    </w:p>
    <w:p w14:paraId="1498FE4A" w14:textId="77777777" w:rsidR="00AF0E44" w:rsidRPr="008F40AA" w:rsidRDefault="00AF0E44" w:rsidP="00E21910">
      <w:pPr>
        <w:spacing w:after="0" w:line="276" w:lineRule="auto"/>
        <w:jc w:val="both"/>
        <w:rPr>
          <w:rFonts w:ascii="Verdana" w:hAnsi="Verdana"/>
        </w:rPr>
      </w:pPr>
      <w:r w:rsidRPr="008F40AA">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4C602065" w14:textId="77777777" w:rsidR="00AF0E44" w:rsidRPr="008F40AA" w:rsidRDefault="00AF0E44" w:rsidP="00E21910">
      <w:pPr>
        <w:spacing w:after="0" w:line="276" w:lineRule="auto"/>
        <w:jc w:val="both"/>
        <w:rPr>
          <w:rFonts w:ascii="Verdana" w:hAnsi="Verdana"/>
        </w:rPr>
      </w:pPr>
    </w:p>
    <w:p w14:paraId="1EC78F6C" w14:textId="77777777" w:rsidR="00AF0E44" w:rsidRPr="008F40AA" w:rsidRDefault="00AF0E44" w:rsidP="00E21910">
      <w:pPr>
        <w:pStyle w:val="Prrafodelista"/>
        <w:numPr>
          <w:ilvl w:val="0"/>
          <w:numId w:val="15"/>
        </w:numPr>
        <w:spacing w:after="0" w:line="276" w:lineRule="auto"/>
        <w:jc w:val="both"/>
        <w:rPr>
          <w:rFonts w:ascii="Verdana" w:hAnsi="Verdana"/>
        </w:rPr>
      </w:pPr>
      <w:r w:rsidRPr="008F40AA">
        <w:rPr>
          <w:rFonts w:ascii="Verdana" w:hAnsi="Verdana"/>
        </w:rPr>
        <w:t>Línea nacional gratuita o servicio a la ciudadanía: 01800 0520808</w:t>
      </w:r>
    </w:p>
    <w:p w14:paraId="68D5D5B5" w14:textId="77777777" w:rsidR="00AF0E44" w:rsidRPr="008F40AA" w:rsidRDefault="00AF0E44" w:rsidP="00E21910">
      <w:pPr>
        <w:pStyle w:val="Prrafodelista"/>
        <w:numPr>
          <w:ilvl w:val="0"/>
          <w:numId w:val="15"/>
        </w:numPr>
        <w:spacing w:after="0" w:line="276" w:lineRule="auto"/>
        <w:jc w:val="both"/>
        <w:rPr>
          <w:rFonts w:ascii="Verdana" w:hAnsi="Verdana"/>
        </w:rPr>
      </w:pPr>
      <w:r w:rsidRPr="008F40AA">
        <w:rPr>
          <w:rFonts w:ascii="Verdana" w:hAnsi="Verdana"/>
        </w:rPr>
        <w:t>Línea en Bogotá (Mesa de servicio): +57 601 7456788</w:t>
      </w:r>
    </w:p>
    <w:p w14:paraId="6E7478C9" w14:textId="77777777" w:rsidR="00AF0E44" w:rsidRPr="008F40AA" w:rsidRDefault="00AF0E44" w:rsidP="00E21910">
      <w:pPr>
        <w:pStyle w:val="Prrafodelista"/>
        <w:numPr>
          <w:ilvl w:val="0"/>
          <w:numId w:val="15"/>
        </w:numPr>
        <w:spacing w:after="0" w:line="276" w:lineRule="auto"/>
        <w:jc w:val="both"/>
        <w:rPr>
          <w:rFonts w:ascii="Verdana" w:hAnsi="Verdana"/>
        </w:rPr>
      </w:pPr>
      <w:r w:rsidRPr="008F40AA">
        <w:rPr>
          <w:rFonts w:ascii="Verdana" w:hAnsi="Verdana"/>
        </w:rPr>
        <w:lastRenderedPageBreak/>
        <w:t>Línea de servicio y atención al ciudadano: +57 601 7956600</w:t>
      </w:r>
    </w:p>
    <w:p w14:paraId="054AB6C7" w14:textId="77777777" w:rsidR="00AF0E44" w:rsidRPr="008F40AA" w:rsidRDefault="00AF0E44" w:rsidP="00E21910">
      <w:pPr>
        <w:pStyle w:val="Prrafodelista"/>
        <w:numPr>
          <w:ilvl w:val="0"/>
          <w:numId w:val="15"/>
        </w:numPr>
        <w:spacing w:after="0" w:line="276" w:lineRule="auto"/>
        <w:jc w:val="both"/>
        <w:rPr>
          <w:rFonts w:ascii="Verdana" w:hAnsi="Verdana"/>
        </w:rPr>
      </w:pPr>
      <w:r w:rsidRPr="008F40AA">
        <w:rPr>
          <w:rFonts w:ascii="Verdana" w:hAnsi="Verdana"/>
        </w:rPr>
        <w:t xml:space="preserve">Página web: </w:t>
      </w:r>
      <w:hyperlink r:id="rId15" w:history="1">
        <w:r w:rsidRPr="008F40AA">
          <w:rPr>
            <w:rStyle w:val="Hipervnculo"/>
            <w:rFonts w:ascii="Verdana" w:hAnsi="Verdana"/>
          </w:rPr>
          <w:t>www.colombiacompra.gov.co</w:t>
        </w:r>
      </w:hyperlink>
    </w:p>
    <w:p w14:paraId="1E52983B" w14:textId="77777777" w:rsidR="00AF0E44" w:rsidRPr="008F40AA" w:rsidRDefault="00AF0E44" w:rsidP="00E21910">
      <w:pPr>
        <w:pStyle w:val="Prrafodelista"/>
        <w:spacing w:after="0" w:line="276" w:lineRule="auto"/>
        <w:ind w:left="785"/>
        <w:jc w:val="both"/>
        <w:rPr>
          <w:rFonts w:ascii="Verdana" w:hAnsi="Verdana"/>
        </w:rPr>
      </w:pPr>
    </w:p>
    <w:p w14:paraId="61A6E227" w14:textId="77777777" w:rsidR="00AF0E44" w:rsidRPr="008F40AA" w:rsidRDefault="00AF0E44" w:rsidP="00E21910">
      <w:pPr>
        <w:spacing w:after="0" w:line="276" w:lineRule="auto"/>
        <w:jc w:val="both"/>
        <w:rPr>
          <w:rFonts w:ascii="Verdana" w:hAnsi="Verdana"/>
        </w:rPr>
      </w:pPr>
      <w:r w:rsidRPr="008F40AA">
        <w:rPr>
          <w:rFonts w:ascii="Verdana" w:hAnsi="Verdana"/>
        </w:rPr>
        <w:t xml:space="preserve">Por último, lo invitamos a seguirnos en las redes sociales en las cuales se difunde información institucional: </w:t>
      </w:r>
    </w:p>
    <w:p w14:paraId="5A3EE063" w14:textId="77777777" w:rsidR="00AF0E44" w:rsidRPr="008F40AA" w:rsidRDefault="00AF0E44" w:rsidP="00E21910">
      <w:pPr>
        <w:spacing w:after="0" w:line="276" w:lineRule="auto"/>
        <w:jc w:val="both"/>
        <w:rPr>
          <w:rFonts w:ascii="Verdana" w:hAnsi="Verdana"/>
        </w:rPr>
      </w:pPr>
    </w:p>
    <w:p w14:paraId="39331739" w14:textId="77777777" w:rsidR="00AF0E44" w:rsidRPr="008F40AA" w:rsidRDefault="00AF0E44" w:rsidP="00E21910">
      <w:pPr>
        <w:spacing w:after="0" w:line="276" w:lineRule="auto"/>
        <w:jc w:val="both"/>
        <w:rPr>
          <w:rFonts w:ascii="Verdana" w:hAnsi="Verdana"/>
        </w:rPr>
      </w:pPr>
      <w:r w:rsidRPr="008F40AA">
        <w:rPr>
          <w:rFonts w:ascii="Verdana" w:hAnsi="Verdana"/>
        </w:rPr>
        <w:t xml:space="preserve">Twitter: </w:t>
      </w:r>
      <w:r w:rsidRPr="008F40AA">
        <w:rPr>
          <w:rStyle w:val="Hipervnculo"/>
          <w:rFonts w:ascii="Verdana" w:hAnsi="Verdana"/>
        </w:rPr>
        <w:t>@colombiacompra</w:t>
      </w:r>
      <w:r w:rsidRPr="008F40AA">
        <w:rPr>
          <w:rFonts w:ascii="Verdana" w:hAnsi="Verdana"/>
        </w:rPr>
        <w:t xml:space="preserve"> </w:t>
      </w:r>
    </w:p>
    <w:p w14:paraId="780EB6B4" w14:textId="77777777" w:rsidR="00AF0E44" w:rsidRPr="008F40AA" w:rsidRDefault="00AF0E44" w:rsidP="00E21910">
      <w:pPr>
        <w:spacing w:after="0" w:line="276" w:lineRule="auto"/>
        <w:jc w:val="both"/>
        <w:rPr>
          <w:rFonts w:ascii="Verdana" w:hAnsi="Verdana"/>
        </w:rPr>
      </w:pPr>
      <w:r w:rsidRPr="008F40AA">
        <w:rPr>
          <w:rFonts w:ascii="Verdana" w:hAnsi="Verdana"/>
        </w:rPr>
        <w:t xml:space="preserve">Facebook: </w:t>
      </w:r>
      <w:proofErr w:type="spellStart"/>
      <w:r w:rsidRPr="008F40AA">
        <w:rPr>
          <w:rStyle w:val="Hipervnculo"/>
          <w:rFonts w:ascii="Verdana" w:hAnsi="Verdana"/>
        </w:rPr>
        <w:t>ColombiaCompraEficiente</w:t>
      </w:r>
      <w:proofErr w:type="spellEnd"/>
    </w:p>
    <w:p w14:paraId="6783FECA" w14:textId="77777777" w:rsidR="00AF0E44" w:rsidRPr="008F40AA" w:rsidRDefault="00AF0E44" w:rsidP="00E21910">
      <w:pPr>
        <w:spacing w:after="0" w:line="276" w:lineRule="auto"/>
        <w:jc w:val="both"/>
        <w:rPr>
          <w:rFonts w:ascii="Verdana" w:hAnsi="Verdana"/>
        </w:rPr>
      </w:pPr>
      <w:r w:rsidRPr="008F40AA">
        <w:rPr>
          <w:rFonts w:ascii="Verdana" w:hAnsi="Verdana"/>
        </w:rPr>
        <w:t xml:space="preserve">LinkedIn: </w:t>
      </w:r>
      <w:r w:rsidRPr="008F40AA">
        <w:rPr>
          <w:rStyle w:val="Hipervnculo"/>
          <w:rFonts w:ascii="Verdana" w:hAnsi="Verdana"/>
        </w:rPr>
        <w:t>Agencia Nacional de Contratación Pública - Colombia Compra Eficiente</w:t>
      </w:r>
      <w:r w:rsidRPr="008F40AA">
        <w:rPr>
          <w:rFonts w:ascii="Verdana" w:hAnsi="Verdana"/>
        </w:rPr>
        <w:t xml:space="preserve"> Instagram: </w:t>
      </w:r>
      <w:r w:rsidRPr="008F40AA">
        <w:rPr>
          <w:rStyle w:val="Hipervnculo"/>
          <w:rFonts w:ascii="Verdana" w:hAnsi="Verdana"/>
        </w:rPr>
        <w:t>@colombiacompraeficiente_cce</w:t>
      </w:r>
    </w:p>
    <w:p w14:paraId="4DD27EB2" w14:textId="77777777" w:rsidR="00AF0E44" w:rsidRPr="008F40AA" w:rsidRDefault="00AF0E44" w:rsidP="00E21910">
      <w:pPr>
        <w:spacing w:after="0" w:line="276" w:lineRule="auto"/>
        <w:jc w:val="both"/>
        <w:rPr>
          <w:rFonts w:ascii="Verdana" w:hAnsi="Verdana"/>
        </w:rPr>
      </w:pPr>
    </w:p>
    <w:p w14:paraId="1F536169" w14:textId="77777777" w:rsidR="00AF0E44" w:rsidRPr="008F40AA" w:rsidRDefault="00AF0E44" w:rsidP="00E21910">
      <w:pPr>
        <w:spacing w:after="0" w:line="276" w:lineRule="auto"/>
        <w:jc w:val="both"/>
        <w:rPr>
          <w:rFonts w:ascii="Verdana" w:eastAsia="Calibri" w:hAnsi="Verdana" w:cs="Times New Roman"/>
          <w:bCs/>
          <w:lang w:val="es-ES_tradnl"/>
        </w:rPr>
      </w:pPr>
      <w:r w:rsidRPr="008F40AA">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CCCBE74" w14:textId="77777777" w:rsidR="00AF0E44" w:rsidRPr="008F40AA" w:rsidRDefault="00AF0E44" w:rsidP="00E21910">
      <w:pPr>
        <w:spacing w:after="0" w:line="276" w:lineRule="auto"/>
        <w:jc w:val="both"/>
        <w:rPr>
          <w:rFonts w:ascii="Verdana" w:eastAsia="Calibri" w:hAnsi="Verdana" w:cs="Times New Roman"/>
        </w:rPr>
      </w:pPr>
    </w:p>
    <w:p w14:paraId="35B342A8" w14:textId="77777777" w:rsidR="00AF0E44" w:rsidRPr="008F40AA" w:rsidRDefault="00AF0E44" w:rsidP="00E21910">
      <w:pPr>
        <w:spacing w:after="0" w:line="276" w:lineRule="auto"/>
        <w:jc w:val="both"/>
        <w:rPr>
          <w:rFonts w:ascii="Verdana" w:eastAsia="Calibri" w:hAnsi="Verdana" w:cs="Times New Roman"/>
        </w:rPr>
      </w:pPr>
      <w:r w:rsidRPr="008F40AA">
        <w:rPr>
          <w:rFonts w:ascii="Verdana" w:eastAsia="Calibri" w:hAnsi="Verdana" w:cs="Times New Roman"/>
        </w:rPr>
        <w:t>Atentamente,</w:t>
      </w:r>
    </w:p>
    <w:p w14:paraId="3910EAB1" w14:textId="73C84211" w:rsidR="00AF0E44" w:rsidRDefault="009F70EC" w:rsidP="00AF0E44">
      <w:pPr>
        <w:spacing w:after="0" w:line="256" w:lineRule="auto"/>
        <w:jc w:val="center"/>
        <w:rPr>
          <w:rFonts w:ascii="Verdana" w:eastAsia="Times New Roman" w:hAnsi="Verdana" w:cs="Arial"/>
          <w:noProof/>
          <w:sz w:val="24"/>
          <w:szCs w:val="24"/>
          <w:lang w:val="en-US"/>
        </w:rPr>
      </w:pPr>
      <w:r>
        <w:rPr>
          <w:rFonts w:ascii="Verdana" w:eastAsia="Times New Roman" w:hAnsi="Verdana" w:cs="Arial"/>
          <w:noProof/>
          <w:sz w:val="24"/>
          <w:szCs w:val="24"/>
          <w:lang w:val="en-US"/>
        </w:rPr>
        <w:drawing>
          <wp:inline distT="0" distB="0" distL="0" distR="0" wp14:anchorId="649B85ED" wp14:editId="75FAF99B">
            <wp:extent cx="3943260" cy="1695450"/>
            <wp:effectExtent l="0" t="0" r="635" b="0"/>
            <wp:docPr id="10756288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628848" name="Imagen 1075628848"/>
                    <pic:cNvPicPr/>
                  </pic:nvPicPr>
                  <pic:blipFill>
                    <a:blip r:embed="rId16">
                      <a:extLst>
                        <a:ext uri="{28A0092B-C50C-407E-A947-70E740481C1C}">
                          <a14:useLocalDpi xmlns:a14="http://schemas.microsoft.com/office/drawing/2010/main" val="0"/>
                        </a:ext>
                      </a:extLst>
                    </a:blip>
                    <a:stretch>
                      <a:fillRect/>
                    </a:stretch>
                  </pic:blipFill>
                  <pic:spPr>
                    <a:xfrm>
                      <a:off x="0" y="0"/>
                      <a:ext cx="3945877" cy="1696575"/>
                    </a:xfrm>
                    <a:prstGeom prst="rect">
                      <a:avLst/>
                    </a:prstGeom>
                  </pic:spPr>
                </pic:pic>
              </a:graphicData>
            </a:graphic>
          </wp:inline>
        </w:drawing>
      </w:r>
    </w:p>
    <w:p w14:paraId="590862F6" w14:textId="77777777" w:rsidR="00AF0E44" w:rsidRPr="00185EE9" w:rsidRDefault="00AF0E44" w:rsidP="00AF0E44">
      <w:pPr>
        <w:spacing w:after="0" w:line="256" w:lineRule="auto"/>
        <w:rPr>
          <w:rFonts w:ascii="Verdana" w:eastAsia="Calibri" w:hAnsi="Verdana" w:cs="Times New Roman"/>
          <w:lang w:val="es-E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AF0E44" w:rsidRPr="00185EE9" w14:paraId="2F122B26" w14:textId="77777777" w:rsidTr="00F37389">
        <w:trPr>
          <w:trHeight w:val="409"/>
        </w:trPr>
        <w:tc>
          <w:tcPr>
            <w:tcW w:w="817" w:type="dxa"/>
            <w:tcBorders>
              <w:top w:val="nil"/>
              <w:left w:val="nil"/>
              <w:bottom w:val="nil"/>
              <w:right w:val="nil"/>
            </w:tcBorders>
            <w:vAlign w:val="center"/>
            <w:hideMark/>
          </w:tcPr>
          <w:p w14:paraId="31C96F54" w14:textId="77777777" w:rsidR="00AF0E44" w:rsidRPr="00185EE9" w:rsidRDefault="00AF0E44" w:rsidP="00F37389">
            <w:pPr>
              <w:spacing w:after="0" w:line="240" w:lineRule="auto"/>
              <w:rPr>
                <w:rFonts w:ascii="Verdana" w:eastAsia="Calibri" w:hAnsi="Verdana" w:cs="Times New Roman"/>
                <w:sz w:val="16"/>
                <w:szCs w:val="16"/>
              </w:rPr>
            </w:pPr>
            <w:r w:rsidRPr="00185EE9">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17C0BBF1" w14:textId="28FCB93A" w:rsidR="00AF0E44" w:rsidRPr="00185EE9" w:rsidRDefault="00623CDC" w:rsidP="00F37389">
            <w:pPr>
              <w:spacing w:after="0" w:line="240" w:lineRule="auto"/>
              <w:rPr>
                <w:rFonts w:ascii="Verdana" w:eastAsia="Calibri" w:hAnsi="Verdana" w:cs="Times New Roman"/>
                <w:sz w:val="16"/>
                <w:szCs w:val="16"/>
              </w:rPr>
            </w:pPr>
            <w:r>
              <w:rPr>
                <w:rFonts w:ascii="Verdana" w:eastAsia="Calibri" w:hAnsi="Verdana" w:cs="Times New Roman"/>
                <w:sz w:val="16"/>
                <w:szCs w:val="16"/>
              </w:rPr>
              <w:t xml:space="preserve">Karol </w:t>
            </w:r>
            <w:r w:rsidR="00813FF6">
              <w:rPr>
                <w:rFonts w:ascii="Verdana" w:eastAsia="Calibri" w:hAnsi="Verdana" w:cs="Times New Roman"/>
                <w:sz w:val="16"/>
                <w:szCs w:val="16"/>
              </w:rPr>
              <w:t>Andrea Gonzalez Marin</w:t>
            </w:r>
            <w:r w:rsidR="00AF0E44">
              <w:rPr>
                <w:rFonts w:ascii="Verdana" w:eastAsia="Calibri" w:hAnsi="Verdana" w:cs="Times New Roman"/>
                <w:sz w:val="16"/>
                <w:szCs w:val="16"/>
              </w:rPr>
              <w:t xml:space="preserve"> </w:t>
            </w:r>
          </w:p>
          <w:p w14:paraId="57F6B888" w14:textId="77777777" w:rsidR="00AF0E44" w:rsidRPr="00185EE9" w:rsidRDefault="00AF0E44" w:rsidP="00F37389">
            <w:pPr>
              <w:spacing w:after="0" w:line="240" w:lineRule="auto"/>
              <w:rPr>
                <w:rFonts w:ascii="Verdana" w:eastAsia="Calibri" w:hAnsi="Verdana" w:cs="Times New Roman"/>
                <w:sz w:val="16"/>
                <w:szCs w:val="16"/>
              </w:rPr>
            </w:pPr>
            <w:r w:rsidRPr="00185EE9">
              <w:rPr>
                <w:rFonts w:ascii="Verdana" w:eastAsia="Calibri" w:hAnsi="Verdana" w:cs="Times New Roman"/>
                <w:sz w:val="16"/>
                <w:szCs w:val="16"/>
              </w:rPr>
              <w:t>Contratista de la Subdirección de Gestión Contractual</w:t>
            </w:r>
          </w:p>
        </w:tc>
      </w:tr>
      <w:tr w:rsidR="00AF0E44" w:rsidRPr="00185EE9" w14:paraId="05A0BCD8" w14:textId="77777777" w:rsidTr="00F37389">
        <w:trPr>
          <w:trHeight w:val="409"/>
        </w:trPr>
        <w:tc>
          <w:tcPr>
            <w:tcW w:w="817" w:type="dxa"/>
            <w:tcBorders>
              <w:top w:val="nil"/>
              <w:left w:val="nil"/>
              <w:bottom w:val="nil"/>
              <w:right w:val="nil"/>
            </w:tcBorders>
            <w:vAlign w:val="center"/>
            <w:hideMark/>
          </w:tcPr>
          <w:p w14:paraId="670E204D" w14:textId="77777777" w:rsidR="00AF0E44" w:rsidRPr="00185EE9" w:rsidRDefault="00AF0E44" w:rsidP="00F37389">
            <w:pPr>
              <w:spacing w:after="0" w:line="240" w:lineRule="auto"/>
              <w:rPr>
                <w:rFonts w:ascii="Verdana" w:eastAsia="Calibri" w:hAnsi="Verdana" w:cs="Times New Roman"/>
                <w:sz w:val="16"/>
                <w:szCs w:val="16"/>
              </w:rPr>
            </w:pPr>
            <w:r w:rsidRPr="00185EE9">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3FA1F76" w14:textId="77777777" w:rsidR="00AF0E44" w:rsidRPr="00A12CB6" w:rsidRDefault="00AF0E44" w:rsidP="00F37389">
            <w:pPr>
              <w:spacing w:after="0" w:line="240" w:lineRule="auto"/>
              <w:rPr>
                <w:rFonts w:ascii="Verdana" w:eastAsia="Calibri" w:hAnsi="Verdana" w:cs="Times New Roman"/>
                <w:sz w:val="16"/>
                <w:szCs w:val="16"/>
              </w:rPr>
            </w:pPr>
            <w:r>
              <w:rPr>
                <w:rFonts w:ascii="Verdana" w:eastAsia="Calibri" w:hAnsi="Verdana" w:cs="Times New Roman"/>
                <w:sz w:val="16"/>
                <w:szCs w:val="16"/>
              </w:rPr>
              <w:t>Diana Lucia Saavedra</w:t>
            </w:r>
          </w:p>
          <w:p w14:paraId="4D95C483" w14:textId="77777777" w:rsidR="00AF0E44" w:rsidRPr="00A50E16" w:rsidRDefault="00AF0E44" w:rsidP="00F37389">
            <w:pPr>
              <w:spacing w:after="0" w:line="240" w:lineRule="auto"/>
              <w:rPr>
                <w:rFonts w:ascii="Verdana" w:eastAsia="Calibri" w:hAnsi="Verdana" w:cs="Times New Roman"/>
                <w:sz w:val="16"/>
                <w:szCs w:val="16"/>
                <w:highlight w:val="yellow"/>
              </w:rPr>
            </w:pPr>
            <w:r>
              <w:rPr>
                <w:rFonts w:ascii="Verdana" w:eastAsia="Calibri" w:hAnsi="Verdana" w:cs="Times New Roman"/>
                <w:sz w:val="16"/>
                <w:szCs w:val="16"/>
              </w:rPr>
              <w:t xml:space="preserve">Contratista </w:t>
            </w:r>
            <w:r w:rsidRPr="00A12CB6">
              <w:rPr>
                <w:rFonts w:ascii="Verdana" w:eastAsia="Calibri" w:hAnsi="Verdana" w:cs="Times New Roman"/>
                <w:sz w:val="16"/>
                <w:szCs w:val="16"/>
              </w:rPr>
              <w:t>de la Subdirección de Gestión Contractual </w:t>
            </w:r>
          </w:p>
        </w:tc>
      </w:tr>
      <w:tr w:rsidR="00AF0E44" w:rsidRPr="00A445C0" w14:paraId="764F778B" w14:textId="77777777" w:rsidTr="00F37389">
        <w:trPr>
          <w:trHeight w:val="389"/>
        </w:trPr>
        <w:tc>
          <w:tcPr>
            <w:tcW w:w="817" w:type="dxa"/>
            <w:tcBorders>
              <w:top w:val="nil"/>
              <w:left w:val="nil"/>
              <w:bottom w:val="nil"/>
              <w:right w:val="nil"/>
            </w:tcBorders>
            <w:vAlign w:val="center"/>
            <w:hideMark/>
          </w:tcPr>
          <w:p w14:paraId="0279697D" w14:textId="77777777" w:rsidR="00AF0E44" w:rsidRPr="00185EE9" w:rsidRDefault="00AF0E44" w:rsidP="00F37389">
            <w:pPr>
              <w:spacing w:after="0" w:line="240" w:lineRule="auto"/>
              <w:rPr>
                <w:rFonts w:ascii="Verdana" w:eastAsia="Calibri" w:hAnsi="Verdana" w:cs="Times New Roman"/>
                <w:sz w:val="16"/>
                <w:szCs w:val="16"/>
              </w:rPr>
            </w:pPr>
            <w:r w:rsidRPr="00185EE9">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6D08AAC" w14:textId="77777777" w:rsidR="00AF0E44" w:rsidRPr="00185EE9" w:rsidRDefault="00AF0E44" w:rsidP="00F37389">
            <w:pPr>
              <w:spacing w:after="0" w:line="240" w:lineRule="auto"/>
              <w:rPr>
                <w:rFonts w:ascii="Verdana" w:eastAsia="Calibri" w:hAnsi="Verdana" w:cs="Times New Roman"/>
                <w:sz w:val="16"/>
                <w:szCs w:val="16"/>
              </w:rPr>
            </w:pPr>
            <w:r w:rsidRPr="00185EE9">
              <w:rPr>
                <w:rFonts w:ascii="Verdana" w:eastAsia="Calibri" w:hAnsi="Verdana" w:cs="Times New Roman"/>
                <w:sz w:val="16"/>
                <w:szCs w:val="16"/>
              </w:rPr>
              <w:t xml:space="preserve">Carolina Quintero </w:t>
            </w:r>
            <w:proofErr w:type="spellStart"/>
            <w:r w:rsidRPr="00185EE9">
              <w:rPr>
                <w:rFonts w:ascii="Verdana" w:eastAsia="Calibri" w:hAnsi="Verdana" w:cs="Times New Roman"/>
                <w:sz w:val="16"/>
                <w:szCs w:val="16"/>
              </w:rPr>
              <w:t>Gacharná</w:t>
            </w:r>
            <w:proofErr w:type="spellEnd"/>
          </w:p>
          <w:p w14:paraId="0964AD0D" w14:textId="77777777" w:rsidR="00AF0E44" w:rsidRPr="00AE2631" w:rsidRDefault="00AF0E44" w:rsidP="00F37389">
            <w:pPr>
              <w:spacing w:after="0" w:line="240" w:lineRule="auto"/>
              <w:rPr>
                <w:rFonts w:ascii="Verdana" w:eastAsia="Calibri" w:hAnsi="Verdana" w:cs="Times New Roman"/>
                <w:sz w:val="16"/>
                <w:szCs w:val="16"/>
              </w:rPr>
            </w:pPr>
            <w:r w:rsidRPr="00185EE9">
              <w:rPr>
                <w:rFonts w:ascii="Verdana" w:eastAsia="Calibri" w:hAnsi="Verdana" w:cs="Times New Roman"/>
                <w:sz w:val="16"/>
                <w:szCs w:val="16"/>
              </w:rPr>
              <w:t>Subdirectora de Gestión Contractual ANCP – CCE</w:t>
            </w:r>
          </w:p>
        </w:tc>
      </w:tr>
    </w:tbl>
    <w:p w14:paraId="61AA0A68" w14:textId="77777777" w:rsidR="00AF0E44" w:rsidRPr="0057702A" w:rsidRDefault="00AF0E44" w:rsidP="00AF0E44">
      <w:pPr>
        <w:spacing w:after="0" w:line="240" w:lineRule="auto"/>
        <w:jc w:val="center"/>
        <w:rPr>
          <w:rFonts w:ascii="Verdana" w:hAnsi="Verdana"/>
          <w:b/>
          <w:bCs/>
        </w:rPr>
      </w:pPr>
    </w:p>
    <w:p w14:paraId="535E14EB" w14:textId="77777777" w:rsidR="00AF0E44" w:rsidRPr="0044528D" w:rsidRDefault="00AF0E44" w:rsidP="00AF0E44">
      <w:pPr>
        <w:spacing w:after="0" w:line="240" w:lineRule="auto"/>
        <w:textAlignment w:val="baseline"/>
        <w:rPr>
          <w:rFonts w:ascii="Verdana" w:eastAsia="Times New Roman" w:hAnsi="Verdana" w:cs="Segoe UI"/>
          <w:b/>
          <w:bCs/>
          <w:color w:val="46589C"/>
          <w:lang w:val="es-ES" w:eastAsia="es-CO"/>
        </w:rPr>
      </w:pPr>
    </w:p>
    <w:p w14:paraId="70F795F3" w14:textId="77777777" w:rsidR="002707A2" w:rsidRPr="0044528D" w:rsidRDefault="002707A2" w:rsidP="00E245AB">
      <w:pPr>
        <w:spacing w:after="0"/>
        <w:jc w:val="both"/>
        <w:rPr>
          <w:rStyle w:val="Hipervnculo"/>
          <w:rFonts w:ascii="Verdana" w:hAnsi="Verdana"/>
        </w:rPr>
      </w:pPr>
    </w:p>
    <w:p w14:paraId="6FAF0BCA" w14:textId="77777777" w:rsidR="002707A2" w:rsidRPr="0044528D" w:rsidRDefault="002707A2" w:rsidP="00E245AB">
      <w:pPr>
        <w:spacing w:after="0"/>
        <w:jc w:val="both"/>
        <w:rPr>
          <w:rStyle w:val="Hipervnculo"/>
          <w:rFonts w:ascii="Verdana" w:hAnsi="Verdana"/>
        </w:rPr>
      </w:pPr>
    </w:p>
    <w:p w14:paraId="67DD3F8C" w14:textId="77777777" w:rsidR="002707A2" w:rsidRPr="0044528D" w:rsidRDefault="002707A2" w:rsidP="00E245AB">
      <w:pPr>
        <w:spacing w:after="0"/>
        <w:jc w:val="both"/>
        <w:rPr>
          <w:rStyle w:val="Hipervnculo"/>
          <w:rFonts w:ascii="Verdana" w:hAnsi="Verdana"/>
        </w:rPr>
      </w:pPr>
    </w:p>
    <w:bookmarkEnd w:id="0"/>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101CC" w14:textId="77777777" w:rsidR="00C67DDE" w:rsidRDefault="00C67DDE" w:rsidP="004A1847">
      <w:pPr>
        <w:spacing w:after="0" w:line="240" w:lineRule="auto"/>
      </w:pPr>
      <w:r>
        <w:separator/>
      </w:r>
    </w:p>
  </w:endnote>
  <w:endnote w:type="continuationSeparator" w:id="0">
    <w:p w14:paraId="561C66BE" w14:textId="77777777" w:rsidR="00C67DDE" w:rsidRDefault="00C67DD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4DC1F" w14:textId="77777777" w:rsidR="00C67DDE" w:rsidRDefault="00C67DDE" w:rsidP="004A1847">
      <w:pPr>
        <w:spacing w:after="0" w:line="240" w:lineRule="auto"/>
      </w:pPr>
      <w:r>
        <w:separator/>
      </w:r>
    </w:p>
  </w:footnote>
  <w:footnote w:type="continuationSeparator" w:id="0">
    <w:p w14:paraId="2681E9FB" w14:textId="77777777" w:rsidR="00C67DDE" w:rsidRDefault="00C67DDE" w:rsidP="004A1847">
      <w:pPr>
        <w:spacing w:after="0" w:line="240" w:lineRule="auto"/>
      </w:pPr>
      <w:r>
        <w:continuationSeparator/>
      </w:r>
    </w:p>
  </w:footnote>
  <w:footnote w:id="1">
    <w:p w14:paraId="2600B94E" w14:textId="77777777" w:rsidR="006C7C62" w:rsidRPr="008F5C50" w:rsidRDefault="006C7C62" w:rsidP="006C7C62">
      <w:pPr>
        <w:pStyle w:val="Textonotapie"/>
        <w:ind w:firstLine="708"/>
        <w:jc w:val="both"/>
        <w:rPr>
          <w:rFonts w:ascii="Verdana" w:hAnsi="Verdana"/>
          <w:sz w:val="14"/>
          <w:szCs w:val="14"/>
          <w:lang w:val="es-CO"/>
        </w:rPr>
      </w:pPr>
      <w:r w:rsidRPr="008F5C50">
        <w:rPr>
          <w:rStyle w:val="Refdenotaalpie"/>
          <w:rFonts w:ascii="Verdana" w:hAnsi="Verdana"/>
          <w:sz w:val="14"/>
          <w:szCs w:val="14"/>
        </w:rPr>
        <w:footnoteRef/>
      </w:r>
      <w:r w:rsidRPr="008F5C50">
        <w:rPr>
          <w:rFonts w:ascii="Verdana" w:hAnsi="Verdana"/>
          <w:sz w:val="14"/>
          <w:szCs w:val="14"/>
        </w:rPr>
        <w:t xml:space="preserve"> </w:t>
      </w:r>
      <w:r w:rsidRPr="008F5C50">
        <w:rPr>
          <w:rFonts w:ascii="Verdana" w:hAnsi="Verdana"/>
          <w:sz w:val="14"/>
          <w:szCs w:val="14"/>
          <w:lang w:val="es-CO"/>
        </w:rPr>
        <w:t xml:space="preserve">Ley 1437 de 2011: “Artículo 24. Informaciones y documentos reservados. Solo tendrán carácter reservado las informaciones y documentos expresamente sometidos a reserva por la Constitución Política o la ley, y en especial: </w:t>
      </w:r>
    </w:p>
    <w:p w14:paraId="04D1BDAE" w14:textId="77777777" w:rsidR="006C7C62" w:rsidRPr="008F5C50" w:rsidRDefault="006C7C62" w:rsidP="006C7C62">
      <w:pPr>
        <w:pStyle w:val="Textonotapie"/>
        <w:ind w:firstLine="708"/>
        <w:jc w:val="both"/>
        <w:rPr>
          <w:rFonts w:ascii="Verdana" w:hAnsi="Verdana"/>
          <w:sz w:val="14"/>
          <w:szCs w:val="14"/>
          <w:lang w:val="es-CO"/>
        </w:rPr>
      </w:pPr>
      <w:r w:rsidRPr="008F5C50">
        <w:rPr>
          <w:rFonts w:ascii="Verdana" w:hAnsi="Verdana"/>
          <w:sz w:val="14"/>
          <w:szCs w:val="14"/>
          <w:lang w:val="es-CO"/>
        </w:rPr>
        <w:t xml:space="preserve">1. Los relacionados con la defensa o seguridad nacionales. </w:t>
      </w:r>
    </w:p>
    <w:p w14:paraId="7D66759A" w14:textId="77777777" w:rsidR="006C7C62" w:rsidRPr="008F5C50" w:rsidRDefault="006C7C62" w:rsidP="006C7C62">
      <w:pPr>
        <w:pStyle w:val="Textonotapie"/>
        <w:ind w:firstLine="708"/>
        <w:jc w:val="both"/>
        <w:rPr>
          <w:rFonts w:ascii="Verdana" w:hAnsi="Verdana"/>
          <w:sz w:val="14"/>
          <w:szCs w:val="14"/>
          <w:lang w:val="es-CO"/>
        </w:rPr>
      </w:pPr>
      <w:r w:rsidRPr="008F5C50">
        <w:rPr>
          <w:rFonts w:ascii="Verdana" w:hAnsi="Verdana"/>
          <w:sz w:val="14"/>
          <w:szCs w:val="14"/>
          <w:lang w:val="es-CO"/>
        </w:rPr>
        <w:t xml:space="preserve">2. Las instrucciones en materia diplomática o sobre negociaciones reservadas. </w:t>
      </w:r>
    </w:p>
    <w:p w14:paraId="5EBA9A64" w14:textId="77777777" w:rsidR="006C7C62" w:rsidRPr="008F5C50" w:rsidRDefault="006C7C62" w:rsidP="006C7C62">
      <w:pPr>
        <w:pStyle w:val="Textonotapie"/>
        <w:ind w:firstLine="708"/>
        <w:jc w:val="both"/>
        <w:rPr>
          <w:rFonts w:ascii="Verdana" w:hAnsi="Verdana"/>
          <w:sz w:val="14"/>
          <w:szCs w:val="14"/>
          <w:lang w:val="es-CO"/>
        </w:rPr>
      </w:pPr>
      <w:r w:rsidRPr="008F5C50">
        <w:rPr>
          <w:rFonts w:ascii="Verdana" w:hAnsi="Verdana"/>
          <w:sz w:val="14"/>
          <w:szCs w:val="14"/>
          <w:lang w:val="es-CO"/>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37C1DB80" w14:textId="77777777" w:rsidR="006C7C62" w:rsidRPr="008F5C50" w:rsidRDefault="006C7C62" w:rsidP="006C7C62">
      <w:pPr>
        <w:pStyle w:val="Textonotapie"/>
        <w:ind w:firstLine="708"/>
        <w:jc w:val="both"/>
        <w:rPr>
          <w:rFonts w:ascii="Verdana" w:hAnsi="Verdana"/>
          <w:sz w:val="14"/>
          <w:szCs w:val="14"/>
          <w:lang w:val="es-CO"/>
        </w:rPr>
      </w:pPr>
      <w:r w:rsidRPr="008F5C50">
        <w:rPr>
          <w:rFonts w:ascii="Verdana" w:hAnsi="Verdana"/>
          <w:sz w:val="14"/>
          <w:szCs w:val="14"/>
          <w:lang w:val="es-CO"/>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230E89EE" w14:textId="77777777" w:rsidR="006C7C62" w:rsidRPr="008F5C50" w:rsidRDefault="006C7C62" w:rsidP="006C7C62">
      <w:pPr>
        <w:pStyle w:val="Textonotapie"/>
        <w:ind w:firstLine="708"/>
        <w:jc w:val="both"/>
        <w:rPr>
          <w:rFonts w:ascii="Verdana" w:hAnsi="Verdana"/>
          <w:sz w:val="14"/>
          <w:szCs w:val="14"/>
          <w:lang w:val="es-CO"/>
        </w:rPr>
      </w:pPr>
      <w:r w:rsidRPr="008F5C50">
        <w:rPr>
          <w:rFonts w:ascii="Verdana" w:hAnsi="Verdana"/>
          <w:sz w:val="14"/>
          <w:szCs w:val="14"/>
          <w:lang w:val="es-CO"/>
        </w:rPr>
        <w:t xml:space="preserve">5. Los datos referentes a la información financiera y comercial, en los términos de la Ley Estatutaria 1266 de 2008. </w:t>
      </w:r>
    </w:p>
    <w:p w14:paraId="7FCE2D6C" w14:textId="77777777" w:rsidR="006C7C62" w:rsidRPr="008F5C50" w:rsidRDefault="006C7C62" w:rsidP="006C7C62">
      <w:pPr>
        <w:pStyle w:val="Textonotapie"/>
        <w:ind w:firstLine="708"/>
        <w:jc w:val="both"/>
        <w:rPr>
          <w:rFonts w:ascii="Verdana" w:hAnsi="Verdana"/>
          <w:sz w:val="14"/>
          <w:szCs w:val="14"/>
          <w:lang w:val="es-CO"/>
        </w:rPr>
      </w:pPr>
      <w:r w:rsidRPr="008F5C50">
        <w:rPr>
          <w:rFonts w:ascii="Verdana" w:hAnsi="Verdana"/>
          <w:sz w:val="14"/>
          <w:szCs w:val="14"/>
          <w:lang w:val="es-CO"/>
        </w:rPr>
        <w:t xml:space="preserve">6. Los protegidos por el secreto comercial o industrial, así como los planes estratégicos de las empresas públicas de servicios públicos. </w:t>
      </w:r>
    </w:p>
    <w:p w14:paraId="23B190C1" w14:textId="77777777" w:rsidR="006C7C62" w:rsidRPr="008F5C50" w:rsidRDefault="006C7C62" w:rsidP="006C7C62">
      <w:pPr>
        <w:pStyle w:val="Textonotapie"/>
        <w:ind w:firstLine="708"/>
        <w:jc w:val="both"/>
        <w:rPr>
          <w:rFonts w:ascii="Verdana" w:hAnsi="Verdana"/>
          <w:sz w:val="14"/>
          <w:szCs w:val="14"/>
          <w:lang w:val="es-CO"/>
        </w:rPr>
      </w:pPr>
      <w:r w:rsidRPr="008F5C50">
        <w:rPr>
          <w:rFonts w:ascii="Verdana" w:hAnsi="Verdana"/>
          <w:sz w:val="14"/>
          <w:szCs w:val="14"/>
          <w:lang w:val="es-CO"/>
        </w:rPr>
        <w:t xml:space="preserve">7. Los amparados por el secreto profesional. </w:t>
      </w:r>
    </w:p>
    <w:p w14:paraId="6E0B1427" w14:textId="77777777" w:rsidR="006C7C62" w:rsidRPr="008F5C50" w:rsidRDefault="006C7C62" w:rsidP="006C7C62">
      <w:pPr>
        <w:pStyle w:val="Textonotapie"/>
        <w:ind w:firstLine="708"/>
        <w:jc w:val="both"/>
        <w:rPr>
          <w:rFonts w:ascii="Verdana" w:hAnsi="Verdana"/>
          <w:sz w:val="14"/>
          <w:szCs w:val="14"/>
          <w:lang w:val="es-CO"/>
        </w:rPr>
      </w:pPr>
      <w:r w:rsidRPr="008F5C50">
        <w:rPr>
          <w:rFonts w:ascii="Verdana" w:hAnsi="Verdana"/>
          <w:sz w:val="14"/>
          <w:szCs w:val="14"/>
          <w:lang w:val="es-CO"/>
        </w:rPr>
        <w:t xml:space="preserve">8. Los datos genéticos humanos. </w:t>
      </w:r>
    </w:p>
    <w:p w14:paraId="3A11066B" w14:textId="77777777" w:rsidR="006C7C62" w:rsidRPr="008F5C50" w:rsidRDefault="006C7C62" w:rsidP="006C7C62">
      <w:pPr>
        <w:pStyle w:val="Textonotapie"/>
        <w:ind w:firstLine="708"/>
        <w:jc w:val="both"/>
        <w:rPr>
          <w:rFonts w:ascii="Verdana" w:hAnsi="Verdana"/>
          <w:sz w:val="14"/>
          <w:szCs w:val="14"/>
          <w:lang w:val="es-CO"/>
        </w:rPr>
      </w:pPr>
      <w:r w:rsidRPr="008F5C50">
        <w:rPr>
          <w:rFonts w:ascii="Verdana" w:hAnsi="Verdana"/>
          <w:sz w:val="14"/>
          <w:szCs w:val="14"/>
          <w:lang w:val="es-CO"/>
        </w:rPr>
        <w:t>Parágrafo. Para efecto de la solicitud de información de carácter reservado, enunciada en los numerales 3, 5, 6 y 7 solo podrá ser solicitada por el titular de la información, por sus apoderados o por personas autorizadas con facultad expresa para acceder a esa información”.</w:t>
      </w:r>
    </w:p>
    <w:p w14:paraId="3A30003A" w14:textId="77777777" w:rsidR="006C7C62" w:rsidRPr="008F5C50" w:rsidRDefault="006C7C62" w:rsidP="006C7C62">
      <w:pPr>
        <w:pStyle w:val="Textonotapie"/>
        <w:ind w:firstLine="708"/>
        <w:jc w:val="both"/>
        <w:rPr>
          <w:rFonts w:ascii="Verdana" w:hAnsi="Verdana"/>
          <w:sz w:val="14"/>
          <w:szCs w:val="14"/>
          <w:lang w:val="es-CO"/>
        </w:rPr>
      </w:pPr>
    </w:p>
  </w:footnote>
  <w:footnote w:id="2">
    <w:p w14:paraId="6B088929" w14:textId="77777777" w:rsidR="00AF0E44" w:rsidRPr="00A617AC" w:rsidRDefault="00AF0E44" w:rsidP="00AF0E44">
      <w:pPr>
        <w:pStyle w:val="Textonotapie"/>
        <w:ind w:firstLine="709"/>
        <w:jc w:val="both"/>
        <w:rPr>
          <w:rFonts w:ascii="Verdana" w:hAnsi="Verdana" w:cs="Arial"/>
          <w:sz w:val="16"/>
          <w:szCs w:val="16"/>
          <w:lang w:val="es-ES"/>
        </w:rPr>
      </w:pPr>
      <w:r w:rsidRPr="00A617AC">
        <w:rPr>
          <w:rStyle w:val="Refdenotaalpie"/>
          <w:rFonts w:ascii="Verdana" w:hAnsi="Verdana" w:cs="Arial"/>
          <w:sz w:val="16"/>
          <w:szCs w:val="16"/>
        </w:rPr>
        <w:footnoteRef/>
      </w:r>
      <w:r w:rsidRPr="00A617AC">
        <w:rPr>
          <w:rFonts w:ascii="Verdana" w:hAnsi="Verdana" w:cs="Arial"/>
          <w:sz w:val="16"/>
          <w:szCs w:val="16"/>
        </w:rPr>
        <w:t xml:space="preserve"> </w:t>
      </w:r>
      <w:r w:rsidRPr="00A617AC">
        <w:rPr>
          <w:rFonts w:ascii="Verdana" w:hAnsi="Verdana" w:cs="Arial"/>
          <w:sz w:val="16"/>
          <w:szCs w:val="16"/>
          <w:lang w:val="es-ES"/>
        </w:rPr>
        <w:t>BOBBIO, Norberto. Democracia y secreto. México: Fondo de Cultura Económica, 2013. p. 27.</w:t>
      </w:r>
    </w:p>
  </w:footnote>
  <w:footnote w:id="3">
    <w:p w14:paraId="4182D771" w14:textId="77777777" w:rsidR="00AF0E44" w:rsidRPr="00A617AC" w:rsidRDefault="00AF0E44" w:rsidP="00AF0E44">
      <w:pPr>
        <w:pStyle w:val="Textonotapie"/>
        <w:ind w:firstLine="709"/>
        <w:jc w:val="both"/>
        <w:rPr>
          <w:rFonts w:ascii="Verdana" w:hAnsi="Verdana" w:cs="Arial"/>
          <w:color w:val="000000" w:themeColor="text1"/>
          <w:sz w:val="16"/>
          <w:szCs w:val="16"/>
        </w:rPr>
      </w:pPr>
      <w:r w:rsidRPr="00A617AC">
        <w:rPr>
          <w:rStyle w:val="Refdenotaalpie"/>
          <w:rFonts w:ascii="Verdana" w:hAnsi="Verdana" w:cs="Arial"/>
          <w:color w:val="000000" w:themeColor="text1"/>
          <w:sz w:val="16"/>
          <w:szCs w:val="16"/>
        </w:rPr>
        <w:footnoteRef/>
      </w:r>
      <w:r w:rsidRPr="00A617AC">
        <w:rPr>
          <w:rFonts w:ascii="Verdana" w:hAnsi="Verdana" w:cs="Arial"/>
          <w:color w:val="000000" w:themeColor="text1"/>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538FD31B" w14:textId="77777777" w:rsidR="00AF0E44" w:rsidRPr="00A617AC" w:rsidRDefault="00AF0E44" w:rsidP="00AF0E44">
      <w:pPr>
        <w:pStyle w:val="Textonotapie"/>
        <w:ind w:firstLine="709"/>
        <w:jc w:val="both"/>
        <w:rPr>
          <w:rFonts w:ascii="Verdana" w:hAnsi="Verdana" w:cs="Arial"/>
          <w:color w:val="000000" w:themeColor="text1"/>
          <w:sz w:val="16"/>
          <w:szCs w:val="16"/>
        </w:rPr>
      </w:pPr>
      <w:r w:rsidRPr="00A617AC">
        <w:rPr>
          <w:rFonts w:ascii="Verdana" w:hAnsi="Verdana" w:cs="Arial"/>
          <w:color w:val="000000" w:themeColor="text1"/>
          <w:sz w:val="16"/>
          <w:szCs w:val="16"/>
        </w:rPr>
        <w:t>Lo anterior, sin perjuicio de las publicaciones previstas en el numeral 3 del artículo 30 de la Ley 80 de 1993.</w:t>
      </w:r>
    </w:p>
    <w:p w14:paraId="4FA29078" w14:textId="77777777" w:rsidR="00AF0E44" w:rsidRPr="00A617AC" w:rsidRDefault="00AF0E44" w:rsidP="00AF0E44">
      <w:pPr>
        <w:pStyle w:val="Textonotapie"/>
        <w:ind w:firstLine="709"/>
        <w:jc w:val="both"/>
        <w:rPr>
          <w:rFonts w:ascii="Verdana" w:hAnsi="Verdana" w:cs="Arial"/>
          <w:color w:val="000000" w:themeColor="text1"/>
          <w:sz w:val="16"/>
          <w:szCs w:val="16"/>
        </w:rPr>
      </w:pPr>
      <w:r w:rsidRPr="00A617AC">
        <w:rPr>
          <w:rFonts w:ascii="Verdana" w:hAnsi="Verdana" w:cs="Arial"/>
          <w:color w:val="000000" w:themeColor="text1"/>
          <w:sz w:val="16"/>
          <w:szCs w:val="16"/>
        </w:rPr>
        <w:t xml:space="preserve">Con el fin de materializar los objetivos a que se refiere el inciso anterior, el Gobierno Nacional desarrollará el Sistema Electrónico para la Contratación Pública, Secop, el cual: </w:t>
      </w:r>
    </w:p>
    <w:p w14:paraId="2A8D2762" w14:textId="77777777" w:rsidR="00AF0E44" w:rsidRPr="00A617AC" w:rsidRDefault="00AF0E44" w:rsidP="00AF0E44">
      <w:pPr>
        <w:pStyle w:val="Textonotapie"/>
        <w:ind w:firstLine="709"/>
        <w:jc w:val="both"/>
        <w:rPr>
          <w:rFonts w:ascii="Verdana" w:hAnsi="Verdana" w:cs="Arial"/>
          <w:color w:val="000000" w:themeColor="text1"/>
          <w:sz w:val="16"/>
          <w:szCs w:val="16"/>
        </w:rPr>
      </w:pPr>
      <w:r w:rsidRPr="00A617AC">
        <w:rPr>
          <w:rFonts w:ascii="Verdana" w:hAnsi="Verdana" w:cs="Arial"/>
          <w:color w:val="000000" w:themeColor="text1"/>
          <w:sz w:val="16"/>
          <w:szCs w:val="16"/>
        </w:rPr>
        <w:t>[…]</w:t>
      </w:r>
    </w:p>
    <w:p w14:paraId="042CA1A3" w14:textId="77777777" w:rsidR="00AF0E44" w:rsidRPr="00A617AC" w:rsidRDefault="00AF0E44" w:rsidP="00AF0E44">
      <w:pPr>
        <w:pStyle w:val="Textonotapie"/>
        <w:ind w:firstLine="709"/>
        <w:jc w:val="both"/>
        <w:rPr>
          <w:rFonts w:ascii="Verdana" w:hAnsi="Verdana" w:cs="Arial"/>
          <w:color w:val="000000" w:themeColor="text1"/>
          <w:sz w:val="16"/>
          <w:szCs w:val="16"/>
        </w:rPr>
      </w:pPr>
      <w:r w:rsidRPr="00A617AC">
        <w:rPr>
          <w:rFonts w:ascii="Verdana" w:hAnsi="Verdana" w:cs="Arial"/>
          <w:color w:val="000000" w:themeColor="text1"/>
          <w:sz w:val="16"/>
          <w:szCs w:val="16"/>
        </w:rPr>
        <w:t xml:space="preserve">c) Contará con la información oficial de la contratación realizada con dineros públicos, para lo cual establecerá los patrones a que haya lugar y se encargará de su difusión a través de canales electrónico”. </w:t>
      </w:r>
    </w:p>
    <w:p w14:paraId="3F41A52F" w14:textId="77777777" w:rsidR="00AF0E44" w:rsidRPr="00A617AC" w:rsidRDefault="00AF0E44" w:rsidP="00AF0E44">
      <w:pPr>
        <w:pStyle w:val="Textonotapie"/>
        <w:ind w:firstLine="709"/>
        <w:jc w:val="both"/>
        <w:rPr>
          <w:rFonts w:ascii="Verdana" w:hAnsi="Verdana" w:cs="Arial"/>
          <w:color w:val="000000" w:themeColor="text1"/>
          <w:sz w:val="16"/>
          <w:szCs w:val="16"/>
          <w:lang w:val="es-CO"/>
        </w:rPr>
      </w:pPr>
    </w:p>
  </w:footnote>
  <w:footnote w:id="4">
    <w:p w14:paraId="546AD40A" w14:textId="77777777" w:rsidR="00AF0E44" w:rsidRPr="00A617AC" w:rsidRDefault="00AF0E44" w:rsidP="00AF0E44">
      <w:pPr>
        <w:pStyle w:val="Textonotapie"/>
        <w:ind w:firstLine="709"/>
        <w:jc w:val="both"/>
        <w:rPr>
          <w:rFonts w:ascii="Verdana" w:hAnsi="Verdana" w:cs="Arial"/>
          <w:color w:val="000000" w:themeColor="text1"/>
          <w:sz w:val="16"/>
          <w:szCs w:val="16"/>
        </w:rPr>
      </w:pPr>
      <w:r w:rsidRPr="00A617AC">
        <w:rPr>
          <w:rStyle w:val="Refdenotaalpie"/>
          <w:rFonts w:ascii="Verdana" w:hAnsi="Verdana" w:cs="Arial"/>
          <w:color w:val="000000" w:themeColor="text1"/>
          <w:sz w:val="16"/>
          <w:szCs w:val="16"/>
        </w:rPr>
        <w:footnoteRef/>
      </w:r>
      <w:r w:rsidRPr="00A617AC">
        <w:rPr>
          <w:rFonts w:ascii="Verdana" w:hAnsi="Verdana" w:cs="Arial"/>
          <w:color w:val="000000" w:themeColor="text1"/>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215566EA" w14:textId="77777777" w:rsidR="00AF0E44" w:rsidRPr="00A617AC" w:rsidRDefault="00AF0E44" w:rsidP="00AF0E44">
      <w:pPr>
        <w:pStyle w:val="Textonotapie"/>
        <w:ind w:firstLine="709"/>
        <w:jc w:val="both"/>
        <w:rPr>
          <w:rFonts w:ascii="Verdana" w:hAnsi="Verdana" w:cs="Arial"/>
          <w:color w:val="000000" w:themeColor="text1"/>
          <w:sz w:val="16"/>
          <w:szCs w:val="16"/>
          <w:lang w:val="es-CO"/>
        </w:rPr>
      </w:pPr>
    </w:p>
  </w:footnote>
  <w:footnote w:id="5">
    <w:p w14:paraId="6459EC55" w14:textId="77777777" w:rsidR="00AF0E44" w:rsidRPr="00A617AC" w:rsidRDefault="00AF0E44" w:rsidP="00AF0E44">
      <w:pPr>
        <w:pStyle w:val="Textonotapie"/>
        <w:ind w:firstLine="709"/>
        <w:jc w:val="both"/>
        <w:rPr>
          <w:rFonts w:ascii="Verdana" w:hAnsi="Verdana" w:cs="Arial"/>
          <w:color w:val="000000" w:themeColor="text1"/>
          <w:sz w:val="16"/>
          <w:szCs w:val="16"/>
        </w:rPr>
      </w:pPr>
      <w:r w:rsidRPr="00A617AC">
        <w:rPr>
          <w:rStyle w:val="Refdenotaalpie"/>
          <w:rFonts w:ascii="Verdana" w:hAnsi="Verdana" w:cs="Arial"/>
          <w:color w:val="000000" w:themeColor="text1"/>
          <w:sz w:val="16"/>
          <w:szCs w:val="16"/>
        </w:rPr>
        <w:footnoteRef/>
      </w:r>
      <w:r w:rsidRPr="00A617AC">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w:t>
      </w:r>
    </w:p>
    <w:p w14:paraId="68CC6419" w14:textId="77777777" w:rsidR="00AF0E44" w:rsidRPr="00A617AC" w:rsidRDefault="00AF0E44" w:rsidP="00AF0E44">
      <w:pPr>
        <w:pStyle w:val="Textonotapie"/>
        <w:ind w:firstLine="709"/>
        <w:jc w:val="both"/>
        <w:rPr>
          <w:rFonts w:ascii="Verdana" w:hAnsi="Verdana" w:cs="Arial"/>
          <w:color w:val="000000" w:themeColor="text1"/>
          <w:sz w:val="16"/>
          <w:szCs w:val="16"/>
        </w:rPr>
      </w:pPr>
      <w:proofErr w:type="gramStart"/>
      <w:r w:rsidRPr="00A617AC">
        <w:rPr>
          <w:rFonts w:ascii="Verdana" w:hAnsi="Verdana" w:cs="Arial"/>
          <w:color w:val="000000" w:themeColor="text1"/>
          <w:sz w:val="16"/>
          <w:szCs w:val="16"/>
        </w:rPr>
        <w:t>»a</w:t>
      </w:r>
      <w:proofErr w:type="gramEnd"/>
      <w:r w:rsidRPr="00A617AC">
        <w:rPr>
          <w:rFonts w:ascii="Verdana" w:hAnsi="Verdana" w:cs="Arial"/>
          <w:color w:val="000000" w:themeColor="text1"/>
          <w:sz w:val="16"/>
          <w:szCs w:val="16"/>
        </w:rPr>
        <w:t>) Toda entidad pública, incluyendo las pertenecientes a todas las Ramas del Poder Público, en todos los niveles de la estructura estatal, central o descentralizada por servicios o territorialmente, en los órdenes nacional, departamental, municipal y distrital».</w:t>
      </w:r>
    </w:p>
    <w:p w14:paraId="04291084" w14:textId="77777777" w:rsidR="00AF0E44" w:rsidRPr="00A617AC" w:rsidRDefault="00AF0E44" w:rsidP="00AF0E44">
      <w:pPr>
        <w:pStyle w:val="Textonotapie"/>
        <w:ind w:firstLine="709"/>
        <w:jc w:val="both"/>
        <w:rPr>
          <w:rFonts w:ascii="Verdana" w:hAnsi="Verdana" w:cs="Arial"/>
          <w:color w:val="000000" w:themeColor="text1"/>
          <w:sz w:val="16"/>
          <w:szCs w:val="16"/>
          <w:lang w:val="es-CO"/>
        </w:rPr>
      </w:pPr>
    </w:p>
  </w:footnote>
  <w:footnote w:id="6">
    <w:p w14:paraId="366B4DFA" w14:textId="77777777" w:rsidR="00AF0E44" w:rsidRPr="00A617AC" w:rsidRDefault="00AF0E44" w:rsidP="00AF0E44">
      <w:pPr>
        <w:pStyle w:val="Textonotapie"/>
        <w:ind w:firstLine="709"/>
        <w:jc w:val="both"/>
        <w:rPr>
          <w:rFonts w:ascii="Verdana" w:hAnsi="Verdana" w:cs="Arial"/>
          <w:color w:val="000000" w:themeColor="text1"/>
          <w:sz w:val="16"/>
          <w:szCs w:val="16"/>
        </w:rPr>
      </w:pPr>
      <w:r w:rsidRPr="00A617AC">
        <w:rPr>
          <w:rFonts w:ascii="Verdana" w:eastAsia="Times New Roman" w:hAnsi="Verdana" w:cs="Arial"/>
          <w:color w:val="000000" w:themeColor="text1"/>
          <w:sz w:val="16"/>
          <w:szCs w:val="16"/>
          <w:vertAlign w:val="superscript"/>
          <w:lang w:val="es-ES" w:eastAsia="es-ES"/>
        </w:rPr>
        <w:footnoteRef/>
      </w:r>
      <w:r w:rsidRPr="00A617AC">
        <w:rPr>
          <w:rFonts w:ascii="Verdana" w:eastAsia="Times New Roman" w:hAnsi="Verdana" w:cs="Arial"/>
          <w:color w:val="000000" w:themeColor="text1"/>
          <w:sz w:val="16"/>
          <w:szCs w:val="16"/>
          <w:vertAlign w:val="superscript"/>
          <w:lang w:val="es-ES" w:eastAsia="es-ES"/>
        </w:rPr>
        <w:t xml:space="preserve"> </w:t>
      </w:r>
      <w:r w:rsidRPr="00A617AC">
        <w:rPr>
          <w:rFonts w:ascii="Verdana" w:eastAsia="Times New Roman" w:hAnsi="Verdana" w:cs="Arial"/>
          <w:color w:val="000000" w:themeColor="text1"/>
          <w:sz w:val="16"/>
          <w:szCs w:val="16"/>
          <w:lang w:val="es-ES" w:eastAsia="es-ES"/>
        </w:rPr>
        <w:t>«</w:t>
      </w:r>
      <w:r w:rsidRPr="00A617AC">
        <w:rPr>
          <w:rFonts w:ascii="Verdana" w:hAnsi="Verdana" w:cs="Arial"/>
          <w:color w:val="000000" w:themeColor="text1"/>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4D9B483C" w14:textId="77777777" w:rsidR="00AF0E44" w:rsidRPr="00A617AC" w:rsidRDefault="00AF0E44" w:rsidP="00AF0E44">
      <w:pPr>
        <w:pStyle w:val="Textonotapie"/>
        <w:ind w:firstLine="709"/>
        <w:jc w:val="both"/>
        <w:rPr>
          <w:rFonts w:ascii="Verdana" w:eastAsia="Times New Roman" w:hAnsi="Verdana" w:cs="Arial"/>
          <w:color w:val="000000" w:themeColor="text1"/>
          <w:sz w:val="16"/>
          <w:szCs w:val="16"/>
          <w:lang w:val="es-ES" w:eastAsia="es-ES"/>
        </w:rPr>
      </w:pPr>
      <w:r w:rsidRPr="00A617AC">
        <w:rPr>
          <w:rFonts w:ascii="Verdana" w:hAnsi="Verdana" w:cs="Arial"/>
          <w:color w:val="000000" w:themeColor="text1"/>
          <w:sz w:val="16"/>
          <w:szCs w:val="16"/>
        </w:rPr>
        <w:t>[…].</w:t>
      </w:r>
    </w:p>
    <w:p w14:paraId="592F0C86" w14:textId="77777777" w:rsidR="00AF0E44" w:rsidRPr="00A617AC" w:rsidRDefault="00AF0E44" w:rsidP="00AF0E44">
      <w:pPr>
        <w:pStyle w:val="Textonotapie"/>
        <w:ind w:firstLine="709"/>
        <w:jc w:val="both"/>
        <w:rPr>
          <w:rFonts w:ascii="Verdana" w:eastAsia="Times New Roman" w:hAnsi="Verdana" w:cs="Arial"/>
          <w:color w:val="000000" w:themeColor="text1"/>
          <w:sz w:val="16"/>
          <w:szCs w:val="16"/>
          <w:lang w:val="es-ES" w:eastAsia="es-ES"/>
        </w:rPr>
      </w:pPr>
      <w:r w:rsidRPr="00A617AC">
        <w:rPr>
          <w:rFonts w:ascii="Verdana" w:eastAsia="Times New Roman" w:hAnsi="Verdana" w:cs="Arial"/>
          <w:color w:val="000000" w:themeColor="text1"/>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7D004BA4" w14:textId="77777777" w:rsidR="00AF0E44" w:rsidRPr="00A617AC" w:rsidRDefault="00AF0E44" w:rsidP="00AF0E44">
      <w:pPr>
        <w:pStyle w:val="Textonotapie"/>
        <w:ind w:firstLine="709"/>
        <w:jc w:val="both"/>
        <w:rPr>
          <w:rFonts w:ascii="Verdana" w:eastAsia="Times New Roman" w:hAnsi="Verdana" w:cs="Arial"/>
          <w:color w:val="000000" w:themeColor="text1"/>
          <w:sz w:val="16"/>
          <w:szCs w:val="16"/>
          <w:lang w:val="es-ES" w:eastAsia="es-ES"/>
        </w:rPr>
      </w:pPr>
    </w:p>
  </w:footnote>
  <w:footnote w:id="7">
    <w:p w14:paraId="2A121F16" w14:textId="77777777" w:rsidR="009447D5" w:rsidRPr="00DE6F00" w:rsidRDefault="009447D5" w:rsidP="009447D5">
      <w:pPr>
        <w:pStyle w:val="Textonotapie"/>
        <w:ind w:firstLine="708"/>
        <w:contextualSpacing/>
        <w:rPr>
          <w:rFonts w:ascii="Verdana" w:hAnsi="Verdana" w:cs="Arial"/>
          <w:sz w:val="16"/>
          <w:szCs w:val="16"/>
        </w:rPr>
      </w:pPr>
    </w:p>
    <w:p w14:paraId="143F5E92" w14:textId="77777777" w:rsidR="009447D5" w:rsidRPr="00DE6F00" w:rsidRDefault="009447D5" w:rsidP="009447D5">
      <w:pPr>
        <w:pStyle w:val="Textonotapie"/>
        <w:ind w:firstLine="708"/>
        <w:contextualSpacing/>
        <w:jc w:val="both"/>
        <w:rPr>
          <w:rFonts w:ascii="Verdana" w:hAnsi="Verdana" w:cs="Arial"/>
          <w:sz w:val="16"/>
          <w:szCs w:val="16"/>
          <w:lang w:val="es-CO"/>
        </w:rPr>
      </w:pPr>
      <w:r w:rsidRPr="00DE6F00">
        <w:rPr>
          <w:rStyle w:val="Refdenotaalpie"/>
          <w:rFonts w:ascii="Verdana" w:hAnsi="Verdana" w:cs="Arial"/>
          <w:sz w:val="16"/>
          <w:szCs w:val="16"/>
        </w:rPr>
        <w:footnoteRef/>
      </w:r>
      <w:r w:rsidRPr="00DE6F00">
        <w:rPr>
          <w:rFonts w:ascii="Verdana" w:hAnsi="Verdana" w:cs="Arial"/>
          <w:sz w:val="16"/>
          <w:szCs w:val="16"/>
        </w:rPr>
        <w:t xml:space="preserve"> Ley 1150 de 2007. “Artículo 1. Objeto. La presente ley tiene por objeto introducir modificaciones en la Ley 80 de 1993, así como dictar otras disposiciones generales aplicables a toda contratación con recursos públicos”.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0A201C99" w:rsidR="004A305D" w:rsidRPr="00DC39FC" w:rsidRDefault="004A305D"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2105422056">
    <w:abstractNumId w:val="3"/>
  </w:num>
  <w:num w:numId="17" w16cid:durableId="23324686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65DC"/>
    <w:rsid w:val="00046945"/>
    <w:rsid w:val="00061B2A"/>
    <w:rsid w:val="00076870"/>
    <w:rsid w:val="00082362"/>
    <w:rsid w:val="00090195"/>
    <w:rsid w:val="000A683E"/>
    <w:rsid w:val="000B19B9"/>
    <w:rsid w:val="000B1ACB"/>
    <w:rsid w:val="000C19D9"/>
    <w:rsid w:val="000D0334"/>
    <w:rsid w:val="000F6486"/>
    <w:rsid w:val="00125105"/>
    <w:rsid w:val="00127233"/>
    <w:rsid w:val="001511A0"/>
    <w:rsid w:val="001D3AAF"/>
    <w:rsid w:val="001E3B2D"/>
    <w:rsid w:val="001E4177"/>
    <w:rsid w:val="001F2643"/>
    <w:rsid w:val="001F7DC6"/>
    <w:rsid w:val="00220057"/>
    <w:rsid w:val="0022489C"/>
    <w:rsid w:val="002421BB"/>
    <w:rsid w:val="0025796E"/>
    <w:rsid w:val="002707A2"/>
    <w:rsid w:val="002807F0"/>
    <w:rsid w:val="002951A0"/>
    <w:rsid w:val="002962BC"/>
    <w:rsid w:val="002A093D"/>
    <w:rsid w:val="002A0DD0"/>
    <w:rsid w:val="002A49AC"/>
    <w:rsid w:val="002A64FD"/>
    <w:rsid w:val="002C7A84"/>
    <w:rsid w:val="002E4FD9"/>
    <w:rsid w:val="002F783C"/>
    <w:rsid w:val="00321A34"/>
    <w:rsid w:val="00322A85"/>
    <w:rsid w:val="00324168"/>
    <w:rsid w:val="00341F42"/>
    <w:rsid w:val="003448F4"/>
    <w:rsid w:val="00374F5E"/>
    <w:rsid w:val="00377E3E"/>
    <w:rsid w:val="00395265"/>
    <w:rsid w:val="003A779E"/>
    <w:rsid w:val="003D0F4D"/>
    <w:rsid w:val="003D5B0D"/>
    <w:rsid w:val="003E0499"/>
    <w:rsid w:val="003F3941"/>
    <w:rsid w:val="00406575"/>
    <w:rsid w:val="00414C74"/>
    <w:rsid w:val="0042722E"/>
    <w:rsid w:val="0044528D"/>
    <w:rsid w:val="00465296"/>
    <w:rsid w:val="004A1847"/>
    <w:rsid w:val="004A305D"/>
    <w:rsid w:val="004C7F3E"/>
    <w:rsid w:val="004D4B2C"/>
    <w:rsid w:val="004E32EC"/>
    <w:rsid w:val="004F21C4"/>
    <w:rsid w:val="004F489E"/>
    <w:rsid w:val="004F685F"/>
    <w:rsid w:val="005566E8"/>
    <w:rsid w:val="00574867"/>
    <w:rsid w:val="00591460"/>
    <w:rsid w:val="0059434F"/>
    <w:rsid w:val="005B3816"/>
    <w:rsid w:val="005C3777"/>
    <w:rsid w:val="005C5CDC"/>
    <w:rsid w:val="005D476C"/>
    <w:rsid w:val="00612D41"/>
    <w:rsid w:val="006219F8"/>
    <w:rsid w:val="00623CDC"/>
    <w:rsid w:val="00651C97"/>
    <w:rsid w:val="00665D70"/>
    <w:rsid w:val="006900D9"/>
    <w:rsid w:val="006C7C62"/>
    <w:rsid w:val="006E2565"/>
    <w:rsid w:val="00706C16"/>
    <w:rsid w:val="0073322A"/>
    <w:rsid w:val="00756841"/>
    <w:rsid w:val="00761724"/>
    <w:rsid w:val="007649AB"/>
    <w:rsid w:val="00771D0C"/>
    <w:rsid w:val="00774C66"/>
    <w:rsid w:val="007833AC"/>
    <w:rsid w:val="007B268C"/>
    <w:rsid w:val="007B7171"/>
    <w:rsid w:val="007C0C0F"/>
    <w:rsid w:val="007C3DC2"/>
    <w:rsid w:val="007E34F3"/>
    <w:rsid w:val="007E5497"/>
    <w:rsid w:val="007E5987"/>
    <w:rsid w:val="00806F5F"/>
    <w:rsid w:val="00813FF6"/>
    <w:rsid w:val="00820278"/>
    <w:rsid w:val="00867F95"/>
    <w:rsid w:val="008843B6"/>
    <w:rsid w:val="00884956"/>
    <w:rsid w:val="00891928"/>
    <w:rsid w:val="008A446D"/>
    <w:rsid w:val="008D180B"/>
    <w:rsid w:val="008F0EA7"/>
    <w:rsid w:val="008F40AA"/>
    <w:rsid w:val="00923EEF"/>
    <w:rsid w:val="00930FA2"/>
    <w:rsid w:val="009419F9"/>
    <w:rsid w:val="009447D5"/>
    <w:rsid w:val="009450D9"/>
    <w:rsid w:val="0095685E"/>
    <w:rsid w:val="00961B09"/>
    <w:rsid w:val="00962DB9"/>
    <w:rsid w:val="00965334"/>
    <w:rsid w:val="0097093E"/>
    <w:rsid w:val="00983255"/>
    <w:rsid w:val="00986AC5"/>
    <w:rsid w:val="00995458"/>
    <w:rsid w:val="009A0DFA"/>
    <w:rsid w:val="009B2D26"/>
    <w:rsid w:val="009C71FA"/>
    <w:rsid w:val="009C72E7"/>
    <w:rsid w:val="009D3058"/>
    <w:rsid w:val="009F3A13"/>
    <w:rsid w:val="009F70EC"/>
    <w:rsid w:val="00A122D3"/>
    <w:rsid w:val="00A17F13"/>
    <w:rsid w:val="00A20739"/>
    <w:rsid w:val="00A33C78"/>
    <w:rsid w:val="00A941FB"/>
    <w:rsid w:val="00AB0ADB"/>
    <w:rsid w:val="00AB20A5"/>
    <w:rsid w:val="00AD5B14"/>
    <w:rsid w:val="00AF0E44"/>
    <w:rsid w:val="00B01B1A"/>
    <w:rsid w:val="00B20A32"/>
    <w:rsid w:val="00B66319"/>
    <w:rsid w:val="00B72CD3"/>
    <w:rsid w:val="00B72FFF"/>
    <w:rsid w:val="00BC3D36"/>
    <w:rsid w:val="00BD7F72"/>
    <w:rsid w:val="00C0342E"/>
    <w:rsid w:val="00C04FB3"/>
    <w:rsid w:val="00C330EB"/>
    <w:rsid w:val="00C41061"/>
    <w:rsid w:val="00C67DDE"/>
    <w:rsid w:val="00C754BE"/>
    <w:rsid w:val="00C76B1C"/>
    <w:rsid w:val="00CB2C68"/>
    <w:rsid w:val="00CB6357"/>
    <w:rsid w:val="00CC1B26"/>
    <w:rsid w:val="00CD54E0"/>
    <w:rsid w:val="00CE4EB1"/>
    <w:rsid w:val="00CF610D"/>
    <w:rsid w:val="00D262DA"/>
    <w:rsid w:val="00D423A2"/>
    <w:rsid w:val="00D520D8"/>
    <w:rsid w:val="00D5218D"/>
    <w:rsid w:val="00D63AC2"/>
    <w:rsid w:val="00D7383B"/>
    <w:rsid w:val="00DA231B"/>
    <w:rsid w:val="00DA2B00"/>
    <w:rsid w:val="00DC39FC"/>
    <w:rsid w:val="00DF5254"/>
    <w:rsid w:val="00E01665"/>
    <w:rsid w:val="00E16408"/>
    <w:rsid w:val="00E1692B"/>
    <w:rsid w:val="00E20894"/>
    <w:rsid w:val="00E21910"/>
    <w:rsid w:val="00E245AB"/>
    <w:rsid w:val="00E2764C"/>
    <w:rsid w:val="00E27F2E"/>
    <w:rsid w:val="00E50AFE"/>
    <w:rsid w:val="00E5654E"/>
    <w:rsid w:val="00E75C92"/>
    <w:rsid w:val="00E771DC"/>
    <w:rsid w:val="00E8772A"/>
    <w:rsid w:val="00E90F6B"/>
    <w:rsid w:val="00E92C27"/>
    <w:rsid w:val="00EA0E3D"/>
    <w:rsid w:val="00EA1430"/>
    <w:rsid w:val="00EA1DDA"/>
    <w:rsid w:val="00EC38A7"/>
    <w:rsid w:val="00ED36A4"/>
    <w:rsid w:val="00ED7384"/>
    <w:rsid w:val="00EE1AA8"/>
    <w:rsid w:val="00EF4E98"/>
    <w:rsid w:val="00F31EDC"/>
    <w:rsid w:val="00F462B3"/>
    <w:rsid w:val="00F54486"/>
    <w:rsid w:val="00F5664F"/>
    <w:rsid w:val="00F666C4"/>
    <w:rsid w:val="00F76AFC"/>
    <w:rsid w:val="00FA47C0"/>
    <w:rsid w:val="00FB5DD1"/>
    <w:rsid w:val="00FC2B5D"/>
    <w:rsid w:val="00FF1449"/>
    <w:rsid w:val="165E9519"/>
    <w:rsid w:val="382536D9"/>
    <w:rsid w:val="534F9D2F"/>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F0E4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F0E44"/>
    <w:rPr>
      <w:rFonts w:ascii="Geomanist Light" w:hAnsi="Geomanist Light"/>
      <w:lang w:val="es-ES"/>
    </w:rPr>
  </w:style>
  <w:style w:type="character" w:styleId="Textoennegrita">
    <w:name w:val="Strong"/>
    <w:basedOn w:val="Fuentedeprrafopredeter"/>
    <w:uiPriority w:val="22"/>
    <w:qFormat/>
    <w:rsid w:val="00AF0E44"/>
    <w:rPr>
      <w:b/>
      <w:bCs/>
    </w:rPr>
  </w:style>
  <w:style w:type="paragraph" w:styleId="Textoindependiente">
    <w:name w:val="Body Text"/>
    <w:basedOn w:val="Normal"/>
    <w:link w:val="TextoindependienteCar"/>
    <w:uiPriority w:val="1"/>
    <w:qFormat/>
    <w:rsid w:val="00AF0E44"/>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AF0E44"/>
    <w:rPr>
      <w:rFonts w:ascii="Arial" w:eastAsia="Arial" w:hAnsi="Arial" w:cs="Arial"/>
      <w:lang w:val="es-ES"/>
    </w:rPr>
  </w:style>
  <w:style w:type="character" w:customStyle="1" w:styleId="NormalWebCar">
    <w:name w:val="Normal (Web) Car"/>
    <w:link w:val="NormalWeb"/>
    <w:uiPriority w:val="99"/>
    <w:locked/>
    <w:rsid w:val="00AF0E44"/>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jose.sanchez%40colombiacompra.gov.co%7Ceb0fd05604104aa4d3bc08dd4c4ad35e%7C7b09041e245149d08cb179d5e3d8c1be%7C0%7C0%7C638750606444331455%7CUnknown%7CTWFpbGZsb3d8eyJFbXB0eU1hcGkiOnRydWUsIlYiOiIwLjAuMDAwMCIsIlAiOiJXaW4zMiIsIkFOIjoiTWFpbCIsIldUIjoyfQ%3D%3D%7C0%7C%7C%7C&amp;sdata=A4Rv4yPieCEbMtJ98dk1C9ixhvowiB6rmJenmMv9Lbo%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stitucional@caxdac.com" TargetMode="External"/><Relationship Id="rId5" Type="http://schemas.openxmlformats.org/officeDocument/2006/relationships/styles" Target="styles.xml"/><Relationship Id="rId15" Type="http://schemas.openxmlformats.org/officeDocument/2006/relationships/hyperlink" Target="http://www.colombiacompra.gov.co"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guia-de-contratacion-publica-sostenible-y-socialmente&amp;data=05%7C02%7Cjose.sanchez%40colombiacompra.gov.co%7Ceb0fd05604104aa4d3bc08dd4c4ad35e%7C7b09041e245149d08cb179d5e3d8c1be%7C0%7C0%7C638750606444366227%7CUnknown%7CTWFpbGZsb3d8eyJFbXB0eU1hcGkiOnRydWUsIlYiOiIwLjAuMDAwMCIsIlAiOiJXaW4zMiIsIkFOIjoiTWFpbCIsIldUIjoyfQ%3D%3D%7C0%7C%7C%7C&amp;sdata=9QXP%2FtGRh4ksN9Mq7dwuAwwQbJmXMyhaLjy9ViNGST8%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9C6B8D18-868F-401D-879C-C1F4D7B959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15</Pages>
  <Words>5279</Words>
  <Characters>29035</Characters>
  <Application>Microsoft Office Word</Application>
  <DocSecurity>0</DocSecurity>
  <Lines>241</Lines>
  <Paragraphs>68</Paragraphs>
  <ScaleCrop>false</ScaleCrop>
  <Company/>
  <LinksUpToDate>false</LinksUpToDate>
  <CharactersWithSpaces>34246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Karol Andrea Gonzalez Marin</cp:lastModifiedBy>
  <cp:revision>2</cp:revision>
  <cp:lastPrinted>2023-01-10T21:18:00Z</cp:lastPrinted>
  <dcterms:created xsi:type="dcterms:W3CDTF">2025-09-09T01:16:00Z</dcterms:created>
  <dcterms:modified xsi:type="dcterms:W3CDTF">2025-09-09T01:16:00Z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