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AE84D" w14:textId="77777777" w:rsidR="00E05A70" w:rsidRDefault="00E05A70" w:rsidP="00E05A70">
      <w:pPr>
        <w:jc w:val="both"/>
        <w:rPr>
          <w:rFonts w:ascii="Verdana" w:eastAsia="Times New Roman" w:hAnsi="Verdana"/>
          <w:b/>
          <w:bCs/>
          <w:lang w:val="es-ES_tradnl" w:eastAsia="es-ES_tradnl"/>
        </w:rPr>
      </w:pPr>
      <w:bookmarkStart w:id="0" w:name="_Hlk202875225"/>
      <w:bookmarkStart w:id="1" w:name="_Hlk203032812"/>
      <w:bookmarkStart w:id="2" w:name="_Hlk204367265"/>
      <w:bookmarkStart w:id="3" w:name="_Hlk206116713"/>
      <w:bookmarkStart w:id="4" w:name="_Hlk143780582"/>
      <w:r w:rsidRPr="00E05A70">
        <w:rPr>
          <w:rFonts w:ascii="Verdana" w:eastAsia="Times New Roman" w:hAnsi="Verdana"/>
          <w:b/>
          <w:bCs/>
          <w:lang w:val="es-ES_tradnl" w:eastAsia="es-ES_tradnl"/>
        </w:rPr>
        <w:t xml:space="preserve">COMITÉ EVALUADOR - Conformación por servidores públicos y contratistas </w:t>
      </w:r>
    </w:p>
    <w:p w14:paraId="77D70342" w14:textId="7D9A0685" w:rsidR="00E05A70" w:rsidRDefault="00E05A70" w:rsidP="00E05A70">
      <w:pPr>
        <w:spacing w:after="0" w:line="240" w:lineRule="auto"/>
        <w:jc w:val="both"/>
        <w:rPr>
          <w:rFonts w:ascii="Verdana" w:eastAsia="Calibri" w:hAnsi="Verdana" w:cs="Arial"/>
          <w:bCs/>
          <w:color w:val="000000"/>
          <w:sz w:val="20"/>
          <w:szCs w:val="20"/>
        </w:rPr>
      </w:pPr>
      <w:r>
        <w:rPr>
          <w:rFonts w:ascii="Verdana" w:eastAsia="Calibri" w:hAnsi="Verdana" w:cs="Arial"/>
          <w:color w:val="000000" w:themeColor="text1"/>
          <w:sz w:val="20"/>
          <w:szCs w:val="20"/>
          <w:lang w:val="es-ES_tradnl"/>
        </w:rPr>
        <w:t xml:space="preserve">[…] </w:t>
      </w:r>
      <w:r w:rsidRPr="00E05A70">
        <w:rPr>
          <w:rFonts w:ascii="Verdana" w:eastAsia="Calibri" w:hAnsi="Verdana" w:cs="Arial"/>
          <w:color w:val="000000" w:themeColor="text1"/>
          <w:sz w:val="20"/>
          <w:szCs w:val="20"/>
          <w:lang w:val="es-ES_tradnl"/>
        </w:rPr>
        <w:t xml:space="preserve">el ordenamiento normativo colombiano ha otorgado </w:t>
      </w:r>
      <w:r w:rsidRPr="00E05A70">
        <w:rPr>
          <w:rFonts w:ascii="Verdana" w:eastAsia="Calibri" w:hAnsi="Verdana" w:cs="Arial"/>
          <w:bCs/>
          <w:color w:val="000000"/>
          <w:sz w:val="20"/>
          <w:szCs w:val="20"/>
        </w:rPr>
        <w:t>la facultad para que los entes públicos constituyan los denominados comités evaluadores o comités de evaluación, como organismos encargados, en ciertos y predeterminados casos, de la evaluación de las ofertas presentadas. Es así como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5FD77FFC" w14:textId="77777777" w:rsidR="00996E29" w:rsidRDefault="00996E29" w:rsidP="00E05A70">
      <w:pPr>
        <w:spacing w:after="0" w:line="240" w:lineRule="auto"/>
        <w:jc w:val="both"/>
        <w:rPr>
          <w:rFonts w:ascii="Verdana" w:eastAsia="Calibri" w:hAnsi="Verdana" w:cs="Arial"/>
          <w:bCs/>
          <w:color w:val="000000"/>
          <w:sz w:val="20"/>
          <w:szCs w:val="20"/>
        </w:rPr>
      </w:pPr>
    </w:p>
    <w:p w14:paraId="27AE3883" w14:textId="77777777" w:rsidR="00996E29" w:rsidRDefault="00E05A70" w:rsidP="00E05A70">
      <w:pPr>
        <w:spacing w:line="276" w:lineRule="auto"/>
        <w:jc w:val="both"/>
        <w:rPr>
          <w:rFonts w:ascii="Verdana" w:eastAsia="Times New Roman" w:hAnsi="Verdana"/>
          <w:b/>
          <w:bCs/>
          <w:lang w:val="es-ES_tradnl" w:eastAsia="es-ES_tradnl"/>
        </w:rPr>
      </w:pPr>
      <w:r w:rsidRPr="00996E29">
        <w:rPr>
          <w:rFonts w:ascii="Verdana" w:eastAsia="Times New Roman" w:hAnsi="Verdana"/>
          <w:b/>
          <w:bCs/>
          <w:lang w:val="es-ES_tradnl" w:eastAsia="es-ES_tradnl"/>
        </w:rPr>
        <w:t xml:space="preserve">COMITÉ EVALUADOR - Facultad de la entidad estatal </w:t>
      </w:r>
    </w:p>
    <w:p w14:paraId="78F8A97B" w14:textId="454965D3" w:rsidR="00996E29" w:rsidRDefault="00996E29" w:rsidP="00996E29">
      <w:pPr>
        <w:spacing w:after="0" w:line="240" w:lineRule="auto"/>
        <w:jc w:val="both"/>
        <w:rPr>
          <w:rFonts w:ascii="Verdana" w:eastAsia="Calibri" w:hAnsi="Verdana" w:cs="Arial"/>
          <w:bCs/>
          <w:color w:val="000000"/>
          <w:sz w:val="20"/>
          <w:szCs w:val="20"/>
        </w:rPr>
      </w:pPr>
      <w:r>
        <w:rPr>
          <w:rFonts w:ascii="Verdana" w:eastAsia="Calibri" w:hAnsi="Verdana" w:cs="Arial"/>
          <w:bCs/>
          <w:color w:val="000000"/>
          <w:sz w:val="20"/>
          <w:szCs w:val="20"/>
        </w:rPr>
        <w:t xml:space="preserve">[..] </w:t>
      </w:r>
      <w:r w:rsidRPr="00996E29">
        <w:rPr>
          <w:rFonts w:ascii="Verdana" w:eastAsia="Calibri" w:hAnsi="Verdana" w:cs="Arial"/>
          <w:bCs/>
          <w:color w:val="000000"/>
          <w:sz w:val="20"/>
          <w:szCs w:val="20"/>
        </w:rPr>
        <w:t xml:space="preserve">la norma mencionada permite que las Entidades Estatales sometidas al Estatuto General de Contratación de la Administración Pública, en adelante EGCAP, puedan constituir un comité evaluador de ofertas y de manifestaciones de interés,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 </w:t>
      </w:r>
    </w:p>
    <w:p w14:paraId="04572350" w14:textId="77777777" w:rsidR="00996E29" w:rsidRDefault="00996E29" w:rsidP="00996E29">
      <w:pPr>
        <w:spacing w:after="0" w:line="240" w:lineRule="auto"/>
        <w:jc w:val="both"/>
        <w:rPr>
          <w:rFonts w:ascii="Verdana" w:eastAsia="Calibri" w:hAnsi="Verdana" w:cs="Arial"/>
          <w:bCs/>
          <w:color w:val="000000"/>
          <w:sz w:val="20"/>
          <w:szCs w:val="20"/>
        </w:rPr>
      </w:pPr>
    </w:p>
    <w:p w14:paraId="5A67F7E8" w14:textId="77777777" w:rsidR="00996E29" w:rsidRPr="00CA7AF2" w:rsidRDefault="00E05A70" w:rsidP="00E05A70">
      <w:pPr>
        <w:spacing w:line="276" w:lineRule="auto"/>
        <w:jc w:val="both"/>
        <w:rPr>
          <w:rFonts w:ascii="Verdana" w:eastAsia="Times New Roman" w:hAnsi="Verdana"/>
          <w:b/>
          <w:bCs/>
          <w:lang w:val="es-ES_tradnl" w:eastAsia="es-ES_tradnl"/>
        </w:rPr>
      </w:pPr>
      <w:r w:rsidRPr="00CA7AF2">
        <w:rPr>
          <w:rFonts w:ascii="Verdana" w:eastAsia="Times New Roman" w:hAnsi="Verdana"/>
          <w:b/>
          <w:bCs/>
          <w:lang w:val="es-ES_tradnl" w:eastAsia="es-ES_tradnl"/>
        </w:rPr>
        <w:t xml:space="preserve">COMITÉ EVALUADOR – Funciones </w:t>
      </w:r>
    </w:p>
    <w:p w14:paraId="19277678" w14:textId="62E1FD47" w:rsidR="00996E29" w:rsidRPr="00996E29" w:rsidRDefault="00996E29" w:rsidP="00996E29">
      <w:pPr>
        <w:spacing w:after="0" w:line="240" w:lineRule="auto"/>
        <w:jc w:val="both"/>
        <w:rPr>
          <w:rFonts w:ascii="Verdana" w:eastAsia="Calibri" w:hAnsi="Verdana" w:cs="Arial"/>
          <w:bCs/>
          <w:color w:val="000000"/>
          <w:sz w:val="20"/>
          <w:szCs w:val="20"/>
        </w:rPr>
      </w:pPr>
      <w:r>
        <w:rPr>
          <w:rFonts w:ascii="Verdana" w:eastAsia="Calibri" w:hAnsi="Verdana" w:cs="Arial"/>
          <w:bCs/>
          <w:color w:val="000000"/>
          <w:sz w:val="20"/>
          <w:szCs w:val="20"/>
        </w:rPr>
        <w:t xml:space="preserve">[…] </w:t>
      </w:r>
      <w:r w:rsidRPr="00996E29">
        <w:rPr>
          <w:rFonts w:ascii="Verdana" w:eastAsia="Calibri" w:hAnsi="Verdana" w:cs="Arial"/>
          <w:bCs/>
          <w:color w:val="000000"/>
          <w:sz w:val="20"/>
          <w:szCs w:val="20"/>
        </w:rPr>
        <w:t>la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concepto o dictamen o informe, que deberá elaborarse y presentarse tanto al ordenador del gasto, como a los demás interesados en el Proceso de Contratación bajo las condiciones y plazos previamente definidos por la Entidad Estatal, a través del Sistema Electrónico para la Contratación Pública – SECOP.</w:t>
      </w:r>
    </w:p>
    <w:p w14:paraId="325F2DE1" w14:textId="77777777" w:rsidR="00996E29" w:rsidRDefault="00996E29" w:rsidP="00996E29">
      <w:pPr>
        <w:spacing w:after="0" w:line="240" w:lineRule="auto"/>
        <w:jc w:val="both"/>
        <w:rPr>
          <w:rFonts w:ascii="Verdana" w:eastAsia="Calibri" w:hAnsi="Verdana" w:cs="Arial"/>
          <w:color w:val="000000" w:themeColor="text1"/>
          <w:sz w:val="20"/>
          <w:szCs w:val="20"/>
          <w:lang w:val="es-ES"/>
        </w:rPr>
      </w:pPr>
    </w:p>
    <w:p w14:paraId="19F8A2E0" w14:textId="12BE8774" w:rsidR="00996E29" w:rsidRPr="00996E29" w:rsidRDefault="00996E29" w:rsidP="00996E29">
      <w:pPr>
        <w:spacing w:after="0" w:line="240" w:lineRule="auto"/>
        <w:jc w:val="both"/>
        <w:rPr>
          <w:rFonts w:ascii="Verdana" w:eastAsia="Calibri" w:hAnsi="Verdana" w:cs="Arial"/>
          <w:color w:val="000000" w:themeColor="text1"/>
          <w:sz w:val="20"/>
          <w:szCs w:val="20"/>
          <w:lang w:val="es-ES"/>
        </w:rPr>
      </w:pPr>
      <w:r w:rsidRPr="00996E29">
        <w:rPr>
          <w:rFonts w:ascii="Verdana" w:eastAsia="Calibri" w:hAnsi="Verdana" w:cs="Arial"/>
          <w:color w:val="000000" w:themeColor="text1"/>
          <w:sz w:val="20"/>
          <w:szCs w:val="20"/>
          <w:lang w:val="es-ES"/>
        </w:rPr>
        <w:t xml:space="preserve">Para emitir el informe de evaluación, el comité debe verificar las propuestas y aplicar el procedimiento, los criterios y los requisitos establecidos en el pliego de condiciones o documento equivalente con el fin de comparar y evaluar de forma objetiva las propuestas presentadas dentro del proceso de selección. En el informe, luego de cotejar y comparar las propuestas recibidas, se hará constar por el comité evaluador el estudio objetivo de las ofertas y los documentos presentados con esta por los proponentes para el cumplimiento de los requisitos habilitantes y de asignación de puntaje, los cuales son evaluados jurídica, técnica, financiera y económicamente. </w:t>
      </w:r>
    </w:p>
    <w:p w14:paraId="522F45E6" w14:textId="77777777" w:rsidR="00CA7AF2" w:rsidRDefault="00CA7AF2" w:rsidP="00CA7AF2">
      <w:pPr>
        <w:spacing w:after="0" w:line="240" w:lineRule="auto"/>
        <w:jc w:val="both"/>
        <w:rPr>
          <w:rFonts w:ascii="Verdana" w:eastAsia="Calibri" w:hAnsi="Verdana" w:cs="Arial"/>
          <w:color w:val="000000" w:themeColor="text1"/>
          <w:sz w:val="20"/>
          <w:szCs w:val="20"/>
          <w:lang w:val="es-ES"/>
        </w:rPr>
      </w:pPr>
    </w:p>
    <w:p w14:paraId="728D3793" w14:textId="64EF7A2F" w:rsidR="00996E29" w:rsidRPr="00996E29" w:rsidRDefault="00996E29" w:rsidP="00CA7AF2">
      <w:pPr>
        <w:spacing w:after="0" w:line="240" w:lineRule="auto"/>
        <w:jc w:val="both"/>
        <w:rPr>
          <w:rFonts w:ascii="Verdana" w:eastAsia="Calibri" w:hAnsi="Verdana" w:cs="Arial"/>
          <w:color w:val="000000" w:themeColor="text1"/>
          <w:sz w:val="20"/>
          <w:szCs w:val="20"/>
          <w:lang w:val="es-ES"/>
        </w:rPr>
      </w:pPr>
      <w:r w:rsidRPr="00996E29">
        <w:rPr>
          <w:rFonts w:ascii="Verdana" w:eastAsia="Calibri" w:hAnsi="Verdana" w:cs="Arial"/>
          <w:color w:val="000000" w:themeColor="text1"/>
          <w:sz w:val="20"/>
          <w:szCs w:val="20"/>
          <w:lang w:val="es-ES"/>
        </w:rPr>
        <w:t xml:space="preserve">Los resultados del informe de evaluación se concretan en una serie de recomendaciones al ordenador del gasto de la entidad estatal, tales como: </w:t>
      </w:r>
      <w:r w:rsidRPr="00996E29">
        <w:rPr>
          <w:rFonts w:ascii="Verdana" w:eastAsia="Calibri" w:hAnsi="Verdana" w:cs="Arial"/>
          <w:i/>
          <w:color w:val="000000" w:themeColor="text1"/>
          <w:sz w:val="20"/>
          <w:szCs w:val="20"/>
          <w:lang w:val="es-ES"/>
        </w:rPr>
        <w:t>i)</w:t>
      </w:r>
      <w:r w:rsidRPr="00996E29">
        <w:rPr>
          <w:rFonts w:ascii="Verdana" w:eastAsia="Calibri" w:hAnsi="Verdana" w:cs="Arial"/>
          <w:color w:val="000000" w:themeColor="text1"/>
          <w:sz w:val="20"/>
          <w:szCs w:val="20"/>
          <w:lang w:val="es-ES"/>
        </w:rPr>
        <w:t xml:space="preserve"> solicitar aclaraciones o </w:t>
      </w:r>
      <w:r w:rsidRPr="00996E29">
        <w:rPr>
          <w:rFonts w:ascii="Verdana" w:eastAsia="Calibri" w:hAnsi="Verdana" w:cs="Arial"/>
          <w:color w:val="000000" w:themeColor="text1"/>
          <w:sz w:val="20"/>
          <w:szCs w:val="20"/>
          <w:lang w:val="es-ES"/>
        </w:rPr>
        <w:lastRenderedPageBreak/>
        <w:t xml:space="preserve">explicaciones que consideren pertinentes; </w:t>
      </w:r>
      <w:proofErr w:type="spellStart"/>
      <w:r w:rsidRPr="00996E29">
        <w:rPr>
          <w:rFonts w:ascii="Verdana" w:eastAsia="Calibri" w:hAnsi="Verdana" w:cs="Arial"/>
          <w:i/>
          <w:color w:val="000000" w:themeColor="text1"/>
          <w:sz w:val="20"/>
          <w:szCs w:val="20"/>
          <w:lang w:val="es-ES"/>
        </w:rPr>
        <w:t>ii</w:t>
      </w:r>
      <w:proofErr w:type="spellEnd"/>
      <w:r w:rsidRPr="00996E29">
        <w:rPr>
          <w:rFonts w:ascii="Verdana" w:eastAsia="Calibri" w:hAnsi="Verdana" w:cs="Arial"/>
          <w:i/>
          <w:color w:val="000000" w:themeColor="text1"/>
          <w:sz w:val="20"/>
          <w:szCs w:val="20"/>
          <w:lang w:val="es-ES"/>
        </w:rPr>
        <w:t>)</w:t>
      </w:r>
      <w:r w:rsidRPr="00996E29">
        <w:rPr>
          <w:rFonts w:ascii="Verdana" w:eastAsia="Calibri" w:hAnsi="Verdana" w:cs="Arial"/>
          <w:color w:val="000000" w:themeColor="text1"/>
          <w:sz w:val="20"/>
          <w:szCs w:val="20"/>
          <w:lang w:val="es-ES"/>
        </w:rPr>
        <w:t xml:space="preserve"> subsanar requisitos que no otorguen puntajes; </w:t>
      </w:r>
      <w:proofErr w:type="spellStart"/>
      <w:r w:rsidRPr="00996E29">
        <w:rPr>
          <w:rFonts w:ascii="Verdana" w:eastAsia="Calibri" w:hAnsi="Verdana" w:cs="Arial"/>
          <w:i/>
          <w:color w:val="000000" w:themeColor="text1"/>
          <w:sz w:val="20"/>
          <w:szCs w:val="20"/>
          <w:lang w:val="es-ES"/>
        </w:rPr>
        <w:t>iii</w:t>
      </w:r>
      <w:proofErr w:type="spellEnd"/>
      <w:r w:rsidRPr="00996E29">
        <w:rPr>
          <w:rFonts w:ascii="Verdana" w:eastAsia="Calibri" w:hAnsi="Verdana" w:cs="Arial"/>
          <w:i/>
          <w:color w:val="000000" w:themeColor="text1"/>
          <w:sz w:val="20"/>
          <w:szCs w:val="20"/>
          <w:lang w:val="es-ES"/>
        </w:rPr>
        <w:t>)</w:t>
      </w:r>
      <w:r w:rsidRPr="00996E29">
        <w:rPr>
          <w:rFonts w:ascii="Verdana" w:eastAsia="Calibri" w:hAnsi="Verdana" w:cs="Arial"/>
          <w:color w:val="000000" w:themeColor="text1"/>
          <w:sz w:val="20"/>
          <w:szCs w:val="20"/>
          <w:lang w:val="es-ES"/>
        </w:rPr>
        <w:t xml:space="preserve"> rechazar propuestas que no cumplen la acreditación de requisitos y no sean susceptibles de subsanación; </w:t>
      </w:r>
      <w:proofErr w:type="spellStart"/>
      <w:r w:rsidRPr="00996E29">
        <w:rPr>
          <w:rFonts w:ascii="Verdana" w:eastAsia="Calibri" w:hAnsi="Verdana" w:cs="Arial"/>
          <w:i/>
          <w:color w:val="000000" w:themeColor="text1"/>
          <w:sz w:val="20"/>
          <w:szCs w:val="20"/>
          <w:lang w:val="es-ES"/>
        </w:rPr>
        <w:t>iv</w:t>
      </w:r>
      <w:proofErr w:type="spellEnd"/>
      <w:r w:rsidRPr="00996E29">
        <w:rPr>
          <w:rFonts w:ascii="Verdana" w:eastAsia="Calibri" w:hAnsi="Verdana" w:cs="Arial"/>
          <w:i/>
          <w:color w:val="000000" w:themeColor="text1"/>
          <w:sz w:val="20"/>
          <w:szCs w:val="20"/>
          <w:lang w:val="es-ES"/>
        </w:rPr>
        <w:t>)</w:t>
      </w:r>
      <w:r w:rsidRPr="00996E29">
        <w:rPr>
          <w:rFonts w:ascii="Verdana" w:eastAsia="Calibri" w:hAnsi="Verdana" w:cs="Arial"/>
          <w:color w:val="000000" w:themeColor="text1"/>
          <w:sz w:val="20"/>
          <w:szCs w:val="20"/>
          <w:lang w:val="es-ES"/>
        </w:rPr>
        <w:t xml:space="preserve"> no habilitar propuestas hasta que no se demuestre el cabal cumplimiento de los requisitos habilitantes o habilitar aquellas que sí cumplen con tales requisitos habilitantes; v) asignar puntajes para establecer el orden de elegibilidad; y vi) adjudicación del proceso de contratación a un proponente. Igualmente, el comité evaluador recibe, analiza y responde las observaciones presentadas por los oferentes al informe de evaluación, luego del traslado que realiza la entidad para que se surta su contradicción y en el evento de que sea necesario modificar el informe.</w:t>
      </w:r>
    </w:p>
    <w:p w14:paraId="562B22E3" w14:textId="77777777" w:rsidR="00CA7AF2" w:rsidRDefault="00CA7AF2" w:rsidP="00CA7AF2">
      <w:pPr>
        <w:spacing w:after="0" w:line="240" w:lineRule="auto"/>
        <w:jc w:val="both"/>
        <w:rPr>
          <w:rFonts w:ascii="Verdana" w:eastAsia="Times New Roman" w:hAnsi="Verdana"/>
          <w:lang w:val="es-ES" w:eastAsia="es-ES_tradnl"/>
        </w:rPr>
      </w:pPr>
    </w:p>
    <w:p w14:paraId="43A1D497" w14:textId="5A71ADF3" w:rsidR="00CA7AF2" w:rsidRPr="00CA7AF2" w:rsidRDefault="00E05A70" w:rsidP="00E05A70">
      <w:pPr>
        <w:spacing w:line="276" w:lineRule="auto"/>
        <w:jc w:val="both"/>
        <w:rPr>
          <w:rFonts w:ascii="Verdana" w:eastAsia="Times New Roman" w:hAnsi="Verdana"/>
          <w:b/>
          <w:bCs/>
          <w:lang w:val="es-ES_tradnl" w:eastAsia="es-ES_tradnl"/>
        </w:rPr>
      </w:pPr>
      <w:r w:rsidRPr="00CA7AF2">
        <w:rPr>
          <w:rFonts w:ascii="Verdana" w:eastAsia="Times New Roman" w:hAnsi="Verdana"/>
          <w:b/>
          <w:bCs/>
          <w:lang w:val="es-ES_tradnl" w:eastAsia="es-ES_tradnl"/>
        </w:rPr>
        <w:t xml:space="preserve">COMITÉ EVALUADOR - Informe de evaluación </w:t>
      </w:r>
    </w:p>
    <w:p w14:paraId="745C20D2" w14:textId="77777777" w:rsidR="00CA7AF2" w:rsidRDefault="00CA7AF2" w:rsidP="00CA7AF2">
      <w:pPr>
        <w:jc w:val="both"/>
        <w:rPr>
          <w:rFonts w:ascii="Verdana" w:eastAsia="Times New Roman" w:hAnsi="Verdana"/>
          <w:sz w:val="20"/>
          <w:szCs w:val="20"/>
          <w:lang w:val="es-ES_tradnl" w:eastAsia="es-ES_tradnl"/>
        </w:rPr>
      </w:pPr>
      <w:r w:rsidRPr="00CA7AF2">
        <w:rPr>
          <w:rFonts w:ascii="Verdana" w:eastAsia="Calibri" w:hAnsi="Verdana" w:cs="Arial"/>
          <w:color w:val="000000" w:themeColor="text1"/>
          <w:sz w:val="20"/>
          <w:szCs w:val="20"/>
          <w:lang w:val="es-ES_tradnl"/>
        </w:rPr>
        <w:t>No obstante, el comité evaluador en el informe de evaluación tan solo recomienda, pero no decide ni adjudica, toda vez que estas facultades la ley las reserva al jefe o representante legal de la entidad y ordenador del gasto […] Es así como el artículo 2.2.1.1.2.2.3 del Decreto 1082 de 2015 permite que la Entidad Estatal a través del ordenador del gasto se separare del concepto emitido por el comité evaluador y no acoja sus recomendaciones, en cuyo caso deberá justificar completa y correctamente su decisión</w:t>
      </w:r>
    </w:p>
    <w:p w14:paraId="3F7C7F39" w14:textId="1A095DB1" w:rsidR="00E05A70" w:rsidRPr="00CA7AF2" w:rsidRDefault="00E05A70" w:rsidP="00CA7AF2">
      <w:pPr>
        <w:spacing w:after="0" w:line="240" w:lineRule="auto"/>
        <w:jc w:val="both"/>
        <w:rPr>
          <w:rFonts w:ascii="Verdana" w:eastAsia="Times New Roman" w:hAnsi="Verdana"/>
          <w:sz w:val="20"/>
          <w:szCs w:val="20"/>
          <w:lang w:val="es-ES_tradnl" w:eastAsia="es-ES_tradnl"/>
        </w:rPr>
      </w:pPr>
      <w:r w:rsidRPr="00CA7AF2">
        <w:rPr>
          <w:rFonts w:ascii="Verdana" w:eastAsia="Times New Roman" w:hAnsi="Verdana"/>
          <w:b/>
          <w:bCs/>
          <w:lang w:val="es-ES_tradnl" w:eastAsia="es-ES_tradnl"/>
        </w:rPr>
        <w:t xml:space="preserve">COMITÉ EVALUADOR - Responsabilidad </w:t>
      </w:r>
    </w:p>
    <w:p w14:paraId="51E4845A" w14:textId="77777777" w:rsidR="00CA7AF2" w:rsidRDefault="00CA7AF2" w:rsidP="00CA7AF2">
      <w:pPr>
        <w:spacing w:after="0" w:line="240" w:lineRule="auto"/>
        <w:jc w:val="both"/>
        <w:rPr>
          <w:rFonts w:ascii="Verdana" w:eastAsia="Calibri" w:hAnsi="Verdana" w:cs="Arial"/>
          <w:color w:val="000000" w:themeColor="text1"/>
          <w:sz w:val="20"/>
          <w:szCs w:val="20"/>
          <w:lang w:val="es-ES_tradnl"/>
        </w:rPr>
      </w:pPr>
    </w:p>
    <w:p w14:paraId="1237E44D" w14:textId="34879AB9" w:rsidR="00CA7AF2" w:rsidRPr="00CA7AF2" w:rsidRDefault="00CA7AF2" w:rsidP="00CA7AF2">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 xml:space="preserve">[…] </w:t>
      </w:r>
      <w:r w:rsidRPr="00CA7AF2">
        <w:rPr>
          <w:rFonts w:ascii="Verdana" w:eastAsia="Calibri" w:hAnsi="Verdana" w:cs="Arial"/>
          <w:color w:val="000000" w:themeColor="text1"/>
          <w:sz w:val="20"/>
          <w:szCs w:val="20"/>
          <w:lang w:val="es-ES_tradnl"/>
        </w:rPr>
        <w:t>el carácter asesor del comité no exime a sus miembros de las responsabilidades que correspondan, sino que, por el contrario, estos entrarán a responder por las recomendaciones erradas o incorrectamente fundamentadas que emitan, como dispone el citado artículo 2.2.1.1.2.2.3 del Decreto 1082 de 2015. Finalmente, el carácter asesor y la calidad de servidores públicos o contratistas del Estado que pueden ostentar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p>
    <w:p w14:paraId="2C3D1C89" w14:textId="77777777" w:rsidR="00E05A70" w:rsidRPr="00CA7AF2" w:rsidRDefault="00E05A70" w:rsidP="00CA7AF2">
      <w:pPr>
        <w:spacing w:after="0" w:line="240" w:lineRule="auto"/>
        <w:jc w:val="both"/>
        <w:rPr>
          <w:rFonts w:ascii="Verdana" w:hAnsi="Verdana"/>
          <w:lang w:val="es-ES_tradnl"/>
        </w:rPr>
      </w:pPr>
    </w:p>
    <w:p w14:paraId="21C07D5A" w14:textId="77777777" w:rsidR="00E05A70" w:rsidRDefault="00E05A70" w:rsidP="00AF1ABD">
      <w:pPr>
        <w:spacing w:after="0" w:line="240" w:lineRule="auto"/>
        <w:jc w:val="both"/>
        <w:rPr>
          <w:rFonts w:ascii="Verdana" w:hAnsi="Verdana"/>
        </w:rPr>
      </w:pPr>
    </w:p>
    <w:p w14:paraId="1BA7F58D" w14:textId="77777777" w:rsidR="00E05A70" w:rsidRDefault="00E05A70" w:rsidP="00AF1ABD">
      <w:pPr>
        <w:spacing w:after="0" w:line="240" w:lineRule="auto"/>
        <w:jc w:val="both"/>
        <w:rPr>
          <w:rFonts w:ascii="Verdana" w:hAnsi="Verdana"/>
        </w:rPr>
      </w:pPr>
    </w:p>
    <w:p w14:paraId="7F87303A" w14:textId="77777777" w:rsidR="00E05A70" w:rsidRDefault="00E05A70" w:rsidP="00AF1ABD">
      <w:pPr>
        <w:spacing w:after="0" w:line="240" w:lineRule="auto"/>
        <w:jc w:val="both"/>
        <w:rPr>
          <w:rFonts w:ascii="Verdana" w:hAnsi="Verdana"/>
        </w:rPr>
      </w:pPr>
    </w:p>
    <w:p w14:paraId="59286905" w14:textId="77777777" w:rsidR="00CA7AF2" w:rsidRDefault="00CA7AF2" w:rsidP="00AF1ABD">
      <w:pPr>
        <w:spacing w:after="0" w:line="240" w:lineRule="auto"/>
        <w:jc w:val="both"/>
        <w:rPr>
          <w:rFonts w:ascii="Verdana" w:hAnsi="Verdana"/>
        </w:rPr>
      </w:pPr>
    </w:p>
    <w:p w14:paraId="2295D2FD" w14:textId="77777777" w:rsidR="00CA7AF2" w:rsidRDefault="00CA7AF2" w:rsidP="00AF1ABD">
      <w:pPr>
        <w:spacing w:after="0" w:line="240" w:lineRule="auto"/>
        <w:jc w:val="both"/>
        <w:rPr>
          <w:rFonts w:ascii="Verdana" w:hAnsi="Verdana"/>
        </w:rPr>
      </w:pPr>
    </w:p>
    <w:p w14:paraId="730B0087" w14:textId="77777777" w:rsidR="00CA7AF2" w:rsidRDefault="00CA7AF2" w:rsidP="00AF1ABD">
      <w:pPr>
        <w:spacing w:after="0" w:line="240" w:lineRule="auto"/>
        <w:jc w:val="both"/>
        <w:rPr>
          <w:rFonts w:ascii="Verdana" w:hAnsi="Verdana"/>
        </w:rPr>
      </w:pPr>
    </w:p>
    <w:p w14:paraId="5742F4FF" w14:textId="77777777" w:rsidR="00CA7AF2" w:rsidRDefault="00CA7AF2" w:rsidP="00AF1ABD">
      <w:pPr>
        <w:spacing w:after="0" w:line="240" w:lineRule="auto"/>
        <w:jc w:val="both"/>
        <w:rPr>
          <w:rFonts w:ascii="Verdana" w:hAnsi="Verdana"/>
        </w:rPr>
      </w:pPr>
    </w:p>
    <w:p w14:paraId="0E8AE074" w14:textId="77777777" w:rsidR="00CA7AF2" w:rsidRDefault="00CA7AF2" w:rsidP="00AF1ABD">
      <w:pPr>
        <w:spacing w:after="0" w:line="240" w:lineRule="auto"/>
        <w:jc w:val="both"/>
        <w:rPr>
          <w:rFonts w:ascii="Verdana" w:hAnsi="Verdana"/>
        </w:rPr>
      </w:pPr>
    </w:p>
    <w:p w14:paraId="7EC51E20" w14:textId="77777777" w:rsidR="00CA7AF2" w:rsidRDefault="00CA7AF2" w:rsidP="00AF1ABD">
      <w:pPr>
        <w:spacing w:after="0" w:line="240" w:lineRule="auto"/>
        <w:jc w:val="both"/>
        <w:rPr>
          <w:rFonts w:ascii="Verdana" w:hAnsi="Verdana"/>
        </w:rPr>
      </w:pPr>
    </w:p>
    <w:p w14:paraId="08DAB645" w14:textId="77777777" w:rsidR="00CA7AF2" w:rsidRDefault="00CA7AF2" w:rsidP="00AF1ABD">
      <w:pPr>
        <w:spacing w:after="0" w:line="240" w:lineRule="auto"/>
        <w:jc w:val="both"/>
        <w:rPr>
          <w:rFonts w:ascii="Verdana" w:hAnsi="Verdana"/>
        </w:rPr>
      </w:pPr>
    </w:p>
    <w:p w14:paraId="15665EE9" w14:textId="77777777" w:rsidR="00CA7AF2" w:rsidRDefault="00CA7AF2" w:rsidP="00AF1ABD">
      <w:pPr>
        <w:spacing w:after="0" w:line="240" w:lineRule="auto"/>
        <w:jc w:val="both"/>
        <w:rPr>
          <w:rFonts w:ascii="Verdana" w:hAnsi="Verdana"/>
        </w:rPr>
      </w:pPr>
    </w:p>
    <w:p w14:paraId="3B86800C" w14:textId="77777777" w:rsidR="00CA7AF2" w:rsidRDefault="00CA7AF2" w:rsidP="00AF1ABD">
      <w:pPr>
        <w:spacing w:after="0" w:line="240" w:lineRule="auto"/>
        <w:jc w:val="both"/>
        <w:rPr>
          <w:rFonts w:ascii="Verdana" w:hAnsi="Verdana"/>
        </w:rPr>
      </w:pPr>
    </w:p>
    <w:p w14:paraId="236D77FD" w14:textId="77777777" w:rsidR="00CA7AF2" w:rsidRDefault="00CA7AF2" w:rsidP="00AF1ABD">
      <w:pPr>
        <w:spacing w:after="0" w:line="240" w:lineRule="auto"/>
        <w:jc w:val="both"/>
        <w:rPr>
          <w:rFonts w:ascii="Verdana" w:hAnsi="Verdana"/>
        </w:rPr>
      </w:pPr>
    </w:p>
    <w:p w14:paraId="1163963F" w14:textId="77777777" w:rsidR="00CA7AF2" w:rsidRDefault="00CA7AF2" w:rsidP="00AF1ABD">
      <w:pPr>
        <w:spacing w:after="0" w:line="240" w:lineRule="auto"/>
        <w:jc w:val="both"/>
        <w:rPr>
          <w:rFonts w:ascii="Verdana" w:hAnsi="Verdana"/>
        </w:rPr>
      </w:pPr>
    </w:p>
    <w:p w14:paraId="649FA777" w14:textId="0A9C60E0" w:rsidR="00AF1ABD" w:rsidRDefault="00AF1ABD" w:rsidP="00AF1ABD">
      <w:pPr>
        <w:spacing w:after="0" w:line="240" w:lineRule="auto"/>
        <w:jc w:val="both"/>
        <w:rPr>
          <w:rFonts w:ascii="Verdana" w:hAnsi="Verdana"/>
        </w:rPr>
      </w:pPr>
      <w:r w:rsidRPr="008E4F36">
        <w:rPr>
          <w:rFonts w:ascii="Verdana" w:hAnsi="Verdana"/>
        </w:rPr>
        <w:t xml:space="preserve">Bogotá D.C., </w:t>
      </w:r>
      <w:bookmarkStart w:id="5" w:name="_Hlk197462763"/>
      <w:bookmarkStart w:id="6" w:name="_Hlk197529996"/>
      <w:r w:rsidR="00E05A70">
        <w:rPr>
          <w:rFonts w:ascii="Verdana" w:hAnsi="Verdana"/>
        </w:rPr>
        <w:t>28 de agosto de 2025</w:t>
      </w:r>
    </w:p>
    <w:p w14:paraId="51678BD7" w14:textId="77777777" w:rsidR="00E05A70" w:rsidRDefault="00E05A70" w:rsidP="00AF1ABD">
      <w:pPr>
        <w:spacing w:after="0" w:line="240" w:lineRule="auto"/>
        <w:jc w:val="both"/>
        <w:rPr>
          <w:rFonts w:ascii="Verdana" w:hAnsi="Verdana"/>
        </w:rPr>
      </w:pPr>
    </w:p>
    <w:p w14:paraId="1815D609" w14:textId="0D0DA17C" w:rsidR="00E05A70" w:rsidRDefault="00E05A70" w:rsidP="00E05A70">
      <w:pPr>
        <w:spacing w:after="0" w:line="240" w:lineRule="auto"/>
        <w:jc w:val="right"/>
        <w:rPr>
          <w:rFonts w:ascii="Verdana" w:eastAsia="Calibri" w:hAnsi="Verdana" w:cs="Arial"/>
          <w:lang w:eastAsia="es-ES"/>
        </w:rPr>
      </w:pPr>
      <w:r w:rsidRPr="00E05A70">
        <w:rPr>
          <w:rFonts w:ascii="Verdana" w:eastAsia="Calibri" w:hAnsi="Verdana" w:cs="Arial"/>
          <w:noProof/>
          <w:lang w:eastAsia="es-ES"/>
        </w:rPr>
        <w:drawing>
          <wp:inline distT="0" distB="0" distL="0" distR="0" wp14:anchorId="5EF8DD33" wp14:editId="78F5453E">
            <wp:extent cx="2542936" cy="760781"/>
            <wp:effectExtent l="0" t="0" r="0" b="1270"/>
            <wp:docPr id="16685411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41160" name=""/>
                    <pic:cNvPicPr/>
                  </pic:nvPicPr>
                  <pic:blipFill>
                    <a:blip r:embed="rId10"/>
                    <a:stretch>
                      <a:fillRect/>
                    </a:stretch>
                  </pic:blipFill>
                  <pic:spPr>
                    <a:xfrm>
                      <a:off x="0" y="0"/>
                      <a:ext cx="2577024" cy="770979"/>
                    </a:xfrm>
                    <a:prstGeom prst="rect">
                      <a:avLst/>
                    </a:prstGeom>
                  </pic:spPr>
                </pic:pic>
              </a:graphicData>
            </a:graphic>
          </wp:inline>
        </w:drawing>
      </w:r>
    </w:p>
    <w:p w14:paraId="5BE87292" w14:textId="6F5C2205" w:rsidR="00AF1ABD" w:rsidRPr="008E4F36" w:rsidRDefault="00AF1ABD" w:rsidP="00AF1ABD">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sidR="00997EC7">
        <w:rPr>
          <w:rFonts w:ascii="Verdana" w:eastAsia="Calibri" w:hAnsi="Verdana" w:cs="Arial"/>
          <w:lang w:eastAsia="es-ES"/>
        </w:rPr>
        <w:t xml:space="preserve"> </w:t>
      </w:r>
    </w:p>
    <w:p w14:paraId="7F802BEB" w14:textId="77777777" w:rsidR="00AF1ABD" w:rsidRDefault="00AF1ABD" w:rsidP="00AF1ABD">
      <w:pPr>
        <w:spacing w:after="0" w:line="240" w:lineRule="auto"/>
        <w:jc w:val="both"/>
        <w:rPr>
          <w:rFonts w:ascii="Verdana" w:eastAsia="Calibri" w:hAnsi="Verdana" w:cs="Arial"/>
          <w:b/>
          <w:lang w:eastAsia="es-ES_tradnl"/>
        </w:rPr>
      </w:pPr>
      <w:r w:rsidRPr="00195E6C">
        <w:rPr>
          <w:rFonts w:ascii="Verdana" w:eastAsia="Calibri" w:hAnsi="Verdana" w:cs="Arial"/>
          <w:b/>
          <w:lang w:eastAsia="es-ES_tradnl"/>
        </w:rPr>
        <w:t>Carlos Andrés</w:t>
      </w:r>
      <w:r>
        <w:rPr>
          <w:rFonts w:ascii="Verdana" w:eastAsia="Calibri" w:hAnsi="Verdana" w:cs="Arial"/>
          <w:b/>
          <w:lang w:eastAsia="es-ES_tradnl"/>
        </w:rPr>
        <w:t xml:space="preserve"> Santamaría </w:t>
      </w:r>
    </w:p>
    <w:p w14:paraId="7321D140" w14:textId="77777777" w:rsidR="00AF1ABD" w:rsidRPr="00195E6C" w:rsidRDefault="00AF1ABD" w:rsidP="00AF1ABD">
      <w:pPr>
        <w:spacing w:after="0" w:line="240" w:lineRule="auto"/>
        <w:jc w:val="both"/>
        <w:rPr>
          <w:rFonts w:ascii="Verdana" w:hAnsi="Verdana"/>
        </w:rPr>
      </w:pPr>
      <w:hyperlink r:id="rId11" w:history="1">
        <w:r w:rsidRPr="00195E6C">
          <w:rPr>
            <w:rStyle w:val="Hipervnculo"/>
            <w:rFonts w:ascii="Verdana" w:hAnsi="Verdana"/>
          </w:rPr>
          <w:t>consultor_innovadata@outlook.com</w:t>
        </w:r>
      </w:hyperlink>
    </w:p>
    <w:p w14:paraId="73658041" w14:textId="77777777" w:rsidR="00AF1ABD" w:rsidRPr="00624A4C" w:rsidRDefault="00AF1ABD" w:rsidP="00AF1ABD">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Ciudad </w:t>
      </w:r>
    </w:p>
    <w:p w14:paraId="17F62F22" w14:textId="77777777" w:rsidR="00AF1ABD" w:rsidRPr="005B4C57" w:rsidRDefault="00AF1ABD" w:rsidP="00AF1ABD">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AF1ABD" w:rsidRPr="002842E0" w14:paraId="6E034934" w14:textId="77777777" w:rsidTr="001135AE">
        <w:trPr>
          <w:trHeight w:val="162"/>
        </w:trPr>
        <w:tc>
          <w:tcPr>
            <w:tcW w:w="3119" w:type="dxa"/>
          </w:tcPr>
          <w:p w14:paraId="5A7AE605" w14:textId="77777777" w:rsidR="00AF1ABD" w:rsidRPr="005B4C57" w:rsidRDefault="00AF1ABD" w:rsidP="001135AE">
            <w:pPr>
              <w:jc w:val="both"/>
              <w:rPr>
                <w:rFonts w:ascii="Verdana" w:eastAsia="Calibri" w:hAnsi="Verdana" w:cs="Arial"/>
                <w:b/>
                <w:bCs/>
                <w:color w:val="7030A0"/>
                <w:lang w:val="it-CH" w:eastAsia="es-ES_tradnl"/>
              </w:rPr>
            </w:pPr>
          </w:p>
        </w:tc>
        <w:tc>
          <w:tcPr>
            <w:tcW w:w="5670" w:type="dxa"/>
          </w:tcPr>
          <w:p w14:paraId="37D73046" w14:textId="77777777" w:rsidR="00AF1ABD" w:rsidRPr="00801462" w:rsidRDefault="00AF1ABD" w:rsidP="001135AE">
            <w:pPr>
              <w:jc w:val="both"/>
              <w:rPr>
                <w:rFonts w:ascii="Verdana" w:eastAsia="Calibri" w:hAnsi="Verdana" w:cs="Arial"/>
                <w:b/>
                <w:bCs/>
                <w:lang w:eastAsia="es-ES"/>
              </w:rPr>
            </w:pPr>
            <w:r w:rsidRPr="00801462">
              <w:rPr>
                <w:rFonts w:ascii="Verdana" w:eastAsia="Calibri" w:hAnsi="Verdana" w:cs="Arial"/>
                <w:b/>
                <w:bCs/>
                <w:lang w:eastAsia="es-ES"/>
              </w:rPr>
              <w:t xml:space="preserve">Concepto </w:t>
            </w:r>
            <w:r w:rsidRPr="00195E6C">
              <w:rPr>
                <w:rFonts w:ascii="Verdana" w:eastAsia="Calibri" w:hAnsi="Verdana" w:cs="Arial"/>
                <w:b/>
                <w:bCs/>
                <w:lang w:eastAsia="es-ES"/>
              </w:rPr>
              <w:t>C-1023</w:t>
            </w:r>
            <w:r>
              <w:rPr>
                <w:rFonts w:ascii="Verdana" w:eastAsia="Calibri" w:hAnsi="Verdana" w:cs="Arial"/>
                <w:b/>
                <w:bCs/>
                <w:lang w:eastAsia="es-ES"/>
              </w:rPr>
              <w:t xml:space="preserve"> </w:t>
            </w:r>
            <w:r w:rsidRPr="00801462">
              <w:rPr>
                <w:rFonts w:ascii="Verdana" w:eastAsia="Calibri" w:hAnsi="Verdana" w:cs="Arial"/>
                <w:b/>
                <w:bCs/>
                <w:lang w:eastAsia="es-ES"/>
              </w:rPr>
              <w:t>de 2025</w:t>
            </w:r>
          </w:p>
          <w:p w14:paraId="5563BAD4" w14:textId="77777777" w:rsidR="00AF1ABD" w:rsidRPr="00801462" w:rsidRDefault="00AF1ABD" w:rsidP="001135AE">
            <w:pPr>
              <w:jc w:val="both"/>
              <w:rPr>
                <w:rFonts w:ascii="Verdana" w:eastAsia="Calibri" w:hAnsi="Verdana" w:cs="Arial"/>
                <w:b/>
                <w:bCs/>
                <w:color w:val="7030A0"/>
                <w:lang w:eastAsia="es-ES"/>
              </w:rPr>
            </w:pPr>
          </w:p>
        </w:tc>
      </w:tr>
      <w:tr w:rsidR="00AF1ABD" w:rsidRPr="002842E0" w14:paraId="22EF234F" w14:textId="77777777" w:rsidTr="001135AE">
        <w:trPr>
          <w:trHeight w:val="884"/>
        </w:trPr>
        <w:tc>
          <w:tcPr>
            <w:tcW w:w="3119" w:type="dxa"/>
          </w:tcPr>
          <w:p w14:paraId="0F1C4934" w14:textId="77777777" w:rsidR="00AF1ABD" w:rsidRPr="00801462" w:rsidRDefault="00AF1ABD" w:rsidP="001135AE">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4B31065D" w14:textId="77777777" w:rsidR="00AF1ABD" w:rsidRPr="00713B63" w:rsidRDefault="00AF1ABD" w:rsidP="001135AE">
            <w:pPr>
              <w:spacing w:line="276" w:lineRule="auto"/>
              <w:jc w:val="both"/>
              <w:rPr>
                <w:rFonts w:ascii="Verdana" w:eastAsia="Times New Roman" w:hAnsi="Verdana"/>
                <w:shd w:val="clear" w:color="auto" w:fill="FFFFFF"/>
                <w:lang w:eastAsia="es-ES_tradnl"/>
              </w:rPr>
            </w:pPr>
            <w:r w:rsidRPr="00713B63">
              <w:rPr>
                <w:rFonts w:ascii="Verdana" w:eastAsia="Times New Roman" w:hAnsi="Verdana"/>
                <w:lang w:val="es-ES_tradnl" w:eastAsia="es-ES_tradnl"/>
              </w:rPr>
              <w:t xml:space="preserve">COMITÉ EVALUADOR - </w:t>
            </w:r>
            <w:r>
              <w:rPr>
                <w:rFonts w:ascii="Verdana" w:eastAsia="Times New Roman" w:hAnsi="Verdana"/>
                <w:lang w:val="es-ES_tradnl" w:eastAsia="es-ES_tradnl"/>
              </w:rPr>
              <w:t>Conformación por servidores públicos y contratistas / COMITÉ EVALUADOR</w:t>
            </w:r>
            <w:r w:rsidRPr="00713B63">
              <w:rPr>
                <w:rFonts w:ascii="Verdana" w:eastAsia="Times New Roman" w:hAnsi="Verdana"/>
                <w:lang w:val="es-ES_tradnl" w:eastAsia="es-ES_tradnl"/>
              </w:rPr>
              <w:t xml:space="preserve"> - Facultad de la entidad estatal / COMITÉ EVALUADOR –</w:t>
            </w:r>
            <w:r>
              <w:rPr>
                <w:rFonts w:ascii="Verdana" w:eastAsia="Times New Roman" w:hAnsi="Verdana"/>
                <w:lang w:val="es-ES_tradnl" w:eastAsia="es-ES_tradnl"/>
              </w:rPr>
              <w:t xml:space="preserve"> </w:t>
            </w:r>
            <w:r w:rsidRPr="00713B63">
              <w:rPr>
                <w:rFonts w:ascii="Verdana" w:eastAsia="Times New Roman" w:hAnsi="Verdana"/>
                <w:lang w:val="es-ES_tradnl" w:eastAsia="es-ES_tradnl"/>
              </w:rPr>
              <w:t xml:space="preserve">Funciones </w:t>
            </w:r>
            <w:r>
              <w:rPr>
                <w:rFonts w:ascii="Verdana" w:eastAsia="Times New Roman" w:hAnsi="Verdana"/>
                <w:lang w:val="es-ES_tradnl" w:eastAsia="es-ES_tradnl"/>
              </w:rPr>
              <w:t xml:space="preserve">/ COMITÉ EVALUADOR - </w:t>
            </w:r>
            <w:r w:rsidRPr="00713B63">
              <w:rPr>
                <w:rFonts w:ascii="Verdana" w:eastAsia="Times New Roman" w:hAnsi="Verdana"/>
                <w:lang w:val="es-ES_tradnl" w:eastAsia="es-ES_tradnl"/>
              </w:rPr>
              <w:t xml:space="preserve">Informe de evaluación </w:t>
            </w:r>
            <w:r>
              <w:rPr>
                <w:rFonts w:ascii="Verdana" w:eastAsia="Times New Roman" w:hAnsi="Verdana"/>
                <w:lang w:val="es-ES_tradnl" w:eastAsia="es-ES_tradnl"/>
              </w:rPr>
              <w:t xml:space="preserve">/ COMITÉ EVALUADOR - </w:t>
            </w:r>
            <w:r w:rsidRPr="00713B63">
              <w:rPr>
                <w:rFonts w:ascii="Verdana" w:eastAsia="Times New Roman" w:hAnsi="Verdana"/>
                <w:lang w:val="es-ES_tradnl" w:eastAsia="es-ES_tradnl"/>
              </w:rPr>
              <w:t xml:space="preserve">Responsabilidad </w:t>
            </w:r>
          </w:p>
          <w:p w14:paraId="32CDF9A6" w14:textId="77777777" w:rsidR="00AF1ABD" w:rsidRPr="005E4C47" w:rsidRDefault="00AF1ABD" w:rsidP="001135AE">
            <w:pPr>
              <w:jc w:val="both"/>
              <w:rPr>
                <w:rFonts w:ascii="Verdana" w:eastAsia="Calibri" w:hAnsi="Verdana" w:cs="Arial"/>
                <w:lang w:eastAsia="es-ES"/>
              </w:rPr>
            </w:pPr>
          </w:p>
        </w:tc>
      </w:tr>
      <w:tr w:rsidR="00AF1ABD" w:rsidRPr="002842E0" w14:paraId="70138F48" w14:textId="77777777" w:rsidTr="001135AE">
        <w:tc>
          <w:tcPr>
            <w:tcW w:w="3119" w:type="dxa"/>
          </w:tcPr>
          <w:p w14:paraId="4B2A448C" w14:textId="77777777" w:rsidR="00AF1ABD" w:rsidRPr="00801462" w:rsidRDefault="00AF1ABD" w:rsidP="001135AE">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F948733" w14:textId="77777777" w:rsidR="00AF1ABD" w:rsidRPr="00801462" w:rsidRDefault="00AF1ABD" w:rsidP="001135AE">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195E6C">
              <w:rPr>
                <w:rFonts w:ascii="Verdana" w:eastAsia="Calibri" w:hAnsi="Verdana" w:cs="Arial"/>
                <w:lang w:eastAsia="es-ES_tradnl"/>
              </w:rPr>
              <w:t>1_2025_07_25_007678</w:t>
            </w:r>
          </w:p>
        </w:tc>
      </w:tr>
    </w:tbl>
    <w:p w14:paraId="396CC29B" w14:textId="77777777" w:rsidR="00AF1ABD" w:rsidRDefault="00AF1ABD" w:rsidP="00AF1ABD">
      <w:pPr>
        <w:spacing w:after="0" w:line="276" w:lineRule="auto"/>
        <w:jc w:val="both"/>
        <w:rPr>
          <w:rFonts w:ascii="Verdana" w:eastAsia="Calibri" w:hAnsi="Verdana" w:cs="Arial"/>
          <w:lang w:eastAsia="es-ES_tradnl"/>
        </w:rPr>
      </w:pPr>
    </w:p>
    <w:p w14:paraId="1C727B1E" w14:textId="77777777" w:rsidR="00AF1ABD" w:rsidRPr="008E4F36" w:rsidRDefault="00AF1ABD" w:rsidP="00AF1ABD">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 xml:space="preserve">o </w:t>
      </w:r>
      <w:r w:rsidRPr="008E4F36">
        <w:rPr>
          <w:rFonts w:ascii="Verdana" w:eastAsia="Calibri" w:hAnsi="Verdana" w:cs="Arial"/>
          <w:lang w:eastAsia="es-ES"/>
        </w:rPr>
        <w:t>señor</w:t>
      </w:r>
      <w:r>
        <w:rPr>
          <w:rFonts w:ascii="Verdana" w:eastAsia="Calibri" w:hAnsi="Verdana" w:cs="Arial"/>
          <w:lang w:eastAsia="es-ES"/>
        </w:rPr>
        <w:t xml:space="preserve"> Santamaría</w:t>
      </w:r>
      <w:r w:rsidRPr="008E4F36">
        <w:rPr>
          <w:rFonts w:ascii="Verdana" w:eastAsia="Calibri" w:hAnsi="Verdana" w:cs="Arial"/>
          <w:lang w:eastAsia="es-ES"/>
        </w:rPr>
        <w:t xml:space="preserve">: </w:t>
      </w:r>
    </w:p>
    <w:p w14:paraId="6EE9FA53" w14:textId="77777777" w:rsidR="00AF1ABD" w:rsidRDefault="00AF1ABD" w:rsidP="00AF1ABD">
      <w:pPr>
        <w:tabs>
          <w:tab w:val="left" w:pos="3768"/>
        </w:tabs>
        <w:spacing w:after="0" w:line="240" w:lineRule="auto"/>
        <w:jc w:val="both"/>
        <w:rPr>
          <w:rFonts w:ascii="Verdana" w:eastAsia="Calibri" w:hAnsi="Verdana" w:cs="Arial"/>
          <w:lang w:eastAsia="es-ES"/>
        </w:rPr>
      </w:pPr>
    </w:p>
    <w:p w14:paraId="4538D5DE" w14:textId="242B41D1" w:rsidR="00AF1ABD" w:rsidRPr="008373ED" w:rsidRDefault="00AF1ABD" w:rsidP="008373ED">
      <w:pPr>
        <w:spacing w:after="120" w:line="276" w:lineRule="auto"/>
        <w:jc w:val="both"/>
        <w:rPr>
          <w:rFonts w:ascii="Verdana" w:hAnsi="Verdana"/>
          <w:i/>
        </w:rPr>
      </w:pPr>
      <w:r w:rsidRPr="00DE0B78">
        <w:rPr>
          <w:rFonts w:ascii="Verdana" w:eastAsia="Calibri" w:hAnsi="Verdana" w:cs="Arial"/>
          <w:lang w:eastAsia="es-ES"/>
        </w:rPr>
        <w:t>En ejercicio de la competencia otorgada por los artículos 3, numeral 5º, y 11, numeral 8º, del Decreto Ley 4170 de 2011,</w:t>
      </w:r>
      <w:r w:rsidRPr="00DE0B78">
        <w:rPr>
          <w:rFonts w:ascii="Verdana" w:eastAsia="Arial MT" w:hAnsi="Verdana" w:cs="Arial MT"/>
          <w:lang w:eastAsia="es-ES"/>
        </w:rPr>
        <w:t xml:space="preserve"> </w:t>
      </w:r>
      <w:r w:rsidRPr="00DE0B78">
        <w:rPr>
          <w:rFonts w:ascii="Verdana" w:hAnsi="Verdana" w:cs="Arial"/>
        </w:rPr>
        <w:t xml:space="preserve">así como lo establecido en el artículo 4 de la Resolución 1707 de 2018 expedida por esta Entidad, </w:t>
      </w:r>
      <w:r w:rsidRPr="00DE0B78">
        <w:rPr>
          <w:rFonts w:ascii="Verdana" w:eastAsia="Calibri" w:hAnsi="Verdana" w:cs="Arial"/>
          <w:lang w:eastAsia="es-ES"/>
        </w:rPr>
        <w:t>la Agencia Nacional de Contratació</w:t>
      </w:r>
      <w:r>
        <w:rPr>
          <w:rFonts w:ascii="Verdana" w:eastAsia="Calibri" w:hAnsi="Verdana" w:cs="Arial"/>
          <w:lang w:eastAsia="es-ES"/>
        </w:rPr>
        <w:t>n</w:t>
      </w:r>
      <w:r w:rsidRPr="00DE0B78">
        <w:rPr>
          <w:rFonts w:ascii="Verdana" w:eastAsia="Calibri" w:hAnsi="Verdana" w:cs="Arial"/>
          <w:lang w:eastAsia="es-ES"/>
        </w:rPr>
        <w:t xml:space="preserve"> Pública – Colombia Compra Eficiente– responde su solicitud de consulta de fecha </w:t>
      </w:r>
      <w:r>
        <w:rPr>
          <w:rFonts w:ascii="Verdana" w:eastAsia="Calibri" w:hAnsi="Verdana" w:cs="Arial"/>
          <w:lang w:eastAsia="es-ES"/>
        </w:rPr>
        <w:t>17</w:t>
      </w:r>
      <w:r w:rsidRPr="00DE0B78">
        <w:rPr>
          <w:rFonts w:ascii="Verdana" w:eastAsia="Calibri" w:hAnsi="Verdana" w:cs="Arial"/>
          <w:lang w:eastAsia="es-ES"/>
        </w:rPr>
        <w:t xml:space="preserve"> de julio de 2025, </w:t>
      </w:r>
      <w:r>
        <w:rPr>
          <w:rFonts w:ascii="Verdana" w:eastAsia="Calibri" w:hAnsi="Verdana" w:cs="Arial"/>
          <w:lang w:eastAsia="es-ES"/>
        </w:rPr>
        <w:t xml:space="preserve">trasladada por el Departamento Administrativo de la Función Pública el 24 de julio de 2025 mediante radicado 20252040356441, </w:t>
      </w:r>
      <w:r w:rsidRPr="00DE0B78">
        <w:rPr>
          <w:rFonts w:ascii="Verdana" w:eastAsia="Calibri" w:hAnsi="Verdana" w:cs="Arial"/>
          <w:lang w:eastAsia="es-ES"/>
        </w:rPr>
        <w:t xml:space="preserve">en la cual manifiesta lo siguiente: </w:t>
      </w:r>
      <w:bookmarkStart w:id="7" w:name="_Hlk192699624"/>
      <w:bookmarkStart w:id="8" w:name="_Hlk199394899"/>
      <w:r w:rsidRPr="008373ED">
        <w:rPr>
          <w:rFonts w:ascii="Verdana" w:eastAsia="Century Gothic" w:hAnsi="Verdana" w:cs="Century Gothic"/>
          <w:i/>
        </w:rPr>
        <w:t xml:space="preserve">“(…) </w:t>
      </w:r>
      <w:bookmarkEnd w:id="7"/>
      <w:bookmarkEnd w:id="8"/>
      <w:r w:rsidRPr="008373ED">
        <w:rPr>
          <w:rFonts w:ascii="Verdana" w:eastAsia="Century Gothic" w:hAnsi="Verdana" w:cs="Century Gothic"/>
          <w:i/>
        </w:rPr>
        <w:t xml:space="preserve">Agradezco indicarme si es posible nombrar a un contratista parte de un comité evaluador para un proceso de una licitación en una entidad </w:t>
      </w:r>
      <w:proofErr w:type="spellStart"/>
      <w:r w:rsidRPr="008373ED">
        <w:rPr>
          <w:rFonts w:ascii="Verdana" w:eastAsia="Century Gothic" w:hAnsi="Verdana" w:cs="Century Gothic"/>
          <w:i/>
        </w:rPr>
        <w:t>publica</w:t>
      </w:r>
      <w:proofErr w:type="spellEnd"/>
      <w:r w:rsidRPr="008373ED">
        <w:rPr>
          <w:rFonts w:ascii="Verdana" w:eastAsia="Century Gothic" w:hAnsi="Verdana" w:cs="Century Gothic"/>
          <w:i/>
        </w:rPr>
        <w:t xml:space="preserve"> </w:t>
      </w:r>
      <w:r w:rsidRPr="008373ED">
        <w:rPr>
          <w:rFonts w:ascii="Verdana" w:hAnsi="Verdana"/>
          <w:i/>
          <w:iCs/>
        </w:rPr>
        <w:t>(…)”</w:t>
      </w:r>
      <w:r w:rsidR="00E40400">
        <w:rPr>
          <w:rFonts w:ascii="Verdana" w:hAnsi="Verdana"/>
          <w:i/>
          <w:iCs/>
        </w:rPr>
        <w:t xml:space="preserve"> </w:t>
      </w:r>
      <w:r w:rsidR="00E40400" w:rsidRPr="008373ED">
        <w:rPr>
          <w:rFonts w:ascii="Verdana" w:eastAsia="Century Gothic" w:hAnsi="Verdana" w:cs="Century Gothic"/>
        </w:rPr>
        <w:t>(sic)</w:t>
      </w:r>
      <w:r w:rsidRPr="008373ED">
        <w:rPr>
          <w:rFonts w:ascii="Verdana" w:hAnsi="Verdana"/>
          <w:i/>
          <w:iCs/>
        </w:rPr>
        <w:t>.</w:t>
      </w:r>
    </w:p>
    <w:p w14:paraId="0CF572EE" w14:textId="77777777" w:rsidR="00AF1ABD" w:rsidRDefault="00AF1ABD" w:rsidP="00AF1ABD">
      <w:pPr>
        <w:spacing w:after="120"/>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8E4F36">
        <w:rPr>
          <w:rFonts w:ascii="Verdana" w:eastAsia="Calibri" w:hAnsi="Verdana" w:cs="Arial"/>
          <w:color w:val="000000"/>
          <w:lang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F46D56D" w14:textId="77777777" w:rsidR="00AF1ABD" w:rsidRDefault="00AF1ABD" w:rsidP="00AF1ABD">
      <w:pPr>
        <w:spacing w:after="120"/>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el problema jurídico</w:t>
      </w:r>
      <w:r w:rsidRPr="0002705E">
        <w:rPr>
          <w:rFonts w:ascii="Verdana" w:eastAsia="Calibri" w:hAnsi="Verdana" w:cs="Arial"/>
          <w:color w:val="000000"/>
          <w:lang w:eastAsia="es-ES"/>
        </w:rPr>
        <w:t xml:space="preserve"> de su consulta.</w:t>
      </w:r>
      <w:r w:rsidRPr="008E4F36">
        <w:rPr>
          <w:rFonts w:ascii="Verdana" w:eastAsia="Calibri" w:hAnsi="Verdana" w:cs="Arial"/>
          <w:color w:val="000000"/>
          <w:lang w:eastAsia="es-ES"/>
        </w:rPr>
        <w:t xml:space="preserve">  </w:t>
      </w:r>
    </w:p>
    <w:p w14:paraId="1B767C95" w14:textId="77777777" w:rsidR="00AF1ABD" w:rsidRPr="00376467" w:rsidRDefault="00AF1ABD" w:rsidP="00AF1ABD">
      <w:pPr>
        <w:spacing w:after="0" w:line="240" w:lineRule="auto"/>
        <w:ind w:firstLine="709"/>
        <w:jc w:val="both"/>
        <w:rPr>
          <w:rFonts w:ascii="Verdana" w:eastAsia="Calibri" w:hAnsi="Verdana" w:cs="Arial"/>
          <w:color w:val="000000"/>
          <w:szCs w:val="24"/>
          <w:lang w:eastAsia="es-ES_tradnl"/>
        </w:rPr>
      </w:pPr>
    </w:p>
    <w:p w14:paraId="2B962CA2" w14:textId="77777777" w:rsidR="00AF1ABD" w:rsidRDefault="00AF1ABD" w:rsidP="00AF1AB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3B3B07C9" w14:textId="77777777" w:rsidR="00AF1ABD" w:rsidRDefault="00AF1ABD" w:rsidP="00AF1ABD">
      <w:pPr>
        <w:spacing w:after="0" w:line="240" w:lineRule="auto"/>
        <w:jc w:val="both"/>
        <w:rPr>
          <w:rFonts w:ascii="Verdana" w:eastAsia="Calibri" w:hAnsi="Verdana" w:cs="Arial"/>
          <w:color w:val="000000"/>
          <w:highlight w:val="yellow"/>
          <w:lang w:eastAsia="es-ES"/>
        </w:rPr>
      </w:pPr>
    </w:p>
    <w:p w14:paraId="62A6880E" w14:textId="77777777" w:rsidR="00AF1ABD" w:rsidRPr="00E236F0" w:rsidRDefault="00AF1ABD" w:rsidP="00AF1ABD">
      <w:pPr>
        <w:spacing w:after="120"/>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 problema jurídico</w:t>
      </w:r>
      <w:r w:rsidRPr="00005FE3">
        <w:rPr>
          <w:rFonts w:ascii="Verdana" w:eastAsia="Calibri" w:hAnsi="Verdana" w:cs="Arial"/>
          <w:color w:val="000000"/>
          <w:lang w:eastAsia="es-ES"/>
        </w:rPr>
        <w:t>:</w:t>
      </w:r>
      <w:r>
        <w:rPr>
          <w:rFonts w:ascii="Verdana" w:eastAsia="Calibri" w:hAnsi="Verdana" w:cs="Arial"/>
          <w:color w:val="000000"/>
          <w:lang w:eastAsia="es-ES"/>
        </w:rPr>
        <w:t xml:space="preserve"> ¿El comité evaluador para un proceso de selección puede estar conformado por contratistas del estado</w:t>
      </w:r>
      <w:r>
        <w:rPr>
          <w:rFonts w:ascii="Verdana" w:eastAsia="Century Gothic" w:hAnsi="Verdana" w:cs="Century Gothic"/>
        </w:rPr>
        <w:t>?</w:t>
      </w:r>
      <w:r>
        <w:rPr>
          <w:rFonts w:ascii="Verdana" w:eastAsia="Calibri" w:hAnsi="Verdana" w:cs="Arial"/>
          <w:color w:val="000000"/>
          <w:lang w:eastAsia="es-ES"/>
        </w:rPr>
        <w:t xml:space="preserve"> </w:t>
      </w:r>
    </w:p>
    <w:p w14:paraId="29BE595A" w14:textId="77777777" w:rsidR="00AF1ABD" w:rsidRDefault="00AF1ABD" w:rsidP="00AF1ABD">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0676AA7D" w14:textId="77777777" w:rsidR="00AF1ABD" w:rsidRPr="008E4F36" w:rsidRDefault="00AF1ABD" w:rsidP="00AF1AB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1ABD" w:rsidRPr="008E4F36" w14:paraId="69B7B625" w14:textId="77777777" w:rsidTr="008373ED">
        <w:tc>
          <w:tcPr>
            <w:tcW w:w="8828" w:type="dxa"/>
          </w:tcPr>
          <w:p w14:paraId="11773A41" w14:textId="6968ABD5" w:rsidR="00AF1ABD" w:rsidRPr="00713B63" w:rsidRDefault="00AF1ABD" w:rsidP="001135AE">
            <w:pPr>
              <w:spacing w:after="120" w:line="276" w:lineRule="auto"/>
              <w:jc w:val="both"/>
              <w:rPr>
                <w:rFonts w:ascii="Verdana" w:eastAsia="Calibri" w:hAnsi="Verdana" w:cs="Arial"/>
                <w:bCs/>
                <w:color w:val="000000"/>
              </w:rPr>
            </w:pPr>
            <w:r w:rsidRPr="00713B63">
              <w:rPr>
                <w:rFonts w:ascii="Verdana" w:hAnsi="Verdana" w:cs="Arial"/>
              </w:rPr>
              <w:t>De conformidad con lo establecido en el</w:t>
            </w:r>
            <w:r w:rsidRPr="00713B63">
              <w:rPr>
                <w:rFonts w:ascii="Verdana" w:eastAsia="Calibri" w:hAnsi="Verdana" w:cs="Arial"/>
                <w:bCs/>
                <w:color w:val="000000"/>
              </w:rPr>
              <w:t xml:space="preserve"> artículo 2.2.1.1.2.2.3 del Decreto 1082 de 2015, las Entidades Estatales sometidas al Estatuto General de Contratación de la Administración Pública pued</w:t>
            </w:r>
            <w:r w:rsidR="0016551F">
              <w:rPr>
                <w:rFonts w:ascii="Verdana" w:eastAsia="Calibri" w:hAnsi="Verdana" w:cs="Arial"/>
                <w:bCs/>
                <w:color w:val="000000"/>
              </w:rPr>
              <w:t>en</w:t>
            </w:r>
            <w:r w:rsidRPr="00713B63">
              <w:rPr>
                <w:rFonts w:ascii="Verdana" w:eastAsia="Calibri" w:hAnsi="Verdana" w:cs="Arial"/>
                <w:bCs/>
                <w:color w:val="000000"/>
              </w:rPr>
              <w:t xml:space="preserve"> </w:t>
            </w:r>
            <w:r w:rsidR="008373ED" w:rsidRPr="00713B63">
              <w:rPr>
                <w:rFonts w:ascii="Verdana" w:eastAsia="Calibri" w:hAnsi="Verdana" w:cs="Arial"/>
                <w:bCs/>
                <w:color w:val="000000"/>
              </w:rPr>
              <w:t>constituir comités</w:t>
            </w:r>
            <w:r w:rsidRPr="00713B63">
              <w:rPr>
                <w:rFonts w:ascii="Verdana" w:eastAsia="Calibri" w:hAnsi="Verdana" w:cs="Arial"/>
                <w:bCs/>
                <w:color w:val="000000"/>
              </w:rPr>
              <w:t xml:space="preserve"> evaluador</w:t>
            </w:r>
            <w:r w:rsidR="0016551F">
              <w:rPr>
                <w:rFonts w:ascii="Verdana" w:eastAsia="Calibri" w:hAnsi="Verdana" w:cs="Arial"/>
                <w:bCs/>
                <w:color w:val="000000"/>
              </w:rPr>
              <w:t>es</w:t>
            </w:r>
            <w:r w:rsidRPr="00713B63">
              <w:rPr>
                <w:rFonts w:ascii="Verdana" w:eastAsia="Calibri" w:hAnsi="Verdana" w:cs="Arial"/>
                <w:bCs/>
                <w:color w:val="000000"/>
              </w:rPr>
              <w:t xml:space="preserve"> de ofertas y de manifestaciones de interés, que podrá estar conformado</w:t>
            </w:r>
            <w:r w:rsidR="0016551F">
              <w:rPr>
                <w:rFonts w:ascii="Verdana" w:eastAsia="Calibri" w:hAnsi="Verdana" w:cs="Arial"/>
                <w:bCs/>
                <w:color w:val="000000"/>
              </w:rPr>
              <w:t>s</w:t>
            </w:r>
            <w:r w:rsidRPr="00713B63">
              <w:rPr>
                <w:rFonts w:ascii="Verdana" w:eastAsia="Calibri" w:hAnsi="Verdana" w:cs="Arial"/>
                <w:bCs/>
                <w:color w:val="000000"/>
              </w:rPr>
              <w:t xml:space="preserve"> bien sea por servidores públicos o particulares contratados para tal finalidad o por ambos</w:t>
            </w:r>
            <w:r>
              <w:rPr>
                <w:rFonts w:ascii="Verdana" w:eastAsia="Calibri" w:hAnsi="Verdana" w:cs="Arial"/>
                <w:bCs/>
                <w:color w:val="000000"/>
              </w:rPr>
              <w:t xml:space="preserve"> según lo dispuesto en el artículo </w:t>
            </w:r>
            <w:r w:rsidRPr="00713B63">
              <w:rPr>
                <w:rFonts w:ascii="Verdana" w:eastAsia="Calibri" w:hAnsi="Verdana" w:cs="Arial"/>
                <w:bCs/>
                <w:color w:val="000000"/>
              </w:rPr>
              <w:t xml:space="preserve">2.2.1.1.2.2.3 del Decreto 1082 de 2015. </w:t>
            </w:r>
          </w:p>
          <w:p w14:paraId="260295F9" w14:textId="77777777" w:rsidR="00AF1ABD" w:rsidRDefault="00AF1ABD" w:rsidP="001135AE">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De igual manera, debe precisarse que dicha norma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w:t>
            </w:r>
            <w:r w:rsidRPr="00713B63">
              <w:rPr>
                <w:rFonts w:ascii="Verdana" w:eastAsia="Calibri" w:hAnsi="Verdana" w:cs="Arial"/>
                <w:bCs/>
                <w:color w:val="000000"/>
              </w:rPr>
              <w:lastRenderedPageBreak/>
              <w:t>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570EB161" w14:textId="7962BFAA" w:rsidR="00AF1ABD" w:rsidRPr="005B5A3D" w:rsidRDefault="00AF1ABD" w:rsidP="008373ED">
            <w:pPr>
              <w:spacing w:after="120" w:line="276" w:lineRule="auto"/>
              <w:ind w:firstLine="708"/>
              <w:jc w:val="both"/>
              <w:rPr>
                <w:rFonts w:ascii="Verdana" w:eastAsia="Calibri" w:hAnsi="Verdana" w:cs="Arial"/>
                <w:color w:val="000000" w:themeColor="text1"/>
              </w:rPr>
            </w:pPr>
            <w:r w:rsidRPr="435C54B5">
              <w:rPr>
                <w:rFonts w:ascii="Verdana" w:eastAsia="Calibri" w:hAnsi="Verdana" w:cs="Arial"/>
                <w:color w:val="000000" w:themeColor="text1"/>
                <w:lang w:val="es-ES"/>
              </w:rPr>
              <w:t>Debe enfatizarse que el carácter asesor del comité no exime a sus miembros de las responsabilidades que correspondan, sino que, por el contrario, estos entrarán a responder por las recomendaciones erradas o incorrectamente fundamentadas que emitan, como dispone el citado artículo 2.2.1.1.2.2.3 del Decreto 1082 de 2015. Finalmente, el carácter asesor y la calidad de servidores públicos o contratistas del Estado que pueden ostentar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r w:rsidR="00472CD1">
              <w:rPr>
                <w:rFonts w:ascii="Verdana" w:eastAsia="Calibri" w:hAnsi="Verdana" w:cs="Arial"/>
                <w:color w:val="000000" w:themeColor="text1"/>
                <w:lang w:val="es-ES"/>
              </w:rPr>
              <w:t>.</w:t>
            </w:r>
          </w:p>
        </w:tc>
      </w:tr>
    </w:tbl>
    <w:p w14:paraId="47D39676" w14:textId="77777777" w:rsidR="00AF1ABD" w:rsidRDefault="00AF1ABD" w:rsidP="00AF1ABD">
      <w:pPr>
        <w:tabs>
          <w:tab w:val="left" w:pos="142"/>
          <w:tab w:val="left" w:pos="284"/>
        </w:tabs>
        <w:spacing w:after="0" w:line="276" w:lineRule="auto"/>
        <w:jc w:val="both"/>
        <w:rPr>
          <w:rFonts w:ascii="Verdana" w:eastAsia="Century Gothic" w:hAnsi="Verdana" w:cs="Century Gothic"/>
          <w:b/>
          <w:bCs/>
        </w:rPr>
      </w:pPr>
    </w:p>
    <w:p w14:paraId="1B4011B9" w14:textId="77777777" w:rsidR="00AF1ABD" w:rsidRPr="008E4F36" w:rsidRDefault="00AF1ABD" w:rsidP="00AF1ABD">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03F4AC6B" w14:textId="77777777" w:rsidR="00AF1ABD" w:rsidRDefault="00AF1ABD" w:rsidP="00AF1ABD">
      <w:pPr>
        <w:pStyle w:val="Prrafodelista"/>
        <w:tabs>
          <w:tab w:val="left" w:pos="142"/>
          <w:tab w:val="left" w:pos="284"/>
        </w:tabs>
        <w:spacing w:after="0" w:line="276" w:lineRule="auto"/>
        <w:ind w:left="0"/>
        <w:contextualSpacing w:val="0"/>
        <w:jc w:val="both"/>
        <w:rPr>
          <w:rFonts w:ascii="Verdana" w:eastAsia="Calibri" w:hAnsi="Verdana" w:cs="Arial"/>
        </w:rPr>
      </w:pPr>
    </w:p>
    <w:p w14:paraId="44C509A9" w14:textId="77777777" w:rsidR="008373ED" w:rsidRDefault="008373ED" w:rsidP="008373ED">
      <w:pPr>
        <w:pStyle w:val="Prrafodelista"/>
        <w:tabs>
          <w:tab w:val="left" w:pos="142"/>
          <w:tab w:val="left" w:pos="284"/>
        </w:tabs>
        <w:spacing w:after="0" w:line="276" w:lineRule="auto"/>
        <w:ind w:left="0"/>
        <w:contextualSpacing w:val="0"/>
        <w:jc w:val="both"/>
        <w:rPr>
          <w:rFonts w:ascii="Verdana" w:eastAsia="Calibri" w:hAnsi="Verdana" w:cs="Arial"/>
        </w:rPr>
      </w:pPr>
      <w:bookmarkStart w:id="9" w:name="_Hlk207313115"/>
      <w:r w:rsidRPr="008E4F36">
        <w:rPr>
          <w:rFonts w:ascii="Verdana" w:eastAsia="Calibri" w:hAnsi="Verdana" w:cs="Arial"/>
        </w:rPr>
        <w:t xml:space="preserve">Lo anterior se sustenta en las siguientes consideraciones: </w:t>
      </w:r>
    </w:p>
    <w:p w14:paraId="2A6BEEAB" w14:textId="77777777" w:rsidR="008373ED" w:rsidRDefault="008373ED" w:rsidP="008373ED">
      <w:pPr>
        <w:spacing w:after="0" w:line="240" w:lineRule="auto"/>
        <w:jc w:val="both"/>
        <w:rPr>
          <w:rFonts w:ascii="Verdana" w:eastAsia="Calibri" w:hAnsi="Verdana" w:cs="Arial"/>
          <w:color w:val="000000" w:themeColor="text1"/>
          <w:lang w:val="es-ES"/>
        </w:rPr>
      </w:pPr>
    </w:p>
    <w:p w14:paraId="5C873FEA" w14:textId="2705F3EF" w:rsidR="00AF1ABD" w:rsidRPr="00713B63" w:rsidRDefault="00AF1ABD" w:rsidP="00AF1ABD">
      <w:pPr>
        <w:spacing w:after="120" w:line="276" w:lineRule="auto"/>
        <w:jc w:val="both"/>
        <w:rPr>
          <w:rFonts w:ascii="Verdana" w:eastAsia="Calibri" w:hAnsi="Verdana" w:cs="Arial"/>
          <w:bCs/>
          <w:color w:val="000000"/>
        </w:rPr>
      </w:pPr>
      <w:r w:rsidRPr="00713B63">
        <w:rPr>
          <w:rFonts w:ascii="Verdana" w:eastAsia="Calibri" w:hAnsi="Verdana" w:cs="Arial"/>
          <w:color w:val="000000" w:themeColor="text1"/>
          <w:lang w:val="es-ES_tradnl"/>
        </w:rPr>
        <w:t xml:space="preserve">En la medida que la actividad contractual del Estado resulta ser un asunto complejo y que implica la confluencia de distintas disciplinas y especialidades, el ordenamiento normativo colombiano ha otorgado </w:t>
      </w:r>
      <w:r w:rsidRPr="00713B63">
        <w:rPr>
          <w:rFonts w:ascii="Verdana" w:eastAsia="Calibri" w:hAnsi="Verdana" w:cs="Arial"/>
          <w:bCs/>
          <w:color w:val="000000"/>
        </w:rPr>
        <w:t>la facultad para que los entes públicos constituyan los denominados comités evaluadores o comités de evaluación, como organismos encargados, en ciertos y predeterminados casos, de la evaluación de las ofertas presentadas. Es así como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4BABD2F1"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Como se observa, la norma mencionada permite que las Entidades Estatales sometidas al Estatuto General de Contratación de la Administración Pública, en adelante EGCAP, puedan constituir un comité evaluador de ofertas y </w:t>
      </w:r>
      <w:r w:rsidRPr="00713B63">
        <w:rPr>
          <w:rFonts w:ascii="Verdana" w:eastAsia="Calibri" w:hAnsi="Verdana" w:cs="Arial"/>
          <w:bCs/>
          <w:color w:val="000000"/>
        </w:rPr>
        <w:lastRenderedPageBreak/>
        <w:t>de manifestaciones de interés</w:t>
      </w:r>
      <w:r w:rsidRPr="00713B63">
        <w:rPr>
          <w:rFonts w:ascii="Verdana" w:eastAsia="Calibri" w:hAnsi="Verdana" w:cs="Arial"/>
          <w:bCs/>
          <w:color w:val="000000"/>
          <w:vertAlign w:val="superscript"/>
        </w:rPr>
        <w:footnoteReference w:id="1"/>
      </w:r>
      <w:r w:rsidRPr="00713B63">
        <w:rPr>
          <w:rFonts w:ascii="Verdana" w:eastAsia="Calibri" w:hAnsi="Verdana" w:cs="Arial"/>
          <w:bCs/>
          <w:color w:val="000000"/>
        </w:rPr>
        <w:t xml:space="preserve">,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 </w:t>
      </w:r>
    </w:p>
    <w:p w14:paraId="19C846B6"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Ahora bien, es necesario advertir, que el artículo 2.2.1.1.2.2.3 del Decreto 1082 de 2015 mediante el cual se les otorga tal facultad,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334D81D2"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Sobre el particular, 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2007</w:t>
      </w:r>
      <w:r w:rsidRPr="00713B63">
        <w:rPr>
          <w:rFonts w:ascii="Verdana" w:eastAsia="Calibri" w:hAnsi="Verdana" w:cs="Arial"/>
          <w:bCs/>
          <w:color w:val="000000"/>
          <w:vertAlign w:val="superscript"/>
        </w:rPr>
        <w:footnoteReference w:id="2"/>
      </w:r>
      <w:r w:rsidRPr="00713B63">
        <w:rPr>
          <w:rFonts w:ascii="Verdana" w:eastAsia="Calibri" w:hAnsi="Verdana" w:cs="Arial"/>
          <w:bCs/>
          <w:color w:val="000000"/>
        </w:rPr>
        <w:t xml:space="preserve">. La norma citada dispone que “[…] se entiende por desconcentración la distribución adecuada del trabajo que realiza el jefe o representante legal de la entidad, sin que ello implique autonomía administrativa en su ejercicio […]”.  </w:t>
      </w:r>
    </w:p>
    <w:p w14:paraId="3F7A16A0"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lastRenderedPageBreak/>
        <w:t>De esta manera, no puede perderse de vista que la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concepto o dictamen o informe, que deberá elaborarse y presentarse tanto al ordenador del gasto, como a los demás interesados en el Proceso de Contratación bajo las condiciones y plazos previamente definidos por la Entidad Estatal, a través del Sistema Electrónico para la Contratación Pública – SECOP.</w:t>
      </w:r>
    </w:p>
    <w:p w14:paraId="49C2E0F3" w14:textId="77777777" w:rsidR="00AF1ABD" w:rsidRPr="00713B63" w:rsidRDefault="00AF1ABD" w:rsidP="00AF1ABD">
      <w:pPr>
        <w:spacing w:after="120" w:line="276" w:lineRule="auto"/>
        <w:ind w:firstLine="708"/>
        <w:jc w:val="both"/>
        <w:rPr>
          <w:rFonts w:ascii="Verdana" w:eastAsia="Calibri" w:hAnsi="Verdana" w:cs="Arial"/>
          <w:color w:val="000000" w:themeColor="text1"/>
          <w:lang w:val="es-ES"/>
        </w:rPr>
      </w:pPr>
      <w:r w:rsidRPr="3E72AA8F">
        <w:rPr>
          <w:rFonts w:ascii="Verdana" w:eastAsia="Calibri" w:hAnsi="Verdana" w:cs="Arial"/>
          <w:color w:val="000000" w:themeColor="text1"/>
          <w:lang w:val="es-ES"/>
        </w:rPr>
        <w:t xml:space="preserve">Para emitir el informe de evaluación, el comité debe verificar las propuestas y aplicar el procedimiento, los criterios y los requisitos establecidos en el pliego de condiciones o documento equivalente con el fin de comparar y evaluar de forma objetiva las propuestas presentadas dentro del proceso de selección. En el informe, luego de cotejar y comparar las propuestas recibidas, se hará constar por el comité evaluador el estudio objetivo de las ofertas y los documentos presentados con esta por los proponentes para el cumplimiento de los requisitos habilitantes y de asignación de puntaje, los cuales son evaluados jurídica, técnica, financiera y económicamente. </w:t>
      </w:r>
    </w:p>
    <w:p w14:paraId="543CA889" w14:textId="77777777" w:rsidR="00AF1ABD" w:rsidRPr="00713B63" w:rsidRDefault="00AF1ABD" w:rsidP="00AF1ABD">
      <w:pPr>
        <w:spacing w:after="120" w:line="276" w:lineRule="auto"/>
        <w:ind w:firstLine="708"/>
        <w:jc w:val="both"/>
        <w:rPr>
          <w:rFonts w:ascii="Verdana" w:eastAsia="Calibri" w:hAnsi="Verdana" w:cs="Arial"/>
          <w:color w:val="000000" w:themeColor="text1"/>
          <w:lang w:val="es-ES"/>
        </w:rPr>
      </w:pPr>
      <w:r w:rsidRPr="3E72AA8F">
        <w:rPr>
          <w:rFonts w:ascii="Verdana" w:eastAsia="Calibri" w:hAnsi="Verdana" w:cs="Arial"/>
          <w:color w:val="000000" w:themeColor="text1"/>
          <w:lang w:val="es-ES"/>
        </w:rPr>
        <w:t xml:space="preserve">Los resultados del informe de evaluación se concretan en una serie de recomendaciones al ordenador del gasto de la entidad estatal, tales como: </w:t>
      </w:r>
      <w:r w:rsidRPr="3E72AA8F">
        <w:rPr>
          <w:rFonts w:ascii="Verdana" w:eastAsia="Calibri" w:hAnsi="Verdana" w:cs="Arial"/>
          <w:i/>
          <w:color w:val="000000" w:themeColor="text1"/>
          <w:lang w:val="es-ES"/>
        </w:rPr>
        <w:t>i)</w:t>
      </w:r>
      <w:r w:rsidRPr="3E72AA8F">
        <w:rPr>
          <w:rFonts w:ascii="Verdana" w:eastAsia="Calibri" w:hAnsi="Verdana" w:cs="Arial"/>
          <w:color w:val="000000" w:themeColor="text1"/>
          <w:lang w:val="es-ES"/>
        </w:rPr>
        <w:t xml:space="preserve"> solicitar aclaraciones o explicaciones que consideren pertinentes; </w:t>
      </w:r>
      <w:proofErr w:type="spellStart"/>
      <w:r w:rsidRPr="3E72AA8F">
        <w:rPr>
          <w:rFonts w:ascii="Verdana" w:eastAsia="Calibri" w:hAnsi="Verdana" w:cs="Arial"/>
          <w:i/>
          <w:color w:val="000000" w:themeColor="text1"/>
          <w:lang w:val="es-ES"/>
        </w:rPr>
        <w:t>ii</w:t>
      </w:r>
      <w:proofErr w:type="spellEnd"/>
      <w:r w:rsidRPr="3E72AA8F">
        <w:rPr>
          <w:rFonts w:ascii="Verdana" w:eastAsia="Calibri" w:hAnsi="Verdana" w:cs="Arial"/>
          <w:i/>
          <w:color w:val="000000" w:themeColor="text1"/>
          <w:lang w:val="es-ES"/>
        </w:rPr>
        <w:t>)</w:t>
      </w:r>
      <w:r w:rsidRPr="3E72AA8F">
        <w:rPr>
          <w:rFonts w:ascii="Verdana" w:eastAsia="Calibri" w:hAnsi="Verdana" w:cs="Arial"/>
          <w:color w:val="000000" w:themeColor="text1"/>
          <w:lang w:val="es-ES"/>
        </w:rPr>
        <w:t xml:space="preserve"> subsanar requisitos que no otorguen puntajes; </w:t>
      </w:r>
      <w:proofErr w:type="spellStart"/>
      <w:r w:rsidRPr="3E72AA8F">
        <w:rPr>
          <w:rFonts w:ascii="Verdana" w:eastAsia="Calibri" w:hAnsi="Verdana" w:cs="Arial"/>
          <w:i/>
          <w:color w:val="000000" w:themeColor="text1"/>
          <w:lang w:val="es-ES"/>
        </w:rPr>
        <w:t>iii</w:t>
      </w:r>
      <w:proofErr w:type="spellEnd"/>
      <w:r w:rsidRPr="3E72AA8F">
        <w:rPr>
          <w:rFonts w:ascii="Verdana" w:eastAsia="Calibri" w:hAnsi="Verdana" w:cs="Arial"/>
          <w:i/>
          <w:color w:val="000000" w:themeColor="text1"/>
          <w:lang w:val="es-ES"/>
        </w:rPr>
        <w:t>)</w:t>
      </w:r>
      <w:r w:rsidRPr="3E72AA8F">
        <w:rPr>
          <w:rFonts w:ascii="Verdana" w:eastAsia="Calibri" w:hAnsi="Verdana" w:cs="Arial"/>
          <w:color w:val="000000" w:themeColor="text1"/>
          <w:lang w:val="es-ES"/>
        </w:rPr>
        <w:t xml:space="preserve"> rechazar propuestas que no cumplen la acreditación de requisitos y no sean susceptibles de subsanación; </w:t>
      </w:r>
      <w:proofErr w:type="spellStart"/>
      <w:r w:rsidRPr="3E72AA8F">
        <w:rPr>
          <w:rFonts w:ascii="Verdana" w:eastAsia="Calibri" w:hAnsi="Verdana" w:cs="Arial"/>
          <w:i/>
          <w:color w:val="000000" w:themeColor="text1"/>
          <w:lang w:val="es-ES"/>
        </w:rPr>
        <w:t>iv</w:t>
      </w:r>
      <w:proofErr w:type="spellEnd"/>
      <w:r w:rsidRPr="3E72AA8F">
        <w:rPr>
          <w:rFonts w:ascii="Verdana" w:eastAsia="Calibri" w:hAnsi="Verdana" w:cs="Arial"/>
          <w:i/>
          <w:color w:val="000000" w:themeColor="text1"/>
          <w:lang w:val="es-ES"/>
        </w:rPr>
        <w:t>)</w:t>
      </w:r>
      <w:r w:rsidRPr="3E72AA8F">
        <w:rPr>
          <w:rFonts w:ascii="Verdana" w:eastAsia="Calibri" w:hAnsi="Verdana" w:cs="Arial"/>
          <w:color w:val="000000" w:themeColor="text1"/>
          <w:lang w:val="es-ES"/>
        </w:rPr>
        <w:t xml:space="preserve"> no habilitar propuestas hasta que no se demuestre el cabal cumplimiento de los requisitos habilitantes o habilitar aquellas que sí cumplen con tales requisitos habilitantes; v) asignar puntajes para establecer el orden de elegibilidad; y vi) adjudicación del proceso de contratación a un proponente. Igualmente, el comité evaluador recibe, analiza y responde las observaciones presentadas por los oferentes al informe de evaluación, luego del traslado que realiza la entidad para que se surta su contradicción y en el evento de que sea necesario modificar el informe.</w:t>
      </w:r>
    </w:p>
    <w:p w14:paraId="361A7CF1" w14:textId="77777777" w:rsidR="00AF1ABD" w:rsidRPr="00713B63" w:rsidRDefault="00AF1ABD" w:rsidP="00AF1ABD">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 xml:space="preserve">En consecuencia, el comité evaluador en su calidad de órgano asesor tiene una función importante en el proceso de selección del contratista. Por tanto, se convierte en una valiosa instancia para cumplir el principio de transparencia y el deber de selección objetiva, porque le permite a la Administración cumplir con los fines de la contratación estatal y preservar los derechos de los proponentes que resulten favorecidos o no con la adjudicación. </w:t>
      </w:r>
    </w:p>
    <w:p w14:paraId="3137F5FB" w14:textId="77777777" w:rsidR="00AF1ABD" w:rsidRPr="00713B63" w:rsidRDefault="00AF1ABD" w:rsidP="00AF1ABD">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lastRenderedPageBreak/>
        <w:t>No obstante, el comité evaluador en el informe de evaluación tan solo recomienda, pero no decide ni adjudica, toda vez que estas facultades la ley las reserva al jefe o representante legal de la entidad y ordenador del gasto. En efecto, como lo ha señalado en forma pacífica y reiterada el Consejo de Estado, este documento es un acto de trámite, preparatorio y no definitivo, puesto que no contiene una decisión de fondo, función que corresponde únicamente al ordenador del gasto, razón por la cual no lo vincula</w:t>
      </w:r>
      <w:r w:rsidRPr="00713B63">
        <w:rPr>
          <w:rFonts w:ascii="Verdana" w:eastAsia="Calibri" w:hAnsi="Verdana" w:cs="Arial"/>
          <w:color w:val="000000" w:themeColor="text1"/>
          <w:vertAlign w:val="superscript"/>
          <w:lang w:val="es-ES_tradnl"/>
        </w:rPr>
        <w:footnoteReference w:id="3"/>
      </w:r>
      <w:r w:rsidRPr="00713B63">
        <w:rPr>
          <w:rFonts w:ascii="Verdana" w:eastAsia="Calibri" w:hAnsi="Verdana" w:cs="Arial"/>
          <w:color w:val="000000" w:themeColor="text1"/>
          <w:lang w:val="es-ES_tradnl"/>
        </w:rPr>
        <w:t>. Es así como el artículo 2.2.1.1.2.2.3 del Decreto 1082 de 2015 permite que la Entidad Estatal a través del ordenador del gasto se separare del concepto emitido por el comité evaluador y no acoja sus recomendaciones, en cuyo caso deberá justificar completa y correctamente su decisión.</w:t>
      </w:r>
    </w:p>
    <w:p w14:paraId="4AE45C26" w14:textId="77777777" w:rsidR="00AF1ABD" w:rsidRPr="00713B63" w:rsidRDefault="00AF1ABD" w:rsidP="00AF1ABD">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En relación con el carácter no vinculante del concepto o dictamen emitido por el comité evaluador, el Consejo de Estado ha considerado que el informe por parte de los comités asesores no es obligatorio para el órgano competente al momento de adjudicar “y, por el contrario, éste puede separarse y resolver en sentido diferente por encontrar errores que afecten los resultados en él consignados, aun cuando debe exponer razonadamente la motivación del apartamiento, con el fin de que la decisión no adolezca de nulidad por insuficiencia de motivación, tal y como lo ha manifestado de tiempo atrás la jurisprudencia”</w:t>
      </w:r>
      <w:r w:rsidRPr="00713B63">
        <w:rPr>
          <w:rFonts w:ascii="Verdana" w:eastAsia="Calibri" w:hAnsi="Verdana" w:cs="Arial"/>
          <w:color w:val="000000" w:themeColor="text1"/>
          <w:vertAlign w:val="superscript"/>
          <w:lang w:val="es-ES_tradnl"/>
        </w:rPr>
        <w:footnoteReference w:id="4"/>
      </w:r>
      <w:r w:rsidRPr="00713B63">
        <w:rPr>
          <w:rFonts w:ascii="Verdana" w:eastAsia="Calibri" w:hAnsi="Verdana" w:cs="Arial"/>
          <w:color w:val="000000" w:themeColor="text1"/>
          <w:lang w:val="es-ES_tradnl"/>
        </w:rPr>
        <w:t xml:space="preserve">. </w:t>
      </w:r>
    </w:p>
    <w:p w14:paraId="35AFFFF6" w14:textId="77777777" w:rsidR="00AF1ABD" w:rsidRPr="00713B63" w:rsidRDefault="00AF1ABD" w:rsidP="00AF1ABD">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En otras palabras, la existencia de un comité evaluador no significa que el representante legal quede despojado de la competencia para decidir, bien sea amparándose en las recomendaciones de aquel o apartándose de ellas c</w:t>
      </w:r>
      <w:proofErr w:type="spellStart"/>
      <w:r w:rsidRPr="00713B63">
        <w:rPr>
          <w:rFonts w:ascii="Verdana" w:eastAsia="Calibri" w:hAnsi="Verdana" w:cs="Arial"/>
          <w:color w:val="000000" w:themeColor="text1"/>
        </w:rPr>
        <w:t>uando</w:t>
      </w:r>
      <w:proofErr w:type="spellEnd"/>
      <w:r w:rsidRPr="00713B63">
        <w:rPr>
          <w:rFonts w:ascii="Verdana" w:eastAsia="Calibri" w:hAnsi="Verdana" w:cs="Arial"/>
          <w:color w:val="000000" w:themeColor="text1"/>
        </w:rPr>
        <w:t xml:space="preserve"> considere que éstos no acataron los principios que rigen la contratación estatal y las condiciones definidas en los pliegos de condiciones</w:t>
      </w:r>
      <w:r w:rsidRPr="00713B63">
        <w:rPr>
          <w:rFonts w:ascii="Verdana" w:eastAsia="Calibri" w:hAnsi="Verdana" w:cs="Arial"/>
          <w:color w:val="000000" w:themeColor="text1"/>
          <w:lang w:val="es-ES_tradnl"/>
        </w:rPr>
        <w:t xml:space="preserve">. En ese sentido, el comité evaluador cumple una labor meramente asesora del funcionario o funcionarios encargados de tomar la decisión final frente a la adjudicación del </w:t>
      </w:r>
      <w:r w:rsidRPr="00713B63">
        <w:rPr>
          <w:rFonts w:ascii="Verdana" w:eastAsia="Calibri" w:hAnsi="Verdana" w:cs="Arial"/>
          <w:color w:val="000000" w:themeColor="text1"/>
          <w:lang w:val="es-ES_tradnl"/>
        </w:rPr>
        <w:lastRenderedPageBreak/>
        <w:t xml:space="preserve">contrato, rechazo de ofertas o declaratoria de desierta, teniendo en cuenta, entre otros aspectos, que de acuerdo al numeral 5 del artículo 26 de la Ley 80 de 1993, la responsabilidad en la dirección y manejo de la actividad contractual y de los procesos de selección estará en cabeza del jefe o representante de la entidad, “[…] quien no podrá trasladarla […] a los comités asesores”. </w:t>
      </w:r>
    </w:p>
    <w:p w14:paraId="3BFB5842" w14:textId="77777777" w:rsidR="00AF1ABD" w:rsidRPr="00713B63" w:rsidRDefault="00AF1ABD" w:rsidP="00AF1ABD">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Sin embargo, debe enfatizarse que el carácter asesor del comité no exime a sus miembros de las responsabilidades que correspondan, sino que, por el contrario, estos entrarán a responder por las recomendaciones erradas o incorrectamente fundamentadas que emitan, como dispone el citado artículo 2.2.1.1.2.2.3 del Decreto 1082 de 2015</w:t>
      </w:r>
      <w:r w:rsidRPr="00713B63">
        <w:rPr>
          <w:rFonts w:ascii="Verdana" w:eastAsia="Calibri" w:hAnsi="Verdana" w:cs="Arial"/>
          <w:color w:val="000000" w:themeColor="text1"/>
          <w:vertAlign w:val="superscript"/>
          <w:lang w:val="es-ES_tradnl"/>
        </w:rPr>
        <w:footnoteReference w:id="5"/>
      </w:r>
      <w:r w:rsidRPr="00713B63">
        <w:rPr>
          <w:rFonts w:ascii="Verdana" w:eastAsia="Calibri" w:hAnsi="Verdana" w:cs="Arial"/>
          <w:color w:val="000000" w:themeColor="text1"/>
          <w:lang w:val="es-ES_tradnl"/>
        </w:rPr>
        <w:t>. Finalmente, el carácter asesor y la calidad de servidores públicos o contratistas del Estado que pueden ostentar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p>
    <w:p w14:paraId="3475B84A"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En síntesis, las entidades podrán designar </w:t>
      </w:r>
      <w:r w:rsidRPr="00713B63">
        <w:rPr>
          <w:rFonts w:ascii="Verdana" w:eastAsia="Calibri" w:hAnsi="Verdana" w:cs="Arial"/>
          <w:lang w:val="es-ES"/>
        </w:rPr>
        <w:t>un comité evaluador de ofertas y de manifestaciones de interés para los procesos de contratación, que podrá estar conformado por un grupo interdisciplinario bien sea de servidores públicos o particulares contratados para tal finalidad o por una combinación de ambos, y sus funciones pueden variar según el tipo de proceso</w:t>
      </w:r>
      <w:r w:rsidRPr="00713B63">
        <w:rPr>
          <w:rFonts w:ascii="Verdana" w:eastAsia="Calibri" w:hAnsi="Verdana" w:cs="Arial"/>
          <w:bCs/>
          <w:color w:val="000000"/>
        </w:rPr>
        <w:t xml:space="preserve">, los pliegos de condiciones y lo previsto en los Manuales de Contratación de cada entidad. </w:t>
      </w:r>
    </w:p>
    <w:p w14:paraId="232BC055"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En consecuencia, corresponderá a cada entidad estatal, de acuerdo con su autonomía administrativa, determinar en su Manual de Contratación los requisitos que deben cumplir los integrantes del comité </w:t>
      </w:r>
      <w:proofErr w:type="gramStart"/>
      <w:r w:rsidRPr="00713B63">
        <w:rPr>
          <w:rFonts w:ascii="Verdana" w:eastAsia="Calibri" w:hAnsi="Verdana" w:cs="Arial"/>
          <w:bCs/>
          <w:color w:val="000000"/>
        </w:rPr>
        <w:t>evaluador</w:t>
      </w:r>
      <w:proofErr w:type="gramEnd"/>
      <w:r w:rsidRPr="00713B63">
        <w:rPr>
          <w:rFonts w:ascii="Verdana" w:eastAsia="Calibri" w:hAnsi="Verdana" w:cs="Arial"/>
          <w:bCs/>
          <w:color w:val="000000"/>
        </w:rPr>
        <w:t xml:space="preserve"> así como las funciones específicas que se asignan a cada integrante que conforma el comité evaluador y sus responsabilidades. Adicionalmente, el alcance de dichas funciones</w:t>
      </w:r>
      <w:r>
        <w:rPr>
          <w:rFonts w:ascii="Verdana" w:eastAsia="Calibri" w:hAnsi="Verdana" w:cs="Arial"/>
          <w:bCs/>
          <w:color w:val="000000"/>
        </w:rPr>
        <w:t xml:space="preserve"> y responsabilidades</w:t>
      </w:r>
      <w:r w:rsidRPr="00713B63">
        <w:rPr>
          <w:rFonts w:ascii="Verdana" w:eastAsia="Calibri" w:hAnsi="Verdana" w:cs="Arial"/>
          <w:bCs/>
          <w:color w:val="000000"/>
        </w:rPr>
        <w:t xml:space="preserve"> también dependerá de lo que se establezca expresamente en los pliegos de condiciones del proceso de selección, los cuales son la norma particular que rige cada proceso de contratación. Esta definición, tanto en el manual como en los pliegos, permitirá establecer con claridad el nivel de análisis y el conocimiento particular que debe realizar el comité respecto del cumplimiento de los requisitos del proceso de contratación. </w:t>
      </w:r>
    </w:p>
    <w:p w14:paraId="607E415D"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Así las cosas, la Administración debe asegurarse de contar con profesionales cuya experiencia y conocimientos permitan un análisis riguroso del </w:t>
      </w:r>
      <w:r w:rsidRPr="00713B63">
        <w:rPr>
          <w:rFonts w:ascii="Verdana" w:eastAsia="Calibri" w:hAnsi="Verdana" w:cs="Arial"/>
          <w:bCs/>
          <w:color w:val="000000"/>
        </w:rPr>
        <w:lastRenderedPageBreak/>
        <w:t xml:space="preserve">cumplimiento de los criterios habilitantes y ponderables establecidos en el pliego de condiciones. De esta manera, las calidades y requisitos específicos que deben cumplir los integrantes del comité evaluador variarán según lo establecido por cada entidad, en función del tipo y complejidad del proceso de contratación y demás aspectos que determine la entidad, incorporando funcionarios o contratistas de diversas áreas del conocimiento relevantes para el análisis técnico, jurídico, económico o administrativo del proceso. De este modo, las entidades tienen la facultad y responsabilidad de definir las condiciones de los miembros que integren el comité evaluador y la forma en la que se cumplirán las funciones designadas. </w:t>
      </w:r>
    </w:p>
    <w:p w14:paraId="669E675F"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 </w:t>
      </w:r>
    </w:p>
    <w:p w14:paraId="65F09880" w14:textId="77777777" w:rsidR="00AF1ABD" w:rsidRPr="00713B63" w:rsidRDefault="00AF1ABD" w:rsidP="00AF1ABD">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bookmarkEnd w:id="9"/>
    <w:p w14:paraId="6650784F" w14:textId="77777777" w:rsidR="00AF1ABD" w:rsidRDefault="00AF1ABD" w:rsidP="00AF1ABD">
      <w:pPr>
        <w:pStyle w:val="Prrafodelista"/>
        <w:tabs>
          <w:tab w:val="left" w:pos="142"/>
          <w:tab w:val="left" w:pos="284"/>
        </w:tabs>
        <w:spacing w:after="0" w:line="240" w:lineRule="auto"/>
        <w:ind w:left="0"/>
        <w:contextualSpacing w:val="0"/>
        <w:jc w:val="both"/>
        <w:rPr>
          <w:rFonts w:ascii="Verdana" w:eastAsia="Calibri" w:hAnsi="Verdana" w:cs="Arial"/>
        </w:rPr>
      </w:pPr>
    </w:p>
    <w:p w14:paraId="0938E104" w14:textId="77777777" w:rsidR="00AF1ABD" w:rsidRPr="001F283D" w:rsidRDefault="00AF1ABD" w:rsidP="00AF1ABD">
      <w:pPr>
        <w:tabs>
          <w:tab w:val="left" w:pos="142"/>
          <w:tab w:val="left" w:pos="284"/>
        </w:tabs>
        <w:spacing w:after="0" w:line="240" w:lineRule="auto"/>
        <w:rPr>
          <w:rFonts w:ascii="Verdana" w:eastAsia="Century Gothic" w:hAnsi="Verdana" w:cs="Century Gothic"/>
          <w:b/>
          <w:bCs/>
        </w:rPr>
      </w:pPr>
      <w:bookmarkStart w:id="10"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10"/>
    <w:p w14:paraId="661D1431" w14:textId="77777777" w:rsidR="00AF1ABD" w:rsidRPr="00593A5F" w:rsidRDefault="00AF1ABD" w:rsidP="00AF1AB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1ABD" w:rsidRPr="002407CE" w14:paraId="70C5FA64" w14:textId="77777777" w:rsidTr="001135AE">
        <w:trPr>
          <w:trHeight w:val="870"/>
          <w:jc w:val="center"/>
        </w:trPr>
        <w:tc>
          <w:tcPr>
            <w:tcW w:w="8647" w:type="dxa"/>
          </w:tcPr>
          <w:p w14:paraId="049C8F6B" w14:textId="6587D765" w:rsidR="00AF1ABD" w:rsidRDefault="00AF1ABD" w:rsidP="001135AE">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Decreto 1082 de 20</w:t>
            </w:r>
            <w:r w:rsidR="008373ED">
              <w:rPr>
                <w:rFonts w:ascii="Verdana" w:hAnsi="Verdana" w:cs="Arial"/>
                <w:color w:val="000000" w:themeColor="text1"/>
                <w:sz w:val="22"/>
                <w:szCs w:val="22"/>
              </w:rPr>
              <w:t>15</w:t>
            </w:r>
            <w:r>
              <w:rPr>
                <w:rFonts w:ascii="Verdana" w:hAnsi="Verdana" w:cs="Arial"/>
                <w:color w:val="000000" w:themeColor="text1"/>
                <w:sz w:val="22"/>
                <w:szCs w:val="22"/>
              </w:rPr>
              <w:t xml:space="preserve">. Artículo </w:t>
            </w:r>
            <w:r w:rsidRPr="00713B63">
              <w:rPr>
                <w:rFonts w:ascii="Verdana" w:eastAsia="Calibri" w:hAnsi="Verdana" w:cs="Arial"/>
                <w:bCs/>
                <w:color w:val="000000"/>
              </w:rPr>
              <w:t>2.2.1.1.2.2.3</w:t>
            </w:r>
            <w:r>
              <w:rPr>
                <w:rFonts w:ascii="Verdana" w:eastAsia="Calibri" w:hAnsi="Verdana" w:cs="Arial"/>
                <w:bCs/>
                <w:color w:val="000000"/>
              </w:rPr>
              <w:t>.</w:t>
            </w:r>
          </w:p>
          <w:p w14:paraId="0536B9C4" w14:textId="32CA5E97" w:rsidR="00AF1ABD" w:rsidRDefault="00AF1ABD" w:rsidP="001135AE">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Ley 1150 de 2002. Artículo 21</w:t>
            </w:r>
            <w:r w:rsidR="008373ED">
              <w:rPr>
                <w:rFonts w:ascii="Verdana" w:hAnsi="Verdana" w:cs="Arial"/>
                <w:color w:val="000000" w:themeColor="text1"/>
                <w:sz w:val="22"/>
                <w:szCs w:val="22"/>
              </w:rPr>
              <w:t>.</w:t>
            </w:r>
          </w:p>
          <w:p w14:paraId="1F814908" w14:textId="77777777" w:rsidR="00AF1ABD" w:rsidRDefault="00AF1ABD" w:rsidP="001135AE">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t xml:space="preserve">Consejo de Estado. Sala de Consulta y Servicio Civil. Concepto del 6 de diciembre de 2007. </w:t>
            </w:r>
            <w:proofErr w:type="spellStart"/>
            <w:r w:rsidRPr="0061031E">
              <w:rPr>
                <w:rFonts w:ascii="Verdana" w:hAnsi="Verdana" w:cs="Arial"/>
                <w:color w:val="000000" w:themeColor="text1"/>
                <w:sz w:val="22"/>
                <w:szCs w:val="22"/>
              </w:rPr>
              <w:t>Exp</w:t>
            </w:r>
            <w:proofErr w:type="spellEnd"/>
            <w:r w:rsidRPr="0061031E">
              <w:rPr>
                <w:rFonts w:ascii="Verdana" w:hAnsi="Verdana" w:cs="Arial"/>
                <w:color w:val="000000" w:themeColor="text1"/>
                <w:sz w:val="22"/>
                <w:szCs w:val="22"/>
              </w:rPr>
              <w:t>. 1871. C.P.: Luis Fernando Álvarez Jaramillo.</w:t>
            </w:r>
          </w:p>
          <w:p w14:paraId="3DDB6D8E" w14:textId="77777777" w:rsidR="00AF1ABD" w:rsidRDefault="00AF1ABD" w:rsidP="001135AE">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lastRenderedPageBreak/>
              <w:t>Consejo de Estado. Sala de lo Contencioso Administrativo. Sección Tercera. Subsección C. Sentencia de 1 de abril de 2016. Radicado: 25000-23-26-000-2007-00072-01 (47145) C.P. Jaime Orlando Santofimio Gamboa</w:t>
            </w:r>
            <w:r>
              <w:rPr>
                <w:rFonts w:ascii="Verdana" w:hAnsi="Verdana" w:cs="Arial"/>
                <w:color w:val="000000" w:themeColor="text1"/>
                <w:sz w:val="22"/>
                <w:szCs w:val="22"/>
              </w:rPr>
              <w:t>.</w:t>
            </w:r>
          </w:p>
          <w:p w14:paraId="2606BC86" w14:textId="77777777" w:rsidR="00AF1ABD" w:rsidRDefault="00AF1ABD" w:rsidP="001135AE">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t>Consejo de Estado. Sala de lo Contencioso Administrativo. Sección Tercera. Subsección B. Sentencia de 28 de mayo de 2012. Radicado: 08001-23-31-000-1996-01886-01 (22089). C.P. Ruth Stella Correa Palacio.</w:t>
            </w:r>
          </w:p>
          <w:p w14:paraId="6B7B35A5" w14:textId="77777777" w:rsidR="00AF1ABD" w:rsidRPr="00235DB6" w:rsidRDefault="00AF1ABD" w:rsidP="001135AE">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t>Consejo de Estado. Sala de lo Contencioso Administrativo. Sección Tercera. Subsección B. Sentencia de 29 de julio de 2013. Radicado: 20001-23-31-000-2000-01023-01 (24311). C.P. Ramiro De Jesús Pazos.</w:t>
            </w:r>
          </w:p>
        </w:tc>
      </w:tr>
    </w:tbl>
    <w:p w14:paraId="7623CD7A" w14:textId="77777777" w:rsidR="00AF1ABD" w:rsidRPr="00277E26" w:rsidRDefault="00AF1ABD" w:rsidP="00AF1ABD">
      <w:pPr>
        <w:widowControl w:val="0"/>
        <w:autoSpaceDE w:val="0"/>
        <w:autoSpaceDN w:val="0"/>
        <w:spacing w:after="0" w:line="276" w:lineRule="auto"/>
        <w:jc w:val="both"/>
        <w:rPr>
          <w:rFonts w:ascii="Verdana" w:hAnsi="Verdana" w:cs="Arial"/>
        </w:rPr>
      </w:pPr>
    </w:p>
    <w:p w14:paraId="568ECAF6" w14:textId="77777777" w:rsidR="00AF1ABD" w:rsidRPr="001F283D" w:rsidRDefault="00AF1ABD" w:rsidP="00AF1AB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3F0D3322" w14:textId="77777777" w:rsidR="00AF1ABD" w:rsidRPr="0021078E" w:rsidRDefault="00AF1ABD" w:rsidP="00AF1ABD">
      <w:pPr>
        <w:widowControl w:val="0"/>
        <w:autoSpaceDE w:val="0"/>
        <w:autoSpaceDN w:val="0"/>
        <w:spacing w:after="0" w:line="240" w:lineRule="auto"/>
        <w:jc w:val="both"/>
        <w:rPr>
          <w:rStyle w:val="normaltextrun"/>
          <w:rFonts w:ascii="Verdana" w:hAnsi="Verdana" w:cs="Arial"/>
          <w:shd w:val="clear" w:color="auto" w:fill="FFFFFF"/>
          <w:lang w:val="es-ES"/>
        </w:rPr>
      </w:pPr>
    </w:p>
    <w:p w14:paraId="786F6B2D" w14:textId="77777777" w:rsidR="00AF1ABD" w:rsidRPr="00AB70DD" w:rsidRDefault="00AF1ABD" w:rsidP="00AF1ABD">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21078E">
        <w:rPr>
          <w:rFonts w:ascii="Verdana" w:eastAsia="Aptos" w:hAnsi="Verdana" w:cs="Arial"/>
          <w:shd w:val="clear" w:color="auto" w:fill="FFFFFF"/>
          <w:lang w:val="es-ES"/>
        </w:rPr>
        <w:t xml:space="preserve">Sobre </w:t>
      </w:r>
      <w:r w:rsidRPr="0021078E">
        <w:rPr>
          <w:rFonts w:ascii="Verdana" w:eastAsia="Aptos" w:hAnsi="Verdana" w:cs="Arial"/>
          <w:shd w:val="clear" w:color="auto" w:fill="FFFFFF"/>
        </w:rPr>
        <w:t>los comités de evaluación de las ofertas</w:t>
      </w:r>
      <w:r w:rsidRPr="0021078E">
        <w:rPr>
          <w:rFonts w:ascii="Verdana" w:eastAsia="Aptos" w:hAnsi="Verdana" w:cs="Arial"/>
          <w:shd w:val="clear" w:color="auto" w:fill="FFFFFF"/>
          <w:lang w:val="es-ES"/>
        </w:rPr>
        <w:t xml:space="preserve">, esta Subdirección se ha referido en los Conceptos </w:t>
      </w:r>
      <w:r w:rsidRPr="0021078E">
        <w:rPr>
          <w:rFonts w:ascii="Verdana" w:eastAsia="Calibri" w:hAnsi="Verdana" w:cs="Arial"/>
          <w:lang w:val="es-ES_tradnl" w:eastAsia="es-MX"/>
        </w:rPr>
        <w:t xml:space="preserve">C-128 del 3 de marzo de 2020, </w:t>
      </w:r>
      <w:r>
        <w:rPr>
          <w:rFonts w:ascii="Verdana" w:eastAsia="Calibri" w:hAnsi="Verdana" w:cs="Arial"/>
          <w:lang w:val="es-ES_tradnl" w:eastAsia="es-MX"/>
        </w:rPr>
        <w:t xml:space="preserve">C-453 del 26 de julio de 2020, </w:t>
      </w:r>
      <w:r w:rsidRPr="0021078E">
        <w:rPr>
          <w:rFonts w:ascii="Verdana" w:eastAsia="Calibri" w:hAnsi="Verdana" w:cs="Arial"/>
          <w:lang w:val="es-ES_tradnl" w:eastAsia="es-MX"/>
        </w:rPr>
        <w:t>C-522 del 1 de octubre de 2021, C-063 de 17 de abril 2024, C-602 del 9 de octubre de 2024</w:t>
      </w:r>
      <w:r w:rsidRPr="0021078E">
        <w:rPr>
          <w:rFonts w:ascii="Verdana" w:eastAsia="Aptos" w:hAnsi="Verdana" w:cs="Arial"/>
          <w:shd w:val="clear" w:color="auto" w:fill="FFFFFF"/>
          <w:lang w:val="es-ES"/>
        </w:rPr>
        <w:t>, C-343 del 24 de abril de 2025, C-755 del 23 de julio de 2025,</w:t>
      </w:r>
      <w:r>
        <w:rPr>
          <w:rFonts w:ascii="Verdana" w:eastAsia="Aptos" w:hAnsi="Verdana" w:cs="Arial"/>
          <w:shd w:val="clear" w:color="auto" w:fill="FFFFFF"/>
          <w:lang w:val="es-ES"/>
        </w:rPr>
        <w:t xml:space="preserve"> C-978 del 25 de agosto de 2025, C-1055 del 26 de agosto de 2025, </w:t>
      </w:r>
      <w:r w:rsidRPr="0021078E">
        <w:rPr>
          <w:rFonts w:ascii="Verdana" w:eastAsia="Aptos" w:hAnsi="Verdana" w:cs="Arial"/>
          <w:shd w:val="clear" w:color="auto" w:fill="FFFFFF"/>
          <w:lang w:val="es-ES"/>
        </w:rPr>
        <w:t>entre otros</w:t>
      </w:r>
      <w:r w:rsidRPr="0021078E">
        <w:rPr>
          <w:rFonts w:ascii="Verdana" w:hAnsi="Verdana" w:cs="Arial"/>
          <w:shd w:val="clear" w:color="auto" w:fill="FFFFFF"/>
          <w:lang w:val="es-ES"/>
        </w:rPr>
        <w:t xml:space="preserve">. Estos y otros </w:t>
      </w:r>
      <w:r w:rsidRPr="0021078E">
        <w:rPr>
          <w:rFonts w:ascii="Verdana" w:hAnsi="Verdana"/>
        </w:rPr>
        <w:t>conceptos se encuentran disponibles para consulta en el Sistema de relatoría de la Agencia, al cual se puede acceder a través del siguiente enlace:</w:t>
      </w:r>
      <w:r w:rsidRPr="0021078E">
        <w:rPr>
          <w:rFonts w:ascii="Verdana" w:hAnsi="Verdana" w:cs="Arial"/>
          <w:shd w:val="clear" w:color="auto" w:fill="FFFFFF"/>
        </w:rPr>
        <w:t xml:space="preserve"> </w:t>
      </w:r>
      <w:hyperlink r:id="rId12" w:history="1">
        <w:r w:rsidRPr="0021078E">
          <w:rPr>
            <w:rFonts w:ascii="Verdana" w:hAnsi="Verdana" w:cs="Arial"/>
            <w:color w:val="0563C1" w:themeColor="hyperlink"/>
            <w:u w:val="single"/>
            <w:shd w:val="clear" w:color="auto" w:fill="FFFFFF"/>
          </w:rPr>
          <w:t>https://relatoria.colombiacompra.gov.co/busqueda/conceptos</w:t>
        </w:r>
      </w:hyperlink>
      <w:r w:rsidRPr="0021078E">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656F96A8" w14:textId="77777777" w:rsidR="00AF1ABD" w:rsidRPr="00237766" w:rsidRDefault="00AF1ABD" w:rsidP="00AF1ABD">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4F387DF" w14:textId="77777777" w:rsidR="00AF1ABD" w:rsidRPr="008E4F36" w:rsidRDefault="00AF1ABD" w:rsidP="00AF1ABD">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DB02B84" w14:textId="77777777" w:rsidR="00AF1ABD" w:rsidRPr="008E4F36" w:rsidRDefault="00AF1ABD" w:rsidP="00AF1ABD">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3A820E97" w14:textId="77777777" w:rsidR="00AF1ABD" w:rsidRPr="008E4F36" w:rsidRDefault="00AF1ABD" w:rsidP="00AF1ABD">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2A769411" w14:textId="77777777" w:rsidR="00AF1ABD" w:rsidRPr="008E4F36" w:rsidRDefault="00AF1ABD" w:rsidP="00AF1ABD">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221B2885" w14:textId="77777777" w:rsidR="00AF1ABD" w:rsidRPr="008E4F36" w:rsidRDefault="00AF1ABD" w:rsidP="00AF1ABD">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06EE2FB7" w14:textId="77777777" w:rsidR="00AF1ABD" w:rsidRPr="008E4F36" w:rsidRDefault="00AF1ABD" w:rsidP="00AF1ABD">
      <w:pPr>
        <w:spacing w:after="0" w:line="276" w:lineRule="auto"/>
        <w:jc w:val="both"/>
        <w:rPr>
          <w:rFonts w:ascii="Verdana" w:hAnsi="Verdana"/>
        </w:rPr>
      </w:pPr>
    </w:p>
    <w:p w14:paraId="7AA93833" w14:textId="77777777" w:rsidR="00AF1ABD" w:rsidRPr="008E4F36" w:rsidRDefault="00AF1ABD" w:rsidP="00AF1ABD">
      <w:pPr>
        <w:spacing w:after="0" w:line="276" w:lineRule="auto"/>
        <w:jc w:val="both"/>
        <w:rPr>
          <w:rFonts w:ascii="Verdana" w:hAnsi="Verdana"/>
        </w:rPr>
      </w:pPr>
      <w:r w:rsidRPr="008E4F36">
        <w:rPr>
          <w:rFonts w:ascii="Verdana" w:hAnsi="Verdana"/>
        </w:rPr>
        <w:lastRenderedPageBreak/>
        <w:t xml:space="preserve">Twitter: </w:t>
      </w:r>
      <w:r w:rsidRPr="008E4F36">
        <w:rPr>
          <w:rStyle w:val="Hipervnculo"/>
          <w:rFonts w:ascii="Verdana" w:hAnsi="Verdana"/>
        </w:rPr>
        <w:t>@colombiacompra</w:t>
      </w:r>
      <w:r w:rsidRPr="008E4F36">
        <w:rPr>
          <w:rFonts w:ascii="Verdana" w:hAnsi="Verdana"/>
        </w:rPr>
        <w:t xml:space="preserve"> </w:t>
      </w:r>
    </w:p>
    <w:p w14:paraId="48DDE99F" w14:textId="77777777" w:rsidR="00AF1ABD" w:rsidRPr="008E4F36" w:rsidRDefault="00AF1ABD" w:rsidP="00AF1ABD">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04586496" w14:textId="77777777" w:rsidR="00AF1ABD" w:rsidRPr="008E4F36" w:rsidRDefault="00AF1ABD" w:rsidP="00AF1ABD">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4E179094" w14:textId="77777777" w:rsidR="00AF1ABD" w:rsidRDefault="00AF1ABD" w:rsidP="00AF1ABD">
      <w:pPr>
        <w:spacing w:before="120" w:after="0" w:line="276" w:lineRule="auto"/>
        <w:jc w:val="both"/>
        <w:rPr>
          <w:rFonts w:ascii="Verdana" w:hAnsi="Verdana"/>
        </w:rPr>
      </w:pPr>
    </w:p>
    <w:p w14:paraId="79125F8B" w14:textId="77777777" w:rsidR="00AF1ABD" w:rsidRPr="00FB6C33" w:rsidRDefault="00AF1ABD" w:rsidP="00AF1ABD">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0E85945" w14:textId="77777777" w:rsidR="00AF1ABD" w:rsidRPr="008E4F36" w:rsidRDefault="00AF1ABD" w:rsidP="00AF1ABD">
      <w:pPr>
        <w:spacing w:after="0" w:line="276" w:lineRule="auto"/>
        <w:jc w:val="both"/>
        <w:rPr>
          <w:rFonts w:ascii="Verdana" w:eastAsia="Calibri" w:hAnsi="Verdana" w:cs="Times New Roman"/>
        </w:rPr>
      </w:pPr>
    </w:p>
    <w:p w14:paraId="7CB59CFB" w14:textId="77777777" w:rsidR="00AF1ABD" w:rsidRDefault="00AF1ABD" w:rsidP="00AF1ABD">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5E543F1F" w14:textId="77777777" w:rsidR="00AF1ABD" w:rsidRDefault="00AF1ABD" w:rsidP="00AF1ABD">
      <w:pPr>
        <w:spacing w:after="0" w:line="256" w:lineRule="auto"/>
        <w:rPr>
          <w:rFonts w:eastAsia="Times New Roman" w:cs="Arial"/>
          <w:sz w:val="24"/>
          <w:szCs w:val="24"/>
        </w:rPr>
      </w:pPr>
    </w:p>
    <w:p w14:paraId="61065E81" w14:textId="76A1ECED" w:rsidR="00AF1ABD" w:rsidRDefault="00E05A70" w:rsidP="00AF1ABD">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3D0B41B9" wp14:editId="73E53956">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4"/>
                    <a:stretch>
                      <a:fillRect/>
                    </a:stretch>
                  </pic:blipFill>
                  <pic:spPr>
                    <a:xfrm>
                      <a:off x="0" y="0"/>
                      <a:ext cx="3962953" cy="1867161"/>
                    </a:xfrm>
                    <a:prstGeom prst="rect">
                      <a:avLst/>
                    </a:prstGeom>
                  </pic:spPr>
                </pic:pic>
              </a:graphicData>
            </a:graphic>
          </wp:inline>
        </w:drawing>
      </w:r>
    </w:p>
    <w:p w14:paraId="4C645753" w14:textId="77777777" w:rsidR="00AF1ABD" w:rsidRDefault="00AF1ABD" w:rsidP="00AF1ABD">
      <w:pPr>
        <w:spacing w:after="0" w:line="256" w:lineRule="auto"/>
        <w:jc w:val="center"/>
        <w:rPr>
          <w:noProof/>
        </w:rPr>
      </w:pPr>
    </w:p>
    <w:p w14:paraId="4076EA89" w14:textId="77777777" w:rsidR="00AF1ABD" w:rsidRDefault="00AF1ABD" w:rsidP="00AF1ABD">
      <w:pPr>
        <w:spacing w:after="0" w:line="256" w:lineRule="auto"/>
        <w:jc w:val="center"/>
        <w:rPr>
          <w:rFonts w:ascii="Verdana" w:eastAsia="Times New Roman" w:hAnsi="Verdana"/>
          <w:b/>
          <w:bCs/>
          <w:noProof/>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AF1ABD" w:rsidRPr="008E4F36" w14:paraId="70C5B55E" w14:textId="77777777" w:rsidTr="001135AE">
        <w:trPr>
          <w:trHeight w:val="315"/>
        </w:trPr>
        <w:tc>
          <w:tcPr>
            <w:tcW w:w="893" w:type="dxa"/>
            <w:vAlign w:val="center"/>
            <w:hideMark/>
          </w:tcPr>
          <w:p w14:paraId="2D106C60" w14:textId="77777777" w:rsidR="00AF1ABD" w:rsidRPr="008E4F36" w:rsidRDefault="00AF1ABD" w:rsidP="001135AE">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A1A7A36" w14:textId="77777777" w:rsidR="00AF1ABD" w:rsidRPr="008E4F36" w:rsidRDefault="00AF1ABD" w:rsidP="001135AE">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14CF5392" w14:textId="77777777" w:rsidR="00AF1ABD" w:rsidRPr="008E4F36" w:rsidRDefault="00AF1ABD" w:rsidP="001135AE">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AF1ABD" w:rsidRPr="008E4F36" w14:paraId="33326514" w14:textId="77777777" w:rsidTr="001135AE">
        <w:trPr>
          <w:trHeight w:val="330"/>
        </w:trPr>
        <w:tc>
          <w:tcPr>
            <w:tcW w:w="893" w:type="dxa"/>
            <w:vAlign w:val="center"/>
            <w:hideMark/>
          </w:tcPr>
          <w:p w14:paraId="6BCBD33A" w14:textId="77777777" w:rsidR="00AF1ABD" w:rsidRPr="008E4F36" w:rsidRDefault="00AF1ABD" w:rsidP="001135AE">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0573507C" w14:textId="77777777" w:rsidR="00AF1ABD" w:rsidRPr="00707947" w:rsidRDefault="00AF1ABD" w:rsidP="001135AE">
            <w:pPr>
              <w:pStyle w:val="paragraph"/>
              <w:spacing w:before="0" w:beforeAutospacing="0" w:after="0" w:afterAutospacing="0"/>
              <w:contextualSpacing/>
              <w:textAlignment w:val="baseline"/>
              <w:rPr>
                <w:rStyle w:val="normaltextrun"/>
                <w:rFonts w:ascii="Verdana" w:hAnsi="Verdana"/>
                <w:sz w:val="16"/>
                <w:szCs w:val="16"/>
              </w:rPr>
            </w:pPr>
            <w:r w:rsidRPr="00707947">
              <w:rPr>
                <w:rStyle w:val="normaltextrun"/>
                <w:rFonts w:ascii="Verdana" w:hAnsi="Verdana"/>
                <w:sz w:val="16"/>
                <w:szCs w:val="16"/>
              </w:rPr>
              <w:t>Alejandro Sarmiento Cantillo</w:t>
            </w:r>
          </w:p>
          <w:p w14:paraId="33E354A1" w14:textId="77777777" w:rsidR="00AF1ABD" w:rsidRPr="008E4F36" w:rsidRDefault="00AF1ABD" w:rsidP="001135AE">
            <w:pPr>
              <w:pStyle w:val="paragraph"/>
              <w:spacing w:before="0" w:beforeAutospacing="0" w:after="0" w:afterAutospacing="0"/>
              <w:contextualSpacing/>
              <w:textAlignment w:val="baseline"/>
              <w:rPr>
                <w:rFonts w:ascii="Verdana" w:hAnsi="Verdana" w:cs="Segoe UI"/>
                <w:sz w:val="16"/>
                <w:szCs w:val="16"/>
              </w:rPr>
            </w:pPr>
            <w:r w:rsidRPr="00707947">
              <w:rPr>
                <w:rFonts w:ascii="Verdana" w:eastAsia="Calibri" w:hAnsi="Verdana"/>
                <w:sz w:val="16"/>
                <w:szCs w:val="16"/>
              </w:rPr>
              <w:t>Gestor T1-15 de la Subdirección de Gestión Contractual </w:t>
            </w:r>
          </w:p>
        </w:tc>
      </w:tr>
      <w:tr w:rsidR="00AF1ABD" w:rsidRPr="008E4F36" w14:paraId="5825B9EC" w14:textId="77777777" w:rsidTr="001135AE">
        <w:trPr>
          <w:trHeight w:val="300"/>
        </w:trPr>
        <w:tc>
          <w:tcPr>
            <w:tcW w:w="893" w:type="dxa"/>
            <w:vAlign w:val="center"/>
          </w:tcPr>
          <w:p w14:paraId="2F5C79C6" w14:textId="77777777" w:rsidR="00AF1ABD" w:rsidRPr="008E4F36" w:rsidRDefault="00AF1ABD" w:rsidP="001135AE">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9B85BAD" w14:textId="77777777" w:rsidR="00AF1ABD" w:rsidRPr="008E4F36" w:rsidRDefault="00AF1ABD" w:rsidP="001135AE">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00A1BEEA" w14:textId="77777777" w:rsidR="00AF1ABD" w:rsidRPr="008E4F36" w:rsidRDefault="00AF1ABD" w:rsidP="001135AE">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w:t>
            </w:r>
            <w:r w:rsidRPr="008E4F36">
              <w:rPr>
                <w:rFonts w:ascii="Verdana" w:eastAsia="Calibri" w:hAnsi="Verdana" w:cs="Arial"/>
                <w:sz w:val="16"/>
                <w:szCs w:val="16"/>
                <w:lang w:eastAsia="es-ES"/>
              </w:rPr>
              <w:t>ANCP – CCE</w:t>
            </w:r>
          </w:p>
        </w:tc>
      </w:tr>
      <w:bookmarkEnd w:id="5"/>
      <w:bookmarkEnd w:id="6"/>
    </w:tbl>
    <w:p w14:paraId="3A5A854D" w14:textId="77777777" w:rsidR="00AF1ABD" w:rsidRPr="008E4F36" w:rsidRDefault="00AF1ABD" w:rsidP="00AF1ABD">
      <w:pPr>
        <w:spacing w:after="0"/>
        <w:rPr>
          <w:rFonts w:ascii="Verdana" w:hAnsi="Verdana"/>
        </w:rPr>
      </w:pPr>
    </w:p>
    <w:bookmarkEnd w:id="0"/>
    <w:bookmarkEnd w:id="1"/>
    <w:bookmarkEnd w:id="2"/>
    <w:bookmarkEnd w:id="3"/>
    <w:p w14:paraId="71450DB7" w14:textId="77777777" w:rsidR="00322A85" w:rsidRPr="0044528D" w:rsidRDefault="00322A85" w:rsidP="00E245AB">
      <w:pPr>
        <w:spacing w:after="0"/>
        <w:jc w:val="both"/>
        <w:rPr>
          <w:rStyle w:val="Hipervnculo"/>
          <w:rFonts w:ascii="Verdana" w:hAnsi="Verdana"/>
        </w:rPr>
      </w:pPr>
    </w:p>
    <w:p w14:paraId="48A1EFE8" w14:textId="77777777" w:rsidR="002707A2" w:rsidRPr="0044528D" w:rsidRDefault="002707A2" w:rsidP="00E245AB">
      <w:pPr>
        <w:spacing w:after="0"/>
        <w:jc w:val="both"/>
        <w:rPr>
          <w:rStyle w:val="Hipervnculo"/>
          <w:rFonts w:ascii="Verdana" w:hAnsi="Verdana"/>
        </w:rPr>
      </w:pPr>
    </w:p>
    <w:bookmarkEnd w:id="4"/>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5BD8" w14:textId="77777777" w:rsidR="00DE2818" w:rsidRDefault="00DE2818" w:rsidP="004A1847">
      <w:pPr>
        <w:spacing w:after="0" w:line="240" w:lineRule="auto"/>
      </w:pPr>
      <w:r>
        <w:separator/>
      </w:r>
    </w:p>
  </w:endnote>
  <w:endnote w:type="continuationSeparator" w:id="0">
    <w:p w14:paraId="7B12025F" w14:textId="77777777" w:rsidR="00DE2818" w:rsidRDefault="00DE281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Times New Roman">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3A9DD" w14:textId="77777777" w:rsidR="00DE2818" w:rsidRDefault="00DE2818" w:rsidP="004A1847">
      <w:pPr>
        <w:spacing w:after="0" w:line="240" w:lineRule="auto"/>
      </w:pPr>
      <w:r>
        <w:separator/>
      </w:r>
    </w:p>
  </w:footnote>
  <w:footnote w:type="continuationSeparator" w:id="0">
    <w:p w14:paraId="771B72C4" w14:textId="77777777" w:rsidR="00DE2818" w:rsidRDefault="00DE2818" w:rsidP="004A1847">
      <w:pPr>
        <w:spacing w:after="0" w:line="240" w:lineRule="auto"/>
      </w:pPr>
      <w:r>
        <w:continuationSeparator/>
      </w:r>
    </w:p>
  </w:footnote>
  <w:footnote w:id="1">
    <w:p w14:paraId="3F622C26" w14:textId="77777777" w:rsidR="00AF1ABD" w:rsidRPr="005F15A9" w:rsidRDefault="00AF1ABD" w:rsidP="00AF1ABD">
      <w:pPr>
        <w:pStyle w:val="Textonotapie"/>
        <w:ind w:firstLine="709"/>
        <w:jc w:val="both"/>
        <w:rPr>
          <w:rFonts w:ascii="Verdana" w:hAnsi="Verdana" w:cs="Arial"/>
          <w:sz w:val="14"/>
          <w:szCs w:val="14"/>
          <w:lang w:val="es-ES"/>
        </w:rPr>
      </w:pPr>
      <w:r w:rsidRPr="005F15A9">
        <w:rPr>
          <w:rStyle w:val="Refdenotaalpie"/>
          <w:rFonts w:ascii="Verdana" w:hAnsi="Verdana" w:cs="Arial"/>
          <w:sz w:val="14"/>
          <w:szCs w:val="14"/>
        </w:rPr>
        <w:footnoteRef/>
      </w:r>
      <w:r w:rsidRPr="005F15A9">
        <w:rPr>
          <w:rFonts w:ascii="Verdana" w:hAnsi="Verdana" w:cs="Arial"/>
          <w:sz w:val="14"/>
          <w:szCs w:val="14"/>
        </w:rPr>
        <w:t xml:space="preserve"> </w:t>
      </w:r>
      <w:r w:rsidRPr="005F15A9">
        <w:rPr>
          <w:rFonts w:ascii="Verdana" w:hAnsi="Verdana" w:cs="Arial"/>
          <w:sz w:val="14"/>
          <w:szCs w:val="14"/>
          <w:lang w:val="es-ES"/>
        </w:rPr>
        <w:t xml:space="preserve">Recuérdese que las denominadas “manifestaciones de interés” corresponden a la modalidad de selección de contratistas del Concurso de Méritos con Precalificación, regulado, entre otros, en los artículos 2.2.1.2.2.1.3.3. y siguientes del Decreto 1082 de 2015. </w:t>
      </w:r>
    </w:p>
    <w:p w14:paraId="344482ED" w14:textId="77777777" w:rsidR="00AF1ABD" w:rsidRPr="00551FAF" w:rsidRDefault="00AF1ABD" w:rsidP="00AF1ABD">
      <w:pPr>
        <w:pStyle w:val="Textonotapie"/>
        <w:ind w:firstLine="709"/>
        <w:jc w:val="both"/>
        <w:rPr>
          <w:rFonts w:ascii="Verdana" w:hAnsi="Verdana" w:cs="Arial"/>
          <w:sz w:val="16"/>
          <w:szCs w:val="16"/>
          <w:lang w:val="es-ES"/>
        </w:rPr>
      </w:pPr>
    </w:p>
  </w:footnote>
  <w:footnote w:id="2">
    <w:p w14:paraId="435F7EC3" w14:textId="77777777" w:rsidR="00AF1ABD" w:rsidRPr="005F15A9" w:rsidRDefault="00AF1ABD" w:rsidP="00AF1ABD">
      <w:pPr>
        <w:pStyle w:val="Textonotapie"/>
        <w:ind w:firstLine="709"/>
        <w:jc w:val="both"/>
        <w:rPr>
          <w:rFonts w:ascii="Verdana" w:hAnsi="Verdana" w:cs="Arial"/>
          <w:color w:val="000000" w:themeColor="text1"/>
          <w:sz w:val="14"/>
          <w:szCs w:val="14"/>
          <w:lang w:val="es-ES"/>
        </w:rPr>
      </w:pPr>
      <w:r w:rsidRPr="005F15A9">
        <w:rPr>
          <w:rStyle w:val="Refdenotaalpie"/>
          <w:rFonts w:ascii="Verdana" w:hAnsi="Verdana" w:cs="Arial"/>
          <w:color w:val="000000" w:themeColor="text1"/>
          <w:sz w:val="14"/>
          <w:szCs w:val="14"/>
        </w:rPr>
        <w:footnoteRef/>
      </w:r>
      <w:r w:rsidRPr="005F15A9">
        <w:rPr>
          <w:rFonts w:ascii="Verdana" w:hAnsi="Verdana" w:cs="Arial"/>
          <w:color w:val="000000" w:themeColor="text1"/>
          <w:sz w:val="14"/>
          <w:szCs w:val="14"/>
        </w:rPr>
        <w:t xml:space="preserve"> </w:t>
      </w:r>
      <w:r w:rsidRPr="005F15A9">
        <w:rPr>
          <w:rFonts w:ascii="Verdana" w:hAnsi="Verdana" w:cs="Arial"/>
          <w:color w:val="000000" w:themeColor="text1"/>
          <w:sz w:val="14"/>
          <w:szCs w:val="14"/>
          <w:lang w:val="es-ES"/>
        </w:rPr>
        <w:t xml:space="preserve">Consejo de Estado. Sala de Consulta y Servicio Civil. Concepto del 6 de diciembre de 2007. </w:t>
      </w:r>
      <w:r w:rsidRPr="005F15A9">
        <w:rPr>
          <w:rFonts w:ascii="Verdana" w:hAnsi="Verdana" w:cs="Arial"/>
          <w:color w:val="000000" w:themeColor="text1"/>
          <w:sz w:val="14"/>
          <w:szCs w:val="14"/>
          <w:lang w:val="es-ES"/>
        </w:rPr>
        <w:t>Exp. 1871. C.P.: Luis Fernando Álvarez Jaramillo.</w:t>
      </w:r>
    </w:p>
    <w:p w14:paraId="418ECF50" w14:textId="77777777" w:rsidR="00AF1ABD" w:rsidRPr="00551FAF" w:rsidRDefault="00AF1ABD" w:rsidP="00AF1ABD">
      <w:pPr>
        <w:pStyle w:val="Textonotapie"/>
        <w:ind w:firstLine="709"/>
        <w:jc w:val="both"/>
        <w:rPr>
          <w:rFonts w:ascii="Verdana" w:hAnsi="Verdana" w:cs="Arial"/>
          <w:color w:val="000000" w:themeColor="text1"/>
          <w:sz w:val="16"/>
          <w:szCs w:val="16"/>
          <w:lang w:val="es-ES"/>
        </w:rPr>
      </w:pPr>
    </w:p>
  </w:footnote>
  <w:footnote w:id="3">
    <w:p w14:paraId="1EB40D0D" w14:textId="77777777" w:rsidR="00AF1ABD" w:rsidRPr="005F15A9" w:rsidRDefault="00AF1ABD" w:rsidP="00AF1ABD">
      <w:pPr>
        <w:spacing w:line="240" w:lineRule="auto"/>
        <w:ind w:firstLine="709"/>
        <w:jc w:val="both"/>
        <w:rPr>
          <w:rFonts w:ascii="Verdana" w:eastAsia="Calibri,Times New Roman" w:hAnsi="Verdana" w:cs="Arial"/>
          <w:i/>
          <w:iCs/>
          <w:sz w:val="14"/>
          <w:szCs w:val="14"/>
          <w:lang w:val="es-ES"/>
        </w:rPr>
      </w:pPr>
      <w:r w:rsidRPr="005F15A9">
        <w:rPr>
          <w:rStyle w:val="Refdenotaalpie"/>
          <w:rFonts w:ascii="Verdana" w:hAnsi="Verdana" w:cs="Arial"/>
          <w:sz w:val="14"/>
          <w:szCs w:val="14"/>
        </w:rPr>
        <w:footnoteRef/>
      </w:r>
      <w:r w:rsidRPr="005F15A9">
        <w:rPr>
          <w:rFonts w:ascii="Verdana" w:hAnsi="Verdana" w:cs="Arial"/>
          <w:sz w:val="14"/>
          <w:szCs w:val="14"/>
        </w:rPr>
        <w:t xml:space="preserve"> </w:t>
      </w:r>
      <w:r w:rsidRPr="005F15A9">
        <w:rPr>
          <w:rFonts w:ascii="Verdana" w:hAnsi="Verdana" w:cs="Arial"/>
          <w:color w:val="000000" w:themeColor="text1"/>
          <w:sz w:val="14"/>
          <w:szCs w:val="14"/>
          <w:lang w:val="es-ES_tradnl"/>
        </w:rPr>
        <w:t>“</w:t>
      </w:r>
      <w:r w:rsidRPr="005F15A9">
        <w:rPr>
          <w:rFonts w:ascii="Verdana" w:eastAsia="Calibri,Times New Roman" w:hAnsi="Verdana" w:cs="Arial"/>
          <w:sz w:val="14"/>
          <w:szCs w:val="14"/>
          <w:lang w:val="es-ES"/>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5F15A9">
        <w:rPr>
          <w:rFonts w:ascii="Verdana" w:hAnsi="Verdana" w:cs="Arial"/>
          <w:color w:val="000000" w:themeColor="text1"/>
          <w:sz w:val="14"/>
          <w:szCs w:val="14"/>
          <w:lang w:val="es-ES_tradnl"/>
        </w:rPr>
        <w:t xml:space="preserve">” (Consejo de Estado. </w:t>
      </w:r>
      <w:r>
        <w:rPr>
          <w:rFonts w:ascii="Verdana" w:hAnsi="Verdana" w:cs="Arial"/>
          <w:color w:val="000000" w:themeColor="text1"/>
          <w:sz w:val="14"/>
          <w:szCs w:val="14"/>
          <w:lang w:val="es-ES_tradnl"/>
        </w:rPr>
        <w:t xml:space="preserve">Sala de lo Contencioso Administrativo. </w:t>
      </w:r>
      <w:r w:rsidRPr="005F15A9">
        <w:rPr>
          <w:rFonts w:ascii="Verdana" w:hAnsi="Verdana" w:cs="Arial"/>
          <w:color w:val="000000" w:themeColor="text1"/>
          <w:sz w:val="14"/>
          <w:szCs w:val="14"/>
          <w:lang w:val="es-ES_tradnl"/>
        </w:rPr>
        <w:t>Sección Tercera.</w:t>
      </w:r>
      <w:r>
        <w:rPr>
          <w:rFonts w:ascii="Verdana" w:hAnsi="Verdana" w:cs="Arial"/>
          <w:color w:val="000000" w:themeColor="text1"/>
          <w:sz w:val="14"/>
          <w:szCs w:val="14"/>
          <w:lang w:val="es-ES_tradnl"/>
        </w:rPr>
        <w:t xml:space="preserve"> Subsección C. </w:t>
      </w:r>
      <w:r w:rsidRPr="005F15A9">
        <w:rPr>
          <w:rFonts w:ascii="Verdana" w:hAnsi="Verdana" w:cs="Arial"/>
          <w:color w:val="000000" w:themeColor="text1"/>
          <w:sz w:val="14"/>
          <w:szCs w:val="14"/>
          <w:lang w:val="es-ES_tradnl"/>
        </w:rPr>
        <w:t>Sentencia de 1 de abril de 2016.</w:t>
      </w:r>
      <w:r>
        <w:rPr>
          <w:rFonts w:ascii="Verdana" w:hAnsi="Verdana" w:cs="Arial"/>
          <w:color w:val="000000" w:themeColor="text1"/>
          <w:sz w:val="14"/>
          <w:szCs w:val="14"/>
          <w:lang w:val="es-ES_tradnl"/>
        </w:rPr>
        <w:t xml:space="preserve"> Radicado: </w:t>
      </w:r>
      <w:r w:rsidRPr="0021078E">
        <w:rPr>
          <w:rFonts w:ascii="Verdana" w:hAnsi="Verdana" w:cs="Arial"/>
          <w:color w:val="000000" w:themeColor="text1"/>
          <w:sz w:val="14"/>
          <w:szCs w:val="14"/>
        </w:rPr>
        <w:t>25000-23-26-000-2007-00072-01</w:t>
      </w:r>
      <w:r>
        <w:rPr>
          <w:rFonts w:ascii="Verdana" w:hAnsi="Verdana" w:cs="Arial"/>
          <w:color w:val="000000" w:themeColor="text1"/>
          <w:sz w:val="14"/>
          <w:szCs w:val="14"/>
        </w:rPr>
        <w:t xml:space="preserve"> (</w:t>
      </w:r>
      <w:r w:rsidRPr="005F15A9">
        <w:rPr>
          <w:rFonts w:ascii="Verdana" w:hAnsi="Verdana" w:cs="Arial"/>
          <w:color w:val="000000" w:themeColor="text1"/>
          <w:sz w:val="14"/>
          <w:szCs w:val="14"/>
          <w:lang w:val="es-ES_tradnl"/>
        </w:rPr>
        <w:t>47145</w:t>
      </w:r>
      <w:r>
        <w:rPr>
          <w:rFonts w:ascii="Verdana" w:hAnsi="Verdana" w:cs="Arial"/>
          <w:color w:val="000000" w:themeColor="text1"/>
          <w:sz w:val="14"/>
          <w:szCs w:val="14"/>
          <w:lang w:val="es-ES_tradnl"/>
        </w:rPr>
        <w:t>)</w:t>
      </w:r>
      <w:r w:rsidRPr="005F15A9">
        <w:rPr>
          <w:rFonts w:ascii="Verdana" w:hAnsi="Verdana" w:cs="Arial"/>
          <w:color w:val="000000" w:themeColor="text1"/>
          <w:sz w:val="14"/>
          <w:szCs w:val="14"/>
          <w:lang w:val="es-ES_tradnl"/>
        </w:rPr>
        <w:t xml:space="preserve"> C.P. Jaime Orlando Santofimio Gamboa).</w:t>
      </w:r>
    </w:p>
  </w:footnote>
  <w:footnote w:id="4">
    <w:p w14:paraId="7C656F28" w14:textId="77777777" w:rsidR="00AF1ABD" w:rsidRPr="005F15A9" w:rsidRDefault="00AF1ABD" w:rsidP="00AF1ABD">
      <w:pPr>
        <w:pStyle w:val="Textonotapie"/>
        <w:ind w:firstLine="709"/>
        <w:jc w:val="both"/>
        <w:rPr>
          <w:rFonts w:ascii="Verdana" w:eastAsia="Calibri" w:hAnsi="Verdana" w:cs="Arial"/>
          <w:sz w:val="14"/>
          <w:szCs w:val="14"/>
          <w:lang w:val="es-CO"/>
        </w:rPr>
      </w:pPr>
      <w:r w:rsidRPr="005F15A9">
        <w:rPr>
          <w:rStyle w:val="Refdenotaalpie"/>
          <w:rFonts w:ascii="Verdana" w:hAnsi="Verdana" w:cs="Arial"/>
          <w:sz w:val="14"/>
          <w:szCs w:val="14"/>
        </w:rPr>
        <w:footnoteRef/>
      </w:r>
      <w:r w:rsidRPr="005F15A9">
        <w:rPr>
          <w:rFonts w:ascii="Verdana" w:hAnsi="Verdana" w:cs="Arial"/>
          <w:sz w:val="14"/>
          <w:szCs w:val="14"/>
        </w:rPr>
        <w:t xml:space="preserve"> </w:t>
      </w:r>
      <w:r w:rsidRPr="005F15A9">
        <w:rPr>
          <w:rFonts w:ascii="Verdana" w:hAnsi="Verdana" w:cs="Arial"/>
          <w:color w:val="000000" w:themeColor="text1"/>
          <w:sz w:val="14"/>
          <w:szCs w:val="14"/>
          <w:lang w:val="es-ES_tradnl"/>
        </w:rPr>
        <w:t xml:space="preserve">Consejo de Estado. </w:t>
      </w:r>
      <w:r>
        <w:rPr>
          <w:rFonts w:ascii="Verdana" w:hAnsi="Verdana" w:cs="Arial"/>
          <w:color w:val="000000" w:themeColor="text1"/>
          <w:sz w:val="14"/>
          <w:szCs w:val="14"/>
          <w:lang w:val="es-ES_tradnl"/>
        </w:rPr>
        <w:t xml:space="preserve">Sala de lo Contencioso Administrativo. </w:t>
      </w:r>
      <w:r w:rsidRPr="005F15A9">
        <w:rPr>
          <w:rFonts w:ascii="Verdana" w:hAnsi="Verdana" w:cs="Arial"/>
          <w:color w:val="000000" w:themeColor="text1"/>
          <w:sz w:val="14"/>
          <w:szCs w:val="14"/>
          <w:lang w:val="es-ES_tradnl"/>
        </w:rPr>
        <w:t>Sección Tercera</w:t>
      </w:r>
      <w:r w:rsidRPr="005F15A9">
        <w:rPr>
          <w:rFonts w:ascii="Verdana" w:hAnsi="Verdana" w:cs="Arial"/>
          <w:sz w:val="14"/>
          <w:szCs w:val="14"/>
        </w:rPr>
        <w:t xml:space="preserve">. </w:t>
      </w:r>
      <w:r>
        <w:rPr>
          <w:rFonts w:ascii="Verdana" w:hAnsi="Verdana" w:cs="Arial"/>
          <w:sz w:val="14"/>
          <w:szCs w:val="14"/>
        </w:rPr>
        <w:t xml:space="preserve">Subsección B. </w:t>
      </w:r>
      <w:r w:rsidRPr="005F15A9">
        <w:rPr>
          <w:rFonts w:ascii="Verdana" w:hAnsi="Verdana" w:cs="Arial"/>
          <w:sz w:val="14"/>
          <w:szCs w:val="14"/>
        </w:rPr>
        <w:t>Sentencia de 28 de mayo de 2012</w:t>
      </w:r>
      <w:r>
        <w:rPr>
          <w:rFonts w:ascii="Verdana" w:hAnsi="Verdana" w:cs="Arial"/>
          <w:sz w:val="14"/>
          <w:szCs w:val="14"/>
        </w:rPr>
        <w:t xml:space="preserve">. Radicado: </w:t>
      </w:r>
      <w:r w:rsidRPr="0021078E">
        <w:rPr>
          <w:rFonts w:ascii="Verdana" w:hAnsi="Verdana" w:cs="Arial"/>
          <w:sz w:val="14"/>
          <w:szCs w:val="14"/>
          <w:lang w:val="es-CO"/>
        </w:rPr>
        <w:t>08001-23-31-000-1996-01886-01</w:t>
      </w:r>
      <w:r>
        <w:rPr>
          <w:rFonts w:ascii="Verdana" w:hAnsi="Verdana" w:cs="Arial"/>
          <w:sz w:val="14"/>
          <w:szCs w:val="14"/>
          <w:lang w:val="es-CO"/>
        </w:rPr>
        <w:t xml:space="preserve"> (</w:t>
      </w:r>
      <w:r w:rsidRPr="005F15A9">
        <w:rPr>
          <w:rFonts w:ascii="Verdana" w:hAnsi="Verdana" w:cs="Arial"/>
          <w:sz w:val="14"/>
          <w:szCs w:val="14"/>
        </w:rPr>
        <w:t>22089</w:t>
      </w:r>
      <w:r>
        <w:rPr>
          <w:rFonts w:ascii="Verdana" w:hAnsi="Verdana" w:cs="Arial"/>
          <w:sz w:val="14"/>
          <w:szCs w:val="14"/>
        </w:rPr>
        <w:t>)</w:t>
      </w:r>
      <w:r w:rsidRPr="005F15A9">
        <w:rPr>
          <w:rFonts w:ascii="Verdana" w:hAnsi="Verdana" w:cs="Arial"/>
          <w:sz w:val="14"/>
          <w:szCs w:val="14"/>
        </w:rPr>
        <w:t xml:space="preserve">. C.P. Ruth Stella Correa Palacio. </w:t>
      </w:r>
      <w:r w:rsidRPr="005F15A9">
        <w:rPr>
          <w:rFonts w:ascii="Verdana" w:hAnsi="Verdana" w:cs="Arial"/>
          <w:color w:val="000000" w:themeColor="text1"/>
          <w:sz w:val="14"/>
          <w:szCs w:val="14"/>
          <w:lang w:val="es-ES_tradnl"/>
        </w:rPr>
        <w:t>“</w:t>
      </w:r>
      <w:r w:rsidRPr="005F15A9">
        <w:rPr>
          <w:rFonts w:ascii="Verdana" w:hAnsi="Verdana" w:cs="Arial"/>
          <w:sz w:val="14"/>
          <w:szCs w:val="14"/>
        </w:rPr>
        <w:t>[L]os comités o cuerpos técnicos a quienes se encarga la evaluación de las propuestas para la adjudicación de la licitación pública, a pesar de ser “de una importancia excepcional...no es obligatorio para el funcionario u organismo que adjudica, a menos que el ordenamiento así lo imponga”. En igual sentido indicó que “los cuerpos asesores deben ser oídos, pero sus puntos de vista son simplemente ilustrativos”, ya que la elección de la oferta más ventajosa debe ser efectuada por el órgano competente</w:t>
      </w:r>
      <w:r w:rsidRPr="005F15A9">
        <w:rPr>
          <w:rFonts w:ascii="Verdana" w:hAnsi="Verdana" w:cs="Arial"/>
          <w:color w:val="000000" w:themeColor="text1"/>
          <w:sz w:val="14"/>
          <w:szCs w:val="14"/>
          <w:lang w:val="es-ES_tradnl"/>
        </w:rPr>
        <w:t>”</w:t>
      </w:r>
      <w:r w:rsidRPr="005F15A9">
        <w:rPr>
          <w:rFonts w:ascii="Verdana" w:hAnsi="Verdana" w:cs="Arial"/>
          <w:sz w:val="14"/>
          <w:szCs w:val="14"/>
        </w:rPr>
        <w:t xml:space="preserve">. Consejo de Estado. </w:t>
      </w:r>
      <w:r>
        <w:rPr>
          <w:rFonts w:ascii="Verdana" w:hAnsi="Verdana" w:cs="Arial"/>
          <w:sz w:val="14"/>
          <w:szCs w:val="14"/>
        </w:rPr>
        <w:t xml:space="preserve">Sala de lo Contencioso Administrativo. </w:t>
      </w:r>
      <w:r w:rsidRPr="005F15A9">
        <w:rPr>
          <w:rFonts w:ascii="Verdana" w:hAnsi="Verdana" w:cs="Arial"/>
          <w:sz w:val="14"/>
          <w:szCs w:val="14"/>
        </w:rPr>
        <w:t>Sección Tercera.</w:t>
      </w:r>
      <w:r>
        <w:rPr>
          <w:rFonts w:ascii="Verdana" w:hAnsi="Verdana" w:cs="Arial"/>
          <w:sz w:val="14"/>
          <w:szCs w:val="14"/>
        </w:rPr>
        <w:t xml:space="preserve"> Subsección B. </w:t>
      </w:r>
      <w:r w:rsidRPr="005F15A9">
        <w:rPr>
          <w:rFonts w:ascii="Verdana" w:hAnsi="Verdana" w:cs="Arial"/>
          <w:sz w:val="14"/>
          <w:szCs w:val="14"/>
        </w:rPr>
        <w:t>Sentencia de 29 de julio de 2013</w:t>
      </w:r>
      <w:r>
        <w:rPr>
          <w:rFonts w:ascii="Verdana" w:hAnsi="Verdana" w:cs="Arial"/>
          <w:sz w:val="14"/>
          <w:szCs w:val="14"/>
        </w:rPr>
        <w:t xml:space="preserve">. Radicado: </w:t>
      </w:r>
      <w:r w:rsidRPr="0021078E">
        <w:rPr>
          <w:rFonts w:ascii="Verdana" w:hAnsi="Verdana" w:cs="Arial"/>
          <w:sz w:val="14"/>
          <w:szCs w:val="14"/>
        </w:rPr>
        <w:t>20001-23-31-000-2000-01023-01</w:t>
      </w:r>
      <w:r>
        <w:rPr>
          <w:rFonts w:ascii="Verdana" w:hAnsi="Verdana" w:cs="Arial"/>
          <w:sz w:val="14"/>
          <w:szCs w:val="14"/>
        </w:rPr>
        <w:t xml:space="preserve"> </w:t>
      </w:r>
      <w:r w:rsidRPr="0021078E">
        <w:rPr>
          <w:rFonts w:ascii="Verdana" w:hAnsi="Verdana" w:cs="Arial"/>
          <w:sz w:val="14"/>
          <w:szCs w:val="14"/>
        </w:rPr>
        <w:t>(24311)</w:t>
      </w:r>
      <w:r w:rsidRPr="005F15A9">
        <w:rPr>
          <w:rFonts w:ascii="Verdana" w:hAnsi="Verdana" w:cs="Arial"/>
          <w:sz w:val="14"/>
          <w:szCs w:val="14"/>
        </w:rPr>
        <w:t>. C.P. Ramiro De Jesús Pazos.</w:t>
      </w:r>
    </w:p>
  </w:footnote>
  <w:footnote w:id="5">
    <w:p w14:paraId="5A663DA7" w14:textId="77777777" w:rsidR="00AF1ABD" w:rsidRPr="0021078E" w:rsidRDefault="00AF1ABD" w:rsidP="00AF1ABD">
      <w:pPr>
        <w:pStyle w:val="Textonotapie"/>
        <w:ind w:firstLine="709"/>
        <w:jc w:val="both"/>
        <w:rPr>
          <w:rFonts w:ascii="Verdana" w:hAnsi="Verdana"/>
          <w:sz w:val="14"/>
          <w:szCs w:val="14"/>
          <w:lang w:val="es-CO"/>
        </w:rPr>
      </w:pPr>
      <w:r w:rsidRPr="0021078E">
        <w:rPr>
          <w:rStyle w:val="Refdenotaalpie"/>
          <w:rFonts w:ascii="Verdana" w:hAnsi="Verdana"/>
          <w:sz w:val="14"/>
          <w:szCs w:val="14"/>
        </w:rPr>
        <w:footnoteRef/>
      </w:r>
      <w:r w:rsidRPr="0021078E">
        <w:rPr>
          <w:rFonts w:ascii="Verdana" w:hAnsi="Verdana"/>
          <w:sz w:val="14"/>
          <w:szCs w:val="14"/>
        </w:rPr>
        <w:t xml:space="preserve"> </w:t>
      </w:r>
      <w:r w:rsidRPr="0021078E">
        <w:rPr>
          <w:rFonts w:ascii="Verdana" w:hAnsi="Verdana"/>
          <w:sz w:val="14"/>
          <w:szCs w:val="14"/>
          <w:lang w:val="es-CO"/>
        </w:rPr>
        <w:t> “El carácter asesor del comité no lo exime de la responsabilidad del ejercicio de la labor encomendada”.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098"/>
    <w:rsid w:val="000A683E"/>
    <w:rsid w:val="000B19B9"/>
    <w:rsid w:val="000D0334"/>
    <w:rsid w:val="000F6486"/>
    <w:rsid w:val="00125105"/>
    <w:rsid w:val="00127233"/>
    <w:rsid w:val="001511A0"/>
    <w:rsid w:val="0016551F"/>
    <w:rsid w:val="001E4177"/>
    <w:rsid w:val="001F7DC6"/>
    <w:rsid w:val="002421BB"/>
    <w:rsid w:val="0025796E"/>
    <w:rsid w:val="002707A2"/>
    <w:rsid w:val="002951A0"/>
    <w:rsid w:val="002962BC"/>
    <w:rsid w:val="002A093D"/>
    <w:rsid w:val="002A0DD0"/>
    <w:rsid w:val="002A49AC"/>
    <w:rsid w:val="002A64FD"/>
    <w:rsid w:val="002C7A84"/>
    <w:rsid w:val="002E4FD9"/>
    <w:rsid w:val="002F545B"/>
    <w:rsid w:val="00322A85"/>
    <w:rsid w:val="00324168"/>
    <w:rsid w:val="003448F4"/>
    <w:rsid w:val="00374F5E"/>
    <w:rsid w:val="00377E3E"/>
    <w:rsid w:val="003A779E"/>
    <w:rsid w:val="003D0F4D"/>
    <w:rsid w:val="003D5B0D"/>
    <w:rsid w:val="003E0499"/>
    <w:rsid w:val="003F1D53"/>
    <w:rsid w:val="003F3941"/>
    <w:rsid w:val="00406575"/>
    <w:rsid w:val="00414C74"/>
    <w:rsid w:val="0042722E"/>
    <w:rsid w:val="0044528D"/>
    <w:rsid w:val="00472CD1"/>
    <w:rsid w:val="00482530"/>
    <w:rsid w:val="004A1847"/>
    <w:rsid w:val="004A305D"/>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A6A7F"/>
    <w:rsid w:val="007B268C"/>
    <w:rsid w:val="007B7171"/>
    <w:rsid w:val="007C0C0F"/>
    <w:rsid w:val="007C3DC2"/>
    <w:rsid w:val="007D249E"/>
    <w:rsid w:val="007E5497"/>
    <w:rsid w:val="00806F5F"/>
    <w:rsid w:val="00820278"/>
    <w:rsid w:val="008373ED"/>
    <w:rsid w:val="00867F95"/>
    <w:rsid w:val="008843B6"/>
    <w:rsid w:val="00891928"/>
    <w:rsid w:val="008A446D"/>
    <w:rsid w:val="008D180B"/>
    <w:rsid w:val="008F0EA7"/>
    <w:rsid w:val="00923EEF"/>
    <w:rsid w:val="009419F9"/>
    <w:rsid w:val="0095685E"/>
    <w:rsid w:val="00961B09"/>
    <w:rsid w:val="00965334"/>
    <w:rsid w:val="0097093E"/>
    <w:rsid w:val="00986AC5"/>
    <w:rsid w:val="00996E29"/>
    <w:rsid w:val="00997EC7"/>
    <w:rsid w:val="009A0DFA"/>
    <w:rsid w:val="009B2D26"/>
    <w:rsid w:val="009C71FA"/>
    <w:rsid w:val="009C72E7"/>
    <w:rsid w:val="009D3058"/>
    <w:rsid w:val="009D4AF6"/>
    <w:rsid w:val="009F3A13"/>
    <w:rsid w:val="00A122D3"/>
    <w:rsid w:val="00A17F13"/>
    <w:rsid w:val="00A20739"/>
    <w:rsid w:val="00A33C78"/>
    <w:rsid w:val="00AB0ADB"/>
    <w:rsid w:val="00AB6BD5"/>
    <w:rsid w:val="00AF1ABD"/>
    <w:rsid w:val="00AF50DE"/>
    <w:rsid w:val="00B01B1A"/>
    <w:rsid w:val="00B66319"/>
    <w:rsid w:val="00B72CD3"/>
    <w:rsid w:val="00B72FFF"/>
    <w:rsid w:val="00BC3D36"/>
    <w:rsid w:val="00BD7F72"/>
    <w:rsid w:val="00BE7AC3"/>
    <w:rsid w:val="00C04FB3"/>
    <w:rsid w:val="00C330EB"/>
    <w:rsid w:val="00C41061"/>
    <w:rsid w:val="00C7358F"/>
    <w:rsid w:val="00C754BE"/>
    <w:rsid w:val="00C76B1C"/>
    <w:rsid w:val="00CA7AF2"/>
    <w:rsid w:val="00CB6357"/>
    <w:rsid w:val="00CC1B26"/>
    <w:rsid w:val="00D423A2"/>
    <w:rsid w:val="00D520D8"/>
    <w:rsid w:val="00D63AC2"/>
    <w:rsid w:val="00D7383B"/>
    <w:rsid w:val="00DA231B"/>
    <w:rsid w:val="00DC39FC"/>
    <w:rsid w:val="00DE2818"/>
    <w:rsid w:val="00DF5254"/>
    <w:rsid w:val="00E05A70"/>
    <w:rsid w:val="00E16408"/>
    <w:rsid w:val="00E20894"/>
    <w:rsid w:val="00E245AB"/>
    <w:rsid w:val="00E2764C"/>
    <w:rsid w:val="00E27F2E"/>
    <w:rsid w:val="00E40400"/>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435C54B5"/>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F1AB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F1ABD"/>
    <w:rPr>
      <w:rFonts w:ascii="Geomanist Light" w:hAnsi="Geomanist Light"/>
      <w:lang w:val="es-ES"/>
    </w:rPr>
  </w:style>
  <w:style w:type="character" w:customStyle="1" w:styleId="NormalWebCar">
    <w:name w:val="Normal (Web) Car"/>
    <w:link w:val="NormalWeb"/>
    <w:uiPriority w:val="99"/>
    <w:locked/>
    <w:rsid w:val="00AF1AB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sultor_innovadata@outlook.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2904488-30B5-42C5-8A5B-D43A91844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3943</Words>
  <Characters>21687</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2025-08-28T13:30:00Z</dcterms:created>
  <dcterms:modified xsi:type="dcterms:W3CDTF">2025-08-29T17:28:00Z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