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CADF1" w14:textId="77777777" w:rsidR="003705A8" w:rsidRPr="00BB3BE4" w:rsidRDefault="003705A8" w:rsidP="003705A8">
      <w:pPr>
        <w:tabs>
          <w:tab w:val="left" w:pos="709"/>
        </w:tabs>
        <w:spacing w:after="0" w:line="240" w:lineRule="auto"/>
        <w:jc w:val="both"/>
        <w:rPr>
          <w:rFonts w:ascii="Verdana" w:eastAsia="Calibri" w:hAnsi="Verdana" w:cs="Arial"/>
          <w:bCs/>
          <w:sz w:val="20"/>
          <w:szCs w:val="20"/>
          <w:lang w:val="es-ES_tradnl" w:eastAsia="es-ES_tradnl"/>
        </w:rPr>
      </w:pPr>
    </w:p>
    <w:p w14:paraId="1B99C83A" w14:textId="77777777" w:rsidR="003705A8" w:rsidRPr="00BB3BE4" w:rsidRDefault="003705A8" w:rsidP="003705A8">
      <w:pPr>
        <w:tabs>
          <w:tab w:val="left" w:pos="709"/>
        </w:tabs>
        <w:spacing w:after="0" w:line="240" w:lineRule="auto"/>
        <w:jc w:val="both"/>
        <w:rPr>
          <w:rFonts w:ascii="Verdana" w:eastAsia="Calibri" w:hAnsi="Verdana" w:cs="Arial"/>
          <w:b/>
          <w:lang w:val="es-ES_tradnl" w:eastAsia="es-ES_tradnl"/>
        </w:rPr>
      </w:pPr>
      <w:r>
        <w:rPr>
          <w:rFonts w:ascii="Verdana" w:eastAsia="Calibri" w:hAnsi="Verdana" w:cs="Arial"/>
          <w:b/>
          <w:lang w:val="es-ES_tradnl" w:eastAsia="es-ES_tradnl"/>
        </w:rPr>
        <w:t>DECRETO 1600 DE 2024</w:t>
      </w:r>
      <w:r w:rsidRPr="007E24E6">
        <w:rPr>
          <w:rFonts w:ascii="Verdana" w:eastAsia="Calibri" w:hAnsi="Verdana" w:cs="Arial"/>
          <w:b/>
          <w:lang w:val="es-ES_tradnl" w:eastAsia="es-ES_tradnl"/>
        </w:rPr>
        <w:t xml:space="preserve"> – </w:t>
      </w:r>
      <w:r>
        <w:rPr>
          <w:rFonts w:ascii="Verdana" w:eastAsia="Calibri" w:hAnsi="Verdana" w:cs="Arial"/>
          <w:b/>
          <w:lang w:val="es-ES_tradnl" w:eastAsia="es-ES_tradnl"/>
        </w:rPr>
        <w:t>Situaciones de control</w:t>
      </w:r>
      <w:r w:rsidRPr="007E24E6">
        <w:rPr>
          <w:rFonts w:ascii="Verdana" w:eastAsia="Calibri" w:hAnsi="Verdana" w:cs="Arial"/>
          <w:b/>
          <w:lang w:val="es-ES_tradnl" w:eastAsia="es-ES_tradnl"/>
        </w:rPr>
        <w:t xml:space="preserve"> – </w:t>
      </w:r>
      <w:r>
        <w:rPr>
          <w:rFonts w:ascii="Verdana" w:eastAsia="Calibri" w:hAnsi="Verdana" w:cs="Arial"/>
          <w:b/>
          <w:lang w:val="es-ES_tradnl" w:eastAsia="es-ES_tradnl"/>
        </w:rPr>
        <w:t>Acreditación</w:t>
      </w:r>
    </w:p>
    <w:p w14:paraId="75A30C18" w14:textId="77777777" w:rsidR="003705A8" w:rsidRPr="00BB3BE4" w:rsidRDefault="003705A8" w:rsidP="003705A8">
      <w:pPr>
        <w:tabs>
          <w:tab w:val="left" w:pos="709"/>
        </w:tabs>
        <w:spacing w:after="0" w:line="240" w:lineRule="auto"/>
        <w:jc w:val="both"/>
        <w:rPr>
          <w:rFonts w:ascii="Verdana" w:eastAsia="Calibri" w:hAnsi="Verdana" w:cs="Arial"/>
          <w:bCs/>
          <w:sz w:val="20"/>
          <w:szCs w:val="20"/>
          <w:lang w:val="es-ES_tradnl" w:eastAsia="es-ES_tradnl"/>
        </w:rPr>
      </w:pPr>
    </w:p>
    <w:p w14:paraId="0B13E950" w14:textId="77777777" w:rsidR="003705A8" w:rsidRPr="007E24E6" w:rsidRDefault="003705A8" w:rsidP="003705A8">
      <w:pPr>
        <w:spacing w:after="0" w:line="240" w:lineRule="auto"/>
        <w:jc w:val="both"/>
        <w:rPr>
          <w:rFonts w:ascii="Verdana" w:hAnsi="Verdana" w:cs="Arial"/>
          <w:color w:val="000000" w:themeColor="text1"/>
          <w:sz w:val="20"/>
          <w:szCs w:val="20"/>
        </w:rPr>
      </w:pPr>
      <w:r w:rsidRPr="00C75A78">
        <w:rPr>
          <w:rFonts w:ascii="Verdana" w:hAnsi="Verdana" w:cs="Arial"/>
          <w:color w:val="000000" w:themeColor="text1"/>
          <w:sz w:val="20"/>
          <w:szCs w:val="20"/>
        </w:rPr>
        <w:t>El literal a) del artículo 2.1.4.3.2.1 del Decreto 1081 de 2015, adicionado por el artículo 1 del Decreto 1600 de 2024, dispone que los organismos, entidades y empresas del Estado del orden nacional y pertenecientes a la Rama Ejecutiva del Poder Público deben verificar la existencia de situaciones de control que, conforme artículos 260 y 261 del Código de Comercio, afecten tanto a las personas jurídicas oferentes como a los proponentes plurales.</w:t>
      </w:r>
      <w:r w:rsidRPr="007E24E6">
        <w:rPr>
          <w:rFonts w:ascii="Verdana" w:hAnsi="Verdana" w:cs="Arial"/>
          <w:color w:val="000000" w:themeColor="text1"/>
          <w:sz w:val="20"/>
          <w:szCs w:val="20"/>
        </w:rPr>
        <w:t xml:space="preserve"> </w:t>
      </w:r>
    </w:p>
    <w:p w14:paraId="15EA4774" w14:textId="77777777" w:rsidR="003705A8" w:rsidRPr="007E24E6" w:rsidRDefault="003705A8" w:rsidP="003705A8">
      <w:pPr>
        <w:spacing w:after="0" w:line="240" w:lineRule="auto"/>
        <w:jc w:val="both"/>
        <w:rPr>
          <w:rFonts w:ascii="Verdana" w:hAnsi="Verdana" w:cs="Arial"/>
          <w:color w:val="000000" w:themeColor="text1"/>
          <w:sz w:val="20"/>
          <w:szCs w:val="20"/>
        </w:rPr>
      </w:pPr>
    </w:p>
    <w:p w14:paraId="57C3F91E" w14:textId="77777777" w:rsidR="003705A8" w:rsidRPr="007E24E6" w:rsidRDefault="003705A8" w:rsidP="003705A8">
      <w:pPr>
        <w:spacing w:after="0" w:line="240" w:lineRule="auto"/>
        <w:jc w:val="both"/>
        <w:rPr>
          <w:rFonts w:ascii="Verdana" w:hAnsi="Verdana" w:cs="Arial"/>
          <w:color w:val="000000" w:themeColor="text1"/>
          <w:sz w:val="20"/>
          <w:szCs w:val="20"/>
        </w:rPr>
      </w:pPr>
      <w:r w:rsidRPr="00C75A78">
        <w:rPr>
          <w:rFonts w:ascii="Verdana" w:hAnsi="Verdana" w:cs="Arial"/>
          <w:color w:val="000000" w:themeColor="text1"/>
          <w:sz w:val="20"/>
          <w:szCs w:val="20"/>
        </w:rPr>
        <w:t>De acuerdo con la norma citada, “Las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Luego, la información sobre situaciones de control es un punto de referencia para verificar la capacidad jurídica en el proceso de contratación.</w:t>
      </w:r>
      <w:r w:rsidRPr="007E24E6">
        <w:rPr>
          <w:rFonts w:ascii="Verdana" w:hAnsi="Verdana" w:cs="Arial"/>
          <w:color w:val="000000" w:themeColor="text1"/>
          <w:sz w:val="20"/>
          <w:szCs w:val="20"/>
        </w:rPr>
        <w:t xml:space="preserve"> </w:t>
      </w:r>
      <w:r w:rsidRPr="00BB3BE4">
        <w:rPr>
          <w:rFonts w:ascii="Verdana" w:hAnsi="Verdana" w:cs="Arial"/>
          <w:color w:val="000000" w:themeColor="text1"/>
          <w:sz w:val="20"/>
          <w:szCs w:val="20"/>
        </w:rPr>
        <w:t xml:space="preserve">  </w:t>
      </w:r>
    </w:p>
    <w:p w14:paraId="1438D4C9" w14:textId="77777777" w:rsidR="003705A8" w:rsidRDefault="003705A8" w:rsidP="003705A8">
      <w:pPr>
        <w:tabs>
          <w:tab w:val="left" w:pos="709"/>
        </w:tabs>
        <w:spacing w:after="0" w:line="240" w:lineRule="auto"/>
        <w:jc w:val="both"/>
        <w:rPr>
          <w:rFonts w:ascii="Verdana" w:eastAsia="Calibri" w:hAnsi="Verdana" w:cs="Arial"/>
          <w:b/>
          <w:lang w:val="es-ES_tradnl" w:eastAsia="es-ES_tradnl"/>
        </w:rPr>
      </w:pPr>
    </w:p>
    <w:p w14:paraId="6347D12C" w14:textId="77777777" w:rsidR="003705A8" w:rsidRPr="00BB3BE4" w:rsidRDefault="003705A8" w:rsidP="003705A8">
      <w:pPr>
        <w:tabs>
          <w:tab w:val="left" w:pos="709"/>
        </w:tabs>
        <w:spacing w:after="0" w:line="240" w:lineRule="auto"/>
        <w:jc w:val="both"/>
        <w:rPr>
          <w:rFonts w:ascii="Verdana" w:eastAsia="Calibri" w:hAnsi="Verdana" w:cs="Arial"/>
          <w:b/>
          <w:lang w:val="es-ES_tradnl" w:eastAsia="es-ES_tradnl"/>
        </w:rPr>
      </w:pPr>
      <w:r w:rsidRPr="007E24E6">
        <w:rPr>
          <w:rFonts w:ascii="Verdana" w:eastAsia="Calibri" w:hAnsi="Verdana" w:cs="Arial"/>
          <w:b/>
          <w:lang w:val="es-ES_tradnl" w:eastAsia="es-ES_tradnl"/>
        </w:rPr>
        <w:t>REGISTRO ÚNICO DE PROPONENTES – Definición – Marco jurídico</w:t>
      </w:r>
    </w:p>
    <w:p w14:paraId="553080FD" w14:textId="77777777" w:rsidR="003705A8" w:rsidRPr="00BB3BE4" w:rsidRDefault="003705A8" w:rsidP="003705A8">
      <w:pPr>
        <w:tabs>
          <w:tab w:val="left" w:pos="709"/>
        </w:tabs>
        <w:spacing w:after="0" w:line="240" w:lineRule="auto"/>
        <w:jc w:val="both"/>
        <w:rPr>
          <w:rFonts w:ascii="Verdana" w:eastAsia="Calibri" w:hAnsi="Verdana" w:cs="Arial"/>
          <w:bCs/>
          <w:sz w:val="20"/>
          <w:szCs w:val="20"/>
          <w:lang w:val="es-ES_tradnl" w:eastAsia="es-ES_tradnl"/>
        </w:rPr>
      </w:pPr>
    </w:p>
    <w:p w14:paraId="40D15B5A" w14:textId="77777777" w:rsidR="003705A8" w:rsidRPr="007E24E6" w:rsidRDefault="003705A8" w:rsidP="003705A8">
      <w:pPr>
        <w:spacing w:after="0" w:line="240" w:lineRule="auto"/>
        <w:jc w:val="both"/>
        <w:rPr>
          <w:rFonts w:ascii="Verdana" w:hAnsi="Verdana" w:cs="Arial"/>
          <w:color w:val="000000" w:themeColor="text1"/>
          <w:sz w:val="20"/>
          <w:szCs w:val="20"/>
        </w:rPr>
      </w:pPr>
      <w:r w:rsidRPr="007E24E6">
        <w:rPr>
          <w:rFonts w:ascii="Verdana" w:hAnsi="Verdana" w:cs="Arial"/>
          <w:color w:val="000000" w:themeColor="text1"/>
          <w:sz w:val="20"/>
          <w:szCs w:val="20"/>
        </w:rPr>
        <w:t xml:space="preserve">El Registro Único de Proponentes es el documento donde consta la información relacionada con las personas naturales y jurídicas, que tiene por objeto consolidar los datos relacionados con la capacidad jurídica, técnica, financiera y organizacional de los posibles proponentes, con el fin que participen en los procedimientos de selección realizados por las entidades estatales, facilitando la revisión de los datos contenidos en el registro </w:t>
      </w:r>
    </w:p>
    <w:p w14:paraId="3AAA65AF" w14:textId="77777777" w:rsidR="003705A8" w:rsidRPr="007E24E6" w:rsidRDefault="003705A8" w:rsidP="003705A8">
      <w:pPr>
        <w:spacing w:after="0" w:line="240" w:lineRule="auto"/>
        <w:jc w:val="both"/>
        <w:rPr>
          <w:rFonts w:ascii="Verdana" w:hAnsi="Verdana" w:cs="Arial"/>
          <w:color w:val="000000" w:themeColor="text1"/>
          <w:sz w:val="20"/>
          <w:szCs w:val="20"/>
        </w:rPr>
      </w:pPr>
    </w:p>
    <w:p w14:paraId="360BCA2F" w14:textId="77777777" w:rsidR="003705A8" w:rsidRPr="00BB3BE4" w:rsidRDefault="003705A8" w:rsidP="003705A8">
      <w:pPr>
        <w:spacing w:after="0" w:line="240" w:lineRule="auto"/>
        <w:jc w:val="both"/>
        <w:rPr>
          <w:rFonts w:ascii="Verdana" w:hAnsi="Verdana" w:cs="Arial"/>
          <w:color w:val="000000" w:themeColor="text1"/>
          <w:sz w:val="20"/>
          <w:szCs w:val="20"/>
        </w:rPr>
      </w:pPr>
      <w:r w:rsidRPr="007E24E6">
        <w:rPr>
          <w:rFonts w:ascii="Verdana" w:hAnsi="Verdana" w:cs="Arial"/>
          <w:color w:val="000000" w:themeColor="text1"/>
          <w:sz w:val="20"/>
          <w:szCs w:val="20"/>
        </w:rPr>
        <w:t xml:space="preserve">El artículo 6.1 de la Ley 1150 de 2007, al determinar las características aplicables al RUP, cualifica la información plasmada en él, al establecer que constituye plena prueba de lo que contiene.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 </w:t>
      </w:r>
      <w:r w:rsidRPr="00BB3BE4">
        <w:rPr>
          <w:rFonts w:ascii="Verdana" w:hAnsi="Verdana" w:cs="Arial"/>
          <w:color w:val="000000" w:themeColor="text1"/>
          <w:sz w:val="20"/>
          <w:szCs w:val="20"/>
        </w:rPr>
        <w:t xml:space="preserve">  </w:t>
      </w:r>
    </w:p>
    <w:p w14:paraId="7D583E38" w14:textId="77777777" w:rsidR="003705A8" w:rsidRPr="00BB3BE4" w:rsidRDefault="003705A8" w:rsidP="003705A8">
      <w:pPr>
        <w:spacing w:after="0" w:line="240" w:lineRule="auto"/>
        <w:jc w:val="both"/>
        <w:rPr>
          <w:rFonts w:ascii="Verdana" w:hAnsi="Verdana" w:cs="Arial"/>
          <w:color w:val="000000" w:themeColor="text1"/>
          <w:sz w:val="20"/>
          <w:szCs w:val="20"/>
        </w:rPr>
      </w:pPr>
      <w:r w:rsidRPr="00BB3BE4">
        <w:rPr>
          <w:rFonts w:ascii="Verdana" w:hAnsi="Verdana" w:cs="Arial"/>
          <w:color w:val="000000" w:themeColor="text1"/>
          <w:sz w:val="20"/>
          <w:szCs w:val="20"/>
        </w:rPr>
        <w:t xml:space="preserve"> </w:t>
      </w:r>
    </w:p>
    <w:p w14:paraId="3D57DFAF" w14:textId="77777777" w:rsidR="003705A8" w:rsidRPr="00AF1555" w:rsidRDefault="003705A8" w:rsidP="003705A8">
      <w:pPr>
        <w:tabs>
          <w:tab w:val="left" w:pos="426"/>
        </w:tabs>
        <w:spacing w:after="0" w:line="240" w:lineRule="auto"/>
        <w:jc w:val="both"/>
        <w:rPr>
          <w:rFonts w:ascii="Verdana" w:hAnsi="Verdana" w:cs="Arial"/>
          <w:b/>
          <w:lang w:eastAsia="es-CO"/>
        </w:rPr>
      </w:pPr>
      <w:r w:rsidRPr="007E24E6">
        <w:rPr>
          <w:rFonts w:ascii="Verdana" w:hAnsi="Verdana" w:cs="Arial"/>
          <w:b/>
          <w:lang w:eastAsia="es-CO"/>
        </w:rPr>
        <w:t xml:space="preserve">REQUISITOS HABILITANTES – Registro Único de Proponentes – Plena prueba  </w:t>
      </w:r>
      <w:r>
        <w:rPr>
          <w:rFonts w:ascii="Verdana" w:hAnsi="Verdana" w:cs="Arial"/>
          <w:b/>
          <w:lang w:eastAsia="es-CO"/>
        </w:rPr>
        <w:t xml:space="preserve"> </w:t>
      </w:r>
      <w:r w:rsidRPr="00607390">
        <w:rPr>
          <w:rFonts w:ascii="Verdana" w:hAnsi="Verdana" w:cs="Arial"/>
          <w:b/>
          <w:lang w:eastAsia="es-CO"/>
        </w:rPr>
        <w:t xml:space="preserve"> </w:t>
      </w:r>
    </w:p>
    <w:p w14:paraId="6F2D0148" w14:textId="77777777" w:rsidR="003705A8" w:rsidRPr="00AF1555" w:rsidRDefault="003705A8" w:rsidP="003705A8">
      <w:pPr>
        <w:tabs>
          <w:tab w:val="left" w:pos="426"/>
        </w:tabs>
        <w:spacing w:after="0" w:line="240" w:lineRule="auto"/>
        <w:jc w:val="both"/>
        <w:rPr>
          <w:rFonts w:ascii="Verdana" w:hAnsi="Verdana" w:cs="Arial"/>
          <w:b/>
          <w:sz w:val="20"/>
          <w:szCs w:val="20"/>
          <w:lang w:eastAsia="es-CO"/>
        </w:rPr>
      </w:pPr>
    </w:p>
    <w:p w14:paraId="2C9716A7" w14:textId="77777777" w:rsidR="003705A8" w:rsidRPr="00863481" w:rsidRDefault="003705A8" w:rsidP="003705A8">
      <w:pPr>
        <w:spacing w:after="0" w:line="240" w:lineRule="auto"/>
        <w:jc w:val="both"/>
        <w:rPr>
          <w:rFonts w:ascii="Verdana" w:hAnsi="Verdana" w:cs="Arial"/>
          <w:bCs/>
          <w:sz w:val="20"/>
          <w:szCs w:val="20"/>
          <w:lang w:val="es-ES" w:eastAsia="es-CO"/>
        </w:rPr>
      </w:pPr>
      <w:r w:rsidRPr="007E24E6">
        <w:rPr>
          <w:rFonts w:ascii="Verdana" w:hAnsi="Verdana" w:cs="Arial"/>
          <w:bCs/>
          <w:sz w:val="20"/>
          <w:szCs w:val="20"/>
          <w:lang w:eastAsia="es-CO"/>
        </w:rPr>
        <w:t>[…] la capacidad jurídica, las condiciones de experiencia, la capacidad financiera y de organización de los proponentes deberán verificarse exclusivamente con el Registro Único de Proponentes, pues, de acuerdo con lo expuesto, este instrumento es plena prueba de la información contenida en él.</w:t>
      </w:r>
    </w:p>
    <w:p w14:paraId="3B4CC2EF" w14:textId="77777777" w:rsidR="003705A8" w:rsidRPr="00B53D4E" w:rsidRDefault="003705A8" w:rsidP="003705A8">
      <w:pPr>
        <w:spacing w:after="0" w:line="240" w:lineRule="auto"/>
        <w:jc w:val="both"/>
        <w:rPr>
          <w:rFonts w:ascii="Verdana" w:eastAsia="Calibri" w:hAnsi="Verdana" w:cs="Arial"/>
          <w:sz w:val="20"/>
          <w:szCs w:val="20"/>
        </w:rPr>
      </w:pPr>
    </w:p>
    <w:p w14:paraId="0ADF227E" w14:textId="77777777" w:rsidR="003705A8" w:rsidRPr="00B53D4E" w:rsidRDefault="003705A8" w:rsidP="003705A8">
      <w:pPr>
        <w:pStyle w:val="s16"/>
        <w:spacing w:before="0" w:beforeAutospacing="0" w:after="0" w:afterAutospacing="0"/>
        <w:jc w:val="both"/>
        <w:rPr>
          <w:rFonts w:ascii="Verdana" w:hAnsi="Verdana" w:cs="Arial"/>
          <w:b/>
          <w:bCs/>
          <w:color w:val="000000"/>
          <w:sz w:val="22"/>
          <w:szCs w:val="22"/>
        </w:rPr>
      </w:pPr>
      <w:r>
        <w:rPr>
          <w:rStyle w:val="s15"/>
          <w:rFonts w:ascii="Verdana" w:hAnsi="Verdana" w:cs="Arial"/>
          <w:b/>
          <w:bCs/>
          <w:color w:val="000000"/>
          <w:sz w:val="22"/>
          <w:szCs w:val="22"/>
        </w:rPr>
        <w:t>GRUPO EMPRESARIAL – Existencia</w:t>
      </w:r>
      <w:r w:rsidRPr="00B53D4E">
        <w:rPr>
          <w:rStyle w:val="s15"/>
          <w:rFonts w:ascii="Verdana" w:hAnsi="Verdana" w:cs="Arial"/>
          <w:b/>
          <w:bCs/>
          <w:color w:val="000000"/>
          <w:sz w:val="22"/>
          <w:szCs w:val="22"/>
        </w:rPr>
        <w:t xml:space="preserve"> – </w:t>
      </w:r>
      <w:r>
        <w:rPr>
          <w:rStyle w:val="s15"/>
          <w:rFonts w:ascii="Verdana" w:hAnsi="Verdana" w:cs="Arial"/>
          <w:b/>
          <w:bCs/>
          <w:color w:val="000000"/>
          <w:sz w:val="22"/>
          <w:szCs w:val="22"/>
        </w:rPr>
        <w:t xml:space="preserve">Acreditación – Plazo </w:t>
      </w:r>
    </w:p>
    <w:p w14:paraId="2D3B032E" w14:textId="77777777" w:rsidR="003705A8" w:rsidRPr="00B53D4E" w:rsidRDefault="003705A8" w:rsidP="003705A8">
      <w:pPr>
        <w:pStyle w:val="s17"/>
        <w:spacing w:before="0" w:beforeAutospacing="0" w:after="0" w:afterAutospacing="0"/>
        <w:jc w:val="both"/>
        <w:rPr>
          <w:rFonts w:ascii="Verdana" w:hAnsi="Verdana" w:cs="Arial"/>
          <w:color w:val="000000"/>
          <w:sz w:val="20"/>
          <w:szCs w:val="20"/>
        </w:rPr>
      </w:pPr>
      <w:r w:rsidRPr="00B53D4E">
        <w:rPr>
          <w:rFonts w:ascii="Verdana" w:hAnsi="Verdana" w:cs="Arial"/>
          <w:color w:val="000000"/>
          <w:sz w:val="20"/>
          <w:szCs w:val="20"/>
        </w:rPr>
        <w:t> </w:t>
      </w:r>
    </w:p>
    <w:p w14:paraId="4BF5D985" w14:textId="77777777" w:rsidR="003705A8" w:rsidRDefault="003705A8" w:rsidP="003705A8">
      <w:pPr>
        <w:pStyle w:val="s17"/>
        <w:spacing w:before="0" w:beforeAutospacing="0" w:after="0" w:afterAutospacing="0"/>
        <w:jc w:val="both"/>
        <w:rPr>
          <w:rStyle w:val="s18"/>
          <w:rFonts w:ascii="Verdana" w:hAnsi="Verdana" w:cs="Arial"/>
          <w:color w:val="000000"/>
          <w:sz w:val="20"/>
          <w:szCs w:val="20"/>
        </w:rPr>
      </w:pPr>
      <w:r w:rsidRPr="00C75A78">
        <w:rPr>
          <w:rFonts w:ascii="Verdana" w:hAnsi="Verdana" w:cs="Arial"/>
          <w:bCs/>
          <w:color w:val="000000"/>
          <w:sz w:val="20"/>
          <w:szCs w:val="20"/>
        </w:rPr>
        <w:lastRenderedPageBreak/>
        <w:t>Por regla general, además de lo manifestado por los interesados, las entidades podrán verificar situaciones de control a través del RUP. En caso de que el registro no sea obligatorio, el pliego de condiciones debe establecer el mecanismo de validación correspondiente. Lo usual es que todos los documentos de la oferta se entreguen antes de cierre del proceso. Sin embargo, el literal a) del artículo 2.1.4.3.2.1 del Decreto 1081 de 2015, adicionado por el artículo 1 del Decreto 1600 de 2024, dispone que “[…] en el término máximo de tres (3) días después del momento en que se cierre definitivamente la presentación de ofertas, deberán poner de presente la existencia o no de situaciones de control de las que participen […]”. Por tanto, si se entregó la información antes del cierre, la Agencia estima que no es necesario un nuevo requerimiento, pues con la entregada inicialmente la entidad puede verificar la existencia o no grupo empresarial en la que existan relaciones de subordinación conforme a los artículos 260 y 261 del Código de Comercio</w:t>
      </w:r>
      <w:r>
        <w:rPr>
          <w:rFonts w:ascii="Verdana" w:hAnsi="Verdana" w:cs="Arial"/>
          <w:color w:val="000000"/>
          <w:sz w:val="20"/>
          <w:szCs w:val="20"/>
        </w:rPr>
        <w:t>.</w:t>
      </w:r>
      <w:r w:rsidRPr="00977908">
        <w:rPr>
          <w:rStyle w:val="s18"/>
          <w:rFonts w:ascii="Verdana" w:hAnsi="Verdana" w:cs="Arial"/>
          <w:color w:val="000000"/>
          <w:sz w:val="20"/>
          <w:szCs w:val="20"/>
        </w:rPr>
        <w:t xml:space="preserve"> </w:t>
      </w:r>
    </w:p>
    <w:p w14:paraId="31A6AD0B" w14:textId="77777777" w:rsidR="003705A8" w:rsidRDefault="003705A8" w:rsidP="003705A8">
      <w:pPr>
        <w:spacing w:after="0" w:line="240" w:lineRule="auto"/>
        <w:jc w:val="both"/>
        <w:rPr>
          <w:rFonts w:ascii="Verdana" w:eastAsia="Times New Roman" w:hAnsi="Verdana" w:cs="Arial"/>
          <w:color w:val="000000"/>
          <w:sz w:val="20"/>
          <w:szCs w:val="20"/>
          <w:lang w:eastAsia="es-MX"/>
        </w:rPr>
      </w:pPr>
    </w:p>
    <w:p w14:paraId="62493DC9" w14:textId="77777777" w:rsidR="003705A8" w:rsidRPr="00705C5F" w:rsidRDefault="003705A8" w:rsidP="003705A8">
      <w:pPr>
        <w:spacing w:after="0" w:line="240" w:lineRule="auto"/>
        <w:jc w:val="both"/>
        <w:rPr>
          <w:rFonts w:ascii="Verdana" w:eastAsia="Times New Roman" w:hAnsi="Verdana" w:cs="Arial"/>
          <w:color w:val="000000"/>
          <w:sz w:val="20"/>
          <w:szCs w:val="20"/>
          <w:lang w:eastAsia="es-MX"/>
        </w:rPr>
      </w:pPr>
    </w:p>
    <w:p w14:paraId="2ED42A1A" w14:textId="77777777" w:rsidR="003705A8" w:rsidRPr="00DE2AC7" w:rsidRDefault="003705A8" w:rsidP="003705A8">
      <w:pPr>
        <w:spacing w:after="0" w:line="240" w:lineRule="auto"/>
        <w:jc w:val="both"/>
        <w:rPr>
          <w:rFonts w:ascii="Verdana" w:eastAsia="Geomanist Light" w:hAnsi="Verdana" w:cs="Arial"/>
          <w:color w:val="000000" w:themeColor="text1"/>
        </w:rPr>
      </w:pPr>
    </w:p>
    <w:p w14:paraId="1C5FF85F" w14:textId="77777777" w:rsidR="003705A8" w:rsidRDefault="003705A8" w:rsidP="003705A8">
      <w:pPr>
        <w:spacing w:after="0" w:line="240" w:lineRule="auto"/>
        <w:rPr>
          <w:rFonts w:ascii="Verdana" w:eastAsia="Geomanist Light" w:hAnsi="Verdana" w:cs="Arial"/>
          <w:color w:val="000000" w:themeColor="text1"/>
          <w:lang w:val="es-MX"/>
        </w:rPr>
      </w:pPr>
    </w:p>
    <w:p w14:paraId="28C80E95" w14:textId="77777777" w:rsidR="003705A8" w:rsidRDefault="003705A8" w:rsidP="003705A8">
      <w:pPr>
        <w:spacing w:after="0" w:line="240" w:lineRule="auto"/>
        <w:rPr>
          <w:rFonts w:ascii="Verdana" w:eastAsia="Geomanist Light" w:hAnsi="Verdana" w:cs="Arial"/>
          <w:color w:val="000000" w:themeColor="text1"/>
          <w:lang w:val="es-MX"/>
        </w:rPr>
      </w:pPr>
    </w:p>
    <w:p w14:paraId="1DE43B34" w14:textId="77777777" w:rsidR="003705A8" w:rsidRDefault="003705A8" w:rsidP="003705A8">
      <w:pPr>
        <w:spacing w:after="0" w:line="240" w:lineRule="auto"/>
        <w:rPr>
          <w:rFonts w:ascii="Verdana" w:eastAsia="Geomanist Light" w:hAnsi="Verdana" w:cs="Arial"/>
          <w:color w:val="000000" w:themeColor="text1"/>
          <w:lang w:val="es-MX"/>
        </w:rPr>
      </w:pPr>
    </w:p>
    <w:p w14:paraId="57C001E5" w14:textId="77777777" w:rsidR="003705A8" w:rsidRDefault="003705A8" w:rsidP="003705A8">
      <w:pPr>
        <w:spacing w:after="0" w:line="240" w:lineRule="auto"/>
        <w:rPr>
          <w:rFonts w:ascii="Verdana" w:eastAsia="Geomanist Light" w:hAnsi="Verdana" w:cs="Arial"/>
          <w:color w:val="000000" w:themeColor="text1"/>
          <w:lang w:val="es-MX"/>
        </w:rPr>
      </w:pPr>
    </w:p>
    <w:p w14:paraId="7C159D62" w14:textId="77777777" w:rsidR="003705A8" w:rsidRDefault="003705A8" w:rsidP="003705A8">
      <w:pPr>
        <w:spacing w:after="0" w:line="240" w:lineRule="auto"/>
        <w:rPr>
          <w:rFonts w:ascii="Verdana" w:eastAsia="Geomanist Light" w:hAnsi="Verdana" w:cs="Arial"/>
          <w:color w:val="000000" w:themeColor="text1"/>
          <w:lang w:val="es-MX"/>
        </w:rPr>
      </w:pPr>
    </w:p>
    <w:p w14:paraId="6443A7B8" w14:textId="77777777" w:rsidR="003705A8" w:rsidRDefault="003705A8" w:rsidP="003705A8">
      <w:pPr>
        <w:spacing w:after="0" w:line="240" w:lineRule="auto"/>
        <w:rPr>
          <w:rFonts w:ascii="Verdana" w:eastAsia="Geomanist Light" w:hAnsi="Verdana" w:cs="Arial"/>
          <w:color w:val="000000" w:themeColor="text1"/>
          <w:lang w:val="es-MX"/>
        </w:rPr>
      </w:pPr>
    </w:p>
    <w:p w14:paraId="12862612" w14:textId="77777777" w:rsidR="003705A8" w:rsidRDefault="003705A8" w:rsidP="003705A8">
      <w:pPr>
        <w:spacing w:after="0" w:line="240" w:lineRule="auto"/>
        <w:rPr>
          <w:rFonts w:ascii="Verdana" w:eastAsia="Geomanist Light" w:hAnsi="Verdana" w:cs="Arial"/>
          <w:color w:val="000000" w:themeColor="text1"/>
          <w:lang w:val="es-MX"/>
        </w:rPr>
      </w:pPr>
    </w:p>
    <w:p w14:paraId="3F6F4D6A" w14:textId="77777777" w:rsidR="003705A8" w:rsidRDefault="003705A8" w:rsidP="003705A8">
      <w:pPr>
        <w:spacing w:after="0" w:line="240" w:lineRule="auto"/>
        <w:rPr>
          <w:rFonts w:ascii="Verdana" w:eastAsia="Geomanist Light" w:hAnsi="Verdana" w:cs="Arial"/>
          <w:color w:val="000000" w:themeColor="text1"/>
          <w:lang w:val="es-MX"/>
        </w:rPr>
      </w:pPr>
    </w:p>
    <w:p w14:paraId="2BF9C349" w14:textId="77777777" w:rsidR="003705A8" w:rsidRDefault="003705A8" w:rsidP="003705A8">
      <w:pPr>
        <w:spacing w:after="0" w:line="240" w:lineRule="auto"/>
        <w:rPr>
          <w:rFonts w:ascii="Verdana" w:eastAsia="Geomanist Light" w:hAnsi="Verdana" w:cs="Arial"/>
          <w:color w:val="000000" w:themeColor="text1"/>
          <w:lang w:val="es-MX"/>
        </w:rPr>
      </w:pPr>
    </w:p>
    <w:p w14:paraId="27C590F3" w14:textId="77777777" w:rsidR="003705A8" w:rsidRDefault="003705A8" w:rsidP="003705A8">
      <w:pPr>
        <w:spacing w:after="0" w:line="240" w:lineRule="auto"/>
        <w:rPr>
          <w:rFonts w:ascii="Verdana" w:eastAsia="Geomanist Light" w:hAnsi="Verdana" w:cs="Arial"/>
          <w:color w:val="000000" w:themeColor="text1"/>
          <w:lang w:val="es-MX"/>
        </w:rPr>
      </w:pPr>
    </w:p>
    <w:p w14:paraId="6156946A" w14:textId="77777777" w:rsidR="003705A8" w:rsidRDefault="003705A8" w:rsidP="003705A8">
      <w:pPr>
        <w:spacing w:after="0" w:line="240" w:lineRule="auto"/>
        <w:rPr>
          <w:rFonts w:ascii="Verdana" w:eastAsia="Geomanist Light" w:hAnsi="Verdana" w:cs="Arial"/>
          <w:color w:val="000000" w:themeColor="text1"/>
          <w:lang w:val="es-MX"/>
        </w:rPr>
      </w:pPr>
    </w:p>
    <w:p w14:paraId="5188940D" w14:textId="77777777" w:rsidR="003705A8" w:rsidRDefault="003705A8" w:rsidP="003705A8">
      <w:pPr>
        <w:spacing w:after="0" w:line="240" w:lineRule="auto"/>
        <w:rPr>
          <w:rFonts w:ascii="Verdana" w:eastAsia="Geomanist Light" w:hAnsi="Verdana" w:cs="Arial"/>
          <w:color w:val="000000" w:themeColor="text1"/>
          <w:lang w:val="es-MX"/>
        </w:rPr>
      </w:pPr>
    </w:p>
    <w:p w14:paraId="7FA4A5FD" w14:textId="77777777" w:rsidR="003705A8" w:rsidRDefault="003705A8" w:rsidP="003705A8">
      <w:pPr>
        <w:spacing w:after="0" w:line="240" w:lineRule="auto"/>
        <w:rPr>
          <w:rFonts w:ascii="Verdana" w:eastAsia="Geomanist Light" w:hAnsi="Verdana" w:cs="Arial"/>
          <w:color w:val="000000" w:themeColor="text1"/>
          <w:lang w:val="es-MX"/>
        </w:rPr>
      </w:pPr>
    </w:p>
    <w:p w14:paraId="6A80D0FF" w14:textId="77777777" w:rsidR="003705A8" w:rsidRDefault="003705A8" w:rsidP="003705A8">
      <w:pPr>
        <w:spacing w:after="0" w:line="240" w:lineRule="auto"/>
        <w:rPr>
          <w:rFonts w:ascii="Verdana" w:eastAsia="Geomanist Light" w:hAnsi="Verdana" w:cs="Arial"/>
          <w:color w:val="000000" w:themeColor="text1"/>
          <w:lang w:val="es-MX"/>
        </w:rPr>
      </w:pPr>
    </w:p>
    <w:p w14:paraId="6ADEAAAA" w14:textId="77777777" w:rsidR="003705A8" w:rsidRDefault="003705A8" w:rsidP="003705A8">
      <w:pPr>
        <w:spacing w:after="0" w:line="240" w:lineRule="auto"/>
        <w:rPr>
          <w:rFonts w:ascii="Verdana" w:eastAsia="Geomanist Light" w:hAnsi="Verdana" w:cs="Arial"/>
          <w:color w:val="000000" w:themeColor="text1"/>
          <w:lang w:val="es-MX"/>
        </w:rPr>
      </w:pPr>
    </w:p>
    <w:p w14:paraId="7B462867" w14:textId="77777777" w:rsidR="003705A8" w:rsidRDefault="003705A8" w:rsidP="003705A8">
      <w:pPr>
        <w:spacing w:after="0" w:line="240" w:lineRule="auto"/>
        <w:rPr>
          <w:rFonts w:ascii="Verdana" w:eastAsia="Geomanist Light" w:hAnsi="Verdana" w:cs="Arial"/>
          <w:color w:val="000000" w:themeColor="text1"/>
          <w:lang w:val="es-MX"/>
        </w:rPr>
      </w:pPr>
    </w:p>
    <w:p w14:paraId="4D88DFCB" w14:textId="77777777" w:rsidR="003705A8" w:rsidRDefault="003705A8" w:rsidP="003705A8">
      <w:pPr>
        <w:spacing w:after="0" w:line="240" w:lineRule="auto"/>
        <w:rPr>
          <w:rFonts w:ascii="Verdana" w:eastAsia="Geomanist Light" w:hAnsi="Verdana" w:cs="Arial"/>
          <w:color w:val="000000" w:themeColor="text1"/>
          <w:lang w:val="es-MX"/>
        </w:rPr>
      </w:pPr>
    </w:p>
    <w:p w14:paraId="16FE49A3" w14:textId="77777777" w:rsidR="003705A8" w:rsidRDefault="003705A8" w:rsidP="003705A8">
      <w:pPr>
        <w:spacing w:after="0" w:line="240" w:lineRule="auto"/>
        <w:rPr>
          <w:rFonts w:ascii="Verdana" w:eastAsia="Geomanist Light" w:hAnsi="Verdana" w:cs="Arial"/>
          <w:color w:val="000000" w:themeColor="text1"/>
          <w:lang w:val="es-MX"/>
        </w:rPr>
      </w:pPr>
    </w:p>
    <w:p w14:paraId="345BB25B" w14:textId="77777777" w:rsidR="003705A8" w:rsidRDefault="003705A8" w:rsidP="003705A8">
      <w:pPr>
        <w:spacing w:after="0" w:line="240" w:lineRule="auto"/>
        <w:rPr>
          <w:rFonts w:ascii="Verdana" w:eastAsia="Geomanist Light" w:hAnsi="Verdana" w:cs="Arial"/>
          <w:color w:val="000000" w:themeColor="text1"/>
          <w:lang w:val="es-MX"/>
        </w:rPr>
      </w:pPr>
    </w:p>
    <w:p w14:paraId="3CD6131E" w14:textId="77777777" w:rsidR="003705A8" w:rsidRDefault="003705A8" w:rsidP="003705A8">
      <w:pPr>
        <w:spacing w:after="0" w:line="240" w:lineRule="auto"/>
        <w:rPr>
          <w:rFonts w:ascii="Verdana" w:eastAsia="Geomanist Light" w:hAnsi="Verdana" w:cs="Arial"/>
          <w:color w:val="000000" w:themeColor="text1"/>
          <w:lang w:val="es-MX"/>
        </w:rPr>
      </w:pPr>
    </w:p>
    <w:p w14:paraId="7BA8395E" w14:textId="77777777" w:rsidR="003705A8" w:rsidRDefault="003705A8" w:rsidP="003705A8">
      <w:pPr>
        <w:spacing w:after="0" w:line="240" w:lineRule="auto"/>
        <w:rPr>
          <w:rFonts w:ascii="Verdana" w:eastAsia="Geomanist Light" w:hAnsi="Verdana" w:cs="Arial"/>
          <w:color w:val="000000" w:themeColor="text1"/>
          <w:lang w:val="es-MX"/>
        </w:rPr>
      </w:pPr>
    </w:p>
    <w:p w14:paraId="7FADB252" w14:textId="77777777" w:rsidR="003705A8" w:rsidRDefault="003705A8" w:rsidP="003705A8">
      <w:pPr>
        <w:spacing w:after="0" w:line="240" w:lineRule="auto"/>
        <w:rPr>
          <w:rFonts w:ascii="Verdana" w:eastAsia="Geomanist Light" w:hAnsi="Verdana" w:cs="Arial"/>
          <w:color w:val="000000" w:themeColor="text1"/>
          <w:lang w:val="es-MX"/>
        </w:rPr>
      </w:pPr>
    </w:p>
    <w:p w14:paraId="459EF8A3" w14:textId="77777777" w:rsidR="003705A8" w:rsidRDefault="003705A8" w:rsidP="003705A8">
      <w:pPr>
        <w:spacing w:after="0" w:line="240" w:lineRule="auto"/>
        <w:rPr>
          <w:rFonts w:ascii="Verdana" w:eastAsia="Geomanist Light" w:hAnsi="Verdana" w:cs="Arial"/>
          <w:color w:val="000000" w:themeColor="text1"/>
          <w:lang w:val="es-MX"/>
        </w:rPr>
      </w:pPr>
    </w:p>
    <w:p w14:paraId="7EB56100" w14:textId="77777777" w:rsidR="003705A8" w:rsidRDefault="003705A8" w:rsidP="003705A8">
      <w:pPr>
        <w:spacing w:after="0" w:line="240" w:lineRule="auto"/>
        <w:rPr>
          <w:rFonts w:ascii="Verdana" w:eastAsia="Geomanist Light" w:hAnsi="Verdana" w:cs="Arial"/>
          <w:color w:val="000000" w:themeColor="text1"/>
          <w:lang w:val="es-MX"/>
        </w:rPr>
      </w:pPr>
    </w:p>
    <w:p w14:paraId="0F572A66" w14:textId="77777777" w:rsidR="003705A8" w:rsidRDefault="003705A8" w:rsidP="003705A8">
      <w:pPr>
        <w:spacing w:after="0" w:line="240" w:lineRule="auto"/>
        <w:rPr>
          <w:rFonts w:ascii="Verdana" w:eastAsia="Geomanist Light" w:hAnsi="Verdana" w:cs="Arial"/>
          <w:color w:val="000000" w:themeColor="text1"/>
          <w:lang w:val="es-MX"/>
        </w:rPr>
      </w:pPr>
    </w:p>
    <w:p w14:paraId="1E024607" w14:textId="77777777" w:rsidR="003705A8" w:rsidRDefault="003705A8" w:rsidP="003705A8">
      <w:pPr>
        <w:spacing w:after="0" w:line="240" w:lineRule="auto"/>
        <w:rPr>
          <w:rFonts w:ascii="Verdana" w:eastAsia="Geomanist Light" w:hAnsi="Verdana" w:cs="Arial"/>
          <w:color w:val="000000" w:themeColor="text1"/>
          <w:lang w:val="es-MX"/>
        </w:rPr>
      </w:pPr>
    </w:p>
    <w:p w14:paraId="58452C25" w14:textId="77777777" w:rsidR="003705A8" w:rsidRDefault="003705A8" w:rsidP="003705A8">
      <w:pPr>
        <w:spacing w:after="0" w:line="240" w:lineRule="auto"/>
        <w:rPr>
          <w:rFonts w:ascii="Verdana" w:eastAsia="Geomanist Light" w:hAnsi="Verdana" w:cs="Arial"/>
          <w:color w:val="000000" w:themeColor="text1"/>
          <w:lang w:val="es-MX"/>
        </w:rPr>
      </w:pPr>
    </w:p>
    <w:p w14:paraId="57D137D2" w14:textId="77777777" w:rsidR="003705A8" w:rsidRDefault="003705A8" w:rsidP="00FA0F7F">
      <w:pPr>
        <w:spacing w:after="0" w:line="240" w:lineRule="auto"/>
        <w:rPr>
          <w:rFonts w:ascii="Verdana" w:eastAsia="Geomanist Light" w:hAnsi="Verdana" w:cs="Arial"/>
          <w:color w:val="000000" w:themeColor="text1"/>
          <w:lang w:val="es-MX"/>
        </w:rPr>
      </w:pPr>
    </w:p>
    <w:p w14:paraId="563AE76B" w14:textId="2793452B" w:rsidR="00FA0F7F" w:rsidRPr="00593A5F" w:rsidRDefault="00FA0F7F" w:rsidP="00FA0F7F">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3414FE">
        <w:rPr>
          <w:rFonts w:ascii="Verdana" w:eastAsia="Geomanist Light" w:hAnsi="Verdana" w:cs="Arial"/>
          <w:color w:val="000000" w:themeColor="text1"/>
          <w:lang w:val="es-MX"/>
        </w:rPr>
        <w:t>30</w:t>
      </w:r>
      <w:r w:rsidR="00FF3D44" w:rsidRPr="00FF3D44">
        <w:rPr>
          <w:rFonts w:ascii="Verdana" w:eastAsia="Geomanist Light" w:hAnsi="Verdana" w:cs="Arial"/>
          <w:color w:val="000000" w:themeColor="text1"/>
          <w:lang w:val="es-MX"/>
        </w:rPr>
        <w:t xml:space="preserve"> de Julio de 2025</w:t>
      </w:r>
    </w:p>
    <w:p w14:paraId="2CCCDBF3" w14:textId="77777777" w:rsidR="00FA0F7F" w:rsidRDefault="00FA0F7F" w:rsidP="00FA0F7F">
      <w:pPr>
        <w:spacing w:after="0" w:line="240" w:lineRule="auto"/>
        <w:jc w:val="both"/>
        <w:rPr>
          <w:rFonts w:ascii="Verdana" w:eastAsia="Calibri" w:hAnsi="Verdana" w:cs="Arial"/>
          <w:color w:val="000000"/>
          <w:lang w:val="es-ES"/>
        </w:rPr>
      </w:pPr>
    </w:p>
    <w:p w14:paraId="39240B6D" w14:textId="5FB9E42E" w:rsidR="00D02CAB" w:rsidRDefault="00D02CAB" w:rsidP="00D02CAB">
      <w:pPr>
        <w:spacing w:after="0" w:line="240" w:lineRule="auto"/>
        <w:jc w:val="right"/>
        <w:rPr>
          <w:rFonts w:ascii="Verdana" w:eastAsia="Calibri" w:hAnsi="Verdana" w:cs="Arial"/>
          <w:color w:val="000000"/>
          <w:lang w:val="es-ES"/>
        </w:rPr>
      </w:pPr>
      <w:r w:rsidRPr="00D02CAB">
        <w:rPr>
          <w:rFonts w:ascii="Verdana" w:eastAsia="Calibri" w:hAnsi="Verdana" w:cs="Arial"/>
          <w:color w:val="000000"/>
          <w:lang w:val="es-ES"/>
        </w:rPr>
        <w:drawing>
          <wp:inline distT="0" distB="0" distL="0" distR="0" wp14:anchorId="7973A222" wp14:editId="641FE1FE">
            <wp:extent cx="2400300" cy="622300"/>
            <wp:effectExtent l="0" t="0" r="0" b="0"/>
            <wp:docPr id="5095369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536946" name=""/>
                    <pic:cNvPicPr/>
                  </pic:nvPicPr>
                  <pic:blipFill>
                    <a:blip r:embed="rId10"/>
                    <a:stretch>
                      <a:fillRect/>
                    </a:stretch>
                  </pic:blipFill>
                  <pic:spPr>
                    <a:xfrm>
                      <a:off x="0" y="0"/>
                      <a:ext cx="2400300" cy="622300"/>
                    </a:xfrm>
                    <a:prstGeom prst="rect">
                      <a:avLst/>
                    </a:prstGeom>
                  </pic:spPr>
                </pic:pic>
              </a:graphicData>
            </a:graphic>
          </wp:inline>
        </w:drawing>
      </w:r>
    </w:p>
    <w:p w14:paraId="4A1EB838" w14:textId="77777777" w:rsidR="00FA0F7F" w:rsidRPr="00593A5F" w:rsidRDefault="00FA0F7F" w:rsidP="00FA0F7F">
      <w:pPr>
        <w:spacing w:after="0" w:line="240" w:lineRule="auto"/>
        <w:jc w:val="both"/>
        <w:rPr>
          <w:rFonts w:ascii="Verdana" w:eastAsia="Calibri" w:hAnsi="Verdana" w:cs="Arial"/>
          <w:color w:val="000000"/>
          <w:lang w:val="es-ES"/>
        </w:rPr>
      </w:pPr>
    </w:p>
    <w:p w14:paraId="178E0600" w14:textId="77777777" w:rsidR="00FA0F7F" w:rsidRPr="00B96799" w:rsidRDefault="00FA0F7F" w:rsidP="00FA0F7F">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3E88F6AE" w14:textId="77777777" w:rsidR="00FA0F7F" w:rsidRPr="0085423D" w:rsidRDefault="00FA0F7F" w:rsidP="00FA0F7F">
      <w:pPr>
        <w:spacing w:after="0" w:line="240" w:lineRule="auto"/>
        <w:rPr>
          <w:rFonts w:ascii="Verdana" w:eastAsia="Calibri" w:hAnsi="Verdana" w:cs="Arial"/>
          <w:b/>
          <w:lang w:val="es-ES_tradnl" w:eastAsia="es-ES_tradnl"/>
        </w:rPr>
      </w:pPr>
      <w:bookmarkStart w:id="0" w:name="OLE_LINK1"/>
      <w:r w:rsidRPr="002A3B3C">
        <w:rPr>
          <w:rFonts w:ascii="Verdana" w:eastAsia="Calibri" w:hAnsi="Verdana" w:cs="Arial"/>
          <w:b/>
          <w:lang w:val="es-ES_tradnl" w:eastAsia="es-ES_tradnl"/>
        </w:rPr>
        <w:t>Silvia Juliana Saavedra Arguello</w:t>
      </w:r>
      <w:r w:rsidRPr="00A6315A">
        <w:rPr>
          <w:rFonts w:ascii="Verdana" w:eastAsia="Calibri" w:hAnsi="Verdana" w:cs="Arial"/>
          <w:b/>
          <w:lang w:val="es-ES_tradnl" w:eastAsia="es-ES_tradnl"/>
        </w:rPr>
        <w:t xml:space="preserve"> </w:t>
      </w:r>
      <w:r>
        <w:rPr>
          <w:rFonts w:ascii="Verdana" w:eastAsia="Calibri" w:hAnsi="Verdana" w:cs="Arial"/>
          <w:b/>
          <w:lang w:val="es-ES_tradnl" w:eastAsia="es-ES_tradnl"/>
        </w:rPr>
        <w:t xml:space="preserve"> </w:t>
      </w:r>
    </w:p>
    <w:bookmarkEnd w:id="0"/>
    <w:p w14:paraId="276C5265" w14:textId="77777777" w:rsidR="00FA0F7F" w:rsidRPr="00A6315A" w:rsidRDefault="00FA0F7F" w:rsidP="00FA0F7F">
      <w:pPr>
        <w:spacing w:after="0" w:line="240" w:lineRule="auto"/>
        <w:rPr>
          <w:rFonts w:ascii="Verdana" w:eastAsia="Calibri" w:hAnsi="Verdana" w:cs="Arial"/>
          <w:lang w:val="es-ES" w:eastAsia="es-ES"/>
        </w:rPr>
      </w:pPr>
      <w:r>
        <w:rPr>
          <w:rFonts w:ascii="Verdana" w:hAnsi="Verdana"/>
        </w:rPr>
        <w:fldChar w:fldCharType="begin"/>
      </w:r>
      <w:r>
        <w:rPr>
          <w:rFonts w:ascii="Verdana" w:hAnsi="Verdana"/>
        </w:rPr>
        <w:instrText>HYPERLINK "mailto:</w:instrText>
      </w:r>
      <w:r w:rsidRPr="002A3B3C">
        <w:rPr>
          <w:rFonts w:ascii="Verdana" w:hAnsi="Verdana"/>
        </w:rPr>
        <w:instrText>silvia.saavedra@ica.gov.co</w:instrText>
      </w:r>
      <w:r>
        <w:rPr>
          <w:rFonts w:ascii="Verdana" w:hAnsi="Verdana"/>
        </w:rPr>
        <w:instrText>"</w:instrText>
      </w:r>
      <w:r>
        <w:rPr>
          <w:rFonts w:ascii="Verdana" w:hAnsi="Verdana"/>
        </w:rPr>
      </w:r>
      <w:r>
        <w:rPr>
          <w:rFonts w:ascii="Verdana" w:hAnsi="Verdana"/>
        </w:rPr>
        <w:fldChar w:fldCharType="separate"/>
      </w:r>
      <w:r w:rsidRPr="0014572F">
        <w:rPr>
          <w:rStyle w:val="Hipervnculo"/>
          <w:rFonts w:ascii="Verdana" w:hAnsi="Verdana"/>
        </w:rPr>
        <w:t>silvia.saavedra@ica.gov.co</w:t>
      </w:r>
      <w:r>
        <w:rPr>
          <w:rFonts w:ascii="Verdana" w:hAnsi="Verdana"/>
        </w:rPr>
        <w:fldChar w:fldCharType="end"/>
      </w:r>
      <w:r>
        <w:rPr>
          <w:rFonts w:ascii="Verdana" w:hAnsi="Verdana"/>
        </w:rPr>
        <w:t xml:space="preserve">  </w:t>
      </w:r>
      <w:r w:rsidRPr="00A6315A">
        <w:rPr>
          <w:rFonts w:ascii="Verdana" w:hAnsi="Verdana"/>
        </w:rPr>
        <w:t xml:space="preserve">            </w:t>
      </w:r>
      <w:r w:rsidRPr="00A6315A">
        <w:rPr>
          <w:rFonts w:ascii="Verdana" w:eastAsia="Calibri" w:hAnsi="Verdana" w:cs="Arial"/>
          <w:lang w:val="es-ES" w:eastAsia="es-ES"/>
        </w:rPr>
        <w:t xml:space="preserve">    </w:t>
      </w:r>
    </w:p>
    <w:p w14:paraId="01A1B6BA" w14:textId="77777777" w:rsidR="00FA0F7F" w:rsidRDefault="00FA0F7F" w:rsidP="00FA0F7F">
      <w:pPr>
        <w:spacing w:after="0" w:line="240" w:lineRule="auto"/>
        <w:rPr>
          <w:rFonts w:ascii="Verdana" w:eastAsia="Calibri" w:hAnsi="Verdana" w:cs="Arial"/>
          <w:lang w:val="es-ES" w:eastAsia="es-ES"/>
        </w:rPr>
      </w:pPr>
      <w:r w:rsidRPr="001F5E1C">
        <w:rPr>
          <w:rFonts w:ascii="Verdana" w:eastAsia="Calibri" w:hAnsi="Verdana" w:cs="Arial"/>
          <w:lang w:val="es-ES" w:eastAsia="es-ES"/>
        </w:rPr>
        <w:t>Bogotá D.C.</w:t>
      </w:r>
      <w:r>
        <w:rPr>
          <w:rFonts w:ascii="Verdana" w:eastAsia="Calibri" w:hAnsi="Verdana" w:cs="Arial"/>
          <w:lang w:val="es-ES" w:eastAsia="es-ES"/>
        </w:rPr>
        <w:t xml:space="preserve"> </w:t>
      </w:r>
    </w:p>
    <w:p w14:paraId="33EB9C5E" w14:textId="77777777" w:rsidR="00FA0F7F" w:rsidRPr="00593A5F" w:rsidRDefault="00FA0F7F" w:rsidP="00FA0F7F">
      <w:pPr>
        <w:spacing w:after="0" w:line="240" w:lineRule="auto"/>
        <w:rPr>
          <w:rFonts w:ascii="Verdana" w:eastAsia="Calibri" w:hAnsi="Verdana" w:cs="Arial"/>
          <w:b/>
          <w:bCs/>
          <w:color w:val="000000"/>
          <w:lang w:val="es-ES_tradnl" w:eastAsia="es-ES_tradnl"/>
        </w:rPr>
      </w:pPr>
    </w:p>
    <w:p w14:paraId="70DA8EB9" w14:textId="77777777" w:rsidR="00FA0F7F" w:rsidRPr="00593A5F" w:rsidRDefault="00FA0F7F" w:rsidP="00FA0F7F">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A0F7F" w:rsidRPr="00593A5F" w14:paraId="194A89F0" w14:textId="77777777" w:rsidTr="00743658">
        <w:trPr>
          <w:trHeight w:val="884"/>
        </w:trPr>
        <w:tc>
          <w:tcPr>
            <w:tcW w:w="2689" w:type="dxa"/>
          </w:tcPr>
          <w:p w14:paraId="0BA24CFA" w14:textId="77777777" w:rsidR="00FA0F7F" w:rsidRPr="00C00976" w:rsidRDefault="00FA0F7F" w:rsidP="00743658">
            <w:pPr>
              <w:jc w:val="both"/>
              <w:rPr>
                <w:rFonts w:ascii="Verdana" w:eastAsia="Calibri" w:hAnsi="Verdana" w:cs="Arial"/>
                <w:b/>
                <w:bCs/>
                <w:color w:val="7030A0"/>
                <w:lang w:val="es-ES_tradnl" w:eastAsia="es-ES_tradnl"/>
              </w:rPr>
            </w:pPr>
          </w:p>
        </w:tc>
        <w:tc>
          <w:tcPr>
            <w:tcW w:w="6100" w:type="dxa"/>
          </w:tcPr>
          <w:p w14:paraId="6C6FD4FB" w14:textId="77777777" w:rsidR="00FA0F7F" w:rsidRPr="00C00976" w:rsidRDefault="00FA0F7F" w:rsidP="00743658">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1026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FA0F7F" w:rsidRPr="00593A5F" w14:paraId="58699306" w14:textId="77777777" w:rsidTr="00743658">
        <w:trPr>
          <w:trHeight w:val="884"/>
        </w:trPr>
        <w:tc>
          <w:tcPr>
            <w:tcW w:w="2689" w:type="dxa"/>
          </w:tcPr>
          <w:p w14:paraId="5B9A6D1D" w14:textId="77777777" w:rsidR="00FA0F7F" w:rsidRPr="00593A5F" w:rsidRDefault="00FA0F7F" w:rsidP="0074365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E58E2D4" w14:textId="77777777" w:rsidR="00FA0F7F" w:rsidRPr="00A11406" w:rsidRDefault="00FA0F7F" w:rsidP="00743658">
            <w:pPr>
              <w:spacing w:line="276" w:lineRule="auto"/>
              <w:jc w:val="both"/>
              <w:rPr>
                <w:rFonts w:ascii="Verdana" w:eastAsia="Calibri" w:hAnsi="Verdana" w:cs="Arial"/>
                <w:lang w:val="es-ES" w:eastAsia="es-ES"/>
              </w:rPr>
            </w:pPr>
            <w:r w:rsidRPr="00C75A78">
              <w:rPr>
                <w:rFonts w:ascii="Verdana" w:eastAsia="Calibri" w:hAnsi="Verdana" w:cs="Arial"/>
                <w:lang w:val="es-ES" w:eastAsia="es-ES"/>
              </w:rPr>
              <w:t>DECRETO 1600 DE 2024 – Situaciones de control – Acreditación</w:t>
            </w:r>
            <w:r>
              <w:rPr>
                <w:rFonts w:ascii="Verdana" w:eastAsia="Calibri" w:hAnsi="Verdana" w:cs="Arial"/>
                <w:lang w:val="es-ES" w:eastAsia="es-ES"/>
              </w:rPr>
              <w:t xml:space="preserve"> / </w:t>
            </w:r>
            <w:r w:rsidRPr="00C75A78">
              <w:rPr>
                <w:rFonts w:ascii="Verdana" w:eastAsia="Calibri" w:hAnsi="Verdana" w:cs="Arial"/>
                <w:lang w:val="es-ES" w:eastAsia="es-ES"/>
              </w:rPr>
              <w:t>REGISTRO ÚNICO DE PROPONENTES – Definición – Marco jurídico</w:t>
            </w:r>
            <w:r>
              <w:rPr>
                <w:rFonts w:ascii="Verdana" w:eastAsia="Calibri" w:hAnsi="Verdana" w:cs="Arial"/>
                <w:lang w:val="es-ES" w:eastAsia="es-ES"/>
              </w:rPr>
              <w:t xml:space="preserve"> / </w:t>
            </w:r>
            <w:r w:rsidRPr="00C75A78">
              <w:rPr>
                <w:rFonts w:ascii="Verdana" w:eastAsia="Calibri" w:hAnsi="Verdana" w:cs="Arial"/>
                <w:lang w:val="es-ES" w:eastAsia="es-ES"/>
              </w:rPr>
              <w:t>REQUISITOS HABILITANTES – Registro Único de Proponentes – Plena prueba</w:t>
            </w:r>
            <w:r>
              <w:rPr>
                <w:rFonts w:ascii="Verdana" w:eastAsia="Calibri" w:hAnsi="Verdana" w:cs="Arial"/>
                <w:lang w:val="es-ES" w:eastAsia="es-ES"/>
              </w:rPr>
              <w:t xml:space="preserve"> / </w:t>
            </w:r>
            <w:r w:rsidRPr="00C75A78">
              <w:rPr>
                <w:rFonts w:ascii="Verdana" w:eastAsia="Calibri" w:hAnsi="Verdana" w:cs="Arial"/>
                <w:lang w:val="es-ES" w:eastAsia="es-ES"/>
              </w:rPr>
              <w:t xml:space="preserve">GRUPO EMPRESARIAL – Existencia – Acreditación – Plazo </w:t>
            </w:r>
            <w:r w:rsidRPr="006424A3">
              <w:rPr>
                <w:rFonts w:ascii="Verdana" w:eastAsia="Calibri" w:hAnsi="Verdana" w:cs="Arial"/>
                <w:lang w:val="es-ES" w:eastAsia="es-ES"/>
              </w:rPr>
              <w:t xml:space="preserve">   </w:t>
            </w:r>
            <w:r w:rsidRPr="00003886">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4302AB11" w14:textId="77777777" w:rsidR="00FA0F7F" w:rsidRPr="00593A5F" w:rsidRDefault="00FA0F7F" w:rsidP="00743658">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FA0F7F" w:rsidRPr="008E6AD9" w14:paraId="3B328A99" w14:textId="77777777" w:rsidTr="00743658">
        <w:tc>
          <w:tcPr>
            <w:tcW w:w="2689" w:type="dxa"/>
          </w:tcPr>
          <w:p w14:paraId="653A43F0" w14:textId="77777777" w:rsidR="00FA0F7F" w:rsidRPr="008E6AD9" w:rsidRDefault="00FA0F7F" w:rsidP="00743658">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74D4A92" w14:textId="77777777" w:rsidR="00FA0F7F" w:rsidRPr="00B92340" w:rsidRDefault="00FA0F7F" w:rsidP="00743658">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330578">
              <w:rPr>
                <w:rFonts w:ascii="Verdana" w:eastAsia="Calibri" w:hAnsi="Verdana" w:cs="Arial"/>
                <w:lang w:val="es-ES_tradnl" w:eastAsia="es-ES_tradnl"/>
              </w:rPr>
              <w:t>1_2025_07_25_007701</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1CFBD4F8" w14:textId="77777777" w:rsidR="00FA0F7F" w:rsidRPr="00593A5F" w:rsidRDefault="00FA0F7F" w:rsidP="00FA0F7F">
      <w:pPr>
        <w:spacing w:after="0" w:line="240" w:lineRule="auto"/>
        <w:jc w:val="both"/>
        <w:rPr>
          <w:rFonts w:ascii="Verdana" w:eastAsia="Calibri" w:hAnsi="Verdana" w:cs="Arial"/>
          <w:color w:val="000000"/>
          <w:lang w:val="es-ES_tradnl" w:eastAsia="es-ES_tradnl"/>
        </w:rPr>
      </w:pPr>
    </w:p>
    <w:p w14:paraId="0425E937" w14:textId="77777777" w:rsidR="00FA0F7F" w:rsidRPr="00593A5F" w:rsidRDefault="00FA0F7F" w:rsidP="00FA0F7F">
      <w:pPr>
        <w:spacing w:after="0" w:line="240" w:lineRule="auto"/>
        <w:jc w:val="both"/>
        <w:rPr>
          <w:rFonts w:ascii="Verdana" w:eastAsia="Calibri" w:hAnsi="Verdana" w:cs="Arial"/>
          <w:color w:val="000000"/>
          <w:lang w:val="es-ES_tradnl" w:eastAsia="es-ES_tradnl"/>
        </w:rPr>
      </w:pPr>
    </w:p>
    <w:p w14:paraId="3D70A285" w14:textId="77777777" w:rsidR="00FA0F7F" w:rsidRPr="008E6AD9" w:rsidRDefault="00FA0F7F" w:rsidP="00FA0F7F">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Pr="002A3B3C">
        <w:rPr>
          <w:rFonts w:ascii="Verdana" w:eastAsia="Calibri" w:hAnsi="Verdana" w:cs="Arial"/>
          <w:lang w:val="es-ES" w:eastAsia="es-ES"/>
        </w:rPr>
        <w:t>Saavedra Arguello</w:t>
      </w:r>
      <w:r w:rsidRPr="008E6AD9">
        <w:rPr>
          <w:rFonts w:ascii="Verdana" w:eastAsia="Calibri" w:hAnsi="Verdana" w:cs="Arial"/>
          <w:lang w:val="es-ES" w:eastAsia="es-ES"/>
        </w:rPr>
        <w:t xml:space="preserve">: </w:t>
      </w:r>
    </w:p>
    <w:p w14:paraId="2517A35B" w14:textId="77777777" w:rsidR="00FA0F7F" w:rsidRDefault="00FA0F7F" w:rsidP="00FA0F7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6E2A823" w14:textId="77777777" w:rsidR="00FA0F7F" w:rsidRPr="00593A5F" w:rsidRDefault="00FA0F7F" w:rsidP="00FA0F7F">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25 de julio de 2025, en la que pregunta lo siguiente</w:t>
      </w:r>
      <w:r w:rsidRPr="008E6AD9">
        <w:rPr>
          <w:rFonts w:ascii="Verdana" w:eastAsia="Calibri" w:hAnsi="Verdana" w:cs="Arial"/>
          <w:lang w:val="es-ES" w:eastAsia="es-ES"/>
        </w:rPr>
        <w:t xml:space="preserve">: </w:t>
      </w:r>
    </w:p>
    <w:p w14:paraId="10590489" w14:textId="77777777" w:rsidR="00FA0F7F" w:rsidRPr="00272A7B" w:rsidRDefault="00FA0F7F" w:rsidP="00FA0F7F">
      <w:pPr>
        <w:pStyle w:val="Prrafodelista"/>
        <w:tabs>
          <w:tab w:val="left" w:pos="142"/>
          <w:tab w:val="left" w:pos="284"/>
        </w:tabs>
        <w:spacing w:after="0" w:line="276" w:lineRule="auto"/>
        <w:ind w:left="0"/>
        <w:jc w:val="both"/>
        <w:rPr>
          <w:rFonts w:ascii="Verdana" w:eastAsia="Century Gothic" w:hAnsi="Verdana" w:cs="Century Gothic"/>
          <w:b/>
          <w:bCs/>
        </w:rPr>
      </w:pPr>
    </w:p>
    <w:p w14:paraId="420FA9A0" w14:textId="77777777" w:rsidR="00FA0F7F" w:rsidRPr="00A6315A" w:rsidRDefault="00FA0F7F" w:rsidP="00FA0F7F">
      <w:pPr>
        <w:spacing w:after="0" w:line="240" w:lineRule="auto"/>
        <w:ind w:left="709" w:right="709"/>
        <w:jc w:val="both"/>
        <w:rPr>
          <w:rFonts w:ascii="Verdana" w:eastAsia="Century Gothic" w:hAnsi="Verdana" w:cs="Century Gothic"/>
          <w:sz w:val="21"/>
          <w:szCs w:val="21"/>
        </w:rPr>
      </w:pPr>
      <w:bookmarkStart w:id="1" w:name="_Hlk95313578"/>
      <w:r w:rsidRPr="006E7258">
        <w:rPr>
          <w:rFonts w:ascii="Verdana" w:eastAsia="Century Gothic" w:hAnsi="Verdana" w:cs="Century Gothic"/>
          <w:sz w:val="21"/>
          <w:szCs w:val="21"/>
          <w:lang w:val="es-ES"/>
        </w:rPr>
        <w:t>“</w:t>
      </w:r>
      <w:bookmarkEnd w:id="1"/>
      <w:r w:rsidRPr="002A3B3C">
        <w:rPr>
          <w:rFonts w:ascii="Verdana" w:eastAsia="Century Gothic" w:hAnsi="Verdana" w:cs="Century Gothic"/>
          <w:sz w:val="21"/>
          <w:szCs w:val="21"/>
          <w:lang w:val="es-ES"/>
        </w:rPr>
        <w:t xml:space="preserve">Teniendo en cuenta el numeral 1 del artículo 2.1.4.3.2.1. del Decreto 1600 del 2024 "Verificar la existencia de situaciones de control". La Entidad Estatal en un proceso de selección, ¿Cómo debe interpretar el momento exacto en que el proponente debe comunicar la situación de control?, esto pues, en algunos casos los proponentes adjuntan dicha </w:t>
      </w:r>
      <w:r w:rsidRPr="002A3B3C">
        <w:rPr>
          <w:rFonts w:ascii="Verdana" w:eastAsia="Century Gothic" w:hAnsi="Verdana" w:cs="Century Gothic"/>
          <w:sz w:val="21"/>
          <w:szCs w:val="21"/>
          <w:lang w:val="es-ES"/>
        </w:rPr>
        <w:lastRenderedPageBreak/>
        <w:t>manifestación de situación de control al momento del cierre del proceso junto con los documentos de la oferta. si esto ocurre ¿La Entidad debe requerir al proponente para que vuelva a presentar dicho documento porque lo presentó en el cierre del proceso?</w:t>
      </w:r>
      <w:r w:rsidRPr="00A6315A">
        <w:rPr>
          <w:rFonts w:ascii="Verdana" w:eastAsia="Century Gothic" w:hAnsi="Verdana" w:cs="Century Gothic"/>
          <w:sz w:val="21"/>
          <w:szCs w:val="21"/>
        </w:rPr>
        <w:t>”.</w:t>
      </w:r>
    </w:p>
    <w:p w14:paraId="6DEB3F41" w14:textId="77777777" w:rsidR="00FA0F7F" w:rsidRPr="008E6AD9" w:rsidRDefault="00FA0F7F" w:rsidP="00FA0F7F">
      <w:pPr>
        <w:pStyle w:val="Prrafodelista"/>
        <w:tabs>
          <w:tab w:val="left" w:pos="142"/>
          <w:tab w:val="left" w:pos="284"/>
        </w:tabs>
        <w:spacing w:after="0" w:line="276" w:lineRule="auto"/>
        <w:ind w:left="0"/>
        <w:jc w:val="both"/>
        <w:rPr>
          <w:rFonts w:ascii="Verdana" w:eastAsia="Century Gothic" w:hAnsi="Verdana" w:cs="Century Gothic"/>
          <w:b/>
          <w:bCs/>
        </w:rPr>
      </w:pPr>
    </w:p>
    <w:p w14:paraId="74E6A289" w14:textId="77777777" w:rsidR="00FA0F7F" w:rsidRPr="00A652FF" w:rsidRDefault="00FA0F7F" w:rsidP="00FA0F7F">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EF6609F" w14:textId="77777777" w:rsidR="00FA0F7F" w:rsidRDefault="00FA0F7F" w:rsidP="00FA0F7F">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5CE5A188" w14:textId="77777777" w:rsidR="00FA0F7F" w:rsidRPr="00593A5F" w:rsidRDefault="00FA0F7F" w:rsidP="00FA0F7F">
      <w:pPr>
        <w:spacing w:after="0" w:line="276" w:lineRule="auto"/>
        <w:ind w:firstLine="709"/>
        <w:jc w:val="both"/>
        <w:rPr>
          <w:rFonts w:ascii="Verdana" w:eastAsia="Calibri" w:hAnsi="Verdana" w:cs="Arial"/>
          <w:color w:val="000000"/>
          <w:lang w:val="es-ES" w:eastAsia="es-ES"/>
        </w:rPr>
      </w:pPr>
    </w:p>
    <w:p w14:paraId="7072BC37" w14:textId="77777777" w:rsidR="00FA0F7F" w:rsidRPr="00593A5F" w:rsidRDefault="00FA0F7F" w:rsidP="00FA0F7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CAB73B3" w14:textId="77777777" w:rsidR="00FA0F7F" w:rsidRPr="00593A5F" w:rsidRDefault="00FA0F7F" w:rsidP="00FA0F7F">
      <w:pPr>
        <w:tabs>
          <w:tab w:val="left" w:pos="426"/>
        </w:tabs>
        <w:spacing w:after="0" w:line="276" w:lineRule="auto"/>
        <w:jc w:val="both"/>
        <w:rPr>
          <w:rFonts w:ascii="Verdana" w:eastAsia="Century Gothic" w:hAnsi="Verdana" w:cs="Century Gothic"/>
          <w:lang w:val="es-ES"/>
        </w:rPr>
      </w:pPr>
    </w:p>
    <w:p w14:paraId="5882A59E" w14:textId="77777777" w:rsidR="00FA0F7F" w:rsidRPr="00593A5F" w:rsidRDefault="00FA0F7F" w:rsidP="00FA0F7F">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Pr>
          <w:rFonts w:ascii="Verdana" w:eastAsia="Century Gothic" w:hAnsi="Verdana" w:cs="Century Gothic"/>
        </w:rPr>
        <w:t xml:space="preserve">¿entregada la información de que trata el literal </w:t>
      </w:r>
      <w:r>
        <w:rPr>
          <w:rFonts w:ascii="Verdana" w:eastAsia="Calibri" w:hAnsi="Verdana" w:cs="Arial"/>
          <w:bCs/>
          <w:color w:val="000000" w:themeColor="text1"/>
        </w:rPr>
        <w:t>e</w:t>
      </w:r>
      <w:r w:rsidRPr="00EC436B">
        <w:rPr>
          <w:rFonts w:ascii="Verdana" w:eastAsia="Calibri" w:hAnsi="Verdana" w:cs="Arial"/>
          <w:bCs/>
          <w:color w:val="000000" w:themeColor="text1"/>
        </w:rPr>
        <w:t>l literal a) del artículo 2.1.4.3.2.1 del Decreto 1081 de 2015</w:t>
      </w:r>
      <w:r>
        <w:rPr>
          <w:rFonts w:ascii="Verdana" w:eastAsia="Calibri" w:hAnsi="Verdana" w:cs="Arial"/>
          <w:bCs/>
          <w:color w:val="000000" w:themeColor="text1"/>
        </w:rPr>
        <w:t xml:space="preserve"> antes del cierre del proceso, es necesario requerir nuevamente a los proponentes para que acrediten la existencia o no de situaciones de control</w:t>
      </w:r>
      <w:r>
        <w:rPr>
          <w:rFonts w:ascii="Verdana" w:eastAsia="Century Gothic" w:hAnsi="Verdana" w:cs="Century Gothic"/>
        </w:rPr>
        <w:t xml:space="preserve">?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27188786" w14:textId="77777777" w:rsidR="00FA0F7F" w:rsidRPr="004B140F" w:rsidRDefault="00FA0F7F" w:rsidP="00FA0F7F">
      <w:pPr>
        <w:spacing w:after="0" w:line="276" w:lineRule="auto"/>
        <w:jc w:val="both"/>
        <w:rPr>
          <w:rFonts w:ascii="Verdana" w:eastAsia="Calibri" w:hAnsi="Verdana" w:cs="Arial"/>
          <w:color w:val="7030A0"/>
        </w:rPr>
      </w:pPr>
    </w:p>
    <w:p w14:paraId="7313F372" w14:textId="77777777" w:rsidR="00FA0F7F" w:rsidRPr="00593A5F" w:rsidRDefault="00FA0F7F" w:rsidP="00FA0F7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F6F5F76" w14:textId="77777777" w:rsidR="00FA0F7F" w:rsidRPr="00593A5F" w:rsidRDefault="00FA0F7F" w:rsidP="00FA0F7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A0F7F" w:rsidRPr="00593A5F" w14:paraId="0A6EC5EB" w14:textId="77777777" w:rsidTr="00743658">
        <w:trPr>
          <w:jc w:val="center"/>
        </w:trPr>
        <w:tc>
          <w:tcPr>
            <w:tcW w:w="8828" w:type="dxa"/>
            <w:shd w:val="clear" w:color="auto" w:fill="auto"/>
          </w:tcPr>
          <w:p w14:paraId="4EAE263B" w14:textId="77777777" w:rsidR="00FA0F7F" w:rsidRPr="00EC436B" w:rsidRDefault="00FA0F7F" w:rsidP="00743658">
            <w:pPr>
              <w:spacing w:after="120" w:line="276" w:lineRule="auto"/>
              <w:ind w:right="51"/>
              <w:jc w:val="both"/>
              <w:rPr>
                <w:rFonts w:ascii="Verdana" w:eastAsia="Calibri" w:hAnsi="Verdana" w:cs="Arial"/>
                <w:bCs/>
                <w:color w:val="000000" w:themeColor="text1"/>
              </w:rPr>
            </w:pPr>
            <w:bookmarkStart w:id="2" w:name="_Hlk171694685"/>
            <w:r>
              <w:rPr>
                <w:rFonts w:ascii="Verdana" w:eastAsia="Calibri" w:hAnsi="Verdana" w:cs="Arial"/>
                <w:bCs/>
                <w:color w:val="000000" w:themeColor="text1"/>
              </w:rPr>
              <w:t>Conforme a la interpretación general de las normas del sistema de compras públicas, e</w:t>
            </w:r>
            <w:r w:rsidRPr="00EC436B">
              <w:rPr>
                <w:rFonts w:ascii="Verdana" w:eastAsia="Calibri" w:hAnsi="Verdana" w:cs="Arial"/>
                <w:bCs/>
                <w:color w:val="000000" w:themeColor="text1"/>
              </w:rPr>
              <w:t xml:space="preserve">l literal a) del artículo 2.1.4.3.2.1 del Decreto 1081 de 2015, adicionado por el artículo 1 del Decreto 1600 de 2024, dispone que los organismos, entidades y empresas del Estado del orden nacional y </w:t>
            </w:r>
            <w:r w:rsidRPr="00EC436B">
              <w:rPr>
                <w:rFonts w:ascii="Verdana" w:eastAsia="Calibri" w:hAnsi="Verdana" w:cs="Arial"/>
                <w:bCs/>
                <w:color w:val="000000" w:themeColor="text1"/>
              </w:rPr>
              <w:lastRenderedPageBreak/>
              <w:t>pertenecientes a la Rama Ejecutiva del Poder Público deben verificar la existencia de situaciones de control que, conforme artículos 260 y 261 del Código de Comercio, afecten tanto a las personas jurídicas oferentes como a los proponentes plurales</w:t>
            </w:r>
            <w:r>
              <w:rPr>
                <w:rFonts w:ascii="Verdana" w:eastAsia="Calibri" w:hAnsi="Verdana" w:cs="Arial"/>
                <w:bCs/>
                <w:color w:val="000000" w:themeColor="text1"/>
              </w:rPr>
              <w:t xml:space="preserve">. </w:t>
            </w:r>
            <w:r>
              <w:rPr>
                <w:rFonts w:ascii="Verdana" w:eastAsia="Calibri" w:hAnsi="Verdana" w:cs="Arial"/>
              </w:rPr>
              <w:t>Por regla general, además de lo manifestado por los interesados, las entidades podrán verificar situaciones de control a través del RUP. En caso de que el registro no sea obligatorio, el pliego de condiciones debe establecer el mecanismo de validación correspondiente.</w:t>
            </w:r>
          </w:p>
          <w:p w14:paraId="09FD82A6" w14:textId="77777777" w:rsidR="00FA0F7F" w:rsidRPr="00EC436B" w:rsidRDefault="00FA0F7F" w:rsidP="00743658">
            <w:pPr>
              <w:spacing w:after="120" w:line="276" w:lineRule="auto"/>
              <w:ind w:right="51" w:firstLine="742"/>
              <w:jc w:val="both"/>
              <w:rPr>
                <w:rFonts w:ascii="Verdana" w:eastAsia="Calibri" w:hAnsi="Verdana" w:cs="Arial"/>
                <w:bCs/>
                <w:color w:val="000000" w:themeColor="text1"/>
              </w:rPr>
            </w:pPr>
            <w:r>
              <w:rPr>
                <w:rFonts w:ascii="Verdana" w:eastAsia="Calibri" w:hAnsi="Verdana" w:cs="Arial"/>
              </w:rPr>
              <w:t>Lo usual es que todos los documentos de la oferta se entreguen antes de cierre del proceso. Sin embargo, e</w:t>
            </w:r>
            <w:r w:rsidRPr="00543C90">
              <w:rPr>
                <w:rFonts w:ascii="Verdana" w:eastAsia="Calibri" w:hAnsi="Verdana" w:cs="Arial"/>
              </w:rPr>
              <w:t>l literal a) del artículo 2.1.4.3.2.1 del Decreto 1081 de 2015, adicionado por el artículo 1 del Decreto 1600 de 2024, dispone</w:t>
            </w:r>
            <w:r>
              <w:rPr>
                <w:rFonts w:ascii="Verdana" w:eastAsia="Calibri" w:hAnsi="Verdana" w:cs="Arial"/>
              </w:rPr>
              <w:t xml:space="preserve"> que </w:t>
            </w:r>
            <w:r w:rsidRPr="00543C90">
              <w:rPr>
                <w:rFonts w:ascii="Verdana" w:eastAsia="Calibri" w:hAnsi="Verdana" w:cs="Arial"/>
              </w:rPr>
              <w:t>“[…] en el término máximo de tres (3) días después del momento en que se cierre definitivamente la presentación de ofertas, deberán poner de presente la existencia o no de situaciones de control de las que participen</w:t>
            </w:r>
            <w:r>
              <w:rPr>
                <w:rFonts w:ascii="Verdana" w:eastAsia="Calibri" w:hAnsi="Verdana" w:cs="Arial"/>
              </w:rPr>
              <w:t xml:space="preserve"> […]”. Por tanto, si se entregó la información antes del cierre, la Agencia estima que no es necesario un nuevo requerimiento, pues con la entregada inicialmente la entidad puede verificar la existencia o no grupo empresarial en la que existan relaciones de subordinación conforme a los artículos 260 y 261 del Código de Comercio.</w:t>
            </w:r>
          </w:p>
          <w:p w14:paraId="5D89CC48" w14:textId="77777777" w:rsidR="00FA0F7F" w:rsidRPr="001941FD" w:rsidRDefault="00FA0F7F" w:rsidP="00743658">
            <w:pPr>
              <w:spacing w:line="276" w:lineRule="auto"/>
              <w:ind w:firstLine="709"/>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56AB8117" w14:textId="77777777" w:rsidR="00FA0F7F" w:rsidRPr="00593A5F" w:rsidRDefault="00FA0F7F" w:rsidP="00FA0F7F">
      <w:pPr>
        <w:tabs>
          <w:tab w:val="left" w:pos="142"/>
          <w:tab w:val="left" w:pos="284"/>
        </w:tabs>
        <w:spacing w:after="0" w:line="276" w:lineRule="auto"/>
        <w:jc w:val="both"/>
        <w:rPr>
          <w:rFonts w:ascii="Verdana" w:eastAsia="Century Gothic" w:hAnsi="Verdana" w:cs="Century Gothic"/>
          <w:b/>
          <w:bCs/>
          <w:lang w:val="es-ES"/>
        </w:rPr>
      </w:pPr>
    </w:p>
    <w:bookmarkEnd w:id="2"/>
    <w:p w14:paraId="0C843C74" w14:textId="77777777" w:rsidR="00FA0F7F" w:rsidRPr="00593A5F" w:rsidRDefault="00FA0F7F" w:rsidP="00FA0F7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80FF399" w14:textId="77777777" w:rsidR="00FA0F7F" w:rsidRPr="00593A5F" w:rsidRDefault="00FA0F7F" w:rsidP="00FA0F7F">
      <w:pPr>
        <w:spacing w:after="0" w:line="276" w:lineRule="auto"/>
        <w:jc w:val="both"/>
        <w:rPr>
          <w:rFonts w:ascii="Verdana" w:eastAsia="Calibri" w:hAnsi="Verdana" w:cs="Arial"/>
          <w:color w:val="7030A0"/>
          <w:lang w:val="es-ES"/>
        </w:rPr>
      </w:pPr>
    </w:p>
    <w:p w14:paraId="27011D09" w14:textId="77777777" w:rsidR="00FA0F7F" w:rsidRDefault="00FA0F7F" w:rsidP="00FA0F7F">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70C39DAF" w14:textId="77777777" w:rsidR="00FA0F7F" w:rsidRPr="00415608" w:rsidRDefault="00FA0F7F" w:rsidP="00FA0F7F">
      <w:pPr>
        <w:spacing w:after="0" w:line="276" w:lineRule="auto"/>
        <w:jc w:val="both"/>
        <w:rPr>
          <w:rFonts w:ascii="Verdana" w:eastAsia="Calibri" w:hAnsi="Verdana" w:cs="Arial"/>
          <w:lang w:val="es-ES"/>
        </w:rPr>
      </w:pPr>
    </w:p>
    <w:p w14:paraId="1B85445A" w14:textId="77777777" w:rsidR="00FA0F7F" w:rsidRDefault="00FA0F7F" w:rsidP="00FA0F7F">
      <w:pPr>
        <w:spacing w:after="0" w:line="276" w:lineRule="auto"/>
        <w:jc w:val="both"/>
        <w:rPr>
          <w:rFonts w:ascii="Verdana" w:eastAsia="Calibri" w:hAnsi="Verdana" w:cs="Arial"/>
        </w:rPr>
      </w:pPr>
      <w:r>
        <w:rPr>
          <w:rFonts w:ascii="Verdana" w:eastAsia="Calibri" w:hAnsi="Verdana" w:cs="Arial"/>
        </w:rPr>
        <w:t xml:space="preserve">i. El literal a) del artículo </w:t>
      </w:r>
      <w:r w:rsidRPr="002A3B3C">
        <w:rPr>
          <w:rFonts w:ascii="Verdana" w:eastAsia="Calibri" w:hAnsi="Verdana" w:cs="Arial"/>
        </w:rPr>
        <w:t>2.1.4.3.2.1</w:t>
      </w:r>
      <w:r>
        <w:rPr>
          <w:rFonts w:ascii="Verdana" w:eastAsia="Calibri" w:hAnsi="Verdana" w:cs="Arial"/>
        </w:rPr>
        <w:t xml:space="preserve"> del Decreto 1081 de 2015, adicionado por el artículo 1 del Decreto 1600 de 2024, dispone que </w:t>
      </w:r>
      <w:r w:rsidRPr="002A3B3C">
        <w:rPr>
          <w:rFonts w:ascii="Verdana" w:eastAsia="Calibri" w:hAnsi="Verdana" w:cs="Arial"/>
        </w:rPr>
        <w:t xml:space="preserve">los organismos, entidades y empresas del Estado del orden nacional y pertenecientes a la Rama Ejecutiva </w:t>
      </w:r>
      <w:r w:rsidRPr="002A3B3C">
        <w:rPr>
          <w:rFonts w:ascii="Verdana" w:eastAsia="Calibri" w:hAnsi="Verdana" w:cs="Arial"/>
        </w:rPr>
        <w:lastRenderedPageBreak/>
        <w:t>del Poder Público</w:t>
      </w:r>
      <w:r>
        <w:rPr>
          <w:rFonts w:ascii="Verdana" w:eastAsia="Calibri" w:hAnsi="Verdana" w:cs="Arial"/>
        </w:rPr>
        <w:t xml:space="preserve"> deben verificar la existencia de situaciones de control que, conforme </w:t>
      </w:r>
      <w:r w:rsidRPr="00BB41E1">
        <w:rPr>
          <w:rFonts w:ascii="Verdana" w:eastAsia="Calibri" w:hAnsi="Verdana" w:cs="Arial"/>
        </w:rPr>
        <w:t>artículos 260 y 261 del Código de Comercio</w:t>
      </w:r>
      <w:r>
        <w:rPr>
          <w:rFonts w:ascii="Verdana" w:eastAsia="Calibri" w:hAnsi="Verdana" w:cs="Arial"/>
        </w:rPr>
        <w:t xml:space="preserve">, afecten tanto a las </w:t>
      </w:r>
      <w:r w:rsidRPr="00BB41E1">
        <w:rPr>
          <w:rFonts w:ascii="Verdana" w:eastAsia="Calibri" w:hAnsi="Verdana" w:cs="Arial"/>
        </w:rPr>
        <w:t>personas jurídicas oferentes</w:t>
      </w:r>
      <w:r>
        <w:rPr>
          <w:rFonts w:ascii="Verdana" w:eastAsia="Calibri" w:hAnsi="Verdana" w:cs="Arial"/>
        </w:rPr>
        <w:t xml:space="preserve"> como a</w:t>
      </w:r>
      <w:r w:rsidRPr="00BB41E1">
        <w:rPr>
          <w:rFonts w:ascii="Verdana" w:eastAsia="Calibri" w:hAnsi="Verdana" w:cs="Arial"/>
        </w:rPr>
        <w:t xml:space="preserve"> los proponentes plurales</w:t>
      </w:r>
      <w:r>
        <w:rPr>
          <w:rFonts w:ascii="Verdana" w:eastAsia="Calibri" w:hAnsi="Verdana" w:cs="Arial"/>
        </w:rPr>
        <w:t>. En este contexto, la norma precisa que q</w:t>
      </w:r>
      <w:r w:rsidRPr="00BB41E1">
        <w:rPr>
          <w:rFonts w:ascii="Verdana" w:eastAsia="Calibri" w:hAnsi="Verdana" w:cs="Arial"/>
        </w:rPr>
        <w:t>uienes se presenten como proponentes en procesos de selección</w:t>
      </w:r>
      <w:r>
        <w:rPr>
          <w:rFonts w:ascii="Verdana" w:eastAsia="Calibri" w:hAnsi="Verdana" w:cs="Arial"/>
        </w:rPr>
        <w:t>:</w:t>
      </w:r>
    </w:p>
    <w:p w14:paraId="629BFB3F" w14:textId="77777777" w:rsidR="00FA0F7F" w:rsidRDefault="00FA0F7F" w:rsidP="00FA0F7F">
      <w:pPr>
        <w:spacing w:after="0" w:line="276" w:lineRule="auto"/>
        <w:jc w:val="both"/>
        <w:rPr>
          <w:rFonts w:ascii="Verdana" w:eastAsia="Calibri" w:hAnsi="Verdana" w:cs="Arial"/>
        </w:rPr>
      </w:pPr>
    </w:p>
    <w:p w14:paraId="150295D4" w14:textId="77777777" w:rsidR="00FA0F7F" w:rsidRPr="00BB41E1" w:rsidRDefault="00FA0F7F" w:rsidP="00FA0F7F">
      <w:pPr>
        <w:spacing w:after="0" w:line="240" w:lineRule="auto"/>
        <w:ind w:left="709" w:right="709"/>
        <w:jc w:val="both"/>
        <w:rPr>
          <w:rFonts w:ascii="Verdana" w:hAnsi="Verdana" w:cs="Arial"/>
          <w:sz w:val="21"/>
          <w:szCs w:val="21"/>
        </w:rPr>
      </w:pPr>
      <w:r w:rsidRPr="00BB41E1">
        <w:rPr>
          <w:rFonts w:ascii="Verdana" w:hAnsi="Verdana" w:cs="Arial"/>
          <w:sz w:val="21"/>
          <w:szCs w:val="21"/>
        </w:rPr>
        <w:t xml:space="preserve">“[…] en el término máximo de tres (3) días después del momento en que se cierre definitivamente la presentación de ofertas, deberán poner de presente la existencia o no de situaciones de control de las que participen y, en particular, si son contratantes, controladas o comparten alguna de estas condiciones con otras personas que se encuentren participando en el mismo procedimiento de contratación. Para el caso de los proponentes plurales, deberán indicar si las personas que los conforman se encuentran en alguna de las situaciones descritas anteriormente”. </w:t>
      </w:r>
    </w:p>
    <w:p w14:paraId="1F3A95BF" w14:textId="77777777" w:rsidR="00FA0F7F" w:rsidRDefault="00FA0F7F" w:rsidP="00FA0F7F">
      <w:pPr>
        <w:spacing w:after="0" w:line="276" w:lineRule="auto"/>
        <w:jc w:val="both"/>
        <w:rPr>
          <w:rFonts w:ascii="Verdana" w:hAnsi="Verdana" w:cs="Arial"/>
        </w:rPr>
      </w:pPr>
    </w:p>
    <w:p w14:paraId="258F8EEA" w14:textId="77777777" w:rsidR="00FA0F7F" w:rsidRDefault="00FA0F7F" w:rsidP="00FA0F7F">
      <w:pPr>
        <w:spacing w:after="0" w:line="276" w:lineRule="auto"/>
        <w:jc w:val="both"/>
        <w:rPr>
          <w:rFonts w:ascii="Verdana" w:hAnsi="Verdana" w:cs="Arial"/>
        </w:rPr>
      </w:pPr>
      <w:r>
        <w:rPr>
          <w:rFonts w:ascii="Verdana" w:hAnsi="Verdana" w:cs="Arial"/>
        </w:rPr>
        <w:tab/>
        <w:t>De acuerdo con la norma citada, “L</w:t>
      </w:r>
      <w:r w:rsidRPr="00BB41E1">
        <w:rPr>
          <w:rFonts w:ascii="Verdana" w:hAnsi="Verdana" w:cs="Arial"/>
        </w:rPr>
        <w:t>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w:t>
      </w:r>
      <w:r>
        <w:rPr>
          <w:rFonts w:ascii="Verdana" w:hAnsi="Verdana" w:cs="Arial"/>
        </w:rPr>
        <w:t>”</w:t>
      </w:r>
      <w:r w:rsidRPr="00BB41E1">
        <w:rPr>
          <w:rFonts w:ascii="Verdana" w:hAnsi="Verdana" w:cs="Arial"/>
        </w:rPr>
        <w:t>.</w:t>
      </w:r>
      <w:r>
        <w:rPr>
          <w:rFonts w:ascii="Verdana" w:hAnsi="Verdana" w:cs="Arial"/>
        </w:rPr>
        <w:t xml:space="preserve"> Luego, la información sobre situaciones de control es un punto de referencia para verificar la capacidad jurídica en el proceso de contratación.</w:t>
      </w:r>
    </w:p>
    <w:p w14:paraId="0F6A6846" w14:textId="77777777" w:rsidR="00FA0F7F" w:rsidRDefault="00FA0F7F" w:rsidP="00FA0F7F">
      <w:pPr>
        <w:spacing w:after="0" w:line="276" w:lineRule="auto"/>
        <w:jc w:val="both"/>
        <w:rPr>
          <w:rFonts w:ascii="Verdana" w:hAnsi="Verdana" w:cs="Arial"/>
        </w:rPr>
      </w:pPr>
    </w:p>
    <w:p w14:paraId="002F00ED" w14:textId="77777777" w:rsidR="00FA0F7F" w:rsidRDefault="00FA0F7F" w:rsidP="00FA0F7F">
      <w:pPr>
        <w:spacing w:after="0" w:line="276" w:lineRule="auto"/>
        <w:jc w:val="both"/>
        <w:rPr>
          <w:rFonts w:ascii="Verdana" w:hAnsi="Verdana" w:cs="Arial"/>
        </w:rPr>
      </w:pPr>
      <w:proofErr w:type="spellStart"/>
      <w:r>
        <w:rPr>
          <w:rFonts w:ascii="Verdana" w:hAnsi="Verdana" w:cs="Arial"/>
        </w:rPr>
        <w:t>ii</w:t>
      </w:r>
      <w:proofErr w:type="spellEnd"/>
      <w:r>
        <w:rPr>
          <w:rFonts w:ascii="Verdana" w:hAnsi="Verdana" w:cs="Arial"/>
        </w:rPr>
        <w:t xml:space="preserve">. Las cámaras de comercio verifican las situaciones de control al momento de las inscripción, renovación y actualización del registro único de proponentes. Al respecto, tratándose de personas jurídicas, el numeral 2.2 del artículo </w:t>
      </w:r>
      <w:r w:rsidRPr="00B858C2">
        <w:rPr>
          <w:rFonts w:ascii="Verdana" w:hAnsi="Verdana" w:cs="Arial"/>
        </w:rPr>
        <w:t>2.2.1.1.1.5.2</w:t>
      </w:r>
      <w:r>
        <w:rPr>
          <w:rFonts w:ascii="Verdana" w:hAnsi="Verdana" w:cs="Arial"/>
        </w:rPr>
        <w:t xml:space="preserve"> ordena la entrega del “</w:t>
      </w:r>
      <w:r w:rsidRPr="00B858C2">
        <w:rPr>
          <w:rFonts w:ascii="Verdana" w:hAnsi="Verdana" w:cs="Arial"/>
        </w:rPr>
        <w:t xml:space="preserve">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w:t>
      </w:r>
      <w:r w:rsidRPr="00B858C2">
        <w:rPr>
          <w:rFonts w:ascii="Verdana" w:hAnsi="Verdana" w:cs="Arial"/>
          <w:i/>
          <w:iCs/>
        </w:rPr>
        <w:t>Si el grupo empresarial o la circunstancia de control existe, en el certificado debe constar la identificación de los miembros del grupo empresarial, la situación de control y los controlantes y controlados</w:t>
      </w:r>
      <w:r>
        <w:rPr>
          <w:rFonts w:ascii="Verdana" w:hAnsi="Verdana" w:cs="Arial"/>
        </w:rPr>
        <w:t>” (Énfasis fuera de texto)</w:t>
      </w:r>
      <w:r w:rsidRPr="00B858C2">
        <w:rPr>
          <w:rFonts w:ascii="Verdana" w:hAnsi="Verdana" w:cs="Arial"/>
        </w:rPr>
        <w:t>.</w:t>
      </w:r>
      <w:r>
        <w:rPr>
          <w:rFonts w:ascii="Verdana" w:hAnsi="Verdana" w:cs="Arial"/>
        </w:rPr>
        <w:t xml:space="preserve"> </w:t>
      </w:r>
    </w:p>
    <w:p w14:paraId="2643401E" w14:textId="77777777" w:rsidR="00FA0F7F" w:rsidRDefault="00FA0F7F" w:rsidP="00FA0F7F">
      <w:pPr>
        <w:spacing w:after="0" w:line="276" w:lineRule="auto"/>
        <w:jc w:val="both"/>
        <w:rPr>
          <w:rFonts w:ascii="Verdana" w:hAnsi="Verdana" w:cs="Arial"/>
        </w:rPr>
      </w:pPr>
    </w:p>
    <w:p w14:paraId="7CFF8554" w14:textId="77777777" w:rsidR="00FA0F7F" w:rsidRPr="002F035D" w:rsidRDefault="00FA0F7F" w:rsidP="00FA0F7F">
      <w:pPr>
        <w:spacing w:after="120" w:line="276" w:lineRule="auto"/>
        <w:jc w:val="both"/>
        <w:rPr>
          <w:rFonts w:ascii="Verdana" w:hAnsi="Verdana" w:cs="Arial"/>
        </w:rPr>
      </w:pPr>
      <w:proofErr w:type="spellStart"/>
      <w:r>
        <w:rPr>
          <w:rFonts w:ascii="Verdana" w:hAnsi="Verdana" w:cs="Arial"/>
        </w:rPr>
        <w:t>iii</w:t>
      </w:r>
      <w:proofErr w:type="spellEnd"/>
      <w:r>
        <w:rPr>
          <w:rFonts w:ascii="Verdana" w:hAnsi="Verdana" w:cs="Arial"/>
        </w:rPr>
        <w:t xml:space="preserve">. </w:t>
      </w:r>
      <w:r w:rsidRPr="002F035D">
        <w:rPr>
          <w:rFonts w:ascii="Verdana" w:hAnsi="Verdana" w:cs="Arial"/>
        </w:rPr>
        <w:t xml:space="preserve">El Registro Único de Proponentes es el documento donde consta la información relacionada con las personas naturales y jurídicas, que tiene por objeto consolidar los datos relacionados con la capacidad jurídica, técnica, </w:t>
      </w:r>
      <w:r w:rsidRPr="002F035D">
        <w:rPr>
          <w:rFonts w:ascii="Verdana" w:hAnsi="Verdana" w:cs="Arial"/>
        </w:rPr>
        <w:lastRenderedPageBreak/>
        <w:t xml:space="preserve">financiera y organizacional de los posibles proponentes, con el fin que participen en los procedimientos de selección realizados por las entidades estatales, facilitando la revisión de los datos contenidos en el registro. </w:t>
      </w:r>
    </w:p>
    <w:p w14:paraId="71AAEC36" w14:textId="77777777" w:rsidR="00FA0F7F" w:rsidRDefault="00FA0F7F" w:rsidP="00FA0F7F">
      <w:pPr>
        <w:spacing w:after="0" w:line="276" w:lineRule="auto"/>
        <w:ind w:firstLine="708"/>
        <w:jc w:val="both"/>
        <w:rPr>
          <w:rFonts w:ascii="Verdana" w:hAnsi="Verdana" w:cs="Arial"/>
        </w:rPr>
      </w:pPr>
      <w:r w:rsidRPr="002F035D">
        <w:rPr>
          <w:rFonts w:ascii="Verdana" w:hAnsi="Verdana" w:cs="Arial"/>
        </w:rPr>
        <w:t>El artículo 6.1 de la Ley 1150 de 2007, al determinar las características aplicables al RUP, cualifica la información plasmada en él, al establecer que constituye plena prueba de lo que contiene.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w:t>
      </w:r>
    </w:p>
    <w:p w14:paraId="4534C7D5" w14:textId="77777777" w:rsidR="00FA0F7F" w:rsidRDefault="00FA0F7F" w:rsidP="00FA0F7F">
      <w:pPr>
        <w:spacing w:after="0" w:line="276" w:lineRule="auto"/>
        <w:jc w:val="both"/>
        <w:rPr>
          <w:rFonts w:ascii="Verdana" w:hAnsi="Verdana" w:cs="Arial"/>
        </w:rPr>
      </w:pPr>
    </w:p>
    <w:p w14:paraId="14E305BB" w14:textId="77777777" w:rsidR="00FA0F7F" w:rsidRPr="002F035D" w:rsidRDefault="00FA0F7F" w:rsidP="00FA0F7F">
      <w:pPr>
        <w:spacing w:after="0" w:line="276" w:lineRule="auto"/>
        <w:jc w:val="both"/>
        <w:rPr>
          <w:rFonts w:ascii="Verdana" w:hAnsi="Verdana" w:cs="Arial"/>
          <w:shd w:val="clear" w:color="auto" w:fill="FFFFFF"/>
        </w:rPr>
      </w:pPr>
      <w:proofErr w:type="spellStart"/>
      <w:r w:rsidRPr="002F035D">
        <w:rPr>
          <w:rFonts w:ascii="Verdana" w:hAnsi="Verdana" w:cs="Arial"/>
        </w:rPr>
        <w:t>iv</w:t>
      </w:r>
      <w:proofErr w:type="spellEnd"/>
      <w:r w:rsidRPr="002F035D">
        <w:rPr>
          <w:rFonts w:ascii="Verdana" w:hAnsi="Verdana" w:cs="Arial"/>
        </w:rPr>
        <w:t xml:space="preserve">. </w:t>
      </w:r>
      <w:r w:rsidRPr="002F035D">
        <w:rPr>
          <w:rFonts w:ascii="Verdana" w:eastAsia="Calibri" w:hAnsi="Verdana" w:cs="Arial"/>
        </w:rPr>
        <w:t xml:space="preserve">Al respecto, la Corte Constitucional precisó que el legislador descentralizó la función administrativa de llevar el Registro Único de Proponentes radicándola en cabeza de las Cámaras de Comercio. Dichas entidades deben ejercer esta actividad atendiendo a los principios establecidos en la Constitución Política, particularmente a los del artículo 209 superior, concordantes con lo dispuesto en la ley 80 de 1993 y en los artículos 3º de la Ley 489 de 1998 y 13 de la Ley 1447 de 2011. </w:t>
      </w:r>
      <w:r w:rsidRPr="002F035D">
        <w:rPr>
          <w:rFonts w:ascii="Verdana" w:hAnsi="Verdana" w:cs="Arial"/>
          <w:shd w:val="clear" w:color="auto" w:fill="FFFFFF"/>
        </w:rPr>
        <w:t>En tal sentido la Corte explicó la función registral de las Cámaras de Comercio y la confiabilidad de la información en él contenida de la siguiente manera:</w:t>
      </w:r>
    </w:p>
    <w:p w14:paraId="645F981F" w14:textId="77777777" w:rsidR="00FA0F7F" w:rsidRPr="002F035D" w:rsidRDefault="00FA0F7F" w:rsidP="00E24FB2">
      <w:pPr>
        <w:spacing w:after="0" w:line="276" w:lineRule="auto"/>
        <w:jc w:val="both"/>
        <w:rPr>
          <w:rFonts w:ascii="Verdana" w:hAnsi="Verdana" w:cs="Arial"/>
          <w:shd w:val="clear" w:color="auto" w:fill="FFFFFF"/>
        </w:rPr>
      </w:pPr>
    </w:p>
    <w:p w14:paraId="425BB826" w14:textId="0CA85D52" w:rsidR="00FA0F7F" w:rsidRPr="002F035D" w:rsidRDefault="00E24FB2" w:rsidP="00FA0F7F">
      <w:pPr>
        <w:spacing w:after="0" w:line="240" w:lineRule="auto"/>
        <w:ind w:left="709" w:right="709"/>
        <w:jc w:val="both"/>
        <w:rPr>
          <w:rFonts w:ascii="Verdana" w:hAnsi="Verdana" w:cs="Arial"/>
          <w:sz w:val="21"/>
          <w:szCs w:val="21"/>
          <w:shd w:val="clear" w:color="auto" w:fill="FFFFFF"/>
        </w:rPr>
      </w:pPr>
      <w:r>
        <w:rPr>
          <w:rFonts w:ascii="Verdana" w:hAnsi="Verdana" w:cs="Arial"/>
          <w:sz w:val="21"/>
          <w:szCs w:val="21"/>
          <w:shd w:val="clear" w:color="auto" w:fill="FFFFFF"/>
        </w:rPr>
        <w:t>“</w:t>
      </w:r>
      <w:r w:rsidR="00FA0F7F" w:rsidRPr="002F035D">
        <w:rPr>
          <w:rFonts w:ascii="Verdana" w:hAnsi="Verdana" w:cs="Arial"/>
          <w:sz w:val="21"/>
          <w:szCs w:val="21"/>
          <w:shd w:val="clear" w:color="auto" w:fill="FFFFFF"/>
        </w:rPr>
        <w:t xml:space="preserve">La función registral de las Cámaras de Comercio ha sido unificada a través del Registro Único Empresarial y Social -RUES-, conformado, entre otros, por el Registro Mercantil, el Registro Único Empresarial -RUE-, el Registro Único de Proponentes -RUP- y el Registro de Entidades sin ánimo de lucro, todo para ofrecer al Estado, a la sociedad, a los empresarios, a los contratistas, a las entidades de economía solidaria y a las entidades sin ánimo de lucro una herramienta confiable de información unificada útil en el campo nacional y en el internacional. En ejercicio de la función registral asignada por la ley a las Cámaras de Comercio estas administran el Registro Único de proponente -RUP, como también regulan los procedimientos a aplicar para los actos de registro, clasificación y calificación de los mismos, recursos que se pueden interponer en contra de tales actos, derechos de las personas naturales y jurídicas inscritas, entre varias materias propias de esta actividad. En suma, las Cámaras de Comercio, mediante delegación de funciones tienen a su cargo la administración del RUP o Registro Único de Proponentes. Para </w:t>
      </w:r>
      <w:r w:rsidR="00FA0F7F" w:rsidRPr="002F035D">
        <w:rPr>
          <w:rFonts w:ascii="Verdana" w:hAnsi="Verdana" w:cs="Arial"/>
          <w:sz w:val="21"/>
          <w:szCs w:val="21"/>
          <w:shd w:val="clear" w:color="auto" w:fill="FFFFFF"/>
        </w:rPr>
        <w:lastRenderedPageBreak/>
        <w:t>la respectiva inscripción el Gobierno Nacional adoptó el formulario único, estableció cuáles son los documentos requeridos para la inscripción y aprobó el modelo de certificación que expiden las Cámaras. Con la información recaudada en el RUP las Cámaras conforman un registro especial de los inscritos, clasificándolos por actividades, especialidades y grupos, atendiendo a los bienes y servicios ofrecidos. El RUP tiene como finalidad suministrar a las entidades del Estado y en general a todas las personas interesadas en celebrar contratos, la información relacionada con un contratista, particularmente en lo relacionado con su experiencia contractual, idoneidad financiera y capacidad técnica. El RUP fue concebido por el legislador para (i) unificar la reglamentación y la información de todos los registros de proponentes, (</w:t>
      </w:r>
      <w:proofErr w:type="spellStart"/>
      <w:r w:rsidR="00FA0F7F" w:rsidRPr="002F035D">
        <w:rPr>
          <w:rFonts w:ascii="Verdana" w:hAnsi="Verdana" w:cs="Arial"/>
          <w:sz w:val="21"/>
          <w:szCs w:val="21"/>
          <w:shd w:val="clear" w:color="auto" w:fill="FFFFFF"/>
        </w:rPr>
        <w:t>ii</w:t>
      </w:r>
      <w:proofErr w:type="spellEnd"/>
      <w:r w:rsidR="00FA0F7F" w:rsidRPr="002F035D">
        <w:rPr>
          <w:rFonts w:ascii="Verdana" w:hAnsi="Verdana" w:cs="Arial"/>
          <w:sz w:val="21"/>
          <w:szCs w:val="21"/>
          <w:shd w:val="clear" w:color="auto" w:fill="FFFFFF"/>
        </w:rPr>
        <w:t>) simplificar la tarea de los contratistas en sus trámites respecto de la administración, haciendo que con la sola inscripción en la Cámara de Comercio del domicilio del proponente el interesado quede válidamente registrado ante todas las entidades del país, y (</w:t>
      </w:r>
      <w:proofErr w:type="spellStart"/>
      <w:r w:rsidR="00FA0F7F" w:rsidRPr="002F035D">
        <w:rPr>
          <w:rFonts w:ascii="Verdana" w:hAnsi="Verdana" w:cs="Arial"/>
          <w:sz w:val="21"/>
          <w:szCs w:val="21"/>
          <w:shd w:val="clear" w:color="auto" w:fill="FFFFFF"/>
        </w:rPr>
        <w:t>iii</w:t>
      </w:r>
      <w:proofErr w:type="spellEnd"/>
      <w:r w:rsidR="00FA0F7F" w:rsidRPr="002F035D">
        <w:rPr>
          <w:rFonts w:ascii="Verdana" w:hAnsi="Verdana" w:cs="Arial"/>
          <w:sz w:val="21"/>
          <w:szCs w:val="21"/>
          <w:shd w:val="clear" w:color="auto" w:fill="FFFFFF"/>
        </w:rPr>
        <w:t>) dar transparencia al proceso de inscripción en el registro. El artículo 6º de la ley 1150 de 2007 comprende tres partes: 6.1. Del proceso de inscripción en el Registro Único de Proponentes (RUP); 6.2. De la información sobre contratos, multas y sanciones a los inscritos y 6.3. De la impugnación de la inscripción en el Registro Único de Proponentes (RUP). El inciso quinto del numeral 6.3. prevé que cuando la Cámara de Comercio establezca la existencia de graves inconsistencias relacionadas con la información y el trámite propio de la inscripción en el RUP, procederá a cancelar la inscripción en el registro quedando el proponente inhabilitado para contratar con las entidades estatales por el término de cinco (5) años, sin perjuicio de las acciones penales a que haya lugar. Si el proponente reincide en esta clase de comportamiento, la Cámara de Comercio lo inhabilitará de manera permanente. Es decir, el segmento demandado hace parte del repertorio de medidas que las Cámaras de Comercio pueden adoptar en relación con el proponente registrado en el RUP que con sus actos dolosos defraude la confianza considerada como elemento fundamental de las relaciones contractuales con el Estado</w:t>
      </w:r>
      <w:r>
        <w:rPr>
          <w:rFonts w:ascii="Verdana" w:hAnsi="Verdana" w:cs="Arial"/>
          <w:sz w:val="21"/>
          <w:szCs w:val="21"/>
          <w:shd w:val="clear" w:color="auto" w:fill="FFFFFF"/>
        </w:rPr>
        <w:t>”</w:t>
      </w:r>
      <w:r w:rsidR="00FA0F7F" w:rsidRPr="002F035D">
        <w:rPr>
          <w:rStyle w:val="Refdenotaalpie"/>
          <w:rFonts w:ascii="Verdana" w:eastAsia="Calibri" w:hAnsi="Verdana" w:cs="Arial"/>
          <w:sz w:val="21"/>
          <w:szCs w:val="21"/>
        </w:rPr>
        <w:footnoteReference w:id="2"/>
      </w:r>
      <w:r w:rsidR="00FA0F7F" w:rsidRPr="002F035D">
        <w:rPr>
          <w:rFonts w:ascii="Verdana" w:hAnsi="Verdana" w:cs="Arial"/>
          <w:sz w:val="21"/>
          <w:szCs w:val="21"/>
          <w:shd w:val="clear" w:color="auto" w:fill="FFFFFF"/>
        </w:rPr>
        <w:t xml:space="preserve">. </w:t>
      </w:r>
    </w:p>
    <w:p w14:paraId="15B705AD" w14:textId="504FD13D" w:rsidR="22915521" w:rsidRDefault="22915521" w:rsidP="00E24FB2">
      <w:pPr>
        <w:spacing w:after="0" w:line="276" w:lineRule="auto"/>
        <w:jc w:val="both"/>
        <w:rPr>
          <w:rFonts w:ascii="Verdana" w:eastAsia="Calibri" w:hAnsi="Verdana" w:cs="Arial"/>
        </w:rPr>
      </w:pPr>
    </w:p>
    <w:p w14:paraId="4C454CC2" w14:textId="77777777" w:rsidR="00FA0F7F" w:rsidRDefault="00FA0F7F" w:rsidP="00FA0F7F">
      <w:pPr>
        <w:spacing w:after="0" w:line="276" w:lineRule="auto"/>
        <w:ind w:firstLine="709"/>
        <w:jc w:val="both"/>
        <w:rPr>
          <w:rFonts w:ascii="Verdana" w:eastAsia="Calibri" w:hAnsi="Verdana" w:cs="Arial"/>
        </w:rPr>
      </w:pPr>
      <w:r w:rsidRPr="002F035D">
        <w:rPr>
          <w:rFonts w:ascii="Verdana" w:eastAsia="Calibri" w:hAnsi="Verdana" w:cs="Arial"/>
        </w:rPr>
        <w:t xml:space="preserve">Bajo este contexto, la capacidad jurídica, las condiciones de experiencia, la capacidad financiera y de organización de los proponentes deberán verificarse exclusivamente con el Registro Único de Proponentes, pues constituye plena prueba de la información contenida en él. No obstante, el RUP no es exigible en algunos procedimientos de selección, como en la contratación directa, la mínima cuantía, la prestación de servicios de salud, enajenación de bienes del Estado, </w:t>
      </w:r>
      <w:r w:rsidRPr="002F035D">
        <w:rPr>
          <w:rFonts w:ascii="Verdana" w:eastAsia="Calibri" w:hAnsi="Verdana" w:cs="Arial"/>
        </w:rPr>
        <w:lastRenderedPageBreak/>
        <w:t>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p>
    <w:p w14:paraId="5C3081A8" w14:textId="45054233" w:rsidR="22915521" w:rsidRDefault="22915521" w:rsidP="22915521">
      <w:pPr>
        <w:spacing w:after="0" w:line="276" w:lineRule="auto"/>
        <w:jc w:val="both"/>
        <w:rPr>
          <w:rFonts w:ascii="Verdana" w:eastAsia="Calibri" w:hAnsi="Verdana" w:cs="Arial"/>
        </w:rPr>
      </w:pPr>
    </w:p>
    <w:p w14:paraId="70EC0816" w14:textId="77777777" w:rsidR="00FA0F7F" w:rsidRPr="002F035D" w:rsidRDefault="00FA0F7F" w:rsidP="00FA0F7F">
      <w:pPr>
        <w:spacing w:after="0" w:line="276" w:lineRule="auto"/>
        <w:jc w:val="both"/>
        <w:rPr>
          <w:rFonts w:ascii="Verdana" w:eastAsia="Calibri" w:hAnsi="Verdana" w:cs="Arial"/>
        </w:rPr>
      </w:pPr>
      <w:r w:rsidRPr="002F035D">
        <w:rPr>
          <w:rFonts w:ascii="Verdana" w:hAnsi="Verdana" w:cs="Arial"/>
        </w:rPr>
        <w:t xml:space="preserve">v. </w:t>
      </w:r>
      <w:r w:rsidRPr="002F035D">
        <w:rPr>
          <w:rFonts w:ascii="Verdana" w:eastAsia="Calibri" w:hAnsi="Verdana" w:cs="Arial"/>
        </w:rPr>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w:t>
      </w:r>
    </w:p>
    <w:p w14:paraId="29FF38C4" w14:textId="77777777" w:rsidR="00FA0F7F" w:rsidRPr="002F035D" w:rsidRDefault="00FA0F7F" w:rsidP="00E24FB2">
      <w:pPr>
        <w:spacing w:after="0" w:line="276" w:lineRule="auto"/>
        <w:jc w:val="both"/>
        <w:rPr>
          <w:rFonts w:ascii="Verdana" w:eastAsia="Calibri" w:hAnsi="Verdana" w:cs="Arial"/>
        </w:rPr>
      </w:pPr>
    </w:p>
    <w:p w14:paraId="3F318BF3" w14:textId="77777777" w:rsidR="00FA0F7F" w:rsidRPr="002F035D" w:rsidRDefault="00FA0F7F" w:rsidP="00FA0F7F">
      <w:pPr>
        <w:pStyle w:val="Prrafodelista"/>
        <w:numPr>
          <w:ilvl w:val="0"/>
          <w:numId w:val="18"/>
        </w:numPr>
        <w:spacing w:after="0" w:line="276" w:lineRule="auto"/>
        <w:jc w:val="both"/>
        <w:rPr>
          <w:rFonts w:ascii="Verdana" w:eastAsia="Calibri" w:hAnsi="Verdana" w:cs="Arial"/>
        </w:rPr>
      </w:pPr>
      <w:r w:rsidRPr="002F035D">
        <w:rPr>
          <w:rFonts w:ascii="Verdana" w:eastAsia="Calibri" w:hAnsi="Verdana" w:cs="Arial"/>
        </w:rPr>
        <w:t>No se requiere el RUP respecto de los proponentes que pretenden celebrar los contratos enunciados en el inciso segundo del artículo 6 de la ley 1150, así como en los eventos de contratación directa.</w:t>
      </w:r>
    </w:p>
    <w:p w14:paraId="6AD2AD76" w14:textId="77777777" w:rsidR="00FA0F7F" w:rsidRPr="002F035D" w:rsidRDefault="00FA0F7F" w:rsidP="00FA0F7F">
      <w:pPr>
        <w:pStyle w:val="Prrafodelista"/>
        <w:numPr>
          <w:ilvl w:val="0"/>
          <w:numId w:val="18"/>
        </w:numPr>
        <w:spacing w:before="240" w:after="0" w:line="276" w:lineRule="auto"/>
        <w:jc w:val="both"/>
        <w:rPr>
          <w:rFonts w:ascii="Verdana" w:eastAsia="Calibri" w:hAnsi="Verdana" w:cs="Arial"/>
        </w:rPr>
      </w:pPr>
      <w:r w:rsidRPr="002F035D">
        <w:rPr>
          <w:rFonts w:ascii="Verdana" w:eastAsia="Calibri" w:hAnsi="Verdana" w:cs="Arial"/>
        </w:rPr>
        <w:t>Tratándose de personas naturales extranjeras sin domicilio en el país o de personas jurídicas extranjeras que no tengan sucursal en Colombia, o en aquellos casos en que el procedimiento de selección haya utilizado sistemas de precalificación.</w:t>
      </w:r>
    </w:p>
    <w:p w14:paraId="2F556CF2" w14:textId="77777777" w:rsidR="00FA0F7F" w:rsidRPr="002F035D" w:rsidRDefault="00FA0F7F" w:rsidP="00FA0F7F">
      <w:pPr>
        <w:pStyle w:val="Prrafodelista"/>
        <w:numPr>
          <w:ilvl w:val="0"/>
          <w:numId w:val="18"/>
        </w:numPr>
        <w:spacing w:after="0" w:line="276" w:lineRule="auto"/>
        <w:jc w:val="both"/>
        <w:rPr>
          <w:rFonts w:ascii="Verdana" w:eastAsia="Calibri" w:hAnsi="Verdana" w:cs="Arial"/>
        </w:rPr>
      </w:pPr>
      <w:r w:rsidRPr="002F035D">
        <w:rPr>
          <w:rFonts w:ascii="Verdana" w:eastAsia="Calibri" w:hAnsi="Verdana" w:cs="Arial"/>
        </w:rPr>
        <w:t>Cuando por las características del objeto a contratar se requiera verificar requisitos del proponente adicionales a los contenidos en el RUP, caso donde puede exigirse el registro; solo que habrá información adicional que podrá verificar la entidad directamente.</w:t>
      </w:r>
    </w:p>
    <w:p w14:paraId="7B415B19" w14:textId="77777777" w:rsidR="00FA0F7F" w:rsidRPr="002F035D" w:rsidRDefault="00FA0F7F" w:rsidP="00FA0F7F">
      <w:pPr>
        <w:spacing w:after="0" w:line="276" w:lineRule="auto"/>
        <w:ind w:firstLine="708"/>
        <w:jc w:val="both"/>
        <w:rPr>
          <w:rFonts w:ascii="Verdana" w:eastAsia="Calibri" w:hAnsi="Verdana" w:cs="Arial"/>
        </w:rPr>
      </w:pPr>
    </w:p>
    <w:p w14:paraId="1550D076" w14:textId="77777777" w:rsidR="00FA0F7F" w:rsidRDefault="00FA0F7F" w:rsidP="00FA0F7F">
      <w:pPr>
        <w:spacing w:after="0" w:line="276" w:lineRule="auto"/>
        <w:ind w:firstLine="709"/>
        <w:jc w:val="both"/>
        <w:rPr>
          <w:rFonts w:ascii="Verdana" w:eastAsia="Calibri" w:hAnsi="Verdana" w:cs="Arial"/>
        </w:rPr>
      </w:pPr>
      <w:r w:rsidRPr="002F035D">
        <w:rPr>
          <w:rFonts w:ascii="Verdana" w:eastAsia="Calibri" w:hAnsi="Verdana" w:cs="Arial"/>
        </w:rPr>
        <w:t>Además de lo anterior, tampoco es un requisito obligatorio estar inscrito en el registro para celebrar los contratos con entidades privadas sin ánimo de lucro, con fundamento en el régimen establecido en el Decreto 092 de 2017, al igual que para participar en procedimientos de selección de entidades que no se rigen por el Estatuto General de Contratación de la Administración Pública, esto es, para celebrar contratos que tienen un régimen especial.</w:t>
      </w:r>
    </w:p>
    <w:p w14:paraId="26C7C536" w14:textId="0A7F7637" w:rsidR="22915521" w:rsidRDefault="22915521" w:rsidP="00E24FB2">
      <w:pPr>
        <w:spacing w:after="0" w:line="276" w:lineRule="auto"/>
        <w:jc w:val="both"/>
        <w:rPr>
          <w:rFonts w:ascii="Verdana" w:eastAsia="Calibri" w:hAnsi="Verdana" w:cs="Arial"/>
        </w:rPr>
      </w:pPr>
    </w:p>
    <w:p w14:paraId="0E036806" w14:textId="77777777" w:rsidR="00FA0F7F" w:rsidRPr="002F035D" w:rsidRDefault="00FA0F7F" w:rsidP="00FA0F7F">
      <w:pPr>
        <w:spacing w:after="0" w:line="276" w:lineRule="auto"/>
        <w:jc w:val="both"/>
        <w:rPr>
          <w:rFonts w:ascii="Verdana" w:eastAsia="Calibri" w:hAnsi="Verdana" w:cs="Arial"/>
        </w:rPr>
      </w:pPr>
      <w:r>
        <w:rPr>
          <w:rFonts w:ascii="Verdana" w:eastAsia="Calibri" w:hAnsi="Verdana" w:cs="Arial"/>
        </w:rPr>
        <w:t>vi. Por regla general, además de lo manifestado por los interesados, las entidades podrán verificar situaciones de control a través del RUP. En caso de que el registro no sea obligatorio, el pliego de condiciones debe establecer el mecanismo de validación correspondiente. Lo usual es que todos los documentos de la oferta se entreguen antes de cierre del proceso. Sin embargo, e</w:t>
      </w:r>
      <w:r w:rsidRPr="00543C90">
        <w:rPr>
          <w:rFonts w:ascii="Verdana" w:eastAsia="Calibri" w:hAnsi="Verdana" w:cs="Arial"/>
        </w:rPr>
        <w:t xml:space="preserve">l literal a) </w:t>
      </w:r>
      <w:r w:rsidRPr="00543C90">
        <w:rPr>
          <w:rFonts w:ascii="Verdana" w:eastAsia="Calibri" w:hAnsi="Verdana" w:cs="Arial"/>
        </w:rPr>
        <w:lastRenderedPageBreak/>
        <w:t>del artículo 2.1.4.3.2.1 del Decreto 1081 de 2015, adicionado por el artículo 1 del Decreto 1600 de 2024, dispone</w:t>
      </w:r>
      <w:r>
        <w:rPr>
          <w:rFonts w:ascii="Verdana" w:eastAsia="Calibri" w:hAnsi="Verdana" w:cs="Arial"/>
        </w:rPr>
        <w:t xml:space="preserve"> que </w:t>
      </w:r>
      <w:r w:rsidRPr="00543C90">
        <w:rPr>
          <w:rFonts w:ascii="Verdana" w:eastAsia="Calibri" w:hAnsi="Verdana" w:cs="Arial"/>
        </w:rPr>
        <w:t>“[…] en el término máximo de tres (3) días después del momento en que se cierre definitivamente la presentación de ofertas, deberán poner de presente la existencia o no de situaciones de control de las que participen</w:t>
      </w:r>
      <w:r>
        <w:rPr>
          <w:rFonts w:ascii="Verdana" w:eastAsia="Calibri" w:hAnsi="Verdana" w:cs="Arial"/>
        </w:rPr>
        <w:t xml:space="preserve"> […]”. Por tanto, si se entregó la información antes del cierre, la Agencia estima que no es necesario un nuevo requerimiento, pues con la entregada inicialmente la entidad puede verificar la existencia o no grupo empresarial en la que existan relaciones de subordinación conforme a los artículos 260 y 261 del Código de Comercio. </w:t>
      </w:r>
      <w:r w:rsidRPr="002F035D">
        <w:rPr>
          <w:rFonts w:ascii="Verdana" w:eastAsia="Calibri" w:hAnsi="Verdana" w:cs="Arial"/>
        </w:rPr>
        <w:tab/>
      </w:r>
    </w:p>
    <w:p w14:paraId="4CF23769" w14:textId="217E8D23" w:rsidR="22915521" w:rsidRDefault="22915521" w:rsidP="22915521">
      <w:pPr>
        <w:spacing w:after="0" w:line="276" w:lineRule="auto"/>
        <w:jc w:val="both"/>
        <w:rPr>
          <w:rFonts w:ascii="Verdana" w:eastAsia="Calibri" w:hAnsi="Verdana" w:cs="Arial"/>
          <w:color w:val="000000" w:themeColor="text1"/>
        </w:rPr>
      </w:pPr>
    </w:p>
    <w:p w14:paraId="7635FF2C" w14:textId="4FC2C8A2" w:rsidR="22915521" w:rsidRPr="00E24FB2" w:rsidRDefault="00FA0F7F" w:rsidP="22915521">
      <w:pPr>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vii</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2DC1EDF" w14:textId="77777777" w:rsidR="00FA0F7F" w:rsidRPr="00185EE9" w:rsidRDefault="00FA0F7F" w:rsidP="00FA0F7F">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w:t>
      </w:r>
      <w:r>
        <w:rPr>
          <w:rFonts w:ascii="Verdana" w:eastAsia="Calibri" w:hAnsi="Verdana" w:cs="Arial"/>
          <w:bCs/>
          <w:color w:val="000000" w:themeColor="text1"/>
        </w:rPr>
        <w:t xml:space="preserve"> los aspectos puntuales d</w:t>
      </w:r>
      <w:r w:rsidRPr="00E853DE">
        <w:rPr>
          <w:rFonts w:ascii="Verdana" w:eastAsia="Calibri" w:hAnsi="Verdana" w:cs="Arial"/>
          <w:bCs/>
          <w:color w:val="000000" w:themeColor="text1"/>
        </w:rPr>
        <w:t>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319941DB" w14:textId="77777777" w:rsidR="00FA0F7F" w:rsidRPr="00182C89" w:rsidRDefault="00FA0F7F" w:rsidP="00FA0F7F">
      <w:pPr>
        <w:tabs>
          <w:tab w:val="left" w:pos="709"/>
        </w:tabs>
        <w:spacing w:after="0" w:line="276" w:lineRule="auto"/>
        <w:jc w:val="both"/>
        <w:rPr>
          <w:rFonts w:ascii="Verdana" w:eastAsia="Calibri" w:hAnsi="Verdana" w:cs="Arial"/>
          <w:color w:val="000000" w:themeColor="text1"/>
        </w:rPr>
      </w:pPr>
    </w:p>
    <w:p w14:paraId="5F80372A" w14:textId="77777777" w:rsidR="00FA0F7F" w:rsidRPr="00593A5F" w:rsidRDefault="00FA0F7F" w:rsidP="00FA0F7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54D12078" w14:textId="77777777" w:rsidR="00FA0F7F" w:rsidRPr="00593A5F" w:rsidRDefault="00FA0F7F" w:rsidP="00FA0F7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A0F7F" w:rsidRPr="002407CE" w14:paraId="7B67D742" w14:textId="77777777" w:rsidTr="00743658">
        <w:trPr>
          <w:trHeight w:val="870"/>
          <w:jc w:val="center"/>
        </w:trPr>
        <w:tc>
          <w:tcPr>
            <w:tcW w:w="8647" w:type="dxa"/>
          </w:tcPr>
          <w:p w14:paraId="75D7901B" w14:textId="77777777" w:rsidR="00FA0F7F" w:rsidRDefault="00FA0F7F" w:rsidP="0074365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Constitución Política de 1991, artículo 209.</w:t>
            </w:r>
          </w:p>
          <w:p w14:paraId="69C046F4" w14:textId="77777777" w:rsidR="00FA0F7F" w:rsidRDefault="00FA0F7F" w:rsidP="0074365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489 de 1998, artículo 3.</w:t>
            </w:r>
          </w:p>
          <w:p w14:paraId="106EF51B" w14:textId="77777777" w:rsidR="00FA0F7F" w:rsidRDefault="00FA0F7F" w:rsidP="0074365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1150 de 2007, artículos 5 y 6.</w:t>
            </w:r>
          </w:p>
          <w:p w14:paraId="0BBDC6F5" w14:textId="77777777" w:rsidR="00FA0F7F" w:rsidRPr="007E24E6" w:rsidRDefault="00FA0F7F" w:rsidP="0074365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lastRenderedPageBreak/>
              <w:t>Ley 1447 de 2011, artículo 13.</w:t>
            </w:r>
          </w:p>
          <w:p w14:paraId="0A8656AF" w14:textId="77777777" w:rsidR="00FA0F7F" w:rsidRPr="007E24E6" w:rsidRDefault="00FA0F7F" w:rsidP="0074365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 xml:space="preserve">Decreto 1081 de 2015, </w:t>
            </w:r>
            <w:r w:rsidRPr="007E24E6">
              <w:rPr>
                <w:rFonts w:ascii="Verdana" w:hAnsi="Verdana" w:cs="Arial"/>
              </w:rPr>
              <w:t>artículo 2.1.4.3.2.1</w:t>
            </w:r>
            <w:r>
              <w:rPr>
                <w:rFonts w:ascii="Verdana" w:hAnsi="Verdana" w:cs="Arial"/>
              </w:rPr>
              <w:t>.</w:t>
            </w:r>
          </w:p>
          <w:p w14:paraId="5EB83B75" w14:textId="77777777" w:rsidR="00FA0F7F" w:rsidRPr="007E24E6" w:rsidRDefault="00FA0F7F" w:rsidP="0074365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 xml:space="preserve">Decreto 1082 de 2015, artículo </w:t>
            </w:r>
            <w:r w:rsidRPr="007E24E6">
              <w:rPr>
                <w:rFonts w:ascii="Verdana" w:hAnsi="Verdana" w:cs="Arial"/>
              </w:rPr>
              <w:t>2.2.1.1.1.5.2</w:t>
            </w:r>
            <w:r>
              <w:rPr>
                <w:rFonts w:ascii="Verdana" w:hAnsi="Verdana" w:cs="Arial"/>
              </w:rPr>
              <w:t>.</w:t>
            </w:r>
          </w:p>
          <w:p w14:paraId="5CCDE712" w14:textId="77777777" w:rsidR="00FA0F7F" w:rsidRPr="008823C6" w:rsidRDefault="00FA0F7F" w:rsidP="0074365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7E24E6">
              <w:rPr>
                <w:rFonts w:ascii="Verdana" w:hAnsi="Verdana" w:cs="Arial"/>
                <w:color w:val="000000" w:themeColor="text1"/>
                <w:lang w:val="es-ES_tradnl"/>
              </w:rPr>
              <w:t>Decreto 1600 de 2024</w:t>
            </w:r>
            <w:r>
              <w:rPr>
                <w:rFonts w:ascii="Verdana" w:hAnsi="Verdana" w:cs="Arial"/>
                <w:color w:val="000000" w:themeColor="text1"/>
                <w:lang w:val="es-ES_tradnl"/>
              </w:rPr>
              <w:t>, artículo 1.</w:t>
            </w:r>
          </w:p>
          <w:p w14:paraId="62268922" w14:textId="77777777" w:rsidR="00FA0F7F" w:rsidRPr="00FF09AA" w:rsidRDefault="00FA0F7F" w:rsidP="00743658">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Pr>
                <w:rFonts w:ascii="Verdana" w:hAnsi="Verdana" w:cs="Arial"/>
              </w:rPr>
              <w:t>Código de Comercio, artículos 260 y 261.</w:t>
            </w:r>
          </w:p>
        </w:tc>
      </w:tr>
    </w:tbl>
    <w:p w14:paraId="59B9ED1F" w14:textId="77777777" w:rsidR="00FA0F7F" w:rsidRPr="002407CE" w:rsidRDefault="00FA0F7F" w:rsidP="00FA0F7F">
      <w:pPr>
        <w:widowControl w:val="0"/>
        <w:autoSpaceDE w:val="0"/>
        <w:autoSpaceDN w:val="0"/>
        <w:spacing w:after="0" w:line="276" w:lineRule="auto"/>
        <w:jc w:val="both"/>
        <w:rPr>
          <w:rFonts w:ascii="Verdana" w:hAnsi="Verdana" w:cs="Arial"/>
        </w:rPr>
      </w:pPr>
    </w:p>
    <w:p w14:paraId="4CCA988D" w14:textId="77777777" w:rsidR="00FA0F7F" w:rsidRPr="00593A5F" w:rsidRDefault="00FA0F7F" w:rsidP="00FA0F7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34B2E58" w14:textId="77777777" w:rsidR="00FA0F7F" w:rsidRPr="00593A5F" w:rsidRDefault="00FA0F7F" w:rsidP="00FA0F7F">
      <w:pPr>
        <w:widowControl w:val="0"/>
        <w:autoSpaceDE w:val="0"/>
        <w:autoSpaceDN w:val="0"/>
        <w:spacing w:after="0" w:line="276" w:lineRule="auto"/>
        <w:jc w:val="both"/>
        <w:rPr>
          <w:rFonts w:ascii="Verdana" w:hAnsi="Verdana" w:cs="Arial"/>
        </w:rPr>
      </w:pPr>
    </w:p>
    <w:p w14:paraId="463DA6A2" w14:textId="77777777" w:rsidR="00FA0F7F" w:rsidRPr="00003886" w:rsidRDefault="00FA0F7F" w:rsidP="00FA0F7F">
      <w:pPr>
        <w:widowControl w:val="0"/>
        <w:autoSpaceDE w:val="0"/>
        <w:autoSpaceDN w:val="0"/>
        <w:spacing w:after="0" w:line="276" w:lineRule="auto"/>
        <w:jc w:val="both"/>
        <w:rPr>
          <w:rStyle w:val="normaltextrun"/>
          <w:rFonts w:ascii="Verdana" w:hAnsi="Verdana" w:cs="Arial"/>
          <w:shd w:val="clear" w:color="auto" w:fill="FFFFFF"/>
        </w:rPr>
      </w:pPr>
      <w:r w:rsidRPr="00003886">
        <w:rPr>
          <w:rFonts w:ascii="Verdana" w:hAnsi="Verdana" w:cs="Arial"/>
          <w:shd w:val="clear" w:color="auto" w:fill="FFFFFF"/>
        </w:rPr>
        <w:t xml:space="preserve">Esta Subdirección se ha pronunciado sobre </w:t>
      </w:r>
      <w:r>
        <w:rPr>
          <w:rFonts w:ascii="Verdana" w:hAnsi="Verdana" w:cs="Arial"/>
          <w:shd w:val="clear" w:color="auto" w:fill="FFFFFF"/>
        </w:rPr>
        <w:t>el Decreto 1600 de 2024 en los Conceptos C-292 del 21 de abril de 2025, C-586 del 25 de junio de 2025, C-818 del 15 de julio de 2025 y C-867 del 15 de julio de 2025</w:t>
      </w:r>
      <w:r>
        <w:rPr>
          <w:rFonts w:ascii="Verdana" w:hAnsi="Verdana"/>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1"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462E6553" w14:textId="77777777" w:rsidR="00FA0F7F" w:rsidRPr="00096788" w:rsidRDefault="00FA0F7F" w:rsidP="00FA0F7F">
      <w:pPr>
        <w:widowControl w:val="0"/>
        <w:autoSpaceDE w:val="0"/>
        <w:autoSpaceDN w:val="0"/>
        <w:spacing w:after="0" w:line="276" w:lineRule="auto"/>
        <w:jc w:val="both"/>
        <w:rPr>
          <w:rFonts w:ascii="Verdana" w:hAnsi="Verdana" w:cs="Arial"/>
          <w:color w:val="000000" w:themeColor="text1"/>
          <w:shd w:val="clear" w:color="auto" w:fill="FFFFFF"/>
        </w:rPr>
      </w:pPr>
    </w:p>
    <w:p w14:paraId="7CF1FE23" w14:textId="77777777" w:rsidR="00FA0F7F" w:rsidRPr="001205D1" w:rsidRDefault="00FA0F7F" w:rsidP="22915521">
      <w:pPr>
        <w:shd w:val="clear" w:color="auto" w:fill="FFFFFF" w:themeFill="background1"/>
        <w:spacing w:after="0" w:line="276" w:lineRule="auto"/>
        <w:jc w:val="both"/>
        <w:rPr>
          <w:rFonts w:ascii="Verdana" w:hAnsi="Verdana"/>
          <w:color w:val="467886"/>
          <w:u w:val="single"/>
        </w:rPr>
      </w:pPr>
      <w:r w:rsidRPr="22915521">
        <w:rPr>
          <w:rFonts w:ascii="Verdana" w:hAnsi="Verdana"/>
          <w:color w:val="000000" w:themeColor="text1"/>
        </w:rPr>
        <w:t>Te informamos que ya se encuentra disponible la </w:t>
      </w:r>
      <w:r w:rsidRPr="22915521">
        <w:rPr>
          <w:rFonts w:ascii="Verdana" w:hAnsi="Verdana"/>
          <w:b/>
          <w:color w:val="000000" w:themeColor="text1"/>
        </w:rPr>
        <w:t>Guía de lineamientos de transparencia y selección objetiva para el departamento de La Guajira – Objetivo sexto constitucional de la Sentencia T-302 del 2017. </w:t>
      </w:r>
      <w:r w:rsidRPr="22915521">
        <w:rPr>
          <w:rFonts w:ascii="Verdana" w:hAnsi="Verdana"/>
          <w:color w:val="000000" w:themeColor="text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22915521">
        <w:rPr>
          <w:rFonts w:ascii="Verdana" w:hAnsi="Verdana"/>
          <w:color w:val="000000" w:themeColor="text1"/>
        </w:rPr>
        <w:t>Wayúu</w:t>
      </w:r>
      <w:proofErr w:type="spellEnd"/>
      <w:r w:rsidRPr="22915521">
        <w:rPr>
          <w:rFonts w:ascii="Verdana" w:hAnsi="Verdana"/>
          <w:color w:val="000000" w:themeColor="text1"/>
        </w:rPr>
        <w:t>. Puede consultar la guía en el siguiente enlace: </w:t>
      </w:r>
      <w:hyperlink r:id="rId12">
        <w:r w:rsidRPr="22915521">
          <w:rPr>
            <w:rStyle w:val="Hipervnculo"/>
            <w:rFonts w:ascii="Verdana" w:hAnsi="Verdana"/>
          </w:rPr>
          <w:t>Guía de lineamientos de transparencia y selección objetiva para el departamento de La Guajira – Objetivo sexto constitucional de la Sentencia T-302 del 2017</w:t>
        </w:r>
      </w:hyperlink>
      <w:r w:rsidRPr="22915521">
        <w:rPr>
          <w:rFonts w:ascii="Verdana" w:hAnsi="Verdana"/>
          <w:color w:val="000000" w:themeColor="text1"/>
          <w:u w:val="single"/>
        </w:rPr>
        <w:t>.</w:t>
      </w:r>
    </w:p>
    <w:p w14:paraId="6AAF6E83" w14:textId="1241BAE4" w:rsidR="00FA0F7F" w:rsidRPr="009C4035" w:rsidRDefault="00FA0F7F" w:rsidP="00FA0F7F">
      <w:pPr>
        <w:widowControl w:val="0"/>
        <w:autoSpaceDE w:val="0"/>
        <w:autoSpaceDN w:val="0"/>
        <w:spacing w:after="0" w:line="276" w:lineRule="auto"/>
        <w:jc w:val="both"/>
        <w:rPr>
          <w:rFonts w:ascii="Verdana" w:hAnsi="Verdana" w:cs="Arial"/>
          <w:color w:val="FF0000"/>
          <w:shd w:val="clear" w:color="auto" w:fill="FFFFFF"/>
          <w:lang w:val="es-ES_tradnl"/>
        </w:rPr>
      </w:pPr>
    </w:p>
    <w:p w14:paraId="672F83B6" w14:textId="77777777" w:rsidR="00FA0F7F" w:rsidRPr="00593A5F" w:rsidRDefault="00FA0F7F" w:rsidP="00FA0F7F">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4DCBB14" w14:textId="77777777" w:rsidR="00FA0F7F" w:rsidRPr="00593A5F" w:rsidRDefault="00FA0F7F" w:rsidP="00FA0F7F">
      <w:pPr>
        <w:widowControl w:val="0"/>
        <w:autoSpaceDE w:val="0"/>
        <w:autoSpaceDN w:val="0"/>
        <w:spacing w:after="0" w:line="276" w:lineRule="auto"/>
        <w:jc w:val="both"/>
        <w:rPr>
          <w:rFonts w:ascii="Verdana" w:hAnsi="Verdana" w:cs="Arial"/>
        </w:rPr>
      </w:pPr>
    </w:p>
    <w:p w14:paraId="4301BF90" w14:textId="77777777" w:rsidR="00FA0F7F" w:rsidRPr="00593A5F" w:rsidRDefault="00FA0F7F" w:rsidP="00FA0F7F">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97C89EA" w14:textId="673271F4" w:rsidR="5F0D23E1" w:rsidRDefault="00EC2870" w:rsidP="6AC275C5">
      <w:pPr>
        <w:spacing w:after="0" w:line="240" w:lineRule="auto"/>
        <w:jc w:val="center"/>
      </w:pPr>
      <w:r>
        <w:rPr>
          <w:noProof/>
        </w:rPr>
        <w:lastRenderedPageBreak/>
        <w:drawing>
          <wp:inline distT="0" distB="0" distL="0" distR="0" wp14:anchorId="154A7AC8" wp14:editId="6554F5AA">
            <wp:extent cx="4241800" cy="1778000"/>
            <wp:effectExtent l="0" t="0" r="0" b="0"/>
            <wp:docPr id="10848952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95296" name="Imagen 1"/>
                    <pic:cNvPicPr>
                      <a:picLocks noChangeAspect="1"/>
                    </pic:cNvPicPr>
                  </pic:nvPicPr>
                  <pic:blipFill>
                    <a:blip r:embed="rId13"/>
                    <a:stretch>
                      <a:fillRect/>
                    </a:stretch>
                  </pic:blipFill>
                  <pic:spPr>
                    <a:xfrm>
                      <a:off x="0" y="0"/>
                      <a:ext cx="4241800" cy="1778000"/>
                    </a:xfrm>
                    <a:prstGeom prst="rect">
                      <a:avLst/>
                    </a:prstGeom>
                  </pic:spPr>
                </pic:pic>
              </a:graphicData>
            </a:graphic>
          </wp:inline>
        </w:drawing>
      </w:r>
    </w:p>
    <w:p w14:paraId="426F3340" w14:textId="2DFCD109" w:rsidR="00FA0F7F" w:rsidRDefault="00FA0F7F" w:rsidP="6AC275C5">
      <w:pPr>
        <w:spacing w:after="0" w:line="240" w:lineRule="auto"/>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A0F7F" w:rsidRPr="00593A5F" w14:paraId="54C63EAA" w14:textId="77777777" w:rsidTr="00743658">
        <w:trPr>
          <w:trHeight w:val="315"/>
        </w:trPr>
        <w:tc>
          <w:tcPr>
            <w:tcW w:w="893" w:type="dxa"/>
            <w:vAlign w:val="center"/>
            <w:hideMark/>
          </w:tcPr>
          <w:p w14:paraId="7AC07189" w14:textId="77777777" w:rsidR="00FA0F7F" w:rsidRPr="003751C7" w:rsidRDefault="00FA0F7F" w:rsidP="00743658">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3D08503" w14:textId="77777777" w:rsidR="00FA0F7F" w:rsidRPr="00254A7A" w:rsidRDefault="00FA0F7F" w:rsidP="00743658">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318BA1AD" w14:textId="77777777" w:rsidR="00FA0F7F" w:rsidRPr="00254A7A" w:rsidRDefault="00FA0F7F" w:rsidP="00743658">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FA0F7F" w:rsidRPr="00593A5F" w14:paraId="2D5503AA" w14:textId="77777777" w:rsidTr="00743658">
        <w:trPr>
          <w:trHeight w:val="330"/>
        </w:trPr>
        <w:tc>
          <w:tcPr>
            <w:tcW w:w="893" w:type="dxa"/>
            <w:vAlign w:val="center"/>
            <w:hideMark/>
          </w:tcPr>
          <w:p w14:paraId="545EF146" w14:textId="77777777" w:rsidR="00FA0F7F" w:rsidRPr="003751C7" w:rsidRDefault="00FA0F7F" w:rsidP="00743658">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5AEB63" w14:textId="77777777" w:rsidR="00FA0F7F" w:rsidRPr="001B6B73" w:rsidRDefault="00FA0F7F" w:rsidP="00743658">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10051075" w14:textId="77777777" w:rsidR="00FA0F7F" w:rsidRPr="00254A7A" w:rsidRDefault="00FA0F7F" w:rsidP="00743658">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FA0F7F" w:rsidRPr="00593A5F" w14:paraId="7FB7B1A7" w14:textId="77777777" w:rsidTr="00743658">
        <w:trPr>
          <w:trHeight w:val="300"/>
        </w:trPr>
        <w:tc>
          <w:tcPr>
            <w:tcW w:w="893" w:type="dxa"/>
            <w:vAlign w:val="center"/>
          </w:tcPr>
          <w:p w14:paraId="317A5C36" w14:textId="77777777" w:rsidR="00FA0F7F" w:rsidRPr="003751C7" w:rsidRDefault="00FA0F7F" w:rsidP="00743658">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E305A16" w14:textId="77777777" w:rsidR="00FA0F7F" w:rsidRPr="000D30B9" w:rsidRDefault="00FA0F7F" w:rsidP="00743658">
            <w:pPr>
              <w:contextualSpacing/>
              <w:rPr>
                <w:rFonts w:ascii="Verdana" w:eastAsia="Calibri" w:hAnsi="Verdana" w:cs="Arial"/>
                <w:sz w:val="16"/>
                <w:szCs w:val="16"/>
                <w:lang w:val="es-ES_tradnl" w:eastAsia="es-ES"/>
              </w:rPr>
            </w:pPr>
            <w:r w:rsidRPr="000D30B9">
              <w:rPr>
                <w:rFonts w:ascii="Verdana" w:eastAsia="Calibri" w:hAnsi="Verdana" w:cs="Arial"/>
                <w:sz w:val="16"/>
                <w:szCs w:val="16"/>
                <w:lang w:val="es-ES_tradnl" w:eastAsia="es-ES"/>
              </w:rPr>
              <w:t>Ana María Tolosa Rico</w:t>
            </w:r>
          </w:p>
          <w:p w14:paraId="5FFCC8FE" w14:textId="77777777" w:rsidR="00FA0F7F" w:rsidRPr="003751C7" w:rsidRDefault="00FA0F7F" w:rsidP="00743658">
            <w:pPr>
              <w:contextualSpacing/>
              <w:rPr>
                <w:rFonts w:ascii="Verdana" w:eastAsia="Calibri" w:hAnsi="Verdana" w:cs="Arial"/>
                <w:sz w:val="16"/>
                <w:szCs w:val="16"/>
                <w:lang w:val="pt-BR" w:eastAsia="es-ES"/>
              </w:rPr>
            </w:pPr>
            <w:r w:rsidRPr="000D30B9">
              <w:rPr>
                <w:rFonts w:ascii="Verdana" w:eastAsia="Calibri" w:hAnsi="Verdana" w:cs="Arial"/>
                <w:sz w:val="16"/>
                <w:szCs w:val="16"/>
                <w:lang w:val="es-ES_tradnl" w:eastAsia="es-ES"/>
              </w:rPr>
              <w:t>Subdirectora de Gestión Contractual (E)</w:t>
            </w:r>
          </w:p>
        </w:tc>
      </w:tr>
    </w:tbl>
    <w:p w14:paraId="45275DC3" w14:textId="77777777" w:rsidR="00FA0F7F" w:rsidRPr="00543BFE" w:rsidRDefault="00FA0F7F" w:rsidP="00FA0F7F"/>
    <w:p w14:paraId="1244D2B1" w14:textId="77777777" w:rsidR="00FA0F7F" w:rsidRPr="00543BFE" w:rsidRDefault="00FA0F7F" w:rsidP="00FA0F7F"/>
    <w:p w14:paraId="3900974D" w14:textId="77777777" w:rsidR="003D5B0D" w:rsidRPr="004F46A2" w:rsidRDefault="003D5B0D" w:rsidP="004F46A2"/>
    <w:sectPr w:rsidR="003D5B0D" w:rsidRPr="004F46A2"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F364D" w14:textId="77777777" w:rsidR="009F5CA8" w:rsidRDefault="009F5CA8" w:rsidP="004A1847">
      <w:pPr>
        <w:spacing w:after="0" w:line="240" w:lineRule="auto"/>
      </w:pPr>
      <w:r>
        <w:separator/>
      </w:r>
    </w:p>
  </w:endnote>
  <w:endnote w:type="continuationSeparator" w:id="0">
    <w:p w14:paraId="297B6CDC" w14:textId="77777777" w:rsidR="009F5CA8" w:rsidRDefault="009F5CA8" w:rsidP="004A1847">
      <w:pPr>
        <w:spacing w:after="0" w:line="240" w:lineRule="auto"/>
      </w:pPr>
      <w:r>
        <w:continuationSeparator/>
      </w:r>
    </w:p>
  </w:endnote>
  <w:endnote w:type="continuationNotice" w:id="1">
    <w:p w14:paraId="0959A778" w14:textId="77777777" w:rsidR="009F5CA8" w:rsidRDefault="009F5C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Arial"/>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altName w:val="Arial"/>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13241" w14:textId="77777777" w:rsidR="009F5CA8" w:rsidRDefault="009F5CA8" w:rsidP="004A1847">
      <w:pPr>
        <w:spacing w:after="0" w:line="240" w:lineRule="auto"/>
      </w:pPr>
      <w:r>
        <w:separator/>
      </w:r>
    </w:p>
  </w:footnote>
  <w:footnote w:type="continuationSeparator" w:id="0">
    <w:p w14:paraId="4680D27A" w14:textId="77777777" w:rsidR="009F5CA8" w:rsidRDefault="009F5CA8" w:rsidP="004A1847">
      <w:pPr>
        <w:spacing w:after="0" w:line="240" w:lineRule="auto"/>
      </w:pPr>
      <w:r>
        <w:continuationSeparator/>
      </w:r>
    </w:p>
  </w:footnote>
  <w:footnote w:type="continuationNotice" w:id="1">
    <w:p w14:paraId="39D3A49A" w14:textId="77777777" w:rsidR="009F5CA8" w:rsidRDefault="009F5CA8">
      <w:pPr>
        <w:spacing w:after="0" w:line="240" w:lineRule="auto"/>
      </w:pPr>
    </w:p>
  </w:footnote>
  <w:footnote w:id="2">
    <w:p w14:paraId="75538366" w14:textId="77777777" w:rsidR="00FA0F7F" w:rsidRPr="00A02301" w:rsidRDefault="00FA0F7F" w:rsidP="00FA0F7F">
      <w:pPr>
        <w:pStyle w:val="Textonotapie"/>
        <w:ind w:firstLine="708"/>
        <w:jc w:val="both"/>
        <w:rPr>
          <w:rFonts w:ascii="Arial" w:hAnsi="Arial" w:cs="Arial"/>
          <w:sz w:val="19"/>
          <w:szCs w:val="19"/>
          <w:lang w:val="es-CO"/>
        </w:rPr>
      </w:pPr>
      <w:r w:rsidRPr="00A02301">
        <w:rPr>
          <w:rStyle w:val="Refdenotaalpie"/>
          <w:rFonts w:ascii="Arial" w:hAnsi="Arial" w:cs="Arial"/>
          <w:sz w:val="19"/>
          <w:szCs w:val="19"/>
        </w:rPr>
        <w:footnoteRef/>
      </w:r>
      <w:r w:rsidRPr="00A02301">
        <w:rPr>
          <w:rFonts w:ascii="Arial" w:hAnsi="Arial" w:cs="Arial"/>
          <w:sz w:val="19"/>
          <w:szCs w:val="19"/>
        </w:rPr>
        <w:t xml:space="preserve"> </w:t>
      </w:r>
      <w:r w:rsidRPr="00A02301">
        <w:rPr>
          <w:rFonts w:ascii="Arial" w:hAnsi="Arial" w:cs="Arial"/>
          <w:color w:val="2D2D2D"/>
          <w:sz w:val="19"/>
          <w:szCs w:val="19"/>
          <w:shd w:val="clear" w:color="auto" w:fill="FFFFFF"/>
        </w:rPr>
        <w:t>Sentencia C-1016/12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8" type="#_x0000_t75" style="width:11.45pt;height:11.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1C0253"/>
    <w:multiLevelType w:val="hybridMultilevel"/>
    <w:tmpl w:val="C4903D86"/>
    <w:lvl w:ilvl="0" w:tplc="08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 w:numId="18" w16cid:durableId="15896561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3850"/>
    <w:rsid w:val="00082362"/>
    <w:rsid w:val="000A683E"/>
    <w:rsid w:val="000B19B9"/>
    <w:rsid w:val="000D0334"/>
    <w:rsid w:val="000F6486"/>
    <w:rsid w:val="00125105"/>
    <w:rsid w:val="00127233"/>
    <w:rsid w:val="001511A0"/>
    <w:rsid w:val="001E4177"/>
    <w:rsid w:val="001E6BC5"/>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14FE"/>
    <w:rsid w:val="003448F4"/>
    <w:rsid w:val="003705A8"/>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46A2"/>
    <w:rsid w:val="004F685F"/>
    <w:rsid w:val="005566E8"/>
    <w:rsid w:val="00574867"/>
    <w:rsid w:val="00591460"/>
    <w:rsid w:val="005B3816"/>
    <w:rsid w:val="005C3777"/>
    <w:rsid w:val="005C5CDC"/>
    <w:rsid w:val="005D25CE"/>
    <w:rsid w:val="005D476C"/>
    <w:rsid w:val="006219F8"/>
    <w:rsid w:val="00665D70"/>
    <w:rsid w:val="006900D9"/>
    <w:rsid w:val="006B5D21"/>
    <w:rsid w:val="006E12D2"/>
    <w:rsid w:val="006E3DF7"/>
    <w:rsid w:val="00706C16"/>
    <w:rsid w:val="00735AA1"/>
    <w:rsid w:val="00756841"/>
    <w:rsid w:val="007649AB"/>
    <w:rsid w:val="00771D0C"/>
    <w:rsid w:val="007833AC"/>
    <w:rsid w:val="007B268C"/>
    <w:rsid w:val="007B7171"/>
    <w:rsid w:val="007C0C0F"/>
    <w:rsid w:val="007C3DC2"/>
    <w:rsid w:val="007E5497"/>
    <w:rsid w:val="00806F5F"/>
    <w:rsid w:val="00820278"/>
    <w:rsid w:val="00832D79"/>
    <w:rsid w:val="008604BB"/>
    <w:rsid w:val="00867F95"/>
    <w:rsid w:val="008843B6"/>
    <w:rsid w:val="00891928"/>
    <w:rsid w:val="008A446D"/>
    <w:rsid w:val="008D180B"/>
    <w:rsid w:val="008E2B26"/>
    <w:rsid w:val="008F0EA7"/>
    <w:rsid w:val="00923EEF"/>
    <w:rsid w:val="009419F9"/>
    <w:rsid w:val="0095685E"/>
    <w:rsid w:val="00961B09"/>
    <w:rsid w:val="00965334"/>
    <w:rsid w:val="0097093E"/>
    <w:rsid w:val="00986AC5"/>
    <w:rsid w:val="009A0DFA"/>
    <w:rsid w:val="009B2D26"/>
    <w:rsid w:val="009C71FA"/>
    <w:rsid w:val="009C72E7"/>
    <w:rsid w:val="009D3058"/>
    <w:rsid w:val="009F3A13"/>
    <w:rsid w:val="009F5CA8"/>
    <w:rsid w:val="00A122D3"/>
    <w:rsid w:val="00A17F13"/>
    <w:rsid w:val="00A20739"/>
    <w:rsid w:val="00A33C78"/>
    <w:rsid w:val="00A93E9D"/>
    <w:rsid w:val="00AB0ADB"/>
    <w:rsid w:val="00B01B1A"/>
    <w:rsid w:val="00B66319"/>
    <w:rsid w:val="00B72CD3"/>
    <w:rsid w:val="00B72FFF"/>
    <w:rsid w:val="00BB441A"/>
    <w:rsid w:val="00BC3D36"/>
    <w:rsid w:val="00BD7F72"/>
    <w:rsid w:val="00BF43B4"/>
    <w:rsid w:val="00C04FB3"/>
    <w:rsid w:val="00C330EB"/>
    <w:rsid w:val="00C41061"/>
    <w:rsid w:val="00C53329"/>
    <w:rsid w:val="00C754BE"/>
    <w:rsid w:val="00C76B1C"/>
    <w:rsid w:val="00CB6357"/>
    <w:rsid w:val="00CC1B26"/>
    <w:rsid w:val="00D02CAB"/>
    <w:rsid w:val="00D21586"/>
    <w:rsid w:val="00D423A2"/>
    <w:rsid w:val="00D520D8"/>
    <w:rsid w:val="00D63AC2"/>
    <w:rsid w:val="00D7383B"/>
    <w:rsid w:val="00DA231B"/>
    <w:rsid w:val="00DC39FC"/>
    <w:rsid w:val="00DF5254"/>
    <w:rsid w:val="00E16408"/>
    <w:rsid w:val="00E20894"/>
    <w:rsid w:val="00E245AB"/>
    <w:rsid w:val="00E24FB2"/>
    <w:rsid w:val="00E2764C"/>
    <w:rsid w:val="00E27F2E"/>
    <w:rsid w:val="00E50AFE"/>
    <w:rsid w:val="00E75C92"/>
    <w:rsid w:val="00E771DC"/>
    <w:rsid w:val="00E8772A"/>
    <w:rsid w:val="00E90F6B"/>
    <w:rsid w:val="00E92C27"/>
    <w:rsid w:val="00EA0E3D"/>
    <w:rsid w:val="00EC2870"/>
    <w:rsid w:val="00EC38A7"/>
    <w:rsid w:val="00ED7384"/>
    <w:rsid w:val="00EE1AA8"/>
    <w:rsid w:val="00F31EDC"/>
    <w:rsid w:val="00F462B3"/>
    <w:rsid w:val="00F5664F"/>
    <w:rsid w:val="00F666C4"/>
    <w:rsid w:val="00F76AFC"/>
    <w:rsid w:val="00FA0F7F"/>
    <w:rsid w:val="00FA47C0"/>
    <w:rsid w:val="00FB5DD1"/>
    <w:rsid w:val="00FC2B5D"/>
    <w:rsid w:val="00FD4302"/>
    <w:rsid w:val="00FF1449"/>
    <w:rsid w:val="00FF3D44"/>
    <w:rsid w:val="165E9519"/>
    <w:rsid w:val="22915521"/>
    <w:rsid w:val="27D099CB"/>
    <w:rsid w:val="382536D9"/>
    <w:rsid w:val="5F0D23E1"/>
    <w:rsid w:val="6AC275C5"/>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A0F7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A0F7F"/>
    <w:rPr>
      <w:rFonts w:ascii="Geomanist Light" w:hAnsi="Geomanist Light"/>
      <w:lang w:val="es-ES"/>
    </w:rPr>
  </w:style>
  <w:style w:type="character" w:customStyle="1" w:styleId="s15">
    <w:name w:val="s15"/>
    <w:basedOn w:val="Fuentedeprrafopredeter"/>
    <w:rsid w:val="00FA0F7F"/>
  </w:style>
  <w:style w:type="character" w:customStyle="1" w:styleId="apple-converted-space">
    <w:name w:val="apple-converted-space"/>
    <w:basedOn w:val="Fuentedeprrafopredeter"/>
    <w:rsid w:val="00FA0F7F"/>
  </w:style>
  <w:style w:type="paragraph" w:customStyle="1" w:styleId="s16">
    <w:name w:val="s16"/>
    <w:basedOn w:val="Normal"/>
    <w:rsid w:val="00FA0F7F"/>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FA0F7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FA0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d3b1a209-6428-47ff-99e7-c80af9907737"/>
  </ds:schemaRefs>
</ds:datastoreItem>
</file>

<file path=customXml/itemProps3.xml><?xml version="1.0" encoding="utf-8"?>
<ds:datastoreItem xmlns:ds="http://schemas.openxmlformats.org/officeDocument/2006/customXml" ds:itemID="{AD4974CC-BA49-4B07-8FD2-524FA7EAEE9A}"/>
</file>

<file path=docProps/app.xml><?xml version="1.0" encoding="utf-8"?>
<Properties xmlns="http://schemas.openxmlformats.org/officeDocument/2006/extended-properties" xmlns:vt="http://schemas.openxmlformats.org/officeDocument/2006/docPropsVTypes">
  <Template>Normal.dotm</Template>
  <TotalTime>2</TotalTime>
  <Pages>12</Pages>
  <Words>3843</Words>
  <Characters>21142</Characters>
  <Application>Microsoft Office Word</Application>
  <DocSecurity>0</DocSecurity>
  <Lines>176</Lines>
  <Paragraphs>49</Paragraphs>
  <ScaleCrop>false</ScaleCrop>
  <Company/>
  <LinksUpToDate>false</LinksUpToDate>
  <CharactersWithSpaces>24936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7</cp:revision>
  <cp:lastPrinted>2023-01-10T21:18:00Z</cp:lastPrinted>
  <dcterms:created xsi:type="dcterms:W3CDTF">2025-07-29T20:51:00Z</dcterms:created>
  <dcterms:modified xsi:type="dcterms:W3CDTF">2025-07-30T23:39:00Z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