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F0A51" w14:textId="77777777" w:rsidR="009472A2" w:rsidRPr="008A5891" w:rsidRDefault="009472A2" w:rsidP="009472A2">
      <w:pPr>
        <w:spacing w:line="276" w:lineRule="auto"/>
        <w:jc w:val="both"/>
        <w:rPr>
          <w:rFonts w:ascii="Verdana" w:eastAsia="Calibri" w:hAnsi="Verdana" w:cs="Arial"/>
          <w:b/>
          <w:bCs/>
        </w:rPr>
      </w:pPr>
      <w:r w:rsidRPr="008A5891">
        <w:rPr>
          <w:rFonts w:ascii="Verdana" w:eastAsia="Calibri" w:hAnsi="Verdana" w:cs="Arial"/>
          <w:b/>
          <w:bCs/>
        </w:rPr>
        <w:t xml:space="preserve">RÉGIMEN DE INHABILIDADES – Definición – Limitación a capacidad </w:t>
      </w:r>
    </w:p>
    <w:p w14:paraId="0D308E6E" w14:textId="5C4BA3B6" w:rsidR="009472A2" w:rsidRPr="008A5891" w:rsidRDefault="009472A2" w:rsidP="008A5891">
      <w:pPr>
        <w:autoSpaceDE w:val="0"/>
        <w:autoSpaceDN w:val="0"/>
        <w:adjustRightInd w:val="0"/>
        <w:jc w:val="both"/>
        <w:rPr>
          <w:rFonts w:ascii="Verdana" w:hAnsi="Verdana" w:cs="Arial"/>
          <w:sz w:val="20"/>
          <w:szCs w:val="20"/>
          <w:lang w:val="es-MX"/>
        </w:rPr>
      </w:pPr>
      <w:r w:rsidRPr="004C6120">
        <w:rPr>
          <w:rFonts w:ascii="Verdana" w:hAnsi="Verdana" w:cs="Arial"/>
          <w:sz w:val="20"/>
          <w:szCs w:val="20"/>
          <w:lang w:val="es-MX"/>
        </w:rPr>
        <w:t>Las inhabilidades e incompatibilidades son circunstancias establecidas por la Constitución Política o por la ley que impiden que personas naturales o jurídicas sean elegidas o designadas en un cargo público o celebren contratos con el Estado. Su objetivo no es otro que garantizar la idoneidad, imparcialidad, probidad, transparencia y moralidad de la función pública, garantizando el interés general.   </w:t>
      </w:r>
    </w:p>
    <w:p w14:paraId="1AD4D8EC" w14:textId="77777777" w:rsidR="009472A2" w:rsidRPr="008A5891" w:rsidRDefault="009472A2" w:rsidP="009472A2">
      <w:pPr>
        <w:jc w:val="both"/>
        <w:rPr>
          <w:rFonts w:ascii="Verdana" w:eastAsia="Calibri" w:hAnsi="Verdana" w:cs="Arial"/>
          <w:b/>
          <w:bCs/>
          <w:lang w:val="es-ES"/>
        </w:rPr>
      </w:pPr>
      <w:r w:rsidRPr="008A5891">
        <w:rPr>
          <w:rFonts w:ascii="Verdana" w:eastAsia="Calibri" w:hAnsi="Verdana" w:cs="Arial"/>
          <w:b/>
          <w:bCs/>
          <w:lang w:val="es-ES"/>
        </w:rPr>
        <w:t>INHABILIDADES – Taxatividad – Principio de legalidad – Interpretación restrictiva</w:t>
      </w:r>
    </w:p>
    <w:p w14:paraId="729289BB" w14:textId="77777777" w:rsidR="009472A2" w:rsidRPr="004C6120" w:rsidRDefault="009472A2" w:rsidP="009472A2">
      <w:pPr>
        <w:spacing w:before="120" w:after="120"/>
        <w:jc w:val="both"/>
        <w:rPr>
          <w:rFonts w:ascii="Verdana" w:eastAsia="Calibri" w:hAnsi="Verdana" w:cs="Arial"/>
          <w:sz w:val="20"/>
          <w:szCs w:val="20"/>
          <w:lang w:val="es-ES"/>
        </w:rPr>
      </w:pPr>
      <w:r w:rsidRPr="004C6120">
        <w:rPr>
          <w:rFonts w:ascii="Verdana" w:eastAsia="Calibri" w:hAnsi="Verdana" w:cs="Arial"/>
          <w:sz w:val="20"/>
          <w:szCs w:val="20"/>
          <w:lang w:val="es-ES"/>
        </w:rPr>
        <w:t xml:space="preserve">[…] Ahora bien, las inhabilidades e incompatibilidades al ser restricciones o límites especiales a la capacidad para presentar ofertas y celebrar contratos estatales, sólo pueden tipificarse en la ley, es decir, deben satisfacer el principio de legalidad, y su interpretación debe ser restrictiva. En efecto,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Esta ha sido la postura de la jurisprudencia, tanto de la Corte Constitucional como de la Sección Tercera del Consejo de Estado. </w:t>
      </w:r>
    </w:p>
    <w:p w14:paraId="190E3DDA" w14:textId="5AA294F5" w:rsidR="009472A2" w:rsidRPr="0023246D" w:rsidRDefault="0023246D" w:rsidP="009472A2">
      <w:pPr>
        <w:spacing w:after="0"/>
        <w:rPr>
          <w:rFonts w:ascii="Verdana" w:eastAsia="Calibri" w:hAnsi="Verdana" w:cs="Arial"/>
          <w:b/>
          <w:bCs/>
          <w:sz w:val="20"/>
          <w:szCs w:val="20"/>
        </w:rPr>
      </w:pPr>
      <w:r w:rsidRPr="0023246D">
        <w:rPr>
          <w:rFonts w:ascii="Verdana" w:eastAsia="Calibri" w:hAnsi="Verdana" w:cs="Arial"/>
          <w:b/>
          <w:bCs/>
          <w:lang w:val="es-ES"/>
        </w:rPr>
        <w:t>INHABILIDADES – Clasificación/ EJERCICIO DE LA INGENIERÍA</w:t>
      </w:r>
      <w:r w:rsidRPr="0023246D">
        <w:rPr>
          <w:b/>
          <w:bCs/>
        </w:rPr>
        <w:t xml:space="preserve"> </w:t>
      </w:r>
      <w:r w:rsidR="008A5891" w:rsidRPr="0023246D">
        <w:rPr>
          <w:rFonts w:ascii="Verdana" w:eastAsia="Calibri" w:hAnsi="Verdana" w:cs="Arial"/>
          <w:b/>
          <w:bCs/>
          <w:lang w:val="es-ES"/>
        </w:rPr>
        <w:t>– Ley</w:t>
      </w:r>
      <w:r w:rsidRPr="0023246D">
        <w:rPr>
          <w:rFonts w:ascii="Verdana" w:eastAsia="Calibri" w:hAnsi="Verdana" w:cs="Arial"/>
          <w:b/>
          <w:bCs/>
          <w:lang w:val="es-ES"/>
        </w:rPr>
        <w:t xml:space="preserve"> 842 de 2003 – Artículo 44 –</w:t>
      </w:r>
      <w:r w:rsidRPr="0023246D">
        <w:rPr>
          <w:rFonts w:ascii="Verdana" w:hAnsi="Verdana" w:cs="Arial"/>
          <w:b/>
          <w:bCs/>
          <w:lang w:val="es-ES_tradnl"/>
        </w:rPr>
        <w:t xml:space="preserve"> Estudios y diseños</w:t>
      </w:r>
    </w:p>
    <w:p w14:paraId="5267A245" w14:textId="77777777" w:rsidR="009472A2" w:rsidRDefault="009472A2" w:rsidP="009472A2">
      <w:pPr>
        <w:spacing w:after="0"/>
        <w:rPr>
          <w:rFonts w:ascii="Verdana" w:eastAsia="Calibri" w:hAnsi="Verdana" w:cs="Arial"/>
          <w:b/>
          <w:bCs/>
          <w:sz w:val="20"/>
          <w:szCs w:val="20"/>
        </w:rPr>
      </w:pPr>
    </w:p>
    <w:p w14:paraId="35C90DE5" w14:textId="2A395F42" w:rsidR="0023246D" w:rsidRPr="008A5891" w:rsidRDefault="0023246D" w:rsidP="0023246D">
      <w:pPr>
        <w:spacing w:after="120" w:line="276" w:lineRule="auto"/>
        <w:jc w:val="both"/>
        <w:rPr>
          <w:rFonts w:ascii="Verdana" w:eastAsia="Calibri" w:hAnsi="Verdana" w:cs="Arial"/>
          <w:sz w:val="20"/>
          <w:szCs w:val="20"/>
          <w:lang w:val="es-ES"/>
        </w:rPr>
      </w:pPr>
      <w:r w:rsidRPr="008A5891">
        <w:rPr>
          <w:rFonts w:ascii="Verdana" w:eastAsia="Calibri" w:hAnsi="Verdana" w:cs="Arial"/>
          <w:sz w:val="20"/>
          <w:szCs w:val="20"/>
          <w:lang w:val="es-ES"/>
        </w:rPr>
        <w:t xml:space="preserve">De otro lado, si bien la Ley 842 de 2003 – “Por la cual se modifica la reglamentación del ejercicio de la ingeniería, de sus profesiones afines y de sus profesiones auxiliares, se adopta el Código de Ética Profesional y se dictan otras disposiciones”– establece un conjunto de prohibiciones para los profesionales de la ingeniería, algunas de las cuales se aplican en los procedimientos de selección de los contratistas del Estado, se trata de prohibiciones dirigidas a los </w:t>
      </w:r>
      <w:r w:rsidRPr="008A5891">
        <w:rPr>
          <w:rFonts w:ascii="Verdana" w:eastAsia="Calibri" w:hAnsi="Verdana" w:cs="Arial"/>
          <w:i/>
          <w:sz w:val="20"/>
          <w:szCs w:val="20"/>
          <w:lang w:val="es-ES"/>
        </w:rPr>
        <w:t>profesionales</w:t>
      </w:r>
      <w:r w:rsidRPr="008A5891">
        <w:rPr>
          <w:rFonts w:ascii="Verdana" w:eastAsia="Calibri" w:hAnsi="Verdana" w:cs="Arial"/>
          <w:sz w:val="20"/>
          <w:szCs w:val="20"/>
          <w:lang w:val="es-ES"/>
        </w:rPr>
        <w:t xml:space="preserve">, no necesariamente a los </w:t>
      </w:r>
      <w:r w:rsidRPr="008A5891">
        <w:rPr>
          <w:rFonts w:ascii="Verdana" w:eastAsia="Calibri" w:hAnsi="Verdana" w:cs="Arial"/>
          <w:i/>
          <w:sz w:val="20"/>
          <w:szCs w:val="20"/>
          <w:lang w:val="es-ES"/>
        </w:rPr>
        <w:t>proponentes ni a los contratistas</w:t>
      </w:r>
      <w:r w:rsidRPr="008A5891">
        <w:rPr>
          <w:rFonts w:ascii="Verdana" w:eastAsia="Calibri" w:hAnsi="Verdana" w:cs="Arial"/>
          <w:sz w:val="20"/>
          <w:szCs w:val="20"/>
          <w:lang w:val="es-ES"/>
        </w:rPr>
        <w:t xml:space="preserve">. Así se infiere del artículo 30 de la mencionada Ley, que prevé lo siguiente: “Los ingenieros, sus profesionales afines y sus profesionales auxiliares, para todos los efectos del Código de Ética Profesional y su Régimen Disciplinario contemplados en esta ley, se denominarán "Los profesionales". </w:t>
      </w:r>
    </w:p>
    <w:p w14:paraId="779086E5" w14:textId="0093132B" w:rsidR="009472A2" w:rsidRPr="008A5891" w:rsidRDefault="00367B81" w:rsidP="008A5891">
      <w:pPr>
        <w:spacing w:line="276" w:lineRule="auto"/>
        <w:jc w:val="both"/>
        <w:rPr>
          <w:rFonts w:ascii="Verdana" w:eastAsia="Calibri" w:hAnsi="Verdana" w:cs="Arial"/>
          <w:b/>
          <w:bCs/>
          <w:highlight w:val="yellow"/>
          <w:lang w:val="es-ES" w:eastAsia="es-ES"/>
        </w:rPr>
      </w:pPr>
      <w:r w:rsidRPr="00367B81">
        <w:rPr>
          <w:rFonts w:ascii="Verdana" w:eastAsia="Calibri" w:hAnsi="Verdana" w:cs="Arial"/>
          <w:b/>
          <w:bCs/>
          <w:lang w:val="es-ES"/>
        </w:rPr>
        <w:t>EJERCICIO DE LA INGENIERÍA</w:t>
      </w:r>
      <w:r w:rsidRPr="00367B81">
        <w:rPr>
          <w:b/>
          <w:bCs/>
        </w:rPr>
        <w:t xml:space="preserve"> </w:t>
      </w:r>
      <w:r w:rsidRPr="00367B81">
        <w:rPr>
          <w:rFonts w:ascii="Verdana" w:eastAsia="Calibri" w:hAnsi="Verdana" w:cs="Arial"/>
          <w:b/>
          <w:bCs/>
          <w:lang w:val="es-ES"/>
        </w:rPr>
        <w:t>– Prohibiciones – Alcance</w:t>
      </w:r>
      <w:r w:rsidRPr="00367B81">
        <w:rPr>
          <w:rFonts w:ascii="Verdana" w:hAnsi="Verdana" w:cs="Arial"/>
          <w:b/>
          <w:bCs/>
          <w:lang w:val="es-ES_tradnl"/>
        </w:rPr>
        <w:t xml:space="preserve"> – Estudios y diseños – Interventoría</w:t>
      </w:r>
    </w:p>
    <w:p w14:paraId="2E648870" w14:textId="4E195D46" w:rsidR="00FA62B2" w:rsidRPr="008A5891" w:rsidRDefault="00FA62B2" w:rsidP="00FA62B2">
      <w:pPr>
        <w:spacing w:line="276" w:lineRule="auto"/>
        <w:jc w:val="both"/>
        <w:rPr>
          <w:rFonts w:ascii="Verdana" w:eastAsia="Calibri" w:hAnsi="Verdana" w:cs="Arial"/>
          <w:sz w:val="20"/>
          <w:szCs w:val="20"/>
        </w:rPr>
      </w:pPr>
      <w:r w:rsidRPr="008A5891">
        <w:rPr>
          <w:rFonts w:ascii="Verdana" w:eastAsia="Calibri" w:hAnsi="Verdana" w:cs="Arial"/>
          <w:sz w:val="20"/>
          <w:szCs w:val="20"/>
        </w:rPr>
        <w:t xml:space="preserve">Al revisar las causales de inhabilidad e incompatibilidad previstas en el artículo 8 de la Ley 80 de 1993, se observa que este supuesto no aparece expresamente contemplado como limitante de la capacidad legal para celebrar contratos de interventoría. Tampoco se considera plausible en este supuesto la configuración de la inhabilidad del artículo 5 de la Ley 1474 de 2011, en la medida en que las tipologías contractuales aludidas en el </w:t>
      </w:r>
      <w:r w:rsidRPr="008A5891">
        <w:rPr>
          <w:rFonts w:ascii="Verdana" w:eastAsia="Calibri" w:hAnsi="Verdana" w:cs="Arial"/>
          <w:sz w:val="20"/>
          <w:szCs w:val="20"/>
        </w:rPr>
        <w:lastRenderedPageBreak/>
        <w:t xml:space="preserve">supuesto de hecho de dicha inhabilidad–que limita la contratación de interventores–, no son compatibles con la elaboración de estudios y diseños, actividad propia del contrato de consultoría.  Debido a </w:t>
      </w:r>
      <w:r w:rsidR="008A5891" w:rsidRPr="008A5891">
        <w:rPr>
          <w:rFonts w:ascii="Verdana" w:eastAsia="Calibri" w:hAnsi="Verdana" w:cs="Arial"/>
          <w:sz w:val="20"/>
          <w:szCs w:val="20"/>
        </w:rPr>
        <w:t>esto y</w:t>
      </w:r>
      <w:r w:rsidRPr="008A5891">
        <w:rPr>
          <w:rFonts w:ascii="Verdana" w:eastAsia="Calibri" w:hAnsi="Verdana" w:cs="Arial"/>
          <w:sz w:val="20"/>
          <w:szCs w:val="20"/>
        </w:rPr>
        <w:t xml:space="preserve"> dado que estas causales son de carácter taxativo y restrictivo, en principio, no podría afirmarse que la sola circunstancia de haber elaborado estudios y diseños configure, por sí misma, una inhabilidad o incompatibilidad para ser contrato como interventor del contrato en el marco del cual se ejecuta el proyecto diseñado.</w:t>
      </w:r>
    </w:p>
    <w:p w14:paraId="0B557E80" w14:textId="77777777" w:rsidR="009472A2" w:rsidRDefault="009472A2" w:rsidP="009472A2">
      <w:pPr>
        <w:spacing w:after="0"/>
        <w:rPr>
          <w:rFonts w:ascii="Verdana" w:hAnsi="Verdana"/>
          <w:sz w:val="20"/>
          <w:szCs w:val="20"/>
          <w:lang w:val="es-ES"/>
        </w:rPr>
      </w:pPr>
    </w:p>
    <w:p w14:paraId="69E29923" w14:textId="77777777" w:rsidR="009472A2" w:rsidRDefault="009472A2" w:rsidP="009472A2">
      <w:pPr>
        <w:spacing w:after="0"/>
        <w:rPr>
          <w:rFonts w:ascii="Verdana" w:hAnsi="Verdana"/>
          <w:sz w:val="20"/>
          <w:szCs w:val="20"/>
          <w:lang w:val="es-ES"/>
        </w:rPr>
      </w:pPr>
    </w:p>
    <w:p w14:paraId="3519CD1A" w14:textId="77777777" w:rsidR="009472A2" w:rsidRDefault="009472A2" w:rsidP="009472A2">
      <w:pPr>
        <w:spacing w:after="0"/>
        <w:rPr>
          <w:rFonts w:ascii="Verdana" w:hAnsi="Verdana"/>
          <w:sz w:val="20"/>
          <w:szCs w:val="20"/>
          <w:lang w:val="es-ES"/>
        </w:rPr>
      </w:pPr>
    </w:p>
    <w:p w14:paraId="39DE1BD0" w14:textId="77777777" w:rsidR="009472A2" w:rsidRDefault="009472A2" w:rsidP="009472A2">
      <w:pPr>
        <w:spacing w:after="0"/>
        <w:rPr>
          <w:rFonts w:ascii="Verdana" w:hAnsi="Verdana"/>
          <w:sz w:val="20"/>
          <w:szCs w:val="20"/>
          <w:lang w:val="es-ES"/>
        </w:rPr>
      </w:pPr>
    </w:p>
    <w:p w14:paraId="18DDCB57" w14:textId="77777777" w:rsidR="009472A2" w:rsidRDefault="009472A2" w:rsidP="009472A2">
      <w:pPr>
        <w:spacing w:after="0"/>
        <w:rPr>
          <w:rFonts w:ascii="Verdana" w:hAnsi="Verdana"/>
          <w:sz w:val="20"/>
          <w:szCs w:val="20"/>
          <w:lang w:val="es-ES"/>
        </w:rPr>
      </w:pPr>
    </w:p>
    <w:p w14:paraId="0FCE74BE" w14:textId="77777777" w:rsidR="009472A2" w:rsidRDefault="009472A2" w:rsidP="009472A2">
      <w:pPr>
        <w:spacing w:after="0"/>
        <w:rPr>
          <w:rFonts w:ascii="Verdana" w:hAnsi="Verdana"/>
          <w:sz w:val="20"/>
          <w:szCs w:val="20"/>
          <w:lang w:val="es-ES"/>
        </w:rPr>
      </w:pPr>
    </w:p>
    <w:p w14:paraId="7E614FF9" w14:textId="77777777" w:rsidR="009472A2" w:rsidRDefault="009472A2" w:rsidP="009472A2">
      <w:pPr>
        <w:spacing w:after="0"/>
        <w:rPr>
          <w:rFonts w:ascii="Verdana" w:hAnsi="Verdana"/>
          <w:sz w:val="20"/>
          <w:szCs w:val="20"/>
          <w:lang w:val="es-ES"/>
        </w:rPr>
      </w:pPr>
    </w:p>
    <w:p w14:paraId="7645F113" w14:textId="77777777" w:rsidR="009472A2" w:rsidRDefault="009472A2" w:rsidP="009472A2">
      <w:pPr>
        <w:spacing w:after="0"/>
        <w:rPr>
          <w:rFonts w:ascii="Verdana" w:hAnsi="Verdana"/>
          <w:sz w:val="20"/>
          <w:szCs w:val="20"/>
          <w:lang w:val="es-ES"/>
        </w:rPr>
      </w:pPr>
    </w:p>
    <w:p w14:paraId="743E5C36" w14:textId="77777777" w:rsidR="009472A2" w:rsidRDefault="009472A2" w:rsidP="009472A2">
      <w:pPr>
        <w:spacing w:after="0"/>
        <w:rPr>
          <w:rFonts w:ascii="Verdana" w:hAnsi="Verdana"/>
          <w:sz w:val="20"/>
          <w:szCs w:val="20"/>
          <w:lang w:val="es-ES"/>
        </w:rPr>
      </w:pPr>
    </w:p>
    <w:p w14:paraId="17647CA1" w14:textId="77777777" w:rsidR="009472A2" w:rsidRDefault="009472A2" w:rsidP="009472A2">
      <w:pPr>
        <w:spacing w:after="0"/>
        <w:rPr>
          <w:rFonts w:ascii="Verdana" w:hAnsi="Verdana"/>
          <w:sz w:val="20"/>
          <w:szCs w:val="20"/>
          <w:lang w:val="es-ES"/>
        </w:rPr>
      </w:pPr>
    </w:p>
    <w:p w14:paraId="050DED74" w14:textId="77777777" w:rsidR="009472A2" w:rsidRDefault="009472A2" w:rsidP="009472A2">
      <w:pPr>
        <w:spacing w:after="0"/>
        <w:rPr>
          <w:rFonts w:ascii="Verdana" w:hAnsi="Verdana"/>
          <w:sz w:val="20"/>
          <w:szCs w:val="20"/>
          <w:lang w:val="es-ES"/>
        </w:rPr>
      </w:pPr>
    </w:p>
    <w:p w14:paraId="025B4121" w14:textId="77777777" w:rsidR="009472A2" w:rsidRDefault="009472A2" w:rsidP="009472A2">
      <w:pPr>
        <w:spacing w:after="0"/>
        <w:rPr>
          <w:rFonts w:ascii="Verdana" w:hAnsi="Verdana"/>
          <w:sz w:val="20"/>
          <w:szCs w:val="20"/>
          <w:lang w:val="es-ES"/>
        </w:rPr>
      </w:pPr>
    </w:p>
    <w:p w14:paraId="01DE3522" w14:textId="77777777" w:rsidR="009472A2" w:rsidRDefault="009472A2" w:rsidP="009472A2">
      <w:pPr>
        <w:spacing w:after="0"/>
        <w:rPr>
          <w:rFonts w:ascii="Verdana" w:hAnsi="Verdana"/>
          <w:sz w:val="20"/>
          <w:szCs w:val="20"/>
          <w:lang w:val="es-ES"/>
        </w:rPr>
      </w:pPr>
    </w:p>
    <w:p w14:paraId="44A8F7ED" w14:textId="77777777" w:rsidR="009472A2" w:rsidRDefault="009472A2" w:rsidP="009472A2">
      <w:pPr>
        <w:spacing w:after="0"/>
        <w:rPr>
          <w:rFonts w:ascii="Verdana" w:hAnsi="Verdana"/>
          <w:sz w:val="20"/>
          <w:szCs w:val="20"/>
          <w:lang w:val="es-ES"/>
        </w:rPr>
      </w:pPr>
    </w:p>
    <w:p w14:paraId="213C0DC5" w14:textId="77777777" w:rsidR="009472A2" w:rsidRDefault="009472A2" w:rsidP="009472A2">
      <w:pPr>
        <w:spacing w:after="0"/>
        <w:rPr>
          <w:rFonts w:ascii="Verdana" w:hAnsi="Verdana"/>
          <w:sz w:val="20"/>
          <w:szCs w:val="20"/>
          <w:lang w:val="es-ES"/>
        </w:rPr>
      </w:pPr>
    </w:p>
    <w:p w14:paraId="17E90620" w14:textId="77777777" w:rsidR="009472A2" w:rsidRDefault="009472A2" w:rsidP="009472A2">
      <w:pPr>
        <w:spacing w:after="0"/>
        <w:rPr>
          <w:rFonts w:ascii="Verdana" w:hAnsi="Verdana"/>
          <w:sz w:val="20"/>
          <w:szCs w:val="20"/>
          <w:lang w:val="es-ES"/>
        </w:rPr>
      </w:pPr>
    </w:p>
    <w:p w14:paraId="619CBF02" w14:textId="77777777" w:rsidR="009472A2" w:rsidRDefault="009472A2" w:rsidP="009472A2">
      <w:pPr>
        <w:spacing w:after="0"/>
        <w:rPr>
          <w:rFonts w:ascii="Verdana" w:hAnsi="Verdana"/>
          <w:sz w:val="20"/>
          <w:szCs w:val="20"/>
          <w:lang w:val="es-ES"/>
        </w:rPr>
      </w:pPr>
    </w:p>
    <w:p w14:paraId="55589135" w14:textId="77777777" w:rsidR="009472A2" w:rsidRDefault="009472A2" w:rsidP="009472A2">
      <w:pPr>
        <w:spacing w:after="0"/>
        <w:rPr>
          <w:rFonts w:ascii="Verdana" w:hAnsi="Verdana"/>
          <w:sz w:val="20"/>
          <w:szCs w:val="20"/>
          <w:lang w:val="es-ES"/>
        </w:rPr>
      </w:pPr>
    </w:p>
    <w:p w14:paraId="41C78428" w14:textId="77777777" w:rsidR="009472A2" w:rsidRDefault="009472A2" w:rsidP="009472A2">
      <w:pPr>
        <w:spacing w:after="0"/>
        <w:rPr>
          <w:rFonts w:ascii="Verdana" w:hAnsi="Verdana"/>
          <w:sz w:val="20"/>
          <w:szCs w:val="20"/>
          <w:lang w:val="es-ES"/>
        </w:rPr>
      </w:pPr>
    </w:p>
    <w:p w14:paraId="1E25CD92" w14:textId="77777777" w:rsidR="009472A2" w:rsidRDefault="009472A2" w:rsidP="009472A2">
      <w:pPr>
        <w:spacing w:after="0"/>
        <w:rPr>
          <w:rFonts w:ascii="Verdana" w:hAnsi="Verdana"/>
          <w:sz w:val="20"/>
          <w:szCs w:val="20"/>
          <w:lang w:val="es-ES"/>
        </w:rPr>
      </w:pPr>
    </w:p>
    <w:p w14:paraId="2B4C281E" w14:textId="77777777" w:rsidR="009472A2" w:rsidRDefault="009472A2" w:rsidP="009472A2">
      <w:pPr>
        <w:spacing w:after="0"/>
        <w:rPr>
          <w:rFonts w:ascii="Verdana" w:hAnsi="Verdana"/>
          <w:sz w:val="20"/>
          <w:szCs w:val="20"/>
          <w:lang w:val="es-ES"/>
        </w:rPr>
      </w:pPr>
    </w:p>
    <w:p w14:paraId="23ABC4B7" w14:textId="77777777" w:rsidR="009472A2" w:rsidRDefault="009472A2" w:rsidP="009472A2">
      <w:pPr>
        <w:spacing w:after="0"/>
        <w:rPr>
          <w:rFonts w:ascii="Verdana" w:hAnsi="Verdana"/>
          <w:sz w:val="20"/>
          <w:szCs w:val="20"/>
          <w:lang w:val="es-ES"/>
        </w:rPr>
      </w:pPr>
    </w:p>
    <w:p w14:paraId="0FA674B4" w14:textId="77777777" w:rsidR="009472A2" w:rsidRDefault="009472A2" w:rsidP="009472A2">
      <w:pPr>
        <w:spacing w:after="0"/>
        <w:rPr>
          <w:rFonts w:ascii="Verdana" w:hAnsi="Verdana"/>
          <w:sz w:val="20"/>
          <w:szCs w:val="20"/>
          <w:lang w:val="es-ES"/>
        </w:rPr>
      </w:pPr>
    </w:p>
    <w:p w14:paraId="5D0189A3" w14:textId="77777777" w:rsidR="009472A2" w:rsidRDefault="009472A2" w:rsidP="009472A2">
      <w:pPr>
        <w:spacing w:after="0"/>
        <w:rPr>
          <w:rFonts w:ascii="Verdana" w:hAnsi="Verdana"/>
          <w:lang w:val="es-ES"/>
        </w:rPr>
      </w:pPr>
    </w:p>
    <w:p w14:paraId="57C40C19" w14:textId="77777777" w:rsidR="008A5891" w:rsidRDefault="008A5891" w:rsidP="009472A2">
      <w:pPr>
        <w:spacing w:after="0" w:line="240" w:lineRule="auto"/>
        <w:rPr>
          <w:rFonts w:ascii="Verdana" w:eastAsia="Geomanist Light" w:hAnsi="Verdana" w:cs="Arial"/>
          <w:lang w:val="es-MX"/>
        </w:rPr>
      </w:pPr>
    </w:p>
    <w:p w14:paraId="050E9FAE" w14:textId="77777777" w:rsidR="008A5891" w:rsidRDefault="008A5891" w:rsidP="009472A2">
      <w:pPr>
        <w:spacing w:after="0" w:line="240" w:lineRule="auto"/>
        <w:rPr>
          <w:rFonts w:ascii="Verdana" w:eastAsia="Geomanist Light" w:hAnsi="Verdana" w:cs="Arial"/>
          <w:lang w:val="es-MX"/>
        </w:rPr>
      </w:pPr>
    </w:p>
    <w:p w14:paraId="1E9BB552" w14:textId="77777777" w:rsidR="008A5891" w:rsidRDefault="008A5891" w:rsidP="009472A2">
      <w:pPr>
        <w:spacing w:after="0" w:line="240" w:lineRule="auto"/>
        <w:rPr>
          <w:rFonts w:ascii="Verdana" w:eastAsia="Geomanist Light" w:hAnsi="Verdana" w:cs="Arial"/>
          <w:lang w:val="es-MX"/>
        </w:rPr>
      </w:pPr>
    </w:p>
    <w:p w14:paraId="301C8E11" w14:textId="77777777" w:rsidR="008A5891" w:rsidRDefault="008A5891" w:rsidP="009472A2">
      <w:pPr>
        <w:spacing w:after="0" w:line="240" w:lineRule="auto"/>
        <w:rPr>
          <w:rFonts w:ascii="Verdana" w:eastAsia="Geomanist Light" w:hAnsi="Verdana" w:cs="Arial"/>
          <w:lang w:val="es-MX"/>
        </w:rPr>
      </w:pPr>
    </w:p>
    <w:p w14:paraId="04674A03" w14:textId="77777777" w:rsidR="008A5891" w:rsidRDefault="008A5891" w:rsidP="009472A2">
      <w:pPr>
        <w:spacing w:after="0" w:line="240" w:lineRule="auto"/>
        <w:rPr>
          <w:rFonts w:ascii="Verdana" w:eastAsia="Geomanist Light" w:hAnsi="Verdana" w:cs="Arial"/>
          <w:lang w:val="es-MX"/>
        </w:rPr>
      </w:pPr>
    </w:p>
    <w:p w14:paraId="4D658A13" w14:textId="77777777" w:rsidR="008A5891" w:rsidRDefault="008A5891" w:rsidP="009472A2">
      <w:pPr>
        <w:spacing w:after="0" w:line="240" w:lineRule="auto"/>
        <w:rPr>
          <w:rFonts w:ascii="Verdana" w:eastAsia="Geomanist Light" w:hAnsi="Verdana" w:cs="Arial"/>
          <w:lang w:val="es-MX"/>
        </w:rPr>
      </w:pPr>
    </w:p>
    <w:p w14:paraId="76180C5D" w14:textId="77777777" w:rsidR="008A5891" w:rsidRDefault="008A5891" w:rsidP="009472A2">
      <w:pPr>
        <w:spacing w:after="0" w:line="240" w:lineRule="auto"/>
        <w:rPr>
          <w:rFonts w:ascii="Verdana" w:eastAsia="Geomanist Light" w:hAnsi="Verdana" w:cs="Arial"/>
          <w:lang w:val="es-MX"/>
        </w:rPr>
      </w:pPr>
    </w:p>
    <w:p w14:paraId="61837709" w14:textId="77777777" w:rsidR="008A5891" w:rsidRDefault="008A5891" w:rsidP="009472A2">
      <w:pPr>
        <w:spacing w:after="0" w:line="240" w:lineRule="auto"/>
        <w:rPr>
          <w:rFonts w:ascii="Verdana" w:eastAsia="Geomanist Light" w:hAnsi="Verdana" w:cs="Arial"/>
          <w:lang w:val="es-MX"/>
        </w:rPr>
      </w:pPr>
    </w:p>
    <w:p w14:paraId="73CD8F1B" w14:textId="77777777" w:rsidR="008A5891" w:rsidRDefault="008A5891" w:rsidP="009472A2">
      <w:pPr>
        <w:spacing w:after="0" w:line="240" w:lineRule="auto"/>
        <w:rPr>
          <w:rFonts w:ascii="Verdana" w:eastAsia="Geomanist Light" w:hAnsi="Verdana" w:cs="Arial"/>
          <w:lang w:val="es-MX"/>
        </w:rPr>
      </w:pPr>
    </w:p>
    <w:p w14:paraId="586942FA" w14:textId="77777777" w:rsidR="008A5891" w:rsidRDefault="008A5891" w:rsidP="009472A2">
      <w:pPr>
        <w:spacing w:after="0" w:line="240" w:lineRule="auto"/>
        <w:rPr>
          <w:rFonts w:ascii="Verdana" w:eastAsia="Geomanist Light" w:hAnsi="Verdana" w:cs="Arial"/>
          <w:lang w:val="es-MX"/>
        </w:rPr>
      </w:pPr>
    </w:p>
    <w:p w14:paraId="52C02629" w14:textId="77777777" w:rsidR="008A5891" w:rsidRDefault="008A5891" w:rsidP="009472A2">
      <w:pPr>
        <w:spacing w:after="0" w:line="240" w:lineRule="auto"/>
        <w:rPr>
          <w:rFonts w:ascii="Verdana" w:eastAsia="Geomanist Light" w:hAnsi="Verdana" w:cs="Arial"/>
          <w:lang w:val="es-MX"/>
        </w:rPr>
      </w:pPr>
    </w:p>
    <w:p w14:paraId="1F0A14F9" w14:textId="593B4B2F" w:rsidR="009472A2" w:rsidRPr="00EA7EA8" w:rsidRDefault="009472A2" w:rsidP="009472A2">
      <w:pPr>
        <w:spacing w:after="0" w:line="240" w:lineRule="auto"/>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60D3575E" w14:textId="77777777" w:rsidR="009472A2" w:rsidRPr="00EA7EA8" w:rsidRDefault="009472A2" w:rsidP="009472A2">
      <w:pPr>
        <w:spacing w:after="0" w:line="240" w:lineRule="auto"/>
        <w:jc w:val="both"/>
        <w:rPr>
          <w:rFonts w:ascii="Verdana" w:eastAsia="Calibri" w:hAnsi="Verdana" w:cs="Arial"/>
          <w:lang w:val="es-ES"/>
        </w:rPr>
      </w:pPr>
    </w:p>
    <w:p w14:paraId="26CB92DB" w14:textId="2141C59A" w:rsidR="009472A2" w:rsidRDefault="008A5891" w:rsidP="009472A2">
      <w:pPr>
        <w:spacing w:after="0" w:line="240" w:lineRule="auto"/>
        <w:jc w:val="both"/>
        <w:rPr>
          <w:rFonts w:ascii="Verdana" w:eastAsia="Calibri" w:hAnsi="Verdana" w:cs="Arial"/>
          <w:lang w:val="es-ES" w:eastAsia="es-ES"/>
        </w:rPr>
      </w:pPr>
      <w:r w:rsidRPr="00DB5A27">
        <w:rPr>
          <w:rFonts w:ascii="Verdana" w:eastAsia="Calibri" w:hAnsi="Verdana" w:cs="Arial"/>
          <w:b/>
          <w:bCs/>
          <w:noProof/>
          <w:lang w:val="es-ES_tradnl" w:eastAsia="es-ES_tradnl"/>
        </w:rPr>
        <w:drawing>
          <wp:anchor distT="0" distB="0" distL="114300" distR="114300" simplePos="0" relativeHeight="251657216" behindDoc="1" locked="0" layoutInCell="1" allowOverlap="1" wp14:anchorId="2A9CC70D" wp14:editId="65699335">
            <wp:simplePos x="0" y="0"/>
            <wp:positionH relativeFrom="column">
              <wp:posOffset>3086100</wp:posOffset>
            </wp:positionH>
            <wp:positionV relativeFrom="paragraph">
              <wp:posOffset>8890</wp:posOffset>
            </wp:positionV>
            <wp:extent cx="2847340" cy="882015"/>
            <wp:effectExtent l="0" t="0" r="0" b="0"/>
            <wp:wrapSquare wrapText="bothSides"/>
            <wp:docPr id="176420756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207561"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7340" cy="882015"/>
                    </a:xfrm>
                    <a:prstGeom prst="rect">
                      <a:avLst/>
                    </a:prstGeom>
                  </pic:spPr>
                </pic:pic>
              </a:graphicData>
            </a:graphic>
            <wp14:sizeRelH relativeFrom="page">
              <wp14:pctWidth>0</wp14:pctWidth>
            </wp14:sizeRelH>
            <wp14:sizeRelV relativeFrom="page">
              <wp14:pctHeight>0</wp14:pctHeight>
            </wp14:sizeRelV>
          </wp:anchor>
        </w:drawing>
      </w:r>
      <w:r w:rsidR="009472A2" w:rsidRPr="00EA7EA8">
        <w:rPr>
          <w:rFonts w:ascii="Verdana" w:eastAsia="Calibri" w:hAnsi="Verdana" w:cs="Arial"/>
          <w:lang w:val="es-ES" w:eastAsia="es-ES"/>
        </w:rPr>
        <w:t>Señor</w:t>
      </w:r>
    </w:p>
    <w:p w14:paraId="6ACDB000" w14:textId="2A6935CD" w:rsidR="009472A2" w:rsidRDefault="009472A2" w:rsidP="009472A2">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 xml:space="preserve">Eugenio David Martinelli Urzola </w:t>
      </w:r>
    </w:p>
    <w:p w14:paraId="6FE5E509" w14:textId="0A09A7CD" w:rsidR="009472A2" w:rsidRPr="009B7998" w:rsidRDefault="007033F0" w:rsidP="009472A2">
      <w:pPr>
        <w:spacing w:after="0" w:line="240" w:lineRule="auto"/>
        <w:jc w:val="both"/>
        <w:rPr>
          <w:rFonts w:ascii="Verdana" w:eastAsia="Calibri" w:hAnsi="Verdana" w:cs="Arial"/>
          <w:lang w:val="es-ES" w:eastAsia="es-ES"/>
        </w:rPr>
      </w:pPr>
      <w:hyperlink r:id="rId11" w:history="1">
        <w:r w:rsidRPr="00E838A5">
          <w:rPr>
            <w:rStyle w:val="Hipervnculo"/>
            <w:rFonts w:ascii="Verdana" w:eastAsia="Calibri" w:hAnsi="Verdana" w:cs="Arial"/>
            <w:lang w:val="es-ES" w:eastAsia="es-ES"/>
          </w:rPr>
          <w:t>David_martinelli1@hotmail.com</w:t>
        </w:r>
      </w:hyperlink>
      <w:r>
        <w:rPr>
          <w:rFonts w:ascii="Verdana" w:eastAsia="Calibri" w:hAnsi="Verdana" w:cs="Arial"/>
          <w:lang w:val="es-ES" w:eastAsia="es-ES"/>
        </w:rPr>
        <w:t xml:space="preserve"> </w:t>
      </w:r>
    </w:p>
    <w:p w14:paraId="61907FFB" w14:textId="7B27C076" w:rsidR="009472A2" w:rsidRPr="00EA7EA8" w:rsidRDefault="009472A2" w:rsidP="009472A2">
      <w:pPr>
        <w:spacing w:after="0" w:line="240" w:lineRule="auto"/>
        <w:rPr>
          <w:rFonts w:ascii="Verdana" w:eastAsia="Calibri" w:hAnsi="Verdana" w:cs="Arial"/>
          <w:b/>
          <w:bCs/>
          <w:lang w:val="es-ES" w:eastAsia="es-ES"/>
        </w:rPr>
      </w:pPr>
      <w:r>
        <w:rPr>
          <w:rFonts w:ascii="Verdana" w:eastAsia="Calibri" w:hAnsi="Verdana" w:cs="Arial"/>
          <w:lang w:val="es-ES" w:eastAsia="es-ES"/>
        </w:rPr>
        <w:t>Cal</w:t>
      </w:r>
      <w:r w:rsidR="00B634F1">
        <w:rPr>
          <w:rFonts w:ascii="Verdana" w:eastAsia="Calibri" w:hAnsi="Verdana" w:cs="Arial"/>
          <w:lang w:val="es-ES" w:eastAsia="es-ES"/>
        </w:rPr>
        <w:t>i</w:t>
      </w:r>
      <w:r>
        <w:rPr>
          <w:rFonts w:ascii="Verdana" w:eastAsia="Calibri" w:hAnsi="Verdana" w:cs="Arial"/>
          <w:lang w:val="es-ES" w:eastAsia="es-ES"/>
        </w:rPr>
        <w:t xml:space="preserve">, Valle del Cauca. </w:t>
      </w:r>
    </w:p>
    <w:p w14:paraId="7F8AA7CE" w14:textId="3349D58C" w:rsidR="009472A2" w:rsidRPr="00EA7EA8" w:rsidRDefault="009472A2" w:rsidP="009472A2">
      <w:pPr>
        <w:spacing w:after="0" w:line="240" w:lineRule="auto"/>
        <w:rPr>
          <w:rFonts w:ascii="Verdana" w:eastAsia="Calibri" w:hAnsi="Verdana" w:cs="Arial"/>
          <w:b/>
          <w:bCs/>
          <w:lang w:val="es-ES_tradnl" w:eastAsia="es-ES_tradnl"/>
        </w:rPr>
      </w:pPr>
    </w:p>
    <w:p w14:paraId="0554920F" w14:textId="77777777" w:rsidR="009472A2" w:rsidRPr="00EA7EA8" w:rsidRDefault="009472A2" w:rsidP="009472A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472A2" w:rsidRPr="00EA7EA8" w14:paraId="7FF5ABBF" w14:textId="77777777" w:rsidTr="00A944A9">
        <w:trPr>
          <w:trHeight w:val="190"/>
        </w:trPr>
        <w:tc>
          <w:tcPr>
            <w:tcW w:w="2689" w:type="dxa"/>
          </w:tcPr>
          <w:p w14:paraId="1874059F" w14:textId="77777777" w:rsidR="009472A2" w:rsidRPr="00060C30" w:rsidRDefault="009472A2" w:rsidP="00A944A9">
            <w:pPr>
              <w:jc w:val="both"/>
              <w:rPr>
                <w:rFonts w:ascii="Verdana" w:eastAsia="Calibri" w:hAnsi="Verdana" w:cs="Arial"/>
                <w:b/>
                <w:bCs/>
                <w:lang w:val="es-ES_tradnl" w:eastAsia="es-ES_tradnl"/>
              </w:rPr>
            </w:pPr>
          </w:p>
        </w:tc>
        <w:tc>
          <w:tcPr>
            <w:tcW w:w="6100" w:type="dxa"/>
          </w:tcPr>
          <w:p w14:paraId="360852C5" w14:textId="77777777" w:rsidR="009472A2" w:rsidRPr="00060C30" w:rsidRDefault="009472A2" w:rsidP="00A944A9">
            <w:pPr>
              <w:jc w:val="both"/>
              <w:rPr>
                <w:rFonts w:ascii="Verdana" w:eastAsia="Calibri" w:hAnsi="Verdana" w:cs="Arial"/>
                <w:b/>
                <w:bCs/>
                <w:lang w:val="es-ES" w:eastAsia="es-ES"/>
              </w:rPr>
            </w:pPr>
            <w:r w:rsidRPr="00060C30">
              <w:rPr>
                <w:rFonts w:ascii="Verdana" w:eastAsia="Calibri" w:hAnsi="Verdana" w:cs="Arial"/>
                <w:b/>
                <w:bCs/>
                <w:lang w:val="es-ES" w:eastAsia="es-ES"/>
              </w:rPr>
              <w:t>Concepto C- 1028 de 2025</w:t>
            </w:r>
          </w:p>
          <w:p w14:paraId="785C1745" w14:textId="77777777" w:rsidR="009472A2" w:rsidRPr="00060C30" w:rsidRDefault="009472A2" w:rsidP="00A944A9">
            <w:pPr>
              <w:jc w:val="both"/>
              <w:rPr>
                <w:rFonts w:ascii="Verdana" w:eastAsia="Calibri" w:hAnsi="Verdana" w:cs="Arial"/>
                <w:b/>
                <w:bCs/>
                <w:lang w:val="es-ES" w:eastAsia="es-ES"/>
              </w:rPr>
            </w:pPr>
          </w:p>
        </w:tc>
      </w:tr>
      <w:tr w:rsidR="009472A2" w:rsidRPr="00EA7EA8" w14:paraId="0361D4D2" w14:textId="77777777" w:rsidTr="00A944A9">
        <w:trPr>
          <w:trHeight w:val="884"/>
        </w:trPr>
        <w:tc>
          <w:tcPr>
            <w:tcW w:w="2689" w:type="dxa"/>
          </w:tcPr>
          <w:p w14:paraId="0ECABDFE" w14:textId="77777777" w:rsidR="009472A2" w:rsidRPr="00740B33" w:rsidRDefault="009472A2" w:rsidP="00A944A9">
            <w:pPr>
              <w:jc w:val="both"/>
              <w:rPr>
                <w:rFonts w:ascii="Verdana" w:eastAsia="Calibri" w:hAnsi="Verdana" w:cs="Arial"/>
                <w:lang w:val="es-ES_tradnl" w:eastAsia="es-ES_tradnl"/>
              </w:rPr>
            </w:pPr>
            <w:r w:rsidRPr="00740B33">
              <w:rPr>
                <w:rFonts w:ascii="Verdana" w:eastAsia="Calibri" w:hAnsi="Verdana" w:cs="Arial"/>
                <w:b/>
                <w:lang w:val="es-ES_tradnl" w:eastAsia="es-ES_tradnl"/>
              </w:rPr>
              <w:t>Temas:</w:t>
            </w:r>
            <w:r w:rsidRPr="00740B33">
              <w:rPr>
                <w:rFonts w:ascii="Verdana" w:eastAsia="Calibri" w:hAnsi="Verdana" w:cs="Arial"/>
                <w:lang w:val="es-ES_tradnl" w:eastAsia="es-ES_tradnl"/>
              </w:rPr>
              <w:t xml:space="preserve">                   </w:t>
            </w:r>
          </w:p>
        </w:tc>
        <w:tc>
          <w:tcPr>
            <w:tcW w:w="6100" w:type="dxa"/>
          </w:tcPr>
          <w:p w14:paraId="376FB824" w14:textId="1DBFE484" w:rsidR="009472A2" w:rsidRDefault="009472A2" w:rsidP="002D6480">
            <w:pPr>
              <w:spacing w:line="276" w:lineRule="auto"/>
              <w:jc w:val="both"/>
              <w:rPr>
                <w:rFonts w:ascii="Verdana" w:eastAsia="Calibri" w:hAnsi="Verdana" w:cs="Arial"/>
                <w:highlight w:val="yellow"/>
                <w:lang w:val="es-ES" w:eastAsia="es-ES"/>
              </w:rPr>
            </w:pPr>
            <w:r w:rsidRPr="00A44D27">
              <w:rPr>
                <w:rFonts w:ascii="Verdana" w:eastAsia="Calibri" w:hAnsi="Verdana" w:cs="Arial"/>
              </w:rPr>
              <w:t xml:space="preserve">RÉGIMEN DE INHABILIDADES – Definición – Limitación a capacidad/ </w:t>
            </w:r>
            <w:r w:rsidRPr="00A44D27">
              <w:rPr>
                <w:rFonts w:ascii="Verdana" w:eastAsia="Calibri" w:hAnsi="Verdana" w:cs="Arial"/>
                <w:lang w:val="es-ES"/>
              </w:rPr>
              <w:t>INHABILIDADES – Taxatividad – Principio de legalidad – Interpretación restrictiva/ INHABILIDADES – Clasificación</w:t>
            </w:r>
            <w:r w:rsidR="008A5891">
              <w:rPr>
                <w:rFonts w:ascii="Verdana" w:eastAsia="Calibri" w:hAnsi="Verdana" w:cs="Arial"/>
                <w:lang w:val="es-ES"/>
              </w:rPr>
              <w:t xml:space="preserve"> </w:t>
            </w:r>
            <w:r w:rsidRPr="00A44D27">
              <w:rPr>
                <w:rFonts w:ascii="Verdana" w:eastAsia="Calibri" w:hAnsi="Verdana" w:cs="Arial"/>
                <w:lang w:val="es-ES"/>
              </w:rPr>
              <w:t>/</w:t>
            </w:r>
            <w:r w:rsidR="007033F0">
              <w:rPr>
                <w:rFonts w:ascii="Verdana" w:eastAsia="Calibri" w:hAnsi="Verdana" w:cs="Arial"/>
                <w:lang w:val="es-ES"/>
              </w:rPr>
              <w:t xml:space="preserve"> EJERCICIO DE LA INGENIERÍA</w:t>
            </w:r>
            <w:r w:rsidRPr="00876440">
              <w:t xml:space="preserve"> </w:t>
            </w:r>
            <w:r w:rsidR="008A5891">
              <w:rPr>
                <w:rFonts w:ascii="Verdana" w:eastAsia="Calibri" w:hAnsi="Verdana" w:cs="Arial"/>
                <w:lang w:val="es-ES"/>
              </w:rPr>
              <w:t xml:space="preserve">– </w:t>
            </w:r>
            <w:r w:rsidR="008A5891" w:rsidRPr="00A44D27">
              <w:rPr>
                <w:rFonts w:ascii="Verdana" w:eastAsia="Calibri" w:hAnsi="Verdana" w:cs="Arial"/>
                <w:lang w:val="es-ES"/>
              </w:rPr>
              <w:t>Ley</w:t>
            </w:r>
            <w:r w:rsidRPr="00A44D27">
              <w:rPr>
                <w:rFonts w:ascii="Verdana" w:eastAsia="Calibri" w:hAnsi="Verdana" w:cs="Arial"/>
                <w:lang w:val="es-ES"/>
              </w:rPr>
              <w:t xml:space="preserve"> 842 de 2003</w:t>
            </w:r>
            <w:r w:rsidR="007033F0">
              <w:rPr>
                <w:rFonts w:ascii="Verdana" w:eastAsia="Calibri" w:hAnsi="Verdana" w:cs="Arial"/>
                <w:lang w:val="es-ES"/>
              </w:rPr>
              <w:t xml:space="preserve"> – Artículo 44</w:t>
            </w:r>
            <w:r w:rsidR="009C3E41">
              <w:rPr>
                <w:rFonts w:ascii="Verdana" w:eastAsia="Calibri" w:hAnsi="Verdana" w:cs="Arial"/>
                <w:lang w:val="es-ES"/>
              </w:rPr>
              <w:t xml:space="preserve"> –</w:t>
            </w:r>
            <w:r w:rsidR="006A43C2" w:rsidRPr="006D2BEC">
              <w:rPr>
                <w:rFonts w:ascii="Verdana" w:hAnsi="Verdana" w:cs="Arial"/>
                <w:lang w:val="es-ES_tradnl"/>
              </w:rPr>
              <w:t xml:space="preserve"> Estudios y diseños </w:t>
            </w:r>
            <w:r w:rsidR="00BC530F">
              <w:rPr>
                <w:rFonts w:ascii="Verdana" w:hAnsi="Verdana" w:cs="Arial"/>
                <w:lang w:val="es-ES_tradnl"/>
              </w:rPr>
              <w:t>/</w:t>
            </w:r>
            <w:r w:rsidR="00BC530F">
              <w:rPr>
                <w:rFonts w:ascii="Verdana" w:eastAsia="Calibri" w:hAnsi="Verdana" w:cs="Arial"/>
                <w:lang w:val="es-ES"/>
              </w:rPr>
              <w:t xml:space="preserve"> EJERCICIO DE LA INGENIERÍA</w:t>
            </w:r>
            <w:r w:rsidR="00BC530F" w:rsidRPr="00876440">
              <w:t xml:space="preserve"> </w:t>
            </w:r>
            <w:r w:rsidR="00BC530F">
              <w:rPr>
                <w:rFonts w:ascii="Verdana" w:eastAsia="Calibri" w:hAnsi="Verdana" w:cs="Arial"/>
                <w:lang w:val="es-ES"/>
              </w:rPr>
              <w:t xml:space="preserve">– Prohibiciones – </w:t>
            </w:r>
            <w:r w:rsidR="002D6480">
              <w:rPr>
                <w:rFonts w:ascii="Verdana" w:eastAsia="Calibri" w:hAnsi="Verdana" w:cs="Arial"/>
                <w:lang w:val="es-ES"/>
              </w:rPr>
              <w:t>Alcance</w:t>
            </w:r>
            <w:r w:rsidR="00BC530F">
              <w:rPr>
                <w:rFonts w:ascii="Verdana" w:hAnsi="Verdana" w:cs="Arial"/>
                <w:lang w:val="es-ES_tradnl"/>
              </w:rPr>
              <w:t xml:space="preserve"> </w:t>
            </w:r>
            <w:r w:rsidR="002D6480">
              <w:rPr>
                <w:rFonts w:ascii="Verdana" w:hAnsi="Verdana" w:cs="Arial"/>
                <w:lang w:val="es-ES_tradnl"/>
              </w:rPr>
              <w:t xml:space="preserve">– </w:t>
            </w:r>
            <w:r w:rsidR="00BC530F" w:rsidRPr="006D2BEC">
              <w:rPr>
                <w:rFonts w:ascii="Verdana" w:hAnsi="Verdana" w:cs="Arial"/>
                <w:lang w:val="es-ES_tradnl"/>
              </w:rPr>
              <w:t>Estudios y diseños –</w:t>
            </w:r>
            <w:r w:rsidR="002D6480">
              <w:rPr>
                <w:rFonts w:ascii="Verdana" w:hAnsi="Verdana" w:cs="Arial"/>
                <w:lang w:val="es-ES_tradnl"/>
              </w:rPr>
              <w:t xml:space="preserve"> Interventoría</w:t>
            </w:r>
          </w:p>
          <w:p w14:paraId="55323D2D" w14:textId="77777777" w:rsidR="002D6480" w:rsidRPr="00872286" w:rsidRDefault="002D6480" w:rsidP="00A44D27">
            <w:pPr>
              <w:spacing w:line="276" w:lineRule="auto"/>
              <w:jc w:val="both"/>
              <w:rPr>
                <w:rFonts w:ascii="Verdana" w:eastAsia="Calibri" w:hAnsi="Verdana" w:cs="Arial"/>
                <w:highlight w:val="yellow"/>
                <w:lang w:val="es-ES" w:eastAsia="es-ES"/>
              </w:rPr>
            </w:pPr>
          </w:p>
        </w:tc>
      </w:tr>
      <w:tr w:rsidR="009472A2" w:rsidRPr="00EA7EA8" w14:paraId="20AD96AA" w14:textId="77777777" w:rsidTr="00A944A9">
        <w:tc>
          <w:tcPr>
            <w:tcW w:w="2689" w:type="dxa"/>
          </w:tcPr>
          <w:p w14:paraId="5B2E3E3A" w14:textId="77777777" w:rsidR="009472A2" w:rsidRPr="00EA7EA8" w:rsidRDefault="009472A2" w:rsidP="00A944A9">
            <w:pPr>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6100" w:type="dxa"/>
          </w:tcPr>
          <w:p w14:paraId="18160AEB" w14:textId="77777777" w:rsidR="009472A2" w:rsidRPr="00EA7EA8" w:rsidRDefault="009472A2" w:rsidP="00A944A9">
            <w:pPr>
              <w:jc w:val="both"/>
              <w:rPr>
                <w:rFonts w:ascii="Verdana" w:eastAsia="Calibri" w:hAnsi="Verdana" w:cs="Arial"/>
                <w:lang w:val="es-ES_tradnl" w:eastAsia="es-ES_tradnl"/>
              </w:rPr>
            </w:pPr>
            <w:r w:rsidRPr="00EA7EA8">
              <w:rPr>
                <w:rFonts w:ascii="Verdana" w:eastAsia="Calibri" w:hAnsi="Verdana" w:cs="Arial"/>
                <w:lang w:val="es-ES_tradnl" w:eastAsia="es-ES_tradnl"/>
              </w:rPr>
              <w:t xml:space="preserve">Respuesta a consulta con radicado </w:t>
            </w:r>
            <w:r w:rsidRPr="00780323">
              <w:rPr>
                <w:rFonts w:ascii="Verdana" w:eastAsia="Calibri" w:hAnsi="Verdana" w:cs="Arial"/>
                <w:lang w:val="es-ES_tradnl" w:eastAsia="es-ES_tradnl"/>
              </w:rPr>
              <w:t xml:space="preserve">No. </w:t>
            </w:r>
            <w:r w:rsidRPr="00872286">
              <w:rPr>
                <w:rFonts w:ascii="Verdana" w:eastAsia="Calibri" w:hAnsi="Verdana" w:cs="Arial"/>
                <w:lang w:eastAsia="es-ES_tradnl"/>
              </w:rPr>
              <w:t>1_2025_07_25_007704</w:t>
            </w:r>
          </w:p>
        </w:tc>
      </w:tr>
    </w:tbl>
    <w:p w14:paraId="3E79C190" w14:textId="77777777" w:rsidR="009472A2" w:rsidRPr="00EA7EA8" w:rsidRDefault="009472A2" w:rsidP="009472A2">
      <w:pPr>
        <w:spacing w:after="0" w:line="276" w:lineRule="auto"/>
        <w:jc w:val="both"/>
        <w:rPr>
          <w:rFonts w:ascii="Verdana" w:eastAsia="Calibri" w:hAnsi="Verdana" w:cs="Arial"/>
          <w:lang w:val="es-ES_tradnl" w:eastAsia="es-ES_tradnl"/>
        </w:rPr>
      </w:pPr>
    </w:p>
    <w:p w14:paraId="600387EE" w14:textId="77777777" w:rsidR="009472A2" w:rsidRPr="00EA7EA8" w:rsidRDefault="009472A2" w:rsidP="009472A2">
      <w:pPr>
        <w:spacing w:after="0" w:line="276" w:lineRule="auto"/>
        <w:jc w:val="both"/>
        <w:rPr>
          <w:rFonts w:ascii="Verdana" w:eastAsia="Calibri" w:hAnsi="Verdana" w:cs="Arial"/>
          <w:lang w:val="es-ES_tradnl" w:eastAsia="es-ES_tradnl"/>
        </w:rPr>
      </w:pPr>
    </w:p>
    <w:p w14:paraId="02828E68" w14:textId="77777777" w:rsidR="009472A2" w:rsidRPr="00EA7EA8" w:rsidRDefault="009472A2" w:rsidP="009472A2">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 xml:space="preserve">Estimado señor </w:t>
      </w:r>
      <w:r>
        <w:rPr>
          <w:rFonts w:ascii="Verdana" w:eastAsia="Calibri" w:hAnsi="Verdana" w:cs="Arial"/>
          <w:lang w:val="es-ES" w:eastAsia="es-ES"/>
        </w:rPr>
        <w:t>Martinelli</w:t>
      </w:r>
      <w:r w:rsidRPr="00EA7EA8">
        <w:rPr>
          <w:rFonts w:ascii="Verdana" w:eastAsia="Calibri" w:hAnsi="Verdana" w:cs="Arial"/>
          <w:lang w:val="es-ES" w:eastAsia="es-ES"/>
        </w:rPr>
        <w:t xml:space="preserve">: </w:t>
      </w:r>
    </w:p>
    <w:p w14:paraId="659DD032" w14:textId="77777777" w:rsidR="009472A2" w:rsidRPr="00EA7EA8" w:rsidRDefault="009472A2" w:rsidP="009472A2">
      <w:pPr>
        <w:tabs>
          <w:tab w:val="left" w:pos="3768"/>
        </w:tabs>
        <w:spacing w:after="0" w:line="276" w:lineRule="auto"/>
        <w:jc w:val="both"/>
        <w:rPr>
          <w:rFonts w:ascii="Verdana" w:eastAsia="Calibri" w:hAnsi="Verdana" w:cs="Arial"/>
          <w:lang w:val="es-ES" w:eastAsia="es-ES"/>
        </w:rPr>
      </w:pPr>
    </w:p>
    <w:p w14:paraId="67167ACE" w14:textId="77777777" w:rsidR="004F11BA" w:rsidRDefault="009472A2" w:rsidP="00A44D27">
      <w:pPr>
        <w:spacing w:after="120" w:line="276" w:lineRule="auto"/>
        <w:jc w:val="both"/>
        <w:rPr>
          <w:rFonts w:ascii="Verdana" w:eastAsia="Calibri" w:hAnsi="Verdana" w:cs="Arial"/>
          <w:lang w:val="es-ES" w:eastAsia="es-ES"/>
        </w:rPr>
      </w:pPr>
      <w:r w:rsidRPr="007033F0">
        <w:rPr>
          <w:rFonts w:ascii="Verdana" w:eastAsia="Calibri" w:hAnsi="Verdana" w:cs="Arial"/>
          <w:lang w:val="es-ES" w:eastAsia="es-ES"/>
        </w:rPr>
        <w:t>En ejercicio de la competencia otorgada por los artículos 3, numeral 5º, y 11, numeral 8º, del Decreto Ley 4170 de 2011,</w:t>
      </w:r>
      <w:r w:rsidRPr="007033F0">
        <w:rPr>
          <w:rFonts w:ascii="Verdana" w:eastAsia="Arial MT" w:hAnsi="Verdana" w:cs="Arial MT"/>
          <w:lang w:val="es-ES" w:eastAsia="es-ES"/>
        </w:rPr>
        <w:t xml:space="preserve"> </w:t>
      </w:r>
      <w:r w:rsidRPr="007033F0">
        <w:rPr>
          <w:rFonts w:ascii="Verdana" w:hAnsi="Verdana" w:cs="Arial"/>
        </w:rPr>
        <w:t xml:space="preserve">así como lo establecido en el artículo 4 de la Resolución 1707 de 2018 expedida por esta Entidad, </w:t>
      </w:r>
      <w:r w:rsidRPr="007033F0">
        <w:rPr>
          <w:rFonts w:ascii="Verdana" w:eastAsia="Calibri" w:hAnsi="Verdana" w:cs="Arial"/>
          <w:lang w:val="es-ES" w:eastAsia="es-ES"/>
        </w:rPr>
        <w:t xml:space="preserve">la Agencia Nacional de Contratación Pública – Colombia Compra Eficiente– responde su solicitud de consulta de fecha 25 de julio de 2025, en la cual manifiesta lo siguiente: </w:t>
      </w:r>
    </w:p>
    <w:p w14:paraId="309BA782" w14:textId="311754A1" w:rsidR="009472A2" w:rsidRPr="004F11BA" w:rsidRDefault="009472A2" w:rsidP="00A44D27">
      <w:pPr>
        <w:spacing w:after="120" w:line="276" w:lineRule="auto"/>
        <w:jc w:val="both"/>
        <w:rPr>
          <w:rFonts w:ascii="Verdana" w:eastAsia="Calibri" w:hAnsi="Verdana" w:cs="Arial"/>
          <w:i/>
          <w:iCs/>
          <w:sz w:val="20"/>
          <w:szCs w:val="20"/>
          <w:lang w:val="es-ES" w:eastAsia="es-ES"/>
        </w:rPr>
      </w:pPr>
      <w:r w:rsidRPr="004F11BA">
        <w:rPr>
          <w:rFonts w:ascii="Verdana" w:eastAsia="Calibri" w:hAnsi="Verdana" w:cs="Arial"/>
          <w:i/>
          <w:iCs/>
          <w:sz w:val="20"/>
          <w:szCs w:val="20"/>
          <w:lang w:val="es-ES" w:eastAsia="es-ES"/>
        </w:rPr>
        <w:t xml:space="preserve">“…i) ¿Quién haya elaborado los estudios y diseños de un proyecto de infraestructura vial, se encuentra incurso en inhabilidad para contratar y ejecutar la interventoría de ese mismo proyecto? </w:t>
      </w:r>
      <w:proofErr w:type="gramStart"/>
      <w:r w:rsidRPr="004F11BA">
        <w:rPr>
          <w:rFonts w:ascii="Verdana" w:eastAsia="Calibri" w:hAnsi="Verdana" w:cs="Arial"/>
          <w:i/>
          <w:iCs/>
          <w:sz w:val="20"/>
          <w:szCs w:val="20"/>
          <w:lang w:val="es-ES" w:eastAsia="es-ES"/>
        </w:rPr>
        <w:t>La inhabilidad recaería sobre el consultor o sobre el equipo de trabajo del consultor, acorde con el artículo 44 de la Ley 842 de 2003?</w:t>
      </w:r>
      <w:proofErr w:type="gramEnd"/>
      <w:r w:rsidRPr="004F11BA">
        <w:rPr>
          <w:rFonts w:ascii="Verdana" w:eastAsia="Calibri" w:hAnsi="Verdana" w:cs="Arial"/>
          <w:i/>
          <w:iCs/>
          <w:sz w:val="20"/>
          <w:szCs w:val="20"/>
          <w:lang w:val="es-ES" w:eastAsia="es-ES"/>
        </w:rPr>
        <w:t xml:space="preserve"> y, </w:t>
      </w:r>
      <w:proofErr w:type="spellStart"/>
      <w:r w:rsidRPr="004F11BA">
        <w:rPr>
          <w:rFonts w:ascii="Verdana" w:eastAsia="Calibri" w:hAnsi="Verdana" w:cs="Arial"/>
          <w:i/>
          <w:iCs/>
          <w:sz w:val="20"/>
          <w:szCs w:val="20"/>
          <w:lang w:val="es-ES" w:eastAsia="es-ES"/>
        </w:rPr>
        <w:t>ii</w:t>
      </w:r>
      <w:proofErr w:type="spellEnd"/>
      <w:r w:rsidRPr="004F11BA">
        <w:rPr>
          <w:rFonts w:ascii="Verdana" w:eastAsia="Calibri" w:hAnsi="Verdana" w:cs="Arial"/>
          <w:i/>
          <w:iCs/>
          <w:sz w:val="20"/>
          <w:szCs w:val="20"/>
          <w:lang w:val="es-ES" w:eastAsia="es-ES"/>
        </w:rPr>
        <w:t>) En ese caso ¿se configura alguna Inhabilidad Sobreviniente?”.</w:t>
      </w:r>
    </w:p>
    <w:p w14:paraId="6BD70CEB" w14:textId="77777777" w:rsidR="009472A2" w:rsidRPr="00EA7EA8" w:rsidRDefault="009472A2" w:rsidP="009472A2">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EA7EA8">
        <w:rPr>
          <w:rFonts w:ascii="Verdana" w:eastAsia="Calibri" w:hAnsi="Verdana" w:cs="Arial"/>
          <w:lang w:val="es-ES" w:eastAsia="es-ES"/>
        </w:rPr>
        <w:lastRenderedPageBreak/>
        <w:t xml:space="preserve">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EA7EA8">
        <w:rPr>
          <w:rFonts w:ascii="Verdana" w:eastAsia="Calibri" w:hAnsi="Verdana" w:cs="Arial"/>
          <w:lang w:val="es-ES" w:eastAsia="es-ES"/>
        </w:rPr>
        <w:t>Colombia</w:t>
      </w:r>
      <w:r>
        <w:rPr>
          <w:rFonts w:ascii="Verdana" w:eastAsia="Calibri" w:hAnsi="Verdana" w:cs="Arial"/>
          <w:lang w:val="es-ES" w:eastAsia="es-ES"/>
        </w:rPr>
        <w:t xml:space="preserve"> </w:t>
      </w:r>
      <w:r w:rsidRPr="00EA7EA8">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34179705" w14:textId="77777777" w:rsidR="009472A2" w:rsidRPr="00EA7EA8" w:rsidRDefault="009472A2" w:rsidP="009472A2">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8097A34" w14:textId="77777777" w:rsidR="009472A2" w:rsidRPr="00EA7EA8" w:rsidRDefault="009472A2" w:rsidP="009472A2">
      <w:pPr>
        <w:spacing w:after="0" w:line="276" w:lineRule="auto"/>
        <w:ind w:firstLine="709"/>
        <w:jc w:val="both"/>
        <w:rPr>
          <w:rFonts w:ascii="Verdana" w:eastAsia="Calibri" w:hAnsi="Verdana" w:cs="Arial"/>
          <w:lang w:val="es-ES" w:eastAsia="es-ES"/>
        </w:rPr>
      </w:pPr>
    </w:p>
    <w:p w14:paraId="6EA1D921" w14:textId="77777777" w:rsidR="009472A2" w:rsidRPr="00EA7EA8" w:rsidRDefault="009472A2" w:rsidP="009472A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A7EA8">
        <w:rPr>
          <w:rFonts w:ascii="Verdana" w:eastAsia="Century Gothic" w:hAnsi="Verdana" w:cs="Century Gothic"/>
          <w:b/>
          <w:bCs/>
        </w:rPr>
        <w:t>Problema planteado:</w:t>
      </w:r>
    </w:p>
    <w:p w14:paraId="5213C8B0" w14:textId="77777777" w:rsidR="009472A2" w:rsidRPr="00EA7EA8" w:rsidRDefault="009472A2" w:rsidP="009472A2">
      <w:pPr>
        <w:tabs>
          <w:tab w:val="left" w:pos="426"/>
        </w:tabs>
        <w:spacing w:after="0" w:line="276" w:lineRule="auto"/>
        <w:jc w:val="both"/>
        <w:rPr>
          <w:rFonts w:ascii="Verdana" w:eastAsia="Century Gothic" w:hAnsi="Verdana" w:cs="Century Gothic"/>
          <w:lang w:val="es-ES"/>
        </w:rPr>
      </w:pPr>
    </w:p>
    <w:p w14:paraId="5C06F1F6" w14:textId="631343F2" w:rsidR="009472A2" w:rsidRDefault="009472A2" w:rsidP="00EB24B4">
      <w:pPr>
        <w:spacing w:after="0" w:line="276" w:lineRule="auto"/>
        <w:jc w:val="both"/>
        <w:rPr>
          <w:rFonts w:ascii="Verdana" w:eastAsia="Century Gothic" w:hAnsi="Verdana" w:cs="Century Gothic"/>
        </w:rPr>
      </w:pPr>
      <w:r w:rsidRPr="00EA7EA8">
        <w:rPr>
          <w:rFonts w:ascii="Verdana" w:eastAsia="Century Gothic" w:hAnsi="Verdana" w:cs="Century Gothic"/>
        </w:rPr>
        <w:t xml:space="preserve">De acuerdo con el contenido de su solicitud, esta Agencia resolverá el siguiente problema jurídico: </w:t>
      </w:r>
      <w:r w:rsidRPr="005A2185">
        <w:rPr>
          <w:rFonts w:ascii="Verdana" w:eastAsia="Century Gothic" w:hAnsi="Verdana" w:cs="Century Gothic"/>
        </w:rPr>
        <w:t>¿</w:t>
      </w:r>
      <w:r w:rsidRPr="00FC63E3">
        <w:rPr>
          <w:rFonts w:ascii="Verdana" w:eastAsia="Century Gothic" w:hAnsi="Verdana" w:cs="Century Gothic"/>
        </w:rPr>
        <w:t>La</w:t>
      </w:r>
      <w:r w:rsidR="00E416E2">
        <w:rPr>
          <w:rFonts w:ascii="Verdana" w:eastAsia="Century Gothic" w:hAnsi="Verdana" w:cs="Century Gothic"/>
        </w:rPr>
        <w:t>s</w:t>
      </w:r>
      <w:r w:rsidRPr="00FC63E3">
        <w:rPr>
          <w:rFonts w:ascii="Verdana" w:eastAsia="Century Gothic" w:hAnsi="Verdana" w:cs="Century Gothic"/>
        </w:rPr>
        <w:t xml:space="preserve"> persona natural o jurídica que elaboró los estudios y diseños de un proyecto de infraestructura </w:t>
      </w:r>
      <w:r w:rsidR="00E416E2">
        <w:rPr>
          <w:rFonts w:ascii="Verdana" w:eastAsia="Century Gothic" w:hAnsi="Verdana" w:cs="Century Gothic"/>
        </w:rPr>
        <w:t xml:space="preserve">se </w:t>
      </w:r>
      <w:r w:rsidRPr="00FC63E3">
        <w:rPr>
          <w:rFonts w:ascii="Verdana" w:eastAsia="Century Gothic" w:hAnsi="Verdana" w:cs="Century Gothic"/>
        </w:rPr>
        <w:t xml:space="preserve">encuentra inhabilitada para </w:t>
      </w:r>
      <w:r w:rsidR="00720ED8">
        <w:rPr>
          <w:rFonts w:ascii="Verdana" w:eastAsia="Century Gothic" w:hAnsi="Verdana" w:cs="Century Gothic"/>
        </w:rPr>
        <w:t xml:space="preserve">ser contratado como </w:t>
      </w:r>
      <w:r w:rsidRPr="00FC63E3">
        <w:rPr>
          <w:rFonts w:ascii="Verdana" w:eastAsia="Century Gothic" w:hAnsi="Verdana" w:cs="Century Gothic"/>
        </w:rPr>
        <w:t>interventor del</w:t>
      </w:r>
      <w:r w:rsidR="00014862">
        <w:rPr>
          <w:rFonts w:ascii="Verdana" w:eastAsia="Century Gothic" w:hAnsi="Verdana" w:cs="Century Gothic"/>
        </w:rPr>
        <w:t xml:space="preserve"> contrato</w:t>
      </w:r>
      <w:r w:rsidR="00770906">
        <w:rPr>
          <w:rFonts w:ascii="Verdana" w:eastAsia="Century Gothic" w:hAnsi="Verdana" w:cs="Century Gothic"/>
        </w:rPr>
        <w:t xml:space="preserve"> en el marco del cual se realiza la </w:t>
      </w:r>
      <w:r w:rsidR="00EB24B4">
        <w:rPr>
          <w:rFonts w:ascii="Verdana" w:eastAsia="Century Gothic" w:hAnsi="Verdana" w:cs="Century Gothic"/>
        </w:rPr>
        <w:t>construcción del proyecto diseñado?</w:t>
      </w:r>
    </w:p>
    <w:p w14:paraId="117D4509" w14:textId="77777777" w:rsidR="009472A2" w:rsidRPr="00070C1E" w:rsidRDefault="009472A2" w:rsidP="009472A2">
      <w:pPr>
        <w:spacing w:after="0" w:line="276" w:lineRule="auto"/>
        <w:jc w:val="both"/>
        <w:rPr>
          <w:rFonts w:ascii="Verdana" w:eastAsia="Century Gothic" w:hAnsi="Verdana" w:cs="Century Gothic"/>
        </w:rPr>
      </w:pPr>
    </w:p>
    <w:p w14:paraId="0DCE1582" w14:textId="77777777" w:rsidR="009472A2" w:rsidRPr="00EA7EA8" w:rsidRDefault="009472A2" w:rsidP="009472A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Respuesta:</w:t>
      </w:r>
    </w:p>
    <w:p w14:paraId="361BC849" w14:textId="77777777" w:rsidR="009472A2" w:rsidRPr="00EA7EA8" w:rsidRDefault="009472A2" w:rsidP="009472A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472A2" w:rsidRPr="00EA7EA8" w14:paraId="79D5E60A" w14:textId="77777777" w:rsidTr="00A944A9">
        <w:tc>
          <w:tcPr>
            <w:tcW w:w="8828" w:type="dxa"/>
          </w:tcPr>
          <w:p w14:paraId="1D7472B0" w14:textId="737DB2EE" w:rsidR="00BD2B47" w:rsidRDefault="00727932">
            <w:pPr>
              <w:spacing w:after="120" w:line="276" w:lineRule="auto"/>
              <w:jc w:val="both"/>
              <w:rPr>
                <w:rFonts w:ascii="Verdana" w:eastAsia="Calibri" w:hAnsi="Verdana" w:cs="Arial"/>
              </w:rPr>
            </w:pPr>
            <w:r>
              <w:rPr>
                <w:rFonts w:ascii="Verdana" w:eastAsia="Calibri" w:hAnsi="Verdana" w:cs="Arial"/>
              </w:rPr>
              <w:t>Re</w:t>
            </w:r>
            <w:r w:rsidR="00631877">
              <w:rPr>
                <w:rFonts w:ascii="Verdana" w:eastAsia="Calibri" w:hAnsi="Verdana" w:cs="Arial"/>
              </w:rPr>
              <w:t>visado</w:t>
            </w:r>
            <w:r w:rsidR="009472A2" w:rsidRPr="000E1B09">
              <w:rPr>
                <w:rFonts w:ascii="Verdana" w:eastAsia="Calibri" w:hAnsi="Verdana" w:cs="Arial"/>
              </w:rPr>
              <w:t xml:space="preserve"> el régimen de inhabilidades e incompatibilidades </w:t>
            </w:r>
            <w:r w:rsidR="00631877">
              <w:rPr>
                <w:rFonts w:ascii="Verdana" w:eastAsia="Calibri" w:hAnsi="Verdana" w:cs="Arial"/>
              </w:rPr>
              <w:t xml:space="preserve">aplicable </w:t>
            </w:r>
            <w:r w:rsidR="00B12146">
              <w:rPr>
                <w:rFonts w:ascii="Verdana" w:eastAsia="Calibri" w:hAnsi="Verdana" w:cs="Arial"/>
              </w:rPr>
              <w:t>materia de contratación estatal</w:t>
            </w:r>
            <w:r w:rsidR="001412B9">
              <w:rPr>
                <w:rFonts w:ascii="Verdana" w:eastAsia="Calibri" w:hAnsi="Verdana" w:cs="Arial"/>
              </w:rPr>
              <w:t>,</w:t>
            </w:r>
            <w:r w:rsidR="00B12146">
              <w:rPr>
                <w:rFonts w:ascii="Verdana" w:eastAsia="Calibri" w:hAnsi="Verdana" w:cs="Arial"/>
              </w:rPr>
              <w:t xml:space="preserve"> se advierte qu</w:t>
            </w:r>
            <w:r w:rsidR="001412B9">
              <w:rPr>
                <w:rFonts w:ascii="Verdana" w:eastAsia="Calibri" w:hAnsi="Verdana" w:cs="Arial"/>
              </w:rPr>
              <w:t xml:space="preserve">e, no existe una disposición </w:t>
            </w:r>
            <w:r w:rsidR="004F11BA">
              <w:rPr>
                <w:rFonts w:ascii="Verdana" w:eastAsia="Calibri" w:hAnsi="Verdana" w:cs="Arial"/>
              </w:rPr>
              <w:t xml:space="preserve">que </w:t>
            </w:r>
            <w:r w:rsidR="004F11BA" w:rsidRPr="000E1B09">
              <w:rPr>
                <w:rFonts w:ascii="Verdana" w:eastAsia="Calibri" w:hAnsi="Verdana" w:cs="Arial"/>
              </w:rPr>
              <w:t>contemple</w:t>
            </w:r>
            <w:r w:rsidR="009472A2" w:rsidRPr="000E1B09">
              <w:rPr>
                <w:rFonts w:ascii="Verdana" w:eastAsia="Calibri" w:hAnsi="Verdana" w:cs="Arial"/>
              </w:rPr>
              <w:t xml:space="preserve"> de manera expresa </w:t>
            </w:r>
            <w:r w:rsidR="00A9427C">
              <w:rPr>
                <w:rFonts w:ascii="Verdana" w:eastAsia="Calibri" w:hAnsi="Verdana" w:cs="Arial"/>
              </w:rPr>
              <w:t>una restricción que impida</w:t>
            </w:r>
            <w:r w:rsidR="009472A2" w:rsidRPr="000E1B09">
              <w:rPr>
                <w:rFonts w:ascii="Verdana" w:eastAsia="Calibri" w:hAnsi="Verdana" w:cs="Arial"/>
              </w:rPr>
              <w:t xml:space="preserve"> que una persona natural o jurídica</w:t>
            </w:r>
            <w:r>
              <w:rPr>
                <w:rFonts w:ascii="Verdana" w:eastAsia="Calibri" w:hAnsi="Verdana" w:cs="Arial"/>
              </w:rPr>
              <w:t>, que</w:t>
            </w:r>
            <w:r w:rsidR="009472A2" w:rsidRPr="000E1B09">
              <w:rPr>
                <w:rFonts w:ascii="Verdana" w:eastAsia="Calibri" w:hAnsi="Verdana" w:cs="Arial"/>
              </w:rPr>
              <w:t xml:space="preserve"> haya elaborado </w:t>
            </w:r>
            <w:r>
              <w:rPr>
                <w:rFonts w:ascii="Verdana" w:eastAsia="Calibri" w:hAnsi="Verdana" w:cs="Arial"/>
              </w:rPr>
              <w:t xml:space="preserve">los </w:t>
            </w:r>
            <w:r w:rsidR="009472A2" w:rsidRPr="000E1B09">
              <w:rPr>
                <w:rFonts w:ascii="Verdana" w:eastAsia="Calibri" w:hAnsi="Verdana" w:cs="Arial"/>
              </w:rPr>
              <w:t>estudios y diseños de un proyecto de infraestructura vial,</w:t>
            </w:r>
            <w:r w:rsidR="003657D9">
              <w:rPr>
                <w:rFonts w:ascii="Verdana" w:eastAsia="Calibri" w:hAnsi="Verdana" w:cs="Arial"/>
              </w:rPr>
              <w:t xml:space="preserve"> pueda,</w:t>
            </w:r>
            <w:r w:rsidR="009472A2" w:rsidRPr="000E1B09">
              <w:rPr>
                <w:rFonts w:ascii="Verdana" w:eastAsia="Calibri" w:hAnsi="Verdana" w:cs="Arial"/>
              </w:rPr>
              <w:t xml:space="preserve"> posteriormente, </w:t>
            </w:r>
            <w:r w:rsidR="00831C60">
              <w:rPr>
                <w:rFonts w:ascii="Verdana" w:eastAsia="Calibri" w:hAnsi="Verdana" w:cs="Arial"/>
              </w:rPr>
              <w:t xml:space="preserve">celebrar contrato </w:t>
            </w:r>
            <w:r w:rsidR="004F2BB6">
              <w:rPr>
                <w:rFonts w:ascii="Verdana" w:eastAsia="Calibri" w:hAnsi="Verdana" w:cs="Arial"/>
              </w:rPr>
              <w:t xml:space="preserve">para </w:t>
            </w:r>
            <w:r w:rsidR="009472A2" w:rsidRPr="000E1B09">
              <w:rPr>
                <w:rFonts w:ascii="Verdana" w:eastAsia="Calibri" w:hAnsi="Verdana" w:cs="Arial"/>
              </w:rPr>
              <w:t xml:space="preserve">la interventoría </w:t>
            </w:r>
            <w:r w:rsidR="0081379E">
              <w:rPr>
                <w:rFonts w:ascii="Verdana" w:eastAsia="Calibri" w:hAnsi="Verdana" w:cs="Arial"/>
              </w:rPr>
              <w:t>a</w:t>
            </w:r>
            <w:r w:rsidR="009472A2" w:rsidRPr="000E1B09">
              <w:rPr>
                <w:rFonts w:ascii="Verdana" w:eastAsia="Calibri" w:hAnsi="Verdana" w:cs="Arial"/>
              </w:rPr>
              <w:t>l</w:t>
            </w:r>
            <w:r w:rsidR="004F2BB6">
              <w:rPr>
                <w:rFonts w:ascii="Verdana" w:eastAsia="Calibri" w:hAnsi="Verdana" w:cs="Arial"/>
              </w:rPr>
              <w:t xml:space="preserve"> contrato </w:t>
            </w:r>
            <w:r w:rsidR="0081379E">
              <w:rPr>
                <w:rFonts w:ascii="Verdana" w:eastAsia="Calibri" w:hAnsi="Verdana" w:cs="Arial"/>
              </w:rPr>
              <w:t>en el marco del cual se desarrolle la construcción del proyecto</w:t>
            </w:r>
            <w:r w:rsidR="009472A2" w:rsidRPr="000E1B09">
              <w:rPr>
                <w:rFonts w:ascii="Verdana" w:eastAsia="Calibri" w:hAnsi="Verdana" w:cs="Arial"/>
              </w:rPr>
              <w:t xml:space="preserve">. </w:t>
            </w:r>
            <w:r w:rsidR="00A52B4D">
              <w:rPr>
                <w:rFonts w:ascii="Verdana" w:eastAsia="Calibri" w:hAnsi="Verdana" w:cs="Arial"/>
              </w:rPr>
              <w:t xml:space="preserve">En atención al </w:t>
            </w:r>
            <w:r w:rsidR="00A52B4D" w:rsidRPr="000E1B09">
              <w:rPr>
                <w:rFonts w:ascii="Verdana" w:eastAsia="Calibri" w:hAnsi="Verdana" w:cs="Arial"/>
              </w:rPr>
              <w:t>carácter taxativo y</w:t>
            </w:r>
            <w:r w:rsidR="00A52B4D">
              <w:rPr>
                <w:rFonts w:ascii="Verdana" w:eastAsia="Calibri" w:hAnsi="Verdana" w:cs="Arial"/>
              </w:rPr>
              <w:t xml:space="preserve"> al criterio de interpretación restrictiva</w:t>
            </w:r>
            <w:r w:rsidR="006259AE">
              <w:rPr>
                <w:rFonts w:ascii="Verdana" w:eastAsia="Calibri" w:hAnsi="Verdana" w:cs="Arial"/>
              </w:rPr>
              <w:t xml:space="preserve"> que aplica respecto de las disposiciones que integran el régimen de inhabilidades e incompatibilidades</w:t>
            </w:r>
            <w:r w:rsidR="00742C90">
              <w:rPr>
                <w:rFonts w:ascii="Verdana" w:eastAsia="Calibri" w:hAnsi="Verdana" w:cs="Arial"/>
              </w:rPr>
              <w:t xml:space="preserve">, no posible afirmar de manera general que se configure una inhabilidad para contratar </w:t>
            </w:r>
            <w:r w:rsidR="00860487">
              <w:rPr>
                <w:rFonts w:ascii="Verdana" w:eastAsia="Calibri" w:hAnsi="Verdana" w:cs="Arial"/>
              </w:rPr>
              <w:t xml:space="preserve">en el supuesto descrito. </w:t>
            </w:r>
            <w:r w:rsidR="006259AE">
              <w:rPr>
                <w:rFonts w:ascii="Verdana" w:eastAsia="Calibri" w:hAnsi="Verdana" w:cs="Arial"/>
              </w:rPr>
              <w:t xml:space="preserve"> </w:t>
            </w:r>
          </w:p>
          <w:p w14:paraId="132DA877" w14:textId="3087FAB1" w:rsidR="009472A2" w:rsidRDefault="009472A2" w:rsidP="00A44D27">
            <w:pPr>
              <w:spacing w:after="120" w:line="276" w:lineRule="auto"/>
              <w:ind w:firstLine="709"/>
              <w:jc w:val="both"/>
              <w:rPr>
                <w:rFonts w:ascii="Verdana" w:eastAsia="Calibri" w:hAnsi="Verdana" w:cs="Arial"/>
              </w:rPr>
            </w:pPr>
            <w:r w:rsidRPr="00AB4945">
              <w:rPr>
                <w:rFonts w:ascii="Verdana" w:eastAsia="Calibri" w:hAnsi="Verdana" w:cs="Arial"/>
              </w:rPr>
              <w:lastRenderedPageBreak/>
              <w:t xml:space="preserve">Ahora bien, en relación con el artículo 44 de la Ley 842 de 2003, es importante aclarar que esta norma no consagra una inhabilidad contractual, sino una prohibición dirigida al ejercicio profesional de la ingeniería, que impide que quienes actuaron como asesores de la entidad contratante en un concurso o licitación intervengan posteriormente en las tareas profesionales derivadas del mismo proceso, salvo que tal participación estuviera autorizada en las bases del concurso. </w:t>
            </w:r>
            <w:r w:rsidR="00F340D2">
              <w:rPr>
                <w:rFonts w:ascii="Verdana" w:eastAsia="Calibri" w:hAnsi="Verdana" w:cs="Arial"/>
                <w:bCs/>
                <w:lang w:val="es-ES_tradnl"/>
              </w:rPr>
              <w:t>En todo caso,</w:t>
            </w:r>
            <w:r w:rsidR="00F340D2" w:rsidRPr="00FF2FD4">
              <w:rPr>
                <w:rFonts w:ascii="Verdana" w:eastAsia="Calibri" w:hAnsi="Verdana" w:cs="Arial"/>
                <w:bCs/>
                <w:lang w:val="es-ES_tradnl"/>
              </w:rPr>
              <w:t xml:space="preserve"> </w:t>
            </w:r>
            <w:r w:rsidR="00F340D2">
              <w:rPr>
                <w:rFonts w:ascii="Verdana" w:eastAsia="Calibri" w:hAnsi="Verdana" w:cs="Arial"/>
                <w:bCs/>
                <w:lang w:val="es-ES_tradnl"/>
              </w:rPr>
              <w:t>esta</w:t>
            </w:r>
            <w:r w:rsidR="00F340D2" w:rsidRPr="00FF2FD4">
              <w:rPr>
                <w:rFonts w:ascii="Verdana" w:eastAsia="Calibri" w:hAnsi="Verdana" w:cs="Arial"/>
                <w:bCs/>
                <w:lang w:val="es-ES_tradnl"/>
              </w:rPr>
              <w:t xml:space="preserve"> norma no proscribe que quien h</w:t>
            </w:r>
            <w:r w:rsidR="00F340D2">
              <w:rPr>
                <w:rFonts w:ascii="Verdana" w:eastAsia="Calibri" w:hAnsi="Verdana" w:cs="Arial"/>
                <w:bCs/>
                <w:lang w:val="es-ES_tradnl"/>
              </w:rPr>
              <w:t>aya elaborado</w:t>
            </w:r>
            <w:r w:rsidR="00F340D2" w:rsidRPr="00FF2FD4">
              <w:rPr>
                <w:rFonts w:ascii="Verdana" w:eastAsia="Calibri" w:hAnsi="Verdana" w:cs="Arial"/>
                <w:bCs/>
                <w:lang w:val="es-ES_tradnl"/>
              </w:rPr>
              <w:t xml:space="preserve"> los estudios y diseños </w:t>
            </w:r>
            <w:r w:rsidR="00F340D2">
              <w:rPr>
                <w:rFonts w:ascii="Verdana" w:eastAsia="Calibri" w:hAnsi="Verdana" w:cs="Arial"/>
                <w:bCs/>
                <w:lang w:val="es-ES_tradnl"/>
              </w:rPr>
              <w:t xml:space="preserve">pueda </w:t>
            </w:r>
            <w:r w:rsidR="00FA33E8">
              <w:rPr>
                <w:rFonts w:ascii="Verdana" w:eastAsia="Calibri" w:hAnsi="Verdana" w:cs="Arial"/>
                <w:bCs/>
                <w:lang w:val="es-ES_tradnl"/>
              </w:rPr>
              <w:t xml:space="preserve">ser contratado como interventor del contrato en marco del cual se realiza la </w:t>
            </w:r>
            <w:r w:rsidR="00F340D2" w:rsidRPr="00FF2FD4">
              <w:rPr>
                <w:rFonts w:ascii="Verdana" w:eastAsia="Calibri" w:hAnsi="Verdana" w:cs="Arial"/>
                <w:bCs/>
                <w:lang w:val="es-ES_tradnl"/>
              </w:rPr>
              <w:t>construcción</w:t>
            </w:r>
            <w:r w:rsidR="00971CD3">
              <w:rPr>
                <w:rFonts w:ascii="Verdana" w:eastAsia="Calibri" w:hAnsi="Verdana" w:cs="Arial"/>
                <w:bCs/>
                <w:lang w:val="es-ES_tradnl"/>
              </w:rPr>
              <w:t xml:space="preserve"> del proyecto diseñado</w:t>
            </w:r>
            <w:r w:rsidR="00F340D2" w:rsidRPr="00FF2FD4">
              <w:rPr>
                <w:rFonts w:ascii="Verdana" w:eastAsia="Calibri" w:hAnsi="Verdana" w:cs="Arial"/>
                <w:bCs/>
                <w:lang w:val="es-ES_tradnl"/>
              </w:rPr>
              <w:t>, pues en este caso</w:t>
            </w:r>
            <w:r w:rsidR="00F340D2">
              <w:rPr>
                <w:rFonts w:ascii="Verdana" w:eastAsia="Calibri" w:hAnsi="Verdana" w:cs="Arial"/>
                <w:bCs/>
                <w:lang w:val="es-ES_tradnl"/>
              </w:rPr>
              <w:t>, por el solo hecho de haber elaborado los estudios y diseños,</w:t>
            </w:r>
            <w:r w:rsidR="00F340D2" w:rsidRPr="00FF2FD4">
              <w:rPr>
                <w:rFonts w:ascii="Verdana" w:eastAsia="Calibri" w:hAnsi="Verdana" w:cs="Arial"/>
                <w:bCs/>
                <w:lang w:val="es-ES_tradnl"/>
              </w:rPr>
              <w:t xml:space="preserve"> </w:t>
            </w:r>
            <w:r w:rsidR="00F340D2">
              <w:rPr>
                <w:rFonts w:ascii="Verdana" w:eastAsia="Calibri" w:hAnsi="Verdana" w:cs="Arial"/>
                <w:bCs/>
                <w:lang w:val="es-ES_tradnl"/>
              </w:rPr>
              <w:t>no puede predicarse que el profesional actuó</w:t>
            </w:r>
            <w:r w:rsidR="00F340D2" w:rsidRPr="00FF2FD4">
              <w:rPr>
                <w:rFonts w:ascii="Verdana" w:eastAsia="Calibri" w:hAnsi="Verdana" w:cs="Arial"/>
                <w:bCs/>
                <w:lang w:val="es-ES_tradnl"/>
              </w:rPr>
              <w:t xml:space="preserve"> como </w:t>
            </w:r>
            <w:r w:rsidR="00F340D2" w:rsidRPr="00FF2FD4">
              <w:rPr>
                <w:rFonts w:ascii="Verdana" w:eastAsia="Calibri" w:hAnsi="Verdana" w:cs="Arial"/>
                <w:bCs/>
                <w:i/>
                <w:iCs/>
                <w:lang w:val="es-ES_tradnl"/>
              </w:rPr>
              <w:t>asesor</w:t>
            </w:r>
            <w:r w:rsidR="00F340D2">
              <w:rPr>
                <w:rFonts w:ascii="Verdana" w:eastAsia="Calibri" w:hAnsi="Verdana" w:cs="Arial"/>
                <w:bCs/>
                <w:i/>
                <w:iCs/>
                <w:lang w:val="es-ES_tradnl"/>
              </w:rPr>
              <w:t xml:space="preserve"> </w:t>
            </w:r>
            <w:r w:rsidR="00F340D2">
              <w:rPr>
                <w:rFonts w:ascii="Verdana" w:eastAsia="Calibri" w:hAnsi="Verdana" w:cs="Arial"/>
                <w:bCs/>
                <w:lang w:val="es-ES_tradnl"/>
              </w:rPr>
              <w:t>de la Entidad Estatal</w:t>
            </w:r>
            <w:r w:rsidR="00E7181C">
              <w:rPr>
                <w:rFonts w:ascii="Verdana" w:eastAsia="Calibri" w:hAnsi="Verdana" w:cs="Arial"/>
                <w:bCs/>
                <w:lang w:val="es-ES_tradnl"/>
              </w:rPr>
              <w:t xml:space="preserve">. Esto sin perjuicio de circunstancias en las que, </w:t>
            </w:r>
            <w:r w:rsidR="00C62047">
              <w:rPr>
                <w:rFonts w:ascii="Verdana" w:eastAsia="Calibri" w:hAnsi="Verdana" w:cs="Arial"/>
                <w:bCs/>
                <w:lang w:val="es-ES_tradnl"/>
              </w:rPr>
              <w:t>quien haya elaborado los estudios y diseños</w:t>
            </w:r>
            <w:r w:rsidR="00605776">
              <w:rPr>
                <w:rFonts w:ascii="Verdana" w:eastAsia="Calibri" w:hAnsi="Verdana" w:cs="Arial"/>
                <w:bCs/>
                <w:lang w:val="es-ES_tradnl"/>
              </w:rPr>
              <w:t xml:space="preserve">, además haya actuado como asesor de la Entidad Estatal en el proceso de contratación </w:t>
            </w:r>
            <w:r w:rsidR="003B4E34">
              <w:rPr>
                <w:rFonts w:ascii="Verdana" w:eastAsia="Calibri" w:hAnsi="Verdana" w:cs="Arial"/>
                <w:bCs/>
                <w:lang w:val="es-ES_tradnl"/>
              </w:rPr>
              <w:t>del proyecto</w:t>
            </w:r>
            <w:r w:rsidR="009E25D5">
              <w:rPr>
                <w:rFonts w:ascii="Verdana" w:eastAsia="Calibri" w:hAnsi="Verdana" w:cs="Arial"/>
                <w:bCs/>
                <w:lang w:val="es-ES_tradnl"/>
              </w:rPr>
              <w:t xml:space="preserve"> de obra, caso en el cual podría </w:t>
            </w:r>
            <w:r w:rsidR="007F29B8">
              <w:rPr>
                <w:rFonts w:ascii="Verdana" w:eastAsia="Calibri" w:hAnsi="Verdana" w:cs="Arial"/>
                <w:bCs/>
                <w:lang w:val="es-ES_tradnl"/>
              </w:rPr>
              <w:t xml:space="preserve">configurarse la restricción </w:t>
            </w:r>
            <w:r w:rsidR="00FB6EB5">
              <w:rPr>
                <w:rFonts w:ascii="Verdana" w:eastAsia="Calibri" w:hAnsi="Verdana" w:cs="Arial"/>
                <w:bCs/>
                <w:lang w:val="es-ES_tradnl"/>
              </w:rPr>
              <w:t xml:space="preserve">antes aludida, siempre que se cumplan los presupuestos del artículo 44 de la Ley 842 de </w:t>
            </w:r>
            <w:r w:rsidR="000804A6">
              <w:rPr>
                <w:rFonts w:ascii="Verdana" w:eastAsia="Calibri" w:hAnsi="Verdana" w:cs="Arial"/>
                <w:bCs/>
                <w:lang w:val="es-ES_tradnl"/>
              </w:rPr>
              <w:t xml:space="preserve">2003. </w:t>
            </w:r>
            <w:r w:rsidR="003B4E34">
              <w:rPr>
                <w:rFonts w:ascii="Verdana" w:eastAsia="Calibri" w:hAnsi="Verdana" w:cs="Arial"/>
                <w:bCs/>
                <w:lang w:val="es-ES_tradnl"/>
              </w:rPr>
              <w:t xml:space="preserve"> </w:t>
            </w:r>
          </w:p>
          <w:p w14:paraId="583B6A17" w14:textId="77777777" w:rsidR="00242E69" w:rsidRPr="000E1B09" w:rsidRDefault="00B710E0" w:rsidP="00797761">
            <w:pPr>
              <w:spacing w:line="276" w:lineRule="auto"/>
              <w:jc w:val="both"/>
              <w:rPr>
                <w:rFonts w:ascii="Verdana" w:eastAsia="Calibri" w:hAnsi="Verdana" w:cs="Arial"/>
                <w:lang w:val="es-ES"/>
              </w:rPr>
            </w:pPr>
            <w:r w:rsidRPr="00A44D27">
              <w:rPr>
                <w:rFonts w:ascii="Verdana" w:eastAsia="Arial MT" w:hAnsi="Verdana" w:cs="Arial"/>
                <w:lang w:eastAsia="es-ES" w:bidi="es-ES"/>
              </w:rPr>
              <w:t>Sin perjuicio de lo anterior</w:t>
            </w:r>
            <w:r w:rsidR="001736D5" w:rsidRPr="00E40A3D">
              <w:rPr>
                <w:rFonts w:ascii="Verdana" w:eastAsia="Arial MT" w:hAnsi="Verdana" w:cs="Arial"/>
                <w:lang w:eastAsia="es-ES" w:bidi="es-ES"/>
              </w:rPr>
              <w:t>,</w:t>
            </w:r>
            <w:r w:rsidR="00B1237F" w:rsidRPr="00A44D27">
              <w:rPr>
                <w:rFonts w:ascii="Verdana" w:eastAsia="Arial MT" w:hAnsi="Verdana" w:cs="Arial"/>
                <w:lang w:eastAsia="es-ES" w:bidi="es-ES"/>
              </w:rPr>
              <w:t xml:space="preserve"> cada Entidad Estatal</w:t>
            </w:r>
            <w:r w:rsidR="001736D5" w:rsidRPr="00E40A3D">
              <w:rPr>
                <w:rFonts w:ascii="Verdana" w:eastAsia="Arial MT" w:hAnsi="Verdana" w:cs="Arial"/>
                <w:lang w:eastAsia="es-ES" w:bidi="es-ES"/>
              </w:rPr>
              <w:t xml:space="preserve"> debe valorar</w:t>
            </w:r>
            <w:r w:rsidR="00B1237F" w:rsidRPr="00A44D27">
              <w:rPr>
                <w:rFonts w:ascii="Verdana" w:eastAsia="Arial MT" w:hAnsi="Verdana" w:cs="Arial"/>
                <w:lang w:eastAsia="es-ES" w:bidi="es-ES"/>
              </w:rPr>
              <w:t xml:space="preserve"> las circunstancias </w:t>
            </w:r>
            <w:r w:rsidR="00E40A3D" w:rsidRPr="00A44D27">
              <w:rPr>
                <w:rFonts w:ascii="Verdana" w:eastAsia="Arial MT" w:hAnsi="Verdana" w:cs="Arial"/>
                <w:lang w:eastAsia="es-ES" w:bidi="es-ES"/>
              </w:rPr>
              <w:t xml:space="preserve">de </w:t>
            </w:r>
            <w:r w:rsidR="001736D5" w:rsidRPr="00E40A3D">
              <w:rPr>
                <w:rFonts w:ascii="Verdana" w:eastAsia="Arial MT" w:hAnsi="Verdana" w:cs="Arial"/>
                <w:lang w:eastAsia="es-ES" w:bidi="es-ES"/>
              </w:rPr>
              <w:t>cada caso en concreto para descartar</w:t>
            </w:r>
            <w:r w:rsidR="00DC5660">
              <w:rPr>
                <w:rFonts w:ascii="Verdana" w:eastAsia="Arial MT" w:hAnsi="Verdana" w:cs="Arial"/>
                <w:lang w:eastAsia="es-ES" w:bidi="es-ES"/>
              </w:rPr>
              <w:t xml:space="preserve"> la con</w:t>
            </w:r>
            <w:r w:rsidR="008B7838">
              <w:rPr>
                <w:rFonts w:ascii="Verdana" w:eastAsia="Arial MT" w:hAnsi="Verdana" w:cs="Arial"/>
                <w:lang w:eastAsia="es-ES" w:bidi="es-ES"/>
              </w:rPr>
              <w:t>fi</w:t>
            </w:r>
            <w:r w:rsidR="00DC5660">
              <w:rPr>
                <w:rFonts w:ascii="Verdana" w:eastAsia="Arial MT" w:hAnsi="Verdana" w:cs="Arial"/>
                <w:lang w:eastAsia="es-ES" w:bidi="es-ES"/>
              </w:rPr>
              <w:t>guraci</w:t>
            </w:r>
            <w:r w:rsidR="008B7838">
              <w:rPr>
                <w:rFonts w:ascii="Verdana" w:eastAsia="Arial MT" w:hAnsi="Verdana" w:cs="Arial"/>
                <w:lang w:eastAsia="es-ES" w:bidi="es-ES"/>
              </w:rPr>
              <w:t>ón</w:t>
            </w:r>
            <w:r w:rsidR="00DC5660">
              <w:rPr>
                <w:rFonts w:ascii="Verdana" w:eastAsia="Arial MT" w:hAnsi="Verdana" w:cs="Arial"/>
                <w:lang w:eastAsia="es-ES" w:bidi="es-ES"/>
              </w:rPr>
              <w:t xml:space="preserve"> de inhabilidades,</w:t>
            </w:r>
            <w:r w:rsidR="008B7838">
              <w:rPr>
                <w:rFonts w:ascii="Verdana" w:eastAsia="Arial MT" w:hAnsi="Verdana" w:cs="Arial"/>
                <w:lang w:eastAsia="es-ES" w:bidi="es-ES"/>
              </w:rPr>
              <w:t xml:space="preserve"> restricciones al ejercicio de la profesión </w:t>
            </w:r>
            <w:r w:rsidR="000804A6">
              <w:rPr>
                <w:rFonts w:ascii="Verdana" w:eastAsia="Arial MT" w:hAnsi="Verdana" w:cs="Arial"/>
                <w:lang w:eastAsia="es-ES" w:bidi="es-ES"/>
              </w:rPr>
              <w:t xml:space="preserve">o </w:t>
            </w:r>
            <w:r w:rsidR="000804A6" w:rsidRPr="00E40A3D">
              <w:rPr>
                <w:rFonts w:ascii="Verdana" w:eastAsia="Arial MT" w:hAnsi="Verdana" w:cs="Arial"/>
                <w:lang w:eastAsia="es-ES" w:bidi="es-ES"/>
              </w:rPr>
              <w:t>posibles</w:t>
            </w:r>
            <w:r w:rsidR="001736D5" w:rsidRPr="00E40A3D">
              <w:rPr>
                <w:rFonts w:ascii="Verdana" w:eastAsia="Arial MT" w:hAnsi="Verdana" w:cs="Arial"/>
                <w:lang w:eastAsia="es-ES" w:bidi="es-ES"/>
              </w:rPr>
              <w:t xml:space="preserve"> conflictos de intereses. </w:t>
            </w:r>
            <w:r w:rsidR="00242E69" w:rsidRPr="00EF5022">
              <w:rPr>
                <w:rFonts w:ascii="Verdana" w:eastAsia="Arial MT" w:hAnsi="Verdana" w:cs="Arial"/>
                <w:bCs/>
                <w:lang w:eastAsia="es-ES" w:bidi="es-ES"/>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0139207" w14:textId="7A61E4AB" w:rsidR="001736D5" w:rsidRPr="00A44D27" w:rsidRDefault="001736D5" w:rsidP="00A44D27">
            <w:pPr>
              <w:spacing w:after="120" w:line="276" w:lineRule="auto"/>
              <w:ind w:firstLine="709"/>
              <w:jc w:val="both"/>
              <w:rPr>
                <w:rFonts w:ascii="Verdana" w:eastAsia="Calibri" w:hAnsi="Verdana" w:cs="Arial"/>
                <w:lang w:val="es-ES"/>
              </w:rPr>
            </w:pPr>
          </w:p>
        </w:tc>
      </w:tr>
    </w:tbl>
    <w:p w14:paraId="1DE7031F" w14:textId="77777777" w:rsidR="009472A2" w:rsidRPr="00EA7EA8" w:rsidRDefault="009472A2" w:rsidP="009472A2">
      <w:pPr>
        <w:tabs>
          <w:tab w:val="left" w:pos="142"/>
          <w:tab w:val="left" w:pos="284"/>
        </w:tabs>
        <w:spacing w:after="0" w:line="276" w:lineRule="auto"/>
        <w:jc w:val="both"/>
        <w:rPr>
          <w:rFonts w:ascii="Verdana" w:eastAsia="Century Gothic" w:hAnsi="Verdana" w:cs="Century Gothic"/>
          <w:b/>
          <w:bCs/>
          <w:lang w:val="es-ES"/>
        </w:rPr>
      </w:pPr>
    </w:p>
    <w:p w14:paraId="426F8EE8" w14:textId="77777777" w:rsidR="009472A2" w:rsidRPr="00EA7EA8" w:rsidRDefault="009472A2" w:rsidP="009472A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Razones de la respuesta:</w:t>
      </w:r>
    </w:p>
    <w:p w14:paraId="3850A194" w14:textId="77777777" w:rsidR="00150D01" w:rsidRDefault="00150D01" w:rsidP="00150D01">
      <w:pPr>
        <w:spacing w:after="0" w:line="276" w:lineRule="auto"/>
        <w:jc w:val="both"/>
        <w:rPr>
          <w:rFonts w:ascii="Verdana" w:eastAsia="Calibri" w:hAnsi="Verdana" w:cs="Arial"/>
          <w:lang w:val="es-ES"/>
        </w:rPr>
      </w:pPr>
    </w:p>
    <w:p w14:paraId="13F27E02" w14:textId="3EED7FE7" w:rsidR="00150D01" w:rsidRPr="0060163E" w:rsidRDefault="00150D01" w:rsidP="00150D01">
      <w:pPr>
        <w:spacing w:after="0" w:line="276" w:lineRule="auto"/>
        <w:jc w:val="both"/>
        <w:rPr>
          <w:rFonts w:ascii="Verdana" w:eastAsia="Calibri" w:hAnsi="Verdana" w:cs="Arial"/>
          <w:lang w:val="es-ES"/>
        </w:rPr>
      </w:pPr>
      <w:r w:rsidRPr="0060163E">
        <w:rPr>
          <w:rFonts w:ascii="Verdana" w:eastAsia="Calibri" w:hAnsi="Verdana" w:cs="Arial"/>
          <w:lang w:val="es-ES"/>
        </w:rPr>
        <w:t xml:space="preserve">Lo anterior se sustenta en las siguientes consideraciones: </w:t>
      </w:r>
    </w:p>
    <w:p w14:paraId="58D8C620" w14:textId="77777777" w:rsidR="00150D01" w:rsidRPr="0060163E" w:rsidRDefault="00150D01" w:rsidP="00150D01">
      <w:pPr>
        <w:spacing w:after="0" w:line="276" w:lineRule="auto"/>
        <w:jc w:val="both"/>
        <w:rPr>
          <w:rFonts w:ascii="Verdana" w:eastAsia="Calibri" w:hAnsi="Verdana" w:cs="Arial"/>
          <w:lang w:val="es-MX"/>
        </w:rPr>
      </w:pPr>
    </w:p>
    <w:p w14:paraId="0F35AAB2" w14:textId="77777777" w:rsidR="00150D01" w:rsidRDefault="00150D01" w:rsidP="00150D01">
      <w:pPr>
        <w:spacing w:after="0" w:line="276" w:lineRule="auto"/>
        <w:jc w:val="both"/>
        <w:rPr>
          <w:rFonts w:ascii="Verdana" w:eastAsia="Calibri" w:hAnsi="Verdana" w:cs="Arial"/>
          <w:lang w:val="es-MX"/>
        </w:rPr>
      </w:pPr>
      <w:r w:rsidRPr="0060163E">
        <w:rPr>
          <w:rFonts w:ascii="Verdana" w:eastAsia="Calibri" w:hAnsi="Verdana" w:cs="Arial"/>
          <w:lang w:val="es-MX"/>
        </w:rPr>
        <w:t>i) Las 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w:t>
      </w:r>
      <w:r w:rsidRPr="0060163E">
        <w:rPr>
          <w:rFonts w:ascii="Verdana" w:eastAsia="Calibri" w:hAnsi="Verdana" w:cs="Arial"/>
          <w:lang w:val="es-MX"/>
        </w:rPr>
        <w:lastRenderedPageBreak/>
        <w:t xml:space="preserve">transparencia y moralidad de la función pública, garantizando el interés general. </w:t>
      </w:r>
      <w:r>
        <w:rPr>
          <w:rFonts w:ascii="Verdana" w:eastAsia="Calibri" w:hAnsi="Verdana" w:cs="Arial"/>
          <w:lang w:val="es-MX"/>
        </w:rPr>
        <w:t xml:space="preserve">De igual modo, en torno a la incompatibilidad, la Corte Constitucional ha señalado: </w:t>
      </w:r>
    </w:p>
    <w:p w14:paraId="18E225D0" w14:textId="77777777" w:rsidR="00150D01" w:rsidRDefault="00150D01" w:rsidP="00150D01">
      <w:pPr>
        <w:spacing w:after="0" w:line="276" w:lineRule="auto"/>
        <w:jc w:val="both"/>
        <w:rPr>
          <w:rFonts w:ascii="Verdana" w:eastAsia="Calibri" w:hAnsi="Verdana" w:cs="Arial"/>
          <w:lang w:val="es-MX"/>
        </w:rPr>
      </w:pPr>
    </w:p>
    <w:p w14:paraId="36D16A6A" w14:textId="77777777" w:rsidR="00150D01" w:rsidRDefault="00150D01" w:rsidP="00150D01">
      <w:pPr>
        <w:spacing w:after="0" w:line="240" w:lineRule="auto"/>
        <w:ind w:left="709" w:right="709"/>
        <w:jc w:val="both"/>
        <w:rPr>
          <w:rFonts w:ascii="Verdana" w:eastAsia="Calibri" w:hAnsi="Verdana" w:cs="Arial"/>
          <w:bCs/>
          <w:iCs/>
          <w:sz w:val="21"/>
          <w:szCs w:val="21"/>
          <w:lang w:val="es-ES"/>
        </w:rPr>
      </w:pPr>
      <w:r w:rsidRPr="000B4D9F">
        <w:rPr>
          <w:rFonts w:ascii="Verdana" w:eastAsia="Calibri" w:hAnsi="Verdana" w:cs="Arial"/>
          <w:sz w:val="21"/>
          <w:szCs w:val="21"/>
          <w:lang w:val="es-MX"/>
        </w:rPr>
        <w:t xml:space="preserve"> </w:t>
      </w:r>
      <w:r w:rsidRPr="000B4D9F">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0B4D9F">
        <w:rPr>
          <w:rFonts w:ascii="Verdana" w:eastAsia="Calibri" w:hAnsi="Verdana" w:cs="Arial"/>
          <w:bCs/>
          <w:iCs/>
          <w:sz w:val="21"/>
          <w:szCs w:val="21"/>
          <w:vertAlign w:val="superscript"/>
          <w:lang w:val="es-ES"/>
        </w:rPr>
        <w:footnoteReference w:id="2"/>
      </w:r>
      <w:r w:rsidRPr="000B4D9F">
        <w:rPr>
          <w:rFonts w:ascii="Verdana" w:eastAsia="Calibri" w:hAnsi="Verdana" w:cs="Arial"/>
          <w:bCs/>
          <w:iCs/>
          <w:sz w:val="21"/>
          <w:szCs w:val="21"/>
          <w:lang w:val="es-ES"/>
        </w:rPr>
        <w:t>.</w:t>
      </w:r>
    </w:p>
    <w:p w14:paraId="1AEC33C9" w14:textId="77777777" w:rsidR="00150D01" w:rsidRPr="000B4D9F" w:rsidRDefault="00150D01" w:rsidP="00150D01">
      <w:pPr>
        <w:spacing w:after="0" w:line="240" w:lineRule="auto"/>
        <w:ind w:left="709" w:right="709"/>
        <w:jc w:val="both"/>
        <w:rPr>
          <w:rFonts w:ascii="Verdana" w:eastAsia="Calibri" w:hAnsi="Verdana" w:cs="Arial"/>
          <w:bCs/>
          <w:iCs/>
          <w:sz w:val="21"/>
          <w:szCs w:val="21"/>
          <w:lang w:val="es-ES_tradnl"/>
        </w:rPr>
      </w:pPr>
    </w:p>
    <w:p w14:paraId="728B603C" w14:textId="77777777" w:rsidR="00150D01" w:rsidRDefault="00150D01" w:rsidP="00150D01">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proofErr w:type="spellStart"/>
      <w:r w:rsidRPr="007218AE">
        <w:rPr>
          <w:rFonts w:ascii="Verdana" w:eastAsia="Calibri" w:hAnsi="Verdana" w:cs="Arial"/>
        </w:rPr>
        <w:t>na</w:t>
      </w:r>
      <w:proofErr w:type="spellEnd"/>
      <w:r w:rsidRPr="007218AE">
        <w:rPr>
          <w:rFonts w:ascii="Verdana" w:eastAsia="Calibri" w:hAnsi="Verdana" w:cs="Arial"/>
        </w:rPr>
        <w:t xml:space="preserve">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w:t>
      </w:r>
      <w:proofErr w:type="gramStart"/>
      <w:r>
        <w:rPr>
          <w:rFonts w:ascii="Verdana" w:eastAsia="Calibri" w:hAnsi="Verdana" w:cs="Arial"/>
          <w:lang w:val="es-MX"/>
        </w:rPr>
        <w:t>De acuerdo a</w:t>
      </w:r>
      <w:proofErr w:type="gramEnd"/>
      <w:r>
        <w:rPr>
          <w:rFonts w:ascii="Verdana" w:eastAsia="Calibri" w:hAnsi="Verdana" w:cs="Arial"/>
          <w:lang w:val="es-MX"/>
        </w:rPr>
        <w:t xml:space="preserve"> lo expuesto, se señala que la Agencia Nacional de Contratación Pública es competente para resolver consultas sobre normas del sistema de compras y contratación públicas que establezca inhabilidades e incompatibilidades para contratar con el Estado. </w:t>
      </w:r>
    </w:p>
    <w:p w14:paraId="67F7E32B" w14:textId="77777777" w:rsidR="00150D01" w:rsidRPr="0060163E" w:rsidRDefault="00150D01" w:rsidP="00150D01">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w:t>
      </w:r>
      <w:r w:rsidRPr="0060163E">
        <w:rPr>
          <w:rFonts w:ascii="Verdana" w:eastAsia="Calibri" w:hAnsi="Verdana" w:cs="Arial"/>
          <w:lang w:val="es-MX"/>
        </w:rPr>
        <w:lastRenderedPageBreak/>
        <w:t>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3"/>
      </w:r>
    </w:p>
    <w:p w14:paraId="2BD2CEC0" w14:textId="77777777" w:rsidR="00150D01" w:rsidRPr="0060163E" w:rsidRDefault="00150D01" w:rsidP="00150D01">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51526554" w14:textId="77777777" w:rsidR="00150D01" w:rsidRPr="0060163E" w:rsidRDefault="00150D01" w:rsidP="00150D01">
      <w:pPr>
        <w:spacing w:after="0" w:line="276" w:lineRule="auto"/>
        <w:jc w:val="both"/>
        <w:rPr>
          <w:rFonts w:ascii="Verdana" w:eastAsia="Calibri" w:hAnsi="Verdana" w:cs="Arial"/>
          <w:lang w:val="es-MX"/>
        </w:rPr>
      </w:pPr>
    </w:p>
    <w:p w14:paraId="61062F97" w14:textId="77777777" w:rsidR="00150D01" w:rsidRPr="004218E1" w:rsidRDefault="00150D01" w:rsidP="00150D01">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55C9929" w14:textId="77777777" w:rsidR="00150D01" w:rsidRPr="004218E1" w:rsidRDefault="00150D01" w:rsidP="00150D01">
      <w:pPr>
        <w:shd w:val="clear" w:color="auto" w:fill="FFFFFF"/>
        <w:spacing w:after="0" w:line="240" w:lineRule="auto"/>
        <w:ind w:left="709" w:right="709"/>
        <w:jc w:val="both"/>
        <w:rPr>
          <w:rFonts w:ascii="Verdana" w:eastAsia="Calibri" w:hAnsi="Verdana" w:cs="Arial"/>
          <w:sz w:val="21"/>
          <w:szCs w:val="21"/>
          <w:lang w:val="es-ES"/>
        </w:rPr>
      </w:pPr>
    </w:p>
    <w:p w14:paraId="0C6C838D" w14:textId="77777777" w:rsidR="00150D01" w:rsidRPr="004218E1" w:rsidRDefault="00150D01" w:rsidP="00150D01">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218E1">
        <w:rPr>
          <w:rFonts w:ascii="Verdana" w:eastAsia="Calibri" w:hAnsi="Verdana" w:cs="Arial"/>
          <w:sz w:val="21"/>
          <w:szCs w:val="21"/>
          <w:vertAlign w:val="superscript"/>
          <w:lang w:val="es-ES"/>
        </w:rPr>
        <w:footnoteReference w:id="4"/>
      </w:r>
    </w:p>
    <w:p w14:paraId="39FF80E7" w14:textId="77777777" w:rsidR="00150D01" w:rsidRPr="0060163E" w:rsidRDefault="00150D01" w:rsidP="00150D01">
      <w:pPr>
        <w:shd w:val="clear" w:color="auto" w:fill="FFFFFF"/>
        <w:spacing w:after="0" w:line="240" w:lineRule="auto"/>
        <w:ind w:left="709" w:right="709"/>
        <w:jc w:val="both"/>
        <w:rPr>
          <w:rFonts w:ascii="Verdana" w:eastAsia="Calibri" w:hAnsi="Verdana" w:cs="Arial"/>
          <w:lang w:val="es-ES"/>
        </w:rPr>
      </w:pPr>
    </w:p>
    <w:p w14:paraId="1A00FF1A" w14:textId="77777777" w:rsidR="00150D01" w:rsidRPr="0060163E" w:rsidRDefault="00150D01" w:rsidP="00150D01">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r w:rsidRPr="0060163E">
        <w:rPr>
          <w:rFonts w:ascii="Verdana" w:eastAsia="Calibri" w:hAnsi="Verdana" w:cs="Arial"/>
          <w:lang w:val="es-MX"/>
        </w:rPr>
        <w:lastRenderedPageBreak/>
        <w:t xml:space="preserve">La Corte Constitucional ha reconocido que estas limitaciones deben justificarse en la salvaguarda del interés general y que su interpretación es taxativa y restrictiva: </w:t>
      </w:r>
    </w:p>
    <w:p w14:paraId="3347527A" w14:textId="77777777" w:rsidR="00150D01" w:rsidRPr="004218E1" w:rsidRDefault="00150D01" w:rsidP="00150D01">
      <w:pPr>
        <w:spacing w:after="0" w:line="276" w:lineRule="auto"/>
        <w:rPr>
          <w:rFonts w:ascii="Verdana" w:eastAsia="Times New Roman" w:hAnsi="Verdana" w:cs="Arial"/>
          <w:sz w:val="21"/>
          <w:szCs w:val="21"/>
          <w:shd w:val="clear" w:color="auto" w:fill="FFFFFF"/>
          <w:lang w:eastAsia="es-ES_tradnl"/>
        </w:rPr>
      </w:pPr>
    </w:p>
    <w:p w14:paraId="5233D77A" w14:textId="77777777" w:rsidR="00150D01" w:rsidRPr="004218E1" w:rsidRDefault="00150D01" w:rsidP="00150D0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4218E1">
        <w:rPr>
          <w:rFonts w:ascii="Verdana" w:eastAsia="Calibri" w:hAnsi="Verdana" w:cs="Arial"/>
          <w:sz w:val="21"/>
          <w:szCs w:val="21"/>
          <w:lang w:val="es-MX"/>
        </w:rPr>
        <w:t>incompatibilidades,</w:t>
      </w:r>
      <w:proofErr w:type="gramEnd"/>
      <w:r w:rsidRPr="004218E1">
        <w:rPr>
          <w:rFonts w:ascii="Verdana" w:eastAsia="Calibri" w:hAnsi="Verdana" w:cs="Arial"/>
          <w:sz w:val="21"/>
          <w:szCs w:val="21"/>
          <w:lang w:val="es-MX"/>
        </w:rPr>
        <w:t xml:space="preserve"> se erige en causal de nulidad del contrato celebrado en esas condiciones (ley 80 de 1993, art. 44).</w:t>
      </w:r>
    </w:p>
    <w:p w14:paraId="29DE5643" w14:textId="77777777" w:rsidR="00150D01" w:rsidRPr="004218E1" w:rsidRDefault="00150D01" w:rsidP="00150D01">
      <w:pPr>
        <w:spacing w:after="0" w:line="240" w:lineRule="auto"/>
        <w:ind w:left="709" w:right="709"/>
        <w:jc w:val="both"/>
        <w:rPr>
          <w:rFonts w:ascii="Verdana" w:eastAsia="Calibri" w:hAnsi="Verdana" w:cs="Arial"/>
          <w:sz w:val="21"/>
          <w:szCs w:val="21"/>
          <w:lang w:val="es-MX"/>
        </w:rPr>
      </w:pPr>
    </w:p>
    <w:p w14:paraId="51A0143E" w14:textId="77777777" w:rsidR="00150D01" w:rsidRPr="004218E1" w:rsidRDefault="00150D01" w:rsidP="00150D0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218E1">
        <w:rPr>
          <w:rFonts w:ascii="Verdana" w:eastAsia="Calibri" w:hAnsi="Verdana" w:cs="Arial"/>
          <w:sz w:val="21"/>
          <w:szCs w:val="21"/>
          <w:vertAlign w:val="superscript"/>
          <w:lang w:val="es-MX"/>
        </w:rPr>
        <w:footnoteReference w:id="5"/>
      </w:r>
      <w:r w:rsidRPr="004218E1">
        <w:rPr>
          <w:rFonts w:ascii="Verdana" w:eastAsia="Calibri" w:hAnsi="Verdana" w:cs="Arial"/>
          <w:sz w:val="21"/>
          <w:szCs w:val="21"/>
          <w:lang w:val="es-MX"/>
        </w:rPr>
        <w:t xml:space="preserve">. </w:t>
      </w:r>
    </w:p>
    <w:p w14:paraId="05356871" w14:textId="77777777" w:rsidR="00150D01" w:rsidRPr="0060163E" w:rsidRDefault="00150D01" w:rsidP="00150D01">
      <w:pPr>
        <w:spacing w:after="0" w:line="276" w:lineRule="auto"/>
        <w:ind w:right="709"/>
        <w:jc w:val="both"/>
        <w:rPr>
          <w:rFonts w:ascii="Verdana" w:eastAsia="Calibri" w:hAnsi="Verdana" w:cs="Arial"/>
          <w:lang w:val="es-MX"/>
        </w:rPr>
      </w:pPr>
    </w:p>
    <w:p w14:paraId="6CF46953" w14:textId="77777777" w:rsidR="00150D01" w:rsidRPr="0060163E" w:rsidRDefault="00150D01" w:rsidP="00150D01">
      <w:pPr>
        <w:spacing w:after="0" w:line="276" w:lineRule="auto"/>
        <w:ind w:firstLine="709"/>
        <w:jc w:val="both"/>
        <w:rPr>
          <w:rFonts w:ascii="Verdana" w:eastAsia="Calibri" w:hAnsi="Verdana" w:cs="Arial"/>
          <w:lang w:val="es-MX"/>
        </w:rPr>
      </w:pPr>
      <w:r w:rsidRPr="0060163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777990C8" w14:textId="77777777" w:rsidR="00150D01" w:rsidRPr="0060163E" w:rsidRDefault="00150D01" w:rsidP="00150D01">
      <w:pPr>
        <w:tabs>
          <w:tab w:val="left" w:pos="1532"/>
        </w:tabs>
        <w:spacing w:after="0" w:line="276" w:lineRule="auto"/>
        <w:jc w:val="both"/>
        <w:rPr>
          <w:rFonts w:ascii="Verdana" w:eastAsia="Calibri" w:hAnsi="Verdana" w:cs="Arial"/>
          <w:lang w:val="es-MX"/>
        </w:rPr>
      </w:pPr>
    </w:p>
    <w:p w14:paraId="0DB43DC6" w14:textId="77777777" w:rsidR="00150D01" w:rsidRPr="004218E1" w:rsidRDefault="00150D01" w:rsidP="00150D0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w:t>
      </w:r>
      <w:r w:rsidRPr="004218E1">
        <w:rPr>
          <w:rFonts w:ascii="Verdana" w:eastAsia="Calibri" w:hAnsi="Verdana" w:cs="Arial"/>
          <w:sz w:val="21"/>
          <w:szCs w:val="21"/>
          <w:lang w:val="es-MX"/>
        </w:rPr>
        <w:lastRenderedPageBreak/>
        <w:t xml:space="preserve">modalidad de participación o colaboración de los particulares en su papel de contratistas. La ley demandada recae sobre una materia que pertenece al dominio de la esfera estatal y pública, dentro de la cual no rige el principio pro </w:t>
      </w:r>
      <w:proofErr w:type="spellStart"/>
      <w:r w:rsidRPr="004218E1">
        <w:rPr>
          <w:rFonts w:ascii="Verdana" w:eastAsia="Calibri" w:hAnsi="Verdana" w:cs="Arial"/>
          <w:sz w:val="21"/>
          <w:szCs w:val="21"/>
          <w:lang w:val="es-MX"/>
        </w:rPr>
        <w:t>libertate</w:t>
      </w:r>
      <w:proofErr w:type="spellEnd"/>
      <w:r w:rsidRPr="004218E1">
        <w:rPr>
          <w:rFonts w:ascii="Verdana" w:eastAsia="Calibri" w:hAnsi="Verdana" w:cs="Arial"/>
          <w:sz w:val="21"/>
          <w:szCs w:val="21"/>
          <w:lang w:val="es-MX"/>
        </w:rPr>
        <w:t xml:space="preserve">, sino el de legalidad, el que ordena que la función pública debe someterse estrictamente a lo que disponga la Constitución y la ley (CP art. 6). </w:t>
      </w:r>
    </w:p>
    <w:p w14:paraId="56B284CF" w14:textId="77777777" w:rsidR="00150D01" w:rsidRPr="004218E1" w:rsidRDefault="00150D01" w:rsidP="00150D0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 </w:t>
      </w:r>
    </w:p>
    <w:p w14:paraId="199DD5AA" w14:textId="77777777" w:rsidR="00150D01" w:rsidRPr="004218E1" w:rsidRDefault="00150D01" w:rsidP="00150D01">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Se comprende con facilidad que el régimen de inhabilidades e </w:t>
      </w:r>
      <w:proofErr w:type="gramStart"/>
      <w:r w:rsidRPr="004218E1">
        <w:rPr>
          <w:rFonts w:ascii="Verdana" w:eastAsia="Calibri" w:hAnsi="Verdana" w:cs="Arial"/>
          <w:sz w:val="21"/>
          <w:szCs w:val="21"/>
          <w:lang w:val="es-MX"/>
        </w:rPr>
        <w:t>incompatibilidades,</w:t>
      </w:r>
      <w:proofErr w:type="gramEnd"/>
      <w:r w:rsidRPr="004218E1">
        <w:rPr>
          <w:rFonts w:ascii="Verdana" w:eastAsia="Calibri" w:hAnsi="Verdana" w:cs="Arial"/>
          <w:sz w:val="21"/>
          <w:szCs w:val="21"/>
          <w:lang w:val="es-MX"/>
        </w:rPr>
        <w:t xml:space="preserve"> corresponde a una materia de normal y obligada inclusión en un estatuto contractual. El legislador, a quien se ha confiado expedir el indicado estatuto, tiene, pues, competencia para establecerlo (CP art. 150)”</w:t>
      </w:r>
      <w:r w:rsidRPr="004218E1">
        <w:rPr>
          <w:rFonts w:ascii="Verdana" w:eastAsia="Calibri" w:hAnsi="Verdana" w:cs="Arial"/>
          <w:sz w:val="21"/>
          <w:szCs w:val="21"/>
          <w:vertAlign w:val="superscript"/>
          <w:lang w:val="es-MX"/>
        </w:rPr>
        <w:footnoteReference w:id="6"/>
      </w:r>
      <w:r w:rsidRPr="004218E1">
        <w:rPr>
          <w:rFonts w:ascii="Verdana" w:eastAsia="Calibri" w:hAnsi="Verdana" w:cs="Arial"/>
          <w:sz w:val="21"/>
          <w:szCs w:val="21"/>
          <w:lang w:val="es-MX"/>
        </w:rPr>
        <w:t>.</w:t>
      </w:r>
    </w:p>
    <w:p w14:paraId="571A93C7" w14:textId="77777777" w:rsidR="00150D01" w:rsidRPr="0060163E" w:rsidRDefault="00150D01" w:rsidP="00150D01">
      <w:pPr>
        <w:spacing w:after="0" w:line="276" w:lineRule="auto"/>
        <w:ind w:left="709" w:right="709"/>
        <w:jc w:val="both"/>
        <w:rPr>
          <w:rFonts w:ascii="Verdana" w:eastAsia="Calibri" w:hAnsi="Verdana" w:cs="Arial"/>
          <w:lang w:val="es-MX"/>
        </w:rPr>
      </w:pPr>
    </w:p>
    <w:p w14:paraId="31A41BE6" w14:textId="77777777" w:rsidR="00150D01" w:rsidRPr="0060163E" w:rsidRDefault="00150D01" w:rsidP="00150D01">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Conviene también distinguir las fuentes de las inhabilidades, las cuales han sido clasificadas en dos (2) grupos: i) inhabilidades-sanción y </w:t>
      </w:r>
      <w:proofErr w:type="spellStart"/>
      <w:r w:rsidRPr="0060163E">
        <w:rPr>
          <w:rFonts w:ascii="Verdana" w:eastAsia="Calibri" w:hAnsi="Verdana" w:cs="Arial"/>
          <w:lang w:val="es-MX"/>
        </w:rPr>
        <w:t>ii</w:t>
      </w:r>
      <w:proofErr w:type="spellEnd"/>
      <w:r w:rsidRPr="0060163E">
        <w:rPr>
          <w:rFonts w:ascii="Verdana" w:eastAsia="Calibri" w:hAnsi="Verdana" w:cs="Arial"/>
          <w:lang w:val="es-MX"/>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7"/>
      </w:r>
      <w:r w:rsidRPr="0060163E">
        <w:rPr>
          <w:rFonts w:ascii="Verdana" w:eastAsia="Calibri" w:hAnsi="Verdana" w:cs="Arial"/>
          <w:lang w:val="es-MX"/>
        </w:rPr>
        <w:t>.</w:t>
      </w:r>
    </w:p>
    <w:p w14:paraId="7FCF21E4" w14:textId="77777777" w:rsidR="00150D01" w:rsidRPr="0060163E" w:rsidRDefault="00150D01" w:rsidP="00150D01">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8"/>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485411C7" w14:textId="77777777" w:rsidR="00150D01" w:rsidRPr="0060163E" w:rsidRDefault="00150D01" w:rsidP="00150D01">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5C3AD323" w14:textId="77777777" w:rsidR="00150D01" w:rsidRPr="0060163E" w:rsidRDefault="00150D01" w:rsidP="00150D01">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9"/>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57C2C95E" w14:textId="77777777" w:rsidR="00150D01" w:rsidRPr="0060163E" w:rsidRDefault="00150D01" w:rsidP="00150D01">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xml:space="preserve">. </w:t>
      </w:r>
    </w:p>
    <w:p w14:paraId="66B40B50" w14:textId="77777777" w:rsidR="00150D01" w:rsidRPr="0060163E" w:rsidRDefault="00150D01" w:rsidP="00150D01">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lastRenderedPageBreak/>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11"/>
      </w:r>
      <w:r w:rsidRPr="0060163E">
        <w:rPr>
          <w:rFonts w:ascii="Verdana" w:eastAsia="Calibri" w:hAnsi="Verdana" w:cs="Arial"/>
          <w:lang w:val="es-ES_tradnl"/>
        </w:rPr>
        <w:t>. En tal sentido, la Sección Tercera ha señalado que:</w:t>
      </w:r>
    </w:p>
    <w:p w14:paraId="2422F90B" w14:textId="77777777" w:rsidR="00150D01" w:rsidRPr="0060163E" w:rsidRDefault="00150D01" w:rsidP="00150D01">
      <w:pPr>
        <w:spacing w:after="0" w:line="276" w:lineRule="auto"/>
        <w:ind w:firstLine="709"/>
        <w:jc w:val="both"/>
        <w:rPr>
          <w:rFonts w:ascii="Verdana" w:eastAsia="Calibri" w:hAnsi="Verdana" w:cs="Arial"/>
          <w:lang w:val="es-ES_tradnl"/>
        </w:rPr>
      </w:pPr>
    </w:p>
    <w:p w14:paraId="6CB8F3EF" w14:textId="77777777" w:rsidR="00150D01" w:rsidRPr="004218E1" w:rsidRDefault="00150D01" w:rsidP="00150D01">
      <w:pPr>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218E1">
        <w:rPr>
          <w:rFonts w:ascii="Verdana" w:eastAsia="Calibri" w:hAnsi="Verdana" w:cs="Arial"/>
          <w:sz w:val="21"/>
          <w:szCs w:val="21"/>
          <w:vertAlign w:val="superscript"/>
          <w:lang w:val="es-ES_tradnl"/>
        </w:rPr>
        <w:footnoteReference w:id="12"/>
      </w:r>
      <w:r w:rsidRPr="004218E1">
        <w:rPr>
          <w:rFonts w:ascii="Verdana" w:eastAsia="Calibri" w:hAnsi="Verdana" w:cs="Arial"/>
          <w:sz w:val="21"/>
          <w:szCs w:val="21"/>
          <w:lang w:val="es-ES_tradnl"/>
        </w:rPr>
        <w:t>.</w:t>
      </w:r>
    </w:p>
    <w:p w14:paraId="0E7308F8" w14:textId="77777777" w:rsidR="00150D01" w:rsidRPr="004218E1" w:rsidRDefault="00150D01" w:rsidP="00150D01">
      <w:pPr>
        <w:spacing w:after="0" w:line="240" w:lineRule="auto"/>
        <w:ind w:firstLine="709"/>
        <w:jc w:val="both"/>
        <w:rPr>
          <w:rFonts w:ascii="Verdana" w:eastAsia="Calibri" w:hAnsi="Verdana" w:cs="Arial"/>
          <w:sz w:val="21"/>
          <w:szCs w:val="21"/>
          <w:lang w:val="es-ES_tradnl"/>
        </w:rPr>
      </w:pPr>
    </w:p>
    <w:p w14:paraId="6E2BD05B" w14:textId="77777777" w:rsidR="00150D01" w:rsidRPr="004218E1" w:rsidRDefault="00150D01" w:rsidP="00150D01">
      <w:pPr>
        <w:spacing w:after="0" w:line="240" w:lineRule="auto"/>
        <w:ind w:firstLine="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También ha dicho que:</w:t>
      </w:r>
    </w:p>
    <w:p w14:paraId="21E53117" w14:textId="77777777" w:rsidR="00150D01" w:rsidRPr="004218E1" w:rsidRDefault="00150D01" w:rsidP="00150D01">
      <w:pPr>
        <w:spacing w:after="0" w:line="240" w:lineRule="auto"/>
        <w:ind w:left="709" w:right="616"/>
        <w:jc w:val="both"/>
        <w:rPr>
          <w:rFonts w:ascii="Verdana" w:eastAsia="Calibri" w:hAnsi="Verdana" w:cs="Arial"/>
          <w:sz w:val="21"/>
          <w:szCs w:val="21"/>
          <w:lang w:val="es-ES"/>
        </w:rPr>
      </w:pPr>
      <w:r w:rsidRPr="004218E1">
        <w:rPr>
          <w:rFonts w:ascii="Verdana" w:eastAsia="Calibri" w:hAnsi="Verdana" w:cs="Arial"/>
          <w:sz w:val="21"/>
          <w:szCs w:val="21"/>
          <w:lang w:val="es-ES"/>
        </w:rPr>
        <w:t xml:space="preserve">[…] la aplicación de estos preceptos exige una interpretación restrictiva, dado que según el principio hermenéutico </w:t>
      </w:r>
      <w:r w:rsidRPr="004218E1">
        <w:rPr>
          <w:rFonts w:ascii="Verdana" w:eastAsia="Calibri" w:hAnsi="Verdana" w:cs="Arial"/>
          <w:i/>
          <w:iCs/>
          <w:sz w:val="21"/>
          <w:szCs w:val="21"/>
          <w:lang w:val="es-ES"/>
        </w:rPr>
        <w:t xml:space="preserve">pro </w:t>
      </w:r>
      <w:proofErr w:type="spellStart"/>
      <w:r w:rsidRPr="004218E1">
        <w:rPr>
          <w:rFonts w:ascii="Verdana" w:eastAsia="Calibri" w:hAnsi="Verdana" w:cs="Arial"/>
          <w:i/>
          <w:iCs/>
          <w:sz w:val="21"/>
          <w:szCs w:val="21"/>
          <w:lang w:val="es-ES"/>
        </w:rPr>
        <w:t>libertate</w:t>
      </w:r>
      <w:proofErr w:type="spellEnd"/>
      <w:r w:rsidRPr="004218E1">
        <w:rPr>
          <w:rFonts w:ascii="Verdana" w:eastAsia="Calibri" w:hAnsi="Verdana" w:cs="Arial"/>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218E1">
        <w:rPr>
          <w:rFonts w:ascii="Verdana" w:eastAsia="Calibri" w:hAnsi="Verdana" w:cs="Arial"/>
          <w:sz w:val="21"/>
          <w:szCs w:val="21"/>
          <w:vertAlign w:val="superscript"/>
          <w:lang w:val="es-ES"/>
        </w:rPr>
        <w:footnoteReference w:id="13"/>
      </w:r>
      <w:r w:rsidRPr="004218E1">
        <w:rPr>
          <w:rFonts w:ascii="Verdana" w:eastAsia="Calibri" w:hAnsi="Verdana" w:cs="Arial"/>
          <w:sz w:val="21"/>
          <w:szCs w:val="21"/>
          <w:lang w:val="es-ES"/>
        </w:rPr>
        <w:t>.</w:t>
      </w:r>
    </w:p>
    <w:p w14:paraId="709906E9" w14:textId="77777777" w:rsidR="00150D01" w:rsidRPr="0060163E" w:rsidRDefault="00150D01" w:rsidP="00150D01">
      <w:pPr>
        <w:spacing w:after="0" w:line="276" w:lineRule="auto"/>
        <w:jc w:val="both"/>
        <w:rPr>
          <w:rFonts w:ascii="Verdana" w:eastAsia="Arial" w:hAnsi="Verdana" w:cs="Arial"/>
          <w:color w:val="000000"/>
          <w:lang w:val="es-ES_tradnl"/>
        </w:rPr>
      </w:pPr>
    </w:p>
    <w:p w14:paraId="39AB0464" w14:textId="77777777" w:rsidR="00150D01" w:rsidRPr="0060163E" w:rsidRDefault="00150D01" w:rsidP="00150D01">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 xml:space="preserve">pro </w:t>
      </w:r>
      <w:proofErr w:type="spellStart"/>
      <w:r w:rsidRPr="0060163E">
        <w:rPr>
          <w:rFonts w:ascii="Verdana" w:eastAsia="Arial" w:hAnsi="Verdana" w:cs="Arial"/>
          <w:i/>
          <w:iCs/>
          <w:color w:val="000000"/>
          <w:lang w:val="es-ES_tradnl"/>
        </w:rPr>
        <w:t>libertate</w:t>
      </w:r>
      <w:proofErr w:type="spellEnd"/>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w:t>
      </w:r>
      <w:r w:rsidRPr="0060163E">
        <w:rPr>
          <w:rFonts w:ascii="Verdana" w:eastAsia="Calibri" w:hAnsi="Verdana" w:cs="Arial"/>
          <w:color w:val="000000"/>
          <w:lang w:val="es-MX"/>
        </w:rPr>
        <w:lastRenderedPageBreak/>
        <w:t>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4"/>
      </w:r>
    </w:p>
    <w:p w14:paraId="70D451F5" w14:textId="77777777" w:rsidR="00150D01" w:rsidRPr="0060163E" w:rsidRDefault="00150D01" w:rsidP="00150D01">
      <w:pPr>
        <w:spacing w:after="0" w:line="276" w:lineRule="auto"/>
        <w:ind w:firstLine="709"/>
        <w:jc w:val="both"/>
        <w:rPr>
          <w:rFonts w:ascii="Verdana" w:eastAsia="Calibri" w:hAnsi="Verdana" w:cs="Arial"/>
          <w:color w:val="000000"/>
          <w:shd w:val="clear" w:color="auto" w:fill="FFFFFF"/>
          <w:lang w:val="es-MX"/>
        </w:rPr>
      </w:pPr>
      <w:r w:rsidRPr="0060163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15"/>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60163E">
        <w:rPr>
          <w:rFonts w:ascii="Verdana" w:eastAsia="Calibri" w:hAnsi="Verdana" w:cs="Arial"/>
          <w:color w:val="000000"/>
          <w:shd w:val="clear" w:color="auto" w:fill="FFFFFF"/>
          <w:vertAlign w:val="superscript"/>
          <w:lang w:val="es-MX"/>
        </w:rPr>
        <w:footnoteReference w:id="16"/>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existe consenso, incluso como lo ha expresado esta Agencia en ocasiones anteriores, que la creación de inhabilidades o incompatibilidades está reservada al constituyente o al legislador.</w:t>
      </w:r>
    </w:p>
    <w:p w14:paraId="1C5917D8" w14:textId="77777777" w:rsidR="00150D01" w:rsidRPr="00FF2FD4" w:rsidRDefault="00150D01" w:rsidP="00150D01">
      <w:pPr>
        <w:spacing w:after="0" w:line="276" w:lineRule="auto"/>
        <w:jc w:val="both"/>
        <w:rPr>
          <w:rFonts w:ascii="Verdana" w:eastAsia="Calibri" w:hAnsi="Verdana" w:cs="Arial"/>
          <w:b/>
          <w:lang w:val="es-ES_tradnl"/>
        </w:rPr>
      </w:pPr>
    </w:p>
    <w:p w14:paraId="20F48C6B" w14:textId="77777777" w:rsidR="00150D01" w:rsidRPr="00FF2FD4" w:rsidRDefault="00150D01" w:rsidP="00150D01">
      <w:pPr>
        <w:spacing w:after="0" w:line="276" w:lineRule="auto"/>
        <w:jc w:val="both"/>
        <w:rPr>
          <w:rFonts w:ascii="Verdana" w:eastAsia="Calibri" w:hAnsi="Verdana" w:cs="Arial"/>
          <w:lang w:val="es-ES"/>
        </w:rPr>
      </w:pPr>
      <w:proofErr w:type="spellStart"/>
      <w:r w:rsidRPr="7A6FFA76">
        <w:rPr>
          <w:rFonts w:ascii="Verdana" w:eastAsia="Calibri" w:hAnsi="Verdana" w:cs="Arial"/>
          <w:lang w:val="es-ES"/>
        </w:rPr>
        <w:t>ii</w:t>
      </w:r>
      <w:proofErr w:type="spellEnd"/>
      <w:r w:rsidRPr="7A6FFA76">
        <w:rPr>
          <w:rFonts w:ascii="Verdana" w:eastAsia="Calibri" w:hAnsi="Verdana" w:cs="Arial"/>
          <w:lang w:val="es-ES"/>
        </w:rPr>
        <w:t>. El artículo 87 de La Ley 1474 de 2011, que modificó el numeral 12 del artículo 25 de la Ley 80 de 1993, indica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 Así lo indica dicha norma:</w:t>
      </w:r>
    </w:p>
    <w:p w14:paraId="60BB9B44" w14:textId="77777777" w:rsidR="00150D01" w:rsidRPr="00FF2FD4" w:rsidRDefault="00150D01" w:rsidP="00150D01">
      <w:pPr>
        <w:spacing w:after="0" w:line="276" w:lineRule="auto"/>
        <w:jc w:val="both"/>
        <w:rPr>
          <w:rFonts w:ascii="Verdana" w:eastAsia="Calibri" w:hAnsi="Verdana" w:cs="Arial"/>
          <w:lang w:val="es-ES_tradnl"/>
        </w:rPr>
      </w:pPr>
      <w:r w:rsidRPr="00FF2FD4">
        <w:rPr>
          <w:rFonts w:ascii="Verdana" w:eastAsia="Calibri" w:hAnsi="Verdana" w:cs="Arial"/>
          <w:lang w:val="es-ES_tradnl"/>
        </w:rPr>
        <w:t xml:space="preserve"> </w:t>
      </w:r>
    </w:p>
    <w:p w14:paraId="18407AF7" w14:textId="77777777" w:rsidR="00150D01" w:rsidRPr="004218E1" w:rsidRDefault="00150D01" w:rsidP="00150D01">
      <w:pPr>
        <w:tabs>
          <w:tab w:val="left" w:pos="8222"/>
        </w:tabs>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“El numeral 12 del artículo </w:t>
      </w:r>
      <w:hyperlink r:id="rId12" w:anchor="25" w:history="1">
        <w:r w:rsidRPr="004218E1">
          <w:rPr>
            <w:rFonts w:ascii="Verdana" w:eastAsia="Calibri" w:hAnsi="Verdana" w:cs="Arial"/>
            <w:sz w:val="21"/>
            <w:szCs w:val="21"/>
            <w:lang w:val="es-ES_tradnl"/>
          </w:rPr>
          <w:t>25</w:t>
        </w:r>
      </w:hyperlink>
      <w:r w:rsidRPr="004218E1">
        <w:rPr>
          <w:rFonts w:ascii="Verdana" w:eastAsia="Calibri" w:hAnsi="Verdana" w:cs="Arial"/>
          <w:sz w:val="21"/>
          <w:szCs w:val="21"/>
          <w:lang w:val="es-ES_tradnl"/>
        </w:rPr>
        <w:t> de la Ley 80 de 1993 quedará así:</w:t>
      </w:r>
    </w:p>
    <w:p w14:paraId="7CBA017C" w14:textId="77777777" w:rsidR="00150D01" w:rsidRPr="004218E1" w:rsidRDefault="00150D01" w:rsidP="00150D01">
      <w:pPr>
        <w:tabs>
          <w:tab w:val="left" w:pos="8222"/>
        </w:tabs>
        <w:spacing w:after="0" w:line="240" w:lineRule="auto"/>
        <w:ind w:left="709" w:right="709"/>
        <w:jc w:val="both"/>
        <w:rPr>
          <w:rFonts w:ascii="Verdana" w:eastAsia="Calibri" w:hAnsi="Verdana" w:cs="Arial"/>
          <w:sz w:val="21"/>
          <w:szCs w:val="21"/>
          <w:lang w:val="es-ES_tradnl"/>
        </w:rPr>
      </w:pPr>
    </w:p>
    <w:p w14:paraId="06D7F540" w14:textId="77777777" w:rsidR="00150D01" w:rsidRPr="004218E1" w:rsidRDefault="00150D01" w:rsidP="00150D01">
      <w:pPr>
        <w:tabs>
          <w:tab w:val="left" w:pos="8222"/>
        </w:tabs>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 xml:space="preserve">12. Previo a la apertura de un proceso de selección, o a la firma del contrato en el caso en que la modalidad de selección sea contratación </w:t>
      </w:r>
      <w:r w:rsidRPr="004218E1">
        <w:rPr>
          <w:rFonts w:ascii="Verdana" w:eastAsia="Calibri" w:hAnsi="Verdana" w:cs="Arial"/>
          <w:sz w:val="21"/>
          <w:szCs w:val="21"/>
          <w:lang w:val="es-ES"/>
        </w:rPr>
        <w:lastRenderedPageBreak/>
        <w:t>directa, deberán elaborarse los estudios, diseños y proyectos requeridos, y los pliegos de condiciones, según corresponda.</w:t>
      </w:r>
    </w:p>
    <w:p w14:paraId="25E84DD3" w14:textId="77777777" w:rsidR="00150D01" w:rsidRPr="004218E1" w:rsidRDefault="00150D01" w:rsidP="00150D01">
      <w:pPr>
        <w:tabs>
          <w:tab w:val="left" w:pos="8222"/>
        </w:tabs>
        <w:spacing w:after="0" w:line="240" w:lineRule="auto"/>
        <w:ind w:left="709" w:right="709"/>
        <w:jc w:val="both"/>
        <w:rPr>
          <w:rFonts w:ascii="Verdana" w:eastAsia="Calibri" w:hAnsi="Verdana" w:cs="Arial"/>
          <w:sz w:val="21"/>
          <w:szCs w:val="21"/>
          <w:lang w:val="es-ES_tradnl"/>
        </w:rPr>
      </w:pPr>
    </w:p>
    <w:p w14:paraId="5BFE6C9F" w14:textId="77777777" w:rsidR="00150D01" w:rsidRPr="004218E1" w:rsidRDefault="00150D01" w:rsidP="00150D01">
      <w:pPr>
        <w:tabs>
          <w:tab w:val="left" w:pos="8222"/>
        </w:tabs>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4A99E8DA" w14:textId="77777777" w:rsidR="00150D01" w:rsidRPr="00FF2FD4" w:rsidRDefault="00150D01" w:rsidP="00150D01">
      <w:pPr>
        <w:tabs>
          <w:tab w:val="left" w:pos="8222"/>
        </w:tabs>
        <w:spacing w:after="0" w:line="276" w:lineRule="auto"/>
        <w:ind w:left="709" w:right="709"/>
        <w:jc w:val="both"/>
        <w:rPr>
          <w:rFonts w:ascii="Verdana" w:eastAsia="Calibri" w:hAnsi="Verdana" w:cs="Arial"/>
          <w:sz w:val="21"/>
          <w:szCs w:val="21"/>
          <w:lang w:val="es-ES_tradnl"/>
        </w:rPr>
      </w:pPr>
    </w:p>
    <w:p w14:paraId="0D86CBEA" w14:textId="77777777" w:rsidR="00150D01" w:rsidRPr="00FF2FD4" w:rsidRDefault="00150D01" w:rsidP="00150D01">
      <w:pPr>
        <w:spacing w:after="120" w:line="276" w:lineRule="auto"/>
        <w:ind w:firstLine="709"/>
        <w:jc w:val="both"/>
        <w:rPr>
          <w:rFonts w:ascii="Verdana" w:eastAsia="Calibri" w:hAnsi="Verdana" w:cs="Arial"/>
          <w:lang w:val="es-ES_tradnl"/>
        </w:rPr>
      </w:pPr>
      <w:r w:rsidRPr="00FF2FD4">
        <w:rPr>
          <w:rFonts w:ascii="Verdana" w:eastAsia="Calibri" w:hAnsi="Verdana" w:cs="Arial"/>
          <w:lang w:val="es-ES_tradnl"/>
        </w:rPr>
        <w:t xml:space="preserve">De acuerdo con el inciso final, para adelantar la contratación cuyo objeto consiste en realizar una obra, se requiere que al menos existan los estudios de viabilidad del proyecto y su impacto social, económico y ambiental. No obstante, permite que en un mismo procedimiento de selección se contrate la obra y la elaboración de los estudios y diseños que expliquen con mayor detalle las obras y estructuras que se requieran. </w:t>
      </w:r>
    </w:p>
    <w:p w14:paraId="074985E3" w14:textId="77777777" w:rsidR="00150D01" w:rsidRPr="00FF2FD4" w:rsidRDefault="00150D01" w:rsidP="00150D01">
      <w:pPr>
        <w:spacing w:after="120" w:line="276" w:lineRule="auto"/>
        <w:ind w:firstLine="709"/>
        <w:jc w:val="both"/>
        <w:rPr>
          <w:rFonts w:ascii="Verdana" w:eastAsia="Calibri" w:hAnsi="Verdana" w:cs="Arial"/>
          <w:lang w:val="es-ES_tradnl"/>
        </w:rPr>
      </w:pPr>
      <w:r w:rsidRPr="00FF2FD4">
        <w:rPr>
          <w:rFonts w:ascii="Verdana" w:eastAsia="Calibri" w:hAnsi="Verdana" w:cs="Arial"/>
          <w:lang w:val="es-ES_tradnl"/>
        </w:rPr>
        <w:t>Lo anterior se reitera con lo previsto en el artículo 2.2.1.1.2.1.1. del Decreto 1082 de 2015, el cual señala que cuando el objeto a contratar incluye el diseño y construcción, los estudios previos deben contener los documentos técnicos del proyecto</w:t>
      </w:r>
      <w:r w:rsidRPr="00FF2FD4">
        <w:rPr>
          <w:rFonts w:ascii="Verdana" w:eastAsia="Calibri" w:hAnsi="Verdana" w:cs="Arial"/>
          <w:vertAlign w:val="superscript"/>
          <w:lang w:val="es-ES_tradnl"/>
        </w:rPr>
        <w:footnoteReference w:id="17"/>
      </w:r>
      <w:r w:rsidRPr="00FF2FD4">
        <w:rPr>
          <w:rFonts w:ascii="Verdana" w:eastAsia="Calibri" w:hAnsi="Verdana" w:cs="Arial"/>
          <w:lang w:val="es-ES_tradnl"/>
        </w:rPr>
        <w:t xml:space="preserve">. En este sentido, de forma expresa se prevé la posibilidad de que en un mismo procedimiento de selección se contrate la elaboración de los diseños y la construcción de una obra. </w:t>
      </w:r>
    </w:p>
    <w:p w14:paraId="2AA1F995" w14:textId="77777777" w:rsidR="00150D01" w:rsidRPr="00FF2FD4" w:rsidRDefault="00150D01" w:rsidP="00150D01">
      <w:pPr>
        <w:spacing w:after="120" w:line="276" w:lineRule="auto"/>
        <w:ind w:firstLine="709"/>
        <w:jc w:val="both"/>
        <w:rPr>
          <w:rFonts w:ascii="Verdana" w:eastAsia="Calibri" w:hAnsi="Verdana" w:cs="Arial"/>
          <w:lang w:val="es-ES"/>
        </w:rPr>
      </w:pPr>
      <w:r w:rsidRPr="7A6FFA76">
        <w:rPr>
          <w:rFonts w:ascii="Verdana" w:eastAsia="Calibri" w:hAnsi="Verdana" w:cs="Arial"/>
          <w:lang w:val="es-ES"/>
        </w:rPr>
        <w:t xml:space="preserve">Ahora, ¿qué ha de entenderse por estudios de “viabilidad” de un proyecto de construcción? El artículo 12 de la Ley 1682 de 2013 define y clasifica los diversos estudios de ingeniería que se adelantan para la ejecución de los proyectos de infraestructura en las siguientes tipologías: i) fase I –prefactibilidad–, </w:t>
      </w:r>
      <w:proofErr w:type="spellStart"/>
      <w:r w:rsidRPr="7A6FFA76">
        <w:rPr>
          <w:rFonts w:ascii="Verdana" w:eastAsia="Calibri" w:hAnsi="Verdana" w:cs="Arial"/>
          <w:lang w:val="es-ES"/>
        </w:rPr>
        <w:t>ii</w:t>
      </w:r>
      <w:proofErr w:type="spellEnd"/>
      <w:r w:rsidRPr="7A6FFA76">
        <w:rPr>
          <w:rFonts w:ascii="Verdana" w:eastAsia="Calibri" w:hAnsi="Verdana" w:cs="Arial"/>
          <w:lang w:val="es-ES"/>
        </w:rPr>
        <w:t xml:space="preserve">) fase II –factibilidad– y </w:t>
      </w:r>
      <w:proofErr w:type="spellStart"/>
      <w:r w:rsidRPr="7A6FFA76">
        <w:rPr>
          <w:rFonts w:ascii="Verdana" w:eastAsia="Calibri" w:hAnsi="Verdana" w:cs="Arial"/>
          <w:lang w:val="es-ES"/>
        </w:rPr>
        <w:t>iii</w:t>
      </w:r>
      <w:proofErr w:type="spellEnd"/>
      <w:r w:rsidRPr="7A6FFA76">
        <w:rPr>
          <w:rFonts w:ascii="Verdana" w:eastAsia="Calibri" w:hAnsi="Verdana" w:cs="Arial"/>
          <w:lang w:val="es-ES"/>
        </w:rPr>
        <w:t xml:space="preserve">) fase III –estudios y diseños definitivos–. Así las define el artículo: </w:t>
      </w:r>
    </w:p>
    <w:p w14:paraId="22F091BD" w14:textId="77777777" w:rsidR="00150D01" w:rsidRPr="004218E1" w:rsidRDefault="00150D01" w:rsidP="00150D01">
      <w:pPr>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“En lo que se refiere a la infraestructura de transporte terrestre, aeronáutica, aeroportuaria y acuática, se tendrán en cuenta las siguientes definiciones:</w:t>
      </w:r>
    </w:p>
    <w:p w14:paraId="0213B384" w14:textId="77777777" w:rsidR="00150D01" w:rsidRPr="004218E1" w:rsidRDefault="00150D01" w:rsidP="00150D01">
      <w:pPr>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w:t>
      </w:r>
    </w:p>
    <w:p w14:paraId="48DA76BD" w14:textId="77777777" w:rsidR="00150D01" w:rsidRPr="004218E1" w:rsidRDefault="00150D01" w:rsidP="00150D01">
      <w:pPr>
        <w:spacing w:after="0" w:line="240" w:lineRule="auto"/>
        <w:ind w:left="709" w:right="709"/>
        <w:jc w:val="both"/>
        <w:rPr>
          <w:rFonts w:ascii="Verdana" w:eastAsia="Calibri" w:hAnsi="Verdana" w:cs="Arial"/>
          <w:sz w:val="21"/>
          <w:szCs w:val="21"/>
          <w:lang w:val="es-ES_tradnl"/>
        </w:rPr>
      </w:pPr>
    </w:p>
    <w:p w14:paraId="000A1BD0"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r w:rsidRPr="004218E1">
        <w:rPr>
          <w:rFonts w:ascii="Verdana" w:eastAsia="Times New Roman" w:hAnsi="Verdana" w:cs="Arial"/>
          <w:bCs/>
          <w:sz w:val="21"/>
          <w:szCs w:val="21"/>
          <w:lang w:eastAsia="es-CO"/>
        </w:rPr>
        <w:t>Estudios de Ingeniería</w:t>
      </w:r>
      <w:r w:rsidRPr="004218E1">
        <w:rPr>
          <w:rFonts w:ascii="Verdana" w:eastAsia="Times New Roman" w:hAnsi="Verdana" w:cs="Arial"/>
          <w:sz w:val="21"/>
          <w:szCs w:val="21"/>
          <w:lang w:eastAsia="es-CO"/>
        </w:rPr>
        <w:t>. Sin perjuicio de lo previsto en la Ley </w:t>
      </w:r>
      <w:hyperlink r:id="rId13" w:anchor="Inicio" w:history="1">
        <w:r w:rsidRPr="004218E1">
          <w:rPr>
            <w:rFonts w:ascii="Verdana" w:eastAsia="Times New Roman" w:hAnsi="Verdana" w:cs="Arial"/>
            <w:sz w:val="21"/>
            <w:szCs w:val="21"/>
            <w:lang w:eastAsia="es-CO"/>
          </w:rPr>
          <w:t>1508</w:t>
        </w:r>
      </w:hyperlink>
      <w:r w:rsidRPr="004218E1">
        <w:rPr>
          <w:rFonts w:ascii="Verdana" w:eastAsia="Times New Roman" w:hAnsi="Verdana" w:cs="Arial"/>
          <w:sz w:val="21"/>
          <w:szCs w:val="21"/>
          <w:lang w:eastAsia="es-CO"/>
        </w:rPr>
        <w:t> de 2012 y sus decretos reglamentarios, las siguientes definiciones deben tenerse en cuenta en la preparación de los diversos estudios de ingeniería que se adelanten para la ejecución de los proyectos de infraestructura:</w:t>
      </w:r>
    </w:p>
    <w:p w14:paraId="1ED9BB4E" w14:textId="77777777" w:rsidR="00150D01" w:rsidRPr="004218E1" w:rsidRDefault="00150D01" w:rsidP="00150D01">
      <w:pPr>
        <w:spacing w:after="0" w:line="240" w:lineRule="auto"/>
        <w:ind w:left="709" w:right="709"/>
        <w:jc w:val="both"/>
        <w:rPr>
          <w:rFonts w:ascii="Verdana" w:eastAsia="Calibri" w:hAnsi="Verdana" w:cs="Arial"/>
          <w:sz w:val="21"/>
          <w:szCs w:val="21"/>
          <w:lang w:val="es-ES_tradnl" w:eastAsia="es-CO"/>
        </w:rPr>
      </w:pPr>
    </w:p>
    <w:p w14:paraId="21F3506B"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r w:rsidRPr="004218E1">
        <w:rPr>
          <w:rFonts w:ascii="Verdana" w:eastAsia="Times New Roman" w:hAnsi="Verdana" w:cs="Arial"/>
          <w:sz w:val="21"/>
          <w:szCs w:val="21"/>
          <w:lang w:eastAsia="es-CO"/>
        </w:rPr>
        <w:t>Fase 1. </w:t>
      </w:r>
      <w:r w:rsidRPr="004218E1">
        <w:rPr>
          <w:rFonts w:ascii="Verdana" w:eastAsia="Times New Roman" w:hAnsi="Verdana" w:cs="Arial"/>
          <w:i/>
          <w:iCs/>
          <w:sz w:val="21"/>
          <w:szCs w:val="21"/>
          <w:lang w:eastAsia="es-CO"/>
        </w:rPr>
        <w:t>Prefactibilidad</w:t>
      </w:r>
      <w:r w:rsidRPr="004218E1">
        <w:rPr>
          <w:rFonts w:ascii="Verdana" w:eastAsia="Times New Roman" w:hAnsi="Verdana" w:cs="Arial"/>
          <w:sz w:val="21"/>
          <w:szCs w:val="21"/>
          <w:lang w:eastAsia="es-CO"/>
        </w:rPr>
        <w:t>.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14:paraId="0E60D903"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p>
    <w:p w14:paraId="34720E26"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r w:rsidRPr="004218E1">
        <w:rPr>
          <w:rFonts w:ascii="Verdana" w:eastAsia="Times New Roman" w:hAnsi="Verdana" w:cs="Arial"/>
          <w:sz w:val="21"/>
          <w:szCs w:val="21"/>
          <w:lang w:eastAsia="es-CO"/>
        </w:rPr>
        <w:t>Fase 2. </w:t>
      </w:r>
      <w:r w:rsidRPr="004218E1">
        <w:rPr>
          <w:rFonts w:ascii="Verdana" w:eastAsia="Times New Roman" w:hAnsi="Verdana" w:cs="Arial"/>
          <w:i/>
          <w:iCs/>
          <w:sz w:val="21"/>
          <w:szCs w:val="21"/>
          <w:lang w:eastAsia="es-CO"/>
        </w:rPr>
        <w:t>Factibilidad. </w:t>
      </w:r>
      <w:r w:rsidRPr="004218E1">
        <w:rPr>
          <w:rFonts w:ascii="Verdana" w:eastAsia="Times New Roman" w:hAnsi="Verdana" w:cs="Arial"/>
          <w:sz w:val="21"/>
          <w:szCs w:val="21"/>
          <w:lang w:eastAsia="es-CO"/>
        </w:rPr>
        <w:t>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14:paraId="16959B47"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p>
    <w:p w14:paraId="0472B39C"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r w:rsidRPr="004218E1">
        <w:rPr>
          <w:rFonts w:ascii="Verdana" w:eastAsia="Times New Roman" w:hAnsi="Verdana" w:cs="Arial"/>
          <w:sz w:val="21"/>
          <w:szCs w:val="21"/>
          <w:lang w:eastAsia="es-CO"/>
        </w:rPr>
        <w:t>En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14:paraId="3F611FB8"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p>
    <w:p w14:paraId="0C0AAA97"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r w:rsidRPr="004218E1">
        <w:rPr>
          <w:rFonts w:ascii="Verdana" w:eastAsia="Times New Roman" w:hAnsi="Verdana" w:cs="Arial"/>
          <w:sz w:val="21"/>
          <w:szCs w:val="21"/>
          <w:lang w:eastAsia="es-CO"/>
        </w:rPr>
        <w:t>Desarrollados los estudios de factibilidad del proyecto, podrá la entidad pública o el responsable del diseño si ya fue adjudicado el proyecto, continuar con la elaboración de los diseños definitivos.</w:t>
      </w:r>
    </w:p>
    <w:p w14:paraId="103F270B"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p>
    <w:p w14:paraId="61C98FB6"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r w:rsidRPr="004218E1">
        <w:rPr>
          <w:rFonts w:ascii="Verdana" w:eastAsia="Times New Roman" w:hAnsi="Verdana" w:cs="Arial"/>
          <w:sz w:val="21"/>
          <w:szCs w:val="21"/>
          <w:lang w:eastAsia="es-CO"/>
        </w:rPr>
        <w:t>Finalizada esta fase de factibilidad, la entidad pública o el contratista, si ya fue adjudicado el proyecto de infraestructura de transporte, adelantará el estudio de impacto ambiental, el cual será sometido a aprobación de la autoridad ambiental quien otorgará la licencia respectiva.</w:t>
      </w:r>
    </w:p>
    <w:p w14:paraId="0C9B143C"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p>
    <w:p w14:paraId="3463F07A" w14:textId="77777777" w:rsidR="00150D01" w:rsidRPr="004218E1" w:rsidRDefault="00150D01" w:rsidP="00150D01">
      <w:pPr>
        <w:spacing w:after="0" w:line="240" w:lineRule="auto"/>
        <w:ind w:left="709" w:right="709"/>
        <w:jc w:val="both"/>
        <w:rPr>
          <w:rFonts w:ascii="Verdana" w:eastAsia="Times New Roman" w:hAnsi="Verdana" w:cs="Arial"/>
          <w:sz w:val="21"/>
          <w:szCs w:val="21"/>
          <w:lang w:eastAsia="es-CO"/>
        </w:rPr>
      </w:pPr>
      <w:r w:rsidRPr="004218E1">
        <w:rPr>
          <w:rFonts w:ascii="Verdana" w:eastAsia="Times New Roman" w:hAnsi="Verdana" w:cs="Arial"/>
          <w:sz w:val="21"/>
          <w:szCs w:val="21"/>
          <w:lang w:eastAsia="es-CO"/>
        </w:rPr>
        <w:t>Fase 3. </w:t>
      </w:r>
      <w:r w:rsidRPr="004218E1">
        <w:rPr>
          <w:rFonts w:ascii="Verdana" w:eastAsia="Times New Roman" w:hAnsi="Verdana" w:cs="Arial"/>
          <w:i/>
          <w:iCs/>
          <w:sz w:val="21"/>
          <w:szCs w:val="21"/>
          <w:lang w:eastAsia="es-CO"/>
        </w:rPr>
        <w:t>Estudios y diseños definitivos</w:t>
      </w:r>
      <w:r w:rsidRPr="004218E1">
        <w:rPr>
          <w:rFonts w:ascii="Verdana" w:eastAsia="Times New Roman" w:hAnsi="Verdana" w:cs="Arial"/>
          <w:sz w:val="21"/>
          <w:szCs w:val="21"/>
          <w:lang w:eastAsia="es-CO"/>
        </w:rPr>
        <w:t xml:space="preserve">. Es la fase en la cual se deben elaborar los diseños detallados tanto geométricos como de todas las estructuras y obras que se requieran, de tal forma que un constructor pueda materializar el proyecto. El objetivo de esta fase es materializar </w:t>
      </w:r>
      <w:r w:rsidRPr="004218E1">
        <w:rPr>
          <w:rFonts w:ascii="Verdana" w:eastAsia="Times New Roman" w:hAnsi="Verdana" w:cs="Arial"/>
          <w:sz w:val="21"/>
          <w:szCs w:val="21"/>
          <w:lang w:eastAsia="es-CO"/>
        </w:rPr>
        <w:lastRenderedPageBreak/>
        <w:t xml:space="preserve">en campo el proyecto definitivo y diseñar todos sus </w:t>
      </w:r>
      <w:proofErr w:type="spellStart"/>
      <w:r w:rsidRPr="004218E1">
        <w:rPr>
          <w:rFonts w:ascii="Verdana" w:eastAsia="Times New Roman" w:hAnsi="Verdana" w:cs="Arial"/>
          <w:sz w:val="21"/>
          <w:szCs w:val="21"/>
          <w:lang w:eastAsia="es-CO"/>
        </w:rPr>
        <w:t>compo</w:t>
      </w:r>
      <w:r w:rsidRPr="004218E1">
        <w:rPr>
          <w:rFonts w:ascii="Verdana" w:eastAsia="Calibri" w:hAnsi="Verdana" w:cs="Arial"/>
          <w:sz w:val="21"/>
          <w:szCs w:val="21"/>
          <w:lang w:val="es-ES_tradnl"/>
        </w:rPr>
        <w:t>nent</w:t>
      </w:r>
      <w:proofErr w:type="spellEnd"/>
      <w:r w:rsidRPr="004218E1">
        <w:rPr>
          <w:rFonts w:ascii="Verdana" w:eastAsia="Times New Roman" w:hAnsi="Verdana" w:cs="Arial"/>
          <w:sz w:val="21"/>
          <w:szCs w:val="21"/>
          <w:lang w:eastAsia="es-CO"/>
        </w:rPr>
        <w:t xml:space="preserve">es de </w:t>
      </w:r>
      <w:r w:rsidRPr="004218E1">
        <w:rPr>
          <w:rFonts w:ascii="Verdana" w:eastAsia="Calibri" w:hAnsi="Verdana" w:cs="Arial"/>
          <w:sz w:val="21"/>
          <w:szCs w:val="21"/>
          <w:lang w:val="es-ES_tradnl"/>
        </w:rPr>
        <w:t xml:space="preserve">tal </w:t>
      </w:r>
      <w:r w:rsidRPr="004218E1">
        <w:rPr>
          <w:rFonts w:ascii="Verdana" w:eastAsia="Times New Roman" w:hAnsi="Verdana" w:cs="Arial"/>
          <w:sz w:val="21"/>
          <w:szCs w:val="21"/>
          <w:lang w:eastAsia="es-CO"/>
        </w:rPr>
        <w:t xml:space="preserve">manera que se pueda </w:t>
      </w:r>
      <w:proofErr w:type="gramStart"/>
      <w:r w:rsidRPr="004218E1">
        <w:rPr>
          <w:rFonts w:ascii="Verdana" w:eastAsia="Times New Roman" w:hAnsi="Verdana" w:cs="Arial"/>
          <w:sz w:val="21"/>
          <w:szCs w:val="21"/>
          <w:lang w:eastAsia="es-CO"/>
        </w:rPr>
        <w:t>dar inicio a</w:t>
      </w:r>
      <w:proofErr w:type="gramEnd"/>
      <w:r w:rsidRPr="004218E1">
        <w:rPr>
          <w:rFonts w:ascii="Verdana" w:eastAsia="Times New Roman" w:hAnsi="Verdana" w:cs="Arial"/>
          <w:sz w:val="21"/>
          <w:szCs w:val="21"/>
          <w:lang w:eastAsia="es-CO"/>
        </w:rPr>
        <w:t xml:space="preserve"> su construcción”.</w:t>
      </w:r>
    </w:p>
    <w:p w14:paraId="790D5860" w14:textId="77777777" w:rsidR="00150D01" w:rsidRPr="00FF2FD4" w:rsidRDefault="00150D01" w:rsidP="00150D01">
      <w:pPr>
        <w:spacing w:after="0" w:line="240" w:lineRule="auto"/>
        <w:jc w:val="both"/>
        <w:rPr>
          <w:rFonts w:ascii="Verdana" w:eastAsia="Calibri" w:hAnsi="Verdana" w:cs="Arial"/>
          <w:lang w:val="es-ES_tradnl"/>
        </w:rPr>
      </w:pPr>
    </w:p>
    <w:p w14:paraId="100455D6" w14:textId="77777777" w:rsidR="00150D01" w:rsidRPr="00FF2FD4" w:rsidRDefault="00150D01" w:rsidP="00150D01">
      <w:pPr>
        <w:spacing w:after="0" w:line="276" w:lineRule="auto"/>
        <w:ind w:firstLine="709"/>
        <w:jc w:val="both"/>
        <w:rPr>
          <w:rFonts w:ascii="Verdana" w:eastAsia="Calibri" w:hAnsi="Verdana" w:cs="Arial"/>
          <w:lang w:val="es-ES_tradnl"/>
        </w:rPr>
      </w:pPr>
      <w:r w:rsidRPr="00FF2FD4">
        <w:rPr>
          <w:rFonts w:ascii="Verdana" w:eastAsia="Calibri" w:hAnsi="Verdana" w:cs="Arial"/>
          <w:lang w:val="es-ES_tradnl"/>
        </w:rPr>
        <w:t>De acuerdo con la definición de los estudios de ingeniería, se concluye que para adelantar el proceso de contratación cuyo objeto consiste en la construcción de una ob</w:t>
      </w:r>
      <w:r>
        <w:rPr>
          <w:rFonts w:ascii="Verdana" w:eastAsia="Calibri" w:hAnsi="Verdana" w:cs="Arial"/>
          <w:lang w:val="es-ES_tradnl"/>
        </w:rPr>
        <w:t>ra, se requiere contar con los “estudios de prefactibilidad”</w:t>
      </w:r>
      <w:r w:rsidRPr="00FF2FD4">
        <w:rPr>
          <w:rFonts w:ascii="Verdana" w:eastAsia="Calibri" w:hAnsi="Verdana" w:cs="Arial"/>
          <w:lang w:val="es-ES_tradnl"/>
        </w:rPr>
        <w:t xml:space="preserve"> y con los «estudios de factibilidad», porque a </w:t>
      </w:r>
      <w:r>
        <w:rPr>
          <w:rFonts w:ascii="Verdana" w:eastAsia="Calibri" w:hAnsi="Verdana" w:cs="Arial"/>
          <w:lang w:val="es-ES_tradnl"/>
        </w:rPr>
        <w:t>través de estos se verifica la “viabilidad”</w:t>
      </w:r>
      <w:r w:rsidRPr="00FF2FD4">
        <w:rPr>
          <w:rFonts w:ascii="Verdana" w:eastAsia="Calibri" w:hAnsi="Verdana" w:cs="Arial"/>
          <w:lang w:val="es-ES_tradnl"/>
        </w:rPr>
        <w:t xml:space="preserve"> del proyecto. Una vez la entidad estatal tenga los estudios de prefactibilidad y de factibilidad para adelantar el procedimiento de selección, cuyo objeto consiste en la construcción de la obra, se podrá incluir en el objeto del mismo procedimiento</w:t>
      </w:r>
      <w:r>
        <w:rPr>
          <w:rFonts w:ascii="Verdana" w:eastAsia="Calibri" w:hAnsi="Verdana" w:cs="Arial"/>
          <w:lang w:val="es-ES_tradnl"/>
        </w:rPr>
        <w:t xml:space="preserve"> la elaboración de estudios de “</w:t>
      </w:r>
      <w:r w:rsidRPr="00FF2FD4">
        <w:rPr>
          <w:rFonts w:ascii="Verdana" w:eastAsia="Calibri" w:hAnsi="Verdana" w:cs="Arial"/>
          <w:lang w:val="es-ES_tradnl"/>
        </w:rPr>
        <w:t>Fase 3.</w:t>
      </w:r>
      <w:r>
        <w:rPr>
          <w:rFonts w:ascii="Verdana" w:eastAsia="Calibri" w:hAnsi="Verdana" w:cs="Arial"/>
          <w:lang w:val="es-ES_tradnl"/>
        </w:rPr>
        <w:t xml:space="preserve"> Estudios y diseños definitivos”</w:t>
      </w:r>
      <w:r w:rsidRPr="00FF2FD4">
        <w:rPr>
          <w:rFonts w:ascii="Verdana" w:eastAsia="Calibri" w:hAnsi="Verdana" w:cs="Arial"/>
          <w:lang w:val="es-ES_tradnl"/>
        </w:rPr>
        <w:t>.</w:t>
      </w:r>
    </w:p>
    <w:p w14:paraId="115DA912" w14:textId="77777777" w:rsidR="00150D01" w:rsidRPr="00FF2FD4" w:rsidRDefault="00150D01" w:rsidP="00150D01">
      <w:pPr>
        <w:spacing w:after="0" w:line="276" w:lineRule="auto"/>
        <w:jc w:val="both"/>
        <w:rPr>
          <w:rFonts w:ascii="Verdana" w:eastAsia="Calibri" w:hAnsi="Verdana" w:cs="Arial"/>
          <w:bCs/>
          <w:lang w:val="es-ES_tradnl"/>
        </w:rPr>
      </w:pPr>
    </w:p>
    <w:p w14:paraId="512BBF1A" w14:textId="77777777" w:rsidR="00150D01" w:rsidRPr="00FF2FD4" w:rsidRDefault="00150D01" w:rsidP="00150D01">
      <w:pPr>
        <w:spacing w:after="120" w:line="276" w:lineRule="auto"/>
        <w:jc w:val="both"/>
        <w:rPr>
          <w:rFonts w:ascii="Verdana" w:eastAsia="Calibri" w:hAnsi="Verdana" w:cs="Arial"/>
          <w:lang w:val="es-ES"/>
        </w:rPr>
      </w:pPr>
      <w:proofErr w:type="spellStart"/>
      <w:r w:rsidRPr="7A6FFA76">
        <w:rPr>
          <w:rFonts w:ascii="Verdana" w:eastAsia="Calibri" w:hAnsi="Verdana" w:cs="Arial"/>
          <w:lang w:val="es-ES"/>
        </w:rPr>
        <w:t>iii</w:t>
      </w:r>
      <w:proofErr w:type="spellEnd"/>
      <w:r w:rsidRPr="7A6FFA76">
        <w:rPr>
          <w:rFonts w:ascii="Verdana" w:eastAsia="Calibri" w:hAnsi="Verdana" w:cs="Arial"/>
          <w:lang w:val="es-ES"/>
        </w:rPr>
        <w:t>. Como se indicó, previo a la apertura de un procedimiento de licitación pública para la contratación de una obra, la entidad estatal debe contar con “los estudios y diseños que permitan establecer la viabilidad del proyecto y su impacto social, económico y ambiental”, en los términos del numeral 12 del artículo 25 de la Ley 80 de 1993, modificado por el artículo 87 de la Ley 1474 de 2011; de manera que la falta o insuficiencia de estos estudios atenta contra el principio de planeación y puede generar responsabilidad, tanto para la entidad como para los servidores públicos a cargo del procedimiento, de conformidad con el numeral 3 del artículo 26 de la Ley 80 de 1993</w:t>
      </w:r>
      <w:r w:rsidRPr="7A6FFA76">
        <w:rPr>
          <w:rFonts w:ascii="Verdana" w:eastAsia="Calibri" w:hAnsi="Verdana" w:cs="Arial"/>
          <w:vertAlign w:val="superscript"/>
          <w:lang w:val="es-ES"/>
        </w:rPr>
        <w:footnoteReference w:id="18"/>
      </w:r>
      <w:r w:rsidRPr="7A6FFA76">
        <w:rPr>
          <w:rFonts w:ascii="Verdana" w:eastAsia="Calibri" w:hAnsi="Verdana" w:cs="Arial"/>
          <w:lang w:val="es-ES"/>
        </w:rPr>
        <w:t>.</w:t>
      </w:r>
    </w:p>
    <w:p w14:paraId="164F1EB1" w14:textId="77777777" w:rsidR="00150D01" w:rsidRPr="00FF2FD4" w:rsidRDefault="00150D01" w:rsidP="00150D01">
      <w:pPr>
        <w:spacing w:after="120" w:line="276" w:lineRule="auto"/>
        <w:ind w:firstLine="709"/>
        <w:jc w:val="both"/>
        <w:rPr>
          <w:rFonts w:ascii="Verdana" w:eastAsia="Calibri" w:hAnsi="Verdana" w:cs="Arial"/>
          <w:lang w:val="es-ES"/>
        </w:rPr>
      </w:pPr>
      <w:r w:rsidRPr="7A6FFA76">
        <w:rPr>
          <w:rFonts w:ascii="Verdana" w:eastAsia="Calibri" w:hAnsi="Verdana" w:cs="Arial"/>
          <w:lang w:val="es-ES"/>
        </w:rPr>
        <w:t>Los estudios y diseños de la obra pueden obtenerse de manera previa, mediante la celebración de un contrato de consultoría</w:t>
      </w:r>
      <w:r w:rsidRPr="7A6FFA76">
        <w:rPr>
          <w:rFonts w:ascii="Verdana" w:eastAsia="Calibri" w:hAnsi="Verdana" w:cs="Arial"/>
          <w:vertAlign w:val="superscript"/>
          <w:lang w:val="es-ES"/>
        </w:rPr>
        <w:footnoteReference w:id="19"/>
      </w:r>
      <w:r w:rsidRPr="7A6FFA76">
        <w:rPr>
          <w:rFonts w:ascii="Verdana" w:eastAsia="Calibri" w:hAnsi="Verdana" w:cs="Arial"/>
          <w:lang w:val="es-ES"/>
        </w:rPr>
        <w:t xml:space="preserve">, que es un contrato independiente al de obra y cuyo objeto puede ser el encargo de la realización de los referidos estudios a un tercero, para que los haga de manera idónea y autónoma. De otra parte, como se consideró en el acápite anterior, los estudios </w:t>
      </w:r>
      <w:r w:rsidRPr="7A6FFA76">
        <w:rPr>
          <w:rFonts w:ascii="Verdana" w:eastAsia="Calibri" w:hAnsi="Verdana" w:cs="Arial"/>
          <w:lang w:val="es-ES"/>
        </w:rPr>
        <w:lastRenderedPageBreak/>
        <w:t xml:space="preserve">y diseños de la obra pueden contratarse </w:t>
      </w:r>
      <w:proofErr w:type="gramStart"/>
      <w:r w:rsidRPr="7A6FFA76">
        <w:rPr>
          <w:rFonts w:ascii="Verdana" w:eastAsia="Calibri" w:hAnsi="Verdana" w:cs="Arial"/>
          <w:lang w:val="es-ES"/>
        </w:rPr>
        <w:t>conjuntamente con</w:t>
      </w:r>
      <w:proofErr w:type="gramEnd"/>
      <w:r w:rsidRPr="7A6FFA76">
        <w:rPr>
          <w:rFonts w:ascii="Verdana" w:eastAsia="Calibri" w:hAnsi="Verdana" w:cs="Arial"/>
          <w:lang w:val="es-ES"/>
        </w:rPr>
        <w:t xml:space="preserve"> la construcción de la obra.</w:t>
      </w:r>
    </w:p>
    <w:p w14:paraId="52D2FC8B" w14:textId="048C10A3" w:rsidR="009472A2" w:rsidRDefault="009472A2" w:rsidP="009472A2">
      <w:pPr>
        <w:spacing w:line="276" w:lineRule="auto"/>
        <w:ind w:firstLine="708"/>
        <w:jc w:val="both"/>
        <w:rPr>
          <w:rFonts w:ascii="Verdana" w:eastAsia="Calibri" w:hAnsi="Verdana" w:cs="Arial"/>
        </w:rPr>
      </w:pPr>
      <w:r w:rsidRPr="00351450">
        <w:rPr>
          <w:rFonts w:ascii="Verdana" w:eastAsia="Calibri" w:hAnsi="Verdana" w:cs="Arial"/>
        </w:rPr>
        <w:t xml:space="preserve">Sin perjuicio de lo anterior, </w:t>
      </w:r>
      <w:r w:rsidR="00424289">
        <w:rPr>
          <w:rFonts w:ascii="Verdana" w:eastAsia="Calibri" w:hAnsi="Verdana" w:cs="Arial"/>
        </w:rPr>
        <w:t>en atención al o</w:t>
      </w:r>
      <w:r w:rsidR="008D330E">
        <w:rPr>
          <w:rFonts w:ascii="Verdana" w:eastAsia="Calibri" w:hAnsi="Verdana" w:cs="Arial"/>
        </w:rPr>
        <w:t xml:space="preserve">bjeto de la consulta </w:t>
      </w:r>
      <w:r w:rsidRPr="00351450">
        <w:rPr>
          <w:rFonts w:ascii="Verdana" w:eastAsia="Calibri" w:hAnsi="Verdana" w:cs="Arial"/>
        </w:rPr>
        <w:t xml:space="preserve">surge el interrogante acerca de si una persona que fue contratada para elaborar los estudios y diseños de un proyecto puede, </w:t>
      </w:r>
      <w:r w:rsidR="008D330E">
        <w:rPr>
          <w:rFonts w:ascii="Verdana" w:eastAsia="Calibri" w:hAnsi="Verdana" w:cs="Arial"/>
        </w:rPr>
        <w:t>posteriormente</w:t>
      </w:r>
      <w:r w:rsidRPr="00351450">
        <w:rPr>
          <w:rFonts w:ascii="Verdana" w:eastAsia="Calibri" w:hAnsi="Verdana" w:cs="Arial"/>
        </w:rPr>
        <w:t>, presentarse como oferente en el proceso de selección para la</w:t>
      </w:r>
      <w:r w:rsidR="008D330E">
        <w:rPr>
          <w:rFonts w:ascii="Verdana" w:eastAsia="Calibri" w:hAnsi="Verdana" w:cs="Arial"/>
        </w:rPr>
        <w:t xml:space="preserve"> elección de </w:t>
      </w:r>
      <w:r w:rsidRPr="00351450">
        <w:rPr>
          <w:rFonts w:ascii="Verdana" w:eastAsia="Calibri" w:hAnsi="Verdana" w:cs="Arial"/>
        </w:rPr>
        <w:t>interventoría</w:t>
      </w:r>
      <w:r w:rsidR="008D330E">
        <w:rPr>
          <w:rFonts w:ascii="Verdana" w:eastAsia="Calibri" w:hAnsi="Verdana" w:cs="Arial"/>
        </w:rPr>
        <w:t xml:space="preserve"> al contrato </w:t>
      </w:r>
      <w:r w:rsidR="00561C28">
        <w:rPr>
          <w:rFonts w:ascii="Verdana" w:eastAsia="Calibri" w:hAnsi="Verdana" w:cs="Arial"/>
        </w:rPr>
        <w:t xml:space="preserve">que desarrollara el proyecto </w:t>
      </w:r>
      <w:proofErr w:type="gramStart"/>
      <w:r w:rsidR="00561C28">
        <w:rPr>
          <w:rFonts w:ascii="Verdana" w:eastAsia="Calibri" w:hAnsi="Verdana" w:cs="Arial"/>
        </w:rPr>
        <w:t xml:space="preserve">diseñado, </w:t>
      </w:r>
      <w:r w:rsidRPr="00351450">
        <w:rPr>
          <w:rFonts w:ascii="Verdana" w:eastAsia="Calibri" w:hAnsi="Verdana" w:cs="Arial"/>
        </w:rPr>
        <w:t xml:space="preserve"> o</w:t>
      </w:r>
      <w:proofErr w:type="gramEnd"/>
      <w:r w:rsidRPr="00351450">
        <w:rPr>
          <w:rFonts w:ascii="Verdana" w:eastAsia="Calibri" w:hAnsi="Verdana" w:cs="Arial"/>
        </w:rPr>
        <w:t xml:space="preserve"> si por el contrario </w:t>
      </w:r>
      <w:r w:rsidR="00561C28">
        <w:rPr>
          <w:rFonts w:ascii="Verdana" w:eastAsia="Calibri" w:hAnsi="Verdana" w:cs="Arial"/>
        </w:rPr>
        <w:t>existe una inhabilidad o incompatibilidad que restrinja dicha posibilidad</w:t>
      </w:r>
      <w:r w:rsidR="00463AC0">
        <w:rPr>
          <w:rFonts w:ascii="Verdana" w:eastAsia="Calibri" w:hAnsi="Verdana" w:cs="Arial"/>
        </w:rPr>
        <w:t xml:space="preserve">. </w:t>
      </w:r>
    </w:p>
    <w:p w14:paraId="032F43DB" w14:textId="1ADA0B53" w:rsidR="00FA62B2" w:rsidRDefault="009472A2" w:rsidP="00FA62B2">
      <w:pPr>
        <w:spacing w:line="276" w:lineRule="auto"/>
        <w:ind w:firstLine="708"/>
        <w:jc w:val="both"/>
        <w:rPr>
          <w:rFonts w:ascii="Verdana" w:eastAsia="Calibri" w:hAnsi="Verdana" w:cs="Arial"/>
        </w:rPr>
      </w:pPr>
      <w:r w:rsidRPr="00351450">
        <w:rPr>
          <w:rFonts w:ascii="Verdana" w:eastAsia="Calibri" w:hAnsi="Verdana" w:cs="Arial"/>
        </w:rPr>
        <w:t xml:space="preserve">Al revisar las causales de inhabilidad e incompatibilidad previstas en el artículo 8 de la Ley 80 de 1993, se observa que este supuesto no aparece expresamente contemplado como limitante de la capacidad legal para celebrar contratos de interventoría. </w:t>
      </w:r>
      <w:r w:rsidR="00D63318">
        <w:rPr>
          <w:rFonts w:ascii="Verdana" w:eastAsia="Calibri" w:hAnsi="Verdana" w:cs="Arial"/>
        </w:rPr>
        <w:t>Tampoco se</w:t>
      </w:r>
      <w:r w:rsidR="0082635D">
        <w:rPr>
          <w:rFonts w:ascii="Verdana" w:eastAsia="Calibri" w:hAnsi="Verdana" w:cs="Arial"/>
        </w:rPr>
        <w:t xml:space="preserve"> considera plausible en este supuesto</w:t>
      </w:r>
      <w:r w:rsidR="00D63318">
        <w:rPr>
          <w:rFonts w:ascii="Verdana" w:eastAsia="Calibri" w:hAnsi="Verdana" w:cs="Arial"/>
        </w:rPr>
        <w:t xml:space="preserve"> </w:t>
      </w:r>
      <w:r w:rsidR="004574F9">
        <w:rPr>
          <w:rFonts w:ascii="Verdana" w:eastAsia="Calibri" w:hAnsi="Verdana" w:cs="Arial"/>
        </w:rPr>
        <w:t xml:space="preserve">la configuración de la inhabilidad del artículo 5 de la Ley 1474 de 2011, </w:t>
      </w:r>
      <w:r w:rsidR="00FB39A2">
        <w:rPr>
          <w:rFonts w:ascii="Verdana" w:eastAsia="Calibri" w:hAnsi="Verdana" w:cs="Arial"/>
        </w:rPr>
        <w:t>en la medida en que l</w:t>
      </w:r>
      <w:r w:rsidR="00B858B6">
        <w:rPr>
          <w:rFonts w:ascii="Verdana" w:eastAsia="Calibri" w:hAnsi="Verdana" w:cs="Arial"/>
        </w:rPr>
        <w:t>as tipologías contractuales</w:t>
      </w:r>
      <w:r w:rsidR="00FB39A2">
        <w:rPr>
          <w:rFonts w:ascii="Verdana" w:eastAsia="Calibri" w:hAnsi="Verdana" w:cs="Arial"/>
        </w:rPr>
        <w:t xml:space="preserve"> aludid</w:t>
      </w:r>
      <w:r w:rsidR="00B858B6">
        <w:rPr>
          <w:rFonts w:ascii="Verdana" w:eastAsia="Calibri" w:hAnsi="Verdana" w:cs="Arial"/>
        </w:rPr>
        <w:t>a</w:t>
      </w:r>
      <w:r w:rsidR="00FB39A2">
        <w:rPr>
          <w:rFonts w:ascii="Verdana" w:eastAsia="Calibri" w:hAnsi="Verdana" w:cs="Arial"/>
        </w:rPr>
        <w:t xml:space="preserve">s en el supuesto de hecho </w:t>
      </w:r>
      <w:r w:rsidR="00B858B6">
        <w:rPr>
          <w:rFonts w:ascii="Verdana" w:eastAsia="Calibri" w:hAnsi="Verdana" w:cs="Arial"/>
        </w:rPr>
        <w:t xml:space="preserve">de </w:t>
      </w:r>
      <w:r w:rsidR="00FB39A2">
        <w:rPr>
          <w:rFonts w:ascii="Verdana" w:eastAsia="Calibri" w:hAnsi="Verdana" w:cs="Arial"/>
        </w:rPr>
        <w:t>dicha inhabilidad</w:t>
      </w:r>
      <w:r w:rsidR="00B858B6">
        <w:rPr>
          <w:rFonts w:ascii="Verdana" w:eastAsia="Calibri" w:hAnsi="Verdana" w:cs="Arial"/>
        </w:rPr>
        <w:t xml:space="preserve">–que limita la contratación de interventores–, no son compatibles con la </w:t>
      </w:r>
      <w:r w:rsidR="0093329F">
        <w:rPr>
          <w:rFonts w:ascii="Verdana" w:eastAsia="Calibri" w:hAnsi="Verdana" w:cs="Arial"/>
        </w:rPr>
        <w:t xml:space="preserve">elaboración de estudios y diseños, actividad propia del contrato de consultoría.  </w:t>
      </w:r>
      <w:r w:rsidR="00FB1EFF">
        <w:rPr>
          <w:rFonts w:ascii="Verdana" w:eastAsia="Calibri" w:hAnsi="Verdana" w:cs="Arial"/>
        </w:rPr>
        <w:t xml:space="preserve">Debido a </w:t>
      </w:r>
      <w:proofErr w:type="gramStart"/>
      <w:r w:rsidR="00FB1EFF">
        <w:rPr>
          <w:rFonts w:ascii="Verdana" w:eastAsia="Calibri" w:hAnsi="Verdana" w:cs="Arial"/>
        </w:rPr>
        <w:t xml:space="preserve">esto </w:t>
      </w:r>
      <w:r w:rsidRPr="00351450">
        <w:rPr>
          <w:rFonts w:ascii="Verdana" w:eastAsia="Calibri" w:hAnsi="Verdana" w:cs="Arial"/>
        </w:rPr>
        <w:t xml:space="preserve"> y</w:t>
      </w:r>
      <w:proofErr w:type="gramEnd"/>
      <w:r w:rsidRPr="00351450">
        <w:rPr>
          <w:rFonts w:ascii="Verdana" w:eastAsia="Calibri" w:hAnsi="Verdana" w:cs="Arial"/>
        </w:rPr>
        <w:t xml:space="preserve"> dado que estas causales son de carácter taxativo y restrictivo,</w:t>
      </w:r>
      <w:r w:rsidR="00FB1EFF">
        <w:rPr>
          <w:rFonts w:ascii="Verdana" w:eastAsia="Calibri" w:hAnsi="Verdana" w:cs="Arial"/>
        </w:rPr>
        <w:t xml:space="preserve"> en principio,</w:t>
      </w:r>
      <w:r w:rsidRPr="00351450">
        <w:rPr>
          <w:rFonts w:ascii="Verdana" w:eastAsia="Calibri" w:hAnsi="Verdana" w:cs="Arial"/>
        </w:rPr>
        <w:t xml:space="preserve"> no podría afirmarse que la sola circunstancia de haber elaborado estudios y diseños configure, por sí misma, una inhabilidad o incompatibilidad para</w:t>
      </w:r>
      <w:r w:rsidR="00A17BE9">
        <w:rPr>
          <w:rFonts w:ascii="Verdana" w:eastAsia="Calibri" w:hAnsi="Verdana" w:cs="Arial"/>
        </w:rPr>
        <w:t xml:space="preserve"> ser contrato como interventor del contrato en el marco del cual se ejecuta el </w:t>
      </w:r>
      <w:r w:rsidR="00654704">
        <w:rPr>
          <w:rFonts w:ascii="Verdana" w:eastAsia="Calibri" w:hAnsi="Verdana" w:cs="Arial"/>
        </w:rPr>
        <w:t>proyecto diseñado</w:t>
      </w:r>
      <w:r w:rsidRPr="00351450">
        <w:rPr>
          <w:rFonts w:ascii="Verdana" w:eastAsia="Calibri" w:hAnsi="Verdana" w:cs="Arial"/>
        </w:rPr>
        <w:t>.</w:t>
      </w:r>
    </w:p>
    <w:p w14:paraId="75C89F29" w14:textId="77777777" w:rsidR="00757E51" w:rsidRPr="00FA62B2" w:rsidRDefault="009472A2" w:rsidP="00FA62B2">
      <w:pPr>
        <w:spacing w:line="276" w:lineRule="auto"/>
        <w:ind w:firstLine="708"/>
        <w:jc w:val="both"/>
        <w:rPr>
          <w:rFonts w:ascii="Verdana" w:eastAsia="Calibri" w:hAnsi="Verdana" w:cs="Arial"/>
        </w:rPr>
      </w:pPr>
      <w:r w:rsidRPr="00351450">
        <w:rPr>
          <w:rFonts w:ascii="Verdana" w:eastAsia="Calibri" w:hAnsi="Verdana" w:cs="Arial"/>
        </w:rPr>
        <w:t>Ahora bien, es importante advertir que existen disposiciones específicas que sí prevén limitaciones en contextos determinados. Por ejemplo, la Ley 1150 de 2007, en su artículo 2, numeral 4º, literal c), cuarto inciso, establece</w:t>
      </w:r>
      <w:r w:rsidR="00BA526A">
        <w:rPr>
          <w:rFonts w:ascii="Verdana" w:eastAsia="Calibri" w:hAnsi="Verdana" w:cs="Arial"/>
        </w:rPr>
        <w:t>:</w:t>
      </w:r>
      <w:r w:rsidR="00757E51">
        <w:rPr>
          <w:rFonts w:ascii="Verdana" w:eastAsia="Calibri" w:hAnsi="Verdana" w:cs="Arial"/>
        </w:rPr>
        <w:t xml:space="preserve"> </w:t>
      </w:r>
      <w:r w:rsidR="00757E51">
        <w:rPr>
          <w:rFonts w:ascii="Verdana" w:eastAsia="Calibri" w:hAnsi="Verdana" w:cs="Arial"/>
          <w:bCs/>
          <w:lang w:val="es-ES_tradnl"/>
        </w:rPr>
        <w:t>“</w:t>
      </w:r>
      <w:r w:rsidR="00757E51" w:rsidRPr="00FF2FD4">
        <w:rPr>
          <w:rFonts w:ascii="Verdana" w:eastAsia="Calibri" w:hAnsi="Verdana" w:cs="Arial"/>
          <w:bCs/>
          <w:lang w:val="es-ES_tradnl"/>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w:t>
      </w:r>
      <w:r w:rsidR="00757E51">
        <w:rPr>
          <w:rFonts w:ascii="Verdana" w:eastAsia="Calibri" w:hAnsi="Verdana" w:cs="Arial"/>
          <w:bCs/>
          <w:lang w:val="es-ES_tradnl"/>
        </w:rPr>
        <w:t>l objeto del contrato principal”</w:t>
      </w:r>
      <w:r w:rsidR="00757E51" w:rsidRPr="00FF2FD4">
        <w:rPr>
          <w:rFonts w:ascii="Verdana" w:eastAsia="Calibri" w:hAnsi="Verdana" w:cs="Arial"/>
          <w:bCs/>
          <w:lang w:val="es-ES_tradnl"/>
        </w:rPr>
        <w:t>. Pero esta prohibición no puede extenderse a los otros casos de celebración de contratos de obra, porque, como se anotó, las causales de inhabilidad e incompatibilidad no admiten una interpretación amplia o teleológica.</w:t>
      </w:r>
    </w:p>
    <w:p w14:paraId="3BA560A0" w14:textId="5393C0FB" w:rsidR="00BA526A" w:rsidRPr="00A44D27" w:rsidRDefault="005D6E9D" w:rsidP="009472A2">
      <w:pPr>
        <w:spacing w:line="276" w:lineRule="auto"/>
        <w:ind w:firstLine="708"/>
        <w:jc w:val="both"/>
        <w:rPr>
          <w:rFonts w:ascii="Verdana" w:eastAsia="Calibri" w:hAnsi="Verdana" w:cs="Arial"/>
          <w:lang w:val="es-ES_tradnl"/>
        </w:rPr>
      </w:pPr>
      <w:r w:rsidRPr="00FF2FD4">
        <w:rPr>
          <w:rFonts w:ascii="Verdana" w:eastAsia="Calibri" w:hAnsi="Verdana" w:cs="Arial"/>
          <w:bCs/>
          <w:lang w:val="es-ES_tradnl"/>
        </w:rPr>
        <w:t xml:space="preserve">Ahora bien, la Sala de Consulta y Servicio Civil del Consejo de Estado ha indicado en varios conceptos que las entidades estatales pueden incluir en el pliego de condiciones causales de conflicto de interés, pudiendo prever dentro </w:t>
      </w:r>
      <w:r w:rsidRPr="00FF2FD4">
        <w:rPr>
          <w:rFonts w:ascii="Verdana" w:eastAsia="Calibri" w:hAnsi="Verdana" w:cs="Arial"/>
          <w:bCs/>
          <w:lang w:val="es-ES_tradnl"/>
        </w:rPr>
        <w:lastRenderedPageBreak/>
        <w:t>de estas que el consultor que realizó los estudios y diseños tenga prohibido presentarse a la licitación pública cuyo objeto es la contratación de la obra</w:t>
      </w:r>
      <w:r w:rsidRPr="00FF2FD4">
        <w:rPr>
          <w:rFonts w:ascii="Verdana" w:eastAsia="Calibri" w:hAnsi="Verdana" w:cs="Arial"/>
          <w:bCs/>
          <w:vertAlign w:val="superscript"/>
          <w:lang w:val="es-ES_tradnl"/>
        </w:rPr>
        <w:footnoteReference w:id="20"/>
      </w:r>
      <w:r w:rsidRPr="00FF2FD4">
        <w:rPr>
          <w:rFonts w:ascii="Verdana" w:eastAsia="Calibri" w:hAnsi="Verdana" w:cs="Arial"/>
          <w:bCs/>
          <w:lang w:val="es-ES_tradnl"/>
        </w:rPr>
        <w:t>.</w:t>
      </w:r>
    </w:p>
    <w:p w14:paraId="1D5FBBD4" w14:textId="602DD01F" w:rsidR="00F3418B" w:rsidRDefault="00F3418B" w:rsidP="00F3418B">
      <w:pPr>
        <w:spacing w:after="120" w:line="276" w:lineRule="auto"/>
        <w:ind w:firstLine="709"/>
        <w:jc w:val="both"/>
        <w:rPr>
          <w:rFonts w:ascii="Verdana" w:eastAsia="Calibri" w:hAnsi="Verdana" w:cs="Arial"/>
          <w:lang w:val="es-ES"/>
        </w:rPr>
      </w:pPr>
      <w:r w:rsidRPr="46C48CA1">
        <w:rPr>
          <w:rFonts w:ascii="Verdana" w:eastAsia="Calibri" w:hAnsi="Verdana" w:cs="Arial"/>
          <w:lang w:val="es-ES"/>
        </w:rPr>
        <w:t xml:space="preserve">De otro lado, si bien la Ley 842 de 2003 – “Por la cual se modifica la reglamentación del ejercicio de la ingeniería, de sus profesiones afines y de sus profesiones auxiliares, se adopta el Código de Ética Profesional y se dictan otras disposiciones”– establece un conjunto de prohibiciones para los profesionales de la ingeniería, algunas de las cuales se aplican en los procedimientos de selección de los contratistas del Estado, se trata de prohibiciones dirigidas a los </w:t>
      </w:r>
      <w:r w:rsidRPr="46C48CA1">
        <w:rPr>
          <w:rFonts w:ascii="Verdana" w:eastAsia="Calibri" w:hAnsi="Verdana" w:cs="Arial"/>
          <w:i/>
          <w:lang w:val="es-ES"/>
        </w:rPr>
        <w:t>profesionales</w:t>
      </w:r>
      <w:r w:rsidRPr="46C48CA1">
        <w:rPr>
          <w:rFonts w:ascii="Verdana" w:eastAsia="Calibri" w:hAnsi="Verdana" w:cs="Arial"/>
          <w:lang w:val="es-ES"/>
        </w:rPr>
        <w:t xml:space="preserve">, no necesariamente a los </w:t>
      </w:r>
      <w:r w:rsidRPr="46C48CA1">
        <w:rPr>
          <w:rFonts w:ascii="Verdana" w:eastAsia="Calibri" w:hAnsi="Verdana" w:cs="Arial"/>
          <w:i/>
          <w:lang w:val="es-ES"/>
        </w:rPr>
        <w:t>proponentes ni a los contratistas</w:t>
      </w:r>
      <w:r w:rsidRPr="46C48CA1">
        <w:rPr>
          <w:rFonts w:ascii="Verdana" w:eastAsia="Calibri" w:hAnsi="Verdana" w:cs="Arial"/>
          <w:lang w:val="es-ES"/>
        </w:rPr>
        <w:t xml:space="preserve">. Así se infiere del artículo 30 de la mencionada Ley, que prevé lo siguiente: “Los ingenieros, sus profesionales afines y sus profesionales auxiliares, para todos los efectos del Código de Ética Profesional y su Régimen Disciplinario contemplados en esta ley, se denominarán "Los profesionales”. </w:t>
      </w:r>
    </w:p>
    <w:p w14:paraId="4662CAFC" w14:textId="77777777" w:rsidR="0023246D" w:rsidRDefault="0023246D" w:rsidP="00A4230A">
      <w:pPr>
        <w:spacing w:after="120" w:line="276" w:lineRule="auto"/>
        <w:ind w:firstLine="709"/>
        <w:jc w:val="both"/>
        <w:rPr>
          <w:rFonts w:ascii="Verdana" w:eastAsia="Calibri" w:hAnsi="Verdana" w:cs="Arial"/>
          <w:lang w:val="es-ES"/>
        </w:rPr>
      </w:pPr>
    </w:p>
    <w:p w14:paraId="71C199EB" w14:textId="196DC28A" w:rsidR="00A4230A" w:rsidRPr="00FF2FD4" w:rsidRDefault="00A4230A" w:rsidP="00A4230A">
      <w:pPr>
        <w:spacing w:after="120" w:line="276" w:lineRule="auto"/>
        <w:ind w:firstLine="709"/>
        <w:jc w:val="both"/>
        <w:rPr>
          <w:rFonts w:ascii="Verdana" w:eastAsia="Calibri" w:hAnsi="Verdana" w:cs="Arial"/>
          <w:lang w:val="es-ES"/>
        </w:rPr>
      </w:pPr>
      <w:r w:rsidRPr="46C48CA1">
        <w:rPr>
          <w:rFonts w:ascii="Verdana" w:eastAsia="Calibri" w:hAnsi="Verdana" w:cs="Arial"/>
          <w:lang w:val="es-ES"/>
        </w:rPr>
        <w:t xml:space="preserve">En tal sentido, conviene referirse, de manera especial, a la prohibición prevista en el literal a) del artículo 44 de dicha Ley, según la cual: “Los </w:t>
      </w:r>
      <w:r w:rsidRPr="46C48CA1">
        <w:rPr>
          <w:rFonts w:ascii="Verdana" w:eastAsia="Calibri" w:hAnsi="Verdana" w:cs="Arial"/>
          <w:i/>
          <w:lang w:val="es-ES"/>
        </w:rPr>
        <w:t>profesionales</w:t>
      </w:r>
      <w:r w:rsidRPr="46C48CA1">
        <w:rPr>
          <w:rFonts w:ascii="Verdana" w:eastAsia="Calibri" w:hAnsi="Verdana" w:cs="Arial"/>
          <w:lang w:val="es-ES"/>
        </w:rPr>
        <w:t xml:space="preserve"> que hayan actuado como asesores de la parte contratante en un concurso o licitación deberán abstenerse de intervenir directa o indirectamente en las tareas profesionales requeridas para el desarrollo del trabajo que dio lugar al mismo, salvo que su intervención estuviese establecida en las bases del concurso o licitación” (cursiva fuera de texto).</w:t>
      </w:r>
      <w:r w:rsidR="001E4DCA" w:rsidRPr="46C48CA1">
        <w:rPr>
          <w:rFonts w:ascii="Verdana" w:eastAsia="Calibri" w:hAnsi="Verdana" w:cs="Arial"/>
          <w:lang w:val="es-ES"/>
        </w:rPr>
        <w:t xml:space="preserve"> </w:t>
      </w:r>
      <w:r w:rsidRPr="46C48CA1">
        <w:rPr>
          <w:rFonts w:ascii="Verdana" w:eastAsia="Calibri" w:hAnsi="Verdana" w:cs="Arial"/>
          <w:lang w:val="es-ES"/>
        </w:rPr>
        <w:t xml:space="preserve">Como se observa, esta norma prohíbe que el profesional que ha actuado como </w:t>
      </w:r>
      <w:r w:rsidRPr="46C48CA1">
        <w:rPr>
          <w:rFonts w:ascii="Verdana" w:eastAsia="Calibri" w:hAnsi="Verdana" w:cs="Arial"/>
          <w:i/>
          <w:lang w:val="es-ES"/>
        </w:rPr>
        <w:t>asesor</w:t>
      </w:r>
      <w:r w:rsidRPr="46C48CA1">
        <w:rPr>
          <w:rFonts w:ascii="Verdana" w:eastAsia="Calibri" w:hAnsi="Verdana" w:cs="Arial"/>
          <w:lang w:val="es-ES"/>
        </w:rPr>
        <w:t xml:space="preserve"> </w:t>
      </w:r>
      <w:proofErr w:type="gramStart"/>
      <w:r w:rsidRPr="46C48CA1">
        <w:rPr>
          <w:rFonts w:ascii="Verdana" w:eastAsia="Calibri" w:hAnsi="Verdana" w:cs="Arial"/>
          <w:lang w:val="es-ES"/>
        </w:rPr>
        <w:t>de</w:t>
      </w:r>
      <w:r w:rsidR="00103E53" w:rsidRPr="46C48CA1">
        <w:rPr>
          <w:rFonts w:ascii="Verdana" w:eastAsia="Calibri" w:hAnsi="Verdana" w:cs="Arial"/>
          <w:lang w:val="es-ES"/>
        </w:rPr>
        <w:t xml:space="preserve">  una</w:t>
      </w:r>
      <w:proofErr w:type="gramEnd"/>
      <w:r w:rsidR="00103E53" w:rsidRPr="46C48CA1">
        <w:rPr>
          <w:rFonts w:ascii="Verdana" w:eastAsia="Calibri" w:hAnsi="Verdana" w:cs="Arial"/>
          <w:lang w:val="es-ES"/>
        </w:rPr>
        <w:t xml:space="preserve"> Entidad, en el marco de un proceso de </w:t>
      </w:r>
      <w:proofErr w:type="gramStart"/>
      <w:r w:rsidR="00103E53" w:rsidRPr="46C48CA1">
        <w:rPr>
          <w:rFonts w:ascii="Verdana" w:eastAsia="Calibri" w:hAnsi="Verdana" w:cs="Arial"/>
          <w:lang w:val="es-ES"/>
        </w:rPr>
        <w:t xml:space="preserve">contratación, </w:t>
      </w:r>
      <w:r w:rsidRPr="46C48CA1">
        <w:rPr>
          <w:rFonts w:ascii="Verdana" w:eastAsia="Calibri" w:hAnsi="Verdana" w:cs="Arial"/>
          <w:lang w:val="es-ES"/>
        </w:rPr>
        <w:t xml:space="preserve"> quien</w:t>
      </w:r>
      <w:proofErr w:type="gramEnd"/>
      <w:r w:rsidRPr="46C48CA1">
        <w:rPr>
          <w:rFonts w:ascii="Verdana" w:eastAsia="Calibri" w:hAnsi="Verdana" w:cs="Arial"/>
          <w:lang w:val="es-ES"/>
        </w:rPr>
        <w:t xml:space="preserve"> está interesado en contratar un servicio participe en las actividades que serán contratadas, salvo que así lo permitan las condiciones de la convocatoria. </w:t>
      </w:r>
    </w:p>
    <w:p w14:paraId="29A1514D" w14:textId="77777777" w:rsidR="00930850" w:rsidRPr="00FF2FD4" w:rsidRDefault="00930850" w:rsidP="00930850">
      <w:pPr>
        <w:spacing w:after="120" w:line="276" w:lineRule="auto"/>
        <w:ind w:firstLine="709"/>
        <w:jc w:val="both"/>
        <w:rPr>
          <w:rFonts w:ascii="Verdana" w:eastAsia="Calibri" w:hAnsi="Verdana" w:cs="Arial"/>
          <w:bCs/>
          <w:lang w:val="es-ES_tradnl"/>
        </w:rPr>
      </w:pPr>
      <w:r w:rsidRPr="00FF2FD4">
        <w:rPr>
          <w:rFonts w:ascii="Verdana" w:eastAsia="Calibri" w:hAnsi="Verdana" w:cs="Arial"/>
          <w:bCs/>
          <w:lang w:val="es-ES_tradnl"/>
        </w:rPr>
        <w:t xml:space="preserve">La palabra </w:t>
      </w:r>
      <w:r w:rsidRPr="00FF2FD4">
        <w:rPr>
          <w:rFonts w:ascii="Verdana" w:eastAsia="Calibri" w:hAnsi="Verdana" w:cs="Arial"/>
          <w:bCs/>
          <w:i/>
          <w:iCs/>
          <w:lang w:val="es-ES_tradnl"/>
        </w:rPr>
        <w:t>asesor</w:t>
      </w:r>
      <w:r w:rsidRPr="00FF2FD4">
        <w:rPr>
          <w:rFonts w:ascii="Verdana" w:eastAsia="Calibri" w:hAnsi="Verdana" w:cs="Arial"/>
          <w:bCs/>
          <w:lang w:val="es-ES_tradnl"/>
        </w:rPr>
        <w:t xml:space="preserve"> en el artículo 44 de la Ley 842 de 2003 debe interpretarse restrictivamente y en armonía con el artículo 32, numeral 2º de la Ley 80 de 1993, que define el objeto de los contratos de consultoría</w:t>
      </w:r>
      <w:r w:rsidRPr="00FF2FD4">
        <w:rPr>
          <w:rFonts w:ascii="Verdana" w:eastAsia="Calibri" w:hAnsi="Verdana" w:cs="Arial"/>
          <w:bCs/>
          <w:vertAlign w:val="superscript"/>
          <w:lang w:val="es-ES_tradnl"/>
        </w:rPr>
        <w:footnoteReference w:id="21"/>
      </w:r>
      <w:r w:rsidRPr="00FF2FD4">
        <w:rPr>
          <w:rFonts w:ascii="Verdana" w:eastAsia="Calibri" w:hAnsi="Verdana" w:cs="Arial"/>
          <w:bCs/>
          <w:lang w:val="es-ES_tradnl"/>
        </w:rPr>
        <w:t xml:space="preserve">, </w:t>
      </w:r>
      <w:r w:rsidRPr="00FF2FD4">
        <w:rPr>
          <w:rFonts w:ascii="Verdana" w:eastAsia="Calibri" w:hAnsi="Verdana" w:cs="Arial"/>
          <w:bCs/>
          <w:lang w:val="es-ES_tradnl"/>
        </w:rPr>
        <w:lastRenderedPageBreak/>
        <w:t xml:space="preserve">disponiendo que la </w:t>
      </w:r>
      <w:r w:rsidRPr="00FF2FD4">
        <w:rPr>
          <w:rFonts w:ascii="Verdana" w:eastAsia="Calibri" w:hAnsi="Verdana" w:cs="Arial"/>
          <w:bCs/>
          <w:i/>
          <w:iCs/>
          <w:lang w:val="es-ES_tradnl"/>
        </w:rPr>
        <w:t>asesoría</w:t>
      </w:r>
      <w:r w:rsidRPr="00FF2FD4">
        <w:rPr>
          <w:rFonts w:ascii="Verdana" w:eastAsia="Calibri" w:hAnsi="Verdana" w:cs="Arial"/>
          <w:bCs/>
          <w:lang w:val="es-ES_tradnl"/>
        </w:rPr>
        <w:t xml:space="preserve"> es una actividad diferente a la </w:t>
      </w:r>
      <w:r w:rsidRPr="00FF2FD4">
        <w:rPr>
          <w:rFonts w:ascii="Verdana" w:eastAsia="Calibri" w:hAnsi="Verdana" w:cs="Arial"/>
          <w:bCs/>
          <w:i/>
          <w:iCs/>
          <w:lang w:val="es-ES_tradnl"/>
        </w:rPr>
        <w:t>elaboración de los estudios y diseños</w:t>
      </w:r>
      <w:r w:rsidRPr="00FF2FD4">
        <w:rPr>
          <w:rFonts w:ascii="Verdana" w:eastAsia="Calibri" w:hAnsi="Verdana" w:cs="Arial"/>
          <w:bCs/>
          <w:lang w:val="es-ES_tradnl"/>
        </w:rPr>
        <w:t xml:space="preserve">. En consecuencia, no todo el que celebra un contrato de consultoría con una entidad estatal lo hace para asesorarla, ya que, normativamente, el objeto de esta tipología contractual incluye actividades diversas, como los estudios y diseños, los estudios para la ejecución de proyectos de inversión, los estudios de diagnóstico, la interventoría, la gerencia de obra o de proyectos y </w:t>
      </w:r>
      <w:r w:rsidRPr="00FF2FD4">
        <w:rPr>
          <w:rFonts w:ascii="Verdana" w:eastAsia="Calibri" w:hAnsi="Verdana" w:cs="Arial"/>
          <w:bCs/>
          <w:i/>
          <w:iCs/>
          <w:lang w:val="es-ES_tradnl"/>
        </w:rPr>
        <w:t>la asesoría</w:t>
      </w:r>
      <w:r w:rsidRPr="00FF2FD4">
        <w:rPr>
          <w:rFonts w:ascii="Verdana" w:eastAsia="Calibri" w:hAnsi="Verdana" w:cs="Arial"/>
          <w:bCs/>
          <w:lang w:val="es-ES_tradnl"/>
        </w:rPr>
        <w:t>, entre otras.</w:t>
      </w:r>
    </w:p>
    <w:p w14:paraId="5D1E1E7E" w14:textId="348EE394" w:rsidR="00CD623F" w:rsidRDefault="00CD623F" w:rsidP="00CD623F">
      <w:pPr>
        <w:spacing w:after="120" w:line="276" w:lineRule="auto"/>
        <w:ind w:firstLine="709"/>
        <w:jc w:val="both"/>
        <w:rPr>
          <w:rFonts w:ascii="Verdana" w:eastAsia="Calibri" w:hAnsi="Verdana" w:cs="Arial"/>
          <w:lang w:val="es-ES"/>
        </w:rPr>
      </w:pPr>
      <w:r w:rsidRPr="46C48CA1">
        <w:rPr>
          <w:rFonts w:ascii="Verdana" w:eastAsia="Calibri" w:hAnsi="Verdana" w:cs="Arial"/>
          <w:lang w:val="es-ES"/>
        </w:rPr>
        <w:t xml:space="preserve">Partiendo de esta precisión conceptual y guiados por el criterio de interpretación restrictiva que gobierna tanto las inhabilidades e incompatibilidades como, en general, las prohibiciones, </w:t>
      </w:r>
      <w:r w:rsidR="00AB0299" w:rsidRPr="46C48CA1">
        <w:rPr>
          <w:rFonts w:ascii="Verdana" w:eastAsia="Calibri" w:hAnsi="Verdana" w:cs="Arial"/>
          <w:lang w:val="es-ES"/>
        </w:rPr>
        <w:t>las restricción que deriva del</w:t>
      </w:r>
      <w:r w:rsidRPr="46C48CA1">
        <w:rPr>
          <w:rFonts w:ascii="Verdana" w:eastAsia="Calibri" w:hAnsi="Verdana" w:cs="Arial"/>
          <w:lang w:val="es-ES"/>
        </w:rPr>
        <w:t xml:space="preserve"> artículo 44 de la Ley 842</w:t>
      </w:r>
      <w:r w:rsidR="00AB0299" w:rsidRPr="46C48CA1">
        <w:rPr>
          <w:rFonts w:ascii="Verdana" w:eastAsia="Calibri" w:hAnsi="Verdana" w:cs="Arial"/>
          <w:lang w:val="es-ES"/>
        </w:rPr>
        <w:t xml:space="preserve"> 20</w:t>
      </w:r>
      <w:r w:rsidR="000906DF" w:rsidRPr="46C48CA1">
        <w:rPr>
          <w:rFonts w:ascii="Verdana" w:eastAsia="Calibri" w:hAnsi="Verdana" w:cs="Arial"/>
          <w:lang w:val="es-ES"/>
        </w:rPr>
        <w:t>03,</w:t>
      </w:r>
      <w:r w:rsidRPr="46C48CA1">
        <w:rPr>
          <w:rFonts w:ascii="Verdana" w:eastAsia="Calibri" w:hAnsi="Verdana" w:cs="Arial"/>
          <w:lang w:val="es-ES"/>
        </w:rPr>
        <w:t xml:space="preserve"> lo que prohíbe es que los profesionales que asesoraron a la entidad contratante en el correspondiente procedimiento de </w:t>
      </w:r>
      <w:r w:rsidR="00872127" w:rsidRPr="46C48CA1">
        <w:rPr>
          <w:rFonts w:ascii="Verdana" w:eastAsia="Calibri" w:hAnsi="Verdana" w:cs="Arial"/>
          <w:lang w:val="es-ES"/>
        </w:rPr>
        <w:t>selección</w:t>
      </w:r>
      <w:r w:rsidRPr="46C48CA1">
        <w:rPr>
          <w:rFonts w:ascii="Verdana" w:eastAsia="Calibri" w:hAnsi="Verdana" w:cs="Arial"/>
          <w:lang w:val="es-ES"/>
        </w:rPr>
        <w:t xml:space="preserve"> participen luego en la ejecución de las labores que motivaron la realización de la convocatoria. Por ejemplo, que quien actuó como asesor en un concurso de méritos de arquitectura, trabaje posteriormente en la elaboración del diseño arquitectónico</w:t>
      </w:r>
      <w:r w:rsidRPr="00FF2FD4">
        <w:rPr>
          <w:rFonts w:ascii="Verdana" w:eastAsia="Calibri" w:hAnsi="Verdana" w:cs="Arial"/>
          <w:bCs/>
          <w:vertAlign w:val="superscript"/>
          <w:lang w:val="es-ES_tradnl"/>
        </w:rPr>
        <w:footnoteReference w:id="22"/>
      </w:r>
      <w:r w:rsidRPr="46C48CA1">
        <w:rPr>
          <w:rFonts w:ascii="Verdana" w:eastAsia="Calibri" w:hAnsi="Verdana" w:cs="Arial"/>
          <w:lang w:val="es-ES"/>
        </w:rPr>
        <w:t xml:space="preserve">. Sin embargo, la norma no proscribe que quien hizo los estudios y diseños se presente al proceso de </w:t>
      </w:r>
      <w:r w:rsidR="0093509B" w:rsidRPr="46C48CA1">
        <w:rPr>
          <w:rFonts w:ascii="Verdana" w:eastAsia="Calibri" w:hAnsi="Verdana" w:cs="Arial"/>
          <w:lang w:val="es-ES"/>
        </w:rPr>
        <w:t>selección</w:t>
      </w:r>
      <w:r w:rsidRPr="46C48CA1">
        <w:rPr>
          <w:rFonts w:ascii="Verdana" w:eastAsia="Calibri" w:hAnsi="Verdana" w:cs="Arial"/>
          <w:lang w:val="es-ES"/>
        </w:rPr>
        <w:t xml:space="preserve"> cuyo objeto es contratar la obra o construcción, pues en este caso</w:t>
      </w:r>
      <w:r w:rsidR="008828F1" w:rsidRPr="46C48CA1">
        <w:rPr>
          <w:rFonts w:ascii="Verdana" w:eastAsia="Calibri" w:hAnsi="Verdana" w:cs="Arial"/>
          <w:lang w:val="es-ES"/>
        </w:rPr>
        <w:t>,</w:t>
      </w:r>
      <w:r w:rsidR="00BB07D5" w:rsidRPr="46C48CA1">
        <w:rPr>
          <w:rFonts w:ascii="Verdana" w:eastAsia="Calibri" w:hAnsi="Verdana" w:cs="Arial"/>
          <w:lang w:val="es-ES"/>
        </w:rPr>
        <w:t xml:space="preserve"> por el solo hecho de haber</w:t>
      </w:r>
      <w:r w:rsidR="008828F1" w:rsidRPr="46C48CA1">
        <w:rPr>
          <w:rFonts w:ascii="Verdana" w:eastAsia="Calibri" w:hAnsi="Verdana" w:cs="Arial"/>
          <w:lang w:val="es-ES"/>
        </w:rPr>
        <w:t xml:space="preserve"> elabor</w:t>
      </w:r>
      <w:r w:rsidR="00BB07D5" w:rsidRPr="46C48CA1">
        <w:rPr>
          <w:rFonts w:ascii="Verdana" w:eastAsia="Calibri" w:hAnsi="Verdana" w:cs="Arial"/>
          <w:lang w:val="es-ES"/>
        </w:rPr>
        <w:t>ado</w:t>
      </w:r>
      <w:r w:rsidR="008828F1" w:rsidRPr="46C48CA1">
        <w:rPr>
          <w:rFonts w:ascii="Verdana" w:eastAsia="Calibri" w:hAnsi="Verdana" w:cs="Arial"/>
          <w:lang w:val="es-ES"/>
        </w:rPr>
        <w:t xml:space="preserve"> lo</w:t>
      </w:r>
      <w:r w:rsidR="00BB07D5" w:rsidRPr="46C48CA1">
        <w:rPr>
          <w:rFonts w:ascii="Verdana" w:eastAsia="Calibri" w:hAnsi="Verdana" w:cs="Arial"/>
          <w:lang w:val="es-ES"/>
        </w:rPr>
        <w:t>s</w:t>
      </w:r>
      <w:r w:rsidR="008828F1" w:rsidRPr="46C48CA1">
        <w:rPr>
          <w:rFonts w:ascii="Verdana" w:eastAsia="Calibri" w:hAnsi="Verdana" w:cs="Arial"/>
          <w:lang w:val="es-ES"/>
        </w:rPr>
        <w:t xml:space="preserve"> estudios </w:t>
      </w:r>
      <w:r w:rsidR="009D3FD6" w:rsidRPr="46C48CA1">
        <w:rPr>
          <w:rFonts w:ascii="Verdana" w:eastAsia="Calibri" w:hAnsi="Verdana" w:cs="Arial"/>
          <w:lang w:val="es-ES"/>
        </w:rPr>
        <w:t>y</w:t>
      </w:r>
      <w:r w:rsidR="008828F1" w:rsidRPr="46C48CA1">
        <w:rPr>
          <w:rFonts w:ascii="Verdana" w:eastAsia="Calibri" w:hAnsi="Verdana" w:cs="Arial"/>
          <w:lang w:val="es-ES"/>
        </w:rPr>
        <w:t xml:space="preserve"> diseño</w:t>
      </w:r>
      <w:r w:rsidR="009D3FD6" w:rsidRPr="46C48CA1">
        <w:rPr>
          <w:rFonts w:ascii="Verdana" w:eastAsia="Calibri" w:hAnsi="Verdana" w:cs="Arial"/>
          <w:lang w:val="es-ES"/>
        </w:rPr>
        <w:t>s,</w:t>
      </w:r>
      <w:r w:rsidRPr="46C48CA1">
        <w:rPr>
          <w:rFonts w:ascii="Verdana" w:eastAsia="Calibri" w:hAnsi="Verdana" w:cs="Arial"/>
          <w:lang w:val="es-ES"/>
        </w:rPr>
        <w:t xml:space="preserve"> </w:t>
      </w:r>
      <w:r w:rsidR="00BB07D5" w:rsidRPr="46C48CA1">
        <w:rPr>
          <w:rFonts w:ascii="Verdana" w:eastAsia="Calibri" w:hAnsi="Verdana" w:cs="Arial"/>
          <w:lang w:val="es-ES"/>
        </w:rPr>
        <w:t>no puede predicarse que el profesional actuó</w:t>
      </w:r>
      <w:r w:rsidRPr="46C48CA1">
        <w:rPr>
          <w:rFonts w:ascii="Verdana" w:eastAsia="Calibri" w:hAnsi="Verdana" w:cs="Arial"/>
          <w:lang w:val="es-ES"/>
        </w:rPr>
        <w:t xml:space="preserve"> como </w:t>
      </w:r>
      <w:r w:rsidRPr="46C48CA1">
        <w:rPr>
          <w:rFonts w:ascii="Verdana" w:eastAsia="Calibri" w:hAnsi="Verdana" w:cs="Arial"/>
          <w:i/>
          <w:lang w:val="es-ES"/>
        </w:rPr>
        <w:t>asesor</w:t>
      </w:r>
      <w:r w:rsidR="008D49B8" w:rsidRPr="46C48CA1">
        <w:rPr>
          <w:rFonts w:ascii="Verdana" w:eastAsia="Calibri" w:hAnsi="Verdana" w:cs="Arial"/>
          <w:i/>
          <w:lang w:val="es-ES"/>
        </w:rPr>
        <w:t xml:space="preserve"> </w:t>
      </w:r>
      <w:r w:rsidR="008D49B8" w:rsidRPr="46C48CA1">
        <w:rPr>
          <w:rFonts w:ascii="Verdana" w:eastAsia="Calibri" w:hAnsi="Verdana" w:cs="Arial"/>
          <w:lang w:val="es-ES"/>
        </w:rPr>
        <w:t>de la Entidad Estatal</w:t>
      </w:r>
      <w:r w:rsidR="00BB07D5" w:rsidRPr="46C48CA1">
        <w:rPr>
          <w:rFonts w:ascii="Verdana" w:eastAsia="Calibri" w:hAnsi="Verdana" w:cs="Arial"/>
          <w:lang w:val="es-ES"/>
        </w:rPr>
        <w:t xml:space="preserve"> en el desarrollo del proceso de contratación de</w:t>
      </w:r>
      <w:r w:rsidR="00B634F1" w:rsidRPr="46C48CA1">
        <w:rPr>
          <w:rFonts w:ascii="Verdana" w:eastAsia="Calibri" w:hAnsi="Verdana" w:cs="Arial"/>
          <w:lang w:val="es-ES"/>
        </w:rPr>
        <w:t>l contrato en el marco del cual se desarrollara la construcción del proyecto</w:t>
      </w:r>
      <w:r w:rsidRPr="46C48CA1">
        <w:rPr>
          <w:rFonts w:ascii="Verdana" w:eastAsia="Calibri" w:hAnsi="Verdana" w:cs="Arial"/>
          <w:lang w:val="es-ES"/>
        </w:rPr>
        <w:t xml:space="preserve">. </w:t>
      </w:r>
      <w:r w:rsidR="00242E69" w:rsidRPr="46C48CA1">
        <w:rPr>
          <w:rFonts w:ascii="Verdana" w:eastAsia="Calibri" w:hAnsi="Verdana" w:cs="Arial"/>
          <w:lang w:val="es-ES"/>
        </w:rPr>
        <w:t xml:space="preserve">Esto sin perjuicio de circunstancias en las que, quien haya elaborado los estudios y diseños, además haya actuado como asesor de la Entidad Estatal en el proceso de contratación del proyecto de obra, caso en el cual podría configurarse la restricción antes aludida, siempre que se cumplan los presupuestos del artículo 44 de la Ley 842 de 2003.  </w:t>
      </w:r>
    </w:p>
    <w:p w14:paraId="0EC3F396" w14:textId="2EF78E27" w:rsidR="00811FD5" w:rsidRDefault="00B634F1" w:rsidP="00811FD5">
      <w:pPr>
        <w:spacing w:after="120" w:line="276" w:lineRule="auto"/>
        <w:ind w:firstLine="709"/>
        <w:jc w:val="both"/>
        <w:rPr>
          <w:rFonts w:ascii="Verdana" w:eastAsia="Arial MT" w:hAnsi="Verdana" w:cs="Arial"/>
          <w:lang w:eastAsia="es-ES" w:bidi="es-ES"/>
        </w:rPr>
      </w:pPr>
      <w:r>
        <w:rPr>
          <w:rFonts w:ascii="Verdana" w:eastAsia="Calibri" w:hAnsi="Verdana" w:cs="Arial"/>
        </w:rPr>
        <w:t xml:space="preserve">En todo caso, </w:t>
      </w:r>
      <w:r w:rsidR="00811FD5">
        <w:rPr>
          <w:rFonts w:ascii="Verdana" w:eastAsia="Calibri" w:hAnsi="Verdana" w:cs="Arial"/>
        </w:rPr>
        <w:t>es</w:t>
      </w:r>
      <w:r w:rsidR="00811FD5" w:rsidRPr="1C93D55D">
        <w:rPr>
          <w:rFonts w:ascii="Verdana" w:eastAsia="Arial MT" w:hAnsi="Verdana" w:cs="Arial"/>
          <w:lang w:eastAsia="es-ES" w:bidi="es-ES"/>
        </w:rPr>
        <w:t xml:space="preserve"> </w:t>
      </w:r>
      <w:r w:rsidR="00811FD5">
        <w:rPr>
          <w:rFonts w:ascii="Verdana" w:eastAsia="Arial MT" w:hAnsi="Verdana" w:cs="Arial"/>
          <w:lang w:eastAsia="es-ES" w:bidi="es-ES"/>
        </w:rPr>
        <w:t>i</w:t>
      </w:r>
      <w:r w:rsidR="00811FD5" w:rsidRPr="1C93D55D">
        <w:rPr>
          <w:rFonts w:ascii="Verdana" w:eastAsia="Arial MT" w:hAnsi="Verdana" w:cs="Arial"/>
          <w:lang w:eastAsia="es-ES" w:bidi="es-ES"/>
        </w:rPr>
        <w:t xml:space="preserve">mportante señalar que, debe valorarse cada caso en concreto para descartar posibles conflictos de intereses. Es decir, situaciones en las cuales los intereses personales de alguien se opongan a sus deberes. Puede ser el caso de aquellas personas jurídicas que, luego de celebrar un contrato con </w:t>
      </w:r>
      <w:r w:rsidR="00811FD5" w:rsidRPr="1C93D55D">
        <w:rPr>
          <w:rFonts w:ascii="Verdana" w:eastAsia="Arial MT" w:hAnsi="Verdana" w:cs="Arial"/>
          <w:lang w:eastAsia="es-ES" w:bidi="es-ES"/>
        </w:rPr>
        <w:lastRenderedPageBreak/>
        <w:t>una entidad estatal, el representante legal de dicha sociedad celebre a título personal, en calidad de persona natural, otro contrato con la misma entidad estatal, circunstancia que, aunque no se advierte como una inhabilidad o incompatibilidad en particular, sí podría constituir un conflicto de intereses que afecte el cumplimiento de deberes.</w:t>
      </w:r>
    </w:p>
    <w:p w14:paraId="7AEDBADC" w14:textId="77777777" w:rsidR="00811FD5" w:rsidRPr="00EF5022" w:rsidRDefault="00811FD5" w:rsidP="00811FD5">
      <w:pPr>
        <w:widowControl w:val="0"/>
        <w:autoSpaceDE w:val="0"/>
        <w:autoSpaceDN w:val="0"/>
        <w:spacing w:after="120" w:line="276" w:lineRule="auto"/>
        <w:ind w:firstLine="709"/>
        <w:jc w:val="both"/>
        <w:rPr>
          <w:rFonts w:ascii="Verdana" w:eastAsia="Arial MT" w:hAnsi="Verdana" w:cs="Arial"/>
          <w:lang w:eastAsia="es-ES" w:bidi="es-ES"/>
        </w:rPr>
      </w:pPr>
      <w:r w:rsidRPr="00EF5022">
        <w:rPr>
          <w:rFonts w:ascii="Verdana" w:eastAsia="Arial MT" w:hAnsi="Verdana" w:cs="Arial"/>
          <w:bCs/>
          <w:lang w:eastAsia="es-ES" w:bidi="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0798FFA" w14:textId="1C75CBD5" w:rsidR="009472A2" w:rsidRPr="000E1B09" w:rsidRDefault="00811FD5" w:rsidP="009472A2">
      <w:pPr>
        <w:spacing w:line="276" w:lineRule="auto"/>
        <w:ind w:firstLine="708"/>
        <w:jc w:val="both"/>
        <w:rPr>
          <w:rFonts w:ascii="Verdana" w:eastAsia="Calibri" w:hAnsi="Verdana" w:cs="Arial"/>
          <w:lang w:val="es-ES"/>
        </w:rPr>
      </w:pPr>
      <w:r w:rsidRPr="00EF5022">
        <w:rPr>
          <w:rFonts w:ascii="Verdana" w:eastAsia="Arial MT" w:hAnsi="Verdana" w:cs="Arial"/>
          <w:bCs/>
          <w:lang w:eastAsia="es-ES" w:bidi="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295411C" w14:textId="77777777" w:rsidR="009472A2" w:rsidRPr="00593A5F" w:rsidRDefault="009472A2" w:rsidP="009472A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12EFC077" w14:textId="77777777" w:rsidR="009472A2" w:rsidRPr="00593A5F" w:rsidRDefault="009472A2" w:rsidP="009472A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472A2" w:rsidRPr="0065682A" w14:paraId="08F90AFB" w14:textId="77777777" w:rsidTr="00A944A9">
        <w:trPr>
          <w:trHeight w:val="870"/>
        </w:trPr>
        <w:tc>
          <w:tcPr>
            <w:tcW w:w="8647" w:type="dxa"/>
          </w:tcPr>
          <w:p w14:paraId="12B76149"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Ley 80 de 1993, artículos 2, 8, 25 y 32 </w:t>
            </w:r>
          </w:p>
          <w:p w14:paraId="201BEF02"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Ley 842 de 2003, artículo 1, 2, 30, 44, y 44. </w:t>
            </w:r>
          </w:p>
          <w:p w14:paraId="6AACF01F"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Ley 1474 de 2011, artículo 87. </w:t>
            </w:r>
          </w:p>
          <w:p w14:paraId="0784D1A5"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Ley 1437 de 2011, artículo 11. </w:t>
            </w:r>
          </w:p>
          <w:p w14:paraId="0D6B6E80"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Ley 1621 de 2013. </w:t>
            </w:r>
          </w:p>
          <w:p w14:paraId="6D7AE9E2"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Decreto 1082 de 2015: artículos 2.2.1.1.2.1.1., 2.2.1.2.1.3.9.</w:t>
            </w:r>
          </w:p>
          <w:p w14:paraId="1F6B6496"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CONSEJO DE ESTADO. Sala de Consulta y Servicio Civil. Concepto del 29 de abril de 1998. Rad. 1097. C.P. Augusto Trejos Jaramillo.</w:t>
            </w:r>
          </w:p>
          <w:p w14:paraId="75FE8E1A"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CONSEJO DE ESTADO. Sala de Consulta y Servicio Civil. Concepto del 10 de agosto de 2006. </w:t>
            </w:r>
            <w:proofErr w:type="spellStart"/>
            <w:r w:rsidRPr="00A453A7">
              <w:rPr>
                <w:rFonts w:ascii="Verdana" w:hAnsi="Verdana" w:cs="Arial"/>
              </w:rPr>
              <w:t>Exp</w:t>
            </w:r>
            <w:proofErr w:type="spellEnd"/>
            <w:r w:rsidRPr="00A453A7">
              <w:rPr>
                <w:rFonts w:ascii="Verdana" w:hAnsi="Verdana" w:cs="Arial"/>
              </w:rPr>
              <w:t xml:space="preserve">. 1.767. C.P. Luis Fernando Álvarez </w:t>
            </w:r>
            <w:r w:rsidRPr="00A453A7">
              <w:rPr>
                <w:rFonts w:ascii="Verdana" w:hAnsi="Verdana" w:cs="Arial"/>
              </w:rPr>
              <w:lastRenderedPageBreak/>
              <w:t xml:space="preserve">Jaramillo. </w:t>
            </w:r>
          </w:p>
          <w:p w14:paraId="419E83D1"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CONSEJO DE ESTADO. Concepto del 23 de marzo de 2011. </w:t>
            </w:r>
            <w:proofErr w:type="spellStart"/>
            <w:r w:rsidRPr="00A453A7">
              <w:rPr>
                <w:rFonts w:ascii="Verdana" w:hAnsi="Verdana" w:cs="Arial"/>
              </w:rPr>
              <w:t>Exp</w:t>
            </w:r>
            <w:proofErr w:type="spellEnd"/>
            <w:r w:rsidRPr="00A453A7">
              <w:rPr>
                <w:rFonts w:ascii="Verdana" w:hAnsi="Verdana" w:cs="Arial"/>
              </w:rPr>
              <w:t xml:space="preserve">. 2.045. C.P. Enrique José Arboleda Perdomo. </w:t>
            </w:r>
          </w:p>
          <w:p w14:paraId="7933B2E0"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CONSEJO DE ESTADO. Sección Tercera. Subsección C. Sentencia del 22 de mayo de 2013. Rad. 24.057. C.P. Olga Mélida Valle De </w:t>
            </w:r>
            <w:proofErr w:type="spellStart"/>
            <w:r w:rsidRPr="00A453A7">
              <w:rPr>
                <w:rFonts w:ascii="Verdana" w:hAnsi="Verdana" w:cs="Arial"/>
              </w:rPr>
              <w:t>De</w:t>
            </w:r>
            <w:proofErr w:type="spellEnd"/>
            <w:r w:rsidRPr="00A453A7">
              <w:rPr>
                <w:rFonts w:ascii="Verdana" w:hAnsi="Verdana" w:cs="Arial"/>
              </w:rPr>
              <w:t xml:space="preserve"> La Hoz.</w:t>
            </w:r>
          </w:p>
          <w:p w14:paraId="4F62464B"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CONSEJO DE ESTADO. Sección Tercera. Subsección A. Sentencia del 13 de noviembre de 2013. Rad. 25.646. C.P. Mauricio Fajardo Gómez.  </w:t>
            </w:r>
          </w:p>
          <w:p w14:paraId="082F7C19"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CONSEJO DE ESTADO. Sala de Consulta y Servicio Civil. Concepto del 30 de abril de 2015. </w:t>
            </w:r>
            <w:proofErr w:type="spellStart"/>
            <w:r w:rsidRPr="00A453A7">
              <w:rPr>
                <w:rFonts w:ascii="Verdana" w:hAnsi="Verdana" w:cs="Arial"/>
              </w:rPr>
              <w:t>Exp</w:t>
            </w:r>
            <w:proofErr w:type="spellEnd"/>
            <w:r w:rsidRPr="00A453A7">
              <w:rPr>
                <w:rFonts w:ascii="Verdana" w:hAnsi="Verdana" w:cs="Arial"/>
              </w:rPr>
              <w:t xml:space="preserve">. 2251. C.P. Álvaro </w:t>
            </w:r>
            <w:proofErr w:type="spellStart"/>
            <w:r w:rsidRPr="00A453A7">
              <w:rPr>
                <w:rFonts w:ascii="Verdana" w:hAnsi="Verdana" w:cs="Arial"/>
              </w:rPr>
              <w:t>Namén</w:t>
            </w:r>
            <w:proofErr w:type="spellEnd"/>
            <w:r w:rsidRPr="00A453A7">
              <w:rPr>
                <w:rFonts w:ascii="Verdana" w:hAnsi="Verdana" w:cs="Arial"/>
              </w:rPr>
              <w:t xml:space="preserve"> Vargas.</w:t>
            </w:r>
          </w:p>
          <w:p w14:paraId="20B87E2F"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CONSEJO DE ESTADO. Sección Tercera. Subsección A. Sentencia del 24 de junio de 2015. </w:t>
            </w:r>
            <w:proofErr w:type="spellStart"/>
            <w:r w:rsidRPr="00A453A7">
              <w:rPr>
                <w:rFonts w:ascii="Verdana" w:hAnsi="Verdana" w:cs="Arial"/>
              </w:rPr>
              <w:t>Exp</w:t>
            </w:r>
            <w:proofErr w:type="spellEnd"/>
            <w:r w:rsidRPr="00A453A7">
              <w:rPr>
                <w:rFonts w:ascii="Verdana" w:hAnsi="Verdana" w:cs="Arial"/>
              </w:rPr>
              <w:t>. 40.635. C.P. Hernán Andrade Rincón (E).</w:t>
            </w:r>
          </w:p>
          <w:p w14:paraId="60CDA644"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CONSEJO DE ESTADO. Sección Tercera. Subsección B. Sentencia del 12 de diciembre de 2014. </w:t>
            </w:r>
            <w:proofErr w:type="spellStart"/>
            <w:r w:rsidRPr="00A453A7">
              <w:rPr>
                <w:rFonts w:ascii="Verdana" w:hAnsi="Verdana" w:cs="Arial"/>
              </w:rPr>
              <w:t>Exp</w:t>
            </w:r>
            <w:proofErr w:type="spellEnd"/>
            <w:r w:rsidRPr="00A453A7">
              <w:rPr>
                <w:rFonts w:ascii="Verdana" w:hAnsi="Verdana" w:cs="Arial"/>
              </w:rPr>
              <w:t>. 26496. C.P. Ramiro Pazos Guerrero.</w:t>
            </w:r>
          </w:p>
          <w:p w14:paraId="4C706CB3"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CORTE CONSTITUCIONAL. Sentencia C-415 de 1994. M.P. Eduardo Cifuentes Muñoz.</w:t>
            </w:r>
          </w:p>
          <w:p w14:paraId="1006DB62"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CORTE CONSTITUCIONAL. Sentencia C-181 de 1997. M.P. Fabio Morón Díaz. </w:t>
            </w:r>
          </w:p>
          <w:p w14:paraId="721AF599"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CORTE CONSTITUCIONAL. Sentencia C-780 de 2001. M.P. Jaime Córdoba Triviño. </w:t>
            </w:r>
          </w:p>
          <w:p w14:paraId="0F4CD4DD"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 xml:space="preserve">CORTE CONSTITUCIONAL. Sentencia T-1039 de 2006. M.P. Humberto Sierra Porto. </w:t>
            </w:r>
          </w:p>
          <w:p w14:paraId="118ED384"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CORTE CONSTITUCIONAL. Sentencia C-903 de 2008. M.P. Jaime Araujo Rentería.</w:t>
            </w:r>
          </w:p>
          <w:p w14:paraId="2F552F65"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CORTE CONSTITUCIONAL. Sentencia C-1016 de 2012. M.P. Jorge Iván Palacio.</w:t>
            </w:r>
          </w:p>
          <w:p w14:paraId="7207F142" w14:textId="77777777" w:rsidR="009472A2" w:rsidRPr="00A453A7"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CORTE CONSTITUCIONAL. Sentencia C-101 de 2018. M.P. Gloria Stella Ortiz Delgado.</w:t>
            </w:r>
          </w:p>
          <w:p w14:paraId="35BF5A54" w14:textId="77777777" w:rsidR="009472A2" w:rsidRPr="00445C26" w:rsidRDefault="009472A2" w:rsidP="00A944A9">
            <w:pPr>
              <w:pStyle w:val="Prrafodelista"/>
              <w:widowControl w:val="0"/>
              <w:numPr>
                <w:ilvl w:val="0"/>
                <w:numId w:val="17"/>
              </w:numPr>
              <w:autoSpaceDE w:val="0"/>
              <w:autoSpaceDN w:val="0"/>
              <w:spacing w:line="276" w:lineRule="auto"/>
              <w:jc w:val="both"/>
              <w:rPr>
                <w:rFonts w:ascii="Verdana" w:hAnsi="Verdana" w:cs="Arial"/>
              </w:rPr>
            </w:pPr>
            <w:r w:rsidRPr="00A453A7">
              <w:rPr>
                <w:rFonts w:ascii="Verdana" w:hAnsi="Verdana" w:cs="Arial"/>
              </w:rPr>
              <w:t>DAVILA VINUEZA, Luis Guillermo Régimen jurídico de la contratación estatal: aproximación crítica a Ley 80 de 1993. 3ª ed. Bogotá: Legis, 2016.</w:t>
            </w:r>
          </w:p>
        </w:tc>
      </w:tr>
    </w:tbl>
    <w:p w14:paraId="5526F714" w14:textId="77777777" w:rsidR="009472A2" w:rsidRPr="00EA7EA8" w:rsidRDefault="009472A2" w:rsidP="009472A2">
      <w:pPr>
        <w:widowControl w:val="0"/>
        <w:autoSpaceDE w:val="0"/>
        <w:autoSpaceDN w:val="0"/>
        <w:spacing w:after="0" w:line="276" w:lineRule="auto"/>
        <w:jc w:val="both"/>
        <w:rPr>
          <w:rFonts w:ascii="Verdana" w:hAnsi="Verdana" w:cs="Arial"/>
        </w:rPr>
      </w:pPr>
    </w:p>
    <w:p w14:paraId="52E1A76F" w14:textId="77777777" w:rsidR="009472A2" w:rsidRPr="00EA7EA8" w:rsidRDefault="009472A2" w:rsidP="009472A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Doctrina de la Agencia Nacional de Contratación Pública:</w:t>
      </w:r>
    </w:p>
    <w:p w14:paraId="35E1401E" w14:textId="77777777" w:rsidR="009472A2" w:rsidRPr="00EA7EA8" w:rsidRDefault="009472A2" w:rsidP="009472A2">
      <w:pPr>
        <w:widowControl w:val="0"/>
        <w:autoSpaceDE w:val="0"/>
        <w:autoSpaceDN w:val="0"/>
        <w:spacing w:after="0" w:line="276" w:lineRule="auto"/>
        <w:jc w:val="both"/>
        <w:rPr>
          <w:rFonts w:ascii="Verdana" w:hAnsi="Verdana" w:cs="Arial"/>
        </w:rPr>
      </w:pPr>
    </w:p>
    <w:p w14:paraId="540E22F1" w14:textId="3F2E03D4" w:rsidR="009472A2" w:rsidRPr="0060163E" w:rsidRDefault="009472A2" w:rsidP="009472A2">
      <w:pPr>
        <w:widowControl w:val="0"/>
        <w:autoSpaceDE w:val="0"/>
        <w:autoSpaceDN w:val="0"/>
        <w:spacing w:after="0" w:line="276" w:lineRule="auto"/>
        <w:jc w:val="both"/>
        <w:rPr>
          <w:rFonts w:ascii="Verdana" w:eastAsia="Calibri" w:hAnsi="Verdana" w:cs="Times New Roman"/>
        </w:rPr>
      </w:pPr>
      <w:r w:rsidRPr="0060163E">
        <w:rPr>
          <w:rFonts w:ascii="Verdana" w:hAnsi="Verdana" w:cs="Arial"/>
          <w:shd w:val="clear" w:color="auto" w:fill="FFFFFF"/>
          <w:lang w:val="es-ES"/>
        </w:rPr>
        <w:t xml:space="preserve">Esta Subdirección se ha pronunciado sobre </w:t>
      </w:r>
      <w:r>
        <w:rPr>
          <w:rFonts w:ascii="Verdana" w:hAnsi="Verdana" w:cs="Arial"/>
          <w:shd w:val="clear" w:color="auto" w:fill="FFFFFF"/>
          <w:lang w:val="es-ES"/>
        </w:rPr>
        <w:t xml:space="preserve">las inhabilidades e incompatibilidades </w:t>
      </w:r>
      <w:r w:rsidRPr="0060163E">
        <w:rPr>
          <w:rFonts w:ascii="Verdana" w:hAnsi="Verdana" w:cs="Arial"/>
          <w:shd w:val="clear" w:color="auto" w:fill="FFFFFF"/>
          <w:lang w:val="es-ES"/>
        </w:rPr>
        <w:t>en algunos conceptos, tales como:</w:t>
      </w:r>
      <w:r w:rsidRPr="0060163E">
        <w:rPr>
          <w:rFonts w:ascii="Arial" w:eastAsia="Calibri" w:hAnsi="Arial" w:cs="Arial"/>
          <w:lang w:val="es-MX"/>
        </w:rPr>
        <w:t xml:space="preserve"> </w:t>
      </w:r>
      <w:r w:rsidRPr="0060163E">
        <w:rPr>
          <w:rFonts w:ascii="Verdana" w:hAnsi="Verdana" w:cs="Arial"/>
          <w:shd w:val="clear" w:color="auto" w:fill="FFFFFF"/>
          <w:lang w:val="es-MX"/>
        </w:rPr>
        <w:t xml:space="preserve">radicados No. 4201912000004765 de 29 de agosto de 2019, 4201913000005694 del 3 de </w:t>
      </w:r>
      <w:r w:rsidRPr="0060163E">
        <w:rPr>
          <w:rFonts w:ascii="Verdana" w:hAnsi="Verdana" w:cs="Arial"/>
          <w:shd w:val="clear" w:color="auto" w:fill="FFFFFF"/>
          <w:lang w:val="es-MX"/>
        </w:rPr>
        <w:lastRenderedPageBreak/>
        <w:t xml:space="preserve">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C-293 del 28 de agosto de 2021, </w:t>
      </w:r>
      <w:r w:rsidRPr="0060163E">
        <w:rPr>
          <w:rFonts w:ascii="Verdana" w:hAnsi="Verdana" w:cs="Arial"/>
          <w:shd w:val="clear" w:color="auto" w:fill="FFFFFF"/>
          <w:lang w:val="es-ES"/>
        </w:rPr>
        <w:t>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C-172 de 25 de julio de 2024, C-271 del 22 de julio de 2024, C-904 del 9 de diciembre de 2024,</w:t>
      </w:r>
      <w:r>
        <w:rPr>
          <w:rFonts w:ascii="Verdana" w:hAnsi="Verdana" w:cs="Arial"/>
          <w:shd w:val="clear" w:color="auto" w:fill="FFFFFF"/>
          <w:lang w:val="es-ES"/>
        </w:rPr>
        <w:t xml:space="preserve"> C-170 del 19 de marzo de 2025, C-392 del 8 de mayo de 2025, C-632 del 2 de julio de 2025, </w:t>
      </w:r>
      <w:r w:rsidRPr="00640340">
        <w:rPr>
          <w:rFonts w:ascii="Verdana" w:hAnsi="Verdana" w:cs="Arial"/>
          <w:shd w:val="clear" w:color="auto" w:fill="FFFFFF"/>
          <w:lang w:val="es-ES"/>
        </w:rPr>
        <w:t xml:space="preserve">entre otros. </w:t>
      </w:r>
      <w:r w:rsidRPr="0060163E">
        <w:rPr>
          <w:rFonts w:ascii="Verdana" w:hAnsi="Verdana" w:cs="Arial"/>
          <w:shd w:val="clear" w:color="auto" w:fill="FFFFFF"/>
          <w:lang w:val="es-ES"/>
        </w:rPr>
        <w:t xml:space="preserve"> </w:t>
      </w:r>
      <w:r w:rsidR="00E40A3D">
        <w:rPr>
          <w:rFonts w:ascii="Verdana" w:eastAsia="Calibri" w:hAnsi="Verdana" w:cs="Times New Roman"/>
        </w:rPr>
        <w:t xml:space="preserve"> </w:t>
      </w:r>
      <w:r w:rsidRPr="0060163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4" w:history="1">
        <w:r w:rsidRPr="0060163E">
          <w:rPr>
            <w:rFonts w:ascii="Verdana" w:eastAsia="Calibri" w:hAnsi="Verdana" w:cs="Times New Roman"/>
            <w:color w:val="0000FF"/>
            <w:u w:val="single"/>
            <w:lang w:val="es-ES"/>
          </w:rPr>
          <w:t>https://relatoria.colombiacompra.gov.co/busqueda/conceptos</w:t>
        </w:r>
      </w:hyperlink>
      <w:r w:rsidRPr="0060163E">
        <w:rPr>
          <w:rFonts w:ascii="Verdana" w:eastAsia="Calibri" w:hAnsi="Verdana" w:cs="Times New Roman"/>
        </w:rPr>
        <w:t xml:space="preserve">. </w:t>
      </w:r>
    </w:p>
    <w:p w14:paraId="3D5F53DD" w14:textId="77777777" w:rsidR="009472A2" w:rsidRPr="00C30833" w:rsidRDefault="009472A2" w:rsidP="009472A2">
      <w:pPr>
        <w:widowControl w:val="0"/>
        <w:autoSpaceDE w:val="0"/>
        <w:autoSpaceDN w:val="0"/>
        <w:spacing w:after="0" w:line="276" w:lineRule="auto"/>
        <w:jc w:val="both"/>
        <w:rPr>
          <w:rFonts w:ascii="Verdana" w:eastAsia="Calibri" w:hAnsi="Verdana" w:cs="Times New Roman"/>
          <w:lang w:val="es-ES"/>
        </w:rPr>
      </w:pPr>
    </w:p>
    <w:p w14:paraId="0D2116BC" w14:textId="00A22FDE" w:rsidR="009472A2" w:rsidRPr="001B29FE" w:rsidRDefault="009472A2" w:rsidP="009472A2">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2B24A5">
          <w:rPr>
            <w:rStyle w:val="Hipervnculo"/>
            <w:rFonts w:ascii="Verdana" w:hAnsi="Verdana" w:cs="Arial"/>
            <w:shd w:val="clear" w:color="auto" w:fill="FFFFFF"/>
          </w:rPr>
          <w:t>Guía de Contratación Pública Sostenible y Socialmente Responsable | Colombia Compra Eficiente | Agencia Nacional de Contratación Pública</w:t>
        </w:r>
        <w:r w:rsidRPr="002B24A5">
          <w:rPr>
            <w:rStyle w:val="Hipervnculo"/>
            <w:rFonts w:ascii="Verdana" w:hAnsi="Verdana"/>
          </w:rPr>
          <w:t>.</w:t>
        </w:r>
      </w:hyperlink>
    </w:p>
    <w:p w14:paraId="4971EEC8" w14:textId="77777777" w:rsidR="009472A2" w:rsidRPr="001B29FE" w:rsidRDefault="009472A2" w:rsidP="009472A2">
      <w:pPr>
        <w:widowControl w:val="0"/>
        <w:autoSpaceDE w:val="0"/>
        <w:autoSpaceDN w:val="0"/>
        <w:spacing w:after="0" w:line="276" w:lineRule="auto"/>
        <w:jc w:val="both"/>
        <w:rPr>
          <w:rFonts w:ascii="Verdana" w:hAnsi="Verdana"/>
        </w:rPr>
      </w:pPr>
    </w:p>
    <w:p w14:paraId="32E2493F" w14:textId="77777777" w:rsidR="009472A2" w:rsidRPr="00505CD6" w:rsidRDefault="009472A2" w:rsidP="009472A2">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E20C084" w14:textId="77777777" w:rsidR="009472A2" w:rsidRPr="00505CD6" w:rsidRDefault="009472A2" w:rsidP="009472A2">
      <w:pPr>
        <w:widowControl w:val="0"/>
        <w:autoSpaceDE w:val="0"/>
        <w:autoSpaceDN w:val="0"/>
        <w:spacing w:after="0" w:line="276" w:lineRule="auto"/>
        <w:jc w:val="both"/>
        <w:rPr>
          <w:rFonts w:ascii="Verdana" w:hAnsi="Verdana" w:cs="Arial"/>
        </w:rPr>
      </w:pPr>
    </w:p>
    <w:p w14:paraId="39865E7F" w14:textId="77777777" w:rsidR="009472A2" w:rsidRDefault="009472A2" w:rsidP="009472A2">
      <w:pPr>
        <w:spacing w:after="0" w:line="276" w:lineRule="auto"/>
        <w:jc w:val="both"/>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2E4001B" w14:textId="08CD4448" w:rsidR="009472A2" w:rsidRPr="00AC6E46" w:rsidRDefault="006F59F3" w:rsidP="009472A2">
      <w:pPr>
        <w:spacing w:line="276" w:lineRule="auto"/>
        <w:jc w:val="center"/>
        <w:rPr>
          <w:rFonts w:ascii="Verdana" w:hAnsi="Verdana"/>
          <w:noProof/>
        </w:rPr>
      </w:pPr>
      <w:r>
        <w:rPr>
          <w:rFonts w:ascii="Verdana" w:hAnsi="Verdana"/>
          <w:noProof/>
        </w:rPr>
        <w:drawing>
          <wp:inline distT="0" distB="0" distL="0" distR="0" wp14:anchorId="45C1245F" wp14:editId="5B2535CE">
            <wp:extent cx="3639058" cy="1343212"/>
            <wp:effectExtent l="0" t="0" r="0" b="0"/>
            <wp:docPr id="182447143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71438" name="Imagen 1"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472A2" w:rsidRPr="00593A5F" w14:paraId="4E427BF2" w14:textId="77777777" w:rsidTr="00A944A9">
        <w:trPr>
          <w:trHeight w:val="315"/>
        </w:trPr>
        <w:tc>
          <w:tcPr>
            <w:tcW w:w="893" w:type="dxa"/>
            <w:vAlign w:val="center"/>
            <w:hideMark/>
          </w:tcPr>
          <w:p w14:paraId="2FE50113" w14:textId="77777777" w:rsidR="009472A2" w:rsidRPr="003751C7" w:rsidRDefault="009472A2" w:rsidP="00A944A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F66F3B7" w14:textId="77777777" w:rsidR="009472A2" w:rsidRPr="007911EE" w:rsidRDefault="009472A2" w:rsidP="00A944A9">
            <w:pPr>
              <w:contextualSpacing/>
              <w:rPr>
                <w:rFonts w:ascii="Verdana" w:hAnsi="Verdana"/>
                <w:sz w:val="16"/>
                <w:szCs w:val="16"/>
              </w:rPr>
            </w:pPr>
            <w:r>
              <w:rPr>
                <w:rFonts w:ascii="Verdana" w:hAnsi="Verdana"/>
                <w:sz w:val="16"/>
                <w:szCs w:val="16"/>
              </w:rPr>
              <w:t>Gloria Elizabeth Arango Builes</w:t>
            </w:r>
          </w:p>
          <w:p w14:paraId="2BA0AE11" w14:textId="77777777" w:rsidR="009472A2" w:rsidRPr="007911EE" w:rsidRDefault="009472A2" w:rsidP="00A944A9">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9472A2" w:rsidRPr="00593A5F" w14:paraId="1F133809" w14:textId="77777777" w:rsidTr="00A944A9">
        <w:trPr>
          <w:trHeight w:val="330"/>
        </w:trPr>
        <w:tc>
          <w:tcPr>
            <w:tcW w:w="893" w:type="dxa"/>
            <w:vAlign w:val="center"/>
            <w:hideMark/>
          </w:tcPr>
          <w:p w14:paraId="6799CE79" w14:textId="77777777" w:rsidR="009472A2" w:rsidRPr="003751C7" w:rsidRDefault="009472A2" w:rsidP="00A944A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292F6D0" w14:textId="77777777" w:rsidR="009472A2" w:rsidRPr="00041F05" w:rsidRDefault="009472A2" w:rsidP="00A944A9">
            <w:pPr>
              <w:spacing w:line="276" w:lineRule="auto"/>
              <w:contextualSpacing/>
              <w:jc w:val="both"/>
              <w:rPr>
                <w:rFonts w:ascii="Verdana" w:hAnsi="Verdana"/>
                <w:sz w:val="16"/>
                <w:szCs w:val="16"/>
              </w:rPr>
            </w:pPr>
            <w:r>
              <w:rPr>
                <w:rFonts w:ascii="Verdana" w:hAnsi="Verdana"/>
                <w:sz w:val="16"/>
                <w:szCs w:val="16"/>
              </w:rPr>
              <w:t>Alejandro Sarmiento Cantillo</w:t>
            </w:r>
          </w:p>
          <w:p w14:paraId="2B1350E5" w14:textId="77777777" w:rsidR="009472A2" w:rsidRPr="007911EE" w:rsidRDefault="009472A2" w:rsidP="00A944A9">
            <w:pPr>
              <w:spacing w:line="276" w:lineRule="auto"/>
              <w:contextualSpacing/>
              <w:jc w:val="both"/>
              <w:rPr>
                <w:rFonts w:ascii="Verdana" w:hAnsi="Verdana" w:cstheme="minorHAnsi"/>
                <w:sz w:val="16"/>
                <w:szCs w:val="16"/>
              </w:rPr>
            </w:pPr>
            <w:r w:rsidRPr="008558D0">
              <w:rPr>
                <w:rFonts w:ascii="Verdana" w:hAnsi="Verdana" w:cs="Arial"/>
                <w:sz w:val="16"/>
                <w:szCs w:val="16"/>
                <w:lang w:val="es-ES"/>
              </w:rPr>
              <w:t>Gestor T1 ‒ 15 de la Subdirección de Gestión Contractual</w:t>
            </w:r>
          </w:p>
        </w:tc>
      </w:tr>
      <w:tr w:rsidR="009472A2" w:rsidRPr="00593A5F" w14:paraId="57A61178" w14:textId="77777777" w:rsidTr="00A944A9">
        <w:trPr>
          <w:trHeight w:val="330"/>
        </w:trPr>
        <w:tc>
          <w:tcPr>
            <w:tcW w:w="893" w:type="dxa"/>
            <w:vAlign w:val="center"/>
          </w:tcPr>
          <w:p w14:paraId="3F5978C0" w14:textId="77777777" w:rsidR="009472A2" w:rsidRPr="003751C7" w:rsidRDefault="009472A2" w:rsidP="00A944A9">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67A4287" w14:textId="77777777" w:rsidR="009472A2" w:rsidRPr="00EB1CF7" w:rsidRDefault="009472A2" w:rsidP="00A944A9">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7B571AA4" w14:textId="77777777" w:rsidR="009472A2" w:rsidRDefault="009472A2" w:rsidP="00A944A9">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 xml:space="preserve"> ANCP – CCE</w:t>
            </w:r>
          </w:p>
        </w:tc>
      </w:tr>
    </w:tbl>
    <w:p w14:paraId="18F9073B" w14:textId="77777777" w:rsidR="009472A2" w:rsidRPr="00EA6F8B" w:rsidRDefault="009472A2" w:rsidP="009472A2"/>
    <w:p w14:paraId="249725B9" w14:textId="77777777" w:rsidR="009472A2" w:rsidRPr="00EA7EA8" w:rsidRDefault="009472A2" w:rsidP="009472A2"/>
    <w:p w14:paraId="558EE207" w14:textId="77777777" w:rsidR="009472A2" w:rsidRPr="00A43CCC" w:rsidRDefault="009472A2" w:rsidP="009472A2"/>
    <w:p w14:paraId="65820CBE" w14:textId="77777777" w:rsidR="009472A2" w:rsidRPr="00E14685" w:rsidRDefault="009472A2" w:rsidP="009472A2"/>
    <w:p w14:paraId="492FCBEF" w14:textId="77777777" w:rsidR="009472A2" w:rsidRPr="009A2309" w:rsidRDefault="009472A2" w:rsidP="009472A2"/>
    <w:p w14:paraId="3900974D" w14:textId="77777777" w:rsidR="003D5B0D" w:rsidRPr="009472A2" w:rsidRDefault="003D5B0D" w:rsidP="009472A2"/>
    <w:sectPr w:rsidR="003D5B0D" w:rsidRPr="009472A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51602" w14:textId="77777777" w:rsidR="00E92C2B" w:rsidRDefault="00E92C2B" w:rsidP="004A1847">
      <w:pPr>
        <w:spacing w:after="0" w:line="240" w:lineRule="auto"/>
      </w:pPr>
      <w:r>
        <w:separator/>
      </w:r>
    </w:p>
  </w:endnote>
  <w:endnote w:type="continuationSeparator" w:id="0">
    <w:p w14:paraId="71726B78" w14:textId="77777777" w:rsidR="00E92C2B" w:rsidRDefault="00E92C2B" w:rsidP="004A1847">
      <w:pPr>
        <w:spacing w:after="0" w:line="240" w:lineRule="auto"/>
      </w:pPr>
      <w:r>
        <w:continuationSeparator/>
      </w:r>
    </w:p>
  </w:endnote>
  <w:endnote w:type="continuationNotice" w:id="1">
    <w:p w14:paraId="6B114911" w14:textId="77777777" w:rsidR="00E92C2B" w:rsidRDefault="00E92C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A62CF" w14:textId="77777777" w:rsidR="00E92C2B" w:rsidRDefault="00E92C2B" w:rsidP="004A1847">
      <w:pPr>
        <w:spacing w:after="0" w:line="240" w:lineRule="auto"/>
      </w:pPr>
      <w:r>
        <w:separator/>
      </w:r>
    </w:p>
  </w:footnote>
  <w:footnote w:type="continuationSeparator" w:id="0">
    <w:p w14:paraId="235E2E66" w14:textId="77777777" w:rsidR="00E92C2B" w:rsidRDefault="00E92C2B" w:rsidP="004A1847">
      <w:pPr>
        <w:spacing w:after="0" w:line="240" w:lineRule="auto"/>
      </w:pPr>
      <w:r>
        <w:continuationSeparator/>
      </w:r>
    </w:p>
  </w:footnote>
  <w:footnote w:type="continuationNotice" w:id="1">
    <w:p w14:paraId="3C4549F0" w14:textId="77777777" w:rsidR="00E92C2B" w:rsidRDefault="00E92C2B">
      <w:pPr>
        <w:spacing w:after="0" w:line="240" w:lineRule="auto"/>
      </w:pPr>
    </w:p>
  </w:footnote>
  <w:footnote w:id="2">
    <w:p w14:paraId="74592265" w14:textId="77777777" w:rsidR="00150D01" w:rsidRPr="00DB7B3E" w:rsidRDefault="00150D01" w:rsidP="00150D01">
      <w:pPr>
        <w:pStyle w:val="Textonotapie"/>
        <w:ind w:firstLine="708"/>
        <w:jc w:val="both"/>
        <w:rPr>
          <w:rFonts w:ascii="Verdana" w:hAnsi="Verdana"/>
          <w:sz w:val="16"/>
          <w:szCs w:val="16"/>
        </w:rPr>
      </w:pPr>
      <w:r w:rsidRPr="00DB7B3E">
        <w:rPr>
          <w:rFonts w:ascii="Verdana" w:hAnsi="Verdana"/>
          <w:sz w:val="16"/>
          <w:szCs w:val="16"/>
          <w:vertAlign w:val="superscript"/>
        </w:rPr>
        <w:footnoteRef/>
      </w:r>
      <w:r w:rsidRPr="00DB7B3E">
        <w:rPr>
          <w:rFonts w:ascii="Verdana" w:hAnsi="Verdana"/>
          <w:sz w:val="16"/>
          <w:szCs w:val="16"/>
        </w:rPr>
        <w:t xml:space="preserve"> CORTE CONSTITUCIONAL. Sentencia C-181 de 1997. M.P. Fabio Morón Díaz. Ver también las Sentencias C-540 de 2001, C-893 de 2003 y C-903 de 2008, entre otras.</w:t>
      </w:r>
    </w:p>
  </w:footnote>
  <w:footnote w:id="3">
    <w:p w14:paraId="1A898271" w14:textId="77777777" w:rsidR="00150D01" w:rsidRPr="00E34BBF" w:rsidRDefault="00150D01" w:rsidP="00150D01">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Sentencia C-1016 de 2012. M.P. Jorge Iván Palacio.</w:t>
      </w:r>
    </w:p>
  </w:footnote>
  <w:footnote w:id="4">
    <w:p w14:paraId="285DE55F" w14:textId="77777777" w:rsidR="00150D01" w:rsidRPr="00E34BBF" w:rsidRDefault="00150D01" w:rsidP="00150D01">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rPr>
        <w:t xml:space="preserve"> CONSEJO DE ESTADO. Sección Tercera. Subsección A. Sentencia del 13 de noviembre de 2013. </w:t>
      </w:r>
      <w:r w:rsidRPr="00E34BBF">
        <w:rPr>
          <w:rFonts w:ascii="Verdana" w:hAnsi="Verdana"/>
          <w:sz w:val="16"/>
          <w:szCs w:val="16"/>
          <w:lang w:val="pt-BR"/>
        </w:rPr>
        <w:t xml:space="preserve">Rad. 25.646. C.P. Mauricio Fajardo Gómez.  </w:t>
      </w:r>
    </w:p>
    <w:p w14:paraId="35352975" w14:textId="77777777" w:rsidR="00150D01" w:rsidRPr="00E34BBF" w:rsidRDefault="00150D01" w:rsidP="00150D01">
      <w:pPr>
        <w:pStyle w:val="Textonotapie"/>
        <w:jc w:val="both"/>
        <w:rPr>
          <w:rFonts w:ascii="Verdana" w:hAnsi="Verdana"/>
          <w:sz w:val="16"/>
          <w:szCs w:val="16"/>
          <w:lang w:val="pt-BR"/>
        </w:rPr>
      </w:pPr>
    </w:p>
  </w:footnote>
  <w:footnote w:id="5">
    <w:p w14:paraId="53842CF8" w14:textId="77777777" w:rsidR="00150D01" w:rsidRPr="00E34BBF" w:rsidRDefault="00150D01" w:rsidP="00150D01">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Sentencia C-415 de 1994. M.P. Eduardo Cifuentes Muñoz.</w:t>
      </w:r>
    </w:p>
  </w:footnote>
  <w:footnote w:id="6">
    <w:p w14:paraId="10BDFA2B" w14:textId="77777777" w:rsidR="00150D01" w:rsidRPr="00E34BBF" w:rsidRDefault="00150D01" w:rsidP="00150D01">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Ibídem.</w:t>
      </w:r>
    </w:p>
    <w:p w14:paraId="6332EF74" w14:textId="77777777" w:rsidR="00150D01" w:rsidRPr="00E34BBF" w:rsidRDefault="00150D01" w:rsidP="00150D01">
      <w:pPr>
        <w:pStyle w:val="Textonotapie"/>
        <w:jc w:val="both"/>
        <w:rPr>
          <w:rFonts w:ascii="Verdana" w:hAnsi="Verdana"/>
          <w:sz w:val="16"/>
          <w:szCs w:val="16"/>
          <w:lang w:val="pt-BR"/>
        </w:rPr>
      </w:pPr>
    </w:p>
  </w:footnote>
  <w:footnote w:id="7">
    <w:p w14:paraId="341918F2" w14:textId="77777777" w:rsidR="00150D01" w:rsidRPr="00E34BBF" w:rsidRDefault="00150D01" w:rsidP="00150D01">
      <w:pPr>
        <w:pStyle w:val="Textonotapie"/>
        <w:ind w:firstLine="708"/>
        <w:jc w:val="both"/>
        <w:rPr>
          <w:rFonts w:ascii="Verdana" w:hAnsi="Verdana"/>
          <w:sz w:val="16"/>
          <w:szCs w:val="16"/>
          <w:lang w:val="es-CO"/>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w:t>
      </w:r>
      <w:r w:rsidRPr="00E34BBF">
        <w:rPr>
          <w:rFonts w:ascii="Verdana" w:hAnsi="Verdana"/>
          <w:sz w:val="16"/>
          <w:szCs w:val="16"/>
        </w:rPr>
        <w:t xml:space="preserve">Sentencia C-780 de 2001. </w:t>
      </w:r>
      <w:r w:rsidRPr="00E34BBF">
        <w:rPr>
          <w:rFonts w:ascii="Verdana" w:hAnsi="Verdana"/>
          <w:sz w:val="16"/>
          <w:szCs w:val="16"/>
          <w:lang w:val="es-CO"/>
        </w:rPr>
        <w:t xml:space="preserve">M.P. Jaime Córdoba Triviño. </w:t>
      </w:r>
    </w:p>
    <w:p w14:paraId="41DED3A8" w14:textId="77777777" w:rsidR="00150D01" w:rsidRPr="00E34BBF" w:rsidRDefault="00150D01" w:rsidP="00150D01">
      <w:pPr>
        <w:pStyle w:val="Textonotapie"/>
        <w:jc w:val="both"/>
        <w:rPr>
          <w:rFonts w:ascii="Verdana" w:hAnsi="Verdana"/>
          <w:sz w:val="16"/>
          <w:szCs w:val="16"/>
          <w:lang w:val="es-CO"/>
        </w:rPr>
      </w:pPr>
    </w:p>
  </w:footnote>
  <w:footnote w:id="8">
    <w:p w14:paraId="1C6AA269" w14:textId="77777777" w:rsidR="00150D01" w:rsidRPr="00E34BBF" w:rsidRDefault="00150D01" w:rsidP="00150D01">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eastAsia="Calibri" w:hAnsi="Verdana" w:cs="Arial"/>
          <w:sz w:val="16"/>
          <w:szCs w:val="16"/>
          <w:lang w:val="es-ES" w:eastAsia="en-US"/>
        </w:rPr>
        <w:t>Ley 80 de 1993: “</w:t>
      </w:r>
      <w:r w:rsidRPr="00E34BBF">
        <w:rPr>
          <w:rFonts w:ascii="Verdana" w:eastAsia="Calibri" w:hAnsi="Verdana" w:cs="Arial"/>
          <w:sz w:val="16"/>
          <w:szCs w:val="16"/>
          <w:lang w:val="es-ES" w:eastAsia="en-US"/>
        </w:rPr>
        <w:t>Artículo 8: 1o. Son inhábiles para participar en licitaciones o concursos y para celebrar contratos con las entidades estatales: </w:t>
      </w:r>
    </w:p>
    <w:p w14:paraId="41E54978"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a) Las personas que se hallen inhabilitadas para contratar por la Constitución y las leyes. </w:t>
      </w:r>
    </w:p>
    <w:p w14:paraId="14406AB2"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b) Quienes participaron en las licitaciones o concursos o celebraron los contratos de que trata el literal anterior estando inhabilitados. </w:t>
      </w:r>
    </w:p>
    <w:p w14:paraId="0649E9F0"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c) Quienes dieron lugar a la declaratoria de caducidad. </w:t>
      </w:r>
    </w:p>
    <w:p w14:paraId="5CA0434C"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d) Quienes en sentencia judicial hayan sido condenados a la pena accesoria de interdicción de derechos y funciones públicas y quienes hayan sido sancionados disciplinariamente con destitución. </w:t>
      </w:r>
    </w:p>
    <w:p w14:paraId="0B42B3C6"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 Quienes sin justa causa se abstengan de suscribir el contrato estatal adjudicado. </w:t>
      </w:r>
    </w:p>
    <w:p w14:paraId="18F75B65"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f) Los servidores públicos. </w:t>
      </w:r>
    </w:p>
    <w:p w14:paraId="6479E876"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33D7EE9B" w14:textId="77777777" w:rsidR="00150D01" w:rsidRPr="00E34BBF" w:rsidRDefault="00150D01" w:rsidP="00150D01">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7DE96DD2"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i) Los socios de sociedades de personas a las cuales se haya declarado la caducidad, así como las sociedades de personas de las que aquellos formen parte con posterioridad a dicha declaratoria. </w:t>
      </w:r>
    </w:p>
    <w:p w14:paraId="7F27165C"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1991B80B"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064E31C7"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E34BBF">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E34BBF">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E34BBF">
        <w:rPr>
          <w:rFonts w:ascii="Verdana" w:eastAsia="Calibri" w:hAnsi="Verdana" w:cs="Arial"/>
          <w:sz w:val="16"/>
          <w:szCs w:val="16"/>
          <w:lang w:val="es-ES" w:eastAsia="en-US"/>
        </w:rPr>
        <w:softHyphen/>
        <w:t>nería jurídica en los términos de ley, o cuyos representantes legales, ad</w:t>
      </w:r>
      <w:r w:rsidRPr="00E34BBF">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E34BBF">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00D8401E"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w:t>
      </w:r>
    </w:p>
    <w:p w14:paraId="03206172" w14:textId="77777777" w:rsidR="00150D01" w:rsidRPr="00E34BBF" w:rsidRDefault="00150D01" w:rsidP="00150D01">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2o. Tampoco podrán participar en licitaciones o concursos ni celebrar contratos estatales con la entidad respectiva: </w:t>
      </w:r>
    </w:p>
    <w:p w14:paraId="0C46FBC7"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1A35CA76"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1CA4CECF"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799E8F92"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52F6D2F7" w14:textId="77777777" w:rsidR="00150D01" w:rsidRPr="00E34BBF" w:rsidRDefault="00150D01" w:rsidP="00150D01">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6208428B" w14:textId="77777777" w:rsidR="00150D01" w:rsidRPr="00E34BBF" w:rsidRDefault="00150D01" w:rsidP="00150D01">
      <w:pPr>
        <w:pStyle w:val="NormalWeb"/>
        <w:spacing w:before="0" w:beforeAutospacing="0" w:after="0" w:afterAutospacing="0"/>
        <w:ind w:firstLine="708"/>
        <w:jc w:val="both"/>
        <w:rPr>
          <w:rFonts w:ascii="Verdana" w:eastAsia="Calibri" w:hAnsi="Verdana" w:cs="Arial"/>
          <w:sz w:val="16"/>
          <w:szCs w:val="16"/>
          <w:lang w:val="pt-BR" w:eastAsia="en-US"/>
        </w:rPr>
      </w:pPr>
      <w:r w:rsidRPr="00E34BBF">
        <w:rPr>
          <w:rFonts w:ascii="Verdana" w:eastAsia="Calibri" w:hAnsi="Verdana" w:cs="Arial"/>
          <w:sz w:val="16"/>
          <w:szCs w:val="16"/>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w:t>
      </w:r>
      <w:r>
        <w:rPr>
          <w:rFonts w:ascii="Verdana" w:eastAsia="Calibri" w:hAnsi="Verdana" w:cs="Arial"/>
          <w:sz w:val="16"/>
          <w:szCs w:val="16"/>
          <w:lang w:val="es-ES" w:eastAsia="en-US"/>
        </w:rPr>
        <w:t>o civil del ex empleado público”</w:t>
      </w:r>
      <w:r w:rsidRPr="00E34BBF">
        <w:rPr>
          <w:rFonts w:ascii="Verdana" w:eastAsia="Calibri" w:hAnsi="Verdana" w:cs="Arial"/>
          <w:sz w:val="16"/>
          <w:szCs w:val="16"/>
          <w:lang w:val="es-ES" w:eastAsia="en-US"/>
        </w:rPr>
        <w:t xml:space="preserve">. </w:t>
      </w:r>
      <w:r w:rsidRPr="00E34BBF">
        <w:rPr>
          <w:rFonts w:ascii="Verdana" w:eastAsia="Calibri" w:hAnsi="Verdana" w:cs="Arial"/>
          <w:sz w:val="16"/>
          <w:szCs w:val="16"/>
          <w:lang w:val="pt-BR" w:eastAsia="en-US"/>
        </w:rPr>
        <w:t xml:space="preserve">(…). </w:t>
      </w:r>
    </w:p>
    <w:p w14:paraId="71EDAF27" w14:textId="77777777" w:rsidR="00150D01" w:rsidRPr="00E34BBF" w:rsidRDefault="00150D01" w:rsidP="00150D01">
      <w:pPr>
        <w:pStyle w:val="Textonotapie"/>
        <w:jc w:val="both"/>
        <w:rPr>
          <w:rFonts w:ascii="Verdana" w:hAnsi="Verdana"/>
          <w:sz w:val="16"/>
          <w:szCs w:val="16"/>
          <w:lang w:val="pt-BR"/>
        </w:rPr>
      </w:pPr>
    </w:p>
  </w:footnote>
  <w:footnote w:id="9">
    <w:p w14:paraId="46655125" w14:textId="77777777" w:rsidR="00150D01" w:rsidRPr="00E34BBF" w:rsidRDefault="00150D01" w:rsidP="00150D01">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Ibídem. p. 69.</w:t>
      </w:r>
    </w:p>
  </w:footnote>
  <w:footnote w:id="10">
    <w:p w14:paraId="37E6DA86" w14:textId="77777777" w:rsidR="00150D01" w:rsidRPr="00E34BBF" w:rsidRDefault="00150D01" w:rsidP="00150D01">
      <w:pPr>
        <w:pStyle w:val="Textonotapie"/>
        <w:ind w:firstLine="708"/>
        <w:jc w:val="both"/>
        <w:rPr>
          <w:rFonts w:ascii="Verdana" w:hAnsi="Verdana" w:cs="Arial"/>
          <w:sz w:val="16"/>
          <w:szCs w:val="16"/>
          <w:lang w:val="es-ES"/>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 xml:space="preserve">CORTE CONSTITUCIONAL. Sentencia T-1039 de 2006. M.P. Humberto Sierra Porto. </w:t>
      </w:r>
      <w:r w:rsidRPr="00E34BBF">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p w14:paraId="2E5A179B" w14:textId="77777777" w:rsidR="00150D01" w:rsidRPr="00E34BBF" w:rsidRDefault="00150D01" w:rsidP="00150D01">
      <w:pPr>
        <w:pStyle w:val="Textonotapie"/>
        <w:jc w:val="both"/>
        <w:rPr>
          <w:rFonts w:ascii="Verdana" w:hAnsi="Verdana" w:cs="Arial"/>
          <w:sz w:val="16"/>
          <w:szCs w:val="16"/>
          <w:lang w:val="es-ES"/>
        </w:rPr>
      </w:pPr>
    </w:p>
  </w:footnote>
  <w:footnote w:id="11">
    <w:p w14:paraId="51484F61" w14:textId="77777777" w:rsidR="00150D01" w:rsidRPr="00E34BBF" w:rsidRDefault="00150D01" w:rsidP="00150D01">
      <w:pPr>
        <w:pStyle w:val="Textonotapie"/>
        <w:ind w:firstLine="708"/>
        <w:jc w:val="both"/>
        <w:rPr>
          <w:rFonts w:ascii="Verdana" w:hAnsi="Verdana" w:cs="Arial"/>
          <w:sz w:val="16"/>
          <w:szCs w:val="16"/>
          <w:lang w:val="es-ES"/>
        </w:rPr>
      </w:pPr>
      <w:r w:rsidRPr="00E34BBF">
        <w:rPr>
          <w:rStyle w:val="Refdenotaalpie"/>
          <w:rFonts w:ascii="Verdana" w:hAnsi="Verdana"/>
          <w:sz w:val="16"/>
          <w:szCs w:val="16"/>
        </w:rPr>
        <w:footnoteRef/>
      </w:r>
      <w:r w:rsidRPr="00E34BBF">
        <w:rPr>
          <w:rFonts w:ascii="Verdana" w:hAnsi="Verdana"/>
          <w:sz w:val="16"/>
          <w:szCs w:val="16"/>
        </w:rPr>
        <w:t xml:space="preserve"> </w:t>
      </w:r>
      <w:r w:rsidRPr="00E34BBF">
        <w:rPr>
          <w:rFonts w:ascii="Verdana" w:hAnsi="Verdana" w:cs="Arial"/>
          <w:sz w:val="16"/>
          <w:szCs w:val="16"/>
          <w:lang w:val="es-ES"/>
        </w:rPr>
        <w:t>CONSEJO DE ESTADO. Sala de Consulta y Servicio Civil. Concepto del 30 de abril de 2015. Exp. 2251. C.P. Álvaro Namén Vargas.</w:t>
      </w:r>
    </w:p>
    <w:p w14:paraId="5E1A0D4F" w14:textId="77777777" w:rsidR="00150D01" w:rsidRPr="00E34BBF" w:rsidRDefault="00150D01" w:rsidP="00150D01">
      <w:pPr>
        <w:pStyle w:val="Textonotapie"/>
        <w:jc w:val="both"/>
        <w:rPr>
          <w:rFonts w:ascii="Verdana" w:hAnsi="Verdana"/>
          <w:sz w:val="16"/>
          <w:szCs w:val="16"/>
          <w:lang w:val="es-ES_tradnl"/>
        </w:rPr>
      </w:pPr>
    </w:p>
  </w:footnote>
  <w:footnote w:id="12">
    <w:p w14:paraId="287D7E12" w14:textId="77777777" w:rsidR="00150D01" w:rsidRPr="00E34BBF" w:rsidRDefault="00150D01" w:rsidP="00150D01">
      <w:pPr>
        <w:pStyle w:val="Textonotapie"/>
        <w:ind w:firstLine="708"/>
        <w:jc w:val="both"/>
        <w:rPr>
          <w:rFonts w:ascii="Verdana" w:hAnsi="Verdana" w:cs="Arial"/>
          <w:sz w:val="16"/>
          <w:szCs w:val="16"/>
        </w:rPr>
      </w:pPr>
      <w:r w:rsidRPr="00E34BBF">
        <w:rPr>
          <w:rStyle w:val="Refdenotaalpie"/>
          <w:rFonts w:ascii="Verdana" w:hAnsi="Verdana"/>
          <w:sz w:val="16"/>
          <w:szCs w:val="16"/>
        </w:rPr>
        <w:footnoteRef/>
      </w:r>
      <w:r w:rsidRPr="00E34BBF">
        <w:rPr>
          <w:rFonts w:ascii="Verdana" w:hAnsi="Verdana"/>
          <w:sz w:val="16"/>
          <w:szCs w:val="16"/>
        </w:rPr>
        <w:t xml:space="preserve"> </w:t>
      </w:r>
      <w:r w:rsidRPr="00E34BBF">
        <w:rPr>
          <w:rFonts w:ascii="Verdana" w:hAnsi="Verdana" w:cs="Arial"/>
          <w:sz w:val="16"/>
          <w:szCs w:val="16"/>
        </w:rPr>
        <w:t>CONSEJO DE ESTADO. Sección Tercera. Subsección A. Sentencia del 24 de junio de 2015. Exp. 40.635. C.P. Hernán Andrade Rincón (E).</w:t>
      </w:r>
    </w:p>
    <w:p w14:paraId="715A415E" w14:textId="77777777" w:rsidR="00150D01" w:rsidRPr="00E34BBF" w:rsidRDefault="00150D01" w:rsidP="00150D01">
      <w:pPr>
        <w:pStyle w:val="Textonotapie"/>
        <w:jc w:val="both"/>
        <w:rPr>
          <w:rFonts w:ascii="Verdana" w:hAnsi="Verdana"/>
          <w:sz w:val="16"/>
          <w:szCs w:val="16"/>
          <w:lang w:val="es-ES_tradnl"/>
        </w:rPr>
      </w:pPr>
    </w:p>
  </w:footnote>
  <w:footnote w:id="13">
    <w:p w14:paraId="2E8AA245" w14:textId="77777777" w:rsidR="00150D01" w:rsidRPr="00E34BBF" w:rsidRDefault="00150D01" w:rsidP="00150D01">
      <w:pPr>
        <w:pStyle w:val="Textonotapie"/>
        <w:ind w:firstLine="708"/>
        <w:jc w:val="both"/>
        <w:rPr>
          <w:rFonts w:ascii="Verdana" w:hAnsi="Verdana"/>
          <w:sz w:val="16"/>
          <w:szCs w:val="16"/>
          <w:lang w:val="es-ES_tradnl"/>
        </w:rPr>
      </w:pPr>
      <w:r w:rsidRPr="00E34BBF">
        <w:rPr>
          <w:rStyle w:val="Refdenotaalpie"/>
          <w:rFonts w:ascii="Verdana" w:hAnsi="Verdana"/>
          <w:sz w:val="16"/>
          <w:szCs w:val="16"/>
        </w:rPr>
        <w:footnoteRef/>
      </w:r>
      <w:r w:rsidRPr="00E34BBF">
        <w:rPr>
          <w:rFonts w:ascii="Verdana" w:hAnsi="Verdana"/>
          <w:sz w:val="16"/>
          <w:szCs w:val="16"/>
        </w:rPr>
        <w:t xml:space="preserve"> </w:t>
      </w:r>
      <w:r w:rsidRPr="00E34BBF">
        <w:rPr>
          <w:rFonts w:ascii="Verdana" w:hAnsi="Verdana" w:cs="Arial"/>
          <w:sz w:val="16"/>
          <w:szCs w:val="16"/>
        </w:rPr>
        <w:t>CONSEJO DE ESTADO. Sección Tercera. Subsección C. Sentencia del 22 de mayo de 2013. Rad. 24.057. C.P. Olga Mélida Valle De De La Hoz.</w:t>
      </w:r>
    </w:p>
  </w:footnote>
  <w:footnote w:id="14">
    <w:p w14:paraId="177FF2EE" w14:textId="77777777" w:rsidR="00150D01" w:rsidRPr="00E34BBF" w:rsidRDefault="00150D01" w:rsidP="00150D01">
      <w:pPr>
        <w:pStyle w:val="Textonotapie"/>
        <w:ind w:firstLine="708"/>
        <w:jc w:val="both"/>
        <w:rPr>
          <w:rFonts w:ascii="Verdana" w:hAnsi="Verdana" w:cs="Arial"/>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CORTE CONSTITUCIONAL. Sentencia C-415 de 1994. M.P. Eduardo Cifuentes Muñoz.</w:t>
      </w:r>
    </w:p>
    <w:p w14:paraId="22976157" w14:textId="77777777" w:rsidR="00150D01" w:rsidRPr="00E34BBF" w:rsidRDefault="00150D01" w:rsidP="00150D01">
      <w:pPr>
        <w:pStyle w:val="Textonotapie"/>
        <w:jc w:val="both"/>
        <w:rPr>
          <w:rFonts w:ascii="Verdana" w:hAnsi="Verdana"/>
          <w:sz w:val="16"/>
          <w:szCs w:val="16"/>
          <w:lang w:val="pt-BR"/>
        </w:rPr>
      </w:pPr>
    </w:p>
  </w:footnote>
  <w:footnote w:id="15">
    <w:p w14:paraId="247E0805" w14:textId="77777777" w:rsidR="00150D01" w:rsidRPr="00E34BBF" w:rsidRDefault="00150D01" w:rsidP="00150D01">
      <w:pPr>
        <w:pStyle w:val="Textonotapie"/>
        <w:ind w:firstLine="708"/>
        <w:jc w:val="both"/>
        <w:rPr>
          <w:rFonts w:ascii="Verdana" w:hAnsi="Verdana" w:cs="Arial"/>
          <w:color w:val="000000"/>
          <w:sz w:val="16"/>
          <w:szCs w:val="16"/>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color w:val="000000"/>
          <w:sz w:val="16"/>
          <w:szCs w:val="16"/>
          <w:lang w:val="pt-BR"/>
        </w:rPr>
        <w:t xml:space="preserve">CONSEJO DE ESTADO. Sala de lo contencioso administrativo. Sentencia del 12 de diciembre de 2014. Exp. 26496. C.P. Ramiro Pazos Guerrero. </w:t>
      </w:r>
      <w:r w:rsidRPr="00E34BBF">
        <w:rPr>
          <w:rFonts w:ascii="Verdana" w:hAnsi="Verdana" w:cs="Arial"/>
          <w:color w:val="000000"/>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12067140" w14:textId="77777777" w:rsidR="00150D01" w:rsidRPr="00E34BBF" w:rsidRDefault="00150D01" w:rsidP="00150D01">
      <w:pPr>
        <w:pStyle w:val="Textonotapie"/>
        <w:jc w:val="both"/>
        <w:rPr>
          <w:rFonts w:ascii="Verdana" w:hAnsi="Verdana"/>
          <w:sz w:val="16"/>
          <w:szCs w:val="16"/>
          <w:lang w:val="es-ES_tradnl"/>
        </w:rPr>
      </w:pPr>
    </w:p>
  </w:footnote>
  <w:footnote w:id="16">
    <w:p w14:paraId="1C335807" w14:textId="77777777" w:rsidR="00150D01" w:rsidRPr="00E34BBF" w:rsidRDefault="00150D01" w:rsidP="00150D01">
      <w:pPr>
        <w:pStyle w:val="Textonotapie"/>
        <w:ind w:firstLine="708"/>
        <w:jc w:val="both"/>
        <w:rPr>
          <w:rFonts w:ascii="Verdana" w:hAnsi="Verdana"/>
          <w:sz w:val="16"/>
          <w:szCs w:val="16"/>
          <w:lang w:val="es-ES_tradnl"/>
        </w:rPr>
      </w:pPr>
      <w:r w:rsidRPr="00E34BBF">
        <w:rPr>
          <w:rStyle w:val="Refdenotaalpie"/>
          <w:rFonts w:ascii="Verdana" w:hAnsi="Verdana"/>
          <w:sz w:val="16"/>
          <w:szCs w:val="16"/>
        </w:rPr>
        <w:footnoteRef/>
      </w:r>
      <w:r w:rsidRPr="00E34BBF">
        <w:rPr>
          <w:rFonts w:ascii="Verdana" w:hAnsi="Verdana"/>
          <w:sz w:val="16"/>
          <w:szCs w:val="16"/>
        </w:rPr>
        <w:t xml:space="preserve"> </w:t>
      </w:r>
      <w:r w:rsidRPr="00E34BBF">
        <w:rPr>
          <w:rFonts w:ascii="Verdana" w:hAnsi="Verdana" w:cs="Arial"/>
          <w:color w:val="000000"/>
          <w:sz w:val="16"/>
          <w:szCs w:val="16"/>
        </w:rPr>
        <w:t>CONSEJO DE ESTADO. Sala de Consulta y Servicio Civil. Concepto del 29 de abril de 1998. Rad. 1097. C.P. Augusto Trejos Jaramillo.</w:t>
      </w:r>
    </w:p>
  </w:footnote>
  <w:footnote w:id="17">
    <w:p w14:paraId="78C4CBB9" w14:textId="77777777" w:rsidR="00150D01" w:rsidRPr="00E34BBF" w:rsidRDefault="00150D01" w:rsidP="00150D01">
      <w:pPr>
        <w:pStyle w:val="Textonotapie"/>
        <w:ind w:firstLine="709"/>
        <w:jc w:val="both"/>
        <w:rPr>
          <w:rFonts w:ascii="Verdana" w:hAnsi="Verdana" w:cs="Arial"/>
          <w:sz w:val="16"/>
          <w:szCs w:val="16"/>
        </w:rPr>
      </w:pPr>
      <w:r w:rsidRPr="00E34BBF">
        <w:rPr>
          <w:rStyle w:val="Refdenotaalpie"/>
          <w:rFonts w:ascii="Verdana" w:hAnsi="Verdana" w:cs="Arial"/>
          <w:sz w:val="16"/>
          <w:szCs w:val="16"/>
        </w:rPr>
        <w:footnoteRef/>
      </w:r>
      <w:r>
        <w:rPr>
          <w:rFonts w:ascii="Verdana" w:hAnsi="Verdana" w:cs="Arial"/>
          <w:sz w:val="16"/>
          <w:szCs w:val="16"/>
        </w:rPr>
        <w:t xml:space="preserve"> Decreto 1082 de 2015: “</w:t>
      </w:r>
      <w:r w:rsidRPr="00E34BBF">
        <w:rPr>
          <w:rFonts w:ascii="Verdana" w:hAnsi="Verdana" w:cs="Arial"/>
          <w:sz w:val="16"/>
          <w:szCs w:val="16"/>
        </w:rPr>
        <w:t>Artículo 2.2.1.1.2.1.1</w:t>
      </w:r>
      <w:r w:rsidRPr="00E34BBF">
        <w:rPr>
          <w:rFonts w:ascii="Verdana" w:hAnsi="Verdana" w:cs="Arial"/>
          <w:b/>
          <w:bCs/>
          <w:sz w:val="16"/>
          <w:szCs w:val="16"/>
        </w:rPr>
        <w:t>. </w:t>
      </w:r>
      <w:r w:rsidRPr="00E34BBF">
        <w:rPr>
          <w:rFonts w:ascii="Verdana" w:hAnsi="Verdana" w:cs="Arial"/>
          <w:bCs/>
          <w:iCs/>
          <w:sz w:val="16"/>
          <w:szCs w:val="16"/>
        </w:rPr>
        <w:t>Estudios y documentos previos</w:t>
      </w:r>
      <w:r w:rsidRPr="00E34BBF">
        <w:rPr>
          <w:rFonts w:ascii="Verdana" w:hAnsi="Verdana" w:cs="Arial"/>
          <w:b/>
          <w:bCs/>
          <w:i/>
          <w:iCs/>
          <w:sz w:val="16"/>
          <w:szCs w:val="16"/>
        </w:rPr>
        <w:t>.</w:t>
      </w:r>
      <w:r w:rsidRPr="00E34BBF">
        <w:rPr>
          <w:rFonts w:ascii="Verdana" w:hAnsi="Verdana" w:cs="Arial"/>
          <w:i/>
          <w:iCs/>
          <w:sz w:val="16"/>
          <w:szCs w:val="16"/>
        </w:rPr>
        <w:t> </w:t>
      </w:r>
      <w:r w:rsidRPr="00E34BBF">
        <w:rPr>
          <w:rFonts w:ascii="Verdana" w:hAnsi="Verdana" w:cs="Arial"/>
          <w:sz w:val="16"/>
          <w:szCs w:val="16"/>
        </w:rPr>
        <w:t>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w:t>
      </w:r>
    </w:p>
    <w:p w14:paraId="30C8677A" w14:textId="77777777" w:rsidR="00150D01" w:rsidRPr="00E34BBF" w:rsidRDefault="00150D01" w:rsidP="00150D01">
      <w:pPr>
        <w:pStyle w:val="Textonotapie"/>
        <w:ind w:firstLine="709"/>
        <w:jc w:val="both"/>
        <w:rPr>
          <w:rFonts w:ascii="Verdana" w:hAnsi="Verdana" w:cs="Arial"/>
          <w:sz w:val="16"/>
          <w:szCs w:val="16"/>
        </w:rPr>
      </w:pPr>
      <w:r w:rsidRPr="00E34BBF">
        <w:rPr>
          <w:rFonts w:ascii="Verdana" w:hAnsi="Verdana" w:cs="Arial"/>
          <w:sz w:val="16"/>
          <w:szCs w:val="16"/>
        </w:rPr>
        <w:t xml:space="preserve">[…] </w:t>
      </w:r>
    </w:p>
    <w:p w14:paraId="1336831F" w14:textId="77777777" w:rsidR="00150D01" w:rsidRPr="00E34BBF" w:rsidRDefault="00150D01" w:rsidP="00150D01">
      <w:pPr>
        <w:pStyle w:val="Textonotapie"/>
        <w:ind w:firstLine="709"/>
        <w:jc w:val="both"/>
        <w:rPr>
          <w:rFonts w:ascii="Verdana" w:hAnsi="Verdana" w:cs="Arial"/>
          <w:sz w:val="16"/>
          <w:szCs w:val="16"/>
        </w:rPr>
      </w:pPr>
      <w:r w:rsidRPr="00E34BBF">
        <w:rPr>
          <w:rFonts w:ascii="Verdana" w:hAnsi="Verdana" w:cs="Arial"/>
          <w:sz w:val="16"/>
          <w:szCs w:val="16"/>
        </w:rPr>
        <w:t>2. El objeto a contratar, con sus especificaciones, las autorizaciones, permisos y licen</w:t>
      </w:r>
      <w:r w:rsidRPr="00E34BBF">
        <w:rPr>
          <w:rFonts w:ascii="Verdana" w:hAnsi="Verdana" w:cs="Arial"/>
          <w:sz w:val="16"/>
          <w:szCs w:val="16"/>
        </w:rPr>
        <w:softHyphen/>
        <w:t>cias requeridos para su ejecución, y cuando el contrato incluye diseño y construcción, los documentos técnicos para el desarrollo del proye</w:t>
      </w:r>
      <w:r>
        <w:rPr>
          <w:rFonts w:ascii="Verdana" w:hAnsi="Verdana" w:cs="Arial"/>
          <w:sz w:val="16"/>
          <w:szCs w:val="16"/>
        </w:rPr>
        <w:t>cto”.</w:t>
      </w:r>
    </w:p>
  </w:footnote>
  <w:footnote w:id="18">
    <w:p w14:paraId="2D5100E6" w14:textId="77777777" w:rsidR="00150D01" w:rsidRPr="00E34BBF" w:rsidRDefault="00150D01" w:rsidP="00150D01">
      <w:pPr>
        <w:pStyle w:val="Textonotapie"/>
        <w:ind w:firstLine="709"/>
        <w:jc w:val="both"/>
        <w:rPr>
          <w:rFonts w:ascii="Verdana" w:hAnsi="Verdana" w:cs="Arial"/>
          <w:sz w:val="16"/>
          <w:szCs w:val="16"/>
          <w:lang w:val="es-ES"/>
        </w:rPr>
      </w:pPr>
      <w:r w:rsidRPr="00E34BBF">
        <w:rPr>
          <w:rStyle w:val="Refdenotaalpie"/>
          <w:rFonts w:ascii="Verdana" w:hAnsi="Verdana" w:cs="Arial"/>
          <w:sz w:val="16"/>
          <w:szCs w:val="16"/>
        </w:rPr>
        <w:footnoteRef/>
      </w:r>
      <w:r w:rsidRPr="00E34BBF">
        <w:rPr>
          <w:rFonts w:ascii="Verdana" w:hAnsi="Verdana" w:cs="Arial"/>
          <w:sz w:val="16"/>
          <w:szCs w:val="16"/>
        </w:rPr>
        <w:t xml:space="preserve"> </w:t>
      </w:r>
      <w:r>
        <w:rPr>
          <w:rFonts w:ascii="Verdana" w:hAnsi="Verdana" w:cs="Arial"/>
          <w:sz w:val="16"/>
          <w:szCs w:val="16"/>
          <w:lang w:val="es-ES"/>
        </w:rPr>
        <w:t>“</w:t>
      </w:r>
      <w:r w:rsidRPr="00E34BBF">
        <w:rPr>
          <w:rFonts w:ascii="Verdana" w:hAnsi="Verdana" w:cs="Arial"/>
          <w:sz w:val="16"/>
          <w:szCs w:val="16"/>
          <w:lang w:val="es-ES"/>
        </w:rPr>
        <w:t xml:space="preserve">Las entidades y los servidores públicos, responderán cuando hubieren abierto licitaciones sin haber elaborado previamente los correspondientes pliegos de condiciones, diseños, estudios, planos y evaluaciones que fueren necesarios, o cuando los pliegos de condiciones hayan sido elaborados en forma incompleta, ambigua o confusa que conduzcan a interpretaciones o decisiones de carácter </w:t>
      </w:r>
      <w:r>
        <w:rPr>
          <w:rFonts w:ascii="Verdana" w:hAnsi="Verdana" w:cs="Arial"/>
          <w:sz w:val="16"/>
          <w:szCs w:val="16"/>
          <w:lang w:val="es-ES"/>
        </w:rPr>
        <w:t>subjetivo por parte de aquellos”</w:t>
      </w:r>
      <w:r w:rsidRPr="00E34BBF">
        <w:rPr>
          <w:rFonts w:ascii="Verdana" w:hAnsi="Verdana" w:cs="Arial"/>
          <w:sz w:val="16"/>
          <w:szCs w:val="16"/>
          <w:lang w:val="es-ES"/>
        </w:rPr>
        <w:t>.</w:t>
      </w:r>
    </w:p>
    <w:p w14:paraId="179C39B8" w14:textId="77777777" w:rsidR="00150D01" w:rsidRPr="00E34BBF" w:rsidRDefault="00150D01" w:rsidP="00150D01">
      <w:pPr>
        <w:pStyle w:val="Textonotapie"/>
        <w:ind w:firstLine="709"/>
        <w:jc w:val="both"/>
        <w:rPr>
          <w:rFonts w:ascii="Verdana" w:hAnsi="Verdana" w:cs="Arial"/>
          <w:sz w:val="16"/>
          <w:szCs w:val="16"/>
          <w:lang w:val="es-ES"/>
        </w:rPr>
      </w:pPr>
    </w:p>
  </w:footnote>
  <w:footnote w:id="19">
    <w:p w14:paraId="5F5F0A3B" w14:textId="77777777" w:rsidR="00150D01" w:rsidRPr="00E34BBF" w:rsidRDefault="00150D01" w:rsidP="00150D01">
      <w:pPr>
        <w:pStyle w:val="Textonotapie"/>
        <w:ind w:firstLine="709"/>
        <w:jc w:val="both"/>
        <w:rPr>
          <w:rFonts w:ascii="Verdana" w:hAnsi="Verdana" w:cs="Arial"/>
          <w:sz w:val="16"/>
          <w:szCs w:val="16"/>
        </w:rPr>
      </w:pPr>
      <w:r w:rsidRPr="00E34BBF">
        <w:rPr>
          <w:rStyle w:val="Refdenotaalpie"/>
          <w:rFonts w:ascii="Verdana" w:hAnsi="Verdana" w:cs="Arial"/>
          <w:sz w:val="16"/>
          <w:szCs w:val="16"/>
        </w:rPr>
        <w:footnoteRef/>
      </w:r>
      <w:r w:rsidRPr="00E34BBF">
        <w:rPr>
          <w:rFonts w:ascii="Verdana" w:hAnsi="Verdana" w:cs="Arial"/>
          <w:sz w:val="16"/>
          <w:szCs w:val="16"/>
        </w:rPr>
        <w:t xml:space="preserve"> Este tipo contractual se define en el artículo 32, numeral 2º de la Ley 80 de 199</w:t>
      </w:r>
      <w:r>
        <w:rPr>
          <w:rFonts w:ascii="Verdana" w:hAnsi="Verdana" w:cs="Arial"/>
          <w:sz w:val="16"/>
          <w:szCs w:val="16"/>
        </w:rPr>
        <w:t>3 de la siguiente manera: “</w:t>
      </w:r>
      <w:r w:rsidRPr="00E34BBF">
        <w:rPr>
          <w:rFonts w:ascii="Verdana" w:hAnsi="Verdana" w:cs="Arial"/>
          <w:sz w:val="16"/>
          <w:szCs w:val="16"/>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C1850B9" w14:textId="77777777" w:rsidR="00150D01" w:rsidRPr="00E34BBF" w:rsidRDefault="00150D01" w:rsidP="00150D01">
      <w:pPr>
        <w:pStyle w:val="Textonotapie"/>
        <w:ind w:firstLine="709"/>
        <w:jc w:val="both"/>
        <w:rPr>
          <w:rFonts w:ascii="Verdana" w:hAnsi="Verdana" w:cs="Arial"/>
          <w:sz w:val="16"/>
          <w:szCs w:val="16"/>
        </w:rPr>
      </w:pPr>
      <w:r w:rsidRPr="00E34BBF">
        <w:rPr>
          <w:rFonts w:ascii="Verdana" w:hAnsi="Verdana" w:cs="Arial"/>
          <w:sz w:val="16"/>
          <w:szCs w:val="16"/>
        </w:rPr>
        <w:t>Son también contratos de consultoría los que tienen por objeto la interventoría, asesoría, gerencia de obra o de proyectos, dirección, programación y la ejecución de diseños, pl</w:t>
      </w:r>
      <w:r>
        <w:rPr>
          <w:rFonts w:ascii="Verdana" w:hAnsi="Verdana" w:cs="Arial"/>
          <w:sz w:val="16"/>
          <w:szCs w:val="16"/>
        </w:rPr>
        <w:t>anos, anteproyectos y proyectos”</w:t>
      </w:r>
      <w:r w:rsidRPr="00E34BBF">
        <w:rPr>
          <w:rFonts w:ascii="Verdana" w:hAnsi="Verdana" w:cs="Arial"/>
          <w:sz w:val="16"/>
          <w:szCs w:val="16"/>
        </w:rPr>
        <w:t xml:space="preserve">. </w:t>
      </w:r>
    </w:p>
    <w:p w14:paraId="2BDDBA80" w14:textId="77777777" w:rsidR="00150D01" w:rsidRPr="00E34BBF" w:rsidRDefault="00150D01" w:rsidP="00150D01">
      <w:pPr>
        <w:pStyle w:val="Textonotapie"/>
        <w:ind w:firstLine="709"/>
        <w:jc w:val="both"/>
        <w:rPr>
          <w:rFonts w:ascii="Verdana" w:hAnsi="Verdana" w:cs="Arial"/>
          <w:sz w:val="16"/>
          <w:szCs w:val="16"/>
        </w:rPr>
      </w:pPr>
    </w:p>
  </w:footnote>
  <w:footnote w:id="20">
    <w:p w14:paraId="665F4808" w14:textId="77777777" w:rsidR="005D6E9D" w:rsidRPr="00E34BBF" w:rsidRDefault="005D6E9D" w:rsidP="005D6E9D">
      <w:pPr>
        <w:pStyle w:val="Textonotapie"/>
        <w:ind w:firstLine="709"/>
        <w:jc w:val="both"/>
        <w:rPr>
          <w:rFonts w:ascii="Verdana" w:hAnsi="Verdana" w:cs="Arial"/>
          <w:sz w:val="16"/>
          <w:szCs w:val="16"/>
          <w:lang w:val="es-ES"/>
        </w:rPr>
      </w:pPr>
      <w:r w:rsidRPr="00E34BBF">
        <w:rPr>
          <w:rStyle w:val="Refdenotaalpie"/>
          <w:rFonts w:ascii="Verdana" w:hAnsi="Verdana" w:cs="Arial"/>
          <w:sz w:val="16"/>
          <w:szCs w:val="16"/>
        </w:rPr>
        <w:footnoteRef/>
      </w:r>
      <w:r w:rsidRPr="00E34BBF">
        <w:rPr>
          <w:rFonts w:ascii="Verdana" w:hAnsi="Verdana" w:cs="Arial"/>
          <w:sz w:val="16"/>
          <w:szCs w:val="16"/>
        </w:rPr>
        <w:t xml:space="preserve"> </w:t>
      </w:r>
      <w:r w:rsidRPr="00E34BBF">
        <w:rPr>
          <w:rFonts w:ascii="Verdana" w:hAnsi="Verdana" w:cs="Arial"/>
          <w:sz w:val="16"/>
          <w:szCs w:val="16"/>
          <w:lang w:val="es-ES"/>
        </w:rPr>
        <w:t>Al respecto, véase los conceptos del: 10 de agosto</w:t>
      </w:r>
      <w:r>
        <w:rPr>
          <w:rFonts w:ascii="Verdana" w:hAnsi="Verdana" w:cs="Arial"/>
          <w:sz w:val="16"/>
          <w:szCs w:val="16"/>
          <w:lang w:val="es-ES"/>
        </w:rPr>
        <w:t xml:space="preserve"> de 2006. Exp. 1.767. C.P. </w:t>
      </w:r>
      <w:r w:rsidRPr="00E34BBF">
        <w:rPr>
          <w:rFonts w:ascii="Verdana" w:hAnsi="Verdana" w:cs="Arial"/>
          <w:sz w:val="16"/>
          <w:szCs w:val="16"/>
          <w:lang w:val="es-ES"/>
        </w:rPr>
        <w:t xml:space="preserve">Luis Fernando Álvarez Jaramillo; y del 23 de marzo de 2011. Exp. 2.045. Consejero Ponente: Enrique José Arboleda Perdomo. </w:t>
      </w:r>
    </w:p>
    <w:p w14:paraId="705B357E" w14:textId="77777777" w:rsidR="005D6E9D" w:rsidRPr="00E34BBF" w:rsidRDefault="005D6E9D" w:rsidP="005D6E9D">
      <w:pPr>
        <w:pStyle w:val="Textonotapie"/>
        <w:ind w:firstLine="709"/>
        <w:jc w:val="both"/>
        <w:rPr>
          <w:rFonts w:ascii="Verdana" w:hAnsi="Verdana" w:cs="Arial"/>
          <w:sz w:val="16"/>
          <w:szCs w:val="16"/>
          <w:lang w:val="es-ES"/>
        </w:rPr>
      </w:pPr>
    </w:p>
  </w:footnote>
  <w:footnote w:id="21">
    <w:p w14:paraId="2CB8CE44" w14:textId="77777777" w:rsidR="00930850" w:rsidRPr="00E34BBF" w:rsidRDefault="00930850" w:rsidP="00930850">
      <w:pPr>
        <w:pStyle w:val="Textonotapie"/>
        <w:ind w:firstLine="709"/>
        <w:jc w:val="both"/>
        <w:rPr>
          <w:rFonts w:ascii="Verdana" w:hAnsi="Verdana" w:cs="Arial"/>
          <w:sz w:val="16"/>
          <w:szCs w:val="16"/>
          <w:lang w:val="es-ES"/>
        </w:rPr>
      </w:pPr>
      <w:r w:rsidRPr="00E34BBF">
        <w:rPr>
          <w:rStyle w:val="Refdenotaalpie"/>
          <w:rFonts w:ascii="Verdana" w:hAnsi="Verdana" w:cs="Arial"/>
          <w:sz w:val="16"/>
          <w:szCs w:val="16"/>
        </w:rPr>
        <w:footnoteRef/>
      </w:r>
      <w:r w:rsidRPr="00E34BBF">
        <w:rPr>
          <w:rFonts w:ascii="Verdana" w:hAnsi="Verdana" w:cs="Arial"/>
          <w:sz w:val="16"/>
          <w:szCs w:val="16"/>
        </w:rPr>
        <w:t xml:space="preserve"> </w:t>
      </w:r>
      <w:r>
        <w:rPr>
          <w:rFonts w:ascii="Verdana" w:hAnsi="Verdana" w:cs="Arial"/>
          <w:sz w:val="16"/>
          <w:szCs w:val="16"/>
          <w:lang w:val="es-ES"/>
        </w:rPr>
        <w:t>Dicho numeral establece: “</w:t>
      </w:r>
      <w:r w:rsidRPr="00E34BBF">
        <w:rPr>
          <w:rFonts w:ascii="Verdana" w:hAnsi="Verdana" w:cs="Arial"/>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8CDD1A2" w14:textId="77777777" w:rsidR="00930850" w:rsidRPr="00E34BBF" w:rsidRDefault="00930850" w:rsidP="00930850">
      <w:pPr>
        <w:pStyle w:val="Textonotapie"/>
        <w:ind w:firstLine="709"/>
        <w:jc w:val="both"/>
        <w:rPr>
          <w:rFonts w:ascii="Verdana" w:hAnsi="Verdana" w:cs="Arial"/>
          <w:sz w:val="16"/>
          <w:szCs w:val="16"/>
          <w:lang w:val="es-ES"/>
        </w:rPr>
      </w:pPr>
      <w:r w:rsidRPr="00E34BBF">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1AEFFFE8" w14:textId="77777777" w:rsidR="00930850" w:rsidRDefault="00930850" w:rsidP="00930850">
      <w:pPr>
        <w:pStyle w:val="Textonotapie"/>
        <w:ind w:firstLine="709"/>
        <w:jc w:val="both"/>
        <w:rPr>
          <w:rFonts w:ascii="Verdana" w:hAnsi="Verdana" w:cs="Arial"/>
          <w:sz w:val="16"/>
          <w:szCs w:val="16"/>
          <w:lang w:val="es-ES"/>
        </w:rPr>
      </w:pPr>
      <w:r w:rsidRPr="00E34BBF">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w:t>
      </w:r>
      <w:r>
        <w:rPr>
          <w:rFonts w:ascii="Verdana" w:hAnsi="Verdana" w:cs="Arial"/>
          <w:sz w:val="16"/>
          <w:szCs w:val="16"/>
          <w:lang w:val="es-ES"/>
        </w:rPr>
        <w:t>érminos del respectivo contrato”</w:t>
      </w:r>
      <w:r w:rsidRPr="00E34BBF">
        <w:rPr>
          <w:rFonts w:ascii="Verdana" w:hAnsi="Verdana" w:cs="Arial"/>
          <w:sz w:val="16"/>
          <w:szCs w:val="16"/>
          <w:lang w:val="es-ES"/>
        </w:rPr>
        <w:t>.</w:t>
      </w:r>
    </w:p>
    <w:p w14:paraId="043928C6" w14:textId="77777777" w:rsidR="00930850" w:rsidRPr="00E34BBF" w:rsidRDefault="00930850" w:rsidP="00930850">
      <w:pPr>
        <w:pStyle w:val="Textonotapie"/>
        <w:ind w:firstLine="709"/>
        <w:jc w:val="both"/>
        <w:rPr>
          <w:rFonts w:ascii="Verdana" w:hAnsi="Verdana" w:cs="Arial"/>
          <w:sz w:val="16"/>
          <w:szCs w:val="16"/>
          <w:lang w:val="es-CO"/>
        </w:rPr>
      </w:pPr>
    </w:p>
  </w:footnote>
  <w:footnote w:id="22">
    <w:p w14:paraId="69E7AB49" w14:textId="6676D231" w:rsidR="00CD623F" w:rsidRPr="00E34BBF" w:rsidRDefault="00CD623F" w:rsidP="00A44D27">
      <w:pPr>
        <w:spacing w:after="0" w:line="240" w:lineRule="auto"/>
        <w:ind w:firstLine="709"/>
        <w:jc w:val="both"/>
        <w:rPr>
          <w:rFonts w:ascii="Verdana" w:hAnsi="Verdana" w:cs="Arial"/>
          <w:sz w:val="16"/>
          <w:szCs w:val="16"/>
        </w:rPr>
      </w:pPr>
      <w:r w:rsidRPr="00E34BBF">
        <w:rPr>
          <w:rStyle w:val="Refdenotaalpie"/>
          <w:rFonts w:ascii="Verdana" w:hAnsi="Verdana" w:cs="Arial"/>
          <w:sz w:val="16"/>
          <w:szCs w:val="16"/>
        </w:rPr>
        <w:footnoteRef/>
      </w:r>
      <w:r w:rsidRPr="00E34BBF">
        <w:rPr>
          <w:rFonts w:ascii="Verdana" w:hAnsi="Verdana" w:cs="Arial"/>
          <w:sz w:val="16"/>
          <w:szCs w:val="16"/>
        </w:rPr>
        <w:t xml:space="preserve"> El artículo 2.2.1.2.1.3.9., numeral 2º, del Decreto 1082 de 2015 establece que el organismo asesor en el concurso de arquitectura «Es el ente idóneo en la materia de arquitectura que organiza y diseña los aspectos técnicos del concurso de arquitectura y, actúa como coordinador entre la Entidad Estatal promotora y el jurado calificador, y entre éstos con los proponentes</w:t>
      </w:r>
      <w:r w:rsidR="00BE60EA">
        <w:rPr>
          <w:rFonts w:ascii="Verdana" w:hAnsi="Verdana" w:cs="Arial"/>
          <w:sz w:val="16"/>
          <w:szCs w:val="16"/>
        </w:rPr>
        <w:t>”</w:t>
      </w:r>
      <w:r w:rsidRPr="00E34BBF">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862"/>
    <w:rsid w:val="00016F78"/>
    <w:rsid w:val="00022600"/>
    <w:rsid w:val="00043617"/>
    <w:rsid w:val="00046945"/>
    <w:rsid w:val="00061B2A"/>
    <w:rsid w:val="0006376B"/>
    <w:rsid w:val="000733B1"/>
    <w:rsid w:val="000804A6"/>
    <w:rsid w:val="00080841"/>
    <w:rsid w:val="00082362"/>
    <w:rsid w:val="00087032"/>
    <w:rsid w:val="000906DF"/>
    <w:rsid w:val="000A683E"/>
    <w:rsid w:val="000B19B9"/>
    <w:rsid w:val="000B58E5"/>
    <w:rsid w:val="000D0334"/>
    <w:rsid w:val="000F6486"/>
    <w:rsid w:val="00103E53"/>
    <w:rsid w:val="00124C68"/>
    <w:rsid w:val="00125105"/>
    <w:rsid w:val="00127233"/>
    <w:rsid w:val="001412B9"/>
    <w:rsid w:val="00150D01"/>
    <w:rsid w:val="001511A0"/>
    <w:rsid w:val="001736D5"/>
    <w:rsid w:val="001768FB"/>
    <w:rsid w:val="00180A67"/>
    <w:rsid w:val="001847A7"/>
    <w:rsid w:val="001D5690"/>
    <w:rsid w:val="001E4177"/>
    <w:rsid w:val="001E4DCA"/>
    <w:rsid w:val="001F7DC6"/>
    <w:rsid w:val="00221175"/>
    <w:rsid w:val="00223AE5"/>
    <w:rsid w:val="0023246D"/>
    <w:rsid w:val="002421BB"/>
    <w:rsid w:val="00242E69"/>
    <w:rsid w:val="0025796E"/>
    <w:rsid w:val="002707A2"/>
    <w:rsid w:val="00281ACF"/>
    <w:rsid w:val="00286163"/>
    <w:rsid w:val="002951A0"/>
    <w:rsid w:val="002962BC"/>
    <w:rsid w:val="002A093D"/>
    <w:rsid w:val="002A0DD0"/>
    <w:rsid w:val="002A49AC"/>
    <w:rsid w:val="002A5756"/>
    <w:rsid w:val="002A64FD"/>
    <w:rsid w:val="002B24A5"/>
    <w:rsid w:val="002C7A84"/>
    <w:rsid w:val="002D6480"/>
    <w:rsid w:val="002E4FD9"/>
    <w:rsid w:val="00317B71"/>
    <w:rsid w:val="00322A85"/>
    <w:rsid w:val="00323E81"/>
    <w:rsid w:val="00324168"/>
    <w:rsid w:val="003448F4"/>
    <w:rsid w:val="003657D9"/>
    <w:rsid w:val="00367B81"/>
    <w:rsid w:val="00374F5E"/>
    <w:rsid w:val="00377E3E"/>
    <w:rsid w:val="00395CCC"/>
    <w:rsid w:val="003A157B"/>
    <w:rsid w:val="003A779E"/>
    <w:rsid w:val="003B4E34"/>
    <w:rsid w:val="003D0F4D"/>
    <w:rsid w:val="003D5B0D"/>
    <w:rsid w:val="003E0499"/>
    <w:rsid w:val="003F3941"/>
    <w:rsid w:val="003F733F"/>
    <w:rsid w:val="00406575"/>
    <w:rsid w:val="00414C74"/>
    <w:rsid w:val="00424289"/>
    <w:rsid w:val="0042722E"/>
    <w:rsid w:val="0044084D"/>
    <w:rsid w:val="0044528D"/>
    <w:rsid w:val="004574F9"/>
    <w:rsid w:val="00463AC0"/>
    <w:rsid w:val="00466A54"/>
    <w:rsid w:val="004A1847"/>
    <w:rsid w:val="004A1998"/>
    <w:rsid w:val="004A305D"/>
    <w:rsid w:val="004B7DCA"/>
    <w:rsid w:val="004F11BA"/>
    <w:rsid w:val="004F21C4"/>
    <w:rsid w:val="004F2BB6"/>
    <w:rsid w:val="004F685F"/>
    <w:rsid w:val="00542FD9"/>
    <w:rsid w:val="005566E8"/>
    <w:rsid w:val="00561C28"/>
    <w:rsid w:val="00574867"/>
    <w:rsid w:val="00591460"/>
    <w:rsid w:val="005B3816"/>
    <w:rsid w:val="005C02E3"/>
    <w:rsid w:val="005C3777"/>
    <w:rsid w:val="005C5CDC"/>
    <w:rsid w:val="005D476C"/>
    <w:rsid w:val="005D6E9D"/>
    <w:rsid w:val="005E5FE4"/>
    <w:rsid w:val="00605776"/>
    <w:rsid w:val="006219F8"/>
    <w:rsid w:val="006259AE"/>
    <w:rsid w:val="00631877"/>
    <w:rsid w:val="00644A9C"/>
    <w:rsid w:val="00654704"/>
    <w:rsid w:val="006559EA"/>
    <w:rsid w:val="00665D70"/>
    <w:rsid w:val="006900D9"/>
    <w:rsid w:val="006A43C2"/>
    <w:rsid w:val="006C3FA6"/>
    <w:rsid w:val="006F292E"/>
    <w:rsid w:val="006F59F3"/>
    <w:rsid w:val="007033F0"/>
    <w:rsid w:val="00706C16"/>
    <w:rsid w:val="007126FA"/>
    <w:rsid w:val="00720ED8"/>
    <w:rsid w:val="00727932"/>
    <w:rsid w:val="00742C90"/>
    <w:rsid w:val="00747BA7"/>
    <w:rsid w:val="00756841"/>
    <w:rsid w:val="00757E51"/>
    <w:rsid w:val="007649AB"/>
    <w:rsid w:val="00770906"/>
    <w:rsid w:val="00771D0C"/>
    <w:rsid w:val="007833AC"/>
    <w:rsid w:val="00797761"/>
    <w:rsid w:val="007B268C"/>
    <w:rsid w:val="007B7171"/>
    <w:rsid w:val="007C0C0F"/>
    <w:rsid w:val="007C3DC2"/>
    <w:rsid w:val="007E5497"/>
    <w:rsid w:val="007E653E"/>
    <w:rsid w:val="007F29B8"/>
    <w:rsid w:val="00806F5F"/>
    <w:rsid w:val="00811FD5"/>
    <w:rsid w:val="0081379E"/>
    <w:rsid w:val="00820278"/>
    <w:rsid w:val="0082635D"/>
    <w:rsid w:val="00831C60"/>
    <w:rsid w:val="00860487"/>
    <w:rsid w:val="00867F95"/>
    <w:rsid w:val="00872127"/>
    <w:rsid w:val="00876440"/>
    <w:rsid w:val="008766E4"/>
    <w:rsid w:val="008828F1"/>
    <w:rsid w:val="008843B6"/>
    <w:rsid w:val="00891928"/>
    <w:rsid w:val="008A446D"/>
    <w:rsid w:val="008A5891"/>
    <w:rsid w:val="008B7838"/>
    <w:rsid w:val="008C2AF2"/>
    <w:rsid w:val="008D0A82"/>
    <w:rsid w:val="008D180B"/>
    <w:rsid w:val="008D330E"/>
    <w:rsid w:val="008D49B8"/>
    <w:rsid w:val="008F0EA7"/>
    <w:rsid w:val="00923EEF"/>
    <w:rsid w:val="00930850"/>
    <w:rsid w:val="0093329F"/>
    <w:rsid w:val="0093509B"/>
    <w:rsid w:val="009419F9"/>
    <w:rsid w:val="009472A2"/>
    <w:rsid w:val="0095685E"/>
    <w:rsid w:val="00961B09"/>
    <w:rsid w:val="00965334"/>
    <w:rsid w:val="0097093E"/>
    <w:rsid w:val="00971CD3"/>
    <w:rsid w:val="00986AC5"/>
    <w:rsid w:val="009A0DFA"/>
    <w:rsid w:val="009B2D26"/>
    <w:rsid w:val="009C3E41"/>
    <w:rsid w:val="009C71FA"/>
    <w:rsid w:val="009C72E7"/>
    <w:rsid w:val="009D3058"/>
    <w:rsid w:val="009D3FD6"/>
    <w:rsid w:val="009E25D5"/>
    <w:rsid w:val="009F2C92"/>
    <w:rsid w:val="009F3A13"/>
    <w:rsid w:val="00A122D3"/>
    <w:rsid w:val="00A17BE9"/>
    <w:rsid w:val="00A17F13"/>
    <w:rsid w:val="00A20739"/>
    <w:rsid w:val="00A33C78"/>
    <w:rsid w:val="00A4230A"/>
    <w:rsid w:val="00A44D27"/>
    <w:rsid w:val="00A52B4D"/>
    <w:rsid w:val="00A666D0"/>
    <w:rsid w:val="00A9427C"/>
    <w:rsid w:val="00A944A9"/>
    <w:rsid w:val="00AB0299"/>
    <w:rsid w:val="00AB0ADB"/>
    <w:rsid w:val="00AC1E4E"/>
    <w:rsid w:val="00AC65F4"/>
    <w:rsid w:val="00B01B1A"/>
    <w:rsid w:val="00B12146"/>
    <w:rsid w:val="00B1237F"/>
    <w:rsid w:val="00B15B95"/>
    <w:rsid w:val="00B634F1"/>
    <w:rsid w:val="00B66319"/>
    <w:rsid w:val="00B710E0"/>
    <w:rsid w:val="00B72CD3"/>
    <w:rsid w:val="00B72FFF"/>
    <w:rsid w:val="00B858B6"/>
    <w:rsid w:val="00B94F56"/>
    <w:rsid w:val="00BA526A"/>
    <w:rsid w:val="00BB07D5"/>
    <w:rsid w:val="00BC3D36"/>
    <w:rsid w:val="00BC530F"/>
    <w:rsid w:val="00BD2B47"/>
    <w:rsid w:val="00BD7F72"/>
    <w:rsid w:val="00BE60EA"/>
    <w:rsid w:val="00C04FB3"/>
    <w:rsid w:val="00C330EB"/>
    <w:rsid w:val="00C41061"/>
    <w:rsid w:val="00C53BE0"/>
    <w:rsid w:val="00C56FD1"/>
    <w:rsid w:val="00C62047"/>
    <w:rsid w:val="00C65840"/>
    <w:rsid w:val="00C754BE"/>
    <w:rsid w:val="00C76B1C"/>
    <w:rsid w:val="00CB6357"/>
    <w:rsid w:val="00CC1B26"/>
    <w:rsid w:val="00CC4067"/>
    <w:rsid w:val="00CD623F"/>
    <w:rsid w:val="00D11052"/>
    <w:rsid w:val="00D423A2"/>
    <w:rsid w:val="00D520D8"/>
    <w:rsid w:val="00D63318"/>
    <w:rsid w:val="00D63AC2"/>
    <w:rsid w:val="00D7383B"/>
    <w:rsid w:val="00D85588"/>
    <w:rsid w:val="00D95C8D"/>
    <w:rsid w:val="00DA231B"/>
    <w:rsid w:val="00DB2E83"/>
    <w:rsid w:val="00DB5A27"/>
    <w:rsid w:val="00DC39FC"/>
    <w:rsid w:val="00DC5660"/>
    <w:rsid w:val="00DF5254"/>
    <w:rsid w:val="00E16408"/>
    <w:rsid w:val="00E20894"/>
    <w:rsid w:val="00E245AB"/>
    <w:rsid w:val="00E2764C"/>
    <w:rsid w:val="00E27F2E"/>
    <w:rsid w:val="00E40A3D"/>
    <w:rsid w:val="00E416E2"/>
    <w:rsid w:val="00E50AFE"/>
    <w:rsid w:val="00E7181C"/>
    <w:rsid w:val="00E75800"/>
    <w:rsid w:val="00E75C92"/>
    <w:rsid w:val="00E771DC"/>
    <w:rsid w:val="00E8772A"/>
    <w:rsid w:val="00E90F6B"/>
    <w:rsid w:val="00E927C6"/>
    <w:rsid w:val="00E92C27"/>
    <w:rsid w:val="00E92C2B"/>
    <w:rsid w:val="00EA0E3D"/>
    <w:rsid w:val="00EB24B4"/>
    <w:rsid w:val="00EC38A7"/>
    <w:rsid w:val="00ED7384"/>
    <w:rsid w:val="00EE1AA8"/>
    <w:rsid w:val="00F31EDC"/>
    <w:rsid w:val="00F340D2"/>
    <w:rsid w:val="00F3418B"/>
    <w:rsid w:val="00F462B3"/>
    <w:rsid w:val="00F5664F"/>
    <w:rsid w:val="00F666C4"/>
    <w:rsid w:val="00F76AFC"/>
    <w:rsid w:val="00F96394"/>
    <w:rsid w:val="00FA33E8"/>
    <w:rsid w:val="00FA47C0"/>
    <w:rsid w:val="00FA62B2"/>
    <w:rsid w:val="00FB1EFF"/>
    <w:rsid w:val="00FB1F14"/>
    <w:rsid w:val="00FB39A2"/>
    <w:rsid w:val="00FB5DD1"/>
    <w:rsid w:val="00FB6EB5"/>
    <w:rsid w:val="00FC2B5D"/>
    <w:rsid w:val="00FF1449"/>
    <w:rsid w:val="165E9519"/>
    <w:rsid w:val="382536D9"/>
    <w:rsid w:val="46C48CA1"/>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3A0147A-FB66-4A83-BDC1-04F90FAF7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472A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72A2"/>
    <w:rPr>
      <w:rFonts w:ascii="Geomanist Light" w:hAnsi="Geomanist Light"/>
      <w:lang w:val="es-ES"/>
    </w:rPr>
  </w:style>
  <w:style w:type="paragraph" w:styleId="Sinespaciado">
    <w:name w:val="No Spacing"/>
    <w:aliases w:val="No Indent"/>
    <w:uiPriority w:val="3"/>
    <w:qFormat/>
    <w:rsid w:val="009472A2"/>
    <w:pPr>
      <w:spacing w:after="0" w:line="240" w:lineRule="auto"/>
    </w:pPr>
    <w:rPr>
      <w:sz w:val="24"/>
      <w:lang w:val="es-MX"/>
    </w:rPr>
  </w:style>
  <w:style w:type="character" w:customStyle="1" w:styleId="NormalWebCar">
    <w:name w:val="Normal (Web) Car"/>
    <w:link w:val="NormalWeb"/>
    <w:uiPriority w:val="99"/>
    <w:rsid w:val="009472A2"/>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3A157B"/>
    <w:rPr>
      <w:sz w:val="16"/>
      <w:szCs w:val="16"/>
    </w:rPr>
  </w:style>
  <w:style w:type="paragraph" w:styleId="Textocomentario">
    <w:name w:val="annotation text"/>
    <w:basedOn w:val="Normal"/>
    <w:link w:val="TextocomentarioCar"/>
    <w:uiPriority w:val="99"/>
    <w:unhideWhenUsed/>
    <w:rsid w:val="003A157B"/>
    <w:pPr>
      <w:spacing w:line="240" w:lineRule="auto"/>
    </w:pPr>
    <w:rPr>
      <w:sz w:val="20"/>
      <w:szCs w:val="20"/>
    </w:rPr>
  </w:style>
  <w:style w:type="character" w:customStyle="1" w:styleId="TextocomentarioCar">
    <w:name w:val="Texto comentario Car"/>
    <w:basedOn w:val="Fuentedeprrafopredeter"/>
    <w:link w:val="Textocomentario"/>
    <w:uiPriority w:val="99"/>
    <w:rsid w:val="003A157B"/>
    <w:rPr>
      <w:sz w:val="20"/>
      <w:szCs w:val="20"/>
    </w:rPr>
  </w:style>
  <w:style w:type="paragraph" w:styleId="Asuntodelcomentario">
    <w:name w:val="annotation subject"/>
    <w:basedOn w:val="Textocomentario"/>
    <w:next w:val="Textocomentario"/>
    <w:link w:val="AsuntodelcomentarioCar"/>
    <w:uiPriority w:val="99"/>
    <w:semiHidden/>
    <w:unhideWhenUsed/>
    <w:rsid w:val="003A157B"/>
    <w:rPr>
      <w:b/>
      <w:bCs/>
    </w:rPr>
  </w:style>
  <w:style w:type="character" w:customStyle="1" w:styleId="AsuntodelcomentarioCar">
    <w:name w:val="Asunto del comentario Car"/>
    <w:basedOn w:val="TextocomentarioCar"/>
    <w:link w:val="Asuntodelcomentario"/>
    <w:uiPriority w:val="99"/>
    <w:semiHidden/>
    <w:rsid w:val="003A157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1508_2012.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_martinelli1@hotmail.com" TargetMode="External"/><Relationship Id="rId5" Type="http://schemas.openxmlformats.org/officeDocument/2006/relationships/styles" Target="styles.xml"/><Relationship Id="rId15" Type="http://schemas.openxmlformats.org/officeDocument/2006/relationships/hyperlink" Target="https://operaciones.colombiacompra.gov.co/sites/cce_public/files/cce_documents/guia_de_contratacion_publica_sostenible_y_socialmente_responsable_2024.pdf"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9d85dbaf-23eb-4e57-a637-93dcacc8b1a1"/>
    <ds:schemaRef ds:uri="http://schemas.openxmlformats.org/package/2006/metadata/core-properties"/>
    <ds:schemaRef ds:uri="http://purl.org/dc/dcmitype/"/>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8D448C7-32A6-4B37-9E2A-1D8D8281E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23</Pages>
  <Words>6993</Words>
  <Characters>38464</Characters>
  <Application>Microsoft Office Word</Application>
  <DocSecurity>0</DocSecurity>
  <Lines>320</Lines>
  <Paragraphs>90</Paragraphs>
  <ScaleCrop>false</ScaleCrop>
  <Company/>
  <LinksUpToDate>false</LinksUpToDate>
  <CharactersWithSpaces>45367</CharactersWithSpaces>
  <SharedDoc>false</SharedDoc>
  <HLinks>
    <vt:vector size="30" baseType="variant">
      <vt:variant>
        <vt:i4>1835013</vt:i4>
      </vt:variant>
      <vt:variant>
        <vt:i4>12</vt:i4>
      </vt:variant>
      <vt:variant>
        <vt:i4>0</vt:i4>
      </vt:variant>
      <vt:variant>
        <vt:i4>5</vt:i4>
      </vt:variant>
      <vt:variant>
        <vt:lpwstr>https://operaciones.colombiacompra.gov.co/sites/cce_public/files/cce_documents/guia_de_contratacion_publica_sostenible_y_socialmente_responsable_2024.pdf</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6094926</vt:i4>
      </vt:variant>
      <vt:variant>
        <vt:i4>6</vt:i4>
      </vt:variant>
      <vt:variant>
        <vt:i4>0</vt:i4>
      </vt:variant>
      <vt:variant>
        <vt:i4>5</vt:i4>
      </vt:variant>
      <vt:variant>
        <vt:lpwstr>http://www.secretariasenado.gov.co/senado/basedoc/ley_1508_2012.html</vt:lpwstr>
      </vt:variant>
      <vt:variant>
        <vt:lpwstr>Inicio</vt:lpwstr>
      </vt:variant>
      <vt:variant>
        <vt:i4>786452</vt:i4>
      </vt:variant>
      <vt:variant>
        <vt:i4>3</vt:i4>
      </vt:variant>
      <vt:variant>
        <vt:i4>0</vt:i4>
      </vt:variant>
      <vt:variant>
        <vt:i4>5</vt:i4>
      </vt:variant>
      <vt:variant>
        <vt:lpwstr>http://www.secretariasenado.gov.co/senado/basedoc/ley_0080_1993.html</vt:lpwstr>
      </vt:variant>
      <vt:variant>
        <vt:lpwstr>25</vt:lpwstr>
      </vt:variant>
      <vt:variant>
        <vt:i4>4521993</vt:i4>
      </vt:variant>
      <vt:variant>
        <vt:i4>0</vt:i4>
      </vt:variant>
      <vt:variant>
        <vt:i4>0</vt:i4>
      </vt:variant>
      <vt:variant>
        <vt:i4>5</vt:i4>
      </vt:variant>
      <vt:variant>
        <vt:lpwstr>mailto:David_martinelli1@hotmail.com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2023-01-10T18:18:00Z</cp:lastPrinted>
  <dcterms:created xsi:type="dcterms:W3CDTF">2025-09-02T20:53:00Z</dcterms:created>
  <dcterms:modified xsi:type="dcterms:W3CDTF">2025-09-02T20:53:00Z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