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863234" w14:textId="77777777" w:rsidR="00D83CE1" w:rsidRPr="00D83CE1" w:rsidRDefault="00D83CE1" w:rsidP="00D83CE1">
      <w:pPr>
        <w:spacing w:after="0" w:line="240" w:lineRule="auto"/>
        <w:jc w:val="both"/>
        <w:rPr>
          <w:rFonts w:ascii="Arial" w:hAnsi="Arial" w:cs="Arial"/>
          <w:b/>
          <w:lang w:val="es-MX"/>
        </w:rPr>
      </w:pPr>
    </w:p>
    <w:p w14:paraId="6440B9BF" w14:textId="77777777" w:rsidR="00D83CE1" w:rsidRPr="00D83CE1" w:rsidRDefault="00D83CE1" w:rsidP="00D83CE1">
      <w:pPr>
        <w:spacing w:after="0" w:line="240" w:lineRule="auto"/>
        <w:jc w:val="right"/>
        <w:rPr>
          <w:rFonts w:ascii="Arial" w:hAnsi="Arial" w:cs="Arial"/>
          <w:b/>
          <w:sz w:val="16"/>
          <w:szCs w:val="16"/>
          <w:lang w:val="es-ES" w:eastAsia="es-ES"/>
        </w:rPr>
      </w:pPr>
      <w:r w:rsidRPr="00D83CE1">
        <w:rPr>
          <w:rFonts w:ascii="Arial" w:hAnsi="Arial" w:cs="Arial"/>
          <w:b/>
          <w:sz w:val="16"/>
          <w:szCs w:val="16"/>
          <w:lang w:val="es-ES" w:eastAsia="es-ES"/>
        </w:rPr>
        <w:t xml:space="preserve">  CCE-DES-FM-17</w:t>
      </w:r>
    </w:p>
    <w:p w14:paraId="2222D1D2" w14:textId="77777777" w:rsidR="00D83CE1" w:rsidRPr="00D83CE1" w:rsidRDefault="00D83CE1" w:rsidP="00D83CE1">
      <w:pPr>
        <w:spacing w:after="0" w:line="240" w:lineRule="auto"/>
        <w:jc w:val="both"/>
        <w:rPr>
          <w:rFonts w:ascii="Arial" w:hAnsi="Arial" w:cs="Arial"/>
          <w:b/>
          <w:lang w:val="es-MX"/>
        </w:rPr>
      </w:pPr>
    </w:p>
    <w:p w14:paraId="2CD81B50" w14:textId="77777777" w:rsidR="00D83CE1" w:rsidRPr="00D83CE1" w:rsidRDefault="00D83CE1" w:rsidP="00CA200B">
      <w:pPr>
        <w:spacing w:after="0" w:line="240" w:lineRule="auto"/>
        <w:jc w:val="both"/>
        <w:rPr>
          <w:rFonts w:ascii="Arial" w:hAnsi="Arial" w:cs="Arial"/>
          <w:lang w:val="es-MX"/>
        </w:rPr>
      </w:pPr>
      <w:r w:rsidRPr="00D83CE1">
        <w:rPr>
          <w:rFonts w:ascii="Arial" w:hAnsi="Arial" w:cs="Arial"/>
          <w:b/>
          <w:lang w:val="es-MX"/>
        </w:rPr>
        <w:t xml:space="preserve">EXPERIENCIA </w:t>
      </w:r>
      <w:r w:rsidRPr="00D83CE1">
        <w:rPr>
          <w:rFonts w:ascii="Arial" w:eastAsia="Calibri" w:hAnsi="Arial" w:cs="Arial"/>
          <w:b/>
          <w:lang w:val="es-MX"/>
        </w:rPr>
        <w:t xml:space="preserve">– </w:t>
      </w:r>
      <w:r w:rsidRPr="00D83CE1">
        <w:rPr>
          <w:rFonts w:ascii="Arial" w:hAnsi="Arial" w:cs="Arial"/>
          <w:b/>
          <w:lang w:val="es-MX"/>
        </w:rPr>
        <w:t xml:space="preserve">Noción ‒ </w:t>
      </w:r>
      <w:r w:rsidRPr="00D83CE1">
        <w:rPr>
          <w:rFonts w:ascii="Arial" w:hAnsi="Arial" w:cs="Arial"/>
          <w:b/>
          <w:bCs/>
          <w:lang w:val="es-MX"/>
        </w:rPr>
        <w:t>Colombia Compra Eficiente</w:t>
      </w:r>
    </w:p>
    <w:p w14:paraId="799CA47A" w14:textId="77777777" w:rsidR="00D83CE1" w:rsidRPr="00D83CE1" w:rsidRDefault="00D83CE1" w:rsidP="00CA200B">
      <w:pPr>
        <w:spacing w:after="0" w:line="240" w:lineRule="auto"/>
        <w:jc w:val="both"/>
        <w:rPr>
          <w:rFonts w:ascii="Arial" w:hAnsi="Arial" w:cs="Arial"/>
          <w:sz w:val="20"/>
          <w:szCs w:val="20"/>
          <w:lang w:val="es-MX"/>
        </w:rPr>
      </w:pPr>
    </w:p>
    <w:p w14:paraId="5981CAE6" w14:textId="77777777" w:rsidR="00CA200B" w:rsidRPr="00CA200B" w:rsidRDefault="00CA200B" w:rsidP="00CA200B">
      <w:pPr>
        <w:spacing w:after="0" w:line="240" w:lineRule="auto"/>
        <w:jc w:val="both"/>
        <w:rPr>
          <w:rFonts w:ascii="Arial" w:eastAsia="Calibri" w:hAnsi="Arial" w:cs="Arial"/>
          <w:sz w:val="20"/>
          <w:szCs w:val="20"/>
          <w:lang w:val="es-MX"/>
        </w:rPr>
      </w:pPr>
      <w:r w:rsidRPr="00CA200B">
        <w:rPr>
          <w:rFonts w:ascii="Arial" w:eastAsia="Calibri" w:hAnsi="Arial" w:cs="Arial"/>
          <w:sz w:val="20"/>
          <w:szCs w:val="20"/>
          <w:lang w:val="es-MX"/>
        </w:rPr>
        <w:t xml:space="preserve">i) La experiencia es </w:t>
      </w:r>
      <w:r w:rsidRPr="00CA200B">
        <w:rPr>
          <w:rFonts w:ascii="Arial" w:eastAsia="Calibri" w:hAnsi="Arial" w:cs="Arial"/>
          <w:i/>
          <w:iCs/>
          <w:sz w:val="20"/>
          <w:szCs w:val="20"/>
          <w:lang w:val="es-MX"/>
        </w:rPr>
        <w:t>personal</w:t>
      </w:r>
      <w:r w:rsidRPr="00CA200B">
        <w:rPr>
          <w:rFonts w:ascii="Arial" w:eastAsia="Calibri" w:hAnsi="Arial" w:cs="Arial"/>
          <w:sz w:val="20"/>
          <w:szCs w:val="20"/>
          <w:lang w:val="es-MX"/>
        </w:rPr>
        <w:t>, esto es, se adquiere participando, directa o indirectamente, sin que sea posible no hacerlo y tener experiencia.</w:t>
      </w:r>
    </w:p>
    <w:p w14:paraId="6351CAB2" w14:textId="17245306" w:rsidR="00CA200B" w:rsidRPr="00CA200B" w:rsidRDefault="00CA200B" w:rsidP="00CA200B">
      <w:pPr>
        <w:spacing w:before="120" w:after="120" w:line="240" w:lineRule="auto"/>
        <w:jc w:val="both"/>
        <w:rPr>
          <w:rFonts w:ascii="Arial" w:eastAsia="Calibri" w:hAnsi="Arial" w:cs="Arial"/>
          <w:sz w:val="20"/>
          <w:szCs w:val="20"/>
          <w:lang w:val="es-MX"/>
        </w:rPr>
      </w:pPr>
      <w:proofErr w:type="spellStart"/>
      <w:r w:rsidRPr="00CA200B">
        <w:rPr>
          <w:rFonts w:ascii="Arial" w:eastAsia="Calibri" w:hAnsi="Arial" w:cs="Arial"/>
          <w:sz w:val="20"/>
          <w:szCs w:val="20"/>
          <w:lang w:val="es-MX"/>
        </w:rPr>
        <w:t>ii</w:t>
      </w:r>
      <w:proofErr w:type="spellEnd"/>
      <w:r w:rsidRPr="00CA200B">
        <w:rPr>
          <w:rFonts w:ascii="Arial" w:eastAsia="Calibri" w:hAnsi="Arial" w:cs="Arial"/>
          <w:sz w:val="20"/>
          <w:szCs w:val="20"/>
          <w:lang w:val="es-MX"/>
        </w:rPr>
        <w:t xml:space="preserve">) La experiencia se puede </w:t>
      </w:r>
      <w:r w:rsidRPr="00CA200B">
        <w:rPr>
          <w:rFonts w:ascii="Arial" w:eastAsia="Calibri" w:hAnsi="Arial" w:cs="Arial"/>
          <w:i/>
          <w:iCs/>
          <w:sz w:val="20"/>
          <w:szCs w:val="20"/>
          <w:lang w:val="es-MX"/>
        </w:rPr>
        <w:t>compartir</w:t>
      </w:r>
      <w:r w:rsidRPr="00CA200B">
        <w:rPr>
          <w:rFonts w:ascii="Arial" w:eastAsia="Calibri" w:hAnsi="Arial" w:cs="Arial"/>
          <w:sz w:val="20"/>
          <w:szCs w:val="20"/>
          <w:lang w:val="es-MX"/>
        </w:rPr>
        <w:t>, sin que implique que la compartida a una persona se entienda suya, ya que dentro del procedimiento contractual se reflejará que esa persona tiene la experiencia de otra, como es el caso de las figuras asociativas   ̶ consorcios y uniones temporales ̶   que se verificará en el documento privado de constitución.</w:t>
      </w:r>
    </w:p>
    <w:p w14:paraId="53D9F324" w14:textId="77777777" w:rsidR="00CA200B" w:rsidRPr="00CA200B" w:rsidRDefault="00CA200B" w:rsidP="00CA200B">
      <w:pPr>
        <w:spacing w:before="120" w:after="120" w:line="240" w:lineRule="auto"/>
        <w:jc w:val="both"/>
        <w:rPr>
          <w:rFonts w:ascii="Arial" w:eastAsia="Calibri" w:hAnsi="Arial" w:cs="Arial"/>
          <w:sz w:val="20"/>
          <w:szCs w:val="20"/>
          <w:lang w:val="es-MX"/>
        </w:rPr>
      </w:pPr>
      <w:proofErr w:type="spellStart"/>
      <w:r w:rsidRPr="00CA200B">
        <w:rPr>
          <w:rFonts w:ascii="Arial" w:eastAsia="Calibri" w:hAnsi="Arial" w:cs="Arial"/>
          <w:sz w:val="20"/>
          <w:szCs w:val="20"/>
          <w:lang w:val="es-MX"/>
        </w:rPr>
        <w:t>iii</w:t>
      </w:r>
      <w:proofErr w:type="spellEnd"/>
      <w:r w:rsidRPr="00CA200B">
        <w:rPr>
          <w:rFonts w:ascii="Arial" w:eastAsia="Calibri" w:hAnsi="Arial" w:cs="Arial"/>
          <w:sz w:val="20"/>
          <w:szCs w:val="20"/>
          <w:lang w:val="es-MX"/>
        </w:rPr>
        <w:t xml:space="preserve">) La experiencia se puede </w:t>
      </w:r>
      <w:r w:rsidRPr="00CA200B">
        <w:rPr>
          <w:rFonts w:ascii="Arial" w:eastAsia="Calibri" w:hAnsi="Arial" w:cs="Arial"/>
          <w:i/>
          <w:iCs/>
          <w:sz w:val="20"/>
          <w:szCs w:val="20"/>
          <w:lang w:val="es-MX"/>
        </w:rPr>
        <w:t>transferir</w:t>
      </w:r>
      <w:r w:rsidRPr="00CA200B">
        <w:rPr>
          <w:rFonts w:ascii="Arial" w:eastAsia="Calibri" w:hAnsi="Arial" w:cs="Arial"/>
          <w:sz w:val="20"/>
          <w:szCs w:val="20"/>
          <w:lang w:val="es-MX"/>
        </w:rPr>
        <w:t>, y esto es diferente a compartir, lo que implica que la experiencia de una persona se traslada a otra, y esta última acredita la experiencia como propia, como sucede con la figura que se explicará con más detalle en el numeral 2.3 de este concepto.</w:t>
      </w:r>
    </w:p>
    <w:p w14:paraId="6B519C2B" w14:textId="77777777" w:rsidR="00CA200B" w:rsidRPr="00CA200B" w:rsidRDefault="00CA200B" w:rsidP="00CA200B">
      <w:pPr>
        <w:spacing w:after="0" w:line="240" w:lineRule="auto"/>
        <w:jc w:val="both"/>
        <w:rPr>
          <w:rFonts w:ascii="Arial" w:eastAsia="Calibri" w:hAnsi="Arial" w:cs="Arial"/>
          <w:sz w:val="20"/>
          <w:szCs w:val="20"/>
          <w:lang w:val="es-MX"/>
        </w:rPr>
      </w:pPr>
      <w:proofErr w:type="spellStart"/>
      <w:r w:rsidRPr="00CA200B">
        <w:rPr>
          <w:rFonts w:ascii="Arial" w:eastAsia="Calibri" w:hAnsi="Arial" w:cs="Arial"/>
          <w:sz w:val="20"/>
          <w:szCs w:val="20"/>
          <w:lang w:val="es-MX"/>
        </w:rPr>
        <w:t>iv</w:t>
      </w:r>
      <w:proofErr w:type="spellEnd"/>
      <w:r w:rsidRPr="00CA200B">
        <w:rPr>
          <w:rFonts w:ascii="Arial" w:eastAsia="Calibri" w:hAnsi="Arial" w:cs="Arial"/>
          <w:sz w:val="20"/>
          <w:szCs w:val="20"/>
          <w:lang w:val="es-MX"/>
        </w:rPr>
        <w:t xml:space="preserve">) Cuando la persona que adquirió la experiencia </w:t>
      </w:r>
      <w:r w:rsidRPr="00CA200B">
        <w:rPr>
          <w:rFonts w:ascii="Arial" w:eastAsia="Calibri" w:hAnsi="Arial" w:cs="Arial"/>
          <w:i/>
          <w:iCs/>
          <w:sz w:val="20"/>
          <w:szCs w:val="20"/>
          <w:lang w:val="es-MX"/>
        </w:rPr>
        <w:t>desaparece</w:t>
      </w:r>
      <w:r w:rsidRPr="00CA200B">
        <w:rPr>
          <w:rFonts w:ascii="Arial" w:eastAsia="Calibri" w:hAnsi="Arial" w:cs="Arial"/>
          <w:sz w:val="20"/>
          <w:szCs w:val="20"/>
          <w:lang w:val="es-MX"/>
        </w:rPr>
        <w:t xml:space="preserve"> o se liquida no es posible que comparta o transfiera su experiencia, porque al ser personal sigue la suerte de quien la adquirió.</w:t>
      </w:r>
    </w:p>
    <w:p w14:paraId="0AEE88D8" w14:textId="77777777" w:rsidR="00D83CE1" w:rsidRPr="00D83CE1" w:rsidRDefault="00D83CE1" w:rsidP="00D83CE1">
      <w:pPr>
        <w:spacing w:after="0" w:line="240" w:lineRule="auto"/>
        <w:jc w:val="both"/>
        <w:rPr>
          <w:rFonts w:ascii="Arial" w:eastAsia="Calibri" w:hAnsi="Arial" w:cs="Arial"/>
          <w:b/>
          <w:lang w:val="es-MX"/>
        </w:rPr>
      </w:pPr>
    </w:p>
    <w:p w14:paraId="7C04803C" w14:textId="77777777" w:rsidR="00D83CE1" w:rsidRPr="00D83CE1" w:rsidRDefault="00D83CE1" w:rsidP="00CA200B">
      <w:pPr>
        <w:spacing w:after="0" w:line="240" w:lineRule="auto"/>
        <w:jc w:val="both"/>
        <w:rPr>
          <w:rFonts w:ascii="Arial" w:eastAsia="Calibri" w:hAnsi="Arial" w:cs="Arial"/>
          <w:b/>
          <w:lang w:val="es-MX"/>
        </w:rPr>
      </w:pPr>
      <w:r w:rsidRPr="00D83CE1">
        <w:rPr>
          <w:rFonts w:ascii="Arial" w:eastAsia="Calibri" w:hAnsi="Arial" w:cs="Arial"/>
          <w:b/>
          <w:lang w:val="es-MX"/>
        </w:rPr>
        <w:t>SOCIEDADES NUEVAS ‒ Experiencia ‒ Inferior a tres años ‒ Requisitos habilitantes ‒ Desarrollo de la empresa</w:t>
      </w:r>
    </w:p>
    <w:p w14:paraId="53B87FB9" w14:textId="77777777" w:rsidR="00D83CE1" w:rsidRPr="00D83CE1" w:rsidRDefault="00D83CE1" w:rsidP="00CA200B">
      <w:pPr>
        <w:spacing w:after="0" w:line="240" w:lineRule="auto"/>
        <w:jc w:val="both"/>
        <w:rPr>
          <w:rFonts w:ascii="Arial" w:eastAsia="Calibri" w:hAnsi="Arial" w:cs="Arial"/>
          <w:sz w:val="20"/>
          <w:szCs w:val="20"/>
          <w:lang w:val="es-MX"/>
        </w:rPr>
      </w:pPr>
    </w:p>
    <w:p w14:paraId="51D9A5D4" w14:textId="6228FA62" w:rsidR="00CA200B" w:rsidRPr="00CA200B" w:rsidRDefault="00CA200B" w:rsidP="00CA200B">
      <w:pPr>
        <w:spacing w:after="120" w:line="240" w:lineRule="auto"/>
        <w:jc w:val="both"/>
        <w:rPr>
          <w:rFonts w:ascii="Arial" w:hAnsi="Arial" w:cs="Arial"/>
          <w:sz w:val="20"/>
          <w:szCs w:val="20"/>
          <w:lang w:val="es-MX"/>
        </w:rPr>
      </w:pPr>
      <w:r w:rsidRPr="00CA200B">
        <w:rPr>
          <w:rFonts w:ascii="Arial" w:hAnsi="Arial" w:cs="Arial"/>
          <w:sz w:val="20"/>
          <w:szCs w:val="20"/>
          <w:lang w:val="es-MX"/>
        </w:rPr>
        <w:t xml:space="preserve">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w:t>
      </w:r>
      <w:r w:rsidRPr="00CA200B">
        <w:rPr>
          <w:rFonts w:ascii="Arial" w:eastAsia="Calibri" w:hAnsi="Arial" w:cs="Arial"/>
          <w:sz w:val="20"/>
          <w:szCs w:val="20"/>
          <w:lang w:val="es-MX"/>
        </w:rPr>
        <w:t>─</w:t>
      </w:r>
      <w:r w:rsidRPr="00CA200B">
        <w:rPr>
          <w:rFonts w:ascii="Arial" w:hAnsi="Arial" w:cs="Arial"/>
          <w:sz w:val="20"/>
          <w:szCs w:val="20"/>
          <w:lang w:val="es-MX"/>
        </w:rPr>
        <w:t>con menos de 3 años de constitución</w:t>
      </w:r>
      <w:r w:rsidRPr="00CA200B">
        <w:rPr>
          <w:rFonts w:ascii="Arial" w:eastAsia="Calibri" w:hAnsi="Arial" w:cs="Arial"/>
          <w:sz w:val="20"/>
          <w:szCs w:val="20"/>
          <w:lang w:val="es-MX"/>
        </w:rPr>
        <w:t>─</w:t>
      </w:r>
      <w:r w:rsidRPr="00CA200B">
        <w:rPr>
          <w:rFonts w:ascii="Arial" w:hAnsi="Arial" w:cs="Arial"/>
          <w:sz w:val="20"/>
          <w:szCs w:val="20"/>
          <w:lang w:val="es-MX"/>
        </w:rPr>
        <w:t xml:space="preserve"> puedan acreditar como experiencia en el RUP la de sus accionistas, socios o constituyentes</w:t>
      </w:r>
      <w:r w:rsidRPr="00CA200B">
        <w:rPr>
          <w:rFonts w:ascii="Arial" w:hAnsi="Arial" w:cs="Arial"/>
          <w:sz w:val="20"/>
          <w:szCs w:val="20"/>
          <w:lang w:val="es-MX"/>
        </w:rPr>
        <w:t>. […]</w:t>
      </w:r>
    </w:p>
    <w:p w14:paraId="25BB9627" w14:textId="77777777" w:rsidR="00CA200B" w:rsidRPr="00CA200B" w:rsidRDefault="00CA200B" w:rsidP="00CA200B">
      <w:pPr>
        <w:spacing w:after="0" w:line="240" w:lineRule="auto"/>
        <w:jc w:val="both"/>
        <w:rPr>
          <w:rFonts w:ascii="Arial" w:hAnsi="Arial" w:cs="Arial"/>
          <w:sz w:val="20"/>
          <w:szCs w:val="20"/>
          <w:lang w:val="es-MX"/>
        </w:rPr>
      </w:pPr>
      <w:r w:rsidRPr="00CA200B">
        <w:rPr>
          <w:rFonts w:ascii="Arial" w:hAnsi="Arial" w:cs="Arial"/>
          <w:sz w:val="20"/>
          <w:szCs w:val="20"/>
          <w:lang w:val="es-MX"/>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13B12698" w14:textId="77777777" w:rsidR="00D83CE1" w:rsidRPr="00D83CE1" w:rsidRDefault="00D83CE1" w:rsidP="00CA200B">
      <w:pPr>
        <w:spacing w:after="0" w:line="240" w:lineRule="auto"/>
        <w:jc w:val="both"/>
        <w:rPr>
          <w:rFonts w:ascii="Arial" w:hAnsi="Arial" w:cs="Arial"/>
          <w:b/>
          <w:lang w:val="es-MX"/>
        </w:rPr>
      </w:pPr>
    </w:p>
    <w:p w14:paraId="0E224C98" w14:textId="77777777" w:rsidR="00D83CE1" w:rsidRPr="00D83CE1" w:rsidRDefault="00D83CE1" w:rsidP="00CA200B">
      <w:pPr>
        <w:spacing w:after="0" w:line="240" w:lineRule="auto"/>
        <w:jc w:val="both"/>
        <w:rPr>
          <w:rFonts w:ascii="Arial" w:hAnsi="Arial" w:cs="Arial"/>
          <w:b/>
          <w:bCs/>
          <w:lang w:val="es-MX"/>
        </w:rPr>
      </w:pPr>
      <w:r w:rsidRPr="00D83CE1">
        <w:rPr>
          <w:rFonts w:ascii="Arial" w:hAnsi="Arial" w:cs="Arial"/>
          <w:b/>
          <w:bCs/>
          <w:lang w:val="es-MX"/>
        </w:rPr>
        <w:t>EXPERIENCIA ‒ Conservación ‒ Renovación RUP ‒ Cesación efectos RUP</w:t>
      </w:r>
    </w:p>
    <w:p w14:paraId="54E11F9C" w14:textId="77777777" w:rsidR="00D83CE1" w:rsidRPr="00D83CE1" w:rsidRDefault="00D83CE1" w:rsidP="00CA200B">
      <w:pPr>
        <w:spacing w:after="0" w:line="240" w:lineRule="auto"/>
        <w:jc w:val="both"/>
        <w:rPr>
          <w:rFonts w:ascii="Arial" w:hAnsi="Arial" w:cs="Arial"/>
          <w:sz w:val="20"/>
          <w:szCs w:val="20"/>
          <w:lang w:val="es-MX"/>
        </w:rPr>
      </w:pPr>
    </w:p>
    <w:p w14:paraId="5B868CF2" w14:textId="2D619DD2" w:rsidR="00D83CE1" w:rsidRPr="00DD4729" w:rsidRDefault="00D83CE1" w:rsidP="00DD4729">
      <w:pPr>
        <w:spacing w:after="0" w:line="240" w:lineRule="auto"/>
        <w:jc w:val="both"/>
        <w:rPr>
          <w:rFonts w:ascii="Arial" w:hAnsi="Arial" w:cs="Arial"/>
          <w:sz w:val="20"/>
          <w:szCs w:val="20"/>
          <w:lang w:val="es-MX"/>
        </w:rPr>
      </w:pPr>
      <w:r w:rsidRPr="00DD4729">
        <w:rPr>
          <w:rFonts w:ascii="Arial" w:hAnsi="Arial" w:cs="Arial"/>
          <w:sz w:val="20"/>
          <w:szCs w:val="20"/>
          <w:lang w:val="es-MX"/>
        </w:rPr>
        <w:t xml:space="preserve">[…] </w:t>
      </w:r>
      <w:r w:rsidR="00DD4729" w:rsidRPr="00DD4729">
        <w:rPr>
          <w:rFonts w:ascii="Arial" w:hAnsi="Arial" w:cs="Arial"/>
          <w:sz w:val="20"/>
          <w:szCs w:val="20"/>
          <w:lang w:val="es-MX"/>
        </w:rPr>
        <w:t xml:space="preserve">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53DA019F" w14:textId="77777777" w:rsidR="00D83CE1" w:rsidRPr="00D83CE1" w:rsidRDefault="00D83CE1" w:rsidP="00D83CE1">
      <w:pPr>
        <w:spacing w:after="0" w:line="240" w:lineRule="auto"/>
        <w:jc w:val="both"/>
        <w:rPr>
          <w:rFonts w:ascii="Arial" w:hAnsi="Arial" w:cs="Arial"/>
          <w:b/>
          <w:lang w:val="es-MX"/>
        </w:rPr>
      </w:pPr>
    </w:p>
    <w:p w14:paraId="6D7D0534" w14:textId="77777777" w:rsidR="00D83CE1" w:rsidRPr="00D83CE1" w:rsidRDefault="00D83CE1" w:rsidP="00D83CE1">
      <w:pPr>
        <w:spacing w:after="0" w:line="240" w:lineRule="auto"/>
        <w:jc w:val="both"/>
        <w:rPr>
          <w:rFonts w:ascii="Arial" w:hAnsi="Arial" w:cs="Arial"/>
          <w:lang w:val="es-MX"/>
        </w:rPr>
      </w:pPr>
      <w:r w:rsidRPr="00D83CE1">
        <w:rPr>
          <w:rFonts w:ascii="Arial" w:hAnsi="Arial" w:cs="Arial"/>
          <w:b/>
          <w:lang w:val="es-MX"/>
        </w:rPr>
        <w:t xml:space="preserve">EXPERIENCIA </w:t>
      </w:r>
      <w:r w:rsidRPr="00D83CE1">
        <w:rPr>
          <w:rFonts w:ascii="Arial" w:eastAsia="Calibri" w:hAnsi="Arial" w:cs="Arial"/>
          <w:b/>
          <w:lang w:val="es-MX"/>
        </w:rPr>
        <w:t>–</w:t>
      </w:r>
      <w:r w:rsidRPr="00D83CE1">
        <w:rPr>
          <w:rFonts w:ascii="Arial" w:hAnsi="Arial" w:cs="Arial"/>
          <w:b/>
          <w:lang w:val="es-MX"/>
        </w:rPr>
        <w:t xml:space="preserve"> Conservación </w:t>
      </w:r>
      <w:r w:rsidRPr="00D83CE1">
        <w:rPr>
          <w:rFonts w:ascii="Arial" w:eastAsia="Calibri" w:hAnsi="Arial" w:cs="Arial"/>
          <w:b/>
          <w:lang w:val="es-MX"/>
        </w:rPr>
        <w:t xml:space="preserve">– </w:t>
      </w:r>
      <w:r w:rsidRPr="00D83CE1">
        <w:rPr>
          <w:rFonts w:ascii="Arial" w:hAnsi="Arial" w:cs="Arial"/>
          <w:b/>
          <w:lang w:val="es-MX"/>
        </w:rPr>
        <w:t xml:space="preserve">Sociedades </w:t>
      </w:r>
      <w:r w:rsidRPr="00D83CE1">
        <w:rPr>
          <w:rFonts w:ascii="Arial" w:eastAsia="Calibri" w:hAnsi="Arial" w:cs="Arial"/>
          <w:b/>
          <w:lang w:val="es-MX"/>
        </w:rPr>
        <w:t>– M</w:t>
      </w:r>
      <w:r w:rsidRPr="00D83CE1">
        <w:rPr>
          <w:rFonts w:ascii="Arial" w:hAnsi="Arial" w:cs="Arial"/>
          <w:b/>
          <w:lang w:val="es-MX"/>
        </w:rPr>
        <w:t>enor a 3 años de constitución</w:t>
      </w:r>
      <w:r w:rsidRPr="00D83CE1">
        <w:rPr>
          <w:rFonts w:ascii="Arial" w:hAnsi="Arial" w:cs="Arial"/>
          <w:sz w:val="21"/>
          <w:szCs w:val="21"/>
          <w:lang w:val="es-MX"/>
        </w:rPr>
        <w:t xml:space="preserve"> </w:t>
      </w:r>
    </w:p>
    <w:p w14:paraId="703D90ED" w14:textId="77777777" w:rsidR="00D83CE1" w:rsidRPr="00D83CE1" w:rsidRDefault="00D83CE1" w:rsidP="00D83CE1">
      <w:pPr>
        <w:spacing w:after="0" w:line="240" w:lineRule="auto"/>
        <w:jc w:val="both"/>
        <w:rPr>
          <w:rFonts w:ascii="Arial" w:hAnsi="Arial" w:cs="Arial"/>
          <w:sz w:val="20"/>
          <w:szCs w:val="20"/>
          <w:lang w:val="es-MX"/>
        </w:rPr>
      </w:pPr>
    </w:p>
    <w:p w14:paraId="647ABFC4" w14:textId="77777777" w:rsidR="00DD4729" w:rsidRPr="00DD4729" w:rsidRDefault="00D83CE1" w:rsidP="00DD4729">
      <w:pPr>
        <w:spacing w:after="0" w:line="240" w:lineRule="auto"/>
        <w:jc w:val="both"/>
        <w:rPr>
          <w:rFonts w:ascii="Arial" w:hAnsi="Arial" w:cs="Arial"/>
          <w:sz w:val="20"/>
          <w:szCs w:val="20"/>
          <w:lang w:val="es-MX"/>
        </w:rPr>
      </w:pPr>
      <w:r w:rsidRPr="00DD4729">
        <w:rPr>
          <w:rFonts w:ascii="Arial" w:hAnsi="Arial" w:cs="Arial"/>
          <w:sz w:val="20"/>
          <w:szCs w:val="20"/>
          <w:lang w:val="es-MX"/>
        </w:rPr>
        <w:lastRenderedPageBreak/>
        <w:t xml:space="preserve">[…] </w:t>
      </w:r>
      <w:r w:rsidR="00DD4729" w:rsidRPr="00DD4729">
        <w:rPr>
          <w:rFonts w:ascii="Arial" w:hAnsi="Arial" w:cs="Arial"/>
          <w:sz w:val="20"/>
          <w:szCs w:val="20"/>
          <w:lang w:val="es-MX"/>
        </w:rPr>
        <w:t>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3163F1D4" w14:textId="77777777" w:rsidR="00D83CE1" w:rsidRPr="00D83CE1" w:rsidRDefault="00D83CE1" w:rsidP="00DD4729">
      <w:pPr>
        <w:spacing w:after="0" w:line="240" w:lineRule="auto"/>
        <w:jc w:val="both"/>
        <w:rPr>
          <w:rFonts w:ascii="Arial" w:hAnsi="Arial" w:cs="Arial"/>
          <w:sz w:val="20"/>
          <w:szCs w:val="20"/>
          <w:lang w:val="es-MX"/>
        </w:rPr>
      </w:pPr>
    </w:p>
    <w:p w14:paraId="62410D82" w14:textId="3E584F1A" w:rsidR="00D83CE1" w:rsidRPr="00D83CE1" w:rsidRDefault="00D83CE1" w:rsidP="00DD4729">
      <w:pPr>
        <w:spacing w:after="0" w:line="240" w:lineRule="auto"/>
        <w:jc w:val="both"/>
        <w:rPr>
          <w:rFonts w:ascii="Arial" w:hAnsi="Arial" w:cs="Arial"/>
          <w:lang w:val="es-MX"/>
        </w:rPr>
      </w:pPr>
      <w:r w:rsidRPr="00D83CE1">
        <w:rPr>
          <w:rFonts w:ascii="Arial" w:hAnsi="Arial" w:cs="Arial"/>
          <w:b/>
          <w:lang w:val="es-MX"/>
        </w:rPr>
        <w:t>EXPERIENCIA</w:t>
      </w:r>
      <w:r w:rsidRPr="00D83CE1">
        <w:rPr>
          <w:rFonts w:ascii="Arial" w:eastAsia="Calibri" w:hAnsi="Arial" w:cs="Arial"/>
          <w:b/>
          <w:lang w:val="es-MX"/>
        </w:rPr>
        <w:t xml:space="preserve"> – Retiro del socio − </w:t>
      </w:r>
      <w:r w:rsidR="002F63D6">
        <w:rPr>
          <w:rFonts w:ascii="Arial" w:eastAsia="Calibri" w:hAnsi="Arial" w:cs="Arial"/>
          <w:b/>
          <w:lang w:val="es-MX"/>
        </w:rPr>
        <w:t xml:space="preserve">Liquidación de la sociedad </w:t>
      </w:r>
      <w:r w:rsidR="002F63D6" w:rsidRPr="00D83CE1">
        <w:rPr>
          <w:rFonts w:ascii="Arial" w:eastAsia="Calibri" w:hAnsi="Arial" w:cs="Arial"/>
          <w:b/>
          <w:lang w:val="es-MX"/>
        </w:rPr>
        <w:t>–</w:t>
      </w:r>
      <w:r w:rsidR="002F63D6">
        <w:rPr>
          <w:rFonts w:ascii="Arial" w:eastAsia="Calibri" w:hAnsi="Arial" w:cs="Arial"/>
          <w:b/>
          <w:lang w:val="es-MX"/>
        </w:rPr>
        <w:t xml:space="preserve"> Muerte de uno de los socios </w:t>
      </w:r>
      <w:r w:rsidR="002F63D6" w:rsidRPr="00D83CE1">
        <w:rPr>
          <w:rFonts w:ascii="Arial" w:eastAsia="Calibri" w:hAnsi="Arial" w:cs="Arial"/>
          <w:b/>
          <w:lang w:val="es-MX"/>
        </w:rPr>
        <w:t>–</w:t>
      </w:r>
      <w:r w:rsidR="002F63D6">
        <w:rPr>
          <w:rFonts w:ascii="Arial" w:eastAsia="Calibri" w:hAnsi="Arial" w:cs="Arial"/>
          <w:b/>
          <w:lang w:val="es-MX"/>
        </w:rPr>
        <w:t xml:space="preserve"> </w:t>
      </w:r>
      <w:r w:rsidR="002F63D6" w:rsidRPr="00D83CE1">
        <w:rPr>
          <w:rFonts w:ascii="Arial" w:hAnsi="Arial" w:cs="Arial"/>
          <w:b/>
          <w:lang w:val="es-MX"/>
        </w:rPr>
        <w:t xml:space="preserve">Sociedades </w:t>
      </w:r>
      <w:r w:rsidR="002F63D6" w:rsidRPr="00D83CE1">
        <w:rPr>
          <w:rFonts w:ascii="Arial" w:eastAsia="Calibri" w:hAnsi="Arial" w:cs="Arial"/>
          <w:b/>
          <w:lang w:val="es-MX"/>
        </w:rPr>
        <w:t>– M</w:t>
      </w:r>
      <w:r w:rsidR="002F63D6" w:rsidRPr="00D83CE1">
        <w:rPr>
          <w:rFonts w:ascii="Arial" w:hAnsi="Arial" w:cs="Arial"/>
          <w:b/>
          <w:lang w:val="es-MX"/>
        </w:rPr>
        <w:t>enor a 3 años de constitución</w:t>
      </w:r>
    </w:p>
    <w:p w14:paraId="74B0169B" w14:textId="77777777" w:rsidR="00D83CE1" w:rsidRPr="00D83CE1" w:rsidRDefault="00D83CE1" w:rsidP="00D83CE1">
      <w:pPr>
        <w:spacing w:after="0" w:line="276" w:lineRule="auto"/>
        <w:ind w:firstLine="709"/>
        <w:jc w:val="both"/>
        <w:rPr>
          <w:rFonts w:ascii="Arial" w:hAnsi="Arial" w:cs="Arial"/>
          <w:lang w:val="es-MX"/>
        </w:rPr>
      </w:pPr>
    </w:p>
    <w:p w14:paraId="68630E5D" w14:textId="77777777" w:rsidR="00DD4729" w:rsidRPr="00DD4729" w:rsidRDefault="00DD4729" w:rsidP="00DD4729">
      <w:pPr>
        <w:spacing w:line="240" w:lineRule="auto"/>
        <w:jc w:val="both"/>
        <w:rPr>
          <w:rFonts w:ascii="Arial" w:hAnsi="Arial" w:cs="Arial"/>
          <w:sz w:val="20"/>
          <w:szCs w:val="20"/>
          <w:lang w:val="es-MX"/>
        </w:rPr>
      </w:pPr>
      <w:r w:rsidRPr="00DD4729">
        <w:rPr>
          <w:rFonts w:ascii="Arial" w:hAnsi="Arial" w:cs="Arial"/>
          <w:sz w:val="20"/>
          <w:szCs w:val="20"/>
          <w:lang w:val="es-MX"/>
        </w:rPr>
        <w:t xml:space="preserve">Sin perjuicio de lo anterior, no debe perderse de vista que el Decreto 1082 de 2015 solo permite que una sociedad acredite la experiencia de quienes tienen la calidad de accionistas, socios o constituyentes durante los primeros tres años de su constitución. Por tanto, si se pierden estas calidades, como sucedería cuando un socio se retira por venta o cesión de su participación y pierde su calidad de socio, ya no sería posible que la sociedad acredite la experiencia aportada por dicha persona. </w:t>
      </w:r>
    </w:p>
    <w:p w14:paraId="6262E0E8" w14:textId="4774C84F" w:rsidR="00DD4729" w:rsidRPr="00DD4729" w:rsidRDefault="00DD4729" w:rsidP="00DD4729">
      <w:pPr>
        <w:pStyle w:val="Textonotapie"/>
        <w:spacing w:after="120"/>
        <w:jc w:val="both"/>
        <w:rPr>
          <w:rFonts w:ascii="Arial" w:hAnsi="Arial" w:cs="Arial"/>
        </w:rPr>
      </w:pPr>
      <w:r w:rsidRPr="00DD4729">
        <w:rPr>
          <w:rFonts w:ascii="Arial" w:hAnsi="Arial" w:cs="Arial"/>
        </w:rPr>
        <w:t>[…]</w:t>
      </w:r>
    </w:p>
    <w:p w14:paraId="7CA5ABAC" w14:textId="5DB8B086" w:rsidR="00DD4729" w:rsidRPr="00DD4729" w:rsidRDefault="00DD4729" w:rsidP="00DD4729">
      <w:pPr>
        <w:pStyle w:val="Textonotapie"/>
        <w:spacing w:after="120"/>
        <w:jc w:val="both"/>
        <w:rPr>
          <w:rFonts w:ascii="Arial" w:hAnsi="Arial" w:cs="Arial"/>
        </w:rPr>
      </w:pPr>
      <w:r w:rsidRPr="00DD4729">
        <w:rPr>
          <w:rFonts w:ascii="Arial" w:hAnsi="Arial" w:cs="Arial"/>
        </w:rPr>
        <w:t xml:space="preserve">Por otra parte, en cuanto a la </w:t>
      </w:r>
      <w:r w:rsidRPr="00DD4729">
        <w:rPr>
          <w:rFonts w:ascii="Arial" w:eastAsia="Calibri" w:hAnsi="Arial" w:cs="Arial"/>
          <w:bCs/>
        </w:rPr>
        <w:t xml:space="preserve">«liquidación» de las sociedades comerciales, esta subdirección en los conceptos </w:t>
      </w:r>
      <w:r w:rsidRPr="00DD4729">
        <w:rPr>
          <w:rFonts w:ascii="Arial" w:hAnsi="Arial" w:cs="Arial"/>
        </w:rPr>
        <w:t xml:space="preserve">C-051 del </w:t>
      </w:r>
      <w:r w:rsidRPr="00DD4729">
        <w:rPr>
          <w:rFonts w:ascii="Arial" w:hAnsi="Arial" w:cs="Arial"/>
          <w:color w:val="000000" w:themeColor="text1"/>
        </w:rPr>
        <w:t xml:space="preserve">02 de marzo de 2020, C-491 del </w:t>
      </w:r>
      <w:r w:rsidRPr="00DD4729">
        <w:rPr>
          <w:rFonts w:ascii="Arial" w:hAnsi="Arial" w:cs="Arial"/>
          <w:color w:val="000000"/>
          <w:lang w:val="es-CO"/>
        </w:rPr>
        <w:t xml:space="preserve">27 de julio y C-584 del 31 de agosto de 2020, </w:t>
      </w:r>
      <w:r w:rsidRPr="00DD4729">
        <w:rPr>
          <w:rFonts w:ascii="Arial" w:eastAsia="Calibri" w:hAnsi="Arial" w:cs="Arial"/>
          <w:bCs/>
        </w:rPr>
        <w:t xml:space="preserve">ha indicado que, el Código de Comercio señala el procedimiento para realizar el inventario y distribución del patrimonio social, de lo cual se infiere que termina la persona jurídica, y la experiencia desaparece junto con la sociedad que la adquirió. Lo propio pasa con la muerte de uno de los socios, dado que, </w:t>
      </w:r>
      <w:r w:rsidRPr="00DD4729">
        <w:rPr>
          <w:rFonts w:ascii="Arial" w:hAnsi="Arial" w:cs="Arial"/>
          <w:lang w:val="es-ES"/>
        </w:rPr>
        <w:t>será jurídicamente inviable pretender que la experiencia de un sujeto que no existe sea transferida. Las situaciones mencionadas con anterioridad no es posible aplicar</w:t>
      </w:r>
      <w:r w:rsidRPr="00DD4729">
        <w:rPr>
          <w:rFonts w:ascii="Arial" w:hAnsi="Arial" w:cs="Arial"/>
        </w:rPr>
        <w:t xml:space="preserve"> el numeral 2.5 del artículo 2.2.1.1.1.5.2 del Decreto 1082 de 2015.</w:t>
      </w:r>
    </w:p>
    <w:p w14:paraId="281991BA" w14:textId="77777777" w:rsidR="00DD4729" w:rsidRPr="00DD4729" w:rsidRDefault="00DD4729" w:rsidP="00DD4729">
      <w:pPr>
        <w:spacing w:after="0" w:line="240" w:lineRule="auto"/>
        <w:jc w:val="both"/>
        <w:rPr>
          <w:rFonts w:ascii="Arial" w:hAnsi="Arial" w:cs="Arial"/>
          <w:sz w:val="20"/>
          <w:szCs w:val="20"/>
          <w:lang w:val="es-MX"/>
        </w:rPr>
      </w:pPr>
      <w:r w:rsidRPr="00DD4729">
        <w:rPr>
          <w:rFonts w:ascii="Arial" w:hAnsi="Arial" w:cs="Arial"/>
          <w:sz w:val="20"/>
          <w:szCs w:val="20"/>
          <w:lang w:val="es-MX"/>
        </w:rPr>
        <w:t xml:space="preserve">Lo anterior se fundamenta, como se explicó en líneas atrás, en el carácter personalísimo de la experiencia respecto de la persona que la ha adquirido y que solo en casos excepcionales y por disposición legal o reglamentaria se presume de otra forma. Por lo tanto, no es posible trasladar la experiencia de un proponente a otro, excepto cuando una sociedad es de reciente creación. </w:t>
      </w:r>
    </w:p>
    <w:p w14:paraId="3BA96203" w14:textId="77777777" w:rsidR="002F63D6" w:rsidRDefault="002F63D6" w:rsidP="00D83CE1">
      <w:pPr>
        <w:spacing w:after="0" w:line="240" w:lineRule="auto"/>
        <w:rPr>
          <w:rFonts w:ascii="Arial" w:hAnsi="Arial" w:cs="Arial"/>
          <w:b/>
          <w:sz w:val="16"/>
          <w:szCs w:val="16"/>
          <w:lang w:val="es-ES" w:eastAsia="es-ES"/>
        </w:rPr>
      </w:pPr>
    </w:p>
    <w:p w14:paraId="5188F12A" w14:textId="77777777" w:rsidR="002F63D6" w:rsidRPr="00D83CE1" w:rsidRDefault="002F63D6" w:rsidP="00D83CE1">
      <w:pPr>
        <w:spacing w:after="0" w:line="240" w:lineRule="auto"/>
        <w:rPr>
          <w:rFonts w:ascii="Arial" w:hAnsi="Arial" w:cs="Arial"/>
          <w:b/>
          <w:sz w:val="16"/>
          <w:szCs w:val="16"/>
          <w:lang w:val="es-ES" w:eastAsia="es-ES"/>
        </w:rPr>
      </w:pPr>
    </w:p>
    <w:p w14:paraId="0499810D" w14:textId="77777777" w:rsidR="00D83CE1" w:rsidRPr="00D83CE1" w:rsidRDefault="00D83CE1" w:rsidP="00D83CE1">
      <w:pPr>
        <w:spacing w:after="0" w:line="240" w:lineRule="auto"/>
        <w:rPr>
          <w:rFonts w:ascii="Arial" w:hAnsi="Arial" w:cs="Arial"/>
          <w:b/>
          <w:sz w:val="16"/>
          <w:szCs w:val="16"/>
          <w:lang w:val="es-ES" w:eastAsia="es-ES"/>
        </w:rPr>
      </w:pPr>
    </w:p>
    <w:p w14:paraId="0FF889A5" w14:textId="77777777" w:rsidR="00D83CE1" w:rsidRPr="00D83CE1" w:rsidRDefault="00D83CE1" w:rsidP="00D83CE1">
      <w:pPr>
        <w:spacing w:after="0" w:line="240" w:lineRule="auto"/>
        <w:rPr>
          <w:rFonts w:ascii="Arial" w:hAnsi="Arial" w:cs="Arial"/>
          <w:b/>
          <w:sz w:val="16"/>
          <w:szCs w:val="16"/>
          <w:lang w:val="es-ES" w:eastAsia="es-ES"/>
        </w:rPr>
      </w:pPr>
    </w:p>
    <w:p w14:paraId="4CC54214" w14:textId="77777777" w:rsidR="00D83CE1" w:rsidRPr="00D83CE1" w:rsidRDefault="00D83CE1" w:rsidP="00D83CE1">
      <w:pPr>
        <w:spacing w:after="0" w:line="240" w:lineRule="auto"/>
        <w:rPr>
          <w:rFonts w:ascii="Arial" w:hAnsi="Arial" w:cs="Arial"/>
          <w:b/>
          <w:sz w:val="16"/>
          <w:szCs w:val="16"/>
          <w:lang w:val="es-ES" w:eastAsia="es-ES"/>
        </w:rPr>
      </w:pPr>
    </w:p>
    <w:p w14:paraId="4684C984" w14:textId="77777777" w:rsidR="00D83CE1" w:rsidRPr="00D83CE1" w:rsidRDefault="00D83CE1" w:rsidP="00D83CE1">
      <w:pPr>
        <w:spacing w:after="0" w:line="240" w:lineRule="auto"/>
        <w:rPr>
          <w:rFonts w:ascii="Arial" w:hAnsi="Arial" w:cs="Arial"/>
          <w:b/>
          <w:sz w:val="16"/>
          <w:szCs w:val="16"/>
          <w:lang w:val="es-ES" w:eastAsia="es-ES"/>
        </w:rPr>
      </w:pPr>
    </w:p>
    <w:p w14:paraId="6F339508" w14:textId="77777777" w:rsidR="00D83CE1" w:rsidRPr="00D83CE1" w:rsidRDefault="00D83CE1" w:rsidP="00D83CE1">
      <w:pPr>
        <w:spacing w:after="0" w:line="240" w:lineRule="auto"/>
        <w:rPr>
          <w:rFonts w:ascii="Arial" w:hAnsi="Arial" w:cs="Arial"/>
          <w:b/>
          <w:sz w:val="16"/>
          <w:szCs w:val="16"/>
          <w:lang w:val="es-ES" w:eastAsia="es-ES"/>
        </w:rPr>
      </w:pPr>
    </w:p>
    <w:p w14:paraId="28E94A12" w14:textId="77777777" w:rsidR="00D83CE1" w:rsidRPr="00D83CE1" w:rsidRDefault="00D83CE1" w:rsidP="00D83CE1">
      <w:pPr>
        <w:spacing w:after="0" w:line="240" w:lineRule="auto"/>
        <w:rPr>
          <w:rFonts w:ascii="Arial" w:hAnsi="Arial" w:cs="Arial"/>
          <w:b/>
          <w:sz w:val="16"/>
          <w:szCs w:val="16"/>
          <w:lang w:val="es-ES" w:eastAsia="es-ES"/>
        </w:rPr>
      </w:pPr>
    </w:p>
    <w:p w14:paraId="18CB5940" w14:textId="77777777" w:rsidR="00D83CE1" w:rsidRPr="00D83CE1" w:rsidRDefault="00D83CE1" w:rsidP="00D83CE1">
      <w:pPr>
        <w:spacing w:after="0" w:line="240" w:lineRule="auto"/>
        <w:rPr>
          <w:rFonts w:ascii="Arial" w:hAnsi="Arial" w:cs="Arial"/>
          <w:b/>
          <w:sz w:val="16"/>
          <w:szCs w:val="16"/>
          <w:lang w:val="es-ES" w:eastAsia="es-ES"/>
        </w:rPr>
      </w:pPr>
    </w:p>
    <w:p w14:paraId="4C2BB561" w14:textId="77777777" w:rsidR="00D83CE1" w:rsidRPr="00D83CE1" w:rsidRDefault="00D83CE1" w:rsidP="00D83CE1">
      <w:pPr>
        <w:spacing w:after="0" w:line="240" w:lineRule="auto"/>
        <w:rPr>
          <w:rFonts w:ascii="Arial" w:hAnsi="Arial" w:cs="Arial"/>
          <w:b/>
          <w:sz w:val="16"/>
          <w:szCs w:val="16"/>
          <w:lang w:val="es-ES" w:eastAsia="es-ES"/>
        </w:rPr>
      </w:pPr>
    </w:p>
    <w:p w14:paraId="43DA2EDE" w14:textId="77777777" w:rsidR="00D83CE1" w:rsidRPr="00D83CE1" w:rsidRDefault="00D83CE1" w:rsidP="00D83CE1">
      <w:pPr>
        <w:spacing w:after="0" w:line="240" w:lineRule="auto"/>
        <w:rPr>
          <w:rFonts w:ascii="Arial" w:hAnsi="Arial" w:cs="Arial"/>
          <w:b/>
          <w:sz w:val="16"/>
          <w:szCs w:val="16"/>
          <w:lang w:val="es-ES" w:eastAsia="es-ES"/>
        </w:rPr>
      </w:pPr>
    </w:p>
    <w:p w14:paraId="2444D251" w14:textId="77777777" w:rsidR="00D83CE1" w:rsidRPr="00D83CE1" w:rsidRDefault="00D83CE1" w:rsidP="00D83CE1">
      <w:pPr>
        <w:spacing w:after="0" w:line="240" w:lineRule="auto"/>
        <w:rPr>
          <w:rFonts w:ascii="Arial" w:hAnsi="Arial" w:cs="Arial"/>
          <w:b/>
          <w:sz w:val="16"/>
          <w:szCs w:val="16"/>
          <w:lang w:val="es-ES" w:eastAsia="es-ES"/>
        </w:rPr>
      </w:pPr>
    </w:p>
    <w:p w14:paraId="7F4534D4" w14:textId="77777777" w:rsidR="00D83CE1" w:rsidRPr="00D83CE1" w:rsidRDefault="00D83CE1" w:rsidP="00D83CE1">
      <w:pPr>
        <w:spacing w:after="0" w:line="240" w:lineRule="auto"/>
        <w:rPr>
          <w:rFonts w:ascii="Arial" w:hAnsi="Arial" w:cs="Arial"/>
          <w:b/>
          <w:sz w:val="16"/>
          <w:szCs w:val="16"/>
          <w:lang w:val="es-ES" w:eastAsia="es-ES"/>
        </w:rPr>
      </w:pPr>
    </w:p>
    <w:p w14:paraId="1D08AD31" w14:textId="77777777" w:rsidR="00D83CE1" w:rsidRPr="00D83CE1" w:rsidRDefault="00D83CE1" w:rsidP="00D83CE1">
      <w:pPr>
        <w:spacing w:after="0" w:line="240" w:lineRule="auto"/>
        <w:rPr>
          <w:rFonts w:ascii="Arial" w:hAnsi="Arial" w:cs="Arial"/>
          <w:b/>
          <w:sz w:val="16"/>
          <w:szCs w:val="16"/>
          <w:lang w:val="es-ES" w:eastAsia="es-ES"/>
        </w:rPr>
      </w:pPr>
    </w:p>
    <w:p w14:paraId="70E8F429" w14:textId="35F4EB15" w:rsidR="00D83CE1" w:rsidRDefault="00D83CE1" w:rsidP="00D83CE1">
      <w:pPr>
        <w:spacing w:after="0" w:line="240" w:lineRule="auto"/>
        <w:rPr>
          <w:rFonts w:ascii="Arial" w:hAnsi="Arial" w:cs="Arial"/>
          <w:b/>
          <w:sz w:val="16"/>
          <w:szCs w:val="16"/>
          <w:lang w:val="es-ES" w:eastAsia="es-ES"/>
        </w:rPr>
      </w:pPr>
    </w:p>
    <w:p w14:paraId="0FEB4D50" w14:textId="5101B0E1" w:rsidR="00DD4729" w:rsidRDefault="00DD4729" w:rsidP="00D83CE1">
      <w:pPr>
        <w:spacing w:after="0" w:line="240" w:lineRule="auto"/>
        <w:rPr>
          <w:rFonts w:ascii="Arial" w:hAnsi="Arial" w:cs="Arial"/>
          <w:b/>
          <w:sz w:val="16"/>
          <w:szCs w:val="16"/>
          <w:lang w:val="es-ES" w:eastAsia="es-ES"/>
        </w:rPr>
      </w:pPr>
    </w:p>
    <w:p w14:paraId="48EB9821" w14:textId="11381583" w:rsidR="00DD4729" w:rsidRDefault="00DD4729" w:rsidP="00D83CE1">
      <w:pPr>
        <w:spacing w:after="0" w:line="240" w:lineRule="auto"/>
        <w:rPr>
          <w:rFonts w:ascii="Arial" w:hAnsi="Arial" w:cs="Arial"/>
          <w:b/>
          <w:sz w:val="16"/>
          <w:szCs w:val="16"/>
          <w:lang w:val="es-ES" w:eastAsia="es-ES"/>
        </w:rPr>
      </w:pPr>
    </w:p>
    <w:p w14:paraId="2F9E0F2B" w14:textId="77777777" w:rsidR="00DD4729" w:rsidRPr="00D83CE1" w:rsidRDefault="00DD4729" w:rsidP="00D83CE1">
      <w:pPr>
        <w:spacing w:after="0" w:line="240" w:lineRule="auto"/>
        <w:rPr>
          <w:rFonts w:ascii="Arial" w:hAnsi="Arial" w:cs="Arial"/>
          <w:b/>
          <w:sz w:val="16"/>
          <w:szCs w:val="16"/>
          <w:lang w:val="es-ES" w:eastAsia="es-ES"/>
        </w:rPr>
      </w:pPr>
    </w:p>
    <w:p w14:paraId="33EBAE0C" w14:textId="77777777" w:rsidR="00D83CE1" w:rsidRPr="00D83CE1" w:rsidRDefault="00D83CE1" w:rsidP="00D83CE1">
      <w:pPr>
        <w:spacing w:after="0" w:line="240" w:lineRule="auto"/>
        <w:rPr>
          <w:rFonts w:ascii="Arial" w:hAnsi="Arial" w:cs="Arial"/>
          <w:b/>
          <w:sz w:val="16"/>
          <w:szCs w:val="16"/>
          <w:lang w:val="es-ES" w:eastAsia="es-ES"/>
        </w:rPr>
      </w:pPr>
    </w:p>
    <w:p w14:paraId="7380E496" w14:textId="77777777" w:rsidR="00D83CE1" w:rsidRPr="00D83CE1" w:rsidRDefault="00D83CE1" w:rsidP="00D83CE1">
      <w:pPr>
        <w:spacing w:after="0" w:line="240" w:lineRule="auto"/>
        <w:rPr>
          <w:rFonts w:ascii="Arial" w:hAnsi="Arial" w:cs="Arial"/>
          <w:b/>
          <w:sz w:val="16"/>
          <w:szCs w:val="16"/>
          <w:lang w:val="es-ES" w:eastAsia="es-ES"/>
        </w:rPr>
      </w:pPr>
    </w:p>
    <w:p w14:paraId="32CE53B7" w14:textId="77777777" w:rsidR="00D83CE1" w:rsidRPr="00D83CE1" w:rsidRDefault="00D83CE1" w:rsidP="00D83CE1">
      <w:pPr>
        <w:spacing w:after="0" w:line="240" w:lineRule="auto"/>
        <w:rPr>
          <w:rFonts w:ascii="Arial" w:hAnsi="Arial" w:cs="Arial"/>
          <w:b/>
          <w:sz w:val="16"/>
          <w:szCs w:val="16"/>
          <w:lang w:val="es-ES" w:eastAsia="es-ES"/>
        </w:rPr>
      </w:pPr>
    </w:p>
    <w:p w14:paraId="306E6BD2" w14:textId="77777777" w:rsidR="00D83CE1" w:rsidRPr="00D83CE1" w:rsidRDefault="00D83CE1" w:rsidP="00D83CE1">
      <w:pPr>
        <w:spacing w:after="0" w:line="240" w:lineRule="auto"/>
        <w:rPr>
          <w:rFonts w:ascii="Arial" w:hAnsi="Arial" w:cs="Arial"/>
          <w:b/>
          <w:sz w:val="16"/>
          <w:szCs w:val="16"/>
          <w:lang w:val="es-ES" w:eastAsia="es-ES"/>
        </w:rPr>
      </w:pPr>
    </w:p>
    <w:p w14:paraId="172B370D" w14:textId="77777777" w:rsidR="00D83CE1" w:rsidRPr="00D83CE1" w:rsidRDefault="00D83CE1" w:rsidP="00D83CE1">
      <w:pPr>
        <w:spacing w:after="0" w:line="240" w:lineRule="auto"/>
        <w:rPr>
          <w:rFonts w:ascii="Arial" w:hAnsi="Arial" w:cs="Arial"/>
          <w:b/>
          <w:sz w:val="16"/>
          <w:szCs w:val="16"/>
          <w:lang w:val="es-ES" w:eastAsia="es-ES"/>
        </w:rPr>
      </w:pPr>
    </w:p>
    <w:p w14:paraId="3A6DEBBA" w14:textId="1158DE99" w:rsidR="00F12073" w:rsidRDefault="00F12073" w:rsidP="00D83CE1">
      <w:pPr>
        <w:spacing w:after="0" w:line="276" w:lineRule="auto"/>
        <w:textAlignment w:val="baseline"/>
        <w:rPr>
          <w:rFonts w:ascii="Arial" w:eastAsia="Times New Roman" w:hAnsi="Arial" w:cs="Arial"/>
          <w:lang w:val="es-MX" w:eastAsia="es-CO"/>
        </w:rPr>
      </w:pPr>
    </w:p>
    <w:p w14:paraId="196045DD" w14:textId="1D64DE31" w:rsidR="00DD4729" w:rsidRDefault="00DD4729" w:rsidP="00D83CE1">
      <w:pPr>
        <w:spacing w:after="0" w:line="276" w:lineRule="auto"/>
        <w:textAlignment w:val="baseline"/>
        <w:rPr>
          <w:rFonts w:ascii="Arial" w:eastAsia="Times New Roman" w:hAnsi="Arial" w:cs="Arial"/>
          <w:lang w:val="es-MX" w:eastAsia="es-CO"/>
        </w:rPr>
      </w:pPr>
    </w:p>
    <w:p w14:paraId="41ACCC67" w14:textId="77777777" w:rsidR="00DD4729" w:rsidRDefault="00DD4729" w:rsidP="00D83CE1">
      <w:pPr>
        <w:spacing w:after="0" w:line="276" w:lineRule="auto"/>
        <w:textAlignment w:val="baseline"/>
        <w:rPr>
          <w:rFonts w:ascii="Arial" w:eastAsia="Times New Roman" w:hAnsi="Arial" w:cs="Arial"/>
          <w:lang w:val="es-MX" w:eastAsia="es-CO"/>
        </w:rPr>
      </w:pPr>
    </w:p>
    <w:p w14:paraId="5F4FCFA5" w14:textId="77777777" w:rsidR="00F12073" w:rsidRDefault="00F12073" w:rsidP="00D83CE1">
      <w:pPr>
        <w:spacing w:after="0" w:line="276" w:lineRule="auto"/>
        <w:textAlignment w:val="baseline"/>
        <w:rPr>
          <w:rFonts w:ascii="Arial" w:eastAsia="Times New Roman" w:hAnsi="Arial" w:cs="Arial"/>
          <w:lang w:val="es-MX" w:eastAsia="es-CO"/>
        </w:rPr>
      </w:pPr>
    </w:p>
    <w:p w14:paraId="1812BF54" w14:textId="2242B7B5" w:rsidR="00DD4729" w:rsidRDefault="00DD4729" w:rsidP="00DD4729">
      <w:pPr>
        <w:spacing w:after="0" w:line="240" w:lineRule="auto"/>
        <w:jc w:val="right"/>
        <w:rPr>
          <w:rFonts w:ascii="Arial" w:hAnsi="Arial" w:cs="Arial"/>
        </w:rPr>
      </w:pPr>
      <w:bookmarkStart w:id="0" w:name="_Hlk67496023"/>
      <w:r>
        <w:rPr>
          <w:noProof/>
        </w:rPr>
        <w:drawing>
          <wp:inline distT="0" distB="0" distL="0" distR="0" wp14:anchorId="748E6B73" wp14:editId="148B5899">
            <wp:extent cx="2718649" cy="974785"/>
            <wp:effectExtent l="0" t="0" r="571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52160" t="25020" r="19027" b="56604"/>
                    <a:stretch/>
                  </pic:blipFill>
                  <pic:spPr bwMode="auto">
                    <a:xfrm>
                      <a:off x="0" y="0"/>
                      <a:ext cx="2736072" cy="981032"/>
                    </a:xfrm>
                    <a:prstGeom prst="rect">
                      <a:avLst/>
                    </a:prstGeom>
                    <a:ln>
                      <a:noFill/>
                    </a:ln>
                    <a:extLst>
                      <a:ext uri="{53640926-AAD7-44D8-BBD7-CCE9431645EC}">
                        <a14:shadowObscured xmlns:a14="http://schemas.microsoft.com/office/drawing/2010/main"/>
                      </a:ext>
                    </a:extLst>
                  </pic:spPr>
                </pic:pic>
              </a:graphicData>
            </a:graphic>
          </wp:inline>
        </w:drawing>
      </w:r>
    </w:p>
    <w:p w14:paraId="5F72249E" w14:textId="4105D6EB" w:rsidR="008D25E0" w:rsidRPr="00DD4729" w:rsidRDefault="00DD4729" w:rsidP="00D83CE1">
      <w:pPr>
        <w:spacing w:after="0" w:line="240" w:lineRule="auto"/>
        <w:rPr>
          <w:rFonts w:ascii="Arial" w:eastAsia="Calibri" w:hAnsi="Arial" w:cs="Arial"/>
          <w:lang w:val="es-MX"/>
        </w:rPr>
      </w:pPr>
      <w:r w:rsidRPr="00DD4729">
        <w:rPr>
          <w:rFonts w:ascii="Arial" w:hAnsi="Arial" w:cs="Arial"/>
        </w:rPr>
        <w:t xml:space="preserve">Bogotá, 24 </w:t>
      </w:r>
      <w:proofErr w:type="gramStart"/>
      <w:r w:rsidRPr="00DD4729">
        <w:rPr>
          <w:rFonts w:ascii="Arial" w:hAnsi="Arial" w:cs="Arial"/>
        </w:rPr>
        <w:t>Marzo</w:t>
      </w:r>
      <w:proofErr w:type="gramEnd"/>
      <w:r w:rsidRPr="00DD4729">
        <w:rPr>
          <w:rFonts w:ascii="Arial" w:hAnsi="Arial" w:cs="Arial"/>
        </w:rPr>
        <w:t xml:space="preserve"> 2021</w:t>
      </w:r>
    </w:p>
    <w:p w14:paraId="797C97E8" w14:textId="77777777" w:rsidR="008D25E0" w:rsidRDefault="008D25E0" w:rsidP="00D83CE1">
      <w:pPr>
        <w:spacing w:after="0" w:line="240" w:lineRule="auto"/>
        <w:rPr>
          <w:rFonts w:ascii="Arial" w:eastAsia="Calibri" w:hAnsi="Arial" w:cs="Arial"/>
          <w:lang w:val="es-MX"/>
        </w:rPr>
      </w:pPr>
    </w:p>
    <w:p w14:paraId="00485FA3" w14:textId="38F3BBE8" w:rsidR="00D83CE1" w:rsidRPr="00D83CE1" w:rsidRDefault="00D83CE1" w:rsidP="00D83CE1">
      <w:pPr>
        <w:spacing w:after="0" w:line="240" w:lineRule="auto"/>
        <w:rPr>
          <w:rFonts w:ascii="Arial" w:eastAsia="Calibri" w:hAnsi="Arial" w:cs="Arial"/>
          <w:lang w:val="es-MX"/>
        </w:rPr>
      </w:pPr>
      <w:r w:rsidRPr="00D83CE1">
        <w:rPr>
          <w:rFonts w:ascii="Arial" w:eastAsia="Calibri" w:hAnsi="Arial" w:cs="Arial"/>
          <w:lang w:val="es-MX"/>
        </w:rPr>
        <w:t>Señor</w:t>
      </w:r>
      <w:r>
        <w:rPr>
          <w:rFonts w:ascii="Arial" w:eastAsia="Calibri" w:hAnsi="Arial" w:cs="Arial"/>
          <w:lang w:val="es-MX"/>
        </w:rPr>
        <w:t>a</w:t>
      </w:r>
    </w:p>
    <w:p w14:paraId="3DCC68D0" w14:textId="03B756D4" w:rsidR="00D83CE1" w:rsidRPr="00D83CE1" w:rsidRDefault="00D83CE1" w:rsidP="00D83CE1">
      <w:pPr>
        <w:spacing w:after="0" w:line="240" w:lineRule="auto"/>
        <w:rPr>
          <w:rFonts w:ascii="Arial" w:hAnsi="Arial" w:cs="Arial"/>
          <w:b/>
          <w:bCs/>
        </w:rPr>
      </w:pPr>
      <w:r>
        <w:rPr>
          <w:rFonts w:ascii="Arial" w:hAnsi="Arial" w:cs="Arial"/>
          <w:b/>
          <w:bCs/>
        </w:rPr>
        <w:t>D</w:t>
      </w:r>
      <w:r w:rsidRPr="00D83CE1">
        <w:rPr>
          <w:rFonts w:ascii="Arial" w:hAnsi="Arial" w:cs="Arial"/>
          <w:b/>
          <w:bCs/>
        </w:rPr>
        <w:t xml:space="preserve">alia </w:t>
      </w:r>
      <w:r>
        <w:rPr>
          <w:rFonts w:ascii="Arial" w:hAnsi="Arial" w:cs="Arial"/>
          <w:b/>
          <w:bCs/>
        </w:rPr>
        <w:t>B</w:t>
      </w:r>
      <w:r w:rsidRPr="00D83CE1">
        <w:rPr>
          <w:rFonts w:ascii="Arial" w:hAnsi="Arial" w:cs="Arial"/>
          <w:b/>
          <w:bCs/>
        </w:rPr>
        <w:t>arros</w:t>
      </w:r>
    </w:p>
    <w:p w14:paraId="73899467" w14:textId="565415B6" w:rsidR="00D83CE1" w:rsidRPr="00D83CE1" w:rsidRDefault="00D83CE1" w:rsidP="00D83CE1">
      <w:pPr>
        <w:spacing w:after="0" w:line="240" w:lineRule="auto"/>
        <w:rPr>
          <w:rFonts w:ascii="Arial" w:eastAsia="Calibri" w:hAnsi="Arial" w:cs="Arial"/>
          <w:lang w:val="es-MX"/>
        </w:rPr>
      </w:pPr>
      <w:r w:rsidRPr="00D83CE1">
        <w:rPr>
          <w:rFonts w:ascii="Arial" w:hAnsi="Arial" w:cs="Arial"/>
        </w:rPr>
        <w:t>Bogotá D.C</w:t>
      </w:r>
      <w:r w:rsidRPr="00D83CE1">
        <w:rPr>
          <w:rFonts w:ascii="Arial" w:eastAsia="Calibri" w:hAnsi="Arial" w:cs="Arial"/>
          <w:lang w:val="es-MX"/>
        </w:rPr>
        <w:tab/>
      </w:r>
      <w:r w:rsidRPr="00D83CE1">
        <w:rPr>
          <w:rFonts w:ascii="Arial" w:eastAsia="Calibri" w:hAnsi="Arial" w:cs="Arial"/>
          <w:lang w:val="es-MX"/>
        </w:rPr>
        <w:tab/>
      </w:r>
      <w:r w:rsidRPr="00D83CE1">
        <w:rPr>
          <w:rFonts w:ascii="Arial" w:eastAsia="Calibri" w:hAnsi="Arial" w:cs="Arial"/>
          <w:lang w:val="es-MX"/>
        </w:rPr>
        <w:tab/>
      </w:r>
    </w:p>
    <w:p w14:paraId="60B26C89" w14:textId="235C1226" w:rsidR="00D83CE1" w:rsidRDefault="00D83CE1" w:rsidP="00D83CE1">
      <w:pPr>
        <w:spacing w:after="0" w:line="240" w:lineRule="auto"/>
        <w:rPr>
          <w:rFonts w:ascii="Arial" w:eastAsia="Calibri" w:hAnsi="Arial" w:cs="Arial"/>
          <w:lang w:val="es-MX"/>
        </w:rPr>
      </w:pPr>
    </w:p>
    <w:p w14:paraId="37FAB3DD" w14:textId="77777777" w:rsidR="00D83CE1" w:rsidRPr="00D83CE1" w:rsidRDefault="00D83CE1" w:rsidP="00D83CE1">
      <w:pPr>
        <w:spacing w:after="0" w:line="240" w:lineRule="auto"/>
        <w:rPr>
          <w:rFonts w:ascii="Arial" w:eastAsia="Calibri" w:hAnsi="Arial" w:cs="Arial"/>
          <w:lang w:val="es-MX"/>
        </w:rPr>
      </w:pPr>
    </w:p>
    <w:p w14:paraId="27D30293" w14:textId="3BDC9D50" w:rsidR="00D83CE1" w:rsidRDefault="00D83CE1" w:rsidP="00D83CE1">
      <w:pPr>
        <w:spacing w:after="0" w:line="240" w:lineRule="auto"/>
        <w:rPr>
          <w:rFonts w:ascii="Arial" w:eastAsia="Calibri" w:hAnsi="Arial" w:cs="Arial"/>
          <w:b/>
          <w:lang w:val="es-MX"/>
        </w:rPr>
      </w:pPr>
      <w:r w:rsidRPr="00D83CE1">
        <w:rPr>
          <w:rFonts w:ascii="Arial" w:eastAsia="Calibri" w:hAnsi="Arial" w:cs="Arial"/>
          <w:b/>
          <w:lang w:val="es-MX"/>
        </w:rPr>
        <w:t xml:space="preserve">                                            Concepto C – </w:t>
      </w:r>
      <w:r>
        <w:rPr>
          <w:rFonts w:ascii="Arial" w:eastAsia="Calibri" w:hAnsi="Arial" w:cs="Arial"/>
          <w:b/>
          <w:lang w:val="es-MX"/>
        </w:rPr>
        <w:t>103</w:t>
      </w:r>
      <w:r w:rsidRPr="00D83CE1">
        <w:rPr>
          <w:rFonts w:ascii="Arial" w:eastAsia="Calibri" w:hAnsi="Arial" w:cs="Arial"/>
          <w:b/>
          <w:lang w:val="es-MX"/>
        </w:rPr>
        <w:t xml:space="preserve"> de 2021</w:t>
      </w:r>
    </w:p>
    <w:p w14:paraId="65167A59" w14:textId="77777777" w:rsidR="00D83CE1" w:rsidRPr="00D83CE1" w:rsidRDefault="00D83CE1" w:rsidP="00D83CE1">
      <w:pPr>
        <w:spacing w:after="0" w:line="240" w:lineRule="auto"/>
        <w:rPr>
          <w:rFonts w:ascii="Arial" w:eastAsia="Calibri" w:hAnsi="Arial" w:cs="Arial"/>
          <w:lang w:val="es-MX"/>
        </w:rPr>
      </w:pPr>
    </w:p>
    <w:tbl>
      <w:tblPr>
        <w:tblStyle w:val="Tablaconcuadrcula1"/>
        <w:tblW w:w="9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29"/>
        <w:gridCol w:w="6331"/>
      </w:tblGrid>
      <w:tr w:rsidR="00D83CE1" w:rsidRPr="00D83CE1" w14:paraId="392DAB54" w14:textId="77777777" w:rsidTr="00007501">
        <w:trPr>
          <w:trHeight w:val="1845"/>
        </w:trPr>
        <w:tc>
          <w:tcPr>
            <w:tcW w:w="2729" w:type="dxa"/>
          </w:tcPr>
          <w:p w14:paraId="2A6083F9" w14:textId="77777777" w:rsidR="00D83CE1" w:rsidRPr="00D83CE1" w:rsidRDefault="00D83CE1" w:rsidP="00D83CE1">
            <w:pPr>
              <w:rPr>
                <w:rFonts w:ascii="Arial" w:eastAsia="Calibri" w:hAnsi="Arial" w:cs="Arial"/>
                <w:lang w:val="es-MX"/>
              </w:rPr>
            </w:pPr>
            <w:r w:rsidRPr="00D83CE1">
              <w:rPr>
                <w:rFonts w:ascii="Arial" w:eastAsia="Calibri" w:hAnsi="Arial" w:cs="Arial"/>
                <w:b/>
                <w:lang w:val="es-MX"/>
              </w:rPr>
              <w:t>Temas:</w:t>
            </w:r>
            <w:r w:rsidRPr="00D83CE1">
              <w:rPr>
                <w:rFonts w:ascii="Arial" w:eastAsia="Calibri" w:hAnsi="Arial" w:cs="Arial"/>
                <w:lang w:val="es-MX"/>
              </w:rPr>
              <w:t xml:space="preserve">           </w:t>
            </w:r>
          </w:p>
          <w:p w14:paraId="53B3A08D" w14:textId="77777777" w:rsidR="00D83CE1" w:rsidRPr="00D83CE1" w:rsidRDefault="00D83CE1" w:rsidP="00D83CE1">
            <w:pPr>
              <w:rPr>
                <w:rFonts w:ascii="Arial" w:eastAsia="Calibri" w:hAnsi="Arial" w:cs="Arial"/>
                <w:lang w:val="es-MX"/>
              </w:rPr>
            </w:pPr>
            <w:r w:rsidRPr="00D83CE1">
              <w:rPr>
                <w:rFonts w:ascii="Arial" w:eastAsia="Calibri" w:hAnsi="Arial" w:cs="Arial"/>
                <w:lang w:val="es-MX"/>
              </w:rPr>
              <w:t xml:space="preserve">                           </w:t>
            </w:r>
          </w:p>
        </w:tc>
        <w:tc>
          <w:tcPr>
            <w:tcW w:w="6331" w:type="dxa"/>
          </w:tcPr>
          <w:p w14:paraId="2D232ACC" w14:textId="77777777" w:rsidR="00D83CE1" w:rsidRPr="00D83CE1" w:rsidRDefault="00D83CE1" w:rsidP="00D83CE1">
            <w:pPr>
              <w:spacing w:after="120"/>
              <w:jc w:val="both"/>
              <w:rPr>
                <w:rFonts w:ascii="Arial" w:eastAsia="Calibri" w:hAnsi="Arial" w:cs="Arial"/>
                <w:bCs/>
                <w:lang w:val="es-MX"/>
              </w:rPr>
            </w:pPr>
            <w:r w:rsidRPr="00D83CE1">
              <w:rPr>
                <w:rFonts w:ascii="Arial" w:hAnsi="Arial" w:cs="Arial"/>
                <w:bCs/>
                <w:lang w:val="es-MX"/>
              </w:rPr>
              <w:t xml:space="preserve">EXPERIENCIA − Noción − Colombia Compra Eficiente / </w:t>
            </w:r>
            <w:r w:rsidRPr="00D83CE1">
              <w:rPr>
                <w:rFonts w:ascii="Arial" w:eastAsia="Calibri" w:hAnsi="Arial" w:cs="Arial"/>
                <w:bCs/>
                <w:lang w:val="es-MX"/>
              </w:rPr>
              <w:t xml:space="preserve">SOCIEDADES NUEVAS ‒ Experiencia ‒ Inferior a tres años ‒ Requisitos habilitantes ‒ Desarrollo de la empresa/ </w:t>
            </w:r>
            <w:r w:rsidRPr="00D83CE1">
              <w:rPr>
                <w:rFonts w:ascii="Arial" w:hAnsi="Arial" w:cs="Arial"/>
                <w:bCs/>
                <w:lang w:val="es-MX"/>
              </w:rPr>
              <w:t xml:space="preserve">EXPERIENCIA ‒ Conservación ‒ Renovación RUP ‒ Cesación efectos RUP / EXPERIENCIA </w:t>
            </w:r>
            <w:r w:rsidRPr="00D83CE1">
              <w:rPr>
                <w:rFonts w:ascii="Arial" w:eastAsia="Calibri" w:hAnsi="Arial" w:cs="Arial"/>
                <w:bCs/>
                <w:lang w:val="es-MX"/>
              </w:rPr>
              <w:t>–</w:t>
            </w:r>
            <w:r w:rsidRPr="00D83CE1">
              <w:rPr>
                <w:rFonts w:ascii="Arial" w:hAnsi="Arial" w:cs="Arial"/>
                <w:bCs/>
                <w:lang w:val="es-MX"/>
              </w:rPr>
              <w:t xml:space="preserve"> Conservación </w:t>
            </w:r>
            <w:r w:rsidRPr="00D83CE1">
              <w:rPr>
                <w:rFonts w:ascii="Arial" w:eastAsia="Calibri" w:hAnsi="Arial" w:cs="Arial"/>
                <w:bCs/>
                <w:lang w:val="es-MX"/>
              </w:rPr>
              <w:t xml:space="preserve">– </w:t>
            </w:r>
            <w:r w:rsidRPr="00D83CE1">
              <w:rPr>
                <w:rFonts w:ascii="Arial" w:hAnsi="Arial" w:cs="Arial"/>
                <w:bCs/>
                <w:lang w:val="es-MX"/>
              </w:rPr>
              <w:t xml:space="preserve">Sociedades </w:t>
            </w:r>
            <w:r w:rsidRPr="00D83CE1">
              <w:rPr>
                <w:rFonts w:ascii="Arial" w:eastAsia="Calibri" w:hAnsi="Arial" w:cs="Arial"/>
                <w:bCs/>
                <w:lang w:val="es-MX"/>
              </w:rPr>
              <w:t>– M</w:t>
            </w:r>
            <w:r w:rsidRPr="00D83CE1">
              <w:rPr>
                <w:rFonts w:ascii="Arial" w:hAnsi="Arial" w:cs="Arial"/>
                <w:bCs/>
                <w:lang w:val="es-MX"/>
              </w:rPr>
              <w:t>enor a 3 años de constitución</w:t>
            </w:r>
            <w:r w:rsidRPr="00D83CE1">
              <w:rPr>
                <w:rFonts w:ascii="Arial" w:hAnsi="Arial" w:cs="Arial"/>
                <w:bCs/>
                <w:sz w:val="21"/>
                <w:szCs w:val="21"/>
                <w:lang w:val="es-MX"/>
              </w:rPr>
              <w:t xml:space="preserve"> / </w:t>
            </w:r>
            <w:r w:rsidRPr="00D83CE1">
              <w:rPr>
                <w:rFonts w:ascii="Arial" w:hAnsi="Arial" w:cs="Arial"/>
                <w:bCs/>
                <w:lang w:val="es-MX"/>
              </w:rPr>
              <w:t>EXPERIENCIA</w:t>
            </w:r>
            <w:r w:rsidRPr="00D83CE1">
              <w:rPr>
                <w:rFonts w:ascii="Arial" w:eastAsia="Calibri" w:hAnsi="Arial" w:cs="Arial"/>
                <w:bCs/>
                <w:lang w:val="es-MX"/>
              </w:rPr>
              <w:t xml:space="preserve"> – Retiro del socio − </w:t>
            </w:r>
            <w:r w:rsidRPr="00D83CE1">
              <w:rPr>
                <w:rFonts w:ascii="Arial" w:hAnsi="Arial" w:cs="Arial"/>
                <w:bCs/>
                <w:lang w:val="es-MX"/>
              </w:rPr>
              <w:t xml:space="preserve">Sociedades </w:t>
            </w:r>
            <w:r w:rsidRPr="00D83CE1">
              <w:rPr>
                <w:rFonts w:ascii="Arial" w:eastAsia="Calibri" w:hAnsi="Arial" w:cs="Arial"/>
                <w:bCs/>
                <w:lang w:val="es-MX"/>
              </w:rPr>
              <w:t>– M</w:t>
            </w:r>
            <w:r w:rsidRPr="00D83CE1">
              <w:rPr>
                <w:rFonts w:ascii="Arial" w:hAnsi="Arial" w:cs="Arial"/>
                <w:bCs/>
                <w:lang w:val="es-MX"/>
              </w:rPr>
              <w:t>enor a 3 años de constitución</w:t>
            </w:r>
          </w:p>
        </w:tc>
      </w:tr>
      <w:tr w:rsidR="00D83CE1" w:rsidRPr="00D83CE1" w14:paraId="60934D3E" w14:textId="77777777" w:rsidTr="00007501">
        <w:trPr>
          <w:trHeight w:val="296"/>
        </w:trPr>
        <w:tc>
          <w:tcPr>
            <w:tcW w:w="2729" w:type="dxa"/>
          </w:tcPr>
          <w:p w14:paraId="2812797A" w14:textId="440D9B13" w:rsidR="00870720" w:rsidRPr="00870720" w:rsidRDefault="00D83CE1" w:rsidP="00870720">
            <w:pPr>
              <w:rPr>
                <w:rFonts w:ascii="Arial" w:eastAsia="Calibri" w:hAnsi="Arial" w:cs="Arial"/>
                <w:lang w:val="es-MX"/>
              </w:rPr>
            </w:pPr>
            <w:r w:rsidRPr="00D83CE1">
              <w:rPr>
                <w:rFonts w:ascii="Arial" w:eastAsia="Calibri" w:hAnsi="Arial" w:cs="Arial"/>
                <w:b/>
                <w:lang w:val="es-MX"/>
              </w:rPr>
              <w:t>Radicación:</w:t>
            </w:r>
            <w:r w:rsidRPr="00D83CE1">
              <w:rPr>
                <w:rFonts w:ascii="Arial" w:eastAsia="Calibri" w:hAnsi="Arial" w:cs="Arial"/>
                <w:lang w:val="es-MX"/>
              </w:rPr>
              <w:t xml:space="preserve">                          </w:t>
            </w:r>
          </w:p>
        </w:tc>
        <w:tc>
          <w:tcPr>
            <w:tcW w:w="6331" w:type="dxa"/>
          </w:tcPr>
          <w:p w14:paraId="477EA52B" w14:textId="6238D546" w:rsidR="00D83CE1" w:rsidRPr="00D83CE1" w:rsidRDefault="00D83CE1" w:rsidP="00007501">
            <w:pPr>
              <w:rPr>
                <w:rFonts w:ascii="Arial" w:eastAsia="Calibri" w:hAnsi="Arial" w:cs="Arial"/>
                <w:lang w:val="es-MX"/>
              </w:rPr>
            </w:pPr>
            <w:r w:rsidRPr="00D83CE1">
              <w:rPr>
                <w:rFonts w:ascii="Arial" w:eastAsia="Calibri" w:hAnsi="Arial" w:cs="Arial"/>
                <w:lang w:val="es-MX"/>
              </w:rPr>
              <w:t>Respuesta a consulta # P20210211001147</w:t>
            </w:r>
          </w:p>
        </w:tc>
      </w:tr>
    </w:tbl>
    <w:p w14:paraId="7492E3D5" w14:textId="77777777" w:rsidR="00F12073" w:rsidRDefault="00F12073" w:rsidP="00870720">
      <w:pPr>
        <w:spacing w:after="0" w:line="240" w:lineRule="auto"/>
        <w:rPr>
          <w:rFonts w:ascii="Arial" w:eastAsia="Calibri" w:hAnsi="Arial" w:cs="Arial"/>
          <w:lang w:val="es-MX"/>
        </w:rPr>
      </w:pPr>
    </w:p>
    <w:p w14:paraId="7B222138" w14:textId="77777777" w:rsidR="00F12073" w:rsidRDefault="00F12073" w:rsidP="00870720">
      <w:pPr>
        <w:spacing w:after="0" w:line="240" w:lineRule="auto"/>
        <w:rPr>
          <w:rFonts w:ascii="Arial" w:eastAsia="Calibri" w:hAnsi="Arial" w:cs="Arial"/>
          <w:lang w:val="es-MX"/>
        </w:rPr>
      </w:pPr>
    </w:p>
    <w:p w14:paraId="0E072F93" w14:textId="423B61C2" w:rsidR="00D83CE1" w:rsidRPr="00D83CE1" w:rsidRDefault="00D83CE1" w:rsidP="00870720">
      <w:pPr>
        <w:spacing w:after="0" w:line="240" w:lineRule="auto"/>
        <w:rPr>
          <w:rFonts w:ascii="Arial" w:eastAsia="Calibri" w:hAnsi="Arial" w:cs="Arial"/>
          <w:lang w:val="es-MX"/>
        </w:rPr>
      </w:pPr>
      <w:r w:rsidRPr="00D83CE1">
        <w:rPr>
          <w:rFonts w:ascii="Arial" w:eastAsia="Calibri" w:hAnsi="Arial" w:cs="Arial"/>
          <w:lang w:val="es-MX"/>
        </w:rPr>
        <w:t>Estimad</w:t>
      </w:r>
      <w:r>
        <w:rPr>
          <w:rFonts w:ascii="Arial" w:eastAsia="Calibri" w:hAnsi="Arial" w:cs="Arial"/>
          <w:lang w:val="es-MX"/>
        </w:rPr>
        <w:t>a</w:t>
      </w:r>
      <w:r w:rsidRPr="00D83CE1">
        <w:rPr>
          <w:rFonts w:ascii="Arial" w:eastAsia="Calibri" w:hAnsi="Arial" w:cs="Arial"/>
          <w:lang w:val="es-MX"/>
        </w:rPr>
        <w:t xml:space="preserve"> señor</w:t>
      </w:r>
      <w:r>
        <w:rPr>
          <w:rFonts w:ascii="Arial" w:eastAsia="Calibri" w:hAnsi="Arial" w:cs="Arial"/>
          <w:lang w:val="es-MX"/>
        </w:rPr>
        <w:t>a</w:t>
      </w:r>
      <w:r w:rsidRPr="00D83CE1">
        <w:rPr>
          <w:rFonts w:ascii="Arial" w:eastAsia="Calibri" w:hAnsi="Arial" w:cs="Arial"/>
          <w:lang w:val="es-MX"/>
        </w:rPr>
        <w:t xml:space="preserve"> </w:t>
      </w:r>
      <w:r w:rsidRPr="00D83CE1">
        <w:rPr>
          <w:rFonts w:ascii="Arial" w:hAnsi="Arial" w:cs="Arial"/>
        </w:rPr>
        <w:t>Barros</w:t>
      </w:r>
      <w:r w:rsidRPr="00D83CE1">
        <w:rPr>
          <w:rFonts w:ascii="Arial" w:eastAsia="Calibri" w:hAnsi="Arial" w:cs="Arial"/>
          <w:lang w:val="es-MX"/>
        </w:rPr>
        <w:t>,</w:t>
      </w:r>
    </w:p>
    <w:p w14:paraId="44B8CB08" w14:textId="77777777" w:rsidR="00D83CE1" w:rsidRPr="00D83CE1" w:rsidRDefault="00D83CE1" w:rsidP="00D83CE1">
      <w:pPr>
        <w:spacing w:after="0" w:line="276" w:lineRule="auto"/>
        <w:rPr>
          <w:rFonts w:ascii="Arial" w:eastAsia="Calibri" w:hAnsi="Arial" w:cs="Arial"/>
          <w:lang w:val="es-MX"/>
        </w:rPr>
      </w:pPr>
    </w:p>
    <w:p w14:paraId="0051C754" w14:textId="7DFDBF69" w:rsidR="00D83CE1" w:rsidRPr="00D83CE1" w:rsidRDefault="00D83CE1" w:rsidP="00F830D4">
      <w:pPr>
        <w:spacing w:after="0" w:line="276" w:lineRule="auto"/>
        <w:ind w:right="49"/>
        <w:jc w:val="both"/>
        <w:rPr>
          <w:rFonts w:ascii="Arial" w:eastAsia="Calibri" w:hAnsi="Arial" w:cs="Arial"/>
          <w:lang w:val="es-MX"/>
        </w:rPr>
      </w:pPr>
      <w:bookmarkStart w:id="1" w:name="_Hlk44427398"/>
      <w:r w:rsidRPr="00D83CE1">
        <w:rPr>
          <w:rFonts w:ascii="Arial" w:eastAsia="Calibri" w:hAnsi="Arial" w:cs="Arial"/>
          <w:lang w:val="es-MX"/>
        </w:rPr>
        <w:t>La Agencia Nacional de Contratación Pública – Colombia Compra Eficiente responde su consulta del</w:t>
      </w:r>
      <w:r>
        <w:rPr>
          <w:rFonts w:ascii="Arial" w:eastAsia="Calibri" w:hAnsi="Arial" w:cs="Arial"/>
          <w:lang w:val="es-MX"/>
        </w:rPr>
        <w:t xml:space="preserve"> 11</w:t>
      </w:r>
      <w:r w:rsidRPr="00D83CE1">
        <w:rPr>
          <w:rFonts w:ascii="Arial" w:eastAsia="Calibri" w:hAnsi="Arial" w:cs="Arial"/>
          <w:lang w:val="es-MX"/>
        </w:rPr>
        <w:t xml:space="preserve"> de </w:t>
      </w:r>
      <w:r>
        <w:rPr>
          <w:rFonts w:ascii="Arial" w:eastAsia="Calibri" w:hAnsi="Arial" w:cs="Arial"/>
          <w:lang w:val="es-MX"/>
        </w:rPr>
        <w:t>f</w:t>
      </w:r>
      <w:r w:rsidRPr="00D83CE1">
        <w:rPr>
          <w:rFonts w:ascii="Arial" w:eastAsia="Calibri" w:hAnsi="Arial" w:cs="Arial"/>
          <w:lang w:val="es-MX"/>
        </w:rPr>
        <w:t>e</w:t>
      </w:r>
      <w:r>
        <w:rPr>
          <w:rFonts w:ascii="Arial" w:eastAsia="Calibri" w:hAnsi="Arial" w:cs="Arial"/>
          <w:lang w:val="es-MX"/>
        </w:rPr>
        <w:t>br</w:t>
      </w:r>
      <w:r w:rsidRPr="00D83CE1">
        <w:rPr>
          <w:rFonts w:ascii="Arial" w:eastAsia="Calibri" w:hAnsi="Arial" w:cs="Arial"/>
          <w:lang w:val="es-MX"/>
        </w:rPr>
        <w:t xml:space="preserve">ero de 2021, en ejercicio de la competencia otorgada por el numeral 8 del artículo 11 y el numeral 5 del artículo 3 del Decreto Ley 4170 de 2011. </w:t>
      </w:r>
    </w:p>
    <w:p w14:paraId="5C5897B0" w14:textId="77777777" w:rsidR="00D83CE1" w:rsidRPr="00D83CE1" w:rsidRDefault="00D83CE1" w:rsidP="00D83CE1">
      <w:pPr>
        <w:tabs>
          <w:tab w:val="left" w:pos="284"/>
        </w:tabs>
        <w:spacing w:after="0" w:line="276" w:lineRule="auto"/>
        <w:jc w:val="both"/>
        <w:rPr>
          <w:rFonts w:ascii="Arial" w:eastAsia="Calibri" w:hAnsi="Arial" w:cs="Arial"/>
          <w:b/>
          <w:lang w:val="es-MX"/>
        </w:rPr>
      </w:pPr>
    </w:p>
    <w:bookmarkEnd w:id="1"/>
    <w:p w14:paraId="4DC0214A" w14:textId="77777777" w:rsidR="00D83CE1" w:rsidRPr="00D83CE1" w:rsidRDefault="00D83CE1" w:rsidP="00D83CE1">
      <w:pPr>
        <w:numPr>
          <w:ilvl w:val="0"/>
          <w:numId w:val="1"/>
        </w:numPr>
        <w:tabs>
          <w:tab w:val="left" w:pos="284"/>
        </w:tabs>
        <w:spacing w:after="0" w:line="276" w:lineRule="auto"/>
        <w:ind w:left="0" w:firstLine="0"/>
        <w:jc w:val="both"/>
        <w:rPr>
          <w:rFonts w:ascii="Arial" w:eastAsia="Calibri" w:hAnsi="Arial" w:cs="Arial"/>
          <w:b/>
          <w:lang w:val="es-MX"/>
        </w:rPr>
      </w:pPr>
      <w:r w:rsidRPr="00D83CE1">
        <w:rPr>
          <w:rFonts w:ascii="Arial" w:eastAsia="Calibri" w:hAnsi="Arial" w:cs="Arial"/>
          <w:b/>
          <w:lang w:val="es-MX"/>
        </w:rPr>
        <w:t xml:space="preserve">Problemas planteados </w:t>
      </w:r>
    </w:p>
    <w:p w14:paraId="5ECA00C1" w14:textId="77777777" w:rsidR="00D83CE1" w:rsidRPr="00D83CE1" w:rsidRDefault="00D83CE1" w:rsidP="00D83CE1">
      <w:pPr>
        <w:tabs>
          <w:tab w:val="left" w:pos="426"/>
        </w:tabs>
        <w:spacing w:after="0" w:line="276" w:lineRule="auto"/>
        <w:jc w:val="both"/>
        <w:rPr>
          <w:rFonts w:ascii="Arial" w:eastAsia="Calibri" w:hAnsi="Arial" w:cs="Arial"/>
          <w:b/>
          <w:lang w:val="es-MX"/>
        </w:rPr>
      </w:pPr>
    </w:p>
    <w:p w14:paraId="068BC309" w14:textId="223C603F" w:rsidR="00D83CE1" w:rsidRPr="00D83CE1" w:rsidRDefault="00D83CE1" w:rsidP="00D83CE1">
      <w:pPr>
        <w:tabs>
          <w:tab w:val="left" w:pos="284"/>
        </w:tabs>
        <w:spacing w:after="0" w:line="276" w:lineRule="auto"/>
        <w:jc w:val="both"/>
        <w:rPr>
          <w:rFonts w:ascii="Arial" w:eastAsia="Calibri" w:hAnsi="Arial" w:cs="Arial"/>
          <w:bCs/>
          <w:lang w:val="es-MX"/>
        </w:rPr>
      </w:pPr>
      <w:r w:rsidRPr="00D83CE1">
        <w:rPr>
          <w:rFonts w:ascii="Arial" w:hAnsi="Arial" w:cs="Arial"/>
        </w:rPr>
        <w:t>Usted realiza la siguiente pregunta: «</w:t>
      </w:r>
      <w:proofErr w:type="gramStart"/>
      <w:r w:rsidRPr="00D83CE1">
        <w:rPr>
          <w:rFonts w:ascii="Arial" w:hAnsi="Arial" w:cs="Arial"/>
        </w:rPr>
        <w:t>Si la persona natural o la persona jurídica que son accionistas de la sociedad "A", dejan de ser parte de la misma después de 3 años de su conformación, por cualquier motivo como por ejemplo fallecimiento de la persona natural, liquidación de la persona jurídica o venta de acciones, la experiencia que aportaron estos integrantes durante los tres primeros años y que encuentra en el RUP, permanece en la sociedad "A" aunque</w:t>
      </w:r>
      <w:r w:rsidRPr="00D83CE1">
        <w:rPr>
          <w:rFonts w:ascii="Arial" w:eastAsia="Calibri" w:hAnsi="Arial" w:cs="Arial"/>
          <w:b/>
          <w:lang w:val="es-MX"/>
        </w:rPr>
        <w:t xml:space="preserve"> </w:t>
      </w:r>
      <w:r w:rsidRPr="00D83CE1">
        <w:rPr>
          <w:rFonts w:ascii="Arial" w:eastAsia="Calibri" w:hAnsi="Arial" w:cs="Arial"/>
          <w:bCs/>
          <w:lang w:val="es-MX"/>
        </w:rPr>
        <w:t>estos no sean parte de la misma</w:t>
      </w:r>
      <w:r>
        <w:rPr>
          <w:rFonts w:ascii="Arial" w:eastAsia="Calibri" w:hAnsi="Arial" w:cs="Arial"/>
          <w:bCs/>
          <w:lang w:val="es-MX"/>
        </w:rPr>
        <w:t>?</w:t>
      </w:r>
      <w:proofErr w:type="gramEnd"/>
      <w:r>
        <w:rPr>
          <w:rFonts w:ascii="Arial" w:eastAsia="Calibri" w:hAnsi="Arial" w:cs="Arial"/>
          <w:bCs/>
          <w:lang w:val="es-MX"/>
        </w:rPr>
        <w:t>».</w:t>
      </w:r>
    </w:p>
    <w:p w14:paraId="3AC5D85B" w14:textId="77777777" w:rsidR="00D83CE1" w:rsidRPr="00D83CE1" w:rsidRDefault="00D83CE1" w:rsidP="00D83CE1">
      <w:pPr>
        <w:tabs>
          <w:tab w:val="left" w:pos="284"/>
        </w:tabs>
        <w:spacing w:after="0" w:line="276" w:lineRule="auto"/>
        <w:jc w:val="both"/>
        <w:rPr>
          <w:rFonts w:ascii="Arial" w:eastAsia="Calibri" w:hAnsi="Arial" w:cs="Arial"/>
          <w:b/>
          <w:lang w:val="es-MX"/>
        </w:rPr>
      </w:pPr>
    </w:p>
    <w:p w14:paraId="5309FBB7" w14:textId="77777777" w:rsidR="00D83CE1" w:rsidRPr="00D83CE1" w:rsidRDefault="00D83CE1" w:rsidP="00D83CE1">
      <w:pPr>
        <w:numPr>
          <w:ilvl w:val="0"/>
          <w:numId w:val="1"/>
        </w:numPr>
        <w:tabs>
          <w:tab w:val="left" w:pos="284"/>
        </w:tabs>
        <w:spacing w:after="0" w:line="276" w:lineRule="auto"/>
        <w:ind w:left="0" w:firstLine="0"/>
        <w:jc w:val="both"/>
        <w:rPr>
          <w:rFonts w:ascii="Arial" w:eastAsia="Calibri" w:hAnsi="Arial" w:cs="Arial"/>
          <w:b/>
          <w:lang w:val="es-MX"/>
        </w:rPr>
      </w:pPr>
      <w:r w:rsidRPr="00D83CE1">
        <w:rPr>
          <w:rFonts w:ascii="Arial" w:eastAsia="Calibri" w:hAnsi="Arial" w:cs="Arial"/>
          <w:b/>
          <w:lang w:val="es-MX"/>
        </w:rPr>
        <w:t>Consideraciones</w:t>
      </w:r>
    </w:p>
    <w:p w14:paraId="410A8175" w14:textId="77777777" w:rsidR="00D83CE1" w:rsidRPr="00D83CE1" w:rsidRDefault="00D83CE1" w:rsidP="00D83CE1">
      <w:pPr>
        <w:tabs>
          <w:tab w:val="left" w:pos="426"/>
        </w:tabs>
        <w:spacing w:after="0" w:line="276" w:lineRule="auto"/>
        <w:jc w:val="both"/>
        <w:rPr>
          <w:rFonts w:ascii="Arial" w:eastAsia="Calibri" w:hAnsi="Arial" w:cs="Arial"/>
          <w:b/>
          <w:lang w:val="es-MX"/>
        </w:rPr>
      </w:pPr>
    </w:p>
    <w:p w14:paraId="4B154782" w14:textId="3AB0F970" w:rsidR="00D83CE1" w:rsidRPr="00D83CE1" w:rsidRDefault="00D83CE1" w:rsidP="00D83CE1">
      <w:pPr>
        <w:spacing w:after="120" w:line="276" w:lineRule="auto"/>
        <w:jc w:val="both"/>
        <w:rPr>
          <w:rFonts w:ascii="Arial" w:eastAsia="Calibri" w:hAnsi="Arial" w:cs="Arial"/>
          <w:lang w:val="es-MX"/>
        </w:rPr>
      </w:pPr>
      <w:r w:rsidRPr="00D83CE1">
        <w:rPr>
          <w:rFonts w:ascii="Arial" w:eastAsia="Calibri" w:hAnsi="Arial" w:cs="Arial"/>
          <w:lang w:val="es-MX"/>
        </w:rPr>
        <w:lastRenderedPageBreak/>
        <w:t>La Agencia Nacional de Contratación Pública ‒ Colombia Compra Eficiente, en los conceptos C-025 del 16 de marzo de 2020, C-051 del 2 de marzo de 2020, C-165 del 1 de abril de 2020, C-233 del 16 de abril de 2020, C-407 de 12 de junio de 2020, C-398 de 30 de junio de 2020, C-470 del 14 de julio de 2020</w:t>
      </w:r>
      <w:r w:rsidR="005D0389">
        <w:rPr>
          <w:rFonts w:ascii="Arial" w:eastAsia="Calibri" w:hAnsi="Arial" w:cs="Arial"/>
          <w:lang w:val="es-MX"/>
        </w:rPr>
        <w:t>,</w:t>
      </w:r>
      <w:r w:rsidR="00B874E7">
        <w:rPr>
          <w:rFonts w:ascii="Arial" w:eastAsia="Calibri" w:hAnsi="Arial" w:cs="Arial"/>
          <w:lang w:val="es-MX"/>
        </w:rPr>
        <w:t xml:space="preserve"> </w:t>
      </w:r>
      <w:r w:rsidR="005D0389">
        <w:rPr>
          <w:rFonts w:ascii="Arial" w:eastAsia="Calibri" w:hAnsi="Arial" w:cs="Arial"/>
          <w:lang w:val="es-MX"/>
        </w:rPr>
        <w:t>C-511</w:t>
      </w:r>
      <w:r w:rsidR="00AD1FA2">
        <w:rPr>
          <w:rFonts w:ascii="Arial" w:eastAsia="Calibri" w:hAnsi="Arial" w:cs="Arial"/>
          <w:lang w:val="es-MX"/>
        </w:rPr>
        <w:t xml:space="preserve"> del 18 de </w:t>
      </w:r>
      <w:r w:rsidR="00FC7487">
        <w:rPr>
          <w:rFonts w:ascii="Arial" w:eastAsia="Calibri" w:hAnsi="Arial" w:cs="Arial"/>
          <w:lang w:val="es-MX"/>
        </w:rPr>
        <w:t>agosto de 2020,</w:t>
      </w:r>
      <w:r w:rsidRPr="00D83CE1">
        <w:rPr>
          <w:rFonts w:ascii="Arial" w:eastAsia="Calibri" w:hAnsi="Arial" w:cs="Arial"/>
          <w:lang w:val="es-MX"/>
        </w:rPr>
        <w:t xml:space="preserve"> C-584 de 31 de agosto 2020, C-619 de 21 de septiembre 2020, C-710 del 9 de diciembre de 2020, </w:t>
      </w:r>
      <w:r w:rsidRPr="00D83CE1">
        <w:rPr>
          <w:rFonts w:ascii="Arial" w:hAnsi="Arial" w:cs="Arial"/>
          <w:lang w:val="es-MX"/>
        </w:rPr>
        <w:t xml:space="preserve">C-717 del 10 de diciembre de 2020 y C-729 del del 11 de diciembre de 2020 estudió </w:t>
      </w:r>
      <w:r w:rsidRPr="00D83CE1">
        <w:rPr>
          <w:rFonts w:ascii="Arial" w:eastAsia="Calibri" w:hAnsi="Arial" w:cs="Arial"/>
          <w:lang w:val="es-MX"/>
        </w:rPr>
        <w:t>la acreditación de la experiencia de los socios por una sociedad nueva con menos de 3 años de constitución</w:t>
      </w:r>
      <w:r w:rsidRPr="00D83CE1">
        <w:rPr>
          <w:rFonts w:ascii="Arial" w:eastAsia="Calibri" w:hAnsi="Arial" w:cs="Arial"/>
          <w:vertAlign w:val="superscript"/>
          <w:lang w:val="es-MX"/>
        </w:rPr>
        <w:footnoteReference w:id="1"/>
      </w:r>
      <w:r w:rsidRPr="00D83CE1">
        <w:rPr>
          <w:rFonts w:ascii="Arial" w:eastAsia="Calibri" w:hAnsi="Arial" w:cs="Arial"/>
          <w:lang w:val="es-MX"/>
        </w:rPr>
        <w:t xml:space="preserve">. </w:t>
      </w:r>
    </w:p>
    <w:p w14:paraId="0A65368C" w14:textId="43DB93AD" w:rsidR="00D83CE1" w:rsidRPr="00D83CE1" w:rsidRDefault="00D83CE1">
      <w:pPr>
        <w:spacing w:after="0" w:line="276" w:lineRule="auto"/>
        <w:ind w:firstLine="708"/>
        <w:jc w:val="both"/>
        <w:rPr>
          <w:rFonts w:ascii="Arial" w:hAnsi="Arial" w:cs="Arial"/>
          <w:lang w:val="es-MX"/>
        </w:rPr>
      </w:pPr>
      <w:r w:rsidRPr="00D83CE1">
        <w:rPr>
          <w:rFonts w:ascii="Arial" w:hAnsi="Arial" w:cs="Arial"/>
          <w:lang w:val="es-MX"/>
        </w:rPr>
        <w:t>Por otra parte, en las consultas de radicado de entrada No. 1201913000000667 del 19 de junio de 2019, con radicado de salida No. 2201913000004779 del 7 de julio de 2019, 4201912000004380 con radicado de salida No. 2201913000006245 del 27 de agosto de 2019, 4201912000004704 con radicado de salida No. 2201913000006275 del 27 de agosto de 2019, 4201912000004743 con el radicado de salida No. 2201913000006297 del 28 de agosto de 2019, 4201912000003636 con radicado de salida No. 2201913000006028 del 28 de agosto de 2019, 4201913000005158 con radicado de salida No. 2201913000006577 del 5 de septiembre de 2019</w:t>
      </w:r>
      <w:r>
        <w:rPr>
          <w:rFonts w:ascii="Arial" w:hAnsi="Arial" w:cs="Arial"/>
          <w:lang w:val="es-MX"/>
        </w:rPr>
        <w:t>,</w:t>
      </w:r>
      <w:r w:rsidR="0081662D">
        <w:rPr>
          <w:rFonts w:ascii="Arial" w:hAnsi="Arial" w:cs="Arial"/>
          <w:lang w:val="es-MX"/>
        </w:rPr>
        <w:t xml:space="preserve"> así como en los Conceptos</w:t>
      </w:r>
      <w:r>
        <w:rPr>
          <w:rFonts w:ascii="Arial" w:hAnsi="Arial" w:cs="Arial"/>
          <w:lang w:val="es-MX"/>
        </w:rPr>
        <w:t xml:space="preserve"> </w:t>
      </w:r>
      <w:r w:rsidRPr="00D83CE1">
        <w:rPr>
          <w:rFonts w:ascii="Arial" w:hAnsi="Arial" w:cs="Arial"/>
          <w:lang w:val="es-MX"/>
        </w:rPr>
        <w:t>C-717 del 10 de diciembre de 2020</w:t>
      </w:r>
      <w:r>
        <w:rPr>
          <w:rFonts w:ascii="Arial" w:hAnsi="Arial" w:cs="Arial"/>
          <w:lang w:val="es-MX"/>
        </w:rPr>
        <w:t xml:space="preserve"> y C-008 del 15 de febrero de 2021</w:t>
      </w:r>
      <w:r w:rsidRPr="00D83CE1">
        <w:rPr>
          <w:rFonts w:ascii="Arial" w:hAnsi="Arial" w:cs="Arial"/>
          <w:lang w:val="es-MX"/>
        </w:rPr>
        <w:t xml:space="preserve">, la Agencia </w:t>
      </w:r>
      <w:r w:rsidR="0081662D">
        <w:rPr>
          <w:rFonts w:ascii="Arial" w:hAnsi="Arial" w:cs="Arial"/>
          <w:lang w:val="es-MX"/>
        </w:rPr>
        <w:t>analizó</w:t>
      </w:r>
      <w:r w:rsidRPr="00D83CE1">
        <w:rPr>
          <w:rFonts w:ascii="Arial" w:hAnsi="Arial" w:cs="Arial"/>
          <w:lang w:val="es-MX"/>
        </w:rPr>
        <w:t xml:space="preserve"> la posibilidad de que la experiencia de los socios, aportada a la </w:t>
      </w:r>
      <w:r w:rsidRPr="00F421D1">
        <w:rPr>
          <w:rFonts w:ascii="Arial" w:eastAsia="Calibri" w:hAnsi="Arial" w:cs="Arial"/>
          <w:lang w:val="es-MX"/>
        </w:rPr>
        <w:t>empresa</w:t>
      </w:r>
      <w:r w:rsidR="0081662D">
        <w:rPr>
          <w:rFonts w:ascii="Arial" w:eastAsia="Calibri" w:hAnsi="Arial" w:cs="Arial"/>
          <w:lang w:val="es-MX"/>
        </w:rPr>
        <w:t>,</w:t>
      </w:r>
      <w:r w:rsidRPr="00F421D1">
        <w:rPr>
          <w:rFonts w:ascii="Arial" w:eastAsia="Calibri" w:hAnsi="Arial" w:cs="Arial"/>
          <w:lang w:val="es-MX"/>
        </w:rPr>
        <w:t xml:space="preserve"> pueda utiliza</w:t>
      </w:r>
      <w:r w:rsidR="0081662D">
        <w:rPr>
          <w:rFonts w:ascii="Arial" w:eastAsia="Calibri" w:hAnsi="Arial" w:cs="Arial"/>
          <w:lang w:val="es-MX"/>
        </w:rPr>
        <w:t>rse</w:t>
      </w:r>
      <w:r w:rsidRPr="00F421D1">
        <w:rPr>
          <w:rFonts w:ascii="Arial" w:eastAsia="Calibri" w:hAnsi="Arial" w:cs="Arial"/>
          <w:lang w:val="es-MX"/>
        </w:rPr>
        <w:t xml:space="preserve"> a pesar del retiro de alguno de ellos. </w:t>
      </w:r>
      <w:r w:rsidR="0081662D">
        <w:rPr>
          <w:rFonts w:ascii="Arial" w:eastAsia="Calibri" w:hAnsi="Arial" w:cs="Arial"/>
          <w:lang w:val="es-MX"/>
        </w:rPr>
        <w:t>Además</w:t>
      </w:r>
      <w:r w:rsidR="00D65352">
        <w:rPr>
          <w:rFonts w:ascii="Arial" w:hAnsi="Arial" w:cs="Arial"/>
          <w:lang w:val="es-MX"/>
        </w:rPr>
        <w:t xml:space="preserve">, </w:t>
      </w:r>
      <w:r w:rsidR="00F421D1">
        <w:rPr>
          <w:rFonts w:ascii="Arial" w:hAnsi="Arial" w:cs="Arial"/>
          <w:lang w:val="es-MX"/>
        </w:rPr>
        <w:t>en l</w:t>
      </w:r>
      <w:r w:rsidR="0081662D">
        <w:rPr>
          <w:rFonts w:ascii="Arial" w:hAnsi="Arial" w:cs="Arial"/>
          <w:lang w:val="es-MX"/>
        </w:rPr>
        <w:t>o</w:t>
      </w:r>
      <w:r w:rsidR="00F421D1">
        <w:rPr>
          <w:rFonts w:ascii="Arial" w:hAnsi="Arial" w:cs="Arial"/>
          <w:lang w:val="es-MX"/>
        </w:rPr>
        <w:t xml:space="preserve">s </w:t>
      </w:r>
      <w:r w:rsidR="0081662D">
        <w:rPr>
          <w:rFonts w:ascii="Arial" w:hAnsi="Arial" w:cs="Arial"/>
          <w:lang w:val="es-MX"/>
        </w:rPr>
        <w:t>Conceptos</w:t>
      </w:r>
      <w:r w:rsidR="00F421D1">
        <w:rPr>
          <w:rFonts w:ascii="Arial" w:hAnsi="Arial" w:cs="Arial"/>
          <w:lang w:val="es-MX"/>
        </w:rPr>
        <w:t xml:space="preserve"> </w:t>
      </w:r>
      <w:r w:rsidR="00F421D1" w:rsidRPr="009456E9">
        <w:rPr>
          <w:rFonts w:ascii="Arial" w:hAnsi="Arial" w:cs="Arial"/>
        </w:rPr>
        <w:t xml:space="preserve">C-051 del </w:t>
      </w:r>
      <w:r w:rsidR="00F421D1" w:rsidRPr="009456E9">
        <w:rPr>
          <w:rFonts w:ascii="Arial" w:hAnsi="Arial" w:cs="Arial"/>
          <w:color w:val="000000" w:themeColor="text1"/>
        </w:rPr>
        <w:t xml:space="preserve">02 de marzo de 2020, C-491 del </w:t>
      </w:r>
      <w:r w:rsidR="00F421D1" w:rsidRPr="009456E9">
        <w:rPr>
          <w:rFonts w:ascii="Arial" w:hAnsi="Arial" w:cs="Arial"/>
          <w:color w:val="000000"/>
        </w:rPr>
        <w:t>27 de julio y C-584 del 31 de agosto de 2020</w:t>
      </w:r>
      <w:r w:rsidR="00223914">
        <w:rPr>
          <w:rFonts w:ascii="Arial" w:hAnsi="Arial" w:cs="Arial"/>
          <w:color w:val="000000"/>
        </w:rPr>
        <w:t>, está agencia se pronunció</w:t>
      </w:r>
      <w:r w:rsidR="0081662D">
        <w:rPr>
          <w:rFonts w:ascii="Arial" w:hAnsi="Arial" w:cs="Arial"/>
          <w:color w:val="000000"/>
        </w:rPr>
        <w:t xml:space="preserve"> sobre</w:t>
      </w:r>
      <w:r w:rsidR="00D65352">
        <w:rPr>
          <w:rFonts w:ascii="Arial" w:hAnsi="Arial" w:cs="Arial"/>
          <w:lang w:val="es-MX"/>
        </w:rPr>
        <w:t xml:space="preserve"> la liquidación de la sociedad y la </w:t>
      </w:r>
      <w:r w:rsidR="00C96294">
        <w:rPr>
          <w:rFonts w:ascii="Arial" w:hAnsi="Arial" w:cs="Arial"/>
          <w:lang w:val="es-MX"/>
        </w:rPr>
        <w:t>oportunidad de seguir acreditan</w:t>
      </w:r>
      <w:r w:rsidR="0081662D">
        <w:rPr>
          <w:rFonts w:ascii="Arial" w:hAnsi="Arial" w:cs="Arial"/>
          <w:lang w:val="es-MX"/>
        </w:rPr>
        <w:t>do</w:t>
      </w:r>
      <w:r w:rsidR="001C64DE">
        <w:rPr>
          <w:rFonts w:ascii="Arial" w:hAnsi="Arial" w:cs="Arial"/>
          <w:lang w:val="es-MX"/>
        </w:rPr>
        <w:t xml:space="preserve"> </w:t>
      </w:r>
      <w:r w:rsidR="00C96294">
        <w:rPr>
          <w:rFonts w:ascii="Arial" w:hAnsi="Arial" w:cs="Arial"/>
          <w:lang w:val="es-MX"/>
        </w:rPr>
        <w:t>la experiencia</w:t>
      </w:r>
      <w:r w:rsidR="001C64DE">
        <w:rPr>
          <w:rFonts w:ascii="Arial" w:hAnsi="Arial" w:cs="Arial"/>
          <w:lang w:val="es-MX"/>
        </w:rPr>
        <w:t xml:space="preserve"> en procesos de contratación</w:t>
      </w:r>
      <w:r w:rsidR="00223914">
        <w:rPr>
          <w:rFonts w:ascii="Arial" w:hAnsi="Arial" w:cs="Arial"/>
          <w:color w:val="000000"/>
        </w:rPr>
        <w:t>.</w:t>
      </w:r>
      <w:r w:rsidR="00C96294">
        <w:rPr>
          <w:rFonts w:ascii="Arial" w:hAnsi="Arial" w:cs="Arial"/>
          <w:lang w:val="es-MX"/>
        </w:rPr>
        <w:t xml:space="preserve"> </w:t>
      </w:r>
      <w:r w:rsidRPr="00D83CE1">
        <w:rPr>
          <w:rFonts w:ascii="Arial" w:eastAsia="Calibri" w:hAnsi="Arial" w:cs="Arial"/>
          <w:lang w:val="es-MX"/>
        </w:rPr>
        <w:t>La tesis desarrollada en estos conceptos se reitera a continuación:</w:t>
      </w:r>
    </w:p>
    <w:p w14:paraId="67EA570C" w14:textId="77777777" w:rsidR="00D83CE1" w:rsidRPr="00D83CE1" w:rsidRDefault="00D83CE1" w:rsidP="00223914">
      <w:pPr>
        <w:spacing w:after="0" w:line="240" w:lineRule="auto"/>
        <w:jc w:val="both"/>
        <w:rPr>
          <w:rFonts w:ascii="Arial" w:eastAsia="Calibri" w:hAnsi="Arial" w:cs="Arial"/>
          <w:lang w:val="es-MX"/>
        </w:rPr>
      </w:pPr>
    </w:p>
    <w:p w14:paraId="241A5E6C" w14:textId="77777777" w:rsidR="00D83CE1" w:rsidRPr="00D83CE1" w:rsidRDefault="00D83CE1" w:rsidP="00223914">
      <w:pPr>
        <w:spacing w:after="0" w:line="240" w:lineRule="auto"/>
        <w:jc w:val="both"/>
        <w:rPr>
          <w:rFonts w:ascii="Arial" w:eastAsia="Calibri" w:hAnsi="Arial" w:cs="Arial"/>
          <w:b/>
          <w:lang w:val="es-MX"/>
        </w:rPr>
      </w:pPr>
      <w:r w:rsidRPr="00D83CE1">
        <w:rPr>
          <w:rFonts w:ascii="Arial" w:eastAsia="Calibri" w:hAnsi="Arial" w:cs="Arial"/>
          <w:b/>
          <w:lang w:val="es-MX"/>
        </w:rPr>
        <w:t>2.1. Aproximación general al concepto de experiencia en la contratación pública</w:t>
      </w:r>
    </w:p>
    <w:p w14:paraId="22A520C4" w14:textId="77777777" w:rsidR="00D83CE1" w:rsidRPr="00D83CE1" w:rsidRDefault="00D83CE1" w:rsidP="00D83CE1">
      <w:pPr>
        <w:spacing w:after="0" w:line="276" w:lineRule="auto"/>
        <w:jc w:val="both"/>
        <w:rPr>
          <w:rFonts w:ascii="Arial" w:eastAsia="Calibri" w:hAnsi="Arial" w:cs="Arial"/>
          <w:b/>
          <w:lang w:val="es-MX"/>
        </w:rPr>
      </w:pPr>
    </w:p>
    <w:p w14:paraId="33E6B647" w14:textId="70C0C976" w:rsidR="00D83CE1" w:rsidRPr="00D83CE1" w:rsidRDefault="00D83CE1" w:rsidP="00D83CE1">
      <w:pPr>
        <w:spacing w:after="0" w:line="276" w:lineRule="auto"/>
        <w:jc w:val="both"/>
        <w:rPr>
          <w:rFonts w:ascii="Arial" w:eastAsia="Calibri" w:hAnsi="Arial" w:cs="Arial"/>
          <w:highlight w:val="yellow"/>
          <w:lang w:val="es-MX"/>
        </w:rPr>
      </w:pPr>
      <w:r w:rsidRPr="00D83CE1">
        <w:rPr>
          <w:rFonts w:ascii="Arial" w:eastAsia="Calibri" w:hAnsi="Arial" w:cs="Arial"/>
          <w:lang w:val="es-MX"/>
        </w:rPr>
        <w:t>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w:t>
      </w:r>
      <w:r w:rsidR="0081662D">
        <w:rPr>
          <w:rFonts w:ascii="Arial" w:eastAsia="Calibri" w:hAnsi="Arial" w:cs="Arial"/>
          <w:lang w:val="es-MX"/>
        </w:rPr>
        <w:t>que</w:t>
      </w:r>
      <w:r w:rsidRPr="00D83CE1">
        <w:rPr>
          <w:rFonts w:ascii="Arial" w:eastAsia="Calibri" w:hAnsi="Arial" w:cs="Arial"/>
          <w:lang w:val="es-MX"/>
        </w:rPr>
        <w:t xml:space="preserve"> su aptitud para participar en el procedimiento de contratación y, si se le adjudica, ejecutar el contrato estatal</w:t>
      </w:r>
      <w:r w:rsidRPr="00D83CE1">
        <w:rPr>
          <w:rFonts w:ascii="Arial" w:eastAsia="Calibri" w:hAnsi="Arial" w:cs="Arial"/>
          <w:vertAlign w:val="superscript"/>
          <w:lang w:val="es-MX"/>
        </w:rPr>
        <w:footnoteReference w:id="2"/>
      </w:r>
      <w:r w:rsidRPr="00D83CE1">
        <w:rPr>
          <w:rFonts w:ascii="Arial" w:eastAsia="Calibri" w:hAnsi="Arial" w:cs="Arial"/>
          <w:lang w:val="es-MX"/>
        </w:rPr>
        <w:t xml:space="preserve">. En ese sentido, la entidad, </w:t>
      </w:r>
      <w:r w:rsidRPr="00D83CE1">
        <w:rPr>
          <w:rFonts w:ascii="Arial" w:eastAsia="Calibri" w:hAnsi="Arial" w:cs="Arial"/>
          <w:lang w:val="es-MX"/>
        </w:rPr>
        <w:lastRenderedPageBreak/>
        <w:t xml:space="preserve">como responsable de la estructuración de su procedimiento de contratación, es autónoma para requerir la experiencia necesaria para el objeto </w:t>
      </w:r>
      <w:r w:rsidR="0081662D">
        <w:rPr>
          <w:rFonts w:ascii="Arial" w:eastAsia="Calibri" w:hAnsi="Arial" w:cs="Arial"/>
          <w:lang w:val="es-MX"/>
        </w:rPr>
        <w:t>de contrato</w:t>
      </w:r>
      <w:r w:rsidRPr="00D83CE1">
        <w:rPr>
          <w:rFonts w:ascii="Arial" w:eastAsia="Calibri" w:hAnsi="Arial" w:cs="Arial"/>
          <w:lang w:val="es-MX"/>
        </w:rPr>
        <w:t>, para lo cual, de acuerdo con el artículo 2.2.1.1.1.6.2. del Decreto 1082 de 2015, debe tener en cuenta el estudio del sector y sus componentes como la identificación de riesgos, el mercado y precio del bien, obra o servicio a contratar</w:t>
      </w:r>
      <w:r w:rsidRPr="00D83CE1">
        <w:rPr>
          <w:rFonts w:ascii="Arial" w:eastAsia="Calibri" w:hAnsi="Arial" w:cs="Arial"/>
          <w:vertAlign w:val="superscript"/>
          <w:lang w:val="es-MX"/>
        </w:rPr>
        <w:footnoteReference w:id="3"/>
      </w:r>
      <w:r w:rsidRPr="00D83CE1">
        <w:rPr>
          <w:rFonts w:ascii="Arial" w:eastAsia="Calibri" w:hAnsi="Arial" w:cs="Arial"/>
          <w:lang w:val="es-MX"/>
        </w:rPr>
        <w:t>.</w:t>
      </w:r>
    </w:p>
    <w:p w14:paraId="34EB88AD" w14:textId="2EFDAE9A" w:rsidR="00D83CE1" w:rsidRPr="00D83CE1" w:rsidRDefault="00D83CE1" w:rsidP="00D83CE1">
      <w:pPr>
        <w:spacing w:before="120" w:after="120" w:line="276" w:lineRule="auto"/>
        <w:ind w:firstLine="708"/>
        <w:jc w:val="both"/>
        <w:rPr>
          <w:rFonts w:ascii="Arial" w:eastAsia="Calibri" w:hAnsi="Arial" w:cs="Arial"/>
          <w:lang w:val="es-MX"/>
        </w:rPr>
      </w:pPr>
      <w:r w:rsidRPr="00D83CE1">
        <w:rPr>
          <w:rFonts w:ascii="Arial" w:eastAsia="Calibri" w:hAnsi="Arial" w:cs="Arial"/>
          <w:lang w:val="es-MX"/>
        </w:rPr>
        <w:t>La experiencia que se deriva de los contratos que el proponente ha celebrado y ejecutado con diferentes contratantes, sin importar la naturaleza de estos, se verifica con el Registro Único de Proponentes –RUP–</w:t>
      </w:r>
      <w:r w:rsidRPr="00D83CE1">
        <w:rPr>
          <w:rFonts w:ascii="Arial" w:eastAsia="Calibri" w:hAnsi="Arial" w:cs="Arial"/>
          <w:vertAlign w:val="superscript"/>
          <w:lang w:val="es-MX"/>
        </w:rPr>
        <w:footnoteReference w:id="4"/>
      </w:r>
      <w:r w:rsidRPr="00D83CE1">
        <w:rPr>
          <w:rFonts w:ascii="Arial" w:eastAsia="Calibri" w:hAnsi="Arial" w:cs="Arial"/>
          <w:lang w:val="es-MX"/>
        </w:rPr>
        <w:t>, cuando este certificado sea exigible de acuerdo con la ley</w:t>
      </w:r>
      <w:r w:rsidR="0081662D">
        <w:rPr>
          <w:rFonts w:ascii="Arial" w:eastAsia="Calibri" w:hAnsi="Arial" w:cs="Arial"/>
          <w:lang w:val="es-MX"/>
        </w:rPr>
        <w:t>. En este registro</w:t>
      </w:r>
      <w:r w:rsidRPr="00D83CE1">
        <w:rPr>
          <w:rFonts w:ascii="Arial" w:eastAsia="Calibri" w:hAnsi="Arial" w:cs="Arial"/>
          <w:lang w:val="es-MX"/>
        </w:rPr>
        <w:t xml:space="preserve"> constan los requisitos habilitantes que se evalúan exclusivamente con este documento, que es plena prueba, sin que la entidad o el proponente puedan solicitar o aportar otra documentación</w:t>
      </w:r>
      <w:r w:rsidRPr="00D83CE1">
        <w:rPr>
          <w:rFonts w:ascii="Arial" w:eastAsia="Calibri" w:hAnsi="Arial" w:cs="Arial"/>
          <w:vertAlign w:val="superscript"/>
          <w:lang w:val="es-MX"/>
        </w:rPr>
        <w:footnoteReference w:id="5"/>
      </w:r>
      <w:r w:rsidRPr="00D83CE1">
        <w:rPr>
          <w:rFonts w:ascii="Arial" w:eastAsia="Calibri" w:hAnsi="Arial" w:cs="Arial"/>
          <w:lang w:val="es-MX"/>
        </w:rPr>
        <w:t>.</w:t>
      </w:r>
    </w:p>
    <w:p w14:paraId="4AE7283E" w14:textId="77777777" w:rsidR="00D83CE1" w:rsidRPr="00D83CE1" w:rsidRDefault="00D83CE1" w:rsidP="00D83CE1">
      <w:pPr>
        <w:spacing w:after="0" w:line="276" w:lineRule="auto"/>
        <w:ind w:firstLine="708"/>
        <w:jc w:val="both"/>
        <w:rPr>
          <w:rFonts w:ascii="Arial" w:eastAsia="Calibri" w:hAnsi="Arial" w:cs="Arial"/>
          <w:lang w:val="es-MX"/>
        </w:rPr>
      </w:pPr>
      <w:r w:rsidRPr="00D83CE1">
        <w:rPr>
          <w:rFonts w:ascii="Arial" w:eastAsia="Calibri" w:hAnsi="Arial" w:cs="Arial"/>
          <w:lang w:val="es-MX"/>
        </w:rPr>
        <w:lastRenderedPageBreak/>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Pr="00D83CE1">
        <w:rPr>
          <w:rFonts w:ascii="Arial" w:eastAsia="Calibri" w:hAnsi="Arial" w:cs="Arial"/>
          <w:vertAlign w:val="superscript"/>
          <w:lang w:val="es-MX"/>
        </w:rPr>
        <w:footnoteReference w:id="6"/>
      </w:r>
      <w:r w:rsidRPr="00D83CE1">
        <w:rPr>
          <w:rFonts w:ascii="Arial" w:eastAsia="Calibri" w:hAnsi="Arial" w:cs="Arial"/>
          <w:lang w:val="es-MX"/>
        </w:rPr>
        <w:t xml:space="preserv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20FFB2BC" w14:textId="77777777" w:rsidR="00D83CE1" w:rsidRPr="00D83CE1" w:rsidRDefault="00D83CE1" w:rsidP="00D83CE1">
      <w:pPr>
        <w:spacing w:after="0" w:line="276" w:lineRule="auto"/>
        <w:jc w:val="both"/>
        <w:rPr>
          <w:rFonts w:ascii="Arial" w:eastAsia="Calibri" w:hAnsi="Arial" w:cs="Arial"/>
          <w:lang w:val="es-MX"/>
        </w:rPr>
      </w:pPr>
    </w:p>
    <w:p w14:paraId="0C789278" w14:textId="77777777" w:rsidR="00D83CE1" w:rsidRPr="00D83CE1" w:rsidRDefault="00D83CE1" w:rsidP="00D83CE1">
      <w:pPr>
        <w:spacing w:after="0" w:line="276" w:lineRule="auto"/>
        <w:jc w:val="both"/>
        <w:rPr>
          <w:rFonts w:ascii="Arial" w:eastAsia="Calibri" w:hAnsi="Arial" w:cs="Arial"/>
          <w:b/>
          <w:bCs/>
          <w:lang w:val="es-MX"/>
        </w:rPr>
      </w:pPr>
      <w:r w:rsidRPr="00D83CE1">
        <w:rPr>
          <w:rFonts w:ascii="Arial" w:eastAsia="Calibri" w:hAnsi="Arial" w:cs="Arial"/>
          <w:b/>
          <w:bCs/>
          <w:lang w:val="es-MX"/>
        </w:rPr>
        <w:t>2.2. Consideraciones de la Agencia respecto de la experiencia</w:t>
      </w:r>
    </w:p>
    <w:p w14:paraId="0897B39A" w14:textId="77777777" w:rsidR="00D83CE1" w:rsidRPr="00D83CE1" w:rsidRDefault="00D83CE1" w:rsidP="00D83CE1">
      <w:pPr>
        <w:spacing w:after="0" w:line="276" w:lineRule="auto"/>
        <w:jc w:val="both"/>
        <w:rPr>
          <w:rFonts w:ascii="Arial" w:eastAsia="Calibri" w:hAnsi="Arial" w:cs="Arial"/>
          <w:b/>
          <w:bCs/>
          <w:lang w:val="es-MX"/>
        </w:rPr>
      </w:pPr>
    </w:p>
    <w:p w14:paraId="3ED1E2A7" w14:textId="77777777" w:rsidR="00D83CE1" w:rsidRPr="00D83CE1" w:rsidRDefault="00D83CE1" w:rsidP="00D83CE1">
      <w:pPr>
        <w:spacing w:after="0" w:line="276" w:lineRule="auto"/>
        <w:jc w:val="both"/>
        <w:rPr>
          <w:rFonts w:ascii="Arial" w:eastAsia="Calibri" w:hAnsi="Arial" w:cs="Arial"/>
          <w:lang w:val="es-MX"/>
        </w:rPr>
      </w:pPr>
      <w:r w:rsidRPr="00D83CE1">
        <w:rPr>
          <w:rFonts w:ascii="Arial" w:eastAsia="Calibri" w:hAnsi="Arial" w:cs="Arial"/>
          <w:lang w:val="es-MX"/>
        </w:rPr>
        <w:t>La Agencia Nacional de Contratación Pública – Colombia Compra Eficiente puso a disposición de los interesados del Sistema de Compra Pública el Manual para determinar y verificar requisitos habilitantes en los procesos de contratación, donde se establecen las definiciones de cada requisito habilitante y se dan lineamientos sobre lo que las entidades pueden hacer para establecerlos. En relación con la experiencia, el Manual se centra en su carácter personal, lo cual significa que la experiencia se obtiene en razón a la participación, con anterioridad, en actividades que le permitieron conocer cómo ejecutar determinado objeto contractual, que la entidad ahora pretende desarrollar</w:t>
      </w:r>
      <w:r w:rsidRPr="00D83CE1">
        <w:rPr>
          <w:rFonts w:ascii="Arial" w:eastAsia="Calibri" w:hAnsi="Arial" w:cs="Arial"/>
          <w:vertAlign w:val="superscript"/>
          <w:lang w:val="es-MX"/>
        </w:rPr>
        <w:footnoteReference w:id="7"/>
      </w:r>
      <w:r w:rsidRPr="00D83CE1">
        <w:rPr>
          <w:rFonts w:ascii="Arial" w:eastAsia="Calibri" w:hAnsi="Arial" w:cs="Arial"/>
          <w:lang w:val="es-MX"/>
        </w:rPr>
        <w:t>.</w:t>
      </w:r>
    </w:p>
    <w:p w14:paraId="14F0F3FE" w14:textId="552011CD" w:rsidR="00D83CE1" w:rsidRPr="00D83CE1" w:rsidRDefault="00D83CE1" w:rsidP="00D83CE1">
      <w:pPr>
        <w:spacing w:before="120" w:after="120" w:line="276" w:lineRule="auto"/>
        <w:ind w:firstLine="708"/>
        <w:jc w:val="both"/>
        <w:rPr>
          <w:rFonts w:ascii="Arial" w:eastAsia="Calibri" w:hAnsi="Arial" w:cs="Arial"/>
          <w:lang w:val="es-MX"/>
        </w:rPr>
      </w:pPr>
      <w:r w:rsidRPr="00D83CE1">
        <w:rPr>
          <w:rFonts w:ascii="Arial" w:eastAsia="Calibri" w:hAnsi="Arial" w:cs="Arial"/>
          <w:lang w:val="es-MX"/>
        </w:rPr>
        <w:lastRenderedPageBreak/>
        <w:t>Lo anterior es determinante</w:t>
      </w:r>
      <w:r w:rsidR="0081662D">
        <w:rPr>
          <w:rFonts w:ascii="Arial" w:eastAsia="Calibri" w:hAnsi="Arial" w:cs="Arial"/>
          <w:lang w:val="es-MX"/>
        </w:rPr>
        <w:t>,</w:t>
      </w:r>
      <w:r w:rsidRPr="00D83CE1">
        <w:rPr>
          <w:rFonts w:ascii="Arial" w:eastAsia="Calibri" w:hAnsi="Arial" w:cs="Arial"/>
          <w:lang w:val="es-MX"/>
        </w:rPr>
        <w:t xml:space="preserve"> porque no es posible </w:t>
      </w:r>
      <w:r w:rsidR="0081662D">
        <w:rPr>
          <w:rFonts w:ascii="Arial" w:eastAsia="Calibri" w:hAnsi="Arial" w:cs="Arial"/>
          <w:lang w:val="es-MX"/>
        </w:rPr>
        <w:t>adquirir la</w:t>
      </w:r>
      <w:r w:rsidR="0081662D" w:rsidRPr="00D83CE1">
        <w:rPr>
          <w:rFonts w:ascii="Arial" w:eastAsia="Calibri" w:hAnsi="Arial" w:cs="Arial"/>
          <w:lang w:val="es-MX"/>
        </w:rPr>
        <w:t xml:space="preserve"> </w:t>
      </w:r>
      <w:r w:rsidRPr="00D83CE1">
        <w:rPr>
          <w:rFonts w:ascii="Arial" w:eastAsia="Calibri" w:hAnsi="Arial" w:cs="Arial"/>
          <w:lang w:val="es-MX"/>
        </w:rPr>
        <w:t xml:space="preserve">experiencia si en la práctica no se han ejecutado actividades similares previas; y precisamente de la experiencia se deriva el conocimiento del proponente, y para la contratación pública es importante,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lo que ayuda a que exista pluralidad de oferentes. </w:t>
      </w:r>
    </w:p>
    <w:p w14:paraId="7ACD0A26" w14:textId="4A57C6BB" w:rsidR="00D83CE1" w:rsidRPr="00D83CE1" w:rsidRDefault="00D83CE1" w:rsidP="00D83CE1">
      <w:pPr>
        <w:spacing w:before="120" w:after="120" w:line="276" w:lineRule="auto"/>
        <w:ind w:firstLine="708"/>
        <w:jc w:val="both"/>
        <w:rPr>
          <w:rFonts w:ascii="Arial" w:eastAsia="Calibri" w:hAnsi="Arial" w:cs="Arial"/>
          <w:lang w:val="es-MX"/>
        </w:rPr>
      </w:pPr>
      <w:r w:rsidRPr="00D83CE1">
        <w:rPr>
          <w:rFonts w:ascii="Arial" w:eastAsia="Calibri" w:hAnsi="Arial" w:cs="Arial"/>
          <w:lang w:val="es-MX"/>
        </w:rPr>
        <w:t>Finalmente, pueden extraer</w:t>
      </w:r>
      <w:r w:rsidR="0081662D">
        <w:rPr>
          <w:rFonts w:ascii="Arial" w:eastAsia="Calibri" w:hAnsi="Arial" w:cs="Arial"/>
          <w:lang w:val="es-MX"/>
        </w:rPr>
        <w:t>se</w:t>
      </w:r>
      <w:r w:rsidRPr="00D83CE1">
        <w:rPr>
          <w:rFonts w:ascii="Arial" w:eastAsia="Calibri" w:hAnsi="Arial" w:cs="Arial"/>
          <w:lang w:val="es-MX"/>
        </w:rPr>
        <w:t xml:space="preserve"> cuatro</w:t>
      </w:r>
      <w:r w:rsidR="0081662D">
        <w:rPr>
          <w:rFonts w:ascii="Arial" w:eastAsia="Calibri" w:hAnsi="Arial" w:cs="Arial"/>
          <w:lang w:val="es-MX"/>
        </w:rPr>
        <w:t xml:space="preserve"> (4)</w:t>
      </w:r>
      <w:r w:rsidRPr="00D83CE1">
        <w:rPr>
          <w:rFonts w:ascii="Arial" w:eastAsia="Calibri" w:hAnsi="Arial" w:cs="Arial"/>
          <w:lang w:val="es-MX"/>
        </w:rPr>
        <w:t xml:space="preserve"> conclusiones relevantes para evaluar las figuras y reformas estatutarias de las sociedades comerciales, respecto de la experiencia: </w:t>
      </w:r>
    </w:p>
    <w:p w14:paraId="270B3A75" w14:textId="77777777" w:rsidR="00D83CE1" w:rsidRPr="00D83CE1" w:rsidRDefault="00D83CE1" w:rsidP="00D83CE1">
      <w:pPr>
        <w:spacing w:before="120" w:after="120" w:line="276" w:lineRule="auto"/>
        <w:ind w:firstLine="708"/>
        <w:jc w:val="both"/>
        <w:rPr>
          <w:rFonts w:ascii="Arial" w:eastAsia="Calibri" w:hAnsi="Arial" w:cs="Arial"/>
          <w:lang w:val="es-MX"/>
        </w:rPr>
      </w:pPr>
      <w:r w:rsidRPr="00D83CE1">
        <w:rPr>
          <w:rFonts w:ascii="Arial" w:eastAsia="Calibri" w:hAnsi="Arial" w:cs="Arial"/>
          <w:lang w:val="es-MX"/>
        </w:rPr>
        <w:t xml:space="preserve">i) La experiencia es </w:t>
      </w:r>
      <w:r w:rsidRPr="00D83CE1">
        <w:rPr>
          <w:rFonts w:ascii="Arial" w:eastAsia="Calibri" w:hAnsi="Arial" w:cs="Arial"/>
          <w:i/>
          <w:iCs/>
          <w:lang w:val="es-MX"/>
        </w:rPr>
        <w:t>personal</w:t>
      </w:r>
      <w:r w:rsidRPr="00D83CE1">
        <w:rPr>
          <w:rFonts w:ascii="Arial" w:eastAsia="Calibri" w:hAnsi="Arial" w:cs="Arial"/>
          <w:lang w:val="es-MX"/>
        </w:rPr>
        <w:t>, esto es, se adquiere participando, directa o indirectamente, sin que sea posible no hacerlo y tener experiencia.</w:t>
      </w:r>
    </w:p>
    <w:p w14:paraId="74CE6EA5" w14:textId="77777777" w:rsidR="00D83CE1" w:rsidRPr="00D83CE1" w:rsidRDefault="00D83CE1" w:rsidP="00D83CE1">
      <w:pPr>
        <w:spacing w:before="120" w:after="120" w:line="276" w:lineRule="auto"/>
        <w:ind w:firstLine="708"/>
        <w:jc w:val="both"/>
        <w:rPr>
          <w:rFonts w:ascii="Arial" w:eastAsia="Calibri" w:hAnsi="Arial" w:cs="Arial"/>
          <w:lang w:val="es-MX"/>
        </w:rPr>
      </w:pPr>
      <w:proofErr w:type="spellStart"/>
      <w:r w:rsidRPr="00D83CE1">
        <w:rPr>
          <w:rFonts w:ascii="Arial" w:eastAsia="Calibri" w:hAnsi="Arial" w:cs="Arial"/>
          <w:lang w:val="es-MX"/>
        </w:rPr>
        <w:t>ii</w:t>
      </w:r>
      <w:proofErr w:type="spellEnd"/>
      <w:r w:rsidRPr="00D83CE1">
        <w:rPr>
          <w:rFonts w:ascii="Arial" w:eastAsia="Calibri" w:hAnsi="Arial" w:cs="Arial"/>
          <w:lang w:val="es-MX"/>
        </w:rPr>
        <w:t xml:space="preserve">) La experiencia se puede </w:t>
      </w:r>
      <w:r w:rsidRPr="00D83CE1">
        <w:rPr>
          <w:rFonts w:ascii="Arial" w:eastAsia="Calibri" w:hAnsi="Arial" w:cs="Arial"/>
          <w:i/>
          <w:iCs/>
          <w:lang w:val="es-MX"/>
        </w:rPr>
        <w:t>compartir</w:t>
      </w:r>
      <w:r w:rsidRPr="00D83CE1">
        <w:rPr>
          <w:rFonts w:ascii="Arial" w:eastAsia="Calibri" w:hAnsi="Arial" w:cs="Arial"/>
          <w:lang w:val="es-MX"/>
        </w:rPr>
        <w:t>, sin que implique que la compartida a una persona se entienda suya, ya que dentro del procedimiento contractual se reflejará que esa persona tiene la experiencia de otra, como es el caso de las figuras asociativas   ̶ consorcios y uniones temporales ̶   que se verificará en el documento privado de constitución</w:t>
      </w:r>
      <w:r w:rsidRPr="00D83CE1">
        <w:rPr>
          <w:rFonts w:ascii="Arial" w:eastAsia="Calibri" w:hAnsi="Arial" w:cs="Arial"/>
          <w:vertAlign w:val="superscript"/>
          <w:lang w:val="es-MX"/>
        </w:rPr>
        <w:footnoteReference w:id="8"/>
      </w:r>
      <w:r w:rsidRPr="00D83CE1">
        <w:rPr>
          <w:rFonts w:ascii="Arial" w:eastAsia="Calibri" w:hAnsi="Arial" w:cs="Arial"/>
          <w:lang w:val="es-MX"/>
        </w:rPr>
        <w:t>.</w:t>
      </w:r>
    </w:p>
    <w:p w14:paraId="2E77AF79" w14:textId="4223F89E" w:rsidR="00D83CE1" w:rsidRPr="00D83CE1" w:rsidRDefault="00D83CE1" w:rsidP="00D83CE1">
      <w:pPr>
        <w:spacing w:before="120" w:after="120" w:line="276" w:lineRule="auto"/>
        <w:ind w:firstLine="708"/>
        <w:jc w:val="both"/>
        <w:rPr>
          <w:rFonts w:ascii="Arial" w:eastAsia="Calibri" w:hAnsi="Arial" w:cs="Arial"/>
          <w:lang w:val="es-MX"/>
        </w:rPr>
      </w:pPr>
      <w:proofErr w:type="spellStart"/>
      <w:r w:rsidRPr="00D83CE1">
        <w:rPr>
          <w:rFonts w:ascii="Arial" w:eastAsia="Calibri" w:hAnsi="Arial" w:cs="Arial"/>
          <w:lang w:val="es-MX"/>
        </w:rPr>
        <w:t>iii</w:t>
      </w:r>
      <w:proofErr w:type="spellEnd"/>
      <w:r w:rsidRPr="00D83CE1">
        <w:rPr>
          <w:rFonts w:ascii="Arial" w:eastAsia="Calibri" w:hAnsi="Arial" w:cs="Arial"/>
          <w:lang w:val="es-MX"/>
        </w:rPr>
        <w:t xml:space="preserve">) La experiencia se puede </w:t>
      </w:r>
      <w:r w:rsidRPr="00D83CE1">
        <w:rPr>
          <w:rFonts w:ascii="Arial" w:eastAsia="Calibri" w:hAnsi="Arial" w:cs="Arial"/>
          <w:i/>
          <w:iCs/>
          <w:lang w:val="es-MX"/>
        </w:rPr>
        <w:t>transferir</w:t>
      </w:r>
      <w:r w:rsidRPr="00D83CE1">
        <w:rPr>
          <w:rFonts w:ascii="Arial" w:eastAsia="Calibri" w:hAnsi="Arial" w:cs="Arial"/>
          <w:lang w:val="es-MX"/>
        </w:rPr>
        <w:t xml:space="preserve">, y esto es diferente a compartir, lo que implica que la experiencia de una persona se traslada a otra, y esta última acredita la experiencia como propia, como sucede </w:t>
      </w:r>
      <w:r w:rsidR="00F9783A">
        <w:rPr>
          <w:rFonts w:ascii="Arial" w:eastAsia="Calibri" w:hAnsi="Arial" w:cs="Arial"/>
          <w:lang w:val="es-MX"/>
        </w:rPr>
        <w:t>con la figura que</w:t>
      </w:r>
      <w:r w:rsidRPr="00D83CE1">
        <w:rPr>
          <w:rFonts w:ascii="Arial" w:eastAsia="Calibri" w:hAnsi="Arial" w:cs="Arial"/>
          <w:lang w:val="es-MX"/>
        </w:rPr>
        <w:t xml:space="preserve"> se explicará con más detalle en el numeral 2.</w:t>
      </w:r>
      <w:r w:rsidR="00B102AC">
        <w:rPr>
          <w:rFonts w:ascii="Arial" w:eastAsia="Calibri" w:hAnsi="Arial" w:cs="Arial"/>
          <w:lang w:val="es-MX"/>
        </w:rPr>
        <w:t>3</w:t>
      </w:r>
      <w:r w:rsidRPr="00D83CE1">
        <w:rPr>
          <w:rFonts w:ascii="Arial" w:eastAsia="Calibri" w:hAnsi="Arial" w:cs="Arial"/>
          <w:lang w:val="es-MX"/>
        </w:rPr>
        <w:t xml:space="preserve"> de este concepto.</w:t>
      </w:r>
    </w:p>
    <w:p w14:paraId="40936E6D" w14:textId="77777777" w:rsidR="00D83CE1" w:rsidRPr="00D83CE1" w:rsidRDefault="00D83CE1" w:rsidP="00D83CE1">
      <w:pPr>
        <w:spacing w:after="0" w:line="276" w:lineRule="auto"/>
        <w:ind w:firstLine="708"/>
        <w:jc w:val="both"/>
        <w:rPr>
          <w:rFonts w:ascii="Arial" w:eastAsia="Calibri" w:hAnsi="Arial" w:cs="Arial"/>
          <w:lang w:val="es-MX"/>
        </w:rPr>
      </w:pPr>
      <w:proofErr w:type="spellStart"/>
      <w:r w:rsidRPr="00D83CE1">
        <w:rPr>
          <w:rFonts w:ascii="Arial" w:eastAsia="Calibri" w:hAnsi="Arial" w:cs="Arial"/>
          <w:lang w:val="es-MX"/>
        </w:rPr>
        <w:lastRenderedPageBreak/>
        <w:t>iv</w:t>
      </w:r>
      <w:proofErr w:type="spellEnd"/>
      <w:r w:rsidRPr="00D83CE1">
        <w:rPr>
          <w:rFonts w:ascii="Arial" w:eastAsia="Calibri" w:hAnsi="Arial" w:cs="Arial"/>
          <w:lang w:val="es-MX"/>
        </w:rPr>
        <w:t xml:space="preserve">) Cuando la persona que adquirió la experiencia </w:t>
      </w:r>
      <w:r w:rsidRPr="00D83CE1">
        <w:rPr>
          <w:rFonts w:ascii="Arial" w:eastAsia="Calibri" w:hAnsi="Arial" w:cs="Arial"/>
          <w:i/>
          <w:iCs/>
          <w:lang w:val="es-MX"/>
        </w:rPr>
        <w:t>desaparece</w:t>
      </w:r>
      <w:r w:rsidRPr="00D83CE1">
        <w:rPr>
          <w:rFonts w:ascii="Arial" w:eastAsia="Calibri" w:hAnsi="Arial" w:cs="Arial"/>
          <w:lang w:val="es-MX"/>
        </w:rPr>
        <w:t xml:space="preserve"> o se liquida no es posible que comparta o transfiera su experiencia, porque al ser personal sigue la suerte de quien la adquirió.</w:t>
      </w:r>
    </w:p>
    <w:p w14:paraId="730031A6" w14:textId="790591AC" w:rsidR="00D83CE1" w:rsidRPr="00D83CE1" w:rsidRDefault="00D83CE1" w:rsidP="00D83CE1">
      <w:pPr>
        <w:spacing w:before="120" w:after="120" w:line="276" w:lineRule="auto"/>
        <w:ind w:firstLine="709"/>
        <w:jc w:val="both"/>
        <w:rPr>
          <w:rFonts w:ascii="Arial" w:hAnsi="Arial" w:cs="Arial"/>
          <w:lang w:val="es-MX"/>
        </w:rPr>
      </w:pPr>
      <w:r w:rsidRPr="00D83CE1">
        <w:rPr>
          <w:rFonts w:ascii="Arial" w:hAnsi="Arial" w:cs="Arial"/>
          <w:lang w:val="es-MX"/>
        </w:rPr>
        <w:t>Ahora, el RUP fue creado por el artículo 6 de la Ley 1150 de 2007 y constituye el medio idóneo para verificar las condiciones de los proponentes en procesos de contratación pública. Este registro, conforme a lo señalado por la Corte Constitucional, es administrado por las Cámaras de Comercio y la actividad relacionada en el mismo está «</w:t>
      </w:r>
      <w:proofErr w:type="spellStart"/>
      <w:r w:rsidRPr="00D83CE1">
        <w:rPr>
          <w:rFonts w:ascii="Arial" w:hAnsi="Arial" w:cs="Arial"/>
          <w:lang w:val="es-MX"/>
        </w:rPr>
        <w:t>sometid</w:t>
      </w:r>
      <w:proofErr w:type="spellEnd"/>
      <w:r w:rsidRPr="00D83CE1">
        <w:rPr>
          <w:rFonts w:ascii="Arial" w:hAnsi="Arial" w:cs="Arial"/>
          <w:lang w:val="es-MX"/>
        </w:rPr>
        <w:t>[a] a los principios de la función administrativa y de contratación estatal»</w:t>
      </w:r>
      <w:r w:rsidR="00F9783A" w:rsidRPr="00D83CE1">
        <w:rPr>
          <w:rFonts w:ascii="Arial" w:hAnsi="Arial" w:cs="Arial"/>
          <w:vertAlign w:val="superscript"/>
          <w:lang w:val="es-MX"/>
        </w:rPr>
        <w:footnoteReference w:id="9"/>
      </w:r>
      <w:r w:rsidRPr="00D83CE1">
        <w:rPr>
          <w:rFonts w:ascii="Arial" w:hAnsi="Arial" w:cs="Arial"/>
          <w:lang w:val="es-MX"/>
        </w:rPr>
        <w:t xml:space="preserve">. </w:t>
      </w:r>
    </w:p>
    <w:p w14:paraId="697D9647" w14:textId="77777777" w:rsidR="00D83CE1" w:rsidRPr="00D83CE1" w:rsidRDefault="00D83CE1" w:rsidP="00D83CE1">
      <w:pPr>
        <w:spacing w:before="120" w:after="120" w:line="276" w:lineRule="auto"/>
        <w:ind w:firstLine="705"/>
        <w:jc w:val="both"/>
        <w:rPr>
          <w:rFonts w:ascii="Arial" w:hAnsi="Arial" w:cs="Arial"/>
          <w:lang w:val="es-MX"/>
        </w:rPr>
      </w:pPr>
      <w:r w:rsidRPr="00D83CE1">
        <w:rPr>
          <w:rFonts w:ascii="Arial" w:hAnsi="Arial" w:cs="Arial"/>
          <w:lang w:val="es-MX"/>
        </w:rPr>
        <w:t xml:space="preserve">El artículo 6 de la Ley 1150 de 2007 señala que el RUP «es plena prueba de las circunstancias que en ella se hagan constar y que hayan sido verificadas por las Cámaras de Comercio», es decir, estableció una regla probatoria en lo que se refiere a las condiciones de las proponentes contenidas en el registro, y asignó la competencia a las cámaras para verificarlas. </w:t>
      </w:r>
    </w:p>
    <w:p w14:paraId="11FB0E11" w14:textId="77777777" w:rsidR="00D83CE1" w:rsidRPr="00D83CE1" w:rsidRDefault="00D83CE1" w:rsidP="00D83CE1">
      <w:pPr>
        <w:spacing w:before="120" w:after="120" w:line="276" w:lineRule="auto"/>
        <w:ind w:firstLine="705"/>
        <w:jc w:val="both"/>
        <w:rPr>
          <w:rFonts w:ascii="Arial" w:hAnsi="Arial" w:cs="Arial"/>
          <w:lang w:val="es-MX"/>
        </w:rPr>
      </w:pPr>
      <w:r w:rsidRPr="00D83CE1">
        <w:rPr>
          <w:rFonts w:ascii="Arial" w:hAnsi="Arial" w:cs="Arial"/>
          <w:lang w:val="es-MX"/>
        </w:rPr>
        <w:t xml:space="preserve">La norma impuso la obligación a todos los proponentes de inscribirse en el registro único de proponentes, salvo en los casos de contratación directa, contratos para la prestación de servicios de salud, contratos de mínima cuantía, enajenación de bienes del Estado, y los contratos que tengan por objeto la adquisición de productos de origen o destinación agropecuaria que se ofrezcan en bolsas de productos legalmente constituidas. De igual forma, están exceptuados los actos y contratos que tengan por objeto directo las actividades comerciales e industriales propias de las empresas industriales y comerciales del Estado y las sociedades de economía mixta y los contratos de concesión de cualquier índole. </w:t>
      </w:r>
    </w:p>
    <w:p w14:paraId="675767B5" w14:textId="3D0B8402" w:rsidR="00D83CE1" w:rsidRPr="00D83CE1" w:rsidRDefault="00D83CE1" w:rsidP="00D83CE1">
      <w:pPr>
        <w:spacing w:before="120" w:after="120" w:line="276" w:lineRule="auto"/>
        <w:jc w:val="both"/>
        <w:rPr>
          <w:rFonts w:ascii="Arial" w:hAnsi="Arial" w:cs="Arial"/>
          <w:lang w:val="es-MX"/>
        </w:rPr>
      </w:pPr>
      <w:r w:rsidRPr="00D83CE1">
        <w:rPr>
          <w:rFonts w:ascii="Arial" w:hAnsi="Arial" w:cs="Arial"/>
          <w:lang w:val="es-MX"/>
        </w:rPr>
        <w:tab/>
        <w:t xml:space="preserve">Asimismo, correlativo a este deber de los proponentes, la norma impuso a las cámaras de comercio la obligación de verificar los requisitos habilitantes de quienes se registren. El inciso 2 del numeral 6.1. le otorga carácter de plena prueba a la información contenida en el registro que haya sido verificada por las cámaras de comercio y, además, dispuso que la verificación de las condiciones de que trata el numeral 1 </w:t>
      </w:r>
      <w:r w:rsidR="00C04E6F">
        <w:rPr>
          <w:rFonts w:ascii="Arial" w:hAnsi="Arial" w:cs="Arial"/>
          <w:lang w:val="es-MX"/>
        </w:rPr>
        <w:t>d</w:t>
      </w:r>
      <w:r w:rsidRPr="00D83CE1">
        <w:rPr>
          <w:rFonts w:ascii="Arial" w:hAnsi="Arial" w:cs="Arial"/>
          <w:lang w:val="es-MX"/>
        </w:rPr>
        <w:t xml:space="preserve">el artículo 5 de la Ley 1150 de 2007 se demostrará «exclusivamente con el respectivo certificado del RUP en donde deberán constar dichas condiciones». </w:t>
      </w:r>
    </w:p>
    <w:p w14:paraId="1F327A2D"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 xml:space="preserve">En consecuencia, la norma dispone que a las entidades les está prohibido exigir otros documentos para efectuar la inscripción en el registro, salvo lo dispuesto en el inciso 3 del numeral 6.1.del artículo 6 de la Ley 1150 de 2007, en el que se prevé que la entidad 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verificar requisitos adicionales a los contenidos en el registro.  </w:t>
      </w:r>
    </w:p>
    <w:p w14:paraId="6E85C7A4" w14:textId="77777777" w:rsidR="00D83CE1" w:rsidRPr="00D83CE1" w:rsidRDefault="00D83CE1" w:rsidP="00D83CE1">
      <w:pPr>
        <w:spacing w:after="0" w:line="276" w:lineRule="auto"/>
        <w:ind w:firstLine="709"/>
        <w:jc w:val="both"/>
        <w:rPr>
          <w:rFonts w:ascii="Arial" w:hAnsi="Arial" w:cs="Arial"/>
          <w:lang w:val="es-MX"/>
        </w:rPr>
      </w:pPr>
      <w:r w:rsidRPr="00D83CE1">
        <w:rPr>
          <w:rFonts w:ascii="Arial" w:hAnsi="Arial" w:cs="Arial"/>
          <w:lang w:val="es-MX"/>
        </w:rPr>
        <w:lastRenderedPageBreak/>
        <w:t xml:space="preserve">De lo anterior se concluye que la regla general es que la experiencia se acredite a través del RUP y, en consecuencia, la evaluación de la experiencia, como requisito habilitante, no puede ser evaluada nuevamente por la entidad pública a partir de otros criterios distintos a los contenidos en el registro único de proponentes. </w:t>
      </w:r>
    </w:p>
    <w:p w14:paraId="1D48E0BB" w14:textId="77777777" w:rsidR="00D83CE1" w:rsidRPr="00D83CE1" w:rsidRDefault="00D83CE1" w:rsidP="00D83CE1">
      <w:pPr>
        <w:spacing w:after="0" w:line="276" w:lineRule="auto"/>
        <w:ind w:firstLine="709"/>
        <w:jc w:val="both"/>
        <w:rPr>
          <w:rFonts w:ascii="Arial" w:hAnsi="Arial" w:cs="Arial"/>
          <w:lang w:val="es-MX"/>
        </w:rPr>
      </w:pPr>
    </w:p>
    <w:p w14:paraId="0FE22D0B" w14:textId="77777777" w:rsidR="00D83CE1" w:rsidRPr="00D83CE1" w:rsidRDefault="00D83CE1" w:rsidP="00D83CE1">
      <w:pPr>
        <w:spacing w:after="0" w:line="276" w:lineRule="auto"/>
        <w:jc w:val="both"/>
        <w:rPr>
          <w:rFonts w:ascii="Arial" w:hAnsi="Arial" w:cs="Arial"/>
          <w:b/>
          <w:bCs/>
          <w:lang w:val="es-MX"/>
        </w:rPr>
      </w:pPr>
      <w:r w:rsidRPr="00D83CE1">
        <w:rPr>
          <w:rFonts w:ascii="Arial" w:hAnsi="Arial" w:cs="Arial"/>
          <w:b/>
          <w:bCs/>
          <w:lang w:val="es-MX"/>
        </w:rPr>
        <w:t>2.3. Acreditación de experiencia de socios por parte de sociedades con menos de tres años de constitución</w:t>
      </w:r>
    </w:p>
    <w:p w14:paraId="72E6C0EE" w14:textId="77777777" w:rsidR="00D83CE1" w:rsidRPr="00D83CE1" w:rsidRDefault="00D83CE1" w:rsidP="00D83CE1">
      <w:pPr>
        <w:spacing w:after="0" w:line="276" w:lineRule="auto"/>
        <w:ind w:firstLine="708"/>
        <w:jc w:val="both"/>
        <w:rPr>
          <w:rFonts w:ascii="Arial" w:hAnsi="Arial" w:cs="Arial"/>
          <w:lang w:val="es-MX"/>
        </w:rPr>
      </w:pPr>
    </w:p>
    <w:p w14:paraId="198464AC" w14:textId="77777777" w:rsidR="00D83CE1" w:rsidRPr="00D83CE1" w:rsidRDefault="00D83CE1" w:rsidP="00D83CE1">
      <w:pPr>
        <w:spacing w:after="0" w:line="276" w:lineRule="auto"/>
        <w:jc w:val="both"/>
        <w:rPr>
          <w:rFonts w:ascii="Arial" w:hAnsi="Arial" w:cs="Arial"/>
          <w:lang w:val="es-MX"/>
        </w:rPr>
      </w:pPr>
      <w:r w:rsidRPr="00D83CE1">
        <w:rPr>
          <w:rFonts w:ascii="Arial" w:hAnsi="Arial" w:cs="Arial"/>
          <w:lang w:val="es-MX"/>
        </w:rPr>
        <w:t xml:space="preserve">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con excepción de la selección de consultores mediante un concurso de méritos, donde es posible otorgar puntaje al criterio de experiencia. </w:t>
      </w:r>
    </w:p>
    <w:p w14:paraId="0716D7DB"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En relación con el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126396F9"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D83CE1">
        <w:rPr>
          <w:rFonts w:ascii="Arial" w:hAnsi="Arial" w:cs="Arial"/>
          <w:vertAlign w:val="superscript"/>
          <w:lang w:val="es-MX"/>
        </w:rPr>
        <w:footnoteReference w:id="10"/>
      </w:r>
      <w:r w:rsidRPr="00D83CE1">
        <w:rPr>
          <w:rFonts w:ascii="Arial" w:hAnsi="Arial" w:cs="Arial"/>
          <w:lang w:val="es-MX"/>
        </w:rPr>
        <w:t xml:space="preserve">.  </w:t>
      </w:r>
    </w:p>
    <w:p w14:paraId="11A37A98"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El numeral 2.5</w:t>
      </w:r>
      <w:r w:rsidRPr="00D83CE1">
        <w:rPr>
          <w:rFonts w:ascii="Arial" w:hAnsi="Arial" w:cs="Arial"/>
          <w:vertAlign w:val="superscript"/>
          <w:lang w:val="es-MX"/>
        </w:rPr>
        <w:footnoteReference w:id="11"/>
      </w:r>
      <w:r w:rsidRPr="00D83CE1">
        <w:rPr>
          <w:rFonts w:ascii="Arial" w:hAnsi="Arial" w:cs="Arial"/>
          <w:lang w:val="es-MX"/>
        </w:rPr>
        <w:t xml:space="preserve"> del mismo artículo señala que la persona jurídica se registrará aportando los certificados de la experiencia en la provisión de los bienes, obras y servicios </w:t>
      </w:r>
      <w:r w:rsidRPr="00D83CE1">
        <w:rPr>
          <w:rFonts w:ascii="Arial" w:hAnsi="Arial" w:cs="Arial"/>
          <w:lang w:val="es-MX"/>
        </w:rPr>
        <w:lastRenderedPageBreak/>
        <w:t xml:space="preserve">que ofrecerá a las entidades estatales, los cuales deben ser expedidos por terceros que hayan recibido tales bienes, obras o servicios y deben corresponder a contratos ejecutados o copias de los contratos cuando el interesado no puede obtener tal certificado. </w:t>
      </w:r>
    </w:p>
    <w:p w14:paraId="47A2CC2B"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74A7C965" w14:textId="0988BEA3" w:rsidR="00D83CE1" w:rsidRPr="00D83CE1" w:rsidRDefault="00D83CE1">
      <w:pPr>
        <w:spacing w:before="120" w:after="120" w:line="276" w:lineRule="auto"/>
        <w:ind w:firstLine="708"/>
        <w:jc w:val="both"/>
        <w:rPr>
          <w:rFonts w:ascii="Arial" w:hAnsi="Arial" w:cs="Arial"/>
          <w:lang w:val="es-MX"/>
        </w:rPr>
      </w:pPr>
      <w:bookmarkStart w:id="2" w:name="_Hlk67496603"/>
      <w:r w:rsidRPr="00D83CE1">
        <w:rPr>
          <w:rFonts w:ascii="Arial" w:hAnsi="Arial" w:cs="Arial"/>
          <w:lang w:val="es-MX"/>
        </w:rPr>
        <w:t xml:space="preserve">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w:t>
      </w:r>
      <w:r w:rsidRPr="00D83CE1">
        <w:rPr>
          <w:rFonts w:ascii="Arial" w:eastAsia="Calibri" w:hAnsi="Arial" w:cs="Arial"/>
          <w:lang w:val="es-MX"/>
        </w:rPr>
        <w:t>─</w:t>
      </w:r>
      <w:r w:rsidRPr="00D83CE1">
        <w:rPr>
          <w:rFonts w:ascii="Arial" w:hAnsi="Arial" w:cs="Arial"/>
          <w:lang w:val="es-MX"/>
        </w:rPr>
        <w:t>con menos de 3 años de constitución</w:t>
      </w:r>
      <w:r w:rsidRPr="00D83CE1">
        <w:rPr>
          <w:rFonts w:ascii="Arial" w:eastAsia="Calibri" w:hAnsi="Arial" w:cs="Arial"/>
          <w:lang w:val="es-MX"/>
        </w:rPr>
        <w:t>─</w:t>
      </w:r>
      <w:r w:rsidRPr="00D83CE1">
        <w:rPr>
          <w:rFonts w:ascii="Arial" w:hAnsi="Arial" w:cs="Arial"/>
          <w:lang w:val="es-MX"/>
        </w:rPr>
        <w:t xml:space="preserve"> puedan acreditar como experiencia en el RUP la de sus accionistas, socios o constituyentes.</w:t>
      </w:r>
      <w:r w:rsidR="00F9783A">
        <w:rPr>
          <w:rFonts w:ascii="Arial" w:hAnsi="Arial" w:cs="Arial"/>
          <w:lang w:val="es-MX"/>
        </w:rPr>
        <w:t xml:space="preserve"> </w:t>
      </w:r>
      <w:r w:rsidRPr="00D83CE1">
        <w:rPr>
          <w:rFonts w:ascii="Arial" w:hAnsi="Arial" w:cs="Arial"/>
          <w:lang w:val="es-MX"/>
        </w:rPr>
        <w:t xml:space="preserve">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63E619A8"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bookmarkEnd w:id="2"/>
    <w:p w14:paraId="0D732683"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 xml:space="preserve">Este aspecto ofrece meridiana claridad en cuanto a su aplicación, pero el interrogante que ha generado la norma es el siguiente: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 Estos </w:t>
      </w:r>
      <w:r w:rsidRPr="00D83CE1">
        <w:rPr>
          <w:rFonts w:ascii="Arial" w:hAnsi="Arial" w:cs="Arial"/>
          <w:lang w:val="es-MX"/>
        </w:rPr>
        <w:lastRenderedPageBreak/>
        <w:t xml:space="preserve">interrogantes han sido planteados a la Subdirección de Gestión Contractual y se han desarrollado, en torno a dos posiciones, que se plantean a continuación: </w:t>
      </w:r>
    </w:p>
    <w:p w14:paraId="15993952"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 xml:space="preserve">En el concepto identificado con radicado No. 4201814000001418 del 3 de abril de 2018, donde frente a la misma pregunta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 lo siguiente: </w:t>
      </w:r>
    </w:p>
    <w:p w14:paraId="3238CE70"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 xml:space="preserve">i) La posición de Colombia Compra Eficiente respecto a la validez de la experiencia de los accionistas, socios o constituyentes, acreditada en el RUP por una sociedad nueva, cuando está ya superó los 3 años de constituida, ha variado. </w:t>
      </w:r>
    </w:p>
    <w:p w14:paraId="48547BC0" w14:textId="77777777" w:rsidR="00D83CE1" w:rsidRPr="00D83CE1" w:rsidRDefault="00D83CE1" w:rsidP="00D83CE1">
      <w:pPr>
        <w:spacing w:before="120" w:after="120" w:line="276" w:lineRule="auto"/>
        <w:ind w:firstLine="708"/>
        <w:jc w:val="both"/>
        <w:rPr>
          <w:rFonts w:ascii="Arial" w:hAnsi="Arial" w:cs="Arial"/>
          <w:lang w:val="es-MX"/>
        </w:rPr>
      </w:pPr>
      <w:proofErr w:type="spellStart"/>
      <w:r w:rsidRPr="00D83CE1">
        <w:rPr>
          <w:rFonts w:ascii="Arial" w:hAnsi="Arial" w:cs="Arial"/>
          <w:lang w:val="es-MX"/>
        </w:rPr>
        <w:t>ii</w:t>
      </w:r>
      <w:proofErr w:type="spellEnd"/>
      <w:r w:rsidRPr="00D83CE1">
        <w:rPr>
          <w:rFonts w:ascii="Arial" w:hAnsi="Arial" w:cs="Arial"/>
          <w:lang w:val="es-MX"/>
        </w:rPr>
        <w:t xml:space="preserve">) El Decreto 1082 de 2015 establece </w:t>
      </w:r>
      <w:proofErr w:type="gramStart"/>
      <w:r w:rsidRPr="00D83CE1">
        <w:rPr>
          <w:rFonts w:ascii="Arial" w:hAnsi="Arial" w:cs="Arial"/>
          <w:lang w:val="es-MX"/>
        </w:rPr>
        <w:t>que</w:t>
      </w:r>
      <w:proofErr w:type="gramEnd"/>
      <w:r w:rsidRPr="00D83CE1">
        <w:rPr>
          <w:rFonts w:ascii="Arial" w:hAnsi="Arial" w:cs="Arial"/>
          <w:lang w:val="es-MX"/>
        </w:rPr>
        <w:t xml:space="preserve"> para la inscripción en el RUP de una persona jurídica, si su constitución es menor a 3 años, puede acreditar la experiencia de sus accionistas, socios o constituyentes. </w:t>
      </w:r>
    </w:p>
    <w:p w14:paraId="6C1C3F27" w14:textId="77777777" w:rsidR="00D83CE1" w:rsidRPr="00D83CE1" w:rsidRDefault="00D83CE1" w:rsidP="00D83CE1">
      <w:pPr>
        <w:spacing w:before="120" w:after="120" w:line="276" w:lineRule="auto"/>
        <w:ind w:firstLine="708"/>
        <w:jc w:val="both"/>
        <w:rPr>
          <w:rFonts w:ascii="Arial" w:hAnsi="Arial" w:cs="Arial"/>
          <w:lang w:val="es-MX"/>
        </w:rPr>
      </w:pPr>
      <w:proofErr w:type="spellStart"/>
      <w:r w:rsidRPr="00D83CE1">
        <w:rPr>
          <w:rFonts w:ascii="Arial" w:hAnsi="Arial" w:cs="Arial"/>
          <w:lang w:val="es-MX"/>
        </w:rPr>
        <w:t>iii</w:t>
      </w:r>
      <w:proofErr w:type="spellEnd"/>
      <w:r w:rsidRPr="00D83CE1">
        <w:rPr>
          <w:rFonts w:ascii="Arial" w:hAnsi="Arial" w:cs="Arial"/>
          <w:lang w:val="es-MX"/>
        </w:rPr>
        <w:t xml:space="preserve">)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12AFA32C" w14:textId="77777777" w:rsidR="00D83CE1" w:rsidRPr="00D83CE1" w:rsidRDefault="00D83CE1" w:rsidP="00D83CE1">
      <w:pPr>
        <w:spacing w:before="120" w:after="120" w:line="276" w:lineRule="auto"/>
        <w:ind w:firstLine="708"/>
        <w:jc w:val="both"/>
        <w:rPr>
          <w:rFonts w:ascii="Arial" w:hAnsi="Arial" w:cs="Arial"/>
          <w:lang w:val="es-MX"/>
        </w:rPr>
      </w:pPr>
      <w:proofErr w:type="spellStart"/>
      <w:r w:rsidRPr="00D83CE1">
        <w:rPr>
          <w:rFonts w:ascii="Arial" w:hAnsi="Arial" w:cs="Arial"/>
          <w:lang w:val="es-MX"/>
        </w:rPr>
        <w:t>iv</w:t>
      </w:r>
      <w:proofErr w:type="spellEnd"/>
      <w:r w:rsidRPr="00D83CE1">
        <w:rPr>
          <w:rFonts w:ascii="Arial" w:hAnsi="Arial" w:cs="Arial"/>
          <w:lang w:val="es-MX"/>
        </w:rPr>
        <w:t xml:space="preserve">) En consecuencia,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 </w:t>
      </w:r>
    </w:p>
    <w:p w14:paraId="771386F4"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w:t>
      </w:r>
      <w:r w:rsidRPr="00D83CE1">
        <w:rPr>
          <w:rFonts w:ascii="Arial" w:eastAsia="Calibri" w:hAnsi="Arial" w:cs="Arial"/>
          <w:lang w:val="es-MX"/>
        </w:rPr>
        <w:t>―</w:t>
      </w:r>
      <w:r w:rsidRPr="00D83CE1">
        <w:rPr>
          <w:rFonts w:ascii="Arial" w:hAnsi="Arial" w:cs="Arial"/>
          <w:lang w:val="es-MX"/>
        </w:rPr>
        <w:t>únicamente para la capacidad jurídica y experiencia</w:t>
      </w:r>
      <w:r w:rsidRPr="00D83CE1">
        <w:rPr>
          <w:rFonts w:ascii="Arial" w:eastAsia="Calibri" w:hAnsi="Arial" w:cs="Arial"/>
          <w:lang w:val="es-MX"/>
        </w:rPr>
        <w:t>―</w:t>
      </w:r>
      <w:r w:rsidRPr="00D83CE1">
        <w:rPr>
          <w:rFonts w:ascii="Arial" w:hAnsi="Arial" w:cs="Arial"/>
          <w:lang w:val="es-MX"/>
        </w:rPr>
        <w:t xml:space="preserve"> y debe ser verificada junto con sus soportes por la Cámara de Comercio correspondiente. </w:t>
      </w:r>
    </w:p>
    <w:p w14:paraId="432D32C8"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La posición anterior, en relación con la posibilidad de que las sociedades nuevas puedan seguir acreditando la experiencia de sus socios, accionistas o constituyentes, incluso después de cumplidos 3 años de constitución de la persona jurídica, fue superada y se ratificó por esta Subdirección la tesis que ya había sido desarrollada en el concepto del 7 de febrero de 2018</w:t>
      </w:r>
      <w:r w:rsidRPr="00D83CE1">
        <w:rPr>
          <w:rFonts w:ascii="Arial" w:hAnsi="Arial" w:cs="Arial"/>
          <w:vertAlign w:val="superscript"/>
          <w:lang w:val="es-MX"/>
        </w:rPr>
        <w:footnoteReference w:id="12"/>
      </w:r>
      <w:r w:rsidRPr="00D83CE1">
        <w:rPr>
          <w:rFonts w:ascii="Arial" w:hAnsi="Arial" w:cs="Arial"/>
          <w:lang w:val="es-MX"/>
        </w:rPr>
        <w:t xml:space="preserve">, recogida y unificada en el concepto con radicado No. 4201913000006797 del 19 de noviembre de 2019 en el que se sostuvo que las personas jurídicas que hubieran sido beneficiarias de la norma podían seguir acreditando la </w:t>
      </w:r>
      <w:r w:rsidRPr="00D83CE1">
        <w:rPr>
          <w:rFonts w:ascii="Arial" w:hAnsi="Arial" w:cs="Arial"/>
          <w:lang w:val="es-MX"/>
        </w:rPr>
        <w:lastRenderedPageBreak/>
        <w:t xml:space="preserve">experiencia de sus socios o accionistas, inclusive después de transcurridos 3 años desde la constitución de la sociedad, siempre que se renovara constantemente el RUP.  </w:t>
      </w:r>
    </w:p>
    <w:p w14:paraId="3801EB1D" w14:textId="2DAAFE9A"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 xml:space="preserve">Teniendo en cuenta lo anterior, aunque la persona jurídica tenga más de tres años de constituida y haya registrado inicialmente la experiencia de sus socios en el RUP </w:t>
      </w:r>
      <w:r w:rsidR="00F9783A">
        <w:rPr>
          <w:rFonts w:ascii="Arial" w:eastAsia="Calibri" w:hAnsi="Arial" w:cs="Arial"/>
          <w:lang w:val="es-MX"/>
        </w:rPr>
        <w:t>–</w:t>
      </w:r>
      <w:r w:rsidRPr="00D83CE1">
        <w:rPr>
          <w:rFonts w:ascii="Arial" w:hAnsi="Arial" w:cs="Arial"/>
          <w:lang w:val="es-MX"/>
        </w:rPr>
        <w:t>pues su constitución era inferior a tres años</w:t>
      </w:r>
      <w:r w:rsidR="00F9783A">
        <w:rPr>
          <w:rFonts w:ascii="Arial" w:eastAsia="Calibri" w:hAnsi="Arial" w:cs="Arial"/>
          <w:lang w:val="es-MX"/>
        </w:rPr>
        <w:t>–</w:t>
      </w:r>
      <w:r w:rsidRPr="00D83CE1">
        <w:rPr>
          <w:rFonts w:ascii="Arial" w:eastAsia="Calibri" w:hAnsi="Arial" w:cs="Arial"/>
          <w:lang w:val="es-MX"/>
        </w:rPr>
        <w:t>, cuando</w:t>
      </w:r>
      <w:r w:rsidRPr="00D83CE1">
        <w:rPr>
          <w:rFonts w:ascii="Arial" w:hAnsi="Arial" w:cs="Arial"/>
          <w:lang w:val="es-MX"/>
        </w:rPr>
        <w:t xml:space="preserve"> este sea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3CA583D0"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D83CE1">
        <w:rPr>
          <w:rFonts w:ascii="Arial" w:hAnsi="Arial" w:cs="Arial"/>
          <w:vertAlign w:val="superscript"/>
          <w:lang w:val="es-MX"/>
        </w:rPr>
        <w:footnoteReference w:id="13"/>
      </w:r>
      <w:r w:rsidRPr="00D83CE1">
        <w:rPr>
          <w:rFonts w:ascii="Arial" w:hAnsi="Arial" w:cs="Arial"/>
          <w:lang w:val="es-MX"/>
        </w:rPr>
        <w:t xml:space="preserve">. En la actualidad, las cámaras de comercio solo pueden eliminar la experiencia registrada en el RUP a solicitud del proponente. Por tanto, les corresponde a las personas jurídicas mantener su RUP actualizado y a las entidades estatales verificar este registro para efectos de evaluar la experiencia. </w:t>
      </w:r>
    </w:p>
    <w:p w14:paraId="34BE98F5" w14:textId="6667209D" w:rsidR="00D83CE1" w:rsidRPr="00D83CE1" w:rsidRDefault="00D83CE1" w:rsidP="00727766">
      <w:pPr>
        <w:spacing w:after="0" w:line="276" w:lineRule="auto"/>
        <w:ind w:firstLine="708"/>
        <w:jc w:val="both"/>
        <w:rPr>
          <w:rFonts w:ascii="Arial" w:hAnsi="Arial" w:cs="Arial"/>
          <w:lang w:val="es-MX"/>
        </w:rPr>
      </w:pPr>
      <w:r w:rsidRPr="00D83CE1">
        <w:rPr>
          <w:rFonts w:ascii="Arial" w:hAnsi="Arial" w:cs="Arial"/>
          <w:lang w:val="es-MX"/>
        </w:rPr>
        <w:t xml:space="preserve">En otras palabras, </w:t>
      </w:r>
      <w:bookmarkStart w:id="3" w:name="_Hlk67498604"/>
      <w:r w:rsidRPr="00D83CE1">
        <w:rPr>
          <w:rFonts w:ascii="Arial" w:hAnsi="Arial" w:cs="Arial"/>
          <w:lang w:val="es-MX"/>
        </w:rPr>
        <w:t xml:space="preserve">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bookmarkEnd w:id="3"/>
      <w:r w:rsidRPr="00D83CE1">
        <w:rPr>
          <w:rFonts w:ascii="Arial" w:hAnsi="Arial" w:cs="Arial"/>
          <w:lang w:val="es-MX"/>
        </w:rPr>
        <w:t xml:space="preserve">Lo anterior, tiene fundamento en la Circular Única de la Superintendencia de Industria y Comercio, cuyo numeral 4.2, sobre el procedimiento para llevar el registro único de proponentes, </w:t>
      </w:r>
      <w:r w:rsidR="00C0631D">
        <w:rPr>
          <w:rFonts w:ascii="Arial" w:hAnsi="Arial" w:cs="Arial"/>
          <w:lang w:val="es-MX"/>
        </w:rPr>
        <w:t>dispone lo siguiente</w:t>
      </w:r>
      <w:r w:rsidRPr="00D83CE1">
        <w:rPr>
          <w:rFonts w:ascii="Arial" w:hAnsi="Arial" w:cs="Arial"/>
          <w:lang w:val="es-MX"/>
        </w:rPr>
        <w:t xml:space="preserve">:  </w:t>
      </w:r>
    </w:p>
    <w:p w14:paraId="0EFEB30B" w14:textId="77777777" w:rsidR="00D83CE1" w:rsidRPr="00D83CE1" w:rsidRDefault="00D83CE1" w:rsidP="00727766">
      <w:pPr>
        <w:spacing w:after="0" w:line="240" w:lineRule="auto"/>
        <w:ind w:firstLine="708"/>
        <w:jc w:val="both"/>
        <w:rPr>
          <w:rFonts w:ascii="Arial" w:hAnsi="Arial" w:cs="Arial"/>
          <w:lang w:val="es-MX"/>
        </w:rPr>
      </w:pPr>
    </w:p>
    <w:p w14:paraId="5C275DC6" w14:textId="77777777" w:rsidR="00D83CE1" w:rsidRPr="00D83CE1" w:rsidRDefault="00D83CE1" w:rsidP="00727766">
      <w:pPr>
        <w:spacing w:after="0" w:line="240" w:lineRule="auto"/>
        <w:ind w:left="709" w:right="709"/>
        <w:jc w:val="both"/>
        <w:rPr>
          <w:rFonts w:ascii="Arial" w:hAnsi="Arial" w:cs="Arial"/>
          <w:sz w:val="21"/>
          <w:szCs w:val="21"/>
          <w:lang w:val="es-MX"/>
        </w:rPr>
      </w:pPr>
      <w:r w:rsidRPr="00D83CE1">
        <w:rPr>
          <w:rFonts w:ascii="Arial" w:hAnsi="Arial" w:cs="Arial"/>
          <w:sz w:val="21"/>
          <w:szCs w:val="21"/>
          <w:lang w:val="es-MX"/>
        </w:rPr>
        <w:t xml:space="preserve">4.2.5. Vigencia de los documentos. Para efectos de renovación y actualización se considera que los documentos no pierden su vigencia salvo disposición legal </w:t>
      </w:r>
      <w:r w:rsidRPr="00D83CE1">
        <w:rPr>
          <w:rFonts w:ascii="Arial" w:hAnsi="Arial" w:cs="Arial"/>
          <w:sz w:val="21"/>
          <w:szCs w:val="21"/>
          <w:lang w:val="es-MX"/>
        </w:rPr>
        <w:lastRenderedPageBreak/>
        <w:t xml:space="preserve">en contrario. Por lo anterior, las Cámaras de Comercio no podrán abstenerse de realizar la inscripción argumentando el vencimiento de los documentos de soporte. </w:t>
      </w:r>
    </w:p>
    <w:p w14:paraId="6D455848" w14:textId="77777777" w:rsidR="00D83CE1" w:rsidRPr="00727766" w:rsidRDefault="00D83CE1" w:rsidP="00D83CE1">
      <w:pPr>
        <w:spacing w:after="0" w:line="240" w:lineRule="auto"/>
        <w:ind w:left="709" w:right="709"/>
        <w:jc w:val="both"/>
        <w:rPr>
          <w:rFonts w:ascii="Arial" w:hAnsi="Arial" w:cs="Arial"/>
          <w:lang w:val="es-MX"/>
        </w:rPr>
      </w:pPr>
    </w:p>
    <w:p w14:paraId="1F505EBE" w14:textId="498AA889" w:rsidR="00D83CE1" w:rsidRPr="00D83CE1" w:rsidRDefault="00D83CE1" w:rsidP="00007501">
      <w:pPr>
        <w:spacing w:after="0" w:line="276" w:lineRule="auto"/>
        <w:ind w:firstLine="708"/>
        <w:jc w:val="both"/>
        <w:rPr>
          <w:rFonts w:ascii="Arial" w:hAnsi="Arial" w:cs="Arial"/>
          <w:lang w:val="es-MX"/>
        </w:rPr>
      </w:pPr>
      <w:r w:rsidRPr="00D83CE1">
        <w:rPr>
          <w:rFonts w:ascii="Arial" w:hAnsi="Arial" w:cs="Arial"/>
          <w:lang w:val="es-MX"/>
        </w:rPr>
        <w:t>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w:t>
      </w:r>
      <w:r w:rsidR="00C0631D">
        <w:rPr>
          <w:rFonts w:ascii="Arial" w:hAnsi="Arial" w:cs="Arial"/>
          <w:lang w:val="es-MX"/>
        </w:rPr>
        <w:t xml:space="preserve"> </w:t>
      </w:r>
      <w:r w:rsidRPr="00D83CE1">
        <w:rPr>
          <w:rFonts w:ascii="Arial" w:hAnsi="Arial" w:cs="Arial"/>
          <w:lang w:val="es-MX"/>
        </w:rPr>
        <w:t xml:space="preserve">En este sentido, si bien la norma no dispone qué sucede con la experiencia aportada por los socios, accionistas o constituyentes, después de los 3 años de constituida la persona jurídica, para esta Subdirección sigue siendo válida, por lo que la entidad la debe tener en cuenta. De esta forma se garantiza la pluralidad de oferentes en los procesos de contratación. </w:t>
      </w:r>
    </w:p>
    <w:p w14:paraId="694F5711"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 xml:space="preserve">En línea con lo anterior, el numeral 2.5. del artículo 2.2.1.1.1.5.2 del Decreto 1082 de 2015 consagra una prerrogativa para las sociedades nuevas, que busca fomentar su competencia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14:paraId="23CC2249" w14:textId="77777777" w:rsidR="00D83CE1" w:rsidRPr="00D83CE1" w:rsidRDefault="00D83CE1" w:rsidP="00D83CE1">
      <w:pPr>
        <w:spacing w:before="120" w:after="120" w:line="276" w:lineRule="auto"/>
        <w:ind w:firstLine="709"/>
        <w:jc w:val="both"/>
        <w:rPr>
          <w:rFonts w:ascii="Arial" w:hAnsi="Arial" w:cs="Arial"/>
          <w:lang w:val="es-MX"/>
        </w:rPr>
      </w:pPr>
      <w:r w:rsidRPr="00D83CE1">
        <w:rPr>
          <w:rFonts w:ascii="Arial" w:hAnsi="Arial" w:cs="Arial"/>
          <w:lang w:val="es-MX"/>
        </w:rPr>
        <w:t>Por tanto,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499E6C3B" w14:textId="77777777" w:rsidR="00180D00" w:rsidRPr="003D12E5" w:rsidRDefault="00D83CE1" w:rsidP="00610F48">
      <w:pPr>
        <w:spacing w:line="276" w:lineRule="auto"/>
        <w:ind w:firstLine="708"/>
        <w:jc w:val="both"/>
        <w:rPr>
          <w:rFonts w:ascii="Arial" w:hAnsi="Arial" w:cs="Arial"/>
          <w:lang w:val="es-MX"/>
        </w:rPr>
      </w:pPr>
      <w:bookmarkStart w:id="4" w:name="_Hlk67498710"/>
      <w:r w:rsidRPr="003D12E5">
        <w:rPr>
          <w:rFonts w:ascii="Arial" w:hAnsi="Arial" w:cs="Arial"/>
          <w:lang w:val="es-MX"/>
        </w:rPr>
        <w:t>Sin perjuicio de lo anterior, no debe perderse de vista que el Decreto 1082 de 2015 solo permite que una sociedad acredite la experiencia de quienes tienen la calidad de accionistas, socios o constituyentes durante los primeros tres años de su constitución. Por tanto, si se pierden estas calidades, como sucedería cuando un socio se retira por venta o cesión de su participación y pierde su calidad de socio, ya no sería posible que la sociedad acredite la experiencia aportada por dicha persona</w:t>
      </w:r>
      <w:r w:rsidR="00200C5D" w:rsidRPr="003D12E5">
        <w:rPr>
          <w:rFonts w:ascii="Arial" w:hAnsi="Arial" w:cs="Arial"/>
          <w:lang w:val="es-MX"/>
        </w:rPr>
        <w:t xml:space="preserve">. </w:t>
      </w:r>
    </w:p>
    <w:p w14:paraId="25DCF479" w14:textId="20A0EDF9" w:rsidR="00D83CE1" w:rsidRDefault="00D83CE1" w:rsidP="00907D2F">
      <w:pPr>
        <w:spacing w:line="276" w:lineRule="auto"/>
        <w:ind w:firstLine="708"/>
        <w:jc w:val="both"/>
        <w:rPr>
          <w:rFonts w:ascii="Arial" w:hAnsi="Arial" w:cs="Arial"/>
          <w:lang w:val="es-MX"/>
        </w:rPr>
      </w:pPr>
      <w:r w:rsidRPr="00D83CE1">
        <w:rPr>
          <w:rFonts w:ascii="Arial" w:hAnsi="Arial" w:cs="Arial"/>
          <w:lang w:val="es-MX"/>
        </w:rPr>
        <w:t>Esta interpretación además se impone en atención al fin de evitar prácticas corruptas o que atenten contra la transparencia en la contratación estatal, por lo que la experiencia aportada por quien se retira no deberá ser tenida en cuenta por las entidades estatales, y no debería ser utilizada por el proponente en procesos de contratación, ya que es inherente a la persona que la ha obtenido.</w:t>
      </w:r>
      <w:r w:rsidR="00907D2F">
        <w:rPr>
          <w:rFonts w:ascii="Arial" w:hAnsi="Arial" w:cs="Arial"/>
          <w:lang w:val="es-MX"/>
        </w:rPr>
        <w:t xml:space="preserve"> </w:t>
      </w:r>
      <w:r w:rsidR="00907D2F" w:rsidRPr="00D83CE1">
        <w:rPr>
          <w:rFonts w:ascii="Arial" w:hAnsi="Arial" w:cs="Arial"/>
          <w:lang w:val="es-MX"/>
        </w:rPr>
        <w:t xml:space="preserve">En ese sentido si el socio se retira de la sociedad por venta o cesión de su participación accionaria, no puede vender o ceder su experiencia para que </w:t>
      </w:r>
      <w:r w:rsidR="00907D2F" w:rsidRPr="00D83CE1">
        <w:rPr>
          <w:rFonts w:ascii="Arial" w:hAnsi="Arial" w:cs="Arial"/>
          <w:lang w:val="es-MX"/>
        </w:rPr>
        <w:lastRenderedPageBreak/>
        <w:t>el adquirente o cesionario de la participación accionaria la aporte a la sociedad.</w:t>
      </w:r>
      <w:r w:rsidR="00907D2F">
        <w:rPr>
          <w:rFonts w:ascii="Arial" w:hAnsi="Arial" w:cs="Arial"/>
          <w:lang w:val="es-MX"/>
        </w:rPr>
        <w:t xml:space="preserve"> </w:t>
      </w:r>
      <w:r w:rsidRPr="00D83CE1">
        <w:rPr>
          <w:rFonts w:ascii="Arial" w:hAnsi="Arial" w:cs="Arial"/>
          <w:lang w:val="es-MX"/>
        </w:rPr>
        <w:t xml:space="preserve"> En consecuencia, el proponente debería actualizar la experiencia en el RUP, actuando de buena fe en el proceso de contratación.</w:t>
      </w:r>
    </w:p>
    <w:p w14:paraId="23D11FEE" w14:textId="0FC69C38" w:rsidR="00A16779" w:rsidRPr="009456E9" w:rsidRDefault="00A16779" w:rsidP="00007501">
      <w:pPr>
        <w:pStyle w:val="Textonotapie"/>
        <w:spacing w:after="120" w:line="276" w:lineRule="auto"/>
        <w:ind w:firstLine="709"/>
        <w:jc w:val="both"/>
        <w:rPr>
          <w:rFonts w:ascii="Arial" w:hAnsi="Arial" w:cs="Arial"/>
          <w:sz w:val="22"/>
          <w:szCs w:val="22"/>
        </w:rPr>
      </w:pPr>
      <w:r w:rsidRPr="009456E9">
        <w:rPr>
          <w:rFonts w:ascii="Arial" w:hAnsi="Arial" w:cs="Arial"/>
          <w:sz w:val="22"/>
          <w:szCs w:val="22"/>
        </w:rPr>
        <w:t xml:space="preserve">Por otra parte, en cuanto a la </w:t>
      </w:r>
      <w:r w:rsidRPr="009456E9">
        <w:rPr>
          <w:rFonts w:ascii="Arial" w:eastAsia="Calibri" w:hAnsi="Arial" w:cs="Arial"/>
          <w:bCs/>
          <w:sz w:val="22"/>
          <w:szCs w:val="22"/>
        </w:rPr>
        <w:t>«liquidación» de las sociedades comerciales, esta subdirección</w:t>
      </w:r>
      <w:r w:rsidR="001A43B8" w:rsidRPr="009456E9">
        <w:rPr>
          <w:rFonts w:ascii="Arial" w:eastAsia="Calibri" w:hAnsi="Arial" w:cs="Arial"/>
          <w:bCs/>
          <w:sz w:val="22"/>
          <w:szCs w:val="22"/>
        </w:rPr>
        <w:t xml:space="preserve"> en los conceptos </w:t>
      </w:r>
      <w:r w:rsidR="001A43B8" w:rsidRPr="009456E9">
        <w:rPr>
          <w:rFonts w:ascii="Arial" w:hAnsi="Arial" w:cs="Arial"/>
          <w:sz w:val="22"/>
          <w:szCs w:val="22"/>
        </w:rPr>
        <w:t xml:space="preserve">C-051 del </w:t>
      </w:r>
      <w:r w:rsidR="001A43B8" w:rsidRPr="009456E9">
        <w:rPr>
          <w:rFonts w:ascii="Arial" w:hAnsi="Arial" w:cs="Arial"/>
          <w:color w:val="000000" w:themeColor="text1"/>
          <w:sz w:val="22"/>
          <w:szCs w:val="22"/>
        </w:rPr>
        <w:t xml:space="preserve">02 de marzo de 2020, C-491 del </w:t>
      </w:r>
      <w:r w:rsidR="001A43B8" w:rsidRPr="009456E9">
        <w:rPr>
          <w:rFonts w:ascii="Arial" w:hAnsi="Arial" w:cs="Arial"/>
          <w:color w:val="000000"/>
          <w:sz w:val="22"/>
          <w:szCs w:val="22"/>
          <w:lang w:val="es-CO"/>
        </w:rPr>
        <w:t>27 de julio y C-584 del 31 de agosto de 2020</w:t>
      </w:r>
      <w:r w:rsidR="00E70212" w:rsidRPr="009456E9">
        <w:rPr>
          <w:rFonts w:ascii="Arial" w:hAnsi="Arial" w:cs="Arial"/>
          <w:color w:val="000000"/>
          <w:sz w:val="22"/>
          <w:szCs w:val="22"/>
          <w:lang w:val="es-CO"/>
        </w:rPr>
        <w:t xml:space="preserve">, </w:t>
      </w:r>
      <w:r w:rsidR="00163141" w:rsidRPr="009456E9">
        <w:rPr>
          <w:rFonts w:ascii="Arial" w:eastAsia="Calibri" w:hAnsi="Arial" w:cs="Arial"/>
          <w:bCs/>
          <w:sz w:val="22"/>
          <w:szCs w:val="22"/>
        </w:rPr>
        <w:t xml:space="preserve">ha indicado </w:t>
      </w:r>
      <w:r w:rsidRPr="009456E9">
        <w:rPr>
          <w:rFonts w:ascii="Arial" w:eastAsia="Calibri" w:hAnsi="Arial" w:cs="Arial"/>
          <w:bCs/>
          <w:sz w:val="22"/>
          <w:szCs w:val="22"/>
        </w:rPr>
        <w:t>que, el Código de Comercio señala el procedimiento para realizar el inventario y distribución del patrimonio social, de lo cual se infiere que termina la persona jurídica</w:t>
      </w:r>
      <w:r w:rsidRPr="009456E9">
        <w:rPr>
          <w:rStyle w:val="Refdenotaalpie"/>
          <w:rFonts w:ascii="Arial" w:eastAsia="Calibri" w:hAnsi="Arial" w:cs="Arial"/>
          <w:bCs/>
          <w:sz w:val="22"/>
          <w:szCs w:val="22"/>
        </w:rPr>
        <w:footnoteReference w:id="14"/>
      </w:r>
      <w:r w:rsidRPr="009456E9">
        <w:rPr>
          <w:rFonts w:ascii="Arial" w:eastAsia="Calibri" w:hAnsi="Arial" w:cs="Arial"/>
          <w:bCs/>
          <w:sz w:val="22"/>
          <w:szCs w:val="22"/>
        </w:rPr>
        <w:t xml:space="preserve">, y la experiencia desaparece junto con la sociedad que la adquirió. Lo propio pasa con la muerte de uno de los socios, dado que, </w:t>
      </w:r>
      <w:r w:rsidRPr="009456E9">
        <w:rPr>
          <w:rFonts w:ascii="Arial" w:hAnsi="Arial" w:cs="Arial"/>
          <w:sz w:val="22"/>
          <w:szCs w:val="22"/>
          <w:lang w:val="es-ES"/>
        </w:rPr>
        <w:t xml:space="preserve">será jurídicamente inviable pretender que la experiencia de un sujeto que no existe sea transferida. Las situaciones mencionadas con anterioridad </w:t>
      </w:r>
      <w:r w:rsidR="00C0631D">
        <w:rPr>
          <w:rFonts w:ascii="Arial" w:hAnsi="Arial" w:cs="Arial"/>
          <w:sz w:val="22"/>
          <w:szCs w:val="22"/>
          <w:lang w:val="es-ES"/>
        </w:rPr>
        <w:t>no es posible aplicar</w:t>
      </w:r>
      <w:r w:rsidRPr="009456E9">
        <w:rPr>
          <w:rFonts w:ascii="Arial" w:hAnsi="Arial" w:cs="Arial"/>
          <w:sz w:val="22"/>
          <w:szCs w:val="22"/>
        </w:rPr>
        <w:t xml:space="preserve"> el numeral 2.5 del artículo 2.2.1.1.1.5.2 del Decreto 1082 de 2015.</w:t>
      </w:r>
    </w:p>
    <w:bookmarkEnd w:id="4"/>
    <w:p w14:paraId="289B7AB5" w14:textId="5163D833" w:rsidR="00D83CE1" w:rsidRPr="00D83CE1" w:rsidRDefault="00C0631D">
      <w:pPr>
        <w:spacing w:after="0" w:line="276" w:lineRule="auto"/>
        <w:ind w:firstLine="709"/>
        <w:jc w:val="both"/>
        <w:rPr>
          <w:rFonts w:ascii="Arial" w:hAnsi="Arial" w:cs="Arial"/>
          <w:lang w:val="es-MX"/>
        </w:rPr>
      </w:pPr>
      <w:r>
        <w:rPr>
          <w:rFonts w:ascii="Arial" w:hAnsi="Arial" w:cs="Arial"/>
          <w:lang w:val="es-MX"/>
        </w:rPr>
        <w:t>L</w:t>
      </w:r>
      <w:r w:rsidR="00D83CE1" w:rsidRPr="00D83CE1">
        <w:rPr>
          <w:rFonts w:ascii="Arial" w:hAnsi="Arial" w:cs="Arial"/>
          <w:lang w:val="es-MX"/>
        </w:rPr>
        <w:t xml:space="preserve">o anterior se fundamenta, como se explicó en líneas atrás, en el carácter personalísimo de la experiencia respecto de la persona que la ha adquirido y que solo en casos excepcionales y por disposición legal o reglamentaria se presume de otra forma. Por lo tanto, no es posible trasladar la experiencia de un proponente a otro, excepto cuando una sociedad es de reciente creación. </w:t>
      </w:r>
    </w:p>
    <w:p w14:paraId="6FBF46CC" w14:textId="77777777" w:rsidR="00D83CE1" w:rsidRPr="00D83CE1" w:rsidRDefault="00D83CE1" w:rsidP="00D83CE1">
      <w:pPr>
        <w:spacing w:after="0" w:line="276" w:lineRule="auto"/>
        <w:ind w:firstLine="709"/>
        <w:jc w:val="both"/>
        <w:rPr>
          <w:rFonts w:ascii="Arial" w:hAnsi="Arial" w:cs="Arial"/>
          <w:lang w:val="es-MX"/>
        </w:rPr>
      </w:pPr>
    </w:p>
    <w:p w14:paraId="180BE02C" w14:textId="77777777" w:rsidR="00D83CE1" w:rsidRPr="00D83CE1" w:rsidRDefault="00D83CE1" w:rsidP="00D83CE1">
      <w:pPr>
        <w:spacing w:after="0" w:line="276" w:lineRule="auto"/>
        <w:jc w:val="both"/>
        <w:rPr>
          <w:rFonts w:ascii="Arial" w:hAnsi="Arial" w:cs="Arial"/>
          <w:b/>
          <w:lang w:val="es-MX"/>
        </w:rPr>
      </w:pPr>
      <w:r w:rsidRPr="00D83CE1">
        <w:rPr>
          <w:rFonts w:ascii="Arial" w:hAnsi="Arial" w:cs="Arial"/>
          <w:b/>
          <w:lang w:val="es-MX"/>
        </w:rPr>
        <w:t>3. Respuestas</w:t>
      </w:r>
    </w:p>
    <w:p w14:paraId="1AA3A65E" w14:textId="77777777" w:rsidR="00D83CE1" w:rsidRPr="00D83CE1" w:rsidRDefault="00D83CE1" w:rsidP="00D83CE1">
      <w:pPr>
        <w:spacing w:after="0" w:line="276" w:lineRule="auto"/>
        <w:ind w:left="709" w:right="709"/>
        <w:jc w:val="both"/>
        <w:rPr>
          <w:rFonts w:ascii="Arial" w:hAnsi="Arial" w:cs="Arial"/>
          <w:b/>
          <w:sz w:val="21"/>
          <w:szCs w:val="21"/>
          <w:lang w:val="es-MX"/>
        </w:rPr>
      </w:pPr>
    </w:p>
    <w:p w14:paraId="6AD7C367" w14:textId="77777777" w:rsidR="00D83CE1" w:rsidRPr="00D83CE1" w:rsidRDefault="00D83CE1" w:rsidP="00D83CE1">
      <w:pPr>
        <w:tabs>
          <w:tab w:val="left" w:pos="284"/>
        </w:tabs>
        <w:spacing w:after="0" w:line="240" w:lineRule="auto"/>
        <w:ind w:left="709" w:right="709"/>
        <w:jc w:val="both"/>
        <w:rPr>
          <w:rFonts w:ascii="Arial" w:eastAsia="Calibri" w:hAnsi="Arial" w:cs="Arial"/>
          <w:bCs/>
          <w:sz w:val="21"/>
          <w:szCs w:val="21"/>
          <w:lang w:val="es-MX"/>
        </w:rPr>
      </w:pPr>
      <w:r w:rsidRPr="00D83CE1">
        <w:rPr>
          <w:rFonts w:ascii="Arial" w:hAnsi="Arial" w:cs="Arial"/>
          <w:sz w:val="21"/>
          <w:szCs w:val="21"/>
        </w:rPr>
        <w:t>«</w:t>
      </w:r>
      <w:proofErr w:type="gramStart"/>
      <w:r w:rsidRPr="00D83CE1">
        <w:rPr>
          <w:rFonts w:ascii="Arial" w:hAnsi="Arial" w:cs="Arial"/>
          <w:sz w:val="21"/>
          <w:szCs w:val="21"/>
        </w:rPr>
        <w:t>Si la persona natural o la persona jurídica que son accionistas de la sociedad "A", dejan de ser parte de la misma después de 3 años de su conformación, por cualquier motivo como por ejemplo fallecimiento de la persona natural, liquidación de la persona jurídica o venta de acciones, la experiencia que aportaron estos integrantes durante los tres primeros años y que encuentra en el RUP, permanece en la sociedad "A" aunque</w:t>
      </w:r>
      <w:r w:rsidRPr="00D83CE1">
        <w:rPr>
          <w:rFonts w:ascii="Arial" w:eastAsia="Calibri" w:hAnsi="Arial" w:cs="Arial"/>
          <w:b/>
          <w:sz w:val="21"/>
          <w:szCs w:val="21"/>
          <w:lang w:val="es-MX"/>
        </w:rPr>
        <w:t xml:space="preserve"> </w:t>
      </w:r>
      <w:r w:rsidRPr="00D83CE1">
        <w:rPr>
          <w:rFonts w:ascii="Arial" w:eastAsia="Calibri" w:hAnsi="Arial" w:cs="Arial"/>
          <w:bCs/>
          <w:sz w:val="21"/>
          <w:szCs w:val="21"/>
          <w:lang w:val="es-MX"/>
        </w:rPr>
        <w:t>estos no sean parte de la misma?</w:t>
      </w:r>
      <w:proofErr w:type="gramEnd"/>
      <w:r w:rsidRPr="00D83CE1">
        <w:rPr>
          <w:rFonts w:ascii="Arial" w:eastAsia="Calibri" w:hAnsi="Arial" w:cs="Arial"/>
          <w:bCs/>
          <w:sz w:val="21"/>
          <w:szCs w:val="21"/>
          <w:lang w:val="es-MX"/>
        </w:rPr>
        <w:t>».</w:t>
      </w:r>
    </w:p>
    <w:p w14:paraId="064229F6" w14:textId="77777777" w:rsidR="00D83CE1" w:rsidRPr="00D83CE1" w:rsidRDefault="00D83CE1" w:rsidP="00D83CE1">
      <w:pPr>
        <w:spacing w:after="0" w:line="276" w:lineRule="auto"/>
        <w:jc w:val="both"/>
        <w:rPr>
          <w:rFonts w:ascii="Arial" w:hAnsi="Arial" w:cs="Arial"/>
          <w:lang w:val="es-MX"/>
        </w:rPr>
      </w:pPr>
    </w:p>
    <w:p w14:paraId="1A7D88ED" w14:textId="77777777" w:rsidR="00130CAA" w:rsidRDefault="00D83CE1" w:rsidP="00D83CE1">
      <w:pPr>
        <w:spacing w:after="120" w:line="276" w:lineRule="auto"/>
        <w:jc w:val="both"/>
        <w:rPr>
          <w:rFonts w:ascii="Arial" w:hAnsi="Arial" w:cs="Arial"/>
          <w:lang w:val="es-MX"/>
        </w:rPr>
      </w:pPr>
      <w:r w:rsidRPr="00D83CE1">
        <w:rPr>
          <w:rFonts w:ascii="Arial" w:eastAsia="Calibri" w:hAnsi="Arial" w:cs="Arial"/>
          <w:lang w:val="es-MX"/>
        </w:rPr>
        <w:t>El numeral 2.5 del artículo 2.2.1.1.1.5.2 del Decreto 1082 de 2015</w:t>
      </w:r>
      <w:r w:rsidRPr="00D83CE1">
        <w:rPr>
          <w:rFonts w:ascii="Arial" w:hAnsi="Arial" w:cs="Arial"/>
          <w:lang w:val="es-MX"/>
        </w:rPr>
        <w:t>, indica de forma clara que una sociedad con menos de tres años de constituida puede aportar la experiencia de sus accionistas, socios o constituyentes. Por lo anterior, si se pierde esta calidad, la experiencia aportada por quien se retira no deberá ser tenida en cuenta por las entidades estatales, y no debería ser utilizada por el proponente en procesos de contratación</w:t>
      </w:r>
      <w:r w:rsidR="00F774E8">
        <w:rPr>
          <w:rFonts w:ascii="Arial" w:hAnsi="Arial" w:cs="Arial"/>
          <w:lang w:val="es-MX"/>
        </w:rPr>
        <w:t xml:space="preserve">. </w:t>
      </w:r>
      <w:r w:rsidRPr="00D83CE1">
        <w:rPr>
          <w:rFonts w:ascii="Arial" w:hAnsi="Arial" w:cs="Arial"/>
          <w:lang w:val="es-MX"/>
        </w:rPr>
        <w:t>Así las cosas, si el socio se retira de la sociedad por venta o cesión de su participación accionaria, no puede vender o ceder su experiencia para que el adquirente o cesionario de la participación accionaria la aporte a la sociedad.</w:t>
      </w:r>
      <w:r w:rsidR="008C227F">
        <w:rPr>
          <w:rFonts w:ascii="Arial" w:hAnsi="Arial" w:cs="Arial"/>
          <w:lang w:val="es-MX"/>
        </w:rPr>
        <w:t xml:space="preserve"> </w:t>
      </w:r>
    </w:p>
    <w:p w14:paraId="7DD6939B" w14:textId="4339D904" w:rsidR="00D83CE1" w:rsidRDefault="008C227F" w:rsidP="00130CAA">
      <w:pPr>
        <w:spacing w:after="120" w:line="276" w:lineRule="auto"/>
        <w:ind w:firstLine="708"/>
        <w:jc w:val="both"/>
        <w:rPr>
          <w:rFonts w:ascii="Arial" w:eastAsia="Calibri" w:hAnsi="Arial" w:cs="Arial"/>
          <w:color w:val="000000" w:themeColor="text1"/>
        </w:rPr>
      </w:pPr>
      <w:r>
        <w:rPr>
          <w:rFonts w:ascii="Arial" w:hAnsi="Arial" w:cs="Arial"/>
          <w:lang w:val="es-MX"/>
        </w:rPr>
        <w:t>Lo propio sucede con la liquidación de la sociedad y la muerte de uno de los socios</w:t>
      </w:r>
      <w:r w:rsidR="009F0EF7">
        <w:rPr>
          <w:rFonts w:ascii="Arial" w:hAnsi="Arial" w:cs="Arial"/>
          <w:lang w:val="es-MX"/>
        </w:rPr>
        <w:t>.</w:t>
      </w:r>
      <w:r>
        <w:rPr>
          <w:rFonts w:ascii="Arial" w:hAnsi="Arial" w:cs="Arial"/>
          <w:lang w:val="es-MX"/>
        </w:rPr>
        <w:t xml:space="preserve"> </w:t>
      </w:r>
      <w:r w:rsidR="009F0EF7">
        <w:rPr>
          <w:rFonts w:ascii="Arial" w:hAnsi="Arial" w:cs="Arial"/>
          <w:lang w:val="es-MX"/>
        </w:rPr>
        <w:t>E</w:t>
      </w:r>
      <w:r>
        <w:rPr>
          <w:rFonts w:ascii="Arial" w:hAnsi="Arial" w:cs="Arial"/>
          <w:lang w:val="es-MX"/>
        </w:rPr>
        <w:t>n</w:t>
      </w:r>
      <w:r w:rsidR="009F0EF7">
        <w:rPr>
          <w:rFonts w:ascii="Arial" w:hAnsi="Arial" w:cs="Arial"/>
          <w:lang w:val="es-MX"/>
        </w:rPr>
        <w:t xml:space="preserve"> ese orden de ideas </w:t>
      </w:r>
      <w:r>
        <w:rPr>
          <w:rFonts w:ascii="Arial" w:hAnsi="Arial" w:cs="Arial"/>
          <w:lang w:val="es-MX"/>
        </w:rPr>
        <w:t xml:space="preserve">al </w:t>
      </w:r>
      <w:r w:rsidR="00D02CC0" w:rsidRPr="00BE18D7">
        <w:rPr>
          <w:rFonts w:ascii="Arial" w:eastAsia="Calibri" w:hAnsi="Arial" w:cs="Arial"/>
          <w:color w:val="000000" w:themeColor="text1"/>
        </w:rPr>
        <w:t>«liquidarse»</w:t>
      </w:r>
      <w:r>
        <w:rPr>
          <w:rFonts w:ascii="Arial" w:eastAsia="Calibri" w:hAnsi="Arial" w:cs="Arial"/>
          <w:color w:val="000000" w:themeColor="text1"/>
        </w:rPr>
        <w:t xml:space="preserve"> la sociedad</w:t>
      </w:r>
      <w:r w:rsidR="00D02CC0" w:rsidRPr="00BE18D7">
        <w:rPr>
          <w:rFonts w:ascii="Arial" w:eastAsia="Calibri" w:hAnsi="Arial" w:cs="Arial"/>
          <w:color w:val="000000" w:themeColor="text1"/>
        </w:rPr>
        <w:t xml:space="preserve"> implicaría que desaparece la persona y así su experiencia</w:t>
      </w:r>
      <w:r w:rsidR="00F07F12">
        <w:rPr>
          <w:rFonts w:ascii="Arial" w:eastAsia="Calibri" w:hAnsi="Arial" w:cs="Arial"/>
          <w:color w:val="000000" w:themeColor="text1"/>
        </w:rPr>
        <w:t>. Ahora bien,</w:t>
      </w:r>
      <w:r w:rsidR="009F0EF7">
        <w:rPr>
          <w:rFonts w:ascii="Arial" w:eastAsia="Calibri" w:hAnsi="Arial" w:cs="Arial"/>
          <w:color w:val="000000" w:themeColor="text1"/>
        </w:rPr>
        <w:t xml:space="preserve"> </w:t>
      </w:r>
      <w:r w:rsidR="003351C0">
        <w:rPr>
          <w:rFonts w:ascii="Arial" w:eastAsia="Calibri" w:hAnsi="Arial" w:cs="Arial"/>
          <w:color w:val="000000" w:themeColor="text1"/>
        </w:rPr>
        <w:t xml:space="preserve">con la muerte del socio, </w:t>
      </w:r>
      <w:r w:rsidR="003351C0">
        <w:rPr>
          <w:rFonts w:ascii="Arial" w:hAnsi="Arial" w:cs="Arial"/>
          <w:lang w:val="es-ES"/>
        </w:rPr>
        <w:t>no puede pretender</w:t>
      </w:r>
      <w:r w:rsidR="00C0631D">
        <w:rPr>
          <w:rFonts w:ascii="Arial" w:hAnsi="Arial" w:cs="Arial"/>
          <w:lang w:val="es-ES"/>
        </w:rPr>
        <w:t>se</w:t>
      </w:r>
      <w:r w:rsidR="003351C0">
        <w:rPr>
          <w:rFonts w:ascii="Arial" w:hAnsi="Arial" w:cs="Arial"/>
          <w:lang w:val="es-ES"/>
        </w:rPr>
        <w:t xml:space="preserve"> que, la </w:t>
      </w:r>
      <w:r w:rsidR="003351C0" w:rsidRPr="003D12E5">
        <w:rPr>
          <w:rFonts w:ascii="Arial" w:hAnsi="Arial" w:cs="Arial"/>
          <w:lang w:val="es-ES"/>
        </w:rPr>
        <w:lastRenderedPageBreak/>
        <w:t>experiencia de un sujeto que no existe sea transferida</w:t>
      </w:r>
      <w:r w:rsidR="003351C0">
        <w:rPr>
          <w:rFonts w:ascii="Arial" w:eastAsia="Calibri" w:hAnsi="Arial" w:cs="Arial"/>
          <w:color w:val="000000" w:themeColor="text1"/>
        </w:rPr>
        <w:t>.</w:t>
      </w:r>
      <w:r w:rsidR="007954A1">
        <w:rPr>
          <w:rFonts w:ascii="Arial" w:eastAsia="Calibri" w:hAnsi="Arial" w:cs="Arial"/>
          <w:color w:val="000000" w:themeColor="text1"/>
        </w:rPr>
        <w:t xml:space="preserve"> </w:t>
      </w:r>
      <w:r w:rsidR="008D1C3C">
        <w:rPr>
          <w:rFonts w:ascii="Arial" w:eastAsia="Calibri" w:hAnsi="Arial" w:cs="Arial"/>
          <w:color w:val="000000" w:themeColor="text1"/>
        </w:rPr>
        <w:t xml:space="preserve">Lo antes expuesto, tiene </w:t>
      </w:r>
      <w:r w:rsidR="00130CAA">
        <w:rPr>
          <w:rFonts w:ascii="Arial" w:eastAsia="Calibri" w:hAnsi="Arial" w:cs="Arial"/>
          <w:color w:val="000000" w:themeColor="text1"/>
        </w:rPr>
        <w:t xml:space="preserve">fundamento </w:t>
      </w:r>
      <w:r w:rsidR="008D1C3C">
        <w:rPr>
          <w:rFonts w:ascii="Arial" w:hAnsi="Arial" w:cs="Arial"/>
          <w:lang w:val="es-MX"/>
        </w:rPr>
        <w:t xml:space="preserve">en que la experiencia </w:t>
      </w:r>
      <w:r w:rsidR="008D1C3C" w:rsidRPr="00D83CE1">
        <w:rPr>
          <w:rFonts w:ascii="Arial" w:hAnsi="Arial" w:cs="Arial"/>
          <w:lang w:val="es-MX"/>
        </w:rPr>
        <w:t>es inherente a la persona que la ha obtenido.</w:t>
      </w:r>
    </w:p>
    <w:p w14:paraId="5BD5355F" w14:textId="77777777" w:rsidR="003351C0" w:rsidRPr="00D83CE1" w:rsidRDefault="003351C0" w:rsidP="00007501">
      <w:pPr>
        <w:spacing w:after="0" w:line="276" w:lineRule="auto"/>
        <w:jc w:val="both"/>
        <w:rPr>
          <w:rFonts w:ascii="Arial" w:hAnsi="Arial" w:cs="Arial"/>
          <w:lang w:val="es-MX"/>
        </w:rPr>
      </w:pPr>
    </w:p>
    <w:p w14:paraId="2BE99C44" w14:textId="77777777" w:rsidR="00D83CE1" w:rsidRPr="00D83CE1" w:rsidRDefault="00D83CE1" w:rsidP="00D83CE1">
      <w:pPr>
        <w:spacing w:after="120" w:line="276" w:lineRule="auto"/>
        <w:jc w:val="both"/>
        <w:rPr>
          <w:rFonts w:ascii="Arial" w:eastAsia="Calibri" w:hAnsi="Arial" w:cs="Arial"/>
          <w:lang w:val="es-MX"/>
        </w:rPr>
      </w:pPr>
      <w:r w:rsidRPr="00D83CE1">
        <w:rPr>
          <w:rFonts w:ascii="Arial" w:hAnsi="Arial" w:cs="Arial"/>
          <w:lang w:val="es-MX"/>
        </w:rPr>
        <w:t>Este concepto tiene el alcance previsto en el artículo 28 del Código de Procedimiento Administrativo y de lo Contencioso Administrativo.</w:t>
      </w:r>
    </w:p>
    <w:p w14:paraId="3C1CB964" w14:textId="77777777" w:rsidR="00D83CE1" w:rsidRPr="00D83CE1" w:rsidRDefault="00D83CE1" w:rsidP="00D83CE1">
      <w:pPr>
        <w:spacing w:before="120" w:after="120" w:line="276" w:lineRule="auto"/>
        <w:jc w:val="both"/>
        <w:rPr>
          <w:rFonts w:ascii="Arial" w:eastAsia="Calibri" w:hAnsi="Arial" w:cs="Arial"/>
          <w:lang w:val="es-MX"/>
        </w:rPr>
      </w:pPr>
      <w:r w:rsidRPr="00D83CE1">
        <w:rPr>
          <w:rFonts w:ascii="Arial" w:hAnsi="Arial" w:cs="Arial"/>
          <w:noProof/>
          <w:lang w:val="en-US"/>
        </w:rPr>
        <mc:AlternateContent>
          <mc:Choice Requires="wps">
            <w:drawing>
              <wp:anchor distT="0" distB="0" distL="114300" distR="114300" simplePos="0" relativeHeight="251659264" behindDoc="0" locked="0" layoutInCell="1" allowOverlap="1" wp14:anchorId="4FDDBE5C" wp14:editId="08DCC24A">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FD29963"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3500FF41" w14:textId="77777777" w:rsidR="00D83CE1" w:rsidRPr="00D83CE1" w:rsidRDefault="00D83CE1" w:rsidP="00D83CE1">
      <w:pPr>
        <w:spacing w:before="120" w:after="120" w:line="276" w:lineRule="auto"/>
        <w:rPr>
          <w:rFonts w:ascii="Arial" w:eastAsia="Times New Roman" w:hAnsi="Arial" w:cs="Arial"/>
          <w:lang w:val="es-MX" w:eastAsia="es-CO"/>
        </w:rPr>
      </w:pPr>
      <w:r w:rsidRPr="00D83CE1">
        <w:rPr>
          <w:rFonts w:ascii="Arial" w:eastAsia="Times New Roman" w:hAnsi="Arial" w:cs="Arial"/>
          <w:lang w:val="es-MX" w:eastAsia="es-CO"/>
        </w:rPr>
        <w:t>Atentamente,</w:t>
      </w:r>
    </w:p>
    <w:p w14:paraId="024D36DC" w14:textId="556D0B6E" w:rsidR="00D83CE1" w:rsidRPr="00D83CE1" w:rsidRDefault="00DD4729" w:rsidP="00D83CE1">
      <w:pPr>
        <w:spacing w:after="0" w:line="276" w:lineRule="auto"/>
        <w:jc w:val="center"/>
        <w:rPr>
          <w:sz w:val="24"/>
          <w:lang w:val="es-MX"/>
        </w:rPr>
      </w:pPr>
      <w:r>
        <w:rPr>
          <w:rFonts w:ascii="Arial" w:hAnsi="Arial" w:cs="Arial"/>
          <w:noProof/>
          <w:color w:val="000000" w:themeColor="text1"/>
          <w:sz w:val="18"/>
          <w:szCs w:val="20"/>
        </w:rPr>
        <w:drawing>
          <wp:inline distT="0" distB="0" distL="0" distR="0" wp14:anchorId="535C6895" wp14:editId="1B24EC01">
            <wp:extent cx="2047297" cy="905774"/>
            <wp:effectExtent l="0" t="0" r="0" b="889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673E4C05" w14:textId="77777777" w:rsidR="00D83CE1" w:rsidRPr="00D83CE1" w:rsidRDefault="00D83CE1" w:rsidP="00D83CE1">
      <w:pPr>
        <w:spacing w:after="0" w:line="276" w:lineRule="auto"/>
        <w:jc w:val="center"/>
        <w:rPr>
          <w:sz w:val="16"/>
          <w:szCs w:val="16"/>
          <w:lang w:val="es-MX"/>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83CE1" w:rsidRPr="00D83CE1" w14:paraId="0FE4B353" w14:textId="77777777" w:rsidTr="00096449">
        <w:trPr>
          <w:trHeight w:val="315"/>
        </w:trPr>
        <w:tc>
          <w:tcPr>
            <w:tcW w:w="812" w:type="dxa"/>
            <w:vAlign w:val="center"/>
            <w:hideMark/>
          </w:tcPr>
          <w:p w14:paraId="5BF73B33" w14:textId="77777777" w:rsidR="00D83CE1" w:rsidRPr="00D83CE1" w:rsidRDefault="00D83CE1" w:rsidP="00D83CE1">
            <w:pPr>
              <w:rPr>
                <w:rFonts w:ascii="Arial" w:eastAsia="Times New Roman" w:hAnsi="Arial" w:cs="Arial"/>
                <w:sz w:val="16"/>
                <w:szCs w:val="16"/>
                <w:lang w:val="es-MX" w:eastAsia="es-ES"/>
              </w:rPr>
            </w:pPr>
            <w:r w:rsidRPr="00D83CE1">
              <w:rPr>
                <w:rFonts w:ascii="Arial" w:eastAsia="Times New Roman" w:hAnsi="Arial" w:cs="Arial"/>
                <w:sz w:val="16"/>
                <w:szCs w:val="16"/>
                <w:lang w:val="es-MX" w:eastAsia="es-ES"/>
              </w:rPr>
              <w:t>Elaboró:</w:t>
            </w:r>
          </w:p>
        </w:tc>
        <w:tc>
          <w:tcPr>
            <w:tcW w:w="4413" w:type="dxa"/>
            <w:tcBorders>
              <w:top w:val="nil"/>
              <w:left w:val="nil"/>
              <w:bottom w:val="dotted" w:sz="4" w:space="0" w:color="7F7F7F" w:themeColor="text1" w:themeTint="80"/>
              <w:right w:val="nil"/>
            </w:tcBorders>
            <w:vAlign w:val="center"/>
            <w:hideMark/>
          </w:tcPr>
          <w:p w14:paraId="36A70D23" w14:textId="1D4755EE" w:rsidR="00D83CE1" w:rsidRPr="00D83CE1" w:rsidRDefault="00D83CE1" w:rsidP="00D83CE1">
            <w:pPr>
              <w:rPr>
                <w:rFonts w:ascii="Arial" w:eastAsia="Times New Roman" w:hAnsi="Arial" w:cs="Arial"/>
                <w:sz w:val="16"/>
                <w:szCs w:val="16"/>
                <w:lang w:val="es-MX" w:eastAsia="es-ES"/>
              </w:rPr>
            </w:pPr>
            <w:r w:rsidRPr="00D83CE1">
              <w:rPr>
                <w:rFonts w:ascii="Arial" w:eastAsia="Times New Roman" w:hAnsi="Arial" w:cs="Arial"/>
                <w:sz w:val="16"/>
                <w:szCs w:val="16"/>
                <w:lang w:val="es-MX" w:eastAsia="es-ES"/>
              </w:rPr>
              <w:t xml:space="preserve">Carlos Mario </w:t>
            </w:r>
            <w:r w:rsidR="00E00FA2" w:rsidRPr="00D83CE1">
              <w:rPr>
                <w:rFonts w:ascii="Arial" w:eastAsia="Times New Roman" w:hAnsi="Arial" w:cs="Arial"/>
                <w:sz w:val="16"/>
                <w:szCs w:val="16"/>
                <w:lang w:val="es-MX" w:eastAsia="es-ES"/>
              </w:rPr>
              <w:t>Castrillón</w:t>
            </w:r>
            <w:r w:rsidRPr="00D83CE1">
              <w:rPr>
                <w:rFonts w:ascii="Arial" w:eastAsia="Times New Roman" w:hAnsi="Arial" w:cs="Arial"/>
                <w:sz w:val="16"/>
                <w:szCs w:val="16"/>
                <w:lang w:val="es-MX" w:eastAsia="es-ES"/>
              </w:rPr>
              <w:t xml:space="preserve"> Endo</w:t>
            </w:r>
          </w:p>
          <w:p w14:paraId="41AFC9FD" w14:textId="77777777" w:rsidR="00D83CE1" w:rsidRPr="00D83CE1" w:rsidRDefault="00D83CE1" w:rsidP="00D83CE1">
            <w:pPr>
              <w:rPr>
                <w:rFonts w:ascii="Arial" w:eastAsia="Times New Roman" w:hAnsi="Arial" w:cs="Arial"/>
                <w:sz w:val="16"/>
                <w:szCs w:val="16"/>
                <w:lang w:val="es-MX" w:eastAsia="es-ES"/>
              </w:rPr>
            </w:pPr>
            <w:r w:rsidRPr="00D83CE1">
              <w:rPr>
                <w:rFonts w:ascii="Arial" w:eastAsia="Times New Roman" w:hAnsi="Arial" w:cs="Arial"/>
                <w:sz w:val="16"/>
                <w:szCs w:val="16"/>
                <w:lang w:val="es-MX" w:eastAsia="es-ES"/>
              </w:rPr>
              <w:t>Contratista de la Subdirección de Gestión Contractual</w:t>
            </w:r>
          </w:p>
        </w:tc>
      </w:tr>
      <w:tr w:rsidR="00D83CE1" w:rsidRPr="00D83CE1" w14:paraId="3730D7EA" w14:textId="77777777" w:rsidTr="00096449">
        <w:trPr>
          <w:trHeight w:val="330"/>
        </w:trPr>
        <w:tc>
          <w:tcPr>
            <w:tcW w:w="812" w:type="dxa"/>
            <w:vAlign w:val="center"/>
            <w:hideMark/>
          </w:tcPr>
          <w:p w14:paraId="53C02468" w14:textId="77777777" w:rsidR="00D83CE1" w:rsidRPr="00D83CE1" w:rsidRDefault="00D83CE1" w:rsidP="00D83CE1">
            <w:pPr>
              <w:rPr>
                <w:rFonts w:ascii="Arial" w:eastAsia="Times New Roman" w:hAnsi="Arial" w:cs="Arial"/>
                <w:sz w:val="16"/>
                <w:szCs w:val="16"/>
                <w:lang w:val="es-MX" w:eastAsia="es-ES"/>
              </w:rPr>
            </w:pPr>
            <w:r w:rsidRPr="00D83CE1">
              <w:rPr>
                <w:rFonts w:ascii="Arial" w:eastAsia="Times New Roman" w:hAnsi="Arial" w:cs="Arial"/>
                <w:sz w:val="16"/>
                <w:szCs w:val="16"/>
                <w:lang w:val="es-MX"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AA6A99" w14:textId="4121A21D" w:rsidR="00D83CE1" w:rsidRDefault="00D83CE1" w:rsidP="00D83CE1">
            <w:pPr>
              <w:rPr>
                <w:rFonts w:ascii="Arial" w:hAnsi="Arial" w:cs="Arial"/>
                <w:sz w:val="16"/>
                <w:szCs w:val="16"/>
                <w:lang w:val="es-ES_tradnl" w:eastAsia="es-ES"/>
              </w:rPr>
            </w:pPr>
            <w:r>
              <w:rPr>
                <w:rFonts w:ascii="Arial" w:hAnsi="Arial" w:cs="Arial"/>
                <w:sz w:val="16"/>
                <w:szCs w:val="16"/>
                <w:lang w:val="es-ES_tradnl" w:eastAsia="es-ES"/>
              </w:rPr>
              <w:t>Juan David Montoya Penagos</w:t>
            </w:r>
          </w:p>
          <w:p w14:paraId="29798D5C" w14:textId="28CEB960" w:rsidR="00D83CE1" w:rsidRPr="00D83CE1" w:rsidRDefault="00D83CE1" w:rsidP="00D83CE1">
            <w:pPr>
              <w:rPr>
                <w:rFonts w:ascii="Arial" w:eastAsia="Times New Roman" w:hAnsi="Arial" w:cs="Arial"/>
                <w:sz w:val="16"/>
                <w:szCs w:val="16"/>
                <w:lang w:val="es-MX" w:eastAsia="es-ES"/>
              </w:rPr>
            </w:pPr>
            <w:r w:rsidRPr="00D83CE1">
              <w:rPr>
                <w:rFonts w:ascii="Arial" w:hAnsi="Arial" w:cs="Arial"/>
                <w:sz w:val="16"/>
                <w:szCs w:val="16"/>
                <w:lang w:val="es-ES_tradnl" w:eastAsia="es-ES"/>
              </w:rPr>
              <w:t xml:space="preserve">Gestor T1-15 </w:t>
            </w:r>
            <w:r w:rsidRPr="00D83CE1">
              <w:rPr>
                <w:rFonts w:ascii="Arial" w:eastAsia="Times New Roman" w:hAnsi="Arial" w:cs="Arial"/>
                <w:sz w:val="16"/>
                <w:szCs w:val="16"/>
                <w:lang w:val="es-MX" w:eastAsia="es-ES"/>
              </w:rPr>
              <w:t>Subdirección de Gestión Contractual</w:t>
            </w:r>
          </w:p>
        </w:tc>
      </w:tr>
      <w:tr w:rsidR="00D83CE1" w:rsidRPr="00D83CE1" w14:paraId="49464AFF" w14:textId="77777777" w:rsidTr="00096449">
        <w:trPr>
          <w:trHeight w:val="300"/>
        </w:trPr>
        <w:tc>
          <w:tcPr>
            <w:tcW w:w="812" w:type="dxa"/>
            <w:vAlign w:val="center"/>
            <w:hideMark/>
          </w:tcPr>
          <w:p w14:paraId="67D80F83" w14:textId="77777777" w:rsidR="00D83CE1" w:rsidRPr="00D83CE1" w:rsidRDefault="00D83CE1" w:rsidP="00D83CE1">
            <w:pPr>
              <w:rPr>
                <w:rFonts w:ascii="Arial" w:eastAsia="Times New Roman" w:hAnsi="Arial" w:cs="Arial"/>
                <w:sz w:val="16"/>
                <w:szCs w:val="16"/>
                <w:lang w:val="es-MX" w:eastAsia="es-ES"/>
              </w:rPr>
            </w:pPr>
            <w:r w:rsidRPr="00D83CE1">
              <w:rPr>
                <w:rFonts w:ascii="Arial" w:eastAsia="Times New Roman" w:hAnsi="Arial" w:cs="Arial"/>
                <w:sz w:val="16"/>
                <w:szCs w:val="16"/>
                <w:lang w:val="es-MX"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6D7F6D2" w14:textId="77777777" w:rsidR="00D83CE1" w:rsidRPr="00D83CE1" w:rsidRDefault="00D83CE1" w:rsidP="00D83CE1">
            <w:pPr>
              <w:rPr>
                <w:rFonts w:ascii="Arial" w:eastAsia="Times New Roman" w:hAnsi="Arial" w:cs="Arial"/>
                <w:sz w:val="16"/>
                <w:szCs w:val="16"/>
                <w:lang w:val="es-MX" w:eastAsia="es-ES"/>
              </w:rPr>
            </w:pPr>
            <w:r w:rsidRPr="00D83CE1">
              <w:rPr>
                <w:rFonts w:ascii="Arial" w:eastAsia="Times New Roman" w:hAnsi="Arial" w:cs="Arial"/>
                <w:sz w:val="16"/>
                <w:szCs w:val="16"/>
                <w:lang w:val="es-MX" w:eastAsia="es-ES"/>
              </w:rPr>
              <w:t>Jorge Augusto Tirado Navarro</w:t>
            </w:r>
          </w:p>
          <w:p w14:paraId="0624B527" w14:textId="545AA64E" w:rsidR="00D83CE1" w:rsidRPr="00D83CE1" w:rsidRDefault="00D83CE1" w:rsidP="00D83CE1">
            <w:pPr>
              <w:rPr>
                <w:rFonts w:ascii="Arial" w:eastAsia="Times New Roman" w:hAnsi="Arial" w:cs="Arial"/>
                <w:sz w:val="16"/>
                <w:szCs w:val="16"/>
                <w:lang w:val="es-MX" w:eastAsia="es-ES"/>
              </w:rPr>
            </w:pPr>
            <w:r w:rsidRPr="00D83CE1">
              <w:rPr>
                <w:rFonts w:ascii="Arial" w:eastAsia="Times New Roman" w:hAnsi="Arial" w:cs="Arial"/>
                <w:sz w:val="16"/>
                <w:szCs w:val="16"/>
                <w:lang w:val="es-MX" w:eastAsia="es-ES"/>
              </w:rPr>
              <w:t>Subdirector de Gestión Contractual</w:t>
            </w:r>
            <w:r w:rsidR="00C0631D">
              <w:rPr>
                <w:rFonts w:ascii="Arial" w:eastAsia="Times New Roman" w:hAnsi="Arial" w:cs="Arial"/>
                <w:sz w:val="16"/>
                <w:szCs w:val="16"/>
                <w:lang w:val="es-MX" w:eastAsia="es-ES"/>
              </w:rPr>
              <w:t xml:space="preserve"> ACPN – CCE</w:t>
            </w:r>
          </w:p>
        </w:tc>
      </w:tr>
    </w:tbl>
    <w:p w14:paraId="28B7EA76" w14:textId="77777777" w:rsidR="00D83CE1" w:rsidRPr="00D83CE1" w:rsidRDefault="00D83CE1" w:rsidP="00D83CE1">
      <w:pPr>
        <w:spacing w:after="0" w:line="240" w:lineRule="auto"/>
        <w:rPr>
          <w:rFonts w:ascii="Arial" w:eastAsia="Times New Roman" w:hAnsi="Arial" w:cs="Arial"/>
          <w:sz w:val="16"/>
          <w:szCs w:val="16"/>
          <w:lang w:val="es-MX" w:eastAsia="es-ES"/>
        </w:rPr>
      </w:pPr>
    </w:p>
    <w:p w14:paraId="32AA71D5" w14:textId="77777777" w:rsidR="00D83CE1" w:rsidRPr="00D83CE1" w:rsidRDefault="00D83CE1" w:rsidP="00D83CE1">
      <w:pPr>
        <w:spacing w:after="0" w:line="240" w:lineRule="auto"/>
        <w:rPr>
          <w:sz w:val="24"/>
          <w:lang w:val="es-MX"/>
        </w:rPr>
      </w:pPr>
    </w:p>
    <w:bookmarkEnd w:id="0"/>
    <w:p w14:paraId="37DF4035" w14:textId="77777777" w:rsidR="007E5880" w:rsidRPr="00D83CE1" w:rsidRDefault="007E5880" w:rsidP="00D83CE1"/>
    <w:sectPr w:rsidR="007E5880" w:rsidRPr="00D83CE1">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A7C2E9" w14:textId="77777777" w:rsidR="00805704" w:rsidRDefault="00805704" w:rsidP="00D83CE1">
      <w:pPr>
        <w:spacing w:after="0" w:line="240" w:lineRule="auto"/>
      </w:pPr>
      <w:r>
        <w:separator/>
      </w:r>
    </w:p>
  </w:endnote>
  <w:endnote w:type="continuationSeparator" w:id="0">
    <w:p w14:paraId="5AAFE5AA" w14:textId="77777777" w:rsidR="00805704" w:rsidRDefault="00805704" w:rsidP="00D83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9BB588" w14:textId="3DF7F71C" w:rsidR="00876845" w:rsidRDefault="00AD44C8" w:rsidP="00876845">
    <w:pPr>
      <w:pStyle w:val="Sinespaciado"/>
      <w:jc w:val="right"/>
      <w:rPr>
        <w:rFonts w:ascii="Arial" w:hAnsi="Arial" w:cs="Arial"/>
        <w:szCs w:val="24"/>
      </w:rPr>
    </w:pPr>
  </w:p>
  <w:p w14:paraId="6CCFBE9E" w14:textId="77777777" w:rsidR="009513C3" w:rsidRPr="008D25E0" w:rsidRDefault="009513C3" w:rsidP="00876845">
    <w:pPr>
      <w:pStyle w:val="Sinespaciado"/>
      <w:jc w:val="right"/>
      <w:rPr>
        <w:rFonts w:ascii="Arial" w:hAnsi="Arial" w:cs="Arial"/>
        <w:szCs w:val="24"/>
      </w:rPr>
    </w:pPr>
  </w:p>
  <w:p w14:paraId="228FF7FA" w14:textId="77777777" w:rsidR="00DE311F" w:rsidRPr="008217B7" w:rsidRDefault="004E68B2" w:rsidP="0087684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0828F5EF" w14:textId="77777777" w:rsidR="00DE311F" w:rsidRDefault="004E68B2" w:rsidP="00876845">
    <w:pPr>
      <w:pStyle w:val="Piedepgina"/>
      <w:jc w:val="center"/>
      <w:rPr>
        <w:lang w:val="es-ES"/>
      </w:rPr>
    </w:pPr>
    <w:r>
      <w:rPr>
        <w:noProof/>
      </w:rPr>
      <w:drawing>
        <wp:inline distT="0" distB="0" distL="0" distR="0" wp14:anchorId="6CF3D9A9" wp14:editId="61F21198">
          <wp:extent cx="3700130" cy="519139"/>
          <wp:effectExtent l="0" t="0" r="0" b="0"/>
          <wp:docPr id="87953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F109ED" w14:textId="77777777" w:rsidR="00805704" w:rsidRDefault="00805704" w:rsidP="00D83CE1">
      <w:pPr>
        <w:spacing w:after="0" w:line="240" w:lineRule="auto"/>
      </w:pPr>
      <w:r>
        <w:separator/>
      </w:r>
    </w:p>
  </w:footnote>
  <w:footnote w:type="continuationSeparator" w:id="0">
    <w:p w14:paraId="5FB768DD" w14:textId="77777777" w:rsidR="00805704" w:rsidRDefault="00805704" w:rsidP="00D83CE1">
      <w:pPr>
        <w:spacing w:after="0" w:line="240" w:lineRule="auto"/>
      </w:pPr>
      <w:r>
        <w:continuationSeparator/>
      </w:r>
    </w:p>
  </w:footnote>
  <w:footnote w:id="1">
    <w:p w14:paraId="5A8285A2" w14:textId="77777777" w:rsidR="00D83CE1" w:rsidRPr="006600D3" w:rsidRDefault="00D83CE1" w:rsidP="00D83CE1">
      <w:pPr>
        <w:pStyle w:val="Textonotapie"/>
        <w:ind w:firstLine="708"/>
        <w:jc w:val="both"/>
        <w:rPr>
          <w:rFonts w:ascii="Arial" w:hAnsi="Arial" w:cs="Arial"/>
          <w:sz w:val="19"/>
          <w:szCs w:val="19"/>
          <w:lang w:val="es-CO"/>
        </w:rPr>
      </w:pPr>
      <w:r>
        <w:rPr>
          <w:rStyle w:val="Refdenotaalpie"/>
        </w:rPr>
        <w:footnoteRef/>
      </w:r>
      <w:r w:rsidRPr="006600D3">
        <w:rPr>
          <w:rFonts w:ascii="Arial" w:hAnsi="Arial" w:cs="Arial"/>
          <w:sz w:val="19"/>
          <w:szCs w:val="19"/>
        </w:rPr>
        <w:t xml:space="preserve"> De igual forma la Agencia de Nacional de Contratación Pública -Colombia Compra Eficiente- trato el tema objeto de estudio en conceptos del año 2019, identificados con los radicados </w:t>
      </w:r>
      <w:r w:rsidRPr="006600D3">
        <w:rPr>
          <w:rFonts w:ascii="Arial" w:eastAsia="Calibri" w:hAnsi="Arial" w:cs="Arial"/>
          <w:sz w:val="19"/>
          <w:szCs w:val="19"/>
        </w:rPr>
        <w:t xml:space="preserve">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6600D3">
        <w:rPr>
          <w:rFonts w:ascii="Arial" w:hAnsi="Arial" w:cs="Arial"/>
          <w:sz w:val="19"/>
          <w:szCs w:val="19"/>
        </w:rPr>
        <w:t xml:space="preserve">4201913000006797 del 19 de noviembre de 2019, </w:t>
      </w:r>
      <w:r w:rsidRPr="006600D3">
        <w:rPr>
          <w:rFonts w:ascii="Arial" w:eastAsia="Calibri" w:hAnsi="Arial" w:cs="Arial"/>
          <w:sz w:val="19"/>
          <w:szCs w:val="19"/>
        </w:rPr>
        <w:t xml:space="preserve">4201912000007182 del 3 de diciembre de 2019, 4201912000007512 del 16 de diciembre de 2019, 4201912000007607 del 9 de diciembre de 2019. </w:t>
      </w:r>
    </w:p>
    <w:p w14:paraId="5C4D70A4" w14:textId="77777777" w:rsidR="00D83CE1" w:rsidRPr="00B62C62" w:rsidRDefault="00D83CE1" w:rsidP="00D83CE1">
      <w:pPr>
        <w:pStyle w:val="Textonotapie"/>
        <w:rPr>
          <w:lang w:val="es-CO"/>
        </w:rPr>
      </w:pPr>
    </w:p>
  </w:footnote>
  <w:footnote w:id="2">
    <w:p w14:paraId="21E726C9" w14:textId="77777777" w:rsidR="00D83CE1" w:rsidRPr="009C5188" w:rsidRDefault="00D83CE1" w:rsidP="00D83CE1">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9C5188">
        <w:rPr>
          <w:rFonts w:ascii="Arial" w:hAnsi="Arial" w:cs="Arial"/>
          <w:sz w:val="19"/>
          <w:szCs w:val="19"/>
        </w:rPr>
        <w:t>equivalentes,</w:t>
      </w:r>
      <w:proofErr w:type="gramEnd"/>
      <w:r w:rsidRPr="009C5188">
        <w:rPr>
          <w:rFonts w:ascii="Arial" w:hAnsi="Arial" w:cs="Arial"/>
          <w:sz w:val="19"/>
          <w:szCs w:val="19"/>
        </w:rPr>
        <w:t xml:space="preserve"> tendrán en cuenta los siguientes criterios:</w:t>
      </w:r>
    </w:p>
    <w:p w14:paraId="3BC7B361" w14:textId="77777777" w:rsidR="00D83CE1" w:rsidRPr="009C5188" w:rsidRDefault="00D83CE1" w:rsidP="00D83CE1">
      <w:pPr>
        <w:pStyle w:val="Textonotapie"/>
        <w:ind w:firstLine="708"/>
        <w:jc w:val="both"/>
        <w:rPr>
          <w:rFonts w:ascii="Arial" w:hAnsi="Arial" w:cs="Arial"/>
          <w:sz w:val="19"/>
          <w:szCs w:val="19"/>
        </w:rPr>
      </w:pPr>
      <w:r w:rsidRPr="009C5188">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77395937" w14:textId="77777777" w:rsidR="00D83CE1" w:rsidRPr="009C5188" w:rsidRDefault="00D83CE1" w:rsidP="00D83CE1">
      <w:pPr>
        <w:pStyle w:val="Textonotapie"/>
        <w:jc w:val="both"/>
        <w:rPr>
          <w:rFonts w:ascii="Arial" w:hAnsi="Arial" w:cs="Arial"/>
          <w:sz w:val="19"/>
          <w:szCs w:val="19"/>
          <w:lang w:val="es-ES"/>
        </w:rPr>
      </w:pPr>
    </w:p>
  </w:footnote>
  <w:footnote w:id="3">
    <w:p w14:paraId="6E209009" w14:textId="77777777" w:rsidR="00D83CE1" w:rsidRPr="009C5188" w:rsidRDefault="00D83CE1" w:rsidP="00D83CE1">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72428940" w14:textId="77777777" w:rsidR="00D83CE1" w:rsidRPr="009C5188" w:rsidRDefault="00D83CE1" w:rsidP="00D83CE1">
      <w:pPr>
        <w:pStyle w:val="Textonotapie"/>
        <w:ind w:firstLine="708"/>
        <w:jc w:val="both"/>
        <w:rPr>
          <w:rFonts w:ascii="Arial" w:hAnsi="Arial" w:cs="Arial"/>
          <w:sz w:val="19"/>
          <w:szCs w:val="19"/>
          <w:lang w:val="es-ES"/>
        </w:rPr>
      </w:pPr>
    </w:p>
  </w:footnote>
  <w:footnote w:id="4">
    <w:p w14:paraId="7D98504F" w14:textId="77777777" w:rsidR="00D83CE1" w:rsidRPr="009C5188" w:rsidRDefault="00D83CE1" w:rsidP="00D83CE1">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574DF4D6" w14:textId="77777777" w:rsidR="00D83CE1" w:rsidRPr="009C5188" w:rsidRDefault="00D83CE1" w:rsidP="00D83CE1">
      <w:pPr>
        <w:pStyle w:val="Textonotapie"/>
        <w:ind w:firstLine="708"/>
        <w:jc w:val="both"/>
        <w:rPr>
          <w:rFonts w:ascii="Arial" w:hAnsi="Arial" w:cs="Arial"/>
          <w:sz w:val="19"/>
          <w:szCs w:val="19"/>
        </w:rPr>
      </w:pPr>
      <w:r w:rsidRPr="009C5188">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14:paraId="64B6A59C" w14:textId="77777777" w:rsidR="00D83CE1" w:rsidRPr="009C5188" w:rsidRDefault="00D83CE1" w:rsidP="00D83CE1">
      <w:pPr>
        <w:pStyle w:val="Textonotapie"/>
        <w:ind w:firstLine="708"/>
        <w:jc w:val="both"/>
        <w:rPr>
          <w:rFonts w:ascii="Arial" w:hAnsi="Arial" w:cs="Arial"/>
          <w:sz w:val="19"/>
          <w:szCs w:val="19"/>
        </w:rPr>
      </w:pPr>
      <w:r w:rsidRPr="009C5188">
        <w:rPr>
          <w:rFonts w:ascii="Arial" w:hAnsi="Arial" w:cs="Arial"/>
          <w:sz w:val="19"/>
          <w:szCs w:val="19"/>
        </w:rPr>
        <w:t>[...]».</w:t>
      </w:r>
    </w:p>
    <w:p w14:paraId="4DFC32C7" w14:textId="77777777" w:rsidR="00D83CE1" w:rsidRPr="009C5188" w:rsidRDefault="00D83CE1" w:rsidP="00D83CE1">
      <w:pPr>
        <w:pStyle w:val="Textonotapie"/>
        <w:ind w:firstLine="708"/>
        <w:jc w:val="both"/>
        <w:rPr>
          <w:rFonts w:ascii="Arial" w:hAnsi="Arial" w:cs="Arial"/>
          <w:sz w:val="19"/>
          <w:szCs w:val="19"/>
          <w:lang w:val="es-ES"/>
        </w:rPr>
      </w:pPr>
    </w:p>
  </w:footnote>
  <w:footnote w:id="5">
    <w:p w14:paraId="5F34E5B7" w14:textId="77777777" w:rsidR="00D83CE1" w:rsidRPr="009C5188" w:rsidRDefault="00D83CE1" w:rsidP="00D83CE1">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B5D8D21" w14:textId="77777777" w:rsidR="00D83CE1" w:rsidRPr="009C5188" w:rsidRDefault="00D83CE1" w:rsidP="00D83CE1">
      <w:pPr>
        <w:pStyle w:val="Textonotapie"/>
        <w:ind w:firstLine="708"/>
        <w:jc w:val="both"/>
        <w:rPr>
          <w:rFonts w:ascii="Arial" w:hAnsi="Arial" w:cs="Arial"/>
          <w:sz w:val="19"/>
          <w:szCs w:val="19"/>
        </w:rPr>
      </w:pPr>
      <w:r w:rsidRPr="009C5188">
        <w:rPr>
          <w:rFonts w:ascii="Arial" w:hAnsi="Arial" w:cs="Arial"/>
          <w:sz w:val="19"/>
          <w:szCs w:val="19"/>
        </w:rPr>
        <w:t>[...]</w:t>
      </w:r>
    </w:p>
    <w:p w14:paraId="1EFBD0D4" w14:textId="77777777" w:rsidR="00D83CE1" w:rsidRPr="009C5188" w:rsidRDefault="00D83CE1" w:rsidP="00D83CE1">
      <w:pPr>
        <w:pStyle w:val="Textonotapie"/>
        <w:ind w:firstLine="708"/>
        <w:jc w:val="both"/>
        <w:rPr>
          <w:rFonts w:ascii="Arial" w:hAnsi="Arial" w:cs="Arial"/>
          <w:sz w:val="19"/>
          <w:szCs w:val="19"/>
        </w:rPr>
      </w:pPr>
      <w:proofErr w:type="gramStart"/>
      <w:r w:rsidRPr="009C5188">
        <w:rPr>
          <w:rFonts w:ascii="Arial" w:hAnsi="Arial" w:cs="Arial"/>
          <w:sz w:val="19"/>
          <w:szCs w:val="19"/>
        </w:rPr>
        <w:t>»El</w:t>
      </w:r>
      <w:proofErr w:type="gramEnd"/>
      <w:r w:rsidRPr="009C5188">
        <w:rPr>
          <w:rFonts w:ascii="Arial" w:hAnsi="Arial" w:cs="Arial"/>
          <w:sz w:val="19"/>
          <w:szCs w:val="19"/>
        </w:rPr>
        <w:t xml:space="preserve">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3D872471" w14:textId="77777777" w:rsidR="00D83CE1" w:rsidRPr="009C5188" w:rsidRDefault="00D83CE1" w:rsidP="00D83CE1">
      <w:pPr>
        <w:pStyle w:val="Textonotapie"/>
        <w:ind w:firstLine="708"/>
        <w:jc w:val="both"/>
        <w:rPr>
          <w:rFonts w:ascii="Arial" w:hAnsi="Arial" w:cs="Arial"/>
          <w:sz w:val="19"/>
          <w:szCs w:val="19"/>
        </w:rPr>
      </w:pPr>
      <w:proofErr w:type="gramStart"/>
      <w:r w:rsidRPr="009C5188">
        <w:rPr>
          <w:rFonts w:ascii="Arial" w:hAnsi="Arial" w:cs="Arial"/>
          <w:sz w:val="19"/>
          <w:szCs w:val="19"/>
        </w:rPr>
        <w:t>»No</w:t>
      </w:r>
      <w:proofErr w:type="gramEnd"/>
      <w:r w:rsidRPr="009C5188">
        <w:rPr>
          <w:rFonts w:ascii="Arial" w:hAnsi="Arial" w:cs="Arial"/>
          <w:sz w:val="19"/>
          <w:szCs w:val="19"/>
        </w:rPr>
        <w:t xml:space="preserve">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048DCB36" w14:textId="77777777" w:rsidR="00D83CE1" w:rsidRPr="009C5188" w:rsidRDefault="00D83CE1" w:rsidP="00D83CE1">
      <w:pPr>
        <w:pStyle w:val="Textonotapie"/>
        <w:jc w:val="both"/>
        <w:rPr>
          <w:rFonts w:ascii="Arial" w:hAnsi="Arial" w:cs="Arial"/>
          <w:sz w:val="19"/>
          <w:szCs w:val="19"/>
          <w:lang w:val="es-ES"/>
        </w:rPr>
      </w:pPr>
    </w:p>
  </w:footnote>
  <w:footnote w:id="6">
    <w:p w14:paraId="4EB98705" w14:textId="77777777" w:rsidR="00D83CE1" w:rsidRPr="009C5188" w:rsidRDefault="00D83CE1" w:rsidP="00D83CE1">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3E7DB1B2" w14:textId="77777777" w:rsidR="00D83CE1" w:rsidRPr="009C5188" w:rsidRDefault="00D83CE1" w:rsidP="00D83CE1">
      <w:pPr>
        <w:pStyle w:val="Textonotapie"/>
        <w:ind w:firstLine="708"/>
        <w:jc w:val="both"/>
        <w:rPr>
          <w:rFonts w:ascii="Arial" w:hAnsi="Arial" w:cs="Arial"/>
          <w:sz w:val="19"/>
          <w:szCs w:val="19"/>
        </w:rPr>
      </w:pPr>
      <w:r w:rsidRPr="009C5188">
        <w:rPr>
          <w:rFonts w:ascii="Arial" w:hAnsi="Arial" w:cs="Arial"/>
          <w:sz w:val="19"/>
          <w:szCs w:val="19"/>
        </w:rPr>
        <w:t>»1.    Si es una persona natural:</w:t>
      </w:r>
    </w:p>
    <w:p w14:paraId="7716BC33" w14:textId="77777777" w:rsidR="00D83CE1" w:rsidRPr="009C5188" w:rsidRDefault="00D83CE1" w:rsidP="00D83CE1">
      <w:pPr>
        <w:pStyle w:val="Textonotapie"/>
        <w:ind w:firstLine="708"/>
        <w:jc w:val="both"/>
        <w:rPr>
          <w:rFonts w:ascii="Arial" w:hAnsi="Arial" w:cs="Arial"/>
          <w:sz w:val="19"/>
          <w:szCs w:val="19"/>
        </w:rPr>
      </w:pPr>
      <w:r w:rsidRPr="009C5188">
        <w:rPr>
          <w:rFonts w:ascii="Arial" w:hAnsi="Arial" w:cs="Arial"/>
          <w:sz w:val="19"/>
          <w:szCs w:val="19"/>
        </w:rPr>
        <w:t>»1.1. Bienes, obras y servicios que ofrecerá a las Entidades Estatales, identificados con el Clasificador de Bienes y Servicios en el tercer nivel.</w:t>
      </w:r>
    </w:p>
    <w:p w14:paraId="3E3ED5C2" w14:textId="77777777" w:rsidR="00D83CE1" w:rsidRPr="009C5188" w:rsidRDefault="00D83CE1" w:rsidP="00D83CE1">
      <w:pPr>
        <w:pStyle w:val="Textonotapie"/>
        <w:ind w:firstLine="708"/>
        <w:jc w:val="both"/>
        <w:rPr>
          <w:rFonts w:ascii="Arial" w:hAnsi="Arial" w:cs="Arial"/>
          <w:sz w:val="19"/>
          <w:szCs w:val="19"/>
        </w:rPr>
      </w:pPr>
      <w:r w:rsidRPr="009C5188">
        <w:rPr>
          <w:rFonts w:ascii="Arial" w:hAnsi="Arial" w:cs="Arial"/>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0B9B363E" w14:textId="77777777" w:rsidR="00D83CE1" w:rsidRPr="009C5188" w:rsidRDefault="00D83CE1" w:rsidP="00D83CE1">
      <w:pPr>
        <w:pStyle w:val="Textonotapie"/>
        <w:ind w:firstLine="708"/>
        <w:jc w:val="both"/>
        <w:rPr>
          <w:rFonts w:ascii="Arial" w:hAnsi="Arial" w:cs="Arial"/>
          <w:sz w:val="19"/>
          <w:szCs w:val="19"/>
          <w:lang w:val="es-ES"/>
        </w:rPr>
      </w:pPr>
    </w:p>
  </w:footnote>
  <w:footnote w:id="7">
    <w:p w14:paraId="5C7C95EE" w14:textId="77777777" w:rsidR="00D83CE1" w:rsidRPr="009C5188" w:rsidRDefault="00D83CE1" w:rsidP="00D83CE1">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3290A826" w14:textId="77777777" w:rsidR="00D83CE1" w:rsidRPr="009C5188" w:rsidRDefault="00D83CE1" w:rsidP="00D83CE1">
      <w:pPr>
        <w:pStyle w:val="Textonotapie"/>
        <w:ind w:firstLine="708"/>
        <w:jc w:val="both"/>
        <w:rPr>
          <w:rFonts w:ascii="Arial" w:hAnsi="Arial" w:cs="Arial"/>
          <w:sz w:val="19"/>
          <w:szCs w:val="19"/>
        </w:rPr>
      </w:pPr>
      <w:proofErr w:type="gramStart"/>
      <w:r w:rsidRPr="009C5188">
        <w:rPr>
          <w:rFonts w:ascii="Arial" w:hAnsi="Arial" w:cs="Arial"/>
          <w:sz w:val="19"/>
          <w:szCs w:val="19"/>
        </w:rPr>
        <w:t>»Los</w:t>
      </w:r>
      <w:proofErr w:type="gramEnd"/>
      <w:r w:rsidRPr="009C5188">
        <w:rPr>
          <w:rFonts w:ascii="Arial" w:hAnsi="Arial" w:cs="Arial"/>
          <w:sz w:val="19"/>
          <w:szCs w:val="19"/>
        </w:rPr>
        <w:t xml:space="preserve">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728F87BA" w14:textId="77777777" w:rsidR="00D83CE1" w:rsidRPr="009C5188" w:rsidRDefault="00D83CE1" w:rsidP="00D83CE1">
      <w:pPr>
        <w:pStyle w:val="Textonotapie"/>
        <w:ind w:firstLine="708"/>
        <w:jc w:val="both"/>
        <w:rPr>
          <w:rFonts w:ascii="Arial" w:hAnsi="Arial" w:cs="Arial"/>
          <w:sz w:val="19"/>
          <w:szCs w:val="19"/>
        </w:rPr>
      </w:pPr>
      <w:r w:rsidRPr="009C5188">
        <w:rPr>
          <w:rFonts w:ascii="Arial" w:hAnsi="Arial" w:cs="Arial"/>
          <w:sz w:val="19"/>
          <w:szCs w:val="19"/>
        </w:rPr>
        <w:t>[...]</w:t>
      </w:r>
    </w:p>
    <w:p w14:paraId="0756E72E" w14:textId="77777777" w:rsidR="00D83CE1" w:rsidRPr="009C5188" w:rsidRDefault="00D83CE1" w:rsidP="00D83CE1">
      <w:pPr>
        <w:pStyle w:val="Textonotapie"/>
        <w:ind w:firstLine="708"/>
        <w:jc w:val="both"/>
        <w:rPr>
          <w:rFonts w:ascii="Arial" w:hAnsi="Arial" w:cs="Arial"/>
          <w:sz w:val="19"/>
          <w:szCs w:val="19"/>
        </w:rPr>
      </w:pPr>
      <w:proofErr w:type="gramStart"/>
      <w:r w:rsidRPr="009C5188">
        <w:rPr>
          <w:rFonts w:ascii="Arial" w:hAnsi="Arial" w:cs="Arial"/>
          <w:sz w:val="19"/>
          <w:szCs w:val="19"/>
        </w:rPr>
        <w:t>»La</w:t>
      </w:r>
      <w:proofErr w:type="gramEnd"/>
      <w:r w:rsidRPr="009C5188">
        <w:rPr>
          <w:rFonts w:ascii="Arial" w:hAnsi="Arial" w:cs="Arial"/>
          <w:sz w:val="19"/>
          <w:szCs w:val="19"/>
        </w:rPr>
        <w:t xml:space="preserve">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2BEF85E3" w14:textId="77777777" w:rsidR="00D83CE1" w:rsidRPr="009C5188" w:rsidRDefault="00D83CE1" w:rsidP="00D83CE1">
      <w:pPr>
        <w:pStyle w:val="Textonotapie"/>
        <w:ind w:firstLine="708"/>
        <w:jc w:val="both"/>
        <w:rPr>
          <w:rFonts w:ascii="Arial" w:hAnsi="Arial" w:cs="Arial"/>
          <w:sz w:val="19"/>
          <w:szCs w:val="19"/>
        </w:rPr>
      </w:pPr>
      <w:proofErr w:type="gramStart"/>
      <w:r w:rsidRPr="009C5188">
        <w:rPr>
          <w:rFonts w:ascii="Arial" w:hAnsi="Arial" w:cs="Arial"/>
          <w:sz w:val="19"/>
          <w:szCs w:val="19"/>
        </w:rPr>
        <w:t>»La</w:t>
      </w:r>
      <w:proofErr w:type="gramEnd"/>
      <w:r w:rsidRPr="009C5188">
        <w:rPr>
          <w:rFonts w:ascii="Arial" w:hAnsi="Arial" w:cs="Arial"/>
          <w:sz w:val="19"/>
          <w:szCs w:val="19"/>
        </w:rPr>
        <w:t xml:space="preserve">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1EF01575" w14:textId="77777777" w:rsidR="00D83CE1" w:rsidRPr="00694D8E" w:rsidRDefault="00D83CE1" w:rsidP="00D83CE1">
      <w:pPr>
        <w:pStyle w:val="Textonotapie"/>
        <w:ind w:firstLine="708"/>
        <w:jc w:val="both"/>
        <w:rPr>
          <w:rFonts w:ascii="Arial" w:hAnsi="Arial" w:cs="Arial"/>
          <w:sz w:val="19"/>
          <w:szCs w:val="19"/>
        </w:rPr>
      </w:pPr>
      <w:r w:rsidRPr="009C5188">
        <w:rPr>
          <w:rFonts w:ascii="Arial" w:hAnsi="Arial" w:cs="Arial"/>
          <w:sz w:val="19"/>
          <w:szCs w:val="19"/>
        </w:rPr>
        <w:t>[...]».</w:t>
      </w:r>
    </w:p>
  </w:footnote>
  <w:footnote w:id="8">
    <w:p w14:paraId="7B73E19F" w14:textId="77777777" w:rsidR="00D83CE1" w:rsidRPr="003513C4" w:rsidRDefault="00D83CE1" w:rsidP="00D83CE1">
      <w:pPr>
        <w:pStyle w:val="Textonotapie"/>
        <w:ind w:firstLine="708"/>
        <w:jc w:val="both"/>
        <w:rPr>
          <w:rFonts w:ascii="Arial" w:hAnsi="Arial" w:cs="Arial"/>
          <w:sz w:val="19"/>
          <w:szCs w:val="19"/>
        </w:rPr>
      </w:pPr>
      <w:r>
        <w:rPr>
          <w:rStyle w:val="Refdenotaalpie"/>
        </w:rPr>
        <w:footnoteRef/>
      </w:r>
      <w:r>
        <w:t xml:space="preserve"> </w:t>
      </w:r>
      <w:r>
        <w:rPr>
          <w:rFonts w:ascii="Arial" w:hAnsi="Arial" w:cs="Arial"/>
          <w:sz w:val="19"/>
          <w:szCs w:val="19"/>
        </w:rPr>
        <w:t>Esta conclusión cambió respecto del concepto C – 002 del 20 de febrero de 2020, para adecuarla a un mejor entendimiento de las normas sobre la experiencia.</w:t>
      </w:r>
    </w:p>
    <w:p w14:paraId="27A392D7" w14:textId="77777777" w:rsidR="00D83CE1" w:rsidRPr="00384698" w:rsidRDefault="00D83CE1" w:rsidP="00D83CE1">
      <w:pPr>
        <w:pStyle w:val="Textonotapie"/>
        <w:ind w:firstLine="708"/>
        <w:jc w:val="both"/>
        <w:rPr>
          <w:lang w:val="es-CO"/>
        </w:rPr>
      </w:pPr>
    </w:p>
  </w:footnote>
  <w:footnote w:id="9">
    <w:p w14:paraId="44284656" w14:textId="77777777" w:rsidR="00F9783A" w:rsidRPr="00A24CD3" w:rsidRDefault="00F9783A" w:rsidP="00F9783A">
      <w:pPr>
        <w:pStyle w:val="Textonotapie"/>
        <w:ind w:firstLine="708"/>
        <w:jc w:val="both"/>
        <w:rPr>
          <w:rFonts w:ascii="Arial" w:hAnsi="Arial" w:cs="Arial"/>
          <w:color w:val="000000" w:themeColor="text1"/>
          <w:sz w:val="19"/>
          <w:szCs w:val="19"/>
          <w:lang w:val="es-CO"/>
        </w:rPr>
      </w:pPr>
      <w:r w:rsidRPr="00A24CD3">
        <w:rPr>
          <w:rStyle w:val="Refdenotaalpie"/>
          <w:rFonts w:ascii="Arial" w:hAnsi="Arial" w:cs="Arial"/>
          <w:color w:val="000000" w:themeColor="text1"/>
          <w:sz w:val="19"/>
          <w:szCs w:val="19"/>
        </w:rPr>
        <w:footnoteRef/>
      </w:r>
      <w:r w:rsidRPr="00A24CD3">
        <w:rPr>
          <w:rFonts w:ascii="Arial" w:hAnsi="Arial" w:cs="Arial"/>
          <w:color w:val="000000" w:themeColor="text1"/>
          <w:sz w:val="19"/>
          <w:szCs w:val="19"/>
        </w:rPr>
        <w:t xml:space="preserve"> Corte Constitucional. </w:t>
      </w:r>
      <w:r w:rsidRPr="00A24CD3">
        <w:rPr>
          <w:rFonts w:ascii="Arial" w:hAnsi="Arial" w:cs="Arial"/>
          <w:color w:val="000000" w:themeColor="text1"/>
          <w:sz w:val="19"/>
          <w:szCs w:val="19"/>
          <w:lang w:val="es-CO"/>
        </w:rPr>
        <w:t xml:space="preserve">Sentencia C </w:t>
      </w:r>
      <w:r w:rsidRPr="00A24CD3">
        <w:rPr>
          <w:rFonts w:ascii="Arial" w:eastAsia="Calibri" w:hAnsi="Arial" w:cs="Arial"/>
          <w:color w:val="000000" w:themeColor="text1"/>
          <w:sz w:val="19"/>
          <w:szCs w:val="19"/>
        </w:rPr>
        <w:t xml:space="preserve">- </w:t>
      </w:r>
      <w:r w:rsidRPr="00A24CD3">
        <w:rPr>
          <w:rFonts w:ascii="Arial" w:hAnsi="Arial" w:cs="Arial"/>
          <w:color w:val="000000" w:themeColor="text1"/>
          <w:sz w:val="19"/>
          <w:szCs w:val="19"/>
          <w:lang w:val="es-CO"/>
        </w:rPr>
        <w:t xml:space="preserve">259 del 11 de marzo 2008. M.P. Jaime Córdoba Triviño. </w:t>
      </w:r>
    </w:p>
  </w:footnote>
  <w:footnote w:id="10">
    <w:p w14:paraId="77711112" w14:textId="77777777" w:rsidR="00D83CE1" w:rsidRPr="004F3C32" w:rsidRDefault="00D83CE1" w:rsidP="00D83CE1">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7A8DD7E" w14:textId="77777777" w:rsidR="00D83CE1" w:rsidRPr="004F3C32" w:rsidRDefault="00D83CE1" w:rsidP="00D83CE1">
      <w:pPr>
        <w:pStyle w:val="Textonotapie"/>
        <w:ind w:firstLine="708"/>
        <w:jc w:val="both"/>
        <w:rPr>
          <w:rFonts w:ascii="Arial" w:hAnsi="Arial" w:cs="Arial"/>
          <w:sz w:val="19"/>
          <w:szCs w:val="19"/>
        </w:rPr>
      </w:pPr>
      <w:r w:rsidRPr="004F3C32">
        <w:rPr>
          <w:rFonts w:ascii="Arial" w:hAnsi="Arial" w:cs="Arial"/>
          <w:sz w:val="19"/>
          <w:szCs w:val="19"/>
        </w:rPr>
        <w:t>[…]</w:t>
      </w:r>
    </w:p>
    <w:p w14:paraId="344611A7" w14:textId="77777777" w:rsidR="00D83CE1" w:rsidRPr="001E7492" w:rsidRDefault="00D83CE1" w:rsidP="00D83CE1">
      <w:pPr>
        <w:pStyle w:val="Textonotapie"/>
        <w:ind w:firstLine="708"/>
        <w:jc w:val="both"/>
        <w:rPr>
          <w:rFonts w:ascii="Arial" w:hAnsi="Arial" w:cs="Arial"/>
          <w:sz w:val="19"/>
          <w:szCs w:val="19"/>
        </w:rPr>
      </w:pPr>
      <w:r w:rsidRPr="00A222AD">
        <w:rPr>
          <w:rFonts w:ascii="Arial" w:hAnsi="Arial" w:cs="Arial"/>
          <w:sz w:val="19"/>
          <w:szCs w:val="19"/>
          <w:shd w:val="clear" w:color="auto" w:fill="FFFFFF"/>
        </w:rPr>
        <w:t>»2.1.   Bienes, obras y servicios que ofrecerá a las Entidades Estatales, identificados con el Clasificador de Bienes y Servicios en el tercer nivel</w:t>
      </w:r>
      <w:r w:rsidRPr="001E7492">
        <w:rPr>
          <w:rFonts w:ascii="Arial" w:hAnsi="Arial" w:cs="Arial"/>
          <w:sz w:val="19"/>
          <w:szCs w:val="19"/>
        </w:rPr>
        <w:t>»</w:t>
      </w:r>
      <w:r w:rsidRPr="00A222AD">
        <w:rPr>
          <w:rFonts w:ascii="Arial" w:hAnsi="Arial" w:cs="Arial"/>
          <w:sz w:val="19"/>
          <w:szCs w:val="19"/>
          <w:shd w:val="clear" w:color="auto" w:fill="FFFFFF"/>
        </w:rPr>
        <w:t>.</w:t>
      </w:r>
    </w:p>
    <w:p w14:paraId="7F1FF633" w14:textId="77777777" w:rsidR="00D83CE1" w:rsidRPr="004F3C32" w:rsidRDefault="00D83CE1" w:rsidP="00D83CE1">
      <w:pPr>
        <w:pStyle w:val="Textonotapie"/>
        <w:ind w:firstLine="708"/>
        <w:jc w:val="both"/>
        <w:rPr>
          <w:rFonts w:ascii="Arial" w:hAnsi="Arial" w:cs="Arial"/>
          <w:sz w:val="19"/>
          <w:szCs w:val="19"/>
          <w:lang w:val="es-CO"/>
        </w:rPr>
      </w:pPr>
    </w:p>
  </w:footnote>
  <w:footnote w:id="11">
    <w:p w14:paraId="08350E1F" w14:textId="77777777" w:rsidR="00D83CE1" w:rsidRPr="004F3C32" w:rsidRDefault="00D83CE1" w:rsidP="00D83CE1">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66B7E05" w14:textId="77777777" w:rsidR="00D83CE1" w:rsidRPr="004F3C32" w:rsidRDefault="00D83CE1" w:rsidP="00D83CE1">
      <w:pPr>
        <w:pStyle w:val="Textonotapie"/>
        <w:ind w:firstLine="708"/>
        <w:jc w:val="both"/>
        <w:rPr>
          <w:rFonts w:ascii="Arial" w:hAnsi="Arial" w:cs="Arial"/>
          <w:sz w:val="19"/>
          <w:szCs w:val="19"/>
        </w:rPr>
      </w:pPr>
      <w:r w:rsidRPr="004F3C32">
        <w:rPr>
          <w:rFonts w:ascii="Arial" w:hAnsi="Arial" w:cs="Arial"/>
          <w:sz w:val="19"/>
          <w:szCs w:val="19"/>
        </w:rPr>
        <w:t>[…]</w:t>
      </w:r>
    </w:p>
    <w:p w14:paraId="14CE7FF4" w14:textId="77777777" w:rsidR="00D83CE1" w:rsidRPr="004F3C32" w:rsidRDefault="00D83CE1" w:rsidP="00D83CE1">
      <w:pPr>
        <w:pStyle w:val="Textonotapie"/>
        <w:ind w:firstLine="708"/>
        <w:jc w:val="both"/>
        <w:rPr>
          <w:rFonts w:ascii="Arial" w:hAnsi="Arial" w:cs="Arial"/>
          <w:sz w:val="19"/>
          <w:szCs w:val="19"/>
          <w:lang w:val="es-CO"/>
        </w:rPr>
      </w:pPr>
      <w:r w:rsidRPr="00A222AD">
        <w:rPr>
          <w:rFonts w:ascii="Arial" w:hAnsi="Arial" w:cs="Arial"/>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222AD">
        <w:rPr>
          <w:rFonts w:ascii="Arial" w:hAnsi="Arial" w:cs="Arial"/>
          <w:sz w:val="19"/>
          <w:szCs w:val="19"/>
          <w:shd w:val="clear" w:color="auto" w:fill="FFFFFF"/>
        </w:rPr>
        <w:softHyphen/>
        <w:t>ficador de Bienes y Servicios en el tercer nivel. Si la constitución del interesado es menor a 3 años, puede acreditar la experiencia de sus accionistas, socios o constituyentes</w:t>
      </w:r>
      <w:r w:rsidRPr="001E7492">
        <w:rPr>
          <w:rFonts w:ascii="Arial" w:hAnsi="Arial" w:cs="Arial"/>
          <w:sz w:val="19"/>
          <w:szCs w:val="19"/>
        </w:rPr>
        <w:t>».</w:t>
      </w:r>
    </w:p>
  </w:footnote>
  <w:footnote w:id="12">
    <w:p w14:paraId="510F6A1D" w14:textId="77777777" w:rsidR="00D83CE1" w:rsidRDefault="00D83CE1" w:rsidP="00D83CE1">
      <w:pPr>
        <w:pStyle w:val="Textonotapie"/>
        <w:ind w:left="708" w:firstLine="1"/>
        <w:rPr>
          <w:rFonts w:ascii="Arial" w:hAnsi="Arial" w:cs="Arial"/>
          <w:sz w:val="19"/>
          <w:szCs w:val="19"/>
        </w:rPr>
      </w:pPr>
      <w:r>
        <w:rPr>
          <w:rStyle w:val="Refdenotaalpie"/>
        </w:rPr>
        <w:footnoteRef/>
      </w:r>
      <w:r>
        <w:t xml:space="preserve"> </w:t>
      </w:r>
      <w:r w:rsidRPr="005B3541">
        <w:rPr>
          <w:rFonts w:ascii="Arial" w:hAnsi="Arial" w:cs="Arial"/>
          <w:sz w:val="19"/>
          <w:szCs w:val="19"/>
        </w:rPr>
        <w:t>Colombia Compra Eficiente. Concepto del 7 de febrero de 2018, Rad. 2201813000000954</w:t>
      </w:r>
      <w:r>
        <w:rPr>
          <w:rFonts w:ascii="Arial" w:hAnsi="Arial" w:cs="Arial"/>
          <w:sz w:val="19"/>
          <w:szCs w:val="19"/>
        </w:rPr>
        <w:t>.</w:t>
      </w:r>
    </w:p>
    <w:p w14:paraId="5766B665" w14:textId="77777777" w:rsidR="00D83CE1" w:rsidRPr="005B3541" w:rsidRDefault="00D83CE1" w:rsidP="00D83CE1">
      <w:pPr>
        <w:pStyle w:val="Textonotapie"/>
        <w:ind w:left="708" w:firstLine="1"/>
      </w:pPr>
    </w:p>
  </w:footnote>
  <w:footnote w:id="13">
    <w:p w14:paraId="1A70350F" w14:textId="77777777" w:rsidR="00D83CE1" w:rsidRPr="00A222AD" w:rsidRDefault="00D83CE1" w:rsidP="00D83CE1">
      <w:pPr>
        <w:pStyle w:val="Textocomentario"/>
        <w:ind w:firstLine="708"/>
        <w:jc w:val="both"/>
        <w:rPr>
          <w:rFonts w:ascii="Arial" w:hAnsi="Arial" w:cs="Arial"/>
          <w:sz w:val="19"/>
          <w:szCs w:val="19"/>
          <w:lang w:val="es-CO"/>
        </w:rPr>
      </w:pPr>
      <w:r w:rsidRPr="00A222AD">
        <w:rPr>
          <w:rStyle w:val="Refdenotaalpie"/>
          <w:rFonts w:ascii="Arial" w:hAnsi="Arial" w:cs="Arial"/>
          <w:sz w:val="19"/>
          <w:szCs w:val="19"/>
        </w:rPr>
        <w:footnoteRef/>
      </w:r>
      <w:r w:rsidRPr="00A222AD">
        <w:rPr>
          <w:rFonts w:ascii="Arial" w:hAnsi="Arial" w:cs="Arial"/>
          <w:sz w:val="19"/>
          <w:szCs w:val="19"/>
        </w:rPr>
        <w:t xml:space="preserve"> En el marco del Estado de emergencia económica, social y ecológica declarado por el Gobierno Nacional a través del Decreto 417 de 2020, a causa de la pandemia mundial desatada por el virus del Covid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 w:id="14">
    <w:p w14:paraId="50767F67" w14:textId="5B9F3794" w:rsidR="00A16779" w:rsidRPr="008D25E0" w:rsidRDefault="00A16779" w:rsidP="008D25E0">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Ver artículos 225 y ss. del Código de Comer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F3E812" w14:textId="77777777" w:rsidR="00876845" w:rsidRPr="00876845" w:rsidRDefault="00AD44C8" w:rsidP="00DE311F">
    <w:pPr>
      <w:pStyle w:val="Encabezado"/>
      <w:rPr>
        <w:sz w:val="32"/>
        <w:szCs w:val="32"/>
      </w:rPr>
    </w:pPr>
  </w:p>
  <w:p w14:paraId="101AAF71" w14:textId="77777777" w:rsidR="00DE311F" w:rsidRDefault="004E68B2" w:rsidP="00DE311F">
    <w:pPr>
      <w:pStyle w:val="Encabezado"/>
    </w:pPr>
    <w:r>
      <w:rPr>
        <w:noProof/>
        <w:lang w:val="en-US"/>
      </w:rPr>
      <w:drawing>
        <wp:anchor distT="0" distB="0" distL="114300" distR="114300" simplePos="0" relativeHeight="251659264" behindDoc="1" locked="0" layoutInCell="1" allowOverlap="1" wp14:anchorId="1FFD8546" wp14:editId="5BEEA319">
          <wp:simplePos x="0" y="0"/>
          <wp:positionH relativeFrom="margin">
            <wp:align>right</wp:align>
          </wp:positionH>
          <wp:positionV relativeFrom="paragraph">
            <wp:posOffset>-155575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C93EAA" w14:textId="77777777" w:rsidR="00DE311F" w:rsidRDefault="00AD44C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884D61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CE1"/>
    <w:rsid w:val="00007501"/>
    <w:rsid w:val="000323F9"/>
    <w:rsid w:val="00130CAA"/>
    <w:rsid w:val="00163141"/>
    <w:rsid w:val="00180D00"/>
    <w:rsid w:val="001A43B8"/>
    <w:rsid w:val="001C64DE"/>
    <w:rsid w:val="00200C5D"/>
    <w:rsid w:val="00223914"/>
    <w:rsid w:val="0024012E"/>
    <w:rsid w:val="00287CD7"/>
    <w:rsid w:val="002C2AE9"/>
    <w:rsid w:val="002E1EC9"/>
    <w:rsid w:val="002F63D6"/>
    <w:rsid w:val="003351C0"/>
    <w:rsid w:val="003D12E5"/>
    <w:rsid w:val="003E186A"/>
    <w:rsid w:val="003E58AC"/>
    <w:rsid w:val="004A193B"/>
    <w:rsid w:val="004E68B2"/>
    <w:rsid w:val="005033DA"/>
    <w:rsid w:val="00520199"/>
    <w:rsid w:val="005735D5"/>
    <w:rsid w:val="005D0389"/>
    <w:rsid w:val="005E3DDA"/>
    <w:rsid w:val="00604FEC"/>
    <w:rsid w:val="00605FCC"/>
    <w:rsid w:val="00610F48"/>
    <w:rsid w:val="0064194C"/>
    <w:rsid w:val="006B5D54"/>
    <w:rsid w:val="006D5C19"/>
    <w:rsid w:val="00727766"/>
    <w:rsid w:val="00781599"/>
    <w:rsid w:val="007954A1"/>
    <w:rsid w:val="007A2DE2"/>
    <w:rsid w:val="007A5DAC"/>
    <w:rsid w:val="007C4766"/>
    <w:rsid w:val="007E5880"/>
    <w:rsid w:val="00805704"/>
    <w:rsid w:val="0081662D"/>
    <w:rsid w:val="00843931"/>
    <w:rsid w:val="00870720"/>
    <w:rsid w:val="008C227F"/>
    <w:rsid w:val="008D1C3C"/>
    <w:rsid w:val="008D25E0"/>
    <w:rsid w:val="008F5E02"/>
    <w:rsid w:val="008F7AA6"/>
    <w:rsid w:val="00907D2F"/>
    <w:rsid w:val="00927380"/>
    <w:rsid w:val="009456E9"/>
    <w:rsid w:val="00950A7E"/>
    <w:rsid w:val="009513C3"/>
    <w:rsid w:val="009F0EF7"/>
    <w:rsid w:val="00A16779"/>
    <w:rsid w:val="00A45926"/>
    <w:rsid w:val="00AD1FA2"/>
    <w:rsid w:val="00B102AC"/>
    <w:rsid w:val="00B67667"/>
    <w:rsid w:val="00B874E7"/>
    <w:rsid w:val="00BE16B0"/>
    <w:rsid w:val="00C04E6F"/>
    <w:rsid w:val="00C0631D"/>
    <w:rsid w:val="00C96294"/>
    <w:rsid w:val="00CA200B"/>
    <w:rsid w:val="00CE1A3A"/>
    <w:rsid w:val="00D00365"/>
    <w:rsid w:val="00D02CC0"/>
    <w:rsid w:val="00D65352"/>
    <w:rsid w:val="00D83CE1"/>
    <w:rsid w:val="00DD4729"/>
    <w:rsid w:val="00DE3ED1"/>
    <w:rsid w:val="00E00FA2"/>
    <w:rsid w:val="00E70212"/>
    <w:rsid w:val="00EA04E6"/>
    <w:rsid w:val="00F07F12"/>
    <w:rsid w:val="00F12073"/>
    <w:rsid w:val="00F13D7B"/>
    <w:rsid w:val="00F421D1"/>
    <w:rsid w:val="00F774E8"/>
    <w:rsid w:val="00F830D4"/>
    <w:rsid w:val="00F9783A"/>
    <w:rsid w:val="00FC7487"/>
    <w:rsid w:val="00FE289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A176D"/>
  <w15:chartTrackingRefBased/>
  <w15:docId w15:val="{35F68F85-045A-4954-92C0-8179336EC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D83C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unhideWhenUsed/>
    <w:rsid w:val="00D83CE1"/>
    <w:pPr>
      <w:spacing w:after="0" w:line="240" w:lineRule="auto"/>
    </w:pPr>
    <w:rPr>
      <w:sz w:val="20"/>
      <w:szCs w:val="20"/>
      <w:lang w:val="es-MX"/>
    </w:rPr>
  </w:style>
  <w:style w:type="character" w:customStyle="1" w:styleId="TextocomentarioCar">
    <w:name w:val="Texto comentario Car"/>
    <w:basedOn w:val="Fuentedeprrafopredeter"/>
    <w:link w:val="Textocomentario"/>
    <w:uiPriority w:val="99"/>
    <w:rsid w:val="00D83CE1"/>
    <w:rPr>
      <w:sz w:val="20"/>
      <w:szCs w:val="20"/>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D83CE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D83CE1"/>
    <w:pPr>
      <w:spacing w:after="0" w:line="240" w:lineRule="auto"/>
    </w:pPr>
    <w:rPr>
      <w:sz w:val="20"/>
      <w:szCs w:val="20"/>
      <w:lang w:val="es-MX"/>
    </w:rPr>
  </w:style>
  <w:style w:type="character" w:customStyle="1" w:styleId="TextonotapieCar1">
    <w:name w:val="Texto nota pie Car1"/>
    <w:basedOn w:val="Fuentedeprrafopredeter"/>
    <w:uiPriority w:val="99"/>
    <w:semiHidden/>
    <w:rsid w:val="00D83CE1"/>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D83CE1"/>
    <w:rPr>
      <w:vertAlign w:val="superscript"/>
    </w:rPr>
  </w:style>
  <w:style w:type="paragraph" w:styleId="Encabezado">
    <w:name w:val="header"/>
    <w:basedOn w:val="Normal"/>
    <w:link w:val="EncabezadoCar"/>
    <w:uiPriority w:val="99"/>
    <w:unhideWhenUsed/>
    <w:rsid w:val="00D83CE1"/>
    <w:pPr>
      <w:tabs>
        <w:tab w:val="center" w:pos="4419"/>
        <w:tab w:val="right" w:pos="8838"/>
      </w:tabs>
      <w:spacing w:after="0" w:line="240" w:lineRule="auto"/>
    </w:pPr>
    <w:rPr>
      <w:sz w:val="24"/>
      <w:lang w:val="es-MX"/>
    </w:rPr>
  </w:style>
  <w:style w:type="character" w:customStyle="1" w:styleId="EncabezadoCar">
    <w:name w:val="Encabezado Car"/>
    <w:basedOn w:val="Fuentedeprrafopredeter"/>
    <w:link w:val="Encabezado"/>
    <w:uiPriority w:val="99"/>
    <w:rsid w:val="00D83CE1"/>
    <w:rPr>
      <w:sz w:val="24"/>
      <w:lang w:val="es-MX"/>
    </w:rPr>
  </w:style>
  <w:style w:type="paragraph" w:styleId="Piedepgina">
    <w:name w:val="footer"/>
    <w:basedOn w:val="Normal"/>
    <w:link w:val="PiedepginaCar"/>
    <w:uiPriority w:val="99"/>
    <w:unhideWhenUsed/>
    <w:rsid w:val="00D83CE1"/>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
    <w:uiPriority w:val="99"/>
    <w:rsid w:val="00D83CE1"/>
    <w:rPr>
      <w:sz w:val="24"/>
      <w:lang w:val="es-MX"/>
    </w:rPr>
  </w:style>
  <w:style w:type="paragraph" w:styleId="Sinespaciado">
    <w:name w:val="No Spacing"/>
    <w:uiPriority w:val="1"/>
    <w:qFormat/>
    <w:rsid w:val="00D83CE1"/>
    <w:pPr>
      <w:spacing w:after="0" w:line="240" w:lineRule="auto"/>
    </w:pPr>
    <w:rPr>
      <w:sz w:val="24"/>
      <w:lang w:val="es-MX"/>
    </w:rPr>
  </w:style>
  <w:style w:type="table" w:customStyle="1" w:styleId="Tablaconcuadrcula1">
    <w:name w:val="Tabla con cuadrícula1"/>
    <w:basedOn w:val="Tablanormal"/>
    <w:next w:val="Tablaconcuadrcula"/>
    <w:uiPriority w:val="39"/>
    <w:qFormat/>
    <w:rsid w:val="00D83C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4A193B"/>
    <w:rPr>
      <w:sz w:val="16"/>
      <w:szCs w:val="16"/>
    </w:rPr>
  </w:style>
  <w:style w:type="paragraph" w:styleId="Asuntodelcomentario">
    <w:name w:val="annotation subject"/>
    <w:basedOn w:val="Textocomentario"/>
    <w:next w:val="Textocomentario"/>
    <w:link w:val="AsuntodelcomentarioCar"/>
    <w:uiPriority w:val="99"/>
    <w:semiHidden/>
    <w:unhideWhenUsed/>
    <w:rsid w:val="004A193B"/>
    <w:pPr>
      <w:spacing w:after="160"/>
    </w:pPr>
    <w:rPr>
      <w:b/>
      <w:bCs/>
      <w:lang w:val="es-CO"/>
    </w:rPr>
  </w:style>
  <w:style w:type="character" w:customStyle="1" w:styleId="AsuntodelcomentarioCar">
    <w:name w:val="Asunto del comentario Car"/>
    <w:basedOn w:val="TextocomentarioCar"/>
    <w:link w:val="Asuntodelcomentario"/>
    <w:uiPriority w:val="99"/>
    <w:semiHidden/>
    <w:rsid w:val="004A193B"/>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8F36EDA0-25FB-4612-89F4-4E09AAD7D576}">
  <ds:schemaRefs>
    <ds:schemaRef ds:uri="http://schemas.openxmlformats.org/officeDocument/2006/bibliography"/>
  </ds:schemaRefs>
</ds:datastoreItem>
</file>

<file path=customXml/itemProps2.xml><?xml version="1.0" encoding="utf-8"?>
<ds:datastoreItem xmlns:ds="http://schemas.openxmlformats.org/officeDocument/2006/customXml" ds:itemID="{BCE52840-2D74-42F2-835E-1BE923386BF8}"/>
</file>

<file path=customXml/itemProps3.xml><?xml version="1.0" encoding="utf-8"?>
<ds:datastoreItem xmlns:ds="http://schemas.openxmlformats.org/officeDocument/2006/customXml" ds:itemID="{6A736D8A-BA84-42BE-A5EA-6C8D7C10B9AF}"/>
</file>

<file path=customXml/itemProps4.xml><?xml version="1.0" encoding="utf-8"?>
<ds:datastoreItem xmlns:ds="http://schemas.openxmlformats.org/officeDocument/2006/customXml" ds:itemID="{1E2559A8-306D-48AF-81FC-75A974A83533}"/>
</file>

<file path=docProps/app.xml><?xml version="1.0" encoding="utf-8"?>
<Properties xmlns="http://schemas.openxmlformats.org/officeDocument/2006/extended-properties" xmlns:vt="http://schemas.openxmlformats.org/officeDocument/2006/docPropsVTypes">
  <Template>Normal</Template>
  <TotalTime>1</TotalTime>
  <Pages>15</Pages>
  <Words>5093</Words>
  <Characters>28012</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Manuel Castillo López</dc:creator>
  <cp:keywords/>
  <dc:description/>
  <cp:lastModifiedBy>Carlos Mario Castrillón Endo</cp:lastModifiedBy>
  <cp:revision>2</cp:revision>
  <dcterms:created xsi:type="dcterms:W3CDTF">2021-03-24T22:23:00Z</dcterms:created>
  <dcterms:modified xsi:type="dcterms:W3CDTF">2021-03-24T22:23:00Z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