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24CE85" w14:textId="77777777" w:rsidR="00714833" w:rsidRPr="00733DDA" w:rsidRDefault="00714833" w:rsidP="00714833">
      <w:pPr>
        <w:tabs>
          <w:tab w:val="left" w:pos="426"/>
        </w:tabs>
        <w:spacing w:after="0" w:line="240" w:lineRule="auto"/>
        <w:rPr>
          <w:rFonts w:ascii="Arial" w:eastAsia="Calibri" w:hAnsi="Arial" w:cs="Arial"/>
          <w:b/>
          <w:bCs/>
          <w:sz w:val="20"/>
          <w:szCs w:val="20"/>
        </w:rPr>
      </w:pPr>
      <w:bookmarkStart w:id="0" w:name="_Hlk77152637"/>
      <w:bookmarkStart w:id="1" w:name="_Hlk77157066"/>
      <w:bookmarkStart w:id="2" w:name="_Hlk78821436"/>
      <w:r w:rsidRPr="00733DDA">
        <w:rPr>
          <w:rFonts w:ascii="Arial" w:eastAsia="Calibri" w:hAnsi="Arial" w:cs="Arial"/>
          <w:b/>
          <w:bCs/>
          <w:sz w:val="20"/>
          <w:szCs w:val="20"/>
        </w:rPr>
        <w:t>LEY DE GARANTÍAS ELECTORALES ‒</w:t>
      </w:r>
      <w:bookmarkEnd w:id="0"/>
      <w:r w:rsidRPr="00733DDA">
        <w:rPr>
          <w:rFonts w:ascii="Arial" w:eastAsia="Calibri" w:hAnsi="Arial" w:cs="Arial"/>
          <w:b/>
          <w:bCs/>
          <w:sz w:val="20"/>
          <w:szCs w:val="20"/>
        </w:rPr>
        <w:t xml:space="preserve"> Tipos de restricciones </w:t>
      </w:r>
      <w:bookmarkStart w:id="3" w:name="_Hlk77157034"/>
      <w:r w:rsidRPr="00733DDA">
        <w:rPr>
          <w:rFonts w:ascii="Arial" w:eastAsia="Calibri" w:hAnsi="Arial" w:cs="Arial"/>
          <w:b/>
          <w:bCs/>
          <w:sz w:val="20"/>
          <w:szCs w:val="20"/>
        </w:rPr>
        <w:t xml:space="preserve">‒ </w:t>
      </w:r>
      <w:bookmarkStart w:id="4" w:name="_Hlk77153098"/>
      <w:bookmarkEnd w:id="3"/>
      <w:r w:rsidRPr="00733DDA">
        <w:rPr>
          <w:rFonts w:ascii="Arial" w:eastAsia="Calibri" w:hAnsi="Arial" w:cs="Arial"/>
          <w:b/>
          <w:bCs/>
          <w:sz w:val="20"/>
          <w:szCs w:val="20"/>
        </w:rPr>
        <w:t xml:space="preserve">Ámbito temporal </w:t>
      </w:r>
      <w:bookmarkEnd w:id="4"/>
    </w:p>
    <w:p w14:paraId="7413A20D" w14:textId="77777777" w:rsidR="00714833" w:rsidRPr="00733DDA" w:rsidRDefault="00714833" w:rsidP="00714833">
      <w:pPr>
        <w:tabs>
          <w:tab w:val="left" w:pos="426"/>
        </w:tabs>
        <w:spacing w:after="0" w:line="240" w:lineRule="auto"/>
        <w:rPr>
          <w:rFonts w:ascii="Arial" w:eastAsia="Calibri" w:hAnsi="Arial" w:cs="Arial"/>
          <w:b/>
          <w:bCs/>
          <w:sz w:val="20"/>
          <w:szCs w:val="20"/>
        </w:rPr>
      </w:pPr>
    </w:p>
    <w:bookmarkEnd w:id="1"/>
    <w:p w14:paraId="303CAF7B" w14:textId="77777777" w:rsidR="00714833" w:rsidRPr="00733DDA" w:rsidRDefault="00714833" w:rsidP="00714833">
      <w:pPr>
        <w:tabs>
          <w:tab w:val="left" w:pos="426"/>
        </w:tabs>
        <w:spacing w:after="0" w:line="240" w:lineRule="auto"/>
        <w:rPr>
          <w:rFonts w:ascii="Arial" w:eastAsia="Calibri" w:hAnsi="Arial" w:cs="Arial"/>
          <w:noProof/>
          <w:sz w:val="20"/>
          <w:szCs w:val="20"/>
          <w:lang w:val="es-ES_tradnl"/>
        </w:rPr>
      </w:pPr>
      <w:r w:rsidRPr="00733DDA">
        <w:rPr>
          <w:rFonts w:ascii="Arial" w:eastAsia="Calibri" w:hAnsi="Arial" w:cs="Arial"/>
          <w:noProof/>
          <w:sz w:val="20"/>
          <w:szCs w:val="20"/>
          <w:lang w:val="es-ES_tradnl"/>
        </w:rPr>
        <w:t>[…] la Ley 996 de 2005 establece dos (2) tipos de restricciones en materia de contratación, las cuales coinciden parcialmente. En primer lugar, la del artículo 33 que opera solo respecto de las elecciones presidenciales, en virtud de la cual queda proscrita la contratación directa dentro de los cuatro (4) meses anteriores a la celebración de los comicios, salvo las citadas excepciones. Sin embargo, si ningún candidato obtiene la mitad más uno de los votos que, de manera secreta y directa, depositen los ciudadanos, se celebrará una nueva votación que tendrá lugar tres semanas más tarde, en la que sólo participarán los dos candidatos que hubieren obtenido las  votaciones más altas, de conformidad con el artículo 190 de la Constitución Política. Para estos efectos, la restricción se extenderá hasta la fecha en la que se realice la segunda vuelta. En segundo lugar, también se encuentra la prohibición del parágrafo del artículo 38, el cual debe aplicarse respecto de cualquier tipo de contienda electoral, y que prohíbe la celebración de convenios interadministrativos que impliquen la ejecución de recursos públicos dentro de los cuatro (4) meses anteriores a la respectiva jornada de votaciones.</w:t>
      </w:r>
    </w:p>
    <w:p w14:paraId="2324C4BF" w14:textId="77777777" w:rsidR="00714833" w:rsidRPr="00733DDA" w:rsidRDefault="00714833" w:rsidP="00714833">
      <w:pPr>
        <w:tabs>
          <w:tab w:val="left" w:pos="426"/>
        </w:tabs>
        <w:spacing w:after="0" w:line="240" w:lineRule="auto"/>
        <w:rPr>
          <w:rFonts w:ascii="Arial" w:eastAsia="Calibri" w:hAnsi="Arial" w:cs="Arial"/>
          <w:noProof/>
          <w:sz w:val="20"/>
          <w:szCs w:val="20"/>
          <w:lang w:val="es-ES_tradnl"/>
        </w:rPr>
      </w:pPr>
    </w:p>
    <w:p w14:paraId="549C9CAA" w14:textId="085C3DFC" w:rsidR="00714833" w:rsidRPr="00733DDA" w:rsidRDefault="00714833" w:rsidP="00714833">
      <w:pPr>
        <w:tabs>
          <w:tab w:val="left" w:pos="426"/>
        </w:tabs>
        <w:spacing w:after="0" w:line="240" w:lineRule="auto"/>
        <w:rPr>
          <w:rFonts w:ascii="Arial" w:eastAsia="Calibri" w:hAnsi="Arial" w:cs="Arial"/>
          <w:b/>
          <w:bCs/>
          <w:sz w:val="20"/>
          <w:szCs w:val="20"/>
        </w:rPr>
      </w:pPr>
      <w:bookmarkStart w:id="5" w:name="_Hlk77165666"/>
      <w:r w:rsidRPr="00733DDA">
        <w:rPr>
          <w:rFonts w:ascii="Arial" w:eastAsia="Calibri" w:hAnsi="Arial" w:cs="Arial"/>
          <w:b/>
          <w:bCs/>
          <w:sz w:val="20"/>
          <w:szCs w:val="20"/>
        </w:rPr>
        <w:t xml:space="preserve">LEY DE GARANTÍAS ELECTORALES ─ Prohibición ‒ </w:t>
      </w:r>
      <w:bookmarkEnd w:id="5"/>
      <w:r w:rsidRPr="00733DDA">
        <w:rPr>
          <w:rFonts w:ascii="Arial" w:eastAsia="Calibri" w:hAnsi="Arial" w:cs="Arial"/>
          <w:b/>
          <w:bCs/>
          <w:sz w:val="20"/>
          <w:szCs w:val="20"/>
        </w:rPr>
        <w:t>Contratación directa ‒ Alcance</w:t>
      </w:r>
      <w:r w:rsidR="00AC1839" w:rsidRPr="00733DDA">
        <w:rPr>
          <w:rFonts w:ascii="Arial" w:eastAsia="Calibri" w:hAnsi="Arial" w:cs="Arial"/>
          <w:b/>
          <w:bCs/>
          <w:sz w:val="20"/>
          <w:szCs w:val="20"/>
        </w:rPr>
        <w:t xml:space="preserve"> – </w:t>
      </w:r>
      <w:r w:rsidR="00AC1839" w:rsidRPr="00733DDA">
        <w:rPr>
          <w:rFonts w:ascii="Arial" w:eastAsia="Times New Roman" w:hAnsi="Arial" w:cs="Arial"/>
          <w:b/>
          <w:bCs/>
          <w:sz w:val="20"/>
          <w:szCs w:val="20"/>
          <w:lang w:val="es-CO" w:eastAsia="es-CO"/>
        </w:rPr>
        <w:t>Excepciones</w:t>
      </w:r>
      <w:r w:rsidRPr="00733DDA">
        <w:rPr>
          <w:rFonts w:ascii="Arial" w:eastAsia="Calibri" w:hAnsi="Arial" w:cs="Arial"/>
          <w:b/>
          <w:bCs/>
          <w:sz w:val="20"/>
          <w:szCs w:val="20"/>
        </w:rPr>
        <w:t xml:space="preserve"> </w:t>
      </w:r>
    </w:p>
    <w:p w14:paraId="17331853" w14:textId="77777777" w:rsidR="00714833" w:rsidRPr="00733DDA" w:rsidRDefault="00714833" w:rsidP="00714833">
      <w:pPr>
        <w:tabs>
          <w:tab w:val="left" w:pos="426"/>
        </w:tabs>
        <w:spacing w:after="0" w:line="240" w:lineRule="auto"/>
        <w:rPr>
          <w:rFonts w:ascii="Arial" w:eastAsia="Calibri" w:hAnsi="Arial" w:cs="Arial"/>
          <w:noProof/>
          <w:sz w:val="20"/>
          <w:szCs w:val="20"/>
        </w:rPr>
      </w:pPr>
    </w:p>
    <w:p w14:paraId="39562481" w14:textId="7978810D" w:rsidR="00714833" w:rsidRPr="00733DDA" w:rsidRDefault="00714833" w:rsidP="00AC1839">
      <w:pPr>
        <w:tabs>
          <w:tab w:val="left" w:pos="426"/>
        </w:tabs>
        <w:spacing w:after="0" w:line="240" w:lineRule="auto"/>
        <w:rPr>
          <w:rFonts w:ascii="Arial" w:eastAsia="Times New Roman" w:hAnsi="Arial" w:cs="Arial"/>
          <w:sz w:val="20"/>
          <w:szCs w:val="20"/>
          <w:lang w:eastAsia="es-ES"/>
        </w:rPr>
      </w:pPr>
      <w:r w:rsidRPr="00733DDA">
        <w:rPr>
          <w:rFonts w:ascii="Arial" w:eastAsia="Calibri" w:hAnsi="Arial" w:cs="Arial"/>
          <w:noProof/>
          <w:sz w:val="20"/>
          <w:szCs w:val="20"/>
        </w:rPr>
        <w:t>[…] la prohibición del artículo 33 de la Ley de Garantías Electorales se refiere a «cualquier sistema que no implique convocatoria pública y posibilidad de pluralidad de oferentes», por lo que excluye las demás modalidades de contratación previstas en la Ley 1150 de 2007, es decir, la licitación pública, la selección abreviada y el concurso de méritos u otros previstos en normas especiales.</w:t>
      </w:r>
    </w:p>
    <w:p w14:paraId="16C63032" w14:textId="77777777" w:rsidR="00856468" w:rsidRPr="00733DDA" w:rsidRDefault="00856468" w:rsidP="00714833">
      <w:pPr>
        <w:shd w:val="clear" w:color="auto" w:fill="FFFFFF"/>
        <w:spacing w:after="0" w:line="240" w:lineRule="auto"/>
        <w:rPr>
          <w:rFonts w:ascii="Arial" w:eastAsia="Times New Roman" w:hAnsi="Arial" w:cs="Arial"/>
          <w:sz w:val="20"/>
          <w:szCs w:val="20"/>
          <w:lang w:val="es-CO" w:eastAsia="es-CO"/>
        </w:rPr>
      </w:pPr>
    </w:p>
    <w:p w14:paraId="38C32961" w14:textId="4ABBA080" w:rsidR="00714833" w:rsidRPr="00733DDA" w:rsidRDefault="00714833" w:rsidP="00714833">
      <w:pPr>
        <w:tabs>
          <w:tab w:val="left" w:pos="426"/>
        </w:tabs>
        <w:spacing w:after="0" w:line="240" w:lineRule="auto"/>
        <w:rPr>
          <w:rFonts w:ascii="Arial" w:hAnsi="Arial" w:cs="Arial"/>
          <w:sz w:val="20"/>
          <w:szCs w:val="20"/>
        </w:rPr>
      </w:pPr>
      <w:r w:rsidRPr="00733DDA">
        <w:rPr>
          <w:rFonts w:ascii="Arial" w:eastAsia="Times New Roman" w:hAnsi="Arial" w:cs="Arial"/>
          <w:sz w:val="20"/>
          <w:szCs w:val="20"/>
          <w:lang w:val="es-CO" w:eastAsia="x-none"/>
        </w:rPr>
        <w:t xml:space="preserve">[…] </w:t>
      </w:r>
      <w:r w:rsidRPr="00733DDA">
        <w:rPr>
          <w:rFonts w:ascii="Arial" w:hAnsi="Arial" w:cs="Arial"/>
          <w:sz w:val="20"/>
          <w:szCs w:val="20"/>
        </w:rPr>
        <w:t xml:space="preserve">las excepciones a la restricción prevista en la Ley de Garantías, con fundamento en las cuales podrán las entidades públicas adelantar procedimientos de selección directa en períodos previos a la contienda electoral por la Presidencia, se encuentran consagradas de manera taxativa en el inciso final del citado artículo 33 de la Ley 996 de 2005 en lo referente a i) la defensa y seguridad del Estado; </w:t>
      </w:r>
      <w:proofErr w:type="spellStart"/>
      <w:r w:rsidRPr="00733DDA">
        <w:rPr>
          <w:rFonts w:ascii="Arial" w:hAnsi="Arial" w:cs="Arial"/>
          <w:sz w:val="20"/>
          <w:szCs w:val="20"/>
        </w:rPr>
        <w:t>ii</w:t>
      </w:r>
      <w:proofErr w:type="spellEnd"/>
      <w:r w:rsidRPr="00733DDA">
        <w:rPr>
          <w:rFonts w:ascii="Arial" w:hAnsi="Arial" w:cs="Arial"/>
          <w:sz w:val="20"/>
          <w:szCs w:val="20"/>
        </w:rPr>
        <w:t xml:space="preserve">) los contratos de crédito público; </w:t>
      </w:r>
      <w:proofErr w:type="spellStart"/>
      <w:r w:rsidRPr="00733DDA">
        <w:rPr>
          <w:rFonts w:ascii="Arial" w:hAnsi="Arial" w:cs="Arial"/>
          <w:sz w:val="20"/>
          <w:szCs w:val="20"/>
        </w:rPr>
        <w:t>iii</w:t>
      </w:r>
      <w:proofErr w:type="spellEnd"/>
      <w:r w:rsidRPr="00733DDA">
        <w:rPr>
          <w:rFonts w:ascii="Arial" w:hAnsi="Arial" w:cs="Arial"/>
          <w:sz w:val="20"/>
          <w:szCs w:val="20"/>
        </w:rPr>
        <w:t xml:space="preserve">) los requeridos para cubrir las emergencias educativas, sanitarias y desastres; </w:t>
      </w:r>
      <w:proofErr w:type="spellStart"/>
      <w:r w:rsidRPr="00733DDA">
        <w:rPr>
          <w:rFonts w:ascii="Arial" w:hAnsi="Arial" w:cs="Arial"/>
          <w:sz w:val="20"/>
          <w:szCs w:val="20"/>
        </w:rPr>
        <w:t>iv</w:t>
      </w:r>
      <w:proofErr w:type="spellEnd"/>
      <w:r w:rsidRPr="00733DDA">
        <w:rPr>
          <w:rFonts w:ascii="Arial" w:hAnsi="Arial" w:cs="Arial"/>
          <w:sz w:val="20"/>
          <w:szCs w:val="20"/>
        </w:rPr>
        <w:t>)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w:t>
      </w:r>
    </w:p>
    <w:p w14:paraId="1B0926EB" w14:textId="4926C5BC" w:rsidR="00AD467E" w:rsidRPr="00733DDA" w:rsidRDefault="00AD467E" w:rsidP="00714833">
      <w:pPr>
        <w:tabs>
          <w:tab w:val="left" w:pos="426"/>
        </w:tabs>
        <w:spacing w:after="0" w:line="240" w:lineRule="auto"/>
        <w:rPr>
          <w:rFonts w:ascii="Arial" w:hAnsi="Arial" w:cs="Arial"/>
          <w:sz w:val="20"/>
          <w:szCs w:val="20"/>
        </w:rPr>
      </w:pPr>
    </w:p>
    <w:p w14:paraId="55B1448C" w14:textId="11FBF50E" w:rsidR="00AD467E" w:rsidRPr="00733DDA" w:rsidRDefault="00AD467E" w:rsidP="00AD467E">
      <w:pPr>
        <w:tabs>
          <w:tab w:val="left" w:pos="426"/>
        </w:tabs>
        <w:spacing w:after="0" w:line="240" w:lineRule="auto"/>
        <w:rPr>
          <w:rFonts w:ascii="Arial" w:eastAsia="Calibri" w:hAnsi="Arial" w:cs="Arial"/>
          <w:b/>
          <w:bCs/>
          <w:sz w:val="20"/>
          <w:szCs w:val="20"/>
        </w:rPr>
      </w:pPr>
      <w:r w:rsidRPr="00733DDA">
        <w:rPr>
          <w:rFonts w:ascii="Arial" w:eastAsia="Calibri" w:hAnsi="Arial" w:cs="Arial"/>
          <w:b/>
          <w:bCs/>
          <w:sz w:val="20"/>
          <w:szCs w:val="20"/>
        </w:rPr>
        <w:t xml:space="preserve">LEY DE GARANTÍAS ELECTORALES ─ Prórrogas, modificaciones o adiciones </w:t>
      </w:r>
      <w:r w:rsidR="00F77A79" w:rsidRPr="00733DDA">
        <w:rPr>
          <w:rFonts w:ascii="Arial" w:eastAsia="Calibri" w:hAnsi="Arial" w:cs="Arial"/>
          <w:b/>
          <w:bCs/>
          <w:sz w:val="20"/>
          <w:szCs w:val="20"/>
        </w:rPr>
        <w:t>– Ejecución contractual</w:t>
      </w:r>
      <w:r w:rsidRPr="00733DDA">
        <w:rPr>
          <w:rFonts w:ascii="Arial" w:eastAsia="Calibri" w:hAnsi="Arial" w:cs="Arial"/>
          <w:b/>
          <w:bCs/>
          <w:sz w:val="20"/>
          <w:szCs w:val="20"/>
        </w:rPr>
        <w:t xml:space="preserve"> </w:t>
      </w:r>
    </w:p>
    <w:p w14:paraId="71812A07" w14:textId="77777777" w:rsidR="00AD467E" w:rsidRPr="00733DDA" w:rsidRDefault="00AD467E" w:rsidP="00AD467E">
      <w:pPr>
        <w:tabs>
          <w:tab w:val="left" w:pos="426"/>
        </w:tabs>
        <w:spacing w:after="0" w:line="240" w:lineRule="auto"/>
        <w:rPr>
          <w:rFonts w:ascii="Arial" w:hAnsi="Arial" w:cs="Arial"/>
          <w:sz w:val="20"/>
          <w:szCs w:val="20"/>
        </w:rPr>
      </w:pPr>
    </w:p>
    <w:p w14:paraId="0D793036" w14:textId="77777777" w:rsidR="00F97847" w:rsidRPr="00733DDA" w:rsidRDefault="00AD467E" w:rsidP="00F97847">
      <w:pPr>
        <w:tabs>
          <w:tab w:val="left" w:pos="426"/>
        </w:tabs>
        <w:spacing w:after="0" w:line="240" w:lineRule="auto"/>
        <w:rPr>
          <w:rFonts w:ascii="Arial" w:hAnsi="Arial" w:cs="Arial"/>
          <w:sz w:val="20"/>
          <w:szCs w:val="20"/>
        </w:rPr>
      </w:pPr>
      <w:r w:rsidRPr="00733DDA">
        <w:rPr>
          <w:rFonts w:ascii="Arial" w:hAnsi="Arial" w:cs="Arial"/>
          <w:sz w:val="20"/>
          <w:szCs w:val="20"/>
        </w:rPr>
        <w:t>[</w:t>
      </w:r>
      <w:r w:rsidR="00F97847" w:rsidRPr="00733DDA">
        <w:rPr>
          <w:rFonts w:ascii="Arial" w:hAnsi="Arial" w:cs="Arial"/>
          <w:sz w:val="20"/>
          <w:szCs w:val="20"/>
        </w:rPr>
        <w:t xml:space="preserve">lo ha manifestado esta Agencia, las prórrogas, modificaciones o adiciones de los contratos suscritos antes de la </w:t>
      </w:r>
      <w:proofErr w:type="gramStart"/>
      <w:r w:rsidR="00F97847" w:rsidRPr="00733DDA">
        <w:rPr>
          <w:rFonts w:ascii="Arial" w:hAnsi="Arial" w:cs="Arial"/>
          <w:sz w:val="20"/>
          <w:szCs w:val="20"/>
        </w:rPr>
        <w:t>entrada en vigencia</w:t>
      </w:r>
      <w:proofErr w:type="gramEnd"/>
      <w:r w:rsidR="00F97847" w:rsidRPr="00733DDA">
        <w:rPr>
          <w:rFonts w:ascii="Arial" w:hAnsi="Arial" w:cs="Arial"/>
          <w:sz w:val="20"/>
          <w:szCs w:val="20"/>
        </w:rPr>
        <w:t xml:space="preserve"> de las prohibiciones anotadas, así como la cesión de los mismos, pueden tener lugar en el período de aplicación de la Ley de Garantías, sin que ello haga nugatoria la restricción de la contratación directa y siempre que cumplan los principios de planeación, transparencia y responsabilidad.</w:t>
      </w:r>
    </w:p>
    <w:p w14:paraId="321730C7" w14:textId="634005EF" w:rsidR="00714833" w:rsidRPr="00733DDA" w:rsidRDefault="00F97847" w:rsidP="00F97847">
      <w:pPr>
        <w:tabs>
          <w:tab w:val="left" w:pos="426"/>
        </w:tabs>
        <w:spacing w:after="0" w:line="240" w:lineRule="auto"/>
        <w:rPr>
          <w:rFonts w:ascii="Arial" w:hAnsi="Arial" w:cs="Arial"/>
          <w:sz w:val="20"/>
          <w:szCs w:val="20"/>
        </w:rPr>
      </w:pPr>
      <w:r w:rsidRPr="00733DDA">
        <w:rPr>
          <w:rFonts w:ascii="Arial" w:hAnsi="Arial" w:cs="Arial"/>
          <w:sz w:val="20"/>
          <w:szCs w:val="20"/>
        </w:rPr>
        <w:t xml:space="preserve">Para estos efectos, lo importante es que el contrato se haya perfeccionado antes del inicio de la prohibición. Al respecto, el numeral 5.6 de la Circular Externa Única de Colombia Compra Eficiente explica que «La realización del registro presupuestal y la aprobación de la garantía </w:t>
      </w:r>
      <w:r w:rsidRPr="00733DDA">
        <w:rPr>
          <w:rFonts w:ascii="Arial" w:hAnsi="Arial" w:cs="Arial"/>
          <w:sz w:val="20"/>
          <w:szCs w:val="20"/>
        </w:rPr>
        <w:lastRenderedPageBreak/>
        <w:t>se pueden realizar con posterioridad a la entrada en vigor de la Ley de Garantías por ser requisitos de ejecución del contrato, pero no requeridos para su perfeccionamiento». Por ello, también es posible que el contrato se ejecute durante la vigencia de la prohibición, siempre que el negocio jurídico se haya suscrito antes de que comience la restricción.</w:t>
      </w:r>
    </w:p>
    <w:p w14:paraId="2A308B66" w14:textId="77777777" w:rsidR="00F97847" w:rsidRPr="00733DDA" w:rsidRDefault="00F97847" w:rsidP="00F97847">
      <w:pPr>
        <w:tabs>
          <w:tab w:val="left" w:pos="426"/>
        </w:tabs>
        <w:spacing w:after="0" w:line="240" w:lineRule="auto"/>
        <w:rPr>
          <w:rFonts w:ascii="Arial" w:eastAsia="Calibri" w:hAnsi="Arial" w:cs="Arial"/>
          <w:noProof/>
          <w:sz w:val="20"/>
          <w:szCs w:val="20"/>
          <w:lang w:val="es-CO"/>
        </w:rPr>
      </w:pPr>
    </w:p>
    <w:p w14:paraId="3EB70129" w14:textId="47A06798" w:rsidR="00714833" w:rsidRPr="00733DDA" w:rsidRDefault="00714833" w:rsidP="00714833">
      <w:pPr>
        <w:spacing w:after="0" w:line="240" w:lineRule="auto"/>
        <w:rPr>
          <w:rFonts w:ascii="Arial" w:eastAsia="Times New Roman" w:hAnsi="Arial" w:cs="Arial"/>
          <w:b/>
          <w:sz w:val="20"/>
          <w:szCs w:val="20"/>
          <w:lang w:val="es-ES" w:eastAsia="es-CO"/>
        </w:rPr>
      </w:pPr>
      <w:r w:rsidRPr="00733DDA">
        <w:rPr>
          <w:rFonts w:ascii="Arial" w:eastAsia="Times New Roman" w:hAnsi="Arial" w:cs="Arial"/>
          <w:b/>
          <w:bCs/>
          <w:sz w:val="20"/>
          <w:szCs w:val="20"/>
          <w:lang w:val="es-CO" w:eastAsia="es-CO"/>
        </w:rPr>
        <w:t xml:space="preserve">LEY DE GARANTÍAS ELECTORALES </w:t>
      </w:r>
      <w:bookmarkStart w:id="6" w:name="_Hlk77166669"/>
      <w:r w:rsidRPr="00733DDA">
        <w:rPr>
          <w:rFonts w:ascii="Arial" w:eastAsia="Times New Roman" w:hAnsi="Arial" w:cs="Arial"/>
          <w:b/>
          <w:bCs/>
          <w:sz w:val="20"/>
          <w:szCs w:val="20"/>
          <w:lang w:val="es-CO" w:eastAsia="es-CO"/>
        </w:rPr>
        <w:t>‒</w:t>
      </w:r>
      <w:bookmarkEnd w:id="6"/>
      <w:r w:rsidRPr="00733DDA">
        <w:rPr>
          <w:rFonts w:ascii="Arial" w:eastAsia="Times New Roman" w:hAnsi="Arial" w:cs="Arial"/>
          <w:b/>
          <w:bCs/>
          <w:sz w:val="20"/>
          <w:szCs w:val="20"/>
          <w:lang w:val="es-CO" w:eastAsia="es-CO"/>
        </w:rPr>
        <w:t xml:space="preserve"> </w:t>
      </w:r>
      <w:r w:rsidRPr="00733DDA">
        <w:rPr>
          <w:rFonts w:ascii="Arial" w:eastAsia="Times New Roman" w:hAnsi="Arial" w:cs="Arial"/>
          <w:b/>
          <w:sz w:val="20"/>
          <w:szCs w:val="20"/>
          <w:lang w:val="es-ES" w:eastAsia="es-CO"/>
        </w:rPr>
        <w:t xml:space="preserve">Prohibición del artículo 33 </w:t>
      </w:r>
      <w:r w:rsidRPr="00733DDA">
        <w:rPr>
          <w:rFonts w:ascii="Arial" w:eastAsia="Times New Roman" w:hAnsi="Arial" w:cs="Arial"/>
          <w:b/>
          <w:bCs/>
          <w:sz w:val="20"/>
          <w:szCs w:val="20"/>
          <w:lang w:val="es-CO" w:eastAsia="es-CO"/>
        </w:rPr>
        <w:t>‒ Destinatarios</w:t>
      </w:r>
    </w:p>
    <w:p w14:paraId="0DB44496" w14:textId="77777777" w:rsidR="00714833" w:rsidRPr="00733DDA" w:rsidRDefault="00714833" w:rsidP="00714833">
      <w:pPr>
        <w:tabs>
          <w:tab w:val="left" w:pos="426"/>
        </w:tabs>
        <w:spacing w:after="0" w:line="240" w:lineRule="auto"/>
        <w:rPr>
          <w:rFonts w:ascii="Arial" w:eastAsia="Calibri" w:hAnsi="Arial" w:cs="Arial"/>
          <w:noProof/>
          <w:sz w:val="20"/>
          <w:szCs w:val="20"/>
          <w:lang w:val="es-ES"/>
        </w:rPr>
      </w:pPr>
    </w:p>
    <w:p w14:paraId="57B7D4EE" w14:textId="7E74691C" w:rsidR="00F77A79" w:rsidRPr="00733DDA" w:rsidRDefault="00714833" w:rsidP="00714833">
      <w:pPr>
        <w:tabs>
          <w:tab w:val="left" w:pos="426"/>
        </w:tabs>
        <w:spacing w:after="0" w:line="240" w:lineRule="auto"/>
        <w:rPr>
          <w:rFonts w:ascii="Arial" w:eastAsia="Calibri" w:hAnsi="Arial" w:cs="Arial"/>
          <w:noProof/>
          <w:sz w:val="20"/>
          <w:szCs w:val="20"/>
          <w:lang w:val="es-CO"/>
        </w:rPr>
      </w:pPr>
      <w:r w:rsidRPr="00733DDA">
        <w:rPr>
          <w:rFonts w:ascii="Arial" w:eastAsia="Calibri" w:hAnsi="Arial" w:cs="Arial"/>
          <w:noProof/>
          <w:sz w:val="20"/>
          <w:szCs w:val="20"/>
          <w:lang w:val="es-CO"/>
        </w:rPr>
        <w:t>El artículo 33 de la Ley 996 de 2005 señala expresamente a los destinatarios de la prohibición, en el sentido de que son «todos los entes del Estado», expresión que contempla a los diferentes organismos o entidades autorizadas por la ley para suscribir contratos. En efecto, tal como lo ha sostenido el Consejo de Estado, el vocablo «todos» utilizado por el legislador comprende a la totalidad de los entes del Estado, sin distinción del régimen jurídico, forma de organización o naturaleza, su pertenencia a una u otra rama del poder público o su autonomía, e incluso si las entidades estatales tienen régimen especial de contratación y están exceptuadas del ámbito de aplicación del Estatuto General de Contratación de la Administración Pública.</w:t>
      </w:r>
    </w:p>
    <w:p w14:paraId="595AC337" w14:textId="2DC4EA0F" w:rsidR="00925B47" w:rsidRPr="00733DDA" w:rsidRDefault="00925B47" w:rsidP="00714833">
      <w:pPr>
        <w:tabs>
          <w:tab w:val="left" w:pos="426"/>
        </w:tabs>
        <w:spacing w:after="0" w:line="240" w:lineRule="auto"/>
        <w:rPr>
          <w:rFonts w:ascii="Arial" w:eastAsia="Calibri" w:hAnsi="Arial" w:cs="Arial"/>
          <w:noProof/>
          <w:sz w:val="22"/>
          <w:lang w:val="es-CO"/>
        </w:rPr>
      </w:pPr>
    </w:p>
    <w:p w14:paraId="765406D4" w14:textId="08071556" w:rsidR="00925B47" w:rsidRPr="00733DDA" w:rsidRDefault="00925B47" w:rsidP="00714833">
      <w:pPr>
        <w:tabs>
          <w:tab w:val="left" w:pos="426"/>
        </w:tabs>
        <w:spacing w:after="0" w:line="240" w:lineRule="auto"/>
        <w:rPr>
          <w:rFonts w:ascii="Arial" w:eastAsia="Calibri" w:hAnsi="Arial" w:cs="Arial"/>
          <w:b/>
          <w:noProof/>
          <w:sz w:val="22"/>
          <w:lang w:val="es-CO"/>
        </w:rPr>
      </w:pPr>
      <w:r w:rsidRPr="00733DDA">
        <w:rPr>
          <w:rFonts w:ascii="Arial" w:eastAsia="Calibri" w:hAnsi="Arial" w:cs="Arial"/>
          <w:b/>
          <w:noProof/>
          <w:sz w:val="22"/>
          <w:lang w:val="es-CO"/>
        </w:rPr>
        <w:t xml:space="preserve">LEY DE GARANTÍAS ELECTORALES – Enajenación voluntaria – Ley 388 de 1997 – Restricción – Artículo 33 – Aplicablidad </w:t>
      </w:r>
    </w:p>
    <w:p w14:paraId="29C51A4F" w14:textId="48D37CC3" w:rsidR="00925B47" w:rsidRPr="00733DDA" w:rsidRDefault="00925B47" w:rsidP="00714833">
      <w:pPr>
        <w:tabs>
          <w:tab w:val="left" w:pos="426"/>
        </w:tabs>
        <w:spacing w:after="0" w:line="240" w:lineRule="auto"/>
        <w:rPr>
          <w:rFonts w:ascii="Arial" w:eastAsia="Calibri" w:hAnsi="Arial" w:cs="Arial"/>
          <w:noProof/>
          <w:sz w:val="20"/>
          <w:szCs w:val="20"/>
          <w:lang w:val="es-CO"/>
        </w:rPr>
      </w:pPr>
    </w:p>
    <w:p w14:paraId="6DC8614C" w14:textId="77777777" w:rsidR="00F97847" w:rsidRPr="00733DDA" w:rsidRDefault="00F97847" w:rsidP="00F97847">
      <w:pPr>
        <w:spacing w:before="120" w:after="120" w:line="240" w:lineRule="auto"/>
        <w:rPr>
          <w:rFonts w:ascii="Arial" w:eastAsia="Times New Roman" w:hAnsi="Arial" w:cs="Arial"/>
          <w:bCs/>
          <w:sz w:val="20"/>
          <w:szCs w:val="20"/>
          <w:lang w:eastAsia="x-none"/>
        </w:rPr>
      </w:pPr>
      <w:r w:rsidRPr="00733DDA">
        <w:rPr>
          <w:rFonts w:ascii="Arial" w:eastAsia="Times New Roman" w:hAnsi="Arial" w:cs="Arial"/>
          <w:bCs/>
          <w:sz w:val="20"/>
          <w:szCs w:val="20"/>
          <w:lang w:eastAsia="x-none"/>
        </w:rPr>
        <w:t>L</w:t>
      </w:r>
      <w:r w:rsidRPr="00733DDA">
        <w:rPr>
          <w:rFonts w:ascii="Arial" w:eastAsia="Times New Roman" w:hAnsi="Arial" w:cs="Arial"/>
          <w:bCs/>
          <w:sz w:val="20"/>
          <w:szCs w:val="20"/>
          <w:lang w:eastAsia="x-none"/>
        </w:rPr>
        <w:t xml:space="preserve">a regla establecida en este concepto es que los procesos de adquisición de predios por negociación directa de que trata la Ley 160 de 1994, es decir, los que se surten conforme con las reglas establecidas en la Ley 9 de 1989, modificada por la ley 388 de 1997, están cobijadas por la restricción a la contratación directa del artículo 33 de la ley de Garantías Electorales, pues en aquellos no hay concurrencia de pluralidad de oferentes. </w:t>
      </w:r>
    </w:p>
    <w:p w14:paraId="24DE2B8A" w14:textId="43068FD3" w:rsidR="00F97847" w:rsidRPr="00733DDA" w:rsidRDefault="00F97847" w:rsidP="00F97847">
      <w:pPr>
        <w:spacing w:before="120" w:after="120" w:line="240" w:lineRule="auto"/>
        <w:rPr>
          <w:rFonts w:ascii="Arial" w:eastAsia="Times New Roman" w:hAnsi="Arial" w:cs="Arial"/>
          <w:bCs/>
          <w:sz w:val="20"/>
          <w:szCs w:val="20"/>
          <w:lang w:eastAsia="x-none"/>
        </w:rPr>
      </w:pPr>
      <w:r w:rsidRPr="00733DDA">
        <w:rPr>
          <w:rFonts w:ascii="Arial" w:eastAsia="Times New Roman" w:hAnsi="Arial" w:cs="Arial"/>
          <w:bCs/>
          <w:sz w:val="20"/>
          <w:szCs w:val="20"/>
          <w:lang w:eastAsia="x-none"/>
        </w:rPr>
        <w:t xml:space="preserve">En este orden de ideas, el proceso de enajenación voluntaria de que trata la Ley 388 de 1997, aunque no haga parte del sistema de compras públicas, está sometido a las prohibiciones previstas en la Ley de Garantías Electorales, porque estas normas no están dirigidas exclusivamente a los procesos de contratación del sistema de compras públicas, sino que son transversales a la actuación de las entidades estatales cuyos procesos de contratación no sean competitivos. Así las cosas, en vigencia de la prohibición contenida en el artículo 33 de la Ley 996 de 2005, las entidades públicas no pueden adelantar </w:t>
      </w:r>
      <w:r w:rsidRPr="00733DDA">
        <w:rPr>
          <w:rFonts w:ascii="Arial" w:eastAsia="Times New Roman" w:hAnsi="Arial" w:cs="Arial"/>
          <w:bCs/>
          <w:i/>
          <w:iCs/>
          <w:sz w:val="20"/>
          <w:szCs w:val="20"/>
          <w:lang w:eastAsia="x-none"/>
        </w:rPr>
        <w:t>de manera directa</w:t>
      </w:r>
      <w:r w:rsidRPr="00733DDA">
        <w:rPr>
          <w:rFonts w:ascii="Arial" w:eastAsia="Times New Roman" w:hAnsi="Arial" w:cs="Arial"/>
          <w:bCs/>
          <w:sz w:val="20"/>
          <w:szCs w:val="20"/>
          <w:lang w:eastAsia="x-none"/>
        </w:rPr>
        <w:t xml:space="preserve"> procedimientos de enajenación voluntaria de predios, salvo que se presente alguna de las excepciones taxativas establecidas en dicha norma.</w:t>
      </w:r>
    </w:p>
    <w:p w14:paraId="746612D6" w14:textId="77777777" w:rsidR="00925B47" w:rsidRPr="00733DDA" w:rsidRDefault="00925B47" w:rsidP="00714833">
      <w:pPr>
        <w:tabs>
          <w:tab w:val="left" w:pos="426"/>
        </w:tabs>
        <w:spacing w:after="0" w:line="240" w:lineRule="auto"/>
        <w:rPr>
          <w:rFonts w:ascii="Arial" w:eastAsia="Calibri" w:hAnsi="Arial" w:cs="Arial"/>
          <w:noProof/>
          <w:sz w:val="20"/>
          <w:szCs w:val="20"/>
        </w:rPr>
      </w:pPr>
    </w:p>
    <w:p w14:paraId="0C2EFA50" w14:textId="77777777" w:rsidR="00F77A79" w:rsidRPr="00733DDA" w:rsidRDefault="00F77A79">
      <w:pPr>
        <w:rPr>
          <w:rFonts w:ascii="Arial" w:eastAsia="Calibri" w:hAnsi="Arial" w:cs="Arial"/>
          <w:noProof/>
          <w:sz w:val="20"/>
          <w:szCs w:val="20"/>
          <w:lang w:val="es-CO"/>
        </w:rPr>
      </w:pPr>
      <w:r w:rsidRPr="00733DDA">
        <w:rPr>
          <w:rFonts w:ascii="Arial" w:eastAsia="Calibri" w:hAnsi="Arial" w:cs="Arial"/>
          <w:noProof/>
          <w:sz w:val="20"/>
          <w:szCs w:val="20"/>
          <w:lang w:val="es-CO"/>
        </w:rPr>
        <w:br w:type="page"/>
      </w:r>
    </w:p>
    <w:p w14:paraId="1F53C937" w14:textId="41DEA145" w:rsidR="00152CA8" w:rsidRPr="00733DDA" w:rsidRDefault="00152CA8" w:rsidP="00E7700C">
      <w:pPr>
        <w:spacing w:after="0"/>
        <w:jc w:val="right"/>
        <w:rPr>
          <w:rFonts w:ascii="Arial" w:eastAsia="Times New Roman" w:hAnsi="Arial" w:cs="Arial"/>
          <w:b/>
          <w:bCs/>
          <w:sz w:val="16"/>
          <w:szCs w:val="16"/>
          <w:lang w:val="es-CO" w:eastAsia="es-ES"/>
        </w:rPr>
      </w:pPr>
      <w:bookmarkStart w:id="7" w:name="_Hlk29890381"/>
      <w:bookmarkEnd w:id="2"/>
      <w:bookmarkEnd w:id="7"/>
      <w:r w:rsidRPr="00733DDA">
        <w:rPr>
          <w:rFonts w:ascii="Arial" w:eastAsia="Times New Roman" w:hAnsi="Arial" w:cs="Arial"/>
          <w:b/>
          <w:bCs/>
          <w:sz w:val="16"/>
          <w:szCs w:val="16"/>
          <w:lang w:val="es-CO" w:eastAsia="es-ES"/>
        </w:rPr>
        <w:lastRenderedPageBreak/>
        <w:t>CCE-DES-FM-17</w:t>
      </w:r>
    </w:p>
    <w:p w14:paraId="14DD9C26" w14:textId="1746F2AA" w:rsidR="00F97847" w:rsidRPr="00733DDA" w:rsidRDefault="00F97847" w:rsidP="00E7700C">
      <w:pPr>
        <w:spacing w:after="0"/>
        <w:jc w:val="right"/>
        <w:rPr>
          <w:rFonts w:ascii="Arial" w:eastAsia="Calibri" w:hAnsi="Arial" w:cs="Arial"/>
          <w:b/>
          <w:bCs/>
          <w:sz w:val="16"/>
          <w:szCs w:val="16"/>
          <w:lang w:val="es-CO"/>
        </w:rPr>
      </w:pPr>
      <w:r w:rsidRPr="00733DDA">
        <w:rPr>
          <w:noProof/>
        </w:rPr>
        <w:drawing>
          <wp:inline distT="0" distB="0" distL="0" distR="0" wp14:anchorId="17D8253F" wp14:editId="5A19B249">
            <wp:extent cx="2447925" cy="676275"/>
            <wp:effectExtent l="0" t="0" r="9525" b="9525"/>
            <wp:docPr id="3" name="Imagen 3"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Texto&#10;&#10;Descripción generada automáticamente"/>
                    <pic:cNvPicPr/>
                  </pic:nvPicPr>
                  <pic:blipFill>
                    <a:blip r:embed="rId11"/>
                    <a:stretch>
                      <a:fillRect/>
                    </a:stretch>
                  </pic:blipFill>
                  <pic:spPr>
                    <a:xfrm>
                      <a:off x="0" y="0"/>
                      <a:ext cx="2447925" cy="676275"/>
                    </a:xfrm>
                    <a:prstGeom prst="rect">
                      <a:avLst/>
                    </a:prstGeom>
                  </pic:spPr>
                </pic:pic>
              </a:graphicData>
            </a:graphic>
          </wp:inline>
        </w:drawing>
      </w:r>
    </w:p>
    <w:p w14:paraId="745983A2" w14:textId="5702C196" w:rsidR="002B72C0" w:rsidRPr="00733DDA" w:rsidRDefault="002B72C0" w:rsidP="000641BE">
      <w:pPr>
        <w:tabs>
          <w:tab w:val="left" w:pos="3374"/>
        </w:tabs>
        <w:spacing w:after="0" w:line="240" w:lineRule="auto"/>
        <w:rPr>
          <w:rFonts w:ascii="Arial" w:hAnsi="Arial" w:cs="Arial"/>
          <w:sz w:val="22"/>
        </w:rPr>
      </w:pPr>
    </w:p>
    <w:p w14:paraId="3A62A060" w14:textId="77777777" w:rsidR="009F596F" w:rsidRPr="00733DDA" w:rsidRDefault="009F596F" w:rsidP="00546AC5">
      <w:pPr>
        <w:tabs>
          <w:tab w:val="left" w:pos="3374"/>
        </w:tabs>
        <w:spacing w:after="0" w:line="240" w:lineRule="auto"/>
        <w:rPr>
          <w:rFonts w:ascii="Arial" w:hAnsi="Arial" w:cs="Arial"/>
          <w:sz w:val="22"/>
        </w:rPr>
      </w:pPr>
    </w:p>
    <w:p w14:paraId="399E4869" w14:textId="3AB984C5" w:rsidR="008565DC" w:rsidRPr="00733DDA" w:rsidRDefault="008565DC" w:rsidP="008565DC">
      <w:pPr>
        <w:rPr>
          <w:rFonts w:ascii="Arial" w:hAnsi="Arial" w:cs="Arial"/>
          <w:b/>
          <w:color w:val="000000" w:themeColor="text1"/>
          <w:sz w:val="22"/>
        </w:rPr>
      </w:pPr>
      <w:r w:rsidRPr="00733DDA">
        <w:rPr>
          <w:rFonts w:ascii="Arial" w:hAnsi="Arial" w:cs="Arial"/>
          <w:color w:val="000000" w:themeColor="text1"/>
          <w:sz w:val="22"/>
        </w:rPr>
        <w:t xml:space="preserve">Bogotá D.C., </w:t>
      </w:r>
      <w:r w:rsidR="00F97847" w:rsidRPr="00733DDA">
        <w:rPr>
          <w:rFonts w:ascii="Arial" w:hAnsi="Arial" w:cs="Arial"/>
          <w:color w:val="000000" w:themeColor="text1"/>
          <w:sz w:val="22"/>
        </w:rPr>
        <w:t xml:space="preserve">17 </w:t>
      </w:r>
      <w:proofErr w:type="gramStart"/>
      <w:r w:rsidR="00F97847" w:rsidRPr="00733DDA">
        <w:rPr>
          <w:rFonts w:ascii="Arial" w:hAnsi="Arial" w:cs="Arial"/>
          <w:color w:val="000000" w:themeColor="text1"/>
          <w:sz w:val="22"/>
        </w:rPr>
        <w:t>Marzo</w:t>
      </w:r>
      <w:proofErr w:type="gramEnd"/>
      <w:r w:rsidR="00F97847" w:rsidRPr="00733DDA">
        <w:rPr>
          <w:rFonts w:ascii="Arial" w:hAnsi="Arial" w:cs="Arial"/>
          <w:color w:val="000000" w:themeColor="text1"/>
          <w:sz w:val="22"/>
        </w:rPr>
        <w:t xml:space="preserve"> 2022</w:t>
      </w:r>
    </w:p>
    <w:p w14:paraId="6A81B1B9" w14:textId="77777777" w:rsidR="00303D47" w:rsidRPr="00733DDA" w:rsidRDefault="00303D47" w:rsidP="000641BE">
      <w:pPr>
        <w:spacing w:after="0" w:line="240" w:lineRule="auto"/>
        <w:rPr>
          <w:rFonts w:ascii="Arial" w:eastAsia="Calibri" w:hAnsi="Arial" w:cs="Arial"/>
          <w:sz w:val="22"/>
          <w:lang w:val="es-CO"/>
        </w:rPr>
      </w:pPr>
    </w:p>
    <w:p w14:paraId="0C04D954" w14:textId="70E9B5A3" w:rsidR="00E206ED" w:rsidRPr="00733DDA" w:rsidRDefault="00F51836" w:rsidP="000641BE">
      <w:pPr>
        <w:spacing w:after="0" w:line="240" w:lineRule="auto"/>
        <w:rPr>
          <w:rFonts w:ascii="Arial" w:eastAsia="Calibri" w:hAnsi="Arial" w:cs="Arial"/>
          <w:sz w:val="22"/>
          <w:lang w:val="es-CO"/>
        </w:rPr>
      </w:pPr>
      <w:r w:rsidRPr="00733DDA">
        <w:rPr>
          <w:rFonts w:ascii="Arial" w:eastAsia="Calibri" w:hAnsi="Arial" w:cs="Arial"/>
          <w:sz w:val="22"/>
          <w:lang w:val="es-CO"/>
        </w:rPr>
        <w:t xml:space="preserve">Señora </w:t>
      </w:r>
    </w:p>
    <w:p w14:paraId="69FEA94F" w14:textId="150E8098" w:rsidR="0098054E" w:rsidRPr="00733DDA" w:rsidRDefault="00F51836" w:rsidP="000641BE">
      <w:pPr>
        <w:spacing w:after="0" w:line="240" w:lineRule="auto"/>
        <w:rPr>
          <w:rFonts w:ascii="Arial" w:eastAsia="Calibri" w:hAnsi="Arial" w:cs="Arial"/>
          <w:b/>
          <w:sz w:val="22"/>
          <w:lang w:val="es-CO"/>
        </w:rPr>
      </w:pPr>
      <w:r w:rsidRPr="00733DDA">
        <w:rPr>
          <w:rFonts w:ascii="Arial" w:eastAsia="Calibri" w:hAnsi="Arial" w:cs="Arial"/>
          <w:b/>
          <w:sz w:val="22"/>
          <w:lang w:val="es-CO"/>
        </w:rPr>
        <w:t xml:space="preserve">Lizeth López Fonseca </w:t>
      </w:r>
    </w:p>
    <w:p w14:paraId="72352372" w14:textId="3D7A0781" w:rsidR="00303D47" w:rsidRPr="00733DDA" w:rsidRDefault="00F51836">
      <w:pPr>
        <w:spacing w:after="0" w:line="240" w:lineRule="auto"/>
        <w:rPr>
          <w:rFonts w:ascii="Arial" w:eastAsia="Calibri" w:hAnsi="Arial" w:cs="Arial"/>
          <w:sz w:val="22"/>
          <w:lang w:val="es-CO"/>
        </w:rPr>
      </w:pPr>
      <w:r w:rsidRPr="00733DDA">
        <w:rPr>
          <w:rFonts w:ascii="Arial" w:eastAsia="Calibri" w:hAnsi="Arial" w:cs="Arial"/>
          <w:bCs/>
          <w:sz w:val="22"/>
          <w:lang w:val="es-CO"/>
        </w:rPr>
        <w:t>Ciudad</w:t>
      </w:r>
    </w:p>
    <w:p w14:paraId="6AC2AE5F" w14:textId="77777777" w:rsidR="00975490" w:rsidRPr="00733DDA" w:rsidRDefault="00975490" w:rsidP="00975490">
      <w:pPr>
        <w:spacing w:after="0" w:line="240" w:lineRule="auto"/>
        <w:rPr>
          <w:rFonts w:ascii="Arial" w:eastAsia="Calibri" w:hAnsi="Arial" w:cs="Arial"/>
          <w:sz w:val="22"/>
          <w:lang w:val="es-CO"/>
        </w:rPr>
      </w:pPr>
    </w:p>
    <w:p w14:paraId="20C73A65" w14:textId="77777777" w:rsidR="002B72C0" w:rsidRPr="00733DDA" w:rsidRDefault="002B72C0" w:rsidP="000641BE">
      <w:pPr>
        <w:spacing w:after="0" w:line="240" w:lineRule="auto"/>
        <w:rPr>
          <w:rFonts w:ascii="Arial" w:eastAsia="Calibri" w:hAnsi="Arial" w:cs="Arial"/>
          <w:sz w:val="22"/>
          <w:lang w:val="es-CO"/>
        </w:rPr>
      </w:pPr>
    </w:p>
    <w:p w14:paraId="6316E3D6" w14:textId="35034D4F" w:rsidR="00FE0395" w:rsidRPr="00733DDA" w:rsidRDefault="00904CD9" w:rsidP="000641BE">
      <w:pPr>
        <w:spacing w:after="0" w:line="240" w:lineRule="auto"/>
        <w:rPr>
          <w:rFonts w:ascii="Arial" w:hAnsi="Arial" w:cs="Arial"/>
          <w:sz w:val="22"/>
          <w:lang w:val="es-CO"/>
        </w:rPr>
      </w:pPr>
      <w:r w:rsidRPr="00733DDA">
        <w:rPr>
          <w:rFonts w:ascii="Arial" w:eastAsia="Calibri" w:hAnsi="Arial" w:cs="Arial"/>
          <w:sz w:val="22"/>
          <w:lang w:val="es-CO"/>
        </w:rPr>
        <w:t xml:space="preserve">                                            </w:t>
      </w:r>
      <w:r w:rsidRPr="00733DDA">
        <w:rPr>
          <w:rFonts w:ascii="Arial" w:eastAsia="Calibri" w:hAnsi="Arial" w:cs="Arial"/>
          <w:b/>
          <w:sz w:val="22"/>
          <w:lang w:val="es-CO"/>
        </w:rPr>
        <w:t>Concepto C –</w:t>
      </w:r>
      <w:r w:rsidR="000E190F" w:rsidRPr="00733DDA">
        <w:rPr>
          <w:rFonts w:ascii="Arial" w:eastAsia="Calibri" w:hAnsi="Arial" w:cs="Arial"/>
          <w:b/>
          <w:sz w:val="22"/>
          <w:lang w:val="es-CO"/>
        </w:rPr>
        <w:t xml:space="preserve"> </w:t>
      </w:r>
      <w:r w:rsidR="00F51836" w:rsidRPr="00733DDA">
        <w:rPr>
          <w:rFonts w:ascii="Arial" w:eastAsia="Calibri" w:hAnsi="Arial" w:cs="Arial"/>
          <w:b/>
          <w:sz w:val="22"/>
          <w:lang w:val="es-CO"/>
        </w:rPr>
        <w:t>103 de 2022</w:t>
      </w:r>
    </w:p>
    <w:p w14:paraId="4736A594" w14:textId="77777777" w:rsidR="00303D47" w:rsidRPr="00733DDA" w:rsidRDefault="00303D47" w:rsidP="000641BE">
      <w:pPr>
        <w:spacing w:after="0" w:line="240" w:lineRule="auto"/>
        <w:rPr>
          <w:rFonts w:ascii="Arial" w:eastAsia="Calibri" w:hAnsi="Arial" w:cs="Arial"/>
          <w:b/>
          <w:sz w:val="22"/>
          <w:lang w:val="es-CO"/>
        </w:rPr>
      </w:pPr>
    </w:p>
    <w:tbl>
      <w:tblPr>
        <w:tblStyle w:val="Tablaconcuadrcula1"/>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714833" w:rsidRPr="00733DDA" w14:paraId="1701BC3D" w14:textId="77777777" w:rsidTr="000641BE">
        <w:trPr>
          <w:trHeight w:val="485"/>
        </w:trPr>
        <w:tc>
          <w:tcPr>
            <w:tcW w:w="2689" w:type="dxa"/>
            <w:hideMark/>
          </w:tcPr>
          <w:p w14:paraId="69F7D7B9" w14:textId="77777777" w:rsidR="00714833" w:rsidRPr="00733DDA" w:rsidRDefault="00714833" w:rsidP="000641BE">
            <w:pPr>
              <w:contextualSpacing/>
              <w:rPr>
                <w:rFonts w:ascii="Arial" w:eastAsia="Calibri" w:hAnsi="Arial" w:cs="Arial"/>
                <w:noProof/>
                <w:sz w:val="22"/>
                <w:lang w:val="es-ES_tradnl"/>
              </w:rPr>
            </w:pPr>
            <w:r w:rsidRPr="00733DDA">
              <w:rPr>
                <w:rFonts w:ascii="Arial" w:eastAsia="Calibri" w:hAnsi="Arial" w:cs="Arial"/>
                <w:b/>
                <w:noProof/>
                <w:sz w:val="22"/>
                <w:lang w:val="es-ES_tradnl"/>
              </w:rPr>
              <w:t>Temas:</w:t>
            </w:r>
            <w:r w:rsidRPr="00733DDA">
              <w:rPr>
                <w:rFonts w:ascii="Arial" w:eastAsia="Calibri" w:hAnsi="Arial" w:cs="Arial"/>
                <w:noProof/>
                <w:sz w:val="22"/>
                <w:lang w:val="es-ES_tradnl"/>
              </w:rPr>
              <w:t xml:space="preserve">        </w:t>
            </w:r>
          </w:p>
        </w:tc>
        <w:tc>
          <w:tcPr>
            <w:tcW w:w="6237" w:type="dxa"/>
            <w:hideMark/>
          </w:tcPr>
          <w:p w14:paraId="6A77440D" w14:textId="3012C249" w:rsidR="00AC1839" w:rsidRPr="00733DDA" w:rsidRDefault="00AC1839" w:rsidP="003630B0">
            <w:pPr>
              <w:spacing w:after="120"/>
              <w:ind w:right="703"/>
              <w:jc w:val="both"/>
              <w:rPr>
                <w:rFonts w:ascii="Arial" w:eastAsia="Calibri" w:hAnsi="Arial" w:cs="Arial"/>
                <w:bCs/>
                <w:sz w:val="22"/>
              </w:rPr>
            </w:pPr>
            <w:r w:rsidRPr="00733DDA">
              <w:rPr>
                <w:rFonts w:ascii="Arial" w:eastAsia="Calibri" w:hAnsi="Arial" w:cs="Arial"/>
                <w:bCs/>
                <w:sz w:val="22"/>
              </w:rPr>
              <w:t>LEY DE GARANTÍAS ELECTORALES ‒ Tipos de restricciones ‒ Ámbito temporal / LEY DE GARANTÍAS ELECTORALES ─ Prohibición ‒ Contratación directa ‒ Alcance – Excepciones /</w:t>
            </w:r>
            <w:r w:rsidR="00F77A79" w:rsidRPr="00733DDA">
              <w:rPr>
                <w:rFonts w:ascii="Arial" w:eastAsia="Calibri" w:hAnsi="Arial" w:cs="Arial"/>
                <w:bCs/>
                <w:sz w:val="22"/>
              </w:rPr>
              <w:t xml:space="preserve"> LEY DE GARANTÍAS ELECTORALES ─ Prórrogas, modificaciones o adiciones – Ejecución contractual /</w:t>
            </w:r>
            <w:r w:rsidRPr="00733DDA">
              <w:rPr>
                <w:rFonts w:ascii="Arial" w:eastAsia="Calibri" w:hAnsi="Arial" w:cs="Arial"/>
                <w:bCs/>
                <w:sz w:val="22"/>
              </w:rPr>
              <w:t xml:space="preserve"> LEY DE GARANTÍAS ELECTORALES ‒ Prohibición del artículo 33 ‒ Destinatarios </w:t>
            </w:r>
          </w:p>
          <w:p w14:paraId="641BBBD5" w14:textId="7C7AA2BA" w:rsidR="00714833" w:rsidRPr="00733DDA" w:rsidRDefault="00714833" w:rsidP="000641BE">
            <w:pPr>
              <w:spacing w:after="120"/>
              <w:rPr>
                <w:rFonts w:ascii="Arial" w:eastAsia="Calibri" w:hAnsi="Arial" w:cs="Arial"/>
                <w:bCs/>
                <w:sz w:val="22"/>
              </w:rPr>
            </w:pPr>
          </w:p>
        </w:tc>
      </w:tr>
      <w:tr w:rsidR="00B66D78" w:rsidRPr="00733DDA" w14:paraId="4074FCE6" w14:textId="77777777" w:rsidTr="000641BE">
        <w:tc>
          <w:tcPr>
            <w:tcW w:w="2689" w:type="dxa"/>
          </w:tcPr>
          <w:p w14:paraId="389F2C2E" w14:textId="77777777" w:rsidR="00FE0395" w:rsidRPr="00733DDA" w:rsidRDefault="00FE0395" w:rsidP="000641BE">
            <w:pPr>
              <w:contextualSpacing/>
              <w:rPr>
                <w:rFonts w:ascii="Arial" w:eastAsia="Calibri" w:hAnsi="Arial" w:cs="Arial"/>
                <w:b/>
                <w:noProof/>
                <w:sz w:val="22"/>
                <w:lang w:val="es-ES_tradnl"/>
              </w:rPr>
            </w:pPr>
            <w:r w:rsidRPr="00733DDA">
              <w:rPr>
                <w:rFonts w:ascii="Arial" w:eastAsia="Calibri" w:hAnsi="Arial" w:cs="Arial"/>
                <w:b/>
                <w:noProof/>
                <w:sz w:val="22"/>
                <w:lang w:val="es-ES_tradnl"/>
              </w:rPr>
              <w:t>Radicación:</w:t>
            </w:r>
            <w:r w:rsidRPr="00733DDA">
              <w:rPr>
                <w:rFonts w:ascii="Arial" w:eastAsia="Calibri" w:hAnsi="Arial" w:cs="Arial"/>
                <w:noProof/>
                <w:sz w:val="22"/>
                <w:lang w:val="es-ES_tradnl"/>
              </w:rPr>
              <w:t xml:space="preserve">                              </w:t>
            </w:r>
          </w:p>
        </w:tc>
        <w:tc>
          <w:tcPr>
            <w:tcW w:w="6237" w:type="dxa"/>
          </w:tcPr>
          <w:p w14:paraId="290F0664" w14:textId="1CE33A7F" w:rsidR="00FE0395" w:rsidRPr="00733DDA" w:rsidRDefault="00FE0395" w:rsidP="00A45BB1">
            <w:pPr>
              <w:ind w:right="703"/>
              <w:contextualSpacing/>
              <w:jc w:val="both"/>
              <w:rPr>
                <w:rFonts w:ascii="Arial" w:eastAsia="Calibri" w:hAnsi="Arial" w:cs="Arial"/>
                <w:noProof/>
                <w:sz w:val="22"/>
                <w:lang w:val="es-ES_tradnl"/>
              </w:rPr>
            </w:pPr>
            <w:r w:rsidRPr="00733DDA">
              <w:rPr>
                <w:rFonts w:ascii="Arial" w:eastAsia="Calibri" w:hAnsi="Arial" w:cs="Arial"/>
                <w:noProof/>
                <w:sz w:val="22"/>
                <w:lang w:val="es-ES_tradnl"/>
              </w:rPr>
              <w:t xml:space="preserve">Respuesta a </w:t>
            </w:r>
            <w:r w:rsidR="00D10ADA" w:rsidRPr="00733DDA">
              <w:rPr>
                <w:rFonts w:ascii="Arial" w:eastAsia="Calibri" w:hAnsi="Arial" w:cs="Arial"/>
                <w:noProof/>
                <w:sz w:val="22"/>
                <w:lang w:val="es-ES_tradnl"/>
              </w:rPr>
              <w:t xml:space="preserve">la </w:t>
            </w:r>
            <w:r w:rsidRPr="00733DDA">
              <w:rPr>
                <w:rFonts w:ascii="Arial" w:eastAsia="Calibri" w:hAnsi="Arial" w:cs="Arial"/>
                <w:noProof/>
                <w:sz w:val="22"/>
                <w:lang w:val="es-ES_tradnl"/>
              </w:rPr>
              <w:t xml:space="preserve">consulta </w:t>
            </w:r>
            <w:r w:rsidR="00F51836" w:rsidRPr="00733DDA">
              <w:rPr>
                <w:rFonts w:ascii="Arial" w:eastAsia="Calibri" w:hAnsi="Arial" w:cs="Arial"/>
                <w:noProof/>
                <w:sz w:val="22"/>
                <w:lang w:val="es-ES_tradnl"/>
              </w:rPr>
              <w:t>P20220208001200</w:t>
            </w:r>
            <w:r w:rsidR="00D10ADA" w:rsidRPr="00733DDA">
              <w:rPr>
                <w:rFonts w:ascii="Arial" w:eastAsia="Calibri" w:hAnsi="Arial" w:cs="Arial"/>
                <w:noProof/>
                <w:sz w:val="22"/>
                <w:lang w:val="es-ES_tradnl"/>
              </w:rPr>
              <w:t xml:space="preserve"> </w:t>
            </w:r>
          </w:p>
        </w:tc>
      </w:tr>
    </w:tbl>
    <w:p w14:paraId="0CB3D4D0" w14:textId="77777777" w:rsidR="00FE0395" w:rsidRPr="00733DDA" w:rsidRDefault="00FE0395" w:rsidP="000641BE">
      <w:pPr>
        <w:spacing w:after="0" w:line="240" w:lineRule="auto"/>
        <w:rPr>
          <w:rFonts w:ascii="Arial" w:eastAsia="Calibri" w:hAnsi="Arial" w:cs="Arial"/>
          <w:sz w:val="22"/>
          <w:lang w:val="es-CO"/>
        </w:rPr>
      </w:pPr>
    </w:p>
    <w:p w14:paraId="3C6248D2" w14:textId="77777777" w:rsidR="00F246FE" w:rsidRPr="00733DDA" w:rsidRDefault="00F246FE" w:rsidP="000641BE">
      <w:pPr>
        <w:spacing w:after="0" w:line="240" w:lineRule="auto"/>
        <w:rPr>
          <w:rFonts w:ascii="Arial" w:eastAsia="Calibri" w:hAnsi="Arial" w:cs="Arial"/>
          <w:sz w:val="22"/>
          <w:lang w:val="es-CO"/>
        </w:rPr>
      </w:pPr>
    </w:p>
    <w:p w14:paraId="0ADE9D41" w14:textId="5F971967" w:rsidR="00990612" w:rsidRPr="00733DDA" w:rsidRDefault="00990612" w:rsidP="00E7700C">
      <w:pPr>
        <w:spacing w:after="0"/>
        <w:rPr>
          <w:rFonts w:ascii="Arial" w:eastAsia="Calibri" w:hAnsi="Arial" w:cs="Arial"/>
          <w:sz w:val="22"/>
          <w:lang w:val="es-CO"/>
        </w:rPr>
      </w:pPr>
      <w:r w:rsidRPr="00733DDA">
        <w:rPr>
          <w:rFonts w:ascii="Arial" w:eastAsia="Calibri" w:hAnsi="Arial" w:cs="Arial"/>
          <w:sz w:val="22"/>
          <w:lang w:val="es-CO"/>
        </w:rPr>
        <w:t>Estimad</w:t>
      </w:r>
      <w:r w:rsidR="00546AC5" w:rsidRPr="00733DDA">
        <w:rPr>
          <w:rFonts w:ascii="Arial" w:eastAsia="Calibri" w:hAnsi="Arial" w:cs="Arial"/>
          <w:sz w:val="22"/>
          <w:lang w:val="es-CO"/>
        </w:rPr>
        <w:t>a</w:t>
      </w:r>
      <w:r w:rsidR="009D7290" w:rsidRPr="00733DDA">
        <w:rPr>
          <w:rFonts w:ascii="Arial" w:eastAsia="Calibri" w:hAnsi="Arial" w:cs="Arial"/>
          <w:sz w:val="22"/>
          <w:lang w:val="es-CO"/>
        </w:rPr>
        <w:t xml:space="preserve"> </w:t>
      </w:r>
      <w:r w:rsidR="00F51836" w:rsidRPr="00733DDA">
        <w:rPr>
          <w:rFonts w:ascii="Arial" w:eastAsia="Calibri" w:hAnsi="Arial" w:cs="Arial"/>
          <w:sz w:val="22"/>
          <w:lang w:val="es-CO"/>
        </w:rPr>
        <w:t xml:space="preserve">señora López: </w:t>
      </w:r>
    </w:p>
    <w:p w14:paraId="19436ABB" w14:textId="77777777" w:rsidR="00990612" w:rsidRPr="00733DDA" w:rsidRDefault="00990612" w:rsidP="00E7700C">
      <w:pPr>
        <w:spacing w:after="0"/>
        <w:ind w:firstLine="709"/>
        <w:rPr>
          <w:rFonts w:ascii="Arial" w:eastAsia="Calibri" w:hAnsi="Arial" w:cs="Arial"/>
          <w:sz w:val="22"/>
          <w:lang w:val="es-CO"/>
        </w:rPr>
      </w:pPr>
    </w:p>
    <w:p w14:paraId="4A62508A" w14:textId="2EA3B988" w:rsidR="00990612" w:rsidRPr="00733DDA" w:rsidRDefault="00990612" w:rsidP="00E7700C">
      <w:pPr>
        <w:spacing w:after="0"/>
        <w:ind w:right="51"/>
        <w:rPr>
          <w:rFonts w:ascii="Arial" w:eastAsia="Calibri" w:hAnsi="Arial" w:cs="Arial"/>
          <w:sz w:val="22"/>
          <w:lang w:val="es-CO"/>
        </w:rPr>
      </w:pPr>
      <w:r w:rsidRPr="00733DDA">
        <w:rPr>
          <w:rFonts w:ascii="Arial" w:eastAsia="Calibri" w:hAnsi="Arial" w:cs="Arial"/>
          <w:sz w:val="22"/>
          <w:lang w:val="es-CO"/>
        </w:rPr>
        <w:t>En ejercicio de la competencia otorgada por el numeral 8 del artículo 11 y el numeral 5 del artículo 3 del Decreto Ley 4170 de 2011, la Agencia Nacional de Contratación Pública – Colombia Compra Eficiente</w:t>
      </w:r>
      <w:r w:rsidR="00E7503A" w:rsidRPr="00733DDA">
        <w:rPr>
          <w:rFonts w:ascii="Arial" w:eastAsia="Calibri" w:hAnsi="Arial" w:cs="Arial"/>
          <w:sz w:val="22"/>
          <w:lang w:val="es-CO"/>
        </w:rPr>
        <w:t xml:space="preserve"> responde</w:t>
      </w:r>
      <w:r w:rsidR="00356663" w:rsidRPr="00733DDA">
        <w:rPr>
          <w:rFonts w:ascii="Arial" w:eastAsia="Calibri" w:hAnsi="Arial" w:cs="Arial"/>
          <w:sz w:val="22"/>
          <w:lang w:val="es-CO"/>
        </w:rPr>
        <w:t xml:space="preserve"> </w:t>
      </w:r>
      <w:r w:rsidR="00F51836" w:rsidRPr="00733DDA">
        <w:rPr>
          <w:rFonts w:ascii="Arial" w:eastAsia="Calibri" w:hAnsi="Arial" w:cs="Arial"/>
          <w:sz w:val="22"/>
          <w:lang w:val="es-CO"/>
        </w:rPr>
        <w:t xml:space="preserve">la consulta realizada el 8 de febrero de 2022. </w:t>
      </w:r>
      <w:r w:rsidR="00AB24CA" w:rsidRPr="00733DDA">
        <w:rPr>
          <w:rFonts w:ascii="Arial" w:eastAsia="Calibri" w:hAnsi="Arial" w:cs="Arial"/>
          <w:sz w:val="22"/>
          <w:lang w:val="es-CO"/>
        </w:rPr>
        <w:t xml:space="preserve"> </w:t>
      </w:r>
    </w:p>
    <w:p w14:paraId="6512D341" w14:textId="77777777" w:rsidR="00303D47" w:rsidRPr="00733DDA" w:rsidRDefault="00303D47" w:rsidP="00E7700C">
      <w:pPr>
        <w:spacing w:after="0"/>
        <w:rPr>
          <w:rFonts w:ascii="Arial" w:eastAsia="Calibri" w:hAnsi="Arial" w:cs="Arial"/>
          <w:sz w:val="22"/>
          <w:lang w:val="es-CO"/>
        </w:rPr>
      </w:pPr>
    </w:p>
    <w:p w14:paraId="3B0D1063" w14:textId="33E54A50" w:rsidR="005A114C" w:rsidRPr="00733DDA" w:rsidRDefault="002B72C0" w:rsidP="00E7700C">
      <w:pPr>
        <w:tabs>
          <w:tab w:val="left" w:pos="284"/>
        </w:tabs>
        <w:spacing w:after="0"/>
        <w:rPr>
          <w:rFonts w:ascii="Arial" w:eastAsia="Calibri" w:hAnsi="Arial" w:cs="Arial"/>
          <w:b/>
          <w:sz w:val="22"/>
          <w:lang w:val="es-CO"/>
        </w:rPr>
      </w:pPr>
      <w:r w:rsidRPr="00733DDA">
        <w:rPr>
          <w:rFonts w:ascii="Arial" w:eastAsia="Calibri" w:hAnsi="Arial" w:cs="Arial"/>
          <w:b/>
          <w:sz w:val="22"/>
          <w:lang w:val="es-CO"/>
        </w:rPr>
        <w:t xml:space="preserve">1. </w:t>
      </w:r>
      <w:r w:rsidR="00990612" w:rsidRPr="00733DDA">
        <w:rPr>
          <w:rFonts w:ascii="Arial" w:eastAsia="Calibri" w:hAnsi="Arial" w:cs="Arial"/>
          <w:b/>
          <w:sz w:val="22"/>
          <w:lang w:val="es-CO"/>
        </w:rPr>
        <w:t>Problema</w:t>
      </w:r>
      <w:r w:rsidR="0092569E" w:rsidRPr="00733DDA">
        <w:rPr>
          <w:rFonts w:ascii="Arial" w:eastAsia="Calibri" w:hAnsi="Arial" w:cs="Arial"/>
          <w:b/>
          <w:sz w:val="22"/>
          <w:lang w:val="es-CO"/>
        </w:rPr>
        <w:t>s</w:t>
      </w:r>
      <w:r w:rsidR="00990612" w:rsidRPr="00733DDA">
        <w:rPr>
          <w:rFonts w:ascii="Arial" w:eastAsia="Calibri" w:hAnsi="Arial" w:cs="Arial"/>
          <w:b/>
          <w:sz w:val="22"/>
          <w:lang w:val="es-CO"/>
        </w:rPr>
        <w:t xml:space="preserve"> planteado</w:t>
      </w:r>
      <w:r w:rsidR="0092569E" w:rsidRPr="00733DDA">
        <w:rPr>
          <w:rFonts w:ascii="Arial" w:eastAsia="Calibri" w:hAnsi="Arial" w:cs="Arial"/>
          <w:b/>
          <w:sz w:val="22"/>
          <w:lang w:val="es-CO"/>
        </w:rPr>
        <w:t>s</w:t>
      </w:r>
      <w:r w:rsidR="00990612" w:rsidRPr="00733DDA">
        <w:rPr>
          <w:rFonts w:ascii="Arial" w:eastAsia="Calibri" w:hAnsi="Arial" w:cs="Arial"/>
          <w:b/>
          <w:sz w:val="22"/>
          <w:lang w:val="es-CO"/>
        </w:rPr>
        <w:t xml:space="preserve"> </w:t>
      </w:r>
    </w:p>
    <w:p w14:paraId="2FBDB7F6" w14:textId="77777777" w:rsidR="005A114C" w:rsidRPr="00733DDA" w:rsidRDefault="005A114C" w:rsidP="00E7700C">
      <w:pPr>
        <w:pStyle w:val="Prrafodelista"/>
        <w:tabs>
          <w:tab w:val="left" w:pos="284"/>
        </w:tabs>
        <w:spacing w:after="0"/>
        <w:ind w:left="0" w:firstLine="709"/>
        <w:rPr>
          <w:rFonts w:ascii="Arial" w:eastAsia="Calibri" w:hAnsi="Arial" w:cs="Arial"/>
          <w:b/>
          <w:sz w:val="22"/>
          <w:lang w:val="es-CO"/>
        </w:rPr>
      </w:pPr>
    </w:p>
    <w:p w14:paraId="43A102C3" w14:textId="77777777" w:rsidR="00932042" w:rsidRPr="00733DDA" w:rsidRDefault="00F51836" w:rsidP="00B45794">
      <w:pPr>
        <w:pStyle w:val="NormalWeb"/>
        <w:spacing w:before="0" w:beforeAutospacing="0" w:after="0" w:afterAutospacing="0"/>
        <w:rPr>
          <w:rFonts w:ascii="Arial" w:hAnsi="Arial" w:cs="Arial"/>
          <w:sz w:val="22"/>
        </w:rPr>
      </w:pPr>
      <w:bookmarkStart w:id="8" w:name="_Hlk58917991"/>
      <w:bookmarkStart w:id="9" w:name="_Hlk56103000"/>
      <w:r w:rsidRPr="00733DDA">
        <w:rPr>
          <w:rFonts w:ascii="Arial" w:hAnsi="Arial" w:cs="Arial"/>
          <w:sz w:val="22"/>
        </w:rPr>
        <w:t>Usted realizó la siguiente pregunta:</w:t>
      </w:r>
      <w:r w:rsidR="00435880" w:rsidRPr="00733DDA">
        <w:rPr>
          <w:rFonts w:ascii="Arial" w:hAnsi="Arial" w:cs="Arial"/>
          <w:sz w:val="22"/>
        </w:rPr>
        <w:t xml:space="preserve"> </w:t>
      </w:r>
    </w:p>
    <w:p w14:paraId="2D2E2A53" w14:textId="77777777" w:rsidR="00932042" w:rsidRPr="00733DDA" w:rsidRDefault="00932042" w:rsidP="00B45794">
      <w:pPr>
        <w:pStyle w:val="NormalWeb"/>
        <w:spacing w:before="0" w:beforeAutospacing="0" w:after="0" w:afterAutospacing="0"/>
        <w:rPr>
          <w:rFonts w:ascii="Arial" w:hAnsi="Arial" w:cs="Arial"/>
          <w:sz w:val="22"/>
        </w:rPr>
      </w:pPr>
    </w:p>
    <w:p w14:paraId="658A213B" w14:textId="2F602693" w:rsidR="009D0337" w:rsidRPr="00733DDA" w:rsidRDefault="0092569E" w:rsidP="00F97847">
      <w:pPr>
        <w:pStyle w:val="NormalWeb"/>
        <w:spacing w:before="0" w:beforeAutospacing="0" w:after="0" w:afterAutospacing="0" w:line="240" w:lineRule="auto"/>
        <w:ind w:left="709" w:right="709"/>
        <w:rPr>
          <w:rFonts w:ascii="Arial" w:hAnsi="Arial" w:cs="Arial"/>
          <w:sz w:val="21"/>
          <w:szCs w:val="21"/>
        </w:rPr>
      </w:pPr>
      <w:r w:rsidRPr="00733DDA">
        <w:rPr>
          <w:rFonts w:ascii="Arial" w:hAnsi="Arial" w:cs="Arial"/>
          <w:sz w:val="21"/>
          <w:szCs w:val="21"/>
        </w:rPr>
        <w:lastRenderedPageBreak/>
        <w:t>«</w:t>
      </w:r>
      <w:bookmarkStart w:id="10" w:name="_Hlk93241493"/>
      <w:r w:rsidR="009D0337" w:rsidRPr="00733DDA">
        <w:rPr>
          <w:rFonts w:ascii="Arial" w:hAnsi="Arial" w:cs="Arial"/>
          <w:sz w:val="21"/>
          <w:szCs w:val="21"/>
        </w:rPr>
        <w:t>S</w:t>
      </w:r>
      <w:r w:rsidR="00F6759D" w:rsidRPr="00733DDA">
        <w:rPr>
          <w:rFonts w:ascii="Arial" w:hAnsi="Arial" w:cs="Arial"/>
          <w:sz w:val="21"/>
          <w:szCs w:val="21"/>
        </w:rPr>
        <w:t xml:space="preserve">olicitamos definir si la adquisición de predios de importancia estratégica para los fines previstos en el artículo 111 de la Ley 99 de 1993, los cuales se adelantan según el procedimiento establecido en la Ley 388 de 1997, se encuentran restringidos por la ley de garantías electorales, toda vez que según concepto emitido por la Agencia Nacional de Contratación Pública </w:t>
      </w:r>
      <w:proofErr w:type="spellStart"/>
      <w:r w:rsidR="00F6759D" w:rsidRPr="00733DDA">
        <w:rPr>
          <w:rFonts w:ascii="Arial" w:hAnsi="Arial" w:cs="Arial"/>
          <w:sz w:val="21"/>
          <w:szCs w:val="21"/>
        </w:rPr>
        <w:t>N°</w:t>
      </w:r>
      <w:proofErr w:type="spellEnd"/>
      <w:r w:rsidR="00F6759D" w:rsidRPr="00733DDA">
        <w:rPr>
          <w:rFonts w:ascii="Arial" w:hAnsi="Arial" w:cs="Arial"/>
          <w:sz w:val="21"/>
          <w:szCs w:val="21"/>
        </w:rPr>
        <w:t xml:space="preserve"> Radicado: 2201813000003175 de fecha 18 de abril de 2018 no existiría restricción </w:t>
      </w:r>
      <w:r w:rsidR="0029053F" w:rsidRPr="00733DDA">
        <w:rPr>
          <w:rFonts w:ascii="Arial" w:hAnsi="Arial" w:cs="Arial"/>
          <w:sz w:val="21"/>
          <w:szCs w:val="21"/>
        </w:rPr>
        <w:t>“</w:t>
      </w:r>
      <w:r w:rsidR="00F6759D" w:rsidRPr="00733DDA">
        <w:rPr>
          <w:rFonts w:ascii="Arial" w:hAnsi="Arial" w:cs="Arial"/>
          <w:sz w:val="21"/>
          <w:szCs w:val="21"/>
        </w:rPr>
        <w:t>toda vez que estos contratos son celebrados por motivos de utilidad pública, en desarrollo de un mandato legal y un procedimiento específico contenido en normas especiales, las cuales no hacen parte del Sistema de Compra Pública</w:t>
      </w:r>
      <w:r w:rsidR="009D0337" w:rsidRPr="00733DDA">
        <w:rPr>
          <w:rFonts w:ascii="Arial" w:hAnsi="Arial" w:cs="Arial"/>
          <w:sz w:val="21"/>
          <w:szCs w:val="21"/>
        </w:rPr>
        <w:t xml:space="preserve">. </w:t>
      </w:r>
    </w:p>
    <w:p w14:paraId="2BF0036E" w14:textId="77777777" w:rsidR="005113B2" w:rsidRPr="00733DDA" w:rsidRDefault="005113B2" w:rsidP="005113B2">
      <w:pPr>
        <w:pStyle w:val="NormalWeb"/>
        <w:spacing w:before="0" w:beforeAutospacing="0" w:after="0" w:afterAutospacing="0" w:line="240" w:lineRule="auto"/>
        <w:ind w:left="709" w:right="709"/>
        <w:rPr>
          <w:rFonts w:ascii="Arial" w:hAnsi="Arial" w:cs="Arial"/>
          <w:sz w:val="21"/>
          <w:szCs w:val="21"/>
        </w:rPr>
      </w:pPr>
    </w:p>
    <w:p w14:paraId="0340A3A7" w14:textId="16B499AA" w:rsidR="009F3C99" w:rsidRPr="00733DDA" w:rsidRDefault="009D0337" w:rsidP="00F97847">
      <w:pPr>
        <w:pStyle w:val="NormalWeb"/>
        <w:spacing w:before="0" w:beforeAutospacing="0" w:after="0" w:afterAutospacing="0" w:line="240" w:lineRule="auto"/>
        <w:ind w:left="709" w:right="709"/>
        <w:rPr>
          <w:rFonts w:ascii="Arial" w:hAnsi="Arial" w:cs="Arial"/>
          <w:sz w:val="21"/>
          <w:szCs w:val="21"/>
          <w:shd w:val="clear" w:color="auto" w:fill="FFFFFF"/>
        </w:rPr>
      </w:pPr>
      <w:r w:rsidRPr="00733DDA">
        <w:rPr>
          <w:rFonts w:ascii="Arial" w:hAnsi="Arial" w:cs="Arial"/>
          <w:sz w:val="21"/>
          <w:szCs w:val="21"/>
        </w:rPr>
        <w:t xml:space="preserve">Sin embargo, el Consejo de Estado Sala de consulta y servicio Civil consejero ponente: ÁLVARO NAMÉN VARGAS Rad. No. 11001-03-06-000-2014-00119-00 de fecha 21 de mayo de 2014, frente a la adquisición de predios para las comunidades indígenas, afrocolombianas y demás minorías étnicas a cargo del INCODER, el cual realiza mediante el procedimiento especial regulado por la Ley 160 de 1994, indicó que si dentro de la etapa de negociación directa se logra acuerdo con un particular para adquirir un predio con destino a las comunidades destinatarias de la Ley 160 de 1994, </w:t>
      </w:r>
      <w:r w:rsidR="0029053F" w:rsidRPr="00733DDA">
        <w:rPr>
          <w:rFonts w:ascii="Arial" w:hAnsi="Arial" w:cs="Arial"/>
          <w:sz w:val="21"/>
          <w:szCs w:val="21"/>
        </w:rPr>
        <w:t>“</w:t>
      </w:r>
      <w:r w:rsidRPr="00733DDA">
        <w:rPr>
          <w:rFonts w:ascii="Arial" w:hAnsi="Arial" w:cs="Arial"/>
          <w:sz w:val="21"/>
          <w:szCs w:val="21"/>
        </w:rPr>
        <w:t>el negocio jurídico de compraventa de esos predios queda afectado por la prohibición temporal a la contratación directa, durante los cuatro (4) meses anteriores a la elección presidencial y hasta la realización de la elección en la segunda vuelta, consagrada en el artículo 33 de la Ley 996 de 2005</w:t>
      </w:r>
      <w:r w:rsidR="0029053F" w:rsidRPr="00733DDA">
        <w:rPr>
          <w:rFonts w:ascii="Arial" w:hAnsi="Arial" w:cs="Arial"/>
          <w:sz w:val="21"/>
          <w:szCs w:val="21"/>
        </w:rPr>
        <w:t>”</w:t>
      </w:r>
      <w:r w:rsidR="00B45794" w:rsidRPr="00733DDA">
        <w:rPr>
          <w:rFonts w:ascii="Arial" w:hAnsi="Arial" w:cs="Arial"/>
          <w:sz w:val="21"/>
          <w:szCs w:val="21"/>
          <w:shd w:val="clear" w:color="auto" w:fill="FFFFFF"/>
        </w:rPr>
        <w:t>»</w:t>
      </w:r>
      <w:r w:rsidR="00AF7FCE" w:rsidRPr="00733DDA">
        <w:rPr>
          <w:rFonts w:ascii="Arial" w:hAnsi="Arial" w:cs="Arial"/>
          <w:sz w:val="21"/>
          <w:szCs w:val="21"/>
          <w:shd w:val="clear" w:color="auto" w:fill="FFFFFF"/>
        </w:rPr>
        <w:t>.</w:t>
      </w:r>
    </w:p>
    <w:bookmarkEnd w:id="10"/>
    <w:p w14:paraId="6F8705A3" w14:textId="77777777" w:rsidR="0083307B" w:rsidRPr="00733DDA" w:rsidRDefault="0083307B" w:rsidP="00B45794">
      <w:pPr>
        <w:pStyle w:val="NormalWeb"/>
        <w:spacing w:before="0" w:beforeAutospacing="0" w:after="0" w:afterAutospacing="0"/>
        <w:rPr>
          <w:rFonts w:ascii="Arial" w:hAnsi="Arial" w:cs="Arial"/>
          <w:sz w:val="22"/>
        </w:rPr>
      </w:pPr>
    </w:p>
    <w:bookmarkEnd w:id="8"/>
    <w:bookmarkEnd w:id="9"/>
    <w:p w14:paraId="509ED1DE" w14:textId="5430079E" w:rsidR="005027F0" w:rsidRPr="00733DDA" w:rsidRDefault="002B72C0" w:rsidP="00E7700C">
      <w:pPr>
        <w:tabs>
          <w:tab w:val="left" w:pos="284"/>
        </w:tabs>
        <w:spacing w:after="0"/>
        <w:rPr>
          <w:rFonts w:ascii="Arial" w:eastAsia="Calibri" w:hAnsi="Arial" w:cs="Arial"/>
          <w:b/>
          <w:sz w:val="22"/>
          <w:lang w:val="es-CO"/>
        </w:rPr>
      </w:pPr>
      <w:r w:rsidRPr="00733DDA">
        <w:rPr>
          <w:rFonts w:ascii="Arial" w:eastAsia="Calibri" w:hAnsi="Arial" w:cs="Arial"/>
          <w:b/>
          <w:sz w:val="22"/>
          <w:lang w:val="es-CO"/>
        </w:rPr>
        <w:t xml:space="preserve">2. </w:t>
      </w:r>
      <w:r w:rsidR="00990612" w:rsidRPr="00733DDA">
        <w:rPr>
          <w:rFonts w:ascii="Arial" w:eastAsia="Calibri" w:hAnsi="Arial" w:cs="Arial"/>
          <w:b/>
          <w:sz w:val="22"/>
          <w:lang w:val="es-CO"/>
        </w:rPr>
        <w:t>Consideraciones</w:t>
      </w:r>
    </w:p>
    <w:p w14:paraId="33526695" w14:textId="77777777" w:rsidR="005027F0" w:rsidRPr="00733DDA" w:rsidRDefault="005027F0" w:rsidP="00E7700C">
      <w:pPr>
        <w:tabs>
          <w:tab w:val="left" w:pos="426"/>
        </w:tabs>
        <w:spacing w:after="0"/>
        <w:ind w:firstLine="709"/>
        <w:rPr>
          <w:rFonts w:ascii="Arial" w:eastAsia="Calibri" w:hAnsi="Arial" w:cs="Arial"/>
          <w:bCs/>
          <w:sz w:val="22"/>
          <w:lang w:val="es-CO"/>
        </w:rPr>
      </w:pPr>
    </w:p>
    <w:p w14:paraId="230057C0" w14:textId="77777777" w:rsidR="00724ED2" w:rsidRPr="00733DDA" w:rsidRDefault="00724ED2" w:rsidP="00724ED2">
      <w:pPr>
        <w:spacing w:after="120"/>
        <w:rPr>
          <w:rFonts w:ascii="Arial" w:hAnsi="Arial" w:cs="Arial"/>
          <w:bCs/>
          <w:sz w:val="22"/>
        </w:rPr>
      </w:pPr>
      <w:r w:rsidRPr="00733DDA">
        <w:rPr>
          <w:rFonts w:ascii="Arial" w:hAnsi="Arial" w:cs="Arial"/>
          <w:bCs/>
          <w:sz w:val="22"/>
        </w:rPr>
        <w:t>En ejercicio de las competencias establecidas en los artículos 3.5 y 11.8 del Decreto 4170 de 2011, la Agencia Nacional de Contratación Pública – Colombia Compra Eficiente resuelve las consultas sobre los asuntos de su competencia, esto es, sobre las temáticas de la contratación estatal y compras públicas relacionadas en los artículos citados.</w:t>
      </w:r>
    </w:p>
    <w:p w14:paraId="1B0A4F73" w14:textId="65365948" w:rsidR="008F39BD" w:rsidRPr="00733DDA" w:rsidRDefault="008F39BD" w:rsidP="00E7700C">
      <w:pPr>
        <w:tabs>
          <w:tab w:val="left" w:pos="426"/>
        </w:tabs>
        <w:spacing w:after="0"/>
        <w:ind w:firstLine="709"/>
        <w:rPr>
          <w:rFonts w:ascii="Arial" w:eastAsia="Calibri" w:hAnsi="Arial" w:cs="Arial"/>
          <w:bCs/>
          <w:sz w:val="22"/>
          <w:lang w:val="es-CO"/>
        </w:rPr>
      </w:pPr>
      <w:r w:rsidRPr="00733DDA">
        <w:rPr>
          <w:rFonts w:ascii="Arial" w:eastAsia="Calibri" w:hAnsi="Arial" w:cs="Arial"/>
          <w:bCs/>
          <w:sz w:val="22"/>
          <w:lang w:val="es-CO"/>
        </w:rPr>
        <w:t xml:space="preserve">La Agencia Nacional de Contratación Pública </w:t>
      </w:r>
      <w:r w:rsidR="00F91CA6" w:rsidRPr="00733DDA">
        <w:rPr>
          <w:rFonts w:ascii="Arial" w:eastAsia="Calibri" w:hAnsi="Arial" w:cs="Arial"/>
          <w:bCs/>
          <w:sz w:val="22"/>
          <w:lang w:val="es-CO"/>
        </w:rPr>
        <w:t>–</w:t>
      </w:r>
      <w:r w:rsidRPr="00733DDA">
        <w:rPr>
          <w:rFonts w:ascii="Arial" w:eastAsia="Calibri" w:hAnsi="Arial" w:cs="Arial"/>
          <w:bCs/>
          <w:sz w:val="22"/>
          <w:lang w:val="es-CO"/>
        </w:rPr>
        <w:t xml:space="preserve"> Colombia Compra Eficiente </w:t>
      </w:r>
      <w:r w:rsidR="00A56A79" w:rsidRPr="00733DDA">
        <w:rPr>
          <w:rFonts w:ascii="Arial" w:eastAsia="Calibri" w:hAnsi="Arial" w:cs="Arial"/>
          <w:bCs/>
          <w:sz w:val="22"/>
          <w:lang w:val="es-CO"/>
        </w:rPr>
        <w:t>ha impartido lineamientos sobre la</w:t>
      </w:r>
      <w:r w:rsidRPr="00733DDA">
        <w:rPr>
          <w:rFonts w:ascii="Arial" w:eastAsia="Calibri" w:hAnsi="Arial" w:cs="Arial"/>
          <w:bCs/>
          <w:sz w:val="22"/>
          <w:lang w:val="es-CO"/>
        </w:rPr>
        <w:t xml:space="preserve"> </w:t>
      </w:r>
      <w:r w:rsidR="00D05E28" w:rsidRPr="00733DDA">
        <w:rPr>
          <w:rFonts w:ascii="Arial" w:eastAsia="Calibri" w:hAnsi="Arial" w:cs="Arial"/>
          <w:bCs/>
          <w:sz w:val="22"/>
          <w:lang w:val="es-CO"/>
        </w:rPr>
        <w:t>aplicación de la Ley 996 de 2005</w:t>
      </w:r>
      <w:r w:rsidR="00A56A79" w:rsidRPr="00733DDA">
        <w:rPr>
          <w:rFonts w:ascii="Arial" w:eastAsia="Calibri" w:hAnsi="Arial" w:cs="Arial"/>
          <w:bCs/>
          <w:sz w:val="22"/>
          <w:lang w:val="es-CO"/>
        </w:rPr>
        <w:t xml:space="preserve"> y también se ha pronunciado</w:t>
      </w:r>
      <w:r w:rsidRPr="00733DDA">
        <w:rPr>
          <w:rFonts w:ascii="Arial" w:eastAsia="Calibri" w:hAnsi="Arial" w:cs="Arial"/>
          <w:bCs/>
          <w:sz w:val="22"/>
          <w:lang w:val="es-CO"/>
        </w:rPr>
        <w:t xml:space="preserve"> </w:t>
      </w:r>
      <w:r w:rsidR="00735A39" w:rsidRPr="00733DDA">
        <w:rPr>
          <w:rFonts w:ascii="Arial" w:eastAsia="Calibri" w:hAnsi="Arial" w:cs="Arial"/>
          <w:bCs/>
          <w:sz w:val="22"/>
          <w:lang w:val="es-CO"/>
        </w:rPr>
        <w:t>al respecto</w:t>
      </w:r>
      <w:r w:rsidR="004755D2" w:rsidRPr="00733DDA">
        <w:rPr>
          <w:rFonts w:ascii="Arial" w:eastAsia="Calibri" w:hAnsi="Arial" w:cs="Arial"/>
          <w:bCs/>
          <w:sz w:val="22"/>
          <w:lang w:val="es-CO"/>
        </w:rPr>
        <w:t>, entre otros,</w:t>
      </w:r>
      <w:r w:rsidR="00735A39" w:rsidRPr="00733DDA">
        <w:rPr>
          <w:rFonts w:ascii="Arial" w:eastAsia="Calibri" w:hAnsi="Arial" w:cs="Arial"/>
          <w:bCs/>
          <w:sz w:val="22"/>
          <w:lang w:val="es-CO"/>
        </w:rPr>
        <w:t xml:space="preserve"> </w:t>
      </w:r>
      <w:r w:rsidRPr="00733DDA">
        <w:rPr>
          <w:rFonts w:ascii="Arial" w:eastAsia="Calibri" w:hAnsi="Arial" w:cs="Arial"/>
          <w:bCs/>
          <w:sz w:val="22"/>
          <w:lang w:val="es-CO"/>
        </w:rPr>
        <w:t xml:space="preserve">en los </w:t>
      </w:r>
      <w:r w:rsidR="00F91CA6" w:rsidRPr="00733DDA">
        <w:rPr>
          <w:rFonts w:ascii="Arial" w:eastAsia="Calibri" w:hAnsi="Arial" w:cs="Arial"/>
          <w:bCs/>
          <w:sz w:val="22"/>
          <w:lang w:val="es-CO"/>
        </w:rPr>
        <w:t>C</w:t>
      </w:r>
      <w:r w:rsidRPr="00733DDA">
        <w:rPr>
          <w:rFonts w:ascii="Arial" w:eastAsia="Calibri" w:hAnsi="Arial" w:cs="Arial"/>
          <w:bCs/>
          <w:sz w:val="22"/>
          <w:lang w:val="es-CO"/>
        </w:rPr>
        <w:t xml:space="preserve">onceptos </w:t>
      </w:r>
      <w:r w:rsidR="004D1653" w:rsidRPr="00733DDA">
        <w:rPr>
          <w:rFonts w:ascii="Arial" w:eastAsia="Calibri" w:hAnsi="Arial" w:cs="Arial"/>
          <w:bCs/>
          <w:sz w:val="22"/>
          <w:lang w:val="es-CO"/>
        </w:rPr>
        <w:t xml:space="preserve">4201912000004632 del 6 de agosto de 2019, </w:t>
      </w:r>
      <w:r w:rsidR="00A56A79" w:rsidRPr="00733DDA">
        <w:rPr>
          <w:rFonts w:ascii="Arial" w:eastAsia="Calibri" w:hAnsi="Arial" w:cs="Arial"/>
          <w:bCs/>
          <w:sz w:val="22"/>
          <w:lang w:val="es-CO"/>
        </w:rPr>
        <w:t>2201913000005655 del 8 de agosto de 2019,</w:t>
      </w:r>
      <w:r w:rsidR="00735A39" w:rsidRPr="00733DDA">
        <w:rPr>
          <w:rFonts w:ascii="Arial" w:eastAsia="Calibri" w:hAnsi="Arial" w:cs="Arial"/>
          <w:bCs/>
          <w:sz w:val="22"/>
          <w:lang w:val="es-CO"/>
        </w:rPr>
        <w:t xml:space="preserve"> </w:t>
      </w:r>
      <w:r w:rsidR="003767EE" w:rsidRPr="00733DDA">
        <w:rPr>
          <w:rFonts w:ascii="Arial" w:eastAsia="Calibri" w:hAnsi="Arial" w:cs="Arial"/>
          <w:bCs/>
          <w:sz w:val="22"/>
          <w:lang w:val="es-CO"/>
        </w:rPr>
        <w:t>2201913000006283 del 27 de agosto de 2019</w:t>
      </w:r>
      <w:r w:rsidR="00D047D3" w:rsidRPr="00733DDA">
        <w:rPr>
          <w:rFonts w:ascii="Arial" w:eastAsia="Calibri" w:hAnsi="Arial" w:cs="Arial"/>
          <w:bCs/>
          <w:sz w:val="22"/>
          <w:lang w:val="es-CO"/>
        </w:rPr>
        <w:t>, 2201913000006521 del 3 de septiembre de 2019,</w:t>
      </w:r>
      <w:r w:rsidR="00AD2E44" w:rsidRPr="00733DDA">
        <w:rPr>
          <w:rFonts w:ascii="Arial" w:eastAsia="Calibri" w:hAnsi="Arial" w:cs="Arial"/>
          <w:bCs/>
          <w:sz w:val="22"/>
          <w:lang w:val="es-CO"/>
        </w:rPr>
        <w:t xml:space="preserve"> 2201913000006634 del 6 de septiembre de 2019, </w:t>
      </w:r>
      <w:r w:rsidR="004F5F6A" w:rsidRPr="00733DDA">
        <w:rPr>
          <w:rFonts w:ascii="Arial" w:eastAsia="Calibri" w:hAnsi="Arial" w:cs="Arial"/>
          <w:bCs/>
          <w:sz w:val="22"/>
          <w:lang w:val="es-CO"/>
        </w:rPr>
        <w:t xml:space="preserve">2201913000006639 del 9 de septiembre de 2019, </w:t>
      </w:r>
      <w:r w:rsidR="003528F0" w:rsidRPr="00733DDA">
        <w:rPr>
          <w:rFonts w:ascii="Arial" w:eastAsia="Calibri" w:hAnsi="Arial" w:cs="Arial"/>
          <w:bCs/>
          <w:sz w:val="22"/>
          <w:lang w:val="es-CO"/>
        </w:rPr>
        <w:t xml:space="preserve">2201913000007430 del 7 de octubre de 2019, </w:t>
      </w:r>
      <w:r w:rsidR="00C8219B" w:rsidRPr="00733DDA">
        <w:rPr>
          <w:rFonts w:ascii="Arial" w:eastAsia="Calibri" w:hAnsi="Arial" w:cs="Arial"/>
          <w:bCs/>
          <w:sz w:val="22"/>
          <w:lang w:val="es-CO"/>
        </w:rPr>
        <w:t xml:space="preserve">2201913000007565 del 10 de octubre de 2019, </w:t>
      </w:r>
      <w:r w:rsidR="00D63081" w:rsidRPr="00733DDA">
        <w:rPr>
          <w:rFonts w:ascii="Arial" w:eastAsia="Calibri" w:hAnsi="Arial" w:cs="Arial"/>
          <w:bCs/>
          <w:sz w:val="22"/>
          <w:lang w:val="es-CO"/>
        </w:rPr>
        <w:t>2201913000008259 del 6 de noviembre de 2019</w:t>
      </w:r>
      <w:r w:rsidR="00F83810" w:rsidRPr="00733DDA">
        <w:rPr>
          <w:rFonts w:ascii="Arial" w:eastAsia="Calibri" w:hAnsi="Arial" w:cs="Arial"/>
          <w:bCs/>
          <w:sz w:val="22"/>
          <w:lang w:val="es-CO"/>
        </w:rPr>
        <w:t xml:space="preserve">, </w:t>
      </w:r>
      <w:r w:rsidR="00F11CF5" w:rsidRPr="00733DDA">
        <w:rPr>
          <w:rFonts w:ascii="Arial" w:eastAsia="Calibri" w:hAnsi="Arial" w:cs="Arial"/>
          <w:bCs/>
          <w:sz w:val="22"/>
          <w:lang w:val="es-CO"/>
        </w:rPr>
        <w:t>C-</w:t>
      </w:r>
      <w:r w:rsidR="006E6202" w:rsidRPr="00733DDA">
        <w:rPr>
          <w:rFonts w:ascii="Arial" w:eastAsia="Calibri" w:hAnsi="Arial" w:cs="Arial"/>
          <w:bCs/>
          <w:sz w:val="22"/>
          <w:lang w:val="es-CO"/>
        </w:rPr>
        <w:t xml:space="preserve">074 del 17 de marzo de 2021, C-075 del 16 de marzo de 2021, </w:t>
      </w:r>
      <w:r w:rsidR="00F83810" w:rsidRPr="00733DDA">
        <w:rPr>
          <w:rFonts w:ascii="Arial" w:eastAsia="Calibri" w:hAnsi="Arial" w:cs="Arial"/>
          <w:bCs/>
          <w:sz w:val="22"/>
          <w:lang w:val="es-CO"/>
        </w:rPr>
        <w:lastRenderedPageBreak/>
        <w:t>C-227 de 2021</w:t>
      </w:r>
      <w:r w:rsidR="00815027" w:rsidRPr="00733DDA">
        <w:rPr>
          <w:rFonts w:ascii="Arial" w:eastAsia="Calibri" w:hAnsi="Arial" w:cs="Arial"/>
          <w:bCs/>
          <w:sz w:val="22"/>
          <w:lang w:val="es-CO"/>
        </w:rPr>
        <w:t xml:space="preserve"> </w:t>
      </w:r>
      <w:r w:rsidR="00F83810" w:rsidRPr="00733DDA">
        <w:rPr>
          <w:rFonts w:ascii="Arial" w:eastAsia="Calibri" w:hAnsi="Arial" w:cs="Arial"/>
          <w:bCs/>
          <w:sz w:val="22"/>
          <w:lang w:val="es-CO"/>
        </w:rPr>
        <w:t>del 5 de mayo de 2021</w:t>
      </w:r>
      <w:r w:rsidR="00A21624" w:rsidRPr="00733DDA">
        <w:rPr>
          <w:rFonts w:ascii="Arial" w:eastAsia="Calibri" w:hAnsi="Arial" w:cs="Arial"/>
          <w:bCs/>
          <w:sz w:val="22"/>
          <w:lang w:val="es-CO"/>
        </w:rPr>
        <w:t>, C-259 del 2 de junio de 2021,</w:t>
      </w:r>
      <w:r w:rsidR="00AC004D" w:rsidRPr="00733DDA">
        <w:rPr>
          <w:rFonts w:ascii="Arial" w:eastAsia="Calibri" w:hAnsi="Arial" w:cs="Arial"/>
          <w:bCs/>
          <w:sz w:val="22"/>
          <w:lang w:val="es-CO"/>
        </w:rPr>
        <w:t xml:space="preserve"> C-296 del 22 de junio de 2021, C-337 del 13 de julio de 2021, </w:t>
      </w:r>
      <w:r w:rsidR="006D5415" w:rsidRPr="00733DDA">
        <w:rPr>
          <w:rFonts w:ascii="Arial" w:eastAsia="Calibri" w:hAnsi="Arial" w:cs="Arial"/>
          <w:bCs/>
          <w:sz w:val="22"/>
          <w:lang w:val="es-CO"/>
        </w:rPr>
        <w:t xml:space="preserve">C-350 del 16 de julio de 2021, </w:t>
      </w:r>
      <w:r w:rsidR="004832C7" w:rsidRPr="00733DDA">
        <w:rPr>
          <w:rFonts w:ascii="Arial" w:eastAsia="Calibri" w:hAnsi="Arial" w:cs="Arial"/>
          <w:bCs/>
          <w:sz w:val="22"/>
          <w:lang w:val="es-CO"/>
        </w:rPr>
        <w:t xml:space="preserve">C-352 del 27 de julio de 2021, C-374 del </w:t>
      </w:r>
      <w:r w:rsidR="00907E9D" w:rsidRPr="00733DDA">
        <w:rPr>
          <w:rFonts w:ascii="Arial" w:eastAsia="Calibri" w:hAnsi="Arial" w:cs="Arial"/>
          <w:bCs/>
          <w:sz w:val="22"/>
          <w:lang w:val="es-CO"/>
        </w:rPr>
        <w:t>16 de septiembre de 2021, C-381</w:t>
      </w:r>
      <w:r w:rsidR="00C355B4" w:rsidRPr="00733DDA">
        <w:rPr>
          <w:rFonts w:ascii="Arial" w:eastAsia="Calibri" w:hAnsi="Arial" w:cs="Arial"/>
          <w:bCs/>
          <w:sz w:val="22"/>
          <w:lang w:val="es-CO"/>
        </w:rPr>
        <w:t xml:space="preserve"> del 2 de agosto de 2021, C-391 del 11 de agosto de 2021, </w:t>
      </w:r>
      <w:r w:rsidR="00B91CF1" w:rsidRPr="00733DDA">
        <w:rPr>
          <w:rFonts w:ascii="Arial" w:eastAsia="Calibri" w:hAnsi="Arial" w:cs="Arial"/>
          <w:bCs/>
          <w:sz w:val="22"/>
          <w:lang w:val="es-CO"/>
        </w:rPr>
        <w:t xml:space="preserve">C-396 del 13 de agosto de 2021, C-401 del </w:t>
      </w:r>
      <w:r w:rsidR="00B95717" w:rsidRPr="00733DDA">
        <w:rPr>
          <w:rFonts w:ascii="Arial" w:eastAsia="Calibri" w:hAnsi="Arial" w:cs="Arial"/>
          <w:bCs/>
          <w:sz w:val="22"/>
          <w:lang w:val="es-CO"/>
        </w:rPr>
        <w:t>10 de agosto de 2021, C-413 del 17 de agosto de 2021,</w:t>
      </w:r>
      <w:r w:rsidR="00482A4E" w:rsidRPr="00733DDA">
        <w:rPr>
          <w:rFonts w:ascii="Arial" w:eastAsia="Calibri" w:hAnsi="Arial" w:cs="Arial"/>
          <w:bCs/>
          <w:sz w:val="22"/>
          <w:lang w:val="es-CO"/>
        </w:rPr>
        <w:t xml:space="preserve"> C-439 </w:t>
      </w:r>
      <w:r w:rsidR="00937362" w:rsidRPr="00733DDA">
        <w:rPr>
          <w:rFonts w:ascii="Arial" w:eastAsia="Calibri" w:hAnsi="Arial" w:cs="Arial"/>
          <w:bCs/>
          <w:sz w:val="22"/>
          <w:lang w:val="es-CO"/>
        </w:rPr>
        <w:t xml:space="preserve"> del 27 de agosto de 2021, C-456 del </w:t>
      </w:r>
      <w:r w:rsidR="00895AA2" w:rsidRPr="00733DDA">
        <w:rPr>
          <w:rFonts w:ascii="Arial" w:eastAsia="Calibri" w:hAnsi="Arial" w:cs="Arial"/>
          <w:bCs/>
          <w:sz w:val="22"/>
          <w:lang w:val="es-CO"/>
        </w:rPr>
        <w:t xml:space="preserve">3 de septiembre de 2021, C-481 del 98 de septiembre de 2021, </w:t>
      </w:r>
      <w:r w:rsidR="00A23088" w:rsidRPr="00733DDA">
        <w:rPr>
          <w:rFonts w:ascii="Arial" w:eastAsia="Calibri" w:hAnsi="Arial" w:cs="Arial"/>
          <w:bCs/>
          <w:sz w:val="22"/>
          <w:lang w:val="es-CO"/>
        </w:rPr>
        <w:t xml:space="preserve">C-495 del 15 de septiembre de 2021, C-497 del </w:t>
      </w:r>
      <w:r w:rsidR="00D92C46" w:rsidRPr="00733DDA">
        <w:rPr>
          <w:rFonts w:ascii="Arial" w:eastAsia="Calibri" w:hAnsi="Arial" w:cs="Arial"/>
          <w:bCs/>
          <w:sz w:val="22"/>
          <w:lang w:val="es-CO"/>
        </w:rPr>
        <w:t xml:space="preserve">15 de septiembre de 2021, C-499 </w:t>
      </w:r>
      <w:r w:rsidR="00D1440B" w:rsidRPr="00733DDA">
        <w:rPr>
          <w:rFonts w:ascii="Arial" w:eastAsia="Calibri" w:hAnsi="Arial" w:cs="Arial"/>
          <w:bCs/>
          <w:sz w:val="22"/>
          <w:lang w:val="es-CO"/>
        </w:rPr>
        <w:t xml:space="preserve">del 15 de septiembre de 2021, C-523 del 10 de octubre de 2021, </w:t>
      </w:r>
      <w:r w:rsidR="006F0E22" w:rsidRPr="00733DDA">
        <w:rPr>
          <w:rFonts w:ascii="Arial" w:eastAsia="Calibri" w:hAnsi="Arial" w:cs="Arial"/>
          <w:bCs/>
          <w:sz w:val="22"/>
          <w:lang w:val="es-CO"/>
        </w:rPr>
        <w:t xml:space="preserve">C-528 del 27 de septiembre de 2021, C-543 del </w:t>
      </w:r>
      <w:r w:rsidR="002B1BDA" w:rsidRPr="00733DDA">
        <w:rPr>
          <w:rFonts w:ascii="Arial" w:eastAsia="Calibri" w:hAnsi="Arial" w:cs="Arial"/>
          <w:bCs/>
          <w:sz w:val="22"/>
          <w:lang w:val="es-CO"/>
        </w:rPr>
        <w:t xml:space="preserve">9 de </w:t>
      </w:r>
      <w:r w:rsidR="005B373F" w:rsidRPr="00733DDA">
        <w:rPr>
          <w:rFonts w:ascii="Arial" w:eastAsia="Calibri" w:hAnsi="Arial" w:cs="Arial"/>
          <w:bCs/>
          <w:sz w:val="22"/>
          <w:lang w:val="es-CO"/>
        </w:rPr>
        <w:t>noviembre</w:t>
      </w:r>
      <w:r w:rsidR="002B1BDA" w:rsidRPr="00733DDA">
        <w:rPr>
          <w:rFonts w:ascii="Arial" w:eastAsia="Calibri" w:hAnsi="Arial" w:cs="Arial"/>
          <w:bCs/>
          <w:sz w:val="22"/>
          <w:lang w:val="es-CO"/>
        </w:rPr>
        <w:t xml:space="preserve"> de 2021, C-550 del</w:t>
      </w:r>
      <w:r w:rsidR="005B373F" w:rsidRPr="00733DDA">
        <w:rPr>
          <w:rFonts w:ascii="Arial" w:eastAsia="Calibri" w:hAnsi="Arial" w:cs="Arial"/>
          <w:bCs/>
          <w:sz w:val="22"/>
          <w:lang w:val="es-CO"/>
        </w:rPr>
        <w:t xml:space="preserve"> 5 de octubre de 2021, </w:t>
      </w:r>
      <w:r w:rsidR="0059058A" w:rsidRPr="00733DDA">
        <w:rPr>
          <w:rFonts w:ascii="Arial" w:eastAsia="Calibri" w:hAnsi="Arial" w:cs="Arial"/>
          <w:bCs/>
          <w:sz w:val="22"/>
          <w:lang w:val="es-CO"/>
        </w:rPr>
        <w:t xml:space="preserve">C-557 del 7 de octubre de 2021, C-563 del 8 de octubre de 2021, </w:t>
      </w:r>
      <w:r w:rsidR="008E197B" w:rsidRPr="00733DDA">
        <w:rPr>
          <w:rFonts w:ascii="Arial" w:eastAsia="Calibri" w:hAnsi="Arial" w:cs="Arial"/>
          <w:bCs/>
          <w:sz w:val="22"/>
          <w:lang w:val="es-CO"/>
        </w:rPr>
        <w:t>C-606 del 3 de noviembre de 2021, C-614 del 2 de noviembre de 2021, C-</w:t>
      </w:r>
      <w:r w:rsidR="005C4C81" w:rsidRPr="00733DDA">
        <w:rPr>
          <w:rFonts w:ascii="Arial" w:eastAsia="Calibri" w:hAnsi="Arial" w:cs="Arial"/>
          <w:bCs/>
          <w:sz w:val="22"/>
          <w:lang w:val="es-CO"/>
        </w:rPr>
        <w:t>633 del 11 de noviembre de 2021, C-634 del 11 de noviembre de 2021</w:t>
      </w:r>
      <w:r w:rsidR="003630B0" w:rsidRPr="00733DDA">
        <w:rPr>
          <w:rFonts w:ascii="Arial" w:eastAsia="Calibri" w:hAnsi="Arial" w:cs="Arial"/>
          <w:bCs/>
          <w:sz w:val="22"/>
          <w:lang w:val="es-CO"/>
        </w:rPr>
        <w:t>,</w:t>
      </w:r>
      <w:r w:rsidR="005C4C81" w:rsidRPr="00733DDA">
        <w:rPr>
          <w:rFonts w:ascii="Arial" w:eastAsia="Calibri" w:hAnsi="Arial" w:cs="Arial"/>
          <w:bCs/>
          <w:sz w:val="22"/>
          <w:lang w:val="es-CO"/>
        </w:rPr>
        <w:t xml:space="preserve"> C-636 del 16 de noviembre de 2021</w:t>
      </w:r>
      <w:r w:rsidR="003630B0" w:rsidRPr="00733DDA">
        <w:rPr>
          <w:rFonts w:ascii="Arial" w:eastAsia="Calibri" w:hAnsi="Arial" w:cs="Arial"/>
          <w:bCs/>
          <w:sz w:val="22"/>
          <w:lang w:val="es-CO"/>
        </w:rPr>
        <w:t>, C-</w:t>
      </w:r>
      <w:r w:rsidR="00975490" w:rsidRPr="00733DDA">
        <w:rPr>
          <w:rFonts w:ascii="Arial" w:eastAsia="Calibri" w:hAnsi="Arial" w:cs="Arial"/>
          <w:bCs/>
          <w:sz w:val="22"/>
          <w:lang w:val="es-CO"/>
        </w:rPr>
        <w:t>677 del 4 de diciembre de 2021</w:t>
      </w:r>
      <w:r w:rsidR="008A46A0" w:rsidRPr="00733DDA">
        <w:rPr>
          <w:rFonts w:ascii="Arial" w:eastAsia="Calibri" w:hAnsi="Arial" w:cs="Arial"/>
          <w:bCs/>
          <w:sz w:val="22"/>
          <w:lang w:val="es-CO"/>
        </w:rPr>
        <w:t>,</w:t>
      </w:r>
      <w:r w:rsidR="00975490" w:rsidRPr="00733DDA">
        <w:rPr>
          <w:rFonts w:ascii="Arial" w:eastAsia="Calibri" w:hAnsi="Arial" w:cs="Arial"/>
          <w:bCs/>
          <w:sz w:val="22"/>
          <w:lang w:val="es-CO"/>
        </w:rPr>
        <w:t xml:space="preserve"> C-695 del 22 de diciembre de 20</w:t>
      </w:r>
      <w:r w:rsidR="008A46A0" w:rsidRPr="00733DDA">
        <w:rPr>
          <w:rFonts w:ascii="Arial" w:eastAsia="Calibri" w:hAnsi="Arial" w:cs="Arial"/>
          <w:bCs/>
          <w:sz w:val="22"/>
          <w:lang w:val="es-CO"/>
        </w:rPr>
        <w:t>21, c – 697 de 3 de enero de 2022, C-699 de 6 de enero de 2022, C-700 de 6 de enero de 2022, C-702 de 6 de enero de 2022, C-715 de 21 de enero de 2022, C-718 de 24 de enero de 2022, C-723 de 28 de diciembre de 2021, C-724 de 26 de enero de 2022, C-726 de 24 de enero de 2022, C-736 de 31 de enero de 2022, C-740 de primero de febrero de 2022, C-743 de primero de febrero de 2022, C-746 de 2 de febrero de 2022, C-752 de 2 de febrero de 2022, C-757 de 30 de diciembre de 2021</w:t>
      </w:r>
      <w:r w:rsidR="009569F4" w:rsidRPr="00733DDA">
        <w:rPr>
          <w:rFonts w:ascii="Arial" w:eastAsia="Calibri" w:hAnsi="Arial" w:cs="Arial"/>
          <w:bCs/>
          <w:sz w:val="22"/>
          <w:lang w:val="es-CO"/>
        </w:rPr>
        <w:t xml:space="preserve">, </w:t>
      </w:r>
      <w:r w:rsidR="008A46A0" w:rsidRPr="00733DDA">
        <w:rPr>
          <w:rFonts w:ascii="Arial" w:eastAsia="Calibri" w:hAnsi="Arial" w:cs="Arial"/>
          <w:bCs/>
          <w:sz w:val="22"/>
          <w:lang w:val="es-CO"/>
        </w:rPr>
        <w:t>C-037 de 21 de enero de 2022</w:t>
      </w:r>
      <w:r w:rsidR="009569F4" w:rsidRPr="00733DDA">
        <w:rPr>
          <w:rFonts w:ascii="Arial" w:eastAsia="Calibri" w:hAnsi="Arial" w:cs="Arial"/>
          <w:bCs/>
          <w:sz w:val="22"/>
          <w:lang w:val="es-CO"/>
        </w:rPr>
        <w:t>, C-097 de 18 de febrero de 2022 y C-116 de 18 de febrero de 2022</w:t>
      </w:r>
      <w:r w:rsidR="00F83810" w:rsidRPr="00733DDA">
        <w:rPr>
          <w:rFonts w:ascii="Arial" w:eastAsia="Calibri" w:hAnsi="Arial" w:cs="Arial"/>
          <w:bCs/>
          <w:sz w:val="22"/>
          <w:lang w:val="es-CO"/>
        </w:rPr>
        <w:t xml:space="preserve">. </w:t>
      </w:r>
      <w:r w:rsidR="00D05E28" w:rsidRPr="00733DDA">
        <w:rPr>
          <w:rFonts w:ascii="Arial" w:eastAsia="Calibri" w:hAnsi="Arial" w:cs="Arial"/>
          <w:bCs/>
          <w:sz w:val="22"/>
          <w:lang w:val="es-CO"/>
        </w:rPr>
        <w:t>La</w:t>
      </w:r>
      <w:r w:rsidRPr="00733DDA">
        <w:rPr>
          <w:rFonts w:ascii="Arial" w:eastAsia="Calibri" w:hAnsi="Arial" w:cs="Arial"/>
          <w:bCs/>
          <w:sz w:val="22"/>
          <w:lang w:val="es-CO"/>
        </w:rPr>
        <w:t xml:space="preserve"> tesis desarrollada en estos conceptos </w:t>
      </w:r>
      <w:r w:rsidR="00D05E28" w:rsidRPr="00733DDA">
        <w:rPr>
          <w:rFonts w:ascii="Arial" w:eastAsia="Calibri" w:hAnsi="Arial" w:cs="Arial"/>
          <w:bCs/>
          <w:sz w:val="22"/>
          <w:lang w:val="es-CO"/>
        </w:rPr>
        <w:t>se</w:t>
      </w:r>
      <w:r w:rsidR="009E16CE" w:rsidRPr="00733DDA">
        <w:rPr>
          <w:rFonts w:ascii="Arial" w:eastAsia="Calibri" w:hAnsi="Arial" w:cs="Arial"/>
          <w:bCs/>
          <w:sz w:val="22"/>
          <w:lang w:val="es-CO"/>
        </w:rPr>
        <w:t xml:space="preserve"> reitera y</w:t>
      </w:r>
      <w:r w:rsidR="00D05E28" w:rsidRPr="00733DDA">
        <w:rPr>
          <w:rFonts w:ascii="Arial" w:eastAsia="Calibri" w:hAnsi="Arial" w:cs="Arial"/>
          <w:bCs/>
          <w:sz w:val="22"/>
          <w:lang w:val="es-CO"/>
        </w:rPr>
        <w:t xml:space="preserve"> complementa</w:t>
      </w:r>
      <w:r w:rsidRPr="00733DDA">
        <w:rPr>
          <w:rFonts w:ascii="Arial" w:eastAsia="Calibri" w:hAnsi="Arial" w:cs="Arial"/>
          <w:bCs/>
          <w:sz w:val="22"/>
          <w:lang w:val="es-CO"/>
        </w:rPr>
        <w:t xml:space="preserve"> </w:t>
      </w:r>
      <w:r w:rsidR="00815027" w:rsidRPr="00733DDA">
        <w:rPr>
          <w:rFonts w:ascii="Arial" w:eastAsia="Calibri" w:hAnsi="Arial" w:cs="Arial"/>
          <w:bCs/>
          <w:sz w:val="22"/>
          <w:lang w:val="es-CO"/>
        </w:rPr>
        <w:t>a continuación</w:t>
      </w:r>
      <w:r w:rsidR="002B72C0" w:rsidRPr="00733DDA">
        <w:rPr>
          <w:rFonts w:ascii="Arial" w:eastAsia="Calibri" w:hAnsi="Arial" w:cs="Arial"/>
          <w:bCs/>
          <w:sz w:val="22"/>
          <w:lang w:val="es-CO"/>
        </w:rPr>
        <w:t>:</w:t>
      </w:r>
    </w:p>
    <w:p w14:paraId="1AB4C719" w14:textId="77777777" w:rsidR="005027F0" w:rsidRPr="00733DDA" w:rsidRDefault="005027F0" w:rsidP="00E7700C">
      <w:pPr>
        <w:tabs>
          <w:tab w:val="left" w:pos="426"/>
        </w:tabs>
        <w:spacing w:after="0"/>
        <w:ind w:firstLine="709"/>
        <w:rPr>
          <w:rFonts w:ascii="Arial" w:eastAsia="Calibri" w:hAnsi="Arial" w:cs="Arial"/>
          <w:b/>
          <w:bCs/>
          <w:sz w:val="22"/>
          <w:lang w:val="es-CO"/>
        </w:rPr>
      </w:pPr>
    </w:p>
    <w:p w14:paraId="3F6AE1E9" w14:textId="0D176E96" w:rsidR="00A8268C" w:rsidRPr="00733DDA" w:rsidRDefault="00577EF5" w:rsidP="00E7700C">
      <w:pPr>
        <w:tabs>
          <w:tab w:val="left" w:pos="426"/>
        </w:tabs>
        <w:spacing w:after="0"/>
        <w:rPr>
          <w:rFonts w:ascii="Arial" w:eastAsia="Calibri" w:hAnsi="Arial" w:cs="Arial"/>
          <w:b/>
          <w:bCs/>
          <w:sz w:val="22"/>
          <w:lang w:val="es-CO"/>
        </w:rPr>
      </w:pPr>
      <w:r w:rsidRPr="00733DDA">
        <w:rPr>
          <w:rFonts w:ascii="Arial" w:eastAsia="Calibri" w:hAnsi="Arial" w:cs="Arial"/>
          <w:b/>
          <w:bCs/>
          <w:sz w:val="22"/>
          <w:lang w:val="es-CO"/>
        </w:rPr>
        <w:t>2.1</w:t>
      </w:r>
      <w:r w:rsidR="00053991" w:rsidRPr="00733DDA">
        <w:rPr>
          <w:rFonts w:ascii="Arial" w:eastAsia="Calibri" w:hAnsi="Arial" w:cs="Arial"/>
          <w:b/>
          <w:bCs/>
          <w:sz w:val="22"/>
          <w:lang w:val="es-CO"/>
        </w:rPr>
        <w:t>.</w:t>
      </w:r>
      <w:r w:rsidRPr="00733DDA">
        <w:rPr>
          <w:rFonts w:ascii="Arial" w:eastAsia="Calibri" w:hAnsi="Arial" w:cs="Arial"/>
          <w:b/>
          <w:bCs/>
          <w:sz w:val="22"/>
          <w:lang w:val="es-CO"/>
        </w:rPr>
        <w:t xml:space="preserve"> D</w:t>
      </w:r>
      <w:r w:rsidR="00EB7836" w:rsidRPr="00733DDA">
        <w:rPr>
          <w:rFonts w:ascii="Arial" w:eastAsia="Calibri" w:hAnsi="Arial" w:cs="Arial"/>
          <w:b/>
          <w:bCs/>
          <w:sz w:val="22"/>
          <w:lang w:val="es-CO"/>
        </w:rPr>
        <w:t>efinición y finalidad de la Ley de Garantías Electorales</w:t>
      </w:r>
      <w:r w:rsidR="005617FA" w:rsidRPr="00733DDA">
        <w:rPr>
          <w:rFonts w:ascii="Arial" w:eastAsia="Calibri" w:hAnsi="Arial" w:cs="Arial"/>
          <w:b/>
          <w:bCs/>
          <w:sz w:val="22"/>
          <w:lang w:val="es-CO"/>
        </w:rPr>
        <w:t>: alcance de las restricciones</w:t>
      </w:r>
    </w:p>
    <w:p w14:paraId="56993992" w14:textId="77777777" w:rsidR="005027F0" w:rsidRPr="00733DDA" w:rsidRDefault="005027F0" w:rsidP="00E7700C">
      <w:pPr>
        <w:tabs>
          <w:tab w:val="left" w:pos="426"/>
        </w:tabs>
        <w:spacing w:after="0"/>
        <w:ind w:firstLine="709"/>
        <w:rPr>
          <w:rFonts w:ascii="Arial" w:eastAsia="Calibri" w:hAnsi="Arial" w:cs="Arial"/>
          <w:bCs/>
          <w:sz w:val="22"/>
          <w:lang w:val="es-CO"/>
        </w:rPr>
      </w:pPr>
    </w:p>
    <w:p w14:paraId="1DD449BA" w14:textId="3C991284" w:rsidR="005027F0" w:rsidRPr="00733DDA" w:rsidRDefault="00A8268C" w:rsidP="00E7700C">
      <w:pPr>
        <w:tabs>
          <w:tab w:val="left" w:pos="426"/>
        </w:tabs>
        <w:spacing w:after="120"/>
        <w:rPr>
          <w:rFonts w:ascii="Arial" w:eastAsia="Times New Roman" w:hAnsi="Arial" w:cs="Arial"/>
          <w:bCs/>
          <w:sz w:val="22"/>
          <w:lang w:val="es-CO" w:eastAsia="es-CO"/>
        </w:rPr>
      </w:pPr>
      <w:r w:rsidRPr="00733DDA">
        <w:rPr>
          <w:rFonts w:ascii="Arial" w:eastAsia="Calibri" w:hAnsi="Arial" w:cs="Arial"/>
          <w:bCs/>
          <w:sz w:val="22"/>
          <w:lang w:val="es-CO"/>
        </w:rPr>
        <w:t>El ordenamiento jurídico colombiano</w:t>
      </w:r>
      <w:r w:rsidR="009604AE" w:rsidRPr="00733DDA">
        <w:rPr>
          <w:rFonts w:ascii="Arial" w:eastAsia="Calibri" w:hAnsi="Arial" w:cs="Arial"/>
          <w:bCs/>
          <w:sz w:val="22"/>
          <w:lang w:val="es-CO"/>
        </w:rPr>
        <w:t xml:space="preserve"> </w:t>
      </w:r>
      <w:r w:rsidR="00B51689" w:rsidRPr="00733DDA">
        <w:rPr>
          <w:rFonts w:ascii="Arial" w:eastAsia="Calibri" w:hAnsi="Arial" w:cs="Arial"/>
          <w:bCs/>
          <w:sz w:val="22"/>
          <w:lang w:val="es-CO"/>
        </w:rPr>
        <w:t xml:space="preserve">contempla previsiones claras para evitar </w:t>
      </w:r>
      <w:r w:rsidR="00E008F1" w:rsidRPr="00733DDA">
        <w:rPr>
          <w:rFonts w:ascii="Arial" w:eastAsia="Calibri" w:hAnsi="Arial" w:cs="Arial"/>
          <w:bCs/>
          <w:sz w:val="22"/>
          <w:lang w:val="es-CO"/>
        </w:rPr>
        <w:t>la obtención de</w:t>
      </w:r>
      <w:r w:rsidR="00B51689" w:rsidRPr="00733DDA">
        <w:rPr>
          <w:rFonts w:ascii="Arial" w:eastAsia="Calibri" w:hAnsi="Arial" w:cs="Arial"/>
          <w:bCs/>
          <w:sz w:val="22"/>
          <w:lang w:val="es-CO"/>
        </w:rPr>
        <w:t xml:space="preserve"> </w:t>
      </w:r>
      <w:r w:rsidR="00E008F1" w:rsidRPr="00733DDA">
        <w:rPr>
          <w:rFonts w:ascii="Arial" w:eastAsia="Calibri" w:hAnsi="Arial" w:cs="Arial"/>
          <w:bCs/>
          <w:sz w:val="22"/>
          <w:lang w:val="es-CO"/>
        </w:rPr>
        <w:t>beneficios</w:t>
      </w:r>
      <w:r w:rsidR="00B51689" w:rsidRPr="00733DDA">
        <w:rPr>
          <w:rFonts w:ascii="Arial" w:eastAsia="Calibri" w:hAnsi="Arial" w:cs="Arial"/>
          <w:bCs/>
          <w:sz w:val="22"/>
          <w:lang w:val="es-CO"/>
        </w:rPr>
        <w:t xml:space="preserve"> </w:t>
      </w:r>
      <w:r w:rsidR="00E008F1" w:rsidRPr="00733DDA">
        <w:rPr>
          <w:rFonts w:ascii="Arial" w:eastAsia="Calibri" w:hAnsi="Arial" w:cs="Arial"/>
          <w:bCs/>
          <w:sz w:val="22"/>
          <w:lang w:val="es-CO"/>
        </w:rPr>
        <w:t>personales</w:t>
      </w:r>
      <w:r w:rsidR="00B51689" w:rsidRPr="00733DDA">
        <w:rPr>
          <w:rFonts w:ascii="Arial" w:eastAsia="Calibri" w:hAnsi="Arial" w:cs="Arial"/>
          <w:bCs/>
          <w:sz w:val="22"/>
          <w:lang w:val="es-CO"/>
        </w:rPr>
        <w:t xml:space="preserve"> en asuntos propios de la administración pública</w:t>
      </w:r>
      <w:r w:rsidR="00F91CA6" w:rsidRPr="00733DDA">
        <w:rPr>
          <w:rFonts w:ascii="Arial" w:eastAsia="Calibri" w:hAnsi="Arial" w:cs="Arial"/>
          <w:bCs/>
          <w:i/>
          <w:iCs/>
          <w:sz w:val="22"/>
          <w:lang w:val="es-CO"/>
        </w:rPr>
        <w:t xml:space="preserve">. </w:t>
      </w:r>
      <w:r w:rsidR="00F91CA6" w:rsidRPr="00733DDA">
        <w:rPr>
          <w:rFonts w:ascii="Arial" w:eastAsia="Calibri" w:hAnsi="Arial" w:cs="Arial"/>
          <w:bCs/>
          <w:sz w:val="22"/>
          <w:lang w:val="es-CO"/>
        </w:rPr>
        <w:t>Por ejemplo</w:t>
      </w:r>
      <w:r w:rsidR="00B51689" w:rsidRPr="00733DDA">
        <w:rPr>
          <w:rFonts w:ascii="Arial" w:eastAsia="Calibri" w:hAnsi="Arial" w:cs="Arial"/>
          <w:bCs/>
          <w:sz w:val="22"/>
          <w:lang w:val="es-CO"/>
        </w:rPr>
        <w:t xml:space="preserve">, el artículo 127 de la Constitución Política </w:t>
      </w:r>
      <w:r w:rsidR="00E008F1" w:rsidRPr="00733DDA">
        <w:rPr>
          <w:rFonts w:ascii="Arial" w:eastAsia="Calibri" w:hAnsi="Arial" w:cs="Arial"/>
          <w:bCs/>
          <w:sz w:val="22"/>
          <w:lang w:val="es-CO"/>
        </w:rPr>
        <w:t>establece una prohibición contractual a los servidores</w:t>
      </w:r>
      <w:r w:rsidR="00B51689" w:rsidRPr="00733DDA">
        <w:rPr>
          <w:rFonts w:ascii="Arial" w:eastAsia="Calibri" w:hAnsi="Arial" w:cs="Arial"/>
          <w:bCs/>
          <w:sz w:val="22"/>
          <w:lang w:val="es-CO"/>
        </w:rPr>
        <w:t xml:space="preserve"> públicos y en cuanto a aspectos políticos establece restricciones a ciertos empleados del Estado, incluso en época no electoral</w:t>
      </w:r>
      <w:r w:rsidR="00E008F1" w:rsidRPr="00733DDA">
        <w:rPr>
          <w:rStyle w:val="Refdenotaalpie"/>
          <w:rFonts w:ascii="Arial" w:eastAsia="Calibri" w:hAnsi="Arial" w:cs="Arial"/>
          <w:bCs/>
          <w:sz w:val="22"/>
          <w:lang w:val="es-CO"/>
        </w:rPr>
        <w:footnoteReference w:id="1"/>
      </w:r>
      <w:r w:rsidR="00B51689" w:rsidRPr="00733DDA">
        <w:rPr>
          <w:rFonts w:ascii="Arial" w:eastAsia="Calibri" w:hAnsi="Arial" w:cs="Arial"/>
          <w:bCs/>
          <w:sz w:val="22"/>
          <w:lang w:val="es-CO"/>
        </w:rPr>
        <w:t xml:space="preserve">. </w:t>
      </w:r>
    </w:p>
    <w:p w14:paraId="2A229386" w14:textId="02130E25" w:rsidR="00930831" w:rsidRPr="00733DDA" w:rsidRDefault="00847B6B" w:rsidP="00E7700C">
      <w:pPr>
        <w:tabs>
          <w:tab w:val="left" w:pos="426"/>
        </w:tabs>
        <w:spacing w:after="0"/>
        <w:ind w:firstLine="709"/>
        <w:rPr>
          <w:rFonts w:ascii="Arial" w:eastAsia="Times New Roman" w:hAnsi="Arial" w:cs="Arial"/>
          <w:bCs/>
          <w:sz w:val="22"/>
          <w:lang w:eastAsia="es-CO"/>
        </w:rPr>
      </w:pPr>
      <w:r w:rsidRPr="00733DDA">
        <w:rPr>
          <w:rFonts w:ascii="Arial" w:eastAsia="Times New Roman" w:hAnsi="Arial" w:cs="Arial"/>
          <w:bCs/>
          <w:sz w:val="22"/>
          <w:lang w:val="es-CO" w:eastAsia="es-CO"/>
        </w:rPr>
        <w:lastRenderedPageBreak/>
        <w:t>En el mismo sentido</w:t>
      </w:r>
      <w:r w:rsidR="003833D7" w:rsidRPr="00733DDA">
        <w:rPr>
          <w:rFonts w:ascii="Arial" w:eastAsia="Times New Roman" w:hAnsi="Arial" w:cs="Arial"/>
          <w:bCs/>
          <w:sz w:val="22"/>
          <w:lang w:eastAsia="es-CO"/>
        </w:rPr>
        <w:t xml:space="preserve">, </w:t>
      </w:r>
      <w:r w:rsidR="00097ABD" w:rsidRPr="00733DDA">
        <w:rPr>
          <w:rFonts w:ascii="Arial" w:eastAsia="Times New Roman" w:hAnsi="Arial" w:cs="Arial"/>
          <w:bCs/>
          <w:sz w:val="22"/>
          <w:lang w:eastAsia="es-CO"/>
        </w:rPr>
        <w:t>l</w:t>
      </w:r>
      <w:r w:rsidR="00A46384" w:rsidRPr="00733DDA">
        <w:rPr>
          <w:rFonts w:ascii="Arial" w:eastAsia="Times New Roman" w:hAnsi="Arial" w:cs="Arial"/>
          <w:bCs/>
          <w:sz w:val="22"/>
          <w:lang w:eastAsia="es-CO"/>
        </w:rPr>
        <w:t xml:space="preserve">a Ley 996 de 2005, conocida como </w:t>
      </w:r>
      <w:r w:rsidR="00F91CA6" w:rsidRPr="00733DDA">
        <w:rPr>
          <w:rFonts w:ascii="Arial" w:eastAsia="Times New Roman" w:hAnsi="Arial" w:cs="Arial"/>
          <w:bCs/>
          <w:sz w:val="22"/>
          <w:lang w:eastAsia="es-CO"/>
        </w:rPr>
        <w:t>«</w:t>
      </w:r>
      <w:r w:rsidR="00A46384" w:rsidRPr="00733DDA">
        <w:rPr>
          <w:rFonts w:ascii="Arial" w:eastAsia="Times New Roman" w:hAnsi="Arial" w:cs="Arial"/>
          <w:bCs/>
          <w:sz w:val="22"/>
          <w:lang w:eastAsia="es-CO"/>
        </w:rPr>
        <w:t>Ley de Garantías Electorales</w:t>
      </w:r>
      <w:r w:rsidR="00F91CA6" w:rsidRPr="00733DDA">
        <w:rPr>
          <w:rFonts w:ascii="Arial" w:eastAsia="Times New Roman" w:hAnsi="Arial" w:cs="Arial"/>
          <w:bCs/>
          <w:sz w:val="22"/>
          <w:lang w:eastAsia="es-CO"/>
        </w:rPr>
        <w:t>»</w:t>
      </w:r>
      <w:r w:rsidR="00A46384" w:rsidRPr="00733DDA">
        <w:rPr>
          <w:rFonts w:ascii="Arial" w:eastAsia="Times New Roman" w:hAnsi="Arial" w:cs="Arial"/>
          <w:bCs/>
          <w:sz w:val="22"/>
          <w:lang w:eastAsia="es-CO"/>
        </w:rPr>
        <w:t>, se suma al andamiaje de orden constitucional y legal que se ha ocupado de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w:t>
      </w:r>
      <w:r w:rsidR="007A1418" w:rsidRPr="00733DDA">
        <w:rPr>
          <w:rStyle w:val="Refdenotaalpie"/>
          <w:rFonts w:ascii="Arial" w:eastAsia="Times New Roman" w:hAnsi="Arial" w:cs="Arial"/>
          <w:bCs/>
          <w:sz w:val="22"/>
          <w:lang w:eastAsia="es-CO"/>
        </w:rPr>
        <w:footnoteReference w:id="2"/>
      </w:r>
      <w:r w:rsidR="009F7D1F" w:rsidRPr="00733DDA">
        <w:rPr>
          <w:rFonts w:ascii="Arial" w:eastAsia="Times New Roman" w:hAnsi="Arial" w:cs="Arial"/>
          <w:bCs/>
          <w:sz w:val="22"/>
          <w:lang w:eastAsia="es-CO"/>
        </w:rPr>
        <w:t>. En esta medida,</w:t>
      </w:r>
      <w:r w:rsidR="00A46384" w:rsidRPr="00733DDA">
        <w:rPr>
          <w:rFonts w:ascii="Arial" w:eastAsia="Times New Roman" w:hAnsi="Arial" w:cs="Arial"/>
          <w:bCs/>
          <w:sz w:val="22"/>
          <w:lang w:eastAsia="es-CO"/>
        </w:rPr>
        <w:t xml:space="preserve"> introduce limitaciones para realizar nombramientos, postulaciones, contrataciones o cualquier otro tipo de actividad que implique destinación de recursos públicos bajo el devenir propio de las entidades estatales.</w:t>
      </w:r>
      <w:r w:rsidR="009F7D1F" w:rsidRPr="00733DDA">
        <w:rPr>
          <w:rFonts w:ascii="Arial" w:eastAsia="Calibri" w:hAnsi="Arial" w:cs="Arial"/>
          <w:noProof/>
          <w:sz w:val="22"/>
          <w:lang w:val="es-ES_tradnl"/>
        </w:rPr>
        <w:t xml:space="preserve"> </w:t>
      </w:r>
      <w:r w:rsidRPr="00733DDA">
        <w:rPr>
          <w:rFonts w:ascii="Arial" w:eastAsia="Times New Roman" w:hAnsi="Arial" w:cs="Arial"/>
          <w:bCs/>
          <w:sz w:val="22"/>
          <w:lang w:eastAsia="es-CO"/>
        </w:rPr>
        <w:t xml:space="preserve">En </w:t>
      </w:r>
      <w:r w:rsidR="00EB7836" w:rsidRPr="00733DDA">
        <w:rPr>
          <w:rFonts w:ascii="Arial" w:eastAsia="Times New Roman" w:hAnsi="Arial" w:cs="Arial"/>
          <w:bCs/>
          <w:sz w:val="22"/>
          <w:lang w:eastAsia="es-CO"/>
        </w:rPr>
        <w:t xml:space="preserve">armonía con lo anterior, </w:t>
      </w:r>
      <w:r w:rsidRPr="00733DDA">
        <w:rPr>
          <w:rFonts w:ascii="Arial" w:eastAsia="Times New Roman" w:hAnsi="Arial" w:cs="Arial"/>
          <w:bCs/>
          <w:sz w:val="22"/>
          <w:lang w:eastAsia="es-CO"/>
        </w:rPr>
        <w:t>l</w:t>
      </w:r>
      <w:r w:rsidR="00930831" w:rsidRPr="00733DDA">
        <w:rPr>
          <w:rFonts w:ascii="Arial" w:eastAsia="Times New Roman" w:hAnsi="Arial" w:cs="Arial"/>
          <w:bCs/>
          <w:sz w:val="22"/>
          <w:lang w:eastAsia="es-CO"/>
        </w:rPr>
        <w:t xml:space="preserve">a Corte Constitucional ha abordado la definición de </w:t>
      </w:r>
      <w:r w:rsidR="00252AEC" w:rsidRPr="00733DDA">
        <w:rPr>
          <w:rFonts w:ascii="Arial" w:eastAsia="Times New Roman" w:hAnsi="Arial" w:cs="Arial"/>
          <w:bCs/>
          <w:sz w:val="22"/>
          <w:lang w:eastAsia="es-CO"/>
        </w:rPr>
        <w:t>la</w:t>
      </w:r>
      <w:r w:rsidR="00930831" w:rsidRPr="00733DDA">
        <w:rPr>
          <w:rFonts w:ascii="Arial" w:eastAsia="Times New Roman" w:hAnsi="Arial" w:cs="Arial"/>
          <w:bCs/>
          <w:sz w:val="22"/>
          <w:lang w:eastAsia="es-CO"/>
        </w:rPr>
        <w:t xml:space="preserve"> </w:t>
      </w:r>
      <w:r w:rsidR="00252AEC" w:rsidRPr="00733DDA">
        <w:rPr>
          <w:rFonts w:ascii="Arial" w:eastAsia="Times New Roman" w:hAnsi="Arial" w:cs="Arial"/>
          <w:bCs/>
          <w:sz w:val="22"/>
          <w:lang w:eastAsia="es-CO"/>
        </w:rPr>
        <w:t>L</w:t>
      </w:r>
      <w:r w:rsidR="00930831" w:rsidRPr="00733DDA">
        <w:rPr>
          <w:rFonts w:ascii="Arial" w:eastAsia="Times New Roman" w:hAnsi="Arial" w:cs="Arial"/>
          <w:bCs/>
          <w:sz w:val="22"/>
          <w:lang w:eastAsia="es-CO"/>
        </w:rPr>
        <w:t xml:space="preserve">ey de </w:t>
      </w:r>
      <w:r w:rsidR="00252AEC" w:rsidRPr="00733DDA">
        <w:rPr>
          <w:rFonts w:ascii="Arial" w:eastAsia="Times New Roman" w:hAnsi="Arial" w:cs="Arial"/>
          <w:bCs/>
          <w:sz w:val="22"/>
          <w:lang w:eastAsia="es-CO"/>
        </w:rPr>
        <w:t>G</w:t>
      </w:r>
      <w:r w:rsidR="00930831" w:rsidRPr="00733DDA">
        <w:rPr>
          <w:rFonts w:ascii="Arial" w:eastAsia="Times New Roman" w:hAnsi="Arial" w:cs="Arial"/>
          <w:bCs/>
          <w:sz w:val="22"/>
          <w:lang w:eastAsia="es-CO"/>
        </w:rPr>
        <w:t>arantías</w:t>
      </w:r>
      <w:r w:rsidR="00252AEC" w:rsidRPr="00733DDA">
        <w:rPr>
          <w:rFonts w:ascii="Arial" w:eastAsia="Times New Roman" w:hAnsi="Arial" w:cs="Arial"/>
          <w:bCs/>
          <w:sz w:val="22"/>
          <w:lang w:eastAsia="es-CO"/>
        </w:rPr>
        <w:t xml:space="preserve"> Electorales</w:t>
      </w:r>
      <w:r w:rsidR="00F91CA6" w:rsidRPr="00733DDA">
        <w:rPr>
          <w:rFonts w:ascii="Arial" w:eastAsia="Times New Roman" w:hAnsi="Arial" w:cs="Arial"/>
          <w:bCs/>
          <w:sz w:val="22"/>
          <w:lang w:eastAsia="es-CO"/>
        </w:rPr>
        <w:t>. De esta manera, explica que tiene como propósito</w:t>
      </w:r>
      <w:r w:rsidR="00930831" w:rsidRPr="00733DDA">
        <w:rPr>
          <w:rFonts w:ascii="Arial" w:eastAsia="Times New Roman" w:hAnsi="Arial" w:cs="Arial"/>
          <w:bCs/>
          <w:sz w:val="22"/>
          <w:lang w:eastAsia="es-CO"/>
        </w:rPr>
        <w:t>:</w:t>
      </w:r>
    </w:p>
    <w:p w14:paraId="2AE4C60A" w14:textId="77777777" w:rsidR="000B680C" w:rsidRPr="00733DDA" w:rsidRDefault="000B680C" w:rsidP="00E7700C">
      <w:pPr>
        <w:spacing w:after="0"/>
        <w:ind w:right="709"/>
        <w:rPr>
          <w:rFonts w:ascii="Arial" w:eastAsia="Times New Roman" w:hAnsi="Arial" w:cs="Arial"/>
          <w:sz w:val="21"/>
          <w:szCs w:val="21"/>
          <w:lang w:val="es-ES" w:eastAsia="es-CO"/>
        </w:rPr>
      </w:pPr>
    </w:p>
    <w:p w14:paraId="1EC4C745" w14:textId="734BA5A0" w:rsidR="00930831" w:rsidRPr="00733DDA" w:rsidRDefault="000B680C" w:rsidP="000641BE">
      <w:pPr>
        <w:spacing w:after="0" w:line="240" w:lineRule="auto"/>
        <w:ind w:left="709" w:right="709"/>
        <w:rPr>
          <w:rFonts w:ascii="Arial" w:eastAsia="Times New Roman" w:hAnsi="Arial" w:cs="Arial"/>
          <w:bCs/>
          <w:sz w:val="21"/>
          <w:szCs w:val="21"/>
          <w:lang w:eastAsia="es-CO"/>
        </w:rPr>
      </w:pPr>
      <w:r w:rsidRPr="00733DDA">
        <w:rPr>
          <w:rFonts w:ascii="Arial" w:eastAsia="Times New Roman" w:hAnsi="Arial" w:cs="Arial"/>
          <w:sz w:val="21"/>
          <w:szCs w:val="21"/>
          <w:lang w:val="es-ES" w:eastAsia="es-CO"/>
        </w:rPr>
        <w:t>[…]</w:t>
      </w:r>
      <w:r w:rsidR="006D5176" w:rsidRPr="00733DDA">
        <w:rPr>
          <w:rFonts w:ascii="Arial" w:eastAsia="Times New Roman" w:hAnsi="Arial" w:cs="Arial"/>
          <w:sz w:val="21"/>
          <w:szCs w:val="21"/>
          <w:lang w:val="es-ES" w:eastAsia="es-CO"/>
        </w:rPr>
        <w:t xml:space="preserve"> </w:t>
      </w:r>
      <w:r w:rsidR="00930831" w:rsidRPr="00733DDA">
        <w:rPr>
          <w:rFonts w:ascii="Arial" w:eastAsia="Times New Roman" w:hAnsi="Arial" w:cs="Arial"/>
          <w:bCs/>
          <w:sz w:val="21"/>
          <w:szCs w:val="21"/>
          <w:lang w:eastAsia="es-CO"/>
        </w:rPr>
        <w:t>la definición de reglas claras que permitan acceder a los canales de expresión democrática de manera efectiva e igualitaria. El objetivo de una ley de garantías es definir esas reglas.</w:t>
      </w:r>
    </w:p>
    <w:p w14:paraId="7E1D73A9" w14:textId="77777777" w:rsidR="00930831" w:rsidRPr="00733DDA" w:rsidRDefault="00930831" w:rsidP="000641BE">
      <w:pPr>
        <w:spacing w:after="120" w:line="240" w:lineRule="auto"/>
        <w:ind w:left="709" w:right="709"/>
        <w:rPr>
          <w:rFonts w:ascii="Arial" w:eastAsia="Times New Roman" w:hAnsi="Arial" w:cs="Arial"/>
          <w:bCs/>
          <w:sz w:val="21"/>
          <w:szCs w:val="21"/>
          <w:lang w:eastAsia="es-CO"/>
        </w:rPr>
      </w:pPr>
      <w:r w:rsidRPr="00733DDA">
        <w:rPr>
          <w:rFonts w:ascii="Arial" w:eastAsia="Times New Roman" w:hAnsi="Arial" w:cs="Arial"/>
          <w:bCs/>
          <w:sz w:val="21"/>
          <w:szCs w:val="21"/>
          <w:lang w:eastAsia="es-CO"/>
        </w:rPr>
        <w:t xml:space="preserve">[…] </w:t>
      </w:r>
    </w:p>
    <w:p w14:paraId="4AEB132E" w14:textId="5D836BC4" w:rsidR="00930831" w:rsidRPr="00733DDA" w:rsidRDefault="00930831" w:rsidP="000641BE">
      <w:pPr>
        <w:spacing w:after="0" w:line="240" w:lineRule="auto"/>
        <w:ind w:left="709" w:right="709"/>
        <w:rPr>
          <w:rFonts w:ascii="Arial" w:eastAsia="Times New Roman" w:hAnsi="Arial" w:cs="Arial"/>
          <w:bCs/>
          <w:sz w:val="21"/>
          <w:szCs w:val="21"/>
          <w:lang w:eastAsia="es-CO"/>
        </w:rPr>
      </w:pPr>
      <w:r w:rsidRPr="00733DDA">
        <w:rPr>
          <w:rFonts w:ascii="Arial" w:eastAsia="Times New Roman" w:hAnsi="Arial" w:cs="Arial"/>
          <w:bCs/>
          <w:sz w:val="21"/>
          <w:szCs w:val="21"/>
          <w:lang w:eastAsia="es-CO"/>
        </w:rPr>
        <w:t>Una ley de garantías electorales es una guía para el ejercicio equitativo y transparente de la democracia representativa. Un estatuto diseñado para asegurar que la contienda democrática se cumpla en condiciones igualitarias y transparentes para a los electores. Una ley de garantías busca afianzar la neutralidad de los servidores públicos que organizan y supervisan las disputas electorales, e intenta garantizar el acceso igualitario a los canales de comunicación de los candidatos. Igualmente, una ley de garantías debe permitir que, en el debate democrático, sean las ideas y las propuestas las que definan el ascenso al poder, y no el músculo econ</w:t>
      </w:r>
      <w:r w:rsidR="00EB7836" w:rsidRPr="00733DDA">
        <w:rPr>
          <w:rFonts w:ascii="Arial" w:eastAsia="Times New Roman" w:hAnsi="Arial" w:cs="Arial"/>
          <w:bCs/>
          <w:sz w:val="21"/>
          <w:szCs w:val="21"/>
          <w:lang w:eastAsia="es-CO"/>
        </w:rPr>
        <w:t>ómico de los que se lo disputan</w:t>
      </w:r>
      <w:r w:rsidRPr="00733DDA">
        <w:rPr>
          <w:rFonts w:ascii="Arial" w:eastAsia="Times New Roman" w:hAnsi="Arial" w:cs="Arial"/>
          <w:bCs/>
          <w:sz w:val="21"/>
          <w:szCs w:val="21"/>
          <w:lang w:eastAsia="es-CO"/>
        </w:rPr>
        <w:t>.</w:t>
      </w:r>
      <w:r w:rsidR="009F3083" w:rsidRPr="00733DDA">
        <w:rPr>
          <w:rStyle w:val="Refdenotaalpie"/>
          <w:rFonts w:ascii="Arial" w:hAnsi="Arial" w:cs="Arial"/>
          <w:sz w:val="20"/>
          <w:szCs w:val="20"/>
        </w:rPr>
        <w:footnoteReference w:id="3"/>
      </w:r>
    </w:p>
    <w:p w14:paraId="0512AD18" w14:textId="77777777" w:rsidR="00535A7F" w:rsidRPr="00733DDA" w:rsidRDefault="00535A7F" w:rsidP="00E7700C">
      <w:pPr>
        <w:spacing w:after="0"/>
        <w:ind w:left="709" w:right="709"/>
        <w:rPr>
          <w:rFonts w:ascii="Arial" w:eastAsia="Times New Roman" w:hAnsi="Arial" w:cs="Arial"/>
          <w:bCs/>
          <w:sz w:val="21"/>
          <w:szCs w:val="21"/>
          <w:lang w:eastAsia="es-CO"/>
        </w:rPr>
      </w:pPr>
    </w:p>
    <w:p w14:paraId="7592456D" w14:textId="6ACD31BA" w:rsidR="000D457E" w:rsidRPr="00733DDA" w:rsidRDefault="00A46384" w:rsidP="00E7700C">
      <w:pPr>
        <w:spacing w:after="0"/>
        <w:ind w:firstLine="709"/>
        <w:rPr>
          <w:rFonts w:ascii="Arial" w:eastAsia="Times New Roman" w:hAnsi="Arial" w:cs="Arial"/>
          <w:bCs/>
          <w:sz w:val="22"/>
          <w:lang w:eastAsia="es-CO"/>
        </w:rPr>
      </w:pPr>
      <w:bookmarkStart w:id="11" w:name="_Hlk78818186"/>
      <w:r w:rsidRPr="00733DDA">
        <w:rPr>
          <w:rFonts w:ascii="Arial" w:eastAsia="Times New Roman" w:hAnsi="Arial" w:cs="Arial"/>
          <w:bCs/>
          <w:sz w:val="22"/>
          <w:lang w:eastAsia="es-CO"/>
        </w:rPr>
        <w:t xml:space="preserve">En este contexto, la Ley de Garantías Electorales establece el marco jurídico para el desarrollo de las elecciones, procurando condiciones de igualdad y </w:t>
      </w:r>
      <w:r w:rsidRPr="00733DDA">
        <w:rPr>
          <w:rFonts w:ascii="Arial" w:eastAsia="Times New Roman" w:hAnsi="Arial" w:cs="Arial"/>
          <w:bCs/>
          <w:sz w:val="22"/>
          <w:lang w:eastAsia="es-CO"/>
        </w:rPr>
        <w:lastRenderedPageBreak/>
        <w:t>transparencia para los aspirantes y paralelamente se incluyen restricciones en el actuar de los servidores públicos, evitando interferencias en la contienda electoral, así como la posible desviación de recursos públicos en aspiraciones electorales.</w:t>
      </w:r>
      <w:r w:rsidR="0062127B" w:rsidRPr="00733DDA">
        <w:rPr>
          <w:rFonts w:ascii="Arial" w:eastAsia="Times New Roman" w:hAnsi="Arial" w:cs="Arial"/>
          <w:bCs/>
          <w:sz w:val="22"/>
          <w:lang w:eastAsia="es-CO"/>
        </w:rPr>
        <w:t xml:space="preserve"> </w:t>
      </w:r>
      <w:bookmarkEnd w:id="11"/>
      <w:r w:rsidR="0062127B" w:rsidRPr="00733DDA">
        <w:rPr>
          <w:rFonts w:ascii="Arial" w:eastAsia="Times New Roman" w:hAnsi="Arial" w:cs="Arial"/>
          <w:bCs/>
          <w:sz w:val="22"/>
          <w:lang w:eastAsia="es-CO"/>
        </w:rPr>
        <w:t>Por ello</w:t>
      </w:r>
      <w:r w:rsidR="00883662" w:rsidRPr="00733DDA">
        <w:rPr>
          <w:rFonts w:ascii="Arial" w:eastAsia="Times New Roman" w:hAnsi="Arial" w:cs="Arial"/>
          <w:bCs/>
          <w:sz w:val="22"/>
          <w:lang w:eastAsia="es-CO"/>
        </w:rPr>
        <w:t xml:space="preserve">, </w:t>
      </w:r>
      <w:r w:rsidR="00D626A3" w:rsidRPr="00733DDA">
        <w:rPr>
          <w:rFonts w:ascii="Arial" w:eastAsia="Times New Roman" w:hAnsi="Arial" w:cs="Arial"/>
          <w:bCs/>
          <w:sz w:val="22"/>
          <w:lang w:eastAsia="es-CO"/>
        </w:rPr>
        <w:t xml:space="preserve">varias de las disposiciones de la </w:t>
      </w:r>
      <w:r w:rsidR="00883662" w:rsidRPr="00733DDA">
        <w:rPr>
          <w:rFonts w:ascii="Arial" w:eastAsia="Times New Roman" w:hAnsi="Arial" w:cs="Arial"/>
          <w:bCs/>
          <w:sz w:val="22"/>
          <w:lang w:eastAsia="es-CO"/>
        </w:rPr>
        <w:t>Ley 996 de 2005</w:t>
      </w:r>
      <w:r w:rsidR="00D626A3" w:rsidRPr="00733DDA">
        <w:rPr>
          <w:rFonts w:ascii="Arial" w:eastAsia="Times New Roman" w:hAnsi="Arial" w:cs="Arial"/>
          <w:bCs/>
          <w:sz w:val="22"/>
          <w:lang w:eastAsia="es-CO"/>
        </w:rPr>
        <w:t>,</w:t>
      </w:r>
      <w:r w:rsidR="00883662" w:rsidRPr="00733DDA">
        <w:rPr>
          <w:rFonts w:ascii="Arial" w:eastAsia="Times New Roman" w:hAnsi="Arial" w:cs="Arial"/>
          <w:bCs/>
          <w:sz w:val="22"/>
          <w:lang w:eastAsia="es-CO"/>
        </w:rPr>
        <w:t xml:space="preserve"> al contener normas</w:t>
      </w:r>
      <w:r w:rsidR="000D457E" w:rsidRPr="00733DDA">
        <w:rPr>
          <w:rFonts w:ascii="Arial" w:eastAsia="Times New Roman" w:hAnsi="Arial" w:cs="Arial"/>
          <w:bCs/>
          <w:sz w:val="22"/>
          <w:lang w:eastAsia="es-CO"/>
        </w:rPr>
        <w:t xml:space="preserve"> </w:t>
      </w:r>
      <w:r w:rsidR="00883662" w:rsidRPr="00733DDA">
        <w:rPr>
          <w:rFonts w:ascii="Arial" w:eastAsia="Times New Roman" w:hAnsi="Arial" w:cs="Arial"/>
          <w:bCs/>
          <w:sz w:val="22"/>
          <w:lang w:eastAsia="es-CO"/>
        </w:rPr>
        <w:t>prohibitivas</w:t>
      </w:r>
      <w:r w:rsidR="00D626A3" w:rsidRPr="00733DDA">
        <w:rPr>
          <w:rFonts w:ascii="Arial" w:eastAsia="Times New Roman" w:hAnsi="Arial" w:cs="Arial"/>
          <w:bCs/>
          <w:sz w:val="22"/>
          <w:lang w:eastAsia="es-CO"/>
        </w:rPr>
        <w:t>,</w:t>
      </w:r>
      <w:r w:rsidR="00883662" w:rsidRPr="00733DDA">
        <w:rPr>
          <w:rFonts w:ascii="Arial" w:eastAsia="Times New Roman" w:hAnsi="Arial" w:cs="Arial"/>
          <w:bCs/>
          <w:sz w:val="22"/>
          <w:lang w:eastAsia="es-CO"/>
        </w:rPr>
        <w:t xml:space="preserve"> </w:t>
      </w:r>
      <w:r w:rsidR="000D457E" w:rsidRPr="00733DDA">
        <w:rPr>
          <w:rFonts w:ascii="Arial" w:eastAsia="Times New Roman" w:hAnsi="Arial" w:cs="Arial"/>
          <w:bCs/>
          <w:sz w:val="22"/>
          <w:lang w:eastAsia="es-CO"/>
        </w:rPr>
        <w:t>no admite</w:t>
      </w:r>
      <w:r w:rsidR="00D626A3" w:rsidRPr="00733DDA">
        <w:rPr>
          <w:rFonts w:ascii="Arial" w:eastAsia="Times New Roman" w:hAnsi="Arial" w:cs="Arial"/>
          <w:bCs/>
          <w:sz w:val="22"/>
          <w:lang w:eastAsia="es-CO"/>
        </w:rPr>
        <w:t>n</w:t>
      </w:r>
      <w:r w:rsidR="000D457E" w:rsidRPr="00733DDA">
        <w:rPr>
          <w:rFonts w:ascii="Arial" w:eastAsia="Times New Roman" w:hAnsi="Arial" w:cs="Arial"/>
          <w:bCs/>
          <w:sz w:val="22"/>
          <w:lang w:eastAsia="es-CO"/>
        </w:rPr>
        <w:t xml:space="preserve"> una interpretación amplia</w:t>
      </w:r>
      <w:r w:rsidR="00D626A3" w:rsidRPr="00733DDA">
        <w:rPr>
          <w:rFonts w:ascii="Arial" w:eastAsia="Times New Roman" w:hAnsi="Arial" w:cs="Arial"/>
          <w:bCs/>
          <w:sz w:val="22"/>
          <w:lang w:eastAsia="es-CO"/>
        </w:rPr>
        <w:t xml:space="preserve">, sino que deben interpretarse restrictivamente. En efecto, la Sala de Consulta y Servicio Civil del Consejo de Estado al analizar </w:t>
      </w:r>
      <w:r w:rsidR="000D457E" w:rsidRPr="00733DDA">
        <w:rPr>
          <w:rFonts w:ascii="Arial" w:eastAsia="Times New Roman" w:hAnsi="Arial" w:cs="Arial"/>
          <w:bCs/>
          <w:sz w:val="22"/>
          <w:lang w:eastAsia="es-CO"/>
        </w:rPr>
        <w:t>la referida ley</w:t>
      </w:r>
      <w:r w:rsidR="00883662" w:rsidRPr="00733DDA">
        <w:rPr>
          <w:rFonts w:ascii="Arial" w:eastAsia="Times New Roman" w:hAnsi="Arial" w:cs="Arial"/>
          <w:bCs/>
          <w:sz w:val="22"/>
          <w:lang w:eastAsia="es-CO"/>
        </w:rPr>
        <w:t>,</w:t>
      </w:r>
      <w:r w:rsidR="000D457E" w:rsidRPr="00733DDA">
        <w:rPr>
          <w:rFonts w:ascii="Arial" w:eastAsia="Times New Roman" w:hAnsi="Arial" w:cs="Arial"/>
          <w:bCs/>
          <w:sz w:val="22"/>
          <w:lang w:eastAsia="es-CO"/>
        </w:rPr>
        <w:t xml:space="preserve"> precis</w:t>
      </w:r>
      <w:r w:rsidR="0094059F" w:rsidRPr="00733DDA">
        <w:rPr>
          <w:rFonts w:ascii="Arial" w:eastAsia="Times New Roman" w:hAnsi="Arial" w:cs="Arial"/>
          <w:bCs/>
          <w:sz w:val="22"/>
          <w:lang w:eastAsia="es-CO"/>
        </w:rPr>
        <w:t>ó</w:t>
      </w:r>
      <w:r w:rsidR="000D457E" w:rsidRPr="00733DDA">
        <w:rPr>
          <w:rFonts w:ascii="Arial" w:eastAsia="Times New Roman" w:hAnsi="Arial" w:cs="Arial"/>
          <w:bCs/>
          <w:sz w:val="22"/>
          <w:lang w:eastAsia="es-CO"/>
        </w:rPr>
        <w:t xml:space="preserve"> lo siguiente:</w:t>
      </w:r>
    </w:p>
    <w:p w14:paraId="45AFCCC5" w14:textId="77777777" w:rsidR="00D626A3" w:rsidRPr="00733DDA" w:rsidRDefault="00D626A3" w:rsidP="00E7700C">
      <w:pPr>
        <w:spacing w:after="0"/>
        <w:ind w:firstLine="709"/>
        <w:rPr>
          <w:rFonts w:ascii="Arial" w:eastAsia="Times New Roman" w:hAnsi="Arial" w:cs="Arial"/>
          <w:bCs/>
          <w:sz w:val="22"/>
          <w:lang w:eastAsia="es-CO"/>
        </w:rPr>
      </w:pPr>
    </w:p>
    <w:p w14:paraId="5F802D56" w14:textId="5CF9A162" w:rsidR="000D457E" w:rsidRPr="00733DDA" w:rsidRDefault="000D457E" w:rsidP="000641BE">
      <w:pPr>
        <w:spacing w:after="120" w:line="240" w:lineRule="auto"/>
        <w:ind w:left="709" w:right="709"/>
        <w:rPr>
          <w:rFonts w:ascii="Arial" w:eastAsia="Times New Roman" w:hAnsi="Arial" w:cs="Arial"/>
          <w:bCs/>
          <w:sz w:val="21"/>
          <w:szCs w:val="21"/>
          <w:lang w:eastAsia="es-CO"/>
        </w:rPr>
      </w:pPr>
      <w:r w:rsidRPr="00733DDA">
        <w:rPr>
          <w:rFonts w:ascii="Arial" w:eastAsia="Times New Roman" w:hAnsi="Arial" w:cs="Arial"/>
          <w:bCs/>
          <w:sz w:val="21"/>
          <w:szCs w:val="21"/>
          <w:lang w:eastAsia="es-CO"/>
        </w:rPr>
        <w:t xml:space="preserve">No está de más recordar que las prohibiciones, en tanto limitan la libertad y los derechos de las personas, son de origen constitucional y legal; la tipificación de sus causas, vigencia, naturaleza y efectos es rígida y taxativa; y su aplicación es restrictiva, de manera que excluye la analogía </w:t>
      </w:r>
      <w:proofErr w:type="spellStart"/>
      <w:r w:rsidRPr="00733DDA">
        <w:rPr>
          <w:rFonts w:ascii="Arial" w:eastAsia="Times New Roman" w:hAnsi="Arial" w:cs="Arial"/>
          <w:bCs/>
          <w:sz w:val="21"/>
          <w:szCs w:val="21"/>
          <w:lang w:eastAsia="es-CO"/>
        </w:rPr>
        <w:t>legis</w:t>
      </w:r>
      <w:proofErr w:type="spellEnd"/>
      <w:r w:rsidRPr="00733DDA">
        <w:rPr>
          <w:rFonts w:ascii="Arial" w:eastAsia="Times New Roman" w:hAnsi="Arial" w:cs="Arial"/>
          <w:bCs/>
          <w:sz w:val="21"/>
          <w:szCs w:val="21"/>
          <w:lang w:eastAsia="es-CO"/>
        </w:rPr>
        <w:t xml:space="preserve"> o iuris y la interpretación extensiva. Las normas legales de contenido prohibitivo hacen parte de un conjunto de disposiciones que integran un régimen jurídico imperativo y de orden público, razón por la cual no son disponibles ni pueden ser derogadas, modificadas, ampliadas o adicionadas por acuerdo o convenio o acto unilateral.</w:t>
      </w:r>
    </w:p>
    <w:p w14:paraId="3BC36AE9" w14:textId="619FD879" w:rsidR="00883662" w:rsidRPr="00733DDA" w:rsidRDefault="000D457E" w:rsidP="000641BE">
      <w:pPr>
        <w:spacing w:after="0" w:line="240" w:lineRule="auto"/>
        <w:ind w:left="709" w:right="709"/>
        <w:rPr>
          <w:rFonts w:ascii="Arial" w:eastAsia="Times New Roman" w:hAnsi="Arial" w:cs="Arial"/>
          <w:bCs/>
          <w:sz w:val="21"/>
          <w:szCs w:val="21"/>
          <w:lang w:eastAsia="es-CO"/>
        </w:rPr>
      </w:pPr>
      <w:r w:rsidRPr="00733DDA">
        <w:rPr>
          <w:rFonts w:ascii="Arial" w:eastAsia="Times New Roman" w:hAnsi="Arial" w:cs="Arial"/>
          <w:bCs/>
          <w:sz w:val="21"/>
          <w:szCs w:val="21"/>
          <w:lang w:eastAsia="es-CO"/>
        </w:rPr>
        <w:t>La jurisprudencia de la Corte Constitucional</w:t>
      </w:r>
      <w:r w:rsidR="001F55B5" w:rsidRPr="00733DDA">
        <w:rPr>
          <w:rStyle w:val="Refdenotaalpie"/>
          <w:rFonts w:ascii="Arial" w:eastAsia="Times New Roman" w:hAnsi="Arial" w:cs="Arial"/>
          <w:bCs/>
          <w:sz w:val="21"/>
          <w:szCs w:val="21"/>
          <w:lang w:eastAsia="es-CO"/>
        </w:rPr>
        <w:footnoteReference w:id="4"/>
      </w:r>
      <w:r w:rsidRPr="00733DDA">
        <w:rPr>
          <w:rFonts w:ascii="Arial" w:eastAsia="Times New Roman" w:hAnsi="Arial" w:cs="Arial"/>
          <w:bCs/>
          <w:sz w:val="21"/>
          <w:szCs w:val="21"/>
          <w:lang w:eastAsia="es-CO"/>
        </w:rPr>
        <w:t> y del Consejo de Estado</w:t>
      </w:r>
      <w:r w:rsidR="001F55B5" w:rsidRPr="00733DDA">
        <w:rPr>
          <w:rStyle w:val="Refdenotaalpie"/>
          <w:rFonts w:ascii="Arial" w:eastAsia="Times New Roman" w:hAnsi="Arial" w:cs="Arial"/>
          <w:bCs/>
          <w:sz w:val="21"/>
          <w:szCs w:val="21"/>
          <w:lang w:eastAsia="es-CO"/>
        </w:rPr>
        <w:footnoteReference w:id="5"/>
      </w:r>
      <w:r w:rsidRPr="00733DDA">
        <w:rPr>
          <w:rFonts w:ascii="Arial" w:eastAsia="Times New Roman" w:hAnsi="Arial" w:cs="Arial"/>
          <w:bCs/>
          <w:sz w:val="21"/>
          <w:szCs w:val="21"/>
          <w:lang w:eastAsia="es-CO"/>
        </w:rPr>
        <w:t xml:space="preserve">, coinciden en que las normas que establecen prohibiciones deben estar de manera explícita en la Constitución o en la ley y no podrán ser excesivas ni desproporcionadas. No pueden interpretarse extensivamente sino siempre en forma restrictiva o estricta; es decir, en la aplicación de las normas prohibitivas, el </w:t>
      </w:r>
      <w:r w:rsidR="00296D38" w:rsidRPr="00733DDA">
        <w:rPr>
          <w:rFonts w:ascii="Arial" w:eastAsia="Times New Roman" w:hAnsi="Arial" w:cs="Arial"/>
          <w:bCs/>
          <w:sz w:val="21"/>
          <w:szCs w:val="21"/>
          <w:lang w:eastAsia="es-CO"/>
        </w:rPr>
        <w:t>intérprete</w:t>
      </w:r>
      <w:r w:rsidRPr="00733DDA">
        <w:rPr>
          <w:rFonts w:ascii="Arial" w:eastAsia="Times New Roman" w:hAnsi="Arial" w:cs="Arial"/>
          <w:bCs/>
          <w:sz w:val="21"/>
          <w:szCs w:val="21"/>
          <w:lang w:eastAsia="es-CO"/>
        </w:rPr>
        <w:t xml:space="preserve"> solamente habrá de tener en cuenta lo que en ellas expresamente se menciona y, por tanto, no le es permitido ampliar el natural y obvio alcance de los supuestos que contemplan, pues como entrañan una limitación -así fuere justificada- a la libertad de actuar o capacidad de obrar, sobrepasar sus precisos términos comporta el desconocimiento de la voluntad del legislador</w:t>
      </w:r>
      <w:r w:rsidR="00883662" w:rsidRPr="00733DDA">
        <w:rPr>
          <w:rStyle w:val="Refdenotaalpie"/>
          <w:rFonts w:ascii="Arial" w:eastAsia="Times New Roman" w:hAnsi="Arial" w:cs="Arial"/>
          <w:bCs/>
          <w:sz w:val="22"/>
          <w:lang w:eastAsia="es-CO"/>
        </w:rPr>
        <w:footnoteReference w:id="6"/>
      </w:r>
      <w:r w:rsidR="00D626A3" w:rsidRPr="00733DDA">
        <w:rPr>
          <w:rFonts w:ascii="Arial" w:eastAsia="Times New Roman" w:hAnsi="Arial" w:cs="Arial"/>
          <w:bCs/>
          <w:sz w:val="21"/>
          <w:szCs w:val="21"/>
          <w:lang w:eastAsia="es-CO"/>
        </w:rPr>
        <w:t>.</w:t>
      </w:r>
    </w:p>
    <w:p w14:paraId="12707F41" w14:textId="1652A0E8" w:rsidR="00281ED6" w:rsidRPr="00733DDA" w:rsidRDefault="00281ED6" w:rsidP="00E7700C">
      <w:pPr>
        <w:spacing w:after="0"/>
        <w:ind w:right="709"/>
        <w:rPr>
          <w:rFonts w:ascii="Arial" w:eastAsia="Times New Roman" w:hAnsi="Arial" w:cs="Arial"/>
          <w:bCs/>
          <w:sz w:val="21"/>
          <w:szCs w:val="21"/>
          <w:lang w:eastAsia="es-CO"/>
        </w:rPr>
      </w:pPr>
    </w:p>
    <w:p w14:paraId="0FDECA41" w14:textId="115BAA3B" w:rsidR="005D064A" w:rsidRPr="00733DDA" w:rsidRDefault="005617FA" w:rsidP="00E7700C">
      <w:pPr>
        <w:spacing w:after="120"/>
        <w:rPr>
          <w:rFonts w:ascii="Arial" w:eastAsia="Arial" w:hAnsi="Arial" w:cs="Arial"/>
          <w:sz w:val="22"/>
          <w:lang w:val="es-ES" w:eastAsia="es-ES" w:bidi="es-ES"/>
        </w:rPr>
      </w:pPr>
      <w:r w:rsidRPr="00733DDA">
        <w:rPr>
          <w:rFonts w:ascii="Arial" w:eastAsia="Times New Roman" w:hAnsi="Arial" w:cs="Arial"/>
          <w:bCs/>
          <w:sz w:val="22"/>
          <w:lang w:eastAsia="es-CO"/>
        </w:rPr>
        <w:tab/>
      </w:r>
      <w:r w:rsidR="0022085C" w:rsidRPr="00733DDA">
        <w:rPr>
          <w:rFonts w:ascii="Arial" w:eastAsia="Times New Roman" w:hAnsi="Arial" w:cs="Arial"/>
          <w:bCs/>
          <w:sz w:val="22"/>
          <w:lang w:eastAsia="es-CO"/>
        </w:rPr>
        <w:t>De</w:t>
      </w:r>
      <w:r w:rsidR="0022085C" w:rsidRPr="00733DDA">
        <w:rPr>
          <w:rFonts w:ascii="Arial" w:eastAsia="Arial" w:hAnsi="Arial" w:cs="Arial"/>
          <w:sz w:val="22"/>
          <w:lang w:val="es-ES" w:eastAsia="es-ES" w:bidi="es-ES"/>
        </w:rPr>
        <w:t xml:space="preserve"> conformidad con lo anterior, </w:t>
      </w:r>
      <w:bookmarkStart w:id="12" w:name="_Hlk77236098"/>
      <w:r w:rsidR="0022085C" w:rsidRPr="00733DDA">
        <w:rPr>
          <w:rFonts w:ascii="Arial" w:eastAsia="Arial" w:hAnsi="Arial" w:cs="Arial"/>
          <w:sz w:val="22"/>
          <w:lang w:val="es-ES" w:eastAsia="es-ES" w:bidi="es-ES"/>
        </w:rPr>
        <w:t xml:space="preserve">la Ley de Garantías Electorales fijó una serie de regulaciones y prohibiciones dirigidas a los servidores públicos. </w:t>
      </w:r>
      <w:r w:rsidR="005E1F70" w:rsidRPr="00733DDA">
        <w:rPr>
          <w:rFonts w:ascii="Arial" w:eastAsia="Arial" w:hAnsi="Arial" w:cs="Arial"/>
          <w:sz w:val="22"/>
          <w:lang w:val="es-ES" w:eastAsia="es-ES" w:bidi="es-ES"/>
        </w:rPr>
        <w:t xml:space="preserve">Así, con la </w:t>
      </w:r>
      <w:r w:rsidR="005E1F70" w:rsidRPr="00733DDA">
        <w:rPr>
          <w:rFonts w:ascii="Arial" w:eastAsia="Arial" w:hAnsi="Arial" w:cs="Arial"/>
          <w:sz w:val="22"/>
          <w:lang w:val="es-ES" w:eastAsia="es-ES" w:bidi="es-ES"/>
        </w:rPr>
        <w:lastRenderedPageBreak/>
        <w:t>finalidad de preservar la igualdad entre los candidatos en las elecciones, aumentó las garantías en materia de contratación, de forma que no exista siquiera sospecha de que, por ese medio, en los periodos previos a la contienda electoral, se altere las condiciones de igualdad entre los candidatos.</w:t>
      </w:r>
      <w:r w:rsidRPr="00733DDA">
        <w:rPr>
          <w:rFonts w:ascii="Arial" w:eastAsia="Arial" w:hAnsi="Arial" w:cs="Arial"/>
          <w:sz w:val="22"/>
          <w:lang w:val="es-ES" w:eastAsia="es-ES" w:bidi="es-ES"/>
        </w:rPr>
        <w:t xml:space="preserve"> Específicamente, </w:t>
      </w:r>
      <w:r w:rsidR="005E1F70" w:rsidRPr="00733DDA">
        <w:rPr>
          <w:rFonts w:ascii="Arial" w:eastAsia="Arial" w:hAnsi="Arial" w:cs="Arial"/>
          <w:sz w:val="22"/>
          <w:lang w:val="es-ES" w:eastAsia="es-ES" w:bidi="es-ES"/>
        </w:rPr>
        <w:t>las restricciones consagradas en la citada ley</w:t>
      </w:r>
      <w:r w:rsidR="0022085C" w:rsidRPr="00733DDA">
        <w:rPr>
          <w:rFonts w:ascii="Arial" w:eastAsia="Arial" w:hAnsi="Arial" w:cs="Arial"/>
          <w:sz w:val="22"/>
          <w:lang w:val="es-ES" w:eastAsia="es-ES" w:bidi="es-ES"/>
        </w:rPr>
        <w:t xml:space="preserve"> se dirigen a dos</w:t>
      </w:r>
      <w:r w:rsidRPr="00733DDA">
        <w:rPr>
          <w:rFonts w:ascii="Arial" w:eastAsia="Arial" w:hAnsi="Arial" w:cs="Arial"/>
          <w:sz w:val="22"/>
          <w:lang w:val="es-ES" w:eastAsia="es-ES" w:bidi="es-ES"/>
        </w:rPr>
        <w:t xml:space="preserve"> (2)</w:t>
      </w:r>
      <w:r w:rsidR="0022085C" w:rsidRPr="00733DDA">
        <w:rPr>
          <w:rFonts w:ascii="Arial" w:eastAsia="Arial" w:hAnsi="Arial" w:cs="Arial"/>
          <w:sz w:val="22"/>
          <w:lang w:val="es-ES" w:eastAsia="es-ES" w:bidi="es-ES"/>
        </w:rPr>
        <w:t xml:space="preserve"> tipos de campañas electorales claramente diferenciadas: las presidenciales y las demás que se adelanten para la elección de los demás cargos de elección popular, tanto a nivel nacional como a nivel territorial.</w:t>
      </w:r>
      <w:bookmarkEnd w:id="12"/>
    </w:p>
    <w:p w14:paraId="2A8ACE46" w14:textId="5804C507" w:rsidR="005D064A" w:rsidRPr="00733DDA" w:rsidRDefault="005D064A" w:rsidP="00E7700C">
      <w:pPr>
        <w:spacing w:after="120"/>
        <w:ind w:firstLine="708"/>
        <w:rPr>
          <w:rFonts w:ascii="Arial" w:eastAsia="Calibri" w:hAnsi="Arial" w:cs="Arial"/>
          <w:sz w:val="22"/>
          <w:lang w:val="es-CO"/>
        </w:rPr>
      </w:pPr>
      <w:r w:rsidRPr="00733DDA">
        <w:rPr>
          <w:rFonts w:ascii="Arial" w:eastAsia="Calibri" w:hAnsi="Arial" w:cs="Arial"/>
          <w:sz w:val="22"/>
          <w:lang w:val="es-CO"/>
        </w:rPr>
        <w:t>Por un</w:t>
      </w:r>
      <w:r w:rsidR="00427BD7" w:rsidRPr="00733DDA">
        <w:rPr>
          <w:rFonts w:ascii="Arial" w:eastAsia="Calibri" w:hAnsi="Arial" w:cs="Arial"/>
          <w:sz w:val="22"/>
          <w:lang w:val="es-CO"/>
        </w:rPr>
        <w:t xml:space="preserve"> </w:t>
      </w:r>
      <w:r w:rsidR="005617FA" w:rsidRPr="00733DDA">
        <w:rPr>
          <w:rFonts w:ascii="Arial" w:eastAsia="Calibri" w:hAnsi="Arial" w:cs="Arial"/>
          <w:sz w:val="22"/>
          <w:lang w:val="es-CO"/>
        </w:rPr>
        <w:t>lado</w:t>
      </w:r>
      <w:r w:rsidR="0022085C" w:rsidRPr="00733DDA">
        <w:rPr>
          <w:rFonts w:ascii="Arial" w:eastAsia="Calibri" w:hAnsi="Arial" w:cs="Arial"/>
          <w:sz w:val="22"/>
          <w:lang w:val="es-CO"/>
        </w:rPr>
        <w:t xml:space="preserve">, el artículo 33 de la Ley 996 de 2005 </w:t>
      </w:r>
      <w:r w:rsidR="005617FA" w:rsidRPr="00733DDA">
        <w:rPr>
          <w:rFonts w:ascii="Arial" w:eastAsia="Calibri" w:hAnsi="Arial" w:cs="Arial"/>
          <w:sz w:val="22"/>
          <w:lang w:val="es-CO"/>
        </w:rPr>
        <w:t>prohíbe</w:t>
      </w:r>
      <w:r w:rsidR="0022085C" w:rsidRPr="00733DDA">
        <w:rPr>
          <w:rFonts w:ascii="Arial" w:eastAsia="Calibri" w:hAnsi="Arial" w:cs="Arial"/>
          <w:sz w:val="22"/>
          <w:lang w:val="es-CO"/>
        </w:rPr>
        <w:t xml:space="preserve"> </w:t>
      </w:r>
      <w:r w:rsidR="0022085C" w:rsidRPr="00733DDA">
        <w:rPr>
          <w:rFonts w:ascii="Arial" w:eastAsia="Calibri" w:hAnsi="Arial" w:cs="Arial"/>
          <w:bCs/>
          <w:sz w:val="22"/>
          <w:lang w:val="es-CO"/>
        </w:rPr>
        <w:t xml:space="preserve">«[…] </w:t>
      </w:r>
      <w:r w:rsidR="0022085C" w:rsidRPr="00733DDA">
        <w:rPr>
          <w:rFonts w:ascii="Arial" w:eastAsia="Calibri" w:hAnsi="Arial" w:cs="Arial"/>
          <w:sz w:val="22"/>
          <w:lang w:val="es-CO"/>
        </w:rPr>
        <w:t>la contratación directa por parte de todos los entes del Estado</w:t>
      </w:r>
      <w:r w:rsidR="0022085C" w:rsidRPr="00733DDA">
        <w:rPr>
          <w:rFonts w:ascii="Arial" w:eastAsia="Calibri" w:hAnsi="Arial" w:cs="Arial"/>
          <w:bCs/>
          <w:sz w:val="22"/>
          <w:lang w:val="es-CO"/>
        </w:rPr>
        <w:t>»</w:t>
      </w:r>
      <w:r w:rsidR="0022085C" w:rsidRPr="00733DDA">
        <w:rPr>
          <w:rFonts w:ascii="Arial" w:eastAsia="Calibri" w:hAnsi="Arial" w:cs="Arial"/>
          <w:sz w:val="22"/>
          <w:lang w:val="es-CO"/>
        </w:rPr>
        <w:t xml:space="preserve"> durante los cuatro (4) meses anteriores a las elecciones presidenciales, salvo </w:t>
      </w:r>
      <w:r w:rsidR="0022085C" w:rsidRPr="00733DDA">
        <w:rPr>
          <w:rFonts w:ascii="Arial" w:eastAsia="Calibri" w:hAnsi="Arial" w:cs="Arial"/>
          <w:bCs/>
          <w:sz w:val="22"/>
          <w:lang w:val="es-CO"/>
        </w:rPr>
        <w:t xml:space="preserve">«[…] </w:t>
      </w:r>
      <w:r w:rsidR="0022085C" w:rsidRPr="00733DDA">
        <w:rPr>
          <w:rFonts w:ascii="Arial" w:eastAsia="Calibri" w:hAnsi="Arial" w:cs="Arial"/>
          <w:sz w:val="22"/>
          <w:lang w:val="es-CO"/>
        </w:rPr>
        <w:t>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0022085C" w:rsidRPr="00733DDA">
        <w:rPr>
          <w:rFonts w:ascii="Arial" w:eastAsia="Calibri" w:hAnsi="Arial" w:cs="Arial"/>
          <w:bCs/>
          <w:sz w:val="22"/>
          <w:lang w:val="es-CO"/>
        </w:rPr>
        <w:t>»</w:t>
      </w:r>
      <w:r w:rsidR="0022085C" w:rsidRPr="00733DDA">
        <w:rPr>
          <w:rFonts w:ascii="Arial" w:eastAsia="Calibri" w:hAnsi="Arial" w:cs="Arial"/>
          <w:bCs/>
          <w:sz w:val="22"/>
          <w:vertAlign w:val="superscript"/>
          <w:lang w:val="es-CO"/>
        </w:rPr>
        <w:footnoteReference w:id="7"/>
      </w:r>
      <w:r w:rsidR="0022085C" w:rsidRPr="00733DDA">
        <w:rPr>
          <w:rFonts w:ascii="Arial" w:eastAsia="Calibri" w:hAnsi="Arial" w:cs="Arial"/>
          <w:sz w:val="22"/>
          <w:lang w:val="es-CO"/>
        </w:rPr>
        <w:t>.</w:t>
      </w:r>
    </w:p>
    <w:p w14:paraId="279AEBA3" w14:textId="30015405" w:rsidR="0022085C" w:rsidRPr="00733DDA" w:rsidRDefault="0022085C" w:rsidP="00E7700C">
      <w:pPr>
        <w:widowControl w:val="0"/>
        <w:autoSpaceDE w:val="0"/>
        <w:autoSpaceDN w:val="0"/>
        <w:spacing w:after="0"/>
        <w:ind w:right="113" w:firstLine="708"/>
        <w:rPr>
          <w:rFonts w:ascii="Arial" w:eastAsia="Arial" w:hAnsi="Arial" w:cs="Arial"/>
          <w:sz w:val="22"/>
          <w:lang w:val="es-ES" w:eastAsia="es-ES" w:bidi="es-ES"/>
        </w:rPr>
      </w:pPr>
      <w:r w:rsidRPr="00733DDA">
        <w:rPr>
          <w:rFonts w:ascii="Arial" w:eastAsia="Calibri" w:hAnsi="Arial" w:cs="Arial"/>
          <w:sz w:val="22"/>
          <w:lang w:val="es-CO"/>
        </w:rPr>
        <w:t xml:space="preserve">Por </w:t>
      </w:r>
      <w:r w:rsidR="00BD484B" w:rsidRPr="00733DDA">
        <w:rPr>
          <w:rFonts w:ascii="Arial" w:eastAsia="Calibri" w:hAnsi="Arial" w:cs="Arial"/>
          <w:sz w:val="22"/>
          <w:lang w:val="es-CO"/>
        </w:rPr>
        <w:t>otr</w:t>
      </w:r>
      <w:r w:rsidR="0050246B" w:rsidRPr="00733DDA">
        <w:rPr>
          <w:rFonts w:ascii="Arial" w:eastAsia="Calibri" w:hAnsi="Arial" w:cs="Arial"/>
          <w:sz w:val="22"/>
          <w:lang w:val="es-CO"/>
        </w:rPr>
        <w:t>o lado</w:t>
      </w:r>
      <w:r w:rsidRPr="00733DDA">
        <w:rPr>
          <w:rFonts w:ascii="Arial" w:eastAsia="Calibri" w:hAnsi="Arial" w:cs="Arial"/>
          <w:sz w:val="22"/>
          <w:lang w:val="es-CO"/>
        </w:rPr>
        <w:t xml:space="preserve">, el parágrafo del artículo 38 de la Ley 996 de 2005 prevé una restricción, aplicable respecto de cualquier tipo de </w:t>
      </w:r>
      <w:r w:rsidR="005617FA" w:rsidRPr="00733DDA">
        <w:rPr>
          <w:rFonts w:ascii="Arial" w:eastAsia="Calibri" w:hAnsi="Arial" w:cs="Arial"/>
          <w:sz w:val="22"/>
          <w:lang w:val="es-CO"/>
        </w:rPr>
        <w:t>contienda electoral</w:t>
      </w:r>
      <w:r w:rsidRPr="00733DDA">
        <w:rPr>
          <w:rFonts w:ascii="Arial" w:eastAsia="Calibri" w:hAnsi="Arial" w:cs="Arial"/>
          <w:sz w:val="22"/>
          <w:lang w:val="es-CO"/>
        </w:rPr>
        <w:t xml:space="preserve">, que prohíbe a los gobernadores, alcaldes municipales o distritales, secretarios, gerentes y directores de entidades descentralizadas del orden municipal, departamental o distrital </w:t>
      </w:r>
      <w:r w:rsidRPr="00733DDA">
        <w:rPr>
          <w:rFonts w:ascii="Arial" w:eastAsia="Calibri" w:hAnsi="Arial" w:cs="Arial"/>
          <w:bCs/>
          <w:sz w:val="22"/>
          <w:lang w:val="es-CO"/>
        </w:rPr>
        <w:t xml:space="preserve">«[…] </w:t>
      </w:r>
      <w:r w:rsidRPr="00733DDA">
        <w:rPr>
          <w:rFonts w:ascii="Arial" w:eastAsia="Calibri" w:hAnsi="Arial" w:cs="Arial"/>
          <w:sz w:val="22"/>
        </w:rPr>
        <w:t>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733DDA">
        <w:rPr>
          <w:rFonts w:ascii="Arial" w:eastAsia="Calibri" w:hAnsi="Arial" w:cs="Arial"/>
          <w:bCs/>
          <w:sz w:val="19"/>
          <w:szCs w:val="19"/>
          <w:lang w:val="es-CO"/>
        </w:rPr>
        <w:t>»</w:t>
      </w:r>
      <w:r w:rsidRPr="00733DDA">
        <w:rPr>
          <w:rFonts w:ascii="Arial" w:eastAsia="Calibri" w:hAnsi="Arial" w:cs="Arial"/>
          <w:bCs/>
          <w:sz w:val="19"/>
          <w:szCs w:val="19"/>
          <w:vertAlign w:val="superscript"/>
          <w:lang w:val="es-CO"/>
        </w:rPr>
        <w:footnoteReference w:id="8"/>
      </w:r>
      <w:r w:rsidRPr="00733DDA">
        <w:rPr>
          <w:rFonts w:ascii="Arial" w:eastAsia="Calibri" w:hAnsi="Arial" w:cs="Arial"/>
          <w:sz w:val="22"/>
        </w:rPr>
        <w:t>.</w:t>
      </w:r>
      <w:r w:rsidR="005617FA" w:rsidRPr="00733DDA">
        <w:rPr>
          <w:rFonts w:ascii="Arial" w:eastAsia="Arial" w:hAnsi="Arial" w:cs="Arial"/>
          <w:sz w:val="22"/>
          <w:lang w:val="es-ES" w:eastAsia="es-ES" w:bidi="es-ES"/>
        </w:rPr>
        <w:t xml:space="preserve"> </w:t>
      </w:r>
      <w:r w:rsidRPr="00733DDA">
        <w:rPr>
          <w:rFonts w:ascii="Arial" w:eastAsia="Arial" w:hAnsi="Arial" w:cs="Arial"/>
          <w:sz w:val="22"/>
          <w:lang w:val="es-ES" w:eastAsia="es-ES" w:bidi="es-ES"/>
        </w:rPr>
        <w:t xml:space="preserve">La Sala de Consulta y Servicio Civil </w:t>
      </w:r>
      <w:r w:rsidRPr="00733DDA">
        <w:rPr>
          <w:rFonts w:ascii="Arial" w:eastAsia="Arial" w:hAnsi="Arial" w:cs="Arial"/>
          <w:sz w:val="22"/>
          <w:lang w:val="es-ES" w:eastAsia="es-ES" w:bidi="es-ES"/>
        </w:rPr>
        <w:lastRenderedPageBreak/>
        <w:t>del Consejo de Estado ha aclarado la distinción en la aplicación de las prohibiciones de la Ley 996 de 2005, dependiendo del tipo de elección que se trate</w:t>
      </w:r>
      <w:r w:rsidR="005617FA" w:rsidRPr="00733DDA">
        <w:rPr>
          <w:rFonts w:ascii="Arial" w:eastAsia="Arial" w:hAnsi="Arial" w:cs="Arial"/>
          <w:sz w:val="22"/>
          <w:lang w:val="es-ES" w:eastAsia="es-ES" w:bidi="es-ES"/>
        </w:rPr>
        <w:t>. Al respecto, considera que</w:t>
      </w:r>
      <w:r w:rsidRPr="00733DDA">
        <w:rPr>
          <w:rFonts w:ascii="Arial" w:eastAsia="Arial" w:hAnsi="Arial" w:cs="Arial"/>
          <w:sz w:val="22"/>
          <w:lang w:val="es-ES" w:eastAsia="es-ES" w:bidi="es-ES"/>
        </w:rPr>
        <w:t>:</w:t>
      </w:r>
    </w:p>
    <w:p w14:paraId="7D4E9CFC" w14:textId="77777777" w:rsidR="0022085C" w:rsidRPr="00733DDA" w:rsidRDefault="0022085C" w:rsidP="00E7700C">
      <w:pPr>
        <w:widowControl w:val="0"/>
        <w:autoSpaceDE w:val="0"/>
        <w:autoSpaceDN w:val="0"/>
        <w:spacing w:after="0"/>
        <w:ind w:left="805" w:right="812"/>
        <w:rPr>
          <w:rFonts w:ascii="Arial" w:eastAsia="Arial" w:hAnsi="Arial" w:cs="Arial"/>
          <w:sz w:val="22"/>
          <w:lang w:val="es-ES" w:eastAsia="es-ES" w:bidi="es-ES"/>
        </w:rPr>
      </w:pPr>
    </w:p>
    <w:p w14:paraId="4BE96868" w14:textId="3391572F" w:rsidR="0022085C" w:rsidRPr="00733DDA" w:rsidRDefault="0022085C" w:rsidP="000641BE">
      <w:pPr>
        <w:widowControl w:val="0"/>
        <w:autoSpaceDE w:val="0"/>
        <w:autoSpaceDN w:val="0"/>
        <w:spacing w:after="0" w:line="240" w:lineRule="auto"/>
        <w:ind w:left="709" w:right="709"/>
        <w:rPr>
          <w:rFonts w:ascii="Arial" w:eastAsia="Arial" w:hAnsi="Arial" w:cs="Arial"/>
          <w:sz w:val="21"/>
          <w:szCs w:val="21"/>
          <w:lang w:val="es-ES" w:eastAsia="es-ES" w:bidi="es-ES"/>
        </w:rPr>
      </w:pPr>
      <w:r w:rsidRPr="00733DDA">
        <w:rPr>
          <w:rFonts w:ascii="Arial" w:eastAsia="Arial" w:hAnsi="Arial" w:cs="Arial"/>
          <w:sz w:val="21"/>
          <w:szCs w:val="21"/>
          <w:lang w:val="es-ES" w:eastAsia="es-ES" w:bidi="es-ES"/>
        </w:rPr>
        <w:t xml:space="preserve">La interpretación sistemática de las disposiciones consagradas en los artículos 32, 33 y el parágrafo del artículo 38 de la ley 996 de 2.005 lleva a concluir que dichas normas contienen restricciones y prohibiciones para periodos preelectorales diferentes; las dos primeras, de manera específica para los cuatro meses anteriores a la elección presidencial; el último, de manera más genérica para los cuatro meses anteriores a las elecciones  para cualquier cargo de elección popular a que se refiere la ley –incluido el de Presidente de la República-; de manera que dichas restricciones no se excluyen sino que </w:t>
      </w:r>
      <w:bookmarkStart w:id="15" w:name="_Hlk76109421"/>
      <w:r w:rsidRPr="00733DDA">
        <w:rPr>
          <w:rFonts w:ascii="Arial" w:eastAsia="Arial" w:hAnsi="Arial" w:cs="Arial"/>
          <w:sz w:val="21"/>
          <w:szCs w:val="21"/>
          <w:lang w:val="es-ES" w:eastAsia="es-ES" w:bidi="es-ES"/>
        </w:rPr>
        <w:t>se integran parcialmente</w:t>
      </w:r>
      <w:bookmarkEnd w:id="15"/>
      <w:r w:rsidRPr="00733DDA">
        <w:rPr>
          <w:rFonts w:ascii="Arial" w:eastAsia="Arial" w:hAnsi="Arial" w:cs="Arial"/>
          <w:sz w:val="21"/>
          <w:szCs w:val="21"/>
          <w:lang w:val="es-ES" w:eastAsia="es-ES" w:bidi="es-ES"/>
        </w:rPr>
        <w:t xml:space="preserve">, lo que permite concluir que en periodo preelectoral para elección de Presidente de la República, a todos los entes del Estado, incluidos los territoriales, se aplican las restricciones de los artículos 32 y 33 con sus excepciones, así como las del parágrafo del artículo 38. </w:t>
      </w:r>
      <w:r w:rsidRPr="00733DDA">
        <w:rPr>
          <w:rFonts w:ascii="Arial" w:eastAsia="Arial" w:hAnsi="Arial" w:cs="Arial"/>
          <w:bCs/>
          <w:sz w:val="21"/>
          <w:szCs w:val="21"/>
          <w:lang w:val="es-ES" w:eastAsia="es-ES" w:bidi="es-ES"/>
        </w:rPr>
        <w:t xml:space="preserve">En cambio, para elecciones en general, excluyendo las correspondientes a </w:t>
      </w:r>
      <w:proofErr w:type="gramStart"/>
      <w:r w:rsidRPr="00733DDA">
        <w:rPr>
          <w:rFonts w:ascii="Arial" w:eastAsia="Arial" w:hAnsi="Arial" w:cs="Arial"/>
          <w:bCs/>
          <w:sz w:val="21"/>
          <w:szCs w:val="21"/>
          <w:lang w:val="es-ES" w:eastAsia="es-ES" w:bidi="es-ES"/>
        </w:rPr>
        <w:t>Presidente</w:t>
      </w:r>
      <w:proofErr w:type="gramEnd"/>
      <w:r w:rsidRPr="00733DDA">
        <w:rPr>
          <w:rFonts w:ascii="Arial" w:eastAsia="Arial" w:hAnsi="Arial" w:cs="Arial"/>
          <w:bCs/>
          <w:sz w:val="21"/>
          <w:szCs w:val="21"/>
          <w:lang w:val="es-ES" w:eastAsia="es-ES" w:bidi="es-ES"/>
        </w:rPr>
        <w:t xml:space="preserve"> de la República, a las autoridades territoriales allí mencionadas sólo se aplican las restricciones contenidas en el parágrafo del artículo 38</w:t>
      </w:r>
      <w:r w:rsidRPr="00733DDA">
        <w:rPr>
          <w:rFonts w:ascii="Arial" w:eastAsia="Arial" w:hAnsi="Arial" w:cs="Arial"/>
          <w:sz w:val="21"/>
          <w:szCs w:val="21"/>
          <w:lang w:val="es-ES" w:eastAsia="es-ES" w:bidi="es-ES"/>
        </w:rPr>
        <w:t>.</w:t>
      </w:r>
      <w:r w:rsidRPr="00733DDA">
        <w:rPr>
          <w:rFonts w:ascii="Arial" w:eastAsia="Arial" w:hAnsi="Arial" w:cs="Arial"/>
          <w:sz w:val="21"/>
          <w:szCs w:val="21"/>
          <w:vertAlign w:val="superscript"/>
          <w:lang w:val="es-ES" w:eastAsia="es-ES" w:bidi="es-ES"/>
        </w:rPr>
        <w:footnoteReference w:id="9"/>
      </w:r>
    </w:p>
    <w:p w14:paraId="5457372B" w14:textId="77777777" w:rsidR="0022085C" w:rsidRPr="00733DDA" w:rsidRDefault="0022085C" w:rsidP="00E7700C">
      <w:pPr>
        <w:widowControl w:val="0"/>
        <w:autoSpaceDE w:val="0"/>
        <w:autoSpaceDN w:val="0"/>
        <w:spacing w:before="8" w:after="0"/>
        <w:jc w:val="left"/>
        <w:rPr>
          <w:rFonts w:ascii="Arial" w:eastAsia="Arial" w:hAnsi="Arial" w:cs="Arial"/>
          <w:sz w:val="22"/>
          <w:lang w:val="es-ES" w:eastAsia="es-ES" w:bidi="es-ES"/>
        </w:rPr>
      </w:pPr>
    </w:p>
    <w:p w14:paraId="73F45566" w14:textId="44ACF7CC" w:rsidR="000932C2" w:rsidRPr="00733DDA" w:rsidRDefault="0022085C" w:rsidP="00E7700C">
      <w:pPr>
        <w:spacing w:after="120"/>
        <w:ind w:firstLine="709"/>
        <w:rPr>
          <w:rFonts w:ascii="Arial" w:eastAsia="Arial" w:hAnsi="Arial" w:cs="Arial"/>
          <w:sz w:val="22"/>
          <w:lang w:val="es-ES" w:eastAsia="es-ES" w:bidi="es-ES"/>
        </w:rPr>
      </w:pPr>
      <w:r w:rsidRPr="00733DDA">
        <w:rPr>
          <w:rFonts w:ascii="Arial" w:eastAsia="Arial" w:hAnsi="Arial" w:cs="Arial"/>
          <w:sz w:val="22"/>
          <w:lang w:val="es-ES" w:eastAsia="es-ES" w:bidi="es-ES"/>
        </w:rPr>
        <w:t xml:space="preserve">De conformidad con lo anterior, </w:t>
      </w:r>
      <w:bookmarkStart w:id="16" w:name="_Hlk77236420"/>
      <w:bookmarkStart w:id="17" w:name="_Hlk78818435"/>
      <w:bookmarkStart w:id="18" w:name="_Hlk75780333"/>
      <w:r w:rsidRPr="00733DDA">
        <w:rPr>
          <w:rFonts w:ascii="Arial" w:eastAsia="Arial" w:hAnsi="Arial" w:cs="Arial"/>
          <w:sz w:val="22"/>
          <w:lang w:val="es-ES" w:eastAsia="es-ES" w:bidi="es-ES"/>
        </w:rPr>
        <w:t>la Ley 996 de 2005 establece dos</w:t>
      </w:r>
      <w:r w:rsidR="00F10F67" w:rsidRPr="00733DDA">
        <w:rPr>
          <w:rFonts w:ascii="Arial" w:eastAsia="Arial" w:hAnsi="Arial" w:cs="Arial"/>
          <w:sz w:val="22"/>
          <w:lang w:val="es-ES" w:eastAsia="es-ES" w:bidi="es-ES"/>
        </w:rPr>
        <w:t xml:space="preserve"> (2)</w:t>
      </w:r>
      <w:r w:rsidRPr="00733DDA">
        <w:rPr>
          <w:rFonts w:ascii="Arial" w:eastAsia="Arial" w:hAnsi="Arial" w:cs="Arial"/>
          <w:sz w:val="22"/>
          <w:lang w:val="es-ES" w:eastAsia="es-ES" w:bidi="es-ES"/>
        </w:rPr>
        <w:t xml:space="preserve"> tipos de restricciones en materia de contratación, las cuales coinciden parcialmente</w:t>
      </w:r>
      <w:r w:rsidR="00DF3E38" w:rsidRPr="00733DDA">
        <w:rPr>
          <w:rFonts w:ascii="Arial" w:eastAsia="Arial" w:hAnsi="Arial" w:cs="Arial"/>
          <w:sz w:val="22"/>
          <w:lang w:val="es-ES" w:eastAsia="es-ES" w:bidi="es-ES"/>
        </w:rPr>
        <w:t xml:space="preserve">. </w:t>
      </w:r>
      <w:r w:rsidR="00DF3E38" w:rsidRPr="00733DDA">
        <w:rPr>
          <w:rFonts w:ascii="Arial" w:eastAsia="Arial" w:hAnsi="Arial" w:cs="Arial"/>
          <w:i/>
          <w:iCs/>
          <w:sz w:val="22"/>
          <w:lang w:val="es-ES" w:eastAsia="es-ES" w:bidi="es-ES"/>
        </w:rPr>
        <w:t>En primer lugar</w:t>
      </w:r>
      <w:r w:rsidR="00DF3E38" w:rsidRPr="00733DDA">
        <w:rPr>
          <w:rFonts w:ascii="Arial" w:eastAsia="Arial" w:hAnsi="Arial" w:cs="Arial"/>
          <w:sz w:val="22"/>
          <w:lang w:val="es-ES" w:eastAsia="es-ES" w:bidi="es-ES"/>
        </w:rPr>
        <w:t>,</w:t>
      </w:r>
      <w:r w:rsidRPr="00733DDA">
        <w:rPr>
          <w:rFonts w:ascii="Arial" w:eastAsia="Arial" w:hAnsi="Arial" w:cs="Arial"/>
          <w:sz w:val="22"/>
          <w:lang w:val="es-ES" w:eastAsia="es-ES" w:bidi="es-ES"/>
        </w:rPr>
        <w:t xml:space="preserve"> </w:t>
      </w:r>
      <w:r w:rsidR="00F10F67" w:rsidRPr="00733DDA">
        <w:rPr>
          <w:rFonts w:ascii="Arial" w:eastAsia="Arial" w:hAnsi="Arial" w:cs="Arial"/>
          <w:sz w:val="22"/>
          <w:lang w:val="es-ES" w:eastAsia="es-ES" w:bidi="es-ES"/>
        </w:rPr>
        <w:t>l</w:t>
      </w:r>
      <w:r w:rsidRPr="00733DDA">
        <w:rPr>
          <w:rFonts w:ascii="Arial" w:eastAsia="Arial" w:hAnsi="Arial" w:cs="Arial"/>
          <w:sz w:val="22"/>
          <w:lang w:val="es-ES" w:eastAsia="es-ES" w:bidi="es-ES"/>
        </w:rPr>
        <w:t xml:space="preserve">a del artículo 33 que opera solo respecto de las elecciones presidenciales, en virtud de la cual queda proscrita la contratación directa dentro de los cuatro (4) meses anteriores a la celebración de los comicios, salvo las </w:t>
      </w:r>
      <w:r w:rsidR="00F10F67" w:rsidRPr="00733DDA">
        <w:rPr>
          <w:rFonts w:ascii="Arial" w:eastAsia="Arial" w:hAnsi="Arial" w:cs="Arial"/>
          <w:sz w:val="22"/>
          <w:lang w:val="es-ES" w:eastAsia="es-ES" w:bidi="es-ES"/>
        </w:rPr>
        <w:t xml:space="preserve">citadas </w:t>
      </w:r>
      <w:r w:rsidRPr="00733DDA">
        <w:rPr>
          <w:rFonts w:ascii="Arial" w:eastAsia="Arial" w:hAnsi="Arial" w:cs="Arial"/>
          <w:sz w:val="22"/>
          <w:lang w:val="es-ES" w:eastAsia="es-ES" w:bidi="es-ES"/>
        </w:rPr>
        <w:t>excepciones</w:t>
      </w:r>
      <w:r w:rsidR="00B36547" w:rsidRPr="00733DDA">
        <w:rPr>
          <w:rFonts w:ascii="Arial" w:eastAsia="Arial" w:hAnsi="Arial" w:cs="Arial"/>
          <w:sz w:val="22"/>
          <w:lang w:val="es-ES" w:eastAsia="es-ES" w:bidi="es-ES"/>
        </w:rPr>
        <w:t>.</w:t>
      </w:r>
      <w:r w:rsidR="00C14D9E" w:rsidRPr="00733DDA">
        <w:rPr>
          <w:rFonts w:ascii="Arial" w:eastAsia="Arial" w:hAnsi="Arial" w:cs="Arial"/>
          <w:sz w:val="22"/>
          <w:lang w:val="es-ES" w:eastAsia="es-ES" w:bidi="es-ES"/>
        </w:rPr>
        <w:t xml:space="preserve"> </w:t>
      </w:r>
      <w:r w:rsidR="003A0603" w:rsidRPr="00733DDA">
        <w:rPr>
          <w:rFonts w:ascii="Arial" w:eastAsia="Arial" w:hAnsi="Arial" w:cs="Arial"/>
          <w:sz w:val="22"/>
          <w:lang w:val="es-ES" w:eastAsia="es-ES" w:bidi="es-ES"/>
        </w:rPr>
        <w:t>Sin embargo, s</w:t>
      </w:r>
      <w:r w:rsidR="00C14D9E" w:rsidRPr="00733DDA">
        <w:rPr>
          <w:rFonts w:ascii="Arial" w:eastAsia="Arial" w:hAnsi="Arial" w:cs="Arial"/>
          <w:sz w:val="22"/>
          <w:lang w:val="es-ES" w:eastAsia="es-ES" w:bidi="es-ES"/>
        </w:rPr>
        <w:t>i ningún candidato obtiene la mitad más uno de los votos que, de manera secreta y directa, depositen los ciudadanos, se celebrará una nueva votación que tendrá lugar tres semanas más tarde, en la que sólo participarán los dos candidatos que hubieren obtenido las votaciones</w:t>
      </w:r>
      <w:r w:rsidR="00F10F67" w:rsidRPr="00733DDA">
        <w:rPr>
          <w:rFonts w:ascii="Arial" w:eastAsia="Arial" w:hAnsi="Arial" w:cs="Arial"/>
          <w:sz w:val="22"/>
          <w:lang w:val="es-ES" w:eastAsia="es-ES" w:bidi="es-ES"/>
        </w:rPr>
        <w:t xml:space="preserve"> más altas</w:t>
      </w:r>
      <w:r w:rsidR="00C14D9E" w:rsidRPr="00733DDA">
        <w:rPr>
          <w:rFonts w:ascii="Arial" w:eastAsia="Arial" w:hAnsi="Arial" w:cs="Arial"/>
          <w:sz w:val="22"/>
          <w:lang w:val="es-ES" w:eastAsia="es-ES" w:bidi="es-ES"/>
        </w:rPr>
        <w:t>, de conformidad con el artículo 190 de la Constitución Política</w:t>
      </w:r>
      <w:r w:rsidR="00F10F67" w:rsidRPr="00733DDA">
        <w:rPr>
          <w:rFonts w:ascii="Arial" w:eastAsia="Arial" w:hAnsi="Arial" w:cs="Arial"/>
          <w:sz w:val="22"/>
          <w:lang w:val="es-ES" w:eastAsia="es-ES" w:bidi="es-ES"/>
        </w:rPr>
        <w:t xml:space="preserve">. </w:t>
      </w:r>
      <w:r w:rsidR="00DF3E38" w:rsidRPr="00733DDA">
        <w:rPr>
          <w:rFonts w:ascii="Arial" w:eastAsia="Arial" w:hAnsi="Arial" w:cs="Arial"/>
          <w:sz w:val="22"/>
          <w:lang w:val="es-ES" w:eastAsia="es-ES" w:bidi="es-ES"/>
        </w:rPr>
        <w:t>Para estos efectos</w:t>
      </w:r>
      <w:r w:rsidR="00F10F67" w:rsidRPr="00733DDA">
        <w:rPr>
          <w:rFonts w:ascii="Arial" w:eastAsia="Arial" w:hAnsi="Arial" w:cs="Arial"/>
          <w:sz w:val="22"/>
          <w:lang w:val="es-ES" w:eastAsia="es-ES" w:bidi="es-ES"/>
        </w:rPr>
        <w:t xml:space="preserve">, </w:t>
      </w:r>
      <w:r w:rsidR="00C14D9E" w:rsidRPr="00733DDA">
        <w:rPr>
          <w:rFonts w:ascii="Arial" w:eastAsia="Arial" w:hAnsi="Arial" w:cs="Arial"/>
          <w:sz w:val="22"/>
          <w:lang w:val="es-ES" w:eastAsia="es-ES" w:bidi="es-ES"/>
        </w:rPr>
        <w:t>la restricción se extenderá hasta la fecha en la que se reali</w:t>
      </w:r>
      <w:r w:rsidR="00F10F67" w:rsidRPr="00733DDA">
        <w:rPr>
          <w:rFonts w:ascii="Arial" w:eastAsia="Arial" w:hAnsi="Arial" w:cs="Arial"/>
          <w:sz w:val="22"/>
          <w:lang w:val="es-ES" w:eastAsia="es-ES" w:bidi="es-ES"/>
        </w:rPr>
        <w:t>ce</w:t>
      </w:r>
      <w:r w:rsidR="00C14D9E" w:rsidRPr="00733DDA">
        <w:rPr>
          <w:rFonts w:ascii="Arial" w:eastAsia="Arial" w:hAnsi="Arial" w:cs="Arial"/>
          <w:sz w:val="22"/>
          <w:lang w:val="es-ES" w:eastAsia="es-ES" w:bidi="es-ES"/>
        </w:rPr>
        <w:t xml:space="preserve"> </w:t>
      </w:r>
      <w:r w:rsidR="00F10F67" w:rsidRPr="00733DDA">
        <w:rPr>
          <w:rFonts w:ascii="Arial" w:eastAsia="Arial" w:hAnsi="Arial" w:cs="Arial"/>
          <w:sz w:val="22"/>
          <w:lang w:val="es-ES" w:eastAsia="es-ES" w:bidi="es-ES"/>
        </w:rPr>
        <w:t>l</w:t>
      </w:r>
      <w:r w:rsidR="00C14D9E" w:rsidRPr="00733DDA">
        <w:rPr>
          <w:rFonts w:ascii="Arial" w:eastAsia="Arial" w:hAnsi="Arial" w:cs="Arial"/>
          <w:sz w:val="22"/>
          <w:lang w:val="es-ES" w:eastAsia="es-ES" w:bidi="es-ES"/>
        </w:rPr>
        <w:t xml:space="preserve">a segunda vuelta. </w:t>
      </w:r>
      <w:r w:rsidR="00F10F67" w:rsidRPr="00733DDA">
        <w:rPr>
          <w:rFonts w:ascii="Arial" w:eastAsia="Arial" w:hAnsi="Arial" w:cs="Arial"/>
          <w:i/>
          <w:iCs/>
          <w:sz w:val="22"/>
          <w:lang w:val="es-ES" w:eastAsia="es-ES" w:bidi="es-ES"/>
        </w:rPr>
        <w:t>E</w:t>
      </w:r>
      <w:r w:rsidR="00DF3E38" w:rsidRPr="00733DDA">
        <w:rPr>
          <w:rFonts w:ascii="Arial" w:eastAsia="Arial" w:hAnsi="Arial" w:cs="Arial"/>
          <w:i/>
          <w:iCs/>
          <w:sz w:val="22"/>
          <w:lang w:val="es-ES" w:eastAsia="es-ES" w:bidi="es-ES"/>
        </w:rPr>
        <w:t>n segundo lugar</w:t>
      </w:r>
      <w:r w:rsidR="00DF3E38" w:rsidRPr="00733DDA">
        <w:rPr>
          <w:rFonts w:ascii="Arial" w:eastAsia="Arial" w:hAnsi="Arial" w:cs="Arial"/>
          <w:sz w:val="22"/>
          <w:lang w:val="es-ES" w:eastAsia="es-ES" w:bidi="es-ES"/>
        </w:rPr>
        <w:t xml:space="preserve">, también se </w:t>
      </w:r>
      <w:r w:rsidR="00DF3E38" w:rsidRPr="00733DDA">
        <w:rPr>
          <w:rFonts w:ascii="Arial" w:eastAsia="Arial" w:hAnsi="Arial" w:cs="Arial"/>
          <w:sz w:val="22"/>
          <w:lang w:val="es-ES" w:eastAsia="es-ES" w:bidi="es-ES"/>
        </w:rPr>
        <w:lastRenderedPageBreak/>
        <w:t xml:space="preserve">encuentra </w:t>
      </w:r>
      <w:r w:rsidR="00F10F67" w:rsidRPr="00733DDA">
        <w:rPr>
          <w:rFonts w:ascii="Arial" w:eastAsia="Arial" w:hAnsi="Arial" w:cs="Arial"/>
          <w:sz w:val="22"/>
          <w:lang w:val="es-ES" w:eastAsia="es-ES" w:bidi="es-ES"/>
        </w:rPr>
        <w:t>la prohibición</w:t>
      </w:r>
      <w:r w:rsidRPr="00733DDA">
        <w:rPr>
          <w:rFonts w:ascii="Arial" w:eastAsia="Arial" w:hAnsi="Arial" w:cs="Arial"/>
          <w:sz w:val="22"/>
          <w:lang w:val="es-ES" w:eastAsia="es-ES" w:bidi="es-ES"/>
        </w:rPr>
        <w:t xml:space="preserve"> del</w:t>
      </w:r>
      <w:r w:rsidR="00F10F67" w:rsidRPr="00733DDA">
        <w:rPr>
          <w:rFonts w:ascii="Arial" w:eastAsia="Arial" w:hAnsi="Arial" w:cs="Arial"/>
          <w:sz w:val="22"/>
          <w:lang w:val="es-ES" w:eastAsia="es-ES" w:bidi="es-ES"/>
        </w:rPr>
        <w:t xml:space="preserve"> parágrafo del</w:t>
      </w:r>
      <w:r w:rsidRPr="00733DDA">
        <w:rPr>
          <w:rFonts w:ascii="Arial" w:eastAsia="Arial" w:hAnsi="Arial" w:cs="Arial"/>
          <w:sz w:val="22"/>
          <w:lang w:val="es-ES" w:eastAsia="es-ES" w:bidi="es-ES"/>
        </w:rPr>
        <w:t xml:space="preserve"> artículo 38, </w:t>
      </w:r>
      <w:r w:rsidR="00F10F67" w:rsidRPr="00733DDA">
        <w:rPr>
          <w:rFonts w:ascii="Arial" w:eastAsia="Arial" w:hAnsi="Arial" w:cs="Arial"/>
          <w:sz w:val="22"/>
          <w:lang w:val="es-ES" w:eastAsia="es-ES" w:bidi="es-ES"/>
        </w:rPr>
        <w:t>el cual</w:t>
      </w:r>
      <w:r w:rsidRPr="00733DDA">
        <w:rPr>
          <w:rFonts w:ascii="Arial" w:eastAsia="Arial" w:hAnsi="Arial" w:cs="Arial"/>
          <w:sz w:val="22"/>
          <w:lang w:val="es-ES" w:eastAsia="es-ES" w:bidi="es-ES"/>
        </w:rPr>
        <w:t xml:space="preserve"> debe aplicarse respecto de cualquier tipo de </w:t>
      </w:r>
      <w:r w:rsidR="00F10F67" w:rsidRPr="00733DDA">
        <w:rPr>
          <w:rFonts w:ascii="Arial" w:eastAsia="Arial" w:hAnsi="Arial" w:cs="Arial"/>
          <w:sz w:val="22"/>
          <w:lang w:val="es-ES" w:eastAsia="es-ES" w:bidi="es-ES"/>
        </w:rPr>
        <w:t>contienda electoral</w:t>
      </w:r>
      <w:r w:rsidRPr="00733DDA">
        <w:rPr>
          <w:rFonts w:ascii="Arial" w:eastAsia="Arial" w:hAnsi="Arial" w:cs="Arial"/>
          <w:sz w:val="22"/>
          <w:lang w:val="es-ES" w:eastAsia="es-ES" w:bidi="es-ES"/>
        </w:rPr>
        <w:t>, y que prohíbe la celebración de convenios interadministrativos que impliquen la ejecución de recursos públicos</w:t>
      </w:r>
      <w:r w:rsidR="0019626E" w:rsidRPr="00733DDA">
        <w:rPr>
          <w:rFonts w:ascii="Arial" w:eastAsia="Arial" w:hAnsi="Arial" w:cs="Arial"/>
          <w:sz w:val="22"/>
          <w:lang w:val="es-ES" w:eastAsia="es-ES" w:bidi="es-ES"/>
        </w:rPr>
        <w:t xml:space="preserve"> dentro de los cuatro (4) meses anteriores a la respectiva jornada </w:t>
      </w:r>
      <w:r w:rsidR="00F10F67" w:rsidRPr="00733DDA">
        <w:rPr>
          <w:rFonts w:ascii="Arial" w:eastAsia="Arial" w:hAnsi="Arial" w:cs="Arial"/>
          <w:sz w:val="22"/>
          <w:lang w:val="es-ES" w:eastAsia="es-ES" w:bidi="es-ES"/>
        </w:rPr>
        <w:t>de votaciones</w:t>
      </w:r>
      <w:r w:rsidR="0019626E" w:rsidRPr="00733DDA">
        <w:rPr>
          <w:rFonts w:ascii="Arial" w:eastAsia="Arial" w:hAnsi="Arial" w:cs="Arial"/>
          <w:sz w:val="22"/>
          <w:lang w:val="es-ES" w:eastAsia="es-ES" w:bidi="es-ES"/>
        </w:rPr>
        <w:t>.</w:t>
      </w:r>
      <w:bookmarkEnd w:id="16"/>
    </w:p>
    <w:bookmarkEnd w:id="17"/>
    <w:p w14:paraId="0DC33A5F" w14:textId="2764EE7D" w:rsidR="00A95D9F" w:rsidRPr="00733DDA" w:rsidRDefault="00F10F67" w:rsidP="00E7700C">
      <w:pPr>
        <w:spacing w:after="120"/>
        <w:ind w:firstLine="709"/>
        <w:rPr>
          <w:rFonts w:ascii="Arial" w:eastAsia="Arial" w:hAnsi="Arial" w:cs="Arial"/>
          <w:sz w:val="22"/>
          <w:lang w:val="es-ES" w:eastAsia="es-ES" w:bidi="es-ES"/>
        </w:rPr>
      </w:pPr>
      <w:r w:rsidRPr="00733DDA">
        <w:rPr>
          <w:rFonts w:ascii="Arial" w:eastAsia="Arial" w:hAnsi="Arial" w:cs="Arial"/>
          <w:sz w:val="22"/>
          <w:lang w:val="es-ES" w:eastAsia="es-ES" w:bidi="es-ES"/>
        </w:rPr>
        <w:t>Ambas</w:t>
      </w:r>
      <w:r w:rsidR="000932C2" w:rsidRPr="00733DDA">
        <w:rPr>
          <w:rFonts w:ascii="Arial" w:eastAsia="Arial" w:hAnsi="Arial" w:cs="Arial"/>
          <w:sz w:val="22"/>
          <w:lang w:val="es-ES" w:eastAsia="es-ES" w:bidi="es-ES"/>
        </w:rPr>
        <w:t xml:space="preserve"> restricciones no </w:t>
      </w:r>
      <w:r w:rsidRPr="00733DDA">
        <w:rPr>
          <w:rFonts w:ascii="Arial" w:eastAsia="Arial" w:hAnsi="Arial" w:cs="Arial"/>
          <w:sz w:val="22"/>
          <w:lang w:val="es-ES" w:eastAsia="es-ES" w:bidi="es-ES"/>
        </w:rPr>
        <w:t xml:space="preserve">son </w:t>
      </w:r>
      <w:r w:rsidR="000932C2" w:rsidRPr="00733DDA">
        <w:rPr>
          <w:rFonts w:ascii="Arial" w:eastAsia="Arial" w:hAnsi="Arial" w:cs="Arial"/>
          <w:sz w:val="22"/>
          <w:lang w:val="es-ES" w:eastAsia="es-ES" w:bidi="es-ES"/>
        </w:rPr>
        <w:t>excluyen</w:t>
      </w:r>
      <w:r w:rsidRPr="00733DDA">
        <w:rPr>
          <w:rFonts w:ascii="Arial" w:eastAsia="Arial" w:hAnsi="Arial" w:cs="Arial"/>
          <w:sz w:val="22"/>
          <w:lang w:val="es-ES" w:eastAsia="es-ES" w:bidi="es-ES"/>
        </w:rPr>
        <w:t>tes</w:t>
      </w:r>
      <w:r w:rsidR="000932C2" w:rsidRPr="00733DDA">
        <w:rPr>
          <w:rFonts w:ascii="Arial" w:eastAsia="Arial" w:hAnsi="Arial" w:cs="Arial"/>
          <w:sz w:val="22"/>
          <w:lang w:val="es-ES" w:eastAsia="es-ES" w:bidi="es-ES"/>
        </w:rPr>
        <w:t>, lo que permite concluir que en el per</w:t>
      </w:r>
      <w:r w:rsidR="00751EE7" w:rsidRPr="00733DDA">
        <w:rPr>
          <w:rFonts w:ascii="Arial" w:eastAsia="Arial" w:hAnsi="Arial" w:cs="Arial"/>
          <w:sz w:val="22"/>
          <w:lang w:val="es-ES" w:eastAsia="es-ES" w:bidi="es-ES"/>
        </w:rPr>
        <w:t>í</w:t>
      </w:r>
      <w:r w:rsidR="000932C2" w:rsidRPr="00733DDA">
        <w:rPr>
          <w:rFonts w:ascii="Arial" w:eastAsia="Arial" w:hAnsi="Arial" w:cs="Arial"/>
          <w:sz w:val="22"/>
          <w:lang w:val="es-ES" w:eastAsia="es-ES" w:bidi="es-ES"/>
        </w:rPr>
        <w:t xml:space="preserve">odo preelectoral para elección de </w:t>
      </w:r>
      <w:proofErr w:type="gramStart"/>
      <w:r w:rsidR="000932C2" w:rsidRPr="00733DDA">
        <w:rPr>
          <w:rFonts w:ascii="Arial" w:eastAsia="Arial" w:hAnsi="Arial" w:cs="Arial"/>
          <w:sz w:val="22"/>
          <w:lang w:val="es-ES" w:eastAsia="es-ES" w:bidi="es-ES"/>
        </w:rPr>
        <w:t>Presidente</w:t>
      </w:r>
      <w:proofErr w:type="gramEnd"/>
      <w:r w:rsidR="000932C2" w:rsidRPr="00733DDA">
        <w:rPr>
          <w:rFonts w:ascii="Arial" w:eastAsia="Arial" w:hAnsi="Arial" w:cs="Arial"/>
          <w:sz w:val="22"/>
          <w:lang w:val="es-ES" w:eastAsia="es-ES" w:bidi="es-ES"/>
        </w:rPr>
        <w:t xml:space="preserve"> de la República, a todos los entes del Estado, incluidos los territoriales, aplican las restricciones del artículo 33 con sus excepciones, así como las del parágrafo del artículo 38. En cambio, </w:t>
      </w:r>
      <w:r w:rsidR="008C4353" w:rsidRPr="00733DDA">
        <w:rPr>
          <w:rFonts w:ascii="Arial" w:eastAsia="Arial" w:hAnsi="Arial" w:cs="Arial"/>
          <w:sz w:val="22"/>
          <w:lang w:val="es-ES" w:eastAsia="es-ES" w:bidi="es-ES"/>
        </w:rPr>
        <w:t xml:space="preserve">tratándose de </w:t>
      </w:r>
      <w:r w:rsidR="000932C2" w:rsidRPr="00733DDA">
        <w:rPr>
          <w:rFonts w:ascii="Arial" w:eastAsia="Arial" w:hAnsi="Arial" w:cs="Arial"/>
          <w:sz w:val="22"/>
          <w:lang w:val="es-ES" w:eastAsia="es-ES" w:bidi="es-ES"/>
        </w:rPr>
        <w:t>elecciones en general, excluyendo las correspondientes a</w:t>
      </w:r>
      <w:r w:rsidR="008C4353" w:rsidRPr="00733DDA">
        <w:rPr>
          <w:rFonts w:ascii="Arial" w:eastAsia="Arial" w:hAnsi="Arial" w:cs="Arial"/>
          <w:sz w:val="22"/>
          <w:lang w:val="es-ES" w:eastAsia="es-ES" w:bidi="es-ES"/>
        </w:rPr>
        <w:t>l</w:t>
      </w:r>
      <w:r w:rsidR="000932C2" w:rsidRPr="00733DDA">
        <w:rPr>
          <w:rFonts w:ascii="Arial" w:eastAsia="Arial" w:hAnsi="Arial" w:cs="Arial"/>
          <w:sz w:val="22"/>
          <w:lang w:val="es-ES" w:eastAsia="es-ES" w:bidi="es-ES"/>
        </w:rPr>
        <w:t xml:space="preserve"> </w:t>
      </w:r>
      <w:proofErr w:type="gramStart"/>
      <w:r w:rsidR="000932C2" w:rsidRPr="00733DDA">
        <w:rPr>
          <w:rFonts w:ascii="Arial" w:eastAsia="Arial" w:hAnsi="Arial" w:cs="Arial"/>
          <w:sz w:val="22"/>
          <w:lang w:val="es-ES" w:eastAsia="es-ES" w:bidi="es-ES"/>
        </w:rPr>
        <w:t>Presidente</w:t>
      </w:r>
      <w:proofErr w:type="gramEnd"/>
      <w:r w:rsidR="000932C2" w:rsidRPr="00733DDA">
        <w:rPr>
          <w:rFonts w:ascii="Arial" w:eastAsia="Arial" w:hAnsi="Arial" w:cs="Arial"/>
          <w:sz w:val="22"/>
          <w:lang w:val="es-ES" w:eastAsia="es-ES" w:bidi="es-ES"/>
        </w:rPr>
        <w:t xml:space="preserve"> de la República, las autoridades allí mencionadas sólo </w:t>
      </w:r>
      <w:r w:rsidR="008C4353" w:rsidRPr="00733DDA">
        <w:rPr>
          <w:rFonts w:ascii="Arial" w:eastAsia="Arial" w:hAnsi="Arial" w:cs="Arial"/>
          <w:sz w:val="22"/>
          <w:lang w:val="es-ES" w:eastAsia="es-ES" w:bidi="es-ES"/>
        </w:rPr>
        <w:t xml:space="preserve">deben </w:t>
      </w:r>
      <w:r w:rsidR="000932C2" w:rsidRPr="00733DDA">
        <w:rPr>
          <w:rFonts w:ascii="Arial" w:eastAsia="Arial" w:hAnsi="Arial" w:cs="Arial"/>
          <w:sz w:val="22"/>
          <w:lang w:val="es-ES" w:eastAsia="es-ES" w:bidi="es-ES"/>
        </w:rPr>
        <w:t>aplica</w:t>
      </w:r>
      <w:r w:rsidR="008C4353" w:rsidRPr="00733DDA">
        <w:rPr>
          <w:rFonts w:ascii="Arial" w:eastAsia="Arial" w:hAnsi="Arial" w:cs="Arial"/>
          <w:sz w:val="22"/>
          <w:lang w:val="es-ES" w:eastAsia="es-ES" w:bidi="es-ES"/>
        </w:rPr>
        <w:t>r</w:t>
      </w:r>
      <w:r w:rsidR="000932C2" w:rsidRPr="00733DDA">
        <w:rPr>
          <w:rFonts w:ascii="Arial" w:eastAsia="Arial" w:hAnsi="Arial" w:cs="Arial"/>
          <w:sz w:val="22"/>
          <w:lang w:val="es-ES" w:eastAsia="es-ES" w:bidi="es-ES"/>
        </w:rPr>
        <w:t xml:space="preserve"> las restricciones contenidas en el parágrafo del artículo 38.</w:t>
      </w:r>
    </w:p>
    <w:bookmarkEnd w:id="18"/>
    <w:p w14:paraId="2E94DC8E" w14:textId="77777777" w:rsidR="00D139B0" w:rsidRPr="00733DDA" w:rsidRDefault="00F37460" w:rsidP="00E7700C">
      <w:pPr>
        <w:spacing w:after="0"/>
        <w:ind w:firstLine="708"/>
        <w:rPr>
          <w:rFonts w:ascii="Arial" w:eastAsia="Arial" w:hAnsi="Arial" w:cs="Arial"/>
          <w:sz w:val="22"/>
          <w:lang w:val="es-ES" w:eastAsia="es-ES" w:bidi="es-ES"/>
        </w:rPr>
      </w:pPr>
      <w:r w:rsidRPr="00733DDA">
        <w:rPr>
          <w:rFonts w:ascii="Arial" w:eastAsia="Arial" w:hAnsi="Arial" w:cs="Arial"/>
          <w:sz w:val="22"/>
          <w:lang w:val="es-ES" w:eastAsia="es-ES" w:bidi="es-ES"/>
        </w:rPr>
        <w:t>L</w:t>
      </w:r>
      <w:r w:rsidR="00A95D9F" w:rsidRPr="00733DDA">
        <w:rPr>
          <w:rFonts w:ascii="Arial" w:eastAsia="Arial" w:hAnsi="Arial" w:cs="Arial"/>
          <w:sz w:val="22"/>
          <w:lang w:val="es-ES" w:eastAsia="es-ES" w:bidi="es-ES"/>
        </w:rPr>
        <w:t xml:space="preserve">a Corte Constitucional, en la Sentencia C-1153 del 11 de noviembre de 2005, señaló que, para que la garantía sea plena, era necesario que la prohibición se aplicara para el </w:t>
      </w:r>
      <w:proofErr w:type="gramStart"/>
      <w:r w:rsidR="00A95D9F" w:rsidRPr="00733DDA">
        <w:rPr>
          <w:rFonts w:ascii="Arial" w:eastAsia="Arial" w:hAnsi="Arial" w:cs="Arial"/>
          <w:sz w:val="22"/>
          <w:lang w:val="es-ES" w:eastAsia="es-ES" w:bidi="es-ES"/>
        </w:rPr>
        <w:t>Presidente</w:t>
      </w:r>
      <w:proofErr w:type="gramEnd"/>
      <w:r w:rsidR="00A95D9F" w:rsidRPr="00733DDA">
        <w:rPr>
          <w:rFonts w:ascii="Arial" w:eastAsia="Arial" w:hAnsi="Arial" w:cs="Arial"/>
          <w:sz w:val="22"/>
          <w:lang w:val="es-ES" w:eastAsia="es-ES" w:bidi="es-ES"/>
        </w:rPr>
        <w:t xml:space="preserve"> o el Vicepresidente desde que éstos </w:t>
      </w:r>
      <w:r w:rsidR="00C44882" w:rsidRPr="00733DDA">
        <w:rPr>
          <w:rFonts w:ascii="Arial" w:eastAsia="Arial" w:hAnsi="Arial" w:cs="Arial"/>
          <w:sz w:val="22"/>
          <w:lang w:val="es-ES" w:eastAsia="es-ES" w:bidi="es-ES"/>
        </w:rPr>
        <w:t>–</w:t>
      </w:r>
      <w:r w:rsidR="00A95D9F" w:rsidRPr="00733DDA">
        <w:rPr>
          <w:rFonts w:ascii="Arial" w:eastAsia="Arial" w:hAnsi="Arial" w:cs="Arial"/>
          <w:sz w:val="22"/>
          <w:lang w:val="es-ES" w:eastAsia="es-ES" w:bidi="es-ES"/>
        </w:rPr>
        <w:t>estando en ejercicio de su cargo</w:t>
      </w:r>
      <w:r w:rsidR="00C44882" w:rsidRPr="00733DDA">
        <w:rPr>
          <w:rFonts w:ascii="Arial" w:eastAsia="Arial" w:hAnsi="Arial" w:cs="Arial"/>
          <w:sz w:val="22"/>
          <w:lang w:val="es-ES" w:eastAsia="es-ES" w:bidi="es-ES"/>
        </w:rPr>
        <w:t>–</w:t>
      </w:r>
      <w:r w:rsidR="00A95D9F" w:rsidRPr="00733DDA">
        <w:rPr>
          <w:rFonts w:ascii="Arial" w:eastAsia="Arial" w:hAnsi="Arial" w:cs="Arial"/>
          <w:sz w:val="22"/>
          <w:lang w:val="es-ES" w:eastAsia="es-ES" w:bidi="es-ES"/>
        </w:rPr>
        <w:t xml:space="preserve"> manifiesten el interés de ser candidato presidencial, lo cual debe ocurrir seis meses antes de la elección en primera vuelta, de acuerdo con el artículo 9 de la Ley 996 de 2005. Sin embargo, el condicionamiento impuesto por la Corte Constitucional, relacionado con el momento en que estas restricciones empiezan a regir para el Presidente y el Vicepresidente de la República, ha perdido vigencia ante la prohibición de la reelección presidencial, restablecida por el Acto Legislativo 2 de 2015, excepto para el Vicepresidente que no haya ejercido la presidencia o que la haya ejercido por un tiempo inferior a tres (3) meses durante el respectivo cuatrienio, en forma continua o discontinua</w:t>
      </w:r>
      <w:r w:rsidR="00591F4C" w:rsidRPr="00733DDA">
        <w:rPr>
          <w:rFonts w:ascii="Arial" w:eastAsia="Arial" w:hAnsi="Arial" w:cs="Arial"/>
          <w:sz w:val="22"/>
          <w:lang w:val="es-ES" w:eastAsia="es-ES" w:bidi="es-ES"/>
        </w:rPr>
        <w:t>, conforme</w:t>
      </w:r>
      <w:r w:rsidR="00A95D9F" w:rsidRPr="00733DDA">
        <w:rPr>
          <w:rFonts w:ascii="Arial" w:eastAsia="Arial" w:hAnsi="Arial" w:cs="Arial"/>
          <w:sz w:val="22"/>
          <w:lang w:val="es-ES" w:eastAsia="es-ES" w:bidi="es-ES"/>
        </w:rPr>
        <w:t xml:space="preserve"> </w:t>
      </w:r>
      <w:r w:rsidR="00591F4C" w:rsidRPr="00733DDA">
        <w:rPr>
          <w:rFonts w:ascii="Arial" w:eastAsia="Arial" w:hAnsi="Arial" w:cs="Arial"/>
          <w:sz w:val="22"/>
          <w:lang w:val="es-ES" w:eastAsia="es-ES" w:bidi="es-ES"/>
        </w:rPr>
        <w:t xml:space="preserve">al </w:t>
      </w:r>
      <w:r w:rsidR="00A95D9F" w:rsidRPr="00733DDA">
        <w:rPr>
          <w:rFonts w:ascii="Arial" w:eastAsia="Arial" w:hAnsi="Arial" w:cs="Arial"/>
          <w:sz w:val="22"/>
          <w:lang w:val="es-ES" w:eastAsia="es-ES" w:bidi="es-ES"/>
        </w:rPr>
        <w:t xml:space="preserve">artículo 197 de la </w:t>
      </w:r>
      <w:r w:rsidR="00591F4C" w:rsidRPr="00733DDA">
        <w:rPr>
          <w:rFonts w:ascii="Arial" w:eastAsia="Arial" w:hAnsi="Arial" w:cs="Arial"/>
          <w:sz w:val="22"/>
          <w:lang w:val="es-ES" w:eastAsia="es-ES" w:bidi="es-ES"/>
        </w:rPr>
        <w:t>Constitución</w:t>
      </w:r>
      <w:r w:rsidR="00A95D9F" w:rsidRPr="00733DDA">
        <w:rPr>
          <w:rFonts w:ascii="Arial" w:eastAsia="Arial" w:hAnsi="Arial" w:cs="Arial"/>
          <w:sz w:val="22"/>
          <w:lang w:val="es-ES" w:eastAsia="es-ES" w:bidi="es-ES"/>
        </w:rPr>
        <w:t xml:space="preserve"> Política.</w:t>
      </w:r>
    </w:p>
    <w:p w14:paraId="1E63A759" w14:textId="487C6353" w:rsidR="007853BD" w:rsidRPr="00733DDA" w:rsidRDefault="007853BD" w:rsidP="00F3633E">
      <w:pPr>
        <w:spacing w:after="0"/>
        <w:rPr>
          <w:rFonts w:ascii="Arial" w:eastAsia="Arial" w:hAnsi="Arial" w:cs="Arial"/>
          <w:sz w:val="22"/>
          <w:lang w:val="es-ES" w:eastAsia="es-ES" w:bidi="es-ES"/>
        </w:rPr>
      </w:pPr>
    </w:p>
    <w:p w14:paraId="0B5B69F1" w14:textId="393F6EBB" w:rsidR="008A1966" w:rsidRPr="00733DDA" w:rsidRDefault="007853BD" w:rsidP="00E7700C">
      <w:pPr>
        <w:spacing w:after="0"/>
        <w:rPr>
          <w:rFonts w:ascii="Arial" w:eastAsia="Times New Roman" w:hAnsi="Arial" w:cs="Arial"/>
          <w:b/>
          <w:sz w:val="22"/>
          <w:lang w:val="es-ES" w:eastAsia="es-CO"/>
        </w:rPr>
      </w:pPr>
      <w:r w:rsidRPr="00733DDA">
        <w:rPr>
          <w:rFonts w:ascii="Arial" w:eastAsia="Times New Roman" w:hAnsi="Arial" w:cs="Arial"/>
          <w:b/>
          <w:sz w:val="22"/>
          <w:lang w:val="es-ES" w:eastAsia="es-CO"/>
        </w:rPr>
        <w:t>2.</w:t>
      </w:r>
      <w:r w:rsidR="004E638B" w:rsidRPr="00733DDA">
        <w:rPr>
          <w:rFonts w:ascii="Arial" w:eastAsia="Times New Roman" w:hAnsi="Arial" w:cs="Arial"/>
          <w:b/>
          <w:sz w:val="22"/>
          <w:lang w:val="es-ES" w:eastAsia="es-CO"/>
        </w:rPr>
        <w:t>2</w:t>
      </w:r>
      <w:r w:rsidRPr="00733DDA">
        <w:rPr>
          <w:rFonts w:ascii="Arial" w:eastAsia="Times New Roman" w:hAnsi="Arial" w:cs="Arial"/>
          <w:b/>
          <w:sz w:val="22"/>
          <w:lang w:val="es-ES" w:eastAsia="es-CO"/>
        </w:rPr>
        <w:t xml:space="preserve">. </w:t>
      </w:r>
      <w:r w:rsidR="008A1966" w:rsidRPr="00733DDA">
        <w:rPr>
          <w:rFonts w:ascii="Arial" w:eastAsia="Times New Roman" w:hAnsi="Arial" w:cs="Arial"/>
          <w:b/>
          <w:bCs/>
          <w:sz w:val="22"/>
          <w:lang w:eastAsia="es-CO"/>
        </w:rPr>
        <w:t xml:space="preserve">Restricciones en elecciones presidenciales </w:t>
      </w:r>
    </w:p>
    <w:p w14:paraId="7D9199F2" w14:textId="77777777" w:rsidR="00F61159" w:rsidRPr="00733DDA" w:rsidRDefault="00F61159" w:rsidP="00E7700C">
      <w:pPr>
        <w:spacing w:after="0"/>
        <w:rPr>
          <w:rFonts w:ascii="Arial" w:eastAsia="Times New Roman" w:hAnsi="Arial" w:cs="Arial"/>
          <w:bCs/>
          <w:sz w:val="22"/>
          <w:lang w:eastAsia="x-none"/>
        </w:rPr>
      </w:pPr>
    </w:p>
    <w:p w14:paraId="7E852C96" w14:textId="7997485F" w:rsidR="00DB61B2" w:rsidRPr="00733DDA" w:rsidRDefault="00DB61B2" w:rsidP="00E7700C">
      <w:pPr>
        <w:spacing w:after="0"/>
        <w:rPr>
          <w:rFonts w:ascii="Arial" w:eastAsia="Times New Roman" w:hAnsi="Arial" w:cs="Arial"/>
          <w:bCs/>
          <w:sz w:val="22"/>
          <w:lang w:eastAsia="es-CO"/>
        </w:rPr>
      </w:pPr>
      <w:r w:rsidRPr="00733DDA">
        <w:rPr>
          <w:rFonts w:ascii="Arial" w:eastAsia="Times New Roman" w:hAnsi="Arial" w:cs="Arial"/>
          <w:bCs/>
          <w:sz w:val="22"/>
          <w:lang w:eastAsia="x-none"/>
        </w:rPr>
        <w:t xml:space="preserve">El ámbito material de la prohibición contenida </w:t>
      </w:r>
      <w:bookmarkStart w:id="19" w:name="_Hlk75628761"/>
      <w:r w:rsidRPr="00733DDA">
        <w:rPr>
          <w:rFonts w:ascii="Arial" w:eastAsia="Times New Roman" w:hAnsi="Arial" w:cs="Arial"/>
          <w:bCs/>
          <w:sz w:val="22"/>
          <w:lang w:eastAsia="x-none"/>
        </w:rPr>
        <w:t xml:space="preserve">en el artículo 33 de la ley 996 de 2005 </w:t>
      </w:r>
      <w:bookmarkEnd w:id="19"/>
      <w:r w:rsidRPr="00733DDA">
        <w:rPr>
          <w:rFonts w:ascii="Arial" w:eastAsia="Times New Roman" w:hAnsi="Arial" w:cs="Arial"/>
          <w:bCs/>
          <w:sz w:val="22"/>
          <w:lang w:eastAsia="x-none"/>
        </w:rPr>
        <w:t xml:space="preserve">está delimitado por la expresión </w:t>
      </w:r>
      <w:r w:rsidR="00174FBC" w:rsidRPr="00733DDA">
        <w:rPr>
          <w:rFonts w:ascii="Arial" w:eastAsia="Calibri" w:hAnsi="Arial" w:cs="Arial"/>
          <w:bCs/>
          <w:sz w:val="20"/>
          <w:szCs w:val="20"/>
        </w:rPr>
        <w:t>«</w:t>
      </w:r>
      <w:r w:rsidRPr="00733DDA">
        <w:rPr>
          <w:rFonts w:ascii="Arial" w:eastAsia="Times New Roman" w:hAnsi="Arial" w:cs="Arial"/>
          <w:bCs/>
          <w:sz w:val="22"/>
          <w:lang w:eastAsia="x-none"/>
        </w:rPr>
        <w:t>queda prohibida la contratación directa</w:t>
      </w:r>
      <w:r w:rsidR="00174FBC" w:rsidRPr="00733DDA">
        <w:rPr>
          <w:rFonts w:ascii="Arial" w:hAnsi="Arial" w:cs="Arial"/>
          <w:sz w:val="20"/>
          <w:szCs w:val="20"/>
        </w:rPr>
        <w:t>»</w:t>
      </w:r>
      <w:r w:rsidRPr="00733DDA">
        <w:rPr>
          <w:rFonts w:ascii="Arial" w:eastAsia="Times New Roman" w:hAnsi="Arial" w:cs="Arial"/>
          <w:bCs/>
          <w:sz w:val="22"/>
          <w:lang w:eastAsia="x-none"/>
        </w:rPr>
        <w:t xml:space="preserve">. </w:t>
      </w:r>
      <w:r w:rsidRPr="00733DDA">
        <w:rPr>
          <w:rFonts w:ascii="Arial" w:eastAsia="Times New Roman" w:hAnsi="Arial" w:cs="Arial"/>
          <w:sz w:val="22"/>
          <w:lang w:eastAsia="es-CO"/>
        </w:rPr>
        <w:t xml:space="preserve">A propósito de </w:t>
      </w:r>
      <w:r w:rsidRPr="00733DDA">
        <w:rPr>
          <w:rFonts w:ascii="Arial" w:eastAsia="Times New Roman" w:hAnsi="Arial" w:cs="Arial"/>
          <w:sz w:val="22"/>
          <w:lang w:val="es-CO" w:eastAsia="es-CO"/>
        </w:rPr>
        <w:t xml:space="preserve">esta restricción de la </w:t>
      </w:r>
      <w:r w:rsidR="007701D9" w:rsidRPr="00733DDA">
        <w:rPr>
          <w:rFonts w:ascii="Arial" w:eastAsia="Times New Roman" w:hAnsi="Arial" w:cs="Arial"/>
          <w:sz w:val="22"/>
          <w:lang w:val="es-CO" w:eastAsia="es-CO"/>
        </w:rPr>
        <w:t>Ley de Garantías Electorales</w:t>
      </w:r>
      <w:r w:rsidRPr="00733DDA">
        <w:rPr>
          <w:rFonts w:ascii="Arial" w:eastAsia="Times New Roman" w:hAnsi="Arial" w:cs="Arial"/>
          <w:sz w:val="22"/>
          <w:lang w:val="es-CO" w:eastAsia="es-CO"/>
        </w:rPr>
        <w:t>, la Sala de Consulta y Servicio Civil del Consejo de Estado</w:t>
      </w:r>
      <w:r w:rsidR="007701D9" w:rsidRPr="00733DDA">
        <w:rPr>
          <w:rFonts w:ascii="Arial" w:eastAsia="Times New Roman" w:hAnsi="Arial" w:cs="Arial"/>
          <w:sz w:val="22"/>
          <w:lang w:val="es-CO" w:eastAsia="es-CO"/>
        </w:rPr>
        <w:t xml:space="preserve"> </w:t>
      </w:r>
      <w:r w:rsidR="00E4777A" w:rsidRPr="00733DDA">
        <w:rPr>
          <w:rFonts w:ascii="Arial" w:eastAsia="Times New Roman" w:hAnsi="Arial" w:cs="Arial"/>
          <w:sz w:val="22"/>
          <w:lang w:val="es-CO" w:eastAsia="es-CO"/>
        </w:rPr>
        <w:t xml:space="preserve">ha </w:t>
      </w:r>
      <w:r w:rsidR="007701D9" w:rsidRPr="00733DDA">
        <w:rPr>
          <w:rFonts w:ascii="Arial" w:eastAsia="Times New Roman" w:hAnsi="Arial" w:cs="Arial"/>
          <w:sz w:val="22"/>
          <w:lang w:val="es-CO" w:eastAsia="es-CO"/>
        </w:rPr>
        <w:t>considera</w:t>
      </w:r>
      <w:r w:rsidR="00E4777A" w:rsidRPr="00733DDA">
        <w:rPr>
          <w:rFonts w:ascii="Arial" w:eastAsia="Times New Roman" w:hAnsi="Arial" w:cs="Arial"/>
          <w:sz w:val="22"/>
          <w:lang w:val="es-CO" w:eastAsia="es-CO"/>
        </w:rPr>
        <w:t>do</w:t>
      </w:r>
      <w:r w:rsidR="007701D9" w:rsidRPr="00733DDA">
        <w:rPr>
          <w:rFonts w:ascii="Arial" w:eastAsia="Times New Roman" w:hAnsi="Arial" w:cs="Arial"/>
          <w:sz w:val="22"/>
          <w:lang w:val="es-CO" w:eastAsia="es-CO"/>
        </w:rPr>
        <w:t xml:space="preserve"> que</w:t>
      </w:r>
      <w:r w:rsidRPr="00733DDA">
        <w:rPr>
          <w:rFonts w:ascii="Arial" w:eastAsia="Times New Roman" w:hAnsi="Arial" w:cs="Arial"/>
          <w:sz w:val="22"/>
          <w:lang w:val="es-CO" w:eastAsia="es-CO"/>
        </w:rPr>
        <w:t>:</w:t>
      </w:r>
    </w:p>
    <w:p w14:paraId="0A466F33" w14:textId="77777777" w:rsidR="00F61159" w:rsidRPr="00733DDA" w:rsidRDefault="00F61159" w:rsidP="00E7700C">
      <w:pPr>
        <w:spacing w:after="0"/>
        <w:ind w:left="708" w:right="709"/>
        <w:rPr>
          <w:rFonts w:ascii="Arial" w:hAnsi="Arial" w:cs="Arial"/>
          <w:sz w:val="21"/>
          <w:szCs w:val="21"/>
        </w:rPr>
      </w:pPr>
    </w:p>
    <w:p w14:paraId="33D9C2F3" w14:textId="122A3D0F" w:rsidR="00DB61B2" w:rsidRPr="00733DDA" w:rsidRDefault="00DB61B2" w:rsidP="000641BE">
      <w:pPr>
        <w:spacing w:after="120" w:line="240" w:lineRule="auto"/>
        <w:ind w:left="709" w:right="709"/>
        <w:rPr>
          <w:rFonts w:ascii="Arial" w:hAnsi="Arial" w:cs="Arial"/>
          <w:sz w:val="21"/>
          <w:szCs w:val="21"/>
        </w:rPr>
      </w:pPr>
      <w:r w:rsidRPr="00733DDA">
        <w:rPr>
          <w:rFonts w:ascii="Arial" w:hAnsi="Arial" w:cs="Arial"/>
          <w:sz w:val="21"/>
          <w:szCs w:val="21"/>
        </w:rPr>
        <w:t xml:space="preserve">La contratación directa es un mecanismo de selección de carácter excepcional, en virtud del cual las entidades públicas pueden contratar mediante un trámite simplificado, ágil y expedito sin necesidad de realizar previamente un proceso de licitación pública o concurso, únicamente en los casos en que expresa y taxativamente señale la ley (numeral 4, </w:t>
      </w:r>
      <w:r w:rsidRPr="00733DDA">
        <w:rPr>
          <w:rFonts w:ascii="Arial" w:hAnsi="Arial" w:cs="Arial"/>
          <w:sz w:val="21"/>
          <w:szCs w:val="21"/>
        </w:rPr>
        <w:lastRenderedPageBreak/>
        <w:t>artículo 2, ley 1150 de 2007), y cumpliendo siempre los principios que rigen la contratación pública</w:t>
      </w:r>
      <w:r w:rsidRPr="00733DDA">
        <w:rPr>
          <w:rFonts w:ascii="Arial" w:eastAsia="Times New Roman" w:hAnsi="Arial" w:cs="Arial"/>
          <w:sz w:val="22"/>
          <w:vertAlign w:val="superscript"/>
          <w:lang w:val="es-CO" w:eastAsia="es-CO"/>
        </w:rPr>
        <w:footnoteReference w:id="10"/>
      </w:r>
      <w:r w:rsidRPr="00733DDA">
        <w:rPr>
          <w:rFonts w:ascii="Arial" w:hAnsi="Arial" w:cs="Arial"/>
          <w:sz w:val="21"/>
          <w:szCs w:val="21"/>
        </w:rPr>
        <w:t>.</w:t>
      </w:r>
    </w:p>
    <w:p w14:paraId="054DAA8C" w14:textId="14BE792C" w:rsidR="00DB61B2" w:rsidRPr="00733DDA" w:rsidRDefault="00DB61B2" w:rsidP="000641BE">
      <w:pPr>
        <w:spacing w:after="0" w:line="240" w:lineRule="auto"/>
        <w:ind w:left="708" w:right="709"/>
        <w:rPr>
          <w:rFonts w:ascii="Arial" w:hAnsi="Arial" w:cs="Arial"/>
          <w:sz w:val="21"/>
          <w:szCs w:val="21"/>
        </w:rPr>
      </w:pPr>
      <w:r w:rsidRPr="00733DDA">
        <w:rPr>
          <w:rFonts w:ascii="Arial" w:hAnsi="Arial" w:cs="Arial"/>
          <w:sz w:val="21"/>
          <w:szCs w:val="21"/>
        </w:rPr>
        <w:t xml:space="preserve">Esta Sala ha entendido </w:t>
      </w:r>
      <w:proofErr w:type="gramStart"/>
      <w:r w:rsidRPr="00733DDA">
        <w:rPr>
          <w:rFonts w:ascii="Arial" w:hAnsi="Arial" w:cs="Arial"/>
          <w:sz w:val="21"/>
          <w:szCs w:val="21"/>
        </w:rPr>
        <w:t>que</w:t>
      </w:r>
      <w:proofErr w:type="gramEnd"/>
      <w:r w:rsidRPr="00733DDA">
        <w:rPr>
          <w:rFonts w:ascii="Arial" w:hAnsi="Arial" w:cs="Arial"/>
          <w:sz w:val="21"/>
          <w:szCs w:val="21"/>
        </w:rPr>
        <w:t xml:space="preserve"> para los efectos de la ley de garantías, y dada su finalidad, el enunciado ´contratación directa´ es sinónimo </w:t>
      </w:r>
      <w:bookmarkStart w:id="22" w:name="_Hlk75741738"/>
      <w:r w:rsidRPr="00733DDA">
        <w:rPr>
          <w:rFonts w:ascii="Arial" w:hAnsi="Arial" w:cs="Arial"/>
          <w:sz w:val="21"/>
          <w:szCs w:val="21"/>
        </w:rPr>
        <w:t xml:space="preserve">de cualquier sistema que no implique convocatoria pública y posibilidad de pluralidad de oferentes, </w:t>
      </w:r>
      <w:bookmarkEnd w:id="22"/>
      <w:r w:rsidRPr="00733DDA">
        <w:rPr>
          <w:rFonts w:ascii="Arial" w:hAnsi="Arial" w:cs="Arial"/>
          <w:sz w:val="21"/>
          <w:szCs w:val="21"/>
        </w:rPr>
        <w:t>y que, además, no necesariamente hace referencia al procedimiento especial regulado por la ley de contratación estatal, sino a cualquier otro que prescinda de un proceso de licitación pública o concurso</w:t>
      </w:r>
      <w:r w:rsidRPr="00733DDA">
        <w:rPr>
          <w:rFonts w:ascii="Arial" w:eastAsia="Times New Roman" w:hAnsi="Arial" w:cs="Arial"/>
          <w:sz w:val="21"/>
          <w:szCs w:val="21"/>
          <w:vertAlign w:val="superscript"/>
        </w:rPr>
        <w:footnoteReference w:id="11"/>
      </w:r>
      <w:r w:rsidRPr="00733DDA">
        <w:rPr>
          <w:rFonts w:ascii="Arial" w:eastAsia="Times New Roman" w:hAnsi="Arial" w:cs="Arial"/>
          <w:sz w:val="21"/>
          <w:szCs w:val="21"/>
          <w:vertAlign w:val="superscript"/>
        </w:rPr>
        <w:t>.</w:t>
      </w:r>
      <w:r w:rsidRPr="00733DDA">
        <w:rPr>
          <w:rFonts w:ascii="Arial" w:hAnsi="Arial" w:cs="Arial"/>
          <w:sz w:val="21"/>
          <w:szCs w:val="21"/>
        </w:rPr>
        <w:t xml:space="preserve"> Por tanto, no son materia de la prohibición las demás modalidades de selección previstas en la ley 1150 de 2007, siendo estas, la licitación pública, el concurso de méritos y la selección abreviada, razón por la cual en ese periodo preelectoral de que trata la disposición pueden las entidades públicas seguir contratando bajo estos sistemas. [...]</w:t>
      </w:r>
      <w:r w:rsidR="007701D9" w:rsidRPr="00733DDA">
        <w:rPr>
          <w:rFonts w:ascii="Arial" w:eastAsia="Times New Roman" w:hAnsi="Arial" w:cs="Arial"/>
          <w:sz w:val="22"/>
          <w:vertAlign w:val="superscript"/>
          <w:lang w:val="es-CO" w:eastAsia="es-CO"/>
        </w:rPr>
        <w:footnoteReference w:id="12"/>
      </w:r>
      <w:r w:rsidRPr="00733DDA">
        <w:rPr>
          <w:rFonts w:ascii="Arial" w:hAnsi="Arial" w:cs="Arial"/>
          <w:sz w:val="21"/>
          <w:szCs w:val="21"/>
        </w:rPr>
        <w:t xml:space="preserve"> .</w:t>
      </w:r>
    </w:p>
    <w:p w14:paraId="2D8D2D07" w14:textId="77777777" w:rsidR="00F61159" w:rsidRPr="00733DDA" w:rsidRDefault="00F61159" w:rsidP="00E7700C">
      <w:pPr>
        <w:shd w:val="clear" w:color="auto" w:fill="FFFFFF"/>
        <w:spacing w:after="0"/>
        <w:ind w:firstLine="709"/>
        <w:rPr>
          <w:rFonts w:ascii="Arial" w:eastAsia="Times New Roman" w:hAnsi="Arial" w:cs="Arial"/>
          <w:sz w:val="22"/>
          <w:lang w:val="es-CO" w:eastAsia="x-none"/>
        </w:rPr>
      </w:pPr>
    </w:p>
    <w:p w14:paraId="4F36D7D2" w14:textId="3BC04F96" w:rsidR="00F61159" w:rsidRPr="00733DDA" w:rsidRDefault="00DB61B2" w:rsidP="00E7700C">
      <w:pPr>
        <w:spacing w:after="120"/>
        <w:ind w:firstLine="708"/>
        <w:rPr>
          <w:rFonts w:ascii="Arial" w:eastAsia="Times New Roman" w:hAnsi="Arial" w:cs="Arial"/>
          <w:bCs/>
          <w:sz w:val="22"/>
          <w:lang w:val="es-CO" w:eastAsia="x-none"/>
        </w:rPr>
      </w:pPr>
      <w:r w:rsidRPr="00733DDA">
        <w:rPr>
          <w:rFonts w:ascii="Arial" w:eastAsia="Times New Roman" w:hAnsi="Arial" w:cs="Arial"/>
          <w:sz w:val="22"/>
          <w:lang w:val="es-CO" w:eastAsia="x-none"/>
        </w:rPr>
        <w:t>De conformidad con el citado concepto</w:t>
      </w:r>
      <w:r w:rsidR="00856B57" w:rsidRPr="00733DDA">
        <w:rPr>
          <w:rFonts w:ascii="Arial" w:eastAsia="Times New Roman" w:hAnsi="Arial" w:cs="Arial"/>
          <w:sz w:val="22"/>
          <w:lang w:val="es-CO" w:eastAsia="x-none"/>
        </w:rPr>
        <w:t>,</w:t>
      </w:r>
      <w:r w:rsidRPr="00733DDA">
        <w:rPr>
          <w:rFonts w:ascii="Arial" w:eastAsia="Times New Roman" w:hAnsi="Arial" w:cs="Arial"/>
          <w:sz w:val="22"/>
          <w:lang w:val="es-CO" w:eastAsia="x-none"/>
        </w:rPr>
        <w:t xml:space="preserve"> </w:t>
      </w:r>
      <w:bookmarkStart w:id="24" w:name="_Hlk78818702"/>
      <w:r w:rsidRPr="00733DDA">
        <w:rPr>
          <w:rFonts w:ascii="Arial" w:eastAsia="Times New Roman" w:hAnsi="Arial" w:cs="Arial"/>
          <w:sz w:val="22"/>
          <w:lang w:val="es-CO" w:eastAsia="x-none"/>
        </w:rPr>
        <w:t xml:space="preserve">la prohibición </w:t>
      </w:r>
      <w:r w:rsidR="00856B57" w:rsidRPr="00733DDA">
        <w:rPr>
          <w:rFonts w:ascii="Arial" w:eastAsia="Times New Roman" w:hAnsi="Arial" w:cs="Arial"/>
          <w:sz w:val="22"/>
          <w:lang w:val="es-CO" w:eastAsia="x-none"/>
        </w:rPr>
        <w:t>d</w:t>
      </w:r>
      <w:r w:rsidRPr="00733DDA">
        <w:rPr>
          <w:rFonts w:ascii="Arial" w:eastAsia="Times New Roman" w:hAnsi="Arial" w:cs="Arial"/>
          <w:sz w:val="22"/>
          <w:lang w:val="es-CO" w:eastAsia="x-none"/>
        </w:rPr>
        <w:t xml:space="preserve">el artículo 33 de la Ley de Garantías Electorales se refiere a </w:t>
      </w:r>
      <w:bookmarkStart w:id="25" w:name="_Hlk74294635"/>
      <w:r w:rsidRPr="00733DDA">
        <w:rPr>
          <w:rFonts w:ascii="Arial" w:eastAsia="Times New Roman" w:hAnsi="Arial" w:cs="Arial"/>
          <w:sz w:val="19"/>
          <w:szCs w:val="19"/>
          <w:lang w:val="es-CO" w:eastAsia="en-GB"/>
        </w:rPr>
        <w:t>«</w:t>
      </w:r>
      <w:bookmarkEnd w:id="25"/>
      <w:r w:rsidRPr="00733DDA">
        <w:rPr>
          <w:rFonts w:ascii="Arial" w:eastAsia="Times New Roman" w:hAnsi="Arial" w:cs="Arial"/>
          <w:sz w:val="22"/>
          <w:lang w:val="es-CO" w:eastAsia="x-none"/>
        </w:rPr>
        <w:t>cualquier sistema que no implique convocatoria pública y posibilidad de pluralidad de oferentes</w:t>
      </w:r>
      <w:bookmarkStart w:id="26" w:name="_Hlk74404754"/>
      <w:r w:rsidRPr="00733DDA">
        <w:rPr>
          <w:rFonts w:ascii="Arial" w:eastAsia="Times New Roman" w:hAnsi="Arial" w:cs="Arial"/>
          <w:sz w:val="22"/>
          <w:lang w:val="es-CO" w:eastAsia="en-GB"/>
        </w:rPr>
        <w:t>»</w:t>
      </w:r>
      <w:bookmarkEnd w:id="26"/>
      <w:r w:rsidRPr="00733DDA">
        <w:rPr>
          <w:rFonts w:ascii="Arial" w:eastAsia="Times New Roman" w:hAnsi="Arial" w:cs="Arial"/>
          <w:sz w:val="22"/>
          <w:lang w:val="es-CO" w:eastAsia="x-none"/>
        </w:rPr>
        <w:t>, por lo que excluye l</w:t>
      </w:r>
      <w:r w:rsidR="00856B57" w:rsidRPr="00733DDA">
        <w:rPr>
          <w:rFonts w:ascii="Arial" w:eastAsia="Times New Roman" w:hAnsi="Arial" w:cs="Arial"/>
          <w:sz w:val="22"/>
          <w:lang w:val="es-CO" w:eastAsia="x-none"/>
        </w:rPr>
        <w:t>a</w:t>
      </w:r>
      <w:r w:rsidRPr="00733DDA">
        <w:rPr>
          <w:rFonts w:ascii="Arial" w:eastAsia="Times New Roman" w:hAnsi="Arial" w:cs="Arial"/>
          <w:sz w:val="22"/>
          <w:lang w:val="es-CO" w:eastAsia="x-none"/>
        </w:rPr>
        <w:t xml:space="preserve">s demás </w:t>
      </w:r>
      <w:r w:rsidR="00856B57" w:rsidRPr="00733DDA">
        <w:rPr>
          <w:rFonts w:ascii="Arial" w:eastAsia="Times New Roman" w:hAnsi="Arial" w:cs="Arial"/>
          <w:sz w:val="22"/>
          <w:lang w:val="es-CO" w:eastAsia="x-none"/>
        </w:rPr>
        <w:t>modalidades</w:t>
      </w:r>
      <w:r w:rsidRPr="00733DDA">
        <w:rPr>
          <w:rFonts w:ascii="Arial" w:eastAsia="Times New Roman" w:hAnsi="Arial" w:cs="Arial"/>
          <w:sz w:val="22"/>
          <w:lang w:val="es-CO" w:eastAsia="x-none"/>
        </w:rPr>
        <w:t xml:space="preserve"> de contratación previst</w:t>
      </w:r>
      <w:r w:rsidR="00856B57" w:rsidRPr="00733DDA">
        <w:rPr>
          <w:rFonts w:ascii="Arial" w:eastAsia="Times New Roman" w:hAnsi="Arial" w:cs="Arial"/>
          <w:sz w:val="22"/>
          <w:lang w:val="es-CO" w:eastAsia="x-none"/>
        </w:rPr>
        <w:t>a</w:t>
      </w:r>
      <w:r w:rsidRPr="00733DDA">
        <w:rPr>
          <w:rFonts w:ascii="Arial" w:eastAsia="Times New Roman" w:hAnsi="Arial" w:cs="Arial"/>
          <w:sz w:val="22"/>
          <w:lang w:val="es-CO" w:eastAsia="x-none"/>
        </w:rPr>
        <w:t>s en la Ley 1150 de 2007, es decir, la licitación pública, la selección abreviada</w:t>
      </w:r>
      <w:r w:rsidR="00D52BD1" w:rsidRPr="00733DDA">
        <w:rPr>
          <w:rFonts w:ascii="Arial" w:eastAsia="Times New Roman" w:hAnsi="Arial" w:cs="Arial"/>
          <w:sz w:val="22"/>
          <w:lang w:val="es-CO" w:eastAsia="x-none"/>
        </w:rPr>
        <w:t xml:space="preserve">, </w:t>
      </w:r>
      <w:r w:rsidRPr="00733DDA">
        <w:rPr>
          <w:rFonts w:ascii="Arial" w:eastAsia="Times New Roman" w:hAnsi="Arial" w:cs="Arial"/>
          <w:sz w:val="22"/>
          <w:lang w:val="es-CO" w:eastAsia="x-none"/>
        </w:rPr>
        <w:t>el concurso de méritos</w:t>
      </w:r>
      <w:r w:rsidR="00D52BD1" w:rsidRPr="00733DDA">
        <w:rPr>
          <w:rFonts w:ascii="Arial" w:eastAsia="Times New Roman" w:hAnsi="Arial" w:cs="Arial"/>
          <w:sz w:val="22"/>
          <w:lang w:val="es-CO" w:eastAsia="x-none"/>
        </w:rPr>
        <w:t>, la mínima cuantía</w:t>
      </w:r>
      <w:r w:rsidRPr="00733DDA">
        <w:rPr>
          <w:rFonts w:ascii="Arial" w:eastAsia="Times New Roman" w:hAnsi="Arial" w:cs="Arial"/>
          <w:sz w:val="22"/>
          <w:lang w:val="es-CO" w:eastAsia="x-none"/>
        </w:rPr>
        <w:t xml:space="preserve"> u otros previstos en normas especiales. </w:t>
      </w:r>
      <w:bookmarkEnd w:id="24"/>
      <w:r w:rsidRPr="00733DDA">
        <w:rPr>
          <w:rFonts w:ascii="Arial" w:eastAsia="Times New Roman" w:hAnsi="Arial" w:cs="Arial"/>
          <w:sz w:val="22"/>
          <w:lang w:val="es-CO" w:eastAsia="x-none"/>
        </w:rPr>
        <w:t xml:space="preserve">Esta posición es congruente con la expedición de la Ley 1150 de 2007 que, entre otras reformas, introdujo </w:t>
      </w:r>
      <w:r w:rsidR="00856B57" w:rsidRPr="00733DDA">
        <w:rPr>
          <w:rFonts w:ascii="Arial" w:eastAsia="Times New Roman" w:hAnsi="Arial" w:cs="Arial"/>
          <w:sz w:val="22"/>
          <w:lang w:val="es-CO" w:eastAsia="x-none"/>
        </w:rPr>
        <w:t>la</w:t>
      </w:r>
      <w:r w:rsidRPr="00733DDA">
        <w:rPr>
          <w:rFonts w:ascii="Arial" w:eastAsia="Times New Roman" w:hAnsi="Arial" w:cs="Arial"/>
          <w:sz w:val="22"/>
          <w:lang w:val="es-CO" w:eastAsia="x-none"/>
        </w:rPr>
        <w:t xml:space="preserve"> selección abreviada, rediseñó el concurso de méritos</w:t>
      </w:r>
      <w:r w:rsidRPr="00733DDA">
        <w:rPr>
          <w:rFonts w:ascii="Arial" w:eastAsia="Times New Roman" w:hAnsi="Arial" w:cs="Arial"/>
          <w:sz w:val="22"/>
          <w:vertAlign w:val="superscript"/>
          <w:lang w:val="en-GB" w:eastAsia="x-none"/>
        </w:rPr>
        <w:footnoteReference w:id="13"/>
      </w:r>
      <w:r w:rsidRPr="00733DDA">
        <w:rPr>
          <w:rFonts w:ascii="Arial" w:eastAsia="Times New Roman" w:hAnsi="Arial" w:cs="Arial"/>
          <w:sz w:val="22"/>
          <w:lang w:val="es-CO" w:eastAsia="x-none"/>
        </w:rPr>
        <w:t xml:space="preserve"> y sistematizó las causales de contratación directa</w:t>
      </w:r>
      <w:r w:rsidRPr="00733DDA">
        <w:rPr>
          <w:rFonts w:ascii="Arial" w:eastAsia="Times New Roman" w:hAnsi="Arial" w:cs="Arial"/>
          <w:sz w:val="22"/>
          <w:vertAlign w:val="superscript"/>
          <w:lang w:val="en-GB" w:eastAsia="x-none"/>
        </w:rPr>
        <w:footnoteReference w:id="14"/>
      </w:r>
      <w:r w:rsidRPr="00733DDA">
        <w:rPr>
          <w:rFonts w:ascii="Arial" w:eastAsia="Times New Roman" w:hAnsi="Arial" w:cs="Arial"/>
          <w:sz w:val="22"/>
          <w:lang w:val="es-CO" w:eastAsia="x-none"/>
        </w:rPr>
        <w:t xml:space="preserve">. </w:t>
      </w:r>
    </w:p>
    <w:p w14:paraId="2F4008CF" w14:textId="4ACF3DA6" w:rsidR="00F61159" w:rsidRPr="00733DDA" w:rsidRDefault="00DB61B2" w:rsidP="00E7700C">
      <w:pPr>
        <w:spacing w:after="120"/>
        <w:ind w:firstLine="708"/>
        <w:rPr>
          <w:rFonts w:ascii="Arial" w:eastAsia="Times New Roman" w:hAnsi="Arial" w:cs="Arial"/>
          <w:sz w:val="22"/>
          <w:lang w:eastAsia="x-none"/>
        </w:rPr>
      </w:pPr>
      <w:r w:rsidRPr="00733DDA">
        <w:rPr>
          <w:rFonts w:ascii="Arial" w:eastAsia="Times New Roman" w:hAnsi="Arial" w:cs="Arial"/>
          <w:sz w:val="22"/>
          <w:lang w:val="es-CO" w:eastAsia="x-none"/>
        </w:rPr>
        <w:t xml:space="preserve">De esta forma, con fundamento en la evolución de la normativa sobre la contratación pública, se ha depurado la noción de </w:t>
      </w:r>
      <w:r w:rsidRPr="00733DDA">
        <w:rPr>
          <w:rFonts w:ascii="Arial" w:eastAsia="Times New Roman" w:hAnsi="Arial" w:cs="Arial"/>
          <w:sz w:val="19"/>
          <w:szCs w:val="19"/>
          <w:lang w:val="es-CO" w:eastAsia="en-GB"/>
        </w:rPr>
        <w:t>«</w:t>
      </w:r>
      <w:r w:rsidRPr="00733DDA">
        <w:rPr>
          <w:rFonts w:ascii="Arial" w:eastAsia="Times New Roman" w:hAnsi="Arial" w:cs="Arial"/>
          <w:sz w:val="22"/>
          <w:lang w:val="es-CO" w:eastAsia="x-none"/>
        </w:rPr>
        <w:t>contratación directa</w:t>
      </w:r>
      <w:r w:rsidRPr="00733DDA">
        <w:rPr>
          <w:rFonts w:ascii="Arial" w:eastAsia="Times New Roman" w:hAnsi="Arial" w:cs="Arial"/>
          <w:sz w:val="22"/>
          <w:lang w:val="es-CO" w:eastAsia="en-GB"/>
        </w:rPr>
        <w:t>»</w:t>
      </w:r>
      <w:r w:rsidRPr="00733DDA">
        <w:rPr>
          <w:rFonts w:ascii="Arial" w:eastAsia="Times New Roman" w:hAnsi="Arial" w:cs="Arial"/>
          <w:sz w:val="22"/>
          <w:lang w:val="es-CO" w:eastAsia="x-none"/>
        </w:rPr>
        <w:t xml:space="preserve">, precisando el Consejo de Estado </w:t>
      </w:r>
      <w:r w:rsidR="00856B57" w:rsidRPr="00733DDA">
        <w:rPr>
          <w:rFonts w:ascii="Arial" w:eastAsia="Times New Roman" w:hAnsi="Arial" w:cs="Arial"/>
          <w:sz w:val="22"/>
          <w:lang w:val="es-CO" w:eastAsia="x-none"/>
        </w:rPr>
        <w:t>–</w:t>
      </w:r>
      <w:r w:rsidRPr="00733DDA">
        <w:rPr>
          <w:rFonts w:ascii="Arial" w:eastAsia="Times New Roman" w:hAnsi="Arial" w:cs="Arial"/>
          <w:sz w:val="22"/>
          <w:lang w:val="es-CO" w:eastAsia="x-none"/>
        </w:rPr>
        <w:t>en el concepto citado</w:t>
      </w:r>
      <w:r w:rsidR="00856B57" w:rsidRPr="00733DDA">
        <w:rPr>
          <w:rFonts w:ascii="Arial" w:eastAsia="Times New Roman" w:hAnsi="Arial" w:cs="Arial"/>
          <w:sz w:val="22"/>
          <w:lang w:val="es-CO" w:eastAsia="x-none"/>
        </w:rPr>
        <w:t>–</w:t>
      </w:r>
      <w:r w:rsidRPr="00733DDA">
        <w:rPr>
          <w:rFonts w:ascii="Arial" w:eastAsia="Times New Roman" w:hAnsi="Arial" w:cs="Arial"/>
          <w:sz w:val="22"/>
          <w:lang w:val="es-CO" w:eastAsia="x-none"/>
        </w:rPr>
        <w:t xml:space="preserve"> que, «aun cuando no coincide única y exactamente con la regulación que de dicho sistema de selección hace el artículo 2º de la Ley 1150 de 2007, tampoco puede afirmarse que sea cualquier procedimiento de contratación distinto de la licitación pública</w:t>
      </w:r>
      <w:r w:rsidR="00EA123F" w:rsidRPr="00733DDA">
        <w:rPr>
          <w:rFonts w:ascii="Arial" w:eastAsia="Times New Roman" w:hAnsi="Arial" w:cs="Arial"/>
          <w:sz w:val="22"/>
          <w:lang w:val="es-CO" w:eastAsia="x-none"/>
        </w:rPr>
        <w:t>. Lo anterior</w:t>
      </w:r>
      <w:r w:rsidRPr="00733DDA">
        <w:rPr>
          <w:rFonts w:ascii="Arial" w:eastAsia="Times New Roman" w:hAnsi="Arial" w:cs="Arial"/>
          <w:sz w:val="22"/>
          <w:lang w:val="es-CO" w:eastAsia="x-none"/>
        </w:rPr>
        <w:t xml:space="preserve"> sería tanto como desconocer que el legislador, no solo en el Estatuto General de la Contratación de la </w:t>
      </w:r>
      <w:r w:rsidRPr="00733DDA">
        <w:rPr>
          <w:rFonts w:ascii="Arial" w:eastAsia="Times New Roman" w:hAnsi="Arial" w:cs="Arial"/>
          <w:sz w:val="22"/>
          <w:lang w:val="es-CO" w:eastAsia="x-none"/>
        </w:rPr>
        <w:lastRenderedPageBreak/>
        <w:t>Administración Pública, sino también en leyes especiales e, incluso, en el derecho privado</w:t>
      </w:r>
      <w:r w:rsidRPr="00733DDA">
        <w:rPr>
          <w:rFonts w:ascii="Arial" w:eastAsia="Times New Roman" w:hAnsi="Arial" w:cs="Arial"/>
          <w:sz w:val="22"/>
          <w:vertAlign w:val="superscript"/>
          <w:lang w:val="en-GB" w:eastAsia="x-none"/>
        </w:rPr>
        <w:footnoteReference w:id="15"/>
      </w:r>
      <w:r w:rsidRPr="00733DDA">
        <w:rPr>
          <w:rFonts w:ascii="Arial" w:eastAsia="Times New Roman" w:hAnsi="Arial" w:cs="Arial"/>
          <w:sz w:val="22"/>
          <w:lang w:val="es-CO" w:eastAsia="x-none"/>
        </w:rPr>
        <w:t>, han establecido sistemas de contratación que implican convocatoria pública y participación de varios oferentes</w:t>
      </w:r>
      <w:r w:rsidRPr="00733DDA">
        <w:rPr>
          <w:rFonts w:ascii="Arial" w:eastAsia="Times New Roman" w:hAnsi="Arial" w:cs="Arial"/>
          <w:sz w:val="22"/>
          <w:lang w:val="es-CO" w:eastAsia="en-GB"/>
        </w:rPr>
        <w:t>»</w:t>
      </w:r>
      <w:r w:rsidRPr="00733DDA">
        <w:rPr>
          <w:rFonts w:ascii="Arial" w:eastAsia="Times New Roman" w:hAnsi="Arial" w:cs="Arial"/>
          <w:sz w:val="22"/>
          <w:lang w:val="es-CO" w:eastAsia="x-none"/>
        </w:rPr>
        <w:t xml:space="preserve">. </w:t>
      </w:r>
    </w:p>
    <w:p w14:paraId="53C28641" w14:textId="46409A62" w:rsidR="006C6A3B" w:rsidRPr="00733DDA" w:rsidRDefault="00F61159" w:rsidP="00E7700C">
      <w:pPr>
        <w:spacing w:after="120"/>
        <w:ind w:firstLine="708"/>
        <w:rPr>
          <w:rFonts w:ascii="Arial" w:eastAsia="Times New Roman" w:hAnsi="Arial" w:cs="Arial"/>
          <w:bCs/>
          <w:sz w:val="22"/>
          <w:lang w:eastAsia="es-CO"/>
        </w:rPr>
      </w:pPr>
      <w:r w:rsidRPr="00733DDA">
        <w:rPr>
          <w:rFonts w:ascii="Arial" w:eastAsia="Times New Roman" w:hAnsi="Arial" w:cs="Arial"/>
          <w:bCs/>
          <w:sz w:val="22"/>
          <w:lang w:eastAsia="x-none"/>
        </w:rPr>
        <w:t>E</w:t>
      </w:r>
      <w:r w:rsidR="008C6B51" w:rsidRPr="00733DDA">
        <w:rPr>
          <w:rFonts w:ascii="Arial" w:eastAsia="Times New Roman" w:hAnsi="Arial" w:cs="Arial"/>
          <w:sz w:val="22"/>
          <w:lang w:val="es-CO" w:eastAsia="x-none"/>
        </w:rPr>
        <w:t xml:space="preserve">n efecto, vale la pena mencionar que, </w:t>
      </w:r>
      <w:bookmarkStart w:id="28" w:name="_Hlk75636073"/>
      <w:r w:rsidR="008C6B51" w:rsidRPr="00733DDA">
        <w:rPr>
          <w:rFonts w:ascii="Arial" w:eastAsia="Times New Roman" w:hAnsi="Arial" w:cs="Arial"/>
          <w:sz w:val="22"/>
          <w:lang w:val="es-CO" w:eastAsia="x-none"/>
        </w:rPr>
        <w:t>en algunos sistemas de contratación, utilizados por entidades públicas con regímenes especiales, o sujetas al derecho privado, la convocatoria o invitación para contratar puede limitarse a aquellas personas que previamente se hayan inscrito en una lista de precalificados o de simples interesados, o en un determinado registro o banco de datos de proveedores. En estos casos, lo determinante para considerar que dicho sistema no constituye «contratación directa», es que la convocatoria para inscribirse en forma previa se haga de manera pública, y que se permita la participación de una pluralidad de oferentes</w:t>
      </w:r>
      <w:bookmarkEnd w:id="28"/>
      <w:r w:rsidR="008C6B51" w:rsidRPr="00733DDA">
        <w:rPr>
          <w:rFonts w:ascii="Arial" w:eastAsia="Times New Roman" w:hAnsi="Arial" w:cs="Arial"/>
          <w:sz w:val="22"/>
          <w:vertAlign w:val="superscript"/>
          <w:lang w:val="es-CO" w:eastAsia="x-none"/>
        </w:rPr>
        <w:footnoteReference w:id="16"/>
      </w:r>
      <w:r w:rsidR="008C6B51" w:rsidRPr="00733DDA">
        <w:rPr>
          <w:rFonts w:ascii="Arial" w:eastAsia="Times New Roman" w:hAnsi="Arial" w:cs="Arial"/>
          <w:sz w:val="22"/>
          <w:lang w:val="es-CO" w:eastAsia="x-none"/>
        </w:rPr>
        <w:t xml:space="preserve">. </w:t>
      </w:r>
    </w:p>
    <w:p w14:paraId="260E30ED" w14:textId="7E3BBE15" w:rsidR="006C6A3B" w:rsidRPr="00733DDA" w:rsidRDefault="006C6A3B" w:rsidP="00E7700C">
      <w:pPr>
        <w:spacing w:after="120"/>
        <w:ind w:firstLine="708"/>
        <w:rPr>
          <w:rFonts w:ascii="Arial" w:eastAsia="Times New Roman" w:hAnsi="Arial" w:cs="Arial"/>
          <w:bCs/>
          <w:sz w:val="22"/>
          <w:lang w:eastAsia="es-CO"/>
        </w:rPr>
      </w:pPr>
      <w:r w:rsidRPr="00733DDA">
        <w:rPr>
          <w:rFonts w:ascii="Arial" w:eastAsia="Times New Roman" w:hAnsi="Arial" w:cs="Arial"/>
          <w:bCs/>
          <w:sz w:val="22"/>
          <w:lang w:eastAsia="es-CO"/>
        </w:rPr>
        <w:t>Como se advierte de lo anterior, el Consejo de Estado realiza una interpretación amplia de la contratación directa, para efectos de aplicar las restricciones establecidas en la Ley de Garantías, al señalar que no solo aplica frente a las entidades sometidas al Estatuto general de Contratación de la Administración Pública, sino también frente a las entidades que tengan un régimen especial de contratación. No obstante, también se observa que luego de la expedición de Ley 1150 de 2007, el Consejo de Estado comenzó a delimitar con mayor precisión el término de «contratación directa»</w:t>
      </w:r>
      <w:r w:rsidR="00326A5D" w:rsidRPr="00733DDA">
        <w:rPr>
          <w:rFonts w:ascii="Arial" w:eastAsia="Times New Roman" w:hAnsi="Arial" w:cs="Arial"/>
          <w:bCs/>
          <w:sz w:val="22"/>
          <w:lang w:eastAsia="es-CO"/>
        </w:rPr>
        <w:t>.</w:t>
      </w:r>
    </w:p>
    <w:p w14:paraId="0C03ED6F" w14:textId="4A8EF358" w:rsidR="006C6A3B" w:rsidRPr="00733DDA" w:rsidRDefault="00856B57" w:rsidP="00E7700C">
      <w:pPr>
        <w:spacing w:after="120"/>
        <w:ind w:firstLine="708"/>
        <w:rPr>
          <w:rFonts w:ascii="Arial" w:eastAsia="Times New Roman" w:hAnsi="Arial" w:cs="Arial"/>
          <w:bCs/>
          <w:sz w:val="22"/>
          <w:lang w:eastAsia="x-none"/>
        </w:rPr>
      </w:pPr>
      <w:bookmarkStart w:id="29" w:name="_Hlk78818796"/>
      <w:r w:rsidRPr="00733DDA">
        <w:rPr>
          <w:rFonts w:ascii="Arial" w:eastAsia="Times New Roman" w:hAnsi="Arial" w:cs="Arial"/>
          <w:bCs/>
          <w:sz w:val="22"/>
          <w:lang w:eastAsia="x-none"/>
        </w:rPr>
        <w:t xml:space="preserve"> </w:t>
      </w:r>
      <w:r w:rsidR="00DB61B2" w:rsidRPr="00733DDA">
        <w:rPr>
          <w:rFonts w:ascii="Arial" w:eastAsia="Times New Roman" w:hAnsi="Arial" w:cs="Arial"/>
          <w:bCs/>
          <w:sz w:val="22"/>
          <w:lang w:eastAsia="x-none"/>
        </w:rPr>
        <w:t xml:space="preserve">Así las cosas, ha de entenderse que, para los efectos de la Ley de Garantías Electorales y, en particular, para la prohibición o restricción temporal contenida en su artículo 33, «contratación directa» </w:t>
      </w:r>
      <w:r w:rsidR="008700C1" w:rsidRPr="00733DDA">
        <w:rPr>
          <w:rFonts w:ascii="Arial" w:eastAsia="Times New Roman" w:hAnsi="Arial" w:cs="Arial"/>
          <w:bCs/>
          <w:sz w:val="22"/>
          <w:lang w:eastAsia="x-none"/>
        </w:rPr>
        <w:t xml:space="preserve">es </w:t>
      </w:r>
      <w:r w:rsidR="00DB61B2" w:rsidRPr="00733DDA">
        <w:rPr>
          <w:rFonts w:ascii="Arial" w:eastAsia="Times New Roman" w:hAnsi="Arial" w:cs="Arial"/>
          <w:bCs/>
          <w:i/>
          <w:iCs/>
          <w:sz w:val="22"/>
          <w:lang w:eastAsia="x-none"/>
        </w:rPr>
        <w:t>cualquier sistema de selección o procedimiento de contratación</w:t>
      </w:r>
      <w:r w:rsidR="006C6A3B" w:rsidRPr="00733DDA">
        <w:rPr>
          <w:rFonts w:ascii="Arial" w:eastAsia="Times New Roman" w:hAnsi="Arial" w:cs="Arial"/>
          <w:bCs/>
          <w:i/>
          <w:iCs/>
          <w:sz w:val="22"/>
          <w:lang w:eastAsia="x-none"/>
        </w:rPr>
        <w:t xml:space="preserve"> </w:t>
      </w:r>
      <w:r w:rsidR="00DB61B2" w:rsidRPr="00733DDA">
        <w:rPr>
          <w:rFonts w:ascii="Arial" w:eastAsia="Times New Roman" w:hAnsi="Arial" w:cs="Arial"/>
          <w:bCs/>
          <w:i/>
          <w:iCs/>
          <w:sz w:val="22"/>
          <w:lang w:eastAsia="x-none"/>
        </w:rPr>
        <w:t>utilizado por las entidades estatales que no incluya la convocatoria pública en alguna de sus etapas</w:t>
      </w:r>
      <w:r w:rsidR="00DB61B2" w:rsidRPr="00733DDA">
        <w:rPr>
          <w:rFonts w:ascii="Arial" w:eastAsia="Times New Roman" w:hAnsi="Arial" w:cs="Arial"/>
          <w:bCs/>
          <w:sz w:val="22"/>
          <w:lang w:eastAsia="x-none"/>
        </w:rPr>
        <w:t>, ni permita la participación de una pluralidad de oferentes</w:t>
      </w:r>
      <w:r w:rsidR="00F61159" w:rsidRPr="00733DDA">
        <w:rPr>
          <w:rFonts w:ascii="Arial" w:eastAsia="Times New Roman" w:hAnsi="Arial" w:cs="Arial"/>
          <w:sz w:val="22"/>
          <w:vertAlign w:val="superscript"/>
          <w:lang w:val="es-CO" w:eastAsia="x-none"/>
        </w:rPr>
        <w:footnoteReference w:id="17"/>
      </w:r>
      <w:r w:rsidR="0052446F" w:rsidRPr="00733DDA">
        <w:rPr>
          <w:rFonts w:ascii="Arial" w:eastAsia="Times New Roman" w:hAnsi="Arial" w:cs="Arial"/>
          <w:bCs/>
          <w:sz w:val="22"/>
          <w:lang w:eastAsia="x-none"/>
        </w:rPr>
        <w:t>.</w:t>
      </w:r>
      <w:r w:rsidR="00F61159" w:rsidRPr="00733DDA">
        <w:rPr>
          <w:rFonts w:ascii="Arial" w:eastAsia="Times New Roman" w:hAnsi="Arial" w:cs="Arial"/>
          <w:sz w:val="22"/>
          <w:vertAlign w:val="superscript"/>
          <w:lang w:val="es-CO" w:eastAsia="x-none"/>
        </w:rPr>
        <w:t xml:space="preserve"> </w:t>
      </w:r>
    </w:p>
    <w:bookmarkEnd w:id="29"/>
    <w:p w14:paraId="0B41E164" w14:textId="31952722" w:rsidR="00843F7A" w:rsidRPr="00733DDA" w:rsidRDefault="00F61159" w:rsidP="00E7700C">
      <w:pPr>
        <w:spacing w:after="120"/>
        <w:ind w:firstLine="708"/>
        <w:rPr>
          <w:rFonts w:ascii="Arial" w:eastAsia="Times New Roman" w:hAnsi="Arial" w:cs="Arial"/>
          <w:sz w:val="22"/>
          <w:lang w:val="es-CO" w:eastAsia="x-none"/>
        </w:rPr>
      </w:pPr>
      <w:r w:rsidRPr="00733DDA">
        <w:rPr>
          <w:rFonts w:ascii="Arial" w:eastAsia="Times New Roman" w:hAnsi="Arial" w:cs="Arial"/>
          <w:bCs/>
          <w:sz w:val="22"/>
          <w:lang w:eastAsia="x-none"/>
        </w:rPr>
        <w:t>De lo anterior se desp</w:t>
      </w:r>
      <w:r w:rsidR="0011730D" w:rsidRPr="00733DDA">
        <w:rPr>
          <w:rFonts w:ascii="Arial" w:eastAsia="Times New Roman" w:hAnsi="Arial" w:cs="Arial"/>
          <w:bCs/>
          <w:sz w:val="22"/>
          <w:lang w:eastAsia="x-none"/>
        </w:rPr>
        <w:t>r</w:t>
      </w:r>
      <w:r w:rsidRPr="00733DDA">
        <w:rPr>
          <w:rFonts w:ascii="Arial" w:eastAsia="Times New Roman" w:hAnsi="Arial" w:cs="Arial"/>
          <w:bCs/>
          <w:sz w:val="22"/>
          <w:lang w:eastAsia="x-none"/>
        </w:rPr>
        <w:t xml:space="preserve">ende que la restricción aplica, sin perjuicio de las excepciones establecidas en la misma ley, para celebrar cualquier contrato de forma </w:t>
      </w:r>
      <w:r w:rsidRPr="00733DDA">
        <w:rPr>
          <w:rFonts w:ascii="Arial" w:eastAsia="Times New Roman" w:hAnsi="Arial" w:cs="Arial"/>
          <w:bCs/>
          <w:sz w:val="22"/>
          <w:lang w:eastAsia="x-none"/>
        </w:rPr>
        <w:lastRenderedPageBreak/>
        <w:t>directa, esto es, sin que exista un proceso abierto y competitivo.</w:t>
      </w:r>
      <w:r w:rsidR="006C6A3B" w:rsidRPr="00733DDA">
        <w:rPr>
          <w:rFonts w:ascii="Arial" w:eastAsia="Times New Roman" w:hAnsi="Arial" w:cs="Arial"/>
          <w:sz w:val="22"/>
          <w:lang w:val="es-CO" w:eastAsia="x-none"/>
        </w:rPr>
        <w:t xml:space="preserve"> Por tanto, no son materia de la prohibición las demás modalidades de selección previstas en la Ley 1150 de 2007, es decir, la licitación pública, el concurso de méritos y la selección abreviada, razón por la cual en ese per</w:t>
      </w:r>
      <w:r w:rsidR="00326A5D" w:rsidRPr="00733DDA">
        <w:rPr>
          <w:rFonts w:ascii="Arial" w:eastAsia="Times New Roman" w:hAnsi="Arial" w:cs="Arial"/>
          <w:sz w:val="22"/>
          <w:lang w:val="es-CO" w:eastAsia="x-none"/>
        </w:rPr>
        <w:t>í</w:t>
      </w:r>
      <w:r w:rsidR="006C6A3B" w:rsidRPr="00733DDA">
        <w:rPr>
          <w:rFonts w:ascii="Arial" w:eastAsia="Times New Roman" w:hAnsi="Arial" w:cs="Arial"/>
          <w:sz w:val="22"/>
          <w:lang w:val="es-CO" w:eastAsia="x-none"/>
        </w:rPr>
        <w:t>odo preelectoral de que trata la disposición pueden las entidades públicas seguir contratando bajo estos sistemas.</w:t>
      </w:r>
    </w:p>
    <w:p w14:paraId="13CCFE79" w14:textId="4E0D0864" w:rsidR="00F61159" w:rsidRPr="00733DDA" w:rsidRDefault="00843F7A" w:rsidP="00E7700C">
      <w:pPr>
        <w:spacing w:after="120"/>
        <w:ind w:firstLine="708"/>
        <w:rPr>
          <w:rFonts w:ascii="Arial" w:eastAsia="Times New Roman" w:hAnsi="Arial" w:cs="Arial"/>
          <w:bCs/>
          <w:sz w:val="22"/>
          <w:lang w:eastAsia="es-CO"/>
        </w:rPr>
      </w:pPr>
      <w:bookmarkStart w:id="30" w:name="_Hlk77237094"/>
      <w:r w:rsidRPr="00733DDA">
        <w:rPr>
          <w:rFonts w:ascii="Arial" w:eastAsia="Times New Roman" w:hAnsi="Arial" w:cs="Arial"/>
          <w:bCs/>
          <w:sz w:val="22"/>
          <w:lang w:eastAsia="es-CO"/>
        </w:rPr>
        <w:t>Como en otras oportunidades lo ha manifestado esta Agencia</w:t>
      </w:r>
      <w:r w:rsidR="00856B57" w:rsidRPr="00733DDA">
        <w:rPr>
          <w:rFonts w:ascii="Arial" w:eastAsia="Times New Roman" w:hAnsi="Arial" w:cs="Arial"/>
          <w:bCs/>
          <w:sz w:val="22"/>
          <w:lang w:eastAsia="es-CO"/>
        </w:rPr>
        <w:t>,</w:t>
      </w:r>
      <w:r w:rsidRPr="00733DDA">
        <w:rPr>
          <w:rFonts w:ascii="Arial" w:eastAsia="Times New Roman" w:hAnsi="Arial" w:cs="Arial"/>
          <w:bCs/>
          <w:sz w:val="22"/>
          <w:lang w:eastAsia="es-CO"/>
        </w:rPr>
        <w:t xml:space="preserve"> las prórrogas, modificaciones o adiciones de los contratos suscritos antes de la </w:t>
      </w:r>
      <w:proofErr w:type="gramStart"/>
      <w:r w:rsidRPr="00733DDA">
        <w:rPr>
          <w:rFonts w:ascii="Arial" w:eastAsia="Times New Roman" w:hAnsi="Arial" w:cs="Arial"/>
          <w:bCs/>
          <w:sz w:val="22"/>
          <w:lang w:eastAsia="es-CO"/>
        </w:rPr>
        <w:t>entrada en vigencia</w:t>
      </w:r>
      <w:proofErr w:type="gramEnd"/>
      <w:r w:rsidRPr="00733DDA">
        <w:rPr>
          <w:rFonts w:ascii="Arial" w:eastAsia="Times New Roman" w:hAnsi="Arial" w:cs="Arial"/>
          <w:bCs/>
          <w:sz w:val="22"/>
          <w:lang w:eastAsia="es-CO"/>
        </w:rPr>
        <w:t xml:space="preserve"> de las prohibiciones anotadas, así como la cesión de los mismos, pueden tener lugar en el período de aplicación de la Ley de Garantías, sin que ello haga nugatoria la restricción de la contratación directa y siempre que cumplan los principios de planeación, transparencia y responsabilidad.</w:t>
      </w:r>
      <w:bookmarkEnd w:id="30"/>
    </w:p>
    <w:p w14:paraId="6507B313" w14:textId="0B7CF14F" w:rsidR="00E97690" w:rsidRPr="00733DDA" w:rsidRDefault="00E97690" w:rsidP="00E7700C">
      <w:pPr>
        <w:spacing w:after="120"/>
        <w:ind w:firstLine="708"/>
        <w:rPr>
          <w:rFonts w:ascii="Arial" w:eastAsia="Times New Roman" w:hAnsi="Arial" w:cs="Arial"/>
          <w:bCs/>
          <w:sz w:val="22"/>
          <w:lang w:eastAsia="x-none"/>
        </w:rPr>
      </w:pPr>
      <w:r w:rsidRPr="00733DDA">
        <w:rPr>
          <w:rFonts w:ascii="Arial" w:eastAsia="Times New Roman" w:hAnsi="Arial" w:cs="Arial"/>
          <w:bCs/>
          <w:sz w:val="22"/>
          <w:lang w:eastAsia="es-CO"/>
        </w:rPr>
        <w:t xml:space="preserve">Para estos efectos, lo importante es que el contrato se haya perfeccionado antes del </w:t>
      </w:r>
      <w:r w:rsidR="009A4092" w:rsidRPr="00733DDA">
        <w:rPr>
          <w:rFonts w:ascii="Arial" w:eastAsia="Times New Roman" w:hAnsi="Arial" w:cs="Arial"/>
          <w:bCs/>
          <w:sz w:val="22"/>
          <w:lang w:eastAsia="es-CO"/>
        </w:rPr>
        <w:t xml:space="preserve">inicio de la prohibición. Al respecto, el numeral 5.6 de la Circular Externa Única de Colombia Compra Eficiente explica que «La realización del registro presupuestal y la aprobación de la garantía se pueden realizar con posterioridad a la entrada en vigor de la Ley de Garantías por ser requisitos de ejecución del contrato, pero no requeridos para su perfeccionamiento». </w:t>
      </w:r>
      <w:r w:rsidR="00F12F55" w:rsidRPr="00733DDA">
        <w:rPr>
          <w:rFonts w:ascii="Arial" w:eastAsia="Times New Roman" w:hAnsi="Arial" w:cs="Arial"/>
          <w:bCs/>
          <w:sz w:val="22"/>
          <w:lang w:eastAsia="es-CO"/>
        </w:rPr>
        <w:t xml:space="preserve">Por ello, también es posible que el contrato se ejecute durante la vigencia de la prohibición, siempre que el negocio jurídico se haya suscrito antes de que </w:t>
      </w:r>
      <w:r w:rsidR="00BE156B" w:rsidRPr="00733DDA">
        <w:rPr>
          <w:rFonts w:ascii="Arial" w:eastAsia="Times New Roman" w:hAnsi="Arial" w:cs="Arial"/>
          <w:bCs/>
          <w:sz w:val="22"/>
          <w:lang w:eastAsia="es-CO"/>
        </w:rPr>
        <w:t xml:space="preserve">comience </w:t>
      </w:r>
      <w:r w:rsidR="00E24102" w:rsidRPr="00733DDA">
        <w:rPr>
          <w:rFonts w:ascii="Arial" w:eastAsia="Times New Roman" w:hAnsi="Arial" w:cs="Arial"/>
          <w:bCs/>
          <w:sz w:val="22"/>
          <w:lang w:eastAsia="es-CO"/>
        </w:rPr>
        <w:t>la restricción</w:t>
      </w:r>
      <w:r w:rsidR="00BE156B" w:rsidRPr="00733DDA">
        <w:rPr>
          <w:rFonts w:ascii="Arial" w:eastAsia="Times New Roman" w:hAnsi="Arial" w:cs="Arial"/>
          <w:bCs/>
          <w:sz w:val="22"/>
          <w:lang w:eastAsia="es-CO"/>
        </w:rPr>
        <w:t>.</w:t>
      </w:r>
      <w:r w:rsidR="00F12F55" w:rsidRPr="00733DDA">
        <w:rPr>
          <w:rFonts w:ascii="Arial" w:eastAsia="Times New Roman" w:hAnsi="Arial" w:cs="Arial"/>
          <w:bCs/>
          <w:sz w:val="22"/>
          <w:lang w:eastAsia="es-CO"/>
        </w:rPr>
        <w:t xml:space="preserve"> </w:t>
      </w:r>
    </w:p>
    <w:p w14:paraId="07FCD97F" w14:textId="1217BFF4" w:rsidR="00452BCB" w:rsidRPr="00733DDA" w:rsidRDefault="00402FD5" w:rsidP="00E7700C">
      <w:pPr>
        <w:spacing w:after="120"/>
        <w:ind w:firstLine="708"/>
        <w:rPr>
          <w:rFonts w:ascii="Arial" w:eastAsia="Times New Roman" w:hAnsi="Arial" w:cs="Arial"/>
          <w:bCs/>
          <w:sz w:val="22"/>
          <w:lang w:eastAsia="es-CO"/>
        </w:rPr>
      </w:pPr>
      <w:r w:rsidRPr="00733DDA">
        <w:rPr>
          <w:rFonts w:ascii="Arial" w:eastAsia="Times New Roman" w:hAnsi="Arial" w:cs="Arial"/>
          <w:bCs/>
          <w:sz w:val="22"/>
          <w:lang w:eastAsia="x-none"/>
        </w:rPr>
        <w:t>De otro lado, las excepciones a la restricción prevista en la Ley de Garantías, con fundamento en las cuales podrán las entidades públicas adelantar procedimientos de selección directa en per</w:t>
      </w:r>
      <w:r w:rsidR="00326A5D" w:rsidRPr="00733DDA">
        <w:rPr>
          <w:rFonts w:ascii="Arial" w:eastAsia="Times New Roman" w:hAnsi="Arial" w:cs="Arial"/>
          <w:bCs/>
          <w:sz w:val="22"/>
          <w:lang w:eastAsia="x-none"/>
        </w:rPr>
        <w:t>í</w:t>
      </w:r>
      <w:r w:rsidRPr="00733DDA">
        <w:rPr>
          <w:rFonts w:ascii="Arial" w:eastAsia="Times New Roman" w:hAnsi="Arial" w:cs="Arial"/>
          <w:bCs/>
          <w:sz w:val="22"/>
          <w:lang w:eastAsia="x-none"/>
        </w:rPr>
        <w:t xml:space="preserve">odos previos a la contienda electoral por la Presidencia, se encuentran consagradas de manera taxativa en el inciso final del citado artículo 33 de la Ley 996 de 2005 en lo referente a i) la defensa y seguridad del Estado; </w:t>
      </w:r>
      <w:proofErr w:type="spellStart"/>
      <w:r w:rsidRPr="00733DDA">
        <w:rPr>
          <w:rFonts w:ascii="Arial" w:eastAsia="Times New Roman" w:hAnsi="Arial" w:cs="Arial"/>
          <w:bCs/>
          <w:sz w:val="22"/>
          <w:lang w:eastAsia="x-none"/>
        </w:rPr>
        <w:t>ii</w:t>
      </w:r>
      <w:proofErr w:type="spellEnd"/>
      <w:r w:rsidRPr="00733DDA">
        <w:rPr>
          <w:rFonts w:ascii="Arial" w:eastAsia="Times New Roman" w:hAnsi="Arial" w:cs="Arial"/>
          <w:bCs/>
          <w:sz w:val="22"/>
          <w:lang w:eastAsia="x-none"/>
        </w:rPr>
        <w:t xml:space="preserve">) los contratos de crédito público; </w:t>
      </w:r>
      <w:proofErr w:type="spellStart"/>
      <w:r w:rsidRPr="00733DDA">
        <w:rPr>
          <w:rFonts w:ascii="Arial" w:eastAsia="Times New Roman" w:hAnsi="Arial" w:cs="Arial"/>
          <w:bCs/>
          <w:sz w:val="22"/>
          <w:lang w:eastAsia="x-none"/>
        </w:rPr>
        <w:t>iii</w:t>
      </w:r>
      <w:proofErr w:type="spellEnd"/>
      <w:r w:rsidRPr="00733DDA">
        <w:rPr>
          <w:rFonts w:ascii="Arial" w:eastAsia="Times New Roman" w:hAnsi="Arial" w:cs="Arial"/>
          <w:bCs/>
          <w:sz w:val="22"/>
          <w:lang w:eastAsia="x-none"/>
        </w:rPr>
        <w:t xml:space="preserve">) los requeridos para cubrir las emergencias educativas, sanitarias y desastres; </w:t>
      </w:r>
      <w:proofErr w:type="spellStart"/>
      <w:r w:rsidRPr="00733DDA">
        <w:rPr>
          <w:rFonts w:ascii="Arial" w:eastAsia="Times New Roman" w:hAnsi="Arial" w:cs="Arial"/>
          <w:bCs/>
          <w:sz w:val="22"/>
          <w:lang w:eastAsia="x-none"/>
        </w:rPr>
        <w:t>iv</w:t>
      </w:r>
      <w:proofErr w:type="spellEnd"/>
      <w:r w:rsidRPr="00733DDA">
        <w:rPr>
          <w:rFonts w:ascii="Arial" w:eastAsia="Times New Roman" w:hAnsi="Arial" w:cs="Arial"/>
          <w:bCs/>
          <w:sz w:val="22"/>
          <w:lang w:eastAsia="x-none"/>
        </w:rPr>
        <w:t>)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w:t>
      </w:r>
      <w:r w:rsidR="00856B57" w:rsidRPr="00733DDA">
        <w:rPr>
          <w:rFonts w:ascii="Arial" w:eastAsia="Times New Roman" w:hAnsi="Arial" w:cs="Arial"/>
          <w:bCs/>
          <w:sz w:val="22"/>
          <w:lang w:eastAsia="es-CO"/>
        </w:rPr>
        <w:t xml:space="preserve"> </w:t>
      </w:r>
      <w:r w:rsidR="00452BCB" w:rsidRPr="00733DDA">
        <w:rPr>
          <w:rFonts w:ascii="Arial" w:eastAsia="Times New Roman" w:hAnsi="Arial" w:cs="Arial"/>
          <w:bCs/>
          <w:sz w:val="22"/>
          <w:lang w:eastAsia="es-CO"/>
        </w:rPr>
        <w:t xml:space="preserve">Es responsabilidad del respectivo ente del Estado, examinar en cada caso la naturaleza de las actividades que adelanta y determinar si las mismas se enmarcan en alguna de las </w:t>
      </w:r>
      <w:r w:rsidR="006C6A3B" w:rsidRPr="00733DDA">
        <w:rPr>
          <w:rFonts w:ascii="Arial" w:eastAsia="Times New Roman" w:hAnsi="Arial" w:cs="Arial"/>
          <w:bCs/>
          <w:sz w:val="22"/>
          <w:lang w:eastAsia="es-CO"/>
        </w:rPr>
        <w:t xml:space="preserve">mencionadas </w:t>
      </w:r>
      <w:r w:rsidR="00452BCB" w:rsidRPr="00733DDA">
        <w:rPr>
          <w:rFonts w:ascii="Arial" w:eastAsia="Times New Roman" w:hAnsi="Arial" w:cs="Arial"/>
          <w:bCs/>
          <w:sz w:val="22"/>
          <w:lang w:eastAsia="es-CO"/>
        </w:rPr>
        <w:t xml:space="preserve">excepciones, de manera que se le permita realizar </w:t>
      </w:r>
      <w:r w:rsidR="00F23A10" w:rsidRPr="00733DDA">
        <w:rPr>
          <w:rFonts w:ascii="Arial" w:eastAsia="Times New Roman" w:hAnsi="Arial" w:cs="Arial"/>
          <w:bCs/>
          <w:sz w:val="22"/>
          <w:lang w:eastAsia="es-CO"/>
        </w:rPr>
        <w:t>la contratación</w:t>
      </w:r>
      <w:r w:rsidR="00452BCB" w:rsidRPr="00733DDA">
        <w:rPr>
          <w:rFonts w:ascii="Arial" w:eastAsia="Times New Roman" w:hAnsi="Arial" w:cs="Arial"/>
          <w:bCs/>
          <w:sz w:val="22"/>
          <w:lang w:eastAsia="es-CO"/>
        </w:rPr>
        <w:t xml:space="preserve"> que necesite en forma directa.</w:t>
      </w:r>
    </w:p>
    <w:p w14:paraId="1244CE42" w14:textId="3381626D" w:rsidR="00D37454" w:rsidRPr="00733DDA" w:rsidRDefault="001F1781" w:rsidP="00E7700C">
      <w:pPr>
        <w:spacing w:after="0"/>
        <w:ind w:firstLine="708"/>
        <w:rPr>
          <w:rFonts w:ascii="Arial" w:eastAsia="Times New Roman" w:hAnsi="Arial" w:cs="Arial"/>
          <w:bCs/>
          <w:sz w:val="22"/>
          <w:lang w:eastAsia="x-none"/>
        </w:rPr>
      </w:pPr>
      <w:r w:rsidRPr="00733DDA">
        <w:rPr>
          <w:rFonts w:ascii="Arial" w:eastAsia="Times New Roman" w:hAnsi="Arial" w:cs="Arial"/>
          <w:bCs/>
          <w:sz w:val="22"/>
          <w:lang w:eastAsia="x-none"/>
        </w:rPr>
        <w:t>En esta labor es importante tener en cuenta, como lo anotó l</w:t>
      </w:r>
      <w:r w:rsidR="00402FD5" w:rsidRPr="00733DDA">
        <w:rPr>
          <w:rFonts w:ascii="Arial" w:eastAsia="Times New Roman" w:hAnsi="Arial" w:cs="Arial"/>
          <w:bCs/>
          <w:sz w:val="22"/>
          <w:lang w:eastAsia="x-none"/>
        </w:rPr>
        <w:t xml:space="preserve">a Corte Constitucional, en </w:t>
      </w:r>
      <w:r w:rsidR="00856B57" w:rsidRPr="00733DDA">
        <w:rPr>
          <w:rFonts w:ascii="Arial" w:eastAsia="Times New Roman" w:hAnsi="Arial" w:cs="Arial"/>
          <w:bCs/>
          <w:sz w:val="22"/>
          <w:lang w:eastAsia="x-none"/>
        </w:rPr>
        <w:t>S</w:t>
      </w:r>
      <w:r w:rsidR="00402FD5" w:rsidRPr="00733DDA">
        <w:rPr>
          <w:rFonts w:ascii="Arial" w:eastAsia="Times New Roman" w:hAnsi="Arial" w:cs="Arial"/>
          <w:bCs/>
          <w:sz w:val="22"/>
          <w:lang w:eastAsia="x-none"/>
        </w:rPr>
        <w:t>entencia C-1153 de noviembre 11 de 2005</w:t>
      </w:r>
      <w:r w:rsidR="00402FD5" w:rsidRPr="00733DDA">
        <w:rPr>
          <w:rStyle w:val="Refdenotaalpie"/>
        </w:rPr>
        <w:t>,</w:t>
      </w:r>
      <w:r w:rsidR="00402FD5" w:rsidRPr="00733DDA">
        <w:rPr>
          <w:rFonts w:ascii="Arial" w:eastAsia="Times New Roman" w:hAnsi="Arial" w:cs="Arial"/>
          <w:bCs/>
          <w:sz w:val="22"/>
          <w:lang w:eastAsia="x-none"/>
        </w:rPr>
        <w:t xml:space="preserve"> </w:t>
      </w:r>
      <w:bookmarkStart w:id="31" w:name="_Hlk74309042"/>
      <w:r w:rsidRPr="00733DDA">
        <w:rPr>
          <w:rFonts w:ascii="Arial" w:eastAsia="Times New Roman" w:hAnsi="Arial" w:cs="Arial"/>
          <w:bCs/>
          <w:sz w:val="22"/>
          <w:lang w:eastAsia="x-none"/>
        </w:rPr>
        <w:t xml:space="preserve">que </w:t>
      </w:r>
      <w:r w:rsidR="00402FD5" w:rsidRPr="00733DDA">
        <w:rPr>
          <w:rFonts w:ascii="Arial" w:eastAsia="Times New Roman" w:hAnsi="Arial" w:cs="Arial"/>
          <w:bCs/>
          <w:sz w:val="22"/>
          <w:lang w:eastAsia="x-none"/>
        </w:rPr>
        <w:t>«</w:t>
      </w:r>
      <w:bookmarkEnd w:id="31"/>
      <w:r w:rsidR="00402FD5" w:rsidRPr="00733DDA">
        <w:rPr>
          <w:rFonts w:ascii="Arial" w:eastAsia="Times New Roman" w:hAnsi="Arial" w:cs="Arial"/>
          <w:bCs/>
          <w:sz w:val="22"/>
          <w:lang w:eastAsia="x-none"/>
        </w:rPr>
        <w:t xml:space="preserve">si bien la limitación garantiza la igualdad de condiciones, también es necesario que tal </w:t>
      </w:r>
      <w:r w:rsidR="00402FD5" w:rsidRPr="00733DDA">
        <w:rPr>
          <w:rFonts w:ascii="Arial" w:eastAsia="Times New Roman" w:hAnsi="Arial" w:cs="Arial"/>
          <w:bCs/>
          <w:sz w:val="22"/>
          <w:lang w:eastAsia="x-none"/>
        </w:rPr>
        <w:lastRenderedPageBreak/>
        <w:t xml:space="preserve">limitación que pretende la igualdad </w:t>
      </w:r>
      <w:bookmarkStart w:id="32" w:name="_Hlk75768308"/>
      <w:r w:rsidR="00402FD5" w:rsidRPr="00733DDA">
        <w:rPr>
          <w:rFonts w:ascii="Arial" w:eastAsia="Times New Roman" w:hAnsi="Arial" w:cs="Arial"/>
          <w:bCs/>
          <w:sz w:val="22"/>
          <w:lang w:eastAsia="x-none"/>
        </w:rPr>
        <w:t>no termine yendo en detrimento de intereses públicos</w:t>
      </w:r>
      <w:r w:rsidR="00195EDB" w:rsidRPr="00733DDA">
        <w:rPr>
          <w:rFonts w:ascii="Arial" w:eastAsia="Times New Roman" w:hAnsi="Arial" w:cs="Arial"/>
          <w:bCs/>
          <w:sz w:val="22"/>
          <w:lang w:eastAsia="x-none"/>
        </w:rPr>
        <w:t>,</w:t>
      </w:r>
      <w:r w:rsidR="00402FD5" w:rsidRPr="00733DDA">
        <w:rPr>
          <w:rFonts w:ascii="Arial" w:eastAsia="Times New Roman" w:hAnsi="Arial" w:cs="Arial"/>
          <w:bCs/>
          <w:sz w:val="22"/>
          <w:lang w:eastAsia="x-none"/>
        </w:rPr>
        <w:t xml:space="preserve"> cuya garantía está en cabeza del ejecutivo, como son los inmersos en las excepciones para la prohibición de contratación</w:t>
      </w:r>
      <w:bookmarkStart w:id="33" w:name="_Hlk74309060"/>
      <w:r w:rsidR="00402FD5" w:rsidRPr="00733DDA">
        <w:rPr>
          <w:rFonts w:ascii="Arial" w:eastAsia="Times New Roman" w:hAnsi="Arial" w:cs="Arial"/>
          <w:bCs/>
          <w:sz w:val="22"/>
          <w:lang w:eastAsia="x-none"/>
        </w:rPr>
        <w:t>»</w:t>
      </w:r>
      <w:bookmarkEnd w:id="33"/>
      <w:r w:rsidR="00856B57" w:rsidRPr="00733DDA">
        <w:rPr>
          <w:rStyle w:val="Refdenotaalpie"/>
          <w:rFonts w:ascii="Arial" w:hAnsi="Arial" w:cs="Arial"/>
          <w:sz w:val="22"/>
        </w:rPr>
        <w:footnoteReference w:id="18"/>
      </w:r>
      <w:r w:rsidR="00856B57" w:rsidRPr="00733DDA">
        <w:rPr>
          <w:rFonts w:ascii="Arial" w:eastAsia="Times New Roman" w:hAnsi="Arial" w:cs="Arial"/>
          <w:bCs/>
          <w:sz w:val="22"/>
          <w:lang w:eastAsia="x-none"/>
        </w:rPr>
        <w:t>.</w:t>
      </w:r>
      <w:r w:rsidR="00402FD5" w:rsidRPr="00733DDA">
        <w:rPr>
          <w:rFonts w:ascii="Arial" w:eastAsia="Times New Roman" w:hAnsi="Arial" w:cs="Arial"/>
          <w:bCs/>
          <w:sz w:val="22"/>
          <w:lang w:eastAsia="x-none"/>
        </w:rPr>
        <w:t xml:space="preserve"> De ahí que la Corte </w:t>
      </w:r>
      <w:r w:rsidR="00C611EF" w:rsidRPr="00733DDA">
        <w:rPr>
          <w:rFonts w:ascii="Arial" w:eastAsia="Times New Roman" w:hAnsi="Arial" w:cs="Arial"/>
          <w:bCs/>
          <w:sz w:val="22"/>
          <w:lang w:eastAsia="x-none"/>
        </w:rPr>
        <w:t>haya hecho particular énfasis</w:t>
      </w:r>
      <w:r w:rsidR="00402FD5" w:rsidRPr="00733DDA">
        <w:rPr>
          <w:rFonts w:ascii="Arial" w:eastAsia="Times New Roman" w:hAnsi="Arial" w:cs="Arial"/>
          <w:bCs/>
          <w:sz w:val="22"/>
          <w:lang w:eastAsia="x-none"/>
        </w:rPr>
        <w:t xml:space="preserve"> en que las excepciones a la restricción protegen diversos tipos de urgencias de defensa, salud, educación, infraestructura vial y de servicios públicos y ecológicas, que tienden a no limitar desproporcionadamente la acción del Estado en el cumplimiento de sus fines, en procura de la igualdad entre los candidatos como garantía electoral.</w:t>
      </w:r>
      <w:bookmarkStart w:id="34" w:name="_Hlk75783800"/>
      <w:bookmarkEnd w:id="32"/>
    </w:p>
    <w:p w14:paraId="23F83FE2" w14:textId="77777777" w:rsidR="00D37454" w:rsidRPr="00733DDA" w:rsidRDefault="00D37454" w:rsidP="00E7700C">
      <w:pPr>
        <w:spacing w:after="0"/>
        <w:ind w:firstLine="708"/>
        <w:rPr>
          <w:rFonts w:ascii="Arial" w:eastAsia="Times New Roman" w:hAnsi="Arial" w:cs="Arial"/>
          <w:bCs/>
          <w:sz w:val="22"/>
          <w:lang w:eastAsia="x-none"/>
        </w:rPr>
      </w:pPr>
    </w:p>
    <w:p w14:paraId="7AC8E0B3" w14:textId="0CDF3E90" w:rsidR="00767455" w:rsidRPr="00733DDA" w:rsidRDefault="00767455" w:rsidP="00E7700C">
      <w:pPr>
        <w:spacing w:after="0"/>
        <w:rPr>
          <w:rFonts w:ascii="Arial" w:eastAsia="Times New Roman" w:hAnsi="Arial" w:cs="Arial"/>
          <w:b/>
          <w:sz w:val="22"/>
          <w:lang w:eastAsia="x-none"/>
        </w:rPr>
      </w:pPr>
      <w:r w:rsidRPr="00733DDA">
        <w:rPr>
          <w:rFonts w:ascii="Arial" w:eastAsia="Times New Roman" w:hAnsi="Arial" w:cs="Arial"/>
          <w:b/>
          <w:sz w:val="22"/>
          <w:lang w:eastAsia="x-none"/>
        </w:rPr>
        <w:t>2.</w:t>
      </w:r>
      <w:r w:rsidR="004E638B" w:rsidRPr="00733DDA">
        <w:rPr>
          <w:rFonts w:ascii="Arial" w:eastAsia="Times New Roman" w:hAnsi="Arial" w:cs="Arial"/>
          <w:b/>
          <w:sz w:val="22"/>
          <w:lang w:eastAsia="x-none"/>
        </w:rPr>
        <w:t>3</w:t>
      </w:r>
      <w:r w:rsidRPr="00733DDA">
        <w:rPr>
          <w:rFonts w:ascii="Arial" w:eastAsia="Times New Roman" w:hAnsi="Arial" w:cs="Arial"/>
          <w:b/>
          <w:sz w:val="22"/>
          <w:lang w:eastAsia="x-none"/>
        </w:rPr>
        <w:t>.  Destinatarios de la restricción del art</w:t>
      </w:r>
      <w:r w:rsidR="006F514F" w:rsidRPr="00733DDA">
        <w:rPr>
          <w:rFonts w:ascii="Arial" w:eastAsia="Times New Roman" w:hAnsi="Arial" w:cs="Arial"/>
          <w:b/>
          <w:sz w:val="22"/>
          <w:lang w:eastAsia="x-none"/>
        </w:rPr>
        <w:t>í</w:t>
      </w:r>
      <w:r w:rsidRPr="00733DDA">
        <w:rPr>
          <w:rFonts w:ascii="Arial" w:eastAsia="Times New Roman" w:hAnsi="Arial" w:cs="Arial"/>
          <w:b/>
          <w:sz w:val="22"/>
          <w:lang w:eastAsia="x-none"/>
        </w:rPr>
        <w:t>culo 33 de la Ley 996 de 2005</w:t>
      </w:r>
    </w:p>
    <w:p w14:paraId="34C3C987" w14:textId="77777777" w:rsidR="00767455" w:rsidRPr="00733DDA" w:rsidRDefault="00767455" w:rsidP="00E7700C">
      <w:pPr>
        <w:spacing w:after="0"/>
        <w:rPr>
          <w:rFonts w:ascii="Arial" w:eastAsia="Times New Roman" w:hAnsi="Arial" w:cs="Arial"/>
          <w:bCs/>
          <w:sz w:val="22"/>
          <w:lang w:eastAsia="x-none"/>
        </w:rPr>
      </w:pPr>
    </w:p>
    <w:p w14:paraId="49BC6754" w14:textId="7645B39C" w:rsidR="001F1781" w:rsidRPr="00733DDA" w:rsidRDefault="00756E36" w:rsidP="00E7700C">
      <w:pPr>
        <w:spacing w:after="0"/>
        <w:rPr>
          <w:rFonts w:ascii="Arial" w:eastAsia="Times New Roman" w:hAnsi="Arial" w:cs="Arial"/>
          <w:bCs/>
          <w:sz w:val="22"/>
          <w:lang w:eastAsia="x-none"/>
        </w:rPr>
      </w:pPr>
      <w:bookmarkStart w:id="35" w:name="_Hlk93241699"/>
      <w:r w:rsidRPr="00733DDA">
        <w:rPr>
          <w:rFonts w:ascii="Arial" w:eastAsia="Times New Roman" w:hAnsi="Arial" w:cs="Arial"/>
          <w:bCs/>
          <w:sz w:val="22"/>
          <w:lang w:eastAsia="x-none"/>
        </w:rPr>
        <w:t>E</w:t>
      </w:r>
      <w:r w:rsidR="00940714" w:rsidRPr="00733DDA">
        <w:rPr>
          <w:rFonts w:ascii="Arial" w:eastAsia="Times New Roman" w:hAnsi="Arial" w:cs="Arial"/>
          <w:bCs/>
          <w:sz w:val="22"/>
          <w:lang w:eastAsia="x-none"/>
        </w:rPr>
        <w:t xml:space="preserve">l artículo 33 de la Ley 996 </w:t>
      </w:r>
      <w:r w:rsidR="0017528B" w:rsidRPr="00733DDA">
        <w:rPr>
          <w:rFonts w:ascii="Arial" w:eastAsia="Times New Roman" w:hAnsi="Arial" w:cs="Arial"/>
          <w:bCs/>
          <w:sz w:val="22"/>
          <w:lang w:eastAsia="x-none"/>
        </w:rPr>
        <w:t>de 2005 señala</w:t>
      </w:r>
      <w:r w:rsidR="00940714" w:rsidRPr="00733DDA">
        <w:rPr>
          <w:rFonts w:ascii="Arial" w:eastAsia="Times New Roman" w:hAnsi="Arial" w:cs="Arial"/>
          <w:bCs/>
          <w:sz w:val="22"/>
          <w:lang w:eastAsia="x-none"/>
        </w:rPr>
        <w:t xml:space="preserve"> expresa</w:t>
      </w:r>
      <w:r w:rsidR="0017528B" w:rsidRPr="00733DDA">
        <w:rPr>
          <w:rFonts w:ascii="Arial" w:eastAsia="Times New Roman" w:hAnsi="Arial" w:cs="Arial"/>
          <w:bCs/>
          <w:sz w:val="22"/>
          <w:lang w:eastAsia="x-none"/>
        </w:rPr>
        <w:t>mente</w:t>
      </w:r>
      <w:r w:rsidR="00940714" w:rsidRPr="00733DDA">
        <w:rPr>
          <w:rFonts w:ascii="Arial" w:eastAsia="Times New Roman" w:hAnsi="Arial" w:cs="Arial"/>
          <w:bCs/>
          <w:sz w:val="22"/>
          <w:lang w:eastAsia="x-none"/>
        </w:rPr>
        <w:t xml:space="preserve"> a los destinatarios de la prohibición, </w:t>
      </w:r>
      <w:r w:rsidR="0017528B" w:rsidRPr="00733DDA">
        <w:rPr>
          <w:rFonts w:ascii="Arial" w:eastAsia="Times New Roman" w:hAnsi="Arial" w:cs="Arial"/>
          <w:bCs/>
          <w:sz w:val="22"/>
          <w:lang w:eastAsia="x-none"/>
        </w:rPr>
        <w:t xml:space="preserve">en el sentido de </w:t>
      </w:r>
      <w:r w:rsidR="00940714" w:rsidRPr="00733DDA">
        <w:rPr>
          <w:rFonts w:ascii="Arial" w:eastAsia="Times New Roman" w:hAnsi="Arial" w:cs="Arial"/>
          <w:bCs/>
          <w:sz w:val="22"/>
          <w:lang w:eastAsia="x-none"/>
        </w:rPr>
        <w:t xml:space="preserve">que son </w:t>
      </w:r>
      <w:r w:rsidR="005E06A4" w:rsidRPr="00733DDA">
        <w:rPr>
          <w:rFonts w:ascii="Arial" w:eastAsia="Times New Roman" w:hAnsi="Arial" w:cs="Arial"/>
          <w:bCs/>
          <w:sz w:val="22"/>
          <w:lang w:eastAsia="x-none"/>
        </w:rPr>
        <w:t>«</w:t>
      </w:r>
      <w:r w:rsidR="00940714" w:rsidRPr="00733DDA">
        <w:rPr>
          <w:rFonts w:ascii="Arial" w:eastAsia="Times New Roman" w:hAnsi="Arial" w:cs="Arial"/>
          <w:bCs/>
          <w:sz w:val="22"/>
          <w:lang w:eastAsia="x-none"/>
        </w:rPr>
        <w:t>todos los entes del Estado</w:t>
      </w:r>
      <w:r w:rsidR="005E06A4" w:rsidRPr="00733DDA">
        <w:rPr>
          <w:rFonts w:ascii="Arial" w:eastAsia="Times New Roman" w:hAnsi="Arial" w:cs="Arial"/>
          <w:bCs/>
          <w:sz w:val="22"/>
          <w:lang w:eastAsia="x-none"/>
        </w:rPr>
        <w:t>»</w:t>
      </w:r>
      <w:r w:rsidR="0017528B" w:rsidRPr="00733DDA">
        <w:rPr>
          <w:rFonts w:ascii="Arial" w:eastAsia="Times New Roman" w:hAnsi="Arial" w:cs="Arial"/>
          <w:bCs/>
          <w:sz w:val="22"/>
          <w:lang w:eastAsia="x-none"/>
        </w:rPr>
        <w:t>,</w:t>
      </w:r>
      <w:r w:rsidR="00940714" w:rsidRPr="00733DDA">
        <w:rPr>
          <w:rFonts w:ascii="Arial" w:eastAsia="Times New Roman" w:hAnsi="Arial" w:cs="Arial"/>
          <w:bCs/>
          <w:sz w:val="22"/>
          <w:lang w:eastAsia="x-none"/>
        </w:rPr>
        <w:t xml:space="preserve"> expresión que </w:t>
      </w:r>
      <w:r w:rsidR="00182C6C" w:rsidRPr="00733DDA">
        <w:rPr>
          <w:rFonts w:ascii="Arial" w:eastAsia="Times New Roman" w:hAnsi="Arial" w:cs="Arial"/>
          <w:bCs/>
          <w:sz w:val="22"/>
          <w:lang w:eastAsia="x-none"/>
        </w:rPr>
        <w:t xml:space="preserve">contempla </w:t>
      </w:r>
      <w:r w:rsidR="00940714" w:rsidRPr="00733DDA">
        <w:rPr>
          <w:rFonts w:ascii="Arial" w:eastAsia="Times New Roman" w:hAnsi="Arial" w:cs="Arial"/>
          <w:bCs/>
          <w:sz w:val="22"/>
          <w:lang w:eastAsia="x-none"/>
        </w:rPr>
        <w:t>a los diferentes organismos o entidades autorizadas por la ley para suscribir contratos.</w:t>
      </w:r>
      <w:r w:rsidR="00195EDB" w:rsidRPr="00733DDA">
        <w:t xml:space="preserve"> </w:t>
      </w:r>
      <w:r w:rsidR="0011730D" w:rsidRPr="00733DDA">
        <w:rPr>
          <w:rFonts w:ascii="Arial" w:eastAsia="Times New Roman" w:hAnsi="Arial" w:cs="Arial"/>
          <w:bCs/>
          <w:sz w:val="22"/>
          <w:lang w:eastAsia="x-none"/>
        </w:rPr>
        <w:t>E</w:t>
      </w:r>
      <w:r w:rsidR="001F1781" w:rsidRPr="00733DDA">
        <w:rPr>
          <w:rFonts w:ascii="Arial" w:eastAsia="Times New Roman" w:hAnsi="Arial" w:cs="Arial"/>
          <w:bCs/>
          <w:sz w:val="22"/>
          <w:lang w:eastAsia="x-none"/>
        </w:rPr>
        <w:t>n efecto, tal como</w:t>
      </w:r>
      <w:r w:rsidR="00195EDB" w:rsidRPr="00733DDA">
        <w:rPr>
          <w:rFonts w:ascii="Arial" w:eastAsia="Times New Roman" w:hAnsi="Arial" w:cs="Arial"/>
          <w:bCs/>
          <w:sz w:val="22"/>
          <w:lang w:eastAsia="x-none"/>
        </w:rPr>
        <w:t xml:space="preserve"> </w:t>
      </w:r>
      <w:r w:rsidR="006A0BF9" w:rsidRPr="00733DDA">
        <w:rPr>
          <w:rFonts w:ascii="Arial" w:eastAsia="Times New Roman" w:hAnsi="Arial" w:cs="Arial"/>
          <w:bCs/>
          <w:sz w:val="22"/>
          <w:lang w:eastAsia="x-none"/>
        </w:rPr>
        <w:t>lo ha</w:t>
      </w:r>
      <w:r w:rsidR="001F1781" w:rsidRPr="00733DDA">
        <w:rPr>
          <w:rFonts w:ascii="Arial" w:eastAsia="Times New Roman" w:hAnsi="Arial" w:cs="Arial"/>
          <w:bCs/>
          <w:sz w:val="22"/>
          <w:lang w:eastAsia="x-none"/>
        </w:rPr>
        <w:t xml:space="preserve"> </w:t>
      </w:r>
      <w:r w:rsidR="006A0BF9" w:rsidRPr="00733DDA">
        <w:rPr>
          <w:rFonts w:ascii="Arial" w:eastAsia="Times New Roman" w:hAnsi="Arial" w:cs="Arial"/>
          <w:bCs/>
          <w:sz w:val="22"/>
          <w:lang w:eastAsia="x-none"/>
        </w:rPr>
        <w:t xml:space="preserve">sostenido el </w:t>
      </w:r>
      <w:r w:rsidR="00195EDB" w:rsidRPr="00733DDA">
        <w:rPr>
          <w:rFonts w:ascii="Arial" w:eastAsia="Times New Roman" w:hAnsi="Arial" w:cs="Arial"/>
          <w:bCs/>
          <w:sz w:val="22"/>
          <w:lang w:eastAsia="x-none"/>
        </w:rPr>
        <w:t>Consejo de Estado</w:t>
      </w:r>
      <w:r w:rsidR="001F1781" w:rsidRPr="00733DDA">
        <w:rPr>
          <w:rFonts w:ascii="Arial" w:eastAsia="Times New Roman" w:hAnsi="Arial" w:cs="Arial"/>
          <w:bCs/>
          <w:sz w:val="22"/>
          <w:lang w:eastAsia="x-none"/>
        </w:rPr>
        <w:t xml:space="preserve">, </w:t>
      </w:r>
      <w:r w:rsidR="00195EDB" w:rsidRPr="00733DDA">
        <w:rPr>
          <w:rFonts w:ascii="Arial" w:eastAsia="Times New Roman" w:hAnsi="Arial" w:cs="Arial"/>
          <w:bCs/>
          <w:sz w:val="22"/>
          <w:lang w:eastAsia="x-none"/>
        </w:rPr>
        <w:t>e</w:t>
      </w:r>
      <w:r w:rsidR="0062792C" w:rsidRPr="00733DDA">
        <w:rPr>
          <w:rFonts w:ascii="Arial" w:eastAsia="Times New Roman" w:hAnsi="Arial" w:cs="Arial"/>
          <w:bCs/>
          <w:sz w:val="22"/>
          <w:lang w:eastAsia="x-none"/>
        </w:rPr>
        <w:t>l vocablo</w:t>
      </w:r>
      <w:r w:rsidR="00940714" w:rsidRPr="00733DDA">
        <w:rPr>
          <w:rFonts w:ascii="Arial" w:eastAsia="Times New Roman" w:hAnsi="Arial" w:cs="Arial"/>
          <w:bCs/>
          <w:sz w:val="22"/>
          <w:lang w:eastAsia="x-none"/>
        </w:rPr>
        <w:t xml:space="preserve"> </w:t>
      </w:r>
      <w:bookmarkStart w:id="36" w:name="_Hlk75632581"/>
      <w:r w:rsidR="005E06A4" w:rsidRPr="00733DDA">
        <w:rPr>
          <w:rFonts w:ascii="Arial" w:eastAsia="Times New Roman" w:hAnsi="Arial" w:cs="Arial"/>
          <w:bCs/>
          <w:sz w:val="22"/>
          <w:lang w:eastAsia="x-none"/>
        </w:rPr>
        <w:t>«</w:t>
      </w:r>
      <w:bookmarkEnd w:id="36"/>
      <w:r w:rsidR="00940714" w:rsidRPr="00733DDA">
        <w:rPr>
          <w:rFonts w:ascii="Arial" w:eastAsia="Times New Roman" w:hAnsi="Arial" w:cs="Arial"/>
          <w:bCs/>
          <w:sz w:val="22"/>
          <w:lang w:eastAsia="x-none"/>
        </w:rPr>
        <w:t>todos</w:t>
      </w:r>
      <w:r w:rsidR="005E06A4" w:rsidRPr="00733DDA">
        <w:rPr>
          <w:rFonts w:ascii="Arial" w:eastAsia="Times New Roman" w:hAnsi="Arial" w:cs="Arial"/>
          <w:bCs/>
          <w:sz w:val="22"/>
          <w:lang w:eastAsia="x-none"/>
        </w:rPr>
        <w:t>»</w:t>
      </w:r>
      <w:r w:rsidR="0011730D" w:rsidRPr="00733DDA">
        <w:rPr>
          <w:rFonts w:ascii="Arial" w:eastAsia="Times New Roman" w:hAnsi="Arial" w:cs="Arial"/>
          <w:bCs/>
          <w:sz w:val="22"/>
          <w:lang w:eastAsia="x-none"/>
        </w:rPr>
        <w:t xml:space="preserve"> </w:t>
      </w:r>
      <w:r w:rsidR="00940714" w:rsidRPr="00733DDA">
        <w:rPr>
          <w:rFonts w:ascii="Arial" w:eastAsia="Times New Roman" w:hAnsi="Arial" w:cs="Arial"/>
          <w:bCs/>
          <w:sz w:val="22"/>
          <w:lang w:eastAsia="x-none"/>
        </w:rPr>
        <w:t>utiliz</w:t>
      </w:r>
      <w:r w:rsidR="0011730D" w:rsidRPr="00733DDA">
        <w:rPr>
          <w:rFonts w:ascii="Arial" w:eastAsia="Times New Roman" w:hAnsi="Arial" w:cs="Arial"/>
          <w:bCs/>
          <w:sz w:val="22"/>
          <w:lang w:eastAsia="x-none"/>
        </w:rPr>
        <w:t>ado por</w:t>
      </w:r>
      <w:r w:rsidR="00940714" w:rsidRPr="00733DDA">
        <w:rPr>
          <w:rFonts w:ascii="Arial" w:eastAsia="Times New Roman" w:hAnsi="Arial" w:cs="Arial"/>
          <w:bCs/>
          <w:sz w:val="22"/>
          <w:lang w:eastAsia="x-none"/>
        </w:rPr>
        <w:t xml:space="preserve"> el legislador</w:t>
      </w:r>
      <w:r w:rsidR="001F1781" w:rsidRPr="00733DDA">
        <w:rPr>
          <w:rFonts w:ascii="Arial" w:eastAsia="Times New Roman" w:hAnsi="Arial" w:cs="Arial"/>
          <w:bCs/>
          <w:sz w:val="22"/>
          <w:lang w:eastAsia="x-none"/>
        </w:rPr>
        <w:t xml:space="preserve"> </w:t>
      </w:r>
      <w:r w:rsidR="00940714" w:rsidRPr="00733DDA">
        <w:rPr>
          <w:rFonts w:ascii="Arial" w:eastAsia="Times New Roman" w:hAnsi="Arial" w:cs="Arial"/>
          <w:bCs/>
          <w:sz w:val="22"/>
          <w:lang w:eastAsia="x-none"/>
        </w:rPr>
        <w:t>comprende</w:t>
      </w:r>
      <w:r w:rsidR="00195EDB" w:rsidRPr="00733DDA">
        <w:t xml:space="preserve"> </w:t>
      </w:r>
      <w:r w:rsidR="00195EDB" w:rsidRPr="00733DDA">
        <w:rPr>
          <w:rFonts w:ascii="Arial" w:eastAsia="Times New Roman" w:hAnsi="Arial" w:cs="Arial"/>
          <w:bCs/>
          <w:sz w:val="22"/>
          <w:lang w:eastAsia="x-none"/>
        </w:rPr>
        <w:t>a la totalidad de los entes del Estado</w:t>
      </w:r>
      <w:r w:rsidR="00940714" w:rsidRPr="00733DDA">
        <w:rPr>
          <w:rFonts w:ascii="Arial" w:eastAsia="Times New Roman" w:hAnsi="Arial" w:cs="Arial"/>
          <w:bCs/>
          <w:sz w:val="22"/>
          <w:lang w:eastAsia="x-none"/>
        </w:rPr>
        <w:t>, sin distinción del régimen jurídico, forma de organización o naturaleza, su pertenencia a una u otra rama del poder público o su autonomía</w:t>
      </w:r>
      <w:bookmarkEnd w:id="34"/>
      <w:r w:rsidR="007B0F2D" w:rsidRPr="00733DDA">
        <w:rPr>
          <w:rFonts w:ascii="Arial" w:eastAsia="Times New Roman" w:hAnsi="Arial" w:cs="Arial"/>
          <w:bCs/>
          <w:sz w:val="22"/>
          <w:lang w:eastAsia="x-none"/>
        </w:rPr>
        <w:t>, e incluso si las entidades estatales tienen régimen especial de contratación y están exceptuadas del ámbito de aplicación del Estatuto General de Contratación de la Administración Pública.</w:t>
      </w:r>
      <w:bookmarkEnd w:id="35"/>
      <w:r w:rsidR="00856B57" w:rsidRPr="00733DDA">
        <w:rPr>
          <w:rFonts w:ascii="Arial" w:eastAsia="Times New Roman" w:hAnsi="Arial" w:cs="Arial"/>
          <w:bCs/>
          <w:sz w:val="22"/>
          <w:lang w:eastAsia="x-none"/>
        </w:rPr>
        <w:t xml:space="preserve"> </w:t>
      </w:r>
      <w:r w:rsidR="005E06A4" w:rsidRPr="00733DDA">
        <w:rPr>
          <w:rFonts w:ascii="Arial" w:eastAsia="Times New Roman" w:hAnsi="Arial" w:cs="Arial"/>
          <w:bCs/>
          <w:sz w:val="22"/>
          <w:lang w:eastAsia="x-none"/>
        </w:rPr>
        <w:t>El Consejo de Estado</w:t>
      </w:r>
      <w:r w:rsidR="00E45D1C" w:rsidRPr="00733DDA">
        <w:rPr>
          <w:rFonts w:ascii="Arial" w:eastAsia="Times New Roman" w:hAnsi="Arial" w:cs="Arial"/>
          <w:bCs/>
          <w:sz w:val="22"/>
          <w:lang w:eastAsia="x-none"/>
        </w:rPr>
        <w:t xml:space="preserve">, </w:t>
      </w:r>
      <w:r w:rsidR="005E06A4" w:rsidRPr="00733DDA">
        <w:rPr>
          <w:rFonts w:ascii="Arial" w:eastAsia="Times New Roman" w:hAnsi="Arial" w:cs="Arial"/>
          <w:bCs/>
          <w:sz w:val="22"/>
          <w:lang w:eastAsia="x-none"/>
        </w:rPr>
        <w:t>en</w:t>
      </w:r>
      <w:r w:rsidR="007853BD" w:rsidRPr="00733DDA">
        <w:rPr>
          <w:rFonts w:ascii="Arial" w:eastAsia="Times New Roman" w:hAnsi="Arial" w:cs="Arial"/>
          <w:bCs/>
          <w:sz w:val="22"/>
          <w:lang w:eastAsia="x-none"/>
        </w:rPr>
        <w:t xml:space="preserve"> </w:t>
      </w:r>
      <w:r w:rsidR="00856B57" w:rsidRPr="00733DDA">
        <w:rPr>
          <w:rFonts w:ascii="Arial" w:eastAsia="Times New Roman" w:hAnsi="Arial" w:cs="Arial"/>
          <w:bCs/>
          <w:sz w:val="22"/>
          <w:lang w:eastAsia="x-none"/>
        </w:rPr>
        <w:t>C</w:t>
      </w:r>
      <w:r w:rsidR="007853BD" w:rsidRPr="00733DDA">
        <w:rPr>
          <w:rFonts w:ascii="Arial" w:eastAsia="Times New Roman" w:hAnsi="Arial" w:cs="Arial"/>
          <w:bCs/>
          <w:sz w:val="22"/>
          <w:lang w:eastAsia="x-none"/>
        </w:rPr>
        <w:t xml:space="preserve">oncepto </w:t>
      </w:r>
      <w:r w:rsidR="005E06A4" w:rsidRPr="00733DDA">
        <w:rPr>
          <w:rFonts w:ascii="Arial" w:eastAsia="Times New Roman" w:hAnsi="Arial" w:cs="Arial"/>
          <w:bCs/>
          <w:sz w:val="22"/>
          <w:lang w:eastAsia="x-none"/>
        </w:rPr>
        <w:t xml:space="preserve">con radicado </w:t>
      </w:r>
      <w:r w:rsidR="007853BD" w:rsidRPr="00733DDA">
        <w:rPr>
          <w:rFonts w:ascii="Arial" w:eastAsia="Times New Roman" w:hAnsi="Arial" w:cs="Arial"/>
          <w:bCs/>
          <w:sz w:val="22"/>
          <w:lang w:eastAsia="x-none"/>
        </w:rPr>
        <w:t>1727 de fecha 20 de febrero de 2006</w:t>
      </w:r>
      <w:r w:rsidR="00E45D1C" w:rsidRPr="00733DDA">
        <w:rPr>
          <w:rFonts w:ascii="Arial" w:eastAsia="Times New Roman" w:hAnsi="Arial" w:cs="Arial"/>
          <w:bCs/>
          <w:sz w:val="22"/>
          <w:lang w:eastAsia="x-none"/>
        </w:rPr>
        <w:t xml:space="preserve">, </w:t>
      </w:r>
      <w:r w:rsidR="00856B57" w:rsidRPr="00733DDA">
        <w:rPr>
          <w:rFonts w:ascii="Arial" w:eastAsia="Times New Roman" w:hAnsi="Arial" w:cs="Arial"/>
          <w:bCs/>
          <w:sz w:val="22"/>
          <w:lang w:eastAsia="x-none"/>
        </w:rPr>
        <w:t xml:space="preserve">consideró </w:t>
      </w:r>
      <w:r w:rsidR="00182C6C" w:rsidRPr="00733DDA">
        <w:rPr>
          <w:rFonts w:ascii="Arial" w:eastAsia="Times New Roman" w:hAnsi="Arial" w:cs="Arial"/>
          <w:bCs/>
          <w:sz w:val="22"/>
          <w:lang w:eastAsia="x-none"/>
        </w:rPr>
        <w:t>q</w:t>
      </w:r>
      <w:r w:rsidR="00BD3ADF" w:rsidRPr="00733DDA">
        <w:rPr>
          <w:rFonts w:ascii="Arial" w:eastAsia="Times New Roman" w:hAnsi="Arial" w:cs="Arial"/>
          <w:bCs/>
          <w:sz w:val="22"/>
          <w:lang w:eastAsia="x-none"/>
        </w:rPr>
        <w:t>ue</w:t>
      </w:r>
      <w:r w:rsidR="009C3D5F" w:rsidRPr="00733DDA">
        <w:rPr>
          <w:rFonts w:ascii="Arial" w:eastAsia="Times New Roman" w:hAnsi="Arial" w:cs="Arial"/>
          <w:bCs/>
          <w:sz w:val="22"/>
          <w:lang w:eastAsia="x-none"/>
        </w:rPr>
        <w:t>:</w:t>
      </w:r>
      <w:r w:rsidR="00BD3ADF" w:rsidRPr="00733DDA">
        <w:rPr>
          <w:rFonts w:ascii="Arial" w:eastAsia="Times New Roman" w:hAnsi="Arial" w:cs="Arial"/>
          <w:bCs/>
          <w:sz w:val="22"/>
          <w:lang w:eastAsia="x-none"/>
        </w:rPr>
        <w:t xml:space="preserve"> </w:t>
      </w:r>
    </w:p>
    <w:p w14:paraId="0F3DCBC0" w14:textId="77777777" w:rsidR="001F1781" w:rsidRPr="00733DDA" w:rsidRDefault="001F1781" w:rsidP="00E7700C">
      <w:pPr>
        <w:spacing w:after="0"/>
        <w:ind w:firstLine="708"/>
        <w:rPr>
          <w:rFonts w:ascii="Arial" w:eastAsia="Times New Roman" w:hAnsi="Arial" w:cs="Arial"/>
          <w:bCs/>
          <w:sz w:val="22"/>
          <w:lang w:eastAsia="x-none"/>
        </w:rPr>
      </w:pPr>
    </w:p>
    <w:p w14:paraId="22D48D64" w14:textId="3DBC4028" w:rsidR="008C6B51" w:rsidRPr="00733DDA" w:rsidRDefault="00BD3ADF" w:rsidP="000641BE">
      <w:pPr>
        <w:spacing w:after="0" w:line="240" w:lineRule="auto"/>
        <w:ind w:left="708" w:right="709"/>
        <w:rPr>
          <w:rFonts w:ascii="Arial" w:eastAsia="Times New Roman" w:hAnsi="Arial" w:cs="Arial"/>
          <w:bCs/>
          <w:sz w:val="21"/>
          <w:szCs w:val="21"/>
          <w:lang w:eastAsia="es-CO"/>
        </w:rPr>
      </w:pPr>
      <w:r w:rsidRPr="00733DDA">
        <w:rPr>
          <w:rFonts w:ascii="Arial" w:eastAsia="Times New Roman" w:hAnsi="Arial" w:cs="Arial"/>
          <w:bCs/>
          <w:sz w:val="21"/>
          <w:szCs w:val="21"/>
          <w:lang w:eastAsia="x-none"/>
        </w:rPr>
        <w:t xml:space="preserve">El artículo 33 de la ley 996 de 2005, </w:t>
      </w:r>
      <w:bookmarkStart w:id="37" w:name="_Hlk75787147"/>
      <w:r w:rsidRPr="00733DDA">
        <w:rPr>
          <w:rFonts w:ascii="Arial" w:eastAsia="Times New Roman" w:hAnsi="Arial" w:cs="Arial"/>
          <w:bCs/>
          <w:sz w:val="21"/>
          <w:szCs w:val="21"/>
          <w:lang w:eastAsia="x-none"/>
        </w:rPr>
        <w:t>efectivamente se aplica</w:t>
      </w:r>
      <w:r w:rsidR="00E240CB" w:rsidRPr="00733DDA">
        <w:rPr>
          <w:rFonts w:ascii="Arial" w:eastAsia="Times New Roman" w:hAnsi="Arial" w:cs="Arial"/>
          <w:bCs/>
          <w:sz w:val="21"/>
          <w:szCs w:val="21"/>
          <w:lang w:eastAsia="x-none"/>
        </w:rPr>
        <w:t xml:space="preserve"> </w:t>
      </w:r>
      <w:bookmarkStart w:id="38" w:name="_Hlk76074089"/>
      <w:r w:rsidR="00E240CB" w:rsidRPr="00733DDA">
        <w:rPr>
          <w:rFonts w:ascii="Arial" w:eastAsia="Times New Roman" w:hAnsi="Arial" w:cs="Arial"/>
          <w:bCs/>
          <w:sz w:val="21"/>
          <w:szCs w:val="21"/>
          <w:lang w:eastAsia="x-none"/>
        </w:rPr>
        <w:t>incluso a las entidades estatales con régimen especial de contratación y que están exceptuadas del ámbito de aplicación del Estatuto General de Contratación de la Administración Pública</w:t>
      </w:r>
      <w:bookmarkEnd w:id="38"/>
      <w:r w:rsidR="00E240CB" w:rsidRPr="00733DDA">
        <w:rPr>
          <w:rFonts w:ascii="Arial" w:eastAsia="Times New Roman" w:hAnsi="Arial" w:cs="Arial"/>
          <w:bCs/>
          <w:sz w:val="21"/>
          <w:szCs w:val="21"/>
          <w:lang w:eastAsia="x-none"/>
        </w:rPr>
        <w:t>, como por ejemplo</w:t>
      </w:r>
      <w:r w:rsidRPr="00733DDA">
        <w:rPr>
          <w:rFonts w:ascii="Arial" w:eastAsia="Times New Roman" w:hAnsi="Arial" w:cs="Arial"/>
          <w:bCs/>
          <w:sz w:val="21"/>
          <w:szCs w:val="21"/>
          <w:lang w:eastAsia="x-none"/>
        </w:rPr>
        <w:t xml:space="preserve"> los prestadores de servicios públicos domiciliarios (empresas de servicios públicos oficiales y empresas industriales y comerciales del Estado) y a los municipios prestadores directos, incluyendo las excepciones contenidas en el segundo inciso de esta norma</w:t>
      </w:r>
      <w:r w:rsidR="00856B57" w:rsidRPr="00733DDA">
        <w:rPr>
          <w:rStyle w:val="Refdenotaalpie"/>
          <w:rFonts w:ascii="Arial" w:eastAsia="Times New Roman" w:hAnsi="Arial" w:cs="Arial"/>
          <w:bCs/>
          <w:sz w:val="21"/>
          <w:szCs w:val="21"/>
          <w:lang w:eastAsia="x-none"/>
        </w:rPr>
        <w:footnoteReference w:id="19"/>
      </w:r>
      <w:r w:rsidRPr="00733DDA">
        <w:rPr>
          <w:rFonts w:ascii="Arial" w:eastAsia="Times New Roman" w:hAnsi="Arial" w:cs="Arial"/>
          <w:bCs/>
          <w:sz w:val="21"/>
          <w:szCs w:val="21"/>
          <w:lang w:eastAsia="x-none"/>
        </w:rPr>
        <w:t>.</w:t>
      </w:r>
      <w:r w:rsidR="008C6B51" w:rsidRPr="00733DDA">
        <w:rPr>
          <w:rFonts w:ascii="Arial" w:eastAsia="Times New Roman" w:hAnsi="Arial" w:cs="Arial"/>
          <w:bCs/>
          <w:sz w:val="21"/>
          <w:szCs w:val="21"/>
          <w:lang w:eastAsia="es-CO"/>
        </w:rPr>
        <w:t xml:space="preserve"> </w:t>
      </w:r>
    </w:p>
    <w:p w14:paraId="0B4674F2" w14:textId="77777777" w:rsidR="008C6B51" w:rsidRPr="00733DDA" w:rsidRDefault="008C6B51" w:rsidP="00E7700C">
      <w:pPr>
        <w:spacing w:after="0"/>
        <w:ind w:firstLine="708"/>
        <w:rPr>
          <w:rFonts w:ascii="Arial" w:eastAsia="Times New Roman" w:hAnsi="Arial" w:cs="Arial"/>
          <w:bCs/>
          <w:sz w:val="22"/>
          <w:lang w:eastAsia="es-CO"/>
        </w:rPr>
      </w:pPr>
    </w:p>
    <w:p w14:paraId="2098877D" w14:textId="0F2187DE" w:rsidR="003D73F1" w:rsidRPr="00733DDA" w:rsidRDefault="00856B57" w:rsidP="00E7700C">
      <w:pPr>
        <w:spacing w:after="0"/>
        <w:ind w:firstLine="708"/>
        <w:rPr>
          <w:rFonts w:ascii="Arial" w:hAnsi="Arial" w:cs="Arial"/>
          <w:sz w:val="22"/>
        </w:rPr>
      </w:pPr>
      <w:bookmarkStart w:id="39" w:name="_Hlk93241777"/>
      <w:r w:rsidRPr="00733DDA">
        <w:rPr>
          <w:rFonts w:ascii="Arial" w:eastAsia="Times New Roman" w:hAnsi="Arial" w:cs="Arial"/>
          <w:bCs/>
          <w:sz w:val="22"/>
          <w:lang w:eastAsia="x-none"/>
        </w:rPr>
        <w:t>E</w:t>
      </w:r>
      <w:r w:rsidR="00BD3ADF" w:rsidRPr="00733DDA">
        <w:rPr>
          <w:rFonts w:ascii="Arial" w:eastAsia="Times New Roman" w:hAnsi="Arial" w:cs="Arial"/>
          <w:bCs/>
          <w:sz w:val="22"/>
          <w:lang w:eastAsia="x-none"/>
        </w:rPr>
        <w:t xml:space="preserve">n </w:t>
      </w:r>
      <w:r w:rsidRPr="00733DDA">
        <w:rPr>
          <w:rFonts w:ascii="Arial" w:eastAsia="Times New Roman" w:hAnsi="Arial" w:cs="Arial"/>
          <w:bCs/>
          <w:sz w:val="22"/>
          <w:lang w:eastAsia="x-none"/>
        </w:rPr>
        <w:t>C</w:t>
      </w:r>
      <w:r w:rsidR="00BD3ADF" w:rsidRPr="00733DDA">
        <w:rPr>
          <w:rFonts w:ascii="Arial" w:eastAsia="Times New Roman" w:hAnsi="Arial" w:cs="Arial"/>
          <w:bCs/>
          <w:sz w:val="22"/>
          <w:lang w:eastAsia="x-none"/>
        </w:rPr>
        <w:t>oncepto con radicado 1738 de 6 de abril de 2006, esa misma Corporación manifestó que</w:t>
      </w:r>
      <w:r w:rsidR="00204F6E" w:rsidRPr="00733DDA">
        <w:rPr>
          <w:rFonts w:ascii="Arial" w:eastAsia="Times New Roman" w:hAnsi="Arial" w:cs="Arial"/>
          <w:bCs/>
          <w:sz w:val="22"/>
          <w:lang w:eastAsia="x-none"/>
        </w:rPr>
        <w:t xml:space="preserve"> </w:t>
      </w:r>
      <w:r w:rsidR="00182C6C" w:rsidRPr="00733DDA">
        <w:rPr>
          <w:rFonts w:ascii="Arial" w:eastAsia="Times New Roman" w:hAnsi="Arial" w:cs="Arial"/>
          <w:bCs/>
          <w:sz w:val="22"/>
          <w:lang w:eastAsia="x-none"/>
        </w:rPr>
        <w:t>«Las restricciones de la Ley de Garantías en materia de contratación directa y celebración de convenios interadministrativos, se aplican a las empresas industriales y comerciales del Estado y a las Sociedades de Economía Mixta, salvo cuando la celebración de un convenio interadministrativo sea ordenada, para ambas partes, por el Legislador</w:t>
      </w:r>
      <w:bookmarkStart w:id="40" w:name="_Hlk75635823"/>
      <w:r w:rsidR="00182C6C" w:rsidRPr="00733DDA">
        <w:rPr>
          <w:rFonts w:ascii="Arial" w:eastAsia="Times New Roman" w:hAnsi="Arial" w:cs="Arial"/>
          <w:bCs/>
          <w:sz w:val="22"/>
          <w:lang w:eastAsia="x-none"/>
        </w:rPr>
        <w:t>»</w:t>
      </w:r>
      <w:bookmarkStart w:id="41" w:name="_Hlk75758868"/>
      <w:bookmarkStart w:id="42" w:name="_Hlk75741220"/>
      <w:bookmarkEnd w:id="39"/>
      <w:bookmarkEnd w:id="40"/>
      <w:r w:rsidR="00182C6C" w:rsidRPr="00733DDA">
        <w:rPr>
          <w:rStyle w:val="Refdenotaalpie"/>
          <w:rFonts w:ascii="Arial" w:hAnsi="Arial" w:cs="Arial"/>
        </w:rPr>
        <w:footnoteReference w:id="20"/>
      </w:r>
      <w:bookmarkEnd w:id="41"/>
      <w:bookmarkEnd w:id="42"/>
      <w:r w:rsidR="00B16C38" w:rsidRPr="00733DDA">
        <w:rPr>
          <w:rFonts w:ascii="Arial" w:eastAsia="Times New Roman" w:hAnsi="Arial" w:cs="Arial"/>
          <w:bCs/>
          <w:sz w:val="22"/>
          <w:lang w:eastAsia="x-none"/>
        </w:rPr>
        <w:t>.</w:t>
      </w:r>
      <w:r w:rsidR="004E638B" w:rsidRPr="00733DDA">
        <w:rPr>
          <w:rFonts w:ascii="Arial" w:hAnsi="Arial" w:cs="Arial"/>
          <w:sz w:val="22"/>
        </w:rPr>
        <w:t xml:space="preserve"> </w:t>
      </w:r>
      <w:r w:rsidR="003D73F1" w:rsidRPr="00733DDA">
        <w:rPr>
          <w:rFonts w:ascii="Arial" w:hAnsi="Arial" w:cs="Arial"/>
          <w:sz w:val="22"/>
        </w:rPr>
        <w:t>Sin embargo, debe precisar</w:t>
      </w:r>
      <w:r w:rsidR="004E638B" w:rsidRPr="00733DDA">
        <w:rPr>
          <w:rFonts w:ascii="Arial" w:hAnsi="Arial" w:cs="Arial"/>
          <w:sz w:val="22"/>
        </w:rPr>
        <w:t>se</w:t>
      </w:r>
      <w:r w:rsidR="003D73F1" w:rsidRPr="00733DDA">
        <w:rPr>
          <w:rFonts w:ascii="Arial" w:hAnsi="Arial" w:cs="Arial"/>
          <w:sz w:val="22"/>
        </w:rPr>
        <w:t xml:space="preserve"> el siguiente aspecto que distinguió</w:t>
      </w:r>
      <w:r w:rsidR="006A0BF9" w:rsidRPr="00733DDA">
        <w:rPr>
          <w:rFonts w:ascii="Arial" w:hAnsi="Arial" w:cs="Arial"/>
          <w:sz w:val="22"/>
        </w:rPr>
        <w:t xml:space="preserve"> la </w:t>
      </w:r>
      <w:r w:rsidR="003D73F1" w:rsidRPr="00733DDA">
        <w:rPr>
          <w:rFonts w:ascii="Arial" w:hAnsi="Arial" w:cs="Arial"/>
          <w:sz w:val="22"/>
        </w:rPr>
        <w:t>Sala de Consulta y Servicio Civil:</w:t>
      </w:r>
    </w:p>
    <w:p w14:paraId="16928B1F" w14:textId="77777777" w:rsidR="003D73F1" w:rsidRPr="00733DDA" w:rsidRDefault="003D73F1" w:rsidP="00E7700C">
      <w:pPr>
        <w:spacing w:after="0"/>
        <w:rPr>
          <w:rFonts w:ascii="Arial" w:hAnsi="Arial" w:cs="Arial"/>
          <w:sz w:val="22"/>
        </w:rPr>
      </w:pPr>
    </w:p>
    <w:p w14:paraId="0EEFED65" w14:textId="77777777" w:rsidR="003D73F1" w:rsidRPr="00733DDA" w:rsidRDefault="003D73F1" w:rsidP="000641BE">
      <w:pPr>
        <w:spacing w:after="0" w:line="240" w:lineRule="auto"/>
        <w:ind w:left="708" w:right="709"/>
        <w:rPr>
          <w:rFonts w:ascii="Arial" w:hAnsi="Arial" w:cs="Arial"/>
          <w:sz w:val="21"/>
          <w:szCs w:val="21"/>
        </w:rPr>
      </w:pPr>
      <w:bookmarkStart w:id="44" w:name="_Hlk75811446"/>
      <w:r w:rsidRPr="00733DDA">
        <w:rPr>
          <w:rFonts w:ascii="Arial" w:hAnsi="Arial" w:cs="Arial"/>
          <w:sz w:val="21"/>
          <w:szCs w:val="21"/>
        </w:rPr>
        <w:t>En el concepto No. 1727 de fecha 20 de febrero de 2006, ésta Sala distinguió dos clases de contratos en relación con las empresas de servicios públicos domiciliarios: unos, en los que la posición de la empresa es la de consumidora de las prestaciones objeto del contrato, que utiliza para la prestación de los servicios a su cargo, y los otros, en los que la empresa entrega esos servicios a los usuarios, conforme a unas reglas uniformes para todos ellos y sin que haya privilegios o tratos desiguales. En los primeros contratos, es claro que la empresa debe adquirir esos bienes previa licitación pública, según se expuso anteriormente, pero en el segundo caso, las empresas no pueden dejar de entregar los servicios públicos a su cargo a nuevas personas, ni dejar de renovar los contratos existentes, pues significaría la parálisis de una actividad propia de la administración, que incluso podría desconocer los derechos fundamentales</w:t>
      </w:r>
      <w:bookmarkEnd w:id="44"/>
      <w:r w:rsidRPr="00733DDA">
        <w:rPr>
          <w:rStyle w:val="Refdenotaalpie"/>
          <w:rFonts w:ascii="Arial" w:hAnsi="Arial" w:cs="Arial"/>
        </w:rPr>
        <w:footnoteReference w:id="21"/>
      </w:r>
      <w:r w:rsidRPr="00733DDA">
        <w:rPr>
          <w:rFonts w:ascii="Arial" w:eastAsia="Times New Roman" w:hAnsi="Arial" w:cs="Arial"/>
          <w:bCs/>
          <w:sz w:val="22"/>
          <w:lang w:eastAsia="x-none"/>
        </w:rPr>
        <w:t>.</w:t>
      </w:r>
    </w:p>
    <w:p w14:paraId="2572F9F5" w14:textId="77777777" w:rsidR="003D73F1" w:rsidRPr="00733DDA" w:rsidRDefault="003D73F1" w:rsidP="00E7700C">
      <w:pPr>
        <w:spacing w:after="0"/>
        <w:rPr>
          <w:rFonts w:ascii="Arial" w:hAnsi="Arial" w:cs="Arial"/>
          <w:sz w:val="22"/>
        </w:rPr>
      </w:pPr>
    </w:p>
    <w:p w14:paraId="5B4A5CC2" w14:textId="0565183A" w:rsidR="003D73F1" w:rsidRPr="00733DDA" w:rsidRDefault="003D73F1" w:rsidP="00E7700C">
      <w:pPr>
        <w:spacing w:after="120"/>
        <w:ind w:firstLine="709"/>
        <w:rPr>
          <w:rFonts w:ascii="Arial" w:eastAsia="Times New Roman" w:hAnsi="Arial" w:cs="Arial"/>
          <w:bCs/>
          <w:sz w:val="22"/>
          <w:lang w:eastAsia="x-none"/>
        </w:rPr>
      </w:pPr>
      <w:r w:rsidRPr="00733DDA">
        <w:rPr>
          <w:rFonts w:ascii="Arial" w:hAnsi="Arial" w:cs="Arial"/>
          <w:sz w:val="22"/>
        </w:rPr>
        <w:t>Aplicando este razonamiento,</w:t>
      </w:r>
      <w:bookmarkStart w:id="45" w:name="_Hlk75811096"/>
      <w:r w:rsidRPr="00733DDA">
        <w:rPr>
          <w:rFonts w:ascii="Arial" w:hAnsi="Arial" w:cs="Arial"/>
          <w:sz w:val="22"/>
        </w:rPr>
        <w:t xml:space="preserve"> </w:t>
      </w:r>
      <w:r w:rsidR="00D37454" w:rsidRPr="00733DDA">
        <w:rPr>
          <w:rFonts w:ascii="Arial" w:hAnsi="Arial" w:cs="Arial"/>
          <w:sz w:val="22"/>
        </w:rPr>
        <w:t xml:space="preserve">se tiene que </w:t>
      </w:r>
      <w:r w:rsidRPr="00733DDA">
        <w:rPr>
          <w:rFonts w:ascii="Arial" w:hAnsi="Arial" w:cs="Arial"/>
          <w:sz w:val="22"/>
        </w:rPr>
        <w:t xml:space="preserve">las empresas industriales y comerciales del estado y las empresas de servicios públicos oficiales y mixtas no </w:t>
      </w:r>
      <w:r w:rsidRPr="00733DDA">
        <w:rPr>
          <w:rFonts w:ascii="Arial" w:hAnsi="Arial" w:cs="Arial"/>
          <w:sz w:val="22"/>
        </w:rPr>
        <w:lastRenderedPageBreak/>
        <w:t xml:space="preserve">pueden adquirir los suministros de bienes y servicios necesarios para la realización de su actividad por contratación directa sino por mecanismos competitivos que impliquen convocatoria pública y la posibilidad de pluralidad de oferentes, pero, «es obvio que si una de estas entidades va a prestar un servicio </w:t>
      </w:r>
      <w:r w:rsidR="007A7F82" w:rsidRPr="00733DDA">
        <w:rPr>
          <w:rFonts w:ascii="Arial" w:hAnsi="Arial" w:cs="Arial"/>
          <w:sz w:val="22"/>
        </w:rPr>
        <w:t xml:space="preserve">a </w:t>
      </w:r>
      <w:r w:rsidRPr="00733DDA">
        <w:rPr>
          <w:rFonts w:ascii="Arial" w:hAnsi="Arial" w:cs="Arial"/>
          <w:sz w:val="22"/>
        </w:rPr>
        <w:t>un particular, lo puede hacer, pues estos se ofrecen a toda la comunidad en condiciones de igualdad. Si se supusiera que está prohibida su contratación directa, significaría la parálisis de tal actividad de interés público, lo que de ninguna manera es lo querido por la ley 996 de 2005</w:t>
      </w:r>
      <w:bookmarkEnd w:id="45"/>
      <w:r w:rsidRPr="00733DDA">
        <w:rPr>
          <w:rFonts w:ascii="Arial" w:hAnsi="Arial" w:cs="Arial"/>
          <w:sz w:val="22"/>
        </w:rPr>
        <w:t>»</w:t>
      </w:r>
      <w:r w:rsidRPr="00733DDA">
        <w:rPr>
          <w:rStyle w:val="Refdenotaalpie"/>
          <w:rFonts w:ascii="Arial" w:hAnsi="Arial" w:cs="Arial"/>
        </w:rPr>
        <w:t xml:space="preserve"> </w:t>
      </w:r>
      <w:r w:rsidRPr="00733DDA">
        <w:rPr>
          <w:rStyle w:val="Refdenotaalpie"/>
          <w:rFonts w:ascii="Arial" w:hAnsi="Arial" w:cs="Arial"/>
          <w:sz w:val="22"/>
        </w:rPr>
        <w:footnoteReference w:id="22"/>
      </w:r>
      <w:r w:rsidR="004E638B" w:rsidRPr="00733DDA">
        <w:rPr>
          <w:rFonts w:ascii="Arial" w:hAnsi="Arial" w:cs="Arial"/>
          <w:sz w:val="22"/>
        </w:rPr>
        <w:t>.</w:t>
      </w:r>
    </w:p>
    <w:p w14:paraId="3511C4DF" w14:textId="2F506889" w:rsidR="00A50F5C" w:rsidRPr="00733DDA" w:rsidRDefault="004E638B" w:rsidP="00E7700C">
      <w:pPr>
        <w:spacing w:after="0"/>
        <w:ind w:firstLine="708"/>
        <w:rPr>
          <w:rFonts w:ascii="Arial" w:eastAsia="Times New Roman" w:hAnsi="Arial" w:cs="Arial"/>
          <w:bCs/>
          <w:sz w:val="22"/>
          <w:lang w:eastAsia="x-none"/>
        </w:rPr>
      </w:pPr>
      <w:bookmarkStart w:id="46" w:name="_Hlk77237229"/>
      <w:bookmarkEnd w:id="37"/>
      <w:r w:rsidRPr="00733DDA">
        <w:rPr>
          <w:rFonts w:ascii="Arial" w:hAnsi="Arial" w:cs="Arial"/>
          <w:sz w:val="22"/>
        </w:rPr>
        <w:t>P</w:t>
      </w:r>
      <w:r w:rsidR="007B0F2D" w:rsidRPr="00733DDA">
        <w:rPr>
          <w:rFonts w:ascii="Arial" w:hAnsi="Arial" w:cs="Arial"/>
          <w:sz w:val="22"/>
        </w:rPr>
        <w:t>or lo tanto, la restricción prevista en la Ley 996 de 200</w:t>
      </w:r>
      <w:bookmarkStart w:id="47" w:name="_Hlk75741539"/>
      <w:r w:rsidR="007B0F2D" w:rsidRPr="00733DDA">
        <w:rPr>
          <w:rFonts w:ascii="Arial" w:hAnsi="Arial" w:cs="Arial"/>
          <w:sz w:val="22"/>
        </w:rPr>
        <w:t xml:space="preserve">5, </w:t>
      </w:r>
      <w:r w:rsidR="007B0F2D" w:rsidRPr="00733DDA">
        <w:rPr>
          <w:rFonts w:ascii="Arial" w:eastAsia="Times New Roman" w:hAnsi="Arial" w:cs="Arial"/>
          <w:bCs/>
          <w:sz w:val="22"/>
          <w:lang w:eastAsia="x-none"/>
        </w:rPr>
        <w:t>teniendo en cuenta la finalidad de la ley de garantías electorales, cobija a cualquier ente público que pueda a través de la contratación directa romper el equilibrio entre los partidos y los candidatos en las elecciones presidenciales.</w:t>
      </w:r>
      <w:r w:rsidR="00A50F5C" w:rsidRPr="00733DDA">
        <w:rPr>
          <w:rFonts w:ascii="Arial" w:eastAsia="Times New Roman" w:hAnsi="Arial" w:cs="Arial"/>
          <w:bCs/>
          <w:sz w:val="22"/>
          <w:lang w:eastAsia="x-none"/>
        </w:rPr>
        <w:t xml:space="preserve"> Tampoco existe un supuesto de exoneración a la prohibición por tener un régimen especial de los actos o contratos, pues, la posibilidad de que los entes del Estado utilicen la contratación con fines políticos, esto es, con la intención de influir a los electores y alterar la voluntad popular en las contiendas electorales, se puede presentar tanto en la contratación </w:t>
      </w:r>
      <w:r w:rsidRPr="00733DDA">
        <w:rPr>
          <w:rFonts w:ascii="Arial" w:eastAsia="Times New Roman" w:hAnsi="Arial" w:cs="Arial"/>
          <w:bCs/>
          <w:sz w:val="22"/>
          <w:lang w:eastAsia="x-none"/>
        </w:rPr>
        <w:t>regulada por</w:t>
      </w:r>
      <w:r w:rsidR="00A50F5C" w:rsidRPr="00733DDA">
        <w:rPr>
          <w:rFonts w:ascii="Arial" w:eastAsia="Times New Roman" w:hAnsi="Arial" w:cs="Arial"/>
          <w:bCs/>
          <w:sz w:val="22"/>
          <w:lang w:eastAsia="x-none"/>
        </w:rPr>
        <w:t xml:space="preserve"> la Ley 80 de 1993 como</w:t>
      </w:r>
      <w:r w:rsidRPr="00733DDA">
        <w:rPr>
          <w:rFonts w:ascii="Arial" w:eastAsia="Times New Roman" w:hAnsi="Arial" w:cs="Arial"/>
          <w:bCs/>
          <w:sz w:val="22"/>
          <w:lang w:eastAsia="x-none"/>
        </w:rPr>
        <w:t xml:space="preserve"> en la regida por</w:t>
      </w:r>
      <w:r w:rsidR="00A50F5C" w:rsidRPr="00733DDA">
        <w:rPr>
          <w:rFonts w:ascii="Arial" w:eastAsia="Times New Roman" w:hAnsi="Arial" w:cs="Arial"/>
          <w:bCs/>
          <w:sz w:val="22"/>
          <w:lang w:eastAsia="x-none"/>
        </w:rPr>
        <w:t xml:space="preserve"> el Derecho Privado.</w:t>
      </w:r>
      <w:r w:rsidR="00AB09C2" w:rsidRPr="00733DDA">
        <w:rPr>
          <w:rFonts w:ascii="Arial" w:eastAsia="Times New Roman" w:hAnsi="Arial" w:cs="Arial"/>
          <w:bCs/>
          <w:sz w:val="22"/>
          <w:lang w:eastAsia="x-none"/>
        </w:rPr>
        <w:t xml:space="preserve"> </w:t>
      </w:r>
    </w:p>
    <w:p w14:paraId="3AC71E4C" w14:textId="1684C067" w:rsidR="00AB09C2" w:rsidRPr="00733DDA" w:rsidRDefault="00AB09C2" w:rsidP="00F97847">
      <w:pPr>
        <w:spacing w:before="120" w:after="0"/>
        <w:ind w:left="57" w:right="-57" w:firstLine="709"/>
        <w:rPr>
          <w:rFonts w:ascii="Arial" w:eastAsia="Times New Roman" w:hAnsi="Arial" w:cs="Arial"/>
          <w:bCs/>
          <w:sz w:val="22"/>
          <w:lang w:eastAsia="x-none"/>
        </w:rPr>
      </w:pPr>
      <w:r w:rsidRPr="00733DDA">
        <w:rPr>
          <w:rFonts w:ascii="Arial" w:eastAsia="Times New Roman" w:hAnsi="Arial" w:cs="Arial"/>
          <w:bCs/>
          <w:sz w:val="22"/>
          <w:lang w:eastAsia="x-none"/>
        </w:rPr>
        <w:t>Por lo anterior, la Agencia Nacional de Contratación Pública –Colombia Compra Eficiente se aparta</w:t>
      </w:r>
      <w:r w:rsidR="00627867" w:rsidRPr="00733DDA">
        <w:rPr>
          <w:rFonts w:ascii="Arial" w:eastAsia="Times New Roman" w:hAnsi="Arial" w:cs="Arial"/>
          <w:bCs/>
          <w:sz w:val="22"/>
          <w:lang w:eastAsia="x-none"/>
        </w:rPr>
        <w:t xml:space="preserve"> en esta oportunidad</w:t>
      </w:r>
      <w:r w:rsidRPr="00733DDA">
        <w:rPr>
          <w:rFonts w:ascii="Arial" w:eastAsia="Times New Roman" w:hAnsi="Arial" w:cs="Arial"/>
          <w:bCs/>
          <w:sz w:val="22"/>
          <w:lang w:eastAsia="x-none"/>
        </w:rPr>
        <w:t xml:space="preserve"> de la tesis indicada en el 2018 por </w:t>
      </w:r>
      <w:r w:rsidR="00627867" w:rsidRPr="00733DDA">
        <w:rPr>
          <w:rFonts w:ascii="Arial" w:eastAsia="Times New Roman" w:hAnsi="Arial" w:cs="Arial"/>
          <w:bCs/>
          <w:sz w:val="22"/>
          <w:lang w:eastAsia="x-none"/>
        </w:rPr>
        <w:t>la</w:t>
      </w:r>
      <w:r w:rsidRPr="00733DDA">
        <w:rPr>
          <w:rFonts w:ascii="Arial" w:eastAsia="Times New Roman" w:hAnsi="Arial" w:cs="Arial"/>
          <w:bCs/>
          <w:sz w:val="22"/>
          <w:lang w:eastAsia="x-none"/>
        </w:rPr>
        <w:t xml:space="preserve"> Subdirección</w:t>
      </w:r>
      <w:r w:rsidR="00627867" w:rsidRPr="00733DDA">
        <w:rPr>
          <w:rFonts w:ascii="Arial" w:eastAsia="Times New Roman" w:hAnsi="Arial" w:cs="Arial"/>
          <w:bCs/>
          <w:sz w:val="22"/>
          <w:lang w:eastAsia="x-none"/>
        </w:rPr>
        <w:t xml:space="preserve"> de Gestión Contractual</w:t>
      </w:r>
      <w:r w:rsidRPr="00733DDA">
        <w:rPr>
          <w:rStyle w:val="Refdenotaalpie"/>
          <w:rFonts w:ascii="Arial" w:eastAsia="Times New Roman" w:hAnsi="Arial" w:cs="Arial"/>
          <w:bCs/>
          <w:sz w:val="22"/>
          <w:lang w:eastAsia="x-none"/>
        </w:rPr>
        <w:footnoteReference w:id="23"/>
      </w:r>
      <w:r w:rsidRPr="00733DDA">
        <w:rPr>
          <w:rFonts w:ascii="Arial" w:eastAsia="Times New Roman" w:hAnsi="Arial" w:cs="Arial"/>
          <w:bCs/>
          <w:sz w:val="22"/>
          <w:lang w:eastAsia="x-none"/>
        </w:rPr>
        <w:t xml:space="preserve">, en el </w:t>
      </w:r>
      <w:r w:rsidR="00366063" w:rsidRPr="00733DDA">
        <w:rPr>
          <w:rFonts w:ascii="Arial" w:eastAsia="Times New Roman" w:hAnsi="Arial" w:cs="Arial"/>
          <w:bCs/>
          <w:sz w:val="22"/>
          <w:lang w:eastAsia="x-none"/>
        </w:rPr>
        <w:t xml:space="preserve">sentido de que </w:t>
      </w:r>
      <w:r w:rsidR="00350BD2" w:rsidRPr="00733DDA">
        <w:rPr>
          <w:rFonts w:ascii="Arial" w:eastAsia="Times New Roman" w:hAnsi="Arial" w:cs="Arial"/>
          <w:bCs/>
          <w:sz w:val="22"/>
          <w:lang w:eastAsia="x-none"/>
        </w:rPr>
        <w:t>la prohibición de contratación directa, prevista en la Ley de Garantías</w:t>
      </w:r>
      <w:r w:rsidR="00922925" w:rsidRPr="00733DDA">
        <w:rPr>
          <w:rFonts w:ascii="Arial" w:eastAsia="Times New Roman" w:hAnsi="Arial" w:cs="Arial"/>
          <w:bCs/>
          <w:sz w:val="22"/>
          <w:lang w:eastAsia="x-none"/>
        </w:rPr>
        <w:t xml:space="preserve"> Electorales</w:t>
      </w:r>
      <w:r w:rsidR="00350BD2" w:rsidRPr="00733DDA">
        <w:rPr>
          <w:rFonts w:ascii="Arial" w:eastAsia="Times New Roman" w:hAnsi="Arial" w:cs="Arial"/>
          <w:bCs/>
          <w:sz w:val="22"/>
          <w:lang w:eastAsia="x-none"/>
        </w:rPr>
        <w:t>, no aplica al procedimiento de enajenación voluntaria de</w:t>
      </w:r>
      <w:r w:rsidR="00DA67AD" w:rsidRPr="00733DDA">
        <w:rPr>
          <w:rFonts w:ascii="Arial" w:eastAsia="Times New Roman" w:hAnsi="Arial" w:cs="Arial"/>
          <w:bCs/>
          <w:sz w:val="22"/>
          <w:lang w:eastAsia="x-none"/>
        </w:rPr>
        <w:t xml:space="preserve"> predios regulado en la Ley 388 de 1997, por ser este un procedimiento de contratación especial. Como se indicó previamente, el entendimiento del Consejo de Estado y</w:t>
      </w:r>
      <w:r w:rsidR="00922925" w:rsidRPr="00733DDA">
        <w:rPr>
          <w:rFonts w:ascii="Arial" w:eastAsia="Times New Roman" w:hAnsi="Arial" w:cs="Arial"/>
          <w:bCs/>
          <w:sz w:val="22"/>
          <w:lang w:eastAsia="x-none"/>
        </w:rPr>
        <w:t xml:space="preserve"> de la Agencia</w:t>
      </w:r>
      <w:r w:rsidR="008A6768" w:rsidRPr="00733DDA">
        <w:rPr>
          <w:rFonts w:ascii="Arial" w:eastAsia="Times New Roman" w:hAnsi="Arial" w:cs="Arial"/>
          <w:bCs/>
          <w:sz w:val="22"/>
          <w:lang w:eastAsia="x-none"/>
        </w:rPr>
        <w:t>,</w:t>
      </w:r>
      <w:r w:rsidR="00922925" w:rsidRPr="00733DDA">
        <w:rPr>
          <w:rFonts w:ascii="Arial" w:eastAsia="Times New Roman" w:hAnsi="Arial" w:cs="Arial"/>
          <w:bCs/>
          <w:sz w:val="22"/>
          <w:lang w:eastAsia="x-none"/>
        </w:rPr>
        <w:t xml:space="preserve"> de </w:t>
      </w:r>
      <w:r w:rsidR="00056D04" w:rsidRPr="00733DDA">
        <w:rPr>
          <w:rFonts w:ascii="Arial" w:eastAsia="Times New Roman" w:hAnsi="Arial" w:cs="Arial"/>
          <w:bCs/>
          <w:sz w:val="22"/>
          <w:lang w:eastAsia="x-none"/>
        </w:rPr>
        <w:t>la expresión «contratación directa»</w:t>
      </w:r>
      <w:r w:rsidR="00922925" w:rsidRPr="00733DDA">
        <w:rPr>
          <w:rFonts w:ascii="Arial" w:eastAsia="Times New Roman" w:hAnsi="Arial" w:cs="Arial"/>
          <w:bCs/>
          <w:sz w:val="22"/>
          <w:lang w:eastAsia="x-none"/>
        </w:rPr>
        <w:t>,</w:t>
      </w:r>
      <w:r w:rsidR="00056D04" w:rsidRPr="00733DDA">
        <w:rPr>
          <w:rFonts w:ascii="Arial" w:eastAsia="Times New Roman" w:hAnsi="Arial" w:cs="Arial"/>
          <w:bCs/>
          <w:sz w:val="22"/>
          <w:lang w:eastAsia="x-none"/>
        </w:rPr>
        <w:t xml:space="preserve"> contenida en el artículo 33 de la Ley 996 de 2005</w:t>
      </w:r>
      <w:r w:rsidR="00922925" w:rsidRPr="00733DDA">
        <w:rPr>
          <w:rFonts w:ascii="Arial" w:eastAsia="Times New Roman" w:hAnsi="Arial" w:cs="Arial"/>
          <w:bCs/>
          <w:sz w:val="22"/>
          <w:lang w:eastAsia="x-none"/>
        </w:rPr>
        <w:t xml:space="preserve">, señala que esta hace referencia a cualquier procedimiento de selección contractual que no esté precedido de </w:t>
      </w:r>
      <w:r w:rsidR="00340D5B" w:rsidRPr="00733DDA">
        <w:rPr>
          <w:rFonts w:ascii="Arial" w:eastAsia="Times New Roman" w:hAnsi="Arial" w:cs="Arial"/>
          <w:bCs/>
          <w:sz w:val="22"/>
          <w:lang w:eastAsia="x-none"/>
        </w:rPr>
        <w:t>pluralidad de oferentes</w:t>
      </w:r>
      <w:r w:rsidR="00266C7B" w:rsidRPr="00733DDA">
        <w:rPr>
          <w:rFonts w:ascii="Arial" w:eastAsia="Times New Roman" w:hAnsi="Arial" w:cs="Arial"/>
          <w:bCs/>
          <w:sz w:val="22"/>
          <w:lang w:eastAsia="x-none"/>
        </w:rPr>
        <w:t>, con independencia</w:t>
      </w:r>
      <w:r w:rsidR="00340D5B" w:rsidRPr="00733DDA">
        <w:rPr>
          <w:rFonts w:ascii="Arial" w:eastAsia="Times New Roman" w:hAnsi="Arial" w:cs="Arial"/>
          <w:bCs/>
          <w:sz w:val="22"/>
          <w:lang w:eastAsia="x-none"/>
        </w:rPr>
        <w:t xml:space="preserve"> del régimen aplicable. </w:t>
      </w:r>
    </w:p>
    <w:p w14:paraId="7B6AADBA" w14:textId="44F77C18" w:rsidR="004D481E" w:rsidRPr="00733DDA" w:rsidRDefault="004D481E" w:rsidP="00E7700C">
      <w:pPr>
        <w:spacing w:after="0"/>
        <w:ind w:firstLine="708"/>
        <w:rPr>
          <w:rFonts w:ascii="Arial" w:eastAsia="Times New Roman" w:hAnsi="Arial" w:cs="Arial"/>
          <w:bCs/>
          <w:sz w:val="22"/>
          <w:lang w:eastAsia="x-none"/>
        </w:rPr>
      </w:pPr>
    </w:p>
    <w:p w14:paraId="2A81BDC7" w14:textId="28637AB2" w:rsidR="00F156D7" w:rsidRPr="00733DDA" w:rsidRDefault="00EE1757" w:rsidP="00C00B60">
      <w:pPr>
        <w:spacing w:after="120"/>
        <w:ind w:firstLine="709"/>
        <w:rPr>
          <w:rFonts w:ascii="Arial" w:hAnsi="Arial" w:cs="Arial"/>
          <w:sz w:val="22"/>
        </w:rPr>
      </w:pPr>
      <w:r w:rsidRPr="00733DDA">
        <w:rPr>
          <w:rFonts w:ascii="Arial" w:eastAsia="Times New Roman" w:hAnsi="Arial" w:cs="Arial"/>
          <w:bCs/>
          <w:sz w:val="22"/>
          <w:lang w:eastAsia="x-none"/>
        </w:rPr>
        <w:t>En tal sentido</w:t>
      </w:r>
      <w:r w:rsidR="00F156D7" w:rsidRPr="00733DDA">
        <w:rPr>
          <w:rFonts w:ascii="Arial" w:hAnsi="Arial" w:cs="Arial"/>
          <w:sz w:val="22"/>
        </w:rPr>
        <w:t xml:space="preserve">, la Agencia nacional de Contratación Pública – Colombia Compra Eficiente </w:t>
      </w:r>
      <w:r w:rsidRPr="00733DDA">
        <w:rPr>
          <w:rFonts w:ascii="Arial" w:hAnsi="Arial" w:cs="Arial"/>
          <w:sz w:val="22"/>
        </w:rPr>
        <w:t xml:space="preserve">acoge </w:t>
      </w:r>
      <w:r w:rsidR="00F156D7" w:rsidRPr="00733DDA">
        <w:rPr>
          <w:rFonts w:ascii="Arial" w:hAnsi="Arial" w:cs="Arial"/>
          <w:sz w:val="22"/>
        </w:rPr>
        <w:t xml:space="preserve">la tesis </w:t>
      </w:r>
      <w:r w:rsidR="00E81AB6" w:rsidRPr="00733DDA">
        <w:rPr>
          <w:rFonts w:ascii="Arial" w:hAnsi="Arial" w:cs="Arial"/>
          <w:sz w:val="22"/>
        </w:rPr>
        <w:t>expuesta</w:t>
      </w:r>
      <w:r w:rsidRPr="00733DDA">
        <w:rPr>
          <w:rFonts w:ascii="Arial" w:hAnsi="Arial" w:cs="Arial"/>
          <w:sz w:val="22"/>
        </w:rPr>
        <w:t xml:space="preserve"> </w:t>
      </w:r>
      <w:r w:rsidR="00F156D7" w:rsidRPr="00733DDA">
        <w:rPr>
          <w:rFonts w:ascii="Arial" w:hAnsi="Arial" w:cs="Arial"/>
          <w:sz w:val="22"/>
        </w:rPr>
        <w:t>por la Sala de Consulta y Servicio Civil del Consejo de Estado en el concepto de</w:t>
      </w:r>
      <w:r w:rsidR="00E81AB6" w:rsidRPr="00733DDA">
        <w:rPr>
          <w:rFonts w:ascii="Arial" w:hAnsi="Arial" w:cs="Arial"/>
          <w:sz w:val="22"/>
        </w:rPr>
        <w:t>l</w:t>
      </w:r>
      <w:r w:rsidR="00F156D7" w:rsidRPr="00733DDA">
        <w:rPr>
          <w:rFonts w:ascii="Arial" w:hAnsi="Arial" w:cs="Arial"/>
          <w:sz w:val="22"/>
        </w:rPr>
        <w:t xml:space="preserve"> 2</w:t>
      </w:r>
      <w:r w:rsidR="00EB0EA4" w:rsidRPr="00733DDA">
        <w:rPr>
          <w:rFonts w:ascii="Arial" w:hAnsi="Arial" w:cs="Arial"/>
          <w:sz w:val="22"/>
        </w:rPr>
        <w:t>1</w:t>
      </w:r>
      <w:r w:rsidR="00F156D7" w:rsidRPr="00733DDA">
        <w:rPr>
          <w:rFonts w:ascii="Arial" w:hAnsi="Arial" w:cs="Arial"/>
          <w:sz w:val="22"/>
        </w:rPr>
        <w:t xml:space="preserve"> de mayo de 2014</w:t>
      </w:r>
      <w:r w:rsidR="00E81AB6" w:rsidRPr="00733DDA">
        <w:rPr>
          <w:rStyle w:val="Refdenotaalpie"/>
          <w:rFonts w:ascii="Arial" w:hAnsi="Arial" w:cs="Arial"/>
          <w:sz w:val="22"/>
        </w:rPr>
        <w:footnoteReference w:id="24"/>
      </w:r>
      <w:r w:rsidR="00F156D7" w:rsidRPr="00733DDA">
        <w:rPr>
          <w:rFonts w:ascii="Arial" w:hAnsi="Arial" w:cs="Arial"/>
          <w:sz w:val="22"/>
        </w:rPr>
        <w:t>, en el que indicó que</w:t>
      </w:r>
      <w:r w:rsidR="005B07AE" w:rsidRPr="00733DDA">
        <w:rPr>
          <w:rFonts w:ascii="Arial" w:hAnsi="Arial" w:cs="Arial"/>
          <w:sz w:val="22"/>
        </w:rPr>
        <w:t xml:space="preserve"> la </w:t>
      </w:r>
      <w:r w:rsidR="005B07AE" w:rsidRPr="00733DDA">
        <w:rPr>
          <w:rFonts w:ascii="Arial" w:hAnsi="Arial" w:cs="Arial"/>
          <w:sz w:val="22"/>
        </w:rPr>
        <w:lastRenderedPageBreak/>
        <w:t xml:space="preserve">restricción </w:t>
      </w:r>
      <w:r w:rsidR="002D7546" w:rsidRPr="00733DDA">
        <w:rPr>
          <w:rFonts w:ascii="Arial" w:hAnsi="Arial" w:cs="Arial"/>
          <w:sz w:val="22"/>
        </w:rPr>
        <w:t>prevista en el artículo 33 de la Ley 996 de 2005 no solo aplica a las causales de contratación directa del sistema de compras y contratación pública, sino también a los procedimientos de adquisición directa de predios</w:t>
      </w:r>
      <w:r w:rsidR="0027051E" w:rsidRPr="00733DDA">
        <w:rPr>
          <w:rFonts w:ascii="Arial" w:hAnsi="Arial" w:cs="Arial"/>
          <w:sz w:val="22"/>
        </w:rPr>
        <w:t xml:space="preserve"> consag</w:t>
      </w:r>
      <w:r w:rsidR="001436B1" w:rsidRPr="00733DDA">
        <w:rPr>
          <w:rFonts w:ascii="Arial" w:hAnsi="Arial" w:cs="Arial"/>
          <w:sz w:val="22"/>
        </w:rPr>
        <w:t>r</w:t>
      </w:r>
      <w:r w:rsidR="0027051E" w:rsidRPr="00733DDA">
        <w:rPr>
          <w:rFonts w:ascii="Arial" w:hAnsi="Arial" w:cs="Arial"/>
          <w:sz w:val="22"/>
        </w:rPr>
        <w:t>ados en leyes especiales; por ejemplo, a</w:t>
      </w:r>
      <w:r w:rsidR="00F156D7" w:rsidRPr="00733DDA">
        <w:rPr>
          <w:rFonts w:ascii="Arial" w:hAnsi="Arial" w:cs="Arial"/>
          <w:sz w:val="22"/>
        </w:rPr>
        <w:t xml:space="preserve"> los procesos de negociación directa de predios con destino a comunidades</w:t>
      </w:r>
      <w:r w:rsidR="00275DC6" w:rsidRPr="00733DDA">
        <w:rPr>
          <w:rFonts w:ascii="Arial" w:hAnsi="Arial" w:cs="Arial"/>
          <w:sz w:val="22"/>
        </w:rPr>
        <w:t>,</w:t>
      </w:r>
      <w:r w:rsidR="00F156D7" w:rsidRPr="00733DDA">
        <w:rPr>
          <w:rFonts w:ascii="Arial" w:hAnsi="Arial" w:cs="Arial"/>
          <w:sz w:val="22"/>
        </w:rPr>
        <w:t xml:space="preserve"> de que trata la ley 160 de 1994</w:t>
      </w:r>
      <w:r w:rsidR="00275DC6" w:rsidRPr="00733DDA">
        <w:rPr>
          <w:rFonts w:ascii="Arial" w:hAnsi="Arial" w:cs="Arial"/>
          <w:sz w:val="22"/>
        </w:rPr>
        <w:t>,</w:t>
      </w:r>
      <w:r w:rsidR="00F156D7" w:rsidRPr="00733DDA">
        <w:rPr>
          <w:rFonts w:ascii="Arial" w:hAnsi="Arial" w:cs="Arial"/>
          <w:sz w:val="22"/>
        </w:rPr>
        <w:t xml:space="preserve"> adelantados por el INCODER. </w:t>
      </w:r>
      <w:r w:rsidR="00275DC6" w:rsidRPr="00733DDA">
        <w:rPr>
          <w:rFonts w:ascii="Arial" w:hAnsi="Arial" w:cs="Arial"/>
          <w:sz w:val="22"/>
        </w:rPr>
        <w:t xml:space="preserve">Al respecto, </w:t>
      </w:r>
      <w:r w:rsidR="00676893" w:rsidRPr="00733DDA">
        <w:rPr>
          <w:rFonts w:ascii="Arial" w:hAnsi="Arial" w:cs="Arial"/>
          <w:sz w:val="22"/>
        </w:rPr>
        <w:t>p</w:t>
      </w:r>
      <w:r w:rsidR="00F156D7" w:rsidRPr="00733DDA">
        <w:rPr>
          <w:rFonts w:ascii="Arial" w:hAnsi="Arial" w:cs="Arial"/>
          <w:sz w:val="22"/>
        </w:rPr>
        <w:t xml:space="preserve">recisó: </w:t>
      </w:r>
    </w:p>
    <w:p w14:paraId="1BF7687A" w14:textId="77777777" w:rsidR="00F156D7" w:rsidRPr="00733DDA" w:rsidRDefault="00F156D7" w:rsidP="00F156D7">
      <w:pPr>
        <w:spacing w:after="120" w:line="240" w:lineRule="auto"/>
        <w:ind w:left="709" w:right="709"/>
        <w:rPr>
          <w:rFonts w:ascii="Arial" w:hAnsi="Arial" w:cs="Arial"/>
          <w:sz w:val="21"/>
          <w:szCs w:val="21"/>
        </w:rPr>
      </w:pPr>
      <w:r w:rsidRPr="00733DDA">
        <w:rPr>
          <w:rFonts w:ascii="Arial" w:hAnsi="Arial" w:cs="Arial"/>
          <w:sz w:val="21"/>
          <w:szCs w:val="21"/>
        </w:rPr>
        <w:t>[…]</w:t>
      </w:r>
    </w:p>
    <w:p w14:paraId="2DDC2B4D" w14:textId="5E0E7771" w:rsidR="00F156D7" w:rsidRPr="00733DDA" w:rsidRDefault="00F156D7" w:rsidP="00F156D7">
      <w:pPr>
        <w:spacing w:after="120" w:line="240" w:lineRule="auto"/>
        <w:ind w:left="709" w:right="709"/>
        <w:rPr>
          <w:rFonts w:ascii="Arial" w:hAnsi="Arial" w:cs="Arial"/>
          <w:sz w:val="21"/>
          <w:szCs w:val="21"/>
        </w:rPr>
      </w:pPr>
      <w:r w:rsidRPr="00733DDA">
        <w:rPr>
          <w:rFonts w:ascii="Arial" w:hAnsi="Arial" w:cs="Arial"/>
          <w:sz w:val="21"/>
          <w:szCs w:val="21"/>
        </w:rPr>
        <w:t>Así, en los casos de negociación directa de la Ley 160 de 1994 se tiene que la identificación y valoración de los predios la hace el INCODER. De igual forma, el instituto adelanta los trámites para hacer la oferta al propietario del predio y cumple con la obligación de pago frente al vendedor. Como se advierte, este proceso de compra de los predios obviamente no admite la posibilidad de que concurra pluralidad de oferentes ni de llevar a cabo un proceso de licitación pública</w:t>
      </w:r>
      <w:r w:rsidR="00865A2B" w:rsidRPr="00733DDA">
        <w:rPr>
          <w:rFonts w:ascii="Arial" w:hAnsi="Arial" w:cs="Arial"/>
          <w:sz w:val="21"/>
          <w:szCs w:val="21"/>
        </w:rPr>
        <w:t xml:space="preserve">. </w:t>
      </w:r>
    </w:p>
    <w:p w14:paraId="6C0921C9" w14:textId="37CBEE9A" w:rsidR="00865A2B" w:rsidRPr="00733DDA" w:rsidRDefault="00865A2B" w:rsidP="00F156D7">
      <w:pPr>
        <w:spacing w:after="120" w:line="240" w:lineRule="auto"/>
        <w:ind w:left="709" w:right="709"/>
        <w:rPr>
          <w:rFonts w:ascii="Arial" w:hAnsi="Arial" w:cs="Arial"/>
          <w:sz w:val="21"/>
          <w:szCs w:val="21"/>
        </w:rPr>
      </w:pPr>
      <w:r w:rsidRPr="00733DDA">
        <w:rPr>
          <w:rFonts w:ascii="Arial" w:hAnsi="Arial" w:cs="Arial"/>
          <w:sz w:val="21"/>
          <w:szCs w:val="21"/>
        </w:rPr>
        <w:t>Por tanto, si dentro de la etapa de negociación directa el INCODER logra el acuerdo de un particular para adquirir un predio con destino a las comunidades destinatarias de la Ley 160 de 1994, el negocio jurídico de compraventa de esos predios queda afectado por la prohibición temporal a la contratación directa, durante los cuatro (4) meses anteriores a la elección presidencial y hasta la realización de la elección en la segunda vuelta, consagrada en el artículo 33 de la Ley 996 de 2005.</w:t>
      </w:r>
    </w:p>
    <w:p w14:paraId="258D595F" w14:textId="64517F95" w:rsidR="00865A2B" w:rsidRPr="00733DDA" w:rsidRDefault="00865A2B" w:rsidP="00F156D7">
      <w:pPr>
        <w:spacing w:after="120" w:line="240" w:lineRule="auto"/>
        <w:ind w:left="709" w:right="709"/>
        <w:rPr>
          <w:rFonts w:ascii="Arial" w:hAnsi="Arial" w:cs="Arial"/>
          <w:sz w:val="21"/>
          <w:szCs w:val="21"/>
        </w:rPr>
      </w:pPr>
      <w:r w:rsidRPr="00733DDA">
        <w:rPr>
          <w:rFonts w:ascii="Arial" w:hAnsi="Arial" w:cs="Arial"/>
          <w:sz w:val="21"/>
          <w:szCs w:val="21"/>
        </w:rPr>
        <w:t>Ahora bien, esta Sala ha sido enfática al señalar que las excepciones consagradas en el inciso segundo del artículo 33 son taxativas y su interpretación debe ser de carácter restrictivo. A partir de esta premisa concluye la Sala que la actividad contractual del INCODER en relación con la compraventa de los predios destinados a las Comunidades Étnicas no se ajusta a ninguna de las hipótesis exceptivas que consagra el artículo 33 de la Ley de Garantías Electorales.</w:t>
      </w:r>
    </w:p>
    <w:p w14:paraId="5C5AE824" w14:textId="142598B6" w:rsidR="00865A2B" w:rsidRPr="00733DDA" w:rsidRDefault="00865A2B" w:rsidP="00F97847">
      <w:pPr>
        <w:spacing w:before="120" w:after="120"/>
        <w:ind w:firstLine="709"/>
        <w:rPr>
          <w:rFonts w:ascii="Arial" w:eastAsia="Times New Roman" w:hAnsi="Arial" w:cs="Arial"/>
          <w:bCs/>
          <w:sz w:val="22"/>
          <w:lang w:eastAsia="x-none"/>
        </w:rPr>
      </w:pPr>
      <w:r w:rsidRPr="00733DDA">
        <w:rPr>
          <w:rFonts w:ascii="Arial" w:eastAsia="Times New Roman" w:hAnsi="Arial" w:cs="Arial"/>
          <w:bCs/>
          <w:sz w:val="22"/>
          <w:lang w:eastAsia="x-none"/>
        </w:rPr>
        <w:t xml:space="preserve">Así las cosas, la regla establecida en este concepto es que los procesos de adquisición de predios por negociación directa de que trata la </w:t>
      </w:r>
      <w:r w:rsidR="00A73F5E" w:rsidRPr="00733DDA">
        <w:rPr>
          <w:rFonts w:ascii="Arial" w:eastAsia="Times New Roman" w:hAnsi="Arial" w:cs="Arial"/>
          <w:bCs/>
          <w:sz w:val="22"/>
          <w:lang w:eastAsia="x-none"/>
        </w:rPr>
        <w:t>L</w:t>
      </w:r>
      <w:r w:rsidRPr="00733DDA">
        <w:rPr>
          <w:rFonts w:ascii="Arial" w:eastAsia="Times New Roman" w:hAnsi="Arial" w:cs="Arial"/>
          <w:bCs/>
          <w:sz w:val="22"/>
          <w:lang w:eastAsia="x-none"/>
        </w:rPr>
        <w:t>ey 160 de 1994</w:t>
      </w:r>
      <w:r w:rsidR="009F7BFD" w:rsidRPr="00733DDA">
        <w:rPr>
          <w:rFonts w:ascii="Arial" w:eastAsia="Times New Roman" w:hAnsi="Arial" w:cs="Arial"/>
          <w:bCs/>
          <w:sz w:val="22"/>
          <w:lang w:eastAsia="x-none"/>
        </w:rPr>
        <w:t xml:space="preserve">, es decir, los que se surten conforme con las reglas establecidas en la Ley 9 de 1989, modificada por la ley 388 de 1997, </w:t>
      </w:r>
      <w:r w:rsidRPr="00733DDA">
        <w:rPr>
          <w:rFonts w:ascii="Arial" w:eastAsia="Times New Roman" w:hAnsi="Arial" w:cs="Arial"/>
          <w:bCs/>
          <w:sz w:val="22"/>
          <w:lang w:eastAsia="x-none"/>
        </w:rPr>
        <w:t xml:space="preserve">están cobijadas por la restricción </w:t>
      </w:r>
      <w:r w:rsidR="009F7BFD" w:rsidRPr="00733DDA">
        <w:rPr>
          <w:rFonts w:ascii="Arial" w:eastAsia="Times New Roman" w:hAnsi="Arial" w:cs="Arial"/>
          <w:bCs/>
          <w:sz w:val="22"/>
          <w:lang w:eastAsia="x-none"/>
        </w:rPr>
        <w:t xml:space="preserve">a la </w:t>
      </w:r>
      <w:r w:rsidRPr="00733DDA">
        <w:rPr>
          <w:rFonts w:ascii="Arial" w:eastAsia="Times New Roman" w:hAnsi="Arial" w:cs="Arial"/>
          <w:bCs/>
          <w:sz w:val="22"/>
          <w:lang w:eastAsia="x-none"/>
        </w:rPr>
        <w:t xml:space="preserve">contratación directa del artículo 33 de la ley de Garantías Electorales, </w:t>
      </w:r>
      <w:r w:rsidR="00EE537C" w:rsidRPr="00733DDA">
        <w:rPr>
          <w:rFonts w:ascii="Arial" w:eastAsia="Times New Roman" w:hAnsi="Arial" w:cs="Arial"/>
          <w:bCs/>
          <w:sz w:val="22"/>
          <w:lang w:eastAsia="x-none"/>
        </w:rPr>
        <w:t>pues</w:t>
      </w:r>
      <w:r w:rsidR="009F7BFD" w:rsidRPr="00733DDA">
        <w:rPr>
          <w:rFonts w:ascii="Arial" w:eastAsia="Times New Roman" w:hAnsi="Arial" w:cs="Arial"/>
          <w:bCs/>
          <w:sz w:val="22"/>
          <w:lang w:eastAsia="x-none"/>
        </w:rPr>
        <w:t xml:space="preserve"> en </w:t>
      </w:r>
      <w:r w:rsidRPr="00733DDA">
        <w:rPr>
          <w:rFonts w:ascii="Arial" w:eastAsia="Times New Roman" w:hAnsi="Arial" w:cs="Arial"/>
          <w:bCs/>
          <w:sz w:val="22"/>
          <w:lang w:eastAsia="x-none"/>
        </w:rPr>
        <w:t xml:space="preserve">aquellos no hay concurrencia de pluralidad de oferentes. </w:t>
      </w:r>
    </w:p>
    <w:p w14:paraId="589C3B7B" w14:textId="54C36F65" w:rsidR="00C160C4" w:rsidRPr="00733DDA" w:rsidRDefault="00865A2B" w:rsidP="00B67059">
      <w:pPr>
        <w:spacing w:after="120"/>
        <w:ind w:firstLine="709"/>
        <w:rPr>
          <w:rFonts w:ascii="Arial" w:eastAsia="Times New Roman" w:hAnsi="Arial" w:cs="Arial"/>
          <w:bCs/>
          <w:sz w:val="22"/>
          <w:lang w:eastAsia="x-none"/>
        </w:rPr>
      </w:pPr>
      <w:r w:rsidRPr="00733DDA">
        <w:rPr>
          <w:rFonts w:ascii="Arial" w:eastAsia="Times New Roman" w:hAnsi="Arial" w:cs="Arial"/>
          <w:bCs/>
          <w:sz w:val="22"/>
          <w:lang w:eastAsia="x-none"/>
        </w:rPr>
        <w:t>En este orden</w:t>
      </w:r>
      <w:r w:rsidR="00EE537C" w:rsidRPr="00733DDA">
        <w:rPr>
          <w:rFonts w:ascii="Arial" w:eastAsia="Times New Roman" w:hAnsi="Arial" w:cs="Arial"/>
          <w:bCs/>
          <w:sz w:val="22"/>
          <w:lang w:eastAsia="x-none"/>
        </w:rPr>
        <w:t xml:space="preserve"> de ideas</w:t>
      </w:r>
      <w:r w:rsidRPr="00733DDA">
        <w:rPr>
          <w:rFonts w:ascii="Arial" w:eastAsia="Times New Roman" w:hAnsi="Arial" w:cs="Arial"/>
          <w:bCs/>
          <w:sz w:val="22"/>
          <w:lang w:eastAsia="x-none"/>
        </w:rPr>
        <w:t>, el proceso de enajenación voluntaria de que trata la Ley 388 de 1997, aunque no haga parte del sistema de compras públicas, está sometido a las prohibiciones previstas en la</w:t>
      </w:r>
      <w:r w:rsidR="009F7BFD" w:rsidRPr="00733DDA">
        <w:rPr>
          <w:rFonts w:ascii="Arial" w:eastAsia="Times New Roman" w:hAnsi="Arial" w:cs="Arial"/>
          <w:bCs/>
          <w:sz w:val="22"/>
          <w:lang w:eastAsia="x-none"/>
        </w:rPr>
        <w:t xml:space="preserve"> L</w:t>
      </w:r>
      <w:r w:rsidRPr="00733DDA">
        <w:rPr>
          <w:rFonts w:ascii="Arial" w:eastAsia="Times New Roman" w:hAnsi="Arial" w:cs="Arial"/>
          <w:bCs/>
          <w:sz w:val="22"/>
          <w:lang w:eastAsia="x-none"/>
        </w:rPr>
        <w:t>ey de Garantías Electorales</w:t>
      </w:r>
      <w:r w:rsidR="000A3995" w:rsidRPr="00733DDA">
        <w:rPr>
          <w:rFonts w:ascii="Arial" w:eastAsia="Times New Roman" w:hAnsi="Arial" w:cs="Arial"/>
          <w:bCs/>
          <w:sz w:val="22"/>
          <w:lang w:eastAsia="x-none"/>
        </w:rPr>
        <w:t>,</w:t>
      </w:r>
      <w:r w:rsidRPr="00733DDA">
        <w:rPr>
          <w:rFonts w:ascii="Arial" w:eastAsia="Times New Roman" w:hAnsi="Arial" w:cs="Arial"/>
          <w:bCs/>
          <w:sz w:val="22"/>
          <w:lang w:eastAsia="x-none"/>
        </w:rPr>
        <w:t xml:space="preserve"> porque estas normas no están dirigidas exclusivamente a los procesos de contratación del sistema de compras públicas, sino que </w:t>
      </w:r>
      <w:r w:rsidR="009F7BFD" w:rsidRPr="00733DDA">
        <w:rPr>
          <w:rFonts w:ascii="Arial" w:eastAsia="Times New Roman" w:hAnsi="Arial" w:cs="Arial"/>
          <w:bCs/>
          <w:sz w:val="22"/>
          <w:lang w:eastAsia="x-none"/>
        </w:rPr>
        <w:t>son</w:t>
      </w:r>
      <w:r w:rsidRPr="00733DDA">
        <w:rPr>
          <w:rFonts w:ascii="Arial" w:eastAsia="Times New Roman" w:hAnsi="Arial" w:cs="Arial"/>
          <w:bCs/>
          <w:sz w:val="22"/>
          <w:lang w:eastAsia="x-none"/>
        </w:rPr>
        <w:t xml:space="preserve"> transversal</w:t>
      </w:r>
      <w:r w:rsidR="009F7BFD" w:rsidRPr="00733DDA">
        <w:rPr>
          <w:rFonts w:ascii="Arial" w:eastAsia="Times New Roman" w:hAnsi="Arial" w:cs="Arial"/>
          <w:bCs/>
          <w:sz w:val="22"/>
          <w:lang w:eastAsia="x-none"/>
        </w:rPr>
        <w:t>es</w:t>
      </w:r>
      <w:r w:rsidRPr="00733DDA">
        <w:rPr>
          <w:rFonts w:ascii="Arial" w:eastAsia="Times New Roman" w:hAnsi="Arial" w:cs="Arial"/>
          <w:bCs/>
          <w:sz w:val="22"/>
          <w:lang w:eastAsia="x-none"/>
        </w:rPr>
        <w:t xml:space="preserve"> a la actuación de la</w:t>
      </w:r>
      <w:r w:rsidR="004D4D3A" w:rsidRPr="00733DDA">
        <w:rPr>
          <w:rFonts w:ascii="Arial" w:eastAsia="Times New Roman" w:hAnsi="Arial" w:cs="Arial"/>
          <w:bCs/>
          <w:sz w:val="22"/>
          <w:lang w:eastAsia="x-none"/>
        </w:rPr>
        <w:t xml:space="preserve">s </w:t>
      </w:r>
      <w:r w:rsidR="004D4D3A" w:rsidRPr="00733DDA">
        <w:rPr>
          <w:rFonts w:ascii="Arial" w:eastAsia="Times New Roman" w:hAnsi="Arial" w:cs="Arial"/>
          <w:bCs/>
          <w:sz w:val="22"/>
          <w:lang w:eastAsia="x-none"/>
        </w:rPr>
        <w:lastRenderedPageBreak/>
        <w:t>entidades estatales</w:t>
      </w:r>
      <w:r w:rsidRPr="00733DDA">
        <w:rPr>
          <w:rFonts w:ascii="Arial" w:eastAsia="Times New Roman" w:hAnsi="Arial" w:cs="Arial"/>
          <w:bCs/>
          <w:sz w:val="22"/>
          <w:lang w:eastAsia="x-none"/>
        </w:rPr>
        <w:t xml:space="preserve"> </w:t>
      </w:r>
      <w:r w:rsidR="00C160C4" w:rsidRPr="00733DDA">
        <w:rPr>
          <w:rFonts w:ascii="Arial" w:eastAsia="Times New Roman" w:hAnsi="Arial" w:cs="Arial"/>
          <w:bCs/>
          <w:sz w:val="22"/>
          <w:lang w:eastAsia="x-none"/>
        </w:rPr>
        <w:t>cuyos procesos de contratación no sean competitivos.</w:t>
      </w:r>
      <w:r w:rsidR="00B67059" w:rsidRPr="00733DDA">
        <w:rPr>
          <w:rFonts w:ascii="Arial" w:eastAsia="Times New Roman" w:hAnsi="Arial" w:cs="Arial"/>
          <w:bCs/>
          <w:sz w:val="22"/>
          <w:lang w:eastAsia="x-none"/>
        </w:rPr>
        <w:t xml:space="preserve"> </w:t>
      </w:r>
      <w:r w:rsidR="00C160C4" w:rsidRPr="00733DDA">
        <w:rPr>
          <w:rFonts w:ascii="Arial" w:eastAsia="Times New Roman" w:hAnsi="Arial" w:cs="Arial"/>
          <w:bCs/>
          <w:sz w:val="22"/>
          <w:lang w:eastAsia="x-none"/>
        </w:rPr>
        <w:t xml:space="preserve">Así las cosas, </w:t>
      </w:r>
      <w:r w:rsidR="002628A1" w:rsidRPr="00733DDA">
        <w:rPr>
          <w:rFonts w:ascii="Arial" w:eastAsia="Times New Roman" w:hAnsi="Arial" w:cs="Arial"/>
          <w:bCs/>
          <w:sz w:val="22"/>
          <w:lang w:eastAsia="x-none"/>
        </w:rPr>
        <w:t xml:space="preserve">en vigencia de la prohibición contenida en el artículo 33 de la Ley 996 de 2005, </w:t>
      </w:r>
      <w:r w:rsidR="00C160C4" w:rsidRPr="00733DDA">
        <w:rPr>
          <w:rFonts w:ascii="Arial" w:eastAsia="Times New Roman" w:hAnsi="Arial" w:cs="Arial"/>
          <w:bCs/>
          <w:sz w:val="22"/>
          <w:lang w:eastAsia="x-none"/>
        </w:rPr>
        <w:t xml:space="preserve">las entidades públicas </w:t>
      </w:r>
      <w:r w:rsidR="002628A1" w:rsidRPr="00733DDA">
        <w:rPr>
          <w:rFonts w:ascii="Arial" w:eastAsia="Times New Roman" w:hAnsi="Arial" w:cs="Arial"/>
          <w:bCs/>
          <w:sz w:val="22"/>
          <w:lang w:eastAsia="x-none"/>
        </w:rPr>
        <w:t xml:space="preserve">no pueden adelantar </w:t>
      </w:r>
      <w:r w:rsidR="002628A1" w:rsidRPr="00733DDA">
        <w:rPr>
          <w:rFonts w:ascii="Arial" w:eastAsia="Times New Roman" w:hAnsi="Arial" w:cs="Arial"/>
          <w:bCs/>
          <w:i/>
          <w:iCs/>
          <w:sz w:val="22"/>
          <w:lang w:eastAsia="x-none"/>
        </w:rPr>
        <w:t>de manera directa</w:t>
      </w:r>
      <w:r w:rsidR="002628A1" w:rsidRPr="00733DDA">
        <w:rPr>
          <w:rFonts w:ascii="Arial" w:eastAsia="Times New Roman" w:hAnsi="Arial" w:cs="Arial"/>
          <w:bCs/>
          <w:sz w:val="22"/>
          <w:lang w:eastAsia="x-none"/>
        </w:rPr>
        <w:t xml:space="preserve"> procedimientos de enajenación voluntaria de predios, salvo que se presente alguna de las excepciones taxativas </w:t>
      </w:r>
      <w:r w:rsidR="00E0740D" w:rsidRPr="00733DDA">
        <w:rPr>
          <w:rFonts w:ascii="Arial" w:eastAsia="Times New Roman" w:hAnsi="Arial" w:cs="Arial"/>
          <w:bCs/>
          <w:sz w:val="22"/>
          <w:lang w:eastAsia="x-none"/>
        </w:rPr>
        <w:t>establecidas en dicha norma.</w:t>
      </w:r>
    </w:p>
    <w:bookmarkEnd w:id="46"/>
    <w:bookmarkEnd w:id="47"/>
    <w:p w14:paraId="2EB2320D" w14:textId="77777777" w:rsidR="00264924" w:rsidRPr="00733DDA" w:rsidRDefault="00264924" w:rsidP="00241101">
      <w:pPr>
        <w:spacing w:after="0"/>
        <w:rPr>
          <w:rFonts w:ascii="Times New Roman" w:eastAsia="Times New Roman" w:hAnsi="Times New Roman" w:cs="Times New Roman"/>
          <w:szCs w:val="24"/>
          <w:lang w:val="es-CO" w:eastAsia="es-ES_tradnl"/>
        </w:rPr>
      </w:pPr>
    </w:p>
    <w:p w14:paraId="52ACB68C" w14:textId="65210C65" w:rsidR="001C1A26" w:rsidRPr="00733DDA" w:rsidRDefault="00231E50" w:rsidP="00264924">
      <w:pPr>
        <w:spacing w:after="0"/>
        <w:rPr>
          <w:rFonts w:ascii="Arial" w:eastAsia="Calibri" w:hAnsi="Arial" w:cs="Arial"/>
          <w:b/>
          <w:sz w:val="22"/>
          <w:lang w:val="es-CO"/>
        </w:rPr>
      </w:pPr>
      <w:r w:rsidRPr="00733DDA">
        <w:rPr>
          <w:rFonts w:ascii="Arial" w:eastAsia="Calibri" w:hAnsi="Arial" w:cs="Arial"/>
          <w:b/>
          <w:sz w:val="22"/>
          <w:lang w:val="es-CO"/>
        </w:rPr>
        <w:t>3</w:t>
      </w:r>
      <w:r w:rsidR="00CF2AA3" w:rsidRPr="00733DDA">
        <w:rPr>
          <w:rFonts w:ascii="Arial" w:eastAsia="Calibri" w:hAnsi="Arial" w:cs="Arial"/>
          <w:b/>
          <w:sz w:val="22"/>
          <w:lang w:val="es-CO"/>
        </w:rPr>
        <w:t>. Respuest</w:t>
      </w:r>
      <w:r w:rsidR="001C1A26" w:rsidRPr="00733DDA">
        <w:rPr>
          <w:rFonts w:ascii="Arial" w:eastAsia="Calibri" w:hAnsi="Arial" w:cs="Arial"/>
          <w:b/>
          <w:sz w:val="22"/>
          <w:lang w:val="es-CO"/>
        </w:rPr>
        <w:t>a</w:t>
      </w:r>
    </w:p>
    <w:p w14:paraId="79A8F50A" w14:textId="77777777" w:rsidR="00264924" w:rsidRPr="00733DDA" w:rsidRDefault="00264924" w:rsidP="000641BE">
      <w:pPr>
        <w:spacing w:after="0"/>
        <w:rPr>
          <w:rFonts w:ascii="Arial" w:eastAsia="Calibri" w:hAnsi="Arial" w:cs="Arial"/>
          <w:bCs/>
          <w:sz w:val="22"/>
          <w:lang w:val="es-CO"/>
        </w:rPr>
      </w:pPr>
    </w:p>
    <w:p w14:paraId="3F418B9A" w14:textId="77777777" w:rsidR="00D5553F" w:rsidRPr="00733DDA" w:rsidRDefault="00D5553F" w:rsidP="00D5553F">
      <w:pPr>
        <w:pStyle w:val="NormalWeb"/>
        <w:spacing w:before="0" w:beforeAutospacing="0" w:after="0" w:afterAutospacing="0" w:line="240" w:lineRule="auto"/>
        <w:ind w:left="709" w:right="709"/>
        <w:rPr>
          <w:rFonts w:ascii="Arial" w:hAnsi="Arial" w:cs="Arial"/>
          <w:sz w:val="21"/>
          <w:szCs w:val="21"/>
        </w:rPr>
      </w:pPr>
      <w:bookmarkStart w:id="48" w:name="_Hlk57650395"/>
      <w:r w:rsidRPr="00733DDA">
        <w:rPr>
          <w:rFonts w:ascii="Arial" w:hAnsi="Arial" w:cs="Arial"/>
          <w:sz w:val="21"/>
          <w:szCs w:val="21"/>
        </w:rPr>
        <w:t xml:space="preserve">«Solicitamos definir si la adquisición de predios de importancia estratégica para los fines previstos en el artículo 111 de la Ley 99 de 1993, los cuales se adelantan según el procedimiento establecido en la Ley 388 de 1997, se encuentran restringidos por la ley de garantías electorales, toda vez que según concepto emitido por la Agencia Nacional de Contratación Pública N° Radicado: 2201813000003175 de fecha 18 de abril de 2018 no existiría restricción “toda vez que estos contratos son celebrados por motivos de utilidad pública, en desarrollo de un mandato legal y un procedimiento específico contenido en normas especiales, las cuales no hacen parte del Sistema de Compra Pública. </w:t>
      </w:r>
    </w:p>
    <w:p w14:paraId="50955D33" w14:textId="77777777" w:rsidR="00D5553F" w:rsidRPr="00733DDA" w:rsidRDefault="00D5553F" w:rsidP="00D5553F">
      <w:pPr>
        <w:pStyle w:val="NormalWeb"/>
        <w:spacing w:before="0" w:beforeAutospacing="0" w:after="0" w:afterAutospacing="0" w:line="240" w:lineRule="auto"/>
        <w:ind w:left="709" w:right="709"/>
        <w:rPr>
          <w:rFonts w:ascii="Arial" w:hAnsi="Arial" w:cs="Arial"/>
          <w:sz w:val="21"/>
          <w:szCs w:val="21"/>
        </w:rPr>
      </w:pPr>
    </w:p>
    <w:p w14:paraId="0D25553B" w14:textId="77777777" w:rsidR="00D5553F" w:rsidRPr="00733DDA" w:rsidRDefault="00D5553F" w:rsidP="00D5553F">
      <w:pPr>
        <w:pStyle w:val="NormalWeb"/>
        <w:spacing w:before="0" w:beforeAutospacing="0" w:after="0" w:afterAutospacing="0" w:line="240" w:lineRule="auto"/>
        <w:ind w:left="709" w:right="709"/>
        <w:rPr>
          <w:rFonts w:ascii="Arial" w:hAnsi="Arial" w:cs="Arial"/>
          <w:sz w:val="21"/>
          <w:szCs w:val="21"/>
          <w:shd w:val="clear" w:color="auto" w:fill="FFFFFF"/>
        </w:rPr>
      </w:pPr>
      <w:r w:rsidRPr="00733DDA">
        <w:rPr>
          <w:rFonts w:ascii="Arial" w:hAnsi="Arial" w:cs="Arial"/>
          <w:sz w:val="21"/>
          <w:szCs w:val="21"/>
        </w:rPr>
        <w:t>Sin embargo, el Consejo de Estado Sala de consulta y servicio Civil consejero ponente: ÁLVARO NAMÉN VARGAS Rad. No. 11001-03-06-000-2014-00119-00 de fecha 21 de mayo de 2014, frente a la adquisición de predios para las comunidades indígenas, afrocolombianas y demás minorías étnicas a cargo del INCODER, el cual realiza mediante el procedimiento especial regulado por la Ley 160 de 1994, indicó que si dentro de la etapa de negociación directa se logra acuerdo con un particular para adquirir un predio con destino a las comunidades destinatarias de la Ley 160 de 1994, “el negocio jurídico de compraventa de esos predios queda afectado por la prohibición temporal a la contratación directa, durante los cuatro (4) meses anteriores a la elección presidencial y hasta la realización de la elección en la segunda vuelta, consagrada en el artículo 33 de la Ley 996 de 2005”</w:t>
      </w:r>
      <w:r w:rsidRPr="00733DDA">
        <w:rPr>
          <w:rFonts w:ascii="Arial" w:hAnsi="Arial" w:cs="Arial"/>
          <w:sz w:val="21"/>
          <w:szCs w:val="21"/>
          <w:shd w:val="clear" w:color="auto" w:fill="FFFFFF"/>
        </w:rPr>
        <w:t>».</w:t>
      </w:r>
    </w:p>
    <w:p w14:paraId="403A46FD" w14:textId="0F55F46D" w:rsidR="00D5553F" w:rsidRPr="00733DDA" w:rsidRDefault="00D5553F" w:rsidP="00F97847">
      <w:pPr>
        <w:spacing w:after="120"/>
        <w:rPr>
          <w:rFonts w:ascii="Arial" w:eastAsia="Times New Roman" w:hAnsi="Arial" w:cs="Arial"/>
          <w:bCs/>
          <w:sz w:val="22"/>
          <w:lang w:eastAsia="x-none"/>
        </w:rPr>
      </w:pPr>
    </w:p>
    <w:p w14:paraId="4E1931AF" w14:textId="3329625B" w:rsidR="00D5553F" w:rsidRPr="00733DDA" w:rsidRDefault="00D5553F" w:rsidP="00D5553F">
      <w:pPr>
        <w:spacing w:after="120"/>
        <w:ind w:firstLine="709"/>
        <w:rPr>
          <w:rFonts w:ascii="Arial" w:eastAsia="Times New Roman" w:hAnsi="Arial" w:cs="Arial"/>
          <w:bCs/>
          <w:sz w:val="22"/>
          <w:lang w:eastAsia="x-none"/>
        </w:rPr>
      </w:pPr>
      <w:r w:rsidRPr="00733DDA">
        <w:rPr>
          <w:rFonts w:ascii="Arial" w:eastAsia="Times New Roman" w:hAnsi="Arial" w:cs="Arial"/>
          <w:bCs/>
          <w:sz w:val="22"/>
          <w:lang w:eastAsia="x-none"/>
        </w:rPr>
        <w:t xml:space="preserve">El proceso de enajenación voluntaria de que trata la Ley 388 de 1997, aunque no haga parte del sistema de compras públicas, está sometido a las prohibiciones previstas en la Ley de Garantías Electorales, porque estas normas no están dirigidas exclusivamente a los procesos de contratación del sistema de compras públicas, sino que son transversales a la actuación de las entidades estatales cuyos procesos de contratación no sean competitivos. Así las cosas, en vigencia de la prohibición contenida en el artículo 33 de la Ley 996 de 2005, las entidades públicas no pueden adelantar </w:t>
      </w:r>
      <w:r w:rsidRPr="00733DDA">
        <w:rPr>
          <w:rFonts w:ascii="Arial" w:eastAsia="Times New Roman" w:hAnsi="Arial" w:cs="Arial"/>
          <w:bCs/>
          <w:i/>
          <w:iCs/>
          <w:sz w:val="22"/>
          <w:lang w:eastAsia="x-none"/>
        </w:rPr>
        <w:t>de manera directa</w:t>
      </w:r>
      <w:r w:rsidRPr="00733DDA">
        <w:rPr>
          <w:rFonts w:ascii="Arial" w:eastAsia="Times New Roman" w:hAnsi="Arial" w:cs="Arial"/>
          <w:bCs/>
          <w:sz w:val="22"/>
          <w:lang w:eastAsia="x-none"/>
        </w:rPr>
        <w:t xml:space="preserve"> procedimientos de enajenación voluntaria de predios, </w:t>
      </w:r>
      <w:r w:rsidRPr="00733DDA">
        <w:rPr>
          <w:rFonts w:ascii="Arial" w:eastAsia="Times New Roman" w:hAnsi="Arial" w:cs="Arial"/>
          <w:bCs/>
          <w:sz w:val="22"/>
          <w:lang w:eastAsia="x-none"/>
        </w:rPr>
        <w:lastRenderedPageBreak/>
        <w:t>salvo que se presente alguna de las excepciones taxativas establecidas en dicha norma.</w:t>
      </w:r>
    </w:p>
    <w:p w14:paraId="2E2C62F4" w14:textId="2C2800A3" w:rsidR="00522B46" w:rsidRPr="00733DDA" w:rsidRDefault="00C160C4" w:rsidP="00F97847">
      <w:pPr>
        <w:spacing w:after="120"/>
        <w:ind w:firstLine="709"/>
        <w:rPr>
          <w:rFonts w:ascii="Arial" w:eastAsia="Times New Roman" w:hAnsi="Arial" w:cs="Arial"/>
          <w:bCs/>
          <w:sz w:val="22"/>
          <w:lang w:eastAsia="x-none"/>
        </w:rPr>
      </w:pPr>
      <w:r w:rsidRPr="00733DDA">
        <w:rPr>
          <w:rFonts w:ascii="Arial" w:eastAsia="Times New Roman" w:hAnsi="Arial" w:cs="Arial"/>
          <w:bCs/>
          <w:sz w:val="22"/>
          <w:lang w:eastAsia="x-none"/>
        </w:rPr>
        <w:t xml:space="preserve"> </w:t>
      </w:r>
    </w:p>
    <w:p w14:paraId="63C71BE5" w14:textId="77777777" w:rsidR="00522B46" w:rsidRPr="00733DDA" w:rsidRDefault="00506085" w:rsidP="0006331A">
      <w:pPr>
        <w:spacing w:after="0"/>
        <w:rPr>
          <w:rFonts w:ascii="Arial" w:eastAsia="Calibri" w:hAnsi="Arial" w:cs="Arial"/>
          <w:sz w:val="22"/>
          <w:lang w:val="es-CO"/>
        </w:rPr>
      </w:pPr>
      <w:r w:rsidRPr="00733DDA">
        <w:rPr>
          <w:rFonts w:ascii="Arial" w:eastAsia="Calibri" w:hAnsi="Arial" w:cs="Arial"/>
          <w:sz w:val="22"/>
          <w:lang w:val="es-CO"/>
        </w:rPr>
        <w:t>Este concepto tiene el alcance previsto en el artículo 28 del Código de Procedimiento Administrativo y de lo Contencioso Administrativo.</w:t>
      </w:r>
    </w:p>
    <w:p w14:paraId="06025F48" w14:textId="4C2287F8" w:rsidR="00506085" w:rsidRPr="00733DDA" w:rsidRDefault="00506085" w:rsidP="0006331A">
      <w:pPr>
        <w:spacing w:after="0"/>
        <w:rPr>
          <w:rFonts w:ascii="Times New Roman" w:eastAsia="Times New Roman" w:hAnsi="Times New Roman" w:cs="Times New Roman"/>
          <w:szCs w:val="24"/>
          <w:lang w:val="es-CO" w:eastAsia="es-ES_tradnl"/>
        </w:rPr>
      </w:pPr>
      <w:r w:rsidRPr="00733DDA">
        <w:rPr>
          <w:rFonts w:ascii="Arial" w:hAnsi="Arial" w:cs="Arial"/>
          <w:noProof/>
          <w:lang w:val="en-US"/>
        </w:rPr>
        <mc:AlternateContent>
          <mc:Choice Requires="wps">
            <w:drawing>
              <wp:anchor distT="0" distB="0" distL="114300" distR="114300" simplePos="0" relativeHeight="251659264" behindDoc="0" locked="0" layoutInCell="1" allowOverlap="1" wp14:anchorId="6B9241D6" wp14:editId="64F49FCF">
                <wp:simplePos x="0" y="0"/>
                <wp:positionH relativeFrom="page">
                  <wp:posOffset>1514475</wp:posOffset>
                </wp:positionH>
                <wp:positionV relativeFrom="paragraph">
                  <wp:posOffset>10160</wp:posOffset>
                </wp:positionV>
                <wp:extent cx="4686300" cy="0"/>
                <wp:effectExtent l="0" t="0" r="0" b="0"/>
                <wp:wrapNone/>
                <wp:docPr id="2" name="Conector recto 2"/>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7DF7D8B7">
              <v:line id="Conector recto 2"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o:spid="_x0000_s1026" strokecolor="#dbdbdb" from="119.25pt,.8pt" to="488.25pt,.8pt" w14:anchorId="76B257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">
                <w10:wrap anchorx="page"/>
              </v:line>
            </w:pict>
          </mc:Fallback>
        </mc:AlternateContent>
      </w:r>
    </w:p>
    <w:p w14:paraId="240E0475" w14:textId="28658B99" w:rsidR="00506085" w:rsidRPr="00733DDA" w:rsidRDefault="00506085" w:rsidP="00E7700C">
      <w:pPr>
        <w:rPr>
          <w:rFonts w:ascii="Arial" w:eastAsia="Times New Roman" w:hAnsi="Arial" w:cs="Arial"/>
          <w:sz w:val="22"/>
          <w:lang w:val="es-CO" w:eastAsia="es-CO"/>
        </w:rPr>
      </w:pPr>
      <w:r w:rsidRPr="00733DDA">
        <w:rPr>
          <w:rFonts w:ascii="Arial" w:eastAsia="Times New Roman" w:hAnsi="Arial" w:cs="Arial"/>
          <w:sz w:val="22"/>
          <w:lang w:val="es-CO" w:eastAsia="es-CO"/>
        </w:rPr>
        <w:t>Atentamente,</w:t>
      </w:r>
    </w:p>
    <w:p w14:paraId="299FA360" w14:textId="5FFEBEC9" w:rsidR="009F596F" w:rsidRPr="00733DDA" w:rsidRDefault="00AD35D7" w:rsidP="009D2B58">
      <w:pPr>
        <w:jc w:val="center"/>
        <w:rPr>
          <w:rFonts w:ascii="Arial" w:eastAsia="Times New Roman" w:hAnsi="Arial" w:cs="Arial"/>
          <w:color w:val="000000" w:themeColor="text1"/>
          <w:sz w:val="18"/>
          <w:szCs w:val="20"/>
          <w:lang w:eastAsia="es-CO"/>
        </w:rPr>
      </w:pPr>
      <w:r w:rsidRPr="00733DDA">
        <w:rPr>
          <w:noProof/>
          <w:lang w:val="en-US"/>
        </w:rPr>
        <w:drawing>
          <wp:inline distT="0" distB="0" distL="0" distR="0" wp14:anchorId="26FF3ACB" wp14:editId="3755F8E3">
            <wp:extent cx="2514600" cy="1114425"/>
            <wp:effectExtent l="0" t="0" r="0" b="9525"/>
            <wp:docPr id="1"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Texto&#10;&#10;Descripción generada automáticament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514600" cy="1114425"/>
                    </a:xfrm>
                    <a:prstGeom prst="rect">
                      <a:avLst/>
                    </a:prstGeom>
                    <a:noFill/>
                    <a:ln>
                      <a:noFill/>
                    </a:ln>
                  </pic:spPr>
                </pic:pic>
              </a:graphicData>
            </a:graphic>
          </wp:inline>
        </w:drawing>
      </w:r>
      <w:r w:rsidRPr="00733DDA">
        <w:rPr>
          <w:rFonts w:ascii="Arial" w:hAnsi="Arial" w:cs="Arial"/>
          <w:color w:val="000000"/>
          <w:sz w:val="18"/>
          <w:szCs w:val="18"/>
          <w:shd w:val="clear" w:color="auto" w:fill="FFFFFF"/>
        </w:rPr>
        <w:br/>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291"/>
      </w:tblGrid>
      <w:tr w:rsidR="00843449" w:rsidRPr="00733DDA" w14:paraId="59E26AD8" w14:textId="77777777" w:rsidTr="00DE279B">
        <w:trPr>
          <w:trHeight w:val="315"/>
        </w:trPr>
        <w:tc>
          <w:tcPr>
            <w:tcW w:w="812" w:type="dxa"/>
            <w:vAlign w:val="center"/>
            <w:hideMark/>
          </w:tcPr>
          <w:p w14:paraId="53421173" w14:textId="77777777" w:rsidR="00843449" w:rsidRPr="00733DDA" w:rsidRDefault="00843449" w:rsidP="00E7700C">
            <w:pPr>
              <w:spacing w:line="276" w:lineRule="auto"/>
              <w:rPr>
                <w:rFonts w:ascii="Arial" w:eastAsia="Times New Roman" w:hAnsi="Arial" w:cs="Arial"/>
                <w:color w:val="000000" w:themeColor="text1"/>
                <w:sz w:val="16"/>
                <w:szCs w:val="16"/>
                <w:lang w:val="es-CO" w:eastAsia="es-ES"/>
              </w:rPr>
            </w:pPr>
            <w:r w:rsidRPr="00733DDA">
              <w:rPr>
                <w:rFonts w:ascii="Arial" w:eastAsia="Times New Roman" w:hAnsi="Arial" w:cs="Arial"/>
                <w:color w:val="000000" w:themeColor="text1"/>
                <w:sz w:val="16"/>
                <w:szCs w:val="16"/>
                <w:lang w:val="es-CO" w:eastAsia="es-ES"/>
              </w:rPr>
              <w:t>Elaboró:</w:t>
            </w:r>
          </w:p>
        </w:tc>
        <w:tc>
          <w:tcPr>
            <w:tcW w:w="4291" w:type="dxa"/>
            <w:tcBorders>
              <w:top w:val="nil"/>
              <w:left w:val="nil"/>
              <w:bottom w:val="dotted" w:sz="4" w:space="0" w:color="7F7F7F" w:themeColor="text1" w:themeTint="80"/>
              <w:right w:val="nil"/>
            </w:tcBorders>
            <w:vAlign w:val="center"/>
            <w:hideMark/>
          </w:tcPr>
          <w:p w14:paraId="6466CE47" w14:textId="77777777" w:rsidR="00DB26C9" w:rsidRPr="00733DDA" w:rsidRDefault="00DB26C9" w:rsidP="00522B46">
            <w:pPr>
              <w:spacing w:line="276" w:lineRule="auto"/>
              <w:rPr>
                <w:rFonts w:ascii="Arial" w:eastAsia="Times New Roman" w:hAnsi="Arial" w:cs="Arial"/>
                <w:color w:val="000000" w:themeColor="text1"/>
                <w:sz w:val="16"/>
                <w:szCs w:val="16"/>
                <w:lang w:val="es-CO" w:eastAsia="es-ES"/>
              </w:rPr>
            </w:pPr>
            <w:r w:rsidRPr="00733DDA">
              <w:rPr>
                <w:rFonts w:ascii="Arial" w:eastAsia="Times New Roman" w:hAnsi="Arial" w:cs="Arial"/>
                <w:color w:val="000000" w:themeColor="text1"/>
                <w:sz w:val="16"/>
                <w:szCs w:val="16"/>
                <w:lang w:val="es-CO" w:eastAsia="es-ES"/>
              </w:rPr>
              <w:t>Nina María Padrón Ballestas</w:t>
            </w:r>
          </w:p>
          <w:p w14:paraId="3F63272B" w14:textId="5DD03E32" w:rsidR="00843449" w:rsidRPr="00733DDA" w:rsidRDefault="00DB26C9" w:rsidP="00522B46">
            <w:pPr>
              <w:spacing w:line="276" w:lineRule="auto"/>
              <w:rPr>
                <w:rFonts w:ascii="Arial" w:eastAsia="Times New Roman" w:hAnsi="Arial" w:cs="Arial"/>
                <w:color w:val="000000" w:themeColor="text1"/>
                <w:sz w:val="16"/>
                <w:szCs w:val="16"/>
                <w:lang w:val="es-CO" w:eastAsia="es-ES"/>
              </w:rPr>
            </w:pPr>
            <w:r w:rsidRPr="00733DDA">
              <w:rPr>
                <w:rFonts w:ascii="Arial" w:eastAsia="Times New Roman" w:hAnsi="Arial" w:cs="Arial"/>
                <w:color w:val="000000" w:themeColor="text1"/>
                <w:sz w:val="16"/>
                <w:szCs w:val="16"/>
                <w:lang w:val="es-CO" w:eastAsia="es-ES"/>
              </w:rPr>
              <w:t>Contratista</w:t>
            </w:r>
            <w:r w:rsidR="00522B46" w:rsidRPr="00733DDA">
              <w:rPr>
                <w:rFonts w:ascii="Arial" w:eastAsia="Times New Roman" w:hAnsi="Arial" w:cs="Arial"/>
                <w:color w:val="000000" w:themeColor="text1"/>
                <w:sz w:val="16"/>
                <w:szCs w:val="16"/>
                <w:lang w:val="es-CO" w:eastAsia="es-ES"/>
              </w:rPr>
              <w:t xml:space="preserve"> de la Subdirección de Gestión Contractual</w:t>
            </w:r>
          </w:p>
        </w:tc>
      </w:tr>
      <w:tr w:rsidR="00843449" w:rsidRPr="00733DDA" w14:paraId="363E18D7" w14:textId="77777777" w:rsidTr="00DE279B">
        <w:trPr>
          <w:trHeight w:val="330"/>
        </w:trPr>
        <w:tc>
          <w:tcPr>
            <w:tcW w:w="812" w:type="dxa"/>
            <w:vAlign w:val="center"/>
            <w:hideMark/>
          </w:tcPr>
          <w:p w14:paraId="5E29D295" w14:textId="77777777" w:rsidR="00843449" w:rsidRPr="00733DDA" w:rsidRDefault="00843449" w:rsidP="00E7700C">
            <w:pPr>
              <w:spacing w:line="276" w:lineRule="auto"/>
              <w:rPr>
                <w:rFonts w:ascii="Arial" w:eastAsia="Times New Roman" w:hAnsi="Arial" w:cs="Arial"/>
                <w:color w:val="000000" w:themeColor="text1"/>
                <w:sz w:val="16"/>
                <w:szCs w:val="16"/>
                <w:lang w:val="es-CO" w:eastAsia="es-ES"/>
              </w:rPr>
            </w:pPr>
            <w:r w:rsidRPr="00733DDA">
              <w:rPr>
                <w:rFonts w:ascii="Arial" w:eastAsia="Times New Roman" w:hAnsi="Arial" w:cs="Arial"/>
                <w:color w:val="000000" w:themeColor="text1"/>
                <w:sz w:val="16"/>
                <w:szCs w:val="16"/>
                <w:lang w:val="es-CO" w:eastAsia="es-ES"/>
              </w:rPr>
              <w:t>Revisó:</w:t>
            </w:r>
          </w:p>
        </w:tc>
        <w:tc>
          <w:tcPr>
            <w:tcW w:w="4291" w:type="dxa"/>
            <w:tcBorders>
              <w:top w:val="dotted" w:sz="4" w:space="0" w:color="7F7F7F" w:themeColor="text1" w:themeTint="80"/>
              <w:left w:val="nil"/>
              <w:bottom w:val="dotted" w:sz="4" w:space="0" w:color="7F7F7F" w:themeColor="text1" w:themeTint="80"/>
              <w:right w:val="nil"/>
            </w:tcBorders>
            <w:vAlign w:val="center"/>
            <w:hideMark/>
          </w:tcPr>
          <w:p w14:paraId="125E5D27" w14:textId="15AD2663" w:rsidR="00843449" w:rsidRPr="00733DDA" w:rsidRDefault="00DB26C9" w:rsidP="00522B46">
            <w:pPr>
              <w:spacing w:line="276" w:lineRule="auto"/>
              <w:rPr>
                <w:rFonts w:ascii="Arial" w:eastAsia="Times New Roman" w:hAnsi="Arial" w:cs="Arial"/>
                <w:color w:val="000000" w:themeColor="text1"/>
                <w:sz w:val="16"/>
                <w:szCs w:val="16"/>
                <w:lang w:val="es-CO" w:eastAsia="es-ES"/>
              </w:rPr>
            </w:pPr>
            <w:r w:rsidRPr="00733DDA">
              <w:rPr>
                <w:rFonts w:ascii="Arial" w:eastAsia="Times New Roman" w:hAnsi="Arial" w:cs="Arial"/>
                <w:color w:val="000000" w:themeColor="text1"/>
                <w:sz w:val="16"/>
                <w:szCs w:val="16"/>
                <w:lang w:val="es-CO" w:eastAsia="es-ES"/>
              </w:rPr>
              <w:t>Cristian</w:t>
            </w:r>
            <w:r w:rsidR="001F1CF5" w:rsidRPr="00733DDA">
              <w:rPr>
                <w:rFonts w:ascii="Arial" w:eastAsia="Times New Roman" w:hAnsi="Arial" w:cs="Arial"/>
                <w:color w:val="000000" w:themeColor="text1"/>
                <w:sz w:val="16"/>
                <w:szCs w:val="16"/>
                <w:lang w:val="es-CO" w:eastAsia="es-ES"/>
              </w:rPr>
              <w:t xml:space="preserve"> Andrés</w:t>
            </w:r>
            <w:r w:rsidRPr="00733DDA">
              <w:rPr>
                <w:rFonts w:ascii="Arial" w:eastAsia="Times New Roman" w:hAnsi="Arial" w:cs="Arial"/>
                <w:color w:val="000000" w:themeColor="text1"/>
                <w:sz w:val="16"/>
                <w:szCs w:val="16"/>
                <w:lang w:val="es-CO" w:eastAsia="es-ES"/>
              </w:rPr>
              <w:t xml:space="preserve"> Díaz </w:t>
            </w:r>
            <w:r w:rsidR="001F3C4E" w:rsidRPr="00733DDA">
              <w:rPr>
                <w:rFonts w:ascii="Arial" w:eastAsia="Times New Roman" w:hAnsi="Arial" w:cs="Arial"/>
                <w:color w:val="000000" w:themeColor="text1"/>
                <w:sz w:val="16"/>
                <w:szCs w:val="16"/>
                <w:lang w:val="es-CO" w:eastAsia="es-ES"/>
              </w:rPr>
              <w:t>D</w:t>
            </w:r>
            <w:r w:rsidR="001F1CF5" w:rsidRPr="00733DDA">
              <w:rPr>
                <w:rFonts w:ascii="Arial" w:eastAsia="Times New Roman" w:hAnsi="Arial" w:cs="Arial"/>
                <w:color w:val="000000" w:themeColor="text1"/>
                <w:sz w:val="16"/>
                <w:szCs w:val="16"/>
                <w:lang w:val="es-CO" w:eastAsia="es-ES"/>
              </w:rPr>
              <w:t>í</w:t>
            </w:r>
            <w:r w:rsidR="001F3C4E" w:rsidRPr="00733DDA">
              <w:rPr>
                <w:rFonts w:ascii="Arial" w:eastAsia="Times New Roman" w:hAnsi="Arial" w:cs="Arial"/>
                <w:color w:val="000000" w:themeColor="text1"/>
                <w:sz w:val="16"/>
                <w:szCs w:val="16"/>
                <w:lang w:val="es-CO" w:eastAsia="es-ES"/>
              </w:rPr>
              <w:t xml:space="preserve">ez </w:t>
            </w:r>
          </w:p>
          <w:p w14:paraId="30332C7A" w14:textId="101C6AB4" w:rsidR="00DB26C9" w:rsidRPr="00733DDA" w:rsidRDefault="00DB26C9" w:rsidP="00522B46">
            <w:pPr>
              <w:spacing w:line="276" w:lineRule="auto"/>
              <w:rPr>
                <w:rFonts w:ascii="Arial" w:eastAsia="Times New Roman" w:hAnsi="Arial" w:cs="Arial"/>
                <w:color w:val="000000" w:themeColor="text1"/>
                <w:sz w:val="16"/>
                <w:szCs w:val="16"/>
                <w:lang w:val="es-CO" w:eastAsia="es-ES"/>
              </w:rPr>
            </w:pPr>
            <w:r w:rsidRPr="00733DDA">
              <w:rPr>
                <w:rFonts w:ascii="Arial" w:eastAsia="Times New Roman" w:hAnsi="Arial" w:cs="Arial"/>
                <w:color w:val="000000" w:themeColor="text1"/>
                <w:sz w:val="16"/>
                <w:szCs w:val="16"/>
                <w:lang w:val="es-CO" w:eastAsia="es-ES"/>
              </w:rPr>
              <w:t>Contratista de la Subdirección de Gestión Contractual</w:t>
            </w:r>
          </w:p>
        </w:tc>
      </w:tr>
      <w:tr w:rsidR="00843449" w14:paraId="4231B1F9" w14:textId="77777777" w:rsidTr="00DE279B">
        <w:trPr>
          <w:trHeight w:val="300"/>
        </w:trPr>
        <w:tc>
          <w:tcPr>
            <w:tcW w:w="812" w:type="dxa"/>
            <w:vAlign w:val="center"/>
            <w:hideMark/>
          </w:tcPr>
          <w:p w14:paraId="074BC5C1" w14:textId="77777777" w:rsidR="00843449" w:rsidRPr="00733DDA" w:rsidRDefault="00843449" w:rsidP="00E7700C">
            <w:pPr>
              <w:spacing w:line="276" w:lineRule="auto"/>
              <w:rPr>
                <w:rFonts w:ascii="Arial" w:eastAsia="Times New Roman" w:hAnsi="Arial" w:cs="Arial"/>
                <w:color w:val="000000" w:themeColor="text1"/>
                <w:sz w:val="16"/>
                <w:szCs w:val="16"/>
                <w:lang w:val="es-CO" w:eastAsia="es-ES"/>
              </w:rPr>
            </w:pPr>
            <w:r w:rsidRPr="00733DDA">
              <w:rPr>
                <w:rFonts w:ascii="Arial" w:eastAsia="Times New Roman" w:hAnsi="Arial" w:cs="Arial"/>
                <w:color w:val="000000" w:themeColor="text1"/>
                <w:sz w:val="16"/>
                <w:szCs w:val="16"/>
                <w:lang w:val="es-CO" w:eastAsia="es-ES"/>
              </w:rPr>
              <w:t>Aprobó:</w:t>
            </w:r>
          </w:p>
        </w:tc>
        <w:tc>
          <w:tcPr>
            <w:tcW w:w="4291" w:type="dxa"/>
            <w:tcBorders>
              <w:top w:val="dotted" w:sz="4" w:space="0" w:color="7F7F7F" w:themeColor="text1" w:themeTint="80"/>
              <w:left w:val="nil"/>
              <w:bottom w:val="dotted" w:sz="4" w:space="0" w:color="7F7F7F" w:themeColor="text1" w:themeTint="80"/>
              <w:right w:val="nil"/>
            </w:tcBorders>
            <w:vAlign w:val="center"/>
            <w:hideMark/>
          </w:tcPr>
          <w:p w14:paraId="00EE21D5" w14:textId="77777777" w:rsidR="00843449" w:rsidRPr="00733DDA" w:rsidRDefault="00843449" w:rsidP="00E7700C">
            <w:pPr>
              <w:spacing w:line="276" w:lineRule="auto"/>
              <w:rPr>
                <w:rFonts w:ascii="Arial" w:eastAsia="Times New Roman" w:hAnsi="Arial" w:cs="Arial"/>
                <w:color w:val="000000" w:themeColor="text1"/>
                <w:sz w:val="16"/>
                <w:szCs w:val="16"/>
                <w:lang w:val="es-CO" w:eastAsia="es-ES"/>
              </w:rPr>
            </w:pPr>
            <w:r w:rsidRPr="00733DDA">
              <w:rPr>
                <w:rFonts w:ascii="Arial" w:eastAsia="Times New Roman" w:hAnsi="Arial" w:cs="Arial"/>
                <w:color w:val="000000" w:themeColor="text1"/>
                <w:sz w:val="16"/>
                <w:szCs w:val="16"/>
                <w:lang w:val="es-CO" w:eastAsia="es-ES"/>
              </w:rPr>
              <w:t>Jorge Augusto Tirado Navarro</w:t>
            </w:r>
          </w:p>
          <w:p w14:paraId="4A949C01" w14:textId="77777777" w:rsidR="00843449" w:rsidRDefault="00843449" w:rsidP="00E7700C">
            <w:pPr>
              <w:spacing w:line="276" w:lineRule="auto"/>
              <w:rPr>
                <w:rFonts w:ascii="Arial" w:eastAsia="Times New Roman" w:hAnsi="Arial" w:cs="Arial"/>
                <w:color w:val="000000" w:themeColor="text1"/>
                <w:sz w:val="16"/>
                <w:szCs w:val="16"/>
                <w:lang w:val="es-CO" w:eastAsia="es-ES"/>
              </w:rPr>
            </w:pPr>
            <w:r w:rsidRPr="00733DDA">
              <w:rPr>
                <w:rFonts w:ascii="Arial" w:eastAsia="Times New Roman" w:hAnsi="Arial" w:cs="Arial"/>
                <w:color w:val="000000" w:themeColor="text1"/>
                <w:sz w:val="16"/>
                <w:szCs w:val="16"/>
                <w:lang w:val="es-CO" w:eastAsia="es-ES"/>
              </w:rPr>
              <w:t>Subdirector de Gestión Contractual ANCP – CCE</w:t>
            </w:r>
          </w:p>
        </w:tc>
      </w:tr>
      <w:bookmarkEnd w:id="48"/>
    </w:tbl>
    <w:p w14:paraId="20333B98" w14:textId="77777777" w:rsidR="006674C1" w:rsidRPr="006674C1" w:rsidRDefault="006674C1" w:rsidP="00E7700C">
      <w:pPr>
        <w:spacing w:after="120"/>
        <w:contextualSpacing/>
        <w:rPr>
          <w:rFonts w:ascii="Arial" w:eastAsia="Calibri" w:hAnsi="Arial" w:cs="Arial"/>
          <w:b/>
          <w:bCs/>
          <w:sz w:val="20"/>
          <w:szCs w:val="20"/>
        </w:rPr>
      </w:pPr>
    </w:p>
    <w:sectPr w:rsidR="006674C1" w:rsidRPr="006674C1" w:rsidSect="003D603B">
      <w:headerReference w:type="default" r:id="rId13"/>
      <w:footerReference w:type="default" r:id="rId14"/>
      <w:pgSz w:w="12240" w:h="15840"/>
      <w:pgMar w:top="411" w:right="2317"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543C31" w14:textId="77777777" w:rsidR="00C96EB7" w:rsidRDefault="00C96EB7">
      <w:r>
        <w:separator/>
      </w:r>
    </w:p>
  </w:endnote>
  <w:endnote w:type="continuationSeparator" w:id="0">
    <w:p w14:paraId="2EE096EA" w14:textId="77777777" w:rsidR="00C96EB7" w:rsidRDefault="00C96E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altName w:val="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A8D1CB" w14:textId="1AB2AE8F" w:rsidR="00412132" w:rsidRDefault="00412132" w:rsidP="00B6444C">
    <w:pPr>
      <w:pStyle w:val="Sinespaciado"/>
      <w:rPr>
        <w:rFonts w:ascii="Arial" w:hAnsi="Arial" w:cs="Arial"/>
        <w:sz w:val="18"/>
        <w:szCs w:val="18"/>
      </w:rPr>
    </w:pPr>
  </w:p>
  <w:p w14:paraId="53DF6B5B" w14:textId="77777777" w:rsidR="00412132" w:rsidRDefault="00412132" w:rsidP="00B6444C">
    <w:pPr>
      <w:pStyle w:val="Sinespaciado"/>
      <w:rPr>
        <w:rFonts w:ascii="Arial" w:hAnsi="Arial" w:cs="Arial"/>
        <w:sz w:val="18"/>
        <w:szCs w:val="18"/>
      </w:rPr>
    </w:pPr>
  </w:p>
  <w:p w14:paraId="312C4A14" w14:textId="698987FE" w:rsidR="00412132" w:rsidRPr="005A79FE" w:rsidRDefault="00412132" w:rsidP="005A79FE">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1F3C4E">
      <w:rPr>
        <w:rFonts w:ascii="Arial" w:hAnsi="Arial" w:cs="Arial"/>
        <w:b/>
        <w:bCs/>
        <w:noProof/>
        <w:color w:val="7F7F7F" w:themeColor="text1" w:themeTint="80"/>
        <w:sz w:val="16"/>
        <w:szCs w:val="16"/>
      </w:rPr>
      <w:t>20</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1F3C4E">
      <w:rPr>
        <w:rFonts w:ascii="Arial" w:hAnsi="Arial" w:cs="Arial"/>
        <w:b/>
        <w:bCs/>
        <w:noProof/>
        <w:color w:val="7F7F7F" w:themeColor="text1" w:themeTint="80"/>
        <w:sz w:val="16"/>
        <w:szCs w:val="16"/>
      </w:rPr>
      <w:t>25</w:t>
    </w:r>
    <w:r w:rsidRPr="00084B97">
      <w:rPr>
        <w:rFonts w:ascii="Arial" w:hAnsi="Arial" w:cs="Arial"/>
        <w:b/>
        <w:bCs/>
        <w:color w:val="7F7F7F" w:themeColor="text1" w:themeTint="80"/>
        <w:sz w:val="16"/>
        <w:szCs w:val="16"/>
      </w:rPr>
      <w:fldChar w:fldCharType="end"/>
    </w:r>
  </w:p>
  <w:p w14:paraId="48FC6A04" w14:textId="4A5E79D2" w:rsidR="00412132" w:rsidRDefault="00412132" w:rsidP="007B0854">
    <w:pPr>
      <w:pStyle w:val="Piedepgina"/>
      <w:jc w:val="center"/>
      <w:rPr>
        <w:lang w:val="es-ES"/>
      </w:rPr>
    </w:pPr>
    <w:r>
      <w:rPr>
        <w:noProof/>
        <w:lang w:val="en-US"/>
      </w:rPr>
      <w:drawing>
        <wp:inline distT="0" distB="0" distL="0" distR="0" wp14:anchorId="608B196D" wp14:editId="577C97FD">
          <wp:extent cx="4241994" cy="595165"/>
          <wp:effectExtent l="0" t="0" r="6350" b="0"/>
          <wp:docPr id="6"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2"/>
                  <pic:cNvPicPr/>
                </pic:nvPicPr>
                <pic:blipFill>
                  <a:blip r:embed="rId1">
                    <a:extLst>
                      <a:ext uri="{28A0092B-C50C-407E-A947-70E740481C1C}">
                        <a14:useLocalDpi xmlns:a14="http://schemas.microsoft.com/office/drawing/2010/main" val="0"/>
                      </a:ext>
                    </a:extLst>
                  </a:blip>
                  <a:stretch>
                    <a:fillRect/>
                  </a:stretch>
                </pic:blipFill>
                <pic:spPr>
                  <a:xfrm>
                    <a:off x="0" y="0"/>
                    <a:ext cx="4241994" cy="595165"/>
                  </a:xfrm>
                  <a:prstGeom prst="rect">
                    <a:avLst/>
                  </a:prstGeom>
                </pic:spPr>
              </pic:pic>
            </a:graphicData>
          </a:graphic>
        </wp:inline>
      </w:drawing>
    </w:r>
  </w:p>
  <w:p w14:paraId="25744B2D" w14:textId="77777777" w:rsidR="00412132" w:rsidRDefault="00412132" w:rsidP="007B0854">
    <w:pPr>
      <w:pStyle w:val="Piedepgina"/>
      <w:jc w:val="center"/>
      <w:rPr>
        <w:lang w:val="es-ES"/>
      </w:rPr>
    </w:pPr>
  </w:p>
  <w:p w14:paraId="645768A8" w14:textId="77777777" w:rsidR="00412132" w:rsidRPr="007B0854" w:rsidRDefault="00412132" w:rsidP="00A5235A">
    <w:pPr>
      <w:pStyle w:val="Piedepgina"/>
      <w:spacing w:line="120" w:lineRule="auto"/>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B68910" w14:textId="77777777" w:rsidR="00C96EB7" w:rsidRDefault="00C96EB7">
      <w:r>
        <w:separator/>
      </w:r>
    </w:p>
  </w:footnote>
  <w:footnote w:type="continuationSeparator" w:id="0">
    <w:p w14:paraId="0C24FE86" w14:textId="77777777" w:rsidR="00C96EB7" w:rsidRDefault="00C96EB7">
      <w:r>
        <w:continuationSeparator/>
      </w:r>
    </w:p>
  </w:footnote>
  <w:footnote w:id="1">
    <w:p w14:paraId="4DEAC599" w14:textId="5881580C" w:rsidR="00E008F1" w:rsidRPr="00F97847" w:rsidRDefault="00E008F1" w:rsidP="000870BB">
      <w:pPr>
        <w:pStyle w:val="Textonotapie"/>
        <w:spacing w:after="0" w:line="240" w:lineRule="auto"/>
        <w:ind w:firstLine="709"/>
        <w:rPr>
          <w:rFonts w:ascii="Arial" w:hAnsi="Arial" w:cs="Arial"/>
          <w:sz w:val="19"/>
          <w:szCs w:val="19"/>
        </w:rPr>
      </w:pPr>
      <w:r w:rsidRPr="00F97847">
        <w:rPr>
          <w:rStyle w:val="Refdenotaalpie"/>
          <w:rFonts w:ascii="Arial" w:hAnsi="Arial" w:cs="Arial"/>
          <w:sz w:val="19"/>
          <w:szCs w:val="19"/>
        </w:rPr>
        <w:footnoteRef/>
      </w:r>
      <w:r w:rsidRPr="00F97847">
        <w:rPr>
          <w:rFonts w:ascii="Arial" w:hAnsi="Arial" w:cs="Arial"/>
          <w:sz w:val="19"/>
          <w:szCs w:val="19"/>
        </w:rPr>
        <w:t xml:space="preserve"> El artículo 127 de la Consti</w:t>
      </w:r>
      <w:r w:rsidR="00296D38" w:rsidRPr="00F97847">
        <w:rPr>
          <w:rFonts w:ascii="Arial" w:hAnsi="Arial" w:cs="Arial"/>
          <w:sz w:val="19"/>
          <w:szCs w:val="19"/>
        </w:rPr>
        <w:t>tu</w:t>
      </w:r>
      <w:r w:rsidRPr="00F97847">
        <w:rPr>
          <w:rFonts w:ascii="Arial" w:hAnsi="Arial" w:cs="Arial"/>
          <w:sz w:val="19"/>
          <w:szCs w:val="19"/>
        </w:rPr>
        <w:t>ción Política señala:</w:t>
      </w:r>
      <w:r w:rsidR="00F555DB" w:rsidRPr="00F97847">
        <w:rPr>
          <w:rFonts w:ascii="Arial" w:hAnsi="Arial" w:cs="Arial"/>
          <w:sz w:val="19"/>
          <w:szCs w:val="19"/>
        </w:rPr>
        <w:t xml:space="preserve"> </w:t>
      </w:r>
      <w:r w:rsidRPr="00F97847">
        <w:rPr>
          <w:rFonts w:ascii="Arial" w:hAnsi="Arial" w:cs="Arial"/>
          <w:sz w:val="19"/>
          <w:szCs w:val="19"/>
        </w:rPr>
        <w:t xml:space="preserve">«Los servidores públicos no podrán celebrar, por si o por interpuesta persona, o en representación de otro, contrato alguno con entidades </w:t>
      </w:r>
      <w:r w:rsidR="00F27A52" w:rsidRPr="00F97847">
        <w:rPr>
          <w:rFonts w:ascii="Arial" w:hAnsi="Arial" w:cs="Arial"/>
          <w:sz w:val="19"/>
          <w:szCs w:val="19"/>
        </w:rPr>
        <w:t>públicas</w:t>
      </w:r>
      <w:r w:rsidRPr="00F97847">
        <w:rPr>
          <w:rFonts w:ascii="Arial" w:hAnsi="Arial" w:cs="Arial"/>
          <w:sz w:val="19"/>
          <w:szCs w:val="19"/>
        </w:rPr>
        <w:t xml:space="preserve"> o con personas privadas que manejen o administren recursos públicos, salvo las excepciones legales. </w:t>
      </w:r>
    </w:p>
    <w:p w14:paraId="4525A19C" w14:textId="41209B97" w:rsidR="00E008F1" w:rsidRPr="00F97847" w:rsidRDefault="00A923B7" w:rsidP="000870BB">
      <w:pPr>
        <w:pStyle w:val="Textonotapie"/>
        <w:spacing w:after="0" w:line="240" w:lineRule="auto"/>
        <w:ind w:firstLine="709"/>
        <w:rPr>
          <w:rFonts w:ascii="Arial" w:hAnsi="Arial" w:cs="Arial"/>
          <w:sz w:val="19"/>
          <w:szCs w:val="19"/>
        </w:rPr>
      </w:pPr>
      <w:r w:rsidRPr="00F97847">
        <w:rPr>
          <w:rFonts w:ascii="Arial" w:hAnsi="Arial" w:cs="Arial"/>
          <w:sz w:val="19"/>
          <w:szCs w:val="19"/>
        </w:rPr>
        <w:t>»A</w:t>
      </w:r>
      <w:r w:rsidR="00E008F1" w:rsidRPr="00F97847">
        <w:rPr>
          <w:rFonts w:ascii="Arial" w:hAnsi="Arial" w:cs="Arial"/>
          <w:sz w:val="19"/>
          <w:szCs w:val="19"/>
        </w:rPr>
        <w:t xml:space="preserve"> los empleados del Estado que se desempeñen en la Rama Judicial, en los órganos electorales, de control y de seguridad les está prohibido tomar parte en las actividades de los partidos y movimientos y en las controversias políticas, sin perjuicio de ejercer libremente el derecho al sufragio. A los miembros de la Fuerza Pública en servicio activo se les aplican las limitaciones contempladas en el artículo 219 de la </w:t>
      </w:r>
      <w:r w:rsidRPr="00F97847">
        <w:rPr>
          <w:rFonts w:ascii="Arial" w:hAnsi="Arial" w:cs="Arial"/>
          <w:sz w:val="19"/>
          <w:szCs w:val="19"/>
        </w:rPr>
        <w:t>Constitución.</w:t>
      </w:r>
      <w:r w:rsidR="00F91CA6" w:rsidRPr="00F97847">
        <w:rPr>
          <w:rFonts w:ascii="Arial" w:hAnsi="Arial" w:cs="Arial"/>
          <w:sz w:val="19"/>
          <w:szCs w:val="19"/>
        </w:rPr>
        <w:t xml:space="preserve"> </w:t>
      </w:r>
      <w:r w:rsidRPr="00F97847">
        <w:rPr>
          <w:rFonts w:ascii="Arial" w:hAnsi="Arial" w:cs="Arial"/>
          <w:sz w:val="19"/>
          <w:szCs w:val="19"/>
        </w:rPr>
        <w:t>Los</w:t>
      </w:r>
      <w:r w:rsidR="00E008F1" w:rsidRPr="00F97847">
        <w:rPr>
          <w:rFonts w:ascii="Arial" w:hAnsi="Arial" w:cs="Arial"/>
          <w:sz w:val="19"/>
          <w:szCs w:val="19"/>
        </w:rPr>
        <w:t xml:space="preserve"> empleados no contemplados en esta prohibición solo podrán participar en dichas actividades y controversias en las condicione</w:t>
      </w:r>
      <w:r w:rsidR="00296D38" w:rsidRPr="00F97847">
        <w:rPr>
          <w:rFonts w:ascii="Arial" w:hAnsi="Arial" w:cs="Arial"/>
          <w:sz w:val="19"/>
          <w:szCs w:val="19"/>
        </w:rPr>
        <w:t>s que señale la Ley Estatutaria</w:t>
      </w:r>
      <w:r w:rsidR="00E008F1" w:rsidRPr="00F97847">
        <w:rPr>
          <w:rFonts w:ascii="Arial" w:hAnsi="Arial" w:cs="Arial"/>
          <w:sz w:val="19"/>
          <w:szCs w:val="19"/>
        </w:rPr>
        <w:t>».</w:t>
      </w:r>
    </w:p>
    <w:p w14:paraId="1AFDC93F" w14:textId="77777777" w:rsidR="006A049D" w:rsidRPr="00F97847" w:rsidRDefault="006A049D" w:rsidP="00D5553F">
      <w:pPr>
        <w:pStyle w:val="Textonotapie"/>
        <w:spacing w:after="0" w:line="240" w:lineRule="auto"/>
        <w:ind w:firstLine="709"/>
        <w:rPr>
          <w:rFonts w:ascii="Arial" w:hAnsi="Arial" w:cs="Arial"/>
          <w:sz w:val="19"/>
          <w:szCs w:val="19"/>
        </w:rPr>
      </w:pPr>
    </w:p>
  </w:footnote>
  <w:footnote w:id="2">
    <w:p w14:paraId="5CECD26A" w14:textId="7508270D" w:rsidR="006A049D" w:rsidRPr="00D5553F" w:rsidRDefault="007A1418" w:rsidP="00D5553F">
      <w:pPr>
        <w:pStyle w:val="Textonotapie"/>
        <w:spacing w:after="0" w:line="240" w:lineRule="auto"/>
        <w:ind w:firstLine="709"/>
        <w:rPr>
          <w:rFonts w:ascii="Arial" w:hAnsi="Arial" w:cs="Arial"/>
          <w:sz w:val="19"/>
          <w:szCs w:val="19"/>
        </w:rPr>
      </w:pPr>
      <w:r w:rsidRPr="00F97847">
        <w:rPr>
          <w:rStyle w:val="Refdenotaalpie"/>
          <w:rFonts w:ascii="Arial" w:hAnsi="Arial" w:cs="Arial"/>
          <w:sz w:val="19"/>
          <w:szCs w:val="19"/>
        </w:rPr>
        <w:footnoteRef/>
      </w:r>
      <w:r w:rsidRPr="00F97847">
        <w:rPr>
          <w:rFonts w:ascii="Arial" w:hAnsi="Arial" w:cs="Arial"/>
          <w:sz w:val="19"/>
          <w:szCs w:val="19"/>
        </w:rPr>
        <w:t xml:space="preserve"> Gaceta del Congreso de la República No. 71 del 2005.</w:t>
      </w:r>
    </w:p>
    <w:p w14:paraId="54CF0D5D" w14:textId="77777777" w:rsidR="00865F26" w:rsidRPr="00F97847" w:rsidRDefault="00865F26">
      <w:pPr>
        <w:pStyle w:val="Textonotapie"/>
        <w:spacing w:after="0" w:line="240" w:lineRule="auto"/>
        <w:ind w:firstLine="709"/>
        <w:rPr>
          <w:rFonts w:ascii="Arial" w:hAnsi="Arial" w:cs="Arial"/>
          <w:sz w:val="19"/>
          <w:szCs w:val="19"/>
        </w:rPr>
      </w:pPr>
    </w:p>
  </w:footnote>
  <w:footnote w:id="3">
    <w:p w14:paraId="2D822DE1" w14:textId="77777777" w:rsidR="009F3083" w:rsidRPr="00F97847" w:rsidRDefault="009F3083">
      <w:pPr>
        <w:pStyle w:val="Textonotapie"/>
        <w:spacing w:after="0" w:line="240" w:lineRule="auto"/>
        <w:ind w:firstLine="709"/>
        <w:rPr>
          <w:rFonts w:ascii="Arial" w:hAnsi="Arial" w:cs="Arial"/>
          <w:sz w:val="19"/>
          <w:szCs w:val="19"/>
        </w:rPr>
      </w:pPr>
      <w:r w:rsidRPr="00F97847">
        <w:rPr>
          <w:rStyle w:val="Refdenotaalpie"/>
          <w:rFonts w:ascii="Arial" w:hAnsi="Arial" w:cs="Arial"/>
          <w:sz w:val="19"/>
          <w:szCs w:val="19"/>
        </w:rPr>
        <w:footnoteRef/>
      </w:r>
      <w:r w:rsidRPr="00F97847">
        <w:rPr>
          <w:rFonts w:ascii="Arial" w:hAnsi="Arial" w:cs="Arial"/>
          <w:sz w:val="19"/>
          <w:szCs w:val="19"/>
        </w:rPr>
        <w:t xml:space="preserve"> Corte Constitucional, Sentencia C- 1153 de 2005, M.P. Marco Gerardo Monroy Cabra.</w:t>
      </w:r>
    </w:p>
  </w:footnote>
  <w:footnote w:id="4">
    <w:p w14:paraId="16C8143B" w14:textId="075CC6FE" w:rsidR="0062127B" w:rsidRPr="00F97847" w:rsidRDefault="001F55B5">
      <w:pPr>
        <w:pStyle w:val="Textonotapie"/>
        <w:spacing w:after="0" w:line="240" w:lineRule="auto"/>
        <w:ind w:firstLine="709"/>
        <w:rPr>
          <w:rFonts w:ascii="Arial" w:hAnsi="Arial" w:cs="Arial"/>
          <w:sz w:val="19"/>
          <w:szCs w:val="19"/>
        </w:rPr>
      </w:pPr>
      <w:r w:rsidRPr="00F97847">
        <w:rPr>
          <w:rStyle w:val="Refdenotaalpie"/>
          <w:rFonts w:ascii="Arial" w:hAnsi="Arial" w:cs="Arial"/>
          <w:sz w:val="19"/>
          <w:szCs w:val="19"/>
        </w:rPr>
        <w:footnoteRef/>
      </w:r>
      <w:r w:rsidRPr="00F97847">
        <w:rPr>
          <w:rFonts w:ascii="Arial" w:hAnsi="Arial" w:cs="Arial"/>
          <w:sz w:val="19"/>
          <w:szCs w:val="19"/>
        </w:rPr>
        <w:t xml:space="preserve"> Corte Constitucional. Sentencias: C-233 de 4 de abril de 2002, expediente: D-3704; C-551 de 9 de julio de 2003, expediente: CRF-001 de 9 de julio de 2003; C-652 de 5 de agosto de 2003, expediente: D-4330; C-353 de 20 de mayo de 2009, expediente: D-7518, C-541 de 30 de junio de 2010, expediente: DD7966; entre otras.</w:t>
      </w:r>
    </w:p>
  </w:footnote>
  <w:footnote w:id="5">
    <w:p w14:paraId="2D123305" w14:textId="4B9F4DBA" w:rsidR="0062127B" w:rsidRPr="00F97847" w:rsidRDefault="001F55B5" w:rsidP="00F97847">
      <w:pPr>
        <w:pStyle w:val="Textonotapie"/>
        <w:spacing w:after="0" w:line="240" w:lineRule="auto"/>
        <w:ind w:firstLine="709"/>
        <w:rPr>
          <w:rFonts w:ascii="Arial" w:hAnsi="Arial" w:cs="Arial"/>
          <w:sz w:val="19"/>
          <w:szCs w:val="19"/>
          <w:lang w:val="es-CO"/>
        </w:rPr>
      </w:pPr>
      <w:r w:rsidRPr="00F97847">
        <w:rPr>
          <w:rStyle w:val="Refdenotaalpie"/>
          <w:rFonts w:ascii="Arial" w:hAnsi="Arial" w:cs="Arial"/>
          <w:sz w:val="19"/>
          <w:szCs w:val="19"/>
        </w:rPr>
        <w:footnoteRef/>
      </w:r>
      <w:r w:rsidRPr="00F97847">
        <w:rPr>
          <w:rFonts w:ascii="Arial" w:hAnsi="Arial" w:cs="Arial"/>
          <w:sz w:val="19"/>
          <w:szCs w:val="19"/>
          <w:lang w:val="es-CO"/>
        </w:rPr>
        <w:t xml:space="preserve"> Consejo de Estado, Sala de lo Contencioso Administrativo, Sección Primera. Sentencia de 3 de marzo de 2005, expediente número 2004-00823-01(PI). Ver también, de la Sección Tercera. Sentencia de 22 de enero de 2002, expediente número 2001-0148-01 y, Sección Tercera. Sentencia de 20 de noviembre de 2001, expediente número 2001-0130-01(PI), entre otras.</w:t>
      </w:r>
    </w:p>
  </w:footnote>
  <w:footnote w:id="6">
    <w:p w14:paraId="2614DC70" w14:textId="24BF8090" w:rsidR="00D626A3" w:rsidRPr="00F97847" w:rsidRDefault="00883662" w:rsidP="00D5553F">
      <w:pPr>
        <w:pStyle w:val="Textonotapie"/>
        <w:spacing w:after="0" w:line="240" w:lineRule="auto"/>
        <w:ind w:firstLine="709"/>
        <w:rPr>
          <w:rFonts w:ascii="Arial" w:hAnsi="Arial" w:cs="Arial"/>
          <w:sz w:val="19"/>
          <w:szCs w:val="19"/>
        </w:rPr>
      </w:pPr>
      <w:r w:rsidRPr="00F97847">
        <w:rPr>
          <w:rStyle w:val="Refdenotaalpie"/>
          <w:rFonts w:ascii="Arial" w:hAnsi="Arial" w:cs="Arial"/>
          <w:sz w:val="19"/>
          <w:szCs w:val="19"/>
        </w:rPr>
        <w:footnoteRef/>
      </w:r>
      <w:r w:rsidRPr="00F97847">
        <w:rPr>
          <w:rFonts w:ascii="Arial" w:hAnsi="Arial" w:cs="Arial"/>
          <w:sz w:val="19"/>
          <w:szCs w:val="19"/>
        </w:rPr>
        <w:t xml:space="preserve"> Consejo de Estado, Sala de Consulta y Servicio Civil de </w:t>
      </w:r>
      <w:r w:rsidR="00A923B7" w:rsidRPr="00F97847">
        <w:rPr>
          <w:rFonts w:ascii="Arial" w:hAnsi="Arial" w:cs="Arial"/>
          <w:sz w:val="19"/>
          <w:szCs w:val="19"/>
        </w:rPr>
        <w:t>fecha 24</w:t>
      </w:r>
      <w:r w:rsidRPr="00F97847">
        <w:rPr>
          <w:rFonts w:ascii="Arial" w:hAnsi="Arial" w:cs="Arial"/>
          <w:sz w:val="19"/>
          <w:szCs w:val="19"/>
        </w:rPr>
        <w:t xml:space="preserve"> de julio de 2013, radicado 2166, Consejero Ponente</w:t>
      </w:r>
      <w:r w:rsidR="00C579C6" w:rsidRPr="00F97847">
        <w:rPr>
          <w:rFonts w:ascii="Arial" w:hAnsi="Arial" w:cs="Arial"/>
          <w:sz w:val="19"/>
          <w:szCs w:val="19"/>
        </w:rPr>
        <w:t>:</w:t>
      </w:r>
      <w:r w:rsidRPr="00F97847">
        <w:rPr>
          <w:rFonts w:ascii="Arial" w:hAnsi="Arial" w:cs="Arial"/>
          <w:sz w:val="19"/>
          <w:szCs w:val="19"/>
        </w:rPr>
        <w:t xml:space="preserve"> Álvaro Namén Vargas.  </w:t>
      </w:r>
    </w:p>
  </w:footnote>
  <w:footnote w:id="7">
    <w:p w14:paraId="775A205E" w14:textId="77777777" w:rsidR="0022085C" w:rsidRPr="00F97847" w:rsidRDefault="0022085C" w:rsidP="00D5553F">
      <w:pPr>
        <w:spacing w:after="0" w:line="240" w:lineRule="auto"/>
        <w:ind w:firstLine="709"/>
        <w:rPr>
          <w:rFonts w:ascii="Arial" w:eastAsia="Times New Roman" w:hAnsi="Arial" w:cs="Arial"/>
          <w:sz w:val="19"/>
          <w:szCs w:val="19"/>
        </w:rPr>
      </w:pPr>
      <w:r w:rsidRPr="00F97847">
        <w:rPr>
          <w:rStyle w:val="Refdenotaalpie"/>
          <w:rFonts w:ascii="Arial" w:hAnsi="Arial" w:cs="Arial"/>
          <w:sz w:val="19"/>
          <w:szCs w:val="19"/>
        </w:rPr>
        <w:footnoteRef/>
      </w:r>
      <w:r w:rsidRPr="00F97847">
        <w:rPr>
          <w:rFonts w:ascii="Arial" w:hAnsi="Arial" w:cs="Arial"/>
          <w:sz w:val="19"/>
          <w:szCs w:val="19"/>
        </w:rPr>
        <w:t xml:space="preserve"> </w:t>
      </w:r>
      <w:bookmarkStart w:id="13" w:name="33"/>
      <w:r w:rsidRPr="00F97847">
        <w:rPr>
          <w:rFonts w:ascii="Arial" w:eastAsia="Calibri" w:hAnsi="Arial" w:cs="Arial"/>
          <w:bCs/>
          <w:color w:val="000000"/>
          <w:sz w:val="19"/>
          <w:szCs w:val="19"/>
        </w:rPr>
        <w:t>«</w:t>
      </w:r>
      <w:r w:rsidRPr="00F97847">
        <w:rPr>
          <w:rFonts w:ascii="Arial" w:eastAsia="Times New Roman" w:hAnsi="Arial" w:cs="Arial"/>
          <w:sz w:val="19"/>
          <w:szCs w:val="19"/>
        </w:rPr>
        <w:t>Artículo 33. Restricciones a la contratación pública.</w:t>
      </w:r>
      <w:bookmarkEnd w:id="13"/>
      <w:r w:rsidRPr="00F97847">
        <w:rPr>
          <w:rFonts w:ascii="Arial" w:eastAsia="Times New Roman" w:hAnsi="Arial" w:cs="Arial"/>
          <w:sz w:val="19"/>
          <w:szCs w:val="19"/>
        </w:rPr>
        <w:t> Durante los cuatro (4) meses anteriores a la elección presidencial y hasta la realización de la elección en la segunda vuelta, si fuere el caso, queda prohibida la contratación directa por parte de todos los entes del Estado.</w:t>
      </w:r>
    </w:p>
    <w:p w14:paraId="1684A472" w14:textId="7B3DD877" w:rsidR="0022085C" w:rsidRPr="00F97847" w:rsidRDefault="00A923B7">
      <w:pPr>
        <w:spacing w:after="0" w:line="240" w:lineRule="auto"/>
        <w:ind w:firstLine="709"/>
        <w:rPr>
          <w:rFonts w:ascii="Arial" w:eastAsia="Times New Roman" w:hAnsi="Arial" w:cs="Arial"/>
          <w:sz w:val="19"/>
          <w:szCs w:val="19"/>
        </w:rPr>
      </w:pPr>
      <w:r w:rsidRPr="00F97847">
        <w:rPr>
          <w:rFonts w:ascii="Arial" w:eastAsia="Calibri" w:hAnsi="Arial" w:cs="Arial"/>
          <w:bCs/>
          <w:color w:val="000000"/>
          <w:sz w:val="19"/>
          <w:szCs w:val="19"/>
        </w:rPr>
        <w:t>»</w:t>
      </w:r>
      <w:r w:rsidRPr="00F97847">
        <w:rPr>
          <w:rFonts w:ascii="Arial" w:eastAsia="Times New Roman" w:hAnsi="Arial" w:cs="Arial"/>
          <w:sz w:val="19"/>
          <w:szCs w:val="19"/>
        </w:rPr>
        <w:t xml:space="preserve"> Queda</w:t>
      </w:r>
      <w:r w:rsidR="0022085C" w:rsidRPr="00F97847">
        <w:rPr>
          <w:rFonts w:ascii="Arial" w:eastAsia="Times New Roman" w:hAnsi="Arial" w:cs="Arial"/>
          <w:sz w:val="19"/>
          <w:szCs w:val="19"/>
        </w:rPr>
        <w:t xml:space="preserve"> exceptuado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0022085C" w:rsidRPr="00F97847">
        <w:rPr>
          <w:rFonts w:ascii="Arial" w:eastAsia="Calibri" w:hAnsi="Arial" w:cs="Arial"/>
          <w:bCs/>
          <w:color w:val="000000"/>
          <w:sz w:val="19"/>
          <w:szCs w:val="19"/>
        </w:rPr>
        <w:t>»</w:t>
      </w:r>
      <w:r w:rsidR="0022085C" w:rsidRPr="00F97847">
        <w:rPr>
          <w:rFonts w:ascii="Arial" w:eastAsia="Times New Roman" w:hAnsi="Arial" w:cs="Arial"/>
          <w:sz w:val="19"/>
          <w:szCs w:val="19"/>
        </w:rPr>
        <w:t>.</w:t>
      </w:r>
    </w:p>
  </w:footnote>
  <w:footnote w:id="8">
    <w:p w14:paraId="79A56581" w14:textId="77777777" w:rsidR="0022085C" w:rsidRPr="00F97847" w:rsidRDefault="0022085C">
      <w:pPr>
        <w:pStyle w:val="NormalWeb"/>
        <w:spacing w:before="0" w:beforeAutospacing="0" w:after="0" w:afterAutospacing="0" w:line="240" w:lineRule="auto"/>
        <w:ind w:firstLine="709"/>
        <w:rPr>
          <w:rFonts w:ascii="Arial" w:hAnsi="Arial" w:cs="Arial"/>
          <w:sz w:val="19"/>
          <w:szCs w:val="19"/>
          <w:lang w:val="es-MX"/>
        </w:rPr>
      </w:pPr>
      <w:r w:rsidRPr="00F97847">
        <w:rPr>
          <w:rStyle w:val="Refdenotaalpie"/>
          <w:rFonts w:ascii="Arial" w:hAnsi="Arial" w:cs="Arial"/>
          <w:sz w:val="19"/>
          <w:szCs w:val="19"/>
        </w:rPr>
        <w:footnoteRef/>
      </w:r>
      <w:r w:rsidRPr="00F97847">
        <w:rPr>
          <w:rFonts w:ascii="Arial" w:hAnsi="Arial" w:cs="Arial"/>
          <w:sz w:val="19"/>
          <w:szCs w:val="19"/>
        </w:rPr>
        <w:t xml:space="preserve"> </w:t>
      </w:r>
      <w:bookmarkStart w:id="14" w:name="38"/>
      <w:r w:rsidRPr="00F97847">
        <w:rPr>
          <w:rFonts w:ascii="Arial" w:eastAsia="Calibri" w:hAnsi="Arial" w:cs="Arial"/>
          <w:bCs/>
          <w:color w:val="000000"/>
          <w:sz w:val="19"/>
          <w:szCs w:val="19"/>
        </w:rPr>
        <w:t>«</w:t>
      </w:r>
      <w:r w:rsidRPr="00F97847">
        <w:rPr>
          <w:rFonts w:ascii="Arial" w:hAnsi="Arial" w:cs="Arial"/>
          <w:sz w:val="19"/>
          <w:szCs w:val="19"/>
          <w:lang w:val="es-MX"/>
        </w:rPr>
        <w:t>Artículo 38. Prohibiciones para los servidores públicos. A los empleados del Estado les está prohibido:</w:t>
      </w:r>
      <w:bookmarkEnd w:id="14"/>
    </w:p>
    <w:p w14:paraId="5933F9A0" w14:textId="77777777" w:rsidR="0022085C" w:rsidRPr="00F97847" w:rsidRDefault="0022085C">
      <w:pPr>
        <w:pStyle w:val="NormalWeb"/>
        <w:spacing w:before="0" w:beforeAutospacing="0" w:after="0" w:afterAutospacing="0" w:line="240" w:lineRule="auto"/>
        <w:ind w:firstLine="709"/>
        <w:rPr>
          <w:rFonts w:ascii="Arial" w:hAnsi="Arial" w:cs="Arial"/>
          <w:sz w:val="19"/>
          <w:szCs w:val="19"/>
          <w:lang w:val="es-MX"/>
        </w:rPr>
      </w:pPr>
      <w:r w:rsidRPr="00F97847">
        <w:rPr>
          <w:rFonts w:ascii="Arial" w:eastAsia="Calibri" w:hAnsi="Arial" w:cs="Arial"/>
          <w:bCs/>
          <w:color w:val="000000"/>
          <w:sz w:val="19"/>
          <w:szCs w:val="19"/>
        </w:rPr>
        <w:t>»</w:t>
      </w:r>
      <w:r w:rsidRPr="00F97847">
        <w:rPr>
          <w:rFonts w:ascii="Arial" w:hAnsi="Arial" w:cs="Arial"/>
          <w:sz w:val="19"/>
          <w:szCs w:val="19"/>
          <w:lang w:val="es-MX"/>
        </w:rPr>
        <w:t xml:space="preserve"> […]</w:t>
      </w:r>
    </w:p>
    <w:p w14:paraId="2231133F" w14:textId="06B9F71B" w:rsidR="0022085C" w:rsidRPr="00F97847" w:rsidRDefault="00A923B7">
      <w:pPr>
        <w:pStyle w:val="NormalWeb"/>
        <w:spacing w:before="0" w:beforeAutospacing="0" w:after="0" w:afterAutospacing="0" w:line="240" w:lineRule="auto"/>
        <w:ind w:firstLine="709"/>
        <w:rPr>
          <w:rFonts w:ascii="Arial" w:hAnsi="Arial" w:cs="Arial"/>
          <w:sz w:val="19"/>
          <w:szCs w:val="19"/>
          <w:lang w:val="es-MX"/>
        </w:rPr>
      </w:pPr>
      <w:r w:rsidRPr="00F97847">
        <w:rPr>
          <w:rFonts w:ascii="Arial" w:eastAsia="Calibri" w:hAnsi="Arial" w:cs="Arial"/>
          <w:bCs/>
          <w:color w:val="000000"/>
          <w:sz w:val="19"/>
          <w:szCs w:val="19"/>
        </w:rPr>
        <w:t>»</w:t>
      </w:r>
      <w:r w:rsidRPr="00F97847">
        <w:rPr>
          <w:rStyle w:val="baj"/>
          <w:rFonts w:ascii="Arial" w:hAnsi="Arial" w:cs="Arial"/>
          <w:sz w:val="19"/>
          <w:szCs w:val="19"/>
          <w:lang w:val="es-MX"/>
        </w:rPr>
        <w:t xml:space="preserve"> Parágrafo</w:t>
      </w:r>
      <w:r w:rsidR="0022085C" w:rsidRPr="00F97847">
        <w:rPr>
          <w:rStyle w:val="baj"/>
          <w:rFonts w:ascii="Arial" w:hAnsi="Arial" w:cs="Arial"/>
          <w:sz w:val="19"/>
          <w:szCs w:val="19"/>
          <w:lang w:val="es-MX"/>
        </w:rPr>
        <w:t>.</w:t>
      </w:r>
      <w:r w:rsidR="0022085C" w:rsidRPr="00F97847">
        <w:rPr>
          <w:rFonts w:ascii="Arial" w:hAnsi="Arial" w:cs="Arial"/>
          <w:sz w:val="19"/>
          <w:szCs w:val="19"/>
          <w:lang w:val="es-MX"/>
        </w:rPr>
        <w:t> 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0022085C" w:rsidRPr="00F97847">
        <w:rPr>
          <w:rFonts w:ascii="Arial" w:eastAsia="Calibri" w:hAnsi="Arial" w:cs="Arial"/>
          <w:bCs/>
          <w:color w:val="000000"/>
          <w:sz w:val="19"/>
          <w:szCs w:val="19"/>
        </w:rPr>
        <w:t>»</w:t>
      </w:r>
      <w:r w:rsidR="0022085C" w:rsidRPr="00F97847">
        <w:rPr>
          <w:rFonts w:ascii="Arial" w:hAnsi="Arial" w:cs="Arial"/>
          <w:sz w:val="19"/>
          <w:szCs w:val="19"/>
          <w:lang w:val="es-MX"/>
        </w:rPr>
        <w:t>.</w:t>
      </w:r>
    </w:p>
  </w:footnote>
  <w:footnote w:id="9">
    <w:p w14:paraId="7BDEC286" w14:textId="0D4AB978" w:rsidR="0022085C" w:rsidRPr="00F97847" w:rsidRDefault="0022085C" w:rsidP="00F97847">
      <w:pPr>
        <w:spacing w:after="0" w:line="240" w:lineRule="auto"/>
        <w:ind w:firstLine="709"/>
        <w:rPr>
          <w:rFonts w:ascii="Arial" w:hAnsi="Arial" w:cs="Arial"/>
          <w:sz w:val="19"/>
          <w:szCs w:val="19"/>
          <w:lang w:val="es-ES"/>
        </w:rPr>
      </w:pPr>
      <w:r w:rsidRPr="00F97847">
        <w:rPr>
          <w:rStyle w:val="Refdenotaalpie"/>
          <w:rFonts w:ascii="Arial" w:hAnsi="Arial" w:cs="Arial"/>
          <w:sz w:val="19"/>
          <w:szCs w:val="19"/>
        </w:rPr>
        <w:footnoteRef/>
      </w:r>
      <w:r w:rsidRPr="00F97847">
        <w:rPr>
          <w:rFonts w:ascii="Arial" w:hAnsi="Arial" w:cs="Arial"/>
          <w:sz w:val="19"/>
          <w:szCs w:val="19"/>
        </w:rPr>
        <w:t xml:space="preserve"> Consejo de Estado. Sala de Consulta y Servicio Civil. Concepto del 17 de febrero de 2015. C.P. William Zambrano Cetina. Radicación No. 11001-03-06-000-2015-00164-00(2269).</w:t>
      </w:r>
    </w:p>
  </w:footnote>
  <w:footnote w:id="10">
    <w:p w14:paraId="413E2E84" w14:textId="2749775D" w:rsidR="000E33BC" w:rsidRPr="00F97847" w:rsidRDefault="00DB61B2" w:rsidP="00F97847">
      <w:pPr>
        <w:pStyle w:val="Textonotapie"/>
        <w:spacing w:after="0" w:line="240" w:lineRule="auto"/>
        <w:ind w:firstLine="709"/>
        <w:rPr>
          <w:rFonts w:ascii="Arial" w:hAnsi="Arial" w:cs="Arial"/>
          <w:sz w:val="19"/>
          <w:szCs w:val="19"/>
        </w:rPr>
      </w:pPr>
      <w:r w:rsidRPr="00F97847">
        <w:rPr>
          <w:rStyle w:val="Refdenotaalpie"/>
          <w:rFonts w:ascii="Arial" w:hAnsi="Arial" w:cs="Arial"/>
          <w:sz w:val="19"/>
          <w:szCs w:val="19"/>
        </w:rPr>
        <w:footnoteRef/>
      </w:r>
      <w:r w:rsidRPr="00F97847">
        <w:rPr>
          <w:rFonts w:ascii="Arial" w:hAnsi="Arial" w:cs="Arial"/>
          <w:sz w:val="19"/>
          <w:szCs w:val="19"/>
        </w:rPr>
        <w:t xml:space="preserve"> </w:t>
      </w:r>
      <w:bookmarkStart w:id="20" w:name="_Hlk74272731"/>
      <w:r w:rsidRPr="00F97847">
        <w:rPr>
          <w:rFonts w:ascii="Arial" w:hAnsi="Arial" w:cs="Arial"/>
          <w:sz w:val="19"/>
          <w:szCs w:val="19"/>
        </w:rPr>
        <w:t>«</w:t>
      </w:r>
      <w:bookmarkEnd w:id="20"/>
      <w:r w:rsidRPr="00F97847">
        <w:rPr>
          <w:rFonts w:ascii="Arial" w:hAnsi="Arial" w:cs="Arial"/>
          <w:sz w:val="19"/>
          <w:szCs w:val="19"/>
          <w:lang w:val="es-ES"/>
        </w:rPr>
        <w:t xml:space="preserve">[25] </w:t>
      </w:r>
      <w:r w:rsidRPr="00F97847">
        <w:rPr>
          <w:rFonts w:ascii="Arial" w:hAnsi="Arial" w:cs="Arial"/>
          <w:sz w:val="19"/>
          <w:szCs w:val="19"/>
        </w:rPr>
        <w:t>Cfr. Consejo de Estado. Sección Tercera. Sentencia de 3 de diciembre de 2007. Radicados: 24.715, 25.206, 25.409, 24.524, 27.834, 25.410, 26.105, 28.244, 31.447 -acumulados-</w:t>
      </w:r>
      <w:bookmarkStart w:id="21" w:name="_Hlk74271358"/>
      <w:r w:rsidRPr="00F97847">
        <w:rPr>
          <w:rFonts w:ascii="Arial" w:hAnsi="Arial" w:cs="Arial"/>
          <w:sz w:val="19"/>
          <w:szCs w:val="19"/>
        </w:rPr>
        <w:t>»</w:t>
      </w:r>
      <w:bookmarkEnd w:id="21"/>
      <w:r w:rsidRPr="00F97847">
        <w:rPr>
          <w:rFonts w:ascii="Arial" w:hAnsi="Arial" w:cs="Arial"/>
          <w:sz w:val="19"/>
          <w:szCs w:val="19"/>
        </w:rPr>
        <w:t>.</w:t>
      </w:r>
    </w:p>
  </w:footnote>
  <w:footnote w:id="11">
    <w:p w14:paraId="4285AEFA" w14:textId="4874F93C" w:rsidR="000E33BC" w:rsidRPr="00F97847" w:rsidRDefault="00DB61B2" w:rsidP="00F97847">
      <w:pPr>
        <w:pStyle w:val="Textonotapie"/>
        <w:spacing w:after="0" w:line="240" w:lineRule="auto"/>
        <w:ind w:firstLine="709"/>
        <w:rPr>
          <w:rFonts w:ascii="Arial" w:hAnsi="Arial" w:cs="Arial"/>
          <w:sz w:val="19"/>
          <w:szCs w:val="19"/>
        </w:rPr>
      </w:pPr>
      <w:r w:rsidRPr="00F97847">
        <w:rPr>
          <w:rStyle w:val="Refdenotaalpie"/>
          <w:rFonts w:ascii="Arial" w:hAnsi="Arial" w:cs="Arial"/>
          <w:sz w:val="19"/>
          <w:szCs w:val="19"/>
        </w:rPr>
        <w:footnoteRef/>
      </w:r>
      <w:r w:rsidRPr="00F97847">
        <w:rPr>
          <w:rFonts w:ascii="Arial" w:hAnsi="Arial" w:cs="Arial"/>
          <w:sz w:val="19"/>
          <w:szCs w:val="19"/>
        </w:rPr>
        <w:t xml:space="preserve"> </w:t>
      </w:r>
      <w:bookmarkStart w:id="23" w:name="_Hlk74294506"/>
      <w:r w:rsidRPr="00F97847">
        <w:rPr>
          <w:rFonts w:ascii="Arial" w:hAnsi="Arial" w:cs="Arial"/>
          <w:sz w:val="19"/>
          <w:szCs w:val="19"/>
        </w:rPr>
        <w:t>«</w:t>
      </w:r>
      <w:r w:rsidRPr="00F97847">
        <w:rPr>
          <w:rFonts w:ascii="Arial" w:hAnsi="Arial" w:cs="Arial"/>
          <w:sz w:val="19"/>
          <w:szCs w:val="19"/>
          <w:lang w:val="es-ES"/>
        </w:rPr>
        <w:t xml:space="preserve">[26] </w:t>
      </w:r>
      <w:bookmarkEnd w:id="23"/>
      <w:r w:rsidRPr="00F97847">
        <w:rPr>
          <w:rFonts w:ascii="Arial" w:hAnsi="Arial" w:cs="Arial"/>
          <w:sz w:val="19"/>
          <w:szCs w:val="19"/>
        </w:rPr>
        <w:t>Al respecto ver el concepto 1712 de 2 de febrero de 2006. Consejo de Estado Sala de Consulta y Servicio Civil».</w:t>
      </w:r>
    </w:p>
  </w:footnote>
  <w:footnote w:id="12">
    <w:p w14:paraId="38B6337A" w14:textId="77777777" w:rsidR="007701D9" w:rsidRPr="00F97847" w:rsidRDefault="007701D9" w:rsidP="00D5553F">
      <w:pPr>
        <w:pStyle w:val="Textonotapie"/>
        <w:spacing w:after="0" w:line="240" w:lineRule="auto"/>
        <w:ind w:firstLine="709"/>
        <w:rPr>
          <w:rFonts w:ascii="Arial" w:hAnsi="Arial" w:cs="Arial"/>
          <w:sz w:val="19"/>
          <w:szCs w:val="19"/>
        </w:rPr>
      </w:pPr>
      <w:r w:rsidRPr="00F97847">
        <w:rPr>
          <w:rStyle w:val="Refdenotaalpie"/>
          <w:rFonts w:ascii="Arial" w:hAnsi="Arial" w:cs="Arial"/>
          <w:sz w:val="19"/>
          <w:szCs w:val="19"/>
        </w:rPr>
        <w:footnoteRef/>
      </w:r>
      <w:r w:rsidRPr="00F97847">
        <w:rPr>
          <w:rFonts w:ascii="Arial" w:hAnsi="Arial" w:cs="Arial"/>
          <w:sz w:val="19"/>
          <w:szCs w:val="19"/>
        </w:rPr>
        <w:t xml:space="preserve"> Consejo de Estado. Sala de Consulta y Servicio Civil. Concepto del 2 de septiembre de 2013. Radicación número: 11001-03-06-000-2013-00412-00 (2168). Consejero Ponente: Álvaro Namén Vargas.</w:t>
      </w:r>
    </w:p>
  </w:footnote>
  <w:footnote w:id="13">
    <w:p w14:paraId="3390695E" w14:textId="4A8A5374" w:rsidR="000E33BC" w:rsidRPr="00F97847" w:rsidRDefault="00DB61B2" w:rsidP="00D5553F">
      <w:pPr>
        <w:pStyle w:val="Textonotapie"/>
        <w:spacing w:after="0" w:line="240" w:lineRule="auto"/>
        <w:ind w:firstLine="709"/>
        <w:rPr>
          <w:rFonts w:ascii="Arial" w:hAnsi="Arial" w:cs="Arial"/>
          <w:sz w:val="19"/>
          <w:szCs w:val="19"/>
          <w:lang w:val="es-ES"/>
        </w:rPr>
      </w:pPr>
      <w:r w:rsidRPr="00F97847">
        <w:rPr>
          <w:rStyle w:val="Refdenotaalpie"/>
          <w:rFonts w:ascii="Arial" w:hAnsi="Arial" w:cs="Arial"/>
          <w:sz w:val="19"/>
          <w:szCs w:val="19"/>
        </w:rPr>
        <w:footnoteRef/>
      </w:r>
      <w:r w:rsidRPr="00F97847">
        <w:rPr>
          <w:rFonts w:ascii="Arial" w:hAnsi="Arial" w:cs="Arial"/>
          <w:sz w:val="19"/>
          <w:szCs w:val="19"/>
        </w:rPr>
        <w:t xml:space="preserve"> </w:t>
      </w:r>
      <w:r w:rsidRPr="00F97847">
        <w:rPr>
          <w:rFonts w:ascii="Arial" w:hAnsi="Arial" w:cs="Arial"/>
          <w:sz w:val="19"/>
          <w:szCs w:val="19"/>
          <w:lang w:val="es-ES"/>
        </w:rPr>
        <w:t xml:space="preserve">Artículo 2. </w:t>
      </w:r>
    </w:p>
  </w:footnote>
  <w:footnote w:id="14">
    <w:p w14:paraId="63F8641B" w14:textId="37B06F1E" w:rsidR="000E33BC" w:rsidRPr="00F97847" w:rsidRDefault="00DB61B2">
      <w:pPr>
        <w:pStyle w:val="Textonotapie"/>
        <w:spacing w:after="0" w:line="240" w:lineRule="auto"/>
        <w:ind w:firstLine="709"/>
        <w:rPr>
          <w:rFonts w:ascii="Arial" w:hAnsi="Arial" w:cs="Arial"/>
          <w:sz w:val="19"/>
          <w:szCs w:val="19"/>
          <w:lang w:val="es-ES"/>
        </w:rPr>
      </w:pPr>
      <w:r w:rsidRPr="00F97847">
        <w:rPr>
          <w:rStyle w:val="Refdenotaalpie"/>
          <w:rFonts w:ascii="Arial" w:hAnsi="Arial" w:cs="Arial"/>
          <w:sz w:val="19"/>
          <w:szCs w:val="19"/>
        </w:rPr>
        <w:footnoteRef/>
      </w:r>
      <w:r w:rsidRPr="00F97847">
        <w:rPr>
          <w:rFonts w:ascii="Arial" w:hAnsi="Arial" w:cs="Arial"/>
          <w:sz w:val="19"/>
          <w:szCs w:val="19"/>
        </w:rPr>
        <w:t xml:space="preserve"> </w:t>
      </w:r>
      <w:r w:rsidRPr="00F97847">
        <w:rPr>
          <w:rFonts w:ascii="Arial" w:hAnsi="Arial" w:cs="Arial"/>
          <w:i/>
          <w:sz w:val="19"/>
          <w:szCs w:val="19"/>
          <w:lang w:val="es-ES"/>
        </w:rPr>
        <w:t>Ídem</w:t>
      </w:r>
      <w:r w:rsidRPr="00F97847">
        <w:rPr>
          <w:rFonts w:ascii="Arial" w:hAnsi="Arial" w:cs="Arial"/>
          <w:sz w:val="19"/>
          <w:szCs w:val="19"/>
          <w:lang w:val="es-ES"/>
        </w:rPr>
        <w:t>.</w:t>
      </w:r>
    </w:p>
  </w:footnote>
  <w:footnote w:id="15">
    <w:p w14:paraId="726E5571" w14:textId="06A3B3E9" w:rsidR="000E33BC" w:rsidRPr="00F97847" w:rsidRDefault="00DB61B2">
      <w:pPr>
        <w:pStyle w:val="Textonotapie"/>
        <w:spacing w:after="0" w:line="240" w:lineRule="auto"/>
        <w:ind w:firstLine="709"/>
        <w:rPr>
          <w:rFonts w:ascii="Arial" w:hAnsi="Arial" w:cs="Arial"/>
          <w:sz w:val="19"/>
          <w:szCs w:val="19"/>
          <w:lang w:val="es-ES"/>
        </w:rPr>
      </w:pPr>
      <w:r w:rsidRPr="00F97847">
        <w:rPr>
          <w:rStyle w:val="Refdenotaalpie"/>
          <w:rFonts w:ascii="Arial" w:hAnsi="Arial" w:cs="Arial"/>
          <w:sz w:val="19"/>
          <w:szCs w:val="19"/>
        </w:rPr>
        <w:footnoteRef/>
      </w:r>
      <w:r w:rsidRPr="00F97847">
        <w:rPr>
          <w:rStyle w:val="Refdenotaalpie"/>
          <w:rFonts w:ascii="Arial" w:hAnsi="Arial" w:cs="Arial"/>
          <w:sz w:val="19"/>
          <w:szCs w:val="19"/>
        </w:rPr>
        <w:t xml:space="preserve"> </w:t>
      </w:r>
      <w:bookmarkStart w:id="27" w:name="_Hlk74297130"/>
      <w:r w:rsidRPr="00F97847">
        <w:rPr>
          <w:rFonts w:ascii="Arial" w:hAnsi="Arial" w:cs="Arial"/>
          <w:sz w:val="19"/>
          <w:szCs w:val="19"/>
          <w:lang w:val="es-ES"/>
        </w:rPr>
        <w:t>«</w:t>
      </w:r>
      <w:bookmarkEnd w:id="27"/>
      <w:r w:rsidRPr="00F97847">
        <w:rPr>
          <w:rFonts w:ascii="Arial" w:hAnsi="Arial" w:cs="Arial"/>
          <w:sz w:val="19"/>
          <w:szCs w:val="19"/>
          <w:lang w:val="es-ES"/>
        </w:rPr>
        <w:t>[…] A este respecto, cabe recordar que el artículo 860 del Código de Comercio regula la licitación en el derecho privado»</w:t>
      </w:r>
      <w:r w:rsidR="000E33BC" w:rsidRPr="00F97847">
        <w:rPr>
          <w:rFonts w:ascii="Arial" w:hAnsi="Arial" w:cs="Arial"/>
          <w:sz w:val="19"/>
          <w:szCs w:val="19"/>
          <w:lang w:val="es-ES"/>
        </w:rPr>
        <w:t>.</w:t>
      </w:r>
      <w:r w:rsidRPr="00F97847">
        <w:rPr>
          <w:rFonts w:ascii="Arial" w:hAnsi="Arial" w:cs="Arial"/>
          <w:sz w:val="19"/>
          <w:szCs w:val="19"/>
          <w:lang w:val="es-ES"/>
        </w:rPr>
        <w:t xml:space="preserve"> </w:t>
      </w:r>
    </w:p>
  </w:footnote>
  <w:footnote w:id="16">
    <w:p w14:paraId="3DE7C088" w14:textId="5139953C" w:rsidR="00856B57" w:rsidRPr="00F97847" w:rsidRDefault="008C6B51">
      <w:pPr>
        <w:shd w:val="clear" w:color="auto" w:fill="FFFFFF"/>
        <w:spacing w:after="0" w:line="240" w:lineRule="auto"/>
        <w:ind w:firstLine="709"/>
        <w:rPr>
          <w:rFonts w:ascii="Arial" w:hAnsi="Arial" w:cs="Arial"/>
          <w:sz w:val="19"/>
          <w:szCs w:val="19"/>
          <w:lang w:val="es-ES"/>
        </w:rPr>
      </w:pPr>
      <w:r w:rsidRPr="00F97847">
        <w:rPr>
          <w:rStyle w:val="Refdenotaalpie"/>
          <w:rFonts w:ascii="Arial" w:hAnsi="Arial" w:cs="Arial"/>
          <w:sz w:val="19"/>
          <w:szCs w:val="19"/>
        </w:rPr>
        <w:footnoteRef/>
      </w:r>
      <w:r w:rsidRPr="00F97847">
        <w:rPr>
          <w:rStyle w:val="Refdenotaalpie"/>
          <w:rFonts w:ascii="Arial" w:hAnsi="Arial" w:cs="Arial"/>
          <w:sz w:val="19"/>
          <w:szCs w:val="19"/>
        </w:rPr>
        <w:t xml:space="preserve"> </w:t>
      </w:r>
      <w:r w:rsidRPr="00F97847">
        <w:rPr>
          <w:rFonts w:ascii="Arial" w:hAnsi="Arial" w:cs="Arial"/>
          <w:sz w:val="19"/>
          <w:szCs w:val="19"/>
          <w:lang w:val="es-ES"/>
        </w:rPr>
        <w:t xml:space="preserve">Consejo de Estado. Sala de Consulta y Servicio Civil, Concepto de 8 de mayo de 2018. Radicación Número: 11001-03-06-000-2018-00095-00(2382). Consejero Ponente: Álvaro </w:t>
      </w:r>
      <w:proofErr w:type="spellStart"/>
      <w:r w:rsidRPr="00F97847">
        <w:rPr>
          <w:rFonts w:ascii="Arial" w:hAnsi="Arial" w:cs="Arial"/>
          <w:sz w:val="19"/>
          <w:szCs w:val="19"/>
          <w:lang w:val="es-ES"/>
        </w:rPr>
        <w:t>Namén</w:t>
      </w:r>
      <w:proofErr w:type="spellEnd"/>
      <w:r w:rsidRPr="00F97847">
        <w:rPr>
          <w:rFonts w:ascii="Arial" w:hAnsi="Arial" w:cs="Arial"/>
          <w:sz w:val="19"/>
          <w:szCs w:val="19"/>
          <w:lang w:val="es-ES"/>
        </w:rPr>
        <w:t xml:space="preserve"> Vargas.</w:t>
      </w:r>
    </w:p>
  </w:footnote>
  <w:footnote w:id="17">
    <w:p w14:paraId="49A02CDD" w14:textId="70865DBB" w:rsidR="00F61159" w:rsidRPr="00F97847" w:rsidRDefault="00F61159">
      <w:pPr>
        <w:pStyle w:val="Textonotapie"/>
        <w:spacing w:after="0" w:line="240" w:lineRule="auto"/>
        <w:ind w:firstLine="709"/>
        <w:rPr>
          <w:rFonts w:ascii="Arial" w:hAnsi="Arial" w:cs="Arial"/>
          <w:sz w:val="19"/>
          <w:szCs w:val="19"/>
        </w:rPr>
      </w:pPr>
      <w:r w:rsidRPr="00F97847">
        <w:rPr>
          <w:rStyle w:val="Refdenotaalpie"/>
          <w:rFonts w:ascii="Arial" w:hAnsi="Arial" w:cs="Arial"/>
          <w:sz w:val="19"/>
          <w:szCs w:val="19"/>
        </w:rPr>
        <w:footnoteRef/>
      </w:r>
      <w:r w:rsidRPr="00F97847">
        <w:rPr>
          <w:rFonts w:ascii="Arial" w:hAnsi="Arial" w:cs="Arial"/>
          <w:sz w:val="19"/>
          <w:szCs w:val="19"/>
        </w:rPr>
        <w:t xml:space="preserve"> Consejo de Estado. Sala de Consulta y Servicio Civil. Concepto del 08 de mayo de 2018. Exp. 2.382. C.P. Álvaro Namén Vargas.</w:t>
      </w:r>
    </w:p>
  </w:footnote>
  <w:footnote w:id="18">
    <w:p w14:paraId="14F5FB64" w14:textId="77777777" w:rsidR="00856B57" w:rsidRPr="00F97847" w:rsidRDefault="00856B57">
      <w:pPr>
        <w:pStyle w:val="Textonotapie"/>
        <w:spacing w:after="0" w:line="240" w:lineRule="auto"/>
        <w:ind w:firstLine="709"/>
        <w:rPr>
          <w:rFonts w:ascii="Arial" w:hAnsi="Arial" w:cs="Arial"/>
          <w:sz w:val="19"/>
          <w:szCs w:val="19"/>
        </w:rPr>
      </w:pPr>
      <w:r w:rsidRPr="00F97847">
        <w:rPr>
          <w:rStyle w:val="Refdenotaalpie"/>
          <w:rFonts w:ascii="Arial" w:hAnsi="Arial" w:cs="Arial"/>
          <w:sz w:val="19"/>
          <w:szCs w:val="19"/>
        </w:rPr>
        <w:footnoteRef/>
      </w:r>
      <w:r w:rsidRPr="00F97847">
        <w:rPr>
          <w:rFonts w:ascii="Arial" w:hAnsi="Arial" w:cs="Arial"/>
          <w:sz w:val="19"/>
          <w:szCs w:val="19"/>
        </w:rPr>
        <w:t xml:space="preserve"> La Corte Constitucional mediante Sentencia C-1153-05 de 11 de noviembre de 2005, Magistrado Ponente Marco Gerardo Monroy Cabra, efectuó el Control constitucional al Proyecto de Ley Estatutaria N° 216/05 Senado, N° 235-Cámara que dio lugar a la Ley de Garantías Electorales.</w:t>
      </w:r>
    </w:p>
  </w:footnote>
  <w:footnote w:id="19">
    <w:p w14:paraId="2C561595" w14:textId="291F035A" w:rsidR="004E638B" w:rsidRPr="00F97847" w:rsidRDefault="00856B57">
      <w:pPr>
        <w:spacing w:after="0" w:line="240" w:lineRule="auto"/>
        <w:ind w:firstLine="709"/>
        <w:rPr>
          <w:rFonts w:ascii="Arial" w:hAnsi="Arial" w:cs="Arial"/>
          <w:sz w:val="19"/>
          <w:szCs w:val="19"/>
        </w:rPr>
      </w:pPr>
      <w:r w:rsidRPr="00F97847">
        <w:rPr>
          <w:rStyle w:val="Refdenotaalpie"/>
          <w:rFonts w:ascii="Arial" w:hAnsi="Arial" w:cs="Arial"/>
          <w:sz w:val="19"/>
          <w:szCs w:val="19"/>
        </w:rPr>
        <w:footnoteRef/>
      </w:r>
      <w:r w:rsidRPr="00F97847">
        <w:rPr>
          <w:rFonts w:ascii="Arial" w:hAnsi="Arial" w:cs="Arial"/>
          <w:sz w:val="19"/>
          <w:szCs w:val="19"/>
        </w:rPr>
        <w:t xml:space="preserve"> Consejo de Estado. Sala de Consulta y Servicio Civil. Concepto de 20 de febrero de 2006. Radicación Número: 11001-03-06-000-2006-00026-00(1727). Consejero Ponente: Enrique José Arboleda Perdomo. Conceptuó que para las entidades que contratan por el derecho privado, estaba prohibida la contratación diferente de la licitación pública regulada por el código de comercio, criterio que luego se extendió para aquellos procesos que, en algunos sistemas de contratación utilizados por entidades públicas con regímenes especiales y establecidos en sus manuales de contratación, utilicen convocatoria de manera pública y se permita la participación de una pluralidad de oferentes.</w:t>
      </w:r>
    </w:p>
  </w:footnote>
  <w:footnote w:id="20">
    <w:p w14:paraId="7B9940D9" w14:textId="66FDACAF" w:rsidR="00182C6C" w:rsidRPr="00F97847" w:rsidRDefault="00182C6C" w:rsidP="00F97847">
      <w:pPr>
        <w:pStyle w:val="Textonotapie"/>
        <w:spacing w:after="0" w:line="240" w:lineRule="auto"/>
        <w:ind w:firstLine="709"/>
        <w:rPr>
          <w:rFonts w:ascii="Arial" w:hAnsi="Arial" w:cs="Arial"/>
          <w:sz w:val="19"/>
          <w:szCs w:val="19"/>
        </w:rPr>
      </w:pPr>
      <w:r w:rsidRPr="00F97847">
        <w:rPr>
          <w:rStyle w:val="Refdenotaalpie"/>
          <w:rFonts w:ascii="Arial" w:hAnsi="Arial" w:cs="Arial"/>
          <w:sz w:val="19"/>
          <w:szCs w:val="19"/>
        </w:rPr>
        <w:footnoteRef/>
      </w:r>
      <w:r w:rsidRPr="00F97847">
        <w:rPr>
          <w:rFonts w:ascii="Arial" w:hAnsi="Arial" w:cs="Arial"/>
          <w:sz w:val="19"/>
          <w:szCs w:val="19"/>
        </w:rPr>
        <w:t xml:space="preserve"> </w:t>
      </w:r>
      <w:bookmarkStart w:id="43" w:name="_Hlk75633115"/>
      <w:r w:rsidR="00204F6E" w:rsidRPr="00F97847">
        <w:rPr>
          <w:rFonts w:ascii="Arial" w:hAnsi="Arial" w:cs="Arial"/>
          <w:sz w:val="19"/>
          <w:szCs w:val="19"/>
        </w:rPr>
        <w:t xml:space="preserve">Consejo de Estado. Sala de Consulta y Servicio Civil. Concepto </w:t>
      </w:r>
      <w:bookmarkEnd w:id="43"/>
      <w:r w:rsidR="00204F6E" w:rsidRPr="00F97847">
        <w:rPr>
          <w:rFonts w:ascii="Arial" w:hAnsi="Arial" w:cs="Arial"/>
          <w:sz w:val="19"/>
          <w:szCs w:val="19"/>
        </w:rPr>
        <w:t>de 6 de abril de 2006. Radicación Número:</w:t>
      </w:r>
      <w:r w:rsidR="00D07F68" w:rsidRPr="00F97847">
        <w:rPr>
          <w:rFonts w:ascii="Arial" w:hAnsi="Arial" w:cs="Arial"/>
          <w:sz w:val="19"/>
          <w:szCs w:val="19"/>
        </w:rPr>
        <w:t xml:space="preserve"> </w:t>
      </w:r>
      <w:r w:rsidR="00204F6E" w:rsidRPr="00F97847">
        <w:rPr>
          <w:rFonts w:ascii="Arial" w:hAnsi="Arial" w:cs="Arial"/>
          <w:sz w:val="19"/>
          <w:szCs w:val="19"/>
        </w:rPr>
        <w:t>11001-03-06-000-2006-00038-00(1738). Consejero Ponente: Enrique José Arboleda Perdomo</w:t>
      </w:r>
      <w:r w:rsidR="00D07F68" w:rsidRPr="00F97847">
        <w:rPr>
          <w:rFonts w:ascii="Arial" w:hAnsi="Arial" w:cs="Arial"/>
          <w:sz w:val="19"/>
          <w:szCs w:val="19"/>
        </w:rPr>
        <w:t>:</w:t>
      </w:r>
      <w:r w:rsidR="00D07F68" w:rsidRPr="00F97847">
        <w:rPr>
          <w:rFonts w:ascii="Arial" w:eastAsia="Times New Roman" w:hAnsi="Arial" w:cs="Arial"/>
          <w:bCs/>
          <w:sz w:val="19"/>
          <w:szCs w:val="19"/>
          <w:lang w:eastAsia="x-none"/>
        </w:rPr>
        <w:t xml:space="preserve"> «</w:t>
      </w:r>
      <w:r w:rsidR="00D07F68" w:rsidRPr="00F97847">
        <w:rPr>
          <w:rFonts w:ascii="Arial" w:hAnsi="Arial" w:cs="Arial"/>
          <w:sz w:val="19"/>
          <w:szCs w:val="19"/>
        </w:rPr>
        <w:t>Si bien en el tema del concepto del que se extractaron los párrafos transcritos, se hacía referencia a las empresas de servicios públicos domiciliarios mixtas, la explicación dada cobija también a las empresas industriales y comerciales del estado y a las de crédito, pues todas ellas hacen parte de la definición de administración pública de la ley 489 de 1998, y además encajan dentro de la noción de todos los entes del Estado que trae la ley 996 de 2005 en el artículo 33, de manera que no es lógico pretender exonerarse de ésta prohibición alegando un régimen especial de los actos o contratos</w:t>
      </w:r>
      <w:r w:rsidR="00D07F68" w:rsidRPr="00F97847">
        <w:rPr>
          <w:rFonts w:ascii="Arial" w:eastAsia="Times New Roman" w:hAnsi="Arial" w:cs="Arial"/>
          <w:bCs/>
          <w:sz w:val="19"/>
          <w:szCs w:val="19"/>
          <w:lang w:eastAsia="x-none"/>
        </w:rPr>
        <w:t>»</w:t>
      </w:r>
      <w:r w:rsidR="004E638B" w:rsidRPr="00F97847">
        <w:rPr>
          <w:rFonts w:ascii="Arial" w:eastAsia="Times New Roman" w:hAnsi="Arial" w:cs="Arial"/>
          <w:bCs/>
          <w:sz w:val="19"/>
          <w:szCs w:val="19"/>
          <w:lang w:eastAsia="x-none"/>
        </w:rPr>
        <w:t>.</w:t>
      </w:r>
    </w:p>
  </w:footnote>
  <w:footnote w:id="21">
    <w:p w14:paraId="004661B1" w14:textId="25D06465" w:rsidR="004E638B" w:rsidRPr="00F97847" w:rsidRDefault="003D73F1" w:rsidP="00F97847">
      <w:pPr>
        <w:pStyle w:val="Textonotapie"/>
        <w:spacing w:after="0" w:line="240" w:lineRule="auto"/>
        <w:ind w:firstLine="709"/>
        <w:rPr>
          <w:rFonts w:ascii="Arial" w:hAnsi="Arial" w:cs="Arial"/>
          <w:sz w:val="19"/>
          <w:szCs w:val="19"/>
        </w:rPr>
      </w:pPr>
      <w:r w:rsidRPr="00F97847">
        <w:rPr>
          <w:rStyle w:val="Refdenotaalpie"/>
          <w:rFonts w:ascii="Arial" w:hAnsi="Arial" w:cs="Arial"/>
          <w:sz w:val="19"/>
          <w:szCs w:val="19"/>
        </w:rPr>
        <w:footnoteRef/>
      </w:r>
      <w:r w:rsidRPr="00F97847">
        <w:rPr>
          <w:rFonts w:ascii="Arial" w:hAnsi="Arial" w:cs="Arial"/>
          <w:sz w:val="19"/>
          <w:szCs w:val="19"/>
        </w:rPr>
        <w:t xml:space="preserve"> Consejo de Estado. Sala de Consulta y Servicio Civil. Concepto de 6 de abril de 2006. Radicación Número: 11001-03-06-000-2006-00038-00(1738). Consejero Ponente: Enrique José Arboleda Perdomo</w:t>
      </w:r>
      <w:r w:rsidR="004E638B" w:rsidRPr="00F97847">
        <w:rPr>
          <w:rFonts w:ascii="Arial" w:hAnsi="Arial" w:cs="Arial"/>
          <w:sz w:val="19"/>
          <w:szCs w:val="19"/>
        </w:rPr>
        <w:t>.</w:t>
      </w:r>
    </w:p>
  </w:footnote>
  <w:footnote w:id="22">
    <w:p w14:paraId="5BA39CA3" w14:textId="77777777" w:rsidR="003D73F1" w:rsidRPr="00F97847" w:rsidRDefault="003D73F1" w:rsidP="00F97847">
      <w:pPr>
        <w:pStyle w:val="Textonotapie"/>
        <w:spacing w:after="0" w:line="240" w:lineRule="auto"/>
        <w:ind w:firstLine="709"/>
        <w:rPr>
          <w:rStyle w:val="Refdenotaalpie"/>
          <w:rFonts w:ascii="Arial" w:hAnsi="Arial" w:cs="Arial"/>
          <w:sz w:val="19"/>
          <w:szCs w:val="19"/>
        </w:rPr>
      </w:pPr>
      <w:r w:rsidRPr="00F97847">
        <w:rPr>
          <w:rStyle w:val="Refdenotaalpie"/>
          <w:rFonts w:ascii="Arial" w:hAnsi="Arial" w:cs="Arial"/>
          <w:sz w:val="19"/>
          <w:szCs w:val="19"/>
        </w:rPr>
        <w:footnoteRef/>
      </w:r>
      <w:r w:rsidRPr="00F97847">
        <w:rPr>
          <w:rStyle w:val="Refdenotaalpie"/>
          <w:rFonts w:ascii="Arial" w:hAnsi="Arial" w:cs="Arial"/>
          <w:sz w:val="19"/>
          <w:szCs w:val="19"/>
        </w:rPr>
        <w:t xml:space="preserve"> Consejo de Estado. Sala de Consulta y Servicio Civil, ídem.</w:t>
      </w:r>
    </w:p>
  </w:footnote>
  <w:footnote w:id="23">
    <w:p w14:paraId="51C52A98" w14:textId="1DF9888E" w:rsidR="00AB09C2" w:rsidRPr="00F97847" w:rsidRDefault="00AB09C2" w:rsidP="00F97847">
      <w:pPr>
        <w:pStyle w:val="Textonotapie"/>
        <w:spacing w:after="0" w:line="240" w:lineRule="auto"/>
        <w:ind w:firstLine="709"/>
        <w:rPr>
          <w:rFonts w:ascii="Arial" w:hAnsi="Arial" w:cs="Arial"/>
          <w:sz w:val="19"/>
          <w:szCs w:val="19"/>
          <w:lang w:val="es-ES"/>
        </w:rPr>
      </w:pPr>
      <w:r w:rsidRPr="00F97847">
        <w:rPr>
          <w:rStyle w:val="Refdenotaalpie"/>
          <w:rFonts w:ascii="Arial" w:hAnsi="Arial" w:cs="Arial"/>
          <w:sz w:val="19"/>
          <w:szCs w:val="19"/>
        </w:rPr>
        <w:footnoteRef/>
      </w:r>
      <w:r w:rsidRPr="00F97847">
        <w:rPr>
          <w:rFonts w:ascii="Arial" w:hAnsi="Arial" w:cs="Arial"/>
          <w:sz w:val="19"/>
          <w:szCs w:val="19"/>
        </w:rPr>
        <w:t xml:space="preserve"> </w:t>
      </w:r>
      <w:r w:rsidR="009D6385" w:rsidRPr="00F97847">
        <w:rPr>
          <w:rFonts w:ascii="Arial" w:hAnsi="Arial" w:cs="Arial"/>
          <w:sz w:val="19"/>
          <w:szCs w:val="19"/>
        </w:rPr>
        <w:t>Verbigracia, en respuesta a la Consulta con radicado Nro. 4201813000002104 del 6 de marzo de 2018.</w:t>
      </w:r>
    </w:p>
  </w:footnote>
  <w:footnote w:id="24">
    <w:p w14:paraId="4152B813" w14:textId="42B0C06D" w:rsidR="00E81AB6" w:rsidRPr="00F97847" w:rsidRDefault="00E81AB6" w:rsidP="00F97847">
      <w:pPr>
        <w:pStyle w:val="Textonotapie"/>
        <w:spacing w:line="240" w:lineRule="auto"/>
        <w:rPr>
          <w:rFonts w:ascii="Arial" w:hAnsi="Arial" w:cs="Arial"/>
          <w:sz w:val="19"/>
          <w:szCs w:val="19"/>
          <w:lang w:val="es-ES"/>
        </w:rPr>
      </w:pPr>
      <w:r w:rsidRPr="00F97847">
        <w:rPr>
          <w:rStyle w:val="Refdenotaalpie"/>
          <w:rFonts w:ascii="Arial" w:hAnsi="Arial" w:cs="Arial"/>
          <w:sz w:val="19"/>
          <w:szCs w:val="19"/>
        </w:rPr>
        <w:footnoteRef/>
      </w:r>
      <w:r w:rsidRPr="00F97847">
        <w:rPr>
          <w:rFonts w:ascii="Arial" w:hAnsi="Arial" w:cs="Arial"/>
          <w:sz w:val="19"/>
          <w:szCs w:val="19"/>
        </w:rPr>
        <w:t xml:space="preserve"> Identificado con </w:t>
      </w:r>
      <w:r w:rsidR="000870BB">
        <w:rPr>
          <w:rFonts w:ascii="Arial" w:hAnsi="Arial" w:cs="Arial"/>
          <w:sz w:val="19"/>
          <w:szCs w:val="19"/>
        </w:rPr>
        <w:t>radicado</w:t>
      </w:r>
      <w:r w:rsidRPr="00F97847">
        <w:rPr>
          <w:rFonts w:ascii="Arial" w:hAnsi="Arial" w:cs="Arial"/>
          <w:sz w:val="19"/>
          <w:szCs w:val="19"/>
        </w:rPr>
        <w:t xml:space="preserve"> No. 11001-03-06-000-2014-00119-00.</w:t>
      </w:r>
      <w:r w:rsidR="000870BB">
        <w:rPr>
          <w:rFonts w:ascii="Arial" w:hAnsi="Arial" w:cs="Arial"/>
          <w:sz w:val="19"/>
          <w:szCs w:val="19"/>
        </w:rPr>
        <w:t xml:space="preserve"> C.P. Álvaro Namén Vargas.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323BDB" w14:textId="1CCC219A" w:rsidR="00412132" w:rsidRDefault="00412132">
    <w:pPr>
      <w:pStyle w:val="Encabezado"/>
    </w:pPr>
    <w:r>
      <w:rPr>
        <w:noProof/>
        <w:lang w:val="en-US"/>
      </w:rPr>
      <w:drawing>
        <wp:anchor distT="0" distB="0" distL="114300" distR="114300" simplePos="0" relativeHeight="251673600" behindDoc="1" locked="0" layoutInCell="1" allowOverlap="1" wp14:anchorId="1A706351" wp14:editId="7CA6CDD4">
          <wp:simplePos x="0" y="0"/>
          <wp:positionH relativeFrom="column">
            <wp:posOffset>4458335</wp:posOffset>
          </wp:positionH>
          <wp:positionV relativeFrom="paragraph">
            <wp:posOffset>171450</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5"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E31D607" w14:textId="77777777" w:rsidR="00FE0395" w:rsidRDefault="00FE0395" w:rsidP="00FE0395">
    <w:pPr>
      <w:pStyle w:val="Encabezado"/>
      <w:spacing w:after="0"/>
    </w:pPr>
  </w:p>
  <w:p w14:paraId="6520770B" w14:textId="18EB07B5" w:rsidR="00412132" w:rsidRDefault="00412132">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923CB4E6"/>
    <w:lvl w:ilvl="0">
      <w:start w:val="1"/>
      <w:numFmt w:val="decimal"/>
      <w:lvlText w:val="%1."/>
      <w:lvlJc w:val="left"/>
      <w:pPr>
        <w:ind w:left="6601" w:hanging="360"/>
      </w:pPr>
      <w:rPr>
        <w:b/>
        <w:color w:val="auto"/>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6EE161D"/>
    <w:multiLevelType w:val="hybridMultilevel"/>
    <w:tmpl w:val="5E9052F8"/>
    <w:lvl w:ilvl="0" w:tplc="864A5026">
      <w:start w:val="1"/>
      <w:numFmt w:val="lowerLetter"/>
      <w:lvlText w:val="%1)"/>
      <w:lvlJc w:val="left"/>
      <w:pPr>
        <w:ind w:left="720" w:hanging="360"/>
      </w:pPr>
      <w:rPr>
        <w:rFonts w:hint="default"/>
        <w:b/>
        <w:bC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08CE7502"/>
    <w:multiLevelType w:val="hybridMultilevel"/>
    <w:tmpl w:val="8A348CD6"/>
    <w:lvl w:ilvl="0" w:tplc="240A0011">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188E33FD"/>
    <w:multiLevelType w:val="hybridMultilevel"/>
    <w:tmpl w:val="8DB4960C"/>
    <w:lvl w:ilvl="0" w:tplc="35F8F35A">
      <w:start w:val="1"/>
      <w:numFmt w:val="lowerRoman"/>
      <w:lvlText w:val="%1)"/>
      <w:lvlJc w:val="left"/>
      <w:pPr>
        <w:ind w:left="1428" w:hanging="720"/>
      </w:pPr>
      <w:rPr>
        <w:rFonts w:hint="default"/>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4" w15:restartNumberingAfterBreak="0">
    <w:nsid w:val="25613221"/>
    <w:multiLevelType w:val="hybridMultilevel"/>
    <w:tmpl w:val="74E8714E"/>
    <w:lvl w:ilvl="0" w:tplc="67744F1C">
      <w:start w:val="1"/>
      <w:numFmt w:val="decimal"/>
      <w:lvlText w:val="%1)"/>
      <w:lvlJc w:val="left"/>
      <w:pPr>
        <w:ind w:left="644" w:hanging="360"/>
      </w:pPr>
      <w:rPr>
        <w:rFonts w:hint="default"/>
      </w:rPr>
    </w:lvl>
    <w:lvl w:ilvl="1" w:tplc="240A0019" w:tentative="1">
      <w:start w:val="1"/>
      <w:numFmt w:val="lowerLetter"/>
      <w:lvlText w:val="%2."/>
      <w:lvlJc w:val="left"/>
      <w:pPr>
        <w:ind w:left="1364" w:hanging="360"/>
      </w:pPr>
    </w:lvl>
    <w:lvl w:ilvl="2" w:tplc="240A001B" w:tentative="1">
      <w:start w:val="1"/>
      <w:numFmt w:val="lowerRoman"/>
      <w:lvlText w:val="%3."/>
      <w:lvlJc w:val="right"/>
      <w:pPr>
        <w:ind w:left="2084" w:hanging="180"/>
      </w:pPr>
    </w:lvl>
    <w:lvl w:ilvl="3" w:tplc="240A000F" w:tentative="1">
      <w:start w:val="1"/>
      <w:numFmt w:val="decimal"/>
      <w:lvlText w:val="%4."/>
      <w:lvlJc w:val="left"/>
      <w:pPr>
        <w:ind w:left="2804" w:hanging="360"/>
      </w:pPr>
    </w:lvl>
    <w:lvl w:ilvl="4" w:tplc="240A0019" w:tentative="1">
      <w:start w:val="1"/>
      <w:numFmt w:val="lowerLetter"/>
      <w:lvlText w:val="%5."/>
      <w:lvlJc w:val="left"/>
      <w:pPr>
        <w:ind w:left="3524" w:hanging="360"/>
      </w:pPr>
    </w:lvl>
    <w:lvl w:ilvl="5" w:tplc="240A001B" w:tentative="1">
      <w:start w:val="1"/>
      <w:numFmt w:val="lowerRoman"/>
      <w:lvlText w:val="%6."/>
      <w:lvlJc w:val="right"/>
      <w:pPr>
        <w:ind w:left="4244" w:hanging="180"/>
      </w:pPr>
    </w:lvl>
    <w:lvl w:ilvl="6" w:tplc="240A000F" w:tentative="1">
      <w:start w:val="1"/>
      <w:numFmt w:val="decimal"/>
      <w:lvlText w:val="%7."/>
      <w:lvlJc w:val="left"/>
      <w:pPr>
        <w:ind w:left="4964" w:hanging="360"/>
      </w:pPr>
    </w:lvl>
    <w:lvl w:ilvl="7" w:tplc="240A0019" w:tentative="1">
      <w:start w:val="1"/>
      <w:numFmt w:val="lowerLetter"/>
      <w:lvlText w:val="%8."/>
      <w:lvlJc w:val="left"/>
      <w:pPr>
        <w:ind w:left="5684" w:hanging="360"/>
      </w:pPr>
    </w:lvl>
    <w:lvl w:ilvl="8" w:tplc="240A001B" w:tentative="1">
      <w:start w:val="1"/>
      <w:numFmt w:val="lowerRoman"/>
      <w:lvlText w:val="%9."/>
      <w:lvlJc w:val="right"/>
      <w:pPr>
        <w:ind w:left="6404" w:hanging="180"/>
      </w:pPr>
    </w:lvl>
  </w:abstractNum>
  <w:abstractNum w:abstractNumId="5" w15:restartNumberingAfterBreak="0">
    <w:nsid w:val="283D5E85"/>
    <w:multiLevelType w:val="multilevel"/>
    <w:tmpl w:val="374260C8"/>
    <w:lvl w:ilvl="0">
      <w:start w:val="1"/>
      <w:numFmt w:val="decimal"/>
      <w:lvlText w:val="%1."/>
      <w:lvlJc w:val="left"/>
      <w:pPr>
        <w:ind w:left="720" w:hanging="360"/>
      </w:pPr>
      <w:rPr>
        <w:rFonts w:hint="default"/>
        <w:b/>
        <w:bCs/>
      </w:rPr>
    </w:lvl>
    <w:lvl w:ilvl="1">
      <w:start w:val="7"/>
      <w:numFmt w:val="decimal"/>
      <w:isLgl/>
      <w:lvlText w:val="%1.%2."/>
      <w:lvlJc w:val="left"/>
      <w:pPr>
        <w:ind w:left="1080" w:hanging="720"/>
      </w:pPr>
      <w:rPr>
        <w:rFonts w:eastAsia="Calibri" w:hint="default"/>
        <w:color w:val="000000" w:themeColor="text1"/>
      </w:rPr>
    </w:lvl>
    <w:lvl w:ilvl="2">
      <w:start w:val="1"/>
      <w:numFmt w:val="decimal"/>
      <w:isLgl/>
      <w:lvlText w:val="%1.%2.%3."/>
      <w:lvlJc w:val="left"/>
      <w:pPr>
        <w:ind w:left="1080" w:hanging="720"/>
      </w:pPr>
      <w:rPr>
        <w:rFonts w:eastAsia="Calibri" w:hint="default"/>
        <w:color w:val="000000" w:themeColor="text1"/>
      </w:rPr>
    </w:lvl>
    <w:lvl w:ilvl="3">
      <w:start w:val="1"/>
      <w:numFmt w:val="decimal"/>
      <w:isLgl/>
      <w:lvlText w:val="%1.%2.%3.%4."/>
      <w:lvlJc w:val="left"/>
      <w:pPr>
        <w:ind w:left="1440" w:hanging="1080"/>
      </w:pPr>
      <w:rPr>
        <w:rFonts w:eastAsia="Calibri" w:hint="default"/>
        <w:color w:val="000000" w:themeColor="text1"/>
      </w:rPr>
    </w:lvl>
    <w:lvl w:ilvl="4">
      <w:start w:val="1"/>
      <w:numFmt w:val="decimal"/>
      <w:isLgl/>
      <w:lvlText w:val="%1.%2.%3.%4.%5."/>
      <w:lvlJc w:val="left"/>
      <w:pPr>
        <w:ind w:left="1440" w:hanging="1080"/>
      </w:pPr>
      <w:rPr>
        <w:rFonts w:eastAsia="Calibri" w:hint="default"/>
        <w:color w:val="000000" w:themeColor="text1"/>
      </w:rPr>
    </w:lvl>
    <w:lvl w:ilvl="5">
      <w:start w:val="1"/>
      <w:numFmt w:val="decimal"/>
      <w:isLgl/>
      <w:lvlText w:val="%1.%2.%3.%4.%5.%6."/>
      <w:lvlJc w:val="left"/>
      <w:pPr>
        <w:ind w:left="1800" w:hanging="1440"/>
      </w:pPr>
      <w:rPr>
        <w:rFonts w:eastAsia="Calibri" w:hint="default"/>
        <w:color w:val="000000" w:themeColor="text1"/>
      </w:rPr>
    </w:lvl>
    <w:lvl w:ilvl="6">
      <w:start w:val="1"/>
      <w:numFmt w:val="decimal"/>
      <w:isLgl/>
      <w:lvlText w:val="%1.%2.%3.%4.%5.%6.%7."/>
      <w:lvlJc w:val="left"/>
      <w:pPr>
        <w:ind w:left="1800" w:hanging="1440"/>
      </w:pPr>
      <w:rPr>
        <w:rFonts w:eastAsia="Calibri" w:hint="default"/>
        <w:color w:val="000000" w:themeColor="text1"/>
      </w:rPr>
    </w:lvl>
    <w:lvl w:ilvl="7">
      <w:start w:val="1"/>
      <w:numFmt w:val="decimal"/>
      <w:isLgl/>
      <w:lvlText w:val="%1.%2.%3.%4.%5.%6.%7.%8."/>
      <w:lvlJc w:val="left"/>
      <w:pPr>
        <w:ind w:left="2160" w:hanging="1800"/>
      </w:pPr>
      <w:rPr>
        <w:rFonts w:eastAsia="Calibri" w:hint="default"/>
        <w:color w:val="000000" w:themeColor="text1"/>
      </w:rPr>
    </w:lvl>
    <w:lvl w:ilvl="8">
      <w:start w:val="1"/>
      <w:numFmt w:val="decimal"/>
      <w:isLgl/>
      <w:lvlText w:val="%1.%2.%3.%4.%5.%6.%7.%8.%9."/>
      <w:lvlJc w:val="left"/>
      <w:pPr>
        <w:ind w:left="2160" w:hanging="1800"/>
      </w:pPr>
      <w:rPr>
        <w:rFonts w:eastAsia="Calibri" w:hint="default"/>
        <w:color w:val="000000" w:themeColor="text1"/>
      </w:rPr>
    </w:lvl>
  </w:abstractNum>
  <w:abstractNum w:abstractNumId="6" w15:restartNumberingAfterBreak="0">
    <w:nsid w:val="2BAA45F7"/>
    <w:multiLevelType w:val="hybridMultilevel"/>
    <w:tmpl w:val="B8785494"/>
    <w:lvl w:ilvl="0" w:tplc="369A2F20">
      <w:start w:val="1"/>
      <w:numFmt w:val="decimal"/>
      <w:pStyle w:val="Capitulo3"/>
      <w:lvlText w:val="3.%1."/>
      <w:lvlJc w:val="left"/>
      <w:pPr>
        <w:ind w:left="786" w:hanging="360"/>
      </w:pPr>
      <w:rPr>
        <w:rFonts w:hint="default"/>
        <w:b/>
        <w:color w:val="262626" w:themeColor="text1" w:themeTint="D9"/>
      </w:rPr>
    </w:lvl>
    <w:lvl w:ilvl="1" w:tplc="240A0019" w:tentative="1">
      <w:start w:val="1"/>
      <w:numFmt w:val="lowerLetter"/>
      <w:lvlText w:val="%2."/>
      <w:lvlJc w:val="left"/>
      <w:pPr>
        <w:ind w:left="1724" w:hanging="360"/>
      </w:pPr>
    </w:lvl>
    <w:lvl w:ilvl="2" w:tplc="240A001B">
      <w:start w:val="1"/>
      <w:numFmt w:val="lowerRoman"/>
      <w:lvlText w:val="%3."/>
      <w:lvlJc w:val="right"/>
      <w:pPr>
        <w:ind w:left="2444" w:hanging="180"/>
      </w:pPr>
    </w:lvl>
    <w:lvl w:ilvl="3" w:tplc="240A000F" w:tentative="1">
      <w:start w:val="1"/>
      <w:numFmt w:val="decimal"/>
      <w:lvlText w:val="%4."/>
      <w:lvlJc w:val="left"/>
      <w:pPr>
        <w:ind w:left="3164" w:hanging="360"/>
      </w:pPr>
    </w:lvl>
    <w:lvl w:ilvl="4" w:tplc="240A0019" w:tentative="1">
      <w:start w:val="1"/>
      <w:numFmt w:val="lowerLetter"/>
      <w:lvlText w:val="%5."/>
      <w:lvlJc w:val="left"/>
      <w:pPr>
        <w:ind w:left="3884" w:hanging="360"/>
      </w:pPr>
    </w:lvl>
    <w:lvl w:ilvl="5" w:tplc="240A001B" w:tentative="1">
      <w:start w:val="1"/>
      <w:numFmt w:val="lowerRoman"/>
      <w:lvlText w:val="%6."/>
      <w:lvlJc w:val="right"/>
      <w:pPr>
        <w:ind w:left="4604" w:hanging="180"/>
      </w:pPr>
    </w:lvl>
    <w:lvl w:ilvl="6" w:tplc="240A000F" w:tentative="1">
      <w:start w:val="1"/>
      <w:numFmt w:val="decimal"/>
      <w:lvlText w:val="%7."/>
      <w:lvlJc w:val="left"/>
      <w:pPr>
        <w:ind w:left="5324" w:hanging="360"/>
      </w:pPr>
    </w:lvl>
    <w:lvl w:ilvl="7" w:tplc="240A0019" w:tentative="1">
      <w:start w:val="1"/>
      <w:numFmt w:val="lowerLetter"/>
      <w:lvlText w:val="%8."/>
      <w:lvlJc w:val="left"/>
      <w:pPr>
        <w:ind w:left="6044" w:hanging="360"/>
      </w:pPr>
    </w:lvl>
    <w:lvl w:ilvl="8" w:tplc="240A001B" w:tentative="1">
      <w:start w:val="1"/>
      <w:numFmt w:val="lowerRoman"/>
      <w:lvlText w:val="%9."/>
      <w:lvlJc w:val="right"/>
      <w:pPr>
        <w:ind w:left="6764" w:hanging="180"/>
      </w:pPr>
    </w:lvl>
  </w:abstractNum>
  <w:abstractNum w:abstractNumId="7" w15:restartNumberingAfterBreak="0">
    <w:nsid w:val="2E52434E"/>
    <w:multiLevelType w:val="multilevel"/>
    <w:tmpl w:val="451480FA"/>
    <w:lvl w:ilvl="0">
      <w:start w:val="3"/>
      <w:numFmt w:val="decimal"/>
      <w:lvlText w:val="%1."/>
      <w:lvlJc w:val="left"/>
      <w:pPr>
        <w:ind w:left="360" w:hanging="360"/>
      </w:pPr>
      <w:rPr>
        <w:rFonts w:hint="default"/>
        <w:color w:val="3C3C3C" w:themeColor="background2" w:themeShade="40"/>
      </w:rPr>
    </w:lvl>
    <w:lvl w:ilvl="1">
      <w:start w:val="6"/>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3C3C3C" w:themeColor="background2" w:themeShade="40"/>
      </w:rPr>
    </w:lvl>
    <w:lvl w:ilvl="3">
      <w:start w:val="1"/>
      <w:numFmt w:val="decimal"/>
      <w:lvlText w:val="%1.%2.%3.%4."/>
      <w:lvlJc w:val="left"/>
      <w:pPr>
        <w:ind w:left="720" w:hanging="720"/>
      </w:pPr>
      <w:rPr>
        <w:rFonts w:hint="default"/>
        <w:color w:val="3C3C3C" w:themeColor="background2" w:themeShade="40"/>
      </w:rPr>
    </w:lvl>
    <w:lvl w:ilvl="4">
      <w:start w:val="1"/>
      <w:numFmt w:val="decimal"/>
      <w:lvlText w:val="%1.%2.%3.%4.%5."/>
      <w:lvlJc w:val="left"/>
      <w:pPr>
        <w:ind w:left="1080" w:hanging="1080"/>
      </w:pPr>
      <w:rPr>
        <w:rFonts w:hint="default"/>
        <w:color w:val="3C3C3C" w:themeColor="background2" w:themeShade="40"/>
      </w:rPr>
    </w:lvl>
    <w:lvl w:ilvl="5">
      <w:start w:val="1"/>
      <w:numFmt w:val="decimal"/>
      <w:lvlText w:val="%1.%2.%3.%4.%5.%6."/>
      <w:lvlJc w:val="left"/>
      <w:pPr>
        <w:ind w:left="1080" w:hanging="1080"/>
      </w:pPr>
      <w:rPr>
        <w:rFonts w:hint="default"/>
        <w:color w:val="3C3C3C" w:themeColor="background2" w:themeShade="40"/>
      </w:rPr>
    </w:lvl>
    <w:lvl w:ilvl="6">
      <w:start w:val="1"/>
      <w:numFmt w:val="decimal"/>
      <w:lvlText w:val="%1.%2.%3.%4.%5.%6.%7."/>
      <w:lvlJc w:val="left"/>
      <w:pPr>
        <w:ind w:left="1440" w:hanging="1440"/>
      </w:pPr>
      <w:rPr>
        <w:rFonts w:hint="default"/>
        <w:color w:val="3C3C3C" w:themeColor="background2" w:themeShade="40"/>
      </w:rPr>
    </w:lvl>
    <w:lvl w:ilvl="7">
      <w:start w:val="1"/>
      <w:numFmt w:val="decimal"/>
      <w:lvlText w:val="%1.%2.%3.%4.%5.%6.%7.%8."/>
      <w:lvlJc w:val="left"/>
      <w:pPr>
        <w:ind w:left="1440" w:hanging="1440"/>
      </w:pPr>
      <w:rPr>
        <w:rFonts w:hint="default"/>
        <w:color w:val="3C3C3C" w:themeColor="background2" w:themeShade="40"/>
      </w:rPr>
    </w:lvl>
    <w:lvl w:ilvl="8">
      <w:start w:val="1"/>
      <w:numFmt w:val="decimal"/>
      <w:lvlText w:val="%1.%2.%3.%4.%5.%6.%7.%8.%9."/>
      <w:lvlJc w:val="left"/>
      <w:pPr>
        <w:ind w:left="1800" w:hanging="1800"/>
      </w:pPr>
      <w:rPr>
        <w:rFonts w:hint="default"/>
        <w:color w:val="3C3C3C" w:themeColor="background2" w:themeShade="40"/>
      </w:rPr>
    </w:lvl>
  </w:abstractNum>
  <w:abstractNum w:abstractNumId="8" w15:restartNumberingAfterBreak="0">
    <w:nsid w:val="30BD7991"/>
    <w:multiLevelType w:val="hybridMultilevel"/>
    <w:tmpl w:val="195AF042"/>
    <w:lvl w:ilvl="0" w:tplc="864A5026">
      <w:start w:val="1"/>
      <w:numFmt w:val="lowerLetter"/>
      <w:lvlText w:val="%1)"/>
      <w:lvlJc w:val="left"/>
      <w:pPr>
        <w:ind w:left="720" w:hanging="360"/>
      </w:pPr>
      <w:rPr>
        <w:rFonts w:hint="default"/>
        <w:b/>
        <w:bC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318D3B73"/>
    <w:multiLevelType w:val="hybridMultilevel"/>
    <w:tmpl w:val="6F464806"/>
    <w:lvl w:ilvl="0" w:tplc="6388BED4">
      <w:start w:val="1"/>
      <w:numFmt w:val="lowerRoman"/>
      <w:lvlText w:val="(%1)"/>
      <w:lvlJc w:val="left"/>
      <w:pPr>
        <w:ind w:left="720" w:hanging="720"/>
      </w:pPr>
      <w:rPr>
        <w:rFonts w:hint="default"/>
        <w:b w:val="0"/>
        <w:i/>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337E1E1A"/>
    <w:multiLevelType w:val="hybridMultilevel"/>
    <w:tmpl w:val="E5D0DD6E"/>
    <w:lvl w:ilvl="0" w:tplc="199E3AAA">
      <w:start w:val="1"/>
      <w:numFmt w:val="lowerLetter"/>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15:restartNumberingAfterBreak="0">
    <w:nsid w:val="35D020FD"/>
    <w:multiLevelType w:val="hybridMultilevel"/>
    <w:tmpl w:val="69487CE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3DAC2D17"/>
    <w:multiLevelType w:val="multilevel"/>
    <w:tmpl w:val="080A0027"/>
    <w:lvl w:ilvl="0">
      <w:start w:val="1"/>
      <w:numFmt w:val="upperRoman"/>
      <w:pStyle w:val="Ttulo1"/>
      <w:lvlText w:val="%1."/>
      <w:lvlJc w:val="left"/>
      <w:pPr>
        <w:tabs>
          <w:tab w:val="num" w:pos="360"/>
        </w:tabs>
        <w:ind w:left="0" w:firstLine="0"/>
      </w:pPr>
      <w:rPr>
        <w:rFonts w:hint="default"/>
        <w:b/>
        <w:i w:val="0"/>
        <w:sz w:val="28"/>
        <w:szCs w:val="28"/>
      </w:rPr>
    </w:lvl>
    <w:lvl w:ilvl="1">
      <w:start w:val="1"/>
      <w:numFmt w:val="upperLetter"/>
      <w:pStyle w:val="Ttulo2"/>
      <w:lvlText w:val="%2."/>
      <w:lvlJc w:val="left"/>
      <w:pPr>
        <w:tabs>
          <w:tab w:val="num" w:pos="1080"/>
        </w:tabs>
        <w:ind w:left="720" w:firstLine="0"/>
      </w:pPr>
      <w:rPr>
        <w:rFonts w:hint="default"/>
      </w:rPr>
    </w:lvl>
    <w:lvl w:ilvl="2">
      <w:start w:val="1"/>
      <w:numFmt w:val="decimal"/>
      <w:pStyle w:val="Ttulo3"/>
      <w:lvlText w:val="%3."/>
      <w:lvlJc w:val="left"/>
      <w:pPr>
        <w:tabs>
          <w:tab w:val="num" w:pos="1800"/>
        </w:tabs>
        <w:ind w:left="1440" w:firstLine="0"/>
      </w:pPr>
      <w:rPr>
        <w:rFonts w:hint="default"/>
      </w:rPr>
    </w:lvl>
    <w:lvl w:ilvl="3">
      <w:start w:val="1"/>
      <w:numFmt w:val="lowerLetter"/>
      <w:pStyle w:val="Ttulo4"/>
      <w:lvlText w:val="%4)"/>
      <w:lvlJc w:val="left"/>
      <w:pPr>
        <w:tabs>
          <w:tab w:val="num" w:pos="2520"/>
        </w:tabs>
        <w:ind w:left="2160" w:firstLine="0"/>
      </w:pPr>
      <w:rPr>
        <w:rFonts w:hint="default"/>
      </w:rPr>
    </w:lvl>
    <w:lvl w:ilvl="4">
      <w:start w:val="1"/>
      <w:numFmt w:val="decimal"/>
      <w:pStyle w:val="Ttulo5"/>
      <w:lvlText w:val="(%5)"/>
      <w:lvlJc w:val="left"/>
      <w:pPr>
        <w:tabs>
          <w:tab w:val="num" w:pos="3240"/>
        </w:tabs>
        <w:ind w:left="2880" w:firstLine="0"/>
      </w:pPr>
      <w:rPr>
        <w:rFonts w:hint="default"/>
      </w:rPr>
    </w:lvl>
    <w:lvl w:ilvl="5">
      <w:start w:val="1"/>
      <w:numFmt w:val="lowerLetter"/>
      <w:pStyle w:val="Ttulo6"/>
      <w:lvlText w:val="(%6)"/>
      <w:lvlJc w:val="left"/>
      <w:pPr>
        <w:tabs>
          <w:tab w:val="num" w:pos="3960"/>
        </w:tabs>
        <w:ind w:left="3600" w:firstLine="0"/>
      </w:pPr>
      <w:rPr>
        <w:rFonts w:hint="default"/>
      </w:rPr>
    </w:lvl>
    <w:lvl w:ilvl="6">
      <w:start w:val="1"/>
      <w:numFmt w:val="lowerRoman"/>
      <w:pStyle w:val="Ttulo7"/>
      <w:lvlText w:val="(%7)"/>
      <w:lvlJc w:val="left"/>
      <w:pPr>
        <w:tabs>
          <w:tab w:val="num" w:pos="4680"/>
        </w:tabs>
        <w:ind w:left="4320" w:firstLine="0"/>
      </w:pPr>
      <w:rPr>
        <w:rFonts w:hint="default"/>
      </w:rPr>
    </w:lvl>
    <w:lvl w:ilvl="7">
      <w:start w:val="1"/>
      <w:numFmt w:val="lowerLetter"/>
      <w:pStyle w:val="Ttulo8"/>
      <w:lvlText w:val="(%8)"/>
      <w:lvlJc w:val="left"/>
      <w:pPr>
        <w:tabs>
          <w:tab w:val="num" w:pos="5400"/>
        </w:tabs>
        <w:ind w:left="5040" w:firstLine="0"/>
      </w:pPr>
      <w:rPr>
        <w:rFonts w:hint="default"/>
      </w:rPr>
    </w:lvl>
    <w:lvl w:ilvl="8">
      <w:start w:val="1"/>
      <w:numFmt w:val="lowerRoman"/>
      <w:pStyle w:val="Ttulo9"/>
      <w:lvlText w:val="(%9)"/>
      <w:lvlJc w:val="left"/>
      <w:pPr>
        <w:tabs>
          <w:tab w:val="num" w:pos="6120"/>
        </w:tabs>
        <w:ind w:left="5760" w:firstLine="0"/>
      </w:pPr>
      <w:rPr>
        <w:rFonts w:hint="default"/>
      </w:rPr>
    </w:lvl>
  </w:abstractNum>
  <w:abstractNum w:abstractNumId="15"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50854227"/>
    <w:multiLevelType w:val="hybridMultilevel"/>
    <w:tmpl w:val="D4542102"/>
    <w:lvl w:ilvl="0" w:tplc="B0E60088">
      <w:start w:val="1"/>
      <w:numFmt w:val="lowerRoman"/>
      <w:lvlText w:val="%1)"/>
      <w:lvlJc w:val="left"/>
      <w:pPr>
        <w:tabs>
          <w:tab w:val="num" w:pos="1080"/>
        </w:tabs>
        <w:ind w:left="1080" w:hanging="720"/>
      </w:pPr>
      <w:rPr>
        <w:rFonts w:hint="default"/>
      </w:rPr>
    </w:lvl>
    <w:lvl w:ilvl="1" w:tplc="080A0019" w:tentative="1">
      <w:start w:val="1"/>
      <w:numFmt w:val="lowerLetter"/>
      <w:lvlText w:val="%2."/>
      <w:lvlJc w:val="left"/>
      <w:pPr>
        <w:tabs>
          <w:tab w:val="num" w:pos="1440"/>
        </w:tabs>
        <w:ind w:left="1440" w:hanging="360"/>
      </w:pPr>
    </w:lvl>
    <w:lvl w:ilvl="2" w:tplc="080A001B" w:tentative="1">
      <w:start w:val="1"/>
      <w:numFmt w:val="lowerRoman"/>
      <w:lvlText w:val="%3."/>
      <w:lvlJc w:val="right"/>
      <w:pPr>
        <w:tabs>
          <w:tab w:val="num" w:pos="2160"/>
        </w:tabs>
        <w:ind w:left="2160" w:hanging="180"/>
      </w:pPr>
    </w:lvl>
    <w:lvl w:ilvl="3" w:tplc="080A000F" w:tentative="1">
      <w:start w:val="1"/>
      <w:numFmt w:val="decimal"/>
      <w:lvlText w:val="%4."/>
      <w:lvlJc w:val="left"/>
      <w:pPr>
        <w:tabs>
          <w:tab w:val="num" w:pos="2880"/>
        </w:tabs>
        <w:ind w:left="2880" w:hanging="360"/>
      </w:pPr>
    </w:lvl>
    <w:lvl w:ilvl="4" w:tplc="080A0019" w:tentative="1">
      <w:start w:val="1"/>
      <w:numFmt w:val="lowerLetter"/>
      <w:lvlText w:val="%5."/>
      <w:lvlJc w:val="left"/>
      <w:pPr>
        <w:tabs>
          <w:tab w:val="num" w:pos="3600"/>
        </w:tabs>
        <w:ind w:left="3600" w:hanging="360"/>
      </w:pPr>
    </w:lvl>
    <w:lvl w:ilvl="5" w:tplc="080A001B" w:tentative="1">
      <w:start w:val="1"/>
      <w:numFmt w:val="lowerRoman"/>
      <w:lvlText w:val="%6."/>
      <w:lvlJc w:val="right"/>
      <w:pPr>
        <w:tabs>
          <w:tab w:val="num" w:pos="4320"/>
        </w:tabs>
        <w:ind w:left="4320" w:hanging="180"/>
      </w:pPr>
    </w:lvl>
    <w:lvl w:ilvl="6" w:tplc="080A000F" w:tentative="1">
      <w:start w:val="1"/>
      <w:numFmt w:val="decimal"/>
      <w:lvlText w:val="%7."/>
      <w:lvlJc w:val="left"/>
      <w:pPr>
        <w:tabs>
          <w:tab w:val="num" w:pos="5040"/>
        </w:tabs>
        <w:ind w:left="5040" w:hanging="360"/>
      </w:pPr>
    </w:lvl>
    <w:lvl w:ilvl="7" w:tplc="080A0019" w:tentative="1">
      <w:start w:val="1"/>
      <w:numFmt w:val="lowerLetter"/>
      <w:lvlText w:val="%8."/>
      <w:lvlJc w:val="left"/>
      <w:pPr>
        <w:tabs>
          <w:tab w:val="num" w:pos="5760"/>
        </w:tabs>
        <w:ind w:left="5760" w:hanging="360"/>
      </w:pPr>
    </w:lvl>
    <w:lvl w:ilvl="8" w:tplc="080A001B" w:tentative="1">
      <w:start w:val="1"/>
      <w:numFmt w:val="lowerRoman"/>
      <w:lvlText w:val="%9."/>
      <w:lvlJc w:val="right"/>
      <w:pPr>
        <w:tabs>
          <w:tab w:val="num" w:pos="6480"/>
        </w:tabs>
        <w:ind w:left="6480" w:hanging="180"/>
      </w:pPr>
    </w:lvl>
  </w:abstractNum>
  <w:abstractNum w:abstractNumId="17" w15:restartNumberingAfterBreak="0">
    <w:nsid w:val="50A51052"/>
    <w:multiLevelType w:val="hybridMultilevel"/>
    <w:tmpl w:val="7FA0C0A8"/>
    <w:lvl w:ilvl="0" w:tplc="BA54D6B6">
      <w:start w:val="1"/>
      <w:numFmt w:val="lowerLetter"/>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8" w15:restartNumberingAfterBreak="0">
    <w:nsid w:val="52F41B34"/>
    <w:multiLevelType w:val="multilevel"/>
    <w:tmpl w:val="A3DE21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8143B48"/>
    <w:multiLevelType w:val="hybridMultilevel"/>
    <w:tmpl w:val="1888776A"/>
    <w:lvl w:ilvl="0" w:tplc="240A0017">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0" w15:restartNumberingAfterBreak="0">
    <w:nsid w:val="58155FF0"/>
    <w:multiLevelType w:val="hybridMultilevel"/>
    <w:tmpl w:val="0B66AD4A"/>
    <w:lvl w:ilvl="0" w:tplc="240A0011">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1"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2" w15:restartNumberingAfterBreak="0">
    <w:nsid w:val="664E7E45"/>
    <w:multiLevelType w:val="hybridMultilevel"/>
    <w:tmpl w:val="EDE2AF5C"/>
    <w:lvl w:ilvl="0" w:tplc="E842EB00">
      <w:start w:val="1"/>
      <w:numFmt w:val="low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15:restartNumberingAfterBreak="0">
    <w:nsid w:val="67FE561A"/>
    <w:multiLevelType w:val="hybridMultilevel"/>
    <w:tmpl w:val="D60039EA"/>
    <w:lvl w:ilvl="0" w:tplc="24983E0A">
      <w:start w:val="1"/>
      <w:numFmt w:val="decimal"/>
      <w:lvlText w:val="%1."/>
      <w:lvlJc w:val="left"/>
      <w:pPr>
        <w:ind w:left="543" w:hanging="243"/>
      </w:pPr>
      <w:rPr>
        <w:rFonts w:ascii="Arial" w:eastAsia="Arial" w:hAnsi="Arial" w:cs="Arial" w:hint="default"/>
        <w:b/>
        <w:bCs/>
        <w:color w:val="0D62A8"/>
        <w:spacing w:val="-1"/>
        <w:w w:val="100"/>
        <w:sz w:val="22"/>
        <w:szCs w:val="22"/>
        <w:lang w:val="es-ES" w:eastAsia="es-ES" w:bidi="es-ES"/>
      </w:rPr>
    </w:lvl>
    <w:lvl w:ilvl="1" w:tplc="88606DA4">
      <w:start w:val="1"/>
      <w:numFmt w:val="lowerLetter"/>
      <w:lvlText w:val="%2)"/>
      <w:lvlJc w:val="left"/>
      <w:pPr>
        <w:ind w:left="1008" w:hanging="290"/>
      </w:pPr>
      <w:rPr>
        <w:rFonts w:ascii="Arial" w:eastAsia="Arial" w:hAnsi="Arial" w:cs="Arial" w:hint="default"/>
        <w:color w:val="4E4D4D"/>
        <w:spacing w:val="-29"/>
        <w:w w:val="100"/>
        <w:sz w:val="22"/>
        <w:szCs w:val="22"/>
        <w:lang w:val="es-ES" w:eastAsia="es-ES" w:bidi="es-ES"/>
      </w:rPr>
    </w:lvl>
    <w:lvl w:ilvl="2" w:tplc="CE68FD98">
      <w:numFmt w:val="bullet"/>
      <w:lvlText w:val="•"/>
      <w:lvlJc w:val="left"/>
      <w:pPr>
        <w:ind w:left="1948" w:hanging="290"/>
      </w:pPr>
      <w:rPr>
        <w:rFonts w:hint="default"/>
        <w:lang w:val="es-ES" w:eastAsia="es-ES" w:bidi="es-ES"/>
      </w:rPr>
    </w:lvl>
    <w:lvl w:ilvl="3" w:tplc="706E959C">
      <w:numFmt w:val="bullet"/>
      <w:lvlText w:val="•"/>
      <w:lvlJc w:val="left"/>
      <w:pPr>
        <w:ind w:left="2897" w:hanging="290"/>
      </w:pPr>
      <w:rPr>
        <w:rFonts w:hint="default"/>
        <w:lang w:val="es-ES" w:eastAsia="es-ES" w:bidi="es-ES"/>
      </w:rPr>
    </w:lvl>
    <w:lvl w:ilvl="4" w:tplc="08F64200">
      <w:numFmt w:val="bullet"/>
      <w:lvlText w:val="•"/>
      <w:lvlJc w:val="left"/>
      <w:pPr>
        <w:ind w:left="3846" w:hanging="290"/>
      </w:pPr>
      <w:rPr>
        <w:rFonts w:hint="default"/>
        <w:lang w:val="es-ES" w:eastAsia="es-ES" w:bidi="es-ES"/>
      </w:rPr>
    </w:lvl>
    <w:lvl w:ilvl="5" w:tplc="4B8EF31C">
      <w:numFmt w:val="bullet"/>
      <w:lvlText w:val="•"/>
      <w:lvlJc w:val="left"/>
      <w:pPr>
        <w:ind w:left="4795" w:hanging="290"/>
      </w:pPr>
      <w:rPr>
        <w:rFonts w:hint="default"/>
        <w:lang w:val="es-ES" w:eastAsia="es-ES" w:bidi="es-ES"/>
      </w:rPr>
    </w:lvl>
    <w:lvl w:ilvl="6" w:tplc="3E6C2D40">
      <w:numFmt w:val="bullet"/>
      <w:lvlText w:val="•"/>
      <w:lvlJc w:val="left"/>
      <w:pPr>
        <w:ind w:left="5744" w:hanging="290"/>
      </w:pPr>
      <w:rPr>
        <w:rFonts w:hint="default"/>
        <w:lang w:val="es-ES" w:eastAsia="es-ES" w:bidi="es-ES"/>
      </w:rPr>
    </w:lvl>
    <w:lvl w:ilvl="7" w:tplc="7A300698">
      <w:numFmt w:val="bullet"/>
      <w:lvlText w:val="•"/>
      <w:lvlJc w:val="left"/>
      <w:pPr>
        <w:ind w:left="6693" w:hanging="290"/>
      </w:pPr>
      <w:rPr>
        <w:rFonts w:hint="default"/>
        <w:lang w:val="es-ES" w:eastAsia="es-ES" w:bidi="es-ES"/>
      </w:rPr>
    </w:lvl>
    <w:lvl w:ilvl="8" w:tplc="461291A6">
      <w:numFmt w:val="bullet"/>
      <w:lvlText w:val="•"/>
      <w:lvlJc w:val="left"/>
      <w:pPr>
        <w:ind w:left="7642" w:hanging="290"/>
      </w:pPr>
      <w:rPr>
        <w:rFonts w:hint="default"/>
        <w:lang w:val="es-ES" w:eastAsia="es-ES" w:bidi="es-ES"/>
      </w:rPr>
    </w:lvl>
  </w:abstractNum>
  <w:abstractNum w:abstractNumId="24"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5" w15:restartNumberingAfterBreak="0">
    <w:nsid w:val="6C747154"/>
    <w:multiLevelType w:val="hybridMultilevel"/>
    <w:tmpl w:val="EFCAB862"/>
    <w:lvl w:ilvl="0" w:tplc="240A0013">
      <w:start w:val="1"/>
      <w:numFmt w:val="upperRoman"/>
      <w:lvlText w:val="%1."/>
      <w:lvlJc w:val="right"/>
      <w:pPr>
        <w:ind w:left="720" w:hanging="360"/>
      </w:pPr>
      <w:rPr>
        <w:rFonts w:hint="default"/>
      </w:rPr>
    </w:lvl>
    <w:lvl w:ilvl="1" w:tplc="0EE49D9C">
      <w:start w:val="1"/>
      <w:numFmt w:val="bullet"/>
      <w:lvlText w:val="o"/>
      <w:lvlJc w:val="left"/>
      <w:pPr>
        <w:ind w:left="1440" w:hanging="360"/>
      </w:pPr>
      <w:rPr>
        <w:rFonts w:ascii="Courier New" w:hAnsi="Courier New" w:cs="Times New Roman" w:hint="default"/>
      </w:rPr>
    </w:lvl>
    <w:lvl w:ilvl="2" w:tplc="F5DE03CA">
      <w:start w:val="1"/>
      <w:numFmt w:val="bullet"/>
      <w:lvlText w:val=""/>
      <w:lvlJc w:val="left"/>
      <w:pPr>
        <w:ind w:left="2160" w:hanging="360"/>
      </w:pPr>
      <w:rPr>
        <w:rFonts w:ascii="Wingdings" w:hAnsi="Wingdings" w:hint="default"/>
      </w:rPr>
    </w:lvl>
    <w:lvl w:ilvl="3" w:tplc="A288AAB6">
      <w:start w:val="1"/>
      <w:numFmt w:val="bullet"/>
      <w:lvlText w:val=""/>
      <w:lvlJc w:val="left"/>
      <w:pPr>
        <w:ind w:left="2880" w:hanging="360"/>
      </w:pPr>
      <w:rPr>
        <w:rFonts w:ascii="Symbol" w:hAnsi="Symbol" w:hint="default"/>
      </w:rPr>
    </w:lvl>
    <w:lvl w:ilvl="4" w:tplc="81DAFD16">
      <w:start w:val="1"/>
      <w:numFmt w:val="bullet"/>
      <w:lvlText w:val="o"/>
      <w:lvlJc w:val="left"/>
      <w:pPr>
        <w:ind w:left="3600" w:hanging="360"/>
      </w:pPr>
      <w:rPr>
        <w:rFonts w:ascii="Courier New" w:hAnsi="Courier New" w:cs="Times New Roman" w:hint="default"/>
      </w:rPr>
    </w:lvl>
    <w:lvl w:ilvl="5" w:tplc="D540ACF6">
      <w:start w:val="1"/>
      <w:numFmt w:val="bullet"/>
      <w:lvlText w:val=""/>
      <w:lvlJc w:val="left"/>
      <w:pPr>
        <w:ind w:left="4320" w:hanging="360"/>
      </w:pPr>
      <w:rPr>
        <w:rFonts w:ascii="Wingdings" w:hAnsi="Wingdings" w:hint="default"/>
      </w:rPr>
    </w:lvl>
    <w:lvl w:ilvl="6" w:tplc="CE02DD38">
      <w:start w:val="1"/>
      <w:numFmt w:val="bullet"/>
      <w:lvlText w:val=""/>
      <w:lvlJc w:val="left"/>
      <w:pPr>
        <w:ind w:left="5040" w:hanging="360"/>
      </w:pPr>
      <w:rPr>
        <w:rFonts w:ascii="Symbol" w:hAnsi="Symbol" w:hint="default"/>
      </w:rPr>
    </w:lvl>
    <w:lvl w:ilvl="7" w:tplc="63564B5A">
      <w:start w:val="1"/>
      <w:numFmt w:val="bullet"/>
      <w:lvlText w:val="o"/>
      <w:lvlJc w:val="left"/>
      <w:pPr>
        <w:ind w:left="5760" w:hanging="360"/>
      </w:pPr>
      <w:rPr>
        <w:rFonts w:ascii="Courier New" w:hAnsi="Courier New" w:cs="Times New Roman" w:hint="default"/>
      </w:rPr>
    </w:lvl>
    <w:lvl w:ilvl="8" w:tplc="477E1BD4">
      <w:start w:val="1"/>
      <w:numFmt w:val="bullet"/>
      <w:lvlText w:val=""/>
      <w:lvlJc w:val="left"/>
      <w:pPr>
        <w:ind w:left="6480" w:hanging="360"/>
      </w:pPr>
      <w:rPr>
        <w:rFonts w:ascii="Wingdings" w:hAnsi="Wingdings" w:hint="default"/>
      </w:rPr>
    </w:lvl>
  </w:abstractNum>
  <w:abstractNum w:abstractNumId="26" w15:restartNumberingAfterBreak="0">
    <w:nsid w:val="70053A3C"/>
    <w:multiLevelType w:val="hybridMultilevel"/>
    <w:tmpl w:val="B6AC8E9A"/>
    <w:lvl w:ilvl="0" w:tplc="240A0013">
      <w:start w:val="1"/>
      <w:numFmt w:val="upperRoman"/>
      <w:lvlText w:val="%1."/>
      <w:lvlJc w:val="right"/>
      <w:pPr>
        <w:ind w:left="720" w:hanging="360"/>
      </w:pPr>
      <w:rPr>
        <w:rFonts w:hint="default"/>
      </w:rPr>
    </w:lvl>
    <w:lvl w:ilvl="1" w:tplc="0EE49D9C">
      <w:start w:val="1"/>
      <w:numFmt w:val="bullet"/>
      <w:lvlText w:val="o"/>
      <w:lvlJc w:val="left"/>
      <w:pPr>
        <w:ind w:left="1440" w:hanging="360"/>
      </w:pPr>
      <w:rPr>
        <w:rFonts w:ascii="Courier New" w:hAnsi="Courier New" w:hint="default"/>
      </w:rPr>
    </w:lvl>
    <w:lvl w:ilvl="2" w:tplc="F5DE03CA">
      <w:start w:val="1"/>
      <w:numFmt w:val="bullet"/>
      <w:lvlText w:val=""/>
      <w:lvlJc w:val="left"/>
      <w:pPr>
        <w:ind w:left="2160" w:hanging="360"/>
      </w:pPr>
      <w:rPr>
        <w:rFonts w:ascii="Wingdings" w:hAnsi="Wingdings" w:hint="default"/>
      </w:rPr>
    </w:lvl>
    <w:lvl w:ilvl="3" w:tplc="A288AAB6">
      <w:start w:val="1"/>
      <w:numFmt w:val="bullet"/>
      <w:lvlText w:val=""/>
      <w:lvlJc w:val="left"/>
      <w:pPr>
        <w:ind w:left="2880" w:hanging="360"/>
      </w:pPr>
      <w:rPr>
        <w:rFonts w:ascii="Symbol" w:hAnsi="Symbol" w:hint="default"/>
      </w:rPr>
    </w:lvl>
    <w:lvl w:ilvl="4" w:tplc="81DAFD16">
      <w:start w:val="1"/>
      <w:numFmt w:val="bullet"/>
      <w:lvlText w:val="o"/>
      <w:lvlJc w:val="left"/>
      <w:pPr>
        <w:ind w:left="3600" w:hanging="360"/>
      </w:pPr>
      <w:rPr>
        <w:rFonts w:ascii="Courier New" w:hAnsi="Courier New" w:hint="default"/>
      </w:rPr>
    </w:lvl>
    <w:lvl w:ilvl="5" w:tplc="D540ACF6">
      <w:start w:val="1"/>
      <w:numFmt w:val="bullet"/>
      <w:lvlText w:val=""/>
      <w:lvlJc w:val="left"/>
      <w:pPr>
        <w:ind w:left="4320" w:hanging="360"/>
      </w:pPr>
      <w:rPr>
        <w:rFonts w:ascii="Wingdings" w:hAnsi="Wingdings" w:hint="default"/>
      </w:rPr>
    </w:lvl>
    <w:lvl w:ilvl="6" w:tplc="CE02DD38">
      <w:start w:val="1"/>
      <w:numFmt w:val="bullet"/>
      <w:lvlText w:val=""/>
      <w:lvlJc w:val="left"/>
      <w:pPr>
        <w:ind w:left="5040" w:hanging="360"/>
      </w:pPr>
      <w:rPr>
        <w:rFonts w:ascii="Symbol" w:hAnsi="Symbol" w:hint="default"/>
      </w:rPr>
    </w:lvl>
    <w:lvl w:ilvl="7" w:tplc="63564B5A">
      <w:start w:val="1"/>
      <w:numFmt w:val="bullet"/>
      <w:lvlText w:val="o"/>
      <w:lvlJc w:val="left"/>
      <w:pPr>
        <w:ind w:left="5760" w:hanging="360"/>
      </w:pPr>
      <w:rPr>
        <w:rFonts w:ascii="Courier New" w:hAnsi="Courier New" w:hint="default"/>
      </w:rPr>
    </w:lvl>
    <w:lvl w:ilvl="8" w:tplc="477E1BD4">
      <w:start w:val="1"/>
      <w:numFmt w:val="bullet"/>
      <w:lvlText w:val=""/>
      <w:lvlJc w:val="left"/>
      <w:pPr>
        <w:ind w:left="6480" w:hanging="360"/>
      </w:pPr>
      <w:rPr>
        <w:rFonts w:ascii="Wingdings" w:hAnsi="Wingdings" w:hint="default"/>
      </w:rPr>
    </w:lvl>
  </w:abstractNum>
  <w:abstractNum w:abstractNumId="27" w15:restartNumberingAfterBreak="0">
    <w:nsid w:val="748E3ACF"/>
    <w:multiLevelType w:val="hybridMultilevel"/>
    <w:tmpl w:val="E1BEC994"/>
    <w:lvl w:ilvl="0" w:tplc="717067A0">
      <w:start w:val="1"/>
      <w:numFmt w:val="lowerLetter"/>
      <w:lvlText w:val="%1)"/>
      <w:lvlJc w:val="left"/>
      <w:pPr>
        <w:ind w:left="1080" w:hanging="360"/>
      </w:pPr>
      <w:rPr>
        <w:rFonts w:hint="default"/>
        <w:b/>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28" w15:restartNumberingAfterBreak="0">
    <w:nsid w:val="7DDB11D6"/>
    <w:multiLevelType w:val="hybridMultilevel"/>
    <w:tmpl w:val="35A8EA74"/>
    <w:lvl w:ilvl="0" w:tplc="27A090D2">
      <w:start w:val="1"/>
      <w:numFmt w:val="low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11"/>
  </w:num>
  <w:num w:numId="2">
    <w:abstractNumId w:val="9"/>
  </w:num>
  <w:num w:numId="3">
    <w:abstractNumId w:val="15"/>
  </w:num>
  <w:num w:numId="4">
    <w:abstractNumId w:val="21"/>
  </w:num>
  <w:num w:numId="5">
    <w:abstractNumId w:val="24"/>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num>
  <w:num w:numId="8">
    <w:abstractNumId w:val="25"/>
  </w:num>
  <w:num w:numId="9">
    <w:abstractNumId w:val="6"/>
    <w:lvlOverride w:ilvl="0">
      <w:startOverride w:val="1"/>
    </w:lvlOverride>
  </w:num>
  <w:num w:numId="10">
    <w:abstractNumId w:val="26"/>
  </w:num>
  <w:num w:numId="11">
    <w:abstractNumId w:val="7"/>
  </w:num>
  <w:num w:numId="12">
    <w:abstractNumId w:val="2"/>
  </w:num>
  <w:num w:numId="13">
    <w:abstractNumId w:val="4"/>
  </w:num>
  <w:num w:numId="14">
    <w:abstractNumId w:val="20"/>
  </w:num>
  <w:num w:numId="15">
    <w:abstractNumId w:val="13"/>
  </w:num>
  <w:num w:numId="16">
    <w:abstractNumId w:val="10"/>
  </w:num>
  <w:num w:numId="17">
    <w:abstractNumId w:val="14"/>
  </w:num>
  <w:num w:numId="18">
    <w:abstractNumId w:val="16"/>
  </w:num>
  <w:num w:numId="19">
    <w:abstractNumId w:val="5"/>
  </w:num>
  <w:num w:numId="20">
    <w:abstractNumId w:val="28"/>
  </w:num>
  <w:num w:numId="21">
    <w:abstractNumId w:val="22"/>
  </w:num>
  <w:num w:numId="22">
    <w:abstractNumId w:val="18"/>
  </w:num>
  <w:num w:numId="23">
    <w:abstractNumId w:val="17"/>
  </w:num>
  <w:num w:numId="24">
    <w:abstractNumId w:val="8"/>
  </w:num>
  <w:num w:numId="25">
    <w:abstractNumId w:val="19"/>
  </w:num>
  <w:num w:numId="26">
    <w:abstractNumId w:val="1"/>
  </w:num>
  <w:num w:numId="27">
    <w:abstractNumId w:val="12"/>
  </w:num>
  <w:num w:numId="28">
    <w:abstractNumId w:val="27"/>
  </w:num>
  <w:num w:numId="29">
    <w:abstractNumId w:val="3"/>
  </w:num>
  <w:num w:numId="30">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2"/>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210D"/>
    <w:rsid w:val="0000268F"/>
    <w:rsid w:val="000029BC"/>
    <w:rsid w:val="000031A6"/>
    <w:rsid w:val="0000404B"/>
    <w:rsid w:val="00004F5E"/>
    <w:rsid w:val="0000645E"/>
    <w:rsid w:val="0000682D"/>
    <w:rsid w:val="00006906"/>
    <w:rsid w:val="000105E2"/>
    <w:rsid w:val="00010981"/>
    <w:rsid w:val="00010AF0"/>
    <w:rsid w:val="00011726"/>
    <w:rsid w:val="000123BA"/>
    <w:rsid w:val="000126BB"/>
    <w:rsid w:val="00012A1B"/>
    <w:rsid w:val="000136DC"/>
    <w:rsid w:val="0001574B"/>
    <w:rsid w:val="000165EE"/>
    <w:rsid w:val="00016F33"/>
    <w:rsid w:val="00016FAC"/>
    <w:rsid w:val="0001726A"/>
    <w:rsid w:val="0001794A"/>
    <w:rsid w:val="0001795B"/>
    <w:rsid w:val="00020801"/>
    <w:rsid w:val="00020D8D"/>
    <w:rsid w:val="00024BE5"/>
    <w:rsid w:val="00025A4D"/>
    <w:rsid w:val="00026AD9"/>
    <w:rsid w:val="000271AD"/>
    <w:rsid w:val="000271FE"/>
    <w:rsid w:val="00027555"/>
    <w:rsid w:val="00027940"/>
    <w:rsid w:val="00027E9A"/>
    <w:rsid w:val="00027F74"/>
    <w:rsid w:val="000303EC"/>
    <w:rsid w:val="0003041B"/>
    <w:rsid w:val="00030C1F"/>
    <w:rsid w:val="0003107B"/>
    <w:rsid w:val="00031D2D"/>
    <w:rsid w:val="00034F55"/>
    <w:rsid w:val="00035AC7"/>
    <w:rsid w:val="00036083"/>
    <w:rsid w:val="000365C0"/>
    <w:rsid w:val="00036FF6"/>
    <w:rsid w:val="00037112"/>
    <w:rsid w:val="00045A95"/>
    <w:rsid w:val="000465F7"/>
    <w:rsid w:val="00046F46"/>
    <w:rsid w:val="000471AA"/>
    <w:rsid w:val="0004770A"/>
    <w:rsid w:val="000503A1"/>
    <w:rsid w:val="00050E2C"/>
    <w:rsid w:val="00051590"/>
    <w:rsid w:val="000522B1"/>
    <w:rsid w:val="0005275D"/>
    <w:rsid w:val="000527A5"/>
    <w:rsid w:val="00052CE1"/>
    <w:rsid w:val="00053983"/>
    <w:rsid w:val="00053991"/>
    <w:rsid w:val="00054C6E"/>
    <w:rsid w:val="00054E46"/>
    <w:rsid w:val="00055141"/>
    <w:rsid w:val="00055B28"/>
    <w:rsid w:val="00056024"/>
    <w:rsid w:val="00056809"/>
    <w:rsid w:val="000568C7"/>
    <w:rsid w:val="00056D04"/>
    <w:rsid w:val="00057953"/>
    <w:rsid w:val="00061727"/>
    <w:rsid w:val="00061C7B"/>
    <w:rsid w:val="0006235E"/>
    <w:rsid w:val="0006293E"/>
    <w:rsid w:val="0006331A"/>
    <w:rsid w:val="00063E52"/>
    <w:rsid w:val="000641BE"/>
    <w:rsid w:val="00064542"/>
    <w:rsid w:val="0006625D"/>
    <w:rsid w:val="00067665"/>
    <w:rsid w:val="00070770"/>
    <w:rsid w:val="00070A22"/>
    <w:rsid w:val="00071D6E"/>
    <w:rsid w:val="000743C2"/>
    <w:rsid w:val="0007460B"/>
    <w:rsid w:val="000751BB"/>
    <w:rsid w:val="0007590A"/>
    <w:rsid w:val="0007639B"/>
    <w:rsid w:val="00076EE6"/>
    <w:rsid w:val="00077D20"/>
    <w:rsid w:val="00077E04"/>
    <w:rsid w:val="00077E1C"/>
    <w:rsid w:val="00080D35"/>
    <w:rsid w:val="00081AF3"/>
    <w:rsid w:val="00081B2F"/>
    <w:rsid w:val="00081E50"/>
    <w:rsid w:val="0008260E"/>
    <w:rsid w:val="000828E9"/>
    <w:rsid w:val="00083BE4"/>
    <w:rsid w:val="00084DC0"/>
    <w:rsid w:val="0008592F"/>
    <w:rsid w:val="00085CC3"/>
    <w:rsid w:val="0008644C"/>
    <w:rsid w:val="00086C08"/>
    <w:rsid w:val="000870BB"/>
    <w:rsid w:val="000873C1"/>
    <w:rsid w:val="00087888"/>
    <w:rsid w:val="00090D35"/>
    <w:rsid w:val="000914F4"/>
    <w:rsid w:val="0009180B"/>
    <w:rsid w:val="000932C2"/>
    <w:rsid w:val="000939E0"/>
    <w:rsid w:val="00093D35"/>
    <w:rsid w:val="0009402D"/>
    <w:rsid w:val="000942EB"/>
    <w:rsid w:val="000953A7"/>
    <w:rsid w:val="0009651A"/>
    <w:rsid w:val="00096EAB"/>
    <w:rsid w:val="0009712F"/>
    <w:rsid w:val="000972BA"/>
    <w:rsid w:val="000976FD"/>
    <w:rsid w:val="00097ABD"/>
    <w:rsid w:val="000A15CB"/>
    <w:rsid w:val="000A1B81"/>
    <w:rsid w:val="000A2C01"/>
    <w:rsid w:val="000A3995"/>
    <w:rsid w:val="000A4D0D"/>
    <w:rsid w:val="000A5189"/>
    <w:rsid w:val="000A668C"/>
    <w:rsid w:val="000A66CF"/>
    <w:rsid w:val="000A7E46"/>
    <w:rsid w:val="000B103F"/>
    <w:rsid w:val="000B1C28"/>
    <w:rsid w:val="000B2DA6"/>
    <w:rsid w:val="000B3893"/>
    <w:rsid w:val="000B3F99"/>
    <w:rsid w:val="000B41CF"/>
    <w:rsid w:val="000B4FC6"/>
    <w:rsid w:val="000B53D0"/>
    <w:rsid w:val="000B680C"/>
    <w:rsid w:val="000B707E"/>
    <w:rsid w:val="000C00B6"/>
    <w:rsid w:val="000C0B7C"/>
    <w:rsid w:val="000C21BA"/>
    <w:rsid w:val="000C2DD2"/>
    <w:rsid w:val="000C6347"/>
    <w:rsid w:val="000C7235"/>
    <w:rsid w:val="000C73E5"/>
    <w:rsid w:val="000C755D"/>
    <w:rsid w:val="000C7BB6"/>
    <w:rsid w:val="000D0148"/>
    <w:rsid w:val="000D05AD"/>
    <w:rsid w:val="000D0AFA"/>
    <w:rsid w:val="000D17D2"/>
    <w:rsid w:val="000D28E0"/>
    <w:rsid w:val="000D2ADD"/>
    <w:rsid w:val="000D457E"/>
    <w:rsid w:val="000D58C2"/>
    <w:rsid w:val="000E0C45"/>
    <w:rsid w:val="000E1761"/>
    <w:rsid w:val="000E182B"/>
    <w:rsid w:val="000E190F"/>
    <w:rsid w:val="000E1F13"/>
    <w:rsid w:val="000E24E1"/>
    <w:rsid w:val="000E32F8"/>
    <w:rsid w:val="000E331F"/>
    <w:rsid w:val="000E33BC"/>
    <w:rsid w:val="000E4B6B"/>
    <w:rsid w:val="000E5299"/>
    <w:rsid w:val="000E576C"/>
    <w:rsid w:val="000E59C2"/>
    <w:rsid w:val="000E68FA"/>
    <w:rsid w:val="000E6962"/>
    <w:rsid w:val="000E6D84"/>
    <w:rsid w:val="000F14E8"/>
    <w:rsid w:val="000F17FC"/>
    <w:rsid w:val="000F1D24"/>
    <w:rsid w:val="000F354B"/>
    <w:rsid w:val="000F3B04"/>
    <w:rsid w:val="000F3C44"/>
    <w:rsid w:val="000F3D91"/>
    <w:rsid w:val="000F6869"/>
    <w:rsid w:val="000F7AE4"/>
    <w:rsid w:val="001000EC"/>
    <w:rsid w:val="001015E9"/>
    <w:rsid w:val="001017F1"/>
    <w:rsid w:val="001024CE"/>
    <w:rsid w:val="00102AA1"/>
    <w:rsid w:val="00103915"/>
    <w:rsid w:val="00103D3D"/>
    <w:rsid w:val="00104423"/>
    <w:rsid w:val="00105B6D"/>
    <w:rsid w:val="001065D1"/>
    <w:rsid w:val="00106AC5"/>
    <w:rsid w:val="00106B75"/>
    <w:rsid w:val="001112CF"/>
    <w:rsid w:val="00111438"/>
    <w:rsid w:val="00111636"/>
    <w:rsid w:val="00112192"/>
    <w:rsid w:val="00112D2F"/>
    <w:rsid w:val="00112D6B"/>
    <w:rsid w:val="001139AE"/>
    <w:rsid w:val="00114236"/>
    <w:rsid w:val="00114E2B"/>
    <w:rsid w:val="001152BA"/>
    <w:rsid w:val="001153AF"/>
    <w:rsid w:val="0011561C"/>
    <w:rsid w:val="0011730D"/>
    <w:rsid w:val="001214FF"/>
    <w:rsid w:val="001229C6"/>
    <w:rsid w:val="00122B23"/>
    <w:rsid w:val="00123C67"/>
    <w:rsid w:val="00124E73"/>
    <w:rsid w:val="00124EC3"/>
    <w:rsid w:val="00124EE5"/>
    <w:rsid w:val="00125291"/>
    <w:rsid w:val="00125D4C"/>
    <w:rsid w:val="0012687C"/>
    <w:rsid w:val="0012754A"/>
    <w:rsid w:val="00127BA6"/>
    <w:rsid w:val="0013045B"/>
    <w:rsid w:val="001310A5"/>
    <w:rsid w:val="001316AB"/>
    <w:rsid w:val="0013236F"/>
    <w:rsid w:val="001332D0"/>
    <w:rsid w:val="00134030"/>
    <w:rsid w:val="001344AA"/>
    <w:rsid w:val="001355F5"/>
    <w:rsid w:val="00137BA1"/>
    <w:rsid w:val="00137FFA"/>
    <w:rsid w:val="00140015"/>
    <w:rsid w:val="001406ED"/>
    <w:rsid w:val="00141C42"/>
    <w:rsid w:val="00141E84"/>
    <w:rsid w:val="00141F99"/>
    <w:rsid w:val="001420C8"/>
    <w:rsid w:val="001425C5"/>
    <w:rsid w:val="001436B1"/>
    <w:rsid w:val="001448B5"/>
    <w:rsid w:val="0014582F"/>
    <w:rsid w:val="00145AAA"/>
    <w:rsid w:val="00146E1D"/>
    <w:rsid w:val="00147605"/>
    <w:rsid w:val="001509CD"/>
    <w:rsid w:val="00151D31"/>
    <w:rsid w:val="001520A3"/>
    <w:rsid w:val="001523D7"/>
    <w:rsid w:val="00152609"/>
    <w:rsid w:val="00152C65"/>
    <w:rsid w:val="00152CA8"/>
    <w:rsid w:val="0015382E"/>
    <w:rsid w:val="00154879"/>
    <w:rsid w:val="00154A20"/>
    <w:rsid w:val="001550CF"/>
    <w:rsid w:val="001554A4"/>
    <w:rsid w:val="001568EE"/>
    <w:rsid w:val="00156DAF"/>
    <w:rsid w:val="0015784C"/>
    <w:rsid w:val="00160F84"/>
    <w:rsid w:val="0016135A"/>
    <w:rsid w:val="0016149E"/>
    <w:rsid w:val="00161D78"/>
    <w:rsid w:val="0016262F"/>
    <w:rsid w:val="0016397F"/>
    <w:rsid w:val="001650A0"/>
    <w:rsid w:val="00165EA8"/>
    <w:rsid w:val="0016680A"/>
    <w:rsid w:val="00167B9D"/>
    <w:rsid w:val="00167F0C"/>
    <w:rsid w:val="00170733"/>
    <w:rsid w:val="00170813"/>
    <w:rsid w:val="00170C89"/>
    <w:rsid w:val="00170E51"/>
    <w:rsid w:val="00172B2A"/>
    <w:rsid w:val="00172E0A"/>
    <w:rsid w:val="00173980"/>
    <w:rsid w:val="00173D30"/>
    <w:rsid w:val="00174107"/>
    <w:rsid w:val="00174FBC"/>
    <w:rsid w:val="0017528B"/>
    <w:rsid w:val="001755EC"/>
    <w:rsid w:val="00175795"/>
    <w:rsid w:val="001770E9"/>
    <w:rsid w:val="00177BAA"/>
    <w:rsid w:val="00180B3B"/>
    <w:rsid w:val="00182855"/>
    <w:rsid w:val="00182C6C"/>
    <w:rsid w:val="00183DD7"/>
    <w:rsid w:val="00184A68"/>
    <w:rsid w:val="00184E93"/>
    <w:rsid w:val="001857DA"/>
    <w:rsid w:val="00186253"/>
    <w:rsid w:val="00186B95"/>
    <w:rsid w:val="00186D8E"/>
    <w:rsid w:val="001900CF"/>
    <w:rsid w:val="00190205"/>
    <w:rsid w:val="0019069F"/>
    <w:rsid w:val="001918D6"/>
    <w:rsid w:val="00192341"/>
    <w:rsid w:val="00192D85"/>
    <w:rsid w:val="001939B7"/>
    <w:rsid w:val="0019596D"/>
    <w:rsid w:val="00195A58"/>
    <w:rsid w:val="00195EDB"/>
    <w:rsid w:val="0019626E"/>
    <w:rsid w:val="001963C6"/>
    <w:rsid w:val="0019713D"/>
    <w:rsid w:val="0019745D"/>
    <w:rsid w:val="001A028B"/>
    <w:rsid w:val="001A0467"/>
    <w:rsid w:val="001A08F7"/>
    <w:rsid w:val="001A0DF1"/>
    <w:rsid w:val="001A0EC0"/>
    <w:rsid w:val="001A26FC"/>
    <w:rsid w:val="001A27D7"/>
    <w:rsid w:val="001A3721"/>
    <w:rsid w:val="001A387A"/>
    <w:rsid w:val="001A3F04"/>
    <w:rsid w:val="001A7176"/>
    <w:rsid w:val="001B0FEE"/>
    <w:rsid w:val="001B2EA0"/>
    <w:rsid w:val="001B2F7F"/>
    <w:rsid w:val="001B3306"/>
    <w:rsid w:val="001B38FB"/>
    <w:rsid w:val="001B464A"/>
    <w:rsid w:val="001B4A46"/>
    <w:rsid w:val="001B4CC5"/>
    <w:rsid w:val="001B528A"/>
    <w:rsid w:val="001B53B4"/>
    <w:rsid w:val="001B59D6"/>
    <w:rsid w:val="001B6044"/>
    <w:rsid w:val="001B686F"/>
    <w:rsid w:val="001B7618"/>
    <w:rsid w:val="001B7DEA"/>
    <w:rsid w:val="001C1A26"/>
    <w:rsid w:val="001C219D"/>
    <w:rsid w:val="001C33CB"/>
    <w:rsid w:val="001C398F"/>
    <w:rsid w:val="001C5292"/>
    <w:rsid w:val="001C722C"/>
    <w:rsid w:val="001C775D"/>
    <w:rsid w:val="001D0988"/>
    <w:rsid w:val="001D172E"/>
    <w:rsid w:val="001D1FD0"/>
    <w:rsid w:val="001D2E79"/>
    <w:rsid w:val="001D33FC"/>
    <w:rsid w:val="001D5E4D"/>
    <w:rsid w:val="001D64EC"/>
    <w:rsid w:val="001D6B16"/>
    <w:rsid w:val="001D7B74"/>
    <w:rsid w:val="001E0042"/>
    <w:rsid w:val="001E008B"/>
    <w:rsid w:val="001E0545"/>
    <w:rsid w:val="001E0849"/>
    <w:rsid w:val="001E118B"/>
    <w:rsid w:val="001E1988"/>
    <w:rsid w:val="001E1A13"/>
    <w:rsid w:val="001E3B90"/>
    <w:rsid w:val="001E3E0C"/>
    <w:rsid w:val="001E453C"/>
    <w:rsid w:val="001E4A2B"/>
    <w:rsid w:val="001E4FA3"/>
    <w:rsid w:val="001E505B"/>
    <w:rsid w:val="001E610D"/>
    <w:rsid w:val="001E75AD"/>
    <w:rsid w:val="001F0524"/>
    <w:rsid w:val="001F0570"/>
    <w:rsid w:val="001F13B9"/>
    <w:rsid w:val="001F140A"/>
    <w:rsid w:val="001F1781"/>
    <w:rsid w:val="001F1AFA"/>
    <w:rsid w:val="001F1CF5"/>
    <w:rsid w:val="001F267A"/>
    <w:rsid w:val="001F2AD0"/>
    <w:rsid w:val="001F2FC2"/>
    <w:rsid w:val="001F3C4E"/>
    <w:rsid w:val="001F3D53"/>
    <w:rsid w:val="001F416A"/>
    <w:rsid w:val="001F4316"/>
    <w:rsid w:val="001F4F3C"/>
    <w:rsid w:val="001F55B5"/>
    <w:rsid w:val="001F59AB"/>
    <w:rsid w:val="001F5E0A"/>
    <w:rsid w:val="001F62DC"/>
    <w:rsid w:val="001F63E1"/>
    <w:rsid w:val="001F6AAC"/>
    <w:rsid w:val="001F790E"/>
    <w:rsid w:val="002005CC"/>
    <w:rsid w:val="002007D2"/>
    <w:rsid w:val="00200F34"/>
    <w:rsid w:val="00203CDD"/>
    <w:rsid w:val="00203F1A"/>
    <w:rsid w:val="00204114"/>
    <w:rsid w:val="00204C65"/>
    <w:rsid w:val="00204F6E"/>
    <w:rsid w:val="00204FCD"/>
    <w:rsid w:val="0020536A"/>
    <w:rsid w:val="002059AF"/>
    <w:rsid w:val="0020646E"/>
    <w:rsid w:val="00206BC8"/>
    <w:rsid w:val="002114E2"/>
    <w:rsid w:val="00211909"/>
    <w:rsid w:val="002135F3"/>
    <w:rsid w:val="002146C0"/>
    <w:rsid w:val="00214A72"/>
    <w:rsid w:val="00215A2F"/>
    <w:rsid w:val="00215BB7"/>
    <w:rsid w:val="00215CA0"/>
    <w:rsid w:val="00216F1A"/>
    <w:rsid w:val="00217155"/>
    <w:rsid w:val="0021759E"/>
    <w:rsid w:val="00217662"/>
    <w:rsid w:val="0022085C"/>
    <w:rsid w:val="002208DC"/>
    <w:rsid w:val="00220CE5"/>
    <w:rsid w:val="002215FF"/>
    <w:rsid w:val="002216AA"/>
    <w:rsid w:val="0022173B"/>
    <w:rsid w:val="002217B4"/>
    <w:rsid w:val="002226D4"/>
    <w:rsid w:val="002229F4"/>
    <w:rsid w:val="002236DB"/>
    <w:rsid w:val="00224570"/>
    <w:rsid w:val="00225A48"/>
    <w:rsid w:val="0022655C"/>
    <w:rsid w:val="0022678E"/>
    <w:rsid w:val="002272CA"/>
    <w:rsid w:val="00227541"/>
    <w:rsid w:val="00227D81"/>
    <w:rsid w:val="002311BD"/>
    <w:rsid w:val="0023158E"/>
    <w:rsid w:val="00231E50"/>
    <w:rsid w:val="0023236C"/>
    <w:rsid w:val="00232612"/>
    <w:rsid w:val="00233A24"/>
    <w:rsid w:val="00233DF3"/>
    <w:rsid w:val="0023484E"/>
    <w:rsid w:val="00234B84"/>
    <w:rsid w:val="00235B42"/>
    <w:rsid w:val="00236137"/>
    <w:rsid w:val="00236740"/>
    <w:rsid w:val="00237253"/>
    <w:rsid w:val="00237329"/>
    <w:rsid w:val="00240225"/>
    <w:rsid w:val="00240A06"/>
    <w:rsid w:val="00241101"/>
    <w:rsid w:val="002416BA"/>
    <w:rsid w:val="002427B1"/>
    <w:rsid w:val="00244181"/>
    <w:rsid w:val="00244C00"/>
    <w:rsid w:val="0024535C"/>
    <w:rsid w:val="002457FD"/>
    <w:rsid w:val="00245C7E"/>
    <w:rsid w:val="00250718"/>
    <w:rsid w:val="00251445"/>
    <w:rsid w:val="0025237E"/>
    <w:rsid w:val="002523D6"/>
    <w:rsid w:val="00252AEC"/>
    <w:rsid w:val="00253276"/>
    <w:rsid w:val="002536AE"/>
    <w:rsid w:val="00253C1D"/>
    <w:rsid w:val="00254319"/>
    <w:rsid w:val="00254D37"/>
    <w:rsid w:val="002553F1"/>
    <w:rsid w:val="002563B9"/>
    <w:rsid w:val="0025685E"/>
    <w:rsid w:val="0025768C"/>
    <w:rsid w:val="00257BC1"/>
    <w:rsid w:val="00257C73"/>
    <w:rsid w:val="00261631"/>
    <w:rsid w:val="002628A1"/>
    <w:rsid w:val="00264666"/>
    <w:rsid w:val="00264924"/>
    <w:rsid w:val="00264AE6"/>
    <w:rsid w:val="00265C96"/>
    <w:rsid w:val="00265CEB"/>
    <w:rsid w:val="00265ED0"/>
    <w:rsid w:val="00266C7B"/>
    <w:rsid w:val="00266E0C"/>
    <w:rsid w:val="00270234"/>
    <w:rsid w:val="0027051E"/>
    <w:rsid w:val="0027071C"/>
    <w:rsid w:val="0027122E"/>
    <w:rsid w:val="00272C62"/>
    <w:rsid w:val="002755B8"/>
    <w:rsid w:val="00275701"/>
    <w:rsid w:val="00275DC6"/>
    <w:rsid w:val="00276521"/>
    <w:rsid w:val="00276D7E"/>
    <w:rsid w:val="00277428"/>
    <w:rsid w:val="002806C6"/>
    <w:rsid w:val="002812E1"/>
    <w:rsid w:val="00281E62"/>
    <w:rsid w:val="00281ED6"/>
    <w:rsid w:val="00282493"/>
    <w:rsid w:val="0028312F"/>
    <w:rsid w:val="00283380"/>
    <w:rsid w:val="00284F66"/>
    <w:rsid w:val="00285D7E"/>
    <w:rsid w:val="00285D82"/>
    <w:rsid w:val="00285FED"/>
    <w:rsid w:val="00286660"/>
    <w:rsid w:val="00286A53"/>
    <w:rsid w:val="00287542"/>
    <w:rsid w:val="002877E9"/>
    <w:rsid w:val="0029053F"/>
    <w:rsid w:val="0029159E"/>
    <w:rsid w:val="002933BF"/>
    <w:rsid w:val="00293B18"/>
    <w:rsid w:val="00293EA5"/>
    <w:rsid w:val="00294801"/>
    <w:rsid w:val="00294EFD"/>
    <w:rsid w:val="0029562E"/>
    <w:rsid w:val="002956E0"/>
    <w:rsid w:val="00296D38"/>
    <w:rsid w:val="0029772C"/>
    <w:rsid w:val="002A1031"/>
    <w:rsid w:val="002A1308"/>
    <w:rsid w:val="002A3472"/>
    <w:rsid w:val="002A34C5"/>
    <w:rsid w:val="002A3C58"/>
    <w:rsid w:val="002A4F10"/>
    <w:rsid w:val="002A632D"/>
    <w:rsid w:val="002A63F4"/>
    <w:rsid w:val="002B03FF"/>
    <w:rsid w:val="002B0B61"/>
    <w:rsid w:val="002B0CA6"/>
    <w:rsid w:val="002B1AAF"/>
    <w:rsid w:val="002B1BDA"/>
    <w:rsid w:val="002B287D"/>
    <w:rsid w:val="002B36EB"/>
    <w:rsid w:val="002B3DA6"/>
    <w:rsid w:val="002B3F20"/>
    <w:rsid w:val="002B484D"/>
    <w:rsid w:val="002B4907"/>
    <w:rsid w:val="002B5092"/>
    <w:rsid w:val="002B50DA"/>
    <w:rsid w:val="002B5AD8"/>
    <w:rsid w:val="002B72C0"/>
    <w:rsid w:val="002B7DD1"/>
    <w:rsid w:val="002C05A7"/>
    <w:rsid w:val="002C087E"/>
    <w:rsid w:val="002C09B8"/>
    <w:rsid w:val="002C27C5"/>
    <w:rsid w:val="002C2BF2"/>
    <w:rsid w:val="002C4BB5"/>
    <w:rsid w:val="002C6D5B"/>
    <w:rsid w:val="002C7E7F"/>
    <w:rsid w:val="002D0C96"/>
    <w:rsid w:val="002D2D19"/>
    <w:rsid w:val="002D3456"/>
    <w:rsid w:val="002D4BB3"/>
    <w:rsid w:val="002D5D70"/>
    <w:rsid w:val="002D6942"/>
    <w:rsid w:val="002D7546"/>
    <w:rsid w:val="002D7A44"/>
    <w:rsid w:val="002D7E62"/>
    <w:rsid w:val="002D7F92"/>
    <w:rsid w:val="002E0633"/>
    <w:rsid w:val="002E0A18"/>
    <w:rsid w:val="002E1964"/>
    <w:rsid w:val="002E19A5"/>
    <w:rsid w:val="002E1E7E"/>
    <w:rsid w:val="002E27E0"/>
    <w:rsid w:val="002E39A3"/>
    <w:rsid w:val="002E6150"/>
    <w:rsid w:val="002E631C"/>
    <w:rsid w:val="002E6B6F"/>
    <w:rsid w:val="002E72D5"/>
    <w:rsid w:val="002E74C9"/>
    <w:rsid w:val="002F0800"/>
    <w:rsid w:val="002F3451"/>
    <w:rsid w:val="002F3606"/>
    <w:rsid w:val="002F5131"/>
    <w:rsid w:val="002F51E1"/>
    <w:rsid w:val="002F70EB"/>
    <w:rsid w:val="002F72BB"/>
    <w:rsid w:val="002F7411"/>
    <w:rsid w:val="002F779E"/>
    <w:rsid w:val="002F7AB3"/>
    <w:rsid w:val="00301514"/>
    <w:rsid w:val="003033BA"/>
    <w:rsid w:val="003033C0"/>
    <w:rsid w:val="003038BC"/>
    <w:rsid w:val="00303D47"/>
    <w:rsid w:val="00303DF8"/>
    <w:rsid w:val="00303EFC"/>
    <w:rsid w:val="00304081"/>
    <w:rsid w:val="00304130"/>
    <w:rsid w:val="003043B4"/>
    <w:rsid w:val="003046D6"/>
    <w:rsid w:val="0030629D"/>
    <w:rsid w:val="00307855"/>
    <w:rsid w:val="00310422"/>
    <w:rsid w:val="0031068B"/>
    <w:rsid w:val="003112B5"/>
    <w:rsid w:val="0031293C"/>
    <w:rsid w:val="00312DEB"/>
    <w:rsid w:val="00312F3D"/>
    <w:rsid w:val="00313BBA"/>
    <w:rsid w:val="00313CB3"/>
    <w:rsid w:val="00313D9F"/>
    <w:rsid w:val="00314352"/>
    <w:rsid w:val="00314899"/>
    <w:rsid w:val="00315623"/>
    <w:rsid w:val="00316182"/>
    <w:rsid w:val="003203D9"/>
    <w:rsid w:val="0032072B"/>
    <w:rsid w:val="00320DFD"/>
    <w:rsid w:val="003210F8"/>
    <w:rsid w:val="00321947"/>
    <w:rsid w:val="00326A5D"/>
    <w:rsid w:val="00326F22"/>
    <w:rsid w:val="00327032"/>
    <w:rsid w:val="003276A0"/>
    <w:rsid w:val="003278FA"/>
    <w:rsid w:val="00327BB3"/>
    <w:rsid w:val="0033002D"/>
    <w:rsid w:val="00330686"/>
    <w:rsid w:val="00332906"/>
    <w:rsid w:val="00332C3C"/>
    <w:rsid w:val="00333BE1"/>
    <w:rsid w:val="00334708"/>
    <w:rsid w:val="00334B76"/>
    <w:rsid w:val="00336644"/>
    <w:rsid w:val="003370FB"/>
    <w:rsid w:val="00337299"/>
    <w:rsid w:val="0033763C"/>
    <w:rsid w:val="00337ADB"/>
    <w:rsid w:val="00337BD8"/>
    <w:rsid w:val="00340206"/>
    <w:rsid w:val="00340D5B"/>
    <w:rsid w:val="003410DC"/>
    <w:rsid w:val="0034149E"/>
    <w:rsid w:val="003418AA"/>
    <w:rsid w:val="00341CE5"/>
    <w:rsid w:val="00342202"/>
    <w:rsid w:val="003426C6"/>
    <w:rsid w:val="003429C9"/>
    <w:rsid w:val="00343AE9"/>
    <w:rsid w:val="00343C28"/>
    <w:rsid w:val="00344889"/>
    <w:rsid w:val="00345462"/>
    <w:rsid w:val="00345FC4"/>
    <w:rsid w:val="0034680A"/>
    <w:rsid w:val="00347661"/>
    <w:rsid w:val="003478E7"/>
    <w:rsid w:val="00350095"/>
    <w:rsid w:val="00350BD2"/>
    <w:rsid w:val="00350DCD"/>
    <w:rsid w:val="00351383"/>
    <w:rsid w:val="0035243A"/>
    <w:rsid w:val="003528F0"/>
    <w:rsid w:val="00352927"/>
    <w:rsid w:val="00352FE4"/>
    <w:rsid w:val="00353FDF"/>
    <w:rsid w:val="00354545"/>
    <w:rsid w:val="00354FD8"/>
    <w:rsid w:val="003551A5"/>
    <w:rsid w:val="003555B4"/>
    <w:rsid w:val="00355F99"/>
    <w:rsid w:val="00356663"/>
    <w:rsid w:val="00356A4C"/>
    <w:rsid w:val="00360753"/>
    <w:rsid w:val="00360A53"/>
    <w:rsid w:val="00362486"/>
    <w:rsid w:val="00362CEC"/>
    <w:rsid w:val="00362F73"/>
    <w:rsid w:val="003630B0"/>
    <w:rsid w:val="003637F4"/>
    <w:rsid w:val="00363A73"/>
    <w:rsid w:val="0036497E"/>
    <w:rsid w:val="00364F1A"/>
    <w:rsid w:val="00366063"/>
    <w:rsid w:val="00366B93"/>
    <w:rsid w:val="00366C32"/>
    <w:rsid w:val="00367ACD"/>
    <w:rsid w:val="0037099D"/>
    <w:rsid w:val="00372A55"/>
    <w:rsid w:val="003735C0"/>
    <w:rsid w:val="0037401A"/>
    <w:rsid w:val="00374753"/>
    <w:rsid w:val="0037676F"/>
    <w:rsid w:val="003767EE"/>
    <w:rsid w:val="00377AD6"/>
    <w:rsid w:val="00377BF5"/>
    <w:rsid w:val="00381B41"/>
    <w:rsid w:val="00382349"/>
    <w:rsid w:val="003833D7"/>
    <w:rsid w:val="003839DC"/>
    <w:rsid w:val="00383C5B"/>
    <w:rsid w:val="00383DDA"/>
    <w:rsid w:val="00384B44"/>
    <w:rsid w:val="00384F42"/>
    <w:rsid w:val="00385EC9"/>
    <w:rsid w:val="00386456"/>
    <w:rsid w:val="00387241"/>
    <w:rsid w:val="00387E1C"/>
    <w:rsid w:val="0039010E"/>
    <w:rsid w:val="003901D8"/>
    <w:rsid w:val="00390732"/>
    <w:rsid w:val="0039100A"/>
    <w:rsid w:val="00391D93"/>
    <w:rsid w:val="00392714"/>
    <w:rsid w:val="00392E7E"/>
    <w:rsid w:val="00392F63"/>
    <w:rsid w:val="00393184"/>
    <w:rsid w:val="0039340C"/>
    <w:rsid w:val="003934DD"/>
    <w:rsid w:val="00396D23"/>
    <w:rsid w:val="003A046A"/>
    <w:rsid w:val="003A0603"/>
    <w:rsid w:val="003A1031"/>
    <w:rsid w:val="003A1157"/>
    <w:rsid w:val="003A25E4"/>
    <w:rsid w:val="003A2A86"/>
    <w:rsid w:val="003A2C66"/>
    <w:rsid w:val="003A2D28"/>
    <w:rsid w:val="003A433D"/>
    <w:rsid w:val="003A4F71"/>
    <w:rsid w:val="003A581E"/>
    <w:rsid w:val="003A5E28"/>
    <w:rsid w:val="003A651C"/>
    <w:rsid w:val="003A6DA8"/>
    <w:rsid w:val="003B0136"/>
    <w:rsid w:val="003B0B16"/>
    <w:rsid w:val="003B3D8A"/>
    <w:rsid w:val="003B4162"/>
    <w:rsid w:val="003B5540"/>
    <w:rsid w:val="003B79A5"/>
    <w:rsid w:val="003C1943"/>
    <w:rsid w:val="003C347B"/>
    <w:rsid w:val="003C3D13"/>
    <w:rsid w:val="003C40DD"/>
    <w:rsid w:val="003C4141"/>
    <w:rsid w:val="003C432C"/>
    <w:rsid w:val="003C50C9"/>
    <w:rsid w:val="003C62BD"/>
    <w:rsid w:val="003C7DC2"/>
    <w:rsid w:val="003D2137"/>
    <w:rsid w:val="003D284B"/>
    <w:rsid w:val="003D40F4"/>
    <w:rsid w:val="003D4187"/>
    <w:rsid w:val="003D420E"/>
    <w:rsid w:val="003D43F8"/>
    <w:rsid w:val="003D4F72"/>
    <w:rsid w:val="003D603B"/>
    <w:rsid w:val="003D6CF0"/>
    <w:rsid w:val="003D73F1"/>
    <w:rsid w:val="003E07B4"/>
    <w:rsid w:val="003E11A8"/>
    <w:rsid w:val="003E14B0"/>
    <w:rsid w:val="003E15E5"/>
    <w:rsid w:val="003E1ABD"/>
    <w:rsid w:val="003E1F12"/>
    <w:rsid w:val="003E443D"/>
    <w:rsid w:val="003E5505"/>
    <w:rsid w:val="003E5C80"/>
    <w:rsid w:val="003E5ED1"/>
    <w:rsid w:val="003E6682"/>
    <w:rsid w:val="003E7261"/>
    <w:rsid w:val="003E7A20"/>
    <w:rsid w:val="003E7AAD"/>
    <w:rsid w:val="003F088B"/>
    <w:rsid w:val="003F0FBE"/>
    <w:rsid w:val="003F28CF"/>
    <w:rsid w:val="003F2AD2"/>
    <w:rsid w:val="003F30B1"/>
    <w:rsid w:val="003F328D"/>
    <w:rsid w:val="003F47E5"/>
    <w:rsid w:val="003F5439"/>
    <w:rsid w:val="003F5CDD"/>
    <w:rsid w:val="003F5D5D"/>
    <w:rsid w:val="003F60D3"/>
    <w:rsid w:val="003F7E6A"/>
    <w:rsid w:val="00400083"/>
    <w:rsid w:val="0040059A"/>
    <w:rsid w:val="00402FD5"/>
    <w:rsid w:val="00403E76"/>
    <w:rsid w:val="00404797"/>
    <w:rsid w:val="00405524"/>
    <w:rsid w:val="00406898"/>
    <w:rsid w:val="00407BD2"/>
    <w:rsid w:val="0041043C"/>
    <w:rsid w:val="004106B4"/>
    <w:rsid w:val="00411B85"/>
    <w:rsid w:val="00412132"/>
    <w:rsid w:val="0041266E"/>
    <w:rsid w:val="004140EB"/>
    <w:rsid w:val="00414B54"/>
    <w:rsid w:val="0041612C"/>
    <w:rsid w:val="00416511"/>
    <w:rsid w:val="00416C2E"/>
    <w:rsid w:val="00417C69"/>
    <w:rsid w:val="004207E3"/>
    <w:rsid w:val="00420A13"/>
    <w:rsid w:val="00420B44"/>
    <w:rsid w:val="00420D01"/>
    <w:rsid w:val="00421774"/>
    <w:rsid w:val="00421906"/>
    <w:rsid w:val="0042321C"/>
    <w:rsid w:val="00423267"/>
    <w:rsid w:val="004252E8"/>
    <w:rsid w:val="00425B6B"/>
    <w:rsid w:val="00426EEE"/>
    <w:rsid w:val="00426F4A"/>
    <w:rsid w:val="00427BD7"/>
    <w:rsid w:val="00430927"/>
    <w:rsid w:val="0043155D"/>
    <w:rsid w:val="00431A07"/>
    <w:rsid w:val="0043205F"/>
    <w:rsid w:val="00432915"/>
    <w:rsid w:val="00432C5F"/>
    <w:rsid w:val="0043330C"/>
    <w:rsid w:val="0043346D"/>
    <w:rsid w:val="00433A6D"/>
    <w:rsid w:val="00433BA1"/>
    <w:rsid w:val="00435749"/>
    <w:rsid w:val="00435880"/>
    <w:rsid w:val="00435AA2"/>
    <w:rsid w:val="004363BC"/>
    <w:rsid w:val="00436652"/>
    <w:rsid w:val="004367C8"/>
    <w:rsid w:val="00436A63"/>
    <w:rsid w:val="0043754D"/>
    <w:rsid w:val="00437BF5"/>
    <w:rsid w:val="00437BF8"/>
    <w:rsid w:val="00440E0E"/>
    <w:rsid w:val="004422D6"/>
    <w:rsid w:val="00442BFD"/>
    <w:rsid w:val="00444A46"/>
    <w:rsid w:val="00445EE4"/>
    <w:rsid w:val="00446B03"/>
    <w:rsid w:val="00446CAA"/>
    <w:rsid w:val="00447095"/>
    <w:rsid w:val="00447483"/>
    <w:rsid w:val="004507CF"/>
    <w:rsid w:val="00452BCB"/>
    <w:rsid w:val="0045342C"/>
    <w:rsid w:val="004537E3"/>
    <w:rsid w:val="004547B6"/>
    <w:rsid w:val="00454B0F"/>
    <w:rsid w:val="00454C62"/>
    <w:rsid w:val="0045548D"/>
    <w:rsid w:val="00456BF3"/>
    <w:rsid w:val="004570AB"/>
    <w:rsid w:val="004573BC"/>
    <w:rsid w:val="00461717"/>
    <w:rsid w:val="004620B3"/>
    <w:rsid w:val="00463997"/>
    <w:rsid w:val="004648D2"/>
    <w:rsid w:val="0046604D"/>
    <w:rsid w:val="00471F7A"/>
    <w:rsid w:val="0047250D"/>
    <w:rsid w:val="0047358F"/>
    <w:rsid w:val="0047429E"/>
    <w:rsid w:val="00474434"/>
    <w:rsid w:val="0047444E"/>
    <w:rsid w:val="00474614"/>
    <w:rsid w:val="00474880"/>
    <w:rsid w:val="004750AA"/>
    <w:rsid w:val="004755D2"/>
    <w:rsid w:val="004768C9"/>
    <w:rsid w:val="00476A0B"/>
    <w:rsid w:val="00477A49"/>
    <w:rsid w:val="00477BFF"/>
    <w:rsid w:val="00481FA4"/>
    <w:rsid w:val="004821AB"/>
    <w:rsid w:val="00482A4E"/>
    <w:rsid w:val="004832C7"/>
    <w:rsid w:val="00484DD9"/>
    <w:rsid w:val="00485197"/>
    <w:rsid w:val="00485AD7"/>
    <w:rsid w:val="00485ED3"/>
    <w:rsid w:val="00487569"/>
    <w:rsid w:val="004878C1"/>
    <w:rsid w:val="00487986"/>
    <w:rsid w:val="004928C4"/>
    <w:rsid w:val="00492EB5"/>
    <w:rsid w:val="004930C1"/>
    <w:rsid w:val="0049475A"/>
    <w:rsid w:val="0049505C"/>
    <w:rsid w:val="00496626"/>
    <w:rsid w:val="0049684A"/>
    <w:rsid w:val="00497B27"/>
    <w:rsid w:val="00497F48"/>
    <w:rsid w:val="004A0A76"/>
    <w:rsid w:val="004A32AC"/>
    <w:rsid w:val="004A34D2"/>
    <w:rsid w:val="004A36C3"/>
    <w:rsid w:val="004A3CCB"/>
    <w:rsid w:val="004A411B"/>
    <w:rsid w:val="004A486C"/>
    <w:rsid w:val="004A488B"/>
    <w:rsid w:val="004A5218"/>
    <w:rsid w:val="004A5B0B"/>
    <w:rsid w:val="004A5B41"/>
    <w:rsid w:val="004A6356"/>
    <w:rsid w:val="004A7E8A"/>
    <w:rsid w:val="004B159B"/>
    <w:rsid w:val="004B1F7C"/>
    <w:rsid w:val="004B219E"/>
    <w:rsid w:val="004B2774"/>
    <w:rsid w:val="004B28F8"/>
    <w:rsid w:val="004B411E"/>
    <w:rsid w:val="004B4A0E"/>
    <w:rsid w:val="004B4CAD"/>
    <w:rsid w:val="004B567B"/>
    <w:rsid w:val="004B5CAA"/>
    <w:rsid w:val="004B6DE0"/>
    <w:rsid w:val="004B742E"/>
    <w:rsid w:val="004C003F"/>
    <w:rsid w:val="004C026F"/>
    <w:rsid w:val="004C0993"/>
    <w:rsid w:val="004C0ABB"/>
    <w:rsid w:val="004C0B1C"/>
    <w:rsid w:val="004C1226"/>
    <w:rsid w:val="004C1573"/>
    <w:rsid w:val="004C1F44"/>
    <w:rsid w:val="004C1F93"/>
    <w:rsid w:val="004C2021"/>
    <w:rsid w:val="004C5092"/>
    <w:rsid w:val="004C5273"/>
    <w:rsid w:val="004C6C01"/>
    <w:rsid w:val="004C7677"/>
    <w:rsid w:val="004D1653"/>
    <w:rsid w:val="004D1B75"/>
    <w:rsid w:val="004D2B08"/>
    <w:rsid w:val="004D2C64"/>
    <w:rsid w:val="004D3473"/>
    <w:rsid w:val="004D3521"/>
    <w:rsid w:val="004D4556"/>
    <w:rsid w:val="004D481E"/>
    <w:rsid w:val="004D4D3A"/>
    <w:rsid w:val="004D4FFE"/>
    <w:rsid w:val="004D5372"/>
    <w:rsid w:val="004D6525"/>
    <w:rsid w:val="004D6799"/>
    <w:rsid w:val="004D725A"/>
    <w:rsid w:val="004D78D4"/>
    <w:rsid w:val="004D7A98"/>
    <w:rsid w:val="004D7B77"/>
    <w:rsid w:val="004E06CD"/>
    <w:rsid w:val="004E1267"/>
    <w:rsid w:val="004E2760"/>
    <w:rsid w:val="004E27A0"/>
    <w:rsid w:val="004E2973"/>
    <w:rsid w:val="004E2F8D"/>
    <w:rsid w:val="004E3A4E"/>
    <w:rsid w:val="004E4142"/>
    <w:rsid w:val="004E4A6B"/>
    <w:rsid w:val="004E4AB3"/>
    <w:rsid w:val="004E5102"/>
    <w:rsid w:val="004E5B78"/>
    <w:rsid w:val="004E5BC5"/>
    <w:rsid w:val="004E6147"/>
    <w:rsid w:val="004E638B"/>
    <w:rsid w:val="004E6C63"/>
    <w:rsid w:val="004F0B50"/>
    <w:rsid w:val="004F1050"/>
    <w:rsid w:val="004F1065"/>
    <w:rsid w:val="004F32CC"/>
    <w:rsid w:val="004F38A9"/>
    <w:rsid w:val="004F46FC"/>
    <w:rsid w:val="004F4EA0"/>
    <w:rsid w:val="004F4EB9"/>
    <w:rsid w:val="004F5711"/>
    <w:rsid w:val="004F5F6A"/>
    <w:rsid w:val="004F71C2"/>
    <w:rsid w:val="00501D8A"/>
    <w:rsid w:val="00501FA2"/>
    <w:rsid w:val="0050246B"/>
    <w:rsid w:val="005027F0"/>
    <w:rsid w:val="00502929"/>
    <w:rsid w:val="00502F06"/>
    <w:rsid w:val="00502F6D"/>
    <w:rsid w:val="005037BC"/>
    <w:rsid w:val="005037CD"/>
    <w:rsid w:val="00503872"/>
    <w:rsid w:val="00503C1E"/>
    <w:rsid w:val="005046C0"/>
    <w:rsid w:val="005053B0"/>
    <w:rsid w:val="00506085"/>
    <w:rsid w:val="005064F9"/>
    <w:rsid w:val="0051074C"/>
    <w:rsid w:val="0051089A"/>
    <w:rsid w:val="00510BB6"/>
    <w:rsid w:val="005113B2"/>
    <w:rsid w:val="0051288D"/>
    <w:rsid w:val="00513A69"/>
    <w:rsid w:val="00513AF2"/>
    <w:rsid w:val="005144E0"/>
    <w:rsid w:val="005152C2"/>
    <w:rsid w:val="005153B7"/>
    <w:rsid w:val="00516462"/>
    <w:rsid w:val="0051690C"/>
    <w:rsid w:val="005200B5"/>
    <w:rsid w:val="00521B54"/>
    <w:rsid w:val="005222B7"/>
    <w:rsid w:val="005224B2"/>
    <w:rsid w:val="00522983"/>
    <w:rsid w:val="00522B46"/>
    <w:rsid w:val="0052307C"/>
    <w:rsid w:val="0052399A"/>
    <w:rsid w:val="00523FFA"/>
    <w:rsid w:val="0052446F"/>
    <w:rsid w:val="00524F8D"/>
    <w:rsid w:val="00525D6C"/>
    <w:rsid w:val="00525E5E"/>
    <w:rsid w:val="005268C9"/>
    <w:rsid w:val="0052715F"/>
    <w:rsid w:val="00527CC7"/>
    <w:rsid w:val="005305AF"/>
    <w:rsid w:val="00533367"/>
    <w:rsid w:val="00535161"/>
    <w:rsid w:val="005351AB"/>
    <w:rsid w:val="00535427"/>
    <w:rsid w:val="00535A7F"/>
    <w:rsid w:val="0053606E"/>
    <w:rsid w:val="005369C0"/>
    <w:rsid w:val="00536C0D"/>
    <w:rsid w:val="0053771E"/>
    <w:rsid w:val="00537D21"/>
    <w:rsid w:val="005403D5"/>
    <w:rsid w:val="005418FA"/>
    <w:rsid w:val="00542FF3"/>
    <w:rsid w:val="0054323F"/>
    <w:rsid w:val="00543D6E"/>
    <w:rsid w:val="0054413A"/>
    <w:rsid w:val="005443C9"/>
    <w:rsid w:val="00545144"/>
    <w:rsid w:val="00545326"/>
    <w:rsid w:val="005457A0"/>
    <w:rsid w:val="005465E5"/>
    <w:rsid w:val="00546AC5"/>
    <w:rsid w:val="00550551"/>
    <w:rsid w:val="00551DC1"/>
    <w:rsid w:val="00553411"/>
    <w:rsid w:val="00554515"/>
    <w:rsid w:val="00555967"/>
    <w:rsid w:val="005564CA"/>
    <w:rsid w:val="00556CA1"/>
    <w:rsid w:val="00556F5B"/>
    <w:rsid w:val="00557DD1"/>
    <w:rsid w:val="00560437"/>
    <w:rsid w:val="00560C9C"/>
    <w:rsid w:val="0056142D"/>
    <w:rsid w:val="00561510"/>
    <w:rsid w:val="005617FA"/>
    <w:rsid w:val="005620AD"/>
    <w:rsid w:val="005626E7"/>
    <w:rsid w:val="00562D14"/>
    <w:rsid w:val="00563DEE"/>
    <w:rsid w:val="00564281"/>
    <w:rsid w:val="00566EEE"/>
    <w:rsid w:val="00567CF6"/>
    <w:rsid w:val="00570BD6"/>
    <w:rsid w:val="00571897"/>
    <w:rsid w:val="005722C5"/>
    <w:rsid w:val="00572788"/>
    <w:rsid w:val="005731B5"/>
    <w:rsid w:val="0057389B"/>
    <w:rsid w:val="00573D85"/>
    <w:rsid w:val="0057417D"/>
    <w:rsid w:val="00574D20"/>
    <w:rsid w:val="0057530E"/>
    <w:rsid w:val="00575B77"/>
    <w:rsid w:val="00575D08"/>
    <w:rsid w:val="005770F6"/>
    <w:rsid w:val="00577DD4"/>
    <w:rsid w:val="00577EF5"/>
    <w:rsid w:val="00580136"/>
    <w:rsid w:val="005811F1"/>
    <w:rsid w:val="00584E86"/>
    <w:rsid w:val="0058589B"/>
    <w:rsid w:val="005867BF"/>
    <w:rsid w:val="00587B36"/>
    <w:rsid w:val="0059058A"/>
    <w:rsid w:val="00590963"/>
    <w:rsid w:val="00590DD9"/>
    <w:rsid w:val="00590E6F"/>
    <w:rsid w:val="00591F4C"/>
    <w:rsid w:val="0059266D"/>
    <w:rsid w:val="005942C5"/>
    <w:rsid w:val="0059458E"/>
    <w:rsid w:val="00595BD5"/>
    <w:rsid w:val="00596F22"/>
    <w:rsid w:val="00597AD9"/>
    <w:rsid w:val="005A0585"/>
    <w:rsid w:val="005A114C"/>
    <w:rsid w:val="005A1570"/>
    <w:rsid w:val="005A1C9C"/>
    <w:rsid w:val="005A2D51"/>
    <w:rsid w:val="005A32AF"/>
    <w:rsid w:val="005A34F0"/>
    <w:rsid w:val="005A3C9D"/>
    <w:rsid w:val="005A4079"/>
    <w:rsid w:val="005A436F"/>
    <w:rsid w:val="005A456B"/>
    <w:rsid w:val="005A4A4C"/>
    <w:rsid w:val="005A5275"/>
    <w:rsid w:val="005A6DCD"/>
    <w:rsid w:val="005A79FE"/>
    <w:rsid w:val="005B0132"/>
    <w:rsid w:val="005B07AE"/>
    <w:rsid w:val="005B2AF3"/>
    <w:rsid w:val="005B2F60"/>
    <w:rsid w:val="005B373F"/>
    <w:rsid w:val="005B4049"/>
    <w:rsid w:val="005B41D2"/>
    <w:rsid w:val="005B43FE"/>
    <w:rsid w:val="005B46A6"/>
    <w:rsid w:val="005B4AA6"/>
    <w:rsid w:val="005B6F12"/>
    <w:rsid w:val="005B7215"/>
    <w:rsid w:val="005B7515"/>
    <w:rsid w:val="005B7A2F"/>
    <w:rsid w:val="005C0D43"/>
    <w:rsid w:val="005C1E33"/>
    <w:rsid w:val="005C1FFD"/>
    <w:rsid w:val="005C266E"/>
    <w:rsid w:val="005C39A3"/>
    <w:rsid w:val="005C3C95"/>
    <w:rsid w:val="005C3CCE"/>
    <w:rsid w:val="005C4308"/>
    <w:rsid w:val="005C4C81"/>
    <w:rsid w:val="005C5026"/>
    <w:rsid w:val="005C51A7"/>
    <w:rsid w:val="005C5A22"/>
    <w:rsid w:val="005C5B5C"/>
    <w:rsid w:val="005C6D84"/>
    <w:rsid w:val="005D064A"/>
    <w:rsid w:val="005D1CE8"/>
    <w:rsid w:val="005D29B5"/>
    <w:rsid w:val="005D3445"/>
    <w:rsid w:val="005D37F7"/>
    <w:rsid w:val="005D3807"/>
    <w:rsid w:val="005D474D"/>
    <w:rsid w:val="005D552E"/>
    <w:rsid w:val="005D5C5D"/>
    <w:rsid w:val="005D7F00"/>
    <w:rsid w:val="005E0385"/>
    <w:rsid w:val="005E06A4"/>
    <w:rsid w:val="005E1BC6"/>
    <w:rsid w:val="005E1CF3"/>
    <w:rsid w:val="005E1F70"/>
    <w:rsid w:val="005E23E2"/>
    <w:rsid w:val="005E2E0F"/>
    <w:rsid w:val="005E2F44"/>
    <w:rsid w:val="005E3788"/>
    <w:rsid w:val="005E4F20"/>
    <w:rsid w:val="005E605B"/>
    <w:rsid w:val="005E67FC"/>
    <w:rsid w:val="005E72D5"/>
    <w:rsid w:val="005E7572"/>
    <w:rsid w:val="005E7A0B"/>
    <w:rsid w:val="005F0C78"/>
    <w:rsid w:val="005F1050"/>
    <w:rsid w:val="005F137C"/>
    <w:rsid w:val="005F3431"/>
    <w:rsid w:val="005F4AB3"/>
    <w:rsid w:val="005F4BF5"/>
    <w:rsid w:val="005F5C6D"/>
    <w:rsid w:val="005F5C6F"/>
    <w:rsid w:val="006007CC"/>
    <w:rsid w:val="00600FA4"/>
    <w:rsid w:val="00601496"/>
    <w:rsid w:val="0060197B"/>
    <w:rsid w:val="00601FCA"/>
    <w:rsid w:val="006028B1"/>
    <w:rsid w:val="00602A32"/>
    <w:rsid w:val="006030AA"/>
    <w:rsid w:val="00603999"/>
    <w:rsid w:val="00603BDE"/>
    <w:rsid w:val="006044E9"/>
    <w:rsid w:val="00604737"/>
    <w:rsid w:val="00610C94"/>
    <w:rsid w:val="00611379"/>
    <w:rsid w:val="00611D58"/>
    <w:rsid w:val="00612142"/>
    <w:rsid w:val="006123CE"/>
    <w:rsid w:val="00612BDB"/>
    <w:rsid w:val="00612ED3"/>
    <w:rsid w:val="00613073"/>
    <w:rsid w:val="006133BD"/>
    <w:rsid w:val="006134DB"/>
    <w:rsid w:val="006135E8"/>
    <w:rsid w:val="00613F45"/>
    <w:rsid w:val="0061564E"/>
    <w:rsid w:val="00616C91"/>
    <w:rsid w:val="00616F60"/>
    <w:rsid w:val="00617024"/>
    <w:rsid w:val="006178DB"/>
    <w:rsid w:val="00620CBF"/>
    <w:rsid w:val="00620E47"/>
    <w:rsid w:val="0062127B"/>
    <w:rsid w:val="006231D1"/>
    <w:rsid w:val="00623248"/>
    <w:rsid w:val="00623F97"/>
    <w:rsid w:val="00624730"/>
    <w:rsid w:val="00624D8F"/>
    <w:rsid w:val="0062567A"/>
    <w:rsid w:val="00627867"/>
    <w:rsid w:val="0062792C"/>
    <w:rsid w:val="00632406"/>
    <w:rsid w:val="006334A8"/>
    <w:rsid w:val="00633633"/>
    <w:rsid w:val="00633AB3"/>
    <w:rsid w:val="006362A0"/>
    <w:rsid w:val="0063656E"/>
    <w:rsid w:val="006367B1"/>
    <w:rsid w:val="0063788B"/>
    <w:rsid w:val="006404C9"/>
    <w:rsid w:val="0064055D"/>
    <w:rsid w:val="00640B75"/>
    <w:rsid w:val="006426C6"/>
    <w:rsid w:val="00642D57"/>
    <w:rsid w:val="0064395A"/>
    <w:rsid w:val="00646512"/>
    <w:rsid w:val="00646829"/>
    <w:rsid w:val="00647622"/>
    <w:rsid w:val="0065089D"/>
    <w:rsid w:val="00650BA6"/>
    <w:rsid w:val="00651C73"/>
    <w:rsid w:val="00651D31"/>
    <w:rsid w:val="006524A2"/>
    <w:rsid w:val="006524BE"/>
    <w:rsid w:val="006529AB"/>
    <w:rsid w:val="00652A5C"/>
    <w:rsid w:val="006533F8"/>
    <w:rsid w:val="006544F2"/>
    <w:rsid w:val="0065455F"/>
    <w:rsid w:val="00655360"/>
    <w:rsid w:val="00655371"/>
    <w:rsid w:val="00655569"/>
    <w:rsid w:val="00656388"/>
    <w:rsid w:val="006563C3"/>
    <w:rsid w:val="006616CE"/>
    <w:rsid w:val="006625BC"/>
    <w:rsid w:val="00663A05"/>
    <w:rsid w:val="006645BF"/>
    <w:rsid w:val="006652E9"/>
    <w:rsid w:val="0066584D"/>
    <w:rsid w:val="00665A16"/>
    <w:rsid w:val="00665E49"/>
    <w:rsid w:val="00666AF7"/>
    <w:rsid w:val="006670F5"/>
    <w:rsid w:val="006674C1"/>
    <w:rsid w:val="00667EBB"/>
    <w:rsid w:val="0067040F"/>
    <w:rsid w:val="00670B1B"/>
    <w:rsid w:val="006716ED"/>
    <w:rsid w:val="006729E6"/>
    <w:rsid w:val="00672A0B"/>
    <w:rsid w:val="00672B53"/>
    <w:rsid w:val="00672EEC"/>
    <w:rsid w:val="0067317F"/>
    <w:rsid w:val="00673227"/>
    <w:rsid w:val="00673789"/>
    <w:rsid w:val="00673AB7"/>
    <w:rsid w:val="00673AB9"/>
    <w:rsid w:val="00674512"/>
    <w:rsid w:val="00674E42"/>
    <w:rsid w:val="00675933"/>
    <w:rsid w:val="00676893"/>
    <w:rsid w:val="00681A07"/>
    <w:rsid w:val="00682D0A"/>
    <w:rsid w:val="00683085"/>
    <w:rsid w:val="0068338B"/>
    <w:rsid w:val="00683404"/>
    <w:rsid w:val="00683D48"/>
    <w:rsid w:val="00686E92"/>
    <w:rsid w:val="0069158F"/>
    <w:rsid w:val="006916C0"/>
    <w:rsid w:val="00691C58"/>
    <w:rsid w:val="00692BB0"/>
    <w:rsid w:val="00693CC2"/>
    <w:rsid w:val="00694B76"/>
    <w:rsid w:val="00695E74"/>
    <w:rsid w:val="0069678A"/>
    <w:rsid w:val="00696E79"/>
    <w:rsid w:val="00697665"/>
    <w:rsid w:val="00697D73"/>
    <w:rsid w:val="006A00B7"/>
    <w:rsid w:val="006A049D"/>
    <w:rsid w:val="006A0BF9"/>
    <w:rsid w:val="006A12F4"/>
    <w:rsid w:val="006A1A12"/>
    <w:rsid w:val="006A2013"/>
    <w:rsid w:val="006A2F2D"/>
    <w:rsid w:val="006A3206"/>
    <w:rsid w:val="006A3CD1"/>
    <w:rsid w:val="006A454C"/>
    <w:rsid w:val="006A5273"/>
    <w:rsid w:val="006A58B8"/>
    <w:rsid w:val="006A64A9"/>
    <w:rsid w:val="006A7FD0"/>
    <w:rsid w:val="006B161A"/>
    <w:rsid w:val="006B2195"/>
    <w:rsid w:val="006B34D7"/>
    <w:rsid w:val="006B4C1B"/>
    <w:rsid w:val="006B5004"/>
    <w:rsid w:val="006B5571"/>
    <w:rsid w:val="006B55C5"/>
    <w:rsid w:val="006B7576"/>
    <w:rsid w:val="006C0662"/>
    <w:rsid w:val="006C084F"/>
    <w:rsid w:val="006C14D1"/>
    <w:rsid w:val="006C41CF"/>
    <w:rsid w:val="006C453C"/>
    <w:rsid w:val="006C4F96"/>
    <w:rsid w:val="006C627E"/>
    <w:rsid w:val="006C68E5"/>
    <w:rsid w:val="006C6A3B"/>
    <w:rsid w:val="006C6E36"/>
    <w:rsid w:val="006C7E2B"/>
    <w:rsid w:val="006D18A5"/>
    <w:rsid w:val="006D23BA"/>
    <w:rsid w:val="006D2CB8"/>
    <w:rsid w:val="006D2CF6"/>
    <w:rsid w:val="006D40DC"/>
    <w:rsid w:val="006D4498"/>
    <w:rsid w:val="006D4EC2"/>
    <w:rsid w:val="006D4F07"/>
    <w:rsid w:val="006D5176"/>
    <w:rsid w:val="006D5415"/>
    <w:rsid w:val="006D5EA2"/>
    <w:rsid w:val="006D717D"/>
    <w:rsid w:val="006D7687"/>
    <w:rsid w:val="006E0385"/>
    <w:rsid w:val="006E0572"/>
    <w:rsid w:val="006E0C98"/>
    <w:rsid w:val="006E0F9F"/>
    <w:rsid w:val="006E1324"/>
    <w:rsid w:val="006E140D"/>
    <w:rsid w:val="006E1CCF"/>
    <w:rsid w:val="006E28FE"/>
    <w:rsid w:val="006E4F08"/>
    <w:rsid w:val="006E6202"/>
    <w:rsid w:val="006E6B65"/>
    <w:rsid w:val="006E6D63"/>
    <w:rsid w:val="006E6E42"/>
    <w:rsid w:val="006F0E22"/>
    <w:rsid w:val="006F2EC7"/>
    <w:rsid w:val="006F3DAA"/>
    <w:rsid w:val="006F514F"/>
    <w:rsid w:val="006F5461"/>
    <w:rsid w:val="006F70A0"/>
    <w:rsid w:val="00700377"/>
    <w:rsid w:val="007008A4"/>
    <w:rsid w:val="00700E8E"/>
    <w:rsid w:val="007018AF"/>
    <w:rsid w:val="00701E35"/>
    <w:rsid w:val="007020A1"/>
    <w:rsid w:val="00702115"/>
    <w:rsid w:val="007029A4"/>
    <w:rsid w:val="00703E2C"/>
    <w:rsid w:val="00705631"/>
    <w:rsid w:val="00705FE1"/>
    <w:rsid w:val="00706399"/>
    <w:rsid w:val="00707D87"/>
    <w:rsid w:val="00707EFD"/>
    <w:rsid w:val="00707FF5"/>
    <w:rsid w:val="00711266"/>
    <w:rsid w:val="00711A50"/>
    <w:rsid w:val="007125A7"/>
    <w:rsid w:val="007130EA"/>
    <w:rsid w:val="00713DE5"/>
    <w:rsid w:val="00713FA0"/>
    <w:rsid w:val="00714254"/>
    <w:rsid w:val="00714718"/>
    <w:rsid w:val="00714833"/>
    <w:rsid w:val="00714C43"/>
    <w:rsid w:val="00715929"/>
    <w:rsid w:val="0071654A"/>
    <w:rsid w:val="007173EA"/>
    <w:rsid w:val="007178B2"/>
    <w:rsid w:val="0072005B"/>
    <w:rsid w:val="00720966"/>
    <w:rsid w:val="007210EC"/>
    <w:rsid w:val="0072127D"/>
    <w:rsid w:val="007229B0"/>
    <w:rsid w:val="00724809"/>
    <w:rsid w:val="00724ED2"/>
    <w:rsid w:val="007252B4"/>
    <w:rsid w:val="00725AC2"/>
    <w:rsid w:val="00726DBE"/>
    <w:rsid w:val="00727EAE"/>
    <w:rsid w:val="00727FB6"/>
    <w:rsid w:val="007300F3"/>
    <w:rsid w:val="007303E0"/>
    <w:rsid w:val="00730AB8"/>
    <w:rsid w:val="00733DDA"/>
    <w:rsid w:val="00734D43"/>
    <w:rsid w:val="007357B0"/>
    <w:rsid w:val="00735A39"/>
    <w:rsid w:val="00736FC1"/>
    <w:rsid w:val="007372C3"/>
    <w:rsid w:val="007404BC"/>
    <w:rsid w:val="00741FC4"/>
    <w:rsid w:val="0074287A"/>
    <w:rsid w:val="00742DD2"/>
    <w:rsid w:val="00744115"/>
    <w:rsid w:val="00744B26"/>
    <w:rsid w:val="00744E7F"/>
    <w:rsid w:val="00745879"/>
    <w:rsid w:val="00745950"/>
    <w:rsid w:val="007464C8"/>
    <w:rsid w:val="00746A77"/>
    <w:rsid w:val="00746D17"/>
    <w:rsid w:val="0074728F"/>
    <w:rsid w:val="00747E9B"/>
    <w:rsid w:val="00751EE7"/>
    <w:rsid w:val="00752568"/>
    <w:rsid w:val="00752CB1"/>
    <w:rsid w:val="0075455D"/>
    <w:rsid w:val="00754621"/>
    <w:rsid w:val="0075582E"/>
    <w:rsid w:val="0075647A"/>
    <w:rsid w:val="00756E36"/>
    <w:rsid w:val="007573C1"/>
    <w:rsid w:val="007574E5"/>
    <w:rsid w:val="007605B5"/>
    <w:rsid w:val="007611DB"/>
    <w:rsid w:val="007634AD"/>
    <w:rsid w:val="00764CD2"/>
    <w:rsid w:val="0076566F"/>
    <w:rsid w:val="007656E6"/>
    <w:rsid w:val="00765BE2"/>
    <w:rsid w:val="007673F0"/>
    <w:rsid w:val="0076744F"/>
    <w:rsid w:val="00767455"/>
    <w:rsid w:val="007679AF"/>
    <w:rsid w:val="007701D9"/>
    <w:rsid w:val="00772C6C"/>
    <w:rsid w:val="007741D9"/>
    <w:rsid w:val="007743B6"/>
    <w:rsid w:val="007748F6"/>
    <w:rsid w:val="00774A8C"/>
    <w:rsid w:val="007750BB"/>
    <w:rsid w:val="00775779"/>
    <w:rsid w:val="00776ED5"/>
    <w:rsid w:val="007809E9"/>
    <w:rsid w:val="00780D84"/>
    <w:rsid w:val="0078122E"/>
    <w:rsid w:val="0078165F"/>
    <w:rsid w:val="00782024"/>
    <w:rsid w:val="00782DC1"/>
    <w:rsid w:val="00783506"/>
    <w:rsid w:val="0078442B"/>
    <w:rsid w:val="007853BD"/>
    <w:rsid w:val="00785A12"/>
    <w:rsid w:val="00785E18"/>
    <w:rsid w:val="0078614D"/>
    <w:rsid w:val="00791C0F"/>
    <w:rsid w:val="007924DC"/>
    <w:rsid w:val="00793845"/>
    <w:rsid w:val="00793FA2"/>
    <w:rsid w:val="0079520D"/>
    <w:rsid w:val="007966FB"/>
    <w:rsid w:val="0079697F"/>
    <w:rsid w:val="00796BD1"/>
    <w:rsid w:val="00796EC8"/>
    <w:rsid w:val="00797DF7"/>
    <w:rsid w:val="007A0D0E"/>
    <w:rsid w:val="007A1418"/>
    <w:rsid w:val="007A166F"/>
    <w:rsid w:val="007A1BB6"/>
    <w:rsid w:val="007A490A"/>
    <w:rsid w:val="007A4C5A"/>
    <w:rsid w:val="007A615D"/>
    <w:rsid w:val="007A6DA5"/>
    <w:rsid w:val="007A7F82"/>
    <w:rsid w:val="007B0854"/>
    <w:rsid w:val="007B0F2D"/>
    <w:rsid w:val="007B0F58"/>
    <w:rsid w:val="007B16E2"/>
    <w:rsid w:val="007B234F"/>
    <w:rsid w:val="007B24B5"/>
    <w:rsid w:val="007B44DA"/>
    <w:rsid w:val="007B5F82"/>
    <w:rsid w:val="007B6218"/>
    <w:rsid w:val="007C0326"/>
    <w:rsid w:val="007C0A36"/>
    <w:rsid w:val="007C2221"/>
    <w:rsid w:val="007C36EC"/>
    <w:rsid w:val="007C60A9"/>
    <w:rsid w:val="007C6117"/>
    <w:rsid w:val="007C6410"/>
    <w:rsid w:val="007C672F"/>
    <w:rsid w:val="007C7077"/>
    <w:rsid w:val="007C7370"/>
    <w:rsid w:val="007C7638"/>
    <w:rsid w:val="007C7F04"/>
    <w:rsid w:val="007D0305"/>
    <w:rsid w:val="007D0F47"/>
    <w:rsid w:val="007D1727"/>
    <w:rsid w:val="007D1AD1"/>
    <w:rsid w:val="007D28C9"/>
    <w:rsid w:val="007D40E2"/>
    <w:rsid w:val="007D58E1"/>
    <w:rsid w:val="007D5E0B"/>
    <w:rsid w:val="007D65D4"/>
    <w:rsid w:val="007D71A4"/>
    <w:rsid w:val="007E01FC"/>
    <w:rsid w:val="007E03C8"/>
    <w:rsid w:val="007E1384"/>
    <w:rsid w:val="007E4585"/>
    <w:rsid w:val="007E5B03"/>
    <w:rsid w:val="007E6035"/>
    <w:rsid w:val="007E750C"/>
    <w:rsid w:val="007F047F"/>
    <w:rsid w:val="007F0D40"/>
    <w:rsid w:val="007F168F"/>
    <w:rsid w:val="007F2AC3"/>
    <w:rsid w:val="007F3452"/>
    <w:rsid w:val="007F367B"/>
    <w:rsid w:val="007F3F7B"/>
    <w:rsid w:val="007F4347"/>
    <w:rsid w:val="007F5F3B"/>
    <w:rsid w:val="007F723E"/>
    <w:rsid w:val="007F72CB"/>
    <w:rsid w:val="00800175"/>
    <w:rsid w:val="00802A13"/>
    <w:rsid w:val="00802D30"/>
    <w:rsid w:val="00804C29"/>
    <w:rsid w:val="00804CE6"/>
    <w:rsid w:val="00804EB1"/>
    <w:rsid w:val="0080594C"/>
    <w:rsid w:val="008101D2"/>
    <w:rsid w:val="00810C11"/>
    <w:rsid w:val="008111B0"/>
    <w:rsid w:val="00811ED3"/>
    <w:rsid w:val="008125CD"/>
    <w:rsid w:val="0081348A"/>
    <w:rsid w:val="00813504"/>
    <w:rsid w:val="00815027"/>
    <w:rsid w:val="008159D3"/>
    <w:rsid w:val="00816191"/>
    <w:rsid w:val="00816302"/>
    <w:rsid w:val="0081643A"/>
    <w:rsid w:val="00816A51"/>
    <w:rsid w:val="00817A26"/>
    <w:rsid w:val="00817CA8"/>
    <w:rsid w:val="0082251D"/>
    <w:rsid w:val="00822D58"/>
    <w:rsid w:val="00822F0F"/>
    <w:rsid w:val="008232F1"/>
    <w:rsid w:val="00824AA3"/>
    <w:rsid w:val="00824D50"/>
    <w:rsid w:val="008259B9"/>
    <w:rsid w:val="00826A9D"/>
    <w:rsid w:val="008303BC"/>
    <w:rsid w:val="0083119B"/>
    <w:rsid w:val="00831238"/>
    <w:rsid w:val="0083133A"/>
    <w:rsid w:val="008313DB"/>
    <w:rsid w:val="0083307B"/>
    <w:rsid w:val="008334FC"/>
    <w:rsid w:val="008339C5"/>
    <w:rsid w:val="008344BC"/>
    <w:rsid w:val="00834864"/>
    <w:rsid w:val="00834EAB"/>
    <w:rsid w:val="00835417"/>
    <w:rsid w:val="00835B51"/>
    <w:rsid w:val="008366AF"/>
    <w:rsid w:val="00836793"/>
    <w:rsid w:val="00836AFB"/>
    <w:rsid w:val="00836EAB"/>
    <w:rsid w:val="0083716D"/>
    <w:rsid w:val="008409BE"/>
    <w:rsid w:val="00840B58"/>
    <w:rsid w:val="00841280"/>
    <w:rsid w:val="0084152B"/>
    <w:rsid w:val="00841639"/>
    <w:rsid w:val="00841E0B"/>
    <w:rsid w:val="00842535"/>
    <w:rsid w:val="00842F23"/>
    <w:rsid w:val="00843449"/>
    <w:rsid w:val="00843BC4"/>
    <w:rsid w:val="00843E6C"/>
    <w:rsid w:val="00843F7A"/>
    <w:rsid w:val="00844326"/>
    <w:rsid w:val="0084483F"/>
    <w:rsid w:val="00845303"/>
    <w:rsid w:val="00846F5C"/>
    <w:rsid w:val="0084737E"/>
    <w:rsid w:val="00847B6B"/>
    <w:rsid w:val="00847DD7"/>
    <w:rsid w:val="0085092D"/>
    <w:rsid w:val="008509DD"/>
    <w:rsid w:val="00850DF5"/>
    <w:rsid w:val="0085128C"/>
    <w:rsid w:val="00852018"/>
    <w:rsid w:val="008524B4"/>
    <w:rsid w:val="0085264F"/>
    <w:rsid w:val="00852BB0"/>
    <w:rsid w:val="00852E12"/>
    <w:rsid w:val="00852F5E"/>
    <w:rsid w:val="00853776"/>
    <w:rsid w:val="008541AC"/>
    <w:rsid w:val="00854DBB"/>
    <w:rsid w:val="00856468"/>
    <w:rsid w:val="008565DC"/>
    <w:rsid w:val="00856B57"/>
    <w:rsid w:val="00857F63"/>
    <w:rsid w:val="00860189"/>
    <w:rsid w:val="008601EE"/>
    <w:rsid w:val="00860B10"/>
    <w:rsid w:val="00860C12"/>
    <w:rsid w:val="008610DF"/>
    <w:rsid w:val="008612BF"/>
    <w:rsid w:val="00861408"/>
    <w:rsid w:val="008617E0"/>
    <w:rsid w:val="008619F5"/>
    <w:rsid w:val="00862B2A"/>
    <w:rsid w:val="00862D58"/>
    <w:rsid w:val="00865014"/>
    <w:rsid w:val="00865967"/>
    <w:rsid w:val="00865A2B"/>
    <w:rsid w:val="00865F26"/>
    <w:rsid w:val="008700C1"/>
    <w:rsid w:val="008705DE"/>
    <w:rsid w:val="00871295"/>
    <w:rsid w:val="0087249D"/>
    <w:rsid w:val="00873BCF"/>
    <w:rsid w:val="00874A6C"/>
    <w:rsid w:val="00877366"/>
    <w:rsid w:val="0087745C"/>
    <w:rsid w:val="00877FC5"/>
    <w:rsid w:val="00880626"/>
    <w:rsid w:val="00881690"/>
    <w:rsid w:val="00881742"/>
    <w:rsid w:val="008817ED"/>
    <w:rsid w:val="00881E35"/>
    <w:rsid w:val="0088243F"/>
    <w:rsid w:val="00882EA0"/>
    <w:rsid w:val="00883662"/>
    <w:rsid w:val="00883715"/>
    <w:rsid w:val="0088457C"/>
    <w:rsid w:val="00885287"/>
    <w:rsid w:val="00885AA7"/>
    <w:rsid w:val="00886201"/>
    <w:rsid w:val="00886A5B"/>
    <w:rsid w:val="008871CF"/>
    <w:rsid w:val="00887B15"/>
    <w:rsid w:val="00890549"/>
    <w:rsid w:val="00890882"/>
    <w:rsid w:val="00890A8B"/>
    <w:rsid w:val="008927A8"/>
    <w:rsid w:val="00893165"/>
    <w:rsid w:val="00893180"/>
    <w:rsid w:val="00893C06"/>
    <w:rsid w:val="00894D34"/>
    <w:rsid w:val="00895AA2"/>
    <w:rsid w:val="00896174"/>
    <w:rsid w:val="008967AF"/>
    <w:rsid w:val="00896A1B"/>
    <w:rsid w:val="008A0425"/>
    <w:rsid w:val="008A0A11"/>
    <w:rsid w:val="008A0B2C"/>
    <w:rsid w:val="008A1966"/>
    <w:rsid w:val="008A1FB3"/>
    <w:rsid w:val="008A257A"/>
    <w:rsid w:val="008A2F81"/>
    <w:rsid w:val="008A3228"/>
    <w:rsid w:val="008A41E2"/>
    <w:rsid w:val="008A46A0"/>
    <w:rsid w:val="008A46C3"/>
    <w:rsid w:val="008A53F7"/>
    <w:rsid w:val="008A54C1"/>
    <w:rsid w:val="008A575E"/>
    <w:rsid w:val="008A6443"/>
    <w:rsid w:val="008A6768"/>
    <w:rsid w:val="008A69BA"/>
    <w:rsid w:val="008A7AAC"/>
    <w:rsid w:val="008A7DFA"/>
    <w:rsid w:val="008B1A31"/>
    <w:rsid w:val="008B22A0"/>
    <w:rsid w:val="008B250F"/>
    <w:rsid w:val="008B3EAF"/>
    <w:rsid w:val="008B4490"/>
    <w:rsid w:val="008C0AF6"/>
    <w:rsid w:val="008C0ED3"/>
    <w:rsid w:val="008C26E3"/>
    <w:rsid w:val="008C2BFB"/>
    <w:rsid w:val="008C41C5"/>
    <w:rsid w:val="008C4353"/>
    <w:rsid w:val="008C596E"/>
    <w:rsid w:val="008C6600"/>
    <w:rsid w:val="008C6B51"/>
    <w:rsid w:val="008D1B84"/>
    <w:rsid w:val="008D2B54"/>
    <w:rsid w:val="008D3FBB"/>
    <w:rsid w:val="008D4085"/>
    <w:rsid w:val="008D4225"/>
    <w:rsid w:val="008D4533"/>
    <w:rsid w:val="008D4B97"/>
    <w:rsid w:val="008D4C63"/>
    <w:rsid w:val="008D5F00"/>
    <w:rsid w:val="008D71C9"/>
    <w:rsid w:val="008D76C2"/>
    <w:rsid w:val="008D776A"/>
    <w:rsid w:val="008E0A7E"/>
    <w:rsid w:val="008E197B"/>
    <w:rsid w:val="008E1C15"/>
    <w:rsid w:val="008E3219"/>
    <w:rsid w:val="008E425D"/>
    <w:rsid w:val="008E5380"/>
    <w:rsid w:val="008E55D9"/>
    <w:rsid w:val="008E5EBF"/>
    <w:rsid w:val="008E6F70"/>
    <w:rsid w:val="008F0394"/>
    <w:rsid w:val="008F14CC"/>
    <w:rsid w:val="008F1D84"/>
    <w:rsid w:val="008F1E25"/>
    <w:rsid w:val="008F2734"/>
    <w:rsid w:val="008F30C9"/>
    <w:rsid w:val="008F39BD"/>
    <w:rsid w:val="008F4123"/>
    <w:rsid w:val="008F489B"/>
    <w:rsid w:val="008F5AC5"/>
    <w:rsid w:val="008F5C25"/>
    <w:rsid w:val="008F646E"/>
    <w:rsid w:val="008F6E4A"/>
    <w:rsid w:val="008F71EB"/>
    <w:rsid w:val="008F7ABD"/>
    <w:rsid w:val="00900239"/>
    <w:rsid w:val="00900DDB"/>
    <w:rsid w:val="0090136A"/>
    <w:rsid w:val="00901CD9"/>
    <w:rsid w:val="00902199"/>
    <w:rsid w:val="009030CB"/>
    <w:rsid w:val="00903CAD"/>
    <w:rsid w:val="009047C5"/>
    <w:rsid w:val="00904CD9"/>
    <w:rsid w:val="00905603"/>
    <w:rsid w:val="00906322"/>
    <w:rsid w:val="009063A9"/>
    <w:rsid w:val="009064C4"/>
    <w:rsid w:val="009066C0"/>
    <w:rsid w:val="009071F2"/>
    <w:rsid w:val="0090765B"/>
    <w:rsid w:val="00907A73"/>
    <w:rsid w:val="00907E9D"/>
    <w:rsid w:val="009106BD"/>
    <w:rsid w:val="0091085E"/>
    <w:rsid w:val="00910B86"/>
    <w:rsid w:val="009110E3"/>
    <w:rsid w:val="0091237C"/>
    <w:rsid w:val="00914F02"/>
    <w:rsid w:val="00915E71"/>
    <w:rsid w:val="00916A72"/>
    <w:rsid w:val="00916C89"/>
    <w:rsid w:val="0091746C"/>
    <w:rsid w:val="00917585"/>
    <w:rsid w:val="009176F3"/>
    <w:rsid w:val="00917700"/>
    <w:rsid w:val="0092110B"/>
    <w:rsid w:val="00921659"/>
    <w:rsid w:val="009217EE"/>
    <w:rsid w:val="00921CF3"/>
    <w:rsid w:val="00922925"/>
    <w:rsid w:val="00923DC9"/>
    <w:rsid w:val="00924541"/>
    <w:rsid w:val="0092462A"/>
    <w:rsid w:val="0092465E"/>
    <w:rsid w:val="0092478E"/>
    <w:rsid w:val="00924928"/>
    <w:rsid w:val="00924A84"/>
    <w:rsid w:val="00924C21"/>
    <w:rsid w:val="0092569E"/>
    <w:rsid w:val="00925B47"/>
    <w:rsid w:val="0092603A"/>
    <w:rsid w:val="009278F1"/>
    <w:rsid w:val="00930831"/>
    <w:rsid w:val="00931364"/>
    <w:rsid w:val="0093167B"/>
    <w:rsid w:val="0093193A"/>
    <w:rsid w:val="00931B7E"/>
    <w:rsid w:val="00932042"/>
    <w:rsid w:val="00932FBD"/>
    <w:rsid w:val="009339B8"/>
    <w:rsid w:val="00933F8F"/>
    <w:rsid w:val="0093633E"/>
    <w:rsid w:val="00936B09"/>
    <w:rsid w:val="00937362"/>
    <w:rsid w:val="00937BFF"/>
    <w:rsid w:val="00937E01"/>
    <w:rsid w:val="00937E58"/>
    <w:rsid w:val="00940531"/>
    <w:rsid w:val="0094059F"/>
    <w:rsid w:val="00940714"/>
    <w:rsid w:val="009409CA"/>
    <w:rsid w:val="009424CF"/>
    <w:rsid w:val="00942B12"/>
    <w:rsid w:val="00944EA4"/>
    <w:rsid w:val="00945AD3"/>
    <w:rsid w:val="009465F7"/>
    <w:rsid w:val="00946737"/>
    <w:rsid w:val="00946CFA"/>
    <w:rsid w:val="00947536"/>
    <w:rsid w:val="00947D1F"/>
    <w:rsid w:val="00947D28"/>
    <w:rsid w:val="00947EF5"/>
    <w:rsid w:val="00950258"/>
    <w:rsid w:val="00951364"/>
    <w:rsid w:val="009521FC"/>
    <w:rsid w:val="00952E20"/>
    <w:rsid w:val="0095385A"/>
    <w:rsid w:val="00954ABD"/>
    <w:rsid w:val="00955CAC"/>
    <w:rsid w:val="00955E10"/>
    <w:rsid w:val="009568DA"/>
    <w:rsid w:val="009569F4"/>
    <w:rsid w:val="00956C80"/>
    <w:rsid w:val="00956E82"/>
    <w:rsid w:val="009604AE"/>
    <w:rsid w:val="00961FA1"/>
    <w:rsid w:val="00962034"/>
    <w:rsid w:val="00962A37"/>
    <w:rsid w:val="00964C6F"/>
    <w:rsid w:val="00965849"/>
    <w:rsid w:val="00970217"/>
    <w:rsid w:val="00971941"/>
    <w:rsid w:val="00971A67"/>
    <w:rsid w:val="009738F8"/>
    <w:rsid w:val="00973D6C"/>
    <w:rsid w:val="00973F55"/>
    <w:rsid w:val="00975490"/>
    <w:rsid w:val="00975D1B"/>
    <w:rsid w:val="00976CC3"/>
    <w:rsid w:val="00977088"/>
    <w:rsid w:val="0098054E"/>
    <w:rsid w:val="00981B5D"/>
    <w:rsid w:val="00982489"/>
    <w:rsid w:val="009859D0"/>
    <w:rsid w:val="009866C8"/>
    <w:rsid w:val="009874B4"/>
    <w:rsid w:val="00987DBA"/>
    <w:rsid w:val="00987F32"/>
    <w:rsid w:val="00990612"/>
    <w:rsid w:val="00990A2F"/>
    <w:rsid w:val="0099113C"/>
    <w:rsid w:val="0099165C"/>
    <w:rsid w:val="00995CA3"/>
    <w:rsid w:val="009966E7"/>
    <w:rsid w:val="00996D56"/>
    <w:rsid w:val="009A0B76"/>
    <w:rsid w:val="009A1A89"/>
    <w:rsid w:val="009A1A94"/>
    <w:rsid w:val="009A1B74"/>
    <w:rsid w:val="009A1C15"/>
    <w:rsid w:val="009A353C"/>
    <w:rsid w:val="009A3AEB"/>
    <w:rsid w:val="009A4092"/>
    <w:rsid w:val="009A4864"/>
    <w:rsid w:val="009B053C"/>
    <w:rsid w:val="009B0B74"/>
    <w:rsid w:val="009B0BF6"/>
    <w:rsid w:val="009B0CB9"/>
    <w:rsid w:val="009B17C2"/>
    <w:rsid w:val="009B1BF2"/>
    <w:rsid w:val="009B2695"/>
    <w:rsid w:val="009B29F8"/>
    <w:rsid w:val="009B3DC2"/>
    <w:rsid w:val="009B5EA5"/>
    <w:rsid w:val="009B63F0"/>
    <w:rsid w:val="009B7EC0"/>
    <w:rsid w:val="009C02BD"/>
    <w:rsid w:val="009C0EC1"/>
    <w:rsid w:val="009C11B2"/>
    <w:rsid w:val="009C17B9"/>
    <w:rsid w:val="009C1933"/>
    <w:rsid w:val="009C1FFB"/>
    <w:rsid w:val="009C24BD"/>
    <w:rsid w:val="009C28F4"/>
    <w:rsid w:val="009C2A57"/>
    <w:rsid w:val="009C376A"/>
    <w:rsid w:val="009C3A06"/>
    <w:rsid w:val="009C3D5F"/>
    <w:rsid w:val="009C446F"/>
    <w:rsid w:val="009C4DAD"/>
    <w:rsid w:val="009C55A7"/>
    <w:rsid w:val="009C5D1B"/>
    <w:rsid w:val="009C7648"/>
    <w:rsid w:val="009C782E"/>
    <w:rsid w:val="009C7F2E"/>
    <w:rsid w:val="009D0337"/>
    <w:rsid w:val="009D07CB"/>
    <w:rsid w:val="009D0F4D"/>
    <w:rsid w:val="009D0FC4"/>
    <w:rsid w:val="009D16A7"/>
    <w:rsid w:val="009D2B58"/>
    <w:rsid w:val="009D3049"/>
    <w:rsid w:val="009D310C"/>
    <w:rsid w:val="009D4A2A"/>
    <w:rsid w:val="009D4FF8"/>
    <w:rsid w:val="009D54EC"/>
    <w:rsid w:val="009D6385"/>
    <w:rsid w:val="009D65B4"/>
    <w:rsid w:val="009D7290"/>
    <w:rsid w:val="009E01BD"/>
    <w:rsid w:val="009E0D1B"/>
    <w:rsid w:val="009E16CE"/>
    <w:rsid w:val="009E1F5A"/>
    <w:rsid w:val="009E245B"/>
    <w:rsid w:val="009E2882"/>
    <w:rsid w:val="009E3217"/>
    <w:rsid w:val="009E411D"/>
    <w:rsid w:val="009E4454"/>
    <w:rsid w:val="009E48B1"/>
    <w:rsid w:val="009E50F2"/>
    <w:rsid w:val="009E5DF3"/>
    <w:rsid w:val="009F0BCE"/>
    <w:rsid w:val="009F1817"/>
    <w:rsid w:val="009F1BD6"/>
    <w:rsid w:val="009F2418"/>
    <w:rsid w:val="009F3083"/>
    <w:rsid w:val="009F3C99"/>
    <w:rsid w:val="009F48F0"/>
    <w:rsid w:val="009F57D1"/>
    <w:rsid w:val="009F596F"/>
    <w:rsid w:val="009F6523"/>
    <w:rsid w:val="009F6B3F"/>
    <w:rsid w:val="009F773F"/>
    <w:rsid w:val="009F7802"/>
    <w:rsid w:val="009F7BFD"/>
    <w:rsid w:val="009F7D1F"/>
    <w:rsid w:val="00A001AD"/>
    <w:rsid w:val="00A00987"/>
    <w:rsid w:val="00A0154B"/>
    <w:rsid w:val="00A01F14"/>
    <w:rsid w:val="00A028FC"/>
    <w:rsid w:val="00A02DEF"/>
    <w:rsid w:val="00A03186"/>
    <w:rsid w:val="00A0353C"/>
    <w:rsid w:val="00A0353D"/>
    <w:rsid w:val="00A03556"/>
    <w:rsid w:val="00A035A4"/>
    <w:rsid w:val="00A036C4"/>
    <w:rsid w:val="00A044A1"/>
    <w:rsid w:val="00A07446"/>
    <w:rsid w:val="00A10135"/>
    <w:rsid w:val="00A10706"/>
    <w:rsid w:val="00A1089F"/>
    <w:rsid w:val="00A11267"/>
    <w:rsid w:val="00A113C9"/>
    <w:rsid w:val="00A118A0"/>
    <w:rsid w:val="00A136ED"/>
    <w:rsid w:val="00A14F3C"/>
    <w:rsid w:val="00A173A3"/>
    <w:rsid w:val="00A17B91"/>
    <w:rsid w:val="00A17C97"/>
    <w:rsid w:val="00A206C9"/>
    <w:rsid w:val="00A20C68"/>
    <w:rsid w:val="00A21624"/>
    <w:rsid w:val="00A2249C"/>
    <w:rsid w:val="00A23088"/>
    <w:rsid w:val="00A23E37"/>
    <w:rsid w:val="00A24560"/>
    <w:rsid w:val="00A24CAF"/>
    <w:rsid w:val="00A25834"/>
    <w:rsid w:val="00A25EC5"/>
    <w:rsid w:val="00A26731"/>
    <w:rsid w:val="00A26D28"/>
    <w:rsid w:val="00A271B7"/>
    <w:rsid w:val="00A2734F"/>
    <w:rsid w:val="00A27EFE"/>
    <w:rsid w:val="00A30501"/>
    <w:rsid w:val="00A305CD"/>
    <w:rsid w:val="00A308D1"/>
    <w:rsid w:val="00A316F7"/>
    <w:rsid w:val="00A31AAB"/>
    <w:rsid w:val="00A3216E"/>
    <w:rsid w:val="00A32529"/>
    <w:rsid w:val="00A32559"/>
    <w:rsid w:val="00A338FC"/>
    <w:rsid w:val="00A33A2C"/>
    <w:rsid w:val="00A34538"/>
    <w:rsid w:val="00A35156"/>
    <w:rsid w:val="00A36062"/>
    <w:rsid w:val="00A37529"/>
    <w:rsid w:val="00A41BFA"/>
    <w:rsid w:val="00A4289E"/>
    <w:rsid w:val="00A42A3B"/>
    <w:rsid w:val="00A43490"/>
    <w:rsid w:val="00A43FD5"/>
    <w:rsid w:val="00A44DA5"/>
    <w:rsid w:val="00A45BB1"/>
    <w:rsid w:val="00A46384"/>
    <w:rsid w:val="00A46CED"/>
    <w:rsid w:val="00A470F2"/>
    <w:rsid w:val="00A47803"/>
    <w:rsid w:val="00A47CCC"/>
    <w:rsid w:val="00A47DA6"/>
    <w:rsid w:val="00A47E0A"/>
    <w:rsid w:val="00A47F59"/>
    <w:rsid w:val="00A47F6D"/>
    <w:rsid w:val="00A507B2"/>
    <w:rsid w:val="00A50AD2"/>
    <w:rsid w:val="00A50F5C"/>
    <w:rsid w:val="00A51D51"/>
    <w:rsid w:val="00A5228B"/>
    <w:rsid w:val="00A5235A"/>
    <w:rsid w:val="00A53B56"/>
    <w:rsid w:val="00A53E7C"/>
    <w:rsid w:val="00A546CA"/>
    <w:rsid w:val="00A54A2B"/>
    <w:rsid w:val="00A54AB9"/>
    <w:rsid w:val="00A5584C"/>
    <w:rsid w:val="00A56A79"/>
    <w:rsid w:val="00A572E1"/>
    <w:rsid w:val="00A578E2"/>
    <w:rsid w:val="00A61FEE"/>
    <w:rsid w:val="00A62BAF"/>
    <w:rsid w:val="00A63DEC"/>
    <w:rsid w:val="00A6404B"/>
    <w:rsid w:val="00A641CA"/>
    <w:rsid w:val="00A656EF"/>
    <w:rsid w:val="00A65AA6"/>
    <w:rsid w:val="00A679E3"/>
    <w:rsid w:val="00A70311"/>
    <w:rsid w:val="00A70419"/>
    <w:rsid w:val="00A71148"/>
    <w:rsid w:val="00A72A3B"/>
    <w:rsid w:val="00A73F5E"/>
    <w:rsid w:val="00A7461D"/>
    <w:rsid w:val="00A80248"/>
    <w:rsid w:val="00A80CF4"/>
    <w:rsid w:val="00A814D6"/>
    <w:rsid w:val="00A8268C"/>
    <w:rsid w:val="00A8275B"/>
    <w:rsid w:val="00A82E32"/>
    <w:rsid w:val="00A84361"/>
    <w:rsid w:val="00A84904"/>
    <w:rsid w:val="00A852F0"/>
    <w:rsid w:val="00A853DD"/>
    <w:rsid w:val="00A85C05"/>
    <w:rsid w:val="00A87177"/>
    <w:rsid w:val="00A87B23"/>
    <w:rsid w:val="00A923B7"/>
    <w:rsid w:val="00A95B45"/>
    <w:rsid w:val="00A95D9F"/>
    <w:rsid w:val="00A972E9"/>
    <w:rsid w:val="00A97342"/>
    <w:rsid w:val="00AA03C4"/>
    <w:rsid w:val="00AA077E"/>
    <w:rsid w:val="00AA18DB"/>
    <w:rsid w:val="00AA195D"/>
    <w:rsid w:val="00AA1C27"/>
    <w:rsid w:val="00AA33BA"/>
    <w:rsid w:val="00AA3DEF"/>
    <w:rsid w:val="00AA442B"/>
    <w:rsid w:val="00AA671A"/>
    <w:rsid w:val="00AA686E"/>
    <w:rsid w:val="00AA6CC1"/>
    <w:rsid w:val="00AB00BD"/>
    <w:rsid w:val="00AB09C2"/>
    <w:rsid w:val="00AB0D4D"/>
    <w:rsid w:val="00AB14CE"/>
    <w:rsid w:val="00AB1580"/>
    <w:rsid w:val="00AB1690"/>
    <w:rsid w:val="00AB196B"/>
    <w:rsid w:val="00AB1AC8"/>
    <w:rsid w:val="00AB1CC8"/>
    <w:rsid w:val="00AB214B"/>
    <w:rsid w:val="00AB232F"/>
    <w:rsid w:val="00AB24CA"/>
    <w:rsid w:val="00AB30DF"/>
    <w:rsid w:val="00AB3E40"/>
    <w:rsid w:val="00AB47E2"/>
    <w:rsid w:val="00AB4996"/>
    <w:rsid w:val="00AB4B1B"/>
    <w:rsid w:val="00AB4DF6"/>
    <w:rsid w:val="00AB61DC"/>
    <w:rsid w:val="00AB769D"/>
    <w:rsid w:val="00AB7F25"/>
    <w:rsid w:val="00AC004D"/>
    <w:rsid w:val="00AC060F"/>
    <w:rsid w:val="00AC0EEB"/>
    <w:rsid w:val="00AC1272"/>
    <w:rsid w:val="00AC1646"/>
    <w:rsid w:val="00AC1839"/>
    <w:rsid w:val="00AC1887"/>
    <w:rsid w:val="00AC3414"/>
    <w:rsid w:val="00AC3ACC"/>
    <w:rsid w:val="00AC3B09"/>
    <w:rsid w:val="00AD0B1D"/>
    <w:rsid w:val="00AD0F7C"/>
    <w:rsid w:val="00AD22FC"/>
    <w:rsid w:val="00AD2E44"/>
    <w:rsid w:val="00AD2F7B"/>
    <w:rsid w:val="00AD35D7"/>
    <w:rsid w:val="00AD467E"/>
    <w:rsid w:val="00AD47FB"/>
    <w:rsid w:val="00AD48B1"/>
    <w:rsid w:val="00AD493D"/>
    <w:rsid w:val="00AD4EBB"/>
    <w:rsid w:val="00AD5E7A"/>
    <w:rsid w:val="00AD6135"/>
    <w:rsid w:val="00AD73E8"/>
    <w:rsid w:val="00AD7A11"/>
    <w:rsid w:val="00AD7C52"/>
    <w:rsid w:val="00AE0AC7"/>
    <w:rsid w:val="00AE1289"/>
    <w:rsid w:val="00AE19FC"/>
    <w:rsid w:val="00AE1FAC"/>
    <w:rsid w:val="00AE3710"/>
    <w:rsid w:val="00AE3A7C"/>
    <w:rsid w:val="00AE3E75"/>
    <w:rsid w:val="00AE4072"/>
    <w:rsid w:val="00AE4119"/>
    <w:rsid w:val="00AE4E69"/>
    <w:rsid w:val="00AE5307"/>
    <w:rsid w:val="00AE5B43"/>
    <w:rsid w:val="00AE65B9"/>
    <w:rsid w:val="00AE6719"/>
    <w:rsid w:val="00AE6D68"/>
    <w:rsid w:val="00AE7610"/>
    <w:rsid w:val="00AF1383"/>
    <w:rsid w:val="00AF152E"/>
    <w:rsid w:val="00AF1ED8"/>
    <w:rsid w:val="00AF28FF"/>
    <w:rsid w:val="00AF51A0"/>
    <w:rsid w:val="00AF5CE1"/>
    <w:rsid w:val="00AF6D47"/>
    <w:rsid w:val="00AF713D"/>
    <w:rsid w:val="00AF7FCE"/>
    <w:rsid w:val="00B00F9B"/>
    <w:rsid w:val="00B01850"/>
    <w:rsid w:val="00B02601"/>
    <w:rsid w:val="00B029E3"/>
    <w:rsid w:val="00B04843"/>
    <w:rsid w:val="00B055C7"/>
    <w:rsid w:val="00B0560B"/>
    <w:rsid w:val="00B06243"/>
    <w:rsid w:val="00B07B14"/>
    <w:rsid w:val="00B07BE4"/>
    <w:rsid w:val="00B101EE"/>
    <w:rsid w:val="00B1060D"/>
    <w:rsid w:val="00B118E9"/>
    <w:rsid w:val="00B12054"/>
    <w:rsid w:val="00B120C2"/>
    <w:rsid w:val="00B1288F"/>
    <w:rsid w:val="00B12A7B"/>
    <w:rsid w:val="00B12C01"/>
    <w:rsid w:val="00B12C69"/>
    <w:rsid w:val="00B16C38"/>
    <w:rsid w:val="00B16C94"/>
    <w:rsid w:val="00B16D08"/>
    <w:rsid w:val="00B16D7C"/>
    <w:rsid w:val="00B16E58"/>
    <w:rsid w:val="00B17763"/>
    <w:rsid w:val="00B17C06"/>
    <w:rsid w:val="00B21D6C"/>
    <w:rsid w:val="00B22E22"/>
    <w:rsid w:val="00B23B33"/>
    <w:rsid w:val="00B243F7"/>
    <w:rsid w:val="00B258A0"/>
    <w:rsid w:val="00B25E2E"/>
    <w:rsid w:val="00B26374"/>
    <w:rsid w:val="00B26EC1"/>
    <w:rsid w:val="00B273B5"/>
    <w:rsid w:val="00B305CF"/>
    <w:rsid w:val="00B30D3C"/>
    <w:rsid w:val="00B32C0B"/>
    <w:rsid w:val="00B32DE6"/>
    <w:rsid w:val="00B33D08"/>
    <w:rsid w:val="00B340FE"/>
    <w:rsid w:val="00B346CC"/>
    <w:rsid w:val="00B351B5"/>
    <w:rsid w:val="00B35587"/>
    <w:rsid w:val="00B360BE"/>
    <w:rsid w:val="00B36547"/>
    <w:rsid w:val="00B36E67"/>
    <w:rsid w:val="00B371E9"/>
    <w:rsid w:val="00B401D0"/>
    <w:rsid w:val="00B403DE"/>
    <w:rsid w:val="00B40A2A"/>
    <w:rsid w:val="00B42A55"/>
    <w:rsid w:val="00B439B4"/>
    <w:rsid w:val="00B43AA5"/>
    <w:rsid w:val="00B43C9B"/>
    <w:rsid w:val="00B45794"/>
    <w:rsid w:val="00B46798"/>
    <w:rsid w:val="00B46BC7"/>
    <w:rsid w:val="00B470E8"/>
    <w:rsid w:val="00B50315"/>
    <w:rsid w:val="00B512C3"/>
    <w:rsid w:val="00B513FE"/>
    <w:rsid w:val="00B51451"/>
    <w:rsid w:val="00B5146F"/>
    <w:rsid w:val="00B515CA"/>
    <w:rsid w:val="00B51689"/>
    <w:rsid w:val="00B5178D"/>
    <w:rsid w:val="00B525CB"/>
    <w:rsid w:val="00B531D7"/>
    <w:rsid w:val="00B53F68"/>
    <w:rsid w:val="00B5556E"/>
    <w:rsid w:val="00B55682"/>
    <w:rsid w:val="00B56556"/>
    <w:rsid w:val="00B57AC1"/>
    <w:rsid w:val="00B60926"/>
    <w:rsid w:val="00B610D5"/>
    <w:rsid w:val="00B613B5"/>
    <w:rsid w:val="00B613B9"/>
    <w:rsid w:val="00B6143C"/>
    <w:rsid w:val="00B62CA6"/>
    <w:rsid w:val="00B630A6"/>
    <w:rsid w:val="00B6341F"/>
    <w:rsid w:val="00B6352C"/>
    <w:rsid w:val="00B637F3"/>
    <w:rsid w:val="00B63CB2"/>
    <w:rsid w:val="00B63F56"/>
    <w:rsid w:val="00B64278"/>
    <w:rsid w:val="00B6444C"/>
    <w:rsid w:val="00B66866"/>
    <w:rsid w:val="00B66D78"/>
    <w:rsid w:val="00B67059"/>
    <w:rsid w:val="00B70169"/>
    <w:rsid w:val="00B70283"/>
    <w:rsid w:val="00B7078C"/>
    <w:rsid w:val="00B710C4"/>
    <w:rsid w:val="00B71561"/>
    <w:rsid w:val="00B7345C"/>
    <w:rsid w:val="00B737A3"/>
    <w:rsid w:val="00B73B11"/>
    <w:rsid w:val="00B754CA"/>
    <w:rsid w:val="00B75BAA"/>
    <w:rsid w:val="00B75C7C"/>
    <w:rsid w:val="00B77ADE"/>
    <w:rsid w:val="00B77C1C"/>
    <w:rsid w:val="00B77D93"/>
    <w:rsid w:val="00B80316"/>
    <w:rsid w:val="00B80794"/>
    <w:rsid w:val="00B80D4A"/>
    <w:rsid w:val="00B80D60"/>
    <w:rsid w:val="00B8193B"/>
    <w:rsid w:val="00B81ACB"/>
    <w:rsid w:val="00B81F14"/>
    <w:rsid w:val="00B8385C"/>
    <w:rsid w:val="00B83F84"/>
    <w:rsid w:val="00B84B3E"/>
    <w:rsid w:val="00B85623"/>
    <w:rsid w:val="00B90205"/>
    <w:rsid w:val="00B90B22"/>
    <w:rsid w:val="00B90B34"/>
    <w:rsid w:val="00B91CF1"/>
    <w:rsid w:val="00B91EAD"/>
    <w:rsid w:val="00B92CB6"/>
    <w:rsid w:val="00B93287"/>
    <w:rsid w:val="00B94B1F"/>
    <w:rsid w:val="00B9556D"/>
    <w:rsid w:val="00B95717"/>
    <w:rsid w:val="00BA101A"/>
    <w:rsid w:val="00BA1433"/>
    <w:rsid w:val="00BA2BEC"/>
    <w:rsid w:val="00BA32EF"/>
    <w:rsid w:val="00BA4904"/>
    <w:rsid w:val="00BA4B5B"/>
    <w:rsid w:val="00BA549C"/>
    <w:rsid w:val="00BA54F0"/>
    <w:rsid w:val="00BA5B4B"/>
    <w:rsid w:val="00BA6306"/>
    <w:rsid w:val="00BB16AA"/>
    <w:rsid w:val="00BB1BEC"/>
    <w:rsid w:val="00BB2A3B"/>
    <w:rsid w:val="00BB325C"/>
    <w:rsid w:val="00BB32EA"/>
    <w:rsid w:val="00BB37BD"/>
    <w:rsid w:val="00BB5B30"/>
    <w:rsid w:val="00BB5C7A"/>
    <w:rsid w:val="00BB7738"/>
    <w:rsid w:val="00BB7CF2"/>
    <w:rsid w:val="00BC0980"/>
    <w:rsid w:val="00BC1901"/>
    <w:rsid w:val="00BC20AF"/>
    <w:rsid w:val="00BC2F8F"/>
    <w:rsid w:val="00BC3610"/>
    <w:rsid w:val="00BC3A7B"/>
    <w:rsid w:val="00BC3E50"/>
    <w:rsid w:val="00BC46FA"/>
    <w:rsid w:val="00BC4CFC"/>
    <w:rsid w:val="00BC5E6E"/>
    <w:rsid w:val="00BC638A"/>
    <w:rsid w:val="00BC7A70"/>
    <w:rsid w:val="00BD075C"/>
    <w:rsid w:val="00BD0942"/>
    <w:rsid w:val="00BD09C9"/>
    <w:rsid w:val="00BD16E4"/>
    <w:rsid w:val="00BD3ADF"/>
    <w:rsid w:val="00BD404B"/>
    <w:rsid w:val="00BD4104"/>
    <w:rsid w:val="00BD418A"/>
    <w:rsid w:val="00BD484B"/>
    <w:rsid w:val="00BD5979"/>
    <w:rsid w:val="00BD5F18"/>
    <w:rsid w:val="00BD5F91"/>
    <w:rsid w:val="00BD78FE"/>
    <w:rsid w:val="00BE156B"/>
    <w:rsid w:val="00BE1B2E"/>
    <w:rsid w:val="00BE1EB7"/>
    <w:rsid w:val="00BE43C0"/>
    <w:rsid w:val="00BE4C31"/>
    <w:rsid w:val="00BE5743"/>
    <w:rsid w:val="00BE60C5"/>
    <w:rsid w:val="00BE68A7"/>
    <w:rsid w:val="00BE7972"/>
    <w:rsid w:val="00BF0438"/>
    <w:rsid w:val="00BF0945"/>
    <w:rsid w:val="00BF0F80"/>
    <w:rsid w:val="00BF2195"/>
    <w:rsid w:val="00BF239F"/>
    <w:rsid w:val="00BF26EF"/>
    <w:rsid w:val="00BF2870"/>
    <w:rsid w:val="00BF2E6F"/>
    <w:rsid w:val="00BF3E3E"/>
    <w:rsid w:val="00BF3E9C"/>
    <w:rsid w:val="00BF46EB"/>
    <w:rsid w:val="00BF52BB"/>
    <w:rsid w:val="00BF5655"/>
    <w:rsid w:val="00BF59DD"/>
    <w:rsid w:val="00BF6F68"/>
    <w:rsid w:val="00BF7FBC"/>
    <w:rsid w:val="00C00B60"/>
    <w:rsid w:val="00C01713"/>
    <w:rsid w:val="00C01888"/>
    <w:rsid w:val="00C0300E"/>
    <w:rsid w:val="00C03968"/>
    <w:rsid w:val="00C03D7A"/>
    <w:rsid w:val="00C06AA8"/>
    <w:rsid w:val="00C06C24"/>
    <w:rsid w:val="00C06D8D"/>
    <w:rsid w:val="00C06F4E"/>
    <w:rsid w:val="00C074ED"/>
    <w:rsid w:val="00C07969"/>
    <w:rsid w:val="00C07BA3"/>
    <w:rsid w:val="00C07EFC"/>
    <w:rsid w:val="00C1063D"/>
    <w:rsid w:val="00C108FF"/>
    <w:rsid w:val="00C128D8"/>
    <w:rsid w:val="00C13117"/>
    <w:rsid w:val="00C13B27"/>
    <w:rsid w:val="00C140C5"/>
    <w:rsid w:val="00C14392"/>
    <w:rsid w:val="00C14CDE"/>
    <w:rsid w:val="00C14D9E"/>
    <w:rsid w:val="00C160C4"/>
    <w:rsid w:val="00C16340"/>
    <w:rsid w:val="00C1755A"/>
    <w:rsid w:val="00C20311"/>
    <w:rsid w:val="00C210EA"/>
    <w:rsid w:val="00C215F9"/>
    <w:rsid w:val="00C21979"/>
    <w:rsid w:val="00C2235E"/>
    <w:rsid w:val="00C22C1C"/>
    <w:rsid w:val="00C2341D"/>
    <w:rsid w:val="00C236F1"/>
    <w:rsid w:val="00C23BA9"/>
    <w:rsid w:val="00C23EB2"/>
    <w:rsid w:val="00C248E6"/>
    <w:rsid w:val="00C24A4B"/>
    <w:rsid w:val="00C24CB7"/>
    <w:rsid w:val="00C25356"/>
    <w:rsid w:val="00C260AE"/>
    <w:rsid w:val="00C26FF5"/>
    <w:rsid w:val="00C2785E"/>
    <w:rsid w:val="00C301D9"/>
    <w:rsid w:val="00C3050E"/>
    <w:rsid w:val="00C31E79"/>
    <w:rsid w:val="00C32E42"/>
    <w:rsid w:val="00C355B4"/>
    <w:rsid w:val="00C358C6"/>
    <w:rsid w:val="00C35C94"/>
    <w:rsid w:val="00C35CCA"/>
    <w:rsid w:val="00C36B79"/>
    <w:rsid w:val="00C3789F"/>
    <w:rsid w:val="00C37E77"/>
    <w:rsid w:val="00C40C20"/>
    <w:rsid w:val="00C41A44"/>
    <w:rsid w:val="00C41D28"/>
    <w:rsid w:val="00C420C0"/>
    <w:rsid w:val="00C421D2"/>
    <w:rsid w:val="00C4266A"/>
    <w:rsid w:val="00C4281E"/>
    <w:rsid w:val="00C42841"/>
    <w:rsid w:val="00C429CB"/>
    <w:rsid w:val="00C43FAA"/>
    <w:rsid w:val="00C44120"/>
    <w:rsid w:val="00C445C0"/>
    <w:rsid w:val="00C44882"/>
    <w:rsid w:val="00C4553B"/>
    <w:rsid w:val="00C46C7E"/>
    <w:rsid w:val="00C46DAD"/>
    <w:rsid w:val="00C474F7"/>
    <w:rsid w:val="00C5029B"/>
    <w:rsid w:val="00C50FFB"/>
    <w:rsid w:val="00C51383"/>
    <w:rsid w:val="00C52AA0"/>
    <w:rsid w:val="00C52E69"/>
    <w:rsid w:val="00C53904"/>
    <w:rsid w:val="00C539FA"/>
    <w:rsid w:val="00C53C40"/>
    <w:rsid w:val="00C54A9A"/>
    <w:rsid w:val="00C54E31"/>
    <w:rsid w:val="00C54E4E"/>
    <w:rsid w:val="00C55A88"/>
    <w:rsid w:val="00C5659C"/>
    <w:rsid w:val="00C579C6"/>
    <w:rsid w:val="00C606C0"/>
    <w:rsid w:val="00C60A58"/>
    <w:rsid w:val="00C611EF"/>
    <w:rsid w:val="00C63537"/>
    <w:rsid w:val="00C63B97"/>
    <w:rsid w:val="00C63E4C"/>
    <w:rsid w:val="00C64C51"/>
    <w:rsid w:val="00C6585A"/>
    <w:rsid w:val="00C67675"/>
    <w:rsid w:val="00C70C9A"/>
    <w:rsid w:val="00C7127A"/>
    <w:rsid w:val="00C713D7"/>
    <w:rsid w:val="00C71798"/>
    <w:rsid w:val="00C74D7F"/>
    <w:rsid w:val="00C75515"/>
    <w:rsid w:val="00C76A33"/>
    <w:rsid w:val="00C8023B"/>
    <w:rsid w:val="00C80B95"/>
    <w:rsid w:val="00C80DCC"/>
    <w:rsid w:val="00C8107E"/>
    <w:rsid w:val="00C81676"/>
    <w:rsid w:val="00C818C5"/>
    <w:rsid w:val="00C81AC2"/>
    <w:rsid w:val="00C82037"/>
    <w:rsid w:val="00C8219B"/>
    <w:rsid w:val="00C821FE"/>
    <w:rsid w:val="00C82754"/>
    <w:rsid w:val="00C8292A"/>
    <w:rsid w:val="00C83D45"/>
    <w:rsid w:val="00C845E6"/>
    <w:rsid w:val="00C847FA"/>
    <w:rsid w:val="00C84D6B"/>
    <w:rsid w:val="00C8577F"/>
    <w:rsid w:val="00C859B3"/>
    <w:rsid w:val="00C878E8"/>
    <w:rsid w:val="00C87A79"/>
    <w:rsid w:val="00C87FB1"/>
    <w:rsid w:val="00C90A72"/>
    <w:rsid w:val="00C92306"/>
    <w:rsid w:val="00C92639"/>
    <w:rsid w:val="00C94383"/>
    <w:rsid w:val="00C949D9"/>
    <w:rsid w:val="00C95026"/>
    <w:rsid w:val="00C9670A"/>
    <w:rsid w:val="00C969DD"/>
    <w:rsid w:val="00C96EB7"/>
    <w:rsid w:val="00C974E8"/>
    <w:rsid w:val="00C97546"/>
    <w:rsid w:val="00CA0AB5"/>
    <w:rsid w:val="00CA0C3E"/>
    <w:rsid w:val="00CA1177"/>
    <w:rsid w:val="00CA131B"/>
    <w:rsid w:val="00CA1540"/>
    <w:rsid w:val="00CA287E"/>
    <w:rsid w:val="00CA2B13"/>
    <w:rsid w:val="00CA3F40"/>
    <w:rsid w:val="00CA44C0"/>
    <w:rsid w:val="00CA44E6"/>
    <w:rsid w:val="00CA4B84"/>
    <w:rsid w:val="00CA5926"/>
    <w:rsid w:val="00CA5AD8"/>
    <w:rsid w:val="00CA5FFD"/>
    <w:rsid w:val="00CA6B80"/>
    <w:rsid w:val="00CA7139"/>
    <w:rsid w:val="00CA73A8"/>
    <w:rsid w:val="00CB084F"/>
    <w:rsid w:val="00CB127A"/>
    <w:rsid w:val="00CB1B38"/>
    <w:rsid w:val="00CB1D4D"/>
    <w:rsid w:val="00CB21C6"/>
    <w:rsid w:val="00CB22AF"/>
    <w:rsid w:val="00CB3DAB"/>
    <w:rsid w:val="00CB4B63"/>
    <w:rsid w:val="00CB4C30"/>
    <w:rsid w:val="00CB532E"/>
    <w:rsid w:val="00CB5663"/>
    <w:rsid w:val="00CB58CF"/>
    <w:rsid w:val="00CB7FCB"/>
    <w:rsid w:val="00CC00CD"/>
    <w:rsid w:val="00CC0E2F"/>
    <w:rsid w:val="00CC14C5"/>
    <w:rsid w:val="00CC1A35"/>
    <w:rsid w:val="00CC2C34"/>
    <w:rsid w:val="00CC2D5F"/>
    <w:rsid w:val="00CC4A96"/>
    <w:rsid w:val="00CC5BE0"/>
    <w:rsid w:val="00CC5E3E"/>
    <w:rsid w:val="00CC670C"/>
    <w:rsid w:val="00CC786F"/>
    <w:rsid w:val="00CD080F"/>
    <w:rsid w:val="00CD1434"/>
    <w:rsid w:val="00CD1A2C"/>
    <w:rsid w:val="00CD2200"/>
    <w:rsid w:val="00CD22B2"/>
    <w:rsid w:val="00CD2B02"/>
    <w:rsid w:val="00CD47FC"/>
    <w:rsid w:val="00CD4833"/>
    <w:rsid w:val="00CD4CEE"/>
    <w:rsid w:val="00CD542B"/>
    <w:rsid w:val="00CD5688"/>
    <w:rsid w:val="00CD5978"/>
    <w:rsid w:val="00CD59EC"/>
    <w:rsid w:val="00CD5AB4"/>
    <w:rsid w:val="00CD5C2C"/>
    <w:rsid w:val="00CD5CFD"/>
    <w:rsid w:val="00CD5F34"/>
    <w:rsid w:val="00CD66AC"/>
    <w:rsid w:val="00CD6EED"/>
    <w:rsid w:val="00CD7A66"/>
    <w:rsid w:val="00CE026A"/>
    <w:rsid w:val="00CE041B"/>
    <w:rsid w:val="00CE170E"/>
    <w:rsid w:val="00CE2F86"/>
    <w:rsid w:val="00CE33FA"/>
    <w:rsid w:val="00CE3652"/>
    <w:rsid w:val="00CE50B8"/>
    <w:rsid w:val="00CE72E3"/>
    <w:rsid w:val="00CE79BA"/>
    <w:rsid w:val="00CE7D43"/>
    <w:rsid w:val="00CF2AA3"/>
    <w:rsid w:val="00CF2CA1"/>
    <w:rsid w:val="00CF2EF6"/>
    <w:rsid w:val="00CF38A3"/>
    <w:rsid w:val="00CF397F"/>
    <w:rsid w:val="00CF404E"/>
    <w:rsid w:val="00CF4690"/>
    <w:rsid w:val="00CF4DAF"/>
    <w:rsid w:val="00CF532E"/>
    <w:rsid w:val="00CF5675"/>
    <w:rsid w:val="00CF6B14"/>
    <w:rsid w:val="00CF7DE3"/>
    <w:rsid w:val="00D004A0"/>
    <w:rsid w:val="00D03273"/>
    <w:rsid w:val="00D04268"/>
    <w:rsid w:val="00D047D3"/>
    <w:rsid w:val="00D0488F"/>
    <w:rsid w:val="00D04F45"/>
    <w:rsid w:val="00D054BD"/>
    <w:rsid w:val="00D05E28"/>
    <w:rsid w:val="00D063D2"/>
    <w:rsid w:val="00D06D43"/>
    <w:rsid w:val="00D07E72"/>
    <w:rsid w:val="00D07F68"/>
    <w:rsid w:val="00D10ADA"/>
    <w:rsid w:val="00D111AF"/>
    <w:rsid w:val="00D1185B"/>
    <w:rsid w:val="00D11E53"/>
    <w:rsid w:val="00D121E4"/>
    <w:rsid w:val="00D12348"/>
    <w:rsid w:val="00D139B0"/>
    <w:rsid w:val="00D1440B"/>
    <w:rsid w:val="00D14A78"/>
    <w:rsid w:val="00D150E7"/>
    <w:rsid w:val="00D1587C"/>
    <w:rsid w:val="00D15D40"/>
    <w:rsid w:val="00D16345"/>
    <w:rsid w:val="00D164E5"/>
    <w:rsid w:val="00D16E21"/>
    <w:rsid w:val="00D16E36"/>
    <w:rsid w:val="00D16E39"/>
    <w:rsid w:val="00D20355"/>
    <w:rsid w:val="00D20C61"/>
    <w:rsid w:val="00D2159B"/>
    <w:rsid w:val="00D238BD"/>
    <w:rsid w:val="00D23B7C"/>
    <w:rsid w:val="00D24CC2"/>
    <w:rsid w:val="00D24E22"/>
    <w:rsid w:val="00D250D0"/>
    <w:rsid w:val="00D25B15"/>
    <w:rsid w:val="00D30416"/>
    <w:rsid w:val="00D31F4A"/>
    <w:rsid w:val="00D32C9D"/>
    <w:rsid w:val="00D3549C"/>
    <w:rsid w:val="00D356F9"/>
    <w:rsid w:val="00D35D5C"/>
    <w:rsid w:val="00D361D0"/>
    <w:rsid w:val="00D37454"/>
    <w:rsid w:val="00D376C1"/>
    <w:rsid w:val="00D40159"/>
    <w:rsid w:val="00D40DDB"/>
    <w:rsid w:val="00D429EC"/>
    <w:rsid w:val="00D43978"/>
    <w:rsid w:val="00D44121"/>
    <w:rsid w:val="00D44846"/>
    <w:rsid w:val="00D454B6"/>
    <w:rsid w:val="00D46555"/>
    <w:rsid w:val="00D478EC"/>
    <w:rsid w:val="00D502F1"/>
    <w:rsid w:val="00D50796"/>
    <w:rsid w:val="00D5088B"/>
    <w:rsid w:val="00D521EA"/>
    <w:rsid w:val="00D52852"/>
    <w:rsid w:val="00D52B1B"/>
    <w:rsid w:val="00D52BD1"/>
    <w:rsid w:val="00D52CF7"/>
    <w:rsid w:val="00D53EA2"/>
    <w:rsid w:val="00D542C3"/>
    <w:rsid w:val="00D544C5"/>
    <w:rsid w:val="00D5553F"/>
    <w:rsid w:val="00D55E8F"/>
    <w:rsid w:val="00D56AB8"/>
    <w:rsid w:val="00D57255"/>
    <w:rsid w:val="00D577D1"/>
    <w:rsid w:val="00D60192"/>
    <w:rsid w:val="00D60372"/>
    <w:rsid w:val="00D6148F"/>
    <w:rsid w:val="00D626A3"/>
    <w:rsid w:val="00D63081"/>
    <w:rsid w:val="00D63787"/>
    <w:rsid w:val="00D6420F"/>
    <w:rsid w:val="00D64459"/>
    <w:rsid w:val="00D644AA"/>
    <w:rsid w:val="00D64797"/>
    <w:rsid w:val="00D64CCE"/>
    <w:rsid w:val="00D65554"/>
    <w:rsid w:val="00D66450"/>
    <w:rsid w:val="00D6761F"/>
    <w:rsid w:val="00D70679"/>
    <w:rsid w:val="00D70901"/>
    <w:rsid w:val="00D710DF"/>
    <w:rsid w:val="00D729F6"/>
    <w:rsid w:val="00D72E9D"/>
    <w:rsid w:val="00D73D07"/>
    <w:rsid w:val="00D73D62"/>
    <w:rsid w:val="00D74389"/>
    <w:rsid w:val="00D74E75"/>
    <w:rsid w:val="00D7538F"/>
    <w:rsid w:val="00D7663C"/>
    <w:rsid w:val="00D76689"/>
    <w:rsid w:val="00D7722E"/>
    <w:rsid w:val="00D80E2D"/>
    <w:rsid w:val="00D80EB6"/>
    <w:rsid w:val="00D81B3A"/>
    <w:rsid w:val="00D82056"/>
    <w:rsid w:val="00D82CE5"/>
    <w:rsid w:val="00D83D88"/>
    <w:rsid w:val="00D8437F"/>
    <w:rsid w:val="00D84C74"/>
    <w:rsid w:val="00D84D9D"/>
    <w:rsid w:val="00D854F8"/>
    <w:rsid w:val="00D856F4"/>
    <w:rsid w:val="00D90A4E"/>
    <w:rsid w:val="00D90C79"/>
    <w:rsid w:val="00D9244A"/>
    <w:rsid w:val="00D927D2"/>
    <w:rsid w:val="00D9294F"/>
    <w:rsid w:val="00D92C46"/>
    <w:rsid w:val="00D9457C"/>
    <w:rsid w:val="00D94A38"/>
    <w:rsid w:val="00D96A62"/>
    <w:rsid w:val="00D96B0B"/>
    <w:rsid w:val="00D9727E"/>
    <w:rsid w:val="00D97A59"/>
    <w:rsid w:val="00DA01E8"/>
    <w:rsid w:val="00DA0AC7"/>
    <w:rsid w:val="00DA0FD1"/>
    <w:rsid w:val="00DA17CF"/>
    <w:rsid w:val="00DA1A20"/>
    <w:rsid w:val="00DA1E8F"/>
    <w:rsid w:val="00DA28E9"/>
    <w:rsid w:val="00DA2FF5"/>
    <w:rsid w:val="00DA3222"/>
    <w:rsid w:val="00DA3452"/>
    <w:rsid w:val="00DA499F"/>
    <w:rsid w:val="00DA5253"/>
    <w:rsid w:val="00DA5AB1"/>
    <w:rsid w:val="00DA67AD"/>
    <w:rsid w:val="00DA6996"/>
    <w:rsid w:val="00DA6EE1"/>
    <w:rsid w:val="00DA7078"/>
    <w:rsid w:val="00DA72B4"/>
    <w:rsid w:val="00DB12BD"/>
    <w:rsid w:val="00DB236B"/>
    <w:rsid w:val="00DB26C9"/>
    <w:rsid w:val="00DB2EB1"/>
    <w:rsid w:val="00DB3448"/>
    <w:rsid w:val="00DB3C24"/>
    <w:rsid w:val="00DB44D8"/>
    <w:rsid w:val="00DB49AA"/>
    <w:rsid w:val="00DB5ED4"/>
    <w:rsid w:val="00DB6093"/>
    <w:rsid w:val="00DB61B2"/>
    <w:rsid w:val="00DB6533"/>
    <w:rsid w:val="00DB73EC"/>
    <w:rsid w:val="00DB768D"/>
    <w:rsid w:val="00DB796B"/>
    <w:rsid w:val="00DC2BC5"/>
    <w:rsid w:val="00DC32BD"/>
    <w:rsid w:val="00DC33DC"/>
    <w:rsid w:val="00DC3D67"/>
    <w:rsid w:val="00DC40BD"/>
    <w:rsid w:val="00DC443C"/>
    <w:rsid w:val="00DC4962"/>
    <w:rsid w:val="00DC578F"/>
    <w:rsid w:val="00DC5D0C"/>
    <w:rsid w:val="00DC62E5"/>
    <w:rsid w:val="00DC6ACC"/>
    <w:rsid w:val="00DC6C76"/>
    <w:rsid w:val="00DC7561"/>
    <w:rsid w:val="00DD160B"/>
    <w:rsid w:val="00DD1C18"/>
    <w:rsid w:val="00DD2116"/>
    <w:rsid w:val="00DD21A2"/>
    <w:rsid w:val="00DD2D30"/>
    <w:rsid w:val="00DD31A9"/>
    <w:rsid w:val="00DD3432"/>
    <w:rsid w:val="00DD5E33"/>
    <w:rsid w:val="00DD735D"/>
    <w:rsid w:val="00DD7D8D"/>
    <w:rsid w:val="00DE0618"/>
    <w:rsid w:val="00DE0A17"/>
    <w:rsid w:val="00DE0BE3"/>
    <w:rsid w:val="00DE1FEF"/>
    <w:rsid w:val="00DE279B"/>
    <w:rsid w:val="00DE2F27"/>
    <w:rsid w:val="00DE3119"/>
    <w:rsid w:val="00DE3ABA"/>
    <w:rsid w:val="00DE4CF0"/>
    <w:rsid w:val="00DE4D23"/>
    <w:rsid w:val="00DE5084"/>
    <w:rsid w:val="00DE5723"/>
    <w:rsid w:val="00DE683C"/>
    <w:rsid w:val="00DE6B11"/>
    <w:rsid w:val="00DE6E79"/>
    <w:rsid w:val="00DE6FE1"/>
    <w:rsid w:val="00DE70DC"/>
    <w:rsid w:val="00DF0AB4"/>
    <w:rsid w:val="00DF0AE3"/>
    <w:rsid w:val="00DF16DA"/>
    <w:rsid w:val="00DF1DAA"/>
    <w:rsid w:val="00DF236B"/>
    <w:rsid w:val="00DF29D3"/>
    <w:rsid w:val="00DF3E38"/>
    <w:rsid w:val="00DF5090"/>
    <w:rsid w:val="00DF6ACD"/>
    <w:rsid w:val="00DF78DE"/>
    <w:rsid w:val="00DF79C3"/>
    <w:rsid w:val="00E000C8"/>
    <w:rsid w:val="00E008F1"/>
    <w:rsid w:val="00E01453"/>
    <w:rsid w:val="00E017C4"/>
    <w:rsid w:val="00E048EE"/>
    <w:rsid w:val="00E04A00"/>
    <w:rsid w:val="00E04C9B"/>
    <w:rsid w:val="00E056B2"/>
    <w:rsid w:val="00E06F42"/>
    <w:rsid w:val="00E0740A"/>
    <w:rsid w:val="00E0740D"/>
    <w:rsid w:val="00E07843"/>
    <w:rsid w:val="00E10A6D"/>
    <w:rsid w:val="00E113F7"/>
    <w:rsid w:val="00E116A9"/>
    <w:rsid w:val="00E11FC1"/>
    <w:rsid w:val="00E13AB8"/>
    <w:rsid w:val="00E13FD3"/>
    <w:rsid w:val="00E14299"/>
    <w:rsid w:val="00E144AB"/>
    <w:rsid w:val="00E15800"/>
    <w:rsid w:val="00E17C49"/>
    <w:rsid w:val="00E17EE1"/>
    <w:rsid w:val="00E206ED"/>
    <w:rsid w:val="00E21256"/>
    <w:rsid w:val="00E21494"/>
    <w:rsid w:val="00E217A5"/>
    <w:rsid w:val="00E21B32"/>
    <w:rsid w:val="00E22BCE"/>
    <w:rsid w:val="00E238B4"/>
    <w:rsid w:val="00E2399D"/>
    <w:rsid w:val="00E240CB"/>
    <w:rsid w:val="00E240E7"/>
    <w:rsid w:val="00E24102"/>
    <w:rsid w:val="00E251D4"/>
    <w:rsid w:val="00E2553E"/>
    <w:rsid w:val="00E2799E"/>
    <w:rsid w:val="00E3090F"/>
    <w:rsid w:val="00E329F7"/>
    <w:rsid w:val="00E335CF"/>
    <w:rsid w:val="00E33B62"/>
    <w:rsid w:val="00E33CB5"/>
    <w:rsid w:val="00E3568A"/>
    <w:rsid w:val="00E36BAD"/>
    <w:rsid w:val="00E36E37"/>
    <w:rsid w:val="00E36FBA"/>
    <w:rsid w:val="00E37D12"/>
    <w:rsid w:val="00E37E82"/>
    <w:rsid w:val="00E40158"/>
    <w:rsid w:val="00E41A26"/>
    <w:rsid w:val="00E42CEA"/>
    <w:rsid w:val="00E42F9D"/>
    <w:rsid w:val="00E432B4"/>
    <w:rsid w:val="00E43A2C"/>
    <w:rsid w:val="00E43A34"/>
    <w:rsid w:val="00E449E0"/>
    <w:rsid w:val="00E44D4E"/>
    <w:rsid w:val="00E45104"/>
    <w:rsid w:val="00E453B7"/>
    <w:rsid w:val="00E45D1C"/>
    <w:rsid w:val="00E46467"/>
    <w:rsid w:val="00E467FE"/>
    <w:rsid w:val="00E4777A"/>
    <w:rsid w:val="00E50019"/>
    <w:rsid w:val="00E52D01"/>
    <w:rsid w:val="00E54880"/>
    <w:rsid w:val="00E5557F"/>
    <w:rsid w:val="00E5588F"/>
    <w:rsid w:val="00E60196"/>
    <w:rsid w:val="00E60756"/>
    <w:rsid w:val="00E618EA"/>
    <w:rsid w:val="00E61E09"/>
    <w:rsid w:val="00E62ACD"/>
    <w:rsid w:val="00E62C5F"/>
    <w:rsid w:val="00E63108"/>
    <w:rsid w:val="00E6402F"/>
    <w:rsid w:val="00E6457F"/>
    <w:rsid w:val="00E64B60"/>
    <w:rsid w:val="00E66E98"/>
    <w:rsid w:val="00E6724C"/>
    <w:rsid w:val="00E67E83"/>
    <w:rsid w:val="00E7057D"/>
    <w:rsid w:val="00E71AEB"/>
    <w:rsid w:val="00E72E97"/>
    <w:rsid w:val="00E737A7"/>
    <w:rsid w:val="00E7503A"/>
    <w:rsid w:val="00E768B7"/>
    <w:rsid w:val="00E76D76"/>
    <w:rsid w:val="00E76F51"/>
    <w:rsid w:val="00E76F61"/>
    <w:rsid w:val="00E7700C"/>
    <w:rsid w:val="00E776ED"/>
    <w:rsid w:val="00E80C3F"/>
    <w:rsid w:val="00E8112D"/>
    <w:rsid w:val="00E81AB6"/>
    <w:rsid w:val="00E81AFD"/>
    <w:rsid w:val="00E832F8"/>
    <w:rsid w:val="00E8330E"/>
    <w:rsid w:val="00E83789"/>
    <w:rsid w:val="00E854A0"/>
    <w:rsid w:val="00E86E90"/>
    <w:rsid w:val="00E87315"/>
    <w:rsid w:val="00E90810"/>
    <w:rsid w:val="00E91477"/>
    <w:rsid w:val="00E91585"/>
    <w:rsid w:val="00E915AC"/>
    <w:rsid w:val="00E9178F"/>
    <w:rsid w:val="00E917AE"/>
    <w:rsid w:val="00E91DA5"/>
    <w:rsid w:val="00E92488"/>
    <w:rsid w:val="00E94DA3"/>
    <w:rsid w:val="00E97548"/>
    <w:rsid w:val="00E9754A"/>
    <w:rsid w:val="00E9760B"/>
    <w:rsid w:val="00E97690"/>
    <w:rsid w:val="00E97CC7"/>
    <w:rsid w:val="00E97E46"/>
    <w:rsid w:val="00EA04EF"/>
    <w:rsid w:val="00EA1131"/>
    <w:rsid w:val="00EA123F"/>
    <w:rsid w:val="00EA3483"/>
    <w:rsid w:val="00EA6BEE"/>
    <w:rsid w:val="00EA704D"/>
    <w:rsid w:val="00EA79EB"/>
    <w:rsid w:val="00EB0DF1"/>
    <w:rsid w:val="00EB0EA4"/>
    <w:rsid w:val="00EB3AB3"/>
    <w:rsid w:val="00EB5145"/>
    <w:rsid w:val="00EB7836"/>
    <w:rsid w:val="00EB7E20"/>
    <w:rsid w:val="00EC2A8B"/>
    <w:rsid w:val="00EC3B81"/>
    <w:rsid w:val="00EC443D"/>
    <w:rsid w:val="00EC4988"/>
    <w:rsid w:val="00EC4A47"/>
    <w:rsid w:val="00EC58BE"/>
    <w:rsid w:val="00EC5E1B"/>
    <w:rsid w:val="00EC5F41"/>
    <w:rsid w:val="00EC60CB"/>
    <w:rsid w:val="00EC7091"/>
    <w:rsid w:val="00EC7470"/>
    <w:rsid w:val="00EC7B4C"/>
    <w:rsid w:val="00ED009B"/>
    <w:rsid w:val="00ED0667"/>
    <w:rsid w:val="00ED0F19"/>
    <w:rsid w:val="00ED2EB1"/>
    <w:rsid w:val="00ED2EFF"/>
    <w:rsid w:val="00ED3700"/>
    <w:rsid w:val="00ED3AC7"/>
    <w:rsid w:val="00ED3BF4"/>
    <w:rsid w:val="00ED4234"/>
    <w:rsid w:val="00ED42A5"/>
    <w:rsid w:val="00ED7F90"/>
    <w:rsid w:val="00EE094E"/>
    <w:rsid w:val="00EE1757"/>
    <w:rsid w:val="00EE1CCD"/>
    <w:rsid w:val="00EE4DB7"/>
    <w:rsid w:val="00EE5189"/>
    <w:rsid w:val="00EE537C"/>
    <w:rsid w:val="00EE6E21"/>
    <w:rsid w:val="00EE7272"/>
    <w:rsid w:val="00EE776B"/>
    <w:rsid w:val="00EE7C4F"/>
    <w:rsid w:val="00EF15DA"/>
    <w:rsid w:val="00EF16DD"/>
    <w:rsid w:val="00EF2FB0"/>
    <w:rsid w:val="00EF3555"/>
    <w:rsid w:val="00EF3915"/>
    <w:rsid w:val="00EF51E8"/>
    <w:rsid w:val="00EF66A8"/>
    <w:rsid w:val="00EF66D5"/>
    <w:rsid w:val="00EF66D6"/>
    <w:rsid w:val="00EF7EB1"/>
    <w:rsid w:val="00F01322"/>
    <w:rsid w:val="00F02183"/>
    <w:rsid w:val="00F038E5"/>
    <w:rsid w:val="00F03B2B"/>
    <w:rsid w:val="00F04CC2"/>
    <w:rsid w:val="00F058FE"/>
    <w:rsid w:val="00F05D63"/>
    <w:rsid w:val="00F05F75"/>
    <w:rsid w:val="00F06B15"/>
    <w:rsid w:val="00F06C51"/>
    <w:rsid w:val="00F0755F"/>
    <w:rsid w:val="00F07DD0"/>
    <w:rsid w:val="00F109B1"/>
    <w:rsid w:val="00F10F67"/>
    <w:rsid w:val="00F1157D"/>
    <w:rsid w:val="00F11CF5"/>
    <w:rsid w:val="00F11EDA"/>
    <w:rsid w:val="00F121A8"/>
    <w:rsid w:val="00F12F55"/>
    <w:rsid w:val="00F1301C"/>
    <w:rsid w:val="00F134D2"/>
    <w:rsid w:val="00F13DF7"/>
    <w:rsid w:val="00F13E07"/>
    <w:rsid w:val="00F145B8"/>
    <w:rsid w:val="00F155B7"/>
    <w:rsid w:val="00F156D7"/>
    <w:rsid w:val="00F160B9"/>
    <w:rsid w:val="00F16C53"/>
    <w:rsid w:val="00F20348"/>
    <w:rsid w:val="00F20F65"/>
    <w:rsid w:val="00F23A10"/>
    <w:rsid w:val="00F24361"/>
    <w:rsid w:val="00F246FE"/>
    <w:rsid w:val="00F26EF6"/>
    <w:rsid w:val="00F277D0"/>
    <w:rsid w:val="00F27A52"/>
    <w:rsid w:val="00F30A5C"/>
    <w:rsid w:val="00F3240B"/>
    <w:rsid w:val="00F33B4E"/>
    <w:rsid w:val="00F355D3"/>
    <w:rsid w:val="00F3633E"/>
    <w:rsid w:val="00F368C1"/>
    <w:rsid w:val="00F36B58"/>
    <w:rsid w:val="00F36E11"/>
    <w:rsid w:val="00F37460"/>
    <w:rsid w:val="00F379A3"/>
    <w:rsid w:val="00F37C6E"/>
    <w:rsid w:val="00F41D25"/>
    <w:rsid w:val="00F421CA"/>
    <w:rsid w:val="00F42730"/>
    <w:rsid w:val="00F43565"/>
    <w:rsid w:val="00F449FE"/>
    <w:rsid w:val="00F44CA3"/>
    <w:rsid w:val="00F452B6"/>
    <w:rsid w:val="00F45AD2"/>
    <w:rsid w:val="00F46903"/>
    <w:rsid w:val="00F46AAC"/>
    <w:rsid w:val="00F47B8F"/>
    <w:rsid w:val="00F50393"/>
    <w:rsid w:val="00F5072C"/>
    <w:rsid w:val="00F50F9E"/>
    <w:rsid w:val="00F517D0"/>
    <w:rsid w:val="00F51836"/>
    <w:rsid w:val="00F52D4A"/>
    <w:rsid w:val="00F53D1B"/>
    <w:rsid w:val="00F555DB"/>
    <w:rsid w:val="00F55AA3"/>
    <w:rsid w:val="00F562BD"/>
    <w:rsid w:val="00F57B5D"/>
    <w:rsid w:val="00F60049"/>
    <w:rsid w:val="00F608B9"/>
    <w:rsid w:val="00F60DB7"/>
    <w:rsid w:val="00F60E91"/>
    <w:rsid w:val="00F61159"/>
    <w:rsid w:val="00F6156F"/>
    <w:rsid w:val="00F62302"/>
    <w:rsid w:val="00F62DA6"/>
    <w:rsid w:val="00F62E77"/>
    <w:rsid w:val="00F6759D"/>
    <w:rsid w:val="00F701A7"/>
    <w:rsid w:val="00F71570"/>
    <w:rsid w:val="00F7173E"/>
    <w:rsid w:val="00F71883"/>
    <w:rsid w:val="00F726FC"/>
    <w:rsid w:val="00F728C3"/>
    <w:rsid w:val="00F72B68"/>
    <w:rsid w:val="00F72BAE"/>
    <w:rsid w:val="00F7558E"/>
    <w:rsid w:val="00F76205"/>
    <w:rsid w:val="00F77A79"/>
    <w:rsid w:val="00F801B3"/>
    <w:rsid w:val="00F803F1"/>
    <w:rsid w:val="00F809EF"/>
    <w:rsid w:val="00F81111"/>
    <w:rsid w:val="00F8177B"/>
    <w:rsid w:val="00F81B47"/>
    <w:rsid w:val="00F83810"/>
    <w:rsid w:val="00F83B75"/>
    <w:rsid w:val="00F84899"/>
    <w:rsid w:val="00F8492C"/>
    <w:rsid w:val="00F85499"/>
    <w:rsid w:val="00F859F0"/>
    <w:rsid w:val="00F8789E"/>
    <w:rsid w:val="00F91CA6"/>
    <w:rsid w:val="00F92E29"/>
    <w:rsid w:val="00F93448"/>
    <w:rsid w:val="00F97847"/>
    <w:rsid w:val="00FA06A3"/>
    <w:rsid w:val="00FA0AD1"/>
    <w:rsid w:val="00FA2ACB"/>
    <w:rsid w:val="00FA310C"/>
    <w:rsid w:val="00FA3B5A"/>
    <w:rsid w:val="00FA40C0"/>
    <w:rsid w:val="00FA4A30"/>
    <w:rsid w:val="00FA4B7C"/>
    <w:rsid w:val="00FA540E"/>
    <w:rsid w:val="00FA6587"/>
    <w:rsid w:val="00FA6DE2"/>
    <w:rsid w:val="00FA723D"/>
    <w:rsid w:val="00FB0D40"/>
    <w:rsid w:val="00FB301D"/>
    <w:rsid w:val="00FB42FF"/>
    <w:rsid w:val="00FB47F3"/>
    <w:rsid w:val="00FB516F"/>
    <w:rsid w:val="00FB58AF"/>
    <w:rsid w:val="00FB5BF9"/>
    <w:rsid w:val="00FC0B6A"/>
    <w:rsid w:val="00FC3D45"/>
    <w:rsid w:val="00FC4647"/>
    <w:rsid w:val="00FC6EB3"/>
    <w:rsid w:val="00FC711A"/>
    <w:rsid w:val="00FC7299"/>
    <w:rsid w:val="00FC7C2E"/>
    <w:rsid w:val="00FD019A"/>
    <w:rsid w:val="00FD140C"/>
    <w:rsid w:val="00FD2533"/>
    <w:rsid w:val="00FD3213"/>
    <w:rsid w:val="00FD3A2E"/>
    <w:rsid w:val="00FD4AFF"/>
    <w:rsid w:val="00FD50F2"/>
    <w:rsid w:val="00FD674C"/>
    <w:rsid w:val="00FD7A75"/>
    <w:rsid w:val="00FD7C2D"/>
    <w:rsid w:val="00FD7C89"/>
    <w:rsid w:val="00FE0395"/>
    <w:rsid w:val="00FE0DC4"/>
    <w:rsid w:val="00FE0E9C"/>
    <w:rsid w:val="00FE125A"/>
    <w:rsid w:val="00FE141E"/>
    <w:rsid w:val="00FE1AF1"/>
    <w:rsid w:val="00FE24F4"/>
    <w:rsid w:val="00FE2A33"/>
    <w:rsid w:val="00FE46AA"/>
    <w:rsid w:val="00FE5ECC"/>
    <w:rsid w:val="00FE65B4"/>
    <w:rsid w:val="00FE674D"/>
    <w:rsid w:val="00FF10B9"/>
    <w:rsid w:val="00FF2832"/>
    <w:rsid w:val="00FF3657"/>
    <w:rsid w:val="00FF417D"/>
    <w:rsid w:val="00FF49BD"/>
    <w:rsid w:val="00FF4A64"/>
    <w:rsid w:val="00FF521D"/>
    <w:rsid w:val="00FF5C43"/>
    <w:rsid w:val="00FF60FB"/>
    <w:rsid w:val="00FF66DD"/>
    <w:rsid w:val="00FF6F65"/>
    <w:rsid w:val="00FF7737"/>
    <w:rsid w:val="00FF7E87"/>
    <w:rsid w:val="03C30222"/>
    <w:rsid w:val="1756A024"/>
    <w:rsid w:val="4AD19253"/>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69B5"/>
  <w15:docId w15:val="{A38B7638-A09F-430D-BC5A-CEE741865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62A0"/>
    <w:rPr>
      <w:sz w:val="24"/>
      <w:lang w:val="es-MX"/>
    </w:rPr>
  </w:style>
  <w:style w:type="paragraph" w:styleId="Ttulo1">
    <w:name w:val="heading 1"/>
    <w:basedOn w:val="Normal"/>
    <w:next w:val="Normal"/>
    <w:link w:val="Ttulo1Car"/>
    <w:qFormat/>
    <w:rsid w:val="00050E2C"/>
    <w:pPr>
      <w:keepNext/>
      <w:numPr>
        <w:numId w:val="17"/>
      </w:numPr>
      <w:spacing w:before="240" w:after="60" w:line="240" w:lineRule="auto"/>
      <w:jc w:val="left"/>
      <w:outlineLvl w:val="0"/>
    </w:pPr>
    <w:rPr>
      <w:rFonts w:ascii="Arial" w:eastAsia="Times New Roman" w:hAnsi="Arial" w:cs="Arial"/>
      <w:b/>
      <w:bCs/>
      <w:kern w:val="32"/>
      <w:sz w:val="32"/>
      <w:szCs w:val="32"/>
      <w:lang w:val="es-ES" w:eastAsia="es-ES"/>
    </w:rPr>
  </w:style>
  <w:style w:type="paragraph" w:styleId="Ttulo2">
    <w:name w:val="heading 2"/>
    <w:basedOn w:val="Normal"/>
    <w:next w:val="Normal"/>
    <w:link w:val="Ttulo2Car"/>
    <w:qFormat/>
    <w:rsid w:val="00050E2C"/>
    <w:pPr>
      <w:keepNext/>
      <w:numPr>
        <w:ilvl w:val="1"/>
        <w:numId w:val="17"/>
      </w:numPr>
      <w:spacing w:before="240" w:after="60" w:line="240" w:lineRule="auto"/>
      <w:jc w:val="left"/>
      <w:outlineLvl w:val="1"/>
    </w:pPr>
    <w:rPr>
      <w:rFonts w:ascii="Arial" w:eastAsia="Times New Roman" w:hAnsi="Arial" w:cs="Arial"/>
      <w:b/>
      <w:bCs/>
      <w:i/>
      <w:iCs/>
      <w:sz w:val="28"/>
      <w:szCs w:val="28"/>
      <w:lang w:val="es-ES" w:eastAsia="es-ES"/>
    </w:rPr>
  </w:style>
  <w:style w:type="paragraph" w:styleId="Ttulo3">
    <w:name w:val="heading 3"/>
    <w:basedOn w:val="Normal"/>
    <w:next w:val="Normal"/>
    <w:link w:val="Ttulo3Car"/>
    <w:qFormat/>
    <w:rsid w:val="00050E2C"/>
    <w:pPr>
      <w:keepNext/>
      <w:numPr>
        <w:ilvl w:val="2"/>
        <w:numId w:val="17"/>
      </w:numPr>
      <w:spacing w:before="240" w:after="60" w:line="240" w:lineRule="auto"/>
      <w:jc w:val="left"/>
      <w:outlineLvl w:val="2"/>
    </w:pPr>
    <w:rPr>
      <w:rFonts w:ascii="Arial" w:eastAsia="Times New Roman" w:hAnsi="Arial" w:cs="Arial"/>
      <w:b/>
      <w:bCs/>
      <w:sz w:val="26"/>
      <w:szCs w:val="26"/>
      <w:lang w:val="es-ES" w:eastAsia="es-ES"/>
    </w:rPr>
  </w:style>
  <w:style w:type="paragraph" w:styleId="Ttulo4">
    <w:name w:val="heading 4"/>
    <w:basedOn w:val="Normal"/>
    <w:next w:val="Normal"/>
    <w:link w:val="Ttulo4Car"/>
    <w:qFormat/>
    <w:rsid w:val="00050E2C"/>
    <w:pPr>
      <w:keepNext/>
      <w:numPr>
        <w:ilvl w:val="3"/>
        <w:numId w:val="17"/>
      </w:numPr>
      <w:spacing w:before="240" w:after="60" w:line="240" w:lineRule="auto"/>
      <w:jc w:val="left"/>
      <w:outlineLvl w:val="3"/>
    </w:pPr>
    <w:rPr>
      <w:rFonts w:ascii="Times New Roman" w:eastAsia="Times New Roman" w:hAnsi="Times New Roman" w:cs="Times New Roman"/>
      <w:b/>
      <w:bCs/>
      <w:sz w:val="28"/>
      <w:szCs w:val="28"/>
      <w:lang w:val="es-ES" w:eastAsia="es-ES"/>
    </w:rPr>
  </w:style>
  <w:style w:type="paragraph" w:styleId="Ttulo5">
    <w:name w:val="heading 5"/>
    <w:basedOn w:val="Normal"/>
    <w:next w:val="Normal"/>
    <w:link w:val="Ttulo5Car"/>
    <w:qFormat/>
    <w:rsid w:val="00050E2C"/>
    <w:pPr>
      <w:numPr>
        <w:ilvl w:val="4"/>
        <w:numId w:val="17"/>
      </w:numPr>
      <w:spacing w:before="240" w:after="60" w:line="240" w:lineRule="auto"/>
      <w:jc w:val="left"/>
      <w:outlineLvl w:val="4"/>
    </w:pPr>
    <w:rPr>
      <w:rFonts w:ascii="Times New Roman" w:eastAsia="Times New Roman" w:hAnsi="Times New Roman" w:cs="Times New Roman"/>
      <w:b/>
      <w:bCs/>
      <w:i/>
      <w:iCs/>
      <w:sz w:val="26"/>
      <w:szCs w:val="26"/>
      <w:lang w:val="es-ES" w:eastAsia="es-ES"/>
    </w:rPr>
  </w:style>
  <w:style w:type="paragraph" w:styleId="Ttulo6">
    <w:name w:val="heading 6"/>
    <w:basedOn w:val="Normal"/>
    <w:next w:val="Normal"/>
    <w:link w:val="Ttulo6Car"/>
    <w:qFormat/>
    <w:rsid w:val="00050E2C"/>
    <w:pPr>
      <w:numPr>
        <w:ilvl w:val="5"/>
        <w:numId w:val="17"/>
      </w:numPr>
      <w:spacing w:before="240" w:after="60" w:line="240" w:lineRule="auto"/>
      <w:jc w:val="left"/>
      <w:outlineLvl w:val="5"/>
    </w:pPr>
    <w:rPr>
      <w:rFonts w:ascii="Times New Roman" w:eastAsia="Times New Roman" w:hAnsi="Times New Roman" w:cs="Times New Roman"/>
      <w:b/>
      <w:bCs/>
      <w:sz w:val="22"/>
      <w:lang w:val="es-ES" w:eastAsia="es-ES"/>
    </w:rPr>
  </w:style>
  <w:style w:type="paragraph" w:styleId="Ttulo7">
    <w:name w:val="heading 7"/>
    <w:basedOn w:val="Normal"/>
    <w:next w:val="Normal"/>
    <w:link w:val="Ttulo7Car"/>
    <w:qFormat/>
    <w:rsid w:val="00050E2C"/>
    <w:pPr>
      <w:numPr>
        <w:ilvl w:val="6"/>
        <w:numId w:val="17"/>
      </w:numPr>
      <w:spacing w:before="240" w:after="60" w:line="240" w:lineRule="auto"/>
      <w:jc w:val="left"/>
      <w:outlineLvl w:val="6"/>
    </w:pPr>
    <w:rPr>
      <w:rFonts w:ascii="Times New Roman" w:eastAsia="Times New Roman" w:hAnsi="Times New Roman" w:cs="Times New Roman"/>
      <w:szCs w:val="24"/>
      <w:lang w:val="es-ES" w:eastAsia="es-ES"/>
    </w:rPr>
  </w:style>
  <w:style w:type="paragraph" w:styleId="Ttulo8">
    <w:name w:val="heading 8"/>
    <w:basedOn w:val="Normal"/>
    <w:next w:val="Normal"/>
    <w:link w:val="Ttulo8Car"/>
    <w:qFormat/>
    <w:rsid w:val="00050E2C"/>
    <w:pPr>
      <w:numPr>
        <w:ilvl w:val="7"/>
        <w:numId w:val="17"/>
      </w:numPr>
      <w:spacing w:before="240" w:after="60" w:line="240" w:lineRule="auto"/>
      <w:jc w:val="left"/>
      <w:outlineLvl w:val="7"/>
    </w:pPr>
    <w:rPr>
      <w:rFonts w:ascii="Times New Roman" w:eastAsia="Times New Roman" w:hAnsi="Times New Roman" w:cs="Times New Roman"/>
      <w:i/>
      <w:iCs/>
      <w:szCs w:val="24"/>
      <w:lang w:val="es-ES" w:eastAsia="es-ES"/>
    </w:rPr>
  </w:style>
  <w:style w:type="paragraph" w:styleId="Ttulo9">
    <w:name w:val="heading 9"/>
    <w:basedOn w:val="Normal"/>
    <w:next w:val="Normal"/>
    <w:link w:val="Ttulo9Car"/>
    <w:qFormat/>
    <w:rsid w:val="00050E2C"/>
    <w:pPr>
      <w:numPr>
        <w:ilvl w:val="8"/>
        <w:numId w:val="17"/>
      </w:numPr>
      <w:spacing w:before="240" w:after="60" w:line="240" w:lineRule="auto"/>
      <w:jc w:val="left"/>
      <w:outlineLvl w:val="8"/>
    </w:pPr>
    <w:rPr>
      <w:rFonts w:ascii="Arial" w:eastAsia="Times New Roman" w:hAnsi="Arial" w:cs="Arial"/>
      <w:sz w:val="22"/>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1"/>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sz w:val="20"/>
      <w:szCs w:val="20"/>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R"/>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uiPriority w:val="99"/>
    <w:qFormat/>
    <w:rsid w:val="007B0854"/>
    <w:pPr>
      <w:keepNext/>
      <w:spacing w:before="120"/>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Re"/>
    <w:basedOn w:val="Fuentedeprrafopredeter"/>
    <w:link w:val="Appelnotedebasde"/>
    <w:uiPriority w:val="99"/>
    <w:unhideWhenUsed/>
    <w:qFormat/>
    <w:rsid w:val="007B0854"/>
    <w:rPr>
      <w:vertAlign w:val="superscript"/>
    </w:rPr>
  </w:style>
  <w:style w:type="paragraph" w:customStyle="1" w:styleId="pa22">
    <w:name w:val="pa22"/>
    <w:basedOn w:val="Normal"/>
    <w:rsid w:val="00887B15"/>
    <w:pPr>
      <w:spacing w:before="100" w:beforeAutospacing="1" w:after="100" w:afterAutospacing="1"/>
    </w:pPr>
    <w:rPr>
      <w:rFonts w:ascii="Times New Roman" w:eastAsia="Times New Roman" w:hAnsi="Times New Roman" w:cs="Times New Roman"/>
      <w:szCs w:val="24"/>
      <w:lang w:val="es-ES" w:eastAsia="es-ES"/>
    </w:rPr>
  </w:style>
  <w:style w:type="character" w:styleId="Textoennegrita">
    <w:name w:val="Strong"/>
    <w:basedOn w:val="Fuentedeprrafopredeter"/>
    <w:uiPriority w:val="22"/>
    <w:qFormat/>
    <w:rsid w:val="00AF1ED8"/>
    <w:rPr>
      <w:b/>
      <w:bCs/>
    </w:rPr>
  </w:style>
  <w:style w:type="character" w:styleId="nfasis">
    <w:name w:val="Emphasis"/>
    <w:basedOn w:val="Fuentedeprrafopredeter"/>
    <w:uiPriority w:val="20"/>
    <w:qFormat/>
    <w:rsid w:val="00AF1ED8"/>
    <w:rPr>
      <w:i/>
      <w:iCs/>
    </w:rPr>
  </w:style>
  <w:style w:type="character" w:customStyle="1" w:styleId="Mencinsinresolver1">
    <w:name w:val="Mención sin resolver1"/>
    <w:basedOn w:val="Fuentedeprrafopredeter"/>
    <w:uiPriority w:val="99"/>
    <w:semiHidden/>
    <w:unhideWhenUsed/>
    <w:rsid w:val="00620E47"/>
    <w:rPr>
      <w:color w:val="605E5C"/>
      <w:shd w:val="clear" w:color="auto" w:fill="E1DFDD"/>
    </w:rPr>
  </w:style>
  <w:style w:type="paragraph" w:customStyle="1" w:styleId="Capitulo3">
    <w:name w:val="Capitulo 3"/>
    <w:basedOn w:val="Normal"/>
    <w:qFormat/>
    <w:rsid w:val="00DF6ACD"/>
    <w:pPr>
      <w:keepNext/>
      <w:numPr>
        <w:numId w:val="7"/>
      </w:numPr>
      <w:spacing w:before="120"/>
      <w:outlineLvl w:val="1"/>
    </w:pPr>
    <w:rPr>
      <w:rFonts w:ascii="Arial" w:eastAsia="Times New Roman" w:hAnsi="Arial" w:cs="Arial"/>
      <w:b/>
      <w:color w:val="000000"/>
      <w:sz w:val="20"/>
      <w:szCs w:val="20"/>
      <w:lang w:val="es-CO" w:eastAsia="es-CO"/>
    </w:rPr>
  </w:style>
  <w:style w:type="paragraph" w:customStyle="1" w:styleId="InviasNormal">
    <w:name w:val="Invias Normal"/>
    <w:basedOn w:val="Normal"/>
    <w:link w:val="InviasNormalCar"/>
    <w:qFormat/>
    <w:rsid w:val="001A27D7"/>
    <w:pPr>
      <w:tabs>
        <w:tab w:val="left" w:pos="-142"/>
      </w:tabs>
      <w:autoSpaceDE w:val="0"/>
      <w:autoSpaceDN w:val="0"/>
      <w:adjustRightInd w:val="0"/>
      <w:spacing w:before="120" w:after="240"/>
    </w:pPr>
    <w:rPr>
      <w:rFonts w:ascii="Arial Narrow" w:eastAsia="Times New Roman" w:hAnsi="Arial Narrow" w:cs="Times New Roman"/>
      <w:color w:val="3C3C3C" w:themeColor="background2" w:themeShade="40"/>
      <w:szCs w:val="24"/>
      <w:lang w:val="x-none" w:eastAsia="es-ES"/>
    </w:rPr>
  </w:style>
  <w:style w:type="character" w:customStyle="1" w:styleId="InviasNormalCar">
    <w:name w:val="Invias Normal Car"/>
    <w:link w:val="InviasNormal"/>
    <w:locked/>
    <w:rsid w:val="001A27D7"/>
    <w:rPr>
      <w:rFonts w:ascii="Arial Narrow" w:eastAsia="Times New Roman" w:hAnsi="Arial Narrow" w:cs="Times New Roman"/>
      <w:color w:val="3C3C3C" w:themeColor="background2" w:themeShade="40"/>
      <w:sz w:val="24"/>
      <w:szCs w:val="24"/>
      <w:lang w:val="x-none" w:eastAsia="es-ES"/>
    </w:rPr>
  </w:style>
  <w:style w:type="paragraph" w:customStyle="1" w:styleId="Entidad-Capitulo">
    <w:name w:val="Entidad-Capitulo"/>
    <w:next w:val="Normal"/>
    <w:autoRedefine/>
    <w:uiPriority w:val="99"/>
    <w:qFormat/>
    <w:rsid w:val="001A27D7"/>
    <w:pPr>
      <w:keepNext/>
      <w:spacing w:before="240" w:after="0" w:line="240" w:lineRule="auto"/>
      <w:jc w:val="center"/>
      <w:outlineLvl w:val="0"/>
    </w:pPr>
    <w:rPr>
      <w:rFonts w:ascii="Arial" w:eastAsia="Times New Roman" w:hAnsi="Arial" w:cs="Arial"/>
      <w:b/>
      <w:smallCaps/>
      <w:sz w:val="20"/>
      <w:szCs w:val="20"/>
      <w:lang w:eastAsia="es-ES"/>
    </w:rPr>
  </w:style>
  <w:style w:type="paragraph" w:styleId="Revisin">
    <w:name w:val="Revision"/>
    <w:hidden/>
    <w:uiPriority w:val="99"/>
    <w:semiHidden/>
    <w:rsid w:val="009409CA"/>
    <w:pPr>
      <w:spacing w:after="0" w:line="240" w:lineRule="auto"/>
    </w:pPr>
    <w:rPr>
      <w:sz w:val="24"/>
      <w:lang w:val="es-MX"/>
    </w:rPr>
  </w:style>
  <w:style w:type="paragraph" w:customStyle="1" w:styleId="Appelnotedebasde">
    <w:name w:val="Appel note de bas de..."/>
    <w:basedOn w:val="Normal"/>
    <w:link w:val="Refdenotaalpie"/>
    <w:uiPriority w:val="99"/>
    <w:rsid w:val="00904CD9"/>
    <w:pPr>
      <w:spacing w:after="160" w:line="240" w:lineRule="exact"/>
    </w:pPr>
    <w:rPr>
      <w:sz w:val="22"/>
      <w:vertAlign w:val="superscript"/>
      <w:lang w:val="es-CO"/>
    </w:rPr>
  </w:style>
  <w:style w:type="character" w:customStyle="1" w:styleId="NormalWebCar">
    <w:name w:val="Normal (Web) Car"/>
    <w:link w:val="NormalWeb"/>
    <w:uiPriority w:val="99"/>
    <w:locked/>
    <w:rsid w:val="00904CD9"/>
    <w:rPr>
      <w:rFonts w:ascii="Times New Roman" w:eastAsia="Times New Roman" w:hAnsi="Times New Roman" w:cs="Times New Roman"/>
      <w:sz w:val="24"/>
      <w:szCs w:val="24"/>
      <w:lang w:eastAsia="es-CO"/>
    </w:rPr>
  </w:style>
  <w:style w:type="character" w:customStyle="1" w:styleId="normaltextrun">
    <w:name w:val="normaltextrun"/>
    <w:basedOn w:val="Fuentedeprrafopredeter"/>
    <w:rsid w:val="00F0755F"/>
  </w:style>
  <w:style w:type="paragraph" w:styleId="Textoindependiente">
    <w:name w:val="Body Text"/>
    <w:basedOn w:val="Normal"/>
    <w:link w:val="TextoindependienteCar"/>
    <w:uiPriority w:val="1"/>
    <w:qFormat/>
    <w:rsid w:val="008E0A7E"/>
    <w:pPr>
      <w:widowControl w:val="0"/>
      <w:autoSpaceDE w:val="0"/>
      <w:autoSpaceDN w:val="0"/>
    </w:pPr>
    <w:rPr>
      <w:rFonts w:ascii="Arial" w:eastAsia="Arial" w:hAnsi="Arial" w:cs="Arial"/>
      <w:sz w:val="22"/>
      <w:lang w:val="es-ES" w:eastAsia="es-ES" w:bidi="es-ES"/>
    </w:rPr>
  </w:style>
  <w:style w:type="character" w:customStyle="1" w:styleId="TextoindependienteCar">
    <w:name w:val="Texto independiente Car"/>
    <w:basedOn w:val="Fuentedeprrafopredeter"/>
    <w:link w:val="Textoindependiente"/>
    <w:uiPriority w:val="1"/>
    <w:rsid w:val="008E0A7E"/>
    <w:rPr>
      <w:rFonts w:ascii="Arial" w:eastAsia="Arial" w:hAnsi="Arial" w:cs="Arial"/>
      <w:lang w:val="es-ES" w:eastAsia="es-ES" w:bidi="es-ES"/>
    </w:rPr>
  </w:style>
  <w:style w:type="paragraph" w:styleId="Textonotaalfinal">
    <w:name w:val="endnote text"/>
    <w:basedOn w:val="Normal"/>
    <w:link w:val="TextonotaalfinalCar"/>
    <w:uiPriority w:val="99"/>
    <w:semiHidden/>
    <w:unhideWhenUsed/>
    <w:rsid w:val="00A8268C"/>
    <w:rPr>
      <w:sz w:val="20"/>
      <w:szCs w:val="20"/>
    </w:rPr>
  </w:style>
  <w:style w:type="character" w:customStyle="1" w:styleId="TextonotaalfinalCar">
    <w:name w:val="Texto nota al final Car"/>
    <w:basedOn w:val="Fuentedeprrafopredeter"/>
    <w:link w:val="Textonotaalfinal"/>
    <w:uiPriority w:val="99"/>
    <w:semiHidden/>
    <w:rsid w:val="00A8268C"/>
    <w:rPr>
      <w:sz w:val="20"/>
      <w:szCs w:val="20"/>
      <w:lang w:val="es-MX"/>
    </w:rPr>
  </w:style>
  <w:style w:type="character" w:styleId="Refdenotaalfinal">
    <w:name w:val="endnote reference"/>
    <w:basedOn w:val="Fuentedeprrafopredeter"/>
    <w:uiPriority w:val="99"/>
    <w:semiHidden/>
    <w:unhideWhenUsed/>
    <w:rsid w:val="00A8268C"/>
    <w:rPr>
      <w:vertAlign w:val="superscript"/>
    </w:rPr>
  </w:style>
  <w:style w:type="table" w:customStyle="1" w:styleId="Tablaconcuadrcula1">
    <w:name w:val="Tabla con cuadrícula1"/>
    <w:basedOn w:val="Tablanormal"/>
    <w:next w:val="Tablaconcuadrcula"/>
    <w:uiPriority w:val="39"/>
    <w:rsid w:val="00FE0395"/>
    <w:pPr>
      <w:spacing w:after="0" w:line="240" w:lineRule="auto"/>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j">
    <w:name w:val="b_aj"/>
    <w:basedOn w:val="Fuentedeprrafopredeter"/>
    <w:rsid w:val="0022085C"/>
  </w:style>
  <w:style w:type="table" w:customStyle="1" w:styleId="Tablaconcuadrcula2">
    <w:name w:val="Tabla con cuadrícula2"/>
    <w:basedOn w:val="Tablanormal"/>
    <w:next w:val="Tablaconcuadrcula"/>
    <w:uiPriority w:val="39"/>
    <w:rsid w:val="000C00B6"/>
    <w:pPr>
      <w:spacing w:before="12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Car">
    <w:name w:val="Título 1 Car"/>
    <w:basedOn w:val="Fuentedeprrafopredeter"/>
    <w:link w:val="Ttulo1"/>
    <w:rsid w:val="00050E2C"/>
    <w:rPr>
      <w:rFonts w:ascii="Arial" w:eastAsia="Times New Roman" w:hAnsi="Arial" w:cs="Arial"/>
      <w:b/>
      <w:bCs/>
      <w:kern w:val="32"/>
      <w:sz w:val="32"/>
      <w:szCs w:val="32"/>
      <w:lang w:val="es-ES" w:eastAsia="es-ES"/>
    </w:rPr>
  </w:style>
  <w:style w:type="character" w:customStyle="1" w:styleId="Ttulo2Car">
    <w:name w:val="Título 2 Car"/>
    <w:basedOn w:val="Fuentedeprrafopredeter"/>
    <w:link w:val="Ttulo2"/>
    <w:rsid w:val="00050E2C"/>
    <w:rPr>
      <w:rFonts w:ascii="Arial" w:eastAsia="Times New Roman" w:hAnsi="Arial" w:cs="Arial"/>
      <w:b/>
      <w:bCs/>
      <w:i/>
      <w:iCs/>
      <w:sz w:val="28"/>
      <w:szCs w:val="28"/>
      <w:lang w:val="es-ES" w:eastAsia="es-ES"/>
    </w:rPr>
  </w:style>
  <w:style w:type="character" w:customStyle="1" w:styleId="Ttulo3Car">
    <w:name w:val="Título 3 Car"/>
    <w:basedOn w:val="Fuentedeprrafopredeter"/>
    <w:link w:val="Ttulo3"/>
    <w:rsid w:val="00050E2C"/>
    <w:rPr>
      <w:rFonts w:ascii="Arial" w:eastAsia="Times New Roman" w:hAnsi="Arial" w:cs="Arial"/>
      <w:b/>
      <w:bCs/>
      <w:sz w:val="26"/>
      <w:szCs w:val="26"/>
      <w:lang w:val="es-ES" w:eastAsia="es-ES"/>
    </w:rPr>
  </w:style>
  <w:style w:type="character" w:customStyle="1" w:styleId="Ttulo4Car">
    <w:name w:val="Título 4 Car"/>
    <w:basedOn w:val="Fuentedeprrafopredeter"/>
    <w:link w:val="Ttulo4"/>
    <w:rsid w:val="00050E2C"/>
    <w:rPr>
      <w:rFonts w:ascii="Times New Roman" w:eastAsia="Times New Roman" w:hAnsi="Times New Roman" w:cs="Times New Roman"/>
      <w:b/>
      <w:bCs/>
      <w:sz w:val="28"/>
      <w:szCs w:val="28"/>
      <w:lang w:val="es-ES" w:eastAsia="es-ES"/>
    </w:rPr>
  </w:style>
  <w:style w:type="character" w:customStyle="1" w:styleId="Ttulo5Car">
    <w:name w:val="Título 5 Car"/>
    <w:basedOn w:val="Fuentedeprrafopredeter"/>
    <w:link w:val="Ttulo5"/>
    <w:rsid w:val="00050E2C"/>
    <w:rPr>
      <w:rFonts w:ascii="Times New Roman" w:eastAsia="Times New Roman" w:hAnsi="Times New Roman" w:cs="Times New Roman"/>
      <w:b/>
      <w:bCs/>
      <w:i/>
      <w:iCs/>
      <w:sz w:val="26"/>
      <w:szCs w:val="26"/>
      <w:lang w:val="es-ES" w:eastAsia="es-ES"/>
    </w:rPr>
  </w:style>
  <w:style w:type="character" w:customStyle="1" w:styleId="Ttulo6Car">
    <w:name w:val="Título 6 Car"/>
    <w:basedOn w:val="Fuentedeprrafopredeter"/>
    <w:link w:val="Ttulo6"/>
    <w:rsid w:val="00050E2C"/>
    <w:rPr>
      <w:rFonts w:ascii="Times New Roman" w:eastAsia="Times New Roman" w:hAnsi="Times New Roman" w:cs="Times New Roman"/>
      <w:b/>
      <w:bCs/>
      <w:lang w:val="es-ES" w:eastAsia="es-ES"/>
    </w:rPr>
  </w:style>
  <w:style w:type="character" w:customStyle="1" w:styleId="Ttulo7Car">
    <w:name w:val="Título 7 Car"/>
    <w:basedOn w:val="Fuentedeprrafopredeter"/>
    <w:link w:val="Ttulo7"/>
    <w:rsid w:val="00050E2C"/>
    <w:rPr>
      <w:rFonts w:ascii="Times New Roman" w:eastAsia="Times New Roman" w:hAnsi="Times New Roman" w:cs="Times New Roman"/>
      <w:sz w:val="24"/>
      <w:szCs w:val="24"/>
      <w:lang w:val="es-ES" w:eastAsia="es-ES"/>
    </w:rPr>
  </w:style>
  <w:style w:type="character" w:customStyle="1" w:styleId="Ttulo8Car">
    <w:name w:val="Título 8 Car"/>
    <w:basedOn w:val="Fuentedeprrafopredeter"/>
    <w:link w:val="Ttulo8"/>
    <w:rsid w:val="00050E2C"/>
    <w:rPr>
      <w:rFonts w:ascii="Times New Roman" w:eastAsia="Times New Roman" w:hAnsi="Times New Roman" w:cs="Times New Roman"/>
      <w:i/>
      <w:iCs/>
      <w:sz w:val="24"/>
      <w:szCs w:val="24"/>
      <w:lang w:val="es-ES" w:eastAsia="es-ES"/>
    </w:rPr>
  </w:style>
  <w:style w:type="character" w:customStyle="1" w:styleId="Ttulo9Car">
    <w:name w:val="Título 9 Car"/>
    <w:basedOn w:val="Fuentedeprrafopredeter"/>
    <w:link w:val="Ttulo9"/>
    <w:rsid w:val="00050E2C"/>
    <w:rPr>
      <w:rFonts w:ascii="Arial" w:eastAsia="Times New Roman" w:hAnsi="Arial" w:cs="Arial"/>
      <w:lang w:val="es-ES" w:eastAsia="es-ES"/>
    </w:rPr>
  </w:style>
  <w:style w:type="table" w:customStyle="1" w:styleId="Tablaconcuadrcula3">
    <w:name w:val="Tabla con cuadrícula3"/>
    <w:basedOn w:val="Tablanormal"/>
    <w:next w:val="Tablaconcuadrcula"/>
    <w:uiPriority w:val="39"/>
    <w:rsid w:val="000751BB"/>
    <w:pPr>
      <w:spacing w:after="0" w:line="240" w:lineRule="auto"/>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escripcin">
    <w:name w:val="caption"/>
    <w:basedOn w:val="Normal"/>
    <w:next w:val="Normal"/>
    <w:qFormat/>
    <w:rsid w:val="001F59AB"/>
    <w:pPr>
      <w:overflowPunct w:val="0"/>
      <w:autoSpaceDE w:val="0"/>
      <w:autoSpaceDN w:val="0"/>
      <w:adjustRightInd w:val="0"/>
      <w:spacing w:after="0" w:line="240" w:lineRule="auto"/>
      <w:jc w:val="right"/>
      <w:textAlignment w:val="baseline"/>
    </w:pPr>
    <w:rPr>
      <w:rFonts w:ascii="Verdana" w:eastAsia="Times New Roman" w:hAnsi="Verdana" w:cs="Times New Roman"/>
      <w:b/>
      <w:sz w:val="28"/>
      <w:szCs w:val="20"/>
      <w:lang w:val="es-ES_tradnl" w:eastAsia="es-ES"/>
    </w:rPr>
  </w:style>
  <w:style w:type="paragraph" w:customStyle="1" w:styleId="Default">
    <w:name w:val="Default"/>
    <w:rsid w:val="001F59AB"/>
    <w:pPr>
      <w:autoSpaceDE w:val="0"/>
      <w:autoSpaceDN w:val="0"/>
      <w:adjustRightInd w:val="0"/>
      <w:spacing w:after="0" w:line="240" w:lineRule="auto"/>
      <w:jc w:val="left"/>
    </w:pPr>
    <w:rPr>
      <w:rFonts w:ascii="Arial" w:hAnsi="Arial" w:cs="Arial"/>
      <w:color w:val="000000"/>
      <w:sz w:val="24"/>
      <w:szCs w:val="24"/>
      <w:lang w:val="es-ES"/>
    </w:rPr>
  </w:style>
  <w:style w:type="paragraph" w:customStyle="1" w:styleId="CM203">
    <w:name w:val="CM203"/>
    <w:basedOn w:val="Normal"/>
    <w:next w:val="Normal"/>
    <w:uiPriority w:val="99"/>
    <w:rsid w:val="001F59AB"/>
    <w:pPr>
      <w:widowControl w:val="0"/>
      <w:autoSpaceDE w:val="0"/>
      <w:autoSpaceDN w:val="0"/>
      <w:adjustRightInd w:val="0"/>
      <w:spacing w:after="0" w:line="240" w:lineRule="auto"/>
      <w:jc w:val="left"/>
    </w:pPr>
    <w:rPr>
      <w:rFonts w:ascii="Times New Roman" w:eastAsia="Times New Roman" w:hAnsi="Times New Roman" w:cs="Times New Roman"/>
      <w:szCs w:val="24"/>
      <w:lang w:val="es-ES" w:eastAsia="es-ES"/>
    </w:rPr>
  </w:style>
  <w:style w:type="paragraph" w:styleId="Textoindependiente2">
    <w:name w:val="Body Text 2"/>
    <w:basedOn w:val="Normal"/>
    <w:link w:val="Textoindependiente2Car"/>
    <w:uiPriority w:val="99"/>
    <w:semiHidden/>
    <w:unhideWhenUsed/>
    <w:rsid w:val="00C1755A"/>
    <w:pPr>
      <w:spacing w:after="120" w:line="480" w:lineRule="auto"/>
    </w:pPr>
  </w:style>
  <w:style w:type="character" w:customStyle="1" w:styleId="Textoindependiente2Car">
    <w:name w:val="Texto independiente 2 Car"/>
    <w:basedOn w:val="Fuentedeprrafopredeter"/>
    <w:link w:val="Textoindependiente2"/>
    <w:uiPriority w:val="99"/>
    <w:semiHidden/>
    <w:rsid w:val="00C1755A"/>
    <w:rPr>
      <w:sz w:val="24"/>
      <w:lang w:val="es-MX"/>
    </w:rPr>
  </w:style>
  <w:style w:type="character" w:customStyle="1" w:styleId="apple-converted-space">
    <w:name w:val="apple-converted-space"/>
    <w:basedOn w:val="Fuentedeprrafopredeter"/>
    <w:rsid w:val="00877F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076068">
      <w:bodyDiv w:val="1"/>
      <w:marLeft w:val="0"/>
      <w:marRight w:val="0"/>
      <w:marTop w:val="0"/>
      <w:marBottom w:val="0"/>
      <w:divBdr>
        <w:top w:val="none" w:sz="0" w:space="0" w:color="auto"/>
        <w:left w:val="none" w:sz="0" w:space="0" w:color="auto"/>
        <w:bottom w:val="none" w:sz="0" w:space="0" w:color="auto"/>
        <w:right w:val="none" w:sz="0" w:space="0" w:color="auto"/>
      </w:divBdr>
    </w:div>
    <w:div w:id="38094185">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65686981">
      <w:bodyDiv w:val="1"/>
      <w:marLeft w:val="0"/>
      <w:marRight w:val="0"/>
      <w:marTop w:val="0"/>
      <w:marBottom w:val="0"/>
      <w:divBdr>
        <w:top w:val="none" w:sz="0" w:space="0" w:color="auto"/>
        <w:left w:val="none" w:sz="0" w:space="0" w:color="auto"/>
        <w:bottom w:val="none" w:sz="0" w:space="0" w:color="auto"/>
        <w:right w:val="none" w:sz="0" w:space="0" w:color="auto"/>
      </w:divBdr>
      <w:divsChild>
        <w:div w:id="1403675036">
          <w:marLeft w:val="0"/>
          <w:marRight w:val="0"/>
          <w:marTop w:val="0"/>
          <w:marBottom w:val="0"/>
          <w:divBdr>
            <w:top w:val="none" w:sz="0" w:space="0" w:color="auto"/>
            <w:left w:val="none" w:sz="0" w:space="0" w:color="auto"/>
            <w:bottom w:val="none" w:sz="0" w:space="0" w:color="auto"/>
            <w:right w:val="none" w:sz="0" w:space="0" w:color="auto"/>
          </w:divBdr>
        </w:div>
        <w:div w:id="1127549938">
          <w:marLeft w:val="0"/>
          <w:marRight w:val="0"/>
          <w:marTop w:val="0"/>
          <w:marBottom w:val="0"/>
          <w:divBdr>
            <w:top w:val="none" w:sz="0" w:space="0" w:color="auto"/>
            <w:left w:val="none" w:sz="0" w:space="0" w:color="auto"/>
            <w:bottom w:val="none" w:sz="0" w:space="0" w:color="auto"/>
            <w:right w:val="none" w:sz="0" w:space="0" w:color="auto"/>
          </w:divBdr>
        </w:div>
      </w:divsChild>
    </w:div>
    <w:div w:id="70544669">
      <w:bodyDiv w:val="1"/>
      <w:marLeft w:val="0"/>
      <w:marRight w:val="0"/>
      <w:marTop w:val="0"/>
      <w:marBottom w:val="0"/>
      <w:divBdr>
        <w:top w:val="none" w:sz="0" w:space="0" w:color="auto"/>
        <w:left w:val="none" w:sz="0" w:space="0" w:color="auto"/>
        <w:bottom w:val="none" w:sz="0" w:space="0" w:color="auto"/>
        <w:right w:val="none" w:sz="0" w:space="0" w:color="auto"/>
      </w:divBdr>
      <w:divsChild>
        <w:div w:id="1513495133">
          <w:marLeft w:val="0"/>
          <w:marRight w:val="0"/>
          <w:marTop w:val="0"/>
          <w:marBottom w:val="0"/>
          <w:divBdr>
            <w:top w:val="none" w:sz="0" w:space="0" w:color="auto"/>
            <w:left w:val="none" w:sz="0" w:space="0" w:color="auto"/>
            <w:bottom w:val="none" w:sz="0" w:space="0" w:color="auto"/>
            <w:right w:val="none" w:sz="0" w:space="0" w:color="auto"/>
          </w:divBdr>
          <w:divsChild>
            <w:div w:id="734858809">
              <w:marLeft w:val="0"/>
              <w:marRight w:val="0"/>
              <w:marTop w:val="0"/>
              <w:marBottom w:val="0"/>
              <w:divBdr>
                <w:top w:val="none" w:sz="0" w:space="0" w:color="auto"/>
                <w:left w:val="none" w:sz="0" w:space="0" w:color="auto"/>
                <w:bottom w:val="none" w:sz="0" w:space="0" w:color="auto"/>
                <w:right w:val="none" w:sz="0" w:space="0" w:color="auto"/>
              </w:divBdr>
              <w:divsChild>
                <w:div w:id="1385987392">
                  <w:marLeft w:val="0"/>
                  <w:marRight w:val="0"/>
                  <w:marTop w:val="0"/>
                  <w:marBottom w:val="0"/>
                  <w:divBdr>
                    <w:top w:val="none" w:sz="0" w:space="0" w:color="auto"/>
                    <w:left w:val="none" w:sz="0" w:space="0" w:color="auto"/>
                    <w:bottom w:val="none" w:sz="0" w:space="0" w:color="auto"/>
                    <w:right w:val="none" w:sz="0" w:space="0" w:color="auto"/>
                  </w:divBdr>
                </w:div>
              </w:divsChild>
            </w:div>
            <w:div w:id="414395898">
              <w:marLeft w:val="0"/>
              <w:marRight w:val="0"/>
              <w:marTop w:val="0"/>
              <w:marBottom w:val="0"/>
              <w:divBdr>
                <w:top w:val="none" w:sz="0" w:space="0" w:color="auto"/>
                <w:left w:val="none" w:sz="0" w:space="0" w:color="auto"/>
                <w:bottom w:val="none" w:sz="0" w:space="0" w:color="auto"/>
                <w:right w:val="none" w:sz="0" w:space="0" w:color="auto"/>
              </w:divBdr>
              <w:divsChild>
                <w:div w:id="849872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275642">
      <w:bodyDiv w:val="1"/>
      <w:marLeft w:val="0"/>
      <w:marRight w:val="0"/>
      <w:marTop w:val="0"/>
      <w:marBottom w:val="0"/>
      <w:divBdr>
        <w:top w:val="none" w:sz="0" w:space="0" w:color="auto"/>
        <w:left w:val="none" w:sz="0" w:space="0" w:color="auto"/>
        <w:bottom w:val="none" w:sz="0" w:space="0" w:color="auto"/>
        <w:right w:val="none" w:sz="0" w:space="0" w:color="auto"/>
      </w:divBdr>
      <w:divsChild>
        <w:div w:id="2089033513">
          <w:marLeft w:val="0"/>
          <w:marRight w:val="0"/>
          <w:marTop w:val="0"/>
          <w:marBottom w:val="0"/>
          <w:divBdr>
            <w:top w:val="none" w:sz="0" w:space="0" w:color="auto"/>
            <w:left w:val="none" w:sz="0" w:space="0" w:color="auto"/>
            <w:bottom w:val="none" w:sz="0" w:space="0" w:color="auto"/>
            <w:right w:val="none" w:sz="0" w:space="0" w:color="auto"/>
          </w:divBdr>
          <w:divsChild>
            <w:div w:id="563024260">
              <w:marLeft w:val="0"/>
              <w:marRight w:val="0"/>
              <w:marTop w:val="0"/>
              <w:marBottom w:val="0"/>
              <w:divBdr>
                <w:top w:val="none" w:sz="0" w:space="0" w:color="auto"/>
                <w:left w:val="none" w:sz="0" w:space="0" w:color="auto"/>
                <w:bottom w:val="none" w:sz="0" w:space="0" w:color="auto"/>
                <w:right w:val="none" w:sz="0" w:space="0" w:color="auto"/>
              </w:divBdr>
              <w:divsChild>
                <w:div w:id="1068923680">
                  <w:marLeft w:val="0"/>
                  <w:marRight w:val="0"/>
                  <w:marTop w:val="0"/>
                  <w:marBottom w:val="0"/>
                  <w:divBdr>
                    <w:top w:val="none" w:sz="0" w:space="0" w:color="auto"/>
                    <w:left w:val="none" w:sz="0" w:space="0" w:color="auto"/>
                    <w:bottom w:val="none" w:sz="0" w:space="0" w:color="auto"/>
                    <w:right w:val="none" w:sz="0" w:space="0" w:color="auto"/>
                  </w:divBdr>
                  <w:divsChild>
                    <w:div w:id="750347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400354">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528690911">
      <w:bodyDiv w:val="1"/>
      <w:marLeft w:val="0"/>
      <w:marRight w:val="0"/>
      <w:marTop w:val="0"/>
      <w:marBottom w:val="0"/>
      <w:divBdr>
        <w:top w:val="none" w:sz="0" w:space="0" w:color="auto"/>
        <w:left w:val="none" w:sz="0" w:space="0" w:color="auto"/>
        <w:bottom w:val="none" w:sz="0" w:space="0" w:color="auto"/>
        <w:right w:val="none" w:sz="0" w:space="0" w:color="auto"/>
      </w:divBdr>
    </w:div>
    <w:div w:id="538052457">
      <w:bodyDiv w:val="1"/>
      <w:marLeft w:val="0"/>
      <w:marRight w:val="0"/>
      <w:marTop w:val="0"/>
      <w:marBottom w:val="0"/>
      <w:divBdr>
        <w:top w:val="none" w:sz="0" w:space="0" w:color="auto"/>
        <w:left w:val="none" w:sz="0" w:space="0" w:color="auto"/>
        <w:bottom w:val="none" w:sz="0" w:space="0" w:color="auto"/>
        <w:right w:val="none" w:sz="0" w:space="0" w:color="auto"/>
      </w:divBdr>
      <w:divsChild>
        <w:div w:id="293679258">
          <w:marLeft w:val="0"/>
          <w:marRight w:val="0"/>
          <w:marTop w:val="0"/>
          <w:marBottom w:val="0"/>
          <w:divBdr>
            <w:top w:val="none" w:sz="0" w:space="0" w:color="auto"/>
            <w:left w:val="none" w:sz="0" w:space="0" w:color="auto"/>
            <w:bottom w:val="none" w:sz="0" w:space="0" w:color="auto"/>
            <w:right w:val="none" w:sz="0" w:space="0" w:color="auto"/>
          </w:divBdr>
          <w:divsChild>
            <w:div w:id="1751930579">
              <w:marLeft w:val="0"/>
              <w:marRight w:val="0"/>
              <w:marTop w:val="0"/>
              <w:marBottom w:val="0"/>
              <w:divBdr>
                <w:top w:val="none" w:sz="0" w:space="0" w:color="auto"/>
                <w:left w:val="none" w:sz="0" w:space="0" w:color="auto"/>
                <w:bottom w:val="none" w:sz="0" w:space="0" w:color="auto"/>
                <w:right w:val="none" w:sz="0" w:space="0" w:color="auto"/>
              </w:divBdr>
              <w:divsChild>
                <w:div w:id="1477531553">
                  <w:marLeft w:val="0"/>
                  <w:marRight w:val="0"/>
                  <w:marTop w:val="0"/>
                  <w:marBottom w:val="0"/>
                  <w:divBdr>
                    <w:top w:val="none" w:sz="0" w:space="0" w:color="auto"/>
                    <w:left w:val="none" w:sz="0" w:space="0" w:color="auto"/>
                    <w:bottom w:val="none" w:sz="0" w:space="0" w:color="auto"/>
                    <w:right w:val="none" w:sz="0" w:space="0" w:color="auto"/>
                  </w:divBdr>
                  <w:divsChild>
                    <w:div w:id="669331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5623194">
      <w:bodyDiv w:val="1"/>
      <w:marLeft w:val="0"/>
      <w:marRight w:val="0"/>
      <w:marTop w:val="0"/>
      <w:marBottom w:val="0"/>
      <w:divBdr>
        <w:top w:val="none" w:sz="0" w:space="0" w:color="auto"/>
        <w:left w:val="none" w:sz="0" w:space="0" w:color="auto"/>
        <w:bottom w:val="none" w:sz="0" w:space="0" w:color="auto"/>
        <w:right w:val="none" w:sz="0" w:space="0" w:color="auto"/>
      </w:divBdr>
      <w:divsChild>
        <w:div w:id="597257731">
          <w:marLeft w:val="0"/>
          <w:marRight w:val="0"/>
          <w:marTop w:val="0"/>
          <w:marBottom w:val="0"/>
          <w:divBdr>
            <w:top w:val="none" w:sz="0" w:space="0" w:color="auto"/>
            <w:left w:val="none" w:sz="0" w:space="0" w:color="auto"/>
            <w:bottom w:val="none" w:sz="0" w:space="0" w:color="auto"/>
            <w:right w:val="none" w:sz="0" w:space="0" w:color="auto"/>
          </w:divBdr>
          <w:divsChild>
            <w:div w:id="1566644036">
              <w:marLeft w:val="0"/>
              <w:marRight w:val="0"/>
              <w:marTop w:val="0"/>
              <w:marBottom w:val="0"/>
              <w:divBdr>
                <w:top w:val="none" w:sz="0" w:space="0" w:color="auto"/>
                <w:left w:val="none" w:sz="0" w:space="0" w:color="auto"/>
                <w:bottom w:val="none" w:sz="0" w:space="0" w:color="auto"/>
                <w:right w:val="none" w:sz="0" w:space="0" w:color="auto"/>
              </w:divBdr>
              <w:divsChild>
                <w:div w:id="208957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2855894">
      <w:bodyDiv w:val="1"/>
      <w:marLeft w:val="0"/>
      <w:marRight w:val="0"/>
      <w:marTop w:val="0"/>
      <w:marBottom w:val="0"/>
      <w:divBdr>
        <w:top w:val="none" w:sz="0" w:space="0" w:color="auto"/>
        <w:left w:val="none" w:sz="0" w:space="0" w:color="auto"/>
        <w:bottom w:val="none" w:sz="0" w:space="0" w:color="auto"/>
        <w:right w:val="none" w:sz="0" w:space="0" w:color="auto"/>
      </w:divBdr>
    </w:div>
    <w:div w:id="649821506">
      <w:bodyDiv w:val="1"/>
      <w:marLeft w:val="0"/>
      <w:marRight w:val="0"/>
      <w:marTop w:val="0"/>
      <w:marBottom w:val="0"/>
      <w:divBdr>
        <w:top w:val="none" w:sz="0" w:space="0" w:color="auto"/>
        <w:left w:val="none" w:sz="0" w:space="0" w:color="auto"/>
        <w:bottom w:val="none" w:sz="0" w:space="0" w:color="auto"/>
        <w:right w:val="none" w:sz="0" w:space="0" w:color="auto"/>
      </w:divBdr>
    </w:div>
    <w:div w:id="657923463">
      <w:bodyDiv w:val="1"/>
      <w:marLeft w:val="0"/>
      <w:marRight w:val="0"/>
      <w:marTop w:val="0"/>
      <w:marBottom w:val="0"/>
      <w:divBdr>
        <w:top w:val="none" w:sz="0" w:space="0" w:color="auto"/>
        <w:left w:val="none" w:sz="0" w:space="0" w:color="auto"/>
        <w:bottom w:val="none" w:sz="0" w:space="0" w:color="auto"/>
        <w:right w:val="none" w:sz="0" w:space="0" w:color="auto"/>
      </w:divBdr>
    </w:div>
    <w:div w:id="685834933">
      <w:bodyDiv w:val="1"/>
      <w:marLeft w:val="0"/>
      <w:marRight w:val="0"/>
      <w:marTop w:val="0"/>
      <w:marBottom w:val="0"/>
      <w:divBdr>
        <w:top w:val="none" w:sz="0" w:space="0" w:color="auto"/>
        <w:left w:val="none" w:sz="0" w:space="0" w:color="auto"/>
        <w:bottom w:val="none" w:sz="0" w:space="0" w:color="auto"/>
        <w:right w:val="none" w:sz="0" w:space="0" w:color="auto"/>
      </w:divBdr>
      <w:divsChild>
        <w:div w:id="1827236719">
          <w:marLeft w:val="0"/>
          <w:marRight w:val="0"/>
          <w:marTop w:val="0"/>
          <w:marBottom w:val="0"/>
          <w:divBdr>
            <w:top w:val="none" w:sz="0" w:space="0" w:color="auto"/>
            <w:left w:val="none" w:sz="0" w:space="0" w:color="auto"/>
            <w:bottom w:val="none" w:sz="0" w:space="0" w:color="auto"/>
            <w:right w:val="none" w:sz="0" w:space="0" w:color="auto"/>
          </w:divBdr>
          <w:divsChild>
            <w:div w:id="1528986041">
              <w:marLeft w:val="0"/>
              <w:marRight w:val="0"/>
              <w:marTop w:val="0"/>
              <w:marBottom w:val="0"/>
              <w:divBdr>
                <w:top w:val="none" w:sz="0" w:space="0" w:color="auto"/>
                <w:left w:val="none" w:sz="0" w:space="0" w:color="auto"/>
                <w:bottom w:val="none" w:sz="0" w:space="0" w:color="auto"/>
                <w:right w:val="none" w:sz="0" w:space="0" w:color="auto"/>
              </w:divBdr>
              <w:divsChild>
                <w:div w:id="225579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4141978">
      <w:bodyDiv w:val="1"/>
      <w:marLeft w:val="0"/>
      <w:marRight w:val="0"/>
      <w:marTop w:val="0"/>
      <w:marBottom w:val="0"/>
      <w:divBdr>
        <w:top w:val="none" w:sz="0" w:space="0" w:color="auto"/>
        <w:left w:val="none" w:sz="0" w:space="0" w:color="auto"/>
        <w:bottom w:val="none" w:sz="0" w:space="0" w:color="auto"/>
        <w:right w:val="none" w:sz="0" w:space="0" w:color="auto"/>
      </w:divBdr>
    </w:div>
    <w:div w:id="742486387">
      <w:bodyDiv w:val="1"/>
      <w:marLeft w:val="0"/>
      <w:marRight w:val="0"/>
      <w:marTop w:val="0"/>
      <w:marBottom w:val="0"/>
      <w:divBdr>
        <w:top w:val="none" w:sz="0" w:space="0" w:color="auto"/>
        <w:left w:val="none" w:sz="0" w:space="0" w:color="auto"/>
        <w:bottom w:val="none" w:sz="0" w:space="0" w:color="auto"/>
        <w:right w:val="none" w:sz="0" w:space="0" w:color="auto"/>
      </w:divBdr>
    </w:div>
    <w:div w:id="773549469">
      <w:bodyDiv w:val="1"/>
      <w:marLeft w:val="0"/>
      <w:marRight w:val="0"/>
      <w:marTop w:val="0"/>
      <w:marBottom w:val="0"/>
      <w:divBdr>
        <w:top w:val="none" w:sz="0" w:space="0" w:color="auto"/>
        <w:left w:val="none" w:sz="0" w:space="0" w:color="auto"/>
        <w:bottom w:val="none" w:sz="0" w:space="0" w:color="auto"/>
        <w:right w:val="none" w:sz="0" w:space="0" w:color="auto"/>
      </w:divBdr>
      <w:divsChild>
        <w:div w:id="1693219852">
          <w:marLeft w:val="0"/>
          <w:marRight w:val="0"/>
          <w:marTop w:val="0"/>
          <w:marBottom w:val="0"/>
          <w:divBdr>
            <w:top w:val="none" w:sz="0" w:space="0" w:color="auto"/>
            <w:left w:val="none" w:sz="0" w:space="0" w:color="auto"/>
            <w:bottom w:val="none" w:sz="0" w:space="0" w:color="auto"/>
            <w:right w:val="none" w:sz="0" w:space="0" w:color="auto"/>
          </w:divBdr>
          <w:divsChild>
            <w:div w:id="2023359027">
              <w:marLeft w:val="0"/>
              <w:marRight w:val="0"/>
              <w:marTop w:val="0"/>
              <w:marBottom w:val="0"/>
              <w:divBdr>
                <w:top w:val="none" w:sz="0" w:space="0" w:color="auto"/>
                <w:left w:val="none" w:sz="0" w:space="0" w:color="auto"/>
                <w:bottom w:val="none" w:sz="0" w:space="0" w:color="auto"/>
                <w:right w:val="none" w:sz="0" w:space="0" w:color="auto"/>
              </w:divBdr>
            </w:div>
          </w:divsChild>
        </w:div>
        <w:div w:id="1795442581">
          <w:marLeft w:val="0"/>
          <w:marRight w:val="0"/>
          <w:marTop w:val="0"/>
          <w:marBottom w:val="0"/>
          <w:divBdr>
            <w:top w:val="none" w:sz="0" w:space="0" w:color="auto"/>
            <w:left w:val="none" w:sz="0" w:space="0" w:color="auto"/>
            <w:bottom w:val="none" w:sz="0" w:space="0" w:color="auto"/>
            <w:right w:val="none" w:sz="0" w:space="0" w:color="auto"/>
          </w:divBdr>
          <w:divsChild>
            <w:div w:id="142549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5831276">
      <w:bodyDiv w:val="1"/>
      <w:marLeft w:val="0"/>
      <w:marRight w:val="0"/>
      <w:marTop w:val="0"/>
      <w:marBottom w:val="0"/>
      <w:divBdr>
        <w:top w:val="none" w:sz="0" w:space="0" w:color="auto"/>
        <w:left w:val="none" w:sz="0" w:space="0" w:color="auto"/>
        <w:bottom w:val="none" w:sz="0" w:space="0" w:color="auto"/>
        <w:right w:val="none" w:sz="0" w:space="0" w:color="auto"/>
      </w:divBdr>
    </w:div>
    <w:div w:id="893934457">
      <w:bodyDiv w:val="1"/>
      <w:marLeft w:val="0"/>
      <w:marRight w:val="0"/>
      <w:marTop w:val="0"/>
      <w:marBottom w:val="0"/>
      <w:divBdr>
        <w:top w:val="none" w:sz="0" w:space="0" w:color="auto"/>
        <w:left w:val="none" w:sz="0" w:space="0" w:color="auto"/>
        <w:bottom w:val="none" w:sz="0" w:space="0" w:color="auto"/>
        <w:right w:val="none" w:sz="0" w:space="0" w:color="auto"/>
      </w:divBdr>
    </w:div>
    <w:div w:id="910164740">
      <w:bodyDiv w:val="1"/>
      <w:marLeft w:val="0"/>
      <w:marRight w:val="0"/>
      <w:marTop w:val="0"/>
      <w:marBottom w:val="0"/>
      <w:divBdr>
        <w:top w:val="none" w:sz="0" w:space="0" w:color="auto"/>
        <w:left w:val="none" w:sz="0" w:space="0" w:color="auto"/>
        <w:bottom w:val="none" w:sz="0" w:space="0" w:color="auto"/>
        <w:right w:val="none" w:sz="0" w:space="0" w:color="auto"/>
      </w:divBdr>
    </w:div>
    <w:div w:id="953173263">
      <w:bodyDiv w:val="1"/>
      <w:marLeft w:val="0"/>
      <w:marRight w:val="0"/>
      <w:marTop w:val="0"/>
      <w:marBottom w:val="0"/>
      <w:divBdr>
        <w:top w:val="none" w:sz="0" w:space="0" w:color="auto"/>
        <w:left w:val="none" w:sz="0" w:space="0" w:color="auto"/>
        <w:bottom w:val="none" w:sz="0" w:space="0" w:color="auto"/>
        <w:right w:val="none" w:sz="0" w:space="0" w:color="auto"/>
      </w:divBdr>
    </w:div>
    <w:div w:id="974724308">
      <w:bodyDiv w:val="1"/>
      <w:marLeft w:val="0"/>
      <w:marRight w:val="0"/>
      <w:marTop w:val="0"/>
      <w:marBottom w:val="0"/>
      <w:divBdr>
        <w:top w:val="none" w:sz="0" w:space="0" w:color="auto"/>
        <w:left w:val="none" w:sz="0" w:space="0" w:color="auto"/>
        <w:bottom w:val="none" w:sz="0" w:space="0" w:color="auto"/>
        <w:right w:val="none" w:sz="0" w:space="0" w:color="auto"/>
      </w:divBdr>
    </w:div>
    <w:div w:id="1004672872">
      <w:bodyDiv w:val="1"/>
      <w:marLeft w:val="0"/>
      <w:marRight w:val="0"/>
      <w:marTop w:val="0"/>
      <w:marBottom w:val="0"/>
      <w:divBdr>
        <w:top w:val="none" w:sz="0" w:space="0" w:color="auto"/>
        <w:left w:val="none" w:sz="0" w:space="0" w:color="auto"/>
        <w:bottom w:val="none" w:sz="0" w:space="0" w:color="auto"/>
        <w:right w:val="none" w:sz="0" w:space="0" w:color="auto"/>
      </w:divBdr>
    </w:div>
    <w:div w:id="1008944424">
      <w:bodyDiv w:val="1"/>
      <w:marLeft w:val="0"/>
      <w:marRight w:val="0"/>
      <w:marTop w:val="0"/>
      <w:marBottom w:val="0"/>
      <w:divBdr>
        <w:top w:val="none" w:sz="0" w:space="0" w:color="auto"/>
        <w:left w:val="none" w:sz="0" w:space="0" w:color="auto"/>
        <w:bottom w:val="none" w:sz="0" w:space="0" w:color="auto"/>
        <w:right w:val="none" w:sz="0" w:space="0" w:color="auto"/>
      </w:divBdr>
    </w:div>
    <w:div w:id="1014107879">
      <w:bodyDiv w:val="1"/>
      <w:marLeft w:val="0"/>
      <w:marRight w:val="0"/>
      <w:marTop w:val="0"/>
      <w:marBottom w:val="0"/>
      <w:divBdr>
        <w:top w:val="none" w:sz="0" w:space="0" w:color="auto"/>
        <w:left w:val="none" w:sz="0" w:space="0" w:color="auto"/>
        <w:bottom w:val="none" w:sz="0" w:space="0" w:color="auto"/>
        <w:right w:val="none" w:sz="0" w:space="0" w:color="auto"/>
      </w:divBdr>
    </w:div>
    <w:div w:id="1161699058">
      <w:bodyDiv w:val="1"/>
      <w:marLeft w:val="0"/>
      <w:marRight w:val="0"/>
      <w:marTop w:val="0"/>
      <w:marBottom w:val="0"/>
      <w:divBdr>
        <w:top w:val="none" w:sz="0" w:space="0" w:color="auto"/>
        <w:left w:val="none" w:sz="0" w:space="0" w:color="auto"/>
        <w:bottom w:val="none" w:sz="0" w:space="0" w:color="auto"/>
        <w:right w:val="none" w:sz="0" w:space="0" w:color="auto"/>
      </w:divBdr>
    </w:div>
    <w:div w:id="1193224216">
      <w:bodyDiv w:val="1"/>
      <w:marLeft w:val="0"/>
      <w:marRight w:val="0"/>
      <w:marTop w:val="0"/>
      <w:marBottom w:val="0"/>
      <w:divBdr>
        <w:top w:val="none" w:sz="0" w:space="0" w:color="auto"/>
        <w:left w:val="none" w:sz="0" w:space="0" w:color="auto"/>
        <w:bottom w:val="none" w:sz="0" w:space="0" w:color="auto"/>
        <w:right w:val="none" w:sz="0" w:space="0" w:color="auto"/>
      </w:divBdr>
    </w:div>
    <w:div w:id="1213887254">
      <w:bodyDiv w:val="1"/>
      <w:marLeft w:val="0"/>
      <w:marRight w:val="0"/>
      <w:marTop w:val="0"/>
      <w:marBottom w:val="0"/>
      <w:divBdr>
        <w:top w:val="none" w:sz="0" w:space="0" w:color="auto"/>
        <w:left w:val="none" w:sz="0" w:space="0" w:color="auto"/>
        <w:bottom w:val="none" w:sz="0" w:space="0" w:color="auto"/>
        <w:right w:val="none" w:sz="0" w:space="0" w:color="auto"/>
      </w:divBdr>
    </w:div>
    <w:div w:id="1264339739">
      <w:bodyDiv w:val="1"/>
      <w:marLeft w:val="0"/>
      <w:marRight w:val="0"/>
      <w:marTop w:val="0"/>
      <w:marBottom w:val="0"/>
      <w:divBdr>
        <w:top w:val="none" w:sz="0" w:space="0" w:color="auto"/>
        <w:left w:val="none" w:sz="0" w:space="0" w:color="auto"/>
        <w:bottom w:val="none" w:sz="0" w:space="0" w:color="auto"/>
        <w:right w:val="none" w:sz="0" w:space="0" w:color="auto"/>
      </w:divBdr>
    </w:div>
    <w:div w:id="1372682995">
      <w:bodyDiv w:val="1"/>
      <w:marLeft w:val="0"/>
      <w:marRight w:val="0"/>
      <w:marTop w:val="0"/>
      <w:marBottom w:val="0"/>
      <w:divBdr>
        <w:top w:val="none" w:sz="0" w:space="0" w:color="auto"/>
        <w:left w:val="none" w:sz="0" w:space="0" w:color="auto"/>
        <w:bottom w:val="none" w:sz="0" w:space="0" w:color="auto"/>
        <w:right w:val="none" w:sz="0" w:space="0" w:color="auto"/>
      </w:divBdr>
      <w:divsChild>
        <w:div w:id="593783861">
          <w:marLeft w:val="0"/>
          <w:marRight w:val="0"/>
          <w:marTop w:val="0"/>
          <w:marBottom w:val="0"/>
          <w:divBdr>
            <w:top w:val="none" w:sz="0" w:space="0" w:color="auto"/>
            <w:left w:val="none" w:sz="0" w:space="0" w:color="auto"/>
            <w:bottom w:val="none" w:sz="0" w:space="0" w:color="auto"/>
            <w:right w:val="none" w:sz="0" w:space="0" w:color="auto"/>
          </w:divBdr>
          <w:divsChild>
            <w:div w:id="233509266">
              <w:marLeft w:val="0"/>
              <w:marRight w:val="0"/>
              <w:marTop w:val="0"/>
              <w:marBottom w:val="0"/>
              <w:divBdr>
                <w:top w:val="none" w:sz="0" w:space="0" w:color="auto"/>
                <w:left w:val="none" w:sz="0" w:space="0" w:color="auto"/>
                <w:bottom w:val="none" w:sz="0" w:space="0" w:color="auto"/>
                <w:right w:val="none" w:sz="0" w:space="0" w:color="auto"/>
              </w:divBdr>
              <w:divsChild>
                <w:div w:id="1605649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8550300">
      <w:bodyDiv w:val="1"/>
      <w:marLeft w:val="0"/>
      <w:marRight w:val="0"/>
      <w:marTop w:val="0"/>
      <w:marBottom w:val="0"/>
      <w:divBdr>
        <w:top w:val="none" w:sz="0" w:space="0" w:color="auto"/>
        <w:left w:val="none" w:sz="0" w:space="0" w:color="auto"/>
        <w:bottom w:val="none" w:sz="0" w:space="0" w:color="auto"/>
        <w:right w:val="none" w:sz="0" w:space="0" w:color="auto"/>
      </w:divBdr>
    </w:div>
    <w:div w:id="1539856460">
      <w:bodyDiv w:val="1"/>
      <w:marLeft w:val="0"/>
      <w:marRight w:val="0"/>
      <w:marTop w:val="0"/>
      <w:marBottom w:val="0"/>
      <w:divBdr>
        <w:top w:val="none" w:sz="0" w:space="0" w:color="auto"/>
        <w:left w:val="none" w:sz="0" w:space="0" w:color="auto"/>
        <w:bottom w:val="none" w:sz="0" w:space="0" w:color="auto"/>
        <w:right w:val="none" w:sz="0" w:space="0" w:color="auto"/>
      </w:divBdr>
      <w:divsChild>
        <w:div w:id="777288955">
          <w:marLeft w:val="0"/>
          <w:marRight w:val="0"/>
          <w:marTop w:val="0"/>
          <w:marBottom w:val="0"/>
          <w:divBdr>
            <w:top w:val="none" w:sz="0" w:space="0" w:color="auto"/>
            <w:left w:val="none" w:sz="0" w:space="0" w:color="auto"/>
            <w:bottom w:val="none" w:sz="0" w:space="0" w:color="auto"/>
            <w:right w:val="none" w:sz="0" w:space="0" w:color="auto"/>
          </w:divBdr>
          <w:divsChild>
            <w:div w:id="413863534">
              <w:marLeft w:val="0"/>
              <w:marRight w:val="0"/>
              <w:marTop w:val="0"/>
              <w:marBottom w:val="0"/>
              <w:divBdr>
                <w:top w:val="none" w:sz="0" w:space="0" w:color="auto"/>
                <w:left w:val="none" w:sz="0" w:space="0" w:color="auto"/>
                <w:bottom w:val="none" w:sz="0" w:space="0" w:color="auto"/>
                <w:right w:val="none" w:sz="0" w:space="0" w:color="auto"/>
              </w:divBdr>
              <w:divsChild>
                <w:div w:id="1486817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8954086">
      <w:bodyDiv w:val="1"/>
      <w:marLeft w:val="0"/>
      <w:marRight w:val="0"/>
      <w:marTop w:val="0"/>
      <w:marBottom w:val="0"/>
      <w:divBdr>
        <w:top w:val="none" w:sz="0" w:space="0" w:color="auto"/>
        <w:left w:val="none" w:sz="0" w:space="0" w:color="auto"/>
        <w:bottom w:val="none" w:sz="0" w:space="0" w:color="auto"/>
        <w:right w:val="none" w:sz="0" w:space="0" w:color="auto"/>
      </w:divBdr>
    </w:div>
    <w:div w:id="1571423430">
      <w:bodyDiv w:val="1"/>
      <w:marLeft w:val="0"/>
      <w:marRight w:val="0"/>
      <w:marTop w:val="0"/>
      <w:marBottom w:val="0"/>
      <w:divBdr>
        <w:top w:val="none" w:sz="0" w:space="0" w:color="auto"/>
        <w:left w:val="none" w:sz="0" w:space="0" w:color="auto"/>
        <w:bottom w:val="none" w:sz="0" w:space="0" w:color="auto"/>
        <w:right w:val="none" w:sz="0" w:space="0" w:color="auto"/>
      </w:divBdr>
    </w:div>
    <w:div w:id="1587418584">
      <w:bodyDiv w:val="1"/>
      <w:marLeft w:val="0"/>
      <w:marRight w:val="0"/>
      <w:marTop w:val="0"/>
      <w:marBottom w:val="0"/>
      <w:divBdr>
        <w:top w:val="none" w:sz="0" w:space="0" w:color="auto"/>
        <w:left w:val="none" w:sz="0" w:space="0" w:color="auto"/>
        <w:bottom w:val="none" w:sz="0" w:space="0" w:color="auto"/>
        <w:right w:val="none" w:sz="0" w:space="0" w:color="auto"/>
      </w:divBdr>
      <w:divsChild>
        <w:div w:id="1181119235">
          <w:marLeft w:val="0"/>
          <w:marRight w:val="0"/>
          <w:marTop w:val="0"/>
          <w:marBottom w:val="0"/>
          <w:divBdr>
            <w:top w:val="none" w:sz="0" w:space="0" w:color="auto"/>
            <w:left w:val="none" w:sz="0" w:space="0" w:color="auto"/>
            <w:bottom w:val="none" w:sz="0" w:space="0" w:color="auto"/>
            <w:right w:val="none" w:sz="0" w:space="0" w:color="auto"/>
          </w:divBdr>
          <w:divsChild>
            <w:div w:id="933243238">
              <w:marLeft w:val="0"/>
              <w:marRight w:val="0"/>
              <w:marTop w:val="0"/>
              <w:marBottom w:val="0"/>
              <w:divBdr>
                <w:top w:val="none" w:sz="0" w:space="0" w:color="auto"/>
                <w:left w:val="none" w:sz="0" w:space="0" w:color="auto"/>
                <w:bottom w:val="none" w:sz="0" w:space="0" w:color="auto"/>
                <w:right w:val="none" w:sz="0" w:space="0" w:color="auto"/>
              </w:divBdr>
              <w:divsChild>
                <w:div w:id="647248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8343173">
      <w:bodyDiv w:val="1"/>
      <w:marLeft w:val="0"/>
      <w:marRight w:val="0"/>
      <w:marTop w:val="0"/>
      <w:marBottom w:val="0"/>
      <w:divBdr>
        <w:top w:val="none" w:sz="0" w:space="0" w:color="auto"/>
        <w:left w:val="none" w:sz="0" w:space="0" w:color="auto"/>
        <w:bottom w:val="none" w:sz="0" w:space="0" w:color="auto"/>
        <w:right w:val="none" w:sz="0" w:space="0" w:color="auto"/>
      </w:divBdr>
    </w:div>
    <w:div w:id="1594314269">
      <w:bodyDiv w:val="1"/>
      <w:marLeft w:val="0"/>
      <w:marRight w:val="0"/>
      <w:marTop w:val="0"/>
      <w:marBottom w:val="0"/>
      <w:divBdr>
        <w:top w:val="none" w:sz="0" w:space="0" w:color="auto"/>
        <w:left w:val="none" w:sz="0" w:space="0" w:color="auto"/>
        <w:bottom w:val="none" w:sz="0" w:space="0" w:color="auto"/>
        <w:right w:val="none" w:sz="0" w:space="0" w:color="auto"/>
      </w:divBdr>
    </w:div>
    <w:div w:id="1612132252">
      <w:bodyDiv w:val="1"/>
      <w:marLeft w:val="0"/>
      <w:marRight w:val="0"/>
      <w:marTop w:val="0"/>
      <w:marBottom w:val="0"/>
      <w:divBdr>
        <w:top w:val="none" w:sz="0" w:space="0" w:color="auto"/>
        <w:left w:val="none" w:sz="0" w:space="0" w:color="auto"/>
        <w:bottom w:val="none" w:sz="0" w:space="0" w:color="auto"/>
        <w:right w:val="none" w:sz="0" w:space="0" w:color="auto"/>
      </w:divBdr>
    </w:div>
    <w:div w:id="1757092349">
      <w:bodyDiv w:val="1"/>
      <w:marLeft w:val="0"/>
      <w:marRight w:val="0"/>
      <w:marTop w:val="0"/>
      <w:marBottom w:val="0"/>
      <w:divBdr>
        <w:top w:val="none" w:sz="0" w:space="0" w:color="auto"/>
        <w:left w:val="none" w:sz="0" w:space="0" w:color="auto"/>
        <w:bottom w:val="none" w:sz="0" w:space="0" w:color="auto"/>
        <w:right w:val="none" w:sz="0" w:space="0" w:color="auto"/>
      </w:divBdr>
    </w:div>
    <w:div w:id="1804958937">
      <w:bodyDiv w:val="1"/>
      <w:marLeft w:val="0"/>
      <w:marRight w:val="0"/>
      <w:marTop w:val="0"/>
      <w:marBottom w:val="0"/>
      <w:divBdr>
        <w:top w:val="none" w:sz="0" w:space="0" w:color="auto"/>
        <w:left w:val="none" w:sz="0" w:space="0" w:color="auto"/>
        <w:bottom w:val="none" w:sz="0" w:space="0" w:color="auto"/>
        <w:right w:val="none" w:sz="0" w:space="0" w:color="auto"/>
      </w:divBdr>
    </w:div>
    <w:div w:id="1844125587">
      <w:bodyDiv w:val="1"/>
      <w:marLeft w:val="0"/>
      <w:marRight w:val="0"/>
      <w:marTop w:val="0"/>
      <w:marBottom w:val="0"/>
      <w:divBdr>
        <w:top w:val="none" w:sz="0" w:space="0" w:color="auto"/>
        <w:left w:val="none" w:sz="0" w:space="0" w:color="auto"/>
        <w:bottom w:val="none" w:sz="0" w:space="0" w:color="auto"/>
        <w:right w:val="none" w:sz="0" w:space="0" w:color="auto"/>
      </w:divBdr>
      <w:divsChild>
        <w:div w:id="376858781">
          <w:marLeft w:val="0"/>
          <w:marRight w:val="0"/>
          <w:marTop w:val="0"/>
          <w:marBottom w:val="0"/>
          <w:divBdr>
            <w:top w:val="none" w:sz="0" w:space="0" w:color="auto"/>
            <w:left w:val="none" w:sz="0" w:space="0" w:color="auto"/>
            <w:bottom w:val="none" w:sz="0" w:space="0" w:color="auto"/>
            <w:right w:val="none" w:sz="0" w:space="0" w:color="auto"/>
          </w:divBdr>
          <w:divsChild>
            <w:div w:id="558325464">
              <w:marLeft w:val="0"/>
              <w:marRight w:val="0"/>
              <w:marTop w:val="0"/>
              <w:marBottom w:val="0"/>
              <w:divBdr>
                <w:top w:val="none" w:sz="0" w:space="0" w:color="auto"/>
                <w:left w:val="none" w:sz="0" w:space="0" w:color="auto"/>
                <w:bottom w:val="none" w:sz="0" w:space="0" w:color="auto"/>
                <w:right w:val="none" w:sz="0" w:space="0" w:color="auto"/>
              </w:divBdr>
              <w:divsChild>
                <w:div w:id="1411537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4362898">
      <w:bodyDiv w:val="1"/>
      <w:marLeft w:val="0"/>
      <w:marRight w:val="0"/>
      <w:marTop w:val="0"/>
      <w:marBottom w:val="0"/>
      <w:divBdr>
        <w:top w:val="none" w:sz="0" w:space="0" w:color="auto"/>
        <w:left w:val="none" w:sz="0" w:space="0" w:color="auto"/>
        <w:bottom w:val="none" w:sz="0" w:space="0" w:color="auto"/>
        <w:right w:val="none" w:sz="0" w:space="0" w:color="auto"/>
      </w:divBdr>
    </w:div>
    <w:div w:id="1909195364">
      <w:bodyDiv w:val="1"/>
      <w:marLeft w:val="0"/>
      <w:marRight w:val="0"/>
      <w:marTop w:val="0"/>
      <w:marBottom w:val="0"/>
      <w:divBdr>
        <w:top w:val="none" w:sz="0" w:space="0" w:color="auto"/>
        <w:left w:val="none" w:sz="0" w:space="0" w:color="auto"/>
        <w:bottom w:val="none" w:sz="0" w:space="0" w:color="auto"/>
        <w:right w:val="none" w:sz="0" w:space="0" w:color="auto"/>
      </w:divBdr>
    </w:div>
    <w:div w:id="1920285568">
      <w:bodyDiv w:val="1"/>
      <w:marLeft w:val="0"/>
      <w:marRight w:val="0"/>
      <w:marTop w:val="0"/>
      <w:marBottom w:val="0"/>
      <w:divBdr>
        <w:top w:val="none" w:sz="0" w:space="0" w:color="auto"/>
        <w:left w:val="none" w:sz="0" w:space="0" w:color="auto"/>
        <w:bottom w:val="none" w:sz="0" w:space="0" w:color="auto"/>
        <w:right w:val="none" w:sz="0" w:space="0" w:color="auto"/>
      </w:divBdr>
    </w:div>
    <w:div w:id="1968584149">
      <w:bodyDiv w:val="1"/>
      <w:marLeft w:val="0"/>
      <w:marRight w:val="0"/>
      <w:marTop w:val="0"/>
      <w:marBottom w:val="0"/>
      <w:divBdr>
        <w:top w:val="none" w:sz="0" w:space="0" w:color="auto"/>
        <w:left w:val="none" w:sz="0" w:space="0" w:color="auto"/>
        <w:bottom w:val="none" w:sz="0" w:space="0" w:color="auto"/>
        <w:right w:val="none" w:sz="0" w:space="0" w:color="auto"/>
      </w:divBdr>
      <w:divsChild>
        <w:div w:id="445658312">
          <w:marLeft w:val="0"/>
          <w:marRight w:val="0"/>
          <w:marTop w:val="0"/>
          <w:marBottom w:val="0"/>
          <w:divBdr>
            <w:top w:val="none" w:sz="0" w:space="0" w:color="auto"/>
            <w:left w:val="none" w:sz="0" w:space="0" w:color="auto"/>
            <w:bottom w:val="none" w:sz="0" w:space="0" w:color="auto"/>
            <w:right w:val="none" w:sz="0" w:space="0" w:color="auto"/>
          </w:divBdr>
          <w:divsChild>
            <w:div w:id="289482795">
              <w:marLeft w:val="0"/>
              <w:marRight w:val="0"/>
              <w:marTop w:val="0"/>
              <w:marBottom w:val="0"/>
              <w:divBdr>
                <w:top w:val="none" w:sz="0" w:space="0" w:color="auto"/>
                <w:left w:val="none" w:sz="0" w:space="0" w:color="auto"/>
                <w:bottom w:val="none" w:sz="0" w:space="0" w:color="auto"/>
                <w:right w:val="none" w:sz="0" w:space="0" w:color="auto"/>
              </w:divBdr>
              <w:divsChild>
                <w:div w:id="99490715">
                  <w:marLeft w:val="0"/>
                  <w:marRight w:val="0"/>
                  <w:marTop w:val="0"/>
                  <w:marBottom w:val="0"/>
                  <w:divBdr>
                    <w:top w:val="none" w:sz="0" w:space="0" w:color="auto"/>
                    <w:left w:val="none" w:sz="0" w:space="0" w:color="auto"/>
                    <w:bottom w:val="none" w:sz="0" w:space="0" w:color="auto"/>
                    <w:right w:val="none" w:sz="0" w:space="0" w:color="auto"/>
                  </w:divBdr>
                  <w:divsChild>
                    <w:div w:id="545407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2564049">
      <w:bodyDiv w:val="1"/>
      <w:marLeft w:val="0"/>
      <w:marRight w:val="0"/>
      <w:marTop w:val="0"/>
      <w:marBottom w:val="0"/>
      <w:divBdr>
        <w:top w:val="none" w:sz="0" w:space="0" w:color="auto"/>
        <w:left w:val="none" w:sz="0" w:space="0" w:color="auto"/>
        <w:bottom w:val="none" w:sz="0" w:space="0" w:color="auto"/>
        <w:right w:val="none" w:sz="0" w:space="0" w:color="auto"/>
      </w:divBdr>
    </w:div>
    <w:div w:id="2047414404">
      <w:bodyDiv w:val="1"/>
      <w:marLeft w:val="0"/>
      <w:marRight w:val="0"/>
      <w:marTop w:val="0"/>
      <w:marBottom w:val="0"/>
      <w:divBdr>
        <w:top w:val="none" w:sz="0" w:space="0" w:color="auto"/>
        <w:left w:val="none" w:sz="0" w:space="0" w:color="auto"/>
        <w:bottom w:val="none" w:sz="0" w:space="0" w:color="auto"/>
        <w:right w:val="none" w:sz="0" w:space="0" w:color="auto"/>
      </w:divBdr>
    </w:div>
    <w:div w:id="2057849768">
      <w:bodyDiv w:val="1"/>
      <w:marLeft w:val="0"/>
      <w:marRight w:val="0"/>
      <w:marTop w:val="0"/>
      <w:marBottom w:val="0"/>
      <w:divBdr>
        <w:top w:val="none" w:sz="0" w:space="0" w:color="auto"/>
        <w:left w:val="none" w:sz="0" w:space="0" w:color="auto"/>
        <w:bottom w:val="none" w:sz="0" w:space="0" w:color="auto"/>
        <w:right w:val="none" w:sz="0" w:space="0" w:color="auto"/>
      </w:divBdr>
      <w:divsChild>
        <w:div w:id="121307556">
          <w:marLeft w:val="0"/>
          <w:marRight w:val="0"/>
          <w:marTop w:val="0"/>
          <w:marBottom w:val="0"/>
          <w:divBdr>
            <w:top w:val="none" w:sz="0" w:space="0" w:color="auto"/>
            <w:left w:val="none" w:sz="0" w:space="0" w:color="auto"/>
            <w:bottom w:val="none" w:sz="0" w:space="0" w:color="auto"/>
            <w:right w:val="none" w:sz="0" w:space="0" w:color="auto"/>
          </w:divBdr>
          <w:divsChild>
            <w:div w:id="983703154">
              <w:marLeft w:val="0"/>
              <w:marRight w:val="0"/>
              <w:marTop w:val="0"/>
              <w:marBottom w:val="0"/>
              <w:divBdr>
                <w:top w:val="none" w:sz="0" w:space="0" w:color="auto"/>
                <w:left w:val="none" w:sz="0" w:space="0" w:color="auto"/>
                <w:bottom w:val="none" w:sz="0" w:space="0" w:color="auto"/>
                <w:right w:val="none" w:sz="0" w:space="0" w:color="auto"/>
              </w:divBdr>
              <w:divsChild>
                <w:div w:id="1937709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2.xml><?xml version="1.0" encoding="utf-8"?>
<ds:datastoreItem xmlns:ds="http://schemas.openxmlformats.org/officeDocument/2006/customXml" ds:itemID="{BD470E62-B2C8-B246-BB8D-7C51BDA1783F}">
  <ds:schemaRefs>
    <ds:schemaRef ds:uri="http://schemas.openxmlformats.org/officeDocument/2006/bibliography"/>
  </ds:schemaRefs>
</ds:datastoreItem>
</file>

<file path=customXml/itemProps3.xml><?xml version="1.0" encoding="utf-8"?>
<ds:datastoreItem xmlns:ds="http://schemas.openxmlformats.org/officeDocument/2006/customXml" ds:itemID="{DC9FE9F6-B92F-4F28-AB1B-1778E8CA08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6531237-C176-4595-9494-449A98B1F907}">
  <ds:schemaRefs>
    <ds:schemaRef ds:uri="http://schemas.microsoft.com/office/2006/metadata/properties"/>
    <ds:schemaRef ds:uri="http://schemas.microsoft.com/office/infopath/2007/PartnerControls"/>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4</TotalTime>
  <Pages>19</Pages>
  <Words>6361</Words>
  <Characters>34988</Characters>
  <Application>Microsoft Office Word</Application>
  <DocSecurity>0</DocSecurity>
  <Lines>291</Lines>
  <Paragraphs>82</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41267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anv</dc:creator>
  <cp:lastModifiedBy>Nina María Padrón</cp:lastModifiedBy>
  <cp:revision>3</cp:revision>
  <dcterms:created xsi:type="dcterms:W3CDTF">2022-04-01T14:57:00Z</dcterms:created>
  <dcterms:modified xsi:type="dcterms:W3CDTF">2022-04-01T14:57:00Z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