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1C0C3" w14:textId="77777777" w:rsidR="00DF6818" w:rsidRPr="00DA67B3" w:rsidRDefault="00DF6818" w:rsidP="00DF6818">
      <w:pPr>
        <w:spacing w:after="0" w:line="240" w:lineRule="auto"/>
        <w:contextualSpacing/>
        <w:jc w:val="both"/>
        <w:rPr>
          <w:rFonts w:ascii="Verdana" w:eastAsia="Calibri" w:hAnsi="Verdana" w:cs="Arial"/>
          <w:b/>
          <w:noProof/>
          <w:lang w:val="es-ES_tradnl" w:eastAsia="es-ES_tradnl"/>
        </w:rPr>
      </w:pPr>
      <w:r w:rsidRPr="00DA67B3">
        <w:rPr>
          <w:rFonts w:ascii="Verdana" w:eastAsia="Calibri" w:hAnsi="Verdana" w:cs="Arial"/>
          <w:b/>
          <w:noProof/>
          <w:lang w:val="es-ES_tradnl" w:eastAsia="es-ES_tradnl"/>
        </w:rPr>
        <w:t>EXPERIENCIA – Verificación – RUP – Excepciones</w:t>
      </w:r>
    </w:p>
    <w:p w14:paraId="289CC0C6" w14:textId="77777777" w:rsidR="00DF6818" w:rsidRPr="00DA67B3" w:rsidRDefault="00DF6818" w:rsidP="00DF6818">
      <w:pPr>
        <w:spacing w:after="0" w:line="240" w:lineRule="auto"/>
        <w:contextualSpacing/>
        <w:jc w:val="both"/>
        <w:rPr>
          <w:rFonts w:ascii="Verdana" w:eastAsia="Calibri" w:hAnsi="Verdana" w:cs="Arial"/>
          <w:b/>
          <w:noProof/>
          <w:sz w:val="20"/>
          <w:szCs w:val="20"/>
          <w:lang w:val="es-ES_tradnl" w:eastAsia="es-ES_tradnl"/>
        </w:rPr>
      </w:pPr>
    </w:p>
    <w:p w14:paraId="209C2DCB" w14:textId="77777777" w:rsidR="00DF6818" w:rsidRPr="00DA67B3" w:rsidRDefault="00DF6818" w:rsidP="00DF6818">
      <w:pPr>
        <w:spacing w:after="0" w:line="240" w:lineRule="auto"/>
        <w:contextualSpacing/>
        <w:jc w:val="both"/>
        <w:rPr>
          <w:rFonts w:ascii="Verdana" w:eastAsia="Calibri" w:hAnsi="Verdana" w:cs="Arial"/>
          <w:bCs/>
          <w:sz w:val="20"/>
          <w:szCs w:val="20"/>
          <w:lang w:val="es-MX" w:eastAsia="es-ES_tradnl"/>
        </w:rPr>
      </w:pPr>
      <w:r w:rsidRPr="00DA67B3">
        <w:rPr>
          <w:rFonts w:ascii="Verdana" w:eastAsia="Calibri" w:hAnsi="Verdana" w:cs="Arial"/>
          <w:bCs/>
          <w:sz w:val="20"/>
          <w:szCs w:val="20"/>
          <w:lang w:val="es-ES_tradnl" w:eastAsia="es-MX"/>
        </w:rPr>
        <w:t>No obstante, el RUP no es exigible en todos los procesos de selección. El segundo inciso del artículo 6 de la Ley 1150 de 2007 señala los casos en los que no se requerirá el RUP: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229591A0" w14:textId="77777777" w:rsidR="00DF6818" w:rsidRPr="00DA67B3" w:rsidRDefault="00DF6818" w:rsidP="00DF6818">
      <w:pPr>
        <w:spacing w:after="0" w:line="240" w:lineRule="auto"/>
        <w:contextualSpacing/>
        <w:jc w:val="both"/>
        <w:rPr>
          <w:rFonts w:ascii="Verdana" w:eastAsia="Calibri" w:hAnsi="Verdana" w:cs="Arial"/>
          <w:b/>
          <w:noProof/>
          <w:sz w:val="20"/>
          <w:szCs w:val="20"/>
          <w:lang w:val="es-ES_tradnl" w:eastAsia="es-ES_tradnl"/>
        </w:rPr>
      </w:pPr>
    </w:p>
    <w:p w14:paraId="5F006889" w14:textId="77777777" w:rsidR="00DF6818" w:rsidRPr="00DA67B3" w:rsidRDefault="00DF6818" w:rsidP="00DF6818">
      <w:pPr>
        <w:spacing w:after="0" w:line="240" w:lineRule="auto"/>
        <w:contextualSpacing/>
        <w:jc w:val="both"/>
        <w:rPr>
          <w:rFonts w:ascii="Verdana" w:eastAsia="Times New Roman" w:hAnsi="Verdana" w:cs="Arial"/>
          <w:b/>
          <w:bCs/>
          <w:lang w:eastAsia="es-ES_tradnl"/>
        </w:rPr>
      </w:pPr>
      <w:r>
        <w:rPr>
          <w:rFonts w:ascii="Verdana" w:eastAsia="Times New Roman" w:hAnsi="Verdana" w:cs="Arial"/>
          <w:b/>
          <w:bCs/>
          <w:lang w:eastAsia="es-ES_tradnl"/>
        </w:rPr>
        <w:t>EXPERIENCIA</w:t>
      </w:r>
      <w:r w:rsidRPr="00DA67B3">
        <w:rPr>
          <w:rFonts w:ascii="Verdana" w:eastAsia="Times New Roman" w:hAnsi="Verdana" w:cs="Arial"/>
          <w:b/>
          <w:bCs/>
          <w:lang w:eastAsia="es-ES_tradnl"/>
        </w:rPr>
        <w:t xml:space="preserve"> – </w:t>
      </w:r>
      <w:r>
        <w:rPr>
          <w:rFonts w:ascii="Verdana" w:eastAsia="Times New Roman" w:hAnsi="Verdana" w:cs="Arial"/>
          <w:b/>
          <w:bCs/>
          <w:lang w:eastAsia="es-ES_tradnl"/>
        </w:rPr>
        <w:t>Excepciones</w:t>
      </w:r>
      <w:r w:rsidRPr="00DA67B3">
        <w:rPr>
          <w:rFonts w:ascii="Verdana" w:eastAsia="Times New Roman" w:hAnsi="Verdana" w:cs="Arial"/>
          <w:b/>
          <w:bCs/>
          <w:lang w:eastAsia="es-ES_tradnl"/>
        </w:rPr>
        <w:t xml:space="preserve"> –</w:t>
      </w:r>
      <w:r>
        <w:rPr>
          <w:rFonts w:ascii="Verdana" w:eastAsia="Times New Roman" w:hAnsi="Verdana" w:cs="Arial"/>
          <w:b/>
          <w:bCs/>
          <w:lang w:eastAsia="es-ES_tradnl"/>
        </w:rPr>
        <w:t xml:space="preserve"> Prestación de servicios de salud </w:t>
      </w:r>
      <w:r w:rsidRPr="00DA67B3">
        <w:rPr>
          <w:rFonts w:ascii="Verdana" w:eastAsia="Times New Roman" w:hAnsi="Verdana" w:cs="Arial"/>
          <w:b/>
          <w:bCs/>
          <w:lang w:eastAsia="es-ES_tradnl"/>
        </w:rPr>
        <w:t>– Documentos</w:t>
      </w:r>
    </w:p>
    <w:p w14:paraId="2DB73F90" w14:textId="77777777" w:rsidR="00DF6818" w:rsidRPr="00DA67B3" w:rsidRDefault="00DF6818" w:rsidP="00DF6818">
      <w:pPr>
        <w:spacing w:after="0" w:line="240" w:lineRule="auto"/>
        <w:contextualSpacing/>
        <w:jc w:val="both"/>
        <w:rPr>
          <w:rFonts w:ascii="Verdana" w:eastAsia="Times New Roman" w:hAnsi="Verdana" w:cs="Arial"/>
          <w:sz w:val="20"/>
          <w:szCs w:val="20"/>
          <w:lang w:eastAsia="es-ES_tradnl"/>
        </w:rPr>
      </w:pPr>
    </w:p>
    <w:p w14:paraId="6A0E5173" w14:textId="77777777" w:rsidR="00DF6818" w:rsidRDefault="00DF6818" w:rsidP="00DF6818">
      <w:pPr>
        <w:spacing w:after="0" w:line="240" w:lineRule="auto"/>
        <w:contextualSpacing/>
        <w:jc w:val="both"/>
        <w:rPr>
          <w:rFonts w:ascii="Verdana" w:eastAsia="Calibri" w:hAnsi="Verdana" w:cs="Arial"/>
          <w:sz w:val="20"/>
          <w:szCs w:val="20"/>
          <w:lang w:eastAsia="es-ES_tradnl"/>
        </w:rPr>
      </w:pPr>
      <w:r w:rsidRPr="006B4680">
        <w:rPr>
          <w:rFonts w:ascii="Verdana" w:eastAsia="Calibri" w:hAnsi="Verdana" w:cs="Arial"/>
          <w:sz w:val="20"/>
          <w:szCs w:val="20"/>
          <w:lang w:eastAsia="es-ES_tradnl"/>
        </w:rPr>
        <w:t>De acuerdo con el artículo 6 de la Ley 1150 de 2007, la experiencia se verifica con el RUP que es plena prueba de la información que contiene, pero hay unos procesos exceptuados del RUP, como la prestación de servicios de salud, y en ese caso la entidad hará la verificación de la experiencia y de los demás requisitos habilitantes de forma directa, determinando la documentación que se deba presentar.</w:t>
      </w:r>
    </w:p>
    <w:p w14:paraId="42579653" w14:textId="77777777" w:rsidR="00DF6818" w:rsidRPr="006B4680" w:rsidRDefault="00DF6818" w:rsidP="00DF6818">
      <w:pPr>
        <w:spacing w:after="0" w:line="240" w:lineRule="auto"/>
        <w:contextualSpacing/>
        <w:jc w:val="both"/>
        <w:rPr>
          <w:rFonts w:ascii="Verdana" w:eastAsia="Calibri" w:hAnsi="Verdana" w:cs="Arial"/>
          <w:sz w:val="20"/>
          <w:szCs w:val="20"/>
          <w:lang w:eastAsia="es-ES_tradnl"/>
        </w:rPr>
      </w:pPr>
    </w:p>
    <w:p w14:paraId="352EB70F" w14:textId="77777777" w:rsidR="00DF6818" w:rsidRPr="00DA67B3" w:rsidRDefault="00DF6818" w:rsidP="00DF6818">
      <w:pPr>
        <w:spacing w:after="0" w:line="240" w:lineRule="auto"/>
        <w:contextualSpacing/>
        <w:jc w:val="both"/>
        <w:rPr>
          <w:rFonts w:ascii="Verdana" w:eastAsia="Calibri" w:hAnsi="Verdana" w:cs="Arial"/>
          <w:b/>
          <w:noProof/>
          <w:sz w:val="20"/>
          <w:szCs w:val="20"/>
          <w:lang w:val="es-ES_tradnl" w:eastAsia="es-ES_tradnl"/>
        </w:rPr>
      </w:pPr>
      <w:r w:rsidRPr="006B4680">
        <w:rPr>
          <w:rFonts w:ascii="Verdana" w:eastAsia="Calibri" w:hAnsi="Verdana" w:cs="Arial"/>
          <w:sz w:val="20"/>
          <w:szCs w:val="20"/>
          <w:lang w:eastAsia="es-ES_tradnl"/>
        </w:rPr>
        <w:t>En ese sentido, la entidad al pedir la documentación para verificar directamente la experiencia debe determinar en el pliego de condiciones cuál información se debe presentar y cómo debe hacerse, esto es, los requisitos y normas que deben cumplir los documentos para que la entidad pueda evaluar la experiencia. Sobre la norma para admitir esa experiencia, en el sistema de compra pública no existe una regla en ese sentido, ya que la entidad contratante, en su autonomía, debe evaluar la experiencia y determinar si cumple con el establecido en el pliego de condiciones y debe ser admitida o no.</w:t>
      </w:r>
    </w:p>
    <w:p w14:paraId="5C318A2C"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738E9E03"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4150C5BC"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52BEA5D2"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76EC5209"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631420EC"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163FEF1B"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2DC48B78"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682737F5"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439AA924"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1F579C94"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7F1E8CB7"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5209361A" w14:textId="77777777" w:rsidR="00DF6818" w:rsidRDefault="00DF6818" w:rsidP="00DF6818">
      <w:pPr>
        <w:spacing w:after="0" w:line="240" w:lineRule="auto"/>
        <w:jc w:val="both"/>
        <w:rPr>
          <w:rFonts w:ascii="Verdana" w:eastAsia="Times New Roman" w:hAnsi="Verdana" w:cs="Arial"/>
          <w:noProof/>
          <w:lang w:val="es-ES_tradnl" w:eastAsia="es-ES_tradnl"/>
        </w:rPr>
      </w:pPr>
    </w:p>
    <w:p w14:paraId="466D5365"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6B251C43" w14:textId="77777777" w:rsidR="00DF6818" w:rsidRDefault="00DF6818" w:rsidP="00DF6818">
      <w:pPr>
        <w:spacing w:after="0" w:line="240" w:lineRule="auto"/>
        <w:jc w:val="both"/>
        <w:rPr>
          <w:rFonts w:ascii="Verdana" w:eastAsia="Times New Roman" w:hAnsi="Verdana" w:cs="Arial"/>
          <w:noProof/>
          <w:lang w:val="es-ES_tradnl" w:eastAsia="es-ES_tradnl"/>
        </w:rPr>
      </w:pPr>
    </w:p>
    <w:p w14:paraId="09BA16A0"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4302BB56" w14:textId="77777777"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5AD9A975" w14:textId="32F2B365" w:rsidR="00DF6818" w:rsidRDefault="00DF6818" w:rsidP="00DF6818">
      <w:pPr>
        <w:spacing w:after="0" w:line="240" w:lineRule="auto"/>
        <w:jc w:val="both"/>
        <w:rPr>
          <w:rFonts w:ascii="Verdana" w:eastAsia="Times New Roman" w:hAnsi="Verdana" w:cs="Arial"/>
          <w:noProof/>
          <w:lang w:val="es-ES_tradnl" w:eastAsia="es-ES_tradnl"/>
        </w:rPr>
      </w:pPr>
      <w:r>
        <w:rPr>
          <w:rFonts w:ascii="Verdana" w:eastAsia="Times New Roman" w:hAnsi="Verdana" w:cs="Arial"/>
          <w:noProof/>
          <w:lang w:val="es-ES_tradnl" w:eastAsia="es-ES_tradnl"/>
        </w:rPr>
        <w:t>B</w:t>
      </w:r>
      <w:r w:rsidRPr="00D62190">
        <w:rPr>
          <w:rFonts w:ascii="Verdana" w:eastAsia="Times New Roman" w:hAnsi="Verdana" w:cs="Arial"/>
          <w:noProof/>
          <w:lang w:val="es-ES_tradnl" w:eastAsia="es-ES_tradnl"/>
        </w:rPr>
        <w:t xml:space="preserve">ogotá D.C., </w:t>
      </w:r>
      <w:r w:rsidR="00AB7251">
        <w:rPr>
          <w:rFonts w:ascii="Verdana" w:eastAsia="Times New Roman" w:hAnsi="Verdana" w:cs="Arial"/>
          <w:noProof/>
          <w:lang w:val="es-ES_tradnl" w:eastAsia="es-ES_tradnl"/>
        </w:rPr>
        <w:t>21 de agosto de 2025</w:t>
      </w:r>
    </w:p>
    <w:p w14:paraId="36F13AA4" w14:textId="2729B52B" w:rsidR="00AB7251" w:rsidRDefault="00AB7251" w:rsidP="00DF6818">
      <w:pPr>
        <w:spacing w:after="0" w:line="240" w:lineRule="auto"/>
        <w:jc w:val="both"/>
        <w:rPr>
          <w:rFonts w:ascii="Verdana" w:eastAsia="Times New Roman" w:hAnsi="Verdana" w:cs="Arial"/>
          <w:noProof/>
          <w:lang w:val="es-ES_tradnl" w:eastAsia="es-ES_tradnl"/>
        </w:rPr>
      </w:pPr>
    </w:p>
    <w:p w14:paraId="17D2B031" w14:textId="2DC08C1E" w:rsidR="00DF6818" w:rsidRPr="00DA67B3" w:rsidRDefault="00DF6818" w:rsidP="00DF6818">
      <w:pPr>
        <w:spacing w:after="0" w:line="240" w:lineRule="auto"/>
        <w:jc w:val="both"/>
        <w:rPr>
          <w:rFonts w:ascii="Verdana" w:eastAsia="Times New Roman" w:hAnsi="Verdana" w:cs="Arial"/>
          <w:noProof/>
          <w:lang w:val="es-ES_tradnl" w:eastAsia="es-ES_tradnl"/>
        </w:rPr>
      </w:pPr>
    </w:p>
    <w:p w14:paraId="08BE0911" w14:textId="4ECC3483" w:rsidR="00DF6818" w:rsidRPr="00DA67B3" w:rsidRDefault="008536F1" w:rsidP="00DF6818">
      <w:pPr>
        <w:spacing w:after="0" w:line="240" w:lineRule="auto"/>
        <w:jc w:val="right"/>
        <w:rPr>
          <w:rFonts w:ascii="Verdana" w:eastAsia="Times New Roman" w:hAnsi="Verdana" w:cs="Arial"/>
          <w:noProof/>
          <w:lang w:val="es-ES_tradnl" w:eastAsia="es-ES_tradnl"/>
        </w:rPr>
      </w:pPr>
      <w:r w:rsidRPr="00AB7251">
        <w:rPr>
          <w:rFonts w:ascii="Verdana" w:eastAsia="Times New Roman" w:hAnsi="Verdana" w:cs="Arial"/>
          <w:noProof/>
          <w:lang w:val="es-ES_tradnl" w:eastAsia="es-ES_tradnl"/>
        </w:rPr>
        <w:drawing>
          <wp:anchor distT="0" distB="0" distL="114300" distR="114300" simplePos="0" relativeHeight="251661824" behindDoc="0" locked="0" layoutInCell="1" allowOverlap="1" wp14:anchorId="5F08D6FE" wp14:editId="5604CF66">
            <wp:simplePos x="0" y="0"/>
            <wp:positionH relativeFrom="margin">
              <wp:posOffset>2688204</wp:posOffset>
            </wp:positionH>
            <wp:positionV relativeFrom="paragraph">
              <wp:posOffset>11209</wp:posOffset>
            </wp:positionV>
            <wp:extent cx="2973070" cy="824865"/>
            <wp:effectExtent l="0" t="0" r="0" b="0"/>
            <wp:wrapSquare wrapText="bothSides"/>
            <wp:docPr id="144390446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04467"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973070" cy="824865"/>
                    </a:xfrm>
                    <a:prstGeom prst="rect">
                      <a:avLst/>
                    </a:prstGeom>
                  </pic:spPr>
                </pic:pic>
              </a:graphicData>
            </a:graphic>
            <wp14:sizeRelH relativeFrom="margin">
              <wp14:pctWidth>0</wp14:pctWidth>
            </wp14:sizeRelH>
            <wp14:sizeRelV relativeFrom="margin">
              <wp14:pctHeight>0</wp14:pctHeight>
            </wp14:sizeRelV>
          </wp:anchor>
        </w:drawing>
      </w:r>
    </w:p>
    <w:p w14:paraId="7D6E8CAA" w14:textId="77777777" w:rsidR="00DF6818" w:rsidRPr="00DA67B3" w:rsidRDefault="00DF6818" w:rsidP="00DF6818">
      <w:pPr>
        <w:spacing w:after="0" w:line="240" w:lineRule="auto"/>
        <w:jc w:val="both"/>
        <w:rPr>
          <w:rFonts w:ascii="Verdana" w:eastAsia="Calibri" w:hAnsi="Verdana" w:cs="Arial"/>
          <w:lang w:val="es-ES" w:eastAsia="es-ES_tradnl"/>
        </w:rPr>
      </w:pPr>
      <w:r w:rsidRPr="00DA67B3">
        <w:rPr>
          <w:rFonts w:ascii="Verdana" w:eastAsia="Calibri" w:hAnsi="Verdana" w:cs="Arial"/>
          <w:lang w:val="es-ES" w:eastAsia="es-ES_tradnl"/>
        </w:rPr>
        <w:t>Señor</w:t>
      </w:r>
    </w:p>
    <w:p w14:paraId="15175E81" w14:textId="77777777" w:rsidR="00DF6818" w:rsidRDefault="00DF6818" w:rsidP="00DF6818">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Gabriel Arango Gómez</w:t>
      </w:r>
    </w:p>
    <w:p w14:paraId="3C91415F" w14:textId="77777777" w:rsidR="00DF6818" w:rsidRPr="000366D8" w:rsidRDefault="00DF6818" w:rsidP="00DF6818">
      <w:pPr>
        <w:spacing w:after="0" w:line="240" w:lineRule="auto"/>
        <w:rPr>
          <w:rFonts w:ascii="Verdana" w:eastAsia="Calibri" w:hAnsi="Verdana" w:cs="Arial"/>
          <w:lang w:val="es-ES" w:eastAsia="es-ES_tradnl"/>
        </w:rPr>
      </w:pPr>
      <w:r w:rsidRPr="000366D8">
        <w:rPr>
          <w:rFonts w:ascii="Verdana" w:eastAsia="Calibri" w:hAnsi="Verdana" w:cs="Arial"/>
          <w:lang w:val="es-ES" w:eastAsia="es-ES_tradnl"/>
        </w:rPr>
        <w:t>licitaciones@efectividadcomercial.co</w:t>
      </w:r>
    </w:p>
    <w:p w14:paraId="2B85B06E" w14:textId="77777777" w:rsidR="00DF6818" w:rsidRPr="00DA67B3" w:rsidRDefault="00DF6818" w:rsidP="00DF6818">
      <w:pPr>
        <w:spacing w:after="0" w:line="240" w:lineRule="auto"/>
        <w:rPr>
          <w:rFonts w:ascii="Verdana" w:eastAsia="Calibri" w:hAnsi="Verdana" w:cs="Arial"/>
          <w:lang w:val="es-ES_tradnl" w:eastAsia="es-ES_tradnl"/>
        </w:rPr>
      </w:pPr>
      <w:r w:rsidRPr="00DA67B3">
        <w:rPr>
          <w:rFonts w:ascii="Verdana" w:eastAsia="Calibri" w:hAnsi="Verdana" w:cs="Arial"/>
          <w:bCs/>
          <w:lang w:val="es-ES_tradnl" w:eastAsia="es-ES_tradnl"/>
        </w:rPr>
        <w:t>Ciudad</w:t>
      </w:r>
    </w:p>
    <w:p w14:paraId="42CE3A69" w14:textId="77777777" w:rsidR="00DF6818" w:rsidRPr="00DA67B3" w:rsidRDefault="00DF6818" w:rsidP="00DF6818">
      <w:pPr>
        <w:spacing w:after="0" w:line="240" w:lineRule="auto"/>
        <w:rPr>
          <w:rFonts w:ascii="Verdana" w:eastAsia="Calibri" w:hAnsi="Verdana" w:cs="Arial"/>
          <w:lang w:val="es-ES_tradnl" w:eastAsia="es-ES_tradnl"/>
        </w:rPr>
      </w:pPr>
    </w:p>
    <w:p w14:paraId="7CA3AECC" w14:textId="77777777" w:rsidR="00DF6818" w:rsidRPr="00DA67B3" w:rsidRDefault="00DF6818" w:rsidP="00DF6818">
      <w:pPr>
        <w:spacing w:after="0" w:line="240" w:lineRule="auto"/>
        <w:rPr>
          <w:rFonts w:ascii="Verdana" w:eastAsia="Calibri" w:hAnsi="Verdana" w:cs="Arial"/>
          <w:lang w:val="es-ES_tradnl" w:eastAsia="es-ES_tradnl"/>
        </w:rPr>
      </w:pPr>
    </w:p>
    <w:p w14:paraId="2E75D474" w14:textId="77777777" w:rsidR="00DF6818" w:rsidRPr="00DA67B3" w:rsidRDefault="00DF6818" w:rsidP="00DF6818">
      <w:pPr>
        <w:spacing w:after="0" w:line="240" w:lineRule="auto"/>
        <w:ind w:left="2694"/>
        <w:rPr>
          <w:rFonts w:ascii="Verdana" w:eastAsia="Calibri" w:hAnsi="Verdana" w:cs="Arial"/>
          <w:b/>
          <w:bCs/>
          <w:lang w:val="es-ES" w:eastAsia="es-ES_tradnl"/>
        </w:rPr>
      </w:pPr>
      <w:r w:rsidRPr="00DA67B3">
        <w:rPr>
          <w:rFonts w:ascii="Verdana" w:eastAsia="Calibri" w:hAnsi="Verdana" w:cs="Arial"/>
          <w:b/>
          <w:bCs/>
          <w:lang w:val="es-ES" w:eastAsia="es-ES_tradnl"/>
        </w:rPr>
        <w:t>Concepto C-</w:t>
      </w:r>
      <w:r>
        <w:rPr>
          <w:rFonts w:ascii="Verdana" w:eastAsia="Calibri" w:hAnsi="Verdana" w:cs="Arial"/>
          <w:b/>
          <w:bCs/>
          <w:lang w:val="es-ES" w:eastAsia="es-ES_tradnl"/>
        </w:rPr>
        <w:t>1032</w:t>
      </w:r>
      <w:r w:rsidRPr="00DA67B3">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796421DB" w14:textId="77777777" w:rsidR="00DF6818" w:rsidRPr="00DA67B3" w:rsidRDefault="00DF6818" w:rsidP="00DF6818">
      <w:pPr>
        <w:spacing w:after="0" w:line="240" w:lineRule="auto"/>
        <w:jc w:val="both"/>
        <w:rPr>
          <w:rFonts w:ascii="Verdana" w:eastAsia="Calibri" w:hAnsi="Verdana" w:cs="Arial"/>
          <w:lang w:val="es-ES_tradnl" w:eastAsia="es-ES_tradnl"/>
        </w:rPr>
      </w:pPr>
    </w:p>
    <w:tbl>
      <w:tblPr>
        <w:tblStyle w:val="Tablaconcuadrcula"/>
        <w:tblW w:w="892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56"/>
        <w:gridCol w:w="6170"/>
      </w:tblGrid>
      <w:tr w:rsidR="00DF6818" w:rsidRPr="00DA67B3" w14:paraId="5929A1FD" w14:textId="77777777" w:rsidTr="008536F1">
        <w:trPr>
          <w:jc w:val="right"/>
        </w:trPr>
        <w:tc>
          <w:tcPr>
            <w:tcW w:w="2756" w:type="dxa"/>
          </w:tcPr>
          <w:p w14:paraId="1173C5D9" w14:textId="77777777" w:rsidR="00DF6818" w:rsidRPr="00DA67B3" w:rsidRDefault="00DF6818" w:rsidP="00B62B3A">
            <w:pPr>
              <w:jc w:val="center"/>
              <w:rPr>
                <w:rFonts w:ascii="Verdana" w:eastAsia="Calibri" w:hAnsi="Verdana" w:cs="Arial"/>
                <w:lang w:val="es-ES_tradnl" w:eastAsia="es-ES_tradnl"/>
              </w:rPr>
            </w:pPr>
            <w:r w:rsidRPr="00DA67B3">
              <w:rPr>
                <w:rFonts w:ascii="Verdana" w:eastAsia="Calibri" w:hAnsi="Verdana" w:cs="Arial"/>
                <w:b/>
                <w:lang w:val="es-ES_tradnl" w:eastAsia="es-ES_tradnl"/>
              </w:rPr>
              <w:t>Temas:</w:t>
            </w:r>
          </w:p>
        </w:tc>
        <w:tc>
          <w:tcPr>
            <w:tcW w:w="6170" w:type="dxa"/>
          </w:tcPr>
          <w:p w14:paraId="2179CFE7" w14:textId="77777777" w:rsidR="00DF6818" w:rsidRPr="00DA67B3" w:rsidRDefault="00DF6818" w:rsidP="00B62B3A">
            <w:pPr>
              <w:jc w:val="both"/>
              <w:textAlignment w:val="baseline"/>
              <w:rPr>
                <w:rFonts w:ascii="Verdana" w:eastAsia="Times New Roman" w:hAnsi="Verdana" w:cs="Arial"/>
                <w:lang w:val="es-ES_tradnl" w:eastAsia="es-ES_tradnl"/>
              </w:rPr>
            </w:pPr>
            <w:r w:rsidRPr="003B62A3">
              <w:rPr>
                <w:rFonts w:ascii="Verdana" w:eastAsia="Times New Roman" w:hAnsi="Verdana" w:cs="Arial"/>
                <w:lang w:eastAsia="es-ES_tradnl"/>
              </w:rPr>
              <w:t>EXPERIENCIA – Verificación – RUP – Excepciones</w:t>
            </w:r>
            <w:r>
              <w:rPr>
                <w:rFonts w:ascii="Verdana" w:eastAsia="Times New Roman" w:hAnsi="Verdana" w:cs="Arial"/>
                <w:lang w:eastAsia="es-ES_tradnl"/>
              </w:rPr>
              <w:t xml:space="preserve"> / </w:t>
            </w:r>
            <w:r w:rsidRPr="006831F1">
              <w:rPr>
                <w:rFonts w:ascii="Verdana" w:eastAsia="Times New Roman" w:hAnsi="Verdana" w:cs="Arial"/>
                <w:lang w:eastAsia="es-ES_tradnl"/>
              </w:rPr>
              <w:t>EXPERIENCIA – Excepciones – Prestación de servicios de salud – Documentos</w:t>
            </w:r>
          </w:p>
        </w:tc>
      </w:tr>
      <w:tr w:rsidR="00DF6818" w:rsidRPr="00DA67B3" w14:paraId="756A79AA" w14:textId="77777777" w:rsidTr="008536F1">
        <w:trPr>
          <w:jc w:val="right"/>
        </w:trPr>
        <w:tc>
          <w:tcPr>
            <w:tcW w:w="2756" w:type="dxa"/>
          </w:tcPr>
          <w:p w14:paraId="2D385548" w14:textId="77777777" w:rsidR="00DF6818" w:rsidRPr="00DA67B3" w:rsidRDefault="00DF6818" w:rsidP="00B62B3A">
            <w:pPr>
              <w:jc w:val="center"/>
              <w:rPr>
                <w:rFonts w:ascii="Verdana" w:eastAsia="Calibri" w:hAnsi="Verdana" w:cs="Arial"/>
                <w:b/>
                <w:lang w:val="es-ES" w:eastAsia="es-ES_tradnl"/>
              </w:rPr>
            </w:pPr>
            <w:r w:rsidRPr="00DA67B3">
              <w:rPr>
                <w:rFonts w:ascii="Verdana" w:eastAsia="Calibri" w:hAnsi="Verdana" w:cs="Arial"/>
                <w:b/>
                <w:lang w:val="es-ES" w:eastAsia="es-ES_tradnl"/>
              </w:rPr>
              <w:t>Radicación:</w:t>
            </w:r>
          </w:p>
        </w:tc>
        <w:tc>
          <w:tcPr>
            <w:tcW w:w="6170" w:type="dxa"/>
          </w:tcPr>
          <w:p w14:paraId="652C73FC" w14:textId="77777777" w:rsidR="00DF6818" w:rsidRPr="00DA67B3" w:rsidRDefault="00DF6818" w:rsidP="00B62B3A">
            <w:pPr>
              <w:jc w:val="both"/>
              <w:rPr>
                <w:rFonts w:ascii="Verdana" w:eastAsia="Calibri" w:hAnsi="Verdana" w:cs="Arial"/>
                <w:lang w:val="es-ES" w:eastAsia="es-ES_tradnl"/>
              </w:rPr>
            </w:pPr>
            <w:r w:rsidRPr="00DA67B3">
              <w:rPr>
                <w:rFonts w:ascii="Verdana" w:eastAsia="Calibri" w:hAnsi="Verdana" w:cs="Arial"/>
                <w:lang w:val="es-ES" w:eastAsia="es-ES_tradnl"/>
              </w:rPr>
              <w:t xml:space="preserve">Respuesta a consulta radicado No. </w:t>
            </w:r>
            <w:r w:rsidRPr="000366D8">
              <w:rPr>
                <w:rFonts w:ascii="Verdana" w:eastAsia="Times New Roman" w:hAnsi="Verdana" w:cs="Arial"/>
                <w:lang w:eastAsia="es-ES_tradnl"/>
              </w:rPr>
              <w:t>1_2025_07_28_007737</w:t>
            </w:r>
          </w:p>
        </w:tc>
      </w:tr>
    </w:tbl>
    <w:p w14:paraId="10CA56E9" w14:textId="77777777" w:rsidR="00DF6818" w:rsidRPr="00DA67B3" w:rsidRDefault="00DF6818" w:rsidP="00DF6818">
      <w:pPr>
        <w:spacing w:after="0" w:line="240" w:lineRule="auto"/>
        <w:jc w:val="both"/>
        <w:rPr>
          <w:rFonts w:ascii="Verdana" w:eastAsia="Calibri" w:hAnsi="Verdana" w:cs="Arial"/>
          <w:lang w:val="es-ES_tradnl" w:eastAsia="es-ES_tradnl"/>
        </w:rPr>
      </w:pPr>
    </w:p>
    <w:p w14:paraId="3D74EEB4" w14:textId="77777777" w:rsidR="00DF6818" w:rsidRPr="00DA67B3" w:rsidRDefault="00DF6818" w:rsidP="00DF6818">
      <w:pPr>
        <w:spacing w:after="0" w:line="240" w:lineRule="auto"/>
        <w:jc w:val="both"/>
        <w:rPr>
          <w:rFonts w:ascii="Verdana" w:eastAsia="Calibri" w:hAnsi="Verdana" w:cs="Arial"/>
          <w:lang w:val="es-ES_tradnl" w:eastAsia="es-ES_tradnl"/>
        </w:rPr>
      </w:pPr>
    </w:p>
    <w:p w14:paraId="49F642DC" w14:textId="77777777" w:rsidR="00DF6818" w:rsidRPr="00DA67B3" w:rsidRDefault="00DF6818" w:rsidP="00DF6818">
      <w:pPr>
        <w:spacing w:after="0" w:line="276" w:lineRule="auto"/>
        <w:contextualSpacing/>
        <w:jc w:val="both"/>
        <w:rPr>
          <w:rFonts w:ascii="Verdana" w:eastAsia="Calibri" w:hAnsi="Verdana" w:cs="Arial"/>
          <w:bCs/>
          <w:lang w:val="es-ES_tradnl" w:eastAsia="es-ES_tradnl"/>
        </w:rPr>
      </w:pPr>
      <w:r w:rsidRPr="00DA67B3">
        <w:rPr>
          <w:rFonts w:ascii="Verdana" w:eastAsia="Calibri" w:hAnsi="Verdana" w:cs="Arial"/>
          <w:lang w:val="es-ES_tradnl" w:eastAsia="es-ES_tradnl"/>
        </w:rPr>
        <w:t xml:space="preserve">Estimado señor </w:t>
      </w:r>
      <w:r>
        <w:rPr>
          <w:rFonts w:ascii="Verdana" w:eastAsia="Calibri" w:hAnsi="Verdana" w:cs="Arial"/>
          <w:lang w:val="es-ES_tradnl" w:eastAsia="es-ES_tradnl"/>
        </w:rPr>
        <w:t>Arango</w:t>
      </w:r>
      <w:r w:rsidRPr="00DA67B3">
        <w:rPr>
          <w:rFonts w:ascii="Verdana" w:eastAsia="Calibri" w:hAnsi="Verdana" w:cs="Arial"/>
          <w:bCs/>
          <w:lang w:val="es-ES_tradnl" w:eastAsia="es-ES_tradnl"/>
        </w:rPr>
        <w:t>:</w:t>
      </w:r>
    </w:p>
    <w:p w14:paraId="076FD91A" w14:textId="77777777" w:rsidR="00DF6818" w:rsidRPr="00DA67B3" w:rsidRDefault="00DF6818" w:rsidP="00DF6818">
      <w:pPr>
        <w:spacing w:after="0" w:line="276" w:lineRule="auto"/>
        <w:contextualSpacing/>
        <w:jc w:val="both"/>
        <w:rPr>
          <w:rFonts w:ascii="Verdana" w:eastAsia="Calibri" w:hAnsi="Verdana" w:cs="Arial"/>
          <w:lang w:val="es-ES_tradnl" w:eastAsia="es-ES_tradnl"/>
        </w:rPr>
      </w:pPr>
    </w:p>
    <w:p w14:paraId="68E8727D" w14:textId="77777777" w:rsidR="00DF6818" w:rsidRPr="00DA67B3" w:rsidRDefault="00DF6818" w:rsidP="00DF6818">
      <w:pPr>
        <w:spacing w:after="0" w:line="276" w:lineRule="auto"/>
        <w:contextualSpacing/>
        <w:jc w:val="both"/>
        <w:rPr>
          <w:rFonts w:ascii="Verdana" w:eastAsia="Calibri" w:hAnsi="Verdana" w:cs="Arial"/>
          <w:lang w:val="es-ES" w:eastAsia="es-ES_tradnl"/>
        </w:rPr>
      </w:pPr>
      <w:r w:rsidRPr="00DA67B3">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Pr>
          <w:rFonts w:ascii="Verdana" w:eastAsia="Calibri" w:hAnsi="Verdana" w:cs="Arial"/>
          <w:lang w:val="es-ES" w:eastAsia="es-ES_tradnl"/>
        </w:rPr>
        <w:t xml:space="preserve"> 28</w:t>
      </w:r>
      <w:r w:rsidRPr="00DA67B3">
        <w:rPr>
          <w:rFonts w:ascii="Verdana" w:eastAsia="Calibri" w:hAnsi="Verdana" w:cs="Arial"/>
          <w:lang w:val="es-ES" w:eastAsia="es-ES_tradnl"/>
        </w:rPr>
        <w:t xml:space="preserve"> de julio de 202</w:t>
      </w:r>
      <w:r>
        <w:rPr>
          <w:rFonts w:ascii="Verdana" w:eastAsia="Calibri" w:hAnsi="Verdana" w:cs="Arial"/>
          <w:lang w:val="es-ES" w:eastAsia="es-ES_tradnl"/>
        </w:rPr>
        <w:t>5</w:t>
      </w:r>
      <w:r w:rsidRPr="00DA67B3">
        <w:rPr>
          <w:rFonts w:ascii="Verdana" w:eastAsia="Calibri" w:hAnsi="Verdana" w:cs="Arial"/>
          <w:lang w:val="es-ES" w:eastAsia="es-ES_tradnl"/>
        </w:rPr>
        <w:t>, en la cual manifiesta lo siguiente:</w:t>
      </w:r>
    </w:p>
    <w:p w14:paraId="387D2085" w14:textId="77777777" w:rsidR="00DF6818" w:rsidRPr="00DA67B3" w:rsidRDefault="00DF6818" w:rsidP="00DF6818">
      <w:pPr>
        <w:spacing w:after="0" w:line="276" w:lineRule="auto"/>
        <w:contextualSpacing/>
        <w:jc w:val="both"/>
        <w:rPr>
          <w:rFonts w:ascii="Verdana" w:eastAsia="Calibri" w:hAnsi="Verdana" w:cs="Arial"/>
          <w:b/>
          <w:szCs w:val="24"/>
          <w:lang w:val="es-ES_tradnl" w:eastAsia="es-ES_tradnl"/>
        </w:rPr>
      </w:pPr>
    </w:p>
    <w:p w14:paraId="33555281" w14:textId="77777777" w:rsidR="00DF6818" w:rsidRPr="00E82483" w:rsidRDefault="00DF6818" w:rsidP="00DF6818">
      <w:pPr>
        <w:spacing w:after="0" w:line="240" w:lineRule="auto"/>
        <w:ind w:left="709" w:right="709"/>
        <w:contextualSpacing/>
        <w:jc w:val="both"/>
        <w:rPr>
          <w:rFonts w:ascii="Verdana" w:eastAsia="Times New Roman" w:hAnsi="Verdana" w:cs="Arial"/>
          <w:sz w:val="21"/>
          <w:szCs w:val="21"/>
          <w:lang w:eastAsia="es-ES_tradnl"/>
        </w:rPr>
      </w:pPr>
      <w:r w:rsidRPr="00DA67B3">
        <w:rPr>
          <w:rFonts w:ascii="Verdana" w:eastAsia="Times New Roman" w:hAnsi="Verdana" w:cs="Arial"/>
          <w:sz w:val="21"/>
          <w:szCs w:val="21"/>
          <w:lang w:eastAsia="es-ES_tradnl"/>
        </w:rPr>
        <w:t>“</w:t>
      </w:r>
      <w:r w:rsidRPr="00E82483">
        <w:rPr>
          <w:rFonts w:ascii="Verdana" w:eastAsia="Times New Roman" w:hAnsi="Verdana" w:cs="Arial"/>
          <w:sz w:val="21"/>
          <w:szCs w:val="21"/>
          <w:lang w:eastAsia="es-ES_tradnl"/>
        </w:rPr>
        <w:t>De antemano agradezco su gentil atención y deferencia en su respuesta a mi consulta para entender evento en los procesos de contratación pública Servicios de Salud bajo modalidad Selección Abreviada de Menor Cuantía SAMC,</w:t>
      </w:r>
      <w:r>
        <w:rPr>
          <w:rFonts w:ascii="Verdana" w:eastAsia="Times New Roman" w:hAnsi="Verdana" w:cs="Arial"/>
          <w:sz w:val="21"/>
          <w:szCs w:val="21"/>
          <w:lang w:eastAsia="es-ES_tradnl"/>
        </w:rPr>
        <w:t xml:space="preserve"> </w:t>
      </w:r>
      <w:r w:rsidRPr="00E82483">
        <w:rPr>
          <w:rFonts w:ascii="Verdana" w:eastAsia="Times New Roman" w:hAnsi="Verdana" w:cs="Arial"/>
          <w:sz w:val="21"/>
          <w:szCs w:val="21"/>
          <w:lang w:eastAsia="es-ES_tradnl"/>
        </w:rPr>
        <w:t>así:</w:t>
      </w:r>
    </w:p>
    <w:p w14:paraId="6B4ADD93" w14:textId="77777777" w:rsidR="00DF6818" w:rsidRDefault="00DF6818" w:rsidP="00DF6818">
      <w:pPr>
        <w:spacing w:after="0" w:line="240" w:lineRule="auto"/>
        <w:ind w:left="709" w:right="709"/>
        <w:contextualSpacing/>
        <w:jc w:val="both"/>
        <w:rPr>
          <w:rFonts w:ascii="Verdana" w:eastAsia="Times New Roman" w:hAnsi="Verdana" w:cs="Arial"/>
          <w:sz w:val="21"/>
          <w:szCs w:val="21"/>
          <w:lang w:eastAsia="es-ES_tradnl"/>
        </w:rPr>
      </w:pPr>
    </w:p>
    <w:p w14:paraId="322351E1" w14:textId="77777777" w:rsidR="00DF6818" w:rsidRPr="00E82483" w:rsidRDefault="00DF6818" w:rsidP="00DF6818">
      <w:pPr>
        <w:spacing w:after="0" w:line="240" w:lineRule="auto"/>
        <w:ind w:left="709" w:right="709"/>
        <w:contextualSpacing/>
        <w:jc w:val="both"/>
        <w:rPr>
          <w:rFonts w:ascii="Verdana" w:eastAsia="Times New Roman" w:hAnsi="Verdana" w:cs="Arial"/>
          <w:sz w:val="21"/>
          <w:szCs w:val="21"/>
          <w:lang w:eastAsia="es-ES_tradnl"/>
        </w:rPr>
      </w:pPr>
      <w:r w:rsidRPr="00E82483">
        <w:rPr>
          <w:rFonts w:ascii="Verdana" w:eastAsia="Times New Roman" w:hAnsi="Verdana" w:cs="Arial"/>
          <w:sz w:val="21"/>
          <w:szCs w:val="21"/>
          <w:lang w:eastAsia="es-ES_tradnl"/>
        </w:rPr>
        <w:t>Los Servicios de Salud y de seguridad y Salud en el Trabajo han estado desde el año 2007 NORMATIZADOS y sobre los mismos las Leyes han tenido una estricta regulación (Resolución 4502 de 2012- Resolución 754 de 2021 y Resolución 908 de 2025 para la expedición y renovación de las Licencias en Seguridad y Salud en el Trabajo) (Resolución 2346 de 2007- Resolución 2003 de 2014 – Resolución 3100 de 2019 y resolución 1843 de 2025 Para prestadores y servicios de salud)</w:t>
      </w:r>
    </w:p>
    <w:p w14:paraId="1008F9C9" w14:textId="77777777" w:rsidR="00DF6818" w:rsidRDefault="00DF6818" w:rsidP="00DF6818">
      <w:pPr>
        <w:spacing w:after="0" w:line="240" w:lineRule="auto"/>
        <w:ind w:left="709" w:right="709"/>
        <w:contextualSpacing/>
        <w:jc w:val="both"/>
        <w:rPr>
          <w:rFonts w:ascii="Verdana" w:eastAsia="Times New Roman" w:hAnsi="Verdana" w:cs="Arial"/>
          <w:sz w:val="21"/>
          <w:szCs w:val="21"/>
          <w:lang w:eastAsia="es-ES_tradnl"/>
        </w:rPr>
      </w:pPr>
    </w:p>
    <w:p w14:paraId="43634DB7" w14:textId="77777777" w:rsidR="00DF6818" w:rsidRPr="00E82483" w:rsidRDefault="00DF6818" w:rsidP="00DF6818">
      <w:pPr>
        <w:spacing w:after="0" w:line="240" w:lineRule="auto"/>
        <w:ind w:left="709" w:right="709"/>
        <w:contextualSpacing/>
        <w:jc w:val="both"/>
        <w:rPr>
          <w:rFonts w:ascii="Verdana" w:eastAsia="Times New Roman" w:hAnsi="Verdana" w:cs="Arial"/>
          <w:sz w:val="21"/>
          <w:szCs w:val="21"/>
          <w:lang w:eastAsia="es-ES_tradnl"/>
        </w:rPr>
      </w:pPr>
      <w:r w:rsidRPr="00E82483">
        <w:rPr>
          <w:rFonts w:ascii="Verdana" w:eastAsia="Times New Roman" w:hAnsi="Verdana" w:cs="Arial"/>
          <w:sz w:val="21"/>
          <w:szCs w:val="21"/>
          <w:lang w:eastAsia="es-ES_tradnl"/>
        </w:rPr>
        <w:lastRenderedPageBreak/>
        <w:t xml:space="preserve">Pregunta:  </w:t>
      </w:r>
      <w:proofErr w:type="gramStart"/>
      <w:r w:rsidRPr="00E82483">
        <w:rPr>
          <w:rFonts w:ascii="Verdana" w:eastAsia="Times New Roman" w:hAnsi="Verdana" w:cs="Arial"/>
          <w:sz w:val="21"/>
          <w:szCs w:val="21"/>
          <w:lang w:eastAsia="es-ES_tradnl"/>
        </w:rPr>
        <w:t>la Experiencia de PROPONENTE a través de certificaciones expedidas por contratantes debe cumplir con las NORMAS y LEYES en la materia objeto de cada contrato en el tiempo que fueron ejecutadas (previo al cierre de la fecha de presentación de ofertas)?</w:t>
      </w:r>
      <w:proofErr w:type="gramEnd"/>
    </w:p>
    <w:p w14:paraId="53A93A13" w14:textId="77777777" w:rsidR="00DF6818" w:rsidRPr="00E82483" w:rsidRDefault="00DF6818" w:rsidP="00DF6818">
      <w:pPr>
        <w:spacing w:after="0" w:line="240" w:lineRule="auto"/>
        <w:ind w:left="709" w:right="709"/>
        <w:contextualSpacing/>
        <w:jc w:val="both"/>
        <w:rPr>
          <w:rFonts w:ascii="Verdana" w:eastAsia="Times New Roman" w:hAnsi="Verdana" w:cs="Arial"/>
          <w:sz w:val="21"/>
          <w:szCs w:val="21"/>
          <w:lang w:eastAsia="es-ES_tradnl"/>
        </w:rPr>
      </w:pPr>
      <w:r w:rsidRPr="00E82483">
        <w:rPr>
          <w:rFonts w:ascii="Verdana" w:eastAsia="Times New Roman" w:hAnsi="Verdana" w:cs="Arial"/>
          <w:sz w:val="21"/>
          <w:szCs w:val="21"/>
          <w:lang w:eastAsia="es-ES_tradnl"/>
        </w:rPr>
        <w:t>ACLARO las certificaciones de experiencia en servicios similares al objeto del proceso de selección (SAMC) que se pretenden hacer valer, LA ENTIDAD CONTRATANTE dentro de su evaluar, deberá verificar que las mismas (certificaciones de experiencia) cumplan con las NORMAS en la materia para la época de ejecución velando porque estas gozaron de completa validez y legalidad.  La ENTIDAD CONTRATANTE debe ser garante no solo del proceso en desarrollo sino de las obligaciones y responsabilidades legales de los PROPONENTES siendo respetuosos de la normatividad vigente y que regula la materia.</w:t>
      </w:r>
    </w:p>
    <w:p w14:paraId="1E25C784" w14:textId="77777777" w:rsidR="00DF6818" w:rsidRDefault="00DF6818" w:rsidP="00DF6818">
      <w:pPr>
        <w:spacing w:after="0" w:line="240" w:lineRule="auto"/>
        <w:ind w:left="709" w:right="709"/>
        <w:contextualSpacing/>
        <w:jc w:val="both"/>
        <w:rPr>
          <w:rFonts w:ascii="Verdana" w:eastAsia="Times New Roman" w:hAnsi="Verdana" w:cs="Arial"/>
          <w:sz w:val="21"/>
          <w:szCs w:val="21"/>
          <w:lang w:eastAsia="es-ES_tradnl"/>
        </w:rPr>
      </w:pPr>
    </w:p>
    <w:p w14:paraId="2A63D9E9" w14:textId="77777777" w:rsidR="00DF6818" w:rsidRPr="00DA67B3" w:rsidRDefault="00DF6818" w:rsidP="00DF6818">
      <w:pPr>
        <w:spacing w:after="0" w:line="240" w:lineRule="auto"/>
        <w:ind w:left="709" w:right="709"/>
        <w:contextualSpacing/>
        <w:jc w:val="both"/>
        <w:rPr>
          <w:rFonts w:ascii="Verdana" w:eastAsia="Times New Roman" w:hAnsi="Verdana" w:cs="Arial"/>
          <w:sz w:val="21"/>
          <w:szCs w:val="21"/>
          <w:lang w:eastAsia="es-ES_tradnl"/>
        </w:rPr>
      </w:pPr>
      <w:r w:rsidRPr="00E82483">
        <w:rPr>
          <w:rFonts w:ascii="Verdana" w:eastAsia="Times New Roman" w:hAnsi="Verdana" w:cs="Arial"/>
          <w:sz w:val="21"/>
          <w:szCs w:val="21"/>
          <w:lang w:eastAsia="es-ES_tradnl"/>
        </w:rPr>
        <w:t>P</w:t>
      </w:r>
      <w:r>
        <w:rPr>
          <w:rFonts w:ascii="Verdana" w:eastAsia="Times New Roman" w:hAnsi="Verdana" w:cs="Arial"/>
          <w:sz w:val="21"/>
          <w:szCs w:val="21"/>
          <w:lang w:eastAsia="es-ES_tradnl"/>
        </w:rPr>
        <w:t>or</w:t>
      </w:r>
      <w:r w:rsidRPr="00E82483">
        <w:rPr>
          <w:rFonts w:ascii="Verdana" w:eastAsia="Times New Roman" w:hAnsi="Verdana" w:cs="Arial"/>
          <w:sz w:val="21"/>
          <w:szCs w:val="21"/>
          <w:lang w:eastAsia="es-ES_tradnl"/>
        </w:rPr>
        <w:t xml:space="preserve"> favor indicarnos la NORMA EN CONTRATACION PUBLICA que indica que la Experiencia del proponente debe ser admitida siempre que se haya obtenido de forma VALIDA y LEGAL.</w:t>
      </w:r>
      <w:r w:rsidRPr="00DA67B3">
        <w:rPr>
          <w:rFonts w:ascii="Verdana" w:eastAsia="Times New Roman" w:hAnsi="Verdana" w:cs="Arial"/>
          <w:sz w:val="21"/>
          <w:szCs w:val="21"/>
          <w:lang w:eastAsia="es-ES_tradnl"/>
        </w:rPr>
        <w:t>”.</w:t>
      </w:r>
    </w:p>
    <w:p w14:paraId="53AB9A02" w14:textId="77777777" w:rsidR="00DF6818" w:rsidRPr="00DA67B3" w:rsidRDefault="00DF6818" w:rsidP="00DF6818">
      <w:pPr>
        <w:spacing w:after="0" w:line="240" w:lineRule="auto"/>
        <w:ind w:left="709" w:right="709"/>
        <w:contextualSpacing/>
        <w:jc w:val="both"/>
        <w:rPr>
          <w:rFonts w:ascii="Verdana" w:eastAsia="Times New Roman" w:hAnsi="Verdana" w:cs="Arial"/>
          <w:sz w:val="21"/>
          <w:szCs w:val="21"/>
          <w:lang w:eastAsia="es-ES_tradnl"/>
        </w:rPr>
      </w:pPr>
    </w:p>
    <w:p w14:paraId="79401ACF" w14:textId="77777777" w:rsidR="00DF6818" w:rsidRPr="00DA67B3" w:rsidRDefault="00DF6818" w:rsidP="00DF6818">
      <w:pPr>
        <w:spacing w:after="120" w:line="276" w:lineRule="auto"/>
        <w:ind w:firstLine="709"/>
        <w:jc w:val="both"/>
        <w:rPr>
          <w:rFonts w:ascii="Verdana" w:eastAsia="Calibri" w:hAnsi="Verdana" w:cs="Arial"/>
          <w:color w:val="000000"/>
          <w:szCs w:val="24"/>
          <w:lang w:val="es-ES_tradnl" w:eastAsia="es-ES_tradnl"/>
        </w:rPr>
      </w:pPr>
      <w:r w:rsidRPr="00DA67B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A67B3">
        <w:rPr>
          <w:rFonts w:ascii="Verdana" w:eastAsia="Calibri" w:hAnsi="Verdana" w:cs="Arial"/>
          <w:color w:val="000000"/>
          <w:szCs w:val="24"/>
          <w:lang w:val="es-ES_tradnl" w:eastAsia="es-ES_tradnl"/>
        </w:rPr>
        <w:tab/>
      </w:r>
    </w:p>
    <w:p w14:paraId="2B518078" w14:textId="77777777" w:rsidR="00DF6818" w:rsidRPr="00DA67B3" w:rsidRDefault="00DF6818" w:rsidP="00DF6818">
      <w:pPr>
        <w:spacing w:after="0" w:line="276" w:lineRule="auto"/>
        <w:ind w:firstLine="709"/>
        <w:jc w:val="both"/>
        <w:rPr>
          <w:rFonts w:ascii="Verdana" w:eastAsia="Calibri" w:hAnsi="Verdana" w:cs="Arial"/>
          <w:lang w:val="es-ES" w:eastAsia="es-ES"/>
        </w:rPr>
      </w:pPr>
      <w:r w:rsidRPr="00DA67B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el</w:t>
      </w:r>
      <w:r w:rsidRPr="00DA67B3">
        <w:rPr>
          <w:rFonts w:ascii="Verdana" w:eastAsia="Calibri" w:hAnsi="Verdana" w:cs="Arial"/>
          <w:lang w:val="es-ES" w:eastAsia="es-ES"/>
        </w:rPr>
        <w:t xml:space="preserve"> problema jurídico de su consulta. </w:t>
      </w:r>
    </w:p>
    <w:p w14:paraId="70BA4C70" w14:textId="77777777" w:rsidR="00DF6818" w:rsidRPr="00DA67B3" w:rsidRDefault="00DF6818" w:rsidP="00DF6818">
      <w:pPr>
        <w:spacing w:after="0" w:line="276" w:lineRule="auto"/>
        <w:contextualSpacing/>
        <w:jc w:val="both"/>
        <w:rPr>
          <w:rFonts w:ascii="Verdana" w:eastAsia="Times New Roman" w:hAnsi="Verdana" w:cs="Arial"/>
          <w:szCs w:val="24"/>
          <w:lang w:val="es-ES_tradnl" w:eastAsia="es-ES_tradnl"/>
        </w:rPr>
      </w:pPr>
    </w:p>
    <w:p w14:paraId="36136484" w14:textId="77777777" w:rsidR="00DF6818" w:rsidRPr="00DA67B3" w:rsidRDefault="00DF6818" w:rsidP="00DF6818">
      <w:pPr>
        <w:tabs>
          <w:tab w:val="left" w:pos="0"/>
          <w:tab w:val="left" w:pos="284"/>
        </w:tabs>
        <w:spacing w:after="0" w:line="276" w:lineRule="auto"/>
        <w:contextualSpacing/>
        <w:jc w:val="both"/>
        <w:rPr>
          <w:rFonts w:ascii="Verdana" w:eastAsia="Calibri" w:hAnsi="Verdana" w:cs="Arial"/>
          <w:b/>
          <w:lang w:val="es-ES_tradnl"/>
        </w:rPr>
      </w:pPr>
      <w:r w:rsidRPr="00DA67B3">
        <w:rPr>
          <w:rFonts w:ascii="Verdana" w:eastAsia="Calibri" w:hAnsi="Verdana" w:cs="Arial"/>
          <w:b/>
          <w:lang w:val="es-ES_tradnl"/>
        </w:rPr>
        <w:t>1. Problema planteado:</w:t>
      </w:r>
    </w:p>
    <w:p w14:paraId="2103F14C" w14:textId="77777777" w:rsidR="00DF6818" w:rsidRPr="00DA67B3" w:rsidRDefault="00DF6818" w:rsidP="00DF6818">
      <w:pPr>
        <w:tabs>
          <w:tab w:val="left" w:pos="0"/>
          <w:tab w:val="left" w:pos="284"/>
        </w:tabs>
        <w:spacing w:after="0" w:line="276" w:lineRule="auto"/>
        <w:contextualSpacing/>
        <w:jc w:val="both"/>
        <w:rPr>
          <w:rFonts w:ascii="Verdana" w:eastAsia="Calibri" w:hAnsi="Verdana" w:cs="Arial"/>
          <w:b/>
          <w:lang w:val="es-ES_tradnl"/>
        </w:rPr>
      </w:pPr>
    </w:p>
    <w:p w14:paraId="2F4CC62E" w14:textId="6984518A" w:rsidR="00DF6818" w:rsidRPr="00DA67B3" w:rsidRDefault="00DF6818" w:rsidP="00DF6818">
      <w:pPr>
        <w:spacing w:after="0" w:line="276" w:lineRule="auto"/>
        <w:jc w:val="both"/>
        <w:rPr>
          <w:rFonts w:ascii="Verdana" w:eastAsia="Century Gothic" w:hAnsi="Verdana" w:cs="Century Gothic"/>
        </w:rPr>
      </w:pPr>
      <w:r w:rsidRPr="00DA67B3">
        <w:rPr>
          <w:rFonts w:ascii="Verdana" w:eastAsia="Century Gothic" w:hAnsi="Verdana" w:cs="Century Gothic"/>
        </w:rPr>
        <w:t xml:space="preserve">De acuerdo con el contenido de su solicitud, esta Agencia resolverá el siguiente problema jurídico: </w:t>
      </w:r>
      <w:r w:rsidR="384DEFB2" w:rsidRPr="17061379">
        <w:rPr>
          <w:rFonts w:ascii="Verdana" w:eastAsia="Century Gothic" w:hAnsi="Verdana" w:cs="Century Gothic"/>
        </w:rPr>
        <w:t>¿</w:t>
      </w:r>
      <w:r w:rsidR="38218E55" w:rsidRPr="17061379">
        <w:rPr>
          <w:rFonts w:ascii="Verdana" w:eastAsia="Century Gothic" w:hAnsi="Verdana" w:cs="Century Gothic"/>
        </w:rPr>
        <w:t>Qué información debe</w:t>
      </w:r>
      <w:r w:rsidR="77CCC356" w:rsidRPr="17061379">
        <w:rPr>
          <w:rFonts w:ascii="Verdana" w:eastAsia="Century Gothic" w:hAnsi="Verdana" w:cs="Century Gothic"/>
        </w:rPr>
        <w:t>n</w:t>
      </w:r>
      <w:r w:rsidR="38218E55" w:rsidRPr="17061379">
        <w:rPr>
          <w:rFonts w:ascii="Verdana" w:eastAsia="Century Gothic" w:hAnsi="Verdana" w:cs="Century Gothic"/>
        </w:rPr>
        <w:t xml:space="preserve"> contener la</w:t>
      </w:r>
      <w:r w:rsidR="75D9DEE5" w:rsidRPr="17061379">
        <w:rPr>
          <w:rFonts w:ascii="Verdana" w:eastAsia="Century Gothic" w:hAnsi="Verdana" w:cs="Century Gothic"/>
        </w:rPr>
        <w:t>s</w:t>
      </w:r>
      <w:r w:rsidR="38218E55" w:rsidRPr="17061379">
        <w:rPr>
          <w:rFonts w:ascii="Verdana" w:eastAsia="Century Gothic" w:hAnsi="Verdana" w:cs="Century Gothic"/>
        </w:rPr>
        <w:t xml:space="preserve"> certificaci</w:t>
      </w:r>
      <w:r w:rsidR="17404BB7" w:rsidRPr="17061379">
        <w:rPr>
          <w:rFonts w:ascii="Verdana" w:eastAsia="Century Gothic" w:hAnsi="Verdana" w:cs="Century Gothic"/>
        </w:rPr>
        <w:t>ones</w:t>
      </w:r>
      <w:r w:rsidR="38218E55" w:rsidRPr="17061379">
        <w:rPr>
          <w:rFonts w:ascii="Verdana" w:eastAsia="Century Gothic" w:hAnsi="Verdana" w:cs="Century Gothic"/>
        </w:rPr>
        <w:t xml:space="preserve"> de </w:t>
      </w:r>
      <w:r w:rsidR="38218E55" w:rsidRPr="17061379">
        <w:rPr>
          <w:rFonts w:ascii="Verdana" w:eastAsia="Century Gothic" w:hAnsi="Verdana" w:cs="Century Gothic"/>
        </w:rPr>
        <w:lastRenderedPageBreak/>
        <w:t>experiencia e</w:t>
      </w:r>
      <w:r w:rsidRPr="17061379">
        <w:rPr>
          <w:rFonts w:ascii="Verdana" w:eastAsia="Century Gothic" w:hAnsi="Verdana" w:cs="Century Gothic"/>
        </w:rPr>
        <w:t>xpedidas por contratantes del proponente</w:t>
      </w:r>
      <w:r w:rsidR="0CF65998" w:rsidRPr="17061379">
        <w:rPr>
          <w:rFonts w:ascii="Verdana" w:eastAsia="Century Gothic" w:hAnsi="Verdana" w:cs="Century Gothic"/>
        </w:rPr>
        <w:t xml:space="preserve"> en</w:t>
      </w:r>
      <w:r>
        <w:rPr>
          <w:rFonts w:ascii="Verdana" w:eastAsia="Century Gothic" w:hAnsi="Verdana" w:cs="Century Gothic"/>
        </w:rPr>
        <w:t xml:space="preserve"> los procesos de selección abreviada para la</w:t>
      </w:r>
      <w:r w:rsidRPr="00E90F55">
        <w:rPr>
          <w:rFonts w:ascii="Verdana" w:eastAsia="Century Gothic" w:hAnsi="Verdana" w:cs="Century Gothic"/>
        </w:rPr>
        <w:t xml:space="preserve"> prestación de servicios de salud</w:t>
      </w:r>
      <w:r w:rsidR="0CF65998" w:rsidRPr="17061379">
        <w:rPr>
          <w:rFonts w:ascii="Verdana" w:eastAsia="Century Gothic" w:hAnsi="Verdana" w:cs="Century Gothic"/>
        </w:rPr>
        <w:t xml:space="preserve"> que se </w:t>
      </w:r>
      <w:r w:rsidR="7E551E51" w:rsidRPr="17061379">
        <w:rPr>
          <w:rFonts w:ascii="Verdana" w:eastAsia="Century Gothic" w:hAnsi="Verdana" w:cs="Century Gothic"/>
        </w:rPr>
        <w:t>encuentran</w:t>
      </w:r>
      <w:r>
        <w:rPr>
          <w:rFonts w:ascii="Verdana" w:eastAsia="Century Gothic" w:hAnsi="Verdana" w:cs="Century Gothic"/>
        </w:rPr>
        <w:t xml:space="preserve"> exceptuados del RUP y cuál es la norma </w:t>
      </w:r>
      <w:r w:rsidR="0382C809" w:rsidRPr="17061379">
        <w:rPr>
          <w:rFonts w:ascii="Verdana" w:eastAsia="Century Gothic" w:hAnsi="Verdana" w:cs="Century Gothic"/>
        </w:rPr>
        <w:t>aplicable</w:t>
      </w:r>
      <w:r w:rsidR="33F17899" w:rsidRPr="17061379">
        <w:rPr>
          <w:rFonts w:ascii="Verdana" w:eastAsia="Century Gothic" w:hAnsi="Verdana" w:cs="Century Gothic"/>
        </w:rPr>
        <w:t xml:space="preserve"> </w:t>
      </w:r>
      <w:r>
        <w:rPr>
          <w:rFonts w:ascii="Verdana" w:eastAsia="Century Gothic" w:hAnsi="Verdana" w:cs="Century Gothic"/>
        </w:rPr>
        <w:t>para admitir esa experiencia</w:t>
      </w:r>
      <w:r w:rsidRPr="00DA67B3">
        <w:rPr>
          <w:rFonts w:ascii="Verdana" w:eastAsia="Century Gothic" w:hAnsi="Verdana" w:cs="Century Gothic"/>
        </w:rPr>
        <w:t xml:space="preserve">? </w:t>
      </w:r>
    </w:p>
    <w:p w14:paraId="2F5B96D2" w14:textId="77777777" w:rsidR="00DF6818" w:rsidRPr="00DA67B3" w:rsidRDefault="00DF6818" w:rsidP="00DF6818">
      <w:pPr>
        <w:spacing w:after="0" w:line="276" w:lineRule="auto"/>
        <w:ind w:firstLine="709"/>
        <w:jc w:val="both"/>
        <w:rPr>
          <w:rFonts w:ascii="Verdana" w:eastAsia="Calibri" w:hAnsi="Verdana" w:cs="Arial"/>
          <w:lang w:val="es-ES" w:eastAsia="es-ES_tradnl"/>
        </w:rPr>
      </w:pPr>
    </w:p>
    <w:p w14:paraId="67B5D466" w14:textId="77777777" w:rsidR="00DF6818" w:rsidRPr="00DA67B3" w:rsidRDefault="00DF6818" w:rsidP="00DF6818">
      <w:pPr>
        <w:tabs>
          <w:tab w:val="left" w:pos="142"/>
          <w:tab w:val="left" w:pos="284"/>
        </w:tabs>
        <w:spacing w:after="0" w:line="276" w:lineRule="auto"/>
        <w:jc w:val="both"/>
        <w:rPr>
          <w:rFonts w:ascii="Verdana" w:eastAsia="Century Gothic" w:hAnsi="Verdana" w:cs="Century Gothic"/>
          <w:b/>
          <w:bCs/>
        </w:rPr>
      </w:pPr>
      <w:r w:rsidRPr="00DA67B3">
        <w:rPr>
          <w:rFonts w:ascii="Verdana" w:eastAsia="Century Gothic" w:hAnsi="Verdana" w:cs="Century Gothic"/>
          <w:b/>
          <w:bCs/>
        </w:rPr>
        <w:t>2. Respuesta:</w:t>
      </w:r>
    </w:p>
    <w:p w14:paraId="45A22C4A" w14:textId="77777777" w:rsidR="00DF6818" w:rsidRPr="00DA67B3" w:rsidRDefault="00DF6818" w:rsidP="00DF681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F6818" w:rsidRPr="00DA67B3" w14:paraId="5BBBA518" w14:textId="77777777" w:rsidTr="00B62B3A">
        <w:tc>
          <w:tcPr>
            <w:tcW w:w="8828" w:type="dxa"/>
          </w:tcPr>
          <w:p w14:paraId="7989E78C" w14:textId="080E69C1" w:rsidR="00DF6818" w:rsidRPr="00DA67B3" w:rsidRDefault="00DF6818" w:rsidP="00B62B3A">
            <w:pPr>
              <w:spacing w:after="120" w:line="276" w:lineRule="auto"/>
              <w:jc w:val="both"/>
              <w:rPr>
                <w:rFonts w:ascii="Verdana" w:eastAsia="Calibri" w:hAnsi="Verdana" w:cs="Arial"/>
                <w:lang w:val="es-ES" w:eastAsia="es-ES"/>
              </w:rPr>
            </w:pPr>
            <w:r w:rsidRPr="17061379">
              <w:rPr>
                <w:rFonts w:ascii="Verdana" w:eastAsia="Calibri" w:hAnsi="Verdana" w:cs="Arial"/>
                <w:lang w:val="es-ES" w:eastAsia="es-ES"/>
              </w:rPr>
              <w:t xml:space="preserve">De acuerdo con el artículo 6 de la Ley 1150 de 2007, la experiencia se verifica con el RUP </w:t>
            </w:r>
            <w:r w:rsidR="5FB84793" w:rsidRPr="17061379">
              <w:rPr>
                <w:rFonts w:ascii="Verdana" w:eastAsia="Calibri" w:hAnsi="Verdana" w:cs="Arial"/>
                <w:lang w:val="es-ES" w:eastAsia="es-ES"/>
              </w:rPr>
              <w:t>como</w:t>
            </w:r>
            <w:r w:rsidRPr="17061379">
              <w:rPr>
                <w:rFonts w:ascii="Verdana" w:eastAsia="Calibri" w:hAnsi="Verdana" w:cs="Arial"/>
                <w:lang w:val="es-ES" w:eastAsia="es-ES"/>
              </w:rPr>
              <w:t xml:space="preserve"> plena prueba de la información que contiene</w:t>
            </w:r>
            <w:r w:rsidR="7F2D9DD5" w:rsidRPr="17061379">
              <w:rPr>
                <w:rFonts w:ascii="Verdana" w:eastAsia="Calibri" w:hAnsi="Verdana" w:cs="Arial"/>
                <w:lang w:val="es-ES" w:eastAsia="es-ES"/>
              </w:rPr>
              <w:t>.</w:t>
            </w:r>
            <w:r w:rsidR="7CC3CEA6" w:rsidRPr="17061379">
              <w:rPr>
                <w:rFonts w:ascii="Verdana" w:eastAsia="Calibri" w:hAnsi="Verdana" w:cs="Arial"/>
                <w:lang w:val="es-ES" w:eastAsia="es-ES"/>
              </w:rPr>
              <w:t xml:space="preserve"> teniendo en cuenta que </w:t>
            </w:r>
            <w:r w:rsidRPr="17061379">
              <w:rPr>
                <w:rFonts w:ascii="Verdana" w:eastAsia="Calibri" w:hAnsi="Verdana" w:cs="Arial"/>
                <w:lang w:val="es-ES" w:eastAsia="es-ES"/>
              </w:rPr>
              <w:t>hay procesos exceptuados de</w:t>
            </w:r>
            <w:r w:rsidR="484C9531" w:rsidRPr="17061379">
              <w:rPr>
                <w:rFonts w:ascii="Verdana" w:eastAsia="Calibri" w:hAnsi="Verdana" w:cs="Arial"/>
                <w:lang w:val="es-ES" w:eastAsia="es-ES"/>
              </w:rPr>
              <w:t xml:space="preserve"> </w:t>
            </w:r>
            <w:r w:rsidRPr="17061379">
              <w:rPr>
                <w:rFonts w:ascii="Verdana" w:eastAsia="Calibri" w:hAnsi="Verdana" w:cs="Arial"/>
                <w:lang w:val="es-ES" w:eastAsia="es-ES"/>
              </w:rPr>
              <w:t>l</w:t>
            </w:r>
            <w:r w:rsidR="484C9531" w:rsidRPr="17061379">
              <w:rPr>
                <w:rFonts w:ascii="Verdana" w:eastAsia="Calibri" w:hAnsi="Verdana" w:cs="Arial"/>
                <w:lang w:val="es-ES" w:eastAsia="es-ES"/>
              </w:rPr>
              <w:t xml:space="preserve">a exigencia </w:t>
            </w:r>
            <w:r w:rsidRPr="17061379">
              <w:rPr>
                <w:rFonts w:ascii="Verdana" w:eastAsia="Calibri" w:hAnsi="Verdana" w:cs="Arial"/>
                <w:lang w:val="es-ES" w:eastAsia="es-ES"/>
              </w:rPr>
              <w:t xml:space="preserve">del RUP, como la prestación de servicios de salud, </w:t>
            </w:r>
            <w:r w:rsidR="1040CAB2" w:rsidRPr="17061379">
              <w:rPr>
                <w:rFonts w:ascii="Verdana" w:eastAsia="Calibri" w:hAnsi="Verdana" w:cs="Arial"/>
                <w:lang w:val="es-ES" w:eastAsia="es-ES"/>
              </w:rPr>
              <w:t xml:space="preserve">es deber de </w:t>
            </w:r>
            <w:r w:rsidRPr="17061379">
              <w:rPr>
                <w:rFonts w:ascii="Verdana" w:eastAsia="Calibri" w:hAnsi="Verdana" w:cs="Arial"/>
                <w:lang w:val="es-ES" w:eastAsia="es-ES"/>
              </w:rPr>
              <w:t xml:space="preserve">la entidad </w:t>
            </w:r>
            <w:r w:rsidR="3AC4E30D" w:rsidRPr="17061379">
              <w:rPr>
                <w:rFonts w:ascii="Verdana" w:eastAsia="Calibri" w:hAnsi="Verdana" w:cs="Arial"/>
                <w:lang w:val="es-ES" w:eastAsia="es-ES"/>
              </w:rPr>
              <w:t>contratante verificar</w:t>
            </w:r>
            <w:r w:rsidRPr="17061379">
              <w:rPr>
                <w:rFonts w:ascii="Verdana" w:eastAsia="Calibri" w:hAnsi="Verdana" w:cs="Arial"/>
                <w:lang w:val="es-ES" w:eastAsia="es-ES"/>
              </w:rPr>
              <w:t xml:space="preserve"> la experiencia</w:t>
            </w:r>
            <w:r w:rsidR="513F5F2C" w:rsidRPr="17061379">
              <w:rPr>
                <w:rFonts w:ascii="Verdana" w:eastAsia="Calibri" w:hAnsi="Verdana" w:cs="Arial"/>
                <w:lang w:val="es-ES" w:eastAsia="es-ES"/>
              </w:rPr>
              <w:t xml:space="preserve">, </w:t>
            </w:r>
            <w:r w:rsidR="094D9193" w:rsidRPr="17061379">
              <w:rPr>
                <w:rFonts w:ascii="Verdana" w:eastAsia="Calibri" w:hAnsi="Verdana" w:cs="Arial"/>
                <w:lang w:val="es-ES" w:eastAsia="es-ES"/>
              </w:rPr>
              <w:t>así</w:t>
            </w:r>
            <w:r w:rsidR="513F5F2C" w:rsidRPr="17061379">
              <w:rPr>
                <w:rFonts w:ascii="Verdana" w:eastAsia="Calibri" w:hAnsi="Verdana" w:cs="Arial"/>
                <w:lang w:val="es-ES" w:eastAsia="es-ES"/>
              </w:rPr>
              <w:t xml:space="preserve"> como</w:t>
            </w:r>
            <w:r w:rsidRPr="17061379">
              <w:rPr>
                <w:rFonts w:ascii="Verdana" w:eastAsia="Calibri" w:hAnsi="Verdana" w:cs="Arial"/>
                <w:lang w:val="es-ES" w:eastAsia="es-ES"/>
              </w:rPr>
              <w:t xml:space="preserve"> los demás requisitos habilitantes de forma directa, determinando </w:t>
            </w:r>
            <w:r w:rsidR="79D0F769" w:rsidRPr="17061379">
              <w:rPr>
                <w:rFonts w:ascii="Verdana" w:eastAsia="Calibri" w:hAnsi="Verdana" w:cs="Arial"/>
                <w:lang w:val="es-ES" w:eastAsia="es-ES"/>
              </w:rPr>
              <w:t xml:space="preserve">en los pliegos de </w:t>
            </w:r>
            <w:r w:rsidR="49292169" w:rsidRPr="17061379">
              <w:rPr>
                <w:rFonts w:ascii="Verdana" w:eastAsia="Calibri" w:hAnsi="Verdana" w:cs="Arial"/>
                <w:lang w:val="es-ES" w:eastAsia="es-ES"/>
              </w:rPr>
              <w:t>condiciones</w:t>
            </w:r>
            <w:r w:rsidR="79D0F769" w:rsidRPr="17061379">
              <w:rPr>
                <w:rFonts w:ascii="Verdana" w:eastAsia="Calibri" w:hAnsi="Verdana" w:cs="Arial"/>
                <w:lang w:val="es-ES" w:eastAsia="es-ES"/>
              </w:rPr>
              <w:t xml:space="preserve"> o documentos </w:t>
            </w:r>
            <w:r w:rsidR="79460171" w:rsidRPr="17061379">
              <w:rPr>
                <w:rFonts w:ascii="Verdana" w:eastAsia="Calibri" w:hAnsi="Verdana" w:cs="Arial"/>
                <w:lang w:val="es-ES" w:eastAsia="es-ES"/>
              </w:rPr>
              <w:t>equivalentes</w:t>
            </w:r>
            <w:r w:rsidR="79D0F769" w:rsidRPr="17061379">
              <w:rPr>
                <w:rFonts w:ascii="Verdana" w:eastAsia="Calibri" w:hAnsi="Verdana" w:cs="Arial"/>
                <w:lang w:val="es-ES" w:eastAsia="es-ES"/>
              </w:rPr>
              <w:t xml:space="preserve"> </w:t>
            </w:r>
            <w:r w:rsidRPr="17061379">
              <w:rPr>
                <w:rFonts w:ascii="Verdana" w:eastAsia="Calibri" w:hAnsi="Verdana" w:cs="Arial"/>
                <w:lang w:val="es-ES" w:eastAsia="es-ES"/>
              </w:rPr>
              <w:t>la documentación que se deb</w:t>
            </w:r>
            <w:r w:rsidR="10DCE89A" w:rsidRPr="17061379">
              <w:rPr>
                <w:rFonts w:ascii="Verdana" w:eastAsia="Calibri" w:hAnsi="Verdana" w:cs="Arial"/>
                <w:lang w:val="es-ES" w:eastAsia="es-ES"/>
              </w:rPr>
              <w:t>e acreditar para tales efectos</w:t>
            </w:r>
            <w:r w:rsidRPr="17061379">
              <w:rPr>
                <w:rFonts w:ascii="Verdana" w:eastAsia="Calibri" w:hAnsi="Verdana" w:cs="Arial"/>
                <w:lang w:val="es-ES" w:eastAsia="es-ES"/>
              </w:rPr>
              <w:t>.</w:t>
            </w:r>
          </w:p>
          <w:p w14:paraId="3A84EFCE" w14:textId="77777777" w:rsidR="00DF6818" w:rsidRPr="00DA67B3" w:rsidRDefault="00DF6818" w:rsidP="00B62B3A">
            <w:pPr>
              <w:spacing w:after="120" w:line="276" w:lineRule="auto"/>
              <w:ind w:firstLine="709"/>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En ese sentido, la entidad al pedir la documentación para verificar directamente la experiencia debe </w:t>
            </w:r>
            <w:r w:rsidRPr="00DA67B3">
              <w:rPr>
                <w:rFonts w:ascii="Verdana" w:eastAsia="Calibri" w:hAnsi="Verdana" w:cs="Arial"/>
                <w:szCs w:val="24"/>
                <w:lang w:val="es-ES" w:eastAsia="es-ES_tradnl"/>
              </w:rPr>
              <w:t>determina</w:t>
            </w:r>
            <w:r>
              <w:rPr>
                <w:rFonts w:ascii="Verdana" w:eastAsia="Calibri" w:hAnsi="Verdana" w:cs="Arial"/>
                <w:szCs w:val="24"/>
                <w:lang w:val="es-ES" w:eastAsia="es-ES_tradnl"/>
              </w:rPr>
              <w:t>r en el pliego de condiciones</w:t>
            </w:r>
            <w:r w:rsidRPr="00DA67B3">
              <w:rPr>
                <w:rFonts w:ascii="Verdana" w:eastAsia="Calibri" w:hAnsi="Verdana" w:cs="Arial"/>
                <w:szCs w:val="24"/>
                <w:lang w:val="es-ES" w:eastAsia="es-ES_tradnl"/>
              </w:rPr>
              <w:t xml:space="preserve"> </w:t>
            </w:r>
            <w:r>
              <w:rPr>
                <w:rFonts w:ascii="Verdana" w:eastAsia="Calibri" w:hAnsi="Verdana" w:cs="Arial"/>
                <w:szCs w:val="24"/>
                <w:lang w:val="es-ES" w:eastAsia="es-ES_tradnl"/>
              </w:rPr>
              <w:t>cuál información se debe presentar y cómo debe hacerse, esto es, los requisitos y normas que deben cumplir los documentos para que la entidad pueda evaluar la experiencia. Sobre la norma para admitir esa experiencia, en el sistema de compra pública no existe una regla en ese sentido, ya que la entidad contratante, en su autonomía, debe evaluar la experiencia y determinar si cumple con el establecido en el pliego de condiciones y debe ser admitida o no.</w:t>
            </w:r>
          </w:p>
          <w:p w14:paraId="18F074C0" w14:textId="77777777" w:rsidR="00DF6818" w:rsidRPr="00DA67B3" w:rsidRDefault="00DF6818" w:rsidP="00B62B3A">
            <w:pPr>
              <w:spacing w:after="120" w:line="276" w:lineRule="auto"/>
              <w:ind w:firstLine="709"/>
              <w:jc w:val="both"/>
              <w:rPr>
                <w:rFonts w:ascii="Verdana" w:eastAsia="Calibri" w:hAnsi="Verdana" w:cs="Arial"/>
                <w:color w:val="7030A0"/>
              </w:rPr>
            </w:pPr>
            <w:r w:rsidRPr="00DA67B3">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a la forma de acreditar la experiencia del proponente</w:t>
            </w:r>
            <w:r w:rsidRPr="00DA67B3">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48B95E2A" w14:textId="77777777" w:rsidR="00DF6818" w:rsidRPr="00DA67B3" w:rsidRDefault="00DF6818" w:rsidP="00DF6818">
      <w:pPr>
        <w:spacing w:after="0" w:line="276" w:lineRule="auto"/>
        <w:contextualSpacing/>
        <w:jc w:val="both"/>
        <w:rPr>
          <w:rFonts w:ascii="Verdana" w:eastAsia="Times New Roman" w:hAnsi="Verdana" w:cs="Arial"/>
          <w:lang w:eastAsia="es-ES_tradnl"/>
        </w:rPr>
      </w:pPr>
    </w:p>
    <w:p w14:paraId="0A5E3FF0" w14:textId="77777777" w:rsidR="00DF6818" w:rsidRPr="00DA67B3" w:rsidRDefault="00DF6818" w:rsidP="00DF6818">
      <w:pPr>
        <w:tabs>
          <w:tab w:val="left" w:pos="142"/>
          <w:tab w:val="left" w:pos="284"/>
        </w:tabs>
        <w:spacing w:after="0" w:line="276" w:lineRule="auto"/>
        <w:jc w:val="both"/>
        <w:rPr>
          <w:rFonts w:ascii="Verdana" w:eastAsia="Century Gothic" w:hAnsi="Verdana" w:cs="Century Gothic"/>
          <w:b/>
          <w:bCs/>
          <w:lang w:val="es-ES"/>
        </w:rPr>
      </w:pPr>
      <w:r w:rsidRPr="00DA67B3">
        <w:rPr>
          <w:rFonts w:ascii="Verdana" w:eastAsia="Century Gothic" w:hAnsi="Verdana" w:cs="Century Gothic"/>
          <w:b/>
          <w:bCs/>
          <w:lang w:val="es-ES"/>
        </w:rPr>
        <w:t>3. Razones de la respuesta:</w:t>
      </w:r>
    </w:p>
    <w:p w14:paraId="5CC78306" w14:textId="77777777" w:rsidR="00DF6818" w:rsidRPr="00DA67B3" w:rsidRDefault="00DF6818" w:rsidP="00DF6818">
      <w:pPr>
        <w:spacing w:after="0" w:line="276" w:lineRule="auto"/>
        <w:jc w:val="both"/>
        <w:rPr>
          <w:rFonts w:ascii="Verdana" w:eastAsia="Calibri" w:hAnsi="Verdana" w:cs="Arial"/>
          <w:color w:val="7030A0"/>
          <w:lang w:val="es-ES"/>
        </w:rPr>
      </w:pPr>
    </w:p>
    <w:p w14:paraId="6CFA56CB" w14:textId="77777777" w:rsidR="00DF6818" w:rsidRPr="00DA67B3" w:rsidRDefault="00DF6818" w:rsidP="00DF6818">
      <w:pPr>
        <w:spacing w:after="0" w:line="276" w:lineRule="auto"/>
        <w:jc w:val="both"/>
        <w:rPr>
          <w:rFonts w:ascii="Verdana" w:eastAsia="Calibri" w:hAnsi="Verdana" w:cs="Arial"/>
          <w:lang w:val="es-ES"/>
        </w:rPr>
      </w:pPr>
      <w:r w:rsidRPr="00DA67B3">
        <w:rPr>
          <w:rFonts w:ascii="Verdana" w:eastAsia="Calibri" w:hAnsi="Verdana" w:cs="Arial"/>
          <w:lang w:val="es-ES"/>
        </w:rPr>
        <w:t xml:space="preserve">Lo anterior se sustenta en las siguientes consideraciones: </w:t>
      </w:r>
    </w:p>
    <w:p w14:paraId="5AE08CE0" w14:textId="77777777" w:rsidR="00DF6818" w:rsidRPr="00DA67B3" w:rsidRDefault="00DF6818" w:rsidP="00DF6818">
      <w:pPr>
        <w:spacing w:after="0" w:line="276" w:lineRule="auto"/>
        <w:jc w:val="both"/>
        <w:rPr>
          <w:rFonts w:ascii="Verdana" w:eastAsia="Calibri" w:hAnsi="Verdana" w:cs="Arial"/>
          <w:lang w:val="es-ES"/>
        </w:rPr>
      </w:pPr>
    </w:p>
    <w:p w14:paraId="73895333" w14:textId="77777777" w:rsidR="00DF6818" w:rsidRPr="00DA67B3" w:rsidRDefault="00DF6818" w:rsidP="00DF6818">
      <w:pPr>
        <w:numPr>
          <w:ilvl w:val="0"/>
          <w:numId w:val="17"/>
        </w:numPr>
        <w:tabs>
          <w:tab w:val="left" w:pos="0"/>
        </w:tabs>
        <w:spacing w:after="120" w:line="276" w:lineRule="auto"/>
        <w:contextualSpacing/>
        <w:jc w:val="both"/>
        <w:rPr>
          <w:rFonts w:ascii="Verdana" w:eastAsia="Calibri" w:hAnsi="Verdana" w:cs="Arial"/>
          <w:bCs/>
          <w:lang w:val="es-ES" w:eastAsia="es-ES_tradnl"/>
        </w:rPr>
      </w:pPr>
      <w:bookmarkStart w:id="0" w:name="_Hlk75296202"/>
      <w:r w:rsidRPr="00DA67B3">
        <w:rPr>
          <w:rFonts w:ascii="Verdana" w:eastAsia="Calibri" w:hAnsi="Verdana" w:cs="Arial"/>
          <w:bCs/>
          <w:lang w:val="es-ES" w:eastAsia="es-ES_tradnl"/>
        </w:rPr>
        <w:t xml:space="preserve">El numeral 1 del artículo 5 de la Ley 1150 de 2007 se refiere a algunos requisitos exigibles en la generalidad de procesos de selección adelantados conforme al EGCAP, tales como la capacidad jurídica, las </w:t>
      </w:r>
      <w:r w:rsidRPr="00DA67B3">
        <w:rPr>
          <w:rFonts w:ascii="Verdana" w:eastAsia="Calibri" w:hAnsi="Verdana" w:cs="Arial"/>
          <w:bCs/>
          <w:lang w:val="es-ES" w:eastAsia="es-ES_tradnl"/>
        </w:rPr>
        <w:lastRenderedPageBreak/>
        <w:t>condiciones de experiencia, la capacidad financiera y de organización, denominados requisitos habilitantes, los cuales –por expresa disposición legal– no otorgan puntaje, salvo que excepcionalmente se permita lo contrario. Esto comoquiera dichos requisitos no se refieren a la oferta misma sino a la idoneidad del oferente para asumir adecuadamente la ejecución del contrato</w:t>
      </w:r>
      <w:r w:rsidRPr="00DA67B3">
        <w:rPr>
          <w:rFonts w:ascii="Verdana" w:hAnsi="Verdana"/>
          <w:vertAlign w:val="superscript"/>
          <w:lang w:val="es-ES" w:eastAsia="es-ES_tradnl"/>
        </w:rPr>
        <w:footnoteReference w:id="1"/>
      </w:r>
      <w:r w:rsidRPr="00DA67B3">
        <w:rPr>
          <w:rFonts w:ascii="Verdana" w:eastAsia="Calibri" w:hAnsi="Verdana" w:cs="Arial"/>
          <w:bCs/>
          <w:lang w:val="es-ES" w:eastAsia="es-ES_tradnl"/>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DA67B3">
        <w:rPr>
          <w:rFonts w:ascii="Verdana" w:eastAsia="Calibri" w:hAnsi="Verdana" w:cs="Arial"/>
          <w:bCs/>
          <w:i/>
          <w:iCs/>
          <w:lang w:val="es-ES" w:eastAsia="es-ES_tradnl"/>
        </w:rPr>
        <w:t xml:space="preserve">habilitantes </w:t>
      </w:r>
      <w:r w:rsidRPr="00DA67B3">
        <w:rPr>
          <w:rFonts w:ascii="Verdana" w:eastAsia="Calibri" w:hAnsi="Verdana" w:cs="Arial"/>
          <w:bCs/>
          <w:lang w:val="es-ES" w:eastAsia="es-ES_tradnl"/>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bookmarkEnd w:id="0"/>
    </w:p>
    <w:p w14:paraId="7649C5F5" w14:textId="77777777" w:rsidR="00DF6818" w:rsidRPr="00DA67B3" w:rsidRDefault="00DF6818" w:rsidP="00DF6818">
      <w:pPr>
        <w:tabs>
          <w:tab w:val="left" w:pos="0"/>
        </w:tabs>
        <w:spacing w:after="120" w:line="276" w:lineRule="auto"/>
        <w:ind w:left="720"/>
        <w:contextualSpacing/>
        <w:jc w:val="both"/>
        <w:rPr>
          <w:rFonts w:ascii="Verdana" w:eastAsia="Calibri" w:hAnsi="Verdana" w:cs="Arial"/>
          <w:bCs/>
          <w:lang w:val="es-ES" w:eastAsia="es-ES_tradnl"/>
        </w:rPr>
      </w:pPr>
    </w:p>
    <w:p w14:paraId="073C40B8" w14:textId="678885B6" w:rsidR="00DF6818" w:rsidRPr="00DA67B3" w:rsidRDefault="00DF6818" w:rsidP="00DF6818">
      <w:pPr>
        <w:numPr>
          <w:ilvl w:val="0"/>
          <w:numId w:val="17"/>
        </w:numPr>
        <w:spacing w:after="120" w:line="276" w:lineRule="auto"/>
        <w:contextualSpacing/>
        <w:jc w:val="both"/>
        <w:rPr>
          <w:rFonts w:ascii="Verdana" w:eastAsia="Arial" w:hAnsi="Verdana" w:cs="Arial"/>
          <w:lang w:val="es-ES"/>
        </w:rPr>
      </w:pPr>
      <w:r w:rsidRPr="17061379">
        <w:rPr>
          <w:rFonts w:ascii="Verdana" w:eastAsia="Calibri" w:hAnsi="Verdana" w:cs="Arial"/>
          <w:color w:val="000000" w:themeColor="text1"/>
          <w:lang w:val="es-ES" w:eastAsia="es-MX"/>
        </w:rPr>
        <w:t>La experiencia, como requisito habilitante, se deriva de los contratos que el proponente ha celebrado y ejecutado con diferentes contratantes, sin importar la naturaleza de estos. Se verifica con el Registro Único de Proponentes –RUP–, cuando este certificado sea exigible de acuerdo con la ley. E</w:t>
      </w:r>
      <w:r w:rsidRPr="00DA67B3">
        <w:rPr>
          <w:rFonts w:ascii="Verdana" w:eastAsia="Arial" w:hAnsi="Verdana" w:cs="Arial"/>
          <w:lang w:val="es-ES"/>
        </w:rPr>
        <w:t xml:space="preserve">l artículo 6 de la Ley 1150 de 2007 señala que los requisitos habilitantes explicados anteriormente, como la experiencia, se acreditan con el RUP </w:t>
      </w:r>
      <w:r w:rsidR="01E8C650" w:rsidRPr="17061379">
        <w:rPr>
          <w:rFonts w:ascii="Verdana" w:eastAsia="Arial" w:hAnsi="Verdana" w:cs="Arial"/>
          <w:lang w:val="es-ES"/>
        </w:rPr>
        <w:t>el cual</w:t>
      </w:r>
      <w:r w:rsidRPr="17061379">
        <w:rPr>
          <w:rFonts w:ascii="Verdana" w:eastAsia="Arial" w:hAnsi="Verdana" w:cs="Arial"/>
          <w:lang w:val="es-ES"/>
        </w:rPr>
        <w:t xml:space="preserve">: </w:t>
      </w:r>
    </w:p>
    <w:p w14:paraId="2D8B77EF" w14:textId="77777777" w:rsidR="00DF6818" w:rsidRPr="00DA67B3" w:rsidRDefault="00DF6818" w:rsidP="00DF6818">
      <w:pPr>
        <w:spacing w:after="120" w:line="276" w:lineRule="auto"/>
        <w:ind w:left="720" w:right="709"/>
        <w:contextualSpacing/>
        <w:jc w:val="both"/>
        <w:rPr>
          <w:rFonts w:ascii="Verdana" w:eastAsia="Arial" w:hAnsi="Verdana" w:cs="Arial"/>
          <w:sz w:val="21"/>
          <w:szCs w:val="21"/>
          <w:lang w:val="es-ES"/>
        </w:rPr>
      </w:pPr>
    </w:p>
    <w:p w14:paraId="5A84E24A" w14:textId="77777777" w:rsidR="00DF6818" w:rsidRPr="00DA67B3" w:rsidRDefault="00DF6818" w:rsidP="00DF6818">
      <w:pPr>
        <w:spacing w:after="120" w:line="276" w:lineRule="auto"/>
        <w:ind w:left="720" w:right="709"/>
        <w:contextualSpacing/>
        <w:jc w:val="both"/>
        <w:rPr>
          <w:rFonts w:ascii="Verdana" w:eastAsia="Arial" w:hAnsi="Verdana" w:cs="Arial"/>
          <w:sz w:val="21"/>
          <w:szCs w:val="21"/>
          <w:lang w:val="es-ES"/>
        </w:rPr>
      </w:pPr>
      <w:r w:rsidRPr="00DA67B3">
        <w:rPr>
          <w:rFonts w:ascii="Verdana" w:eastAsia="Arial" w:hAnsi="Verdana" w:cs="Arial"/>
          <w:sz w:val="21"/>
          <w:szCs w:val="21"/>
          <w:lang w:val="es-ES"/>
        </w:rPr>
        <w:t xml:space="preserve">“[...]será plena prueba de las circunstancias que en ella se hagan constar y que hayan sido </w:t>
      </w:r>
      <w:r w:rsidRPr="00DA67B3">
        <w:rPr>
          <w:rFonts w:ascii="Verdana" w:eastAsia="Arial" w:hAnsi="Verdana" w:cs="Arial"/>
          <w:i/>
          <w:iCs/>
          <w:sz w:val="21"/>
          <w:szCs w:val="21"/>
          <w:lang w:val="es-ES"/>
        </w:rPr>
        <w:t>verificadas por las Cámaras de Comercio</w:t>
      </w:r>
      <w:r w:rsidRPr="00DA67B3">
        <w:rPr>
          <w:rFonts w:ascii="Verdana" w:eastAsia="Arial" w:hAnsi="Verdana" w:cs="Arial"/>
          <w:sz w:val="21"/>
          <w:szCs w:val="21"/>
          <w:lang w:val="es-ES"/>
        </w:rPr>
        <w:t>. En tal sentido, la verificación de las condiciones establecidas en el numeral 1 del artículo 5 de la presente ley, se demostrará exclusivamente con el respectivo certificado del RUP en donde deberán constar dichas condiciones.</w:t>
      </w:r>
      <w:r w:rsidRPr="00DA67B3">
        <w:rPr>
          <w:rFonts w:ascii="Verdana" w:hAnsi="Verdana"/>
          <w:sz w:val="21"/>
          <w:szCs w:val="21"/>
          <w:lang w:val="es-ES"/>
        </w:rPr>
        <w:t xml:space="preserve"> </w:t>
      </w:r>
      <w:r w:rsidRPr="00DA67B3">
        <w:rPr>
          <w:rFonts w:ascii="Verdana" w:eastAsia="Arial" w:hAnsi="Verdana" w:cs="Arial"/>
          <w:sz w:val="21"/>
          <w:szCs w:val="21"/>
          <w:lang w:val="es-ES"/>
        </w:rPr>
        <w:t xml:space="preserve">En consecuencia, las entidades estatales en los procesos de contratación no podrán exigir, ni los proponentes aportar documentación que deba utilizarse para efectuar la inscripción en el registro. </w:t>
      </w:r>
      <w:r w:rsidRPr="00DA67B3">
        <w:rPr>
          <w:rFonts w:ascii="Verdana" w:eastAsia="Arial" w:hAnsi="Verdana" w:cs="Arial"/>
          <w:i/>
          <w:iCs/>
          <w:sz w:val="21"/>
          <w:szCs w:val="21"/>
          <w:lang w:val="es-ES"/>
        </w:rPr>
        <w:t xml:space="preserve">No obstante, lo anterior, sólo en aquellos casos en que por las características del objeto a contratar se requiera la verificación de requisitos del proponente adicionales a los contenidos en el Registro, </w:t>
      </w:r>
      <w:r w:rsidRPr="00DA67B3">
        <w:rPr>
          <w:rFonts w:ascii="Verdana" w:eastAsia="Arial" w:hAnsi="Verdana" w:cs="Arial"/>
          <w:i/>
          <w:iCs/>
          <w:sz w:val="21"/>
          <w:szCs w:val="21"/>
          <w:lang w:val="es-ES"/>
        </w:rPr>
        <w:lastRenderedPageBreak/>
        <w:t>la entidad podrá hacer tal verificación en forma directa</w:t>
      </w:r>
      <w:r w:rsidRPr="00DA67B3">
        <w:rPr>
          <w:rFonts w:ascii="Verdana" w:eastAsia="Arial" w:hAnsi="Verdana" w:cs="Arial"/>
          <w:sz w:val="21"/>
          <w:szCs w:val="21"/>
          <w:lang w:val="es-ES"/>
        </w:rPr>
        <w:t>”. (Cursiva fuera de texto)</w:t>
      </w:r>
    </w:p>
    <w:p w14:paraId="36EA2240" w14:textId="77777777" w:rsidR="00DF6818" w:rsidRPr="00DA67B3" w:rsidRDefault="00DF6818" w:rsidP="00DF6818">
      <w:pPr>
        <w:spacing w:after="120" w:line="276" w:lineRule="auto"/>
        <w:ind w:left="720" w:right="709"/>
        <w:contextualSpacing/>
        <w:jc w:val="both"/>
        <w:rPr>
          <w:rFonts w:ascii="Verdana" w:eastAsia="Arial" w:hAnsi="Verdana" w:cs="Arial"/>
          <w:sz w:val="21"/>
          <w:szCs w:val="21"/>
          <w:lang w:val="es-ES"/>
        </w:rPr>
      </w:pPr>
    </w:p>
    <w:p w14:paraId="4F30C445" w14:textId="77777777" w:rsidR="00DF6818" w:rsidRPr="00DA67B3" w:rsidRDefault="00DF6818" w:rsidP="00DF6818">
      <w:pPr>
        <w:numPr>
          <w:ilvl w:val="0"/>
          <w:numId w:val="17"/>
        </w:numPr>
        <w:spacing w:after="120" w:line="276" w:lineRule="auto"/>
        <w:contextualSpacing/>
        <w:jc w:val="both"/>
        <w:rPr>
          <w:rFonts w:ascii="Verdana" w:eastAsia="Arial" w:hAnsi="Verdana" w:cs="Arial"/>
          <w:lang w:val="es-ES"/>
        </w:rPr>
      </w:pPr>
      <w:r w:rsidRPr="00DA67B3">
        <w:rPr>
          <w:rFonts w:ascii="Verdana" w:eastAsia="Arial" w:hAnsi="Verdana" w:cs="Arial"/>
          <w:lang w:val="es-ES"/>
        </w:rPr>
        <w:t xml:space="preserve">En ese sentido, de acuerdo con la norma previamente citada se aclara que las Cámaras de Comercio realizan la verificación de la documentación que aporta el proponente para su inscripción en el RUP.  </w:t>
      </w:r>
    </w:p>
    <w:p w14:paraId="1CE66ECC" w14:textId="77777777" w:rsidR="00DF6818" w:rsidRPr="00DA67B3" w:rsidRDefault="00DF6818" w:rsidP="00DF6818">
      <w:pPr>
        <w:spacing w:after="120" w:line="276" w:lineRule="auto"/>
        <w:ind w:left="720"/>
        <w:contextualSpacing/>
        <w:jc w:val="both"/>
        <w:rPr>
          <w:rFonts w:ascii="Verdana" w:eastAsia="Arial" w:hAnsi="Verdana" w:cs="Arial"/>
          <w:lang w:val="es-ES"/>
        </w:rPr>
      </w:pPr>
    </w:p>
    <w:p w14:paraId="4F3558E2" w14:textId="77777777" w:rsidR="00DF6818" w:rsidRPr="00DA67B3" w:rsidRDefault="00DF6818" w:rsidP="00DF6818">
      <w:pPr>
        <w:numPr>
          <w:ilvl w:val="0"/>
          <w:numId w:val="17"/>
        </w:numPr>
        <w:spacing w:line="276" w:lineRule="auto"/>
        <w:contextualSpacing/>
        <w:jc w:val="both"/>
        <w:rPr>
          <w:rFonts w:ascii="Verdana" w:hAnsi="Verdana" w:cs="Arial"/>
          <w:color w:val="000000" w:themeColor="text1"/>
          <w:lang w:val="es-ES"/>
        </w:rPr>
      </w:pPr>
      <w:r w:rsidRPr="00DA67B3">
        <w:rPr>
          <w:rFonts w:ascii="Verdana" w:eastAsia="Arial" w:hAnsi="Verdana" w:cs="Arial"/>
          <w:lang w:val="es-ES"/>
        </w:rPr>
        <w:t xml:space="preserve">Adicionalmente, </w:t>
      </w:r>
      <w:bookmarkStart w:id="1" w:name="_Hlk101793140"/>
      <w:r w:rsidRPr="00DA67B3">
        <w:rPr>
          <w:rFonts w:ascii="Verdana" w:hAnsi="Verdana" w:cs="Arial"/>
          <w:color w:val="000000" w:themeColor="text1"/>
          <w:lang w:val="es-ES"/>
        </w:rPr>
        <w:t xml:space="preserve">el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w:t>
      </w:r>
      <w:bookmarkEnd w:id="1"/>
      <w:r w:rsidRPr="00DA67B3">
        <w:rPr>
          <w:rFonts w:ascii="Verdana" w:hAnsi="Verdana" w:cs="Arial"/>
          <w:color w:val="000000" w:themeColor="text1"/>
          <w:lang w:val="es-ES"/>
        </w:rPr>
        <w:t>El Consejo de Estado definió la naturaleza y finalidad del RUP de la siguiente forma:</w:t>
      </w:r>
    </w:p>
    <w:p w14:paraId="4C9FA899" w14:textId="77777777" w:rsidR="00DF6818" w:rsidRPr="00DA67B3" w:rsidRDefault="00DF6818" w:rsidP="00DF6818">
      <w:pPr>
        <w:spacing w:after="120" w:line="276" w:lineRule="auto"/>
        <w:contextualSpacing/>
        <w:rPr>
          <w:rFonts w:ascii="Verdana" w:hAnsi="Verdana"/>
        </w:rPr>
      </w:pPr>
    </w:p>
    <w:p w14:paraId="2413CEE6" w14:textId="77777777" w:rsidR="00DF6818" w:rsidRPr="00DA67B3" w:rsidRDefault="00DF6818" w:rsidP="00DF6818">
      <w:pPr>
        <w:tabs>
          <w:tab w:val="left" w:pos="8505"/>
        </w:tabs>
        <w:ind w:left="709" w:right="709"/>
        <w:contextualSpacing/>
        <w:jc w:val="both"/>
        <w:rPr>
          <w:rFonts w:ascii="Verdana" w:hAnsi="Verdana" w:cs="Arial"/>
          <w:color w:val="000000" w:themeColor="text1"/>
          <w:sz w:val="21"/>
          <w:szCs w:val="21"/>
        </w:rPr>
      </w:pPr>
      <w:r w:rsidRPr="00DA67B3">
        <w:rPr>
          <w:rFonts w:ascii="Verdana" w:eastAsia="Calibri" w:hAnsi="Verdana" w:cs="Arial"/>
          <w:sz w:val="21"/>
          <w:szCs w:val="21"/>
        </w:rPr>
        <w:t>“</w:t>
      </w:r>
      <w:r w:rsidRPr="00DA67B3">
        <w:rPr>
          <w:rFonts w:ascii="Verdana" w:hAnsi="Verdana" w:cs="Arial"/>
          <w:color w:val="000000" w:themeColor="text1"/>
          <w:sz w:val="21"/>
          <w:szCs w:val="21"/>
        </w:rPr>
        <w:t xml:space="preserve">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w:t>
      </w:r>
      <w:proofErr w:type="gramStart"/>
      <w:r w:rsidRPr="00DA67B3">
        <w:rPr>
          <w:rFonts w:ascii="Verdana" w:hAnsi="Verdana" w:cs="Arial"/>
          <w:color w:val="000000" w:themeColor="text1"/>
          <w:sz w:val="21"/>
          <w:szCs w:val="21"/>
        </w:rPr>
        <w:t>estatales,</w:t>
      </w:r>
      <w:proofErr w:type="gramEnd"/>
      <w:r w:rsidRPr="00DA67B3">
        <w:rPr>
          <w:rFonts w:ascii="Verdana" w:hAnsi="Verdana" w:cs="Arial"/>
          <w:color w:val="000000" w:themeColor="text1"/>
          <w:sz w:val="21"/>
          <w:szCs w:val="21"/>
        </w:rPr>
        <w:t xml:space="preserve"> deberán inscribirse en el Registro de Proponentes de la Cámara de Comercio de su jurisdicción y deberán estar clasificadas y calificadas según lo dispuesto en esta norma”</w:t>
      </w:r>
      <w:r w:rsidRPr="00DA67B3">
        <w:rPr>
          <w:rFonts w:ascii="Verdana" w:hAnsi="Verdana" w:cs="Arial"/>
          <w:color w:val="000000" w:themeColor="text1"/>
          <w:sz w:val="21"/>
          <w:szCs w:val="21"/>
          <w:vertAlign w:val="superscript"/>
        </w:rPr>
        <w:footnoteReference w:id="2"/>
      </w:r>
      <w:r w:rsidRPr="00DA67B3">
        <w:rPr>
          <w:rFonts w:ascii="Verdana" w:hAnsi="Verdana" w:cs="Arial"/>
          <w:color w:val="000000" w:themeColor="text1"/>
          <w:sz w:val="21"/>
          <w:szCs w:val="21"/>
        </w:rPr>
        <w:t>.</w:t>
      </w:r>
    </w:p>
    <w:p w14:paraId="26F514D0" w14:textId="77777777" w:rsidR="00DF6818" w:rsidRPr="00DA67B3" w:rsidRDefault="00DF6818" w:rsidP="00DF6818">
      <w:pPr>
        <w:spacing w:after="120" w:line="276" w:lineRule="auto"/>
        <w:jc w:val="both"/>
        <w:rPr>
          <w:rFonts w:ascii="Verdana" w:hAnsi="Verdana" w:cs="Arial"/>
          <w:color w:val="000000" w:themeColor="text1"/>
        </w:rPr>
      </w:pPr>
      <w:bookmarkStart w:id="2" w:name="_Hlk101793164"/>
    </w:p>
    <w:p w14:paraId="232C3F70" w14:textId="77777777" w:rsidR="00DF6818" w:rsidRPr="00DA67B3" w:rsidRDefault="00DF6818" w:rsidP="00DF6818">
      <w:pPr>
        <w:numPr>
          <w:ilvl w:val="0"/>
          <w:numId w:val="18"/>
        </w:numPr>
        <w:spacing w:after="120" w:line="276" w:lineRule="auto"/>
        <w:contextualSpacing/>
        <w:jc w:val="both"/>
        <w:rPr>
          <w:rFonts w:ascii="Verdana" w:hAnsi="Verdana" w:cs="Arial"/>
          <w:color w:val="000000" w:themeColor="text1"/>
          <w:lang w:val="es-ES"/>
        </w:rPr>
      </w:pPr>
      <w:r w:rsidRPr="00DA67B3">
        <w:rPr>
          <w:rFonts w:ascii="Verdana" w:hAnsi="Verdana" w:cs="Arial"/>
          <w:color w:val="000000" w:themeColor="text1"/>
          <w:lang w:val="es-ES"/>
        </w:rPr>
        <w:t>Por su parte, el artículo 5.1 de la Ley 1150 de 2007,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 las entidades en los procedimientos de contratación en los que es exigible el RUP</w:t>
      </w:r>
      <w:bookmarkEnd w:id="2"/>
      <w:r w:rsidRPr="00DA67B3">
        <w:rPr>
          <w:rFonts w:ascii="Verdana" w:hAnsi="Verdana" w:cs="Arial"/>
          <w:color w:val="000000" w:themeColor="text1"/>
          <w:vertAlign w:val="superscript"/>
          <w:lang w:val="es-ES"/>
        </w:rPr>
        <w:footnoteReference w:id="3"/>
      </w:r>
      <w:r w:rsidRPr="00DA67B3">
        <w:rPr>
          <w:rFonts w:ascii="Verdana" w:hAnsi="Verdana" w:cs="Arial"/>
          <w:color w:val="000000" w:themeColor="text1"/>
          <w:lang w:val="es-ES"/>
        </w:rPr>
        <w:t xml:space="preserve">. De esta forma, la capacidad jurídica y las condiciones de </w:t>
      </w:r>
      <w:r w:rsidRPr="00DA67B3">
        <w:rPr>
          <w:rFonts w:ascii="Verdana" w:hAnsi="Verdana" w:cs="Arial"/>
          <w:color w:val="000000" w:themeColor="text1"/>
          <w:lang w:val="es-ES"/>
        </w:rPr>
        <w:lastRenderedPageBreak/>
        <w:t>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DA67B3">
        <w:rPr>
          <w:rFonts w:ascii="Verdana" w:hAnsi="Verdana" w:cs="Arial"/>
          <w:color w:val="000000" w:themeColor="text1"/>
          <w:vertAlign w:val="superscript"/>
          <w:lang w:val="es-ES"/>
        </w:rPr>
        <w:footnoteReference w:id="4"/>
      </w:r>
      <w:r w:rsidRPr="00DA67B3">
        <w:rPr>
          <w:rFonts w:ascii="Verdana" w:hAnsi="Verdana" w:cs="Arial"/>
          <w:color w:val="000000" w:themeColor="text1"/>
          <w:lang w:val="es-ES"/>
        </w:rPr>
        <w:t xml:space="preserve">. </w:t>
      </w:r>
    </w:p>
    <w:p w14:paraId="738A774A" w14:textId="77777777" w:rsidR="00DF6818" w:rsidRPr="00DA67B3" w:rsidRDefault="00DF6818" w:rsidP="00DF6818">
      <w:pPr>
        <w:spacing w:after="120" w:line="276" w:lineRule="auto"/>
        <w:ind w:left="720" w:right="49"/>
        <w:jc w:val="both"/>
        <w:rPr>
          <w:rFonts w:ascii="Verdana" w:hAnsi="Verdana"/>
        </w:rPr>
      </w:pPr>
      <w:bookmarkStart w:id="3" w:name="_Hlk99548308"/>
      <w:bookmarkStart w:id="4" w:name="_Hlk101793225"/>
    </w:p>
    <w:p w14:paraId="220F364A" w14:textId="77777777" w:rsidR="00DF6818" w:rsidRPr="00DA67B3" w:rsidRDefault="00DF6818" w:rsidP="00DF6818">
      <w:pPr>
        <w:numPr>
          <w:ilvl w:val="0"/>
          <w:numId w:val="18"/>
        </w:numPr>
        <w:spacing w:after="120" w:line="276" w:lineRule="auto"/>
        <w:ind w:right="49"/>
        <w:jc w:val="both"/>
        <w:rPr>
          <w:rFonts w:ascii="Verdana" w:hAnsi="Verdana"/>
        </w:rPr>
      </w:pPr>
      <w:r w:rsidRPr="00DA67B3">
        <w:rPr>
          <w:rFonts w:ascii="Verdana" w:hAnsi="Verdana"/>
        </w:rPr>
        <w:t>No obstante, el RUP no es exigible en todos los procesos de selección. El segundo</w:t>
      </w:r>
      <w:r w:rsidRPr="00DA67B3">
        <w:rPr>
          <w:rFonts w:ascii="Verdana" w:hAnsi="Verdana"/>
          <w:spacing w:val="1"/>
        </w:rPr>
        <w:t xml:space="preserve"> </w:t>
      </w:r>
      <w:r w:rsidRPr="00DA67B3">
        <w:rPr>
          <w:rFonts w:ascii="Verdana" w:hAnsi="Verdana"/>
        </w:rPr>
        <w:t>inciso del artículo 6 de la Ley 1150 de 2007 señala los casos en los que no se requerirá el</w:t>
      </w:r>
      <w:r w:rsidRPr="00DA67B3">
        <w:rPr>
          <w:rFonts w:ascii="Verdana" w:hAnsi="Verdana"/>
          <w:spacing w:val="1"/>
        </w:rPr>
        <w:t xml:space="preserve"> </w:t>
      </w:r>
      <w:r w:rsidRPr="00DA67B3">
        <w:rPr>
          <w:rFonts w:ascii="Verdana" w:hAnsi="Verdana"/>
        </w:rPr>
        <w:t>RUP:</w:t>
      </w:r>
      <w:r w:rsidRPr="00DA67B3">
        <w:rPr>
          <w:rFonts w:ascii="Verdana" w:hAnsi="Verdana"/>
          <w:spacing w:val="1"/>
        </w:rPr>
        <w:t xml:space="preserve"> </w:t>
      </w:r>
      <w:r w:rsidRPr="00DA67B3">
        <w:rPr>
          <w:rFonts w:ascii="Verdana" w:hAnsi="Verdana"/>
        </w:rPr>
        <w:t>“[…]</w:t>
      </w:r>
      <w:r w:rsidRPr="00DA67B3">
        <w:rPr>
          <w:rFonts w:ascii="Verdana" w:hAnsi="Verdana"/>
          <w:spacing w:val="1"/>
        </w:rPr>
        <w:t xml:space="preserve"> </w:t>
      </w:r>
      <w:r w:rsidRPr="00DA67B3">
        <w:rPr>
          <w:rFonts w:ascii="Verdana" w:hAnsi="Verdana"/>
        </w:rPr>
        <w:t>casos</w:t>
      </w:r>
      <w:r w:rsidRPr="00DA67B3">
        <w:rPr>
          <w:rFonts w:ascii="Verdana" w:hAnsi="Verdana"/>
          <w:spacing w:val="1"/>
        </w:rPr>
        <w:t xml:space="preserve"> </w:t>
      </w:r>
      <w:r w:rsidRPr="00DA67B3">
        <w:rPr>
          <w:rFonts w:ascii="Verdana" w:hAnsi="Verdana"/>
        </w:rPr>
        <w:t>de</w:t>
      </w:r>
      <w:r w:rsidRPr="00DA67B3">
        <w:rPr>
          <w:rFonts w:ascii="Verdana" w:hAnsi="Verdana"/>
          <w:spacing w:val="1"/>
        </w:rPr>
        <w:t xml:space="preserve"> </w:t>
      </w:r>
      <w:r w:rsidRPr="00DA67B3">
        <w:rPr>
          <w:rFonts w:ascii="Verdana" w:hAnsi="Verdana"/>
        </w:rPr>
        <w:t>contratación</w:t>
      </w:r>
      <w:r w:rsidRPr="00DA67B3">
        <w:rPr>
          <w:rFonts w:ascii="Verdana" w:hAnsi="Verdana"/>
          <w:spacing w:val="1"/>
        </w:rPr>
        <w:t xml:space="preserve"> </w:t>
      </w:r>
      <w:r w:rsidRPr="00DA67B3">
        <w:rPr>
          <w:rFonts w:ascii="Verdana" w:hAnsi="Verdana"/>
        </w:rPr>
        <w:t>directa;</w:t>
      </w:r>
      <w:r w:rsidRPr="00DA67B3">
        <w:rPr>
          <w:rFonts w:ascii="Verdana" w:hAnsi="Verdana"/>
          <w:spacing w:val="1"/>
        </w:rPr>
        <w:t xml:space="preserve"> </w:t>
      </w:r>
      <w:r w:rsidRPr="00DA67B3">
        <w:rPr>
          <w:rFonts w:ascii="Verdana" w:hAnsi="Verdana"/>
        </w:rPr>
        <w:t>contratos</w:t>
      </w:r>
      <w:r w:rsidRPr="00DA67B3">
        <w:rPr>
          <w:rFonts w:ascii="Verdana" w:hAnsi="Verdana"/>
          <w:spacing w:val="1"/>
        </w:rPr>
        <w:t xml:space="preserve"> </w:t>
      </w:r>
      <w:r w:rsidRPr="00DA67B3">
        <w:rPr>
          <w:rFonts w:ascii="Verdana" w:hAnsi="Verdana"/>
        </w:rPr>
        <w:t>para</w:t>
      </w:r>
      <w:r w:rsidRPr="00DA67B3">
        <w:rPr>
          <w:rFonts w:ascii="Verdana" w:hAnsi="Verdana"/>
          <w:spacing w:val="1"/>
        </w:rPr>
        <w:t xml:space="preserve"> </w:t>
      </w:r>
      <w:r w:rsidRPr="00DA67B3">
        <w:rPr>
          <w:rFonts w:ascii="Verdana" w:hAnsi="Verdana"/>
        </w:rPr>
        <w:t>la</w:t>
      </w:r>
      <w:r w:rsidRPr="00DA67B3">
        <w:rPr>
          <w:rFonts w:ascii="Verdana" w:hAnsi="Verdana"/>
          <w:spacing w:val="1"/>
        </w:rPr>
        <w:t xml:space="preserve"> </w:t>
      </w:r>
      <w:r w:rsidRPr="00DA67B3">
        <w:rPr>
          <w:rFonts w:ascii="Verdana" w:hAnsi="Verdana"/>
        </w:rPr>
        <w:t xml:space="preserve">prestación de servicios de salud; </w:t>
      </w:r>
      <w:r w:rsidRPr="00DA67B3">
        <w:rPr>
          <w:rFonts w:ascii="Verdana" w:hAnsi="Verdana"/>
          <w:iCs/>
        </w:rPr>
        <w:t>contratos de mínima cuantía</w:t>
      </w:r>
      <w:r w:rsidRPr="00DA67B3">
        <w:rPr>
          <w:rFonts w:ascii="Verdana" w:hAnsi="Verdana"/>
          <w:i/>
          <w:u w:val="single"/>
        </w:rPr>
        <w:t>;</w:t>
      </w:r>
      <w:r w:rsidRPr="00DA67B3">
        <w:rPr>
          <w:rFonts w:ascii="Verdana" w:hAnsi="Verdana"/>
          <w:i/>
        </w:rPr>
        <w:t xml:space="preserve"> </w:t>
      </w:r>
      <w:r w:rsidRPr="00DA67B3">
        <w:rPr>
          <w:rFonts w:ascii="Verdana" w:hAnsi="Verdana"/>
        </w:rPr>
        <w:t>enajenación de bienes del</w:t>
      </w:r>
      <w:r w:rsidRPr="00DA67B3">
        <w:rPr>
          <w:rFonts w:ascii="Verdana" w:hAnsi="Verdana"/>
          <w:spacing w:val="1"/>
        </w:rPr>
        <w:t xml:space="preserve"> </w:t>
      </w:r>
      <w:r w:rsidRPr="00DA67B3">
        <w:rPr>
          <w:rFonts w:ascii="Verdana" w:hAnsi="Verdana"/>
        </w:rPr>
        <w:t>Estado; contratos que tengan por objeto la adquisición de productos de origen o destinación</w:t>
      </w:r>
      <w:r w:rsidRPr="00DA67B3">
        <w:rPr>
          <w:rFonts w:ascii="Verdana" w:hAnsi="Verdana"/>
          <w:spacing w:val="1"/>
        </w:rPr>
        <w:t xml:space="preserve"> </w:t>
      </w:r>
      <w:r w:rsidRPr="00DA67B3">
        <w:rPr>
          <w:rFonts w:ascii="Verdana" w:hAnsi="Verdana"/>
        </w:rPr>
        <w:t>agropecuaria que se ofrezcan en bolsas de productos legalmente constituidas; los actos y</w:t>
      </w:r>
      <w:r w:rsidRPr="00DA67B3">
        <w:rPr>
          <w:rFonts w:ascii="Verdana" w:hAnsi="Verdana"/>
          <w:spacing w:val="1"/>
        </w:rPr>
        <w:t xml:space="preserve"> </w:t>
      </w:r>
      <w:r w:rsidRPr="00DA67B3">
        <w:rPr>
          <w:rFonts w:ascii="Verdana" w:hAnsi="Verdana"/>
        </w:rPr>
        <w:t>contratos que tengan por objeto directo las actividades comerciales e industriales propias de</w:t>
      </w:r>
      <w:r w:rsidRPr="00DA67B3">
        <w:rPr>
          <w:rFonts w:ascii="Verdana" w:hAnsi="Verdana"/>
          <w:spacing w:val="-59"/>
        </w:rPr>
        <w:t xml:space="preserve"> </w:t>
      </w:r>
      <w:r w:rsidRPr="00DA67B3">
        <w:rPr>
          <w:rFonts w:ascii="Verdana" w:hAnsi="Verdana"/>
        </w:rPr>
        <w:t>las</w:t>
      </w:r>
      <w:r w:rsidRPr="00DA67B3">
        <w:rPr>
          <w:rFonts w:ascii="Verdana" w:hAnsi="Verdana"/>
          <w:spacing w:val="-6"/>
        </w:rPr>
        <w:t xml:space="preserve"> </w:t>
      </w:r>
      <w:r w:rsidRPr="00DA67B3">
        <w:rPr>
          <w:rFonts w:ascii="Verdana" w:hAnsi="Verdana"/>
        </w:rPr>
        <w:t>empresas</w:t>
      </w:r>
      <w:r w:rsidRPr="00DA67B3">
        <w:rPr>
          <w:rFonts w:ascii="Verdana" w:hAnsi="Verdana"/>
          <w:spacing w:val="-6"/>
        </w:rPr>
        <w:t xml:space="preserve"> </w:t>
      </w:r>
      <w:r w:rsidRPr="00DA67B3">
        <w:rPr>
          <w:rFonts w:ascii="Verdana" w:hAnsi="Verdana"/>
        </w:rPr>
        <w:t>industriales</w:t>
      </w:r>
      <w:r w:rsidRPr="00DA67B3">
        <w:rPr>
          <w:rFonts w:ascii="Verdana" w:hAnsi="Verdana"/>
          <w:spacing w:val="-6"/>
        </w:rPr>
        <w:t xml:space="preserve"> </w:t>
      </w:r>
      <w:r w:rsidRPr="00DA67B3">
        <w:rPr>
          <w:rFonts w:ascii="Verdana" w:hAnsi="Verdana"/>
        </w:rPr>
        <w:t>y</w:t>
      </w:r>
      <w:r w:rsidRPr="00DA67B3">
        <w:rPr>
          <w:rFonts w:ascii="Verdana" w:hAnsi="Verdana"/>
          <w:spacing w:val="-5"/>
        </w:rPr>
        <w:t xml:space="preserve"> </w:t>
      </w:r>
      <w:r w:rsidRPr="00DA67B3">
        <w:rPr>
          <w:rFonts w:ascii="Verdana" w:hAnsi="Verdana"/>
        </w:rPr>
        <w:t>comerciales</w:t>
      </w:r>
      <w:r w:rsidRPr="00DA67B3">
        <w:rPr>
          <w:rFonts w:ascii="Verdana" w:hAnsi="Verdana"/>
          <w:spacing w:val="-6"/>
        </w:rPr>
        <w:t xml:space="preserve"> </w:t>
      </w:r>
      <w:r w:rsidRPr="00DA67B3">
        <w:rPr>
          <w:rFonts w:ascii="Verdana" w:hAnsi="Verdana"/>
        </w:rPr>
        <w:t>del</w:t>
      </w:r>
      <w:r w:rsidRPr="00DA67B3">
        <w:rPr>
          <w:rFonts w:ascii="Verdana" w:hAnsi="Verdana"/>
          <w:spacing w:val="-6"/>
        </w:rPr>
        <w:t xml:space="preserve"> </w:t>
      </w:r>
      <w:r w:rsidRPr="00DA67B3">
        <w:rPr>
          <w:rFonts w:ascii="Verdana" w:hAnsi="Verdana"/>
        </w:rPr>
        <w:t>Estado</w:t>
      </w:r>
      <w:r w:rsidRPr="00DA67B3">
        <w:rPr>
          <w:rFonts w:ascii="Verdana" w:hAnsi="Verdana"/>
          <w:spacing w:val="-4"/>
        </w:rPr>
        <w:t xml:space="preserve"> </w:t>
      </w:r>
      <w:r w:rsidRPr="00DA67B3">
        <w:rPr>
          <w:rFonts w:ascii="Verdana" w:hAnsi="Verdana"/>
        </w:rPr>
        <w:t>y</w:t>
      </w:r>
      <w:r w:rsidRPr="00DA67B3">
        <w:rPr>
          <w:rFonts w:ascii="Verdana" w:hAnsi="Verdana"/>
          <w:spacing w:val="-6"/>
        </w:rPr>
        <w:t xml:space="preserve"> </w:t>
      </w:r>
      <w:r w:rsidRPr="00DA67B3">
        <w:rPr>
          <w:rFonts w:ascii="Verdana" w:hAnsi="Verdana"/>
        </w:rPr>
        <w:t>las</w:t>
      </w:r>
      <w:r w:rsidRPr="00DA67B3">
        <w:rPr>
          <w:rFonts w:ascii="Verdana" w:hAnsi="Verdana"/>
          <w:spacing w:val="-6"/>
        </w:rPr>
        <w:t xml:space="preserve"> </w:t>
      </w:r>
      <w:r w:rsidRPr="00DA67B3">
        <w:rPr>
          <w:rFonts w:ascii="Verdana" w:hAnsi="Verdana"/>
        </w:rPr>
        <w:t>sociedades</w:t>
      </w:r>
      <w:r w:rsidRPr="00DA67B3">
        <w:rPr>
          <w:rFonts w:ascii="Verdana" w:hAnsi="Verdana"/>
          <w:spacing w:val="-6"/>
        </w:rPr>
        <w:t xml:space="preserve"> </w:t>
      </w:r>
      <w:r w:rsidRPr="00DA67B3">
        <w:rPr>
          <w:rFonts w:ascii="Verdana" w:hAnsi="Verdana"/>
        </w:rPr>
        <w:t>de</w:t>
      </w:r>
      <w:r w:rsidRPr="00DA67B3">
        <w:rPr>
          <w:rFonts w:ascii="Verdana" w:hAnsi="Verdana"/>
          <w:spacing w:val="-5"/>
        </w:rPr>
        <w:t xml:space="preserve"> </w:t>
      </w:r>
      <w:r w:rsidRPr="00DA67B3">
        <w:rPr>
          <w:rFonts w:ascii="Verdana" w:hAnsi="Verdana"/>
        </w:rPr>
        <w:t>economía</w:t>
      </w:r>
      <w:r w:rsidRPr="00DA67B3">
        <w:rPr>
          <w:rFonts w:ascii="Verdana" w:hAnsi="Verdana"/>
          <w:spacing w:val="-6"/>
        </w:rPr>
        <w:t xml:space="preserve"> </w:t>
      </w:r>
      <w:r w:rsidRPr="00DA67B3">
        <w:rPr>
          <w:rFonts w:ascii="Verdana" w:hAnsi="Verdana"/>
        </w:rPr>
        <w:t>mixta</w:t>
      </w:r>
      <w:r w:rsidRPr="00DA67B3">
        <w:rPr>
          <w:rFonts w:ascii="Verdana" w:hAnsi="Verdana"/>
          <w:spacing w:val="-6"/>
        </w:rPr>
        <w:t xml:space="preserve"> </w:t>
      </w:r>
      <w:r w:rsidRPr="00DA67B3">
        <w:rPr>
          <w:rFonts w:ascii="Verdana" w:hAnsi="Verdana"/>
        </w:rPr>
        <w:t>y</w:t>
      </w:r>
      <w:r w:rsidRPr="00DA67B3">
        <w:rPr>
          <w:rFonts w:ascii="Verdana" w:hAnsi="Verdana"/>
          <w:spacing w:val="-5"/>
        </w:rPr>
        <w:t xml:space="preserve"> </w:t>
      </w:r>
      <w:r w:rsidRPr="00DA67B3">
        <w:rPr>
          <w:rFonts w:ascii="Verdana" w:hAnsi="Verdana"/>
          <w:iCs/>
        </w:rPr>
        <w:t xml:space="preserve">los </w:t>
      </w:r>
      <w:r w:rsidRPr="00DA67B3">
        <w:rPr>
          <w:rFonts w:ascii="Verdana" w:hAnsi="Verdana"/>
          <w:iCs/>
          <w:spacing w:val="-1"/>
        </w:rPr>
        <w:t>contratos de concesión de cualquier</w:t>
      </w:r>
      <w:r w:rsidRPr="00DA67B3">
        <w:rPr>
          <w:rFonts w:ascii="Verdana" w:hAnsi="Verdana"/>
          <w:iCs/>
          <w:spacing w:val="-19"/>
        </w:rPr>
        <w:t xml:space="preserve"> </w:t>
      </w:r>
      <w:r w:rsidRPr="00DA67B3">
        <w:rPr>
          <w:rFonts w:ascii="Verdana" w:hAnsi="Verdana"/>
          <w:iCs/>
        </w:rPr>
        <w:t>índole</w:t>
      </w:r>
      <w:r w:rsidRPr="00DA67B3">
        <w:rPr>
          <w:rFonts w:ascii="Verdana" w:hAnsi="Verdana"/>
        </w:rPr>
        <w:t>”</w:t>
      </w:r>
      <w:r w:rsidRPr="00DA67B3">
        <w:rPr>
          <w:rFonts w:ascii="Verdana" w:hAnsi="Verdana"/>
          <w:spacing w:val="-1"/>
        </w:rPr>
        <w:t>.</w:t>
      </w:r>
    </w:p>
    <w:p w14:paraId="3CA277A5" w14:textId="77777777" w:rsidR="00DF6818" w:rsidRPr="00DA67B3" w:rsidRDefault="00DF6818" w:rsidP="00DF6818">
      <w:pPr>
        <w:spacing w:after="120" w:line="276" w:lineRule="auto"/>
        <w:ind w:left="720" w:right="49"/>
        <w:jc w:val="both"/>
        <w:rPr>
          <w:rFonts w:ascii="Verdana" w:hAnsi="Verdana"/>
        </w:rPr>
      </w:pPr>
    </w:p>
    <w:p w14:paraId="3FD4C8B6" w14:textId="77777777" w:rsidR="00DF6818" w:rsidRPr="00DA67B3" w:rsidRDefault="00DF6818" w:rsidP="00DF6818">
      <w:pPr>
        <w:numPr>
          <w:ilvl w:val="0"/>
          <w:numId w:val="18"/>
        </w:numPr>
        <w:spacing w:after="120" w:line="276" w:lineRule="auto"/>
        <w:ind w:right="49"/>
        <w:jc w:val="both"/>
        <w:rPr>
          <w:rFonts w:ascii="Verdana" w:hAnsi="Verdana"/>
        </w:rPr>
      </w:pPr>
      <w:r w:rsidRPr="00DA67B3">
        <w:rPr>
          <w:rFonts w:ascii="Verdana" w:hAnsi="Verdana"/>
        </w:rPr>
        <w:t>La norma dispone que, en estos eventos, las entidades contratantes tienen del deber</w:t>
      </w:r>
      <w:r w:rsidRPr="00DA67B3">
        <w:rPr>
          <w:rFonts w:ascii="Verdana" w:hAnsi="Verdana"/>
          <w:spacing w:val="-6"/>
        </w:rPr>
        <w:t xml:space="preserve"> </w:t>
      </w:r>
      <w:r w:rsidRPr="00DA67B3">
        <w:rPr>
          <w:rFonts w:ascii="Verdana" w:hAnsi="Verdana"/>
        </w:rPr>
        <w:t>de</w:t>
      </w:r>
      <w:r w:rsidRPr="00DA67B3">
        <w:rPr>
          <w:rFonts w:ascii="Verdana" w:hAnsi="Verdana"/>
          <w:spacing w:val="-6"/>
        </w:rPr>
        <w:t xml:space="preserve"> </w:t>
      </w:r>
      <w:r w:rsidRPr="00DA67B3">
        <w:rPr>
          <w:rFonts w:ascii="Verdana" w:hAnsi="Verdana"/>
        </w:rPr>
        <w:t>verificar</w:t>
      </w:r>
      <w:r w:rsidRPr="00DA67B3">
        <w:rPr>
          <w:rFonts w:ascii="Verdana" w:hAnsi="Verdana"/>
          <w:spacing w:val="-6"/>
        </w:rPr>
        <w:t xml:space="preserve"> </w:t>
      </w:r>
      <w:r w:rsidRPr="00DA67B3">
        <w:rPr>
          <w:rFonts w:ascii="Verdana" w:hAnsi="Verdana"/>
        </w:rPr>
        <w:t>el cumplimiento de los requisitos habilitantes</w:t>
      </w:r>
      <w:bookmarkEnd w:id="3"/>
      <w:r w:rsidRPr="00DA67B3">
        <w:rPr>
          <w:rFonts w:ascii="Verdana" w:hAnsi="Verdana"/>
        </w:rPr>
        <w:t xml:space="preserve"> o la Clasificación de Bienes y Servicios</w:t>
      </w:r>
      <w:r w:rsidRPr="00DA67B3">
        <w:rPr>
          <w:rFonts w:ascii="Verdana" w:hAnsi="Verdana"/>
          <w:vertAlign w:val="superscript"/>
        </w:rPr>
        <w:footnoteReference w:id="5"/>
      </w:r>
      <w:r w:rsidRPr="00DA67B3">
        <w:rPr>
          <w:rFonts w:ascii="Verdana" w:hAnsi="Verdana"/>
        </w:rPr>
        <w:t>. Adicionalmente, el numeral 6.1. del artículo 6 de la Ley 1150 de 2007 establece que cuando sea necesario verificar requisitos o información que no reposa en RUP, la entidad podrá solicitar información adicional solo para complementar la información contenida en dicho Registro, y con el fin de verificar condiciones adicionales de experiencia del proponente. De esta forma, sólo en aquellos casos en los que por las</w:t>
      </w:r>
      <w:r w:rsidRPr="00DA67B3">
        <w:rPr>
          <w:rFonts w:ascii="Verdana" w:hAnsi="Verdana"/>
          <w:spacing w:val="1"/>
        </w:rPr>
        <w:t xml:space="preserve"> </w:t>
      </w:r>
      <w:r w:rsidRPr="00DA67B3">
        <w:rPr>
          <w:rFonts w:ascii="Verdana" w:hAnsi="Verdana"/>
        </w:rPr>
        <w:t>características</w:t>
      </w:r>
      <w:r w:rsidRPr="00DA67B3">
        <w:rPr>
          <w:rFonts w:ascii="Verdana" w:hAnsi="Verdana"/>
          <w:spacing w:val="-3"/>
        </w:rPr>
        <w:t xml:space="preserve"> </w:t>
      </w:r>
      <w:r w:rsidRPr="00DA67B3">
        <w:rPr>
          <w:rFonts w:ascii="Verdana" w:hAnsi="Verdana"/>
        </w:rPr>
        <w:t>del</w:t>
      </w:r>
      <w:r w:rsidRPr="00DA67B3">
        <w:rPr>
          <w:rFonts w:ascii="Verdana" w:hAnsi="Verdana"/>
          <w:spacing w:val="-3"/>
        </w:rPr>
        <w:t xml:space="preserve"> </w:t>
      </w:r>
      <w:r w:rsidRPr="00DA67B3">
        <w:rPr>
          <w:rFonts w:ascii="Verdana" w:hAnsi="Verdana"/>
        </w:rPr>
        <w:t>objeto</w:t>
      </w:r>
      <w:r w:rsidRPr="00DA67B3">
        <w:rPr>
          <w:rFonts w:ascii="Verdana" w:hAnsi="Verdana"/>
          <w:spacing w:val="-3"/>
        </w:rPr>
        <w:t xml:space="preserve"> </w:t>
      </w:r>
      <w:r w:rsidRPr="00DA67B3">
        <w:rPr>
          <w:rFonts w:ascii="Verdana" w:hAnsi="Verdana"/>
        </w:rPr>
        <w:t>a</w:t>
      </w:r>
      <w:r w:rsidRPr="00DA67B3">
        <w:rPr>
          <w:rFonts w:ascii="Verdana" w:hAnsi="Verdana"/>
          <w:spacing w:val="-2"/>
        </w:rPr>
        <w:t xml:space="preserve"> </w:t>
      </w:r>
      <w:r w:rsidRPr="00DA67B3">
        <w:rPr>
          <w:rFonts w:ascii="Verdana" w:hAnsi="Verdana"/>
        </w:rPr>
        <w:t>contratar</w:t>
      </w:r>
      <w:r w:rsidRPr="00DA67B3">
        <w:rPr>
          <w:rFonts w:ascii="Verdana" w:hAnsi="Verdana"/>
          <w:spacing w:val="-3"/>
        </w:rPr>
        <w:t xml:space="preserve"> </w:t>
      </w:r>
      <w:r w:rsidRPr="00DA67B3">
        <w:rPr>
          <w:rFonts w:ascii="Verdana" w:hAnsi="Verdana"/>
        </w:rPr>
        <w:t>se</w:t>
      </w:r>
      <w:r w:rsidRPr="00DA67B3">
        <w:rPr>
          <w:rFonts w:ascii="Verdana" w:hAnsi="Verdana"/>
          <w:spacing w:val="-3"/>
        </w:rPr>
        <w:t xml:space="preserve"> </w:t>
      </w:r>
      <w:r w:rsidRPr="00DA67B3">
        <w:rPr>
          <w:rFonts w:ascii="Verdana" w:hAnsi="Verdana"/>
        </w:rPr>
        <w:lastRenderedPageBreak/>
        <w:t>requiera</w:t>
      </w:r>
      <w:r w:rsidRPr="00DA67B3">
        <w:rPr>
          <w:rFonts w:ascii="Verdana" w:hAnsi="Verdana"/>
          <w:spacing w:val="-2"/>
        </w:rPr>
        <w:t xml:space="preserve"> </w:t>
      </w:r>
      <w:r w:rsidRPr="00DA67B3">
        <w:rPr>
          <w:rFonts w:ascii="Verdana" w:hAnsi="Verdana"/>
        </w:rPr>
        <w:t>la</w:t>
      </w:r>
      <w:r w:rsidRPr="00DA67B3">
        <w:rPr>
          <w:rFonts w:ascii="Verdana" w:hAnsi="Verdana"/>
          <w:spacing w:val="-3"/>
        </w:rPr>
        <w:t xml:space="preserve"> </w:t>
      </w:r>
      <w:r w:rsidRPr="00DA67B3">
        <w:rPr>
          <w:rFonts w:ascii="Verdana" w:hAnsi="Verdana"/>
        </w:rPr>
        <w:t>verificación</w:t>
      </w:r>
      <w:r w:rsidRPr="00DA67B3">
        <w:rPr>
          <w:rFonts w:ascii="Verdana" w:hAnsi="Verdana"/>
          <w:spacing w:val="-3"/>
        </w:rPr>
        <w:t xml:space="preserve"> </w:t>
      </w:r>
      <w:r w:rsidRPr="00DA67B3">
        <w:rPr>
          <w:rFonts w:ascii="Verdana" w:hAnsi="Verdana"/>
        </w:rPr>
        <w:t>de</w:t>
      </w:r>
      <w:r w:rsidRPr="00DA67B3">
        <w:rPr>
          <w:rFonts w:ascii="Verdana" w:hAnsi="Verdana"/>
          <w:spacing w:val="-2"/>
        </w:rPr>
        <w:t xml:space="preserve"> </w:t>
      </w:r>
      <w:r w:rsidRPr="00DA67B3">
        <w:rPr>
          <w:rFonts w:ascii="Verdana" w:hAnsi="Verdana"/>
        </w:rPr>
        <w:t>requisitos</w:t>
      </w:r>
      <w:r w:rsidRPr="00DA67B3">
        <w:rPr>
          <w:rFonts w:ascii="Verdana" w:hAnsi="Verdana"/>
          <w:spacing w:val="-3"/>
        </w:rPr>
        <w:t xml:space="preserve"> </w:t>
      </w:r>
      <w:r w:rsidRPr="00DA67B3">
        <w:rPr>
          <w:rFonts w:ascii="Verdana" w:hAnsi="Verdana"/>
        </w:rPr>
        <w:t>del</w:t>
      </w:r>
      <w:r w:rsidRPr="00DA67B3">
        <w:rPr>
          <w:rFonts w:ascii="Verdana" w:hAnsi="Verdana"/>
          <w:spacing w:val="-3"/>
        </w:rPr>
        <w:t xml:space="preserve"> </w:t>
      </w:r>
      <w:r w:rsidRPr="00DA67B3">
        <w:rPr>
          <w:rFonts w:ascii="Verdana" w:hAnsi="Verdana"/>
        </w:rPr>
        <w:t>proponente adicionales a los contenidos en el RUP, la entidad podrá hacer tal verificación en forma</w:t>
      </w:r>
      <w:r w:rsidRPr="00DA67B3">
        <w:rPr>
          <w:rFonts w:ascii="Verdana" w:hAnsi="Verdana"/>
          <w:spacing w:val="1"/>
        </w:rPr>
        <w:t xml:space="preserve"> </w:t>
      </w:r>
      <w:r w:rsidRPr="00DA67B3">
        <w:rPr>
          <w:rFonts w:ascii="Verdana" w:hAnsi="Verdana"/>
        </w:rPr>
        <w:t>directa</w:t>
      </w:r>
      <w:r w:rsidRPr="00DA67B3">
        <w:rPr>
          <w:rFonts w:ascii="Verdana" w:hAnsi="Verdana"/>
          <w:spacing w:val="-2"/>
        </w:rPr>
        <w:t xml:space="preserve"> </w:t>
      </w:r>
      <w:r w:rsidRPr="00DA67B3">
        <w:rPr>
          <w:rFonts w:ascii="Verdana" w:hAnsi="Verdana"/>
        </w:rPr>
        <w:t>y</w:t>
      </w:r>
      <w:r w:rsidRPr="00DA67B3">
        <w:rPr>
          <w:rFonts w:ascii="Verdana" w:hAnsi="Verdana"/>
          <w:spacing w:val="-1"/>
        </w:rPr>
        <w:t xml:space="preserve"> </w:t>
      </w:r>
      <w:r w:rsidRPr="00DA67B3">
        <w:rPr>
          <w:rFonts w:ascii="Verdana" w:hAnsi="Verdana"/>
        </w:rPr>
        <w:t>solicitar</w:t>
      </w:r>
      <w:r w:rsidRPr="00DA67B3">
        <w:rPr>
          <w:rFonts w:ascii="Verdana" w:hAnsi="Verdana"/>
          <w:spacing w:val="-2"/>
        </w:rPr>
        <w:t xml:space="preserve"> </w:t>
      </w:r>
      <w:r w:rsidRPr="00DA67B3">
        <w:rPr>
          <w:rFonts w:ascii="Verdana" w:hAnsi="Verdana"/>
        </w:rPr>
        <w:t>documentos</w:t>
      </w:r>
      <w:r w:rsidRPr="00DA67B3">
        <w:rPr>
          <w:rFonts w:ascii="Verdana" w:hAnsi="Verdana"/>
          <w:spacing w:val="-1"/>
        </w:rPr>
        <w:t xml:space="preserve"> </w:t>
      </w:r>
      <w:r w:rsidRPr="00DA67B3">
        <w:rPr>
          <w:rFonts w:ascii="Verdana" w:hAnsi="Verdana"/>
        </w:rPr>
        <w:t>diferentes</w:t>
      </w:r>
      <w:r w:rsidRPr="00DA67B3">
        <w:rPr>
          <w:rFonts w:ascii="Verdana" w:hAnsi="Verdana"/>
          <w:spacing w:val="-1"/>
        </w:rPr>
        <w:t xml:space="preserve"> </w:t>
      </w:r>
      <w:r w:rsidRPr="00DA67B3">
        <w:rPr>
          <w:rFonts w:ascii="Verdana" w:hAnsi="Verdana"/>
        </w:rPr>
        <w:t>al</w:t>
      </w:r>
      <w:r w:rsidRPr="00DA67B3">
        <w:rPr>
          <w:rFonts w:ascii="Verdana" w:hAnsi="Verdana"/>
          <w:spacing w:val="-2"/>
        </w:rPr>
        <w:t xml:space="preserve"> </w:t>
      </w:r>
      <w:r w:rsidRPr="00DA67B3">
        <w:rPr>
          <w:rFonts w:ascii="Verdana" w:hAnsi="Verdana"/>
        </w:rPr>
        <w:t>mismo</w:t>
      </w:r>
      <w:bookmarkEnd w:id="4"/>
      <w:r w:rsidRPr="00DA67B3">
        <w:rPr>
          <w:rFonts w:ascii="Verdana" w:hAnsi="Verdana"/>
          <w:vertAlign w:val="superscript"/>
        </w:rPr>
        <w:footnoteReference w:id="6"/>
      </w:r>
      <w:r w:rsidRPr="00DA67B3">
        <w:rPr>
          <w:rFonts w:ascii="Verdana" w:hAnsi="Verdana"/>
        </w:rPr>
        <w:t>.</w:t>
      </w:r>
    </w:p>
    <w:p w14:paraId="6124CACD" w14:textId="77777777" w:rsidR="00DF6818" w:rsidRPr="00DA67B3" w:rsidRDefault="00DF6818" w:rsidP="00DF6818">
      <w:pPr>
        <w:numPr>
          <w:ilvl w:val="0"/>
          <w:numId w:val="18"/>
        </w:numPr>
        <w:spacing w:before="120" w:after="120" w:line="276" w:lineRule="auto"/>
        <w:contextualSpacing/>
        <w:jc w:val="both"/>
        <w:rPr>
          <w:rFonts w:ascii="Verdana" w:hAnsi="Verdana" w:cs="Arial"/>
          <w:color w:val="000000" w:themeColor="text1"/>
          <w:lang w:val="es-ES"/>
        </w:rPr>
      </w:pPr>
      <w:r w:rsidRPr="00DA67B3">
        <w:rPr>
          <w:rFonts w:ascii="Verdana" w:hAnsi="Verdana" w:cs="Arial"/>
          <w:color w:val="000000" w:themeColor="text1"/>
          <w:lang w:val="es-ES"/>
        </w:rPr>
        <w:t>Así las cosas, 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DA67B3">
        <w:rPr>
          <w:rFonts w:ascii="Verdana" w:hAnsi="Verdana" w:cs="Arial"/>
          <w:color w:val="000000" w:themeColor="text1"/>
          <w:vertAlign w:val="superscript"/>
          <w:lang w:val="es-ES"/>
        </w:rPr>
        <w:footnoteReference w:id="7"/>
      </w:r>
      <w:r w:rsidRPr="00DA67B3">
        <w:rPr>
          <w:rFonts w:ascii="Verdana" w:hAnsi="Verdana" w:cs="Arial"/>
          <w:color w:val="000000" w:themeColor="text1"/>
          <w:lang w:val="es-ES"/>
        </w:rPr>
        <w:t xml:space="preserve">.  </w:t>
      </w:r>
    </w:p>
    <w:p w14:paraId="5B850EC3" w14:textId="77777777" w:rsidR="00DF6818" w:rsidRPr="00DA67B3" w:rsidRDefault="00DF6818" w:rsidP="00DF6818">
      <w:pPr>
        <w:spacing w:before="120" w:after="120" w:line="276" w:lineRule="auto"/>
        <w:ind w:left="720"/>
        <w:contextualSpacing/>
        <w:jc w:val="both"/>
        <w:rPr>
          <w:rFonts w:ascii="Verdana" w:hAnsi="Verdana" w:cs="Arial"/>
          <w:color w:val="000000" w:themeColor="text1"/>
          <w:lang w:val="es-ES"/>
        </w:rPr>
      </w:pPr>
    </w:p>
    <w:p w14:paraId="1A942516" w14:textId="77777777" w:rsidR="00DF6818" w:rsidRDefault="00DF6818" w:rsidP="00DF6818">
      <w:pPr>
        <w:numPr>
          <w:ilvl w:val="0"/>
          <w:numId w:val="18"/>
        </w:numPr>
        <w:spacing w:before="120" w:after="120" w:line="276" w:lineRule="auto"/>
        <w:contextualSpacing/>
        <w:jc w:val="both"/>
        <w:rPr>
          <w:rFonts w:ascii="Verdana" w:eastAsia="Calibri" w:hAnsi="Verdana" w:cs="Arial"/>
          <w:szCs w:val="24"/>
          <w:lang w:val="es-ES" w:eastAsia="es-ES_tradnl"/>
        </w:rPr>
      </w:pPr>
      <w:r>
        <w:rPr>
          <w:rFonts w:ascii="Verdana" w:hAnsi="Verdana" w:cs="Arial"/>
          <w:color w:val="000000" w:themeColor="text1"/>
          <w:lang w:val="es-ES"/>
        </w:rPr>
        <w:t>Finalmente</w:t>
      </w:r>
      <w:r w:rsidRPr="00DA67B3">
        <w:rPr>
          <w:rFonts w:ascii="Verdana" w:hAnsi="Verdana" w:cs="Arial"/>
          <w:color w:val="000000" w:themeColor="text1"/>
          <w:lang w:val="es-ES"/>
        </w:rPr>
        <w:t xml:space="preserve">, </w:t>
      </w:r>
      <w:r>
        <w:rPr>
          <w:rFonts w:ascii="Verdana" w:eastAsia="Calibri" w:hAnsi="Verdana" w:cs="Arial"/>
          <w:szCs w:val="24"/>
          <w:lang w:val="es-ES" w:eastAsia="es-ES_tradnl"/>
        </w:rPr>
        <w:t xml:space="preserve">el Manual </w:t>
      </w:r>
      <w:r w:rsidRPr="00656F02">
        <w:rPr>
          <w:rFonts w:ascii="Verdana" w:eastAsia="Calibri" w:hAnsi="Verdana" w:cs="Arial"/>
          <w:szCs w:val="24"/>
          <w:lang w:val="es-ES" w:eastAsia="es-ES_tradnl"/>
        </w:rPr>
        <w:t xml:space="preserve">para determinar y verificar los requisitos habilitantes en los procesos de contratación </w:t>
      </w:r>
      <w:r>
        <w:rPr>
          <w:rFonts w:ascii="Verdana" w:eastAsia="Calibri" w:hAnsi="Verdana" w:cs="Arial"/>
          <w:szCs w:val="24"/>
          <w:lang w:val="es-ES" w:eastAsia="es-ES_tradnl"/>
        </w:rPr>
        <w:t>de esta Agencia señala que:</w:t>
      </w:r>
    </w:p>
    <w:p w14:paraId="405F7317" w14:textId="77777777" w:rsidR="00DF6818" w:rsidRDefault="00DF6818" w:rsidP="00DF6818">
      <w:pPr>
        <w:tabs>
          <w:tab w:val="left" w:pos="8505"/>
        </w:tabs>
        <w:ind w:left="709" w:right="709"/>
        <w:contextualSpacing/>
        <w:jc w:val="both"/>
        <w:rPr>
          <w:rFonts w:ascii="Verdana" w:hAnsi="Verdana" w:cs="Arial"/>
          <w:color w:val="000000" w:themeColor="text1"/>
          <w:sz w:val="21"/>
          <w:szCs w:val="21"/>
        </w:rPr>
      </w:pPr>
    </w:p>
    <w:p w14:paraId="28CF18BE" w14:textId="77777777" w:rsidR="00DF6818" w:rsidRDefault="00DF6818" w:rsidP="00DF6818">
      <w:pPr>
        <w:tabs>
          <w:tab w:val="left" w:pos="8505"/>
        </w:tabs>
        <w:ind w:left="709" w:right="709"/>
        <w:contextualSpacing/>
        <w:jc w:val="both"/>
        <w:rPr>
          <w:rFonts w:ascii="Verdana" w:hAnsi="Verdana" w:cs="Arial"/>
          <w:color w:val="000000" w:themeColor="text1"/>
          <w:sz w:val="21"/>
          <w:szCs w:val="21"/>
        </w:rPr>
      </w:pPr>
      <w:r>
        <w:rPr>
          <w:rFonts w:ascii="Verdana" w:hAnsi="Verdana" w:cs="Arial"/>
          <w:color w:val="000000" w:themeColor="text1"/>
          <w:sz w:val="21"/>
          <w:szCs w:val="21"/>
        </w:rPr>
        <w:t>“</w:t>
      </w:r>
      <w:r w:rsidRPr="00352F36">
        <w:rPr>
          <w:rFonts w:ascii="Verdana" w:hAnsi="Verdana" w:cs="Arial"/>
          <w:color w:val="000000" w:themeColor="text1"/>
          <w:sz w:val="21"/>
          <w:szCs w:val="21"/>
        </w:rPr>
        <w:t>La Agencia Nacional de Contratación Pública - Colombia Compra Eficiente recomienda a las Entidades Estatales establecer en los Documentos del Proceso la forma en la cual: (i) los proponentes deben acreditar los indicadores exigidos que no están incluidos en el RUP y (</w:t>
      </w:r>
      <w:proofErr w:type="spellStart"/>
      <w:r w:rsidRPr="00352F36">
        <w:rPr>
          <w:rFonts w:ascii="Verdana" w:hAnsi="Verdana" w:cs="Arial"/>
          <w:color w:val="000000" w:themeColor="text1"/>
          <w:sz w:val="21"/>
          <w:szCs w:val="21"/>
        </w:rPr>
        <w:t>ii</w:t>
      </w:r>
      <w:proofErr w:type="spellEnd"/>
      <w:r w:rsidRPr="00352F36">
        <w:rPr>
          <w:rFonts w:ascii="Verdana" w:hAnsi="Verdana" w:cs="Arial"/>
          <w:color w:val="000000" w:themeColor="text1"/>
          <w:sz w:val="21"/>
          <w:szCs w:val="21"/>
        </w:rPr>
        <w:t>) los proveedores extranjeros no obligados a estar registrados en el RUP deben demostrar que cumplen con los requisitos habilitantes, bien sean oferentes individuales o integrantes de una unión temporal o consorcio.</w:t>
      </w:r>
    </w:p>
    <w:p w14:paraId="2BF4ED44" w14:textId="77777777" w:rsidR="00DF6818" w:rsidRDefault="00DF6818" w:rsidP="00DF6818">
      <w:pPr>
        <w:tabs>
          <w:tab w:val="left" w:pos="8505"/>
        </w:tabs>
        <w:ind w:left="709" w:right="709"/>
        <w:contextualSpacing/>
        <w:jc w:val="both"/>
        <w:rPr>
          <w:rFonts w:ascii="Verdana" w:hAnsi="Verdana" w:cs="Arial"/>
          <w:color w:val="000000" w:themeColor="text1"/>
          <w:sz w:val="21"/>
          <w:szCs w:val="21"/>
        </w:rPr>
      </w:pPr>
    </w:p>
    <w:p w14:paraId="6E3F250A" w14:textId="77777777" w:rsidR="00DF6818" w:rsidRPr="00352F36" w:rsidRDefault="00DF6818" w:rsidP="00DF6818">
      <w:pPr>
        <w:tabs>
          <w:tab w:val="left" w:pos="8505"/>
        </w:tabs>
        <w:ind w:left="709" w:right="709"/>
        <w:contextualSpacing/>
        <w:jc w:val="both"/>
        <w:rPr>
          <w:rFonts w:ascii="Verdana" w:hAnsi="Verdana" w:cs="Arial"/>
          <w:color w:val="000000" w:themeColor="text1"/>
          <w:sz w:val="21"/>
          <w:szCs w:val="21"/>
        </w:rPr>
      </w:pPr>
      <w:r w:rsidRPr="00352F36">
        <w:rPr>
          <w:rFonts w:ascii="Verdana" w:hAnsi="Verdana" w:cs="Arial"/>
          <w:color w:val="000000" w:themeColor="text1"/>
          <w:sz w:val="21"/>
          <w:szCs w:val="21"/>
        </w:rPr>
        <w:t>El proponente debe acreditar la experiencia exigida en los Documentos del Proceso, para lo cual se recomienda emplear certificados en los cuales el representante legal del proponente pruebe la experiencia, enumerando e identificando los contratos que se la dieron, el correo electrónico y el número telefónico en el cual la Entidad Estatal puede verificar la veracidad del certificado. Para el efecto se sugiere utilizar el certificado presentado en el Anexo 1 de este Manual</w:t>
      </w:r>
      <w:r>
        <w:rPr>
          <w:rFonts w:ascii="Verdana" w:hAnsi="Verdana" w:cs="Arial"/>
          <w:color w:val="000000" w:themeColor="text1"/>
          <w:sz w:val="21"/>
          <w:szCs w:val="21"/>
        </w:rPr>
        <w:t>”</w:t>
      </w:r>
      <w:r w:rsidRPr="00352F36">
        <w:rPr>
          <w:rFonts w:ascii="Verdana" w:hAnsi="Verdana" w:cs="Arial"/>
          <w:color w:val="000000" w:themeColor="text1"/>
          <w:sz w:val="21"/>
          <w:szCs w:val="21"/>
        </w:rPr>
        <w:t xml:space="preserve">.  </w:t>
      </w:r>
    </w:p>
    <w:p w14:paraId="077CDA96" w14:textId="77777777" w:rsidR="00DF6818" w:rsidRPr="0053379B" w:rsidRDefault="00DF6818" w:rsidP="00DF6818">
      <w:pPr>
        <w:spacing w:before="120" w:after="120" w:line="276" w:lineRule="auto"/>
        <w:contextualSpacing/>
        <w:jc w:val="both"/>
        <w:rPr>
          <w:rFonts w:ascii="Verdana" w:eastAsia="Calibri" w:hAnsi="Verdana" w:cs="Arial"/>
          <w:szCs w:val="24"/>
          <w:lang w:val="es-ES" w:eastAsia="es-ES_tradnl"/>
        </w:rPr>
      </w:pPr>
    </w:p>
    <w:p w14:paraId="5BDA59F9" w14:textId="77777777" w:rsidR="00DF6818" w:rsidRPr="00DA67B3" w:rsidRDefault="00DF6818" w:rsidP="00DF6818">
      <w:pPr>
        <w:tabs>
          <w:tab w:val="left" w:pos="142"/>
          <w:tab w:val="left" w:pos="284"/>
        </w:tabs>
        <w:spacing w:after="0" w:line="276" w:lineRule="auto"/>
        <w:jc w:val="both"/>
        <w:rPr>
          <w:rFonts w:ascii="Verdana" w:eastAsia="Century Gothic" w:hAnsi="Verdana" w:cs="Century Gothic"/>
          <w:b/>
          <w:bCs/>
        </w:rPr>
      </w:pPr>
      <w:r w:rsidRPr="00DA67B3">
        <w:rPr>
          <w:rFonts w:ascii="Verdana" w:eastAsia="Century Gothic" w:hAnsi="Verdana" w:cs="Century Gothic"/>
          <w:b/>
          <w:bCs/>
        </w:rPr>
        <w:t>4. Referencias normativas, jurisprudenciales y otras fuentes:</w:t>
      </w:r>
    </w:p>
    <w:p w14:paraId="62BA891C" w14:textId="77777777" w:rsidR="00DF6818" w:rsidRPr="00DA67B3" w:rsidRDefault="00DF6818" w:rsidP="00DF681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F6818" w:rsidRPr="00DA67B3" w14:paraId="3ED6DFC5" w14:textId="77777777" w:rsidTr="00B62B3A">
        <w:trPr>
          <w:trHeight w:val="870"/>
        </w:trPr>
        <w:tc>
          <w:tcPr>
            <w:tcW w:w="8647" w:type="dxa"/>
          </w:tcPr>
          <w:p w14:paraId="292AE757" w14:textId="77777777" w:rsidR="00DF6818" w:rsidRPr="00DA67B3" w:rsidRDefault="00DF6818" w:rsidP="00B62B3A">
            <w:pPr>
              <w:widowControl w:val="0"/>
              <w:numPr>
                <w:ilvl w:val="0"/>
                <w:numId w:val="16"/>
              </w:numPr>
              <w:autoSpaceDE w:val="0"/>
              <w:autoSpaceDN w:val="0"/>
              <w:spacing w:after="120" w:line="276" w:lineRule="auto"/>
              <w:contextualSpacing/>
              <w:jc w:val="both"/>
              <w:rPr>
                <w:rFonts w:ascii="Verdana" w:hAnsi="Verdana" w:cs="Arial"/>
                <w:lang w:val="es-ES"/>
              </w:rPr>
            </w:pPr>
            <w:r w:rsidRPr="00DA67B3">
              <w:rPr>
                <w:rFonts w:ascii="Verdana" w:hAnsi="Verdana" w:cs="Arial"/>
                <w:lang w:val="es-ES"/>
              </w:rPr>
              <w:lastRenderedPageBreak/>
              <w:t>Ley 1150 de 2007, artículos 5 y 6.</w:t>
            </w:r>
          </w:p>
          <w:p w14:paraId="6DF9CB38" w14:textId="77777777" w:rsidR="00DF6818" w:rsidRPr="00DA67B3" w:rsidRDefault="00DF6818" w:rsidP="00B62B3A">
            <w:pPr>
              <w:widowControl w:val="0"/>
              <w:numPr>
                <w:ilvl w:val="0"/>
                <w:numId w:val="16"/>
              </w:numPr>
              <w:autoSpaceDE w:val="0"/>
              <w:autoSpaceDN w:val="0"/>
              <w:spacing w:after="120" w:line="276" w:lineRule="auto"/>
              <w:contextualSpacing/>
              <w:jc w:val="both"/>
              <w:rPr>
                <w:rFonts w:ascii="Verdana" w:hAnsi="Verdana" w:cs="Arial"/>
                <w:lang w:val="es-ES"/>
              </w:rPr>
            </w:pPr>
            <w:r w:rsidRPr="00DA67B3">
              <w:rPr>
                <w:rFonts w:ascii="Verdana" w:hAnsi="Verdana" w:cs="Arial"/>
              </w:rPr>
              <w:t xml:space="preserve">Consejo de Estado. Sección Tercera. Subsección B. Sentencia del 6 de junio de 2013. </w:t>
            </w:r>
            <w:proofErr w:type="spellStart"/>
            <w:r w:rsidRPr="00DA67B3">
              <w:rPr>
                <w:rFonts w:ascii="Verdana" w:hAnsi="Verdana" w:cs="Arial"/>
              </w:rPr>
              <w:t>Exp</w:t>
            </w:r>
            <w:proofErr w:type="spellEnd"/>
            <w:r w:rsidRPr="00DA67B3">
              <w:rPr>
                <w:rFonts w:ascii="Verdana" w:hAnsi="Verdana" w:cs="Arial"/>
              </w:rPr>
              <w:t>. 25151. C.P. Stella Conto Díaz del Castillo.</w:t>
            </w:r>
          </w:p>
          <w:p w14:paraId="22F622A6" w14:textId="77777777" w:rsidR="00DF6818" w:rsidRPr="00DA67B3" w:rsidRDefault="00DF6818" w:rsidP="00B62B3A">
            <w:pPr>
              <w:widowControl w:val="0"/>
              <w:numPr>
                <w:ilvl w:val="0"/>
                <w:numId w:val="16"/>
              </w:numPr>
              <w:autoSpaceDE w:val="0"/>
              <w:autoSpaceDN w:val="0"/>
              <w:spacing w:after="120" w:line="276" w:lineRule="auto"/>
              <w:contextualSpacing/>
              <w:jc w:val="both"/>
              <w:rPr>
                <w:rFonts w:ascii="Verdana" w:hAnsi="Verdana" w:cs="Arial"/>
                <w:lang w:val="es-ES"/>
              </w:rPr>
            </w:pPr>
            <w:r w:rsidRPr="00DA67B3">
              <w:rPr>
                <w:rFonts w:ascii="Verdana" w:hAnsi="Verdana" w:cs="Arial"/>
                <w:lang w:val="es-ES"/>
              </w:rPr>
              <w:t xml:space="preserve">Consejo de Estado. Sección Tercera. Subsección A. Sentencia del 12 de febrero de 2014. </w:t>
            </w:r>
            <w:proofErr w:type="spellStart"/>
            <w:r w:rsidRPr="00DA67B3">
              <w:rPr>
                <w:rFonts w:ascii="Verdana" w:hAnsi="Verdana" w:cs="Arial"/>
                <w:lang w:val="es-ES"/>
              </w:rPr>
              <w:t>Exp</w:t>
            </w:r>
            <w:proofErr w:type="spellEnd"/>
            <w:r w:rsidRPr="00DA67B3">
              <w:rPr>
                <w:rFonts w:ascii="Verdana" w:hAnsi="Verdana" w:cs="Arial"/>
                <w:lang w:val="es-ES"/>
              </w:rPr>
              <w:t>. 31.753. C.P. Mauricio Fajardo Gómez.</w:t>
            </w:r>
          </w:p>
          <w:p w14:paraId="579C0528" w14:textId="77777777" w:rsidR="00DF6818" w:rsidRPr="00DA67B3" w:rsidRDefault="00DF6818" w:rsidP="00B62B3A">
            <w:pPr>
              <w:widowControl w:val="0"/>
              <w:numPr>
                <w:ilvl w:val="0"/>
                <w:numId w:val="16"/>
              </w:numPr>
              <w:autoSpaceDE w:val="0"/>
              <w:autoSpaceDN w:val="0"/>
              <w:spacing w:after="120" w:line="276" w:lineRule="auto"/>
              <w:contextualSpacing/>
              <w:jc w:val="both"/>
              <w:rPr>
                <w:rFonts w:ascii="Verdana" w:hAnsi="Verdana" w:cs="Arial"/>
                <w:lang w:val="es-ES"/>
              </w:rPr>
            </w:pPr>
            <w:r w:rsidRPr="00DA67B3">
              <w:rPr>
                <w:rFonts w:ascii="Verdana" w:hAnsi="Verdana" w:cs="Arial"/>
                <w:lang w:val="es-ES"/>
              </w:rPr>
              <w:t>Consejo de Estado. Sala de Consulta y Servicio Civil. Consulta del 20 de mayo de 2010. Exp.1992. C. P. Enrique José Arboleda Perdomo</w:t>
            </w:r>
          </w:p>
          <w:p w14:paraId="177EBAFB" w14:textId="77777777" w:rsidR="00DF6818" w:rsidRDefault="00DF6818" w:rsidP="00B62B3A">
            <w:pPr>
              <w:widowControl w:val="0"/>
              <w:numPr>
                <w:ilvl w:val="0"/>
                <w:numId w:val="16"/>
              </w:numPr>
              <w:tabs>
                <w:tab w:val="left" w:pos="8419"/>
              </w:tabs>
              <w:autoSpaceDE w:val="0"/>
              <w:autoSpaceDN w:val="0"/>
              <w:spacing w:after="120" w:line="276" w:lineRule="auto"/>
              <w:jc w:val="both"/>
              <w:rPr>
                <w:rFonts w:ascii="Verdana" w:hAnsi="Verdana" w:cs="Arial"/>
                <w:lang w:val="es-ES"/>
              </w:rPr>
            </w:pPr>
            <w:r w:rsidRPr="00DA67B3">
              <w:rPr>
                <w:rFonts w:ascii="Verdana" w:hAnsi="Verdana" w:cs="Arial"/>
                <w:lang w:val="es-ES"/>
              </w:rPr>
              <w:t>DÁVILA VINUEZA, Luis Guillermo. Régimen jurídico de la contratación estatal. Tercera edición, Bogotá: Legis, 2016.</w:t>
            </w:r>
          </w:p>
          <w:p w14:paraId="73D7F4CA" w14:textId="6022628A" w:rsidR="00DF6818" w:rsidRPr="00DA67B3" w:rsidRDefault="00DF6818" w:rsidP="00B62B3A">
            <w:pPr>
              <w:widowControl w:val="0"/>
              <w:numPr>
                <w:ilvl w:val="0"/>
                <w:numId w:val="16"/>
              </w:numPr>
              <w:tabs>
                <w:tab w:val="left" w:pos="8419"/>
              </w:tabs>
              <w:autoSpaceDE w:val="0"/>
              <w:autoSpaceDN w:val="0"/>
              <w:spacing w:after="120" w:line="276" w:lineRule="auto"/>
              <w:jc w:val="both"/>
              <w:rPr>
                <w:rFonts w:ascii="Verdana" w:hAnsi="Verdana" w:cs="Arial"/>
                <w:lang w:val="es-ES"/>
              </w:rPr>
            </w:pPr>
            <w:r>
              <w:rPr>
                <w:rFonts w:ascii="Verdana" w:hAnsi="Verdana" w:cs="Arial"/>
                <w:lang w:val="es-ES"/>
              </w:rPr>
              <w:t xml:space="preserve">Colombia Compra Eficiente, </w:t>
            </w:r>
            <w:r>
              <w:rPr>
                <w:rFonts w:ascii="Verdana" w:eastAsia="Calibri" w:hAnsi="Verdana" w:cs="Arial"/>
                <w:szCs w:val="24"/>
                <w:lang w:val="es-ES" w:eastAsia="es-ES_tradnl"/>
              </w:rPr>
              <w:t xml:space="preserve">Manual </w:t>
            </w:r>
            <w:r w:rsidRPr="00656F02">
              <w:rPr>
                <w:rFonts w:ascii="Verdana" w:eastAsia="Calibri" w:hAnsi="Verdana" w:cs="Arial"/>
                <w:szCs w:val="24"/>
                <w:lang w:val="es-ES" w:eastAsia="es-ES_tradnl"/>
              </w:rPr>
              <w:t>para determinar y verificar los requisitos habilitantes en los procesos de contratación</w:t>
            </w:r>
            <w:r>
              <w:rPr>
                <w:rFonts w:ascii="Verdana" w:eastAsia="Calibri" w:hAnsi="Verdana" w:cs="Arial"/>
                <w:szCs w:val="24"/>
                <w:lang w:val="es-ES" w:eastAsia="es-ES_tradnl"/>
              </w:rPr>
              <w:t>, disponible en:</w:t>
            </w:r>
            <w:r>
              <w:t xml:space="preserve"> </w:t>
            </w:r>
            <w:r w:rsidR="007C6FB2">
              <w:rPr>
                <w:rFonts w:ascii="Verdana" w:eastAsia="Calibri" w:hAnsi="Verdana" w:cs="Arial"/>
                <w:szCs w:val="24"/>
                <w:lang w:val="es-ES" w:eastAsia="es-ES_tradnl"/>
              </w:rPr>
              <w:t>Chrome-</w:t>
            </w:r>
            <w:r w:rsidRPr="00352F36">
              <w:rPr>
                <w:rFonts w:ascii="Verdana" w:eastAsia="Calibri" w:hAnsi="Verdana" w:cs="Arial"/>
                <w:szCs w:val="24"/>
                <w:lang w:val="es-ES" w:eastAsia="es-ES_tradnl"/>
              </w:rPr>
              <w:t>extension://efaidnbmnnnibpcajpcglclefindmkaj/https://www.colombiacompra.gov.co/wp-content/uploads/2024/08/cce-eicp-ma-04._manual_requisitos_habilitantes_v3_29-09-2023.pdf</w:t>
            </w:r>
            <w:r>
              <w:rPr>
                <w:rFonts w:ascii="Verdana" w:eastAsia="Calibri" w:hAnsi="Verdana" w:cs="Arial"/>
                <w:szCs w:val="24"/>
                <w:lang w:val="es-ES" w:eastAsia="es-ES_tradnl"/>
              </w:rPr>
              <w:t xml:space="preserve"> </w:t>
            </w:r>
          </w:p>
        </w:tc>
      </w:tr>
    </w:tbl>
    <w:p w14:paraId="5453621B" w14:textId="77777777" w:rsidR="00DF6818" w:rsidRPr="00DA67B3" w:rsidRDefault="00DF6818" w:rsidP="00DF6818">
      <w:pPr>
        <w:tabs>
          <w:tab w:val="left" w:pos="142"/>
          <w:tab w:val="left" w:pos="284"/>
        </w:tabs>
        <w:spacing w:after="0" w:line="276" w:lineRule="auto"/>
        <w:jc w:val="both"/>
        <w:rPr>
          <w:rFonts w:ascii="Verdana" w:eastAsia="Century Gothic" w:hAnsi="Verdana" w:cs="Century Gothic"/>
          <w:b/>
          <w:bCs/>
        </w:rPr>
      </w:pPr>
    </w:p>
    <w:p w14:paraId="1DE781F9" w14:textId="77777777" w:rsidR="00DF6818" w:rsidRPr="00DA67B3" w:rsidRDefault="00DF6818" w:rsidP="00DF6818">
      <w:pPr>
        <w:tabs>
          <w:tab w:val="left" w:pos="142"/>
          <w:tab w:val="left" w:pos="284"/>
        </w:tabs>
        <w:spacing w:after="0" w:line="276" w:lineRule="auto"/>
        <w:jc w:val="both"/>
        <w:rPr>
          <w:rFonts w:ascii="Verdana" w:eastAsia="Century Gothic" w:hAnsi="Verdana" w:cs="Century Gothic"/>
          <w:b/>
          <w:bCs/>
          <w:lang w:val="es-ES"/>
        </w:rPr>
      </w:pPr>
      <w:r w:rsidRPr="00DA67B3">
        <w:rPr>
          <w:rFonts w:ascii="Verdana" w:eastAsia="Century Gothic" w:hAnsi="Verdana" w:cs="Century Gothic"/>
          <w:b/>
          <w:bCs/>
        </w:rPr>
        <w:t xml:space="preserve">5. </w:t>
      </w:r>
      <w:r w:rsidRPr="00DA67B3">
        <w:rPr>
          <w:rFonts w:ascii="Verdana" w:eastAsia="Century Gothic" w:hAnsi="Verdana" w:cs="Century Gothic"/>
          <w:b/>
          <w:bCs/>
          <w:lang w:val="es-ES"/>
        </w:rPr>
        <w:t>Doctrina de la Agencia Nacional de Contratación Pública:</w:t>
      </w:r>
    </w:p>
    <w:p w14:paraId="5571F0F7" w14:textId="77777777" w:rsidR="00DF6818" w:rsidRPr="00DA67B3" w:rsidRDefault="00DF6818" w:rsidP="00DF6818">
      <w:pPr>
        <w:spacing w:after="0" w:line="276" w:lineRule="auto"/>
        <w:ind w:firstLine="709"/>
        <w:jc w:val="both"/>
        <w:rPr>
          <w:rFonts w:ascii="Verdana" w:eastAsia="Times New Roman" w:hAnsi="Verdana" w:cs="Arial"/>
          <w:szCs w:val="24"/>
          <w:lang w:val="es-ES" w:eastAsia="es-ES_tradnl"/>
        </w:rPr>
      </w:pPr>
    </w:p>
    <w:p w14:paraId="0F3626D3" w14:textId="77777777" w:rsidR="00DF6818" w:rsidRPr="00DA67B3" w:rsidRDefault="00DF6818" w:rsidP="00DF6818">
      <w:pPr>
        <w:widowControl w:val="0"/>
        <w:autoSpaceDE w:val="0"/>
        <w:autoSpaceDN w:val="0"/>
        <w:spacing w:after="0" w:line="276" w:lineRule="auto"/>
        <w:jc w:val="both"/>
        <w:rPr>
          <w:rFonts w:ascii="Verdana" w:hAnsi="Verdana" w:cs="Arial"/>
          <w:color w:val="000000" w:themeColor="text1"/>
          <w:shd w:val="clear" w:color="auto" w:fill="FFFFFF"/>
          <w:lang w:val="es-ES"/>
        </w:rPr>
      </w:pPr>
      <w:r w:rsidRPr="00DA67B3">
        <w:rPr>
          <w:rFonts w:ascii="Verdana" w:eastAsia="Calibri" w:hAnsi="Verdana" w:cs="Arial"/>
          <w:lang w:val="es-ES_tradnl" w:eastAsia="es-ES_tradnl"/>
        </w:rPr>
        <w:t>Sobre la experiencia en procesos de contratación se pronunció esta Subdirección en los conceptos 4201913000006471 del 28 de octubre de 2019, 4201912000006711 del 12 de noviembre de 2019 y 4201912000006496 del 15 de noviembre de 2019, las cuales se unificaron en el Concepto CU–060 del 24 de febrero de 2020, que se reitera, entre otros, en los conceptos: C-121 del 3 de marzo de 2020, C-160 del 3 de abril de 2020,  C-013 del 17 de abril de 2020,  C-465 del 27 de julio de 2020,  C-557 del 21 de agosto de 2020, C-573 del 27 de agosto de 2020, C-595 del 21 de septiembre de 2020, C-634 de 21 de noviembre de 2020, C–779 del 18 de enero de 2021, C–802 del 1 de febrero de 2021, C–010 del 16 de febrero de 2021, C–217 del 14 de mayo de 2021, C–250 del 2 de junio de 2021, C-728 de 26 de enero de 2022, C-285 del 20 de mayo de 2022, C-785 del 21 de noviembre de 2022</w:t>
      </w:r>
      <w:r>
        <w:rPr>
          <w:rFonts w:ascii="Verdana" w:eastAsia="Calibri" w:hAnsi="Verdana" w:cs="Arial"/>
          <w:lang w:val="es-ES_tradnl" w:eastAsia="es-ES_tradnl"/>
        </w:rPr>
        <w:t xml:space="preserve">, </w:t>
      </w:r>
      <w:r w:rsidRPr="00DA67B3">
        <w:rPr>
          <w:rFonts w:ascii="Verdana" w:eastAsia="Calibri" w:hAnsi="Verdana" w:cs="Arial"/>
          <w:lang w:val="es-ES_tradnl" w:eastAsia="es-ES_tradnl"/>
        </w:rPr>
        <w:t>C-882 del 21 de diciembre de 2022</w:t>
      </w:r>
      <w:r>
        <w:rPr>
          <w:rFonts w:ascii="Verdana" w:eastAsia="Calibri" w:hAnsi="Verdana" w:cs="Arial"/>
          <w:lang w:val="es-ES_tradnl" w:eastAsia="es-ES_tradnl"/>
        </w:rPr>
        <w:t xml:space="preserve"> y C-525 del 6 de junio de 2025</w:t>
      </w:r>
      <w:r w:rsidRPr="00DA67B3">
        <w:rPr>
          <w:rFonts w:ascii="Verdana" w:eastAsia="Calibri" w:hAnsi="Verdana" w:cs="Arial"/>
          <w:lang w:val="es-ES" w:eastAsia="es-ES_tradnl"/>
        </w:rPr>
        <w:t>. Estos</w:t>
      </w:r>
      <w:r w:rsidRPr="00DA67B3">
        <w:rPr>
          <w:rFonts w:ascii="Verdana" w:hAnsi="Verdana"/>
        </w:rPr>
        <w:t xml:space="preserve"> y otros conceptos se encuentran disponibles para consulta en el Sistema de relatoría de la Agencia, al cual se puede acceder a través del siguiente enlace:</w:t>
      </w:r>
      <w:r w:rsidRPr="00DA67B3">
        <w:rPr>
          <w:rFonts w:ascii="Verdana" w:hAnsi="Verdana" w:cs="Arial"/>
          <w:shd w:val="clear" w:color="auto" w:fill="FFFFFF"/>
          <w:lang w:val="es-ES"/>
        </w:rPr>
        <w:t xml:space="preserve"> </w:t>
      </w:r>
      <w:hyperlink r:id="rId11" w:history="1">
        <w:r w:rsidRPr="00DA67B3">
          <w:rPr>
            <w:rFonts w:ascii="Verdana" w:hAnsi="Verdana" w:cs="Arial"/>
            <w:color w:val="0563C1" w:themeColor="hyperlink"/>
            <w:u w:val="single"/>
            <w:shd w:val="clear" w:color="auto" w:fill="FFFFFF"/>
            <w:lang w:val="es-ES"/>
          </w:rPr>
          <w:t>https://relatoria.colombiacompra.gov.co/busqueda/conceptos</w:t>
        </w:r>
      </w:hyperlink>
    </w:p>
    <w:p w14:paraId="2B7C2021" w14:textId="77777777" w:rsidR="00DF6818" w:rsidRPr="00DA67B3" w:rsidRDefault="00DF6818" w:rsidP="00DF6818">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53E963A9" w14:textId="77777777" w:rsidR="00DF6818" w:rsidRPr="006D57AE" w:rsidRDefault="00DF6818" w:rsidP="00DF6818">
      <w:pPr>
        <w:spacing w:after="0" w:line="276" w:lineRule="auto"/>
        <w:jc w:val="both"/>
        <w:rPr>
          <w:rFonts w:ascii="Verdana" w:hAnsi="Verdana" w:cs="Arial"/>
          <w:color w:val="000000" w:themeColor="text1"/>
          <w:shd w:val="clear" w:color="auto" w:fill="FFFFFF"/>
        </w:rPr>
      </w:pPr>
      <w:r w:rsidRPr="006D57AE">
        <w:rPr>
          <w:rFonts w:ascii="Verdana" w:hAnsi="Verdana" w:cs="Arial"/>
          <w:color w:val="000000" w:themeColor="text1"/>
          <w:shd w:val="clear" w:color="auto" w:fill="FFFFFF"/>
        </w:rPr>
        <w:lastRenderedPageBreak/>
        <w:t>Te informamos que ya se encuentra disponible la </w:t>
      </w:r>
      <w:r w:rsidRPr="006D57AE">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6D57AE">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2" w:tgtFrame="_blank" w:tooltip="Dirección URL original: https://www.colombiacompra.gov.co/manuales-guias-y-pliegos-tipo/manuales-y-guias/cartilla-para-incentivar-y-fortalecer-el-acceso-las. Haga clic o pulse si confía en este vínculo." w:history="1">
        <w:r w:rsidRPr="006D57AE">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3BA123C9" w14:textId="77777777" w:rsidR="00DF6818" w:rsidRPr="006D57AE" w:rsidRDefault="00DF6818" w:rsidP="00DF6818">
      <w:pPr>
        <w:spacing w:after="0" w:line="276" w:lineRule="auto"/>
        <w:jc w:val="both"/>
        <w:rPr>
          <w:rFonts w:ascii="Verdana" w:hAnsi="Verdana" w:cs="Arial"/>
          <w:color w:val="000000" w:themeColor="text1"/>
          <w:shd w:val="clear" w:color="auto" w:fill="FFFFFF"/>
        </w:rPr>
      </w:pPr>
    </w:p>
    <w:p w14:paraId="2FE6A43F" w14:textId="77777777" w:rsidR="00DF6818" w:rsidRPr="006D57AE" w:rsidRDefault="00DF6818" w:rsidP="00DF6818">
      <w:pPr>
        <w:spacing w:after="0" w:line="276" w:lineRule="auto"/>
        <w:jc w:val="both"/>
        <w:rPr>
          <w:rFonts w:ascii="Verdana" w:hAnsi="Verdana" w:cs="Arial"/>
          <w:color w:val="000000" w:themeColor="text1"/>
          <w:shd w:val="clear" w:color="auto" w:fill="FFFFFF"/>
        </w:rPr>
      </w:pPr>
      <w:r w:rsidRPr="006D57AE">
        <w:rPr>
          <w:rFonts w:ascii="Verdana" w:hAnsi="Verdana" w:cs="Arial"/>
          <w:color w:val="000000" w:themeColor="text1"/>
          <w:shd w:val="clear" w:color="auto" w:fill="FFFFFF"/>
        </w:rPr>
        <w:t>De otra parte, te informamos que, con el objetivo de garantizar un conocimiento adecuado de las </w:t>
      </w:r>
      <w:r w:rsidRPr="006D57AE">
        <w:rPr>
          <w:rFonts w:ascii="Verdana" w:hAnsi="Verdana" w:cs="Arial"/>
          <w:b/>
          <w:bCs/>
          <w:color w:val="000000" w:themeColor="text1"/>
          <w:shd w:val="clear" w:color="auto" w:fill="FFFFFF"/>
        </w:rPr>
        <w:t>modificaciones y/o actualizaciones realizadas a los Documentos Tipo</w:t>
      </w:r>
      <w:r w:rsidRPr="006D57AE">
        <w:rPr>
          <w:rFonts w:ascii="Verdana" w:hAnsi="Verdana" w:cs="Arial"/>
          <w:color w:val="000000" w:themeColor="text1"/>
          <w:shd w:val="clear" w:color="auto" w:fill="FFFFFF"/>
        </w:rPr>
        <w:t>, hemos programado una serie de </w:t>
      </w:r>
      <w:r w:rsidRPr="006D57AE">
        <w:rPr>
          <w:rFonts w:ascii="Verdana" w:hAnsi="Verdana" w:cs="Arial"/>
          <w:b/>
          <w:bCs/>
          <w:color w:val="000000" w:themeColor="text1"/>
          <w:shd w:val="clear" w:color="auto" w:fill="FFFFFF"/>
        </w:rPr>
        <w:t>capacitaciones </w:t>
      </w:r>
      <w:r w:rsidRPr="006D57AE">
        <w:rPr>
          <w:rFonts w:ascii="Verdana" w:hAnsi="Verdana" w:cs="Arial"/>
          <w:color w:val="000000" w:themeColor="text1"/>
          <w:shd w:val="clear" w:color="auto" w:fill="FFFFFF"/>
        </w:rPr>
        <w:t>dirigidas a todos los actores involucrados en los procesos de selección. Podrás conocer la programación y realizar tu inscripción a estas capacitaciones a través del siguiente enlace: </w:t>
      </w:r>
      <w:hyperlink r:id="rId13" w:tgtFrame="_blank" w:tooltip="Dirección URL original: https://www.colombiacompra.gov.co/ciudadanos/calendario. Haga clic o pulse si confía en este vínculo." w:history="1">
        <w:r w:rsidRPr="006D57AE">
          <w:rPr>
            <w:rStyle w:val="Hipervnculo"/>
            <w:rFonts w:ascii="Verdana" w:hAnsi="Verdana" w:cs="Arial"/>
            <w:shd w:val="clear" w:color="auto" w:fill="FFFFFF"/>
          </w:rPr>
          <w:t>Calendario | Colombia Compra Eficiente | Agencia Nacional de Contratación Pública</w:t>
        </w:r>
      </w:hyperlink>
    </w:p>
    <w:p w14:paraId="3E37D0A4" w14:textId="77777777" w:rsidR="00DF6818" w:rsidRPr="006D57AE" w:rsidRDefault="00DF6818" w:rsidP="00DF6818">
      <w:pPr>
        <w:spacing w:after="0" w:line="276" w:lineRule="auto"/>
        <w:jc w:val="both"/>
        <w:rPr>
          <w:rFonts w:ascii="Verdana" w:hAnsi="Verdana" w:cs="Arial"/>
          <w:color w:val="000000" w:themeColor="text1"/>
          <w:shd w:val="clear" w:color="auto" w:fill="FFFFFF"/>
        </w:rPr>
      </w:pPr>
    </w:p>
    <w:p w14:paraId="7E4BEF8D" w14:textId="77777777" w:rsidR="00DF6818" w:rsidRPr="006D57AE" w:rsidRDefault="00DF6818" w:rsidP="00DF6818">
      <w:pPr>
        <w:spacing w:after="0" w:line="276" w:lineRule="auto"/>
        <w:jc w:val="both"/>
        <w:rPr>
          <w:rFonts w:ascii="Verdana" w:hAnsi="Verdana" w:cs="Arial"/>
          <w:color w:val="000000" w:themeColor="text1"/>
          <w:shd w:val="clear" w:color="auto" w:fill="FFFFFF"/>
        </w:rPr>
      </w:pPr>
      <w:r w:rsidRPr="006D57AE">
        <w:rPr>
          <w:rFonts w:ascii="Verdana" w:hAnsi="Verdana" w:cs="Arial"/>
          <w:color w:val="000000" w:themeColor="text1"/>
          <w:shd w:val="clear" w:color="auto" w:fill="FFFFFF"/>
        </w:rPr>
        <w:t>También, te contamos que ya publicamos </w:t>
      </w:r>
      <w:r w:rsidRPr="006D57AE">
        <w:rPr>
          <w:rFonts w:ascii="Verdana" w:hAnsi="Verdana" w:cs="Arial"/>
          <w:b/>
          <w:bCs/>
          <w:color w:val="000000" w:themeColor="text1"/>
          <w:shd w:val="clear" w:color="auto" w:fill="FFFFFF"/>
        </w:rPr>
        <w:t>la nueva Guía de Contratación Pública Sostenible y Socialmente Responsable</w:t>
      </w:r>
      <w:r w:rsidRPr="006D57AE">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6D57AE">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4231FB78" w14:textId="77777777" w:rsidR="00DF6818" w:rsidRDefault="00DF6818" w:rsidP="00DF6818">
      <w:pPr>
        <w:spacing w:after="0" w:line="240" w:lineRule="auto"/>
        <w:jc w:val="both"/>
        <w:rPr>
          <w:rFonts w:ascii="Verdana" w:hAnsi="Verdana"/>
        </w:rPr>
      </w:pPr>
    </w:p>
    <w:p w14:paraId="1288FF31" w14:textId="77777777" w:rsidR="00DF6818" w:rsidRPr="00DA67B3" w:rsidRDefault="00DF6818" w:rsidP="00DF6818">
      <w:pPr>
        <w:spacing w:after="0" w:line="240" w:lineRule="auto"/>
        <w:jc w:val="both"/>
        <w:rPr>
          <w:rFonts w:ascii="Verdana" w:hAnsi="Verdana"/>
        </w:rPr>
      </w:pPr>
      <w:r w:rsidRPr="00DA67B3">
        <w:rPr>
          <w:rFonts w:ascii="Verdana" w:hAnsi="Verdana"/>
        </w:rPr>
        <w:t xml:space="preserve">Por último, lo invitamos a seguirnos en las redes sociales en las cuales se difunde información institucional: </w:t>
      </w:r>
    </w:p>
    <w:p w14:paraId="2CB2B10D" w14:textId="77777777" w:rsidR="00DF6818" w:rsidRPr="00DA67B3" w:rsidRDefault="00DF6818" w:rsidP="00DF6818">
      <w:pPr>
        <w:spacing w:after="0" w:line="240" w:lineRule="auto"/>
        <w:jc w:val="both"/>
        <w:rPr>
          <w:rFonts w:ascii="Verdana" w:hAnsi="Verdana"/>
        </w:rPr>
      </w:pPr>
    </w:p>
    <w:p w14:paraId="5E3F06AE" w14:textId="77777777" w:rsidR="00DF6818" w:rsidRPr="00DA67B3" w:rsidRDefault="00DF6818" w:rsidP="00DF6818">
      <w:pPr>
        <w:spacing w:after="0" w:line="240" w:lineRule="auto"/>
        <w:jc w:val="both"/>
        <w:rPr>
          <w:rFonts w:ascii="Verdana" w:hAnsi="Verdana"/>
        </w:rPr>
      </w:pPr>
      <w:r w:rsidRPr="00DA67B3">
        <w:rPr>
          <w:rFonts w:ascii="Verdana" w:hAnsi="Verdana"/>
        </w:rPr>
        <w:t xml:space="preserve">Twitter: </w:t>
      </w:r>
      <w:r w:rsidRPr="00DA67B3">
        <w:rPr>
          <w:rFonts w:ascii="Verdana" w:hAnsi="Verdana"/>
          <w:color w:val="4472C4" w:themeColor="accent1"/>
          <w:u w:val="single"/>
        </w:rPr>
        <w:t>@colombiacompra</w:t>
      </w:r>
      <w:r w:rsidRPr="00DA67B3">
        <w:rPr>
          <w:rFonts w:ascii="Verdana" w:hAnsi="Verdana"/>
          <w:color w:val="4472C4" w:themeColor="accent1"/>
        </w:rPr>
        <w:t xml:space="preserve"> </w:t>
      </w:r>
    </w:p>
    <w:p w14:paraId="32F01B93" w14:textId="77777777" w:rsidR="00DF6818" w:rsidRPr="00DA67B3" w:rsidRDefault="00DF6818" w:rsidP="00DF6818">
      <w:pPr>
        <w:spacing w:after="0" w:line="240" w:lineRule="auto"/>
        <w:jc w:val="both"/>
        <w:rPr>
          <w:rFonts w:ascii="Verdana" w:hAnsi="Verdana"/>
        </w:rPr>
      </w:pPr>
      <w:r w:rsidRPr="00DA67B3">
        <w:rPr>
          <w:rFonts w:ascii="Verdana" w:hAnsi="Verdana"/>
        </w:rPr>
        <w:t xml:space="preserve">Facebook: </w:t>
      </w:r>
      <w:proofErr w:type="spellStart"/>
      <w:r w:rsidRPr="00DA67B3">
        <w:rPr>
          <w:rFonts w:ascii="Verdana" w:hAnsi="Verdana"/>
          <w:color w:val="4472C4" w:themeColor="accent1"/>
          <w:u w:val="single"/>
        </w:rPr>
        <w:t>ColombiaCompraEficiente</w:t>
      </w:r>
      <w:proofErr w:type="spellEnd"/>
    </w:p>
    <w:p w14:paraId="405EB27D" w14:textId="77777777" w:rsidR="00DF6818" w:rsidRPr="00DA67B3" w:rsidRDefault="00DF6818" w:rsidP="00DF6818">
      <w:pPr>
        <w:spacing w:after="0" w:line="240" w:lineRule="auto"/>
        <w:jc w:val="both"/>
        <w:rPr>
          <w:rFonts w:ascii="Verdana" w:hAnsi="Verdana"/>
        </w:rPr>
      </w:pPr>
      <w:r w:rsidRPr="00DA67B3">
        <w:rPr>
          <w:rFonts w:ascii="Verdana" w:hAnsi="Verdana"/>
        </w:rPr>
        <w:t xml:space="preserve">LinkedIn: </w:t>
      </w:r>
      <w:r w:rsidRPr="00DA67B3">
        <w:rPr>
          <w:rFonts w:ascii="Verdana" w:hAnsi="Verdana"/>
          <w:color w:val="4472C4" w:themeColor="accent1"/>
          <w:u w:val="single"/>
        </w:rPr>
        <w:t>Agencia Nacional de Contratación Pública - Colombia Compra Eficiente</w:t>
      </w:r>
      <w:r w:rsidRPr="00DA67B3">
        <w:rPr>
          <w:rFonts w:ascii="Verdana" w:hAnsi="Verdana"/>
          <w:color w:val="4472C4" w:themeColor="accent1"/>
        </w:rPr>
        <w:t xml:space="preserve"> </w:t>
      </w:r>
      <w:r w:rsidRPr="00DA67B3">
        <w:rPr>
          <w:rFonts w:ascii="Verdana" w:hAnsi="Verdana"/>
        </w:rPr>
        <w:t xml:space="preserve">Instagram: </w:t>
      </w:r>
      <w:r w:rsidRPr="00DA67B3">
        <w:rPr>
          <w:rFonts w:ascii="Verdana" w:hAnsi="Verdana"/>
          <w:color w:val="4472C4" w:themeColor="accent1"/>
          <w:u w:val="single"/>
        </w:rPr>
        <w:t>@colombiacompraeficiente_cce</w:t>
      </w:r>
    </w:p>
    <w:p w14:paraId="0BF24852" w14:textId="77777777" w:rsidR="00DF6818" w:rsidRPr="00DA67B3" w:rsidRDefault="00DF6818" w:rsidP="00DF6818">
      <w:pPr>
        <w:widowControl w:val="0"/>
        <w:autoSpaceDE w:val="0"/>
        <w:autoSpaceDN w:val="0"/>
        <w:spacing w:after="0" w:line="276" w:lineRule="auto"/>
        <w:jc w:val="both"/>
        <w:rPr>
          <w:rFonts w:ascii="Verdana" w:hAnsi="Verdana" w:cs="Arial"/>
        </w:rPr>
      </w:pPr>
    </w:p>
    <w:p w14:paraId="68CD1C45" w14:textId="77777777" w:rsidR="00DF6818" w:rsidRPr="00DA67B3" w:rsidRDefault="00DF6818" w:rsidP="00DF6818">
      <w:pPr>
        <w:widowControl w:val="0"/>
        <w:autoSpaceDE w:val="0"/>
        <w:autoSpaceDN w:val="0"/>
        <w:spacing w:after="0" w:line="276" w:lineRule="auto"/>
        <w:jc w:val="both"/>
        <w:rPr>
          <w:rFonts w:ascii="Verdana" w:hAnsi="Verdana" w:cs="Arial"/>
          <w:lang w:val="es-ES_tradnl"/>
        </w:rPr>
      </w:pPr>
      <w:r w:rsidRPr="00DA67B3">
        <w:rPr>
          <w:rFonts w:ascii="Verdana" w:hAnsi="Verdana" w:cs="Arial"/>
        </w:rPr>
        <w:t xml:space="preserve">Este concepto tiene el alcance previsto en el artículo 28 del Código de Procedimiento Administrativo y de lo Contencioso Administrativo </w:t>
      </w:r>
      <w:r w:rsidRPr="00DA67B3">
        <w:rPr>
          <w:rFonts w:ascii="Verdana" w:hAnsi="Verdana" w:cs="Arial"/>
          <w:lang w:val="es-ES_tradnl"/>
        </w:rPr>
        <w:t xml:space="preserve">y las </w:t>
      </w:r>
      <w:r w:rsidRPr="00DA67B3">
        <w:rPr>
          <w:rFonts w:ascii="Verdana" w:hAnsi="Verdana" w:cs="Arial"/>
          <w:lang w:val="es-ES_tradnl"/>
        </w:rPr>
        <w:lastRenderedPageBreak/>
        <w:t>expresiones aquí utilizadas con mayúscula inicial deben ser entendidas con el significado que les otorga el artículo 2.2.1.1.1.3.1. del Decreto 1082 de 2015.</w:t>
      </w:r>
    </w:p>
    <w:p w14:paraId="1FC282E5" w14:textId="77777777" w:rsidR="00DF6818" w:rsidRPr="00DA67B3" w:rsidRDefault="00DF6818" w:rsidP="00DF6818">
      <w:pPr>
        <w:spacing w:after="0" w:line="276" w:lineRule="auto"/>
        <w:ind w:firstLine="709"/>
        <w:jc w:val="both"/>
        <w:rPr>
          <w:rFonts w:ascii="Verdana" w:eastAsia="Times New Roman" w:hAnsi="Verdana" w:cs="Arial"/>
          <w:szCs w:val="24"/>
          <w:lang w:val="es-ES_tradnl" w:eastAsia="es-ES_tradnl"/>
        </w:rPr>
      </w:pPr>
    </w:p>
    <w:p w14:paraId="04246064" w14:textId="77777777" w:rsidR="00DF6818" w:rsidRPr="00DA67B3" w:rsidRDefault="00DF6818" w:rsidP="00DF6818">
      <w:pPr>
        <w:spacing w:after="0" w:line="276" w:lineRule="auto"/>
        <w:jc w:val="both"/>
        <w:rPr>
          <w:rFonts w:ascii="Verdana" w:eastAsia="Times New Roman" w:hAnsi="Verdana" w:cs="Arial"/>
          <w:lang w:val="es-ES_tradnl" w:eastAsia="es-CO"/>
        </w:rPr>
      </w:pPr>
      <w:bookmarkStart w:id="5" w:name="_Hlk117695077"/>
      <w:r w:rsidRPr="00DA67B3">
        <w:rPr>
          <w:rFonts w:ascii="Verdana" w:eastAsia="Times New Roman" w:hAnsi="Verdana" w:cs="Arial"/>
          <w:lang w:val="es-ES_tradnl" w:eastAsia="es-CO"/>
        </w:rPr>
        <w:t>Atentamente,</w:t>
      </w:r>
    </w:p>
    <w:bookmarkEnd w:id="5"/>
    <w:p w14:paraId="02927D9A" w14:textId="49E4BDCE" w:rsidR="00DF6818" w:rsidRPr="00DA67B3" w:rsidRDefault="00AB7251" w:rsidP="00DF6818">
      <w:pPr>
        <w:spacing w:after="18" w:line="240" w:lineRule="auto"/>
        <w:jc w:val="center"/>
        <w:rPr>
          <w:rFonts w:ascii="Verdana" w:eastAsia="Times New Roman" w:hAnsi="Verdana" w:cs="Arial"/>
          <w:sz w:val="24"/>
          <w:szCs w:val="24"/>
          <w:lang w:eastAsia="es-CO"/>
        </w:rPr>
      </w:pPr>
      <w:r>
        <w:rPr>
          <w:noProof/>
        </w:rPr>
        <w:drawing>
          <wp:inline distT="0" distB="0" distL="0" distR="0" wp14:anchorId="6752541C" wp14:editId="5C71B2ED">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p w14:paraId="48E922EF" w14:textId="77777777" w:rsidR="00DF6818" w:rsidRPr="00DA67B3" w:rsidRDefault="00DF6818" w:rsidP="00DF6818">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DF6818" w:rsidRPr="00DA67B3" w14:paraId="7209D8F5" w14:textId="77777777" w:rsidTr="00331985">
        <w:trPr>
          <w:trHeight w:val="286"/>
        </w:trPr>
        <w:tc>
          <w:tcPr>
            <w:tcW w:w="893" w:type="dxa"/>
            <w:vAlign w:val="center"/>
            <w:hideMark/>
          </w:tcPr>
          <w:p w14:paraId="32EE0830" w14:textId="77777777" w:rsidR="00DF6818" w:rsidRPr="00DA67B3" w:rsidRDefault="00DF6818" w:rsidP="00B62B3A">
            <w:pPr>
              <w:rPr>
                <w:rFonts w:ascii="Verdana" w:hAnsi="Verdana" w:cs="Arial"/>
                <w:sz w:val="14"/>
                <w:szCs w:val="14"/>
                <w:lang w:eastAsia="es-ES"/>
              </w:rPr>
            </w:pPr>
            <w:r w:rsidRPr="00DA67B3">
              <w:rPr>
                <w:rFonts w:ascii="Verdana" w:hAnsi="Verdana" w:cs="Arial"/>
                <w:sz w:val="16"/>
                <w:szCs w:val="16"/>
                <w:lang w:eastAsia="es-ES"/>
              </w:rPr>
              <w:t>Elaboró:</w:t>
            </w:r>
          </w:p>
        </w:tc>
        <w:tc>
          <w:tcPr>
            <w:tcW w:w="5061" w:type="dxa"/>
            <w:tcBorders>
              <w:top w:val="nil"/>
              <w:left w:val="nil"/>
              <w:bottom w:val="dotted" w:sz="4" w:space="0" w:color="7F7F7F"/>
              <w:right w:val="nil"/>
            </w:tcBorders>
            <w:vAlign w:val="center"/>
            <w:hideMark/>
          </w:tcPr>
          <w:p w14:paraId="70BCF05A" w14:textId="77777777" w:rsidR="00DF6818" w:rsidRPr="00DA67B3" w:rsidRDefault="00DF6818" w:rsidP="00B62B3A">
            <w:pPr>
              <w:rPr>
                <w:rFonts w:ascii="Verdana" w:hAnsi="Verdana" w:cs="Arial"/>
                <w:sz w:val="16"/>
                <w:szCs w:val="16"/>
                <w:lang w:val="es-ES_tradnl" w:eastAsia="es-ES"/>
              </w:rPr>
            </w:pPr>
            <w:r w:rsidRPr="00DA67B3">
              <w:rPr>
                <w:rFonts w:ascii="Verdana" w:hAnsi="Verdana" w:cs="Arial"/>
                <w:sz w:val="16"/>
                <w:szCs w:val="16"/>
                <w:lang w:val="es-ES_tradnl" w:eastAsia="es-ES"/>
              </w:rPr>
              <w:t>Ximena Ríos López</w:t>
            </w:r>
          </w:p>
          <w:p w14:paraId="1B5DA183" w14:textId="77777777" w:rsidR="00DF6818" w:rsidRPr="00DA67B3" w:rsidRDefault="00DF6818" w:rsidP="00B62B3A">
            <w:pPr>
              <w:rPr>
                <w:rFonts w:ascii="Verdana" w:hAnsi="Verdana" w:cs="Arial"/>
                <w:sz w:val="14"/>
                <w:szCs w:val="14"/>
                <w:lang w:eastAsia="es-ES"/>
              </w:rPr>
            </w:pPr>
            <w:r w:rsidRPr="00DA67B3">
              <w:rPr>
                <w:rFonts w:ascii="Verdana" w:hAnsi="Verdana" w:cs="Arial"/>
                <w:sz w:val="16"/>
                <w:szCs w:val="16"/>
                <w:lang w:eastAsia="es-ES"/>
              </w:rPr>
              <w:t>Gestor T1-11 de la Subdirección de Gestión Contractual</w:t>
            </w:r>
          </w:p>
        </w:tc>
      </w:tr>
      <w:tr w:rsidR="00DF6818" w:rsidRPr="00DA67B3" w14:paraId="4EDABF2D" w14:textId="77777777" w:rsidTr="00331985">
        <w:trPr>
          <w:trHeight w:val="299"/>
        </w:trPr>
        <w:tc>
          <w:tcPr>
            <w:tcW w:w="893" w:type="dxa"/>
            <w:vAlign w:val="center"/>
            <w:hideMark/>
          </w:tcPr>
          <w:p w14:paraId="7ED51BF2" w14:textId="77777777" w:rsidR="00DF6818" w:rsidRPr="00DA67B3" w:rsidRDefault="00DF6818" w:rsidP="00B62B3A">
            <w:pPr>
              <w:rPr>
                <w:rFonts w:ascii="Verdana" w:hAnsi="Verdana" w:cs="Arial"/>
                <w:sz w:val="14"/>
                <w:szCs w:val="14"/>
                <w:lang w:eastAsia="es-ES"/>
              </w:rPr>
            </w:pPr>
            <w:r w:rsidRPr="00DA67B3">
              <w:rPr>
                <w:rFonts w:ascii="Verdana" w:hAnsi="Verdana" w:cs="Arial"/>
                <w:sz w:val="16"/>
                <w:szCs w:val="16"/>
                <w:lang w:eastAsia="es-ES"/>
              </w:rPr>
              <w:t>Revisó:</w:t>
            </w:r>
          </w:p>
        </w:tc>
        <w:tc>
          <w:tcPr>
            <w:tcW w:w="5061" w:type="dxa"/>
            <w:tcBorders>
              <w:top w:val="dotted" w:sz="4" w:space="0" w:color="7F7F7F"/>
              <w:left w:val="nil"/>
              <w:bottom w:val="dotted" w:sz="4" w:space="0" w:color="7F7F7F"/>
              <w:right w:val="nil"/>
            </w:tcBorders>
            <w:vAlign w:val="center"/>
            <w:hideMark/>
          </w:tcPr>
          <w:p w14:paraId="509E1750" w14:textId="77777777" w:rsidR="00DF6818" w:rsidRPr="00DA67B3" w:rsidRDefault="00DF6818" w:rsidP="00B62B3A">
            <w:pPr>
              <w:rPr>
                <w:rFonts w:ascii="Verdana" w:hAnsi="Verdana" w:cs="Arial"/>
                <w:sz w:val="16"/>
                <w:szCs w:val="16"/>
                <w:lang w:val="es-ES_tradnl" w:eastAsia="es-ES"/>
              </w:rPr>
            </w:pPr>
            <w:r>
              <w:rPr>
                <w:rFonts w:ascii="Verdana" w:hAnsi="Verdana" w:cs="Arial"/>
                <w:sz w:val="16"/>
                <w:szCs w:val="16"/>
                <w:lang w:val="es-ES_tradnl" w:eastAsia="es-ES"/>
              </w:rPr>
              <w:t>Juan Carlos González</w:t>
            </w:r>
          </w:p>
          <w:p w14:paraId="5BF13067" w14:textId="77777777" w:rsidR="00DF6818" w:rsidRPr="00DA67B3" w:rsidRDefault="00DF6818" w:rsidP="00B62B3A">
            <w:pPr>
              <w:rPr>
                <w:rFonts w:ascii="Verdana" w:hAnsi="Verdana" w:cs="Arial"/>
                <w:sz w:val="14"/>
                <w:szCs w:val="14"/>
                <w:lang w:eastAsia="es-ES"/>
              </w:rPr>
            </w:pPr>
            <w:r w:rsidRPr="00DA67B3">
              <w:rPr>
                <w:rFonts w:ascii="Verdana" w:hAnsi="Verdana" w:cs="Arial"/>
                <w:sz w:val="16"/>
                <w:szCs w:val="16"/>
                <w:lang w:eastAsia="es-ES"/>
              </w:rPr>
              <w:t>Contratista de la Subdirección de Gestión Contractual</w:t>
            </w:r>
          </w:p>
        </w:tc>
      </w:tr>
      <w:tr w:rsidR="00DF6818" w:rsidRPr="00DA67B3" w14:paraId="065191BC" w14:textId="77777777" w:rsidTr="00331985">
        <w:trPr>
          <w:trHeight w:val="272"/>
        </w:trPr>
        <w:tc>
          <w:tcPr>
            <w:tcW w:w="893" w:type="dxa"/>
            <w:vAlign w:val="center"/>
            <w:hideMark/>
          </w:tcPr>
          <w:p w14:paraId="38E5006F" w14:textId="77777777" w:rsidR="00DF6818" w:rsidRPr="00DA67B3" w:rsidRDefault="00DF6818" w:rsidP="00B62B3A">
            <w:pPr>
              <w:rPr>
                <w:rFonts w:ascii="Verdana" w:hAnsi="Verdana" w:cs="Arial"/>
                <w:sz w:val="14"/>
                <w:szCs w:val="14"/>
                <w:lang w:eastAsia="es-ES"/>
              </w:rPr>
            </w:pPr>
            <w:r w:rsidRPr="00DA67B3">
              <w:rPr>
                <w:rFonts w:ascii="Verdana" w:hAnsi="Verdana" w:cs="Arial"/>
                <w:sz w:val="16"/>
                <w:szCs w:val="16"/>
                <w:lang w:eastAsia="es-ES"/>
              </w:rPr>
              <w:t>Aprobó:</w:t>
            </w:r>
          </w:p>
        </w:tc>
        <w:tc>
          <w:tcPr>
            <w:tcW w:w="5061" w:type="dxa"/>
            <w:tcBorders>
              <w:top w:val="dotted" w:sz="4" w:space="0" w:color="7F7F7F"/>
              <w:left w:val="nil"/>
              <w:bottom w:val="dotted" w:sz="4" w:space="0" w:color="7F7F7F"/>
              <w:right w:val="nil"/>
            </w:tcBorders>
            <w:vAlign w:val="center"/>
            <w:hideMark/>
          </w:tcPr>
          <w:p w14:paraId="444E690E" w14:textId="77777777" w:rsidR="00DF6818" w:rsidRPr="00DA67B3" w:rsidRDefault="00DF6818" w:rsidP="00B62B3A">
            <w:pPr>
              <w:rPr>
                <w:rFonts w:ascii="Verdana" w:hAnsi="Verdana" w:cs="Arial"/>
                <w:sz w:val="16"/>
                <w:szCs w:val="16"/>
                <w:lang w:eastAsia="es-ES"/>
              </w:rPr>
            </w:pPr>
            <w:r w:rsidRPr="00DA67B3">
              <w:rPr>
                <w:rFonts w:ascii="Verdana" w:hAnsi="Verdana" w:cs="Arial"/>
                <w:sz w:val="16"/>
                <w:szCs w:val="16"/>
                <w:lang w:eastAsia="es-ES"/>
              </w:rPr>
              <w:t xml:space="preserve">Carolina Quintero </w:t>
            </w:r>
            <w:proofErr w:type="spellStart"/>
            <w:r w:rsidRPr="00DA67B3">
              <w:rPr>
                <w:rFonts w:ascii="Verdana" w:hAnsi="Verdana" w:cs="Arial"/>
                <w:sz w:val="16"/>
                <w:szCs w:val="16"/>
                <w:lang w:eastAsia="es-ES"/>
              </w:rPr>
              <w:t>Gacharná</w:t>
            </w:r>
            <w:proofErr w:type="spellEnd"/>
          </w:p>
          <w:p w14:paraId="0F2129E9" w14:textId="77777777" w:rsidR="00DF6818" w:rsidRPr="00DA67B3" w:rsidRDefault="00DF6818" w:rsidP="00B62B3A">
            <w:pPr>
              <w:rPr>
                <w:rFonts w:ascii="Verdana" w:hAnsi="Verdana" w:cs="Arial"/>
                <w:sz w:val="14"/>
                <w:szCs w:val="14"/>
                <w:lang w:eastAsia="es-ES"/>
              </w:rPr>
            </w:pPr>
            <w:r w:rsidRPr="00DA67B3">
              <w:rPr>
                <w:rFonts w:ascii="Verdana" w:hAnsi="Verdana" w:cs="Arial"/>
                <w:sz w:val="16"/>
                <w:szCs w:val="16"/>
                <w:lang w:eastAsia="es-ES"/>
              </w:rPr>
              <w:t>Subdirectora de Gestión Contractual ANCP – CCE</w:t>
            </w:r>
          </w:p>
        </w:tc>
      </w:tr>
    </w:tbl>
    <w:p w14:paraId="025094B8" w14:textId="77777777" w:rsidR="00DF6818" w:rsidRPr="00DA67B3" w:rsidRDefault="00DF6818" w:rsidP="00DF6818">
      <w:pPr>
        <w:spacing w:after="0" w:line="276" w:lineRule="auto"/>
        <w:jc w:val="both"/>
        <w:rPr>
          <w:rFonts w:ascii="Verdana" w:eastAsia="Times New Roman" w:hAnsi="Verdana" w:cs="Arial"/>
          <w:lang w:val="es-ES_tradnl"/>
        </w:rPr>
      </w:pPr>
    </w:p>
    <w:p w14:paraId="68660BE4" w14:textId="77777777" w:rsidR="00DF6818" w:rsidRPr="00DA67B3" w:rsidRDefault="00DF6818" w:rsidP="00DF6818">
      <w:pPr>
        <w:spacing w:after="0" w:line="240" w:lineRule="auto"/>
        <w:rPr>
          <w:rFonts w:ascii="Verdana" w:eastAsia="Times New Roman" w:hAnsi="Verdana" w:cs="Arial"/>
          <w:sz w:val="24"/>
          <w:szCs w:val="24"/>
          <w:lang w:eastAsia="es-ES_tradnl"/>
        </w:rPr>
      </w:pPr>
    </w:p>
    <w:p w14:paraId="2DE31AC0" w14:textId="77777777" w:rsidR="00DF6818" w:rsidRPr="00DA67B3" w:rsidRDefault="00DF6818" w:rsidP="00DF6818">
      <w:pPr>
        <w:rPr>
          <w:rFonts w:ascii="Verdana" w:hAnsi="Verdana"/>
        </w:rPr>
      </w:pPr>
    </w:p>
    <w:p w14:paraId="7C85F7F6" w14:textId="77777777" w:rsidR="00DF6818" w:rsidRPr="0044528D" w:rsidRDefault="00DF6818" w:rsidP="00DF6818">
      <w:pPr>
        <w:spacing w:after="0" w:line="240" w:lineRule="auto"/>
        <w:textAlignment w:val="baseline"/>
        <w:rPr>
          <w:rFonts w:ascii="Verdana" w:eastAsia="Times New Roman" w:hAnsi="Verdana" w:cs="Segoe UI"/>
          <w:sz w:val="18"/>
          <w:szCs w:val="18"/>
          <w:lang w:eastAsia="es-CO"/>
        </w:rPr>
      </w:pPr>
    </w:p>
    <w:p w14:paraId="3A868BC2" w14:textId="77777777" w:rsidR="00DF6818" w:rsidRDefault="00DF6818" w:rsidP="00DF6818">
      <w:pPr>
        <w:spacing w:after="0" w:line="240" w:lineRule="auto"/>
        <w:textAlignment w:val="baseline"/>
        <w:rPr>
          <w:rFonts w:ascii="Verdana" w:eastAsia="Times New Roman" w:hAnsi="Verdana" w:cs="Segoe UI"/>
          <w:sz w:val="18"/>
          <w:szCs w:val="18"/>
          <w:lang w:eastAsia="es-CO"/>
        </w:rPr>
      </w:pPr>
    </w:p>
    <w:p w14:paraId="29C1F82C" w14:textId="77777777" w:rsidR="00DF6818" w:rsidRPr="0044528D" w:rsidRDefault="00DF6818" w:rsidP="00DF6818">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115A6D21" w14:textId="77777777" w:rsidR="00DF6818" w:rsidRPr="0044528D" w:rsidRDefault="00DF6818" w:rsidP="00DF6818">
      <w:pPr>
        <w:spacing w:after="0" w:line="240" w:lineRule="auto"/>
        <w:ind w:firstLine="2850"/>
        <w:jc w:val="both"/>
        <w:textAlignment w:val="baseline"/>
        <w:rPr>
          <w:rFonts w:ascii="Verdana" w:eastAsia="Times New Roman" w:hAnsi="Verdana" w:cs="Segoe UI"/>
          <w:color w:val="000000"/>
          <w:sz w:val="18"/>
          <w:szCs w:val="18"/>
          <w:lang w:eastAsia="es-CO"/>
        </w:rPr>
      </w:pPr>
      <w:r w:rsidRPr="0044528D">
        <w:rPr>
          <w:rFonts w:ascii="Verdana" w:eastAsia="Times New Roman" w:hAnsi="Verdana" w:cs="Segoe UI"/>
          <w:color w:val="000000"/>
          <w:lang w:eastAsia="es-CO"/>
        </w:rPr>
        <w:t> </w:t>
      </w:r>
    </w:p>
    <w:p w14:paraId="551946DB" w14:textId="77777777" w:rsidR="00DF6818" w:rsidRPr="0044528D" w:rsidRDefault="00DF6818" w:rsidP="00DF6818">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45C01E6B" w14:textId="77777777" w:rsidR="00DF6818" w:rsidRPr="0044528D" w:rsidRDefault="00DF6818" w:rsidP="00DF6818">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765BC70F" w14:textId="77777777" w:rsidR="00DF6818" w:rsidRPr="0044528D" w:rsidRDefault="00DF6818" w:rsidP="00DF6818">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39F082A3" w14:textId="77777777" w:rsidR="00DF6818" w:rsidRPr="0044528D" w:rsidRDefault="00DF6818" w:rsidP="00DF6818">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5AD0682D" w14:textId="77777777" w:rsidR="00DF6818" w:rsidRPr="0044528D" w:rsidRDefault="00DF6818" w:rsidP="00DF6818">
      <w:pPr>
        <w:spacing w:after="0"/>
        <w:jc w:val="both"/>
        <w:rPr>
          <w:rFonts w:ascii="Verdana" w:hAnsi="Verdana"/>
        </w:rPr>
      </w:pPr>
    </w:p>
    <w:p w14:paraId="3900974D" w14:textId="77777777" w:rsidR="003D5B0D" w:rsidRPr="00DF6818" w:rsidRDefault="003D5B0D" w:rsidP="00DF6818"/>
    <w:sectPr w:rsidR="003D5B0D" w:rsidRPr="00DF6818"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589E1" w14:textId="77777777" w:rsidR="00361848" w:rsidRDefault="00361848" w:rsidP="004A1847">
      <w:pPr>
        <w:spacing w:after="0" w:line="240" w:lineRule="auto"/>
      </w:pPr>
      <w:r>
        <w:separator/>
      </w:r>
    </w:p>
  </w:endnote>
  <w:endnote w:type="continuationSeparator" w:id="0">
    <w:p w14:paraId="2446C144" w14:textId="77777777" w:rsidR="00361848" w:rsidRDefault="0036184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C7FDF" w14:textId="77777777" w:rsidR="00361848" w:rsidRDefault="00361848" w:rsidP="004A1847">
      <w:pPr>
        <w:spacing w:after="0" w:line="240" w:lineRule="auto"/>
      </w:pPr>
      <w:r>
        <w:separator/>
      </w:r>
    </w:p>
  </w:footnote>
  <w:footnote w:type="continuationSeparator" w:id="0">
    <w:p w14:paraId="14AF2C36" w14:textId="77777777" w:rsidR="00361848" w:rsidRDefault="00361848" w:rsidP="004A1847">
      <w:pPr>
        <w:spacing w:after="0" w:line="240" w:lineRule="auto"/>
      </w:pPr>
      <w:r>
        <w:continuationSeparator/>
      </w:r>
    </w:p>
  </w:footnote>
  <w:footnote w:id="1">
    <w:p w14:paraId="40A4AD8E" w14:textId="77777777" w:rsidR="00DF6818" w:rsidRPr="00720C66" w:rsidRDefault="00DF6818" w:rsidP="00DF6818">
      <w:pPr>
        <w:pStyle w:val="Textonotapie"/>
        <w:ind w:firstLine="708"/>
        <w:jc w:val="both"/>
        <w:rPr>
          <w:rFonts w:ascii="Verdana" w:hAnsi="Verdana" w:cs="Arial"/>
          <w:sz w:val="10"/>
          <w:szCs w:val="10"/>
          <w:lang w:val="es-CO"/>
        </w:rPr>
      </w:pPr>
      <w:r w:rsidRPr="00720C66">
        <w:rPr>
          <w:rStyle w:val="Refdenotaalpie"/>
          <w:rFonts w:ascii="Verdana" w:hAnsi="Verdana" w:cs="Arial"/>
          <w:sz w:val="10"/>
          <w:szCs w:val="10"/>
        </w:rPr>
        <w:footnoteRef/>
      </w:r>
      <w:r w:rsidRPr="00720C66">
        <w:rPr>
          <w:rFonts w:ascii="Verdana" w:hAnsi="Verdana" w:cs="Arial"/>
          <w:sz w:val="10"/>
          <w:szCs w:val="10"/>
        </w:rPr>
        <w:t xml:space="preserve"> </w:t>
      </w:r>
      <w:r w:rsidRPr="00720C66">
        <w:rPr>
          <w:rFonts w:ascii="Verdana" w:hAnsi="Verdana" w:cs="Arial"/>
          <w:sz w:val="10"/>
          <w:szCs w:val="10"/>
          <w:lang w:val="es-CO"/>
        </w:rPr>
        <w:t>DÁVILA VINUEZA, Luis Guillermo. Régimen jurídico de la contratación estatal. Tercera edición, Bogotá: Legis, 2016. p. 355.</w:t>
      </w:r>
    </w:p>
  </w:footnote>
  <w:footnote w:id="2">
    <w:p w14:paraId="08A2FEA0" w14:textId="77777777" w:rsidR="00DF6818" w:rsidRPr="00720C66" w:rsidRDefault="00DF6818" w:rsidP="00DF6818">
      <w:pPr>
        <w:pStyle w:val="Textonotapie"/>
        <w:ind w:firstLine="709"/>
        <w:contextualSpacing/>
        <w:jc w:val="both"/>
        <w:rPr>
          <w:rFonts w:ascii="Verdana" w:hAnsi="Verdana" w:cs="Arial"/>
          <w:sz w:val="10"/>
          <w:szCs w:val="10"/>
        </w:rPr>
      </w:pPr>
      <w:r w:rsidRPr="00720C66">
        <w:rPr>
          <w:rStyle w:val="Refdenotaalpie"/>
          <w:rFonts w:ascii="Verdana" w:hAnsi="Verdana" w:cs="Arial"/>
          <w:sz w:val="10"/>
          <w:szCs w:val="10"/>
        </w:rPr>
        <w:footnoteRef/>
      </w:r>
      <w:r w:rsidRPr="00720C66">
        <w:rPr>
          <w:rStyle w:val="Refdenotaalpie"/>
          <w:rFonts w:ascii="Verdana" w:hAnsi="Verdana" w:cs="Arial"/>
          <w:sz w:val="10"/>
          <w:szCs w:val="10"/>
        </w:rPr>
        <w:t xml:space="preserve"> </w:t>
      </w:r>
      <w:r w:rsidRPr="00720C66">
        <w:rPr>
          <w:rFonts w:ascii="Verdana" w:hAnsi="Verdana" w:cs="Arial"/>
          <w:sz w:val="10"/>
          <w:szCs w:val="10"/>
        </w:rPr>
        <w:t xml:space="preserve">CONSEJO DE ESTADO. Sección Tercera. Subsección B. Sentencia del 6 de junio de 2013. </w:t>
      </w:r>
      <w:proofErr w:type="spellStart"/>
      <w:r w:rsidRPr="00720C66">
        <w:rPr>
          <w:rFonts w:ascii="Verdana" w:hAnsi="Verdana" w:cs="Arial"/>
          <w:sz w:val="10"/>
          <w:szCs w:val="10"/>
        </w:rPr>
        <w:t>Exp</w:t>
      </w:r>
      <w:proofErr w:type="spellEnd"/>
      <w:r w:rsidRPr="00720C66">
        <w:rPr>
          <w:rFonts w:ascii="Verdana" w:hAnsi="Verdana" w:cs="Arial"/>
          <w:sz w:val="10"/>
          <w:szCs w:val="10"/>
        </w:rPr>
        <w:t>. 25151. C.P. Stella Conto Díaz del Castillo.</w:t>
      </w:r>
    </w:p>
    <w:p w14:paraId="700EF206" w14:textId="77777777" w:rsidR="00DF6818" w:rsidRPr="00720C66" w:rsidRDefault="00DF6818" w:rsidP="00DF6818">
      <w:pPr>
        <w:pStyle w:val="Textonotapie"/>
        <w:ind w:firstLine="709"/>
        <w:contextualSpacing/>
        <w:jc w:val="both"/>
        <w:rPr>
          <w:rFonts w:ascii="Verdana" w:hAnsi="Verdana" w:cs="Arial"/>
          <w:sz w:val="10"/>
          <w:szCs w:val="10"/>
        </w:rPr>
      </w:pPr>
    </w:p>
  </w:footnote>
  <w:footnote w:id="3">
    <w:p w14:paraId="0867CF56" w14:textId="77777777" w:rsidR="00DF6818" w:rsidRPr="00720C66" w:rsidRDefault="00DF6818" w:rsidP="00DF6818">
      <w:pPr>
        <w:pStyle w:val="Textonotapie"/>
        <w:ind w:firstLine="709"/>
        <w:contextualSpacing/>
        <w:jc w:val="both"/>
        <w:rPr>
          <w:rFonts w:ascii="Verdana" w:hAnsi="Verdana" w:cs="Arial"/>
          <w:color w:val="000000" w:themeColor="text1"/>
          <w:sz w:val="10"/>
          <w:szCs w:val="10"/>
        </w:rPr>
      </w:pPr>
    </w:p>
    <w:p w14:paraId="1189D329" w14:textId="77777777" w:rsidR="00DF6818" w:rsidRPr="00720C66" w:rsidRDefault="00DF6818" w:rsidP="00DF6818">
      <w:pPr>
        <w:pStyle w:val="Textonotapie"/>
        <w:ind w:firstLine="709"/>
        <w:contextualSpacing/>
        <w:jc w:val="both"/>
        <w:rPr>
          <w:rFonts w:ascii="Verdana" w:hAnsi="Verdana" w:cs="Arial"/>
          <w:color w:val="000000" w:themeColor="text1"/>
          <w:sz w:val="10"/>
          <w:szCs w:val="10"/>
          <w:lang w:eastAsia="es-CO"/>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Ley 1150 de 2007: «Artículo 5. De la selección objetiva.</w:t>
      </w:r>
      <w:r w:rsidRPr="00720C66">
        <w:rPr>
          <w:rFonts w:ascii="Verdana" w:hAnsi="Verdana" w:cs="Arial"/>
          <w:color w:val="000000" w:themeColor="text1"/>
          <w:sz w:val="10"/>
          <w:szCs w:val="10"/>
          <w:lang w:eastAsia="es-CO"/>
        </w:rPr>
        <w:t xml:space="preserve"> </w:t>
      </w:r>
    </w:p>
    <w:p w14:paraId="6F769938" w14:textId="77777777" w:rsidR="00DF6818" w:rsidRPr="00720C66" w:rsidRDefault="00DF6818" w:rsidP="00DF6818">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w:t>
      </w:r>
    </w:p>
    <w:p w14:paraId="33E0E491" w14:textId="77777777" w:rsidR="00DF6818" w:rsidRPr="00720C66" w:rsidRDefault="00DF6818" w:rsidP="00DF6818">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5AD65D1" w14:textId="77777777" w:rsidR="00DF6818" w:rsidRPr="00720C66" w:rsidRDefault="00DF6818" w:rsidP="00DF6818">
      <w:pPr>
        <w:pStyle w:val="Textonotapie"/>
        <w:ind w:firstLine="709"/>
        <w:contextualSpacing/>
        <w:jc w:val="both"/>
        <w:rPr>
          <w:rFonts w:ascii="Verdana" w:hAnsi="Verdana" w:cs="Arial"/>
          <w:color w:val="000000" w:themeColor="text1"/>
          <w:sz w:val="10"/>
          <w:szCs w:val="10"/>
          <w:lang w:eastAsia="es-CO"/>
        </w:rPr>
      </w:pPr>
      <w:r w:rsidRPr="00720C66">
        <w:rPr>
          <w:rFonts w:ascii="Verdana" w:hAnsi="Verdana" w:cs="Arial"/>
          <w:color w:val="000000" w:themeColor="text1"/>
          <w:sz w:val="10"/>
          <w:szCs w:val="10"/>
          <w:lang w:eastAsia="es-CO"/>
        </w:rPr>
        <w:t>[…]”.</w:t>
      </w:r>
    </w:p>
    <w:p w14:paraId="7827E647" w14:textId="77777777" w:rsidR="00DF6818" w:rsidRPr="00720C66" w:rsidRDefault="00DF6818" w:rsidP="00DF6818">
      <w:pPr>
        <w:pStyle w:val="Textonotapie"/>
        <w:ind w:firstLine="709"/>
        <w:contextualSpacing/>
        <w:jc w:val="both"/>
        <w:rPr>
          <w:rFonts w:ascii="Verdana" w:hAnsi="Verdana" w:cs="Arial"/>
          <w:color w:val="000000" w:themeColor="text1"/>
          <w:sz w:val="10"/>
          <w:szCs w:val="10"/>
          <w:lang w:eastAsia="es-CO"/>
        </w:rPr>
      </w:pPr>
    </w:p>
  </w:footnote>
  <w:footnote w:id="4">
    <w:p w14:paraId="2DBA2C74" w14:textId="77777777" w:rsidR="00DF6818" w:rsidRPr="00720C66" w:rsidRDefault="00DF6818" w:rsidP="00DF6818">
      <w:pPr>
        <w:pStyle w:val="Textonotapie"/>
        <w:ind w:firstLine="709"/>
        <w:contextualSpacing/>
        <w:jc w:val="both"/>
        <w:rPr>
          <w:rFonts w:ascii="Verdana" w:hAnsi="Verdana" w:cs="Arial"/>
          <w:color w:val="000000" w:themeColor="text1"/>
          <w:sz w:val="10"/>
          <w:szCs w:val="10"/>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 xml:space="preserve">CONSEJO DE ESTADO. Sección Tercera. Subsección A. Sentencia del 12 de febrero de 2014. </w:t>
      </w:r>
      <w:proofErr w:type="spellStart"/>
      <w:r w:rsidRPr="00720C66">
        <w:rPr>
          <w:rFonts w:ascii="Verdana" w:hAnsi="Verdana" w:cs="Arial"/>
          <w:color w:val="000000" w:themeColor="text1"/>
          <w:sz w:val="10"/>
          <w:szCs w:val="10"/>
          <w:lang w:eastAsia="es-CO"/>
        </w:rPr>
        <w:t>Exp</w:t>
      </w:r>
      <w:proofErr w:type="spellEnd"/>
      <w:r w:rsidRPr="00720C66">
        <w:rPr>
          <w:rFonts w:ascii="Verdana" w:hAnsi="Verdana" w:cs="Arial"/>
          <w:color w:val="000000" w:themeColor="text1"/>
          <w:sz w:val="10"/>
          <w:szCs w:val="10"/>
          <w:lang w:eastAsia="es-CO"/>
        </w:rPr>
        <w:t>.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5">
    <w:p w14:paraId="5A481EF4" w14:textId="77777777" w:rsidR="00DF6818" w:rsidRPr="00720C66" w:rsidRDefault="00DF6818" w:rsidP="00DF6818">
      <w:pPr>
        <w:pStyle w:val="Textonotapie"/>
        <w:ind w:firstLine="709"/>
        <w:contextualSpacing/>
        <w:jc w:val="both"/>
        <w:rPr>
          <w:rFonts w:ascii="Verdana" w:hAnsi="Verdana" w:cs="Arial"/>
          <w:sz w:val="10"/>
          <w:szCs w:val="10"/>
        </w:rPr>
      </w:pPr>
    </w:p>
    <w:p w14:paraId="1BD8550E" w14:textId="77777777" w:rsidR="00DF6818" w:rsidRPr="00720C66" w:rsidRDefault="00DF6818" w:rsidP="00DF6818">
      <w:pPr>
        <w:pStyle w:val="Textonotapie"/>
        <w:ind w:firstLine="709"/>
        <w:contextualSpacing/>
        <w:jc w:val="both"/>
        <w:rPr>
          <w:rFonts w:ascii="Verdana" w:hAnsi="Verdana" w:cs="Arial"/>
          <w:sz w:val="10"/>
          <w:szCs w:val="10"/>
          <w:lang w:eastAsia="es-CO"/>
        </w:rPr>
      </w:pPr>
      <w:r w:rsidRPr="00720C66">
        <w:rPr>
          <w:rStyle w:val="Refdenotaalpie"/>
          <w:rFonts w:ascii="Verdana" w:hAnsi="Verdana" w:cs="Arial"/>
          <w:sz w:val="10"/>
          <w:szCs w:val="10"/>
        </w:rPr>
        <w:footnoteRef/>
      </w:r>
      <w:r w:rsidRPr="00720C66">
        <w:rPr>
          <w:rFonts w:ascii="Verdana" w:hAnsi="Verdana" w:cs="Arial"/>
          <w:sz w:val="10"/>
          <w:szCs w:val="10"/>
        </w:rPr>
        <w:t xml:space="preserve"> </w:t>
      </w:r>
      <w:r w:rsidRPr="00720C66">
        <w:rPr>
          <w:rFonts w:ascii="Verdana" w:hAnsi="Verdana" w:cs="Arial"/>
          <w:sz w:val="10"/>
          <w:szCs w:val="10"/>
          <w:lang w:eastAsia="es-CO"/>
        </w:rPr>
        <w:t xml:space="preserve">Ley 1150 de 2007: “Artículo 6.  De la verificación de las condiciones de los proponentes. </w:t>
      </w:r>
    </w:p>
    <w:p w14:paraId="5543A877" w14:textId="77777777" w:rsidR="00DF6818" w:rsidRPr="00720C66" w:rsidRDefault="00DF6818" w:rsidP="00DF6818">
      <w:pPr>
        <w:pStyle w:val="Textonotapie"/>
        <w:ind w:firstLine="709"/>
        <w:contextualSpacing/>
        <w:jc w:val="both"/>
        <w:rPr>
          <w:rFonts w:ascii="Verdana" w:hAnsi="Verdana" w:cs="Arial"/>
          <w:sz w:val="10"/>
          <w:szCs w:val="10"/>
          <w:lang w:eastAsia="es-CO"/>
        </w:rPr>
      </w:pPr>
      <w:r w:rsidRPr="00720C66">
        <w:rPr>
          <w:rFonts w:ascii="Verdana" w:hAnsi="Verdana" w:cs="Arial"/>
          <w:sz w:val="10"/>
          <w:szCs w:val="10"/>
          <w:lang w:eastAsia="es-CO"/>
        </w:rPr>
        <w:t xml:space="preserve">[...] </w:t>
      </w:r>
    </w:p>
    <w:p w14:paraId="1FA2C7C8" w14:textId="77777777" w:rsidR="00DF6818" w:rsidRPr="00720C66" w:rsidRDefault="00DF6818" w:rsidP="00DF6818">
      <w:pPr>
        <w:pStyle w:val="Textonotapie"/>
        <w:ind w:firstLine="709"/>
        <w:contextualSpacing/>
        <w:jc w:val="both"/>
        <w:rPr>
          <w:rFonts w:ascii="Verdana" w:hAnsi="Verdana" w:cs="Arial"/>
          <w:sz w:val="10"/>
          <w:szCs w:val="10"/>
          <w:lang w:eastAsia="es-CO"/>
        </w:rPr>
      </w:pPr>
      <w:r w:rsidRPr="00720C66">
        <w:rPr>
          <w:rFonts w:ascii="Verdana" w:hAnsi="Verdana" w:cs="Arial"/>
          <w:sz w:val="10"/>
          <w:szCs w:val="10"/>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2D7025F" w14:textId="77777777" w:rsidR="00DF6818" w:rsidRPr="00720C66" w:rsidRDefault="00DF6818" w:rsidP="00DF6818">
      <w:pPr>
        <w:pStyle w:val="Textonotapie"/>
        <w:ind w:firstLine="709"/>
        <w:contextualSpacing/>
        <w:jc w:val="both"/>
        <w:rPr>
          <w:rFonts w:ascii="Verdana" w:hAnsi="Verdana" w:cs="Arial"/>
          <w:sz w:val="10"/>
          <w:szCs w:val="10"/>
          <w:lang w:eastAsia="es-CO"/>
        </w:rPr>
      </w:pPr>
      <w:r w:rsidRPr="00720C66">
        <w:rPr>
          <w:rFonts w:ascii="Verdana" w:hAnsi="Verdana" w:cs="Arial"/>
          <w:sz w:val="10"/>
          <w:szCs w:val="10"/>
          <w:lang w:eastAsia="es-CO"/>
        </w:rPr>
        <w:t xml:space="preserve">[...]”. </w:t>
      </w:r>
    </w:p>
  </w:footnote>
  <w:footnote w:id="6">
    <w:p w14:paraId="4D82D1A0" w14:textId="77777777" w:rsidR="00DF6818" w:rsidRPr="00720C66" w:rsidRDefault="00DF6818" w:rsidP="00DF6818">
      <w:pPr>
        <w:pStyle w:val="Textonotapie"/>
        <w:ind w:firstLine="709"/>
        <w:contextualSpacing/>
        <w:jc w:val="both"/>
        <w:rPr>
          <w:rFonts w:ascii="Verdana" w:hAnsi="Verdana" w:cs="Arial"/>
          <w:sz w:val="10"/>
          <w:szCs w:val="10"/>
        </w:rPr>
      </w:pPr>
    </w:p>
    <w:p w14:paraId="2EB0BC2C" w14:textId="77777777" w:rsidR="00DF6818" w:rsidRPr="00720C66" w:rsidRDefault="00DF6818" w:rsidP="00DF6818">
      <w:pPr>
        <w:pStyle w:val="Textonotapie"/>
        <w:ind w:firstLine="709"/>
        <w:contextualSpacing/>
        <w:jc w:val="both"/>
        <w:rPr>
          <w:rFonts w:ascii="Verdana" w:hAnsi="Verdana" w:cs="Arial"/>
          <w:sz w:val="10"/>
          <w:szCs w:val="10"/>
          <w:lang w:eastAsia="es-CO"/>
        </w:rPr>
      </w:pPr>
      <w:r w:rsidRPr="00720C66">
        <w:rPr>
          <w:rStyle w:val="Refdenotaalpie"/>
          <w:rFonts w:ascii="Verdana" w:hAnsi="Verdana" w:cs="Arial"/>
          <w:sz w:val="10"/>
          <w:szCs w:val="10"/>
        </w:rPr>
        <w:footnoteRef/>
      </w:r>
      <w:r w:rsidRPr="00720C66">
        <w:rPr>
          <w:rFonts w:ascii="Verdana" w:hAnsi="Verdana" w:cs="Arial"/>
          <w:sz w:val="10"/>
          <w:szCs w:val="10"/>
        </w:rPr>
        <w:t xml:space="preserve"> Ley 1150 de 2007:</w:t>
      </w:r>
      <w:r w:rsidRPr="00720C66">
        <w:rPr>
          <w:rFonts w:ascii="Verdana" w:hAnsi="Verdana" w:cs="Arial"/>
          <w:sz w:val="10"/>
          <w:szCs w:val="10"/>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D2F9DAE" w14:textId="77777777" w:rsidR="00DF6818" w:rsidRPr="00720C66" w:rsidRDefault="00DF6818" w:rsidP="00DF6818">
      <w:pPr>
        <w:pStyle w:val="Textonotapie"/>
        <w:ind w:firstLine="709"/>
        <w:contextualSpacing/>
        <w:jc w:val="both"/>
        <w:rPr>
          <w:rFonts w:ascii="Verdana" w:hAnsi="Verdana" w:cs="Arial"/>
          <w:sz w:val="10"/>
          <w:szCs w:val="10"/>
          <w:lang w:eastAsia="es-CO"/>
        </w:rPr>
      </w:pPr>
    </w:p>
  </w:footnote>
  <w:footnote w:id="7">
    <w:p w14:paraId="36C0F0CE" w14:textId="77777777" w:rsidR="00DF6818" w:rsidRPr="00720C66" w:rsidRDefault="00DF6818" w:rsidP="00DF6818">
      <w:pPr>
        <w:pStyle w:val="Textonotapie"/>
        <w:ind w:firstLine="709"/>
        <w:contextualSpacing/>
        <w:jc w:val="both"/>
        <w:rPr>
          <w:rFonts w:ascii="Verdana" w:hAnsi="Verdana" w:cs="Arial"/>
          <w:color w:val="000000" w:themeColor="text1"/>
          <w:sz w:val="10"/>
          <w:szCs w:val="10"/>
        </w:rPr>
      </w:pPr>
      <w:r w:rsidRPr="00720C66">
        <w:rPr>
          <w:rStyle w:val="Refdenotaalpie"/>
          <w:rFonts w:ascii="Verdana" w:hAnsi="Verdana" w:cs="Arial"/>
          <w:color w:val="000000" w:themeColor="text1"/>
          <w:sz w:val="10"/>
          <w:szCs w:val="10"/>
        </w:rPr>
        <w:footnoteRef/>
      </w:r>
      <w:r w:rsidRPr="00720C66">
        <w:rPr>
          <w:rFonts w:ascii="Verdana" w:hAnsi="Verdana" w:cs="Arial"/>
          <w:color w:val="000000" w:themeColor="text1"/>
          <w:sz w:val="10"/>
          <w:szCs w:val="10"/>
        </w:rPr>
        <w:t xml:space="preserve"> </w:t>
      </w:r>
      <w:r w:rsidRPr="00720C66">
        <w:rPr>
          <w:rFonts w:ascii="Verdana" w:hAnsi="Verdana" w:cs="Arial"/>
          <w:color w:val="000000" w:themeColor="text1"/>
          <w:sz w:val="10"/>
          <w:szCs w:val="10"/>
          <w:lang w:eastAsia="es-CO"/>
        </w:rPr>
        <w:t>Consejo de Estado. Sala de Consulta y Servicio Civil. Consulta del 20 de mayo de 2010. Exp.1992. C. 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5E45D3"/>
    <w:multiLevelType w:val="hybridMultilevel"/>
    <w:tmpl w:val="7CB486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D090EB0"/>
    <w:multiLevelType w:val="hybridMultilevel"/>
    <w:tmpl w:val="FBDE41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4"/>
  </w:num>
  <w:num w:numId="14" w16cid:durableId="895897244">
    <w:abstractNumId w:val="15"/>
  </w:num>
  <w:num w:numId="15" w16cid:durableId="390349800">
    <w:abstractNumId w:val="11"/>
  </w:num>
  <w:num w:numId="16" w16cid:durableId="679089576">
    <w:abstractNumId w:val="10"/>
  </w:num>
  <w:num w:numId="17" w16cid:durableId="1934509070">
    <w:abstractNumId w:val="3"/>
  </w:num>
  <w:num w:numId="18" w16cid:durableId="1488352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20A3"/>
    <w:rsid w:val="000D0334"/>
    <w:rsid w:val="000F6486"/>
    <w:rsid w:val="00125105"/>
    <w:rsid w:val="00127233"/>
    <w:rsid w:val="001511A0"/>
    <w:rsid w:val="001D2214"/>
    <w:rsid w:val="001E4177"/>
    <w:rsid w:val="001F7DC6"/>
    <w:rsid w:val="0021455C"/>
    <w:rsid w:val="002421BB"/>
    <w:rsid w:val="0025796E"/>
    <w:rsid w:val="002707A2"/>
    <w:rsid w:val="002951A0"/>
    <w:rsid w:val="002962BC"/>
    <w:rsid w:val="002A093D"/>
    <w:rsid w:val="002A0DD0"/>
    <w:rsid w:val="002A49AC"/>
    <w:rsid w:val="002A64FD"/>
    <w:rsid w:val="002C7A84"/>
    <w:rsid w:val="002E4FD9"/>
    <w:rsid w:val="00322A85"/>
    <w:rsid w:val="00324168"/>
    <w:rsid w:val="00331985"/>
    <w:rsid w:val="003448F4"/>
    <w:rsid w:val="00361848"/>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046B"/>
    <w:rsid w:val="00574867"/>
    <w:rsid w:val="00591460"/>
    <w:rsid w:val="005B3816"/>
    <w:rsid w:val="005C3777"/>
    <w:rsid w:val="005C5CDC"/>
    <w:rsid w:val="005D476C"/>
    <w:rsid w:val="006219F8"/>
    <w:rsid w:val="00665D70"/>
    <w:rsid w:val="006900D9"/>
    <w:rsid w:val="00693E70"/>
    <w:rsid w:val="00706C16"/>
    <w:rsid w:val="00756841"/>
    <w:rsid w:val="007649AB"/>
    <w:rsid w:val="00771D0C"/>
    <w:rsid w:val="007833AC"/>
    <w:rsid w:val="007B268C"/>
    <w:rsid w:val="007B7171"/>
    <w:rsid w:val="007C0C0F"/>
    <w:rsid w:val="007C3DC2"/>
    <w:rsid w:val="007C6FB2"/>
    <w:rsid w:val="007E5497"/>
    <w:rsid w:val="00806F5F"/>
    <w:rsid w:val="00820278"/>
    <w:rsid w:val="008536F1"/>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041AC"/>
    <w:rsid w:val="00A122D3"/>
    <w:rsid w:val="00A17F13"/>
    <w:rsid w:val="00A20739"/>
    <w:rsid w:val="00A33C78"/>
    <w:rsid w:val="00AB0ADB"/>
    <w:rsid w:val="00AB20B2"/>
    <w:rsid w:val="00AB7251"/>
    <w:rsid w:val="00B01B1A"/>
    <w:rsid w:val="00B66319"/>
    <w:rsid w:val="00B72CD3"/>
    <w:rsid w:val="00B72FFF"/>
    <w:rsid w:val="00BC3D36"/>
    <w:rsid w:val="00BD7F72"/>
    <w:rsid w:val="00C04FB3"/>
    <w:rsid w:val="00C330EB"/>
    <w:rsid w:val="00C41061"/>
    <w:rsid w:val="00C5054C"/>
    <w:rsid w:val="00C754BE"/>
    <w:rsid w:val="00C76B1C"/>
    <w:rsid w:val="00CB6357"/>
    <w:rsid w:val="00CC1B26"/>
    <w:rsid w:val="00D423A2"/>
    <w:rsid w:val="00D520D8"/>
    <w:rsid w:val="00D63AC2"/>
    <w:rsid w:val="00D7383B"/>
    <w:rsid w:val="00DA231B"/>
    <w:rsid w:val="00DC39FC"/>
    <w:rsid w:val="00DF5254"/>
    <w:rsid w:val="00DF6818"/>
    <w:rsid w:val="00E16408"/>
    <w:rsid w:val="00E20894"/>
    <w:rsid w:val="00E245AB"/>
    <w:rsid w:val="00E2764C"/>
    <w:rsid w:val="00E27F2E"/>
    <w:rsid w:val="00E50AFE"/>
    <w:rsid w:val="00E75C92"/>
    <w:rsid w:val="00E771DC"/>
    <w:rsid w:val="00E868EF"/>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01E8C650"/>
    <w:rsid w:val="0382C809"/>
    <w:rsid w:val="094D9193"/>
    <w:rsid w:val="0B10F536"/>
    <w:rsid w:val="0CC3C7FD"/>
    <w:rsid w:val="0CF65998"/>
    <w:rsid w:val="1040CAB2"/>
    <w:rsid w:val="10DCE89A"/>
    <w:rsid w:val="12C1E896"/>
    <w:rsid w:val="165E9519"/>
    <w:rsid w:val="17061379"/>
    <w:rsid w:val="17404BB7"/>
    <w:rsid w:val="182D374D"/>
    <w:rsid w:val="18F11C4C"/>
    <w:rsid w:val="1BAA8E68"/>
    <w:rsid w:val="1FCBEAD6"/>
    <w:rsid w:val="21C834E5"/>
    <w:rsid w:val="23A67DED"/>
    <w:rsid w:val="29CC5CE5"/>
    <w:rsid w:val="33C71B8A"/>
    <w:rsid w:val="33F17899"/>
    <w:rsid w:val="38218E55"/>
    <w:rsid w:val="382536D9"/>
    <w:rsid w:val="384DEFB2"/>
    <w:rsid w:val="3AC4E30D"/>
    <w:rsid w:val="484C9531"/>
    <w:rsid w:val="49292169"/>
    <w:rsid w:val="513F5F2C"/>
    <w:rsid w:val="5379E5DA"/>
    <w:rsid w:val="56A3B327"/>
    <w:rsid w:val="5FB84793"/>
    <w:rsid w:val="669F655D"/>
    <w:rsid w:val="6C32478D"/>
    <w:rsid w:val="6EFDAB80"/>
    <w:rsid w:val="735589F8"/>
    <w:rsid w:val="75D9DEE5"/>
    <w:rsid w:val="76C4EA3B"/>
    <w:rsid w:val="77CCC356"/>
    <w:rsid w:val="79460171"/>
    <w:rsid w:val="79D0F769"/>
    <w:rsid w:val="7B6AA7A6"/>
    <w:rsid w:val="7C183931"/>
    <w:rsid w:val="7CC3CEA6"/>
    <w:rsid w:val="7DA6746B"/>
    <w:rsid w:val="7E551E51"/>
    <w:rsid w:val="7F2D9DD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DF681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F681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9d85dbaf-23eb-4e57-a637-93dcacc8b1a1"/>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http://purl.org/dc/terms/"/>
    <ds:schemaRef ds:uri="a6cb9e4b-f1d1-4245-83ec-6cad768d538a"/>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0634263-83CE-46EC-8836-D32354C78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3515</Words>
  <Characters>19334</Characters>
  <Application>Microsoft Office Word</Application>
  <DocSecurity>0</DocSecurity>
  <Lines>161</Lines>
  <Paragraphs>45</Paragraphs>
  <ScaleCrop>false</ScaleCrop>
  <Company/>
  <LinksUpToDate>false</LinksUpToDate>
  <CharactersWithSpaces>22804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2025-08-21T17:43:00Z</dcterms:created>
  <dcterms:modified xsi:type="dcterms:W3CDTF">2025-08-21T17:43:00Z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