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3C723" w14:textId="77777777" w:rsidR="00EE6500" w:rsidRDefault="00EE6500" w:rsidP="00EE6500">
      <w:pPr>
        <w:spacing w:after="0" w:line="240" w:lineRule="auto"/>
        <w:jc w:val="both"/>
        <w:rPr>
          <w:rFonts w:ascii="Verdana" w:eastAsia="Calibri" w:hAnsi="Verdana" w:cs="Arial"/>
          <w:b/>
          <w:bCs/>
          <w:lang w:val="es-ES" w:eastAsia="es-ES"/>
        </w:rPr>
      </w:pPr>
      <w:bookmarkStart w:id="0" w:name="_Hlk143780582"/>
      <w:r w:rsidRPr="002F5B53">
        <w:rPr>
          <w:rFonts w:ascii="Verdana" w:eastAsia="Calibri" w:hAnsi="Verdana" w:cs="Arial"/>
          <w:b/>
          <w:bCs/>
          <w:lang w:val="es-ES" w:eastAsia="es-ES"/>
        </w:rPr>
        <w:t xml:space="preserve">CONTRATO DE PRESTACIÓN DE SERVICIOS – Definición – Requisitos – fundamento normativo </w:t>
      </w:r>
    </w:p>
    <w:p w14:paraId="31C5F709" w14:textId="77777777" w:rsidR="00EE6500" w:rsidRPr="002F5B53" w:rsidRDefault="00EE6500" w:rsidP="00EE6500">
      <w:pPr>
        <w:spacing w:after="0" w:line="240" w:lineRule="auto"/>
        <w:jc w:val="both"/>
        <w:rPr>
          <w:rFonts w:ascii="Verdana" w:eastAsia="Calibri" w:hAnsi="Verdana" w:cs="Arial"/>
          <w:b/>
          <w:bCs/>
          <w:lang w:val="es-ES" w:eastAsia="es-ES"/>
        </w:rPr>
      </w:pPr>
    </w:p>
    <w:p w14:paraId="17632B68" w14:textId="77777777" w:rsidR="00EE6500" w:rsidRPr="00097DBE" w:rsidRDefault="00EE6500" w:rsidP="00EE6500">
      <w:pPr>
        <w:widowControl w:val="0"/>
        <w:autoSpaceDE w:val="0"/>
        <w:autoSpaceDN w:val="0"/>
        <w:spacing w:after="0" w:line="276" w:lineRule="auto"/>
        <w:jc w:val="both"/>
        <w:rPr>
          <w:rFonts w:ascii="Verdana" w:eastAsia="Calibri" w:hAnsi="Verdana" w:cs="Arial"/>
          <w:lang w:val="es-ES"/>
        </w:rPr>
      </w:pPr>
      <w:r>
        <w:rPr>
          <w:rFonts w:ascii="Verdana" w:eastAsia="Calibri" w:hAnsi="Verdana" w:cs="Arial"/>
          <w:lang w:val="es-ES"/>
        </w:rPr>
        <w:t xml:space="preserve">[…] </w:t>
      </w:r>
      <w:r w:rsidRPr="00097DBE">
        <w:rPr>
          <w:rFonts w:ascii="Verdana" w:eastAsia="Calibri" w:hAnsi="Verdana" w:cs="Arial"/>
          <w:lang w:val="es-ES"/>
        </w:rPr>
        <w:t>el contrato de prestación de servicios es un contrato estatal típico que está regulado en el numeral 3 del artículo 32 de la Ley 80 de 1993:</w:t>
      </w:r>
    </w:p>
    <w:p w14:paraId="5284F226" w14:textId="77777777" w:rsidR="00EE6500" w:rsidRPr="0054725F" w:rsidRDefault="00EE6500" w:rsidP="00EE6500">
      <w:pPr>
        <w:spacing w:before="100" w:beforeAutospacing="1" w:after="100" w:afterAutospacing="1" w:line="270" w:lineRule="atLeast"/>
        <w:ind w:left="851" w:right="758"/>
        <w:jc w:val="both"/>
        <w:rPr>
          <w:rFonts w:ascii="Verdana" w:eastAsia="Times New Roman" w:hAnsi="Verdana" w:cs="Open Sans"/>
          <w:sz w:val="20"/>
          <w:szCs w:val="20"/>
          <w:lang w:eastAsia="es-CO"/>
        </w:rPr>
      </w:pPr>
      <w:r w:rsidRPr="0054725F">
        <w:rPr>
          <w:rFonts w:ascii="Verdana" w:eastAsia="Times New Roman" w:hAnsi="Verdana" w:cs="Open Sans"/>
          <w:sz w:val="20"/>
          <w:szCs w:val="20"/>
          <w:lang w:eastAsia="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54725F">
        <w:rPr>
          <w:rFonts w:ascii="Verdana" w:eastAsia="Times New Roman" w:hAnsi="Verdana" w:cs="Open Sans"/>
          <w:sz w:val="20"/>
          <w:szCs w:val="20"/>
          <w:u w:val="single"/>
          <w:lang w:eastAsia="es-CO"/>
        </w:rPr>
        <w:t>no puedan realizarse con personal de planta</w:t>
      </w:r>
      <w:r w:rsidRPr="0054725F">
        <w:rPr>
          <w:rFonts w:ascii="Verdana" w:eastAsia="Times New Roman" w:hAnsi="Verdana" w:cs="Open Sans"/>
          <w:sz w:val="20"/>
          <w:szCs w:val="20"/>
          <w:lang w:eastAsia="es-CO"/>
        </w:rPr>
        <w:t> o requieran conocimientos especializados.</w:t>
      </w:r>
    </w:p>
    <w:p w14:paraId="514A6C94" w14:textId="77777777" w:rsidR="00EE6500" w:rsidRPr="0054725F" w:rsidRDefault="00EE6500" w:rsidP="00EE6500">
      <w:pPr>
        <w:spacing w:before="100" w:beforeAutospacing="1" w:after="100" w:afterAutospacing="1" w:line="270" w:lineRule="atLeast"/>
        <w:ind w:left="851" w:right="758"/>
        <w:jc w:val="both"/>
        <w:rPr>
          <w:rFonts w:ascii="Verdana" w:eastAsia="Times New Roman" w:hAnsi="Verdana" w:cs="Open Sans"/>
          <w:sz w:val="20"/>
          <w:szCs w:val="20"/>
          <w:lang w:eastAsia="es-CO"/>
        </w:rPr>
      </w:pPr>
      <w:r w:rsidRPr="0054725F">
        <w:rPr>
          <w:rFonts w:ascii="Verdana" w:eastAsia="Times New Roman" w:hAnsi="Verdana" w:cs="Open Sans"/>
          <w:sz w:val="20"/>
          <w:szCs w:val="20"/>
          <w:u w:val="single"/>
          <w:lang w:eastAsia="es-CO"/>
        </w:rPr>
        <w:t>En ningún caso</w:t>
      </w:r>
      <w:r w:rsidRPr="0054725F">
        <w:rPr>
          <w:rFonts w:ascii="Verdana" w:eastAsia="Times New Roman" w:hAnsi="Verdana" w:cs="Open Sans"/>
          <w:sz w:val="20"/>
          <w:szCs w:val="20"/>
          <w:lang w:eastAsia="es-CO"/>
        </w:rPr>
        <w:t> estos contratos</w:t>
      </w:r>
      <w:r w:rsidRPr="0054725F">
        <w:rPr>
          <w:rFonts w:ascii="Verdana" w:eastAsia="Times New Roman" w:hAnsi="Verdana" w:cs="Open Sans"/>
          <w:sz w:val="20"/>
          <w:szCs w:val="20"/>
          <w:u w:val="single"/>
          <w:lang w:eastAsia="es-CO"/>
        </w:rPr>
        <w:t> generan relación laboral ni prestaciones sociales</w:t>
      </w:r>
      <w:r w:rsidRPr="0054725F">
        <w:rPr>
          <w:rFonts w:ascii="Verdana" w:eastAsia="Times New Roman" w:hAnsi="Verdana" w:cs="Open Sans"/>
          <w:sz w:val="20"/>
          <w:szCs w:val="20"/>
          <w:lang w:eastAsia="es-CO"/>
        </w:rPr>
        <w:t> y se celebrarán por el término estrictamente indispensable.</w:t>
      </w:r>
    </w:p>
    <w:p w14:paraId="2F343C43" w14:textId="77777777" w:rsidR="00EE6500" w:rsidRDefault="00EE6500" w:rsidP="00EE6500">
      <w:pPr>
        <w:spacing w:after="0" w:line="240" w:lineRule="auto"/>
        <w:jc w:val="both"/>
        <w:rPr>
          <w:rFonts w:ascii="Verdana" w:eastAsia="Calibri" w:hAnsi="Verdana" w:cs="Arial"/>
          <w:lang w:val="es-ES" w:eastAsia="es-ES"/>
        </w:rPr>
      </w:pPr>
      <w:r w:rsidRPr="00097DBE">
        <w:rPr>
          <w:rFonts w:ascii="Verdana" w:eastAsia="Calibri" w:hAnsi="Verdana" w:cs="Arial"/>
          <w:lang w:val="es-ES"/>
        </w:rPr>
        <w:t xml:space="preserve">Su modalidad de selección se encuentra establecida en el </w:t>
      </w:r>
      <w:r w:rsidRPr="00097DBE">
        <w:rPr>
          <w:rFonts w:ascii="Verdana" w:eastAsia="Calibri" w:hAnsi="Verdana" w:cs="Arial"/>
          <w:lang w:val="es-ES_tradnl"/>
        </w:rPr>
        <w:t xml:space="preserve">artículo 2, numeral 4º, literal h), de la Ley 1150 de 2007 como </w:t>
      </w:r>
      <w:r>
        <w:rPr>
          <w:rFonts w:ascii="Verdana" w:eastAsia="Calibri" w:hAnsi="Verdana" w:cs="Arial"/>
          <w:color w:val="000000" w:themeColor="text1"/>
          <w:lang w:val="es-ES_tradnl"/>
        </w:rPr>
        <w:t xml:space="preserve">contratación directa, y aquella es reglamentada en el </w:t>
      </w:r>
      <w:r w:rsidRPr="00C7507B">
        <w:rPr>
          <w:rFonts w:ascii="Verdana" w:eastAsia="Calibri" w:hAnsi="Verdana" w:cs="Arial"/>
        </w:rPr>
        <w:t>artículo 2.2.1.2.1.4.9 del Decreto 1082 de 2015</w:t>
      </w:r>
      <w:r>
        <w:rPr>
          <w:rFonts w:ascii="Verdana" w:eastAsia="Calibri" w:hAnsi="Verdana" w:cs="Arial"/>
        </w:rPr>
        <w:t xml:space="preserve">, del que se resalta </w:t>
      </w:r>
      <w:r w:rsidRPr="00BE021E">
        <w:rPr>
          <w:rFonts w:ascii="Verdana" w:hAnsi="Verdana" w:cs="Arial"/>
        </w:rPr>
        <w:t>la obligación de las entidades estatales de verificar la idoneidad de las personas con las que se celebrará este tipo de contratos</w:t>
      </w:r>
      <w:r>
        <w:rPr>
          <w:rFonts w:ascii="Verdana" w:hAnsi="Verdana" w:cs="Arial"/>
        </w:rPr>
        <w:t xml:space="preserve"> […]</w:t>
      </w:r>
    </w:p>
    <w:p w14:paraId="01F8AFA9" w14:textId="77777777" w:rsidR="00EE6500" w:rsidRDefault="00EE6500" w:rsidP="00EE6500">
      <w:pPr>
        <w:spacing w:after="0" w:line="240" w:lineRule="auto"/>
        <w:jc w:val="both"/>
        <w:rPr>
          <w:rFonts w:ascii="Verdana" w:eastAsia="Calibri" w:hAnsi="Verdana" w:cs="Arial"/>
          <w:lang w:val="es-ES" w:eastAsia="es-ES"/>
        </w:rPr>
      </w:pPr>
    </w:p>
    <w:p w14:paraId="3C77874A" w14:textId="77777777" w:rsidR="00EE6500" w:rsidRPr="002F5B53" w:rsidRDefault="00EE6500" w:rsidP="00EE6500">
      <w:pPr>
        <w:spacing w:after="0" w:line="240" w:lineRule="auto"/>
        <w:jc w:val="both"/>
        <w:rPr>
          <w:rFonts w:ascii="Verdana" w:eastAsia="Calibri" w:hAnsi="Verdana" w:cs="Arial"/>
          <w:b/>
          <w:bCs/>
          <w:lang w:val="es-ES" w:eastAsia="es-ES"/>
        </w:rPr>
      </w:pPr>
      <w:r w:rsidRPr="002F5B53">
        <w:rPr>
          <w:rFonts w:ascii="Verdana" w:eastAsia="Calibri" w:hAnsi="Verdana" w:cs="Arial"/>
          <w:b/>
          <w:bCs/>
          <w:lang w:val="es-ES" w:eastAsia="es-ES"/>
        </w:rPr>
        <w:t xml:space="preserve">RÉGIMEN DE INHABILIDADES E INCOMPATIBILIDADES – carácter taxativo – interpretación restrictiva </w:t>
      </w:r>
    </w:p>
    <w:p w14:paraId="508DF1C2" w14:textId="77777777" w:rsidR="00EE6500" w:rsidRDefault="00EE6500" w:rsidP="00EE6500">
      <w:pPr>
        <w:spacing w:after="0" w:line="240" w:lineRule="auto"/>
        <w:jc w:val="both"/>
        <w:rPr>
          <w:rFonts w:ascii="Verdana" w:eastAsia="Calibri" w:hAnsi="Verdana" w:cs="Arial"/>
          <w:lang w:val="es-ES" w:eastAsia="es-ES"/>
        </w:rPr>
      </w:pPr>
    </w:p>
    <w:p w14:paraId="70808214" w14:textId="77777777" w:rsidR="00EE6500" w:rsidRDefault="00EE6500" w:rsidP="00EE6500">
      <w:pPr>
        <w:spacing w:after="0" w:line="240" w:lineRule="auto"/>
        <w:jc w:val="both"/>
        <w:rPr>
          <w:rFonts w:ascii="Verdana" w:eastAsia="Calibri" w:hAnsi="Verdana" w:cs="Arial"/>
          <w:lang w:val="es-ES" w:eastAsia="es-ES"/>
        </w:rPr>
      </w:pPr>
      <w:r w:rsidRPr="00BE021E">
        <w:rPr>
          <w:rFonts w:ascii="Verdana" w:eastAsia="Calibri" w:hAnsi="Verdana" w:cs="Arial"/>
          <w:lang w:val="es-ES"/>
        </w:rPr>
        <w:t>Debido a las restricciones que impone el régimen de inhabilidades e incompatibilidades, 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una interpretación amplia o extensiva que permitiera contemplar supuestos indeterminados como causales de inhabilidad o impedimentos.</w:t>
      </w:r>
    </w:p>
    <w:p w14:paraId="0D0B3AF8" w14:textId="77777777" w:rsidR="00EE6500" w:rsidRDefault="00EE6500" w:rsidP="00EE6500">
      <w:pPr>
        <w:spacing w:after="0" w:line="240" w:lineRule="auto"/>
        <w:jc w:val="both"/>
        <w:rPr>
          <w:rFonts w:ascii="Verdana" w:eastAsia="Calibri" w:hAnsi="Verdana" w:cs="Arial"/>
          <w:lang w:val="es-ES" w:eastAsia="es-ES"/>
        </w:rPr>
      </w:pPr>
    </w:p>
    <w:p w14:paraId="2516F453" w14:textId="77777777" w:rsidR="00EE6500" w:rsidRPr="00EE6500" w:rsidRDefault="00EE6500" w:rsidP="00EE6500">
      <w:pPr>
        <w:spacing w:line="276" w:lineRule="auto"/>
        <w:jc w:val="both"/>
        <w:rPr>
          <w:rFonts w:ascii="Verdana" w:hAnsi="Verdana" w:cs="Arial"/>
          <w:b/>
          <w:color w:val="000000" w:themeColor="text1"/>
        </w:rPr>
      </w:pPr>
      <w:r w:rsidRPr="00EE6500">
        <w:rPr>
          <w:rFonts w:ascii="Verdana" w:hAnsi="Verdana" w:cs="Arial"/>
          <w:b/>
          <w:color w:val="000000" w:themeColor="text1"/>
        </w:rPr>
        <w:t xml:space="preserve">EJERCICIO PROFESIÓN DE ABOGADO – Requisitos – judicatura – Ad honorem  – dedicación exclusiva – jornada completa – idoneidad del contratista. </w:t>
      </w:r>
    </w:p>
    <w:p w14:paraId="0CEDFCD7" w14:textId="77777777" w:rsidR="00EE6500" w:rsidRPr="009F5D48" w:rsidRDefault="00EE6500" w:rsidP="00EE6500">
      <w:pPr>
        <w:pStyle w:val="NormalWeb"/>
        <w:spacing w:line="276" w:lineRule="auto"/>
        <w:jc w:val="both"/>
        <w:rPr>
          <w:rFonts w:ascii="Verdana" w:hAnsi="Verdana"/>
          <w:sz w:val="22"/>
          <w:szCs w:val="22"/>
        </w:rPr>
      </w:pPr>
      <w:r w:rsidRPr="12F6BC65">
        <w:rPr>
          <w:rFonts w:ascii="Verdana" w:hAnsi="Verdana"/>
          <w:sz w:val="22"/>
          <w:szCs w:val="22"/>
          <w:lang w:val="es-ES"/>
        </w:rPr>
        <w:t xml:space="preserve">Analizado el conjunto de disposiciones que integran el régimen de inhabilidades e incompatibilidades para la contratación estatal, así como los requisitos y límites de los contratos de prestación de servicios profesionales, no se advierte una causal de inhabilidad e incompatibilidad según el artículo 8 de la Ley 80 de 1993, que restrinja de forma expresa la simultaneidad entre la realización de la </w:t>
      </w:r>
      <w:r w:rsidRPr="12F6BC65">
        <w:rPr>
          <w:rFonts w:ascii="Verdana" w:hAnsi="Verdana"/>
          <w:sz w:val="22"/>
          <w:szCs w:val="22"/>
          <w:lang w:val="es-ES"/>
        </w:rPr>
        <w:lastRenderedPageBreak/>
        <w:t>judicatura ad honórem como requisito para optar por el título de abogado, y la celebración de un contrato de prestación de servicios. No obstante,</w:t>
      </w:r>
      <w:r w:rsidRPr="009F5D48">
        <w:rPr>
          <w:rFonts w:ascii="Verdana" w:hAnsi="Verdana"/>
          <w:sz w:val="22"/>
          <w:szCs w:val="22"/>
        </w:rPr>
        <w:t xml:space="preserve"> el Consejo Superior de la Judicatura a través del </w:t>
      </w:r>
      <w:r w:rsidRPr="009F5D48">
        <w:rPr>
          <w:rFonts w:ascii="Verdana" w:hAnsi="Verdana"/>
          <w:sz w:val="22"/>
          <w:szCs w:val="22"/>
          <w:lang w:eastAsia="es-MX"/>
        </w:rPr>
        <w:t xml:space="preserve">Acuerdo No. PSAA12-9338 del 27 de marzo de 2012. </w:t>
      </w:r>
      <w:r w:rsidRPr="009F5D48">
        <w:rPr>
          <w:rFonts w:ascii="Verdana" w:hAnsi="Verdana"/>
          <w:sz w:val="22"/>
          <w:szCs w:val="22"/>
        </w:rPr>
        <w:t>“Por medio de la cual se modifica el Acuerdo PSAA10-7543 por el cual se reglamenta la judicatura como requisito alternativo para optar el título de abogado” a través del numeral 2 del articulo 1, determinó:</w:t>
      </w:r>
      <w:r>
        <w:rPr>
          <w:rFonts w:ascii="Verdana" w:hAnsi="Verdana"/>
          <w:sz w:val="22"/>
          <w:szCs w:val="22"/>
        </w:rPr>
        <w:t xml:space="preserve"> </w:t>
      </w:r>
      <w:r w:rsidRPr="009F5D48">
        <w:rPr>
          <w:rFonts w:ascii="Verdana" w:hAnsi="Verdana"/>
          <w:sz w:val="22"/>
          <w:szCs w:val="22"/>
        </w:rPr>
        <w:t>“2. Si el egresado opta por realizar la práctica jurídica de carácter Ad-Honorem se atendrá a lo exigido en cada norma en particular y será de seis (6), siete (7) o de Nueve (9) meses</w:t>
      </w:r>
      <w:r w:rsidRPr="009F5D48">
        <w:rPr>
          <w:rFonts w:ascii="Verdana" w:hAnsi="Verdana"/>
          <w:b/>
          <w:bCs/>
          <w:sz w:val="22"/>
          <w:szCs w:val="22"/>
        </w:rPr>
        <w:t xml:space="preserve">, </w:t>
      </w:r>
      <w:r w:rsidRPr="00EE6500">
        <w:rPr>
          <w:rFonts w:ascii="Verdana" w:hAnsi="Verdana"/>
          <w:sz w:val="22"/>
          <w:szCs w:val="22"/>
        </w:rPr>
        <w:t>de disponibilidad exclusiva y jornada completa</w:t>
      </w:r>
      <w:r w:rsidRPr="009F5D48">
        <w:rPr>
          <w:rFonts w:ascii="Verdana" w:hAnsi="Verdana"/>
          <w:sz w:val="22"/>
          <w:szCs w:val="22"/>
        </w:rPr>
        <w:t xml:space="preserve"> según la en la entidad seleccionada, con las mismas obligaciones y responsabilidades a los empleados de la entidad”.</w:t>
      </w:r>
      <w:r>
        <w:rPr>
          <w:rFonts w:ascii="Verdana" w:hAnsi="Verdana"/>
          <w:sz w:val="22"/>
          <w:szCs w:val="22"/>
        </w:rPr>
        <w:t xml:space="preserve"> (resaltado propio).</w:t>
      </w:r>
    </w:p>
    <w:p w14:paraId="0681DB2C" w14:textId="23770F0B" w:rsidR="00EE6500" w:rsidRDefault="00EE6500" w:rsidP="00EE6500">
      <w:pPr>
        <w:spacing w:before="100" w:beforeAutospacing="1" w:after="100" w:afterAutospacing="1" w:line="276" w:lineRule="auto"/>
        <w:jc w:val="both"/>
        <w:rPr>
          <w:rFonts w:ascii="Verdana" w:eastAsia="Times New Roman" w:hAnsi="Verdana" w:cs="Times New Roman"/>
          <w:lang w:eastAsia="es-MX"/>
        </w:rPr>
      </w:pPr>
      <w:r w:rsidRPr="444F5416">
        <w:rPr>
          <w:rFonts w:ascii="Verdana" w:eastAsia="Times New Roman" w:hAnsi="Verdana" w:cs="Times New Roman"/>
          <w:lang w:eastAsia="es-MX"/>
        </w:rPr>
        <w:t xml:space="preserve">Este acuerdo, al reglamentar la judicatura ad honorem, exige de manera inequívoca que esta se realice con “disponibilidad exclusiva y jornada completa” a la entidad seleccionada, asimilando su dedicación y jornada a la exigida a  los empleados de la entidad en que desarrollará la práctica. Esta obligación, adquirida voluntariamente por el judicante, crea una incompatibilidad funcional que impacta directamente su capacidad para ejecutar un contrato de prestación de servicios. Desde la perspectiva del Estatuto General de Contratación, una entidad estatal que celebra un contrato directo lo hace en virtud de la  </w:t>
      </w:r>
      <w:proofErr w:type="spellStart"/>
      <w:r w:rsidRPr="444F5416">
        <w:rPr>
          <w:rFonts w:ascii="Verdana" w:eastAsia="Times New Roman" w:hAnsi="Verdana" w:cs="Times New Roman"/>
          <w:lang w:eastAsia="es-MX"/>
        </w:rPr>
        <w:t>la</w:t>
      </w:r>
      <w:proofErr w:type="spellEnd"/>
      <w:r w:rsidRPr="444F5416">
        <w:rPr>
          <w:rFonts w:ascii="Verdana" w:eastAsia="Times New Roman" w:hAnsi="Verdana" w:cs="Times New Roman"/>
          <w:lang w:eastAsia="es-MX"/>
        </w:rPr>
        <w:t xml:space="preserve"> idoneidad del contratista y su capacidad para desarrollar el objeto contractual, la cual presupone que este dispone </w:t>
      </w:r>
      <w:r w:rsidRPr="12F6BC65">
        <w:rPr>
          <w:rFonts w:ascii="Verdana" w:eastAsia="Times New Roman" w:hAnsi="Verdana" w:cs="Times New Roman"/>
          <w:lang w:eastAsia="es-MX"/>
        </w:rPr>
        <w:t>de la</w:t>
      </w:r>
      <w:r w:rsidRPr="444F5416">
        <w:rPr>
          <w:rFonts w:ascii="Verdana" w:eastAsia="Times New Roman" w:hAnsi="Verdana" w:cs="Times New Roman"/>
          <w:lang w:eastAsia="es-MX"/>
        </w:rPr>
        <w:t xml:space="preserve"> dedicación necesaria para cumplir con las obligaciones pactadas.  </w:t>
      </w:r>
      <w:r w:rsidRPr="444F5416">
        <w:rPr>
          <w:rFonts w:ascii="Verdana" w:hAnsi="Verdana"/>
        </w:rPr>
        <w:t xml:space="preserve">En este sentido, el articulo  2.2.1.2.1.4.9. </w:t>
      </w:r>
      <w:r w:rsidRPr="12F6BC65">
        <w:rPr>
          <w:rFonts w:ascii="Verdana" w:hAnsi="Verdana"/>
        </w:rPr>
        <w:t>del</w:t>
      </w:r>
      <w:r w:rsidRPr="444F5416">
        <w:rPr>
          <w:rFonts w:ascii="Verdana" w:hAnsi="Verdana"/>
        </w:rPr>
        <w:t xml:space="preserve"> Decreto 1082 de 2015  </w:t>
      </w:r>
      <w:r w:rsidRPr="444F5416">
        <w:rPr>
          <w:rFonts w:ascii="Verdana" w:eastAsia="Times New Roman" w:hAnsi="Verdana"/>
          <w:lang w:eastAsia="es-MX"/>
        </w:rPr>
        <w:t xml:space="preserve">establece que, </w:t>
      </w:r>
      <w:r w:rsidRPr="444F5416">
        <w:rPr>
          <w:rFonts w:ascii="Verdana" w:eastAsia="Verdana" w:hAnsi="Verdana" w:cs="Verdana"/>
        </w:rPr>
        <w:t xml:space="preserve">las Entidades Estatales pueden contratar bajo la modalidad de contratación directa la prestación de servicios profesionales y de apoyo a la gestión con la persona natural o jurídica que esté en </w:t>
      </w:r>
      <w:r w:rsidRPr="003566DB">
        <w:rPr>
          <w:rFonts w:ascii="Verdana" w:eastAsia="Verdana" w:hAnsi="Verdana" w:cs="Verdana"/>
          <w:b/>
          <w:bCs/>
        </w:rPr>
        <w:t xml:space="preserve">capacidad </w:t>
      </w:r>
      <w:r w:rsidRPr="444F5416">
        <w:rPr>
          <w:rFonts w:ascii="Verdana" w:eastAsia="Verdana" w:hAnsi="Verdana" w:cs="Verdana"/>
        </w:rPr>
        <w:t>de ejecutar el objeto del contrato, siempre y cuando la Entidad Estatal verifique la idoneidad o experiencia requerida y relacionada con el área de que se trate</w:t>
      </w:r>
      <w:r w:rsidRPr="444F5416">
        <w:rPr>
          <w:rFonts w:ascii="Verdana" w:eastAsia="Times New Roman" w:hAnsi="Verdana"/>
          <w:lang w:eastAsia="es-MX"/>
        </w:rPr>
        <w:t xml:space="preserve">. Este requisito de tener la capacidad está relacionado con </w:t>
      </w:r>
      <w:r w:rsidRPr="444F5416">
        <w:rPr>
          <w:rFonts w:ascii="Verdana" w:eastAsia="Times New Roman" w:hAnsi="Verdana" w:cs="Times New Roman"/>
          <w:lang w:eastAsia="es-MX"/>
        </w:rPr>
        <w:t>la disponibilidad y</w:t>
      </w:r>
      <w:r>
        <w:rPr>
          <w:rFonts w:ascii="Verdana" w:eastAsia="Times New Roman" w:hAnsi="Verdana" w:cs="Times New Roman"/>
          <w:lang w:eastAsia="es-MX"/>
        </w:rPr>
        <w:t xml:space="preserve"> </w:t>
      </w:r>
      <w:r w:rsidRPr="444F5416">
        <w:rPr>
          <w:rFonts w:ascii="Verdana" w:eastAsia="Times New Roman" w:hAnsi="Verdana" w:cs="Times New Roman"/>
          <w:lang w:eastAsia="es-MX"/>
        </w:rPr>
        <w:t>dedicación para cumplir con las obligaciones</w:t>
      </w:r>
      <w:r w:rsidRPr="12F6BC65">
        <w:rPr>
          <w:rFonts w:ascii="Verdana" w:eastAsia="Times New Roman" w:hAnsi="Verdana" w:cs="Times New Roman"/>
          <w:lang w:eastAsia="es-MX"/>
        </w:rPr>
        <w:t xml:space="preserve"> contractuales</w:t>
      </w:r>
      <w:r w:rsidRPr="444F5416">
        <w:rPr>
          <w:rFonts w:ascii="Verdana" w:hAnsi="Verdana"/>
        </w:rPr>
        <w:t>.</w:t>
      </w:r>
    </w:p>
    <w:p w14:paraId="030701B4" w14:textId="77777777" w:rsidR="00AE2FCF" w:rsidRDefault="00AE2FCF" w:rsidP="00EE6500">
      <w:pPr>
        <w:pStyle w:val="Textoindependiente"/>
        <w:spacing w:before="168"/>
        <w:rPr>
          <w:sz w:val="24"/>
          <w:szCs w:val="24"/>
        </w:rPr>
      </w:pPr>
    </w:p>
    <w:p w14:paraId="245FBDBA" w14:textId="77777777" w:rsidR="00AE2FCF" w:rsidRDefault="00AE2FCF" w:rsidP="00EE6500">
      <w:pPr>
        <w:pStyle w:val="Textoindependiente"/>
        <w:spacing w:before="168"/>
        <w:rPr>
          <w:sz w:val="24"/>
          <w:szCs w:val="24"/>
        </w:rPr>
      </w:pPr>
    </w:p>
    <w:p w14:paraId="4040FF4C" w14:textId="77777777" w:rsidR="00AE2FCF" w:rsidRDefault="00AE2FCF" w:rsidP="00EE6500">
      <w:pPr>
        <w:pStyle w:val="Textoindependiente"/>
        <w:spacing w:before="168"/>
        <w:rPr>
          <w:sz w:val="24"/>
          <w:szCs w:val="24"/>
        </w:rPr>
      </w:pPr>
    </w:p>
    <w:p w14:paraId="3CAFC8AA" w14:textId="77777777" w:rsidR="00AE2FCF" w:rsidRDefault="00AE2FCF" w:rsidP="00EE6500">
      <w:pPr>
        <w:pStyle w:val="Textoindependiente"/>
        <w:spacing w:before="168"/>
        <w:rPr>
          <w:sz w:val="24"/>
          <w:szCs w:val="24"/>
        </w:rPr>
      </w:pPr>
    </w:p>
    <w:p w14:paraId="5580A7EA" w14:textId="188EE339" w:rsidR="00EE6500" w:rsidRPr="00EE6500" w:rsidRDefault="00EE6500" w:rsidP="00EE6500">
      <w:pPr>
        <w:pStyle w:val="Textoindependiente"/>
        <w:spacing w:before="168"/>
        <w:rPr>
          <w:sz w:val="24"/>
          <w:szCs w:val="24"/>
        </w:rPr>
      </w:pPr>
      <w:r w:rsidRPr="00EE6500">
        <w:rPr>
          <w:noProof/>
          <w:sz w:val="24"/>
          <w:szCs w:val="24"/>
        </w:rPr>
        <w:lastRenderedPageBreak/>
        <w:drawing>
          <wp:anchor distT="0" distB="0" distL="0" distR="0" simplePos="0" relativeHeight="251659264" behindDoc="0" locked="0" layoutInCell="1" allowOverlap="1" wp14:anchorId="43B69818" wp14:editId="4EF5B3A0">
            <wp:simplePos x="0" y="0"/>
            <wp:positionH relativeFrom="page">
              <wp:posOffset>4291965</wp:posOffset>
            </wp:positionH>
            <wp:positionV relativeFrom="paragraph">
              <wp:posOffset>102996</wp:posOffset>
            </wp:positionV>
            <wp:extent cx="2400300" cy="615950"/>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2400300" cy="615950"/>
                    </a:xfrm>
                    <a:prstGeom prst="rect">
                      <a:avLst/>
                    </a:prstGeom>
                  </pic:spPr>
                </pic:pic>
              </a:graphicData>
            </a:graphic>
          </wp:anchor>
        </w:drawing>
      </w:r>
      <w:r w:rsidRPr="00EE6500">
        <w:rPr>
          <w:sz w:val="24"/>
          <w:szCs w:val="24"/>
        </w:rPr>
        <w:t>Bogotá</w:t>
      </w:r>
      <w:r w:rsidRPr="00EE6500">
        <w:rPr>
          <w:spacing w:val="-8"/>
          <w:sz w:val="24"/>
          <w:szCs w:val="24"/>
        </w:rPr>
        <w:t xml:space="preserve"> </w:t>
      </w:r>
      <w:r w:rsidRPr="00EE6500">
        <w:rPr>
          <w:sz w:val="24"/>
          <w:szCs w:val="24"/>
        </w:rPr>
        <w:t>D.C.,</w:t>
      </w:r>
      <w:r w:rsidRPr="00EE6500">
        <w:rPr>
          <w:spacing w:val="-2"/>
          <w:sz w:val="24"/>
          <w:szCs w:val="24"/>
        </w:rPr>
        <w:t xml:space="preserve"> </w:t>
      </w:r>
      <w:r w:rsidRPr="00EE6500">
        <w:rPr>
          <w:sz w:val="24"/>
          <w:szCs w:val="24"/>
        </w:rPr>
        <w:t>05</w:t>
      </w:r>
      <w:r w:rsidRPr="00EE6500">
        <w:rPr>
          <w:spacing w:val="-4"/>
          <w:sz w:val="24"/>
          <w:szCs w:val="24"/>
        </w:rPr>
        <w:t xml:space="preserve"> </w:t>
      </w:r>
      <w:r w:rsidRPr="00EE6500">
        <w:rPr>
          <w:sz w:val="24"/>
          <w:szCs w:val="24"/>
        </w:rPr>
        <w:t>septiembre</w:t>
      </w:r>
      <w:r w:rsidRPr="00EE6500">
        <w:rPr>
          <w:spacing w:val="-3"/>
          <w:sz w:val="24"/>
          <w:szCs w:val="24"/>
        </w:rPr>
        <w:t xml:space="preserve"> </w:t>
      </w:r>
      <w:r w:rsidRPr="00EE6500">
        <w:rPr>
          <w:spacing w:val="-4"/>
          <w:sz w:val="24"/>
          <w:szCs w:val="24"/>
        </w:rPr>
        <w:t>2025</w:t>
      </w:r>
    </w:p>
    <w:p w14:paraId="010C871B" w14:textId="77777777" w:rsidR="00F276CC" w:rsidRPr="009F5D48" w:rsidRDefault="00F276CC" w:rsidP="00F276CC">
      <w:pPr>
        <w:spacing w:after="0" w:line="276" w:lineRule="auto"/>
        <w:jc w:val="both"/>
        <w:rPr>
          <w:rFonts w:ascii="Verdana" w:eastAsia="Calibri" w:hAnsi="Verdana" w:cs="Arial"/>
          <w:color w:val="000000"/>
          <w:lang w:val="es-ES"/>
        </w:rPr>
      </w:pPr>
    </w:p>
    <w:p w14:paraId="58A7B9F3" w14:textId="77777777" w:rsidR="00F276CC" w:rsidRPr="009F5D48" w:rsidRDefault="00F276CC" w:rsidP="00F276CC">
      <w:pPr>
        <w:spacing w:after="0" w:line="276" w:lineRule="auto"/>
        <w:jc w:val="both"/>
        <w:rPr>
          <w:rFonts w:ascii="Verdana" w:eastAsia="Calibri" w:hAnsi="Verdana" w:cs="Arial"/>
          <w:lang w:val="es-ES" w:eastAsia="es-ES"/>
        </w:rPr>
      </w:pPr>
      <w:r w:rsidRPr="009F5D48">
        <w:rPr>
          <w:rFonts w:ascii="Verdana" w:eastAsia="Calibri" w:hAnsi="Verdana" w:cs="Arial"/>
          <w:lang w:val="es-ES" w:eastAsia="es-ES"/>
        </w:rPr>
        <w:t>Señor</w:t>
      </w:r>
    </w:p>
    <w:p w14:paraId="35958063" w14:textId="77777777" w:rsidR="00F276CC" w:rsidRPr="009F5D48" w:rsidRDefault="00F276CC" w:rsidP="444F5416">
      <w:pPr>
        <w:spacing w:after="0" w:line="276" w:lineRule="auto"/>
        <w:jc w:val="both"/>
        <w:rPr>
          <w:rFonts w:ascii="Verdana" w:eastAsia="Calibri" w:hAnsi="Verdana" w:cs="Arial"/>
          <w:b/>
          <w:bCs/>
          <w:lang w:val="es-ES" w:eastAsia="es-ES"/>
        </w:rPr>
      </w:pPr>
      <w:proofErr w:type="spellStart"/>
      <w:r w:rsidRPr="444F5416">
        <w:rPr>
          <w:rFonts w:ascii="Verdana" w:eastAsia="Calibri" w:hAnsi="Verdana" w:cs="Arial"/>
          <w:b/>
          <w:bCs/>
          <w:lang w:val="es-ES" w:eastAsia="es-ES"/>
        </w:rPr>
        <w:t>Duvan</w:t>
      </w:r>
      <w:proofErr w:type="spellEnd"/>
      <w:r w:rsidRPr="444F5416">
        <w:rPr>
          <w:rFonts w:ascii="Verdana" w:eastAsia="Calibri" w:hAnsi="Verdana" w:cs="Arial"/>
          <w:b/>
          <w:bCs/>
          <w:lang w:val="es-ES" w:eastAsia="es-ES"/>
        </w:rPr>
        <w:t xml:space="preserve"> Felipe López </w:t>
      </w:r>
      <w:proofErr w:type="spellStart"/>
      <w:r w:rsidRPr="444F5416">
        <w:rPr>
          <w:rFonts w:ascii="Verdana" w:eastAsia="Calibri" w:hAnsi="Verdana" w:cs="Arial"/>
          <w:b/>
          <w:bCs/>
          <w:lang w:val="es-ES" w:eastAsia="es-ES"/>
        </w:rPr>
        <w:t>Levette</w:t>
      </w:r>
      <w:proofErr w:type="spellEnd"/>
    </w:p>
    <w:p w14:paraId="436B247D" w14:textId="77777777" w:rsidR="00F276CC" w:rsidRPr="009F5D48" w:rsidRDefault="00F276CC" w:rsidP="00F276CC">
      <w:pPr>
        <w:spacing w:after="0" w:line="276" w:lineRule="auto"/>
        <w:jc w:val="both"/>
        <w:rPr>
          <w:rFonts w:ascii="Verdana" w:eastAsia="Calibri" w:hAnsi="Verdana" w:cs="Arial"/>
          <w:u w:val="single"/>
          <w:lang w:val="es-ES" w:eastAsia="es-ES"/>
        </w:rPr>
      </w:pPr>
      <w:hyperlink r:id="rId11" w:history="1">
        <w:r w:rsidRPr="009F5D48">
          <w:rPr>
            <w:rStyle w:val="Hipervnculo"/>
            <w:rFonts w:ascii="Verdana" w:eastAsia="Calibri" w:hAnsi="Verdana" w:cs="Arial"/>
            <w:lang w:val="es-ES" w:eastAsia="es-ES"/>
          </w:rPr>
          <w:t>duvanlopez7@icloud.com</w:t>
        </w:r>
      </w:hyperlink>
      <w:r w:rsidRPr="009F5D48">
        <w:rPr>
          <w:rFonts w:ascii="Verdana" w:eastAsia="Calibri" w:hAnsi="Verdana" w:cs="Arial"/>
          <w:u w:val="single"/>
          <w:lang w:val="es-ES" w:eastAsia="es-ES"/>
        </w:rPr>
        <w:t xml:space="preserve"> </w:t>
      </w:r>
    </w:p>
    <w:p w14:paraId="0063B70A" w14:textId="77777777" w:rsidR="00F276CC" w:rsidRPr="00ED508B" w:rsidRDefault="00F276CC" w:rsidP="00F276CC">
      <w:pPr>
        <w:spacing w:after="0" w:line="276" w:lineRule="auto"/>
        <w:jc w:val="both"/>
        <w:rPr>
          <w:rFonts w:ascii="Verdana" w:eastAsia="Calibri" w:hAnsi="Verdana" w:cs="Arial"/>
          <w:b/>
          <w:bCs/>
          <w:lang w:val="es-ES" w:eastAsia="es-ES"/>
        </w:rPr>
      </w:pPr>
      <w:r w:rsidRPr="009F5D48">
        <w:rPr>
          <w:rFonts w:ascii="Verdana" w:eastAsia="Calibri" w:hAnsi="Verdana" w:cs="Arial"/>
          <w:lang w:val="es-ES" w:eastAsia="es-ES"/>
        </w:rPr>
        <w:t>Bogotá, D.C</w:t>
      </w:r>
    </w:p>
    <w:p w14:paraId="0C71B621" w14:textId="77777777" w:rsidR="00F276CC" w:rsidRPr="009F5D48" w:rsidRDefault="00F276CC" w:rsidP="00F276CC">
      <w:pPr>
        <w:spacing w:after="0" w:line="276" w:lineRule="auto"/>
        <w:jc w:val="both"/>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276CC" w:rsidRPr="009F5D48" w14:paraId="188C9308" w14:textId="77777777">
        <w:trPr>
          <w:trHeight w:val="884"/>
        </w:trPr>
        <w:tc>
          <w:tcPr>
            <w:tcW w:w="2689" w:type="dxa"/>
          </w:tcPr>
          <w:p w14:paraId="0164CC03" w14:textId="77777777" w:rsidR="00F276CC" w:rsidRPr="009F5D48" w:rsidRDefault="00F276CC">
            <w:pPr>
              <w:spacing w:line="276" w:lineRule="auto"/>
              <w:jc w:val="both"/>
              <w:rPr>
                <w:rFonts w:ascii="Verdana" w:eastAsia="Calibri" w:hAnsi="Verdana" w:cs="Arial"/>
                <w:b/>
                <w:bCs/>
                <w:color w:val="7030A0"/>
                <w:lang w:val="es-ES_tradnl" w:eastAsia="es-ES_tradnl"/>
              </w:rPr>
            </w:pPr>
          </w:p>
        </w:tc>
        <w:tc>
          <w:tcPr>
            <w:tcW w:w="6100" w:type="dxa"/>
          </w:tcPr>
          <w:p w14:paraId="12F33D8A" w14:textId="77777777" w:rsidR="00F276CC" w:rsidRPr="009F5D48" w:rsidRDefault="00F276CC">
            <w:pPr>
              <w:spacing w:line="276" w:lineRule="auto"/>
              <w:jc w:val="both"/>
              <w:rPr>
                <w:rFonts w:ascii="Verdana" w:eastAsia="Calibri" w:hAnsi="Verdana" w:cs="Arial"/>
                <w:b/>
                <w:bCs/>
                <w:color w:val="7030A0"/>
                <w:lang w:val="es-ES" w:eastAsia="es-ES"/>
              </w:rPr>
            </w:pPr>
            <w:r w:rsidRPr="009F5D48">
              <w:rPr>
                <w:rFonts w:ascii="Verdana" w:eastAsia="Calibri" w:hAnsi="Verdana" w:cs="Arial"/>
                <w:b/>
                <w:bCs/>
                <w:lang w:val="es-ES" w:eastAsia="es-ES"/>
              </w:rPr>
              <w:t>Concepto C- 1033</w:t>
            </w:r>
            <w:r w:rsidRPr="009F5D48">
              <w:rPr>
                <w:rFonts w:ascii="Verdana" w:eastAsia="Calibri" w:hAnsi="Verdana" w:cs="Arial"/>
                <w:b/>
                <w:bCs/>
                <w:color w:val="7030A0"/>
                <w:lang w:val="es-ES" w:eastAsia="es-ES"/>
              </w:rPr>
              <w:t xml:space="preserve"> </w:t>
            </w:r>
            <w:r w:rsidRPr="009F5D48">
              <w:rPr>
                <w:rFonts w:ascii="Verdana" w:eastAsia="Calibri" w:hAnsi="Verdana" w:cs="Arial"/>
                <w:b/>
                <w:bCs/>
                <w:lang w:val="es-ES" w:eastAsia="es-ES"/>
              </w:rPr>
              <w:t>de 2025</w:t>
            </w:r>
          </w:p>
        </w:tc>
      </w:tr>
      <w:tr w:rsidR="00F276CC" w:rsidRPr="009F5D48" w14:paraId="6B089B47" w14:textId="77777777">
        <w:trPr>
          <w:trHeight w:val="884"/>
        </w:trPr>
        <w:tc>
          <w:tcPr>
            <w:tcW w:w="2689" w:type="dxa"/>
          </w:tcPr>
          <w:p w14:paraId="63F1654D" w14:textId="77777777" w:rsidR="00F276CC" w:rsidRPr="009F5D48" w:rsidRDefault="00F276CC">
            <w:pPr>
              <w:spacing w:line="276" w:lineRule="auto"/>
              <w:jc w:val="both"/>
              <w:rPr>
                <w:rFonts w:ascii="Verdana" w:eastAsia="Calibri" w:hAnsi="Verdana" w:cs="Arial"/>
                <w:color w:val="000000"/>
                <w:lang w:val="es-ES_tradnl" w:eastAsia="es-ES_tradnl"/>
              </w:rPr>
            </w:pPr>
            <w:r w:rsidRPr="009F5D48">
              <w:rPr>
                <w:rFonts w:ascii="Verdana" w:eastAsia="Calibri" w:hAnsi="Verdana" w:cs="Arial"/>
                <w:b/>
                <w:color w:val="000000"/>
                <w:lang w:val="es-ES_tradnl" w:eastAsia="es-ES_tradnl"/>
              </w:rPr>
              <w:t>Temas:</w:t>
            </w:r>
            <w:r w:rsidRPr="009F5D48">
              <w:rPr>
                <w:rFonts w:ascii="Verdana" w:eastAsia="Calibri" w:hAnsi="Verdana" w:cs="Arial"/>
                <w:color w:val="000000"/>
                <w:lang w:val="es-ES_tradnl" w:eastAsia="es-ES_tradnl"/>
              </w:rPr>
              <w:t xml:space="preserve">                 </w:t>
            </w:r>
          </w:p>
        </w:tc>
        <w:tc>
          <w:tcPr>
            <w:tcW w:w="6100" w:type="dxa"/>
          </w:tcPr>
          <w:p w14:paraId="3EC828FD" w14:textId="1BF5D2FA" w:rsidR="00F276CC" w:rsidRPr="009F5D48" w:rsidRDefault="00F276CC">
            <w:pPr>
              <w:spacing w:line="276" w:lineRule="auto"/>
              <w:jc w:val="both"/>
              <w:rPr>
                <w:rFonts w:ascii="Verdana" w:hAnsi="Verdana" w:cs="Arial"/>
                <w:bCs/>
                <w:color w:val="000000" w:themeColor="text1"/>
              </w:rPr>
            </w:pPr>
            <w:r w:rsidRPr="009F5D48">
              <w:rPr>
                <w:rFonts w:ascii="Verdana" w:eastAsia="Calibri" w:hAnsi="Verdana" w:cs="Arial"/>
                <w:bCs/>
                <w:color w:val="000000" w:themeColor="text1"/>
              </w:rPr>
              <w:t>CONTRATO DE PRESTACIÓN DE SERVICIOS ─ Régimen jurídico - Tipologías / CONTRATO DE PRESTACIÓN DE SERVICIOS PROFESIONALES – Idoneidad</w:t>
            </w:r>
            <w:r w:rsidRPr="12F6BC65">
              <w:rPr>
                <w:rFonts w:ascii="Verdana" w:eastAsia="Calibri" w:hAnsi="Verdana" w:cs="Arial"/>
                <w:color w:val="000000" w:themeColor="text1"/>
              </w:rPr>
              <w:t>/</w:t>
            </w:r>
            <w:r w:rsidRPr="009F5D48">
              <w:rPr>
                <w:rFonts w:ascii="Verdana" w:hAnsi="Verdana" w:cs="Arial"/>
                <w:bCs/>
                <w:color w:val="000000" w:themeColor="text1"/>
              </w:rPr>
              <w:t>EJERCICIO PROFESIÓN DE ABOGADO – Requisitos – judicatura – Ad honorem  – dedicación exclusiva</w:t>
            </w:r>
            <w:r>
              <w:rPr>
                <w:rFonts w:ascii="Verdana" w:hAnsi="Verdana" w:cs="Arial"/>
                <w:bCs/>
                <w:color w:val="000000" w:themeColor="text1"/>
              </w:rPr>
              <w:t xml:space="preserve"> – jornada completa – idoneidad del contratista. </w:t>
            </w:r>
          </w:p>
          <w:p w14:paraId="1FD93666" w14:textId="77777777" w:rsidR="00F276CC" w:rsidRPr="009F5D48" w:rsidRDefault="00F276CC">
            <w:pPr>
              <w:spacing w:line="276" w:lineRule="auto"/>
              <w:jc w:val="both"/>
              <w:rPr>
                <w:rFonts w:ascii="Verdana" w:eastAsia="Calibri" w:hAnsi="Verdana" w:cs="Arial"/>
                <w:lang w:val="es-ES" w:eastAsia="es-ES"/>
              </w:rPr>
            </w:pPr>
          </w:p>
        </w:tc>
      </w:tr>
      <w:tr w:rsidR="00F276CC" w:rsidRPr="009F5D48" w14:paraId="0FCF996C" w14:textId="77777777">
        <w:tc>
          <w:tcPr>
            <w:tcW w:w="2689" w:type="dxa"/>
          </w:tcPr>
          <w:p w14:paraId="4439E3C9" w14:textId="77777777" w:rsidR="00F276CC" w:rsidRPr="009F5D48" w:rsidRDefault="00F276CC">
            <w:pPr>
              <w:spacing w:line="276" w:lineRule="auto"/>
              <w:jc w:val="both"/>
              <w:rPr>
                <w:rFonts w:ascii="Verdana" w:eastAsia="Calibri" w:hAnsi="Verdana" w:cs="Arial"/>
                <w:b/>
                <w:color w:val="000000" w:themeColor="text1"/>
                <w:lang w:val="es-ES_tradnl" w:eastAsia="es-ES_tradnl"/>
              </w:rPr>
            </w:pPr>
            <w:r w:rsidRPr="009F5D48">
              <w:rPr>
                <w:rFonts w:ascii="Verdana" w:eastAsia="Calibri" w:hAnsi="Verdana" w:cs="Arial"/>
                <w:b/>
                <w:color w:val="000000" w:themeColor="text1"/>
                <w:lang w:val="es-ES_tradnl" w:eastAsia="es-ES_tradnl"/>
              </w:rPr>
              <w:t>Radicación:</w:t>
            </w:r>
            <w:r w:rsidRPr="009F5D48">
              <w:rPr>
                <w:rFonts w:ascii="Verdana" w:eastAsia="Calibri" w:hAnsi="Verdana" w:cs="Arial"/>
                <w:color w:val="000000" w:themeColor="text1"/>
                <w:lang w:val="es-ES_tradnl" w:eastAsia="es-ES_tradnl"/>
              </w:rPr>
              <w:t xml:space="preserve">               </w:t>
            </w:r>
          </w:p>
        </w:tc>
        <w:tc>
          <w:tcPr>
            <w:tcW w:w="6100" w:type="dxa"/>
          </w:tcPr>
          <w:p w14:paraId="7BE46C8F" w14:textId="77777777" w:rsidR="00F276CC" w:rsidRPr="009F5D48" w:rsidRDefault="00F276CC">
            <w:pPr>
              <w:spacing w:line="276" w:lineRule="auto"/>
              <w:jc w:val="both"/>
              <w:rPr>
                <w:rFonts w:ascii="Verdana" w:eastAsia="Calibri" w:hAnsi="Verdana" w:cs="Arial"/>
                <w:color w:val="000000" w:themeColor="text1"/>
                <w:lang w:val="es-ES_tradnl" w:eastAsia="es-ES_tradnl"/>
              </w:rPr>
            </w:pPr>
            <w:r w:rsidRPr="009F5D48">
              <w:rPr>
                <w:rFonts w:ascii="Verdana" w:eastAsia="Calibri" w:hAnsi="Verdana" w:cs="Arial"/>
                <w:color w:val="000000" w:themeColor="text1"/>
                <w:lang w:val="es-ES_tradnl" w:eastAsia="es-ES_tradnl"/>
              </w:rPr>
              <w:t xml:space="preserve">Respuesta a consulta con radicado No. </w:t>
            </w:r>
            <w:r w:rsidRPr="009F5D48">
              <w:rPr>
                <w:rFonts w:ascii="Verdana" w:hAnsi="Verdana" w:cs="Calibri"/>
                <w:color w:val="000000" w:themeColor="text1"/>
              </w:rPr>
              <w:t>1_2025_07_28_007741</w:t>
            </w:r>
          </w:p>
          <w:p w14:paraId="0525A24A" w14:textId="77777777" w:rsidR="00F276CC" w:rsidRPr="009F5D48" w:rsidRDefault="00F276CC">
            <w:pPr>
              <w:spacing w:line="276" w:lineRule="auto"/>
              <w:jc w:val="both"/>
              <w:rPr>
                <w:rFonts w:ascii="Verdana" w:eastAsia="Calibri" w:hAnsi="Verdana" w:cs="Arial"/>
                <w:color w:val="000000" w:themeColor="text1"/>
                <w:lang w:val="es-ES_tradnl" w:eastAsia="es-ES_tradnl"/>
              </w:rPr>
            </w:pPr>
          </w:p>
        </w:tc>
      </w:tr>
    </w:tbl>
    <w:p w14:paraId="2A3D81FA" w14:textId="77777777" w:rsidR="00F276CC" w:rsidRPr="009F5D48" w:rsidRDefault="00F276CC" w:rsidP="00F276CC">
      <w:pPr>
        <w:spacing w:after="0" w:line="276" w:lineRule="auto"/>
        <w:jc w:val="both"/>
        <w:rPr>
          <w:rFonts w:ascii="Verdana" w:eastAsia="Calibri" w:hAnsi="Verdana" w:cs="Arial"/>
          <w:color w:val="000000"/>
          <w:lang w:val="es-ES_tradnl" w:eastAsia="es-ES_tradnl"/>
        </w:rPr>
      </w:pPr>
    </w:p>
    <w:p w14:paraId="14B02113" w14:textId="77777777" w:rsidR="00F276CC" w:rsidRPr="009F5D48" w:rsidRDefault="00F276CC" w:rsidP="00F276CC">
      <w:pPr>
        <w:spacing w:after="0" w:line="276" w:lineRule="auto"/>
        <w:jc w:val="both"/>
        <w:rPr>
          <w:rFonts w:ascii="Verdana" w:eastAsia="Calibri" w:hAnsi="Verdana" w:cs="Arial"/>
          <w:color w:val="000000" w:themeColor="text1"/>
          <w:lang w:val="es-ES" w:eastAsia="es-ES"/>
        </w:rPr>
      </w:pPr>
      <w:r w:rsidRPr="009F5D48">
        <w:rPr>
          <w:rFonts w:ascii="Verdana" w:eastAsia="Calibri" w:hAnsi="Verdana" w:cs="Arial"/>
          <w:color w:val="000000" w:themeColor="text1"/>
          <w:lang w:val="es-ES" w:eastAsia="es-ES"/>
        </w:rPr>
        <w:t xml:space="preserve">Estimado señor López: </w:t>
      </w:r>
    </w:p>
    <w:p w14:paraId="43F193CB" w14:textId="77777777" w:rsidR="00F276CC" w:rsidRPr="009F5D48" w:rsidRDefault="00F276CC" w:rsidP="00F276CC">
      <w:pPr>
        <w:tabs>
          <w:tab w:val="left" w:pos="3768"/>
        </w:tabs>
        <w:spacing w:after="0" w:line="276" w:lineRule="auto"/>
        <w:jc w:val="both"/>
        <w:rPr>
          <w:rFonts w:ascii="Verdana" w:eastAsia="Calibri" w:hAnsi="Verdana" w:cs="Arial"/>
          <w:color w:val="000000" w:themeColor="text1"/>
          <w:lang w:val="es-ES" w:eastAsia="es-ES"/>
        </w:rPr>
      </w:pPr>
      <w:r w:rsidRPr="009F5D48">
        <w:rPr>
          <w:rFonts w:ascii="Verdana" w:eastAsia="Calibri" w:hAnsi="Verdana" w:cs="Arial"/>
          <w:color w:val="000000" w:themeColor="text1"/>
          <w:lang w:val="es-ES" w:eastAsia="es-ES"/>
        </w:rPr>
        <w:tab/>
      </w:r>
    </w:p>
    <w:p w14:paraId="25BFADF0" w14:textId="77777777" w:rsidR="00F276CC" w:rsidRPr="009F5D48" w:rsidRDefault="00F276CC" w:rsidP="00F276CC">
      <w:pPr>
        <w:spacing w:after="0" w:line="276" w:lineRule="auto"/>
        <w:jc w:val="both"/>
        <w:rPr>
          <w:rFonts w:ascii="Verdana" w:eastAsia="Calibri" w:hAnsi="Verdana" w:cs="Arial"/>
          <w:color w:val="7030A0"/>
          <w:lang w:eastAsia="es-ES"/>
        </w:rPr>
      </w:pPr>
      <w:r w:rsidRPr="009F5D48">
        <w:rPr>
          <w:rFonts w:ascii="Verdana" w:eastAsia="Calibri" w:hAnsi="Verdana" w:cs="Arial"/>
          <w:color w:val="000000" w:themeColor="text1"/>
          <w:lang w:val="es-ES" w:eastAsia="es-ES"/>
        </w:rPr>
        <w:t>En ejercicio de la competencia otorgada por los artículos 3, numeral 5º, y 11, numeral 8º, del Decreto Ley 4170 de 2011,</w:t>
      </w:r>
      <w:r w:rsidRPr="009F5D48">
        <w:rPr>
          <w:rFonts w:ascii="Verdana" w:eastAsia="Arial MT" w:hAnsi="Verdana" w:cs="Arial MT"/>
          <w:lang w:val="es-ES" w:eastAsia="es-ES"/>
        </w:rPr>
        <w:t xml:space="preserve"> </w:t>
      </w:r>
      <w:r w:rsidRPr="009F5D48">
        <w:rPr>
          <w:rFonts w:ascii="Verdana" w:hAnsi="Verdana" w:cs="Arial"/>
        </w:rPr>
        <w:t xml:space="preserve">así como lo establecido en el artículo 4 de la Resolución 1707 de 2018 expedida por esta Entidad, </w:t>
      </w:r>
      <w:r w:rsidRPr="009F5D48">
        <w:rPr>
          <w:rFonts w:ascii="Verdana" w:eastAsia="Calibri" w:hAnsi="Verdana" w:cs="Arial"/>
          <w:color w:val="000000" w:themeColor="text1"/>
          <w:lang w:val="es-ES" w:eastAsia="es-ES"/>
        </w:rPr>
        <w:t xml:space="preserve">la Agencia Nacional de Contratación Pública – Colombia Compra Eficiente– responde su solicitud de consulta de fecha 28 de julio de 2025, en la cual manifiesta lo siguiente: </w:t>
      </w:r>
    </w:p>
    <w:p w14:paraId="458085D6" w14:textId="77777777" w:rsidR="00F276CC" w:rsidRPr="009F5D48" w:rsidRDefault="00F276CC" w:rsidP="00F276CC">
      <w:pPr>
        <w:pStyle w:val="Prrafodelista"/>
        <w:tabs>
          <w:tab w:val="left" w:pos="142"/>
          <w:tab w:val="left" w:pos="284"/>
        </w:tabs>
        <w:spacing w:line="276" w:lineRule="auto"/>
        <w:ind w:left="0"/>
        <w:jc w:val="both"/>
        <w:rPr>
          <w:rFonts w:ascii="Verdana" w:eastAsia="Century Gothic" w:hAnsi="Verdana" w:cs="Century Gothic"/>
          <w:b/>
          <w:bCs/>
        </w:rPr>
      </w:pPr>
    </w:p>
    <w:p w14:paraId="6E9B3EAD" w14:textId="77777777" w:rsidR="00F276CC" w:rsidRPr="009F5D48" w:rsidRDefault="00F276CC" w:rsidP="00F276CC">
      <w:pPr>
        <w:spacing w:after="0" w:line="276" w:lineRule="auto"/>
        <w:ind w:left="709" w:right="709"/>
        <w:jc w:val="both"/>
        <w:rPr>
          <w:rFonts w:ascii="Verdana" w:eastAsia="Century Gothic" w:hAnsi="Verdana" w:cs="Century Gothic"/>
          <w:color w:val="000000" w:themeColor="text1"/>
          <w:lang w:val="es-ES"/>
        </w:rPr>
      </w:pPr>
      <w:bookmarkStart w:id="1" w:name="_Hlk95313578"/>
      <w:r w:rsidRPr="009F5D48">
        <w:rPr>
          <w:rFonts w:ascii="Verdana" w:eastAsia="Century Gothic" w:hAnsi="Verdana" w:cs="Century Gothic"/>
          <w:color w:val="000000" w:themeColor="text1"/>
          <w:lang w:val="es-ES"/>
        </w:rPr>
        <w:t>“</w:t>
      </w:r>
      <w:bookmarkEnd w:id="1"/>
      <w:r w:rsidRPr="009F5D48">
        <w:rPr>
          <w:rFonts w:ascii="Verdana" w:eastAsia="Century Gothic" w:hAnsi="Verdana" w:cs="Century Gothic"/>
          <w:color w:val="000000" w:themeColor="text1"/>
          <w:lang w:val="es-ES"/>
        </w:rPr>
        <w:t>Respetuosamente me permito solicitar información sobre la posibilidad de realizar la judicatura no remunerada en una entidad pública o privada y, de manera simultánea, tener un contrato de prestación de servicios en una entidad pública. Agradezco me informen si existe alguna restricción legal o incompatibilidad que impida desempeñar ambas actividades al mismo tiempo”.</w:t>
      </w:r>
    </w:p>
    <w:p w14:paraId="54C06E2E" w14:textId="77777777" w:rsidR="00F276CC" w:rsidRPr="009F5D48" w:rsidRDefault="00F276CC" w:rsidP="00F276CC">
      <w:pPr>
        <w:pStyle w:val="Prrafodelista"/>
        <w:tabs>
          <w:tab w:val="left" w:pos="142"/>
          <w:tab w:val="left" w:pos="284"/>
        </w:tabs>
        <w:spacing w:line="276" w:lineRule="auto"/>
        <w:ind w:left="0"/>
        <w:jc w:val="both"/>
        <w:rPr>
          <w:rFonts w:ascii="Verdana" w:eastAsia="Century Gothic" w:hAnsi="Verdana" w:cs="Century Gothic"/>
          <w:b/>
          <w:bCs/>
        </w:rPr>
      </w:pPr>
    </w:p>
    <w:p w14:paraId="754FB3CC" w14:textId="77777777" w:rsidR="00F276CC" w:rsidRPr="009F5D48" w:rsidRDefault="00F276CC" w:rsidP="00F276CC">
      <w:pPr>
        <w:spacing w:after="120" w:line="276" w:lineRule="auto"/>
        <w:ind w:firstLine="709"/>
        <w:jc w:val="both"/>
        <w:rPr>
          <w:rFonts w:ascii="Verdana" w:eastAsia="Calibri" w:hAnsi="Verdana" w:cs="Arial"/>
          <w:color w:val="000000"/>
          <w:lang w:val="es-ES_tradnl" w:eastAsia="es-ES_tradnl"/>
        </w:rPr>
      </w:pPr>
      <w:r w:rsidRPr="009F5D48">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F5D48">
        <w:rPr>
          <w:rFonts w:ascii="Verdana" w:eastAsia="Calibri" w:hAnsi="Verdana" w:cs="Arial"/>
          <w:color w:val="000000"/>
          <w:lang w:val="es-ES_tradnl" w:eastAsia="es-ES_tradnl"/>
        </w:rPr>
        <w:tab/>
      </w:r>
    </w:p>
    <w:p w14:paraId="0DB19831" w14:textId="77777777" w:rsidR="00F276CC" w:rsidRPr="009F5D48" w:rsidRDefault="00F276CC" w:rsidP="00F276CC">
      <w:pPr>
        <w:spacing w:after="0" w:line="276" w:lineRule="auto"/>
        <w:ind w:firstLine="709"/>
        <w:jc w:val="both"/>
        <w:rPr>
          <w:rFonts w:ascii="Verdana" w:eastAsia="Calibri" w:hAnsi="Verdana" w:cs="Arial"/>
          <w:color w:val="000000"/>
          <w:lang w:val="es-ES" w:eastAsia="es-ES"/>
        </w:rPr>
      </w:pPr>
      <w:r w:rsidRPr="009F5D48">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sidRPr="009F5D48">
        <w:rPr>
          <w:rFonts w:ascii="Verdana" w:eastAsia="Calibri" w:hAnsi="Verdana" w:cs="Arial"/>
          <w:color w:val="7030A0"/>
          <w:lang w:val="es-ES" w:eastAsia="es-ES"/>
        </w:rPr>
        <w:t xml:space="preserve"> </w:t>
      </w:r>
      <w:r w:rsidRPr="009F5D48">
        <w:rPr>
          <w:rFonts w:ascii="Verdana" w:eastAsia="Calibri" w:hAnsi="Verdana" w:cs="Arial"/>
          <w:color w:val="000000"/>
          <w:lang w:val="es-ES" w:eastAsia="es-ES"/>
        </w:rPr>
        <w:t>problema</w:t>
      </w:r>
      <w:r w:rsidRPr="009F5D48">
        <w:rPr>
          <w:rFonts w:ascii="Verdana" w:eastAsia="Calibri" w:hAnsi="Verdana" w:cs="Arial"/>
          <w:color w:val="7030A0"/>
          <w:lang w:val="es-ES" w:eastAsia="es-ES"/>
        </w:rPr>
        <w:t xml:space="preserve"> </w:t>
      </w:r>
      <w:r w:rsidRPr="009F5D48">
        <w:rPr>
          <w:rFonts w:ascii="Verdana" w:eastAsia="Calibri" w:hAnsi="Verdana" w:cs="Arial"/>
          <w:color w:val="000000"/>
          <w:lang w:val="es-ES" w:eastAsia="es-ES"/>
        </w:rPr>
        <w:t>jurídico</w:t>
      </w:r>
      <w:r w:rsidRPr="009F5D48">
        <w:rPr>
          <w:rFonts w:ascii="Verdana" w:eastAsia="Calibri" w:hAnsi="Verdana" w:cs="Arial"/>
          <w:color w:val="7030A0"/>
          <w:lang w:val="es-ES" w:eastAsia="es-ES"/>
        </w:rPr>
        <w:t xml:space="preserve"> </w:t>
      </w:r>
      <w:r w:rsidRPr="009F5D48">
        <w:rPr>
          <w:rFonts w:ascii="Verdana" w:eastAsia="Calibri" w:hAnsi="Verdana" w:cs="Arial"/>
          <w:color w:val="000000"/>
          <w:lang w:val="es-ES" w:eastAsia="es-ES"/>
        </w:rPr>
        <w:t xml:space="preserve">de su consulta. </w:t>
      </w:r>
    </w:p>
    <w:p w14:paraId="712845AC" w14:textId="77777777" w:rsidR="00F276CC" w:rsidRPr="009F5D48" w:rsidRDefault="00F276CC" w:rsidP="00F276CC">
      <w:pPr>
        <w:spacing w:after="0" w:line="276" w:lineRule="auto"/>
        <w:ind w:firstLine="709"/>
        <w:jc w:val="both"/>
        <w:rPr>
          <w:rFonts w:ascii="Verdana" w:eastAsia="Calibri" w:hAnsi="Verdana" w:cs="Arial"/>
          <w:color w:val="000000"/>
          <w:lang w:val="es-ES" w:eastAsia="es-ES"/>
        </w:rPr>
      </w:pPr>
    </w:p>
    <w:p w14:paraId="3105C854" w14:textId="77777777" w:rsidR="00F276CC" w:rsidRPr="009F5D48" w:rsidRDefault="00F276CC" w:rsidP="00F276C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9F5D48">
        <w:rPr>
          <w:rFonts w:ascii="Verdana" w:eastAsia="Century Gothic" w:hAnsi="Verdana" w:cs="Century Gothic"/>
          <w:b/>
          <w:bCs/>
        </w:rPr>
        <w:t>Problema planteado:</w:t>
      </w:r>
    </w:p>
    <w:p w14:paraId="45E3071F" w14:textId="77777777" w:rsidR="00F276CC" w:rsidRPr="009F5D48" w:rsidRDefault="00F276CC" w:rsidP="00F276CC">
      <w:pPr>
        <w:tabs>
          <w:tab w:val="left" w:pos="426"/>
        </w:tabs>
        <w:spacing w:after="0" w:line="276" w:lineRule="auto"/>
        <w:jc w:val="both"/>
        <w:rPr>
          <w:rFonts w:ascii="Verdana" w:eastAsia="Century Gothic" w:hAnsi="Verdana" w:cs="Century Gothic"/>
          <w:lang w:val="es-ES"/>
        </w:rPr>
      </w:pPr>
    </w:p>
    <w:p w14:paraId="31950A7A" w14:textId="77777777" w:rsidR="00F276CC" w:rsidRPr="009F5D48" w:rsidRDefault="00F276CC" w:rsidP="00F276CC">
      <w:pPr>
        <w:spacing w:after="0" w:line="276" w:lineRule="auto"/>
        <w:jc w:val="both"/>
        <w:rPr>
          <w:rFonts w:ascii="Verdana" w:eastAsia="Century Gothic" w:hAnsi="Verdana" w:cs="Century Gothic"/>
        </w:rPr>
      </w:pPr>
      <w:r w:rsidRPr="009F5D48">
        <w:rPr>
          <w:rFonts w:ascii="Verdana" w:eastAsia="Century Gothic" w:hAnsi="Verdana" w:cs="Century Gothic"/>
        </w:rPr>
        <w:t>De acuerdo con el contenido de su solicitud, esta Agencia resolverá el siguiente problema jurídico: ¿Existe alguna inhabilidad o incompatibilidad para celebrar de forma simultánea la judicatura ad honórem, como requisito para optar por el título de grado de abogado, y</w:t>
      </w:r>
      <w:r>
        <w:rPr>
          <w:rFonts w:ascii="Verdana" w:eastAsia="Century Gothic" w:hAnsi="Verdana" w:cs="Century Gothic"/>
        </w:rPr>
        <w:t xml:space="preserve"> la</w:t>
      </w:r>
      <w:r w:rsidRPr="009F5D48">
        <w:rPr>
          <w:rFonts w:ascii="Verdana" w:eastAsia="Century Gothic" w:hAnsi="Verdana" w:cs="Century Gothic"/>
        </w:rPr>
        <w:t xml:space="preserve"> celebra</w:t>
      </w:r>
      <w:r>
        <w:rPr>
          <w:rFonts w:ascii="Verdana" w:eastAsia="Century Gothic" w:hAnsi="Verdana" w:cs="Century Gothic"/>
        </w:rPr>
        <w:t>ción de</w:t>
      </w:r>
      <w:r w:rsidRPr="009F5D48">
        <w:rPr>
          <w:rFonts w:ascii="Verdana" w:eastAsia="Century Gothic" w:hAnsi="Verdana" w:cs="Century Gothic"/>
        </w:rPr>
        <w:t xml:space="preserve"> un contrato de prestación de servicios? </w:t>
      </w:r>
    </w:p>
    <w:p w14:paraId="3DBFB879" w14:textId="77777777" w:rsidR="00F276CC" w:rsidRPr="009F5D48" w:rsidRDefault="00F276CC" w:rsidP="00F276CC">
      <w:pPr>
        <w:spacing w:after="0" w:line="276" w:lineRule="auto"/>
        <w:jc w:val="both"/>
        <w:rPr>
          <w:rFonts w:ascii="Verdana" w:eastAsia="Calibri" w:hAnsi="Verdana" w:cs="Arial"/>
          <w:color w:val="7030A0"/>
          <w:lang w:val="es-ES"/>
        </w:rPr>
      </w:pPr>
    </w:p>
    <w:p w14:paraId="7F14BEBD" w14:textId="77777777" w:rsidR="00F276CC" w:rsidRPr="009F5D48" w:rsidRDefault="00F276CC" w:rsidP="00F276C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F5D48">
        <w:rPr>
          <w:rFonts w:ascii="Verdana" w:eastAsia="Century Gothic" w:hAnsi="Verdana" w:cs="Century Gothic"/>
          <w:b/>
          <w:bCs/>
        </w:rPr>
        <w:t>Respuesta:</w:t>
      </w:r>
    </w:p>
    <w:p w14:paraId="59E64F1F" w14:textId="77777777" w:rsidR="00F276CC" w:rsidRPr="009F5D48" w:rsidRDefault="00F276CC" w:rsidP="00F276C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276CC" w:rsidRPr="009F5D48" w14:paraId="2A32F4A8" w14:textId="77777777" w:rsidTr="444F5416">
        <w:tc>
          <w:tcPr>
            <w:tcW w:w="8828" w:type="dxa"/>
          </w:tcPr>
          <w:p w14:paraId="737638D7" w14:textId="2CDCAF10" w:rsidR="00F276CC" w:rsidRPr="009F5D48" w:rsidRDefault="00F276CC">
            <w:pPr>
              <w:pStyle w:val="NormalWeb"/>
              <w:spacing w:line="276" w:lineRule="auto"/>
              <w:jc w:val="both"/>
              <w:rPr>
                <w:rFonts w:ascii="Verdana" w:hAnsi="Verdana"/>
                <w:sz w:val="22"/>
                <w:szCs w:val="22"/>
              </w:rPr>
            </w:pPr>
            <w:r w:rsidRPr="12F6BC65">
              <w:rPr>
                <w:rFonts w:ascii="Verdana" w:hAnsi="Verdana"/>
                <w:sz w:val="22"/>
                <w:szCs w:val="22"/>
                <w:lang w:val="es-ES"/>
              </w:rPr>
              <w:t>Analizado el conjunto de disposiciones que integran el régimen de inhabilidades e incompatibilidades para la contratación estatal, así como los requisitos y límites de los contratos de prestación de servicios profesionales, no se advierte una causal de inhabilidad e incompatibilidad según el artículo 8 de la Ley 80 de 1993, que restrinja de forma expresa la simultaneidad entre la realización de la judicatura ad honórem como requisito para optar por el título de abogado, y la celebración de un contrato de prestación de servicios. No obstante,</w:t>
            </w:r>
            <w:r w:rsidRPr="009F5D48">
              <w:rPr>
                <w:rFonts w:ascii="Verdana" w:hAnsi="Verdana"/>
                <w:sz w:val="22"/>
                <w:szCs w:val="22"/>
              </w:rPr>
              <w:t xml:space="preserve"> el Consejo Superior de la Judicatura a través del </w:t>
            </w:r>
            <w:r w:rsidRPr="009F5D48">
              <w:rPr>
                <w:rFonts w:ascii="Verdana" w:hAnsi="Verdana"/>
                <w:sz w:val="22"/>
                <w:szCs w:val="22"/>
                <w:lang w:eastAsia="es-MX"/>
              </w:rPr>
              <w:t xml:space="preserve">Acuerdo No. PSAA12-9338 del 27 de marzo de 2012. </w:t>
            </w:r>
            <w:r w:rsidRPr="009F5D48">
              <w:rPr>
                <w:rFonts w:ascii="Verdana" w:hAnsi="Verdana"/>
                <w:sz w:val="22"/>
                <w:szCs w:val="22"/>
              </w:rPr>
              <w:t xml:space="preserve">“Por medio de la cual se modifica el </w:t>
            </w:r>
            <w:r w:rsidRPr="009F5D48">
              <w:rPr>
                <w:rFonts w:ascii="Verdana" w:hAnsi="Verdana"/>
                <w:sz w:val="22"/>
                <w:szCs w:val="22"/>
              </w:rPr>
              <w:lastRenderedPageBreak/>
              <w:t>Acuerdo PSAA10-7543 por el cual se reglamenta la judicatura como requisito alternativo para optar el título de abogado” a través del numeral 2 del articulo 1, determinó:</w:t>
            </w:r>
            <w:r>
              <w:rPr>
                <w:rFonts w:ascii="Verdana" w:hAnsi="Verdana"/>
                <w:sz w:val="22"/>
                <w:szCs w:val="22"/>
              </w:rPr>
              <w:t xml:space="preserve"> </w:t>
            </w:r>
            <w:r w:rsidRPr="009F5D48">
              <w:rPr>
                <w:rFonts w:ascii="Verdana" w:hAnsi="Verdana"/>
                <w:sz w:val="22"/>
                <w:szCs w:val="22"/>
              </w:rPr>
              <w:t>“2. Si el egresado opta por realizar la práctica jurídica de carácter Ad-Honorem se atendrá a lo exigido en cada norma en particular y será de seis (6), siete (7) o de Nueve (9) meses</w:t>
            </w:r>
            <w:r w:rsidRPr="009F5D48">
              <w:rPr>
                <w:rFonts w:ascii="Verdana" w:hAnsi="Verdana"/>
                <w:b/>
                <w:bCs/>
                <w:sz w:val="22"/>
                <w:szCs w:val="22"/>
              </w:rPr>
              <w:t>, de disponibilidad exclusiva y jornada completa</w:t>
            </w:r>
            <w:r w:rsidRPr="009F5D48">
              <w:rPr>
                <w:rFonts w:ascii="Verdana" w:hAnsi="Verdana"/>
                <w:sz w:val="22"/>
                <w:szCs w:val="22"/>
              </w:rPr>
              <w:t xml:space="preserve"> según la en la entidad seleccionada, con las mismas obligaciones y responsabilidades a los empleados de la entidad”.</w:t>
            </w:r>
            <w:r>
              <w:rPr>
                <w:rFonts w:ascii="Verdana" w:hAnsi="Verdana"/>
                <w:sz w:val="22"/>
                <w:szCs w:val="22"/>
              </w:rPr>
              <w:t xml:space="preserve"> (resaltado propio).</w:t>
            </w:r>
          </w:p>
          <w:p w14:paraId="196F957B" w14:textId="38D58C37" w:rsidR="00F276CC" w:rsidRPr="009F5D48" w:rsidRDefault="00F276CC" w:rsidP="444F5416">
            <w:pPr>
              <w:spacing w:before="100" w:beforeAutospacing="1" w:after="100" w:afterAutospacing="1" w:line="276" w:lineRule="auto"/>
              <w:jc w:val="both"/>
              <w:rPr>
                <w:rFonts w:ascii="Verdana" w:eastAsia="Times New Roman" w:hAnsi="Verdana" w:cs="Times New Roman"/>
                <w:lang w:eastAsia="es-MX"/>
              </w:rPr>
            </w:pPr>
            <w:r w:rsidRPr="444F5416">
              <w:rPr>
                <w:rFonts w:ascii="Verdana" w:eastAsia="Times New Roman" w:hAnsi="Verdana" w:cs="Times New Roman"/>
                <w:lang w:eastAsia="es-MX"/>
              </w:rPr>
              <w:t xml:space="preserve">        Este acuerdo, al reglamentar la judicatura ad honorem, exige de manera inequívoca que esta se realice con “disponibilidad exclusiva y jornada completa” a la entidad seleccionada, a</w:t>
            </w:r>
            <w:r w:rsidR="69B60884" w:rsidRPr="444F5416">
              <w:rPr>
                <w:rFonts w:ascii="Verdana" w:eastAsia="Times New Roman" w:hAnsi="Verdana" w:cs="Times New Roman"/>
                <w:lang w:eastAsia="es-MX"/>
              </w:rPr>
              <w:t xml:space="preserve">similando su </w:t>
            </w:r>
            <w:r w:rsidR="227D0EE9" w:rsidRPr="444F5416">
              <w:rPr>
                <w:rFonts w:ascii="Verdana" w:eastAsia="Times New Roman" w:hAnsi="Verdana" w:cs="Times New Roman"/>
                <w:lang w:eastAsia="es-MX"/>
              </w:rPr>
              <w:t>dedicación y jornada</w:t>
            </w:r>
            <w:r w:rsidR="69B60884" w:rsidRPr="444F5416">
              <w:rPr>
                <w:rFonts w:ascii="Verdana" w:eastAsia="Times New Roman" w:hAnsi="Verdana" w:cs="Times New Roman"/>
                <w:lang w:eastAsia="es-MX"/>
              </w:rPr>
              <w:t xml:space="preserve"> a la exigida a </w:t>
            </w:r>
            <w:r w:rsidRPr="444F5416">
              <w:rPr>
                <w:rFonts w:ascii="Verdana" w:eastAsia="Times New Roman" w:hAnsi="Verdana" w:cs="Times New Roman"/>
                <w:lang w:eastAsia="es-MX"/>
              </w:rPr>
              <w:t xml:space="preserve"> </w:t>
            </w:r>
            <w:r w:rsidR="4518E47C" w:rsidRPr="444F5416">
              <w:rPr>
                <w:rFonts w:ascii="Verdana" w:eastAsia="Times New Roman" w:hAnsi="Verdana" w:cs="Times New Roman"/>
                <w:lang w:eastAsia="es-MX"/>
              </w:rPr>
              <w:t xml:space="preserve">los </w:t>
            </w:r>
            <w:r w:rsidRPr="444F5416">
              <w:rPr>
                <w:rFonts w:ascii="Verdana" w:eastAsia="Times New Roman" w:hAnsi="Verdana" w:cs="Times New Roman"/>
                <w:lang w:eastAsia="es-MX"/>
              </w:rPr>
              <w:t>empleados de</w:t>
            </w:r>
            <w:r w:rsidR="25748458" w:rsidRPr="444F5416">
              <w:rPr>
                <w:rFonts w:ascii="Verdana" w:eastAsia="Times New Roman" w:hAnsi="Verdana" w:cs="Times New Roman"/>
                <w:lang w:eastAsia="es-MX"/>
              </w:rPr>
              <w:t xml:space="preserve"> la entidad en que desarrollará la pr</w:t>
            </w:r>
            <w:r w:rsidR="79EEB79E" w:rsidRPr="444F5416">
              <w:rPr>
                <w:rFonts w:ascii="Verdana" w:eastAsia="Times New Roman" w:hAnsi="Verdana" w:cs="Times New Roman"/>
                <w:lang w:eastAsia="es-MX"/>
              </w:rPr>
              <w:t>á</w:t>
            </w:r>
            <w:r w:rsidR="25748458" w:rsidRPr="444F5416">
              <w:rPr>
                <w:rFonts w:ascii="Verdana" w:eastAsia="Times New Roman" w:hAnsi="Verdana" w:cs="Times New Roman"/>
                <w:lang w:eastAsia="es-MX"/>
              </w:rPr>
              <w:t>ctica</w:t>
            </w:r>
            <w:r w:rsidRPr="444F5416">
              <w:rPr>
                <w:rFonts w:ascii="Verdana" w:eastAsia="Times New Roman" w:hAnsi="Verdana" w:cs="Times New Roman"/>
                <w:lang w:eastAsia="es-MX"/>
              </w:rPr>
              <w:t xml:space="preserve">. Esta obligación, adquirida voluntariamente por el judicante, crea una incompatibilidad funcional que impacta directamente su capacidad para ejecutar un contrato de prestación de servicios. Desde la perspectiva del Estatuto General de Contratación, una entidad estatal que celebra un contrato directo lo hace en virtud de la  </w:t>
            </w:r>
            <w:proofErr w:type="spellStart"/>
            <w:r w:rsidRPr="444F5416">
              <w:rPr>
                <w:rFonts w:ascii="Verdana" w:eastAsia="Times New Roman" w:hAnsi="Verdana" w:cs="Times New Roman"/>
                <w:lang w:eastAsia="es-MX"/>
              </w:rPr>
              <w:t>la</w:t>
            </w:r>
            <w:proofErr w:type="spellEnd"/>
            <w:r w:rsidRPr="444F5416">
              <w:rPr>
                <w:rFonts w:ascii="Verdana" w:eastAsia="Times New Roman" w:hAnsi="Verdana" w:cs="Times New Roman"/>
                <w:lang w:eastAsia="es-MX"/>
              </w:rPr>
              <w:t xml:space="preserve"> idoneidad del contratista</w:t>
            </w:r>
            <w:r w:rsidR="63A1BAE9" w:rsidRPr="444F5416">
              <w:rPr>
                <w:rFonts w:ascii="Verdana" w:eastAsia="Times New Roman" w:hAnsi="Verdana" w:cs="Times New Roman"/>
                <w:lang w:eastAsia="es-MX"/>
              </w:rPr>
              <w:t xml:space="preserve"> y su capacidad para desarrollar el objeto contractual</w:t>
            </w:r>
            <w:r w:rsidRPr="444F5416">
              <w:rPr>
                <w:rFonts w:ascii="Verdana" w:eastAsia="Times New Roman" w:hAnsi="Verdana" w:cs="Times New Roman"/>
                <w:lang w:eastAsia="es-MX"/>
              </w:rPr>
              <w:t xml:space="preserve">, la cual presupone que este dispone </w:t>
            </w:r>
            <w:r w:rsidRPr="12F6BC65">
              <w:rPr>
                <w:rFonts w:ascii="Verdana" w:eastAsia="Times New Roman" w:hAnsi="Verdana" w:cs="Times New Roman"/>
                <w:lang w:eastAsia="es-MX"/>
              </w:rPr>
              <w:t>de</w:t>
            </w:r>
            <w:r w:rsidR="71591629" w:rsidRPr="12F6BC65">
              <w:rPr>
                <w:rFonts w:ascii="Verdana" w:eastAsia="Times New Roman" w:hAnsi="Verdana" w:cs="Times New Roman"/>
                <w:lang w:eastAsia="es-MX"/>
              </w:rPr>
              <w:t xml:space="preserve"> </w:t>
            </w:r>
            <w:r w:rsidRPr="12F6BC65">
              <w:rPr>
                <w:rFonts w:ascii="Verdana" w:eastAsia="Times New Roman" w:hAnsi="Verdana" w:cs="Times New Roman"/>
                <w:lang w:eastAsia="es-MX"/>
              </w:rPr>
              <w:t>la</w:t>
            </w:r>
            <w:r w:rsidRPr="444F5416">
              <w:rPr>
                <w:rFonts w:ascii="Verdana" w:eastAsia="Times New Roman" w:hAnsi="Verdana" w:cs="Times New Roman"/>
                <w:lang w:eastAsia="es-MX"/>
              </w:rPr>
              <w:t xml:space="preserve"> dedicación necesari</w:t>
            </w:r>
            <w:r w:rsidR="17ED498D" w:rsidRPr="444F5416">
              <w:rPr>
                <w:rFonts w:ascii="Verdana" w:eastAsia="Times New Roman" w:hAnsi="Verdana" w:cs="Times New Roman"/>
                <w:lang w:eastAsia="es-MX"/>
              </w:rPr>
              <w:t>a</w:t>
            </w:r>
            <w:r w:rsidRPr="444F5416">
              <w:rPr>
                <w:rFonts w:ascii="Verdana" w:eastAsia="Times New Roman" w:hAnsi="Verdana" w:cs="Times New Roman"/>
                <w:lang w:eastAsia="es-MX"/>
              </w:rPr>
              <w:t xml:space="preserve"> para cumplir con las obligaciones pactadas. </w:t>
            </w:r>
          </w:p>
          <w:p w14:paraId="68C64F72" w14:textId="1168BA73" w:rsidR="00F276CC" w:rsidRDefault="00F276CC" w:rsidP="444F5416">
            <w:pPr>
              <w:spacing w:before="100" w:beforeAutospacing="1" w:after="100" w:afterAutospacing="1" w:line="276" w:lineRule="auto"/>
              <w:jc w:val="both"/>
              <w:rPr>
                <w:rFonts w:ascii="Verdana" w:eastAsia="Times New Roman" w:hAnsi="Verdana" w:cs="Times New Roman"/>
                <w:lang w:eastAsia="es-MX"/>
              </w:rPr>
            </w:pPr>
            <w:r w:rsidRPr="444F5416">
              <w:rPr>
                <w:rFonts w:ascii="Verdana" w:eastAsia="Times New Roman" w:hAnsi="Verdana" w:cs="Times New Roman"/>
                <w:lang w:eastAsia="es-MX"/>
              </w:rPr>
              <w:t xml:space="preserve">       </w:t>
            </w:r>
            <w:r w:rsidRPr="444F5416">
              <w:rPr>
                <w:rFonts w:ascii="Verdana" w:hAnsi="Verdana"/>
              </w:rPr>
              <w:t xml:space="preserve">En este sentido, el articulo  2.2.1.2.1.4.9. </w:t>
            </w:r>
            <w:r w:rsidRPr="12F6BC65">
              <w:rPr>
                <w:rFonts w:ascii="Verdana" w:hAnsi="Verdana"/>
              </w:rPr>
              <w:t>de</w:t>
            </w:r>
            <w:r w:rsidR="201BED2C" w:rsidRPr="12F6BC65">
              <w:rPr>
                <w:rFonts w:ascii="Verdana" w:hAnsi="Verdana"/>
              </w:rPr>
              <w:t>l</w:t>
            </w:r>
            <w:r w:rsidRPr="444F5416">
              <w:rPr>
                <w:rFonts w:ascii="Verdana" w:hAnsi="Verdana"/>
              </w:rPr>
              <w:t xml:space="preserve"> Decreto 1082 de 2015  </w:t>
            </w:r>
            <w:r w:rsidRPr="444F5416">
              <w:rPr>
                <w:rFonts w:ascii="Verdana" w:eastAsia="Times New Roman" w:hAnsi="Verdana"/>
                <w:lang w:eastAsia="es-MX"/>
              </w:rPr>
              <w:t xml:space="preserve">establece que, </w:t>
            </w:r>
            <w:r w:rsidR="2E013E84" w:rsidRPr="444F5416">
              <w:rPr>
                <w:rFonts w:ascii="Verdana" w:eastAsia="Verdana" w:hAnsi="Verdana" w:cs="Verdana"/>
              </w:rPr>
              <w:t xml:space="preserve">las Entidades Estatales pueden contratar bajo la modalidad de contratación directa la prestación de servicios profesionales y de apoyo a la gestión con la persona natural o jurídica que esté en </w:t>
            </w:r>
            <w:r w:rsidR="2E013E84" w:rsidRPr="003566DB">
              <w:rPr>
                <w:rFonts w:ascii="Verdana" w:eastAsia="Verdana" w:hAnsi="Verdana" w:cs="Verdana"/>
                <w:b/>
                <w:bCs/>
              </w:rPr>
              <w:t xml:space="preserve">capacidad </w:t>
            </w:r>
            <w:r w:rsidR="2E013E84" w:rsidRPr="444F5416">
              <w:rPr>
                <w:rFonts w:ascii="Verdana" w:eastAsia="Verdana" w:hAnsi="Verdana" w:cs="Verdana"/>
              </w:rPr>
              <w:t>de ejecutar el objeto del contrato, siempre y cuando la Entidad Estatal verifique la idoneidad o experiencia requerida y relacionada con el área de que se trate</w:t>
            </w:r>
            <w:r w:rsidRPr="444F5416">
              <w:rPr>
                <w:rFonts w:ascii="Verdana" w:eastAsia="Times New Roman" w:hAnsi="Verdana"/>
                <w:lang w:eastAsia="es-MX"/>
              </w:rPr>
              <w:t>. Este requisito de</w:t>
            </w:r>
            <w:r w:rsidR="6D9F6039" w:rsidRPr="444F5416">
              <w:rPr>
                <w:rFonts w:ascii="Verdana" w:eastAsia="Times New Roman" w:hAnsi="Verdana"/>
                <w:lang w:eastAsia="es-MX"/>
              </w:rPr>
              <w:t xml:space="preserve"> tener la capacidad </w:t>
            </w:r>
            <w:r w:rsidR="007C529E" w:rsidRPr="444F5416">
              <w:rPr>
                <w:rFonts w:ascii="Verdana" w:eastAsia="Times New Roman" w:hAnsi="Verdana"/>
                <w:lang w:eastAsia="es-MX"/>
              </w:rPr>
              <w:t>está</w:t>
            </w:r>
            <w:r w:rsidR="6D9F6039" w:rsidRPr="444F5416">
              <w:rPr>
                <w:rFonts w:ascii="Verdana" w:eastAsia="Times New Roman" w:hAnsi="Verdana"/>
                <w:lang w:eastAsia="es-MX"/>
              </w:rPr>
              <w:t xml:space="preserve"> </w:t>
            </w:r>
            <w:r w:rsidR="06D46A95" w:rsidRPr="444F5416">
              <w:rPr>
                <w:rFonts w:ascii="Verdana" w:eastAsia="Times New Roman" w:hAnsi="Verdana"/>
                <w:lang w:eastAsia="es-MX"/>
              </w:rPr>
              <w:t>relacionado</w:t>
            </w:r>
            <w:r w:rsidR="6D9F6039" w:rsidRPr="444F5416">
              <w:rPr>
                <w:rFonts w:ascii="Verdana" w:eastAsia="Times New Roman" w:hAnsi="Verdana"/>
                <w:lang w:eastAsia="es-MX"/>
              </w:rPr>
              <w:t xml:space="preserve"> con </w:t>
            </w:r>
            <w:r w:rsidRPr="444F5416">
              <w:rPr>
                <w:rFonts w:ascii="Verdana" w:eastAsia="Times New Roman" w:hAnsi="Verdana" w:cs="Times New Roman"/>
                <w:lang w:eastAsia="es-MX"/>
              </w:rPr>
              <w:t xml:space="preserve">la disponibilidad </w:t>
            </w:r>
            <w:r w:rsidR="31DEBD1F" w:rsidRPr="444F5416">
              <w:rPr>
                <w:rFonts w:ascii="Verdana" w:eastAsia="Times New Roman" w:hAnsi="Verdana" w:cs="Times New Roman"/>
                <w:lang w:eastAsia="es-MX"/>
              </w:rPr>
              <w:t>y</w:t>
            </w:r>
            <w:r w:rsidR="007C529E">
              <w:rPr>
                <w:rFonts w:ascii="Verdana" w:eastAsia="Times New Roman" w:hAnsi="Verdana" w:cs="Times New Roman"/>
                <w:lang w:eastAsia="es-MX"/>
              </w:rPr>
              <w:t xml:space="preserve"> </w:t>
            </w:r>
            <w:r w:rsidRPr="444F5416">
              <w:rPr>
                <w:rFonts w:ascii="Verdana" w:eastAsia="Times New Roman" w:hAnsi="Verdana" w:cs="Times New Roman"/>
                <w:lang w:eastAsia="es-MX"/>
              </w:rPr>
              <w:t>dedicación para cumplir con las obligaciones</w:t>
            </w:r>
            <w:r w:rsidR="1D5D6ECF" w:rsidRPr="12F6BC65">
              <w:rPr>
                <w:rFonts w:ascii="Verdana" w:eastAsia="Times New Roman" w:hAnsi="Verdana" w:cs="Times New Roman"/>
                <w:lang w:eastAsia="es-MX"/>
              </w:rPr>
              <w:t xml:space="preserve"> contractuales</w:t>
            </w:r>
            <w:r w:rsidRPr="444F5416">
              <w:rPr>
                <w:rFonts w:ascii="Verdana" w:hAnsi="Verdana"/>
              </w:rPr>
              <w:t>.</w:t>
            </w:r>
          </w:p>
          <w:p w14:paraId="1AE2B85C" w14:textId="7E7099B3" w:rsidR="00F276CC" w:rsidRDefault="00F276CC" w:rsidP="444F5416">
            <w:pPr>
              <w:spacing w:before="100" w:beforeAutospacing="1" w:after="100" w:afterAutospacing="1" w:line="276" w:lineRule="auto"/>
              <w:jc w:val="both"/>
              <w:rPr>
                <w:rFonts w:ascii="Verdana" w:eastAsia="Times New Roman" w:hAnsi="Verdana" w:cs="Times New Roman"/>
                <w:lang w:eastAsia="es-MX"/>
              </w:rPr>
            </w:pPr>
            <w:r w:rsidRPr="444F5416">
              <w:rPr>
                <w:rFonts w:ascii="Verdana" w:eastAsia="Times New Roman" w:hAnsi="Verdana" w:cs="Times New Roman"/>
                <w:lang w:eastAsia="es-MX"/>
              </w:rPr>
              <w:t xml:space="preserve">       </w:t>
            </w:r>
            <w:r w:rsidRPr="444F5416">
              <w:rPr>
                <w:rFonts w:ascii="Verdana" w:hAnsi="Verdana"/>
                <w:color w:val="000000" w:themeColor="text1"/>
              </w:rPr>
              <w:t xml:space="preserve">De conformidad con lo anterior, puede concluirse </w:t>
            </w:r>
            <w:r w:rsidRPr="444F5416">
              <w:rPr>
                <w:rFonts w:ascii="Verdana" w:eastAsia="Times New Roman" w:hAnsi="Verdana" w:cs="Times New Roman"/>
                <w:lang w:eastAsia="es-MX"/>
              </w:rPr>
              <w:t>que</w:t>
            </w:r>
            <w:r w:rsidR="28CF34E4" w:rsidRPr="12F6BC65">
              <w:rPr>
                <w:rFonts w:ascii="Verdana" w:eastAsia="Times New Roman" w:hAnsi="Verdana" w:cs="Times New Roman"/>
                <w:lang w:eastAsia="es-MX"/>
              </w:rPr>
              <w:t>,</w:t>
            </w:r>
            <w:r w:rsidRPr="444F5416">
              <w:rPr>
                <w:rFonts w:ascii="Verdana" w:eastAsia="Times New Roman" w:hAnsi="Verdana" w:cs="Times New Roman"/>
                <w:lang w:eastAsia="es-MX"/>
              </w:rPr>
              <w:t xml:space="preserve"> aunque la hipótesis objeto de la consulta no se enmarca en las inhabilidades e incompatibilidades taxativamente listadas en el Estatuto de Contratación, sí afecta la capacidad en </w:t>
            </w:r>
            <w:r w:rsidR="6DD15C7C" w:rsidRPr="12F6BC65">
              <w:rPr>
                <w:rFonts w:ascii="Verdana" w:eastAsia="Times New Roman" w:hAnsi="Verdana" w:cs="Times New Roman"/>
                <w:lang w:eastAsia="es-MX"/>
              </w:rPr>
              <w:t>cuanto a la disponibilidad requerida</w:t>
            </w:r>
            <w:r w:rsidRPr="444F5416">
              <w:rPr>
                <w:rFonts w:ascii="Verdana" w:eastAsia="Times New Roman" w:hAnsi="Verdana" w:cs="Times New Roman"/>
                <w:lang w:eastAsia="es-MX"/>
              </w:rPr>
              <w:t xml:space="preserve"> para el cumplimiento</w:t>
            </w:r>
            <w:r w:rsidR="6DD15C7C" w:rsidRPr="12F6BC65">
              <w:rPr>
                <w:rFonts w:ascii="Verdana" w:eastAsia="Times New Roman" w:hAnsi="Verdana" w:cs="Times New Roman"/>
                <w:lang w:eastAsia="es-MX"/>
              </w:rPr>
              <w:t xml:space="preserve"> de la práctica de judicatura</w:t>
            </w:r>
            <w:r w:rsidRPr="444F5416">
              <w:rPr>
                <w:rFonts w:ascii="Verdana" w:eastAsia="Times New Roman" w:hAnsi="Verdana" w:cs="Times New Roman"/>
                <w:lang w:eastAsia="es-MX"/>
              </w:rPr>
              <w:t xml:space="preserve">. </w:t>
            </w:r>
          </w:p>
          <w:p w14:paraId="06C76323" w14:textId="77777777" w:rsidR="00F276CC" w:rsidRPr="00861137" w:rsidRDefault="00F276CC">
            <w:pPr>
              <w:spacing w:after="120" w:line="276" w:lineRule="auto"/>
              <w:ind w:firstLine="708"/>
              <w:jc w:val="both"/>
              <w:rPr>
                <w:rFonts w:ascii="Verdana" w:eastAsia="Times New Roman" w:hAnsi="Verdana" w:cs="Times New Roman"/>
                <w:lang w:eastAsia="es-MX"/>
              </w:rPr>
            </w:pPr>
            <w:r>
              <w:rPr>
                <w:rFonts w:ascii="Verdana" w:eastAsia="Calibri" w:hAnsi="Verdana" w:cs="Arial"/>
              </w:rPr>
              <w:lastRenderedPageBreak/>
              <w:t xml:space="preserve">Finalmente, </w:t>
            </w:r>
            <w:r w:rsidRPr="006B795B">
              <w:rPr>
                <w:rFonts w:ascii="Verdana" w:eastAsia="Calibri" w:hAnsi="Verdana" w:cs="Arial"/>
              </w:rPr>
              <w:t>debe advertirse que, el análisis requerido para resolver problemas específicos en torno</w:t>
            </w:r>
            <w:r>
              <w:rPr>
                <w:rFonts w:ascii="Verdana" w:eastAsia="Calibri" w:hAnsi="Verdana" w:cs="Arial"/>
              </w:rPr>
              <w:t xml:space="preserve"> restricciones frente a la simultaneidad en la celebración de un contrato de prestación de servicios y la realización de un judicatura ad honórem, a la luz </w:t>
            </w:r>
            <w:r w:rsidRPr="009F5D48">
              <w:rPr>
                <w:rFonts w:ascii="Verdana" w:hAnsi="Verdana"/>
              </w:rPr>
              <w:t xml:space="preserve">del </w:t>
            </w:r>
            <w:r w:rsidRPr="009F5D48">
              <w:rPr>
                <w:rFonts w:ascii="Verdana" w:eastAsia="Times New Roman" w:hAnsi="Verdana"/>
                <w:lang w:eastAsia="es-MX"/>
              </w:rPr>
              <w:t>Acuerdo No. PSAA12-9338 del 27 de marzo de 2012</w:t>
            </w:r>
            <w:r>
              <w:rPr>
                <w:rFonts w:ascii="Verdana" w:eastAsia="Calibri" w:hAnsi="Verdana" w:cs="Arial"/>
              </w:rPr>
              <w:t xml:space="preserve">, </w:t>
            </w:r>
            <w:r w:rsidRPr="006B795B">
              <w:rPr>
                <w:rFonts w:ascii="Verdana" w:eastAsia="Calibri" w:hAnsi="Verdana" w:cs="Arial"/>
              </w:rPr>
              <w:t>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tc>
      </w:tr>
    </w:tbl>
    <w:p w14:paraId="7FE09AAF" w14:textId="77777777" w:rsidR="00F276CC" w:rsidRPr="009F5D48" w:rsidRDefault="00F276CC" w:rsidP="00F276CC">
      <w:pPr>
        <w:tabs>
          <w:tab w:val="left" w:pos="142"/>
          <w:tab w:val="left" w:pos="284"/>
        </w:tabs>
        <w:spacing w:after="0" w:line="276" w:lineRule="auto"/>
        <w:jc w:val="both"/>
        <w:rPr>
          <w:rFonts w:ascii="Verdana" w:eastAsia="Century Gothic" w:hAnsi="Verdana" w:cs="Century Gothic"/>
          <w:b/>
          <w:bCs/>
          <w:lang w:val="es-ES"/>
        </w:rPr>
      </w:pPr>
    </w:p>
    <w:p w14:paraId="669B1A9E" w14:textId="77777777" w:rsidR="00F276CC" w:rsidRPr="009F5D48" w:rsidRDefault="00F276CC" w:rsidP="00F276C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F5D48">
        <w:rPr>
          <w:rFonts w:ascii="Verdana" w:eastAsia="Century Gothic" w:hAnsi="Verdana" w:cs="Century Gothic"/>
          <w:b/>
          <w:bCs/>
        </w:rPr>
        <w:t>Razones de la respuesta:</w:t>
      </w:r>
    </w:p>
    <w:p w14:paraId="67590094" w14:textId="77777777" w:rsidR="00F276CC" w:rsidRPr="009F5D48" w:rsidRDefault="00F276CC" w:rsidP="00F276CC">
      <w:pPr>
        <w:spacing w:after="0" w:line="276" w:lineRule="auto"/>
        <w:jc w:val="both"/>
        <w:rPr>
          <w:rFonts w:ascii="Verdana" w:eastAsia="Calibri" w:hAnsi="Verdana" w:cs="Arial"/>
          <w:color w:val="7030A0"/>
          <w:lang w:val="es-ES"/>
        </w:rPr>
      </w:pPr>
    </w:p>
    <w:p w14:paraId="5C781E28" w14:textId="77777777" w:rsidR="00F276CC" w:rsidRPr="009F5D48" w:rsidRDefault="00F276CC" w:rsidP="00F276CC">
      <w:pPr>
        <w:spacing w:after="0" w:line="276" w:lineRule="auto"/>
        <w:jc w:val="both"/>
        <w:rPr>
          <w:rFonts w:ascii="Verdana" w:eastAsia="Calibri" w:hAnsi="Verdana" w:cs="Arial"/>
          <w:lang w:val="es-ES"/>
        </w:rPr>
      </w:pPr>
      <w:r w:rsidRPr="009F5D48">
        <w:rPr>
          <w:rFonts w:ascii="Verdana" w:eastAsia="Calibri" w:hAnsi="Verdana" w:cs="Arial"/>
          <w:lang w:val="es-ES"/>
        </w:rPr>
        <w:t xml:space="preserve">Lo anterior se sustenta en las siguientes consideraciones: </w:t>
      </w:r>
    </w:p>
    <w:p w14:paraId="0729D00F" w14:textId="77777777" w:rsidR="00F276CC" w:rsidRDefault="00F276CC" w:rsidP="00F276CC">
      <w:pPr>
        <w:spacing w:after="0" w:line="276" w:lineRule="auto"/>
        <w:jc w:val="both"/>
        <w:rPr>
          <w:rFonts w:ascii="Verdana" w:eastAsia="Calibri" w:hAnsi="Verdana" w:cs="Arial"/>
          <w:lang w:val="es-ES"/>
        </w:rPr>
      </w:pPr>
    </w:p>
    <w:p w14:paraId="6A1F75A9" w14:textId="77777777" w:rsidR="00F276CC" w:rsidRPr="003053B5" w:rsidRDefault="00F276CC" w:rsidP="00F276CC">
      <w:pPr>
        <w:pStyle w:val="Prrafodelista"/>
        <w:numPr>
          <w:ilvl w:val="0"/>
          <w:numId w:val="19"/>
        </w:numPr>
        <w:spacing w:after="0" w:line="276" w:lineRule="auto"/>
        <w:jc w:val="both"/>
        <w:rPr>
          <w:rFonts w:ascii="Verdana" w:eastAsia="Calibri" w:hAnsi="Verdana" w:cs="Arial"/>
          <w:u w:val="single"/>
        </w:rPr>
      </w:pPr>
      <w:r w:rsidRPr="003053B5">
        <w:rPr>
          <w:rFonts w:ascii="Verdana" w:eastAsia="Calibri" w:hAnsi="Verdana" w:cs="Arial"/>
          <w:u w:val="single"/>
        </w:rPr>
        <w:t>Fundamento normativo y características del contrato de prestación de servicios</w:t>
      </w:r>
    </w:p>
    <w:p w14:paraId="53F1C6A9" w14:textId="77777777" w:rsidR="00F276CC" w:rsidRDefault="00F276CC" w:rsidP="00F276CC">
      <w:pPr>
        <w:widowControl w:val="0"/>
        <w:autoSpaceDE w:val="0"/>
        <w:autoSpaceDN w:val="0"/>
        <w:spacing w:after="0" w:line="276" w:lineRule="auto"/>
        <w:jc w:val="both"/>
        <w:rPr>
          <w:rFonts w:ascii="Verdana" w:eastAsia="Calibri" w:hAnsi="Verdana" w:cs="Arial"/>
        </w:rPr>
      </w:pPr>
    </w:p>
    <w:p w14:paraId="7D5F1B4E" w14:textId="77777777" w:rsidR="00F276CC" w:rsidRPr="009F5D48" w:rsidRDefault="00F276CC" w:rsidP="00F276CC">
      <w:pPr>
        <w:widowControl w:val="0"/>
        <w:autoSpaceDE w:val="0"/>
        <w:autoSpaceDN w:val="0"/>
        <w:spacing w:after="0" w:line="276" w:lineRule="auto"/>
        <w:jc w:val="both"/>
        <w:rPr>
          <w:rFonts w:ascii="Verdana" w:eastAsia="Calibri" w:hAnsi="Verdana" w:cs="Arial"/>
          <w:lang w:val="es-ES"/>
        </w:rPr>
      </w:pPr>
      <w:r w:rsidRPr="009F5D48">
        <w:rPr>
          <w:rFonts w:ascii="Verdana" w:eastAsia="Calibri" w:hAnsi="Verdana" w:cs="Arial"/>
          <w:lang w:val="es-ES"/>
        </w:rPr>
        <w:t>Para empezar, el contrato de prestación de servicios es un contrato estatal típico que está regulado en el numeral 3 del artículo 32 de la Ley 80 de 1993:</w:t>
      </w:r>
    </w:p>
    <w:p w14:paraId="44A77E57" w14:textId="77777777" w:rsidR="00F276CC" w:rsidRPr="009F5D48" w:rsidRDefault="00F276CC" w:rsidP="00F276CC">
      <w:pPr>
        <w:spacing w:before="100" w:beforeAutospacing="1" w:after="100" w:afterAutospacing="1" w:line="276" w:lineRule="auto"/>
        <w:ind w:left="851" w:right="758"/>
        <w:jc w:val="both"/>
        <w:rPr>
          <w:rFonts w:ascii="Verdana" w:eastAsia="Times New Roman" w:hAnsi="Verdana" w:cs="Open Sans"/>
          <w:lang w:eastAsia="es-CO"/>
        </w:rPr>
      </w:pPr>
      <w:r w:rsidRPr="009F5D48">
        <w:rPr>
          <w:rFonts w:ascii="Verdana" w:eastAsia="Times New Roman" w:hAnsi="Verdana" w:cs="Open Sans"/>
          <w:lang w:eastAsia="es-CO"/>
        </w:rPr>
        <w:t>Son contratos de prestación de servicios los que celebren las entidades estatales para desarrollar actividades relacionadas con la administración o funcionamiento de la entidad. Estos contratos sólo podrán celebrarse con personas naturales cuando dichas actividades </w:t>
      </w:r>
      <w:r w:rsidRPr="009F5D48">
        <w:rPr>
          <w:rFonts w:ascii="Verdana" w:eastAsia="Times New Roman" w:hAnsi="Verdana" w:cs="Open Sans"/>
          <w:u w:val="single"/>
          <w:lang w:eastAsia="es-CO"/>
        </w:rPr>
        <w:t>no puedan realizarse con personal de planta</w:t>
      </w:r>
      <w:r w:rsidRPr="009F5D48">
        <w:rPr>
          <w:rFonts w:ascii="Verdana" w:eastAsia="Times New Roman" w:hAnsi="Verdana" w:cs="Open Sans"/>
          <w:lang w:eastAsia="es-CO"/>
        </w:rPr>
        <w:t> o requieran conocimientos especializados.</w:t>
      </w:r>
    </w:p>
    <w:p w14:paraId="68A6A4F2" w14:textId="77777777" w:rsidR="00F276CC" w:rsidRPr="009F5D48" w:rsidRDefault="00F276CC" w:rsidP="00F276CC">
      <w:pPr>
        <w:spacing w:before="100" w:beforeAutospacing="1" w:after="100" w:afterAutospacing="1" w:line="276" w:lineRule="auto"/>
        <w:ind w:left="851" w:right="758"/>
        <w:jc w:val="both"/>
        <w:rPr>
          <w:rFonts w:ascii="Verdana" w:eastAsia="Times New Roman" w:hAnsi="Verdana" w:cs="Open Sans"/>
          <w:lang w:eastAsia="es-CO"/>
        </w:rPr>
      </w:pPr>
      <w:r w:rsidRPr="009F5D48">
        <w:rPr>
          <w:rFonts w:ascii="Verdana" w:eastAsia="Times New Roman" w:hAnsi="Verdana" w:cs="Open Sans"/>
          <w:u w:val="single"/>
          <w:lang w:eastAsia="es-CO"/>
        </w:rPr>
        <w:t>En ningún caso</w:t>
      </w:r>
      <w:r w:rsidRPr="009F5D48">
        <w:rPr>
          <w:rFonts w:ascii="Verdana" w:eastAsia="Times New Roman" w:hAnsi="Verdana" w:cs="Open Sans"/>
          <w:lang w:eastAsia="es-CO"/>
        </w:rPr>
        <w:t> estos contratos</w:t>
      </w:r>
      <w:r w:rsidRPr="009F5D48">
        <w:rPr>
          <w:rFonts w:ascii="Verdana" w:eastAsia="Times New Roman" w:hAnsi="Verdana" w:cs="Open Sans"/>
          <w:u w:val="single"/>
          <w:lang w:eastAsia="es-CO"/>
        </w:rPr>
        <w:t> generan relación laboral ni prestaciones sociales</w:t>
      </w:r>
      <w:r w:rsidRPr="009F5D48">
        <w:rPr>
          <w:rFonts w:ascii="Verdana" w:eastAsia="Times New Roman" w:hAnsi="Verdana" w:cs="Open Sans"/>
          <w:lang w:eastAsia="es-CO"/>
        </w:rPr>
        <w:t> y se celebrarán por el término estrictamente indispensable.</w:t>
      </w:r>
    </w:p>
    <w:p w14:paraId="5C12D3D8" w14:textId="77777777" w:rsidR="00F276CC" w:rsidRPr="009F5D48" w:rsidRDefault="00F276CC" w:rsidP="00F276CC">
      <w:pPr>
        <w:widowControl w:val="0"/>
        <w:autoSpaceDE w:val="0"/>
        <w:autoSpaceDN w:val="0"/>
        <w:spacing w:after="0" w:line="276" w:lineRule="auto"/>
        <w:jc w:val="both"/>
        <w:rPr>
          <w:rFonts w:ascii="Verdana" w:eastAsia="Calibri" w:hAnsi="Verdana" w:cs="Arial"/>
        </w:rPr>
      </w:pPr>
      <w:r w:rsidRPr="009F5D48">
        <w:rPr>
          <w:rFonts w:ascii="Verdana" w:eastAsia="Calibri" w:hAnsi="Verdana" w:cs="Arial"/>
          <w:lang w:val="es-ES"/>
        </w:rPr>
        <w:t xml:space="preserve">Su modalidad de selección se encuentra establecida en el </w:t>
      </w:r>
      <w:r w:rsidRPr="009F5D48">
        <w:rPr>
          <w:rFonts w:ascii="Verdana" w:eastAsia="Calibri" w:hAnsi="Verdana" w:cs="Arial"/>
          <w:lang w:val="es-ES_tradnl"/>
        </w:rPr>
        <w:t xml:space="preserve">artículo 2, numeral 4º, literal h), de la Ley 1150 de 2007 como </w:t>
      </w:r>
      <w:r w:rsidRPr="009F5D48">
        <w:rPr>
          <w:rFonts w:ascii="Verdana" w:eastAsia="Calibri" w:hAnsi="Verdana" w:cs="Arial"/>
          <w:color w:val="000000" w:themeColor="text1"/>
          <w:lang w:val="es-ES_tradnl"/>
        </w:rPr>
        <w:t xml:space="preserve">contratación directa, y aquella es reglamentada en el </w:t>
      </w:r>
      <w:bookmarkStart w:id="2" w:name="_Hlk197360180"/>
      <w:r w:rsidRPr="009F5D48">
        <w:rPr>
          <w:rFonts w:ascii="Verdana" w:eastAsia="Calibri" w:hAnsi="Verdana" w:cs="Arial"/>
        </w:rPr>
        <w:t xml:space="preserve">artículo 2.2.1.2.1.4.9 </w:t>
      </w:r>
      <w:bookmarkEnd w:id="2"/>
      <w:r w:rsidRPr="009F5D48">
        <w:rPr>
          <w:rFonts w:ascii="Verdana" w:eastAsia="Calibri" w:hAnsi="Verdana" w:cs="Arial"/>
        </w:rPr>
        <w:t xml:space="preserve">del Decreto 1082 de 2015, del que se resalta </w:t>
      </w:r>
      <w:r w:rsidRPr="009F5D48">
        <w:rPr>
          <w:rFonts w:ascii="Verdana" w:hAnsi="Verdana" w:cs="Arial"/>
        </w:rPr>
        <w:t xml:space="preserve">la obligación de las entidades estatales de verificar la idoneidad de las </w:t>
      </w:r>
      <w:r w:rsidRPr="009F5D48">
        <w:rPr>
          <w:rFonts w:ascii="Verdana" w:hAnsi="Verdana" w:cs="Arial"/>
        </w:rPr>
        <w:lastRenderedPageBreak/>
        <w:t>personas con las que se celebrará este tipo de contratos</w:t>
      </w:r>
      <w:r w:rsidRPr="009F5D48">
        <w:rPr>
          <w:rFonts w:ascii="Verdana" w:eastAsia="Calibri" w:hAnsi="Verdana" w:cs="Arial"/>
        </w:rPr>
        <w:t>:</w:t>
      </w:r>
    </w:p>
    <w:p w14:paraId="5955EFF1" w14:textId="77777777" w:rsidR="00F276CC" w:rsidRPr="009F5D48" w:rsidRDefault="00F276CC" w:rsidP="00F276CC">
      <w:pPr>
        <w:shd w:val="clear" w:color="auto" w:fill="FFFFFF"/>
        <w:spacing w:before="100" w:beforeAutospacing="1" w:after="100" w:afterAutospacing="1" w:line="276" w:lineRule="auto"/>
        <w:ind w:left="851" w:right="758"/>
        <w:jc w:val="both"/>
        <w:rPr>
          <w:rFonts w:ascii="Verdana" w:eastAsia="Times New Roman" w:hAnsi="Verdana" w:cs="Times New Roman"/>
          <w:color w:val="333333"/>
          <w:lang w:eastAsia="es-CO"/>
        </w:rPr>
      </w:pPr>
      <w:r w:rsidRPr="009F5D48">
        <w:rPr>
          <w:rFonts w:ascii="Verdana" w:eastAsia="Times New Roman" w:hAnsi="Verdana" w:cs="Times New Roman"/>
          <w:color w:val="333333"/>
          <w:lang w:eastAsia="es-CO"/>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0E2CEA9" w14:textId="77777777" w:rsidR="00F276CC" w:rsidRPr="009F5D48" w:rsidRDefault="00F276CC" w:rsidP="00F276CC">
      <w:pPr>
        <w:shd w:val="clear" w:color="auto" w:fill="FFFFFF"/>
        <w:spacing w:before="100" w:beforeAutospacing="1" w:after="100" w:afterAutospacing="1" w:line="276" w:lineRule="auto"/>
        <w:ind w:left="851" w:right="758"/>
        <w:jc w:val="both"/>
        <w:rPr>
          <w:rFonts w:ascii="Verdana" w:eastAsia="Times New Roman" w:hAnsi="Verdana" w:cs="Times New Roman"/>
          <w:color w:val="333333"/>
          <w:lang w:eastAsia="es-CO"/>
        </w:rPr>
      </w:pPr>
      <w:r w:rsidRPr="009F5D48">
        <w:rPr>
          <w:rFonts w:ascii="Verdana" w:eastAsia="Times New Roman" w:hAnsi="Verdana" w:cs="Times New Roman"/>
          <w:color w:val="333333"/>
          <w:lang w:eastAsia="es-CO"/>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281F08A1" w14:textId="77777777" w:rsidR="00F276CC" w:rsidRPr="009F5D48" w:rsidRDefault="00F276CC" w:rsidP="00F276CC">
      <w:pPr>
        <w:shd w:val="clear" w:color="auto" w:fill="FFFFFF"/>
        <w:spacing w:before="100" w:beforeAutospacing="1" w:after="100" w:afterAutospacing="1" w:line="276" w:lineRule="auto"/>
        <w:ind w:left="851" w:right="758"/>
        <w:jc w:val="both"/>
        <w:rPr>
          <w:rFonts w:ascii="Verdana" w:eastAsia="Times New Roman" w:hAnsi="Verdana" w:cs="Times New Roman"/>
          <w:color w:val="333333"/>
          <w:lang w:eastAsia="es-CO"/>
        </w:rPr>
      </w:pPr>
      <w:r w:rsidRPr="009F5D48">
        <w:rPr>
          <w:rFonts w:ascii="Verdana" w:eastAsia="Times New Roman" w:hAnsi="Verdana" w:cs="Times New Roman"/>
          <w:color w:val="333333"/>
          <w:lang w:eastAsia="es-CO"/>
        </w:rPr>
        <w:t>La Entidad Estatal, para la contratación de trabajos artísticos que solamente puedan encomendarse a determinadas personas naturales, debe justificar esta situación en los estudios y documentos previos.</w:t>
      </w:r>
    </w:p>
    <w:p w14:paraId="4139BA5F" w14:textId="4F6E5508" w:rsidR="00F276CC" w:rsidRPr="001E7958" w:rsidRDefault="00F276CC" w:rsidP="001E7958">
      <w:pPr>
        <w:spacing w:after="120" w:line="276" w:lineRule="auto"/>
        <w:ind w:right="51" w:firstLine="709"/>
        <w:jc w:val="both"/>
        <w:rPr>
          <w:rFonts w:ascii="Verdana" w:eastAsia="Calibri" w:hAnsi="Verdana" w:cs="Arial"/>
        </w:rPr>
      </w:pPr>
      <w:r w:rsidRPr="009F5D48">
        <w:rPr>
          <w:rFonts w:ascii="Verdana" w:eastAsia="Calibri" w:hAnsi="Verdana" w:cs="Arial"/>
        </w:rPr>
        <w:t xml:space="preserve">Se resalta que </w:t>
      </w:r>
      <w:r w:rsidRPr="009F5D48">
        <w:rPr>
          <w:rFonts w:ascii="Verdana" w:hAnsi="Verdana" w:cs="Arial"/>
        </w:rPr>
        <w:t xml:space="preserve">cada entidad estatal tiene la facultad de definir los requisitos habilitantes para la contratación en los documentos previos de acuerdo con las características y la naturaleza del contrato, atendiendo siempre a los principios de planeación, transparencia y selección objetiva. En virtud de los cuales, la Entidad estatal al definir la necesidad a satisfacer con la contratación de prestación de servicios profesionales, debe establecer el objeto contractual, las obligaciones que lo desarrollan y el perfil requerido para dar cumplimiento a los mismos. </w:t>
      </w:r>
    </w:p>
    <w:p w14:paraId="5EAFA940" w14:textId="77777777" w:rsidR="00F276CC" w:rsidRPr="009F5D48" w:rsidRDefault="00F276CC" w:rsidP="00F276CC">
      <w:pPr>
        <w:spacing w:after="120" w:line="276" w:lineRule="auto"/>
        <w:ind w:firstLine="709"/>
        <w:jc w:val="both"/>
        <w:rPr>
          <w:rFonts w:ascii="Verdana" w:eastAsia="Calibri" w:hAnsi="Verdana" w:cs="Arial"/>
          <w:color w:val="000000"/>
          <w:lang w:val="es-ES_tradnl" w:eastAsia="es-ES_tradnl"/>
        </w:rPr>
      </w:pPr>
      <w:r w:rsidRPr="009F5D48">
        <w:rPr>
          <w:rFonts w:ascii="Verdana" w:eastAsia="Calibri" w:hAnsi="Verdana" w:cs="Arial"/>
          <w:color w:val="000000"/>
          <w:lang w:val="es-ES_tradnl" w:eastAsia="es-ES_tradnl"/>
        </w:rPr>
        <w:t xml:space="preserve">Así, a partir de estos enunciados normativos, entre otros, de carácter legal y reglamentario, que complementan su regulación, así como de </w:t>
      </w:r>
      <w:r w:rsidRPr="009F5D48">
        <w:rPr>
          <w:rFonts w:ascii="Verdana" w:eastAsia="Calibri" w:hAnsi="Verdana" w:cs="Arial"/>
          <w:color w:val="000000"/>
          <w:lang w:val="es-ES_tradnl" w:eastAsia="es-ES_tradnl"/>
        </w:rPr>
        <w:lastRenderedPageBreak/>
        <w:t>pronunciamientos jurisprudenciales</w:t>
      </w:r>
      <w:r w:rsidRPr="009F5D48">
        <w:rPr>
          <w:rStyle w:val="Refdenotaalpie"/>
          <w:rFonts w:ascii="Verdana" w:eastAsia="Calibri" w:hAnsi="Verdana" w:cs="Arial"/>
          <w:color w:val="000000"/>
          <w:lang w:val="es-ES_tradnl" w:eastAsia="es-ES_tradnl"/>
        </w:rPr>
        <w:footnoteReference w:id="1"/>
      </w:r>
      <w:r w:rsidRPr="009F5D48">
        <w:rPr>
          <w:rFonts w:ascii="Verdana" w:eastAsia="Calibri" w:hAnsi="Verdana" w:cs="Arial"/>
          <w:color w:val="000000"/>
          <w:lang w:val="es-ES_tradnl" w:eastAsia="es-ES_tradnl"/>
        </w:rPr>
        <w:t>, es posible señalar las siguientes características del contrato de prestación de servicios:</w:t>
      </w:r>
    </w:p>
    <w:p w14:paraId="13FCD4D1" w14:textId="77777777" w:rsidR="00F276CC" w:rsidRPr="009F5D48" w:rsidRDefault="00F276CC" w:rsidP="00F276CC">
      <w:pPr>
        <w:pStyle w:val="Prrafodelista"/>
        <w:numPr>
          <w:ilvl w:val="0"/>
          <w:numId w:val="18"/>
        </w:numPr>
        <w:spacing w:after="0" w:line="276" w:lineRule="auto"/>
        <w:ind w:left="0" w:firstLine="709"/>
        <w:jc w:val="both"/>
        <w:rPr>
          <w:rFonts w:ascii="Verdana" w:eastAsia="Calibri" w:hAnsi="Verdana" w:cs="Arial"/>
        </w:rPr>
      </w:pPr>
      <w:r w:rsidRPr="009F5D48">
        <w:rPr>
          <w:rFonts w:ascii="Verdana" w:eastAsia="Calibri" w:hAnsi="Verdana" w:cs="Arial"/>
        </w:rPr>
        <w:t>Solo puede celebrarse para realizar “actividades relacionadas con la administración o funcionamiento de la entidad”, es decir, que hagan parte de su giro ordinario o quehacer cotidiano</w:t>
      </w:r>
      <w:r w:rsidRPr="009F5D48">
        <w:rPr>
          <w:rStyle w:val="Refdenotaalpie"/>
          <w:rFonts w:ascii="Verdana" w:eastAsia="Calibri" w:hAnsi="Verdana" w:cs="Arial"/>
        </w:rPr>
        <w:footnoteReference w:id="2"/>
      </w:r>
      <w:r w:rsidRPr="009F5D48">
        <w:rPr>
          <w:rFonts w:ascii="Verdana" w:eastAsia="Calibri" w:hAnsi="Verdana" w:cs="Arial"/>
        </w:rPr>
        <w:t xml:space="preserve">; </w:t>
      </w:r>
    </w:p>
    <w:p w14:paraId="657D2439" w14:textId="77777777" w:rsidR="00F276CC" w:rsidRPr="009F5D48" w:rsidRDefault="00F276CC" w:rsidP="00F276CC">
      <w:pPr>
        <w:pStyle w:val="Prrafodelista"/>
        <w:numPr>
          <w:ilvl w:val="0"/>
          <w:numId w:val="18"/>
        </w:numPr>
        <w:spacing w:after="0" w:line="276" w:lineRule="auto"/>
        <w:ind w:left="0" w:firstLine="720"/>
        <w:jc w:val="both"/>
        <w:rPr>
          <w:rFonts w:ascii="Verdana" w:eastAsia="Calibri" w:hAnsi="Verdana" w:cs="Arial"/>
        </w:rPr>
      </w:pPr>
      <w:r w:rsidRPr="009F5D48">
        <w:rPr>
          <w:rFonts w:ascii="Verdana" w:eastAsia="Calibri" w:hAnsi="Verdana" w:cs="Arial"/>
        </w:rPr>
        <w:t xml:space="preserve">Respecto del tipo de personas que pueden ser contratadas, admite que se suscriba con personas naturales o jurídicas. Sin embargo, cuando se celebre con personas naturales la Entidad Estatal debe justificar, en los estudios previos, que las actividades “no puedan realizarse con personal de planta o requieran conocimientos especializados”; </w:t>
      </w:r>
    </w:p>
    <w:p w14:paraId="0CE397CB" w14:textId="77777777" w:rsidR="00F276CC" w:rsidRPr="009F5D48" w:rsidRDefault="00F276CC" w:rsidP="00F276CC">
      <w:pPr>
        <w:pStyle w:val="Prrafodelista"/>
        <w:numPr>
          <w:ilvl w:val="0"/>
          <w:numId w:val="18"/>
        </w:numPr>
        <w:spacing w:after="120" w:line="276" w:lineRule="auto"/>
        <w:ind w:left="0" w:firstLine="709"/>
        <w:jc w:val="both"/>
        <w:rPr>
          <w:rFonts w:ascii="Verdana" w:hAnsi="Verdana" w:cs="Arial"/>
          <w:noProof/>
          <w:lang w:val="es-ES_tradnl"/>
        </w:rPr>
      </w:pPr>
      <w:r w:rsidRPr="009F5D48">
        <w:rPr>
          <w:rFonts w:ascii="Verdana" w:hAnsi="Verdana" w:cs="Arial"/>
          <w:noProof/>
          <w:lang w:val="es-ES_tradnl"/>
        </w:rPr>
        <w:t xml:space="preserve">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9F5D48">
        <w:rPr>
          <w:rFonts w:ascii="Verdana" w:hAnsi="Verdana" w:cs="Arial"/>
          <w:i/>
          <w:noProof/>
          <w:lang w:val="es-ES_tradnl"/>
        </w:rPr>
        <w:t xml:space="preserve">subordinación </w:t>
      </w:r>
      <w:r w:rsidRPr="009F5D48">
        <w:rPr>
          <w:rFonts w:ascii="Verdana" w:hAnsi="Verdana" w:cs="Arial"/>
          <w:iCs/>
          <w:noProof/>
          <w:lang w:val="es-ES_tradnl"/>
        </w:rPr>
        <w:t>ni</w:t>
      </w:r>
      <w:r w:rsidRPr="009F5D48">
        <w:rPr>
          <w:rFonts w:ascii="Verdana" w:hAnsi="Verdana" w:cs="Arial"/>
          <w:i/>
          <w:noProof/>
          <w:lang w:val="es-ES_tradnl"/>
        </w:rPr>
        <w:t xml:space="preserve"> dependencia</w:t>
      </w:r>
      <w:r w:rsidRPr="009F5D48">
        <w:rPr>
          <w:rFonts w:ascii="Verdana" w:hAnsi="Verdana" w:cs="Arial"/>
          <w:iCs/>
          <w:noProof/>
          <w:lang w:val="es-ES_tradnl"/>
        </w:rPr>
        <w:t>,</w:t>
      </w:r>
      <w:r w:rsidRPr="009F5D48">
        <w:rPr>
          <w:rFonts w:ascii="Verdana" w:hAnsi="Verdana" w:cs="Arial"/>
          <w:noProof/>
          <w:lang w:val="es-ES_tradnl"/>
        </w:rPr>
        <w:t xml:space="preserve"> que es uno de los elementos constitutivos del vínculo laboral</w:t>
      </w:r>
      <w:r w:rsidRPr="009F5D48">
        <w:rPr>
          <w:rFonts w:ascii="Verdana" w:hAnsi="Verdana"/>
          <w:noProof/>
          <w:vertAlign w:val="superscript"/>
          <w:lang w:val="es-ES_tradnl"/>
        </w:rPr>
        <w:footnoteReference w:id="3"/>
      </w:r>
      <w:r w:rsidRPr="009F5D48">
        <w:rPr>
          <w:rFonts w:ascii="Verdana" w:hAnsi="Verdana" w:cs="Arial"/>
          <w:noProof/>
          <w:lang w:val="es-ES_tradnl"/>
        </w:rPr>
        <w:t xml:space="preserve">. </w:t>
      </w:r>
    </w:p>
    <w:p w14:paraId="12430E9B" w14:textId="77777777" w:rsidR="00F276CC" w:rsidRPr="009F5D48" w:rsidRDefault="00F276CC" w:rsidP="00F276CC">
      <w:pPr>
        <w:spacing w:after="120" w:line="276" w:lineRule="auto"/>
        <w:jc w:val="both"/>
        <w:rPr>
          <w:rFonts w:ascii="Verdana" w:hAnsi="Verdana" w:cs="Arial"/>
          <w:noProof/>
          <w:lang w:val="es-ES_tradnl"/>
        </w:rPr>
      </w:pPr>
      <w:r w:rsidRPr="009F5D48">
        <w:rPr>
          <w:rFonts w:ascii="Verdana" w:hAnsi="Verdana" w:cs="Arial"/>
          <w:noProof/>
          <w:lang w:val="es-ES_tradnl"/>
        </w:rPr>
        <w:t xml:space="preserve">Por lo anterior, el artículo 32, numeral 3º, de la Ley 80 de 1993 establece que “En ningún caso estos contratos generan relación laboral ni prestaciones sociales”. Este inciso, más que un enunciado que aluda al “ser”, se refiere al “deber ser”, pues debe interpretarse en el sentido de que los contratos de prestación de servicios profesionales </w:t>
      </w:r>
      <w:r w:rsidRPr="009F5D48">
        <w:rPr>
          <w:rFonts w:ascii="Verdana" w:hAnsi="Verdana" w:cs="Arial"/>
          <w:i/>
          <w:noProof/>
          <w:lang w:val="es-ES_tradnl"/>
        </w:rPr>
        <w:t>no pueden</w:t>
      </w:r>
      <w:r w:rsidRPr="009F5D48">
        <w:rPr>
          <w:rFonts w:ascii="Verdana" w:hAnsi="Verdana" w:cs="Arial"/>
          <w:noProof/>
          <w:lang w:val="es-ES_tradnl"/>
        </w:rPr>
        <w:t xml:space="preserve"> generar relación laboral. Tal como se indicó, no puede existir subordinación y dependencia; entonces, la relación laboral está proscrita y el contratista es quien, como “trabajador independiente” – debe dispononer de forma autonoma la ejecución de las actividades objeto del contrato.  </w:t>
      </w:r>
    </w:p>
    <w:p w14:paraId="31940B34" w14:textId="77777777" w:rsidR="00F276CC" w:rsidRPr="009F5D48" w:rsidRDefault="00F276CC" w:rsidP="00F276CC">
      <w:pPr>
        <w:pStyle w:val="Prrafodelista"/>
        <w:numPr>
          <w:ilvl w:val="0"/>
          <w:numId w:val="18"/>
        </w:numPr>
        <w:spacing w:after="120" w:line="276" w:lineRule="auto"/>
        <w:ind w:left="0" w:firstLine="720"/>
        <w:jc w:val="both"/>
        <w:rPr>
          <w:rFonts w:ascii="Verdana" w:eastAsia="Calibri" w:hAnsi="Verdana" w:cs="Arial"/>
          <w:color w:val="000000"/>
          <w:lang w:val="es-ES_tradnl" w:eastAsia="es-ES_tradnl"/>
        </w:rPr>
      </w:pPr>
      <w:r w:rsidRPr="009F5D48">
        <w:rPr>
          <w:rFonts w:ascii="Verdana" w:hAnsi="Verdana" w:cs="Arial"/>
          <w:noProof/>
          <w:lang w:val="es-ES_tradnl"/>
        </w:rPr>
        <w:t xml:space="preserve">Deben ser temporales. La </w:t>
      </w:r>
      <w:r w:rsidRPr="009F5D48">
        <w:rPr>
          <w:rFonts w:ascii="Verdana" w:eastAsia="Arial" w:hAnsi="Verdana" w:cs="Arial"/>
          <w:color w:val="000000"/>
        </w:rPr>
        <w:t>Sentencia de Unificación Jurisprudencial de 09 de septiembre de 2021, proferida por el Consejo de Estado</w:t>
      </w:r>
      <w:r w:rsidRPr="009F5D48">
        <w:rPr>
          <w:rFonts w:ascii="Verdana" w:hAnsi="Verdana"/>
          <w:bCs/>
          <w:vertAlign w:val="superscript"/>
        </w:rPr>
        <w:footnoteReference w:id="4"/>
      </w:r>
      <w:r w:rsidRPr="009F5D48">
        <w:rPr>
          <w:rFonts w:ascii="Verdana" w:hAnsi="Verdana" w:cs="Arial"/>
          <w:noProof/>
          <w:lang w:val="es-ES_tradnl"/>
        </w:rPr>
        <w:t xml:space="preserve">, frente a la duración del contrato de prestación de servicios señaló que, solo puede </w:t>
      </w:r>
      <w:r w:rsidRPr="009F5D48">
        <w:rPr>
          <w:rFonts w:ascii="Verdana" w:hAnsi="Verdana" w:cs="Arial"/>
          <w:noProof/>
          <w:lang w:val="es-ES_tradnl"/>
        </w:rPr>
        <w:lastRenderedPageBreak/>
        <w:t>celebrarse por un “término estrictamente indispensable”. En ese entendido, la citada sentencia unificó el sentido y alcance del término estrictamente indispensable como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p>
    <w:p w14:paraId="177E9AE4" w14:textId="77777777" w:rsidR="00F276CC" w:rsidRPr="009F5D48" w:rsidRDefault="00F276CC" w:rsidP="00F276CC">
      <w:pPr>
        <w:pStyle w:val="Prrafodelista"/>
        <w:numPr>
          <w:ilvl w:val="0"/>
          <w:numId w:val="18"/>
        </w:numPr>
        <w:spacing w:after="120" w:line="276" w:lineRule="auto"/>
        <w:ind w:left="0" w:firstLine="720"/>
        <w:jc w:val="both"/>
        <w:rPr>
          <w:rFonts w:ascii="Verdana" w:eastAsia="Calibri" w:hAnsi="Verdana" w:cs="Arial"/>
          <w:lang w:eastAsia="es-ES"/>
        </w:rPr>
      </w:pPr>
      <w:r w:rsidRPr="009F5D48">
        <w:rPr>
          <w:rFonts w:ascii="Verdana" w:eastAsia="Calibri" w:hAnsi="Verdana" w:cs="Arial"/>
          <w:color w:val="000000"/>
          <w:lang w:eastAsia="es-ES"/>
        </w:rPr>
        <w:t xml:space="preserve">Los contratos de prestación de servicios constituyen un </w:t>
      </w:r>
      <w:r w:rsidRPr="009F5D48">
        <w:rPr>
          <w:rFonts w:ascii="Verdana" w:eastAsia="Calibri" w:hAnsi="Verdana" w:cs="Arial"/>
          <w:i/>
          <w:color w:val="000000"/>
          <w:lang w:eastAsia="es-ES"/>
        </w:rPr>
        <w:t>género</w:t>
      </w:r>
      <w:r w:rsidRPr="009F5D48">
        <w:rPr>
          <w:rFonts w:ascii="Verdana" w:eastAsia="Calibri" w:hAnsi="Verdana" w:cs="Arial"/>
          <w:color w:val="000000"/>
          <w:lang w:eastAsia="es-ES"/>
        </w:rPr>
        <w:t xml:space="preserve"> que incluye, como </w:t>
      </w:r>
      <w:r w:rsidRPr="009F5D48">
        <w:rPr>
          <w:rFonts w:ascii="Verdana" w:eastAsia="Calibri" w:hAnsi="Verdana" w:cs="Arial"/>
          <w:i/>
          <w:color w:val="000000"/>
          <w:lang w:eastAsia="es-ES"/>
        </w:rPr>
        <w:t>especies</w:t>
      </w:r>
      <w:r w:rsidRPr="009F5D48">
        <w:rPr>
          <w:rFonts w:ascii="Verdana" w:eastAsia="Calibri" w:hAnsi="Verdana" w:cs="Arial"/>
          <w:color w:val="000000"/>
          <w:lang w:eastAsia="es-ES"/>
        </w:rPr>
        <w:t>, los contratos de prestación de servicios profesionales, los contratos de prestación de servicios de apoyo a la gestión y los contratos de prestación de servicios artísticos que solo pueden encomendarse a determinadas personas naturales</w:t>
      </w:r>
      <w:r w:rsidRPr="009F5D48">
        <w:rPr>
          <w:rFonts w:ascii="Verdana" w:hAnsi="Verdana"/>
          <w:vertAlign w:val="superscript"/>
          <w:lang w:eastAsia="es-ES"/>
        </w:rPr>
        <w:footnoteReference w:id="5"/>
      </w:r>
      <w:r w:rsidRPr="009F5D48">
        <w:rPr>
          <w:rFonts w:ascii="Verdana" w:eastAsia="Calibri" w:hAnsi="Verdana" w:cs="Arial"/>
          <w:color w:val="000000"/>
          <w:lang w:eastAsia="es-ES"/>
        </w:rPr>
        <w:t xml:space="preserve">. La diferencia entre el contrato de prestación de servicios </w:t>
      </w:r>
      <w:r w:rsidRPr="009F5D48">
        <w:rPr>
          <w:rFonts w:ascii="Verdana" w:eastAsia="Calibri" w:hAnsi="Verdana" w:cs="Arial"/>
          <w:i/>
          <w:color w:val="000000"/>
          <w:lang w:eastAsia="es-ES"/>
        </w:rPr>
        <w:t>profesionales</w:t>
      </w:r>
      <w:r w:rsidRPr="009F5D48">
        <w:rPr>
          <w:rFonts w:ascii="Verdana" w:eastAsia="Calibri" w:hAnsi="Verdana" w:cs="Arial"/>
          <w:color w:val="000000"/>
          <w:lang w:eastAsia="es-ES"/>
        </w:rPr>
        <w:t xml:space="preserve"> con las otras dos especies del género en el cual se ubican radica en su contenido intelectual intangible y, al mismo tiempo, en la formación </w:t>
      </w:r>
      <w:r w:rsidRPr="009F5D48">
        <w:rPr>
          <w:rFonts w:ascii="Verdana" w:eastAsia="Calibri" w:hAnsi="Verdana" w:cs="Arial"/>
          <w:lang w:eastAsia="es-ES"/>
        </w:rPr>
        <w:t>profesional que se exige para desempeñar la labor</w:t>
      </w:r>
      <w:r w:rsidRPr="009F5D48">
        <w:rPr>
          <w:rFonts w:ascii="Verdana" w:hAnsi="Verdana"/>
          <w:vertAlign w:val="superscript"/>
          <w:lang w:eastAsia="es-ES"/>
        </w:rPr>
        <w:footnoteReference w:id="6"/>
      </w:r>
      <w:r w:rsidRPr="009F5D48">
        <w:rPr>
          <w:rFonts w:ascii="Verdana" w:eastAsia="Calibri" w:hAnsi="Verdana" w:cs="Arial"/>
          <w:lang w:eastAsia="es-ES"/>
        </w:rPr>
        <w:t>.</w:t>
      </w:r>
    </w:p>
    <w:p w14:paraId="6F08DDDD" w14:textId="77777777" w:rsidR="00F276CC" w:rsidRPr="009F5D48" w:rsidRDefault="00F276CC" w:rsidP="00F276CC">
      <w:pPr>
        <w:pStyle w:val="Prrafodelista"/>
        <w:widowControl w:val="0"/>
        <w:numPr>
          <w:ilvl w:val="0"/>
          <w:numId w:val="18"/>
        </w:numPr>
        <w:autoSpaceDE w:val="0"/>
        <w:autoSpaceDN w:val="0"/>
        <w:spacing w:after="0" w:line="276" w:lineRule="auto"/>
        <w:ind w:left="0" w:firstLine="720"/>
        <w:jc w:val="both"/>
        <w:rPr>
          <w:rFonts w:ascii="Verdana" w:eastAsia="Calibri" w:hAnsi="Verdana" w:cs="Arial"/>
          <w:color w:val="7030A0"/>
        </w:rPr>
      </w:pPr>
      <w:r w:rsidRPr="009F5D48">
        <w:rPr>
          <w:rFonts w:ascii="Verdana" w:hAnsi="Verdana" w:cs="Arial"/>
          <w:noProof/>
          <w:lang w:val="es-ES_tradnl"/>
        </w:rPr>
        <w:t xml:space="preserve">Se celebran a través de la modalidad de contratación directa, independientemente de la cuantía y del tipo de servicio profesional, siempre que su objeto no sea la consultoría. Esto por cuanto, como lo indicó </w:t>
      </w:r>
      <w:r w:rsidRPr="009F5D48">
        <w:rPr>
          <w:rFonts w:ascii="Verdana" w:eastAsia="Arial" w:hAnsi="Verdana" w:cs="Arial"/>
        </w:rPr>
        <w:t>Sentencia de Unificación Jurisprudencial de 09 de septiembre de 2021, proferida por el Consejo de Estado</w:t>
      </w:r>
      <w:r w:rsidRPr="009F5D48">
        <w:rPr>
          <w:rFonts w:ascii="Verdana" w:hAnsi="Verdana"/>
          <w:bCs/>
          <w:vertAlign w:val="superscript"/>
        </w:rPr>
        <w:footnoteReference w:id="7"/>
      </w:r>
      <w:r w:rsidRPr="009F5D48">
        <w:rPr>
          <w:rFonts w:ascii="Verdana" w:hAnsi="Verdana" w:cs="Arial"/>
          <w:noProof/>
          <w:lang w:val="es-ES_tradnl"/>
        </w:rPr>
        <w:t>, si bien en ambos existe un componente intelectual y profesional, el objeto del contrato de consultoría es especial y debe celebrarse, por regla general, mediante un concurso de méritos</w:t>
      </w:r>
      <w:r w:rsidRPr="009F5D48">
        <w:rPr>
          <w:rFonts w:ascii="Verdana" w:hAnsi="Verdana"/>
          <w:noProof/>
          <w:vertAlign w:val="superscript"/>
          <w:lang w:val="es-ES_tradnl"/>
        </w:rPr>
        <w:footnoteReference w:id="8"/>
      </w:r>
      <w:r w:rsidRPr="009F5D48">
        <w:rPr>
          <w:rFonts w:ascii="Verdana" w:hAnsi="Verdana" w:cs="Arial"/>
          <w:noProof/>
          <w:lang w:val="es-ES_tradnl"/>
        </w:rPr>
        <w:t>. Esto también se deriva d</w:t>
      </w:r>
      <w:r w:rsidRPr="009F5D48">
        <w:rPr>
          <w:rFonts w:ascii="Verdana" w:eastAsia="Calibri" w:hAnsi="Verdana" w:cs="Arial"/>
          <w:color w:val="000000" w:themeColor="text1"/>
          <w:lang w:val="es-ES_tradnl"/>
        </w:rPr>
        <w:t xml:space="preserve">el </w:t>
      </w:r>
      <w:r w:rsidRPr="009F5D48">
        <w:rPr>
          <w:rFonts w:ascii="Verdana" w:eastAsia="Calibri" w:hAnsi="Verdana" w:cs="Arial"/>
          <w:color w:val="000000" w:themeColor="text1"/>
          <w:lang w:val="es-ES_tradnl"/>
        </w:rPr>
        <w:lastRenderedPageBreak/>
        <w:t>artículo 2, numeral 4º, literal h) de la Ley 1150 de 2007, al señalar que procede la contratación directa para la prestación de servicios profesionales y de apoyo a la gestión o para la ejecución de trabajos artísticos que solo pueden encomendarse a determinadas personas.</w:t>
      </w:r>
    </w:p>
    <w:p w14:paraId="42345A9A" w14:textId="77777777" w:rsidR="00F276CC" w:rsidRPr="009F5D48" w:rsidRDefault="00F276CC" w:rsidP="00F276CC">
      <w:pPr>
        <w:pStyle w:val="Prrafodelista"/>
        <w:numPr>
          <w:ilvl w:val="0"/>
          <w:numId w:val="18"/>
        </w:numPr>
        <w:spacing w:after="120" w:line="276" w:lineRule="auto"/>
        <w:ind w:left="0" w:firstLine="720"/>
        <w:jc w:val="both"/>
        <w:rPr>
          <w:rFonts w:ascii="Verdana" w:hAnsi="Verdana" w:cs="Arial"/>
          <w:noProof/>
          <w:lang w:val="es-ES_tradnl"/>
        </w:rPr>
      </w:pPr>
      <w:r w:rsidRPr="009F5D48">
        <w:rPr>
          <w:rFonts w:ascii="Verdana" w:hAnsi="Verdana" w:cs="Arial"/>
          <w:noProof/>
          <w:lang w:val="es-ES_tradnl"/>
        </w:rPr>
        <w:t>Para su celebración no se requiere expedir un acto administrativo de justificación de la contratación directa</w:t>
      </w:r>
      <w:r w:rsidRPr="009F5D48">
        <w:rPr>
          <w:rFonts w:ascii="Verdana" w:hAnsi="Verdana"/>
          <w:noProof/>
          <w:vertAlign w:val="superscript"/>
          <w:lang w:val="es-ES_tradnl"/>
        </w:rPr>
        <w:footnoteReference w:id="9"/>
      </w:r>
      <w:r w:rsidRPr="009F5D48">
        <w:rPr>
          <w:rFonts w:ascii="Verdana" w:hAnsi="Verdana" w:cs="Arial"/>
          <w:noProof/>
          <w:lang w:val="es-ES_tradnl"/>
        </w:rPr>
        <w:t>.</w:t>
      </w:r>
    </w:p>
    <w:p w14:paraId="6D848E66" w14:textId="77777777" w:rsidR="00F276CC" w:rsidRPr="009F5D48" w:rsidRDefault="00F276CC" w:rsidP="00F276CC">
      <w:pPr>
        <w:pStyle w:val="Prrafodelista"/>
        <w:numPr>
          <w:ilvl w:val="0"/>
          <w:numId w:val="18"/>
        </w:numPr>
        <w:spacing w:after="120" w:line="276" w:lineRule="auto"/>
        <w:ind w:left="0" w:firstLine="698"/>
        <w:jc w:val="both"/>
        <w:rPr>
          <w:rFonts w:ascii="Verdana" w:hAnsi="Verdana" w:cs="Arial"/>
          <w:noProof/>
          <w:lang w:val="es-ES_tradnl"/>
        </w:rPr>
      </w:pPr>
      <w:r w:rsidRPr="009F5D48">
        <w:rPr>
          <w:rFonts w:ascii="Verdana" w:hAnsi="Verdana" w:cs="Arial"/>
          <w:noProof/>
          <w:lang w:val="es-ES_tradnl"/>
        </w:rPr>
        <w:t>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9F5D48">
        <w:rPr>
          <w:rFonts w:ascii="Verdana" w:hAnsi="Verdana"/>
          <w:noProof/>
          <w:vertAlign w:val="superscript"/>
          <w:lang w:val="es-ES_tradnl"/>
        </w:rPr>
        <w:footnoteReference w:id="10"/>
      </w:r>
      <w:r w:rsidRPr="009F5D48">
        <w:rPr>
          <w:rFonts w:ascii="Verdana" w:hAnsi="Verdana" w:cs="Arial"/>
          <w:noProof/>
          <w:lang w:val="es-ES_tradnl"/>
        </w:rPr>
        <w:t>.</w:t>
      </w:r>
    </w:p>
    <w:p w14:paraId="1157D1B3" w14:textId="77777777" w:rsidR="00F276CC" w:rsidRPr="009F5D48" w:rsidRDefault="00F276CC" w:rsidP="00F276CC">
      <w:pPr>
        <w:pStyle w:val="Prrafodelista"/>
        <w:numPr>
          <w:ilvl w:val="0"/>
          <w:numId w:val="18"/>
        </w:numPr>
        <w:spacing w:after="120" w:line="276" w:lineRule="auto"/>
        <w:ind w:left="0" w:firstLine="698"/>
        <w:jc w:val="both"/>
        <w:rPr>
          <w:rFonts w:ascii="Verdana" w:hAnsi="Verdana" w:cs="Arial"/>
          <w:noProof/>
          <w:lang w:val="es-ES_tradnl"/>
        </w:rPr>
      </w:pPr>
      <w:r w:rsidRPr="009F5D48">
        <w:rPr>
          <w:rFonts w:ascii="Verdana" w:hAnsi="Verdana" w:cs="Arial"/>
          <w:noProof/>
          <w:lang w:val="es-ES_tradnl"/>
        </w:rPr>
        <w:t>No es obligatoria la liquidación de estos contratos, como lo establece el artículo 217 del Decreto 019 de 2012, que modificó el artículo 60 de la Ley 80 de 1993</w:t>
      </w:r>
      <w:r w:rsidRPr="009F5D48">
        <w:rPr>
          <w:rFonts w:ascii="Verdana" w:hAnsi="Verdana"/>
          <w:noProof/>
          <w:vertAlign w:val="superscript"/>
          <w:lang w:val="es-ES_tradnl"/>
        </w:rPr>
        <w:footnoteReference w:id="11"/>
      </w:r>
      <w:r w:rsidRPr="009F5D48">
        <w:rPr>
          <w:rFonts w:ascii="Verdana" w:hAnsi="Verdana" w:cs="Arial"/>
          <w:noProof/>
          <w:lang w:val="es-ES_tradnl"/>
        </w:rPr>
        <w:t>.</w:t>
      </w:r>
    </w:p>
    <w:p w14:paraId="7114700E" w14:textId="77777777" w:rsidR="00F276CC" w:rsidRPr="009F5D48" w:rsidRDefault="00F276CC" w:rsidP="00F276CC">
      <w:pPr>
        <w:pStyle w:val="Prrafodelista"/>
        <w:numPr>
          <w:ilvl w:val="0"/>
          <w:numId w:val="18"/>
        </w:numPr>
        <w:spacing w:after="120" w:line="276" w:lineRule="auto"/>
        <w:ind w:left="0" w:firstLine="720"/>
        <w:jc w:val="both"/>
        <w:rPr>
          <w:rFonts w:ascii="Verdana" w:hAnsi="Verdana" w:cs="Arial"/>
          <w:noProof/>
          <w:lang w:val="es-ES_tradnl"/>
        </w:rPr>
      </w:pPr>
      <w:r w:rsidRPr="009F5D48">
        <w:rPr>
          <w:rFonts w:ascii="Verdana" w:hAnsi="Verdana" w:cs="Arial"/>
          <w:noProof/>
          <w:lang w:val="es-ES_tradnl"/>
        </w:rPr>
        <w:lastRenderedPageBreak/>
        <w:t>Para su celebración el contratista no requiere estar inscrito en el Registro Único de Proponentes –en adelante RUP–, como lo señala el artículo 6 de la Ley 1150 de 2007</w:t>
      </w:r>
      <w:r w:rsidRPr="009F5D48">
        <w:rPr>
          <w:rFonts w:ascii="Verdana" w:hAnsi="Verdana"/>
          <w:noProof/>
          <w:vertAlign w:val="superscript"/>
          <w:lang w:val="es-ES_tradnl"/>
        </w:rPr>
        <w:footnoteReference w:id="12"/>
      </w:r>
      <w:r w:rsidRPr="009F5D48">
        <w:rPr>
          <w:rFonts w:ascii="Verdana" w:hAnsi="Verdana" w:cs="Arial"/>
          <w:noProof/>
          <w:lang w:val="es-ES_tradnl"/>
        </w:rPr>
        <w:t>.</w:t>
      </w:r>
    </w:p>
    <w:p w14:paraId="381BB37C" w14:textId="77777777" w:rsidR="00F276CC" w:rsidRPr="009F5D48" w:rsidRDefault="00F276CC" w:rsidP="00F276CC">
      <w:pPr>
        <w:pStyle w:val="Prrafodelista"/>
        <w:numPr>
          <w:ilvl w:val="0"/>
          <w:numId w:val="18"/>
        </w:numPr>
        <w:spacing w:after="120" w:line="276" w:lineRule="auto"/>
        <w:jc w:val="both"/>
        <w:rPr>
          <w:rFonts w:ascii="Verdana" w:hAnsi="Verdana" w:cs="Arial"/>
          <w:noProof/>
          <w:lang w:val="es-ES_tradnl"/>
        </w:rPr>
      </w:pPr>
      <w:r w:rsidRPr="009F5D48">
        <w:rPr>
          <w:rFonts w:ascii="Verdana" w:hAnsi="Verdana" w:cs="Arial"/>
          <w:noProof/>
          <w:lang w:val="es-ES_tradnl"/>
        </w:rPr>
        <w:t>No es obligtoria la exigencia de garantías</w:t>
      </w:r>
      <w:r w:rsidRPr="009F5D48">
        <w:rPr>
          <w:rFonts w:ascii="Verdana" w:hAnsi="Verdana"/>
          <w:noProof/>
          <w:vertAlign w:val="superscript"/>
          <w:lang w:val="es-ES_tradnl"/>
        </w:rPr>
        <w:footnoteReference w:id="13"/>
      </w:r>
      <w:r w:rsidRPr="009F5D48">
        <w:rPr>
          <w:rFonts w:ascii="Verdana" w:hAnsi="Verdana" w:cs="Arial"/>
          <w:noProof/>
          <w:lang w:val="es-ES_tradnl"/>
        </w:rPr>
        <w:t>.</w:t>
      </w:r>
    </w:p>
    <w:p w14:paraId="578016BD" w14:textId="5743D576" w:rsidR="00F276CC" w:rsidRDefault="00F276CC" w:rsidP="001E7958">
      <w:pPr>
        <w:pStyle w:val="Prrafodelista"/>
        <w:numPr>
          <w:ilvl w:val="0"/>
          <w:numId w:val="18"/>
        </w:numPr>
        <w:spacing w:after="120" w:line="276" w:lineRule="auto"/>
        <w:ind w:left="0" w:firstLine="709"/>
        <w:jc w:val="both"/>
        <w:rPr>
          <w:rFonts w:ascii="Verdana" w:hAnsi="Verdana" w:cs="Arial"/>
          <w:noProof/>
          <w:lang w:val="es-ES_tradnl"/>
        </w:rPr>
      </w:pPr>
      <w:r w:rsidRPr="009F5D48">
        <w:rPr>
          <w:rFonts w:ascii="Verdana" w:hAnsi="Verdana" w:cs="Arial"/>
          <w:noProof/>
          <w:lang w:val="es-ES_tradnl"/>
        </w:rPr>
        <w:t>Como los demás contratos estatales, se trata de un contrato solemne que debe constar por escrito y debe ser publicado en el SECOP.</w:t>
      </w:r>
    </w:p>
    <w:p w14:paraId="1BAA67B5" w14:textId="3E3A1315" w:rsidR="001E7958" w:rsidRPr="001E7958" w:rsidRDefault="001E7958" w:rsidP="001E7958">
      <w:pPr>
        <w:spacing w:after="0" w:line="276" w:lineRule="auto"/>
        <w:jc w:val="both"/>
        <w:rPr>
          <w:rFonts w:ascii="Verdana" w:eastAsia="Calibri" w:hAnsi="Verdana" w:cs="Arial"/>
          <w:color w:val="7030A0"/>
          <w:lang w:val="es-ES"/>
        </w:rPr>
      </w:pPr>
      <w:r w:rsidRPr="009F5D48">
        <w:rPr>
          <w:rFonts w:ascii="Verdana" w:hAnsi="Verdana" w:cs="Arial"/>
        </w:rPr>
        <w:t xml:space="preserve">Una vez establecidos los requisitos habilitantes y las demás características de la contratación en los documentos previos, a cada entidad estatal le corresponde </w:t>
      </w:r>
      <w:r w:rsidRPr="009F5D48">
        <w:rPr>
          <w:rFonts w:ascii="Verdana" w:hAnsi="Verdana" w:cs="Arial"/>
          <w:lang w:val="es-ES"/>
        </w:rPr>
        <w:t>verificar la idoneidad de las personas que pretendan celebrar contratos de prestación de servicios profesionales, de acuerdo con las características, el alcance del objeto del contrato y el perfil establecido.</w:t>
      </w:r>
    </w:p>
    <w:p w14:paraId="67F523E7" w14:textId="77777777" w:rsidR="00F276CC" w:rsidRPr="009F5D48" w:rsidRDefault="00F276CC" w:rsidP="00F276CC">
      <w:pPr>
        <w:spacing w:after="0" w:line="276" w:lineRule="auto"/>
        <w:jc w:val="both"/>
        <w:rPr>
          <w:rFonts w:ascii="Verdana" w:eastAsia="Calibri" w:hAnsi="Verdana" w:cs="Arial"/>
          <w:lang w:val="es-ES"/>
        </w:rPr>
      </w:pPr>
    </w:p>
    <w:p w14:paraId="426F4D8D" w14:textId="77777777" w:rsidR="00F276CC" w:rsidRPr="009F5D48" w:rsidRDefault="00F276CC" w:rsidP="00F276CC">
      <w:pPr>
        <w:pStyle w:val="Prrafodelista"/>
        <w:numPr>
          <w:ilvl w:val="0"/>
          <w:numId w:val="20"/>
        </w:numPr>
        <w:spacing w:after="0" w:line="276" w:lineRule="auto"/>
        <w:jc w:val="both"/>
        <w:rPr>
          <w:rFonts w:ascii="Verdana" w:eastAsia="Calibri" w:hAnsi="Verdana" w:cs="Arial"/>
          <w:u w:val="single"/>
        </w:rPr>
      </w:pPr>
      <w:r w:rsidRPr="009F5D48">
        <w:rPr>
          <w:rFonts w:ascii="Verdana" w:eastAsia="Calibri" w:hAnsi="Verdana" w:cs="Arial"/>
          <w:u w:val="single"/>
        </w:rPr>
        <w:t>Régimen de inhabilidades e incompatibilidades</w:t>
      </w:r>
    </w:p>
    <w:p w14:paraId="42FF04FF" w14:textId="77777777" w:rsidR="00F276CC" w:rsidRPr="009F5D48" w:rsidRDefault="00F276CC" w:rsidP="00F276CC">
      <w:pPr>
        <w:spacing w:after="0" w:line="276" w:lineRule="auto"/>
        <w:jc w:val="both"/>
        <w:rPr>
          <w:rFonts w:ascii="Verdana" w:eastAsia="Calibri" w:hAnsi="Verdana" w:cs="Arial"/>
          <w:color w:val="7030A0"/>
          <w:lang w:val="es-ES"/>
        </w:rPr>
      </w:pPr>
    </w:p>
    <w:p w14:paraId="4C6F7E42" w14:textId="62D1667B" w:rsidR="00F276CC" w:rsidRPr="009F5D48" w:rsidRDefault="06C2B81E" w:rsidP="00F276CC">
      <w:pPr>
        <w:widowControl w:val="0"/>
        <w:autoSpaceDE w:val="0"/>
        <w:autoSpaceDN w:val="0"/>
        <w:spacing w:after="120" w:line="276" w:lineRule="auto"/>
        <w:jc w:val="both"/>
        <w:rPr>
          <w:rFonts w:ascii="Verdana" w:eastAsia="Calibri" w:hAnsi="Verdana" w:cs="Arial"/>
          <w:lang w:val="es-ES"/>
        </w:rPr>
      </w:pPr>
      <w:r w:rsidRPr="009F5D48">
        <w:rPr>
          <w:rFonts w:ascii="Verdana" w:eastAsia="Calibri" w:hAnsi="Verdana" w:cs="Arial"/>
          <w:lang w:val="es-ES"/>
        </w:rPr>
        <w:t>S</w:t>
      </w:r>
      <w:r w:rsidR="00F276CC" w:rsidRPr="009F5D48">
        <w:rPr>
          <w:rFonts w:ascii="Verdana" w:eastAsia="Calibri" w:hAnsi="Verdana" w:cs="Arial"/>
          <w:lang w:val="es-ES"/>
        </w:rPr>
        <w:t>e destaca el régimen de inhabilidades e incompatibilidades como un conjunto de normas que impone restricciones para los sujetos que eventualmente pretendan participar en los procedimientos de selección o en la celebración de contratos con las entidades estatales, constituyendo “</w:t>
      </w:r>
      <w:r w:rsidR="00F276CC" w:rsidRPr="444F5416">
        <w:rPr>
          <w:rFonts w:ascii="Verdana" w:eastAsia="Calibri" w:hAnsi="Verdana" w:cs="Arial"/>
          <w:i/>
          <w:iCs/>
          <w:lang w:val="es-ES"/>
        </w:rPr>
        <w:t>prohibiciones que restringen la capacidad y la libertad de un contratista para acceder a la contratación</w:t>
      </w:r>
      <w:r w:rsidR="00F276CC" w:rsidRPr="009F5D48">
        <w:rPr>
          <w:rFonts w:ascii="Verdana" w:eastAsia="Calibri" w:hAnsi="Verdana" w:cs="Arial"/>
          <w:lang w:val="es-ES"/>
        </w:rPr>
        <w:t>”</w:t>
      </w:r>
      <w:r w:rsidR="00F276CC" w:rsidRPr="009F5D48">
        <w:rPr>
          <w:rStyle w:val="Refdenotaalpie"/>
          <w:rFonts w:ascii="Verdana" w:eastAsia="Calibri" w:hAnsi="Verdana" w:cs="Arial"/>
          <w:lang w:val="es-ES"/>
        </w:rPr>
        <w:footnoteReference w:id="14"/>
      </w:r>
      <w:r w:rsidR="00F276CC" w:rsidRPr="009F5D48">
        <w:rPr>
          <w:rFonts w:ascii="Verdana" w:eastAsia="Calibri" w:hAnsi="Verdana" w:cs="Arial"/>
          <w:lang w:val="es-ES"/>
        </w:rPr>
        <w:t xml:space="preserve">. </w:t>
      </w:r>
    </w:p>
    <w:p w14:paraId="6C4B78B9" w14:textId="77777777" w:rsidR="00F276CC" w:rsidRPr="009F5D48" w:rsidRDefault="00F276CC" w:rsidP="00F276CC">
      <w:pPr>
        <w:widowControl w:val="0"/>
        <w:autoSpaceDE w:val="0"/>
        <w:autoSpaceDN w:val="0"/>
        <w:spacing w:after="120" w:line="276" w:lineRule="auto"/>
        <w:ind w:firstLine="708"/>
        <w:jc w:val="both"/>
        <w:rPr>
          <w:rFonts w:ascii="Verdana" w:eastAsia="Calibri" w:hAnsi="Verdana" w:cs="Arial"/>
          <w:lang w:val="es-ES"/>
        </w:rPr>
      </w:pPr>
      <w:r w:rsidRPr="009F5D48">
        <w:rPr>
          <w:rFonts w:ascii="Verdana" w:eastAsia="Calibri" w:hAnsi="Verdana" w:cs="Arial"/>
          <w:lang w:val="es-ES"/>
        </w:rPr>
        <w:t xml:space="preserve">De una parte, las inhabilidades son prohibiciones para concurrir a los procedimientos de selección y para contratar con el Estado, que se derivan i) de </w:t>
      </w:r>
      <w:r w:rsidRPr="009F5D48">
        <w:rPr>
          <w:rFonts w:ascii="Verdana" w:eastAsia="Calibri" w:hAnsi="Verdana" w:cs="Arial"/>
          <w:lang w:val="es-ES"/>
        </w:rPr>
        <w:lastRenderedPageBreak/>
        <w:t>la existencia de comportamientos reprochables o de sanciones anteriormente impuestas</w:t>
      </w:r>
      <w:r w:rsidRPr="009F5D48">
        <w:rPr>
          <w:rFonts w:ascii="Verdana" w:eastAsia="Calibri" w:hAnsi="Verdana" w:cs="Arial"/>
          <w:vertAlign w:val="superscript"/>
          <w:lang w:val="es-ES"/>
        </w:rPr>
        <w:footnoteReference w:id="15"/>
      </w:r>
      <w:r w:rsidRPr="009F5D48">
        <w:rPr>
          <w:rFonts w:ascii="Verdana" w:eastAsia="Calibri" w:hAnsi="Verdana" w:cs="Arial"/>
          <w:lang w:val="es-ES"/>
        </w:rPr>
        <w:t xml:space="preserve">, </w:t>
      </w:r>
      <w:proofErr w:type="spellStart"/>
      <w:r w:rsidRPr="009F5D48">
        <w:rPr>
          <w:rFonts w:ascii="Verdana" w:eastAsia="Calibri" w:hAnsi="Verdana" w:cs="Arial"/>
          <w:lang w:val="es-ES"/>
        </w:rPr>
        <w:t>ii</w:t>
      </w:r>
      <w:proofErr w:type="spellEnd"/>
      <w:r w:rsidRPr="009F5D48">
        <w:rPr>
          <w:rFonts w:ascii="Verdana" w:eastAsia="Calibri" w:hAnsi="Verdana" w:cs="Arial"/>
          <w:lang w:val="es-ES"/>
        </w:rPr>
        <w:t>) de vínculos personales relativos al parentesco o al estado civil</w:t>
      </w:r>
      <w:r w:rsidRPr="009F5D48">
        <w:rPr>
          <w:rFonts w:ascii="Verdana" w:eastAsia="Calibri" w:hAnsi="Verdana" w:cs="Arial"/>
          <w:vertAlign w:val="superscript"/>
          <w:lang w:val="es-ES"/>
        </w:rPr>
        <w:footnoteReference w:id="16"/>
      </w:r>
      <w:r w:rsidRPr="009F5D48">
        <w:rPr>
          <w:rFonts w:ascii="Verdana" w:eastAsia="Calibri" w:hAnsi="Verdana" w:cs="Arial"/>
          <w:lang w:val="es-ES"/>
        </w:rPr>
        <w:t xml:space="preserve"> o </w:t>
      </w:r>
      <w:proofErr w:type="spellStart"/>
      <w:r w:rsidRPr="009F5D48">
        <w:rPr>
          <w:rFonts w:ascii="Verdana" w:eastAsia="Calibri" w:hAnsi="Verdana" w:cs="Arial"/>
          <w:lang w:val="es-ES"/>
        </w:rPr>
        <w:t>iii</w:t>
      </w:r>
      <w:proofErr w:type="spellEnd"/>
      <w:r w:rsidRPr="009F5D48">
        <w:rPr>
          <w:rFonts w:ascii="Verdana" w:eastAsia="Calibri" w:hAnsi="Verdana" w:cs="Arial"/>
          <w:lang w:val="es-ES"/>
        </w:rPr>
        <w:t>) de una actividad u oficio que se desempeñó en el pasado</w:t>
      </w:r>
      <w:r w:rsidRPr="009F5D48">
        <w:rPr>
          <w:rFonts w:ascii="Verdana" w:eastAsia="Calibri" w:hAnsi="Verdana" w:cs="Arial"/>
          <w:vertAlign w:val="superscript"/>
          <w:lang w:val="es-ES"/>
        </w:rPr>
        <w:footnoteReference w:id="17"/>
      </w:r>
      <w:r w:rsidRPr="009F5D48">
        <w:rPr>
          <w:rFonts w:ascii="Verdana" w:eastAsia="Calibri" w:hAnsi="Verdana" w:cs="Arial"/>
          <w:lang w:val="es-ES"/>
        </w:rPr>
        <w:t xml:space="preserve"> (se encuentran </w:t>
      </w:r>
      <w:r w:rsidRPr="009F5D48">
        <w:rPr>
          <w:rFonts w:ascii="Verdana" w:eastAsia="Calibri" w:hAnsi="Verdana" w:cs="Arial"/>
          <w:lang w:val="es-ES"/>
        </w:rPr>
        <w:lastRenderedPageBreak/>
        <w:t>principalmente en el artículo 8 de la Ley 80 de 1993). De otra,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w:t>
      </w:r>
      <w:r w:rsidRPr="009F5D48">
        <w:rPr>
          <w:rFonts w:ascii="Verdana" w:eastAsia="Calibri" w:hAnsi="Verdana" w:cs="Arial"/>
          <w:vertAlign w:val="superscript"/>
          <w:lang w:val="es-ES"/>
        </w:rPr>
        <w:footnoteReference w:id="18"/>
      </w:r>
      <w:r w:rsidRPr="009F5D48">
        <w:rPr>
          <w:rFonts w:ascii="Verdana" w:eastAsia="Calibri" w:hAnsi="Verdana" w:cs="Arial"/>
          <w:lang w:val="es-ES"/>
        </w:rPr>
        <w:t>.</w:t>
      </w:r>
    </w:p>
    <w:p w14:paraId="26634DBD" w14:textId="77777777" w:rsidR="00F276CC" w:rsidRPr="009F5D48" w:rsidRDefault="00F276CC" w:rsidP="00F276CC">
      <w:pPr>
        <w:widowControl w:val="0"/>
        <w:autoSpaceDE w:val="0"/>
        <w:autoSpaceDN w:val="0"/>
        <w:spacing w:after="120" w:line="276" w:lineRule="auto"/>
        <w:jc w:val="both"/>
        <w:rPr>
          <w:rFonts w:ascii="Verdana" w:eastAsia="Calibri" w:hAnsi="Verdana" w:cs="Arial"/>
          <w:lang w:val="es-ES"/>
        </w:rPr>
      </w:pPr>
      <w:r w:rsidRPr="009F5D48">
        <w:rPr>
          <w:rFonts w:ascii="Verdana" w:eastAsia="Calibri" w:hAnsi="Verdana" w:cs="Arial"/>
          <w:lang w:val="es-ES"/>
        </w:rPr>
        <w:tab/>
        <w:t xml:space="preserve">Debido a las restricciones que impone el régimen de inhabilidades e incompatibilidades, este se tipifica en la Ley expresamente y su interpretación debe ser restrictiva. Es decir, las causales de inhabilidad e impedimentos deben estar enunciadas en las normas de forma taxativa y al aplicarse en una situación particular su interpretación debe ser restrictiva, de tal forma que no se admita una interpretación amplia o extensiva que permitiera contemplar supuestos indeterminados como causales de inhabilidad o impedimentos. Por lo que, la interpretación de los efectos de la suspensión o exclusión del ejercicio de la profesión no puede hacerse extensiva a otras sanciones que no estén expresamente establecidas en la norma. </w:t>
      </w:r>
    </w:p>
    <w:p w14:paraId="4AAA2127" w14:textId="77777777" w:rsidR="00F276CC" w:rsidRPr="009F5D48" w:rsidRDefault="00F276CC" w:rsidP="00F276CC">
      <w:pPr>
        <w:widowControl w:val="0"/>
        <w:autoSpaceDE w:val="0"/>
        <w:autoSpaceDN w:val="0"/>
        <w:spacing w:after="120" w:line="276" w:lineRule="auto"/>
        <w:ind w:firstLine="708"/>
        <w:jc w:val="both"/>
        <w:rPr>
          <w:rFonts w:ascii="Verdana" w:eastAsia="Calibri" w:hAnsi="Verdana" w:cs="Arial"/>
          <w:lang w:val="es-ES_tradnl" w:eastAsia="es-ES_tradnl"/>
        </w:rPr>
      </w:pPr>
      <w:r w:rsidRPr="009F5D48">
        <w:rPr>
          <w:rFonts w:ascii="Verdana" w:eastAsia="Calibri" w:hAnsi="Verdana" w:cs="Arial"/>
          <w:lang w:val="es-ES"/>
        </w:rPr>
        <w:t>En efecto, sobre la interpretación de este tipo de normas, la Corte Constitucional ha aclarado que</w:t>
      </w:r>
      <w:r w:rsidRPr="009F5D48">
        <w:rPr>
          <w:rFonts w:ascii="Verdana" w:eastAsia="Calibri" w:hAnsi="Verdana" w:cs="Arial"/>
          <w:lang w:val="es-ES_tradnl" w:eastAsia="es-ES_tradnl"/>
        </w:rPr>
        <w:t xml:space="preserve">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w:t>
      </w:r>
      <w:r w:rsidRPr="009F5D48">
        <w:rPr>
          <w:rFonts w:ascii="Verdana" w:eastAsia="Calibri" w:hAnsi="Verdana" w:cs="Arial"/>
          <w:lang w:val="es-ES_tradnl" w:eastAsia="es-ES_tradnl"/>
        </w:rPr>
        <w:lastRenderedPageBreak/>
        <w:t>ampliar el alcance de las causales legalmente fijadas”</w:t>
      </w:r>
      <w:r w:rsidRPr="009F5D48">
        <w:rPr>
          <w:rFonts w:ascii="Verdana" w:eastAsia="Aptos" w:hAnsi="Verdana" w:cs="Times New Roman"/>
          <w:vertAlign w:val="superscript"/>
        </w:rPr>
        <w:footnoteReference w:id="19"/>
      </w:r>
      <w:r w:rsidRPr="009F5D48">
        <w:rPr>
          <w:rFonts w:ascii="Verdana" w:eastAsia="Calibri" w:hAnsi="Verdana" w:cs="Arial"/>
          <w:lang w:val="es-ES_tradnl" w:eastAsia="es-ES_tradnl"/>
        </w:rPr>
        <w:t>. Por su parte, el Consejo de Estado ha acogido también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9F5D48">
        <w:rPr>
          <w:rFonts w:ascii="Verdana" w:eastAsia="Aptos" w:hAnsi="Verdana" w:cs="Times New Roman"/>
          <w:vertAlign w:val="superscript"/>
        </w:rPr>
        <w:footnoteReference w:id="20"/>
      </w:r>
      <w:r w:rsidRPr="009F5D48">
        <w:rPr>
          <w:rFonts w:ascii="Verdana" w:eastAsia="Calibri" w:hAnsi="Verdana" w:cs="Arial"/>
          <w:lang w:val="es-ES_tradnl" w:eastAsia="es-ES_tradnl"/>
        </w:rPr>
        <w:t>.</w:t>
      </w:r>
    </w:p>
    <w:p w14:paraId="7BC6B8AB" w14:textId="44714639" w:rsidR="00F276CC" w:rsidRPr="009F5D48" w:rsidRDefault="00F276CC" w:rsidP="00F276CC">
      <w:pPr>
        <w:pStyle w:val="Prrafodelista"/>
        <w:numPr>
          <w:ilvl w:val="0"/>
          <w:numId w:val="20"/>
        </w:numPr>
        <w:spacing w:after="0" w:line="276" w:lineRule="auto"/>
        <w:jc w:val="both"/>
        <w:rPr>
          <w:rFonts w:ascii="Verdana" w:eastAsia="Calibri" w:hAnsi="Verdana" w:cs="Arial"/>
          <w:u w:val="single"/>
        </w:rPr>
      </w:pPr>
      <w:r w:rsidRPr="444F5416">
        <w:rPr>
          <w:rFonts w:ascii="Verdana" w:eastAsia="Calibri" w:hAnsi="Verdana" w:cs="Arial"/>
          <w:u w:val="single"/>
        </w:rPr>
        <w:t xml:space="preserve">Posibilidad de realizar de forma </w:t>
      </w:r>
      <w:r w:rsidR="00EF5825" w:rsidRPr="444F5416">
        <w:rPr>
          <w:rFonts w:ascii="Verdana" w:eastAsia="Calibri" w:hAnsi="Verdana" w:cs="Arial"/>
          <w:u w:val="single"/>
        </w:rPr>
        <w:t>simultánea</w:t>
      </w:r>
      <w:r w:rsidRPr="444F5416">
        <w:rPr>
          <w:rFonts w:ascii="Verdana" w:eastAsia="Calibri" w:hAnsi="Verdana" w:cs="Arial"/>
          <w:u w:val="single"/>
        </w:rPr>
        <w:t xml:space="preserve"> la judicatura ad honorem y la celebración de un contrato de prestación de servicios. </w:t>
      </w:r>
    </w:p>
    <w:p w14:paraId="2BA4DCFA" w14:textId="77777777" w:rsidR="00981751" w:rsidRPr="009F5D48" w:rsidRDefault="00981751" w:rsidP="00981751">
      <w:pPr>
        <w:pStyle w:val="NormalWeb"/>
        <w:spacing w:line="276" w:lineRule="auto"/>
        <w:jc w:val="both"/>
        <w:rPr>
          <w:rFonts w:ascii="Verdana" w:hAnsi="Verdana"/>
          <w:sz w:val="22"/>
          <w:szCs w:val="22"/>
        </w:rPr>
      </w:pPr>
      <w:r w:rsidRPr="009F5D48">
        <w:rPr>
          <w:rFonts w:ascii="Verdana" w:hAnsi="Verdana"/>
          <w:sz w:val="22"/>
          <w:szCs w:val="22"/>
          <w:lang w:val="es-ES_tradnl"/>
        </w:rPr>
        <w:t>Analizado el conjunto de disposiciones que integran el régimen de inhabilidades e incompatibilidades para la contratación estatal, así como los requisitos y límites de los contratos de prestación de servicios profesionales, no se advierte una causal de inhabilidad e incompatibilidad según el artículo 8 de la Ley 80 de 1993, que restrinja de forma expresa la simultaneidad entre la realización de la judicatura ad honórem como requisito para optar por el título de abogado, y la celebración de un contrato de prestación de servicios. No obstante,</w:t>
      </w:r>
      <w:r w:rsidRPr="009F5D48">
        <w:rPr>
          <w:rFonts w:ascii="Verdana" w:hAnsi="Verdana"/>
          <w:sz w:val="22"/>
          <w:szCs w:val="22"/>
        </w:rPr>
        <w:t xml:space="preserve"> el Consejo Superior de la Judicatura a través del </w:t>
      </w:r>
      <w:r w:rsidRPr="009F5D48">
        <w:rPr>
          <w:rFonts w:ascii="Verdana" w:hAnsi="Verdana"/>
          <w:sz w:val="22"/>
          <w:szCs w:val="22"/>
          <w:lang w:eastAsia="es-MX"/>
        </w:rPr>
        <w:t xml:space="preserve">Acuerdo No. PSAA12-9338 del 27 de marzo de 2012. </w:t>
      </w:r>
      <w:r w:rsidRPr="009F5D48">
        <w:rPr>
          <w:rFonts w:ascii="Verdana" w:hAnsi="Verdana"/>
          <w:sz w:val="22"/>
          <w:szCs w:val="22"/>
        </w:rPr>
        <w:t>“Por medio de la cual se modifica el Acuerdo PSAA10-7543 por el cual se reglamenta la judicatura como requisito alternativo para optar el título de abogado” a través del numeral 2 del articulo 1, determinó:</w:t>
      </w:r>
      <w:r>
        <w:rPr>
          <w:rFonts w:ascii="Verdana" w:hAnsi="Verdana"/>
          <w:sz w:val="22"/>
          <w:szCs w:val="22"/>
        </w:rPr>
        <w:t xml:space="preserve"> </w:t>
      </w:r>
      <w:r w:rsidRPr="009F5D48">
        <w:rPr>
          <w:rFonts w:ascii="Verdana" w:hAnsi="Verdana"/>
          <w:sz w:val="22"/>
          <w:szCs w:val="22"/>
        </w:rPr>
        <w:t>“2. Si el egresado opta por realizar la práctica jurídica de carácter Ad-Honorem se atendrá a lo exigido en cada norma en particular y será de seis (6), siete (7) o de Nueve (9) meses</w:t>
      </w:r>
      <w:r w:rsidRPr="009F5D48">
        <w:rPr>
          <w:rFonts w:ascii="Verdana" w:hAnsi="Verdana"/>
          <w:b/>
          <w:bCs/>
          <w:sz w:val="22"/>
          <w:szCs w:val="22"/>
        </w:rPr>
        <w:t>, de disponibilidad exclusiva y jornada completa</w:t>
      </w:r>
      <w:r w:rsidRPr="009F5D48">
        <w:rPr>
          <w:rFonts w:ascii="Verdana" w:hAnsi="Verdana"/>
          <w:sz w:val="22"/>
          <w:szCs w:val="22"/>
        </w:rPr>
        <w:t xml:space="preserve"> según la en la entidad seleccionada, con las mismas obligaciones y responsabilidades a los empleados de la entidad”.</w:t>
      </w:r>
      <w:r>
        <w:rPr>
          <w:rFonts w:ascii="Verdana" w:hAnsi="Verdana"/>
          <w:sz w:val="22"/>
          <w:szCs w:val="22"/>
        </w:rPr>
        <w:t xml:space="preserve"> (resaltado propio).</w:t>
      </w:r>
    </w:p>
    <w:p w14:paraId="6EBE1ACA" w14:textId="77777777" w:rsidR="00981751" w:rsidRPr="009F5D48" w:rsidRDefault="00981751" w:rsidP="00981751">
      <w:pPr>
        <w:spacing w:before="100" w:beforeAutospacing="1" w:after="100" w:afterAutospacing="1" w:line="276" w:lineRule="auto"/>
        <w:jc w:val="both"/>
        <w:rPr>
          <w:rFonts w:ascii="Verdana" w:eastAsia="Times New Roman" w:hAnsi="Verdana" w:cs="Times New Roman"/>
          <w:lang w:eastAsia="es-MX"/>
        </w:rPr>
      </w:pPr>
      <w:r w:rsidRPr="444F5416">
        <w:rPr>
          <w:rFonts w:ascii="Verdana" w:eastAsia="Times New Roman" w:hAnsi="Verdana" w:cs="Times New Roman"/>
          <w:lang w:eastAsia="es-MX"/>
        </w:rPr>
        <w:t xml:space="preserve">        Este acuerdo, al reglamentar la judicatura ad honorem, exige de manera inequívoca que esta se realice con “disponibilidad exclusiva y jornada completa” a la entidad seleccionada, asimilando su dedicación y jornada a la exigida a  los empleados de la entidad en que desarrollará la práctica. Esta obligación, </w:t>
      </w:r>
      <w:r w:rsidRPr="444F5416">
        <w:rPr>
          <w:rFonts w:ascii="Verdana" w:eastAsia="Times New Roman" w:hAnsi="Verdana" w:cs="Times New Roman"/>
          <w:lang w:eastAsia="es-MX"/>
        </w:rPr>
        <w:lastRenderedPageBreak/>
        <w:t xml:space="preserve">adquirida voluntariamente por el judicante, crea una incompatibilidad funcional que impacta directamente su capacidad para ejecutar un contrato de prestación de servicios. Desde la perspectiva del Estatuto General de Contratación, una entidad estatal que celebra un contrato directo lo hace en virtud de la  </w:t>
      </w:r>
      <w:proofErr w:type="spellStart"/>
      <w:r w:rsidRPr="444F5416">
        <w:rPr>
          <w:rFonts w:ascii="Verdana" w:eastAsia="Times New Roman" w:hAnsi="Verdana" w:cs="Times New Roman"/>
          <w:lang w:eastAsia="es-MX"/>
        </w:rPr>
        <w:t>la</w:t>
      </w:r>
      <w:proofErr w:type="spellEnd"/>
      <w:r w:rsidRPr="444F5416">
        <w:rPr>
          <w:rFonts w:ascii="Verdana" w:eastAsia="Times New Roman" w:hAnsi="Verdana" w:cs="Times New Roman"/>
          <w:lang w:eastAsia="es-MX"/>
        </w:rPr>
        <w:t xml:space="preserve"> idoneidad del contratista y su capacidad para desarrollar el objeto contractual, la cual presupone que este dispone dela dedicación necesaria para cumplir con las obligaciones pactadas. </w:t>
      </w:r>
    </w:p>
    <w:p w14:paraId="0E16AB86" w14:textId="77777777" w:rsidR="00981751" w:rsidRDefault="00981751" w:rsidP="00981751">
      <w:pPr>
        <w:spacing w:before="100" w:beforeAutospacing="1" w:after="100" w:afterAutospacing="1" w:line="276" w:lineRule="auto"/>
        <w:jc w:val="both"/>
        <w:rPr>
          <w:rFonts w:ascii="Verdana" w:eastAsia="Times New Roman" w:hAnsi="Verdana" w:cs="Times New Roman"/>
          <w:lang w:eastAsia="es-MX"/>
        </w:rPr>
      </w:pPr>
      <w:r w:rsidRPr="444F5416">
        <w:rPr>
          <w:rFonts w:ascii="Verdana" w:eastAsia="Times New Roman" w:hAnsi="Verdana" w:cs="Times New Roman"/>
          <w:lang w:eastAsia="es-MX"/>
        </w:rPr>
        <w:t xml:space="preserve">       </w:t>
      </w:r>
      <w:r w:rsidRPr="444F5416">
        <w:rPr>
          <w:rFonts w:ascii="Verdana" w:hAnsi="Verdana"/>
        </w:rPr>
        <w:t xml:space="preserve">En este sentido, el articulo  2.2.1.2.1.4.9. de Decreto 1082 de 2015,  </w:t>
      </w:r>
      <w:r w:rsidRPr="444F5416">
        <w:rPr>
          <w:rFonts w:ascii="Verdana" w:eastAsia="Times New Roman" w:hAnsi="Verdana"/>
          <w:lang w:eastAsia="es-MX"/>
        </w:rPr>
        <w:t xml:space="preserve">establece que, </w:t>
      </w:r>
      <w:r w:rsidRPr="444F5416">
        <w:rPr>
          <w:rFonts w:ascii="Verdana" w:eastAsia="Verdana" w:hAnsi="Verdana" w:cs="Verdana"/>
        </w:rPr>
        <w:t xml:space="preserve">las Entidades Estatales pueden contratar bajo la modalidad de contratación directa la prestación de servicios profesionales y de apoyo a la gestión con la persona natural o jurídica que esté en </w:t>
      </w:r>
      <w:r w:rsidRPr="003566DB">
        <w:rPr>
          <w:rFonts w:ascii="Verdana" w:eastAsia="Verdana" w:hAnsi="Verdana" w:cs="Verdana"/>
          <w:b/>
          <w:bCs/>
        </w:rPr>
        <w:t xml:space="preserve">capacidad </w:t>
      </w:r>
      <w:r w:rsidRPr="444F5416">
        <w:rPr>
          <w:rFonts w:ascii="Verdana" w:eastAsia="Verdana" w:hAnsi="Verdana" w:cs="Verdana"/>
        </w:rPr>
        <w:t>de ejecutar el objeto del contrato, siempre y cuando la Entidad Estatal verifique la idoneidad o experiencia requerida y relacionada con el área de que se trate</w:t>
      </w:r>
      <w:r w:rsidRPr="444F5416">
        <w:rPr>
          <w:rFonts w:ascii="Verdana" w:eastAsia="Times New Roman" w:hAnsi="Verdana"/>
          <w:lang w:eastAsia="es-MX"/>
        </w:rPr>
        <w:t xml:space="preserve">. Este requisito de tener la capacidad está relacionado con </w:t>
      </w:r>
      <w:r w:rsidRPr="444F5416">
        <w:rPr>
          <w:rFonts w:ascii="Verdana" w:eastAsia="Times New Roman" w:hAnsi="Verdana" w:cs="Times New Roman"/>
          <w:lang w:eastAsia="es-MX"/>
        </w:rPr>
        <w:t>la disponibilidad y</w:t>
      </w:r>
      <w:r>
        <w:rPr>
          <w:rFonts w:ascii="Verdana" w:eastAsia="Times New Roman" w:hAnsi="Verdana" w:cs="Times New Roman"/>
          <w:lang w:eastAsia="es-MX"/>
        </w:rPr>
        <w:t xml:space="preserve"> </w:t>
      </w:r>
      <w:r w:rsidRPr="444F5416">
        <w:rPr>
          <w:rFonts w:ascii="Verdana" w:eastAsia="Times New Roman" w:hAnsi="Verdana" w:cs="Times New Roman"/>
          <w:lang w:eastAsia="es-MX"/>
        </w:rPr>
        <w:t xml:space="preserve">dedicación para cumplir con las obligaciones. </w:t>
      </w:r>
      <w:r w:rsidRPr="444F5416">
        <w:rPr>
          <w:rFonts w:ascii="Verdana" w:hAnsi="Verdana"/>
        </w:rPr>
        <w:t>.</w:t>
      </w:r>
    </w:p>
    <w:p w14:paraId="16BEFBFD" w14:textId="77777777" w:rsidR="00981751" w:rsidRDefault="00981751" w:rsidP="00981751">
      <w:pPr>
        <w:spacing w:before="100" w:beforeAutospacing="1" w:after="100" w:afterAutospacing="1" w:line="276" w:lineRule="auto"/>
        <w:jc w:val="both"/>
        <w:rPr>
          <w:rFonts w:ascii="Verdana" w:eastAsia="Times New Roman" w:hAnsi="Verdana" w:cs="Times New Roman"/>
          <w:lang w:eastAsia="es-MX"/>
        </w:rPr>
      </w:pPr>
      <w:r w:rsidRPr="444F5416">
        <w:rPr>
          <w:rFonts w:ascii="Verdana" w:eastAsia="Times New Roman" w:hAnsi="Verdana" w:cs="Times New Roman"/>
          <w:lang w:eastAsia="es-MX"/>
        </w:rPr>
        <w:t xml:space="preserve">       </w:t>
      </w:r>
      <w:r w:rsidRPr="444F5416">
        <w:rPr>
          <w:rFonts w:ascii="Verdana" w:hAnsi="Verdana"/>
          <w:color w:val="000000" w:themeColor="text1"/>
        </w:rPr>
        <w:t xml:space="preserve">De conformidad con lo anterior, puede concluirse </w:t>
      </w:r>
      <w:r w:rsidRPr="444F5416">
        <w:rPr>
          <w:rFonts w:ascii="Verdana" w:eastAsia="Times New Roman" w:hAnsi="Verdana" w:cs="Times New Roman"/>
          <w:lang w:eastAsia="es-MX"/>
        </w:rPr>
        <w:t xml:space="preserve">que aunque la hipótesis objeto de la consulta no se enmarca en las inhabilidades e incompatibilidades taxativamente listadas en el Estatuto de Contratación, sí afecta la capacidad en su dimensión de aptitud para el cumplimiento. </w:t>
      </w:r>
    </w:p>
    <w:p w14:paraId="32D1CADA" w14:textId="37D5D740" w:rsidR="00F276CC" w:rsidRDefault="00981751" w:rsidP="00981751">
      <w:pPr>
        <w:widowControl w:val="0"/>
        <w:autoSpaceDE w:val="0"/>
        <w:autoSpaceDN w:val="0"/>
        <w:spacing w:after="0" w:line="276" w:lineRule="auto"/>
        <w:jc w:val="both"/>
        <w:rPr>
          <w:rFonts w:ascii="Verdana" w:eastAsia="Calibri" w:hAnsi="Verdana" w:cs="Arial"/>
        </w:rPr>
      </w:pPr>
      <w:r>
        <w:rPr>
          <w:rFonts w:ascii="Verdana" w:eastAsia="Calibri" w:hAnsi="Verdana" w:cs="Arial"/>
        </w:rPr>
        <w:t xml:space="preserve">Finalmente, </w:t>
      </w:r>
      <w:r w:rsidRPr="006B795B">
        <w:rPr>
          <w:rFonts w:ascii="Verdana" w:eastAsia="Calibri" w:hAnsi="Verdana" w:cs="Arial"/>
        </w:rPr>
        <w:t>debe advertirse que, el análisis requerido para resolver problemas específicos en torno</w:t>
      </w:r>
      <w:r>
        <w:rPr>
          <w:rFonts w:ascii="Verdana" w:eastAsia="Calibri" w:hAnsi="Verdana" w:cs="Arial"/>
        </w:rPr>
        <w:t xml:space="preserve"> restricciones frente a la simultaneidad en la celebración de un contrato de prestación de servicios y la realización de un judicatura ad honórem, a la luz </w:t>
      </w:r>
      <w:r w:rsidRPr="009F5D48">
        <w:rPr>
          <w:rFonts w:ascii="Verdana" w:hAnsi="Verdana"/>
        </w:rPr>
        <w:t xml:space="preserve">del </w:t>
      </w:r>
      <w:r w:rsidRPr="009F5D48">
        <w:rPr>
          <w:rFonts w:ascii="Verdana" w:eastAsia="Times New Roman" w:hAnsi="Verdana"/>
          <w:lang w:eastAsia="es-MX"/>
        </w:rPr>
        <w:t>Acuerdo No. PSAA12-9338 del 27 de marzo de 2012</w:t>
      </w:r>
      <w:r>
        <w:rPr>
          <w:rFonts w:ascii="Verdana" w:eastAsia="Calibri" w:hAnsi="Verdana" w:cs="Arial"/>
        </w:rPr>
        <w:t xml:space="preserve">, </w:t>
      </w:r>
      <w:r w:rsidRPr="006B795B">
        <w:rPr>
          <w:rFonts w:ascii="Verdana" w:eastAsia="Calibri" w:hAnsi="Verdana" w:cs="Arial"/>
        </w:rPr>
        <w:t>debe ser realizado por quienes tengan interés en ello.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de adoptar la decisión y, en caso de conflicto, a las autoridades judiciales, fiscales y disciplinarias.</w:t>
      </w:r>
    </w:p>
    <w:p w14:paraId="0215FD08" w14:textId="77777777" w:rsidR="00981751" w:rsidRPr="009F5D48" w:rsidRDefault="00981751" w:rsidP="00981751">
      <w:pPr>
        <w:widowControl w:val="0"/>
        <w:autoSpaceDE w:val="0"/>
        <w:autoSpaceDN w:val="0"/>
        <w:spacing w:after="0" w:line="276" w:lineRule="auto"/>
        <w:jc w:val="both"/>
        <w:rPr>
          <w:rFonts w:ascii="Verdana" w:hAnsi="Verdana" w:cs="Arial"/>
        </w:rPr>
      </w:pPr>
    </w:p>
    <w:p w14:paraId="355FD67A" w14:textId="77777777" w:rsidR="00F276CC" w:rsidRPr="009F5D48" w:rsidRDefault="00F276CC" w:rsidP="00F276C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F5D48">
        <w:rPr>
          <w:rFonts w:ascii="Verdana" w:eastAsia="Century Gothic" w:hAnsi="Verdana" w:cs="Century Gothic"/>
          <w:b/>
          <w:bCs/>
        </w:rPr>
        <w:t>Referencias normativas, jurisprudenciales y otras fuentes:</w:t>
      </w:r>
    </w:p>
    <w:p w14:paraId="38B3D286" w14:textId="77777777" w:rsidR="00F276CC" w:rsidRPr="009F5D48" w:rsidRDefault="00F276CC" w:rsidP="00F276C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F276CC" w:rsidRPr="009F5D48" w14:paraId="40AB05FD" w14:textId="77777777">
        <w:trPr>
          <w:trHeight w:val="870"/>
        </w:trPr>
        <w:tc>
          <w:tcPr>
            <w:tcW w:w="8647" w:type="dxa"/>
          </w:tcPr>
          <w:p w14:paraId="65A02E1A" w14:textId="77777777" w:rsidR="00F276CC" w:rsidRDefault="00F276CC" w:rsidP="00F276CC">
            <w:pPr>
              <w:pStyle w:val="Prrafodelista"/>
              <w:numPr>
                <w:ilvl w:val="0"/>
                <w:numId w:val="17"/>
              </w:numPr>
              <w:rPr>
                <w:rFonts w:ascii="Verdana" w:hAnsi="Verdana"/>
              </w:rPr>
            </w:pPr>
            <w:r w:rsidRPr="00141FE3">
              <w:rPr>
                <w:rFonts w:ascii="Verdana" w:hAnsi="Verdana"/>
              </w:rPr>
              <w:lastRenderedPageBreak/>
              <w:t xml:space="preserve">Ley 80 de 1993, artículos 8, </w:t>
            </w:r>
            <w:r>
              <w:rPr>
                <w:rFonts w:ascii="Verdana" w:hAnsi="Verdana"/>
              </w:rPr>
              <w:t xml:space="preserve">13, </w:t>
            </w:r>
            <w:r w:rsidRPr="00141FE3">
              <w:rPr>
                <w:rFonts w:ascii="Verdana" w:hAnsi="Verdana"/>
              </w:rPr>
              <w:t>14,</w:t>
            </w:r>
            <w:r>
              <w:rPr>
                <w:rFonts w:ascii="Verdana" w:hAnsi="Verdana"/>
              </w:rPr>
              <w:t>17,</w:t>
            </w:r>
            <w:r w:rsidRPr="00141FE3">
              <w:rPr>
                <w:rFonts w:ascii="Verdana" w:hAnsi="Verdana"/>
              </w:rPr>
              <w:t xml:space="preserve"> 32</w:t>
            </w:r>
            <w:r>
              <w:rPr>
                <w:rFonts w:ascii="Verdana" w:hAnsi="Verdana"/>
              </w:rPr>
              <w:t>, 40 45.</w:t>
            </w:r>
          </w:p>
          <w:p w14:paraId="4D1589F7" w14:textId="77777777" w:rsidR="00F276CC" w:rsidRDefault="00F276CC" w:rsidP="00F276CC">
            <w:pPr>
              <w:pStyle w:val="Prrafodelista"/>
              <w:numPr>
                <w:ilvl w:val="0"/>
                <w:numId w:val="17"/>
              </w:numPr>
              <w:rPr>
                <w:rFonts w:ascii="Verdana" w:hAnsi="Verdana"/>
              </w:rPr>
            </w:pPr>
            <w:r w:rsidRPr="00141FE3">
              <w:rPr>
                <w:rFonts w:ascii="Verdana" w:hAnsi="Verdana"/>
              </w:rPr>
              <w:t>Ley 1150 de 2007, artículo 2, numeral 4, literal h; artículo 6</w:t>
            </w:r>
          </w:p>
          <w:p w14:paraId="4E5A9F7F" w14:textId="77777777" w:rsidR="00F276CC" w:rsidRDefault="00F276CC" w:rsidP="00F276CC">
            <w:pPr>
              <w:pStyle w:val="Prrafodelista"/>
              <w:numPr>
                <w:ilvl w:val="0"/>
                <w:numId w:val="17"/>
              </w:numPr>
              <w:rPr>
                <w:rFonts w:ascii="Verdana" w:hAnsi="Verdana"/>
              </w:rPr>
            </w:pPr>
            <w:r w:rsidRPr="00141FE3">
              <w:rPr>
                <w:rFonts w:ascii="Verdana" w:hAnsi="Verdana"/>
              </w:rPr>
              <w:t>Decreto 1082 de 2015, artículo 2.2.1.2.1.4.9</w:t>
            </w:r>
          </w:p>
          <w:p w14:paraId="05A5B204" w14:textId="77777777" w:rsidR="00F276CC" w:rsidRPr="00856809" w:rsidRDefault="00F276CC" w:rsidP="00F276CC">
            <w:pPr>
              <w:pStyle w:val="Prrafodelista"/>
              <w:widowControl w:val="0"/>
              <w:numPr>
                <w:ilvl w:val="0"/>
                <w:numId w:val="17"/>
              </w:numPr>
              <w:autoSpaceDE w:val="0"/>
              <w:autoSpaceDN w:val="0"/>
              <w:spacing w:after="120" w:line="276" w:lineRule="auto"/>
              <w:contextualSpacing w:val="0"/>
              <w:jc w:val="both"/>
              <w:rPr>
                <w:rFonts w:ascii="Verdana" w:hAnsi="Verdana" w:cs="Arial"/>
              </w:rPr>
            </w:pPr>
            <w:r w:rsidRPr="009F5D48">
              <w:rPr>
                <w:rFonts w:ascii="Verdana" w:eastAsia="Times New Roman" w:hAnsi="Verdana"/>
                <w:lang w:eastAsia="es-MX"/>
              </w:rPr>
              <w:t>Acuerdo No. PSAA12-9338 del 27 de marzo de 2012</w:t>
            </w:r>
            <w:r>
              <w:rPr>
                <w:rFonts w:ascii="Verdana" w:eastAsia="Calibri" w:hAnsi="Verdana" w:cs="Arial"/>
              </w:rPr>
              <w:t xml:space="preserve"> del Consejo Superior de la Judicatura. </w:t>
            </w:r>
          </w:p>
        </w:tc>
      </w:tr>
    </w:tbl>
    <w:p w14:paraId="7C11A023" w14:textId="77777777" w:rsidR="00F276CC" w:rsidRPr="009F5D48" w:rsidRDefault="00F276CC" w:rsidP="00F276CC">
      <w:pPr>
        <w:widowControl w:val="0"/>
        <w:autoSpaceDE w:val="0"/>
        <w:autoSpaceDN w:val="0"/>
        <w:spacing w:after="0" w:line="276" w:lineRule="auto"/>
        <w:jc w:val="both"/>
        <w:rPr>
          <w:rFonts w:ascii="Verdana" w:hAnsi="Verdana" w:cs="Arial"/>
        </w:rPr>
      </w:pPr>
    </w:p>
    <w:p w14:paraId="4B3947C4" w14:textId="77777777" w:rsidR="00F276CC" w:rsidRPr="009F5D48" w:rsidRDefault="00F276CC" w:rsidP="00F276C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F5D48">
        <w:rPr>
          <w:rFonts w:ascii="Verdana" w:eastAsia="Century Gothic" w:hAnsi="Verdana" w:cs="Century Gothic"/>
          <w:b/>
          <w:bCs/>
        </w:rPr>
        <w:t>Doctrina de la Agencia Nacional de Contratación Pública:</w:t>
      </w:r>
    </w:p>
    <w:p w14:paraId="6F82F701" w14:textId="77777777" w:rsidR="00F276CC" w:rsidRDefault="00F276CC" w:rsidP="00F276CC">
      <w:pPr>
        <w:tabs>
          <w:tab w:val="left" w:pos="142"/>
          <w:tab w:val="left" w:pos="284"/>
        </w:tabs>
        <w:spacing w:after="0" w:line="276" w:lineRule="auto"/>
        <w:jc w:val="both"/>
        <w:rPr>
          <w:rStyle w:val="normaltextrun"/>
          <w:rFonts w:ascii="Verdana" w:hAnsi="Verdana" w:cs="Arial"/>
          <w:shd w:val="clear" w:color="auto" w:fill="FFFFFF"/>
          <w:lang w:val="es-ES"/>
        </w:rPr>
      </w:pPr>
    </w:p>
    <w:p w14:paraId="0E4AC22D" w14:textId="77777777" w:rsidR="00F276CC" w:rsidRPr="00856809" w:rsidRDefault="00F276CC" w:rsidP="00F276CC">
      <w:pPr>
        <w:tabs>
          <w:tab w:val="left" w:pos="142"/>
          <w:tab w:val="left" w:pos="284"/>
        </w:tabs>
        <w:spacing w:after="0" w:line="276" w:lineRule="auto"/>
        <w:jc w:val="both"/>
        <w:rPr>
          <w:rStyle w:val="normaltextrun"/>
          <w:rFonts w:ascii="Verdana" w:eastAsia="Century Gothic" w:hAnsi="Verdana" w:cs="Century Gothic"/>
          <w:b/>
          <w:bCs/>
          <w:lang w:val="es-ES"/>
        </w:rPr>
      </w:pPr>
      <w:r w:rsidRPr="00856809">
        <w:rPr>
          <w:rStyle w:val="normaltextrun"/>
          <w:rFonts w:ascii="Verdana" w:hAnsi="Verdana" w:cs="Arial"/>
          <w:shd w:val="clear" w:color="auto" w:fill="FFFFFF"/>
          <w:lang w:val="es-ES"/>
        </w:rPr>
        <w:t>Sobre las características de los contratos de prestación de servicios se pronunció esta Subdirección en los conceptos C-024 del 3 de marzo de 2022</w:t>
      </w:r>
      <w:r w:rsidRPr="00856809">
        <w:rPr>
          <w:rStyle w:val="normaltextrun"/>
          <w:rFonts w:ascii="Verdana" w:hAnsi="Verdana" w:cs="Calibri"/>
          <w:shd w:val="clear" w:color="auto" w:fill="FFFFFF"/>
        </w:rPr>
        <w:t xml:space="preserve"> C-311 de 21 de agosto de 2024, C-327 del 26 de agosto de 2024, C- 604 de 25 de octubre de 2024, C-849 del 19 de diciembre de 2024, C-028 del 5 de febrero de 2025, C-037 de 20 de febrero de 2025, C-140 del 14 de marzo de 2025. </w:t>
      </w:r>
      <w:r w:rsidRPr="00856809">
        <w:rPr>
          <w:rFonts w:ascii="Verdana" w:eastAsia="Calibri" w:hAnsi="Verdana" w:cs="Arial"/>
          <w:lang w:val="es-ES_tradnl" w:eastAsia="es-ES_tradnl"/>
        </w:rPr>
        <w:t>Sobre el régimen de inhabilidades e incompatibilidades esta Subdirección se pronunció en los</w:t>
      </w:r>
      <w:r w:rsidRPr="00856809">
        <w:rPr>
          <w:rFonts w:ascii="Verdana" w:eastAsia="Calibri" w:hAnsi="Verdana" w:cs="Arial"/>
          <w:lang w:val="es-MX"/>
        </w:rPr>
        <w:t xml:space="preserve"> C−410 del 7 de julio de 2021, C−491 del 14 de septiembre de 2021, C−522 del 1 de octubre de 2021, C−128 del 25 de marzo de 2022, C−252 del 3 de mayo de 2022, C−376 del 14 de junio de 2022, C−413 del 24 de junio de 2022, C−691 del 20 de octubre de 2022, C−731 del 10 de noviembre de 2022, C−928 del 26 de enero de 2023, C−126 del 24 de abril de 2023, C−175 del 4 de mayo de 2023, C−234 del 5 de julio de 2023, C−010 del 31 de enero de 2024, la respuesta </w:t>
      </w:r>
      <w:r w:rsidRPr="00856809">
        <w:rPr>
          <w:rFonts w:ascii="Verdana" w:hAnsi="Verdana" w:cs="Arial"/>
        </w:rPr>
        <w:t xml:space="preserve">al radicado </w:t>
      </w:r>
      <w:r w:rsidRPr="00856809">
        <w:rPr>
          <w:rFonts w:ascii="Verdana" w:eastAsia="Aptos" w:hAnsi="Verdana" w:cs="Calibri"/>
        </w:rPr>
        <w:t>P20240308002646 del 24 de abril de 2024,</w:t>
      </w:r>
      <w:r w:rsidRPr="00856809">
        <w:rPr>
          <w:rFonts w:ascii="Verdana" w:eastAsia="Calibri" w:hAnsi="Verdana" w:cs="Arial"/>
          <w:lang w:val="es-MX"/>
        </w:rPr>
        <w:t xml:space="preserve"> el C-039 del 23 de abril de 2024, </w:t>
      </w:r>
      <w:r w:rsidRPr="00856809">
        <w:rPr>
          <w:rFonts w:ascii="Verdana" w:hAnsi="Verdana" w:cs="Arial"/>
        </w:rPr>
        <w:t xml:space="preserve">C-085 del 3 de marzo de 2025 y </w:t>
      </w:r>
      <w:r w:rsidRPr="00856809">
        <w:rPr>
          <w:rFonts w:ascii="Verdana" w:eastAsia="Aptos" w:hAnsi="Verdana" w:cs="Calibri"/>
        </w:rPr>
        <w:t>C-170 del 19 de marzo de 2025</w:t>
      </w:r>
      <w:r>
        <w:rPr>
          <w:rFonts w:ascii="Verdana" w:eastAsia="Aptos" w:hAnsi="Verdana" w:cs="Calibri"/>
        </w:rPr>
        <w:t>, C–392 del 8 del mayo de 2025</w:t>
      </w:r>
      <w:r w:rsidRPr="00856809">
        <w:rPr>
          <w:rFonts w:ascii="Verdana" w:eastAsia="Aptos" w:hAnsi="Verdana" w:cs="Calibri"/>
        </w:rPr>
        <w:t>.</w:t>
      </w:r>
      <w:r>
        <w:rPr>
          <w:rFonts w:ascii="Verdana" w:eastAsia="Aptos" w:hAnsi="Verdana" w:cs="Calibri"/>
        </w:rPr>
        <w:t xml:space="preserve"> </w:t>
      </w:r>
      <w:r w:rsidRPr="00856809">
        <w:rPr>
          <w:rStyle w:val="normaltextrun"/>
          <w:rFonts w:ascii="Verdana" w:hAnsi="Verdana" w:cs="Arial"/>
          <w:shd w:val="clear" w:color="auto" w:fill="FFFFFF"/>
          <w:lang w:val="es-ES"/>
        </w:rPr>
        <w:t>Es</w:t>
      </w:r>
      <w:r w:rsidRPr="00856809">
        <w:rPr>
          <w:rFonts w:ascii="Verdana" w:hAnsi="Verdana"/>
        </w:rPr>
        <w:t>tos y otros conceptos se encuentran disponibles para consulta en el Sistema de relatoría de la Agencia, al cual se puede acceder a través del siguiente enlace:</w:t>
      </w:r>
      <w:r w:rsidRPr="00856809">
        <w:rPr>
          <w:rStyle w:val="normaltextrun"/>
          <w:rFonts w:ascii="Verdana" w:hAnsi="Verdana" w:cs="Arial"/>
          <w:shd w:val="clear" w:color="auto" w:fill="FFFFFF"/>
          <w:lang w:val="es-ES"/>
        </w:rPr>
        <w:t xml:space="preserve"> </w:t>
      </w:r>
      <w:hyperlink r:id="rId12" w:history="1">
        <w:r w:rsidRPr="00856809">
          <w:rPr>
            <w:rStyle w:val="Hipervnculo"/>
            <w:rFonts w:ascii="Verdana" w:hAnsi="Verdana" w:cs="Arial"/>
            <w:shd w:val="clear" w:color="auto" w:fill="FFFFFF"/>
            <w:lang w:val="es-ES"/>
          </w:rPr>
          <w:t>https://relatoria.colombiacompra.gov.co/busqueda/conceptos</w:t>
        </w:r>
      </w:hyperlink>
      <w:r w:rsidRPr="00856809">
        <w:rPr>
          <w:rStyle w:val="normaltextrun"/>
          <w:rFonts w:ascii="Verdana" w:hAnsi="Verdana" w:cs="Arial"/>
          <w:color w:val="FF0000"/>
          <w:shd w:val="clear" w:color="auto" w:fill="FFFFFF"/>
          <w:lang w:val="es-ES"/>
        </w:rPr>
        <w:t xml:space="preserve">. </w:t>
      </w:r>
    </w:p>
    <w:p w14:paraId="6507DF89" w14:textId="77777777" w:rsidR="00F276CC" w:rsidRPr="00856809" w:rsidRDefault="00F276CC" w:rsidP="00D6068E">
      <w:pPr>
        <w:pStyle w:val="Prrafodelista"/>
        <w:widowControl w:val="0"/>
        <w:autoSpaceDE w:val="0"/>
        <w:autoSpaceDN w:val="0"/>
        <w:spacing w:after="0" w:line="276" w:lineRule="auto"/>
        <w:ind w:left="6601"/>
        <w:jc w:val="both"/>
        <w:rPr>
          <w:rStyle w:val="normaltextrun"/>
          <w:rFonts w:ascii="Verdana" w:hAnsi="Verdana" w:cs="Arial"/>
          <w:color w:val="FF0000"/>
          <w:shd w:val="clear" w:color="auto" w:fill="FFFFFF"/>
        </w:rPr>
      </w:pPr>
    </w:p>
    <w:p w14:paraId="7A176488" w14:textId="77777777" w:rsidR="00F276CC" w:rsidRPr="009F5D48" w:rsidRDefault="00F276CC" w:rsidP="00F276CC">
      <w:pPr>
        <w:spacing w:after="0" w:line="276" w:lineRule="auto"/>
        <w:jc w:val="both"/>
        <w:rPr>
          <w:rFonts w:ascii="Verdana" w:hAnsi="Verdana"/>
        </w:rPr>
      </w:pPr>
      <w:r w:rsidRPr="009F5D48">
        <w:rPr>
          <w:rFonts w:ascii="Verdana" w:hAnsi="Verdana"/>
        </w:rPr>
        <w:t xml:space="preserve">Por último, lo invitamos a seguirnos en las redes sociales en las cuales se difunde información institucional: </w:t>
      </w:r>
    </w:p>
    <w:p w14:paraId="6E78A678" w14:textId="77777777" w:rsidR="00F276CC" w:rsidRPr="009F5D48" w:rsidRDefault="00F276CC" w:rsidP="00F276CC">
      <w:pPr>
        <w:spacing w:after="0" w:line="276" w:lineRule="auto"/>
        <w:jc w:val="both"/>
        <w:rPr>
          <w:rFonts w:ascii="Verdana" w:hAnsi="Verdana"/>
        </w:rPr>
      </w:pPr>
    </w:p>
    <w:p w14:paraId="25974D8B" w14:textId="77777777" w:rsidR="00F276CC" w:rsidRPr="009F5D48" w:rsidRDefault="00F276CC" w:rsidP="00F276CC">
      <w:pPr>
        <w:spacing w:after="0" w:line="276" w:lineRule="auto"/>
        <w:jc w:val="both"/>
        <w:rPr>
          <w:rFonts w:ascii="Verdana" w:hAnsi="Verdana"/>
        </w:rPr>
      </w:pPr>
      <w:r w:rsidRPr="009F5D48">
        <w:rPr>
          <w:rFonts w:ascii="Verdana" w:hAnsi="Verdana"/>
        </w:rPr>
        <w:t xml:space="preserve">Twitter: </w:t>
      </w:r>
      <w:r w:rsidRPr="009F5D48">
        <w:rPr>
          <w:rStyle w:val="Hipervnculo"/>
          <w:rFonts w:ascii="Verdana" w:hAnsi="Verdana"/>
          <w:color w:val="4472C4" w:themeColor="accent1"/>
        </w:rPr>
        <w:t>@colombiacompra</w:t>
      </w:r>
      <w:r w:rsidRPr="009F5D48">
        <w:rPr>
          <w:rFonts w:ascii="Verdana" w:hAnsi="Verdana"/>
          <w:color w:val="4472C4" w:themeColor="accent1"/>
        </w:rPr>
        <w:t xml:space="preserve"> </w:t>
      </w:r>
    </w:p>
    <w:p w14:paraId="3886A264" w14:textId="77777777" w:rsidR="00F276CC" w:rsidRPr="009F5D48" w:rsidRDefault="00F276CC" w:rsidP="00F276CC">
      <w:pPr>
        <w:spacing w:after="0" w:line="276" w:lineRule="auto"/>
        <w:jc w:val="both"/>
        <w:rPr>
          <w:rFonts w:ascii="Verdana" w:hAnsi="Verdana"/>
        </w:rPr>
      </w:pPr>
      <w:r w:rsidRPr="009F5D48">
        <w:rPr>
          <w:rFonts w:ascii="Verdana" w:hAnsi="Verdana"/>
        </w:rPr>
        <w:t xml:space="preserve">Facebook: </w:t>
      </w:r>
      <w:proofErr w:type="spellStart"/>
      <w:r w:rsidRPr="009F5D48">
        <w:rPr>
          <w:rStyle w:val="Hipervnculo"/>
          <w:rFonts w:ascii="Verdana" w:hAnsi="Verdana"/>
          <w:color w:val="4472C4" w:themeColor="accent1"/>
        </w:rPr>
        <w:t>ColombiaCompraEficiente</w:t>
      </w:r>
      <w:proofErr w:type="spellEnd"/>
    </w:p>
    <w:p w14:paraId="2010A874" w14:textId="77777777" w:rsidR="00F276CC" w:rsidRPr="009F5D48" w:rsidRDefault="00F276CC" w:rsidP="00F276CC">
      <w:pPr>
        <w:spacing w:after="0" w:line="276" w:lineRule="auto"/>
        <w:jc w:val="both"/>
        <w:rPr>
          <w:rFonts w:ascii="Verdana" w:hAnsi="Verdana"/>
        </w:rPr>
      </w:pPr>
      <w:r w:rsidRPr="009F5D48">
        <w:rPr>
          <w:rFonts w:ascii="Verdana" w:hAnsi="Verdana"/>
        </w:rPr>
        <w:t xml:space="preserve">LinkedIn: </w:t>
      </w:r>
      <w:r w:rsidRPr="009F5D48">
        <w:rPr>
          <w:rStyle w:val="Hipervnculo"/>
          <w:rFonts w:ascii="Verdana" w:hAnsi="Verdana"/>
          <w:color w:val="4472C4" w:themeColor="accent1"/>
        </w:rPr>
        <w:t>Agencia Nacional de Contratación Pública - Colombia Compra Eficiente</w:t>
      </w:r>
      <w:r w:rsidRPr="009F5D48">
        <w:rPr>
          <w:rFonts w:ascii="Verdana" w:hAnsi="Verdana"/>
          <w:color w:val="4472C4" w:themeColor="accent1"/>
        </w:rPr>
        <w:t xml:space="preserve"> </w:t>
      </w:r>
      <w:r w:rsidRPr="009F5D48">
        <w:rPr>
          <w:rFonts w:ascii="Verdana" w:hAnsi="Verdana"/>
        </w:rPr>
        <w:t xml:space="preserve">Instagram: </w:t>
      </w:r>
      <w:r w:rsidRPr="009F5D48">
        <w:rPr>
          <w:rStyle w:val="Hipervnculo"/>
          <w:rFonts w:ascii="Verdana" w:hAnsi="Verdana"/>
          <w:color w:val="4472C4" w:themeColor="accent1"/>
        </w:rPr>
        <w:t>@colombiacompraeficiente_cce</w:t>
      </w:r>
    </w:p>
    <w:p w14:paraId="3A1B209D" w14:textId="77777777" w:rsidR="00F276CC" w:rsidRPr="009F5D48" w:rsidRDefault="00F276CC" w:rsidP="00F276CC">
      <w:pPr>
        <w:widowControl w:val="0"/>
        <w:autoSpaceDE w:val="0"/>
        <w:autoSpaceDN w:val="0"/>
        <w:spacing w:after="0" w:line="276" w:lineRule="auto"/>
        <w:jc w:val="both"/>
        <w:rPr>
          <w:rFonts w:ascii="Verdana" w:hAnsi="Verdana" w:cs="Arial"/>
        </w:rPr>
      </w:pPr>
    </w:p>
    <w:p w14:paraId="3DBF02E6" w14:textId="77777777" w:rsidR="00F276CC" w:rsidRPr="009F5D48" w:rsidRDefault="00F276CC" w:rsidP="00F276CC">
      <w:pPr>
        <w:widowControl w:val="0"/>
        <w:autoSpaceDE w:val="0"/>
        <w:autoSpaceDN w:val="0"/>
        <w:spacing w:after="0" w:line="276" w:lineRule="auto"/>
        <w:jc w:val="both"/>
        <w:rPr>
          <w:rFonts w:ascii="Verdana" w:hAnsi="Verdana" w:cs="Arial"/>
          <w:lang w:val="es-ES_tradnl"/>
        </w:rPr>
      </w:pPr>
      <w:r w:rsidRPr="009F5D48">
        <w:rPr>
          <w:rFonts w:ascii="Verdana" w:hAnsi="Verdana" w:cs="Arial"/>
        </w:rPr>
        <w:t xml:space="preserve">Este concepto tiene el alcance previsto en el artículo 28 del Código de Procedimiento Administrativo y de lo Contencioso Administrativo </w:t>
      </w:r>
      <w:r w:rsidRPr="009F5D48">
        <w:rPr>
          <w:rFonts w:ascii="Verdana" w:hAnsi="Verdana" w:cs="Arial"/>
          <w:lang w:val="es-ES_tradnl"/>
        </w:rPr>
        <w:t xml:space="preserve">y las </w:t>
      </w:r>
      <w:r w:rsidRPr="009F5D48">
        <w:rPr>
          <w:rFonts w:ascii="Verdana" w:hAnsi="Verdana" w:cs="Arial"/>
          <w:lang w:val="es-ES_tradnl"/>
        </w:rPr>
        <w:lastRenderedPageBreak/>
        <w:t>expresiones aquí utilizadas con mayúscula inicial deben ser entendidas con el significado que les otorga el artículo 2.2.1.1.1.3.1. del Decreto 1082 de 2015.</w:t>
      </w:r>
    </w:p>
    <w:p w14:paraId="63DEFF8E" w14:textId="77777777" w:rsidR="00F276CC" w:rsidRPr="009F5D48" w:rsidRDefault="00F276CC" w:rsidP="00F276CC">
      <w:pPr>
        <w:widowControl w:val="0"/>
        <w:autoSpaceDE w:val="0"/>
        <w:autoSpaceDN w:val="0"/>
        <w:spacing w:after="0" w:line="276" w:lineRule="auto"/>
        <w:jc w:val="both"/>
        <w:rPr>
          <w:rFonts w:ascii="Verdana" w:hAnsi="Verdana" w:cs="Arial"/>
        </w:rPr>
      </w:pPr>
    </w:p>
    <w:p w14:paraId="7CFEC7CB" w14:textId="77777777" w:rsidR="00F276CC" w:rsidRPr="009F5D48" w:rsidRDefault="00F276CC" w:rsidP="00F276CC">
      <w:pPr>
        <w:spacing w:after="0" w:line="276" w:lineRule="auto"/>
        <w:jc w:val="both"/>
        <w:rPr>
          <w:rFonts w:ascii="Verdana" w:hAnsi="Verdana" w:cs="Arial"/>
          <w:lang w:eastAsia="es-CO"/>
        </w:rPr>
      </w:pPr>
      <w:r w:rsidRPr="009F5D48">
        <w:rPr>
          <w:rFonts w:ascii="Verdana" w:eastAsia="Times New Roman" w:hAnsi="Verdana" w:cs="Arial"/>
          <w:lang w:eastAsia="es-CO"/>
        </w:rPr>
        <w:t>Atentamente,</w:t>
      </w:r>
      <w:r w:rsidRPr="009F5D48">
        <w:rPr>
          <w:rFonts w:ascii="Verdana" w:hAnsi="Verdana" w:cs="Arial"/>
          <w:lang w:eastAsia="es-CO"/>
        </w:rPr>
        <w:t xml:space="preserve"> </w:t>
      </w:r>
    </w:p>
    <w:p w14:paraId="5543B573" w14:textId="74468AC1" w:rsidR="00F276CC" w:rsidRPr="009F5D48" w:rsidRDefault="00D00290" w:rsidP="00F276CC">
      <w:pPr>
        <w:spacing w:line="276" w:lineRule="auto"/>
        <w:jc w:val="center"/>
        <w:rPr>
          <w:rFonts w:ascii="Verdana" w:hAnsi="Verdana" w:cs="Arial"/>
          <w:color w:val="000000"/>
          <w:lang w:val="es-ES_tradnl" w:eastAsia="es-CO"/>
        </w:rPr>
      </w:pPr>
      <w:r>
        <w:rPr>
          <w:rFonts w:cs="Arial"/>
          <w:noProof/>
          <w:color w:val="000000"/>
          <w:lang w:val="es-ES_tradnl"/>
        </w:rPr>
        <w:drawing>
          <wp:inline distT="0" distB="0" distL="0" distR="0" wp14:anchorId="51461609" wp14:editId="08C82C2B">
            <wp:extent cx="3768725" cy="1399540"/>
            <wp:effectExtent l="0" t="0" r="3175" b="0"/>
            <wp:docPr id="2005225357" name="Imagen 200522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p w14:paraId="2194DC9D" w14:textId="77777777" w:rsidR="00F276CC" w:rsidRPr="009F5D48" w:rsidRDefault="00F276CC" w:rsidP="00F276CC">
      <w:pPr>
        <w:spacing w:after="0" w:line="276" w:lineRule="auto"/>
        <w:jc w:val="both"/>
        <w:rPr>
          <w:rFonts w:ascii="Verdana" w:eastAsia="Times New Roman" w:hAnsi="Verdana" w:cs="Arial"/>
          <w:lang w:eastAsia="es-ES"/>
        </w:rPr>
      </w:pPr>
    </w:p>
    <w:tbl>
      <w:tblPr>
        <w:tblStyle w:val="Tablaconcuadrcula"/>
        <w:tblpPr w:leftFromText="141" w:rightFromText="141" w:vertAnchor="text" w:horzAnchor="margin" w:tblpY="-190"/>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276CC" w:rsidRPr="00EA1223" w14:paraId="72346535" w14:textId="77777777">
        <w:trPr>
          <w:trHeight w:val="315"/>
        </w:trPr>
        <w:tc>
          <w:tcPr>
            <w:tcW w:w="893" w:type="dxa"/>
            <w:vAlign w:val="center"/>
            <w:hideMark/>
          </w:tcPr>
          <w:p w14:paraId="66E032B9" w14:textId="77777777" w:rsidR="00F276CC" w:rsidRPr="00EA1223" w:rsidRDefault="00F276CC">
            <w:pPr>
              <w:contextualSpacing/>
              <w:rPr>
                <w:rFonts w:ascii="Verdana" w:hAnsi="Verdana" w:cs="Arial"/>
                <w:sz w:val="16"/>
                <w:szCs w:val="16"/>
                <w:lang w:val="es-ES" w:eastAsia="es-ES"/>
              </w:rPr>
            </w:pPr>
            <w:r w:rsidRPr="00EA122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4206CC2F" w14:textId="77777777" w:rsidR="00F276CC" w:rsidRPr="00EA1223" w:rsidRDefault="00F276CC">
            <w:pPr>
              <w:contextualSpacing/>
              <w:rPr>
                <w:rStyle w:val="normaltextrun"/>
                <w:rFonts w:ascii="Verdana" w:eastAsia="Arial" w:hAnsi="Verdana" w:cs="Arial"/>
                <w:sz w:val="16"/>
                <w:szCs w:val="16"/>
              </w:rPr>
            </w:pPr>
            <w:r w:rsidRPr="00EA1223">
              <w:rPr>
                <w:rStyle w:val="normaltextrun"/>
                <w:rFonts w:ascii="Verdana" w:eastAsia="Arial" w:hAnsi="Verdana" w:cs="Arial"/>
                <w:sz w:val="16"/>
                <w:szCs w:val="16"/>
              </w:rPr>
              <w:t>Andrea del Pilar Garzón Sánchez</w:t>
            </w:r>
          </w:p>
          <w:p w14:paraId="19D3ECE9" w14:textId="77777777" w:rsidR="00F276CC" w:rsidRPr="00EA1223" w:rsidRDefault="00F276CC">
            <w:pPr>
              <w:contextualSpacing/>
              <w:rPr>
                <w:rFonts w:ascii="Verdana" w:eastAsia="Arial" w:hAnsi="Verdana" w:cs="Arial"/>
                <w:color w:val="7030A0"/>
                <w:sz w:val="16"/>
                <w:szCs w:val="16"/>
              </w:rPr>
            </w:pPr>
            <w:r w:rsidRPr="00EA1223">
              <w:rPr>
                <w:rStyle w:val="normaltextrun"/>
                <w:rFonts w:ascii="Verdana" w:eastAsia="Arial" w:hAnsi="Verdana" w:cs="Arial"/>
                <w:sz w:val="16"/>
                <w:szCs w:val="16"/>
              </w:rPr>
              <w:t>Contratista de la Subdirección de Gestión Contractual</w:t>
            </w:r>
          </w:p>
        </w:tc>
      </w:tr>
      <w:tr w:rsidR="00F276CC" w:rsidRPr="00EA1223" w14:paraId="7DB0DD9D" w14:textId="77777777">
        <w:trPr>
          <w:trHeight w:val="330"/>
        </w:trPr>
        <w:tc>
          <w:tcPr>
            <w:tcW w:w="893" w:type="dxa"/>
            <w:vAlign w:val="center"/>
            <w:hideMark/>
          </w:tcPr>
          <w:p w14:paraId="5F1B95CB" w14:textId="77777777" w:rsidR="00F276CC" w:rsidRPr="00EA1223" w:rsidRDefault="00F276CC">
            <w:pPr>
              <w:contextualSpacing/>
              <w:rPr>
                <w:rFonts w:ascii="Verdana" w:hAnsi="Verdana" w:cs="Arial"/>
                <w:sz w:val="16"/>
                <w:szCs w:val="16"/>
                <w:lang w:val="es-ES" w:eastAsia="es-ES"/>
              </w:rPr>
            </w:pPr>
            <w:r w:rsidRPr="00EA122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04E6A08" w14:textId="77777777" w:rsidR="00F276CC" w:rsidRPr="00EA1223" w:rsidRDefault="00F276CC">
            <w:pPr>
              <w:pStyle w:val="paragraph"/>
              <w:spacing w:before="0" w:beforeAutospacing="0" w:after="0" w:afterAutospacing="0"/>
              <w:contextualSpacing/>
              <w:textAlignment w:val="baseline"/>
              <w:rPr>
                <w:rStyle w:val="normaltextrun"/>
                <w:rFonts w:ascii="Verdana" w:hAnsi="Verdana" w:cs="Arial"/>
                <w:sz w:val="16"/>
                <w:szCs w:val="16"/>
                <w:lang w:val="es-ES"/>
              </w:rPr>
            </w:pPr>
            <w:r>
              <w:rPr>
                <w:rStyle w:val="normaltextrun"/>
                <w:rFonts w:ascii="Verdana" w:hAnsi="Verdana" w:cs="Arial"/>
                <w:sz w:val="16"/>
                <w:szCs w:val="16"/>
                <w:lang w:val="es-ES"/>
              </w:rPr>
              <w:t>Juan Carlos Gonzáles Vásquez</w:t>
            </w:r>
          </w:p>
          <w:p w14:paraId="1B469438" w14:textId="77777777" w:rsidR="00F276CC" w:rsidRPr="00EA1223" w:rsidRDefault="00F276CC">
            <w:pPr>
              <w:pStyle w:val="paragraph"/>
              <w:spacing w:before="0" w:beforeAutospacing="0" w:after="0" w:afterAutospacing="0"/>
              <w:contextualSpacing/>
              <w:textAlignment w:val="baseline"/>
              <w:rPr>
                <w:rFonts w:ascii="Verdana" w:hAnsi="Verdana" w:cs="Segoe UI"/>
                <w:sz w:val="16"/>
                <w:szCs w:val="16"/>
              </w:rPr>
            </w:pPr>
            <w:r w:rsidRPr="00EA1223">
              <w:rPr>
                <w:rStyle w:val="normaltextrun"/>
                <w:rFonts w:ascii="Verdana" w:hAnsi="Verdana" w:cs="Arial"/>
                <w:sz w:val="16"/>
                <w:szCs w:val="16"/>
                <w:lang w:val="es-ES"/>
              </w:rPr>
              <w:t>Contratista de la Subdirección de Gestión Contractual</w:t>
            </w:r>
            <w:r w:rsidRPr="00EA1223">
              <w:rPr>
                <w:rStyle w:val="eop"/>
                <w:rFonts w:ascii="Verdana" w:hAnsi="Verdana" w:cs="Arial"/>
                <w:sz w:val="16"/>
                <w:szCs w:val="16"/>
              </w:rPr>
              <w:t> </w:t>
            </w:r>
          </w:p>
        </w:tc>
      </w:tr>
      <w:tr w:rsidR="00F276CC" w:rsidRPr="00EA1223" w14:paraId="187D7400" w14:textId="77777777">
        <w:trPr>
          <w:trHeight w:val="300"/>
        </w:trPr>
        <w:tc>
          <w:tcPr>
            <w:tcW w:w="893" w:type="dxa"/>
            <w:vAlign w:val="center"/>
          </w:tcPr>
          <w:p w14:paraId="0532D5DC" w14:textId="77777777" w:rsidR="00F276CC" w:rsidRPr="00EA1223" w:rsidRDefault="00F276CC">
            <w:pPr>
              <w:contextualSpacing/>
              <w:rPr>
                <w:rFonts w:ascii="Verdana" w:hAnsi="Verdana" w:cs="Arial"/>
                <w:sz w:val="16"/>
                <w:szCs w:val="16"/>
                <w:lang w:val="es-ES" w:eastAsia="es-ES"/>
              </w:rPr>
            </w:pPr>
            <w:r w:rsidRPr="00EA122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A431C23" w14:textId="77777777" w:rsidR="00F276CC" w:rsidRPr="00EA1223" w:rsidRDefault="00F276CC">
            <w:pPr>
              <w:contextualSpacing/>
              <w:rPr>
                <w:rFonts w:ascii="Verdana" w:eastAsia="Calibri" w:hAnsi="Verdana" w:cs="Arial"/>
                <w:sz w:val="16"/>
                <w:szCs w:val="16"/>
                <w:lang w:val="pt-BR" w:eastAsia="es-ES"/>
              </w:rPr>
            </w:pPr>
            <w:r w:rsidRPr="00EA1223">
              <w:rPr>
                <w:rFonts w:ascii="Verdana" w:eastAsia="Calibri" w:hAnsi="Verdana" w:cs="Arial"/>
                <w:sz w:val="16"/>
                <w:szCs w:val="16"/>
                <w:lang w:val="pt-BR" w:eastAsia="es-ES"/>
              </w:rPr>
              <w:t xml:space="preserve">Carolina Quintero </w:t>
            </w:r>
            <w:proofErr w:type="spellStart"/>
            <w:r w:rsidRPr="00EA1223">
              <w:rPr>
                <w:rFonts w:ascii="Verdana" w:eastAsia="Calibri" w:hAnsi="Verdana" w:cs="Arial"/>
                <w:sz w:val="16"/>
                <w:szCs w:val="16"/>
                <w:lang w:val="pt-BR" w:eastAsia="es-ES"/>
              </w:rPr>
              <w:t>Gacharná</w:t>
            </w:r>
            <w:proofErr w:type="spellEnd"/>
          </w:p>
          <w:p w14:paraId="4B9B1B91" w14:textId="77777777" w:rsidR="00F276CC" w:rsidRPr="00EA1223" w:rsidRDefault="00F276CC">
            <w:pPr>
              <w:contextualSpacing/>
              <w:rPr>
                <w:rFonts w:ascii="Verdana" w:eastAsia="Calibri" w:hAnsi="Verdana" w:cs="Arial"/>
                <w:sz w:val="16"/>
                <w:szCs w:val="16"/>
                <w:lang w:val="pt-BR" w:eastAsia="es-ES"/>
              </w:rPr>
            </w:pPr>
            <w:r w:rsidRPr="00EA1223">
              <w:rPr>
                <w:rFonts w:ascii="Verdana" w:eastAsia="Calibri" w:hAnsi="Verdana" w:cs="Arial"/>
                <w:sz w:val="16"/>
                <w:szCs w:val="16"/>
                <w:lang w:eastAsia="es-ES"/>
              </w:rPr>
              <w:t>Subdirectora</w:t>
            </w:r>
            <w:r w:rsidRPr="00EA1223">
              <w:rPr>
                <w:rFonts w:ascii="Verdana" w:eastAsia="Calibri" w:hAnsi="Verdana" w:cs="Arial"/>
                <w:sz w:val="16"/>
                <w:szCs w:val="16"/>
                <w:lang w:val="pt-BR" w:eastAsia="es-ES"/>
              </w:rPr>
              <w:t xml:space="preserve"> de Gestión </w:t>
            </w:r>
            <w:proofErr w:type="spellStart"/>
            <w:r w:rsidRPr="00EA1223">
              <w:rPr>
                <w:rFonts w:ascii="Verdana" w:eastAsia="Calibri" w:hAnsi="Verdana" w:cs="Arial"/>
                <w:sz w:val="16"/>
                <w:szCs w:val="16"/>
                <w:lang w:val="pt-BR" w:eastAsia="es-ES"/>
              </w:rPr>
              <w:t>Contractual</w:t>
            </w:r>
            <w:proofErr w:type="spellEnd"/>
            <w:r w:rsidRPr="00EA1223">
              <w:rPr>
                <w:rFonts w:ascii="Verdana" w:eastAsia="Calibri" w:hAnsi="Verdana" w:cs="Arial"/>
                <w:sz w:val="16"/>
                <w:szCs w:val="16"/>
                <w:lang w:val="pt-BR" w:eastAsia="es-ES"/>
              </w:rPr>
              <w:t xml:space="preserve"> ANCP – CCE</w:t>
            </w:r>
          </w:p>
        </w:tc>
      </w:tr>
    </w:tbl>
    <w:p w14:paraId="1FD7F42D" w14:textId="77777777" w:rsidR="00F276CC" w:rsidRPr="009F5D48" w:rsidRDefault="00F276CC" w:rsidP="00F276CC">
      <w:pPr>
        <w:spacing w:line="276" w:lineRule="auto"/>
        <w:jc w:val="both"/>
        <w:rPr>
          <w:rFonts w:ascii="Verdana" w:hAnsi="Verdana"/>
        </w:rPr>
      </w:pPr>
    </w:p>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3F65B" w14:textId="77777777" w:rsidR="007B1EBA" w:rsidRDefault="007B1EBA" w:rsidP="004A1847">
      <w:pPr>
        <w:spacing w:after="0" w:line="240" w:lineRule="auto"/>
      </w:pPr>
      <w:r>
        <w:separator/>
      </w:r>
    </w:p>
  </w:endnote>
  <w:endnote w:type="continuationSeparator" w:id="0">
    <w:p w14:paraId="774D0E6C" w14:textId="77777777" w:rsidR="007B1EBA" w:rsidRDefault="007B1EB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92541" w14:textId="77777777" w:rsidR="007B1EBA" w:rsidRDefault="007B1EBA" w:rsidP="004A1847">
      <w:pPr>
        <w:spacing w:after="0" w:line="240" w:lineRule="auto"/>
      </w:pPr>
      <w:r>
        <w:separator/>
      </w:r>
    </w:p>
  </w:footnote>
  <w:footnote w:type="continuationSeparator" w:id="0">
    <w:p w14:paraId="722A9A72" w14:textId="77777777" w:rsidR="007B1EBA" w:rsidRDefault="007B1EBA" w:rsidP="004A1847">
      <w:pPr>
        <w:spacing w:after="0" w:line="240" w:lineRule="auto"/>
      </w:pPr>
      <w:r>
        <w:continuationSeparator/>
      </w:r>
    </w:p>
  </w:footnote>
  <w:footnote w:id="1">
    <w:p w14:paraId="5675BEA4" w14:textId="77777777" w:rsidR="00F276CC" w:rsidRPr="00097DBE" w:rsidRDefault="00F276CC" w:rsidP="00F276CC">
      <w:pPr>
        <w:pStyle w:val="Textonotapie"/>
        <w:ind w:firstLine="708"/>
        <w:jc w:val="both"/>
        <w:rPr>
          <w:rFonts w:ascii="Verdana" w:hAnsi="Verdana" w:cs="Arial"/>
          <w:sz w:val="16"/>
          <w:szCs w:val="16"/>
          <w:lang w:val="es-ES"/>
        </w:rPr>
      </w:pPr>
      <w:r w:rsidRPr="00097DBE">
        <w:rPr>
          <w:rStyle w:val="Refdenotaalpie"/>
          <w:rFonts w:ascii="Verdana" w:hAnsi="Verdana"/>
          <w:sz w:val="16"/>
          <w:szCs w:val="16"/>
        </w:rPr>
        <w:footnoteRef/>
      </w:r>
      <w:r w:rsidRPr="00097DBE">
        <w:rPr>
          <w:rFonts w:ascii="Verdana" w:hAnsi="Verdana"/>
          <w:sz w:val="16"/>
          <w:szCs w:val="16"/>
        </w:rPr>
        <w:t xml:space="preserve"> </w:t>
      </w:r>
      <w:bookmarkStart w:id="3" w:name="_Hlk192845550"/>
      <w:r w:rsidRPr="00097DBE">
        <w:rPr>
          <w:rFonts w:ascii="Verdana" w:hAnsi="Verdana" w:cs="Arial"/>
          <w:sz w:val="16"/>
          <w:szCs w:val="16"/>
        </w:rPr>
        <w:t>Consejo de Estado. Sección Segunda. Sentencia del 9 de septiembre de 2021. Expediente No. 05001-23-33-000-2013-01143-01(1317-16). M.P. Dra. Sandra Lisset Ibarra Vélez</w:t>
      </w:r>
      <w:bookmarkEnd w:id="3"/>
      <w:r w:rsidRPr="00097DBE">
        <w:rPr>
          <w:rFonts w:ascii="Verdana" w:hAnsi="Verdana" w:cs="Arial"/>
          <w:sz w:val="16"/>
          <w:szCs w:val="16"/>
        </w:rPr>
        <w:t>.</w:t>
      </w:r>
    </w:p>
    <w:p w14:paraId="7E1F859F" w14:textId="77777777" w:rsidR="00F276CC" w:rsidRPr="00097DBE" w:rsidRDefault="00F276CC" w:rsidP="00F276CC">
      <w:pPr>
        <w:pStyle w:val="Textonotapie"/>
        <w:rPr>
          <w:rFonts w:ascii="Verdana" w:hAnsi="Verdana"/>
          <w:sz w:val="16"/>
          <w:szCs w:val="16"/>
          <w:lang w:val="es-ES"/>
        </w:rPr>
      </w:pPr>
    </w:p>
  </w:footnote>
  <w:footnote w:id="2">
    <w:p w14:paraId="1A56221F" w14:textId="77777777" w:rsidR="00F276CC" w:rsidRPr="00A56FFA" w:rsidRDefault="00F276CC" w:rsidP="00F276CC">
      <w:pPr>
        <w:pStyle w:val="Textonotapie"/>
        <w:ind w:firstLine="708"/>
        <w:jc w:val="both"/>
        <w:rPr>
          <w:rFonts w:ascii="Verdana" w:hAnsi="Verdana" w:cs="Arial"/>
          <w:sz w:val="18"/>
          <w:szCs w:val="18"/>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Así lo señaló el Consejo de Estado en la sentencia de unificación en mención, al indicar que “cualquier contrato de prestación de servicios tiene por objeto genérico “desarrollar actividades relacionadas con la administración o funcionamiento de la entidad”.</w:t>
      </w:r>
    </w:p>
  </w:footnote>
  <w:footnote w:id="3">
    <w:p w14:paraId="7567AE64" w14:textId="77777777" w:rsidR="00F276CC" w:rsidRPr="00097DBE" w:rsidRDefault="00F276CC" w:rsidP="00F276CC">
      <w:pPr>
        <w:pStyle w:val="Textonotapie"/>
        <w:ind w:firstLine="708"/>
        <w:contextualSpacing/>
        <w:jc w:val="both"/>
        <w:rPr>
          <w:rFonts w:ascii="Verdana" w:hAnsi="Verdana" w:cs="Arial"/>
          <w:sz w:val="16"/>
          <w:szCs w:val="16"/>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p>
    <w:p w14:paraId="259A15D6" w14:textId="77777777" w:rsidR="00F276CC" w:rsidRPr="00097DBE" w:rsidRDefault="00F276CC" w:rsidP="00F276CC">
      <w:pPr>
        <w:pStyle w:val="Textonotapie"/>
        <w:ind w:firstLine="709"/>
        <w:contextualSpacing/>
        <w:jc w:val="both"/>
        <w:rPr>
          <w:rFonts w:ascii="Verdana" w:hAnsi="Verdana" w:cs="Arial"/>
          <w:sz w:val="16"/>
          <w:szCs w:val="16"/>
          <w:lang w:val="es-ES"/>
        </w:rPr>
      </w:pPr>
    </w:p>
  </w:footnote>
  <w:footnote w:id="4">
    <w:p w14:paraId="23446E9D" w14:textId="77777777" w:rsidR="00F276CC" w:rsidRPr="00C0717E" w:rsidRDefault="00F276CC" w:rsidP="00F276CC">
      <w:pPr>
        <w:spacing w:after="0" w:line="240" w:lineRule="auto"/>
        <w:contextualSpacing/>
        <w:jc w:val="both"/>
        <w:rPr>
          <w:rFonts w:ascii="Verdana" w:hAnsi="Verdana"/>
          <w:sz w:val="18"/>
          <w:szCs w:val="18"/>
        </w:rPr>
      </w:pPr>
    </w:p>
  </w:footnote>
  <w:footnote w:id="5">
    <w:p w14:paraId="13543589" w14:textId="77777777" w:rsidR="00F276CC" w:rsidRPr="00097DBE" w:rsidRDefault="00F276CC" w:rsidP="00F276CC">
      <w:pPr>
        <w:pStyle w:val="Textonotapie"/>
        <w:ind w:firstLine="709"/>
        <w:contextualSpacing/>
        <w:jc w:val="both"/>
        <w:rPr>
          <w:rFonts w:ascii="Verdana" w:hAnsi="Verdana" w:cs="Arial"/>
          <w:color w:val="000000"/>
          <w:sz w:val="16"/>
          <w:szCs w:val="16"/>
          <w:lang w:val="es-ES"/>
        </w:rPr>
      </w:pPr>
      <w:r w:rsidRPr="00097DBE">
        <w:rPr>
          <w:rStyle w:val="Refdenotaalpie"/>
          <w:rFonts w:ascii="Verdana" w:hAnsi="Verdana" w:cs="Arial"/>
          <w:color w:val="000000"/>
          <w:sz w:val="16"/>
          <w:szCs w:val="16"/>
        </w:rPr>
        <w:footnoteRef/>
      </w:r>
      <w:r w:rsidRPr="00097DBE">
        <w:rPr>
          <w:rFonts w:ascii="Verdana" w:hAnsi="Verdana" w:cs="Arial"/>
          <w:color w:val="000000"/>
          <w:sz w:val="16"/>
          <w:szCs w:val="16"/>
        </w:rPr>
        <w:t xml:space="preserve"> </w:t>
      </w:r>
      <w:r w:rsidRPr="00097DBE">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0967A99" w14:textId="77777777" w:rsidR="00F276CC" w:rsidRPr="00097DBE" w:rsidRDefault="00F276CC" w:rsidP="00F276CC">
      <w:pPr>
        <w:pStyle w:val="Textonotapie"/>
        <w:ind w:firstLine="709"/>
        <w:contextualSpacing/>
        <w:jc w:val="both"/>
        <w:rPr>
          <w:rFonts w:ascii="Verdana" w:hAnsi="Verdana" w:cs="Arial"/>
          <w:color w:val="000000"/>
          <w:sz w:val="16"/>
          <w:szCs w:val="16"/>
          <w:lang w:val="es-ES"/>
        </w:rPr>
      </w:pPr>
      <w:r w:rsidRPr="00097DBE">
        <w:rPr>
          <w:rFonts w:ascii="Verdana" w:hAnsi="Verdana" w:cs="Arial"/>
          <w:color w:val="000000"/>
          <w:sz w:val="16"/>
          <w:szCs w:val="16"/>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47EA1167" w14:textId="77777777" w:rsidR="00F276CC" w:rsidRPr="00097DBE" w:rsidRDefault="00F276CC" w:rsidP="00F276CC">
      <w:pPr>
        <w:pStyle w:val="Textonotapie"/>
        <w:ind w:firstLine="709"/>
        <w:contextualSpacing/>
        <w:jc w:val="both"/>
        <w:rPr>
          <w:rFonts w:ascii="Verdana" w:hAnsi="Verdana" w:cs="Arial"/>
          <w:color w:val="000000"/>
          <w:sz w:val="16"/>
          <w:szCs w:val="16"/>
          <w:lang w:val="es-ES"/>
        </w:rPr>
      </w:pPr>
      <w:r w:rsidRPr="00097DBE">
        <w:rPr>
          <w:rFonts w:ascii="Verdana" w:hAnsi="Verdana" w:cs="Arial"/>
          <w:color w:val="000000"/>
          <w:sz w:val="16"/>
          <w:szCs w:val="16"/>
          <w:lang w:val="es-ES"/>
        </w:rPr>
        <w:t>La Entidad Estatal, para la contratación de trabajos artísticos que solamente puedan en­comendarse a determinadas personas naturales, debe justificar esta situación en los estudios y documentos previos”.</w:t>
      </w:r>
    </w:p>
    <w:p w14:paraId="79AA83BE" w14:textId="77777777" w:rsidR="00F276CC" w:rsidRPr="00C0717E" w:rsidRDefault="00F276CC" w:rsidP="00F276CC">
      <w:pPr>
        <w:pStyle w:val="Textonotapie"/>
        <w:ind w:firstLine="709"/>
        <w:contextualSpacing/>
        <w:jc w:val="both"/>
        <w:rPr>
          <w:rFonts w:ascii="Verdana" w:hAnsi="Verdana" w:cs="Arial"/>
          <w:color w:val="000000"/>
          <w:sz w:val="18"/>
          <w:szCs w:val="18"/>
          <w:lang w:val="es-ES"/>
        </w:rPr>
      </w:pPr>
    </w:p>
  </w:footnote>
  <w:footnote w:id="6">
    <w:p w14:paraId="1D8CFC5F" w14:textId="77777777" w:rsidR="00F276CC" w:rsidRPr="00097DBE" w:rsidRDefault="00F276CC" w:rsidP="00F276CC">
      <w:pPr>
        <w:pStyle w:val="Textonotapie"/>
        <w:ind w:firstLine="709"/>
        <w:contextualSpacing/>
        <w:jc w:val="both"/>
        <w:rPr>
          <w:rFonts w:ascii="Verdana" w:hAnsi="Verdana" w:cs="Arial"/>
          <w:color w:val="000000"/>
          <w:sz w:val="16"/>
          <w:szCs w:val="16"/>
          <w:lang w:val="es-ES"/>
        </w:rPr>
      </w:pPr>
      <w:r w:rsidRPr="00097DBE">
        <w:rPr>
          <w:rStyle w:val="Refdenotaalpie"/>
          <w:rFonts w:ascii="Verdana" w:hAnsi="Verdana" w:cs="Arial"/>
          <w:color w:val="000000"/>
          <w:sz w:val="16"/>
          <w:szCs w:val="16"/>
        </w:rPr>
        <w:footnoteRef/>
      </w:r>
      <w:r w:rsidRPr="00097DBE">
        <w:rPr>
          <w:rFonts w:ascii="Verdana" w:hAnsi="Verdana" w:cs="Arial"/>
          <w:color w:val="000000"/>
          <w:sz w:val="16"/>
          <w:szCs w:val="16"/>
        </w:rPr>
        <w:t xml:space="preserve"> </w:t>
      </w:r>
      <w:r w:rsidRPr="00097DBE">
        <w:rPr>
          <w:rFonts w:ascii="Verdana" w:hAnsi="Verdana" w:cs="Arial"/>
          <w:color w:val="000000"/>
          <w:sz w:val="16"/>
          <w:szCs w:val="16"/>
          <w:lang w:val="es-ES"/>
        </w:rPr>
        <w:t>Consejo de Estado. Sección Tercera. Subsección C. Sentencia del 2 de diciembre de 2013. Exp. 41719. Consejero Ponente: Jaime Orlando Santofimio Gamboa.</w:t>
      </w:r>
    </w:p>
  </w:footnote>
  <w:footnote w:id="7">
    <w:p w14:paraId="44BA9503" w14:textId="77777777" w:rsidR="00F276CC" w:rsidRPr="00097DBE" w:rsidRDefault="00F276CC" w:rsidP="00F276CC">
      <w:pPr>
        <w:spacing w:after="0" w:line="240" w:lineRule="auto"/>
        <w:contextualSpacing/>
        <w:jc w:val="both"/>
        <w:rPr>
          <w:rFonts w:ascii="Verdana" w:hAnsi="Verdana"/>
          <w:sz w:val="16"/>
          <w:szCs w:val="16"/>
        </w:rPr>
      </w:pPr>
    </w:p>
  </w:footnote>
  <w:footnote w:id="8">
    <w:p w14:paraId="44F37F63" w14:textId="77777777" w:rsidR="00F276CC" w:rsidRPr="00097DBE" w:rsidRDefault="00F276CC" w:rsidP="00F276CC">
      <w:pPr>
        <w:pStyle w:val="Textonotapie"/>
        <w:ind w:firstLine="709"/>
        <w:contextualSpacing/>
        <w:jc w:val="both"/>
        <w:rPr>
          <w:rFonts w:ascii="Verdana" w:hAnsi="Verdana" w:cs="Arial"/>
          <w:sz w:val="16"/>
          <w:szCs w:val="16"/>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Consejo de Estado. Sección Tercera. Subsección C. Sentencia de Unificación del 2 de diciembre de 2013. Exp. 41.719. C.P. Jaime Orlando Santofimio Gamboa.</w:t>
      </w:r>
      <w:r w:rsidRPr="00097DBE">
        <w:rPr>
          <w:rFonts w:ascii="Verdana" w:hAnsi="Verdana" w:cs="Arial"/>
          <w:sz w:val="16"/>
          <w:szCs w:val="16"/>
        </w:rPr>
        <w:t xml:space="preserve"> </w:t>
      </w:r>
    </w:p>
    <w:p w14:paraId="4C6AD700" w14:textId="77777777" w:rsidR="00F276CC" w:rsidRPr="00097DBE" w:rsidRDefault="00F276CC" w:rsidP="00F276CC">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Además,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39C6F344" w14:textId="77777777" w:rsidR="00F276CC" w:rsidRPr="00097DBE" w:rsidRDefault="00F276CC" w:rsidP="00F276CC">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Son también contratos de consultoría los que tienen por objeto la interventoría, asesoría, gerencia de obra o de proyectos, dirección, programación y la ejecución de diseños, planos, anteproyectos y proyectos.</w:t>
      </w:r>
    </w:p>
    <w:p w14:paraId="206F507F" w14:textId="77777777" w:rsidR="00F276CC" w:rsidRPr="00097DBE" w:rsidRDefault="00F276CC" w:rsidP="00F276CC">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Ninguna orden del interventor de una obra podrá darse verbalmente. Es obligatorio para el interventor entregar por escrito sus órdenes o sugerencias y ellas deben enmarcarse dentro de los términos del respectivo contrato”.</w:t>
      </w:r>
    </w:p>
    <w:p w14:paraId="696FD4FA" w14:textId="77777777" w:rsidR="00F276CC" w:rsidRPr="00097DBE" w:rsidRDefault="00F276CC" w:rsidP="00F276CC">
      <w:pPr>
        <w:pStyle w:val="Textonotapie"/>
        <w:ind w:firstLine="709"/>
        <w:contextualSpacing/>
        <w:jc w:val="both"/>
        <w:rPr>
          <w:rFonts w:ascii="Verdana" w:hAnsi="Verdana" w:cs="Arial"/>
          <w:sz w:val="16"/>
          <w:szCs w:val="16"/>
          <w:lang w:val="es-ES"/>
        </w:rPr>
      </w:pPr>
    </w:p>
  </w:footnote>
  <w:footnote w:id="9">
    <w:p w14:paraId="024A678C" w14:textId="77777777" w:rsidR="00F276CC" w:rsidRPr="00097DBE" w:rsidRDefault="00F276CC" w:rsidP="00F276CC">
      <w:pPr>
        <w:pStyle w:val="Textonotapie"/>
        <w:ind w:firstLine="709"/>
        <w:contextualSpacing/>
        <w:jc w:val="both"/>
        <w:rPr>
          <w:rFonts w:ascii="Verdana" w:hAnsi="Verdana" w:cs="Arial"/>
          <w:sz w:val="16"/>
          <w:szCs w:val="16"/>
          <w:lang w:val="es-ES"/>
        </w:rPr>
      </w:pPr>
      <w:r w:rsidRPr="00097DBE">
        <w:rPr>
          <w:rStyle w:val="Refdenotaalpie"/>
          <w:rFonts w:ascii="Verdana" w:hAnsi="Verdana" w:cs="Arial"/>
          <w:sz w:val="16"/>
          <w:szCs w:val="16"/>
        </w:rPr>
        <w:footnoteRef/>
      </w:r>
      <w:r w:rsidRPr="00097DBE">
        <w:rPr>
          <w:rFonts w:ascii="Verdana" w:hAnsi="Verdana" w:cs="Arial"/>
          <w:sz w:val="16"/>
          <w:szCs w:val="16"/>
        </w:rPr>
        <w:t xml:space="preserve"> </w:t>
      </w:r>
      <w:r w:rsidRPr="00097DBE">
        <w:rPr>
          <w:rFonts w:ascii="Verdana" w:hAnsi="Verdana" w:cs="Arial"/>
          <w:sz w:val="16"/>
          <w:szCs w:val="16"/>
          <w:lang w:val="es-ES"/>
        </w:rPr>
        <w:t>Así lo dispone el artículo 2.2.1.2.1.4.1. del Decreto 1082 de 2015: “La Entidad Estatal debe señalar en un acto administrativo la justificación para contratar bajo la modalidad de contratación directa, el cual debe contener:</w:t>
      </w:r>
    </w:p>
    <w:p w14:paraId="7B730879" w14:textId="77777777" w:rsidR="00F276CC" w:rsidRPr="00097DBE" w:rsidRDefault="00F276CC" w:rsidP="00F276CC">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1. La causal que invoca para contratar directamente.</w:t>
      </w:r>
    </w:p>
    <w:p w14:paraId="07190705" w14:textId="77777777" w:rsidR="00F276CC" w:rsidRPr="00097DBE" w:rsidRDefault="00F276CC" w:rsidP="00F276CC">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2. El objeto del contrato.</w:t>
      </w:r>
    </w:p>
    <w:p w14:paraId="662EF500" w14:textId="77777777" w:rsidR="00F276CC" w:rsidRPr="00097DBE" w:rsidRDefault="00F276CC" w:rsidP="00F276CC">
      <w:pPr>
        <w:pStyle w:val="Textonotapie"/>
        <w:ind w:firstLine="709"/>
        <w:contextualSpacing/>
        <w:jc w:val="both"/>
        <w:rPr>
          <w:rFonts w:ascii="Verdana" w:hAnsi="Verdana" w:cs="Arial"/>
          <w:sz w:val="16"/>
          <w:szCs w:val="16"/>
          <w:lang w:val="es-ES"/>
        </w:rPr>
      </w:pPr>
      <w:r w:rsidRPr="00097DBE">
        <w:rPr>
          <w:rFonts w:ascii="Verdana" w:hAnsi="Verdana" w:cs="Arial"/>
          <w:sz w:val="16"/>
          <w:szCs w:val="16"/>
          <w:lang w:val="es-ES"/>
        </w:rPr>
        <w:t>3. El presupuesto para la contratación y las condiciones que exigirá al contratista.</w:t>
      </w:r>
    </w:p>
    <w:p w14:paraId="3279E4F5" w14:textId="77777777" w:rsidR="00F276CC" w:rsidRPr="00C0717E" w:rsidRDefault="00F276CC" w:rsidP="00F276CC">
      <w:pPr>
        <w:pStyle w:val="Textonotapie"/>
        <w:ind w:firstLine="709"/>
        <w:contextualSpacing/>
        <w:jc w:val="both"/>
        <w:rPr>
          <w:rFonts w:ascii="Verdana" w:hAnsi="Verdana" w:cs="Arial"/>
          <w:sz w:val="18"/>
          <w:szCs w:val="18"/>
          <w:lang w:val="es-ES"/>
        </w:rPr>
      </w:pPr>
      <w:r w:rsidRPr="00097DBE">
        <w:rPr>
          <w:rFonts w:ascii="Verdana" w:hAnsi="Verdana" w:cs="Arial"/>
          <w:sz w:val="16"/>
          <w:szCs w:val="16"/>
          <w:lang w:val="es-ES"/>
        </w:rPr>
        <w:t>4. El lugar en el cual los interesados pueden consultar los estudios y documentos previos</w:t>
      </w:r>
      <w:r w:rsidRPr="00C0717E">
        <w:rPr>
          <w:rFonts w:ascii="Verdana" w:hAnsi="Verdana" w:cs="Arial"/>
          <w:sz w:val="18"/>
          <w:szCs w:val="18"/>
          <w:lang w:val="es-ES"/>
        </w:rPr>
        <w:t>.</w:t>
      </w:r>
    </w:p>
    <w:p w14:paraId="09514A52" w14:textId="77777777" w:rsidR="00F276CC" w:rsidRPr="00441AF3" w:rsidRDefault="00F276CC" w:rsidP="00F276CC">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0">
    <w:p w14:paraId="0E9CF1ED" w14:textId="77777777" w:rsidR="00F276CC" w:rsidRPr="00441AF3" w:rsidRDefault="00F276CC" w:rsidP="00F276CC">
      <w:pPr>
        <w:pStyle w:val="Textonotapie"/>
        <w:contextualSpacing/>
        <w:jc w:val="both"/>
        <w:rPr>
          <w:rFonts w:ascii="Verdana" w:hAnsi="Verdana" w:cs="Arial"/>
          <w:sz w:val="16"/>
          <w:szCs w:val="16"/>
        </w:rPr>
      </w:pPr>
    </w:p>
    <w:p w14:paraId="35F9C52C" w14:textId="77777777" w:rsidR="00F276CC" w:rsidRPr="00441AF3" w:rsidRDefault="00F276CC" w:rsidP="00F276CC">
      <w:pPr>
        <w:pStyle w:val="Textonotapie"/>
        <w:ind w:firstLine="709"/>
        <w:contextualSpacing/>
        <w:jc w:val="both"/>
        <w:rPr>
          <w:rFonts w:ascii="Verdana" w:hAnsi="Verdana" w:cs="Arial"/>
          <w:sz w:val="16"/>
          <w:szCs w:val="16"/>
          <w:lang w:val="es-ES"/>
        </w:rPr>
      </w:pPr>
      <w:r w:rsidRPr="00441AF3">
        <w:rPr>
          <w:rStyle w:val="Refdenotaalpie"/>
          <w:rFonts w:ascii="Verdana" w:hAnsi="Verdana" w:cs="Arial"/>
          <w:sz w:val="16"/>
          <w:szCs w:val="16"/>
        </w:rPr>
        <w:footnoteRef/>
      </w:r>
      <w:r w:rsidRPr="00441AF3">
        <w:rPr>
          <w:rFonts w:ascii="Verdana" w:hAnsi="Verdana" w:cs="Arial"/>
          <w:sz w:val="16"/>
          <w:szCs w:val="16"/>
        </w:rPr>
        <w:t xml:space="preserve"> </w:t>
      </w:r>
      <w:r w:rsidRPr="00441AF3">
        <w:rPr>
          <w:rFonts w:ascii="Verdana" w:hAnsi="Verdana" w:cs="Arial"/>
          <w:sz w:val="16"/>
          <w:szCs w:val="16"/>
          <w:lang w:val="es-ES"/>
        </w:rPr>
        <w:t xml:space="preserve">La norma expresa: “Art. 14. </w:t>
      </w:r>
      <w:r w:rsidRPr="00441AF3">
        <w:rPr>
          <w:rFonts w:ascii="Verdana" w:hAnsi="Verdana" w:cs="Arial"/>
          <w:sz w:val="16"/>
          <w:szCs w:val="16"/>
        </w:rPr>
        <w:t>P</w:t>
      </w:r>
      <w:r w:rsidRPr="00441AF3">
        <w:rPr>
          <w:rFonts w:ascii="Verdana" w:hAnsi="Verdana" w:cs="Arial"/>
          <w:sz w:val="16"/>
          <w:szCs w:val="16"/>
          <w:lang w:val="es-ES"/>
        </w:rPr>
        <w:t>ara el cumplimiento de los fines de la contratación, las entidades estatales al celebrar un contrato:</w:t>
      </w:r>
    </w:p>
    <w:p w14:paraId="4A0E0C0A" w14:textId="77777777" w:rsidR="00F276CC" w:rsidRPr="00441AF3" w:rsidRDefault="00F276CC" w:rsidP="00F276CC">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w:t>
      </w:r>
    </w:p>
    <w:p w14:paraId="17F0BA6B" w14:textId="77777777" w:rsidR="00F276CC" w:rsidRPr="00441AF3" w:rsidRDefault="00F276CC" w:rsidP="00F276CC">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092C6C19" w14:textId="77777777" w:rsidR="00F276CC" w:rsidRPr="00441AF3" w:rsidRDefault="00F276CC" w:rsidP="00F276CC">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Las entidades estatales podrán pactar estas cláusulas en los contratos de suministro y de prestación de servicios.</w:t>
      </w:r>
    </w:p>
    <w:p w14:paraId="083BAAAA" w14:textId="77777777" w:rsidR="00F276CC" w:rsidRPr="00441AF3" w:rsidRDefault="00F276CC" w:rsidP="00F276CC">
      <w:pPr>
        <w:pStyle w:val="Textonotapie"/>
        <w:ind w:firstLine="709"/>
        <w:contextualSpacing/>
        <w:jc w:val="both"/>
        <w:rPr>
          <w:rFonts w:ascii="Verdana" w:hAnsi="Verdana" w:cs="Arial"/>
          <w:sz w:val="16"/>
          <w:szCs w:val="16"/>
          <w:lang w:val="es-ES"/>
        </w:rPr>
      </w:pPr>
      <w:r w:rsidRPr="00441AF3">
        <w:rPr>
          <w:rFonts w:ascii="Verdana" w:hAnsi="Verdana" w:cs="Arial"/>
          <w:sz w:val="16"/>
          <w:szCs w:val="16"/>
          <w:lang w:val="es-ES"/>
        </w:rPr>
        <w:t>[…]”.</w:t>
      </w:r>
    </w:p>
    <w:p w14:paraId="740EFC58" w14:textId="77777777" w:rsidR="00F276CC" w:rsidRPr="00441AF3" w:rsidRDefault="00F276CC" w:rsidP="00F276CC">
      <w:pPr>
        <w:pStyle w:val="Textonotapie"/>
        <w:ind w:firstLine="709"/>
        <w:contextualSpacing/>
        <w:jc w:val="both"/>
        <w:rPr>
          <w:rFonts w:ascii="Verdana" w:hAnsi="Verdana" w:cs="Arial"/>
          <w:sz w:val="16"/>
          <w:szCs w:val="16"/>
          <w:lang w:val="es-ES"/>
        </w:rPr>
      </w:pPr>
    </w:p>
  </w:footnote>
  <w:footnote w:id="11">
    <w:p w14:paraId="7DF3ABD5" w14:textId="77777777" w:rsidR="00F276CC" w:rsidRPr="00441AF3" w:rsidRDefault="00F276CC" w:rsidP="00F276CC">
      <w:pPr>
        <w:pStyle w:val="Textonotapie"/>
        <w:ind w:firstLine="709"/>
        <w:contextualSpacing/>
        <w:jc w:val="both"/>
        <w:rPr>
          <w:rFonts w:ascii="Verdana" w:hAnsi="Verdana" w:cs="Arial"/>
          <w:sz w:val="16"/>
          <w:szCs w:val="16"/>
          <w:lang w:val="es-ES"/>
        </w:rPr>
      </w:pPr>
      <w:r w:rsidRPr="00441AF3">
        <w:rPr>
          <w:rStyle w:val="Refdenotaalpie"/>
          <w:rFonts w:ascii="Verdana" w:hAnsi="Verdana" w:cs="Arial"/>
          <w:sz w:val="16"/>
          <w:szCs w:val="16"/>
        </w:rPr>
        <w:footnoteRef/>
      </w:r>
      <w:r w:rsidRPr="00441AF3">
        <w:rPr>
          <w:rFonts w:ascii="Verdana" w:hAnsi="Verdana" w:cs="Arial"/>
          <w:sz w:val="16"/>
          <w:szCs w:val="16"/>
        </w:rPr>
        <w:t xml:space="preserve"> </w:t>
      </w:r>
      <w:r w:rsidRPr="00441AF3">
        <w:rPr>
          <w:rFonts w:ascii="Verdana" w:hAnsi="Verdana" w:cs="Arial"/>
          <w:sz w:val="16"/>
          <w:szCs w:val="16"/>
          <w:lang w:val="es-ES"/>
        </w:rPr>
        <w:t>La norma dispone: “La liquidación a que se refiere el presente artículo no será obligatoria en los contratos de prestación de servicios profesionales y de apoyo a la gestión”.</w:t>
      </w:r>
    </w:p>
    <w:p w14:paraId="081411EE" w14:textId="77777777" w:rsidR="00F276CC" w:rsidRPr="00441AF3" w:rsidRDefault="00F276CC" w:rsidP="00F276CC">
      <w:pPr>
        <w:pStyle w:val="Textonotapie"/>
        <w:ind w:firstLine="709"/>
        <w:contextualSpacing/>
        <w:jc w:val="both"/>
        <w:rPr>
          <w:rFonts w:ascii="Verdana" w:hAnsi="Verdana" w:cs="Arial"/>
          <w:sz w:val="16"/>
          <w:szCs w:val="16"/>
          <w:lang w:val="es-ES"/>
        </w:rPr>
      </w:pPr>
    </w:p>
  </w:footnote>
  <w:footnote w:id="12">
    <w:p w14:paraId="05007B35" w14:textId="77777777" w:rsidR="00F276CC" w:rsidRPr="00441AF3" w:rsidRDefault="00F276CC" w:rsidP="00F276CC">
      <w:pPr>
        <w:pStyle w:val="Textonotapie"/>
        <w:ind w:firstLine="709"/>
        <w:contextualSpacing/>
        <w:jc w:val="both"/>
        <w:rPr>
          <w:rFonts w:ascii="Verdana" w:hAnsi="Verdana" w:cs="Arial"/>
          <w:sz w:val="16"/>
          <w:szCs w:val="16"/>
        </w:rPr>
      </w:pPr>
      <w:r w:rsidRPr="00441AF3">
        <w:rPr>
          <w:rStyle w:val="Refdenotaalpie"/>
          <w:rFonts w:ascii="Verdana" w:hAnsi="Verdana" w:cs="Arial"/>
          <w:sz w:val="16"/>
          <w:szCs w:val="16"/>
        </w:rPr>
        <w:footnoteRef/>
      </w:r>
      <w:r w:rsidRPr="00441AF3">
        <w:rPr>
          <w:rFonts w:ascii="Verdana" w:hAnsi="Verdana" w:cs="Arial"/>
          <w:sz w:val="16"/>
          <w:szCs w:val="16"/>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E834604" w14:textId="77777777" w:rsidR="00F276CC" w:rsidRPr="00C0717E" w:rsidRDefault="00F276CC" w:rsidP="00F276CC">
      <w:pPr>
        <w:pStyle w:val="Textonotapie"/>
        <w:ind w:firstLine="709"/>
        <w:contextualSpacing/>
        <w:jc w:val="both"/>
        <w:rPr>
          <w:rFonts w:ascii="Verdana" w:hAnsi="Verdana" w:cs="Arial"/>
          <w:sz w:val="18"/>
          <w:szCs w:val="18"/>
        </w:rPr>
      </w:pPr>
      <w:r w:rsidRPr="00441AF3">
        <w:rPr>
          <w:rFonts w:ascii="Verdana" w:hAnsi="Verdana" w:cs="Arial"/>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D21F647" w14:textId="77777777" w:rsidR="00F276CC" w:rsidRPr="00C0717E" w:rsidRDefault="00F276CC" w:rsidP="00F276CC">
      <w:pPr>
        <w:pStyle w:val="Textonotapie"/>
        <w:ind w:firstLine="709"/>
        <w:contextualSpacing/>
        <w:jc w:val="both"/>
        <w:rPr>
          <w:rFonts w:ascii="Verdana" w:hAnsi="Verdana" w:cs="Arial"/>
          <w:sz w:val="18"/>
          <w:szCs w:val="18"/>
        </w:rPr>
      </w:pPr>
      <w:r w:rsidRPr="00C0717E">
        <w:rPr>
          <w:rFonts w:ascii="Verdana" w:hAnsi="Verdana" w:cs="Arial"/>
          <w:sz w:val="18"/>
          <w:szCs w:val="18"/>
        </w:rPr>
        <w:t>[…]”.</w:t>
      </w:r>
    </w:p>
    <w:p w14:paraId="6AF1A7C8" w14:textId="77777777" w:rsidR="00F276CC" w:rsidRPr="00C0717E" w:rsidRDefault="00F276CC" w:rsidP="00F276CC">
      <w:pPr>
        <w:pStyle w:val="Textonotapie"/>
        <w:ind w:firstLine="709"/>
        <w:contextualSpacing/>
        <w:jc w:val="both"/>
        <w:rPr>
          <w:rFonts w:ascii="Verdana" w:hAnsi="Verdana" w:cs="Arial"/>
          <w:sz w:val="18"/>
          <w:szCs w:val="18"/>
          <w:lang w:val="es-ES"/>
        </w:rPr>
      </w:pPr>
    </w:p>
  </w:footnote>
  <w:footnote w:id="13">
    <w:p w14:paraId="53BE8104" w14:textId="77777777" w:rsidR="00F276CC" w:rsidRPr="00441AF3" w:rsidRDefault="00F276CC" w:rsidP="00F276CC">
      <w:pPr>
        <w:pStyle w:val="Textonotapie"/>
        <w:contextualSpacing/>
        <w:jc w:val="both"/>
        <w:rPr>
          <w:rFonts w:ascii="Verdana" w:hAnsi="Verdana" w:cs="Arial"/>
          <w:sz w:val="16"/>
          <w:szCs w:val="16"/>
          <w:lang w:val="es-ES"/>
        </w:rPr>
      </w:pPr>
      <w:r w:rsidRPr="00441AF3">
        <w:rPr>
          <w:rStyle w:val="Refdenotaalpie"/>
          <w:rFonts w:ascii="Verdana" w:hAnsi="Verdana" w:cs="Arial"/>
          <w:sz w:val="16"/>
          <w:szCs w:val="16"/>
        </w:rPr>
        <w:footnoteRef/>
      </w:r>
      <w:r w:rsidRPr="00441AF3">
        <w:rPr>
          <w:rFonts w:ascii="Verdana" w:hAnsi="Verdana" w:cs="Arial"/>
          <w:sz w:val="16"/>
          <w:szCs w:val="16"/>
        </w:rPr>
        <w:t xml:space="preserve"> </w:t>
      </w:r>
      <w:r w:rsidRPr="00441AF3">
        <w:rPr>
          <w:rFonts w:ascii="Verdana" w:hAnsi="Verdana" w:cs="Arial"/>
          <w:sz w:val="16"/>
          <w:szCs w:val="16"/>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p w14:paraId="4E685CBB" w14:textId="77777777" w:rsidR="00F276CC" w:rsidRPr="00441AF3" w:rsidRDefault="00F276CC" w:rsidP="00F276CC">
      <w:pPr>
        <w:pStyle w:val="Textonotapie"/>
        <w:ind w:firstLine="709"/>
        <w:contextualSpacing/>
        <w:jc w:val="both"/>
        <w:rPr>
          <w:rFonts w:ascii="Verdana" w:hAnsi="Verdana" w:cs="Arial"/>
          <w:sz w:val="16"/>
          <w:szCs w:val="16"/>
          <w:lang w:val="es-ES"/>
        </w:rPr>
      </w:pPr>
    </w:p>
  </w:footnote>
  <w:footnote w:id="14">
    <w:p w14:paraId="14BA4974" w14:textId="77777777" w:rsidR="00F276CC" w:rsidRPr="007F6E1C" w:rsidRDefault="00F276CC" w:rsidP="00F276CC">
      <w:pPr>
        <w:pStyle w:val="Textonotapie"/>
        <w:rPr>
          <w:lang w:val="es-ES"/>
        </w:rPr>
      </w:pPr>
      <w:bookmarkStart w:id="4" w:name="_Hlk194585808"/>
      <w:r>
        <w:rPr>
          <w:rStyle w:val="Refdenotaalpie"/>
        </w:rPr>
        <w:footnoteRef/>
      </w:r>
      <w:r>
        <w:t xml:space="preserve"> </w:t>
      </w:r>
      <w:r>
        <w:rPr>
          <w:lang w:val="es-ES"/>
        </w:rPr>
        <w:t>Corte Constitucional. Sentencia C-489/96. M.P: Antonio Barrera Carbonell</w:t>
      </w:r>
      <w:bookmarkEnd w:id="4"/>
    </w:p>
  </w:footnote>
  <w:footnote w:id="15">
    <w:p w14:paraId="49A0A09C" w14:textId="77777777" w:rsidR="00F276CC" w:rsidRPr="001A625A" w:rsidRDefault="00F276CC" w:rsidP="00F276CC">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Son inhabilidades que responden a esta circunstancia, entre otras, las siguientes: “Quienes participaron en las licitaciones o celebraron los contratos de que trata el literal anterior estando inhabilitados” (art. 8, num. 1º, lit. b, Ley 80/93); “Quienes dieron lugar a la declaratoria de caducidad” (art. 8, num. 1º, lit. c), Ley 80/93); “Quienes en sentencia judicial hayan sido condenados a la pena accesoria de interdicción de derechos y funciones públicas y quienes hayan sido sancionados disciplinariamente con destitución” (art. 8, num. 1º, lit. d), Ley 80/93); “Quienes sin justa causa se abstengan de suscribir el contrato estatal adjudicado” (art. 8, num. 1º, lit. e), Ley 80/93); “i) Los socios de sociedades de personas a las cuales se haya declarado la caducidad, así como las sociedades de personas de las que aquellos formen parte con posterioridad a dicha declaratoria” (art. 8, num. 1º, lit. i), Ley 80/93); “Las personas naturales que hayan sido declaradas responsables judicialmente por la comisión de delitos contra la Administración Pública o de cualquiera de los delitos o faltas contemplados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 (art. 8, num. 1º, lit. j), Ley 80/93); “El interventor que incumpla el deber de entregar información a la entidad contratante relacionada con el incumplimiento del contrato, con hechos o circunstancias que puedan constituir actos de corrupción tipificados como conductas punibles, o que puedan poner o pongan en riesgo el cumplimiento del contrato” (art. 8, num. 1º, lit. k), Ley 80/93); “Haber sido objeto de imposición de cinco (5) o más multas durante la ejecución de uno o varios contratos, con una o varias entidades estatales, durante los últimos tres (3) años; […] Haber sido objeto de declaratorias de incumplimiento contractual en por lo menos dos (2) contratos, con una o varias entidades estatales, durante los últimos tres (3) años; […] Haber sido objeto de imposición de dos (2) multas y un (1) incumplimiento durante una misma vigencia fiscal, con una o varias entidades estatales” (art. 90, lit. a), b) y c), Ley 1474/11, modificado por el art. 43, Ley 1955/19).</w:t>
      </w:r>
    </w:p>
    <w:p w14:paraId="323E66BA" w14:textId="77777777" w:rsidR="00F276CC" w:rsidRPr="001A625A" w:rsidRDefault="00F276CC" w:rsidP="00F276CC">
      <w:pPr>
        <w:spacing w:after="0" w:line="240" w:lineRule="auto"/>
        <w:ind w:firstLine="709"/>
        <w:jc w:val="both"/>
        <w:rPr>
          <w:rFonts w:ascii="Verdana" w:hAnsi="Verdana" w:cs="Arial"/>
          <w:color w:val="000000" w:themeColor="text1"/>
          <w:sz w:val="16"/>
          <w:szCs w:val="16"/>
          <w:lang w:val="es-ES"/>
        </w:rPr>
      </w:pPr>
    </w:p>
  </w:footnote>
  <w:footnote w:id="16">
    <w:p w14:paraId="1EF7B02F" w14:textId="77777777" w:rsidR="00F276CC" w:rsidRPr="001A625A" w:rsidRDefault="00F276CC" w:rsidP="00F276CC">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Por ejemplo, a título enunciativo, las siguientes: “Quienes sean cónyuges o compañeros permanentes y quienes se encuentren dentro del segundo grado de consanguinidad o segundo de afinidad con cualquier otra persona que formalmente haya presentado propuesta para una misma licitación” (art. 8, num. 1º, lit. g), Ley 80/93);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 (art. 8, num. 1º, lit. h), Ley 80/93); “Las personas que tengan vínculos de parentesco, hasta el segundo grado de consanguinidad, segundo de afinidad o primero civil con los servidores públicos de los niveles directivo, asesor, ejecutivo o con los miembros de la junta o consejo directivo, o con las personas que ejerzan el control interno o fiscal de la entidad contratante” (art. 8, num. 2º, lit. b), Ley 80/93); “El cónyuge, compañero o compañera permanente del servidor público en los niveles directivo, asesor, ejecutivo, o de un miembro de la junta o consejo directivo, o de quien ejerza funciones de control interno o de control fiscal” (art. 8, num. 2º, lit. c),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w:t>
      </w:r>
    </w:p>
    <w:p w14:paraId="1F2EC0E9" w14:textId="77777777" w:rsidR="00F276CC" w:rsidRPr="001A625A" w:rsidRDefault="00F276CC" w:rsidP="00F276CC">
      <w:pPr>
        <w:pStyle w:val="Textonotapie"/>
        <w:ind w:firstLine="709"/>
        <w:jc w:val="both"/>
        <w:rPr>
          <w:rFonts w:ascii="Verdana" w:hAnsi="Verdana" w:cs="Arial"/>
          <w:color w:val="000000" w:themeColor="text1"/>
          <w:sz w:val="16"/>
          <w:szCs w:val="16"/>
          <w:lang w:val="es-CO"/>
        </w:rPr>
      </w:pPr>
    </w:p>
  </w:footnote>
  <w:footnote w:id="17">
    <w:p w14:paraId="5FAB6935" w14:textId="77777777" w:rsidR="00F276CC" w:rsidRPr="001A625A" w:rsidRDefault="00F276CC" w:rsidP="00F276CC">
      <w:pPr>
        <w:pStyle w:val="Textonotapie"/>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Verbigracia, entre otras, las que se indican a continuación: “Las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 (art. 8, num. 1º, lit. k), Ley 80/93, modificado por el art. 33, Ley 1778/16); “Quienes fueron miembros de la junta o consejo directivo o servidores públicos de la entidad contratante” (art. 8, num. 2º, lit. a), Ley 80/93) [a pesar de que la norma la califica como una incompatibilidad, en realidad se trata de una inhabilidad, ya que en dicha causal no existe concurrencia de calidades en un sujeto];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 (art. 8, num. 2º, lit. f), Ley 80/93, adicionado por el art. 4º, Ley 1474/2011) [a pesar de que la norma la califica como una incompatibilidad, en realidad se trata de una inhabilidad, ya que en dicha causal no existe concurrencia de calidades en un sujeto]. </w:t>
      </w:r>
    </w:p>
    <w:p w14:paraId="4DF009CB" w14:textId="77777777" w:rsidR="00F276CC" w:rsidRPr="001A625A" w:rsidRDefault="00F276CC" w:rsidP="00F276CC">
      <w:pPr>
        <w:pStyle w:val="Textonotapie"/>
        <w:ind w:firstLine="709"/>
        <w:jc w:val="both"/>
        <w:rPr>
          <w:rFonts w:ascii="Verdana" w:hAnsi="Verdana" w:cs="Arial"/>
          <w:color w:val="000000" w:themeColor="text1"/>
          <w:sz w:val="16"/>
          <w:szCs w:val="16"/>
          <w:lang w:val="es-CO"/>
        </w:rPr>
      </w:pPr>
      <w:r w:rsidRPr="001A625A">
        <w:rPr>
          <w:rFonts w:ascii="Verdana" w:hAnsi="Verdana" w:cs="Arial"/>
          <w:color w:val="000000" w:themeColor="text1"/>
          <w:sz w:val="16"/>
          <w:szCs w:val="16"/>
          <w:lang w:val="es-ES"/>
        </w:rPr>
        <w:t xml:space="preserve">  </w:t>
      </w:r>
    </w:p>
  </w:footnote>
  <w:footnote w:id="18">
    <w:p w14:paraId="0CB48E09" w14:textId="77777777" w:rsidR="00F276CC" w:rsidRPr="001A625A" w:rsidRDefault="00F276CC" w:rsidP="00F276CC">
      <w:pPr>
        <w:spacing w:after="0" w:line="240" w:lineRule="auto"/>
        <w:ind w:firstLine="709"/>
        <w:jc w:val="both"/>
        <w:rPr>
          <w:rFonts w:ascii="Verdana" w:hAnsi="Verdana" w:cs="Arial"/>
          <w:color w:val="000000" w:themeColor="text1"/>
          <w:sz w:val="16"/>
          <w:szCs w:val="16"/>
          <w:lang w:val="es-ES"/>
        </w:rPr>
      </w:pPr>
      <w:r w:rsidRPr="001A625A">
        <w:rPr>
          <w:rStyle w:val="Refdenotaalpie"/>
          <w:rFonts w:ascii="Verdana" w:hAnsi="Verdana" w:cs="Arial"/>
          <w:color w:val="000000" w:themeColor="text1"/>
          <w:sz w:val="16"/>
          <w:szCs w:val="16"/>
        </w:rPr>
        <w:footnoteRef/>
      </w:r>
      <w:r w:rsidRPr="001A625A">
        <w:rPr>
          <w:rFonts w:ascii="Verdana" w:hAnsi="Verdana" w:cs="Arial"/>
          <w:color w:val="000000" w:themeColor="text1"/>
          <w:sz w:val="16"/>
          <w:szCs w:val="16"/>
        </w:rPr>
        <w:t xml:space="preserve"> </w:t>
      </w:r>
      <w:r w:rsidRPr="001A625A">
        <w:rPr>
          <w:rFonts w:ascii="Verdana" w:hAnsi="Verdana" w:cs="Arial"/>
          <w:color w:val="000000" w:themeColor="text1"/>
          <w:sz w:val="16"/>
          <w:szCs w:val="16"/>
          <w:lang w:val="es-ES"/>
        </w:rPr>
        <w:t xml:space="preserve">Como las señaladas a continuación: “Los servidores públicos” (art. 8, num. 1º, lit. f), Ley 80/93);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 (art. 8, num. 2º, lit. d), Ley 80/93); “Los miembros de las juntas o consejos directivos. Esta incompatibilidad sólo se predica respecto de la entidad a la cual prestan sus servicios y de las del sector administrativo al que la misma esté adscrita o vinculada” (art. 8, num. 2º, lit. e), Ley 80/93); “Quien haya celebrado un contrato estatal de obra pública, de concesión, suministro de medicamentos y de alimentos o su cónyuge, compañero o compañera permanente, pariente hasta el segundo grado de consaguinidad, segundo de afinidad y/o primero civil o sus socios en sociedades distintas de las anónimas abiertas, con las entidades a que se refiere el artículo 2o de la Ley 80 de 1993, durante el plazo de ejecución y hasta la liquidación del mismo, no podrán celebrar contratos de interventoría con la misma entidad” (art. 5, Ley 1474/11). </w:t>
      </w:r>
    </w:p>
    <w:p w14:paraId="05B9A838" w14:textId="77777777" w:rsidR="00F276CC" w:rsidRPr="001A625A" w:rsidRDefault="00F276CC" w:rsidP="00F276CC">
      <w:pPr>
        <w:spacing w:after="0" w:line="240" w:lineRule="auto"/>
        <w:ind w:firstLine="709"/>
        <w:jc w:val="both"/>
        <w:rPr>
          <w:rFonts w:ascii="Verdana" w:hAnsi="Verdana" w:cs="Arial"/>
          <w:color w:val="000000" w:themeColor="text1"/>
          <w:sz w:val="16"/>
          <w:szCs w:val="16"/>
          <w:lang w:val="es-ES"/>
        </w:rPr>
      </w:pPr>
    </w:p>
  </w:footnote>
  <w:footnote w:id="19">
    <w:p w14:paraId="3E77219E" w14:textId="77777777" w:rsidR="00F276CC" w:rsidRPr="00140995" w:rsidRDefault="00F276CC" w:rsidP="00F276CC">
      <w:pPr>
        <w:pStyle w:val="Textonotapie"/>
        <w:ind w:firstLine="709"/>
        <w:contextualSpacing/>
        <w:jc w:val="both"/>
        <w:rPr>
          <w:rFonts w:ascii="Verdana" w:hAnsi="Verdana" w:cs="Arial"/>
          <w:color w:val="000000"/>
          <w:sz w:val="16"/>
          <w:szCs w:val="16"/>
          <w:lang w:val="es-ES"/>
        </w:rPr>
      </w:pPr>
      <w:r w:rsidRPr="00140995">
        <w:rPr>
          <w:rStyle w:val="Refdenotaalpie"/>
          <w:rFonts w:ascii="Verdana" w:hAnsi="Verdana"/>
          <w:sz w:val="16"/>
          <w:szCs w:val="16"/>
        </w:rPr>
        <w:footnoteRef/>
      </w:r>
      <w:r w:rsidRPr="00140995">
        <w:rPr>
          <w:rFonts w:ascii="Verdana" w:hAnsi="Verdana" w:cs="Arial"/>
          <w:color w:val="000000"/>
          <w:sz w:val="16"/>
          <w:szCs w:val="16"/>
        </w:rPr>
        <w:t xml:space="preserve"> </w:t>
      </w:r>
      <w:r w:rsidRPr="00140995">
        <w:rPr>
          <w:rFonts w:ascii="Verdana" w:hAnsi="Verdana" w:cs="Arial"/>
          <w:color w:val="000000"/>
          <w:sz w:val="16"/>
          <w:szCs w:val="16"/>
          <w:lang w:val="es-ES"/>
        </w:rPr>
        <w:t xml:space="preserve">Corte Constitucional. Sentencia T-1039 de 2006. </w:t>
      </w:r>
      <w:r w:rsidRPr="00140995">
        <w:rPr>
          <w:rFonts w:ascii="Verdana" w:hAnsi="Verdana" w:cs="Arial"/>
          <w:color w:val="000000"/>
          <w:sz w:val="16"/>
          <w:szCs w:val="16"/>
          <w:lang w:val="it-IT"/>
        </w:rPr>
        <w:t xml:space="preserve">Magistrado Ponente: Humberto Sierra Porto. </w:t>
      </w:r>
      <w:r w:rsidRPr="00140995">
        <w:rPr>
          <w:rFonts w:ascii="Verdana" w:hAnsi="Verdana" w:cs="Arial"/>
          <w:color w:val="000000"/>
          <w:sz w:val="16"/>
          <w:szCs w:val="16"/>
          <w:lang w:val="es-ES"/>
        </w:rPr>
        <w:t xml:space="preserve">La Corte ha mantenido este criterio en las sentencias: C-903 de 2008. Magistrado Ponente: Jaime Araujo Rentería; C-101 de 2018. Magistrada Ponente Gloria Stella Ortiz Delgado; entre otras. </w:t>
      </w:r>
    </w:p>
    <w:p w14:paraId="7B5189DB" w14:textId="77777777" w:rsidR="00F276CC" w:rsidRPr="00140995" w:rsidRDefault="00F276CC" w:rsidP="00F276CC">
      <w:pPr>
        <w:pStyle w:val="Textonotapie"/>
        <w:ind w:firstLine="709"/>
        <w:contextualSpacing/>
        <w:jc w:val="both"/>
        <w:rPr>
          <w:rFonts w:ascii="Verdana" w:hAnsi="Verdana" w:cs="Arial"/>
          <w:color w:val="000000"/>
          <w:sz w:val="16"/>
          <w:szCs w:val="16"/>
          <w:lang w:val="es-ES"/>
        </w:rPr>
      </w:pPr>
    </w:p>
  </w:footnote>
  <w:footnote w:id="20">
    <w:p w14:paraId="02228023" w14:textId="77777777" w:rsidR="00F276CC" w:rsidRPr="00140995" w:rsidRDefault="00F276CC" w:rsidP="00F276CC">
      <w:pPr>
        <w:pStyle w:val="Textonotapie"/>
        <w:ind w:firstLine="709"/>
        <w:contextualSpacing/>
        <w:jc w:val="both"/>
        <w:rPr>
          <w:rFonts w:ascii="Verdana" w:hAnsi="Verdana" w:cs="Arial"/>
          <w:color w:val="000000"/>
          <w:sz w:val="16"/>
          <w:szCs w:val="16"/>
          <w:lang w:val="es-ES"/>
        </w:rPr>
      </w:pPr>
      <w:r w:rsidRPr="00140995">
        <w:rPr>
          <w:rStyle w:val="Refdenotaalpie"/>
          <w:rFonts w:ascii="Verdana" w:hAnsi="Verdana"/>
          <w:sz w:val="16"/>
          <w:szCs w:val="16"/>
        </w:rPr>
        <w:footnoteRef/>
      </w:r>
      <w:r w:rsidRPr="00140995">
        <w:rPr>
          <w:rFonts w:ascii="Verdana" w:hAnsi="Verdana" w:cs="Arial"/>
          <w:color w:val="000000"/>
          <w:sz w:val="16"/>
          <w:szCs w:val="16"/>
        </w:rPr>
        <w:t xml:space="preserve"> </w:t>
      </w:r>
      <w:r w:rsidRPr="00140995">
        <w:rPr>
          <w:rFonts w:ascii="Verdana" w:hAnsi="Verdana" w:cs="Arial"/>
          <w:color w:val="000000"/>
          <w:sz w:val="16"/>
          <w:szCs w:val="16"/>
          <w:lang w:val="es-ES"/>
        </w:rPr>
        <w:t>Consejo de Estado. Sala de Consulta y Servicio Civil. Concepto del 30 de abril de 2015. Expediente: 2.251. Consejero Ponente: Álvaro Namén Vargas.</w:t>
      </w:r>
    </w:p>
    <w:p w14:paraId="009A6FA6" w14:textId="77777777" w:rsidR="00F276CC" w:rsidRPr="00140995" w:rsidRDefault="00F276CC" w:rsidP="00F276CC">
      <w:pPr>
        <w:pStyle w:val="Textonotapie"/>
        <w:ind w:firstLine="709"/>
        <w:contextualSpacing/>
        <w:jc w:val="both"/>
        <w:rPr>
          <w:rFonts w:ascii="Verdana" w:hAnsi="Verdana" w:cs="Arial"/>
          <w:color w:val="000000"/>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5pt;height: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E7758F"/>
    <w:multiLevelType w:val="hybridMultilevel"/>
    <w:tmpl w:val="15860DC0"/>
    <w:lvl w:ilvl="0" w:tplc="F4EA7E54">
      <w:start w:val="1"/>
      <w:numFmt w:val="lowerRoman"/>
      <w:lvlText w:val="%1)"/>
      <w:lvlJc w:val="left"/>
      <w:pPr>
        <w:ind w:left="1440" w:hanging="720"/>
      </w:pPr>
      <w:rPr>
        <w:rFonts w:hint="default"/>
        <w:color w:val="auto"/>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EFB3685"/>
    <w:multiLevelType w:val="hybridMultilevel"/>
    <w:tmpl w:val="67F22258"/>
    <w:lvl w:ilvl="0" w:tplc="A75265A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9F14D9"/>
    <w:multiLevelType w:val="hybridMultilevel"/>
    <w:tmpl w:val="842ABA9C"/>
    <w:lvl w:ilvl="0" w:tplc="EB06FEE0">
      <w:start w:val="2"/>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692001641">
    <w:abstractNumId w:val="4"/>
  </w:num>
  <w:num w:numId="19" w16cid:durableId="1312828074">
    <w:abstractNumId w:val="11"/>
  </w:num>
  <w:num w:numId="20" w16cid:durableId="197335966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5A04"/>
    <w:rsid w:val="0001579E"/>
    <w:rsid w:val="00016F78"/>
    <w:rsid w:val="00046945"/>
    <w:rsid w:val="00061B2A"/>
    <w:rsid w:val="00082362"/>
    <w:rsid w:val="000A683E"/>
    <w:rsid w:val="000B19B9"/>
    <w:rsid w:val="000D0334"/>
    <w:rsid w:val="000F6486"/>
    <w:rsid w:val="00125105"/>
    <w:rsid w:val="00127233"/>
    <w:rsid w:val="001511A0"/>
    <w:rsid w:val="00163352"/>
    <w:rsid w:val="001E4177"/>
    <w:rsid w:val="001E7958"/>
    <w:rsid w:val="001F7DC6"/>
    <w:rsid w:val="002421BB"/>
    <w:rsid w:val="0025796E"/>
    <w:rsid w:val="002707A2"/>
    <w:rsid w:val="002951A0"/>
    <w:rsid w:val="002962BC"/>
    <w:rsid w:val="002A093D"/>
    <w:rsid w:val="002A0DD0"/>
    <w:rsid w:val="002A49AC"/>
    <w:rsid w:val="002A64FD"/>
    <w:rsid w:val="002C3F61"/>
    <w:rsid w:val="002C7A84"/>
    <w:rsid w:val="002D47DE"/>
    <w:rsid w:val="002E4FD9"/>
    <w:rsid w:val="002F50EE"/>
    <w:rsid w:val="00312AFE"/>
    <w:rsid w:val="00322A85"/>
    <w:rsid w:val="00324168"/>
    <w:rsid w:val="003448F4"/>
    <w:rsid w:val="003524FB"/>
    <w:rsid w:val="003566DB"/>
    <w:rsid w:val="00364563"/>
    <w:rsid w:val="00374F5E"/>
    <w:rsid w:val="00377E3E"/>
    <w:rsid w:val="003A779E"/>
    <w:rsid w:val="003D0F4D"/>
    <w:rsid w:val="003D5B0D"/>
    <w:rsid w:val="003E0499"/>
    <w:rsid w:val="003F0519"/>
    <w:rsid w:val="003F3941"/>
    <w:rsid w:val="003F74B5"/>
    <w:rsid w:val="00406575"/>
    <w:rsid w:val="00414C74"/>
    <w:rsid w:val="0042722E"/>
    <w:rsid w:val="0044528D"/>
    <w:rsid w:val="004A1847"/>
    <w:rsid w:val="004A305D"/>
    <w:rsid w:val="004F21C4"/>
    <w:rsid w:val="004F685F"/>
    <w:rsid w:val="005546FC"/>
    <w:rsid w:val="005566E8"/>
    <w:rsid w:val="00574867"/>
    <w:rsid w:val="00591460"/>
    <w:rsid w:val="005B3816"/>
    <w:rsid w:val="005C3777"/>
    <w:rsid w:val="005C5CDC"/>
    <w:rsid w:val="005D476C"/>
    <w:rsid w:val="006219F8"/>
    <w:rsid w:val="00665D70"/>
    <w:rsid w:val="006900D9"/>
    <w:rsid w:val="00706C16"/>
    <w:rsid w:val="0071686E"/>
    <w:rsid w:val="00745CE3"/>
    <w:rsid w:val="00756841"/>
    <w:rsid w:val="007649AB"/>
    <w:rsid w:val="00771D0C"/>
    <w:rsid w:val="007833AC"/>
    <w:rsid w:val="007B1EBA"/>
    <w:rsid w:val="007B268C"/>
    <w:rsid w:val="007B7171"/>
    <w:rsid w:val="007C0C0F"/>
    <w:rsid w:val="007C1D3D"/>
    <w:rsid w:val="007C3DC2"/>
    <w:rsid w:val="007C529E"/>
    <w:rsid w:val="007E5497"/>
    <w:rsid w:val="00806F5F"/>
    <w:rsid w:val="008108F2"/>
    <w:rsid w:val="00820278"/>
    <w:rsid w:val="008513D0"/>
    <w:rsid w:val="00866578"/>
    <w:rsid w:val="00867F95"/>
    <w:rsid w:val="008843B6"/>
    <w:rsid w:val="00891928"/>
    <w:rsid w:val="008A446D"/>
    <w:rsid w:val="008C52B3"/>
    <w:rsid w:val="008D180B"/>
    <w:rsid w:val="008F0EA7"/>
    <w:rsid w:val="00915AAE"/>
    <w:rsid w:val="00923EEF"/>
    <w:rsid w:val="009419F9"/>
    <w:rsid w:val="0095685E"/>
    <w:rsid w:val="00960645"/>
    <w:rsid w:val="00961B09"/>
    <w:rsid w:val="00965334"/>
    <w:rsid w:val="0097093E"/>
    <w:rsid w:val="00981751"/>
    <w:rsid w:val="00986AC5"/>
    <w:rsid w:val="009A0DFA"/>
    <w:rsid w:val="009B2D26"/>
    <w:rsid w:val="009C71FA"/>
    <w:rsid w:val="009C72E7"/>
    <w:rsid w:val="009D3058"/>
    <w:rsid w:val="009F3A13"/>
    <w:rsid w:val="00A122D3"/>
    <w:rsid w:val="00A17F13"/>
    <w:rsid w:val="00A20739"/>
    <w:rsid w:val="00A33C78"/>
    <w:rsid w:val="00A5613A"/>
    <w:rsid w:val="00AA1A96"/>
    <w:rsid w:val="00AB0ADB"/>
    <w:rsid w:val="00AE2FCF"/>
    <w:rsid w:val="00B01B1A"/>
    <w:rsid w:val="00B66319"/>
    <w:rsid w:val="00B72CD3"/>
    <w:rsid w:val="00B72FFF"/>
    <w:rsid w:val="00BC3D36"/>
    <w:rsid w:val="00BD7F72"/>
    <w:rsid w:val="00C04FB3"/>
    <w:rsid w:val="00C330EB"/>
    <w:rsid w:val="00C41061"/>
    <w:rsid w:val="00C546E7"/>
    <w:rsid w:val="00C67C1F"/>
    <w:rsid w:val="00C754BE"/>
    <w:rsid w:val="00C76B1C"/>
    <w:rsid w:val="00CA4518"/>
    <w:rsid w:val="00CB6357"/>
    <w:rsid w:val="00CC1B26"/>
    <w:rsid w:val="00D00290"/>
    <w:rsid w:val="00D10172"/>
    <w:rsid w:val="00D423A2"/>
    <w:rsid w:val="00D520D8"/>
    <w:rsid w:val="00D6068E"/>
    <w:rsid w:val="00D63AC2"/>
    <w:rsid w:val="00D7383B"/>
    <w:rsid w:val="00DA231B"/>
    <w:rsid w:val="00DC39FC"/>
    <w:rsid w:val="00DF5254"/>
    <w:rsid w:val="00E16408"/>
    <w:rsid w:val="00E20894"/>
    <w:rsid w:val="00E245AB"/>
    <w:rsid w:val="00E2764C"/>
    <w:rsid w:val="00E27F2E"/>
    <w:rsid w:val="00E50AFE"/>
    <w:rsid w:val="00E61900"/>
    <w:rsid w:val="00E75C92"/>
    <w:rsid w:val="00E771DC"/>
    <w:rsid w:val="00E8772A"/>
    <w:rsid w:val="00E90F6B"/>
    <w:rsid w:val="00E92C27"/>
    <w:rsid w:val="00EA0E3D"/>
    <w:rsid w:val="00EC38A7"/>
    <w:rsid w:val="00ED7384"/>
    <w:rsid w:val="00EE1AA8"/>
    <w:rsid w:val="00EE6500"/>
    <w:rsid w:val="00EF5825"/>
    <w:rsid w:val="00F276CC"/>
    <w:rsid w:val="00F31EDC"/>
    <w:rsid w:val="00F44A04"/>
    <w:rsid w:val="00F462B3"/>
    <w:rsid w:val="00F5664F"/>
    <w:rsid w:val="00F666C4"/>
    <w:rsid w:val="00F76AFC"/>
    <w:rsid w:val="00FA47C0"/>
    <w:rsid w:val="00FB5DD1"/>
    <w:rsid w:val="00FC2B5D"/>
    <w:rsid w:val="00FC3D84"/>
    <w:rsid w:val="00FF1449"/>
    <w:rsid w:val="06C2B81E"/>
    <w:rsid w:val="06D46A95"/>
    <w:rsid w:val="07D20348"/>
    <w:rsid w:val="0BA167C7"/>
    <w:rsid w:val="11592CC5"/>
    <w:rsid w:val="12F6BC65"/>
    <w:rsid w:val="15319506"/>
    <w:rsid w:val="165E9519"/>
    <w:rsid w:val="17ED498D"/>
    <w:rsid w:val="17FAF776"/>
    <w:rsid w:val="1C66FD83"/>
    <w:rsid w:val="1D5D6ECF"/>
    <w:rsid w:val="201BED2C"/>
    <w:rsid w:val="227D0EE9"/>
    <w:rsid w:val="25748458"/>
    <w:rsid w:val="27498979"/>
    <w:rsid w:val="28CF34E4"/>
    <w:rsid w:val="2B61A2B5"/>
    <w:rsid w:val="2E013E84"/>
    <w:rsid w:val="31DEBD1F"/>
    <w:rsid w:val="382536D9"/>
    <w:rsid w:val="3CA8DD5E"/>
    <w:rsid w:val="3D729E37"/>
    <w:rsid w:val="3F50844B"/>
    <w:rsid w:val="444F5416"/>
    <w:rsid w:val="4518E47C"/>
    <w:rsid w:val="48F8EEB7"/>
    <w:rsid w:val="495E4FBE"/>
    <w:rsid w:val="4F2D8E63"/>
    <w:rsid w:val="614DF615"/>
    <w:rsid w:val="6317247B"/>
    <w:rsid w:val="63A1BAE9"/>
    <w:rsid w:val="69B60884"/>
    <w:rsid w:val="6D9F6039"/>
    <w:rsid w:val="6DD15C7C"/>
    <w:rsid w:val="6EFDAB80"/>
    <w:rsid w:val="7103D4E5"/>
    <w:rsid w:val="71591629"/>
    <w:rsid w:val="79EEB79E"/>
    <w:rsid w:val="7B6AA7A6"/>
    <w:rsid w:val="7C183931"/>
    <w:rsid w:val="7C9BD40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EB68F5D1-F056-C04B-8EF5-9736F7CCE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F276C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F276CC"/>
    <w:rPr>
      <w:rFonts w:ascii="Geomanist Light" w:hAnsi="Geomanist Light"/>
      <w:lang w:val="es-E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paragraph" w:styleId="Textoindependiente">
    <w:name w:val="Body Text"/>
    <w:basedOn w:val="Normal"/>
    <w:link w:val="TextoindependienteCar"/>
    <w:uiPriority w:val="1"/>
    <w:qFormat/>
    <w:rsid w:val="00EE6500"/>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EE6500"/>
    <w:rPr>
      <w:rFonts w:ascii="Verdana" w:eastAsia="Verdana" w:hAnsi="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uvanlopez7@icloud.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9BDF36-A306-48E2-B4FE-70CE1E9E0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purl.org/dc/dcmitype/"/>
    <ds:schemaRef ds:uri="http://www.w3.org/XML/1998/namespace"/>
    <ds:schemaRef ds:uri="a6cb9e4b-f1d1-4245-83ec-6cad768d538a"/>
    <ds:schemaRef ds:uri="http://schemas.microsoft.com/office/infopath/2007/PartnerControls"/>
    <ds:schemaRef ds:uri="http://purl.org/dc/elements/1.1/"/>
    <ds:schemaRef ds:uri="http://schemas.microsoft.com/office/2006/documentManagement/types"/>
    <ds:schemaRef ds:uri="http://purl.org/dc/terms/"/>
    <ds:schemaRef ds:uri="http://schemas.openxmlformats.org/package/2006/metadata/core-properties"/>
    <ds:schemaRef ds:uri="9d85dbaf-23eb-4e57-a637-93dcacc8b1a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4437</Words>
  <Characters>24406</Characters>
  <Application>Microsoft Office Word</Application>
  <DocSecurity>0</DocSecurity>
  <Lines>203</Lines>
  <Paragraphs>57</Paragraphs>
  <ScaleCrop>false</ScaleCrop>
  <Company/>
  <LinksUpToDate>false</LinksUpToDate>
  <CharactersWithSpaces>28786</CharactersWithSpaces>
  <SharedDoc>false</SharedDoc>
  <HLinks>
    <vt:vector size="12" baseType="variant">
      <vt:variant>
        <vt:i4>7471218</vt:i4>
      </vt:variant>
      <vt:variant>
        <vt:i4>3</vt:i4>
      </vt:variant>
      <vt:variant>
        <vt:i4>0</vt:i4>
      </vt:variant>
      <vt:variant>
        <vt:i4>5</vt:i4>
      </vt:variant>
      <vt:variant>
        <vt:lpwstr>https://relatoria.colombiacompra.gov.co/busqueda/conceptos</vt:lpwstr>
      </vt:variant>
      <vt:variant>
        <vt:lpwstr/>
      </vt:variant>
      <vt:variant>
        <vt:i4>1179763</vt:i4>
      </vt:variant>
      <vt:variant>
        <vt:i4>0</vt:i4>
      </vt:variant>
      <vt:variant>
        <vt:i4>0</vt:i4>
      </vt:variant>
      <vt:variant>
        <vt:i4>5</vt:i4>
      </vt:variant>
      <vt:variant>
        <vt:lpwstr>mailto:duvanlopez7@icloud.com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2025-09-11T14:19:00Z</dcterms:created>
  <dcterms:modified xsi:type="dcterms:W3CDTF">2025-09-11T14:19:00Z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