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1FCEA" w14:textId="6A0E2DF5" w:rsidR="00101EAE" w:rsidRPr="00B10A68" w:rsidRDefault="00101EAE" w:rsidP="00101EAE">
      <w:pPr>
        <w:spacing w:after="0" w:line="240" w:lineRule="auto"/>
        <w:jc w:val="both"/>
        <w:rPr>
          <w:rFonts w:ascii="Verdana" w:eastAsia="Calibri" w:hAnsi="Verdana" w:cs="Arial"/>
          <w:b/>
          <w:bCs/>
          <w:lang w:val="es-ES" w:eastAsia="es-ES"/>
        </w:rPr>
      </w:pPr>
      <w:r w:rsidRPr="00B10A68">
        <w:rPr>
          <w:rFonts w:ascii="Verdana" w:eastAsia="Calibri" w:hAnsi="Verdana" w:cs="Arial"/>
          <w:b/>
          <w:bCs/>
          <w:lang w:val="es-ES" w:eastAsia="es-ES"/>
        </w:rPr>
        <w:t>SUBSANABILIDAD – Aplicación – R</w:t>
      </w:r>
      <w:r w:rsidRPr="00B10A68">
        <w:rPr>
          <w:rFonts w:ascii="Verdana" w:eastAsia="Calibri" w:hAnsi="Verdana" w:cs="Times New Roman"/>
          <w:b/>
          <w:bCs/>
          <w:lang w:val="es-ES" w:eastAsia="es-ES"/>
        </w:rPr>
        <w:t>egla general</w:t>
      </w:r>
      <w:r w:rsidRPr="00B10A68">
        <w:rPr>
          <w:rFonts w:ascii="Verdana" w:eastAsia="Calibri" w:hAnsi="Verdana" w:cs="Arial"/>
          <w:b/>
          <w:bCs/>
          <w:lang w:val="es-ES" w:eastAsia="es-ES"/>
        </w:rPr>
        <w:t xml:space="preserve"> – Excepciones </w:t>
      </w:r>
    </w:p>
    <w:p w14:paraId="30A0670A" w14:textId="77777777" w:rsidR="00101EAE" w:rsidRPr="00B10A68" w:rsidRDefault="00101EAE" w:rsidP="00101EAE">
      <w:pPr>
        <w:tabs>
          <w:tab w:val="left" w:pos="426"/>
        </w:tabs>
        <w:spacing w:after="0" w:line="240" w:lineRule="auto"/>
        <w:jc w:val="both"/>
        <w:rPr>
          <w:rFonts w:ascii="Verdana" w:eastAsia="Calibri" w:hAnsi="Verdana" w:cs="Arial"/>
          <w:b/>
          <w:sz w:val="20"/>
          <w:szCs w:val="20"/>
          <w:lang w:eastAsia="es-CO"/>
        </w:rPr>
      </w:pPr>
    </w:p>
    <w:p w14:paraId="149DAFCB" w14:textId="77777777" w:rsidR="00101EAE" w:rsidRPr="00B10A68" w:rsidRDefault="00101EAE" w:rsidP="00101EAE">
      <w:pPr>
        <w:spacing w:after="0" w:line="240" w:lineRule="auto"/>
        <w:jc w:val="both"/>
        <w:rPr>
          <w:rFonts w:ascii="Verdana" w:eastAsia="Calibri" w:hAnsi="Verdana" w:cs="Arial"/>
          <w:bCs/>
          <w:sz w:val="20"/>
          <w:szCs w:val="20"/>
          <w:lang w:eastAsia="es-CO"/>
        </w:rPr>
      </w:pPr>
      <w:r w:rsidRPr="00B10A68">
        <w:rPr>
          <w:rFonts w:ascii="Verdana" w:eastAsia="Calibri" w:hAnsi="Verdana" w:cs="Arial"/>
          <w:bCs/>
          <w:sz w:val="20"/>
          <w:szCs w:val="20"/>
          <w:lang w:eastAsia="es-CO"/>
        </w:rPr>
        <w:t>La regla de la subsanabilidad de las ofertas en los procedimientos de selección indica que, por regla general, la falta de entrega y los defectos en la acreditación de los requisitos habilitantes son aspectos subsanables. La excepción a esta regla se encuentra en la prohibición de permitir que se subsanen aspectos que otorgan puntaje, de valer la acreditación de circunstancias ocurridas con posterioridad al cierre del proceso y de permitir la entrega de la garantía de seriedad de la oferta que no fue aportada con la propuesta.</w:t>
      </w:r>
    </w:p>
    <w:p w14:paraId="006DCB54" w14:textId="77777777" w:rsidR="00101EAE" w:rsidRPr="00B10A68" w:rsidRDefault="00101EAE" w:rsidP="00101EAE">
      <w:pPr>
        <w:spacing w:after="0" w:line="240" w:lineRule="auto"/>
        <w:jc w:val="both"/>
        <w:rPr>
          <w:rFonts w:ascii="Verdana" w:eastAsia="Calibri" w:hAnsi="Verdana" w:cs="Arial"/>
          <w:bCs/>
          <w:sz w:val="20"/>
          <w:szCs w:val="20"/>
          <w:lang w:val="es-ES_tradnl" w:eastAsia="es-CO"/>
        </w:rPr>
      </w:pPr>
    </w:p>
    <w:p w14:paraId="0F1DFB0F" w14:textId="77777777" w:rsidR="00101EAE" w:rsidRPr="00B10A68" w:rsidRDefault="00101EAE" w:rsidP="00101EAE">
      <w:pPr>
        <w:spacing w:after="0" w:line="240" w:lineRule="auto"/>
        <w:jc w:val="both"/>
        <w:rPr>
          <w:rFonts w:ascii="Verdana" w:eastAsia="Calibri" w:hAnsi="Verdana" w:cs="Arial"/>
          <w:b/>
          <w:bCs/>
          <w:lang w:val="es-ES" w:eastAsia="es-ES"/>
        </w:rPr>
      </w:pPr>
      <w:r w:rsidRPr="00B10A68">
        <w:rPr>
          <w:rFonts w:ascii="Verdana" w:eastAsia="Calibri" w:hAnsi="Verdana" w:cs="Arial"/>
          <w:b/>
          <w:bCs/>
          <w:lang w:val="es-ES" w:eastAsia="es-ES"/>
        </w:rPr>
        <w:t xml:space="preserve">SUBSANABILIDAD – Ley 1882 de 2018 </w:t>
      </w:r>
    </w:p>
    <w:p w14:paraId="0C352201" w14:textId="77777777" w:rsidR="00101EAE" w:rsidRPr="00B10A68" w:rsidRDefault="00101EAE" w:rsidP="00101EAE">
      <w:pPr>
        <w:spacing w:after="0" w:line="240" w:lineRule="auto"/>
        <w:jc w:val="both"/>
        <w:rPr>
          <w:rFonts w:ascii="Verdana" w:eastAsia="Times New Roman" w:hAnsi="Verdana" w:cs="Arial"/>
          <w:lang w:val="es-ES" w:eastAsia="es-ES_tradnl"/>
        </w:rPr>
      </w:pPr>
    </w:p>
    <w:p w14:paraId="6D663E24" w14:textId="77777777" w:rsidR="00101EAE" w:rsidRPr="00B10A68" w:rsidRDefault="00101EAE" w:rsidP="00101EAE">
      <w:pPr>
        <w:spacing w:after="0" w:line="240" w:lineRule="auto"/>
        <w:jc w:val="both"/>
        <w:rPr>
          <w:rFonts w:ascii="Verdana" w:eastAsia="Calibri" w:hAnsi="Verdana" w:cs="Arial"/>
          <w:bCs/>
          <w:sz w:val="20"/>
          <w:szCs w:val="20"/>
          <w:lang w:eastAsia="es-CO"/>
        </w:rPr>
      </w:pPr>
      <w:r w:rsidRPr="00B10A68">
        <w:rPr>
          <w:rFonts w:ascii="Verdana" w:eastAsia="Calibri" w:hAnsi="Verdana" w:cs="Arial"/>
          <w:bCs/>
          <w:sz w:val="20"/>
          <w:szCs w:val="20"/>
          <w:lang w:eastAsia="es-CO"/>
        </w:rPr>
        <w:t xml:space="preserve">[…] la Ley 1882 de 2018: i) mantiene el criterio de la Ley 80 de 1993, relativo a que todo lo que no sea necesario para la comparación de propuestas no es título suficiente para su rechazo; </w:t>
      </w:r>
      <w:proofErr w:type="spellStart"/>
      <w:r w:rsidRPr="00B10A68">
        <w:rPr>
          <w:rFonts w:ascii="Verdana" w:eastAsia="Calibri" w:hAnsi="Verdana" w:cs="Arial"/>
          <w:bCs/>
          <w:sz w:val="20"/>
          <w:szCs w:val="20"/>
          <w:lang w:eastAsia="es-CO"/>
        </w:rPr>
        <w:t>ii</w:t>
      </w:r>
      <w:proofErr w:type="spellEnd"/>
      <w:r w:rsidRPr="00B10A68">
        <w:rPr>
          <w:rFonts w:ascii="Verdana" w:eastAsia="Calibri" w:hAnsi="Verdana" w:cs="Arial"/>
          <w:bCs/>
          <w:sz w:val="20"/>
          <w:szCs w:val="20"/>
          <w:lang w:eastAsia="es-CO"/>
        </w:rPr>
        <w:t xml:space="preserve">) mantiene el criterio aclaratorio de la Ley 1150 de 2007, según el cual todo lo que no afecte la asignación de puntaje puede subsanarse; e, </w:t>
      </w:r>
      <w:proofErr w:type="spellStart"/>
      <w:r w:rsidRPr="00B10A68">
        <w:rPr>
          <w:rFonts w:ascii="Verdana" w:eastAsia="Calibri" w:hAnsi="Verdana" w:cs="Arial"/>
          <w:bCs/>
          <w:sz w:val="20"/>
          <w:szCs w:val="20"/>
          <w:lang w:eastAsia="es-CO"/>
        </w:rPr>
        <w:t>iii</w:t>
      </w:r>
      <w:proofErr w:type="spellEnd"/>
      <w:r w:rsidRPr="00B10A68">
        <w:rPr>
          <w:rFonts w:ascii="Verdana" w:eastAsia="Calibri" w:hAnsi="Verdana" w:cs="Arial"/>
          <w:bCs/>
          <w:sz w:val="20"/>
          <w:szCs w:val="20"/>
          <w:lang w:eastAsia="es-CO"/>
        </w:rPr>
        <w:t>) introduce modificaciones en relación con algunos aspectos que se analizarán a continuación.</w:t>
      </w:r>
    </w:p>
    <w:p w14:paraId="066ACF00" w14:textId="77777777" w:rsidR="00101EAE" w:rsidRPr="00B10A68" w:rsidRDefault="00101EAE" w:rsidP="00101EAE">
      <w:pPr>
        <w:spacing w:after="0" w:line="240" w:lineRule="auto"/>
        <w:jc w:val="both"/>
        <w:rPr>
          <w:rFonts w:ascii="Verdana" w:eastAsia="Calibri" w:hAnsi="Verdana" w:cs="Arial"/>
          <w:bCs/>
          <w:sz w:val="20"/>
          <w:szCs w:val="20"/>
          <w:lang w:eastAsia="es-CO"/>
        </w:rPr>
      </w:pPr>
    </w:p>
    <w:p w14:paraId="4A93DBB0" w14:textId="77777777" w:rsidR="00101EAE" w:rsidRPr="00B10A68" w:rsidRDefault="00101EAE" w:rsidP="00101EAE">
      <w:pPr>
        <w:spacing w:after="0" w:line="240" w:lineRule="auto"/>
        <w:rPr>
          <w:rFonts w:ascii="Verdana" w:eastAsia="Times New Roman" w:hAnsi="Verdana" w:cs="Arial"/>
          <w:b/>
          <w:bCs/>
          <w:lang w:val="es-MX" w:eastAsia="es-ES_tradnl"/>
        </w:rPr>
      </w:pPr>
      <w:r w:rsidRPr="00B10A68">
        <w:rPr>
          <w:rFonts w:ascii="Verdana" w:eastAsia="Times New Roman" w:hAnsi="Verdana" w:cs="Arial"/>
          <w:b/>
          <w:bCs/>
          <w:lang w:val="es-MX" w:eastAsia="es-ES_tradnl"/>
        </w:rPr>
        <w:t xml:space="preserve">SUBSANABILIDAD Y ACLARACIÓN DE LA OFERTA – Diferencias </w:t>
      </w:r>
    </w:p>
    <w:p w14:paraId="255FBA9E" w14:textId="77777777" w:rsidR="00101EAE" w:rsidRPr="00B10A68" w:rsidRDefault="00101EAE" w:rsidP="00101EAE">
      <w:pPr>
        <w:spacing w:after="0" w:line="240" w:lineRule="auto"/>
        <w:rPr>
          <w:rFonts w:ascii="Verdana" w:eastAsia="Times New Roman" w:hAnsi="Verdana" w:cs="Arial"/>
          <w:b/>
          <w:bCs/>
          <w:lang w:val="es-MX" w:eastAsia="es-ES_tradnl"/>
        </w:rPr>
      </w:pPr>
    </w:p>
    <w:p w14:paraId="64870468" w14:textId="77777777" w:rsidR="00101EAE" w:rsidRPr="00B10A68" w:rsidRDefault="00101EAE" w:rsidP="00101EAE">
      <w:pPr>
        <w:spacing w:after="0" w:line="240" w:lineRule="auto"/>
        <w:jc w:val="both"/>
        <w:rPr>
          <w:rFonts w:ascii="Verdana" w:eastAsia="Times New Roman" w:hAnsi="Verdana" w:cs="Arial"/>
          <w:bCs/>
          <w:sz w:val="20"/>
          <w:szCs w:val="20"/>
          <w:lang w:eastAsia="es-ES_tradnl"/>
        </w:rPr>
      </w:pPr>
      <w:r w:rsidRPr="00B10A68">
        <w:rPr>
          <w:rFonts w:ascii="Verdana" w:eastAsia="Times New Roman" w:hAnsi="Verdana" w:cs="Arial"/>
          <w:bCs/>
          <w:sz w:val="20"/>
          <w:szCs w:val="20"/>
          <w:lang w:eastAsia="es-ES_tradnl"/>
        </w:rPr>
        <w:t>“[…] es distinto aclarar y subsanar una oferta, siendo este último un instituto que procura porque el oferente presente, dentro del plazo y bajo las condiciones dadas por la norma aplicable, los documentos que acrediten el cumplimiento de los requisitos exigidos como habilitantes para participar en el respectivo procedimiento de selección, mientras que la aclaración permite mejor el entendimiento de los elementos de la oferta, sean o no subsanables, para la correcta verificación y evaluación de los mismos por parte de la entidad pública.  Finalmente, como dispone el artículo 30.7 de la Ley 80 de 1993, la aclaración de las propuestas se realiza durante la evaluación de estas, pues es necesario esclarecer los aspectos dudosos de las ofertas antes de la adjudicación. Por ello, la jurisprudencia también explica que “[…] el proponente debe acogerse al tiempo que le otorga la administración para subsanar o aclarar la oferta, lapso que la entidad no puede extender más allá de la adjudicación […]”. De esta manera, “lo ideal en un proceso de selección es que las aclaraciones y explicaciones se anticipen y soliciten durante la etapa de evaluación, lo más pronto posible, es decir, antes de que la entidad elabore el informe respectivo, de tal manera que las tenga en cuenta para producir ese acto administrativo”.</w:t>
      </w:r>
    </w:p>
    <w:p w14:paraId="2AC0EEC9" w14:textId="77777777" w:rsidR="00101EAE" w:rsidRPr="00B10A68" w:rsidRDefault="00101EAE" w:rsidP="00101EAE">
      <w:pPr>
        <w:spacing w:after="0" w:line="240" w:lineRule="auto"/>
        <w:rPr>
          <w:rFonts w:ascii="Verdana" w:eastAsia="Times New Roman" w:hAnsi="Verdana" w:cs="Arial"/>
          <w:b/>
          <w:bCs/>
          <w:lang w:val="es-MX" w:eastAsia="es-ES_tradnl"/>
        </w:rPr>
      </w:pPr>
    </w:p>
    <w:p w14:paraId="4695692A" w14:textId="77777777" w:rsidR="00101EAE" w:rsidRPr="00B10A68" w:rsidRDefault="00101EAE" w:rsidP="00101EAE">
      <w:pPr>
        <w:spacing w:after="0" w:line="240" w:lineRule="auto"/>
        <w:rPr>
          <w:rFonts w:ascii="Verdana" w:eastAsia="Times New Roman" w:hAnsi="Verdana" w:cs="Arial"/>
          <w:b/>
          <w:bCs/>
          <w:lang w:val="es-MX" w:eastAsia="es-ES_tradnl"/>
        </w:rPr>
      </w:pPr>
      <w:r w:rsidRPr="00B10A68">
        <w:rPr>
          <w:rFonts w:ascii="Verdana" w:eastAsia="Times New Roman" w:hAnsi="Verdana" w:cs="Arial"/>
          <w:b/>
          <w:bCs/>
          <w:lang w:val="es-MX" w:eastAsia="es-ES_tradnl"/>
        </w:rPr>
        <w:t xml:space="preserve">PREVALENCIA DEL DERECHO SUSTANCIAL – Principio constitucional </w:t>
      </w:r>
    </w:p>
    <w:p w14:paraId="6CF0496C" w14:textId="77777777" w:rsidR="00101EAE" w:rsidRPr="00B10A68" w:rsidRDefault="00101EAE" w:rsidP="00101EAE">
      <w:pPr>
        <w:spacing w:after="0" w:line="240" w:lineRule="auto"/>
        <w:jc w:val="both"/>
        <w:rPr>
          <w:rFonts w:ascii="Verdana" w:eastAsia="Times New Roman" w:hAnsi="Verdana" w:cs="Arial"/>
          <w:b/>
          <w:bCs/>
          <w:sz w:val="20"/>
          <w:szCs w:val="20"/>
          <w:lang w:val="es-ES_tradnl" w:eastAsia="es-ES_tradnl"/>
        </w:rPr>
      </w:pPr>
    </w:p>
    <w:p w14:paraId="593D93EB" w14:textId="77777777" w:rsidR="00101EAE" w:rsidRPr="00B10A68" w:rsidRDefault="00101EAE" w:rsidP="00101EAE">
      <w:pPr>
        <w:spacing w:after="0" w:line="240" w:lineRule="auto"/>
        <w:jc w:val="both"/>
        <w:rPr>
          <w:rFonts w:ascii="Verdana" w:eastAsia="Times New Roman" w:hAnsi="Verdana" w:cs="Arial"/>
          <w:bCs/>
          <w:sz w:val="20"/>
          <w:szCs w:val="20"/>
          <w:lang w:eastAsia="es-ES_tradnl"/>
        </w:rPr>
      </w:pPr>
      <w:r w:rsidRPr="00B10A68">
        <w:rPr>
          <w:rFonts w:ascii="Verdana" w:eastAsia="Times New Roman" w:hAnsi="Verdana" w:cs="Arial"/>
          <w:bCs/>
          <w:sz w:val="20"/>
          <w:szCs w:val="20"/>
          <w:lang w:eastAsia="es-ES_tradnl"/>
        </w:rPr>
        <w:t xml:space="preserve">[…]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 Ese fue el sentido que inspiró la Sentencia C-029 de 1995, mediante la cual la Corte Constitucional declaró exequible el artículo 4º del Código de Procedimiento Civil, argumentando, además, que el artículo 228 de la Constitución reconoce que “prevalecerá el derecho sustancial”, con lo que también está reconociendo, según el tribunal constitucional, que el fin de los </w:t>
      </w:r>
      <w:r w:rsidRPr="00B10A68">
        <w:rPr>
          <w:rFonts w:ascii="Verdana" w:eastAsia="Times New Roman" w:hAnsi="Verdana" w:cs="Arial"/>
          <w:bCs/>
          <w:sz w:val="20"/>
          <w:szCs w:val="20"/>
          <w:lang w:eastAsia="es-ES_tradnl"/>
        </w:rPr>
        <w:lastRenderedPageBreak/>
        <w:t>procedimientos es la realización de los derechos consagrados en abstracto por el derecho objetivo.</w:t>
      </w:r>
    </w:p>
    <w:p w14:paraId="2A607690" w14:textId="77777777" w:rsidR="00101EAE" w:rsidRPr="00B10A68" w:rsidRDefault="00101EAE" w:rsidP="00101EAE">
      <w:pPr>
        <w:spacing w:after="0" w:line="240" w:lineRule="auto"/>
        <w:rPr>
          <w:rFonts w:ascii="Verdana" w:eastAsia="Times New Roman" w:hAnsi="Verdana" w:cs="Arial"/>
          <w:lang w:val="es-ES" w:eastAsia="es-ES_tradnl"/>
        </w:rPr>
      </w:pPr>
    </w:p>
    <w:p w14:paraId="51B14422" w14:textId="77777777" w:rsidR="00101EAE" w:rsidRPr="00B10A68" w:rsidRDefault="00101EAE" w:rsidP="00101EAE">
      <w:pPr>
        <w:tabs>
          <w:tab w:val="left" w:pos="426"/>
        </w:tabs>
        <w:spacing w:after="0" w:line="240" w:lineRule="auto"/>
        <w:jc w:val="both"/>
        <w:rPr>
          <w:rFonts w:ascii="Verdana" w:eastAsia="Calibri" w:hAnsi="Verdana" w:cs="Arial"/>
          <w:b/>
          <w:lang w:eastAsia="es-CO"/>
        </w:rPr>
      </w:pPr>
      <w:r w:rsidRPr="00B10A68">
        <w:rPr>
          <w:rFonts w:ascii="Verdana" w:eastAsia="Calibri" w:hAnsi="Verdana" w:cs="Arial"/>
          <w:b/>
          <w:lang w:eastAsia="es-CO"/>
        </w:rPr>
        <w:t>CAUSALES DE RECHAZO DE LAS OFERTAS – Origen – Límites en su configuración</w:t>
      </w:r>
    </w:p>
    <w:p w14:paraId="188FB3AE" w14:textId="77777777" w:rsidR="00101EAE" w:rsidRPr="00B10A68" w:rsidRDefault="00101EAE" w:rsidP="00101EAE">
      <w:pPr>
        <w:tabs>
          <w:tab w:val="left" w:pos="426"/>
        </w:tabs>
        <w:spacing w:after="0" w:line="240" w:lineRule="auto"/>
        <w:jc w:val="both"/>
        <w:rPr>
          <w:rFonts w:ascii="Verdana" w:eastAsia="Calibri" w:hAnsi="Verdana" w:cs="Arial"/>
          <w:b/>
          <w:lang w:eastAsia="es-CO"/>
        </w:rPr>
      </w:pPr>
    </w:p>
    <w:p w14:paraId="5BECE031" w14:textId="77777777" w:rsidR="00101EAE" w:rsidRPr="00B10A68" w:rsidRDefault="00101EAE" w:rsidP="00101EAE">
      <w:pPr>
        <w:tabs>
          <w:tab w:val="left" w:pos="426"/>
        </w:tabs>
        <w:spacing w:after="0" w:line="240" w:lineRule="auto"/>
        <w:jc w:val="both"/>
        <w:rPr>
          <w:rFonts w:ascii="Verdana" w:eastAsia="Calibri" w:hAnsi="Verdana" w:cs="Arial"/>
          <w:sz w:val="20"/>
          <w:szCs w:val="20"/>
        </w:rPr>
      </w:pPr>
      <w:r w:rsidRPr="00B10A68">
        <w:rPr>
          <w:rFonts w:ascii="Verdana" w:eastAsia="Calibri" w:hAnsi="Verdana" w:cs="Arial"/>
          <w:sz w:val="20"/>
          <w:szCs w:val="20"/>
        </w:rPr>
        <w:t xml:space="preserve">El rechazo de las ofertas y los eventos en los que proceden han sido asuntos de los que se ha ocupado la legislación nacional en materia de contratación pública, por lo que “la competencia de las entidades estales para establecer eventos de exclusión de propuestas es de carácter residual y restringido”. En ese sentido, si bien las entidades estatales, en ejercicio de la discrecionalidad que les corresponde en la configuración de los pliegos de condiciones, tienen competencia para determinar los requisitos que deben cumplir los proponentes para la presentación de ofertas y regular los eventos en los que procede su rechazo, el ejercicio de tales facultades encuentra ciertos límites en la ley y el reglamento, así como en los principios de razonabilidad y proporcionalidad.  </w:t>
      </w:r>
    </w:p>
    <w:p w14:paraId="2961AAAB" w14:textId="77777777" w:rsidR="00101EAE" w:rsidRPr="00B10A68" w:rsidRDefault="00101EAE" w:rsidP="00101EAE">
      <w:pPr>
        <w:tabs>
          <w:tab w:val="left" w:pos="426"/>
        </w:tabs>
        <w:spacing w:after="0" w:line="240" w:lineRule="auto"/>
        <w:jc w:val="both"/>
        <w:rPr>
          <w:rFonts w:ascii="Verdana" w:eastAsia="Calibri" w:hAnsi="Verdana" w:cs="Arial"/>
          <w:sz w:val="20"/>
          <w:szCs w:val="20"/>
        </w:rPr>
      </w:pPr>
    </w:p>
    <w:p w14:paraId="22DD270F" w14:textId="77777777" w:rsidR="00101EAE" w:rsidRPr="00B10A68" w:rsidRDefault="00101EAE" w:rsidP="00101EAE">
      <w:pPr>
        <w:tabs>
          <w:tab w:val="left" w:pos="426"/>
        </w:tabs>
        <w:spacing w:after="0" w:line="240" w:lineRule="auto"/>
        <w:jc w:val="both"/>
        <w:rPr>
          <w:rFonts w:ascii="Verdana" w:eastAsia="Calibri" w:hAnsi="Verdana" w:cs="Arial"/>
          <w:b/>
          <w:lang w:eastAsia="es-CO"/>
        </w:rPr>
      </w:pPr>
      <w:r w:rsidRPr="00B10A68">
        <w:rPr>
          <w:rFonts w:ascii="Verdana" w:eastAsia="Calibri" w:hAnsi="Verdana" w:cs="Arial"/>
          <w:b/>
          <w:lang w:eastAsia="es-CO"/>
        </w:rPr>
        <w:t>CAUSALES DE RECHAZO – Procedencia</w:t>
      </w:r>
    </w:p>
    <w:p w14:paraId="19302220" w14:textId="77777777" w:rsidR="00101EAE" w:rsidRPr="00B10A68" w:rsidRDefault="00101EAE" w:rsidP="00101EAE">
      <w:pPr>
        <w:tabs>
          <w:tab w:val="left" w:pos="426"/>
        </w:tabs>
        <w:spacing w:after="0" w:line="240" w:lineRule="auto"/>
        <w:jc w:val="both"/>
        <w:rPr>
          <w:rFonts w:ascii="Verdana" w:eastAsia="Calibri" w:hAnsi="Verdana" w:cs="Arial"/>
          <w:b/>
          <w:lang w:eastAsia="es-CO"/>
        </w:rPr>
      </w:pPr>
    </w:p>
    <w:p w14:paraId="6699D786" w14:textId="77777777" w:rsidR="00101EAE" w:rsidRPr="00B10A68" w:rsidRDefault="00101EAE" w:rsidP="00101EAE">
      <w:pPr>
        <w:spacing w:after="0" w:line="240" w:lineRule="auto"/>
        <w:jc w:val="both"/>
        <w:rPr>
          <w:rFonts w:ascii="Verdana" w:eastAsia="Times New Roman" w:hAnsi="Verdana" w:cs="Arial"/>
          <w:lang w:eastAsia="es-ES_tradnl"/>
        </w:rPr>
      </w:pPr>
      <w:r w:rsidRPr="00B10A68">
        <w:rPr>
          <w:rFonts w:ascii="Verdana" w:eastAsia="Calibri" w:hAnsi="Verdana" w:cs="Arial"/>
          <w:sz w:val="20"/>
          <w:szCs w:val="20"/>
        </w:rPr>
        <w:t xml:space="preserve">Dicho lo anterior, sobre si procede o no el rechazo de la oferta en razón al documento </w:t>
      </w:r>
      <w:r w:rsidRPr="00B10A68">
        <w:rPr>
          <w:rFonts w:ascii="Verdana" w:eastAsia="Calibri" w:hAnsi="Verdana" w:cs="Arial"/>
          <w:i/>
          <w:iCs/>
          <w:sz w:val="20"/>
          <w:szCs w:val="20"/>
        </w:rPr>
        <w:t>ambiguo u oscuro</w:t>
      </w:r>
      <w:r w:rsidRPr="00B10A68">
        <w:rPr>
          <w:rFonts w:ascii="Verdana" w:eastAsia="Calibri" w:hAnsi="Verdana" w:cs="Arial"/>
          <w:sz w:val="20"/>
          <w:szCs w:val="20"/>
        </w:rPr>
        <w:t>, en primera medida, dependerá de que exista la causal de rechazo en la ley, el reglamento o tenga origen en el pliego de condiciones expresada de manera clara y taxativa. De otro lado, si existe un supuesto de hecho incorporado por la entidad estatal en el pliego de condiciones como causal de rechazo, aquella deberá estar acorde con los principios de razonabilidad y proporcionalidad, no contrariar el ordenamiento jurídico y evitar que versen sobre aspectos meramente formales sin relevancia para el transcurso del proceso de selección o el perfeccionamiento del contrato.</w:t>
      </w:r>
    </w:p>
    <w:p w14:paraId="52318BAA" w14:textId="77777777" w:rsidR="00841644" w:rsidRDefault="00841644" w:rsidP="00AA3E73">
      <w:pPr>
        <w:spacing w:after="0" w:line="240" w:lineRule="auto"/>
        <w:rPr>
          <w:rFonts w:ascii="Verdana" w:eastAsia="Geomanist Light" w:hAnsi="Verdana" w:cs="Arial"/>
          <w:color w:val="000000"/>
          <w:lang w:val="es-MX"/>
        </w:rPr>
      </w:pPr>
    </w:p>
    <w:p w14:paraId="7D0BE50A" w14:textId="77777777" w:rsidR="00841644" w:rsidRDefault="00841644" w:rsidP="00AA3E73">
      <w:pPr>
        <w:spacing w:after="0" w:line="240" w:lineRule="auto"/>
        <w:rPr>
          <w:rFonts w:ascii="Verdana" w:eastAsia="Geomanist Light" w:hAnsi="Verdana" w:cs="Arial"/>
          <w:color w:val="000000"/>
          <w:lang w:val="es-MX"/>
        </w:rPr>
      </w:pPr>
    </w:p>
    <w:p w14:paraId="7E6C2379" w14:textId="386D5B45" w:rsidR="00D014E5" w:rsidRPr="00D014E5" w:rsidRDefault="00D014E5" w:rsidP="00D014E5">
      <w:pPr>
        <w:spacing w:after="0" w:line="240" w:lineRule="auto"/>
        <w:jc w:val="both"/>
        <w:rPr>
          <w:rFonts w:ascii="Verdana" w:eastAsia="Calibri" w:hAnsi="Verdana" w:cs="Arial"/>
          <w:b/>
          <w:lang w:val="es-ES_tradnl"/>
        </w:rPr>
      </w:pPr>
      <w:r w:rsidRPr="00D014E5">
        <w:rPr>
          <w:rFonts w:ascii="Verdana" w:eastAsia="Calibri" w:hAnsi="Verdana" w:cs="Arial"/>
          <w:b/>
          <w:lang w:val="es-ES_tradnl"/>
        </w:rPr>
        <w:t>SEGURIDAD SOCIAL INTEGRAL – Aportes parafiscales – Acreditación / Rechazo de oferta</w:t>
      </w:r>
    </w:p>
    <w:p w14:paraId="74604371" w14:textId="77777777" w:rsidR="00D014E5" w:rsidRPr="00D014E5" w:rsidRDefault="00D014E5" w:rsidP="00D014E5">
      <w:pPr>
        <w:spacing w:after="0" w:line="240" w:lineRule="auto"/>
        <w:jc w:val="both"/>
        <w:rPr>
          <w:rFonts w:ascii="Verdana" w:eastAsia="Geomanist Light" w:hAnsi="Verdana" w:cs="Arial"/>
          <w:color w:val="000000"/>
        </w:rPr>
      </w:pPr>
    </w:p>
    <w:p w14:paraId="0E426790" w14:textId="77777777" w:rsidR="00D014E5" w:rsidRDefault="00D014E5" w:rsidP="00D014E5">
      <w:pPr>
        <w:spacing w:after="0" w:line="240" w:lineRule="auto"/>
        <w:jc w:val="both"/>
        <w:rPr>
          <w:rFonts w:ascii="Verdana" w:eastAsia="Geomanist Light" w:hAnsi="Verdana" w:cs="Arial"/>
          <w:color w:val="000000"/>
          <w:sz w:val="20"/>
          <w:szCs w:val="20"/>
        </w:rPr>
      </w:pPr>
      <w:r w:rsidRPr="00D014E5">
        <w:rPr>
          <w:rFonts w:ascii="Verdana" w:eastAsia="Geomanist Light" w:hAnsi="Verdana" w:cs="Arial"/>
          <w:color w:val="000000"/>
          <w:sz w:val="20"/>
          <w:szCs w:val="20"/>
        </w:rPr>
        <w:t>[…] las personas jurídicas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 para presentar la oferta las personas jurídicas deben acreditar el requisito señalado anteriormente.</w:t>
      </w:r>
    </w:p>
    <w:p w14:paraId="51CCFC31" w14:textId="77777777" w:rsidR="00D014E5" w:rsidRPr="00D014E5" w:rsidRDefault="00D014E5" w:rsidP="00D014E5">
      <w:pPr>
        <w:spacing w:after="0" w:line="240" w:lineRule="auto"/>
        <w:jc w:val="both"/>
        <w:rPr>
          <w:rFonts w:ascii="Verdana" w:eastAsia="Geomanist Light" w:hAnsi="Verdana" w:cs="Arial"/>
          <w:color w:val="000000"/>
          <w:sz w:val="20"/>
          <w:szCs w:val="20"/>
        </w:rPr>
      </w:pPr>
    </w:p>
    <w:p w14:paraId="248BA946" w14:textId="77777777" w:rsidR="00D014E5" w:rsidRDefault="00D014E5" w:rsidP="00D014E5">
      <w:pPr>
        <w:spacing w:after="0" w:line="240" w:lineRule="auto"/>
        <w:jc w:val="both"/>
        <w:rPr>
          <w:rFonts w:ascii="Verdana" w:eastAsia="Geomanist Light" w:hAnsi="Verdana" w:cs="Arial"/>
          <w:color w:val="000000"/>
          <w:sz w:val="20"/>
          <w:szCs w:val="20"/>
        </w:rPr>
      </w:pPr>
      <w:r w:rsidRPr="00D014E5">
        <w:rPr>
          <w:rFonts w:ascii="Verdana" w:eastAsia="Geomanist Light" w:hAnsi="Verdana" w:cs="Arial"/>
          <w:color w:val="000000"/>
          <w:sz w:val="20"/>
          <w:szCs w:val="20"/>
        </w:rPr>
        <w:t xml:space="preserve">Esta norma fue analizada por la Sección Tercera del Consejo de Estado, que consideró que el artículo 50 de la Ley 789 de 2002 tiene por objeto evitar la evasión 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 Integral. Por lo tanto, la jurisprudencia reiteró la necesidad de que las entidades estatales, durante la ejecución </w:t>
      </w:r>
      <w:r w:rsidRPr="00D014E5">
        <w:rPr>
          <w:rFonts w:ascii="Verdana" w:eastAsia="Geomanist Light" w:hAnsi="Verdana" w:cs="Arial"/>
          <w:color w:val="000000"/>
          <w:sz w:val="20"/>
          <w:szCs w:val="20"/>
        </w:rPr>
        <w:lastRenderedPageBreak/>
        <w:t>de un contrato, verifiquen el cumplimiento de las obligaciones del sistema de seguridad social por parte de los oferentes. De esta manera, el artículo 23 de la Ley 1150 de 2007 que modificó el inciso segundo del artículo 41 de la Ley 80 de 1993, incluye la obligación, para los proponentes y contratistas, de estar a paz y salvo con los aportes parafiscales al Sistema de Seguridad Social Integral […]</w:t>
      </w:r>
    </w:p>
    <w:p w14:paraId="7C71B84B" w14:textId="77777777" w:rsidR="00D014E5" w:rsidRPr="00D014E5" w:rsidRDefault="00D014E5" w:rsidP="00D014E5">
      <w:pPr>
        <w:spacing w:after="0" w:line="240" w:lineRule="auto"/>
        <w:jc w:val="both"/>
        <w:rPr>
          <w:rFonts w:ascii="Verdana" w:eastAsia="Geomanist Light" w:hAnsi="Verdana" w:cs="Arial"/>
          <w:color w:val="000000"/>
          <w:sz w:val="20"/>
          <w:szCs w:val="20"/>
        </w:rPr>
      </w:pPr>
    </w:p>
    <w:p w14:paraId="1CE9B17B" w14:textId="77777777" w:rsidR="00D014E5" w:rsidRPr="00D014E5" w:rsidRDefault="00D014E5" w:rsidP="00D014E5">
      <w:pPr>
        <w:spacing w:after="0" w:line="240" w:lineRule="auto"/>
        <w:jc w:val="both"/>
        <w:rPr>
          <w:rFonts w:ascii="Verdana" w:eastAsia="Geomanist Light" w:hAnsi="Verdana" w:cs="Arial"/>
          <w:color w:val="000000"/>
          <w:sz w:val="20"/>
          <w:szCs w:val="20"/>
        </w:rPr>
      </w:pPr>
      <w:r w:rsidRPr="00D014E5">
        <w:rPr>
          <w:rFonts w:ascii="Verdana" w:eastAsia="Geomanist Light" w:hAnsi="Verdana" w:cs="Arial"/>
          <w:color w:val="000000"/>
          <w:sz w:val="20"/>
          <w:szCs w:val="20"/>
        </w:rPr>
        <w:t xml:space="preserve">Del artículo 23 de la Ley 1150 de 2007 se concluye </w:t>
      </w:r>
      <w:proofErr w:type="gramStart"/>
      <w:r w:rsidRPr="00D014E5">
        <w:rPr>
          <w:rFonts w:ascii="Verdana" w:eastAsia="Geomanist Light" w:hAnsi="Verdana" w:cs="Arial"/>
          <w:color w:val="000000"/>
          <w:sz w:val="20"/>
          <w:szCs w:val="20"/>
        </w:rPr>
        <w:t>que</w:t>
      </w:r>
      <w:proofErr w:type="gramEnd"/>
      <w:r w:rsidRPr="00D014E5">
        <w:rPr>
          <w:rFonts w:ascii="Verdana" w:eastAsia="Geomanist Light" w:hAnsi="Verdana" w:cs="Arial"/>
          <w:color w:val="000000"/>
          <w:sz w:val="20"/>
          <w:szCs w:val="20"/>
        </w:rPr>
        <w:t xml:space="preserv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w:t>
      </w:r>
    </w:p>
    <w:p w14:paraId="672E9970" w14:textId="77777777" w:rsidR="00841644" w:rsidRPr="00D014E5" w:rsidRDefault="00841644" w:rsidP="00AA3E73">
      <w:pPr>
        <w:spacing w:after="0" w:line="240" w:lineRule="auto"/>
        <w:rPr>
          <w:rFonts w:ascii="Verdana" w:eastAsia="Geomanist Light" w:hAnsi="Verdana" w:cs="Arial"/>
          <w:color w:val="000000"/>
        </w:rPr>
      </w:pPr>
    </w:p>
    <w:p w14:paraId="6D1FE057" w14:textId="77777777" w:rsidR="00841644" w:rsidRDefault="00841644" w:rsidP="00AA3E73">
      <w:pPr>
        <w:spacing w:after="0" w:line="240" w:lineRule="auto"/>
        <w:rPr>
          <w:rFonts w:ascii="Verdana" w:eastAsia="Geomanist Light" w:hAnsi="Verdana" w:cs="Arial"/>
          <w:color w:val="000000"/>
          <w:lang w:val="es-MX"/>
        </w:rPr>
      </w:pPr>
    </w:p>
    <w:p w14:paraId="2697BBE0" w14:textId="77777777" w:rsidR="00841644" w:rsidRDefault="00841644" w:rsidP="00AA3E73">
      <w:pPr>
        <w:spacing w:after="0" w:line="240" w:lineRule="auto"/>
        <w:rPr>
          <w:rFonts w:ascii="Verdana" w:eastAsia="Geomanist Light" w:hAnsi="Verdana" w:cs="Arial"/>
          <w:color w:val="000000"/>
          <w:lang w:val="es-MX"/>
        </w:rPr>
      </w:pPr>
    </w:p>
    <w:p w14:paraId="3244ACD9" w14:textId="77777777" w:rsidR="00841644" w:rsidRDefault="00841644" w:rsidP="00AA3E73">
      <w:pPr>
        <w:spacing w:after="0" w:line="240" w:lineRule="auto"/>
        <w:rPr>
          <w:rFonts w:ascii="Verdana" w:eastAsia="Geomanist Light" w:hAnsi="Verdana" w:cs="Arial"/>
          <w:color w:val="000000"/>
          <w:lang w:val="es-MX"/>
        </w:rPr>
      </w:pPr>
    </w:p>
    <w:p w14:paraId="34B952F4" w14:textId="77777777" w:rsidR="00841644" w:rsidRDefault="00841644" w:rsidP="00AA3E73">
      <w:pPr>
        <w:spacing w:after="0" w:line="240" w:lineRule="auto"/>
        <w:rPr>
          <w:rFonts w:ascii="Verdana" w:eastAsia="Geomanist Light" w:hAnsi="Verdana" w:cs="Arial"/>
          <w:color w:val="000000"/>
          <w:lang w:val="es-MX"/>
        </w:rPr>
      </w:pPr>
    </w:p>
    <w:p w14:paraId="32C9932C" w14:textId="77777777" w:rsidR="00841644" w:rsidRDefault="00841644" w:rsidP="00AA3E73">
      <w:pPr>
        <w:spacing w:after="0" w:line="240" w:lineRule="auto"/>
        <w:rPr>
          <w:rFonts w:ascii="Verdana" w:eastAsia="Geomanist Light" w:hAnsi="Verdana" w:cs="Arial"/>
          <w:color w:val="000000"/>
          <w:lang w:val="es-MX"/>
        </w:rPr>
      </w:pPr>
    </w:p>
    <w:p w14:paraId="3215F09A" w14:textId="77777777" w:rsidR="00841644" w:rsidRDefault="00841644" w:rsidP="00AA3E73">
      <w:pPr>
        <w:spacing w:after="0" w:line="240" w:lineRule="auto"/>
        <w:rPr>
          <w:rFonts w:ascii="Verdana" w:eastAsia="Geomanist Light" w:hAnsi="Verdana" w:cs="Arial"/>
          <w:color w:val="000000"/>
          <w:lang w:val="es-MX"/>
        </w:rPr>
      </w:pPr>
    </w:p>
    <w:p w14:paraId="610C027C" w14:textId="77777777" w:rsidR="00841644" w:rsidRDefault="00841644" w:rsidP="00AA3E73">
      <w:pPr>
        <w:spacing w:after="0" w:line="240" w:lineRule="auto"/>
        <w:rPr>
          <w:rFonts w:ascii="Verdana" w:eastAsia="Geomanist Light" w:hAnsi="Verdana" w:cs="Arial"/>
          <w:color w:val="000000"/>
          <w:lang w:val="es-MX"/>
        </w:rPr>
      </w:pPr>
    </w:p>
    <w:p w14:paraId="2F848ABD" w14:textId="77777777" w:rsidR="00841644" w:rsidRDefault="00841644" w:rsidP="00AA3E73">
      <w:pPr>
        <w:spacing w:after="0" w:line="240" w:lineRule="auto"/>
        <w:rPr>
          <w:rFonts w:ascii="Verdana" w:eastAsia="Geomanist Light" w:hAnsi="Verdana" w:cs="Arial"/>
          <w:color w:val="000000"/>
          <w:lang w:val="es-MX"/>
        </w:rPr>
      </w:pPr>
    </w:p>
    <w:p w14:paraId="33D75E73" w14:textId="77777777" w:rsidR="00841644" w:rsidRDefault="00841644" w:rsidP="00AA3E73">
      <w:pPr>
        <w:spacing w:after="0" w:line="240" w:lineRule="auto"/>
        <w:rPr>
          <w:rFonts w:ascii="Verdana" w:eastAsia="Geomanist Light" w:hAnsi="Verdana" w:cs="Arial"/>
          <w:color w:val="000000"/>
          <w:lang w:val="es-MX"/>
        </w:rPr>
      </w:pPr>
    </w:p>
    <w:p w14:paraId="41E5B720" w14:textId="77777777" w:rsidR="00841644" w:rsidRDefault="00841644" w:rsidP="00AA3E73">
      <w:pPr>
        <w:spacing w:after="0" w:line="240" w:lineRule="auto"/>
        <w:rPr>
          <w:rFonts w:ascii="Verdana" w:eastAsia="Geomanist Light" w:hAnsi="Verdana" w:cs="Arial"/>
          <w:color w:val="000000"/>
          <w:lang w:val="es-MX"/>
        </w:rPr>
      </w:pPr>
    </w:p>
    <w:p w14:paraId="6AA8E77D" w14:textId="77777777" w:rsidR="00841644" w:rsidRDefault="00841644" w:rsidP="00AA3E73">
      <w:pPr>
        <w:spacing w:after="0" w:line="240" w:lineRule="auto"/>
        <w:rPr>
          <w:rFonts w:ascii="Verdana" w:eastAsia="Geomanist Light" w:hAnsi="Verdana" w:cs="Arial"/>
          <w:color w:val="000000"/>
          <w:lang w:val="es-MX"/>
        </w:rPr>
      </w:pPr>
    </w:p>
    <w:p w14:paraId="75EBE2D3" w14:textId="77777777" w:rsidR="00841644" w:rsidRDefault="00841644" w:rsidP="00AA3E73">
      <w:pPr>
        <w:spacing w:after="0" w:line="240" w:lineRule="auto"/>
        <w:rPr>
          <w:rFonts w:ascii="Verdana" w:eastAsia="Geomanist Light" w:hAnsi="Verdana" w:cs="Arial"/>
          <w:color w:val="000000"/>
          <w:lang w:val="es-MX"/>
        </w:rPr>
      </w:pPr>
    </w:p>
    <w:p w14:paraId="728C8AD2" w14:textId="77777777" w:rsidR="00841644" w:rsidRDefault="00841644" w:rsidP="00AA3E73">
      <w:pPr>
        <w:spacing w:after="0" w:line="240" w:lineRule="auto"/>
        <w:rPr>
          <w:rFonts w:ascii="Verdana" w:eastAsia="Geomanist Light" w:hAnsi="Verdana" w:cs="Arial"/>
          <w:color w:val="000000"/>
          <w:lang w:val="es-MX"/>
        </w:rPr>
      </w:pPr>
    </w:p>
    <w:p w14:paraId="3CADA162" w14:textId="77777777" w:rsidR="00841644" w:rsidRDefault="00841644" w:rsidP="00AA3E73">
      <w:pPr>
        <w:spacing w:after="0" w:line="240" w:lineRule="auto"/>
        <w:rPr>
          <w:rFonts w:ascii="Verdana" w:eastAsia="Geomanist Light" w:hAnsi="Verdana" w:cs="Arial"/>
          <w:color w:val="000000"/>
          <w:lang w:val="es-MX"/>
        </w:rPr>
      </w:pPr>
    </w:p>
    <w:p w14:paraId="7C1B2070" w14:textId="77777777" w:rsidR="00841644" w:rsidRDefault="00841644" w:rsidP="00AA3E73">
      <w:pPr>
        <w:spacing w:after="0" w:line="240" w:lineRule="auto"/>
        <w:rPr>
          <w:rFonts w:ascii="Verdana" w:eastAsia="Geomanist Light" w:hAnsi="Verdana" w:cs="Arial"/>
          <w:color w:val="000000"/>
          <w:lang w:val="es-MX"/>
        </w:rPr>
      </w:pPr>
    </w:p>
    <w:p w14:paraId="5689B851" w14:textId="77777777" w:rsidR="00101EAE" w:rsidRDefault="00101EAE" w:rsidP="00AA3E73">
      <w:pPr>
        <w:spacing w:after="0" w:line="240" w:lineRule="auto"/>
        <w:rPr>
          <w:rFonts w:ascii="Verdana" w:eastAsia="Geomanist Light" w:hAnsi="Verdana" w:cs="Arial"/>
          <w:color w:val="000000"/>
          <w:lang w:val="es-MX"/>
        </w:rPr>
      </w:pPr>
    </w:p>
    <w:p w14:paraId="48977DF3" w14:textId="77777777" w:rsidR="00D014E5" w:rsidRDefault="00D014E5" w:rsidP="00AA3E73">
      <w:pPr>
        <w:spacing w:after="0" w:line="240" w:lineRule="auto"/>
        <w:rPr>
          <w:rFonts w:ascii="Verdana" w:eastAsia="Geomanist Light" w:hAnsi="Verdana" w:cs="Arial"/>
          <w:color w:val="000000"/>
          <w:lang w:val="es-MX"/>
        </w:rPr>
      </w:pPr>
    </w:p>
    <w:p w14:paraId="68262897" w14:textId="77777777" w:rsidR="00D014E5" w:rsidRDefault="00D014E5" w:rsidP="00AA3E73">
      <w:pPr>
        <w:spacing w:after="0" w:line="240" w:lineRule="auto"/>
        <w:rPr>
          <w:rFonts w:ascii="Verdana" w:eastAsia="Geomanist Light" w:hAnsi="Verdana" w:cs="Arial"/>
          <w:color w:val="000000"/>
          <w:lang w:val="es-MX"/>
        </w:rPr>
      </w:pPr>
    </w:p>
    <w:p w14:paraId="0813D0C4" w14:textId="77777777" w:rsidR="00D014E5" w:rsidRDefault="00D014E5" w:rsidP="00AA3E73">
      <w:pPr>
        <w:spacing w:after="0" w:line="240" w:lineRule="auto"/>
        <w:rPr>
          <w:rFonts w:ascii="Verdana" w:eastAsia="Geomanist Light" w:hAnsi="Verdana" w:cs="Arial"/>
          <w:color w:val="000000"/>
          <w:lang w:val="es-MX"/>
        </w:rPr>
      </w:pPr>
    </w:p>
    <w:p w14:paraId="60E6371F" w14:textId="77777777" w:rsidR="00D014E5" w:rsidRDefault="00D014E5" w:rsidP="00AA3E73">
      <w:pPr>
        <w:spacing w:after="0" w:line="240" w:lineRule="auto"/>
        <w:rPr>
          <w:rFonts w:ascii="Verdana" w:eastAsia="Geomanist Light" w:hAnsi="Verdana" w:cs="Arial"/>
          <w:color w:val="000000"/>
          <w:lang w:val="es-MX"/>
        </w:rPr>
      </w:pPr>
    </w:p>
    <w:p w14:paraId="20C6E4E8" w14:textId="77777777" w:rsidR="00D014E5" w:rsidRDefault="00D014E5" w:rsidP="00AA3E73">
      <w:pPr>
        <w:spacing w:after="0" w:line="240" w:lineRule="auto"/>
        <w:rPr>
          <w:rFonts w:ascii="Verdana" w:eastAsia="Geomanist Light" w:hAnsi="Verdana" w:cs="Arial"/>
          <w:color w:val="000000"/>
          <w:lang w:val="es-MX"/>
        </w:rPr>
      </w:pPr>
    </w:p>
    <w:p w14:paraId="3AD066A0" w14:textId="77777777" w:rsidR="00D014E5" w:rsidRDefault="00D014E5" w:rsidP="00AA3E73">
      <w:pPr>
        <w:spacing w:after="0" w:line="240" w:lineRule="auto"/>
        <w:rPr>
          <w:rFonts w:ascii="Verdana" w:eastAsia="Geomanist Light" w:hAnsi="Verdana" w:cs="Arial"/>
          <w:color w:val="000000"/>
          <w:lang w:val="es-MX"/>
        </w:rPr>
      </w:pPr>
    </w:p>
    <w:p w14:paraId="102EE54A" w14:textId="77777777" w:rsidR="00D014E5" w:rsidRDefault="00D014E5" w:rsidP="00AA3E73">
      <w:pPr>
        <w:spacing w:after="0" w:line="240" w:lineRule="auto"/>
        <w:rPr>
          <w:rFonts w:ascii="Verdana" w:eastAsia="Geomanist Light" w:hAnsi="Verdana" w:cs="Arial"/>
          <w:color w:val="000000"/>
          <w:lang w:val="es-MX"/>
        </w:rPr>
      </w:pPr>
    </w:p>
    <w:p w14:paraId="27BADFD3" w14:textId="77777777" w:rsidR="00D014E5" w:rsidRDefault="00D014E5" w:rsidP="00AA3E73">
      <w:pPr>
        <w:spacing w:after="0" w:line="240" w:lineRule="auto"/>
        <w:rPr>
          <w:rFonts w:ascii="Verdana" w:eastAsia="Geomanist Light" w:hAnsi="Verdana" w:cs="Arial"/>
          <w:color w:val="000000"/>
          <w:lang w:val="es-MX"/>
        </w:rPr>
      </w:pPr>
    </w:p>
    <w:p w14:paraId="17ED2214" w14:textId="77777777" w:rsidR="00D014E5" w:rsidRDefault="00D014E5" w:rsidP="00AA3E73">
      <w:pPr>
        <w:spacing w:after="0" w:line="240" w:lineRule="auto"/>
        <w:rPr>
          <w:rFonts w:ascii="Verdana" w:eastAsia="Geomanist Light" w:hAnsi="Verdana" w:cs="Arial"/>
          <w:color w:val="000000"/>
          <w:lang w:val="es-MX"/>
        </w:rPr>
      </w:pPr>
    </w:p>
    <w:p w14:paraId="7CA6F14C" w14:textId="77777777" w:rsidR="00D014E5" w:rsidRDefault="00D014E5" w:rsidP="00AA3E73">
      <w:pPr>
        <w:spacing w:after="0" w:line="240" w:lineRule="auto"/>
        <w:rPr>
          <w:rFonts w:ascii="Verdana" w:eastAsia="Geomanist Light" w:hAnsi="Verdana" w:cs="Arial"/>
          <w:color w:val="000000"/>
          <w:lang w:val="es-MX"/>
        </w:rPr>
      </w:pPr>
    </w:p>
    <w:p w14:paraId="7E8F3AC1" w14:textId="77777777" w:rsidR="00D014E5" w:rsidRDefault="00D014E5" w:rsidP="00AA3E73">
      <w:pPr>
        <w:spacing w:after="0" w:line="240" w:lineRule="auto"/>
        <w:rPr>
          <w:rFonts w:ascii="Verdana" w:eastAsia="Geomanist Light" w:hAnsi="Verdana" w:cs="Arial"/>
          <w:color w:val="000000"/>
          <w:lang w:val="es-MX"/>
        </w:rPr>
      </w:pPr>
    </w:p>
    <w:p w14:paraId="1699449E" w14:textId="77777777" w:rsidR="00D014E5" w:rsidRDefault="00D014E5" w:rsidP="00AA3E73">
      <w:pPr>
        <w:spacing w:after="0" w:line="240" w:lineRule="auto"/>
        <w:rPr>
          <w:rFonts w:ascii="Verdana" w:eastAsia="Geomanist Light" w:hAnsi="Verdana" w:cs="Arial"/>
          <w:color w:val="000000"/>
          <w:lang w:val="es-MX"/>
        </w:rPr>
      </w:pPr>
    </w:p>
    <w:p w14:paraId="025D2274" w14:textId="77777777" w:rsidR="00D014E5" w:rsidRDefault="00D014E5" w:rsidP="00AA3E73">
      <w:pPr>
        <w:spacing w:after="0" w:line="240" w:lineRule="auto"/>
        <w:rPr>
          <w:rFonts w:ascii="Verdana" w:eastAsia="Geomanist Light" w:hAnsi="Verdana" w:cs="Arial"/>
          <w:color w:val="000000"/>
          <w:lang w:val="es-MX"/>
        </w:rPr>
      </w:pPr>
    </w:p>
    <w:p w14:paraId="650B4D5C" w14:textId="77777777" w:rsidR="00D014E5" w:rsidRDefault="00D014E5" w:rsidP="00AA3E73">
      <w:pPr>
        <w:spacing w:after="0" w:line="240" w:lineRule="auto"/>
        <w:rPr>
          <w:rFonts w:ascii="Verdana" w:eastAsia="Geomanist Light" w:hAnsi="Verdana" w:cs="Arial"/>
          <w:color w:val="000000"/>
          <w:lang w:val="es-MX"/>
        </w:rPr>
      </w:pPr>
    </w:p>
    <w:p w14:paraId="6D15C195" w14:textId="72859C43" w:rsidR="00AA3E73" w:rsidRPr="00042671" w:rsidRDefault="00846EBA" w:rsidP="00AA3E73">
      <w:pPr>
        <w:spacing w:after="0" w:line="240" w:lineRule="auto"/>
        <w:rPr>
          <w:rFonts w:ascii="Verdana" w:eastAsia="Geomanist Light" w:hAnsi="Verdana" w:cs="Arial"/>
          <w:color w:val="000000"/>
          <w:lang w:val="es-MX"/>
        </w:rPr>
      </w:pPr>
      <w:r w:rsidRPr="00846EBA">
        <w:rPr>
          <w:rFonts w:ascii="Verdana" w:eastAsia="Geomanist Light" w:hAnsi="Verdana" w:cs="Arial"/>
          <w:color w:val="000000"/>
        </w:rPr>
        <w:t>Bogotá D.C., 02 de septiembre de 2025</w:t>
      </w:r>
      <w:r>
        <w:rPr>
          <w:rFonts w:ascii="Verdana" w:eastAsia="Geomanist Light" w:hAnsi="Verdana" w:cs="Arial"/>
          <w:color w:val="000000"/>
        </w:rPr>
        <w:t xml:space="preserve"> </w:t>
      </w:r>
    </w:p>
    <w:p w14:paraId="661C0205" w14:textId="4AC19745" w:rsidR="00AA3E73" w:rsidRPr="00042671" w:rsidRDefault="005C4AF7" w:rsidP="00AA3E73">
      <w:pPr>
        <w:spacing w:after="0" w:line="240" w:lineRule="auto"/>
        <w:jc w:val="both"/>
        <w:rPr>
          <w:rFonts w:ascii="Verdana" w:eastAsia="Calibri" w:hAnsi="Verdana" w:cs="Arial"/>
          <w:color w:val="000000"/>
          <w:lang w:val="es-ES" w:eastAsia="es-ES"/>
        </w:rPr>
      </w:pPr>
      <w:r w:rsidRPr="005C4AF7">
        <w:rPr>
          <w:rFonts w:ascii="Verdana" w:eastAsia="Calibri" w:hAnsi="Verdana" w:cs="Arial"/>
          <w:noProof/>
          <w:color w:val="000000"/>
          <w:lang w:val="es-ES" w:eastAsia="es-ES"/>
        </w:rPr>
        <w:drawing>
          <wp:anchor distT="0" distB="0" distL="114300" distR="114300" simplePos="0" relativeHeight="251658240" behindDoc="1" locked="0" layoutInCell="1" allowOverlap="1" wp14:anchorId="61B65343" wp14:editId="538892C2">
            <wp:simplePos x="0" y="0"/>
            <wp:positionH relativeFrom="column">
              <wp:posOffset>2959100</wp:posOffset>
            </wp:positionH>
            <wp:positionV relativeFrom="paragraph">
              <wp:posOffset>97790</wp:posOffset>
            </wp:positionV>
            <wp:extent cx="2990850" cy="1025525"/>
            <wp:effectExtent l="0" t="0" r="0" b="3175"/>
            <wp:wrapSquare wrapText="bothSides"/>
            <wp:docPr id="107764135"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64135" name="Imagen 1" descr="Texto&#10;&#10;El contenido generado por IA puede ser incorrecto."/>
                    <pic:cNvPicPr/>
                  </pic:nvPicPr>
                  <pic:blipFill>
                    <a:blip r:embed="rId11">
                      <a:extLst>
                        <a:ext uri="{28A0092B-C50C-407E-A947-70E740481C1C}">
                          <a14:useLocalDpi xmlns:a14="http://schemas.microsoft.com/office/drawing/2010/main" val="0"/>
                        </a:ext>
                      </a:extLst>
                    </a:blip>
                    <a:stretch>
                      <a:fillRect/>
                    </a:stretch>
                  </pic:blipFill>
                  <pic:spPr>
                    <a:xfrm>
                      <a:off x="0" y="0"/>
                      <a:ext cx="2990850" cy="1025525"/>
                    </a:xfrm>
                    <a:prstGeom prst="rect">
                      <a:avLst/>
                    </a:prstGeom>
                  </pic:spPr>
                </pic:pic>
              </a:graphicData>
            </a:graphic>
            <wp14:sizeRelH relativeFrom="margin">
              <wp14:pctWidth>0</wp14:pctWidth>
            </wp14:sizeRelH>
            <wp14:sizeRelV relativeFrom="margin">
              <wp14:pctHeight>0</wp14:pctHeight>
            </wp14:sizeRelV>
          </wp:anchor>
        </w:drawing>
      </w:r>
    </w:p>
    <w:p w14:paraId="38D96E0A" w14:textId="4BB3C60C" w:rsidR="007D13BE" w:rsidRDefault="007D13BE" w:rsidP="00AA3E73">
      <w:pPr>
        <w:spacing w:after="0" w:line="240" w:lineRule="auto"/>
        <w:jc w:val="both"/>
        <w:rPr>
          <w:rFonts w:ascii="Verdana" w:eastAsia="Calibri" w:hAnsi="Verdana" w:cs="Arial"/>
          <w:color w:val="000000"/>
          <w:lang w:val="es-ES" w:eastAsia="es-ES"/>
        </w:rPr>
      </w:pPr>
    </w:p>
    <w:p w14:paraId="0515DC1D" w14:textId="77777777" w:rsidR="005C4AF7" w:rsidRDefault="005C4AF7" w:rsidP="00AA3E73">
      <w:pPr>
        <w:spacing w:after="0" w:line="240" w:lineRule="auto"/>
        <w:jc w:val="both"/>
        <w:rPr>
          <w:rFonts w:ascii="Verdana" w:eastAsia="Calibri" w:hAnsi="Verdana" w:cs="Arial"/>
          <w:color w:val="000000"/>
          <w:lang w:val="es-ES" w:eastAsia="es-ES"/>
        </w:rPr>
      </w:pPr>
    </w:p>
    <w:p w14:paraId="5B866CE8" w14:textId="03DC6348" w:rsidR="00AA3E73" w:rsidRPr="00042671" w:rsidRDefault="00AA3E73" w:rsidP="00AA3E73">
      <w:pPr>
        <w:spacing w:after="0" w:line="240" w:lineRule="auto"/>
        <w:jc w:val="both"/>
        <w:rPr>
          <w:rFonts w:ascii="Verdana" w:eastAsia="Calibri" w:hAnsi="Verdana" w:cs="Arial"/>
          <w:color w:val="000000"/>
          <w:lang w:val="es-ES" w:eastAsia="es-ES"/>
        </w:rPr>
      </w:pPr>
      <w:r w:rsidRPr="00042671">
        <w:rPr>
          <w:rFonts w:ascii="Verdana" w:eastAsia="Calibri" w:hAnsi="Verdana" w:cs="Arial"/>
          <w:color w:val="000000"/>
          <w:lang w:val="es-ES" w:eastAsia="es-ES"/>
        </w:rPr>
        <w:t>Señor</w:t>
      </w:r>
    </w:p>
    <w:p w14:paraId="4F0CDA1F" w14:textId="77777777" w:rsidR="00AA3E73" w:rsidRDefault="00AA3E73" w:rsidP="00AA3E73">
      <w:pPr>
        <w:spacing w:after="0" w:line="240" w:lineRule="auto"/>
        <w:rPr>
          <w:rFonts w:ascii="Verdana" w:eastAsia="Calibri" w:hAnsi="Verdana" w:cs="Arial"/>
          <w:b/>
          <w:color w:val="000000"/>
          <w:lang w:eastAsia="es-ES_tradnl"/>
        </w:rPr>
      </w:pPr>
      <w:r>
        <w:rPr>
          <w:rFonts w:ascii="Verdana" w:eastAsia="Calibri" w:hAnsi="Verdana" w:cs="Arial"/>
          <w:b/>
          <w:color w:val="000000"/>
          <w:lang w:eastAsia="es-ES_tradnl"/>
        </w:rPr>
        <w:t>Cesar Cruz</w:t>
      </w:r>
    </w:p>
    <w:p w14:paraId="3B18A8EF" w14:textId="77777777" w:rsidR="00AA3E73" w:rsidRPr="00042671" w:rsidRDefault="00AA3E73" w:rsidP="00AA3E73">
      <w:pPr>
        <w:spacing w:after="0" w:line="240" w:lineRule="auto"/>
        <w:rPr>
          <w:rFonts w:ascii="Verdana" w:eastAsia="Calibri" w:hAnsi="Verdana" w:cs="Arial"/>
          <w:b/>
          <w:color w:val="000000"/>
          <w:lang w:val="es-ES_tradnl" w:eastAsia="es-ES_tradnl"/>
        </w:rPr>
      </w:pPr>
      <w:hyperlink r:id="rId12" w:history="1">
        <w:r w:rsidRPr="0041327C">
          <w:rPr>
            <w:rStyle w:val="Hipervnculo"/>
            <w:rFonts w:ascii="Verdana" w:eastAsia="Calibri" w:hAnsi="Verdana" w:cs="Arial"/>
            <w:b/>
            <w:lang w:eastAsia="es-ES_tradnl"/>
          </w:rPr>
          <w:t>cesar196913@gmail.com</w:t>
        </w:r>
      </w:hyperlink>
      <w:r>
        <w:rPr>
          <w:rFonts w:ascii="Verdana" w:eastAsia="Calibri" w:hAnsi="Verdana" w:cs="Arial"/>
          <w:b/>
          <w:color w:val="000000"/>
          <w:lang w:eastAsia="es-ES_tradnl"/>
        </w:rPr>
        <w:t xml:space="preserve"> </w:t>
      </w:r>
      <w:r w:rsidRPr="00042671">
        <w:rPr>
          <w:rFonts w:ascii="Verdana" w:eastAsia="Calibri" w:hAnsi="Verdana" w:cs="Arial"/>
          <w:b/>
          <w:color w:val="000000"/>
          <w:lang w:eastAsia="es-ES_tradnl"/>
        </w:rPr>
        <w:t xml:space="preserve"> </w:t>
      </w:r>
    </w:p>
    <w:p w14:paraId="3C15B237" w14:textId="77777777" w:rsidR="00AA3E73" w:rsidRPr="00042671" w:rsidRDefault="00AA3E73" w:rsidP="00AA3E73">
      <w:pPr>
        <w:spacing w:after="0" w:line="240" w:lineRule="auto"/>
        <w:rPr>
          <w:rFonts w:ascii="Verdana" w:eastAsia="Calibri" w:hAnsi="Verdana" w:cs="Arial"/>
          <w:color w:val="000000"/>
          <w:lang w:val="es-ES_tradnl" w:eastAsia="es-ES_tradnl"/>
        </w:rPr>
      </w:pPr>
      <w:r w:rsidRPr="00042671">
        <w:rPr>
          <w:rFonts w:ascii="Verdana" w:eastAsia="Calibri" w:hAnsi="Verdana" w:cs="Arial"/>
          <w:color w:val="000000"/>
          <w:lang w:val="es-ES_tradnl" w:eastAsia="es-ES_tradnl"/>
        </w:rPr>
        <w:t xml:space="preserve">Tunja, Boyacá </w:t>
      </w:r>
    </w:p>
    <w:p w14:paraId="7C4BA7E9" w14:textId="77777777" w:rsidR="003564B7" w:rsidRPr="003564B7" w:rsidRDefault="003564B7" w:rsidP="00AA3E73">
      <w:pPr>
        <w:spacing w:after="0" w:line="240" w:lineRule="auto"/>
        <w:rPr>
          <w:rFonts w:ascii="Verdana" w:eastAsia="Calibri" w:hAnsi="Verdana" w:cs="Arial"/>
          <w:color w:val="000000"/>
          <w:lang w:val="es-ES_tradnl" w:eastAsia="es-ES_tradnl"/>
        </w:rPr>
      </w:pPr>
    </w:p>
    <w:tbl>
      <w:tblPr>
        <w:tblStyle w:val="Tablaconcuadrcula1"/>
        <w:tblW w:w="8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5958"/>
      </w:tblGrid>
      <w:tr w:rsidR="00AA3E73" w:rsidRPr="00042671" w14:paraId="5B688546" w14:textId="77777777" w:rsidTr="007D13BE">
        <w:trPr>
          <w:trHeight w:val="410"/>
        </w:trPr>
        <w:tc>
          <w:tcPr>
            <w:tcW w:w="2689" w:type="dxa"/>
          </w:tcPr>
          <w:p w14:paraId="01732826" w14:textId="77777777" w:rsidR="00AA3E73" w:rsidRDefault="00AA3E73" w:rsidP="005C1A1D">
            <w:pPr>
              <w:jc w:val="both"/>
              <w:rPr>
                <w:rFonts w:ascii="Verdana" w:eastAsia="Calibri" w:hAnsi="Verdana" w:cs="Arial"/>
                <w:b/>
                <w:bCs/>
                <w:color w:val="000000"/>
                <w:lang w:val="es-ES_tradnl" w:eastAsia="es-ES_tradnl"/>
              </w:rPr>
            </w:pPr>
          </w:p>
          <w:p w14:paraId="6036D980" w14:textId="77777777" w:rsidR="003564B7" w:rsidRDefault="003564B7" w:rsidP="005C1A1D">
            <w:pPr>
              <w:jc w:val="both"/>
              <w:rPr>
                <w:rFonts w:ascii="Verdana" w:eastAsia="Calibri" w:hAnsi="Verdana" w:cs="Arial"/>
                <w:b/>
                <w:bCs/>
                <w:color w:val="000000"/>
                <w:lang w:val="es-ES_tradnl" w:eastAsia="es-ES_tradnl"/>
              </w:rPr>
            </w:pPr>
          </w:p>
          <w:p w14:paraId="2762B635" w14:textId="77777777" w:rsidR="00AA3E73" w:rsidRPr="00042671" w:rsidRDefault="00AA3E73" w:rsidP="005C1A1D">
            <w:pPr>
              <w:jc w:val="both"/>
              <w:rPr>
                <w:rFonts w:ascii="Verdana" w:eastAsia="Calibri" w:hAnsi="Verdana" w:cs="Arial"/>
                <w:b/>
                <w:bCs/>
                <w:color w:val="000000"/>
                <w:lang w:val="es-ES_tradnl" w:eastAsia="es-ES_tradnl"/>
              </w:rPr>
            </w:pPr>
          </w:p>
        </w:tc>
        <w:tc>
          <w:tcPr>
            <w:tcW w:w="5958" w:type="dxa"/>
          </w:tcPr>
          <w:p w14:paraId="10F4DB02" w14:textId="77777777" w:rsidR="00AA3E73" w:rsidRDefault="00AA3E73" w:rsidP="005C1A1D">
            <w:pPr>
              <w:jc w:val="both"/>
              <w:rPr>
                <w:rFonts w:ascii="Verdana" w:eastAsia="Calibri" w:hAnsi="Verdana" w:cs="Arial"/>
                <w:b/>
                <w:bCs/>
                <w:color w:val="000000"/>
                <w:lang w:val="es-ES" w:eastAsia="es-ES"/>
              </w:rPr>
            </w:pPr>
          </w:p>
          <w:p w14:paraId="5278327E" w14:textId="77777777" w:rsidR="00AA3E73" w:rsidRDefault="00AA3E73" w:rsidP="005C1A1D">
            <w:pPr>
              <w:jc w:val="both"/>
              <w:rPr>
                <w:rFonts w:ascii="Verdana" w:eastAsia="Calibri" w:hAnsi="Verdana" w:cs="Arial"/>
                <w:b/>
                <w:bCs/>
                <w:color w:val="000000"/>
                <w:lang w:val="es-ES" w:eastAsia="es-ES"/>
              </w:rPr>
            </w:pPr>
            <w:r>
              <w:rPr>
                <w:rFonts w:ascii="Verdana" w:eastAsia="Calibri" w:hAnsi="Verdana" w:cs="Arial"/>
                <w:b/>
                <w:bCs/>
                <w:color w:val="000000"/>
                <w:lang w:val="es-ES" w:eastAsia="es-ES"/>
              </w:rPr>
              <w:t>Concepto C-1037 de 2025</w:t>
            </w:r>
          </w:p>
          <w:p w14:paraId="1C82A7B5" w14:textId="77777777" w:rsidR="00AA3E73" w:rsidRPr="00042671" w:rsidRDefault="00AA3E73" w:rsidP="005C1A1D">
            <w:pPr>
              <w:jc w:val="both"/>
              <w:rPr>
                <w:rFonts w:ascii="Verdana" w:eastAsia="Calibri" w:hAnsi="Verdana" w:cs="Arial"/>
                <w:b/>
                <w:bCs/>
                <w:color w:val="000000"/>
                <w:lang w:val="es-ES" w:eastAsia="es-ES"/>
              </w:rPr>
            </w:pPr>
          </w:p>
        </w:tc>
      </w:tr>
      <w:tr w:rsidR="00AA3E73" w:rsidRPr="00042671" w14:paraId="275C2E8E" w14:textId="77777777" w:rsidTr="005C1A1D">
        <w:trPr>
          <w:trHeight w:val="884"/>
        </w:trPr>
        <w:tc>
          <w:tcPr>
            <w:tcW w:w="2689" w:type="dxa"/>
          </w:tcPr>
          <w:p w14:paraId="53CDA2F3" w14:textId="77777777" w:rsidR="00AA3E73" w:rsidRPr="00042671" w:rsidRDefault="00AA3E73" w:rsidP="005C1A1D">
            <w:pPr>
              <w:jc w:val="both"/>
              <w:rPr>
                <w:rFonts w:ascii="Verdana" w:eastAsia="Calibri" w:hAnsi="Verdana" w:cs="Arial"/>
                <w:color w:val="000000"/>
                <w:lang w:val="es-ES_tradnl" w:eastAsia="es-ES_tradnl"/>
              </w:rPr>
            </w:pPr>
            <w:r w:rsidRPr="00042671">
              <w:rPr>
                <w:rFonts w:ascii="Verdana" w:eastAsia="Calibri" w:hAnsi="Verdana" w:cs="Arial"/>
                <w:b/>
                <w:color w:val="000000"/>
                <w:lang w:val="es-ES_tradnl" w:eastAsia="es-ES_tradnl"/>
              </w:rPr>
              <w:t>Temas:</w:t>
            </w:r>
            <w:r w:rsidRPr="00042671">
              <w:rPr>
                <w:rFonts w:ascii="Verdana" w:eastAsia="Calibri" w:hAnsi="Verdana" w:cs="Arial"/>
                <w:color w:val="000000"/>
                <w:lang w:val="es-ES_tradnl" w:eastAsia="es-ES_tradnl"/>
              </w:rPr>
              <w:t xml:space="preserve">                   </w:t>
            </w:r>
          </w:p>
        </w:tc>
        <w:tc>
          <w:tcPr>
            <w:tcW w:w="5958" w:type="dxa"/>
          </w:tcPr>
          <w:p w14:paraId="12F119EC" w14:textId="77777777" w:rsidR="00AA3E73" w:rsidRPr="006C7AF4" w:rsidRDefault="00AA3E73" w:rsidP="005C1A1D">
            <w:pPr>
              <w:spacing w:line="276" w:lineRule="auto"/>
              <w:jc w:val="both"/>
              <w:rPr>
                <w:rFonts w:ascii="Verdana" w:eastAsia="Calibri" w:hAnsi="Verdana" w:cs="Arial"/>
                <w:bCs/>
                <w:color w:val="000000"/>
              </w:rPr>
            </w:pPr>
            <w:r w:rsidRPr="006C7AF4">
              <w:rPr>
                <w:rFonts w:ascii="Verdana" w:eastAsia="Calibri" w:hAnsi="Verdana" w:cs="Arial"/>
                <w:lang w:val="es-ES" w:eastAsia="es-ES"/>
              </w:rPr>
              <w:t xml:space="preserve">SUBSANABILIDAD – Aplicación – Regla general – Excepciones / SUBSANABILIDAD – Ley 1882 de 2018 / CAUSALES DE RECHAZO DE LAS OFERTAS – Origen – Límites en su configuración / CAUSALES DE RECHAZO – Procedencia </w:t>
            </w:r>
            <w:r w:rsidRPr="006C7AF4">
              <w:rPr>
                <w:rFonts w:ascii="Verdana" w:eastAsia="Calibri" w:hAnsi="Verdana" w:cs="Arial"/>
                <w:bCs/>
                <w:lang w:val="es-ES_tradnl"/>
              </w:rPr>
              <w:t>/ SEGURIDAD SOCIAL INTEGRAL – Aportes parafiscales – Acreditación / Rechazo de oferta</w:t>
            </w:r>
          </w:p>
          <w:p w14:paraId="467C3DD0" w14:textId="77777777" w:rsidR="00AA3E73" w:rsidRPr="00042671" w:rsidRDefault="00AA3E73" w:rsidP="005C1A1D">
            <w:pPr>
              <w:spacing w:line="276" w:lineRule="auto"/>
              <w:jc w:val="both"/>
              <w:rPr>
                <w:rFonts w:ascii="Verdana" w:eastAsia="Calibri" w:hAnsi="Verdana" w:cs="Arial"/>
                <w:color w:val="000000"/>
                <w:lang w:val="es-ES" w:eastAsia="es-ES"/>
              </w:rPr>
            </w:pPr>
          </w:p>
        </w:tc>
      </w:tr>
      <w:tr w:rsidR="00AA3E73" w:rsidRPr="00042671" w14:paraId="38B83C05" w14:textId="77777777" w:rsidTr="005C1A1D">
        <w:tc>
          <w:tcPr>
            <w:tcW w:w="2689" w:type="dxa"/>
          </w:tcPr>
          <w:p w14:paraId="1672B6D6" w14:textId="77777777" w:rsidR="00AA3E73" w:rsidRPr="00042671" w:rsidRDefault="00AA3E73" w:rsidP="005C1A1D">
            <w:pPr>
              <w:jc w:val="both"/>
              <w:rPr>
                <w:rFonts w:ascii="Verdana" w:eastAsia="Calibri" w:hAnsi="Verdana" w:cs="Arial"/>
                <w:b/>
                <w:color w:val="000000"/>
                <w:lang w:val="es-ES_tradnl" w:eastAsia="es-ES_tradnl"/>
              </w:rPr>
            </w:pPr>
            <w:r w:rsidRPr="00042671">
              <w:rPr>
                <w:rFonts w:ascii="Verdana" w:eastAsia="Calibri" w:hAnsi="Verdana" w:cs="Arial"/>
                <w:b/>
                <w:color w:val="000000"/>
                <w:lang w:val="es-ES_tradnl" w:eastAsia="es-ES_tradnl"/>
              </w:rPr>
              <w:t>Radicación:</w:t>
            </w:r>
            <w:r w:rsidRPr="00042671">
              <w:rPr>
                <w:rFonts w:ascii="Verdana" w:eastAsia="Calibri" w:hAnsi="Verdana" w:cs="Arial"/>
                <w:color w:val="000000"/>
                <w:lang w:val="es-ES_tradnl" w:eastAsia="es-ES_tradnl"/>
              </w:rPr>
              <w:t xml:space="preserve">               </w:t>
            </w:r>
          </w:p>
        </w:tc>
        <w:tc>
          <w:tcPr>
            <w:tcW w:w="5958" w:type="dxa"/>
          </w:tcPr>
          <w:p w14:paraId="49DCDA87" w14:textId="77777777" w:rsidR="00AA3E73" w:rsidRPr="00042671" w:rsidRDefault="00AA3E73" w:rsidP="005C1A1D">
            <w:pPr>
              <w:jc w:val="both"/>
              <w:rPr>
                <w:rFonts w:ascii="Verdana" w:eastAsia="Calibri" w:hAnsi="Verdana" w:cs="Arial"/>
                <w:color w:val="000000"/>
                <w:lang w:val="es-ES_tradnl" w:eastAsia="es-ES_tradnl"/>
              </w:rPr>
            </w:pPr>
            <w:r w:rsidRPr="00042671">
              <w:rPr>
                <w:rFonts w:ascii="Verdana" w:eastAsia="Calibri" w:hAnsi="Verdana" w:cs="Arial"/>
                <w:color w:val="000000"/>
                <w:lang w:val="es-ES_tradnl" w:eastAsia="es-ES_tradnl"/>
              </w:rPr>
              <w:t xml:space="preserve">Respuesta al radicado No. </w:t>
            </w:r>
            <w:r w:rsidRPr="00042671">
              <w:rPr>
                <w:rFonts w:ascii="Verdana" w:eastAsia="Calibri" w:hAnsi="Verdana" w:cs="Arial"/>
                <w:color w:val="000000"/>
                <w:lang w:eastAsia="es-ES_tradnl"/>
              </w:rPr>
              <w:t>1_2025_07_28_007725</w:t>
            </w:r>
            <w:r>
              <w:rPr>
                <w:rFonts w:ascii="Verdana" w:eastAsia="Calibri" w:hAnsi="Verdana" w:cs="Arial"/>
                <w:color w:val="000000"/>
                <w:lang w:eastAsia="es-ES_tradnl"/>
              </w:rPr>
              <w:t xml:space="preserve"> </w:t>
            </w:r>
          </w:p>
        </w:tc>
      </w:tr>
    </w:tbl>
    <w:p w14:paraId="0EE35087" w14:textId="77777777" w:rsidR="00AA3E73" w:rsidRPr="00042671" w:rsidRDefault="00AA3E73" w:rsidP="00AA3E73">
      <w:pPr>
        <w:spacing w:after="0" w:line="240" w:lineRule="auto"/>
        <w:jc w:val="both"/>
        <w:rPr>
          <w:rFonts w:ascii="Verdana" w:eastAsia="Calibri" w:hAnsi="Verdana" w:cs="Arial"/>
          <w:color w:val="000000"/>
          <w:lang w:val="es-ES_tradnl" w:eastAsia="es-ES_tradnl"/>
        </w:rPr>
      </w:pPr>
    </w:p>
    <w:p w14:paraId="4195142C" w14:textId="77777777" w:rsidR="00AA3E73" w:rsidRPr="00042671" w:rsidRDefault="00AA3E73" w:rsidP="00AA3E73">
      <w:pPr>
        <w:spacing w:after="0" w:line="240" w:lineRule="auto"/>
        <w:jc w:val="both"/>
        <w:rPr>
          <w:rFonts w:ascii="Verdana" w:eastAsia="Calibri" w:hAnsi="Verdana" w:cs="Arial"/>
          <w:color w:val="000000"/>
          <w:lang w:val="es-ES_tradnl" w:eastAsia="es-ES_tradnl"/>
        </w:rPr>
      </w:pPr>
    </w:p>
    <w:p w14:paraId="0F33C09E" w14:textId="77777777" w:rsidR="00AA3E73" w:rsidRPr="00042671" w:rsidRDefault="00AA3E73" w:rsidP="00AA3E73">
      <w:pPr>
        <w:spacing w:after="0" w:line="276" w:lineRule="auto"/>
        <w:jc w:val="both"/>
        <w:rPr>
          <w:rFonts w:ascii="Verdana" w:eastAsia="Calibri" w:hAnsi="Verdana" w:cs="Arial"/>
          <w:color w:val="000000"/>
          <w:lang w:val="es-ES" w:eastAsia="es-ES"/>
        </w:rPr>
      </w:pPr>
      <w:r w:rsidRPr="00042671">
        <w:rPr>
          <w:rFonts w:ascii="Verdana" w:eastAsia="Calibri" w:hAnsi="Verdana" w:cs="Arial"/>
          <w:color w:val="000000"/>
          <w:lang w:val="es-ES" w:eastAsia="es-ES"/>
        </w:rPr>
        <w:t xml:space="preserve">Estimado señor </w:t>
      </w:r>
      <w:r>
        <w:rPr>
          <w:rFonts w:ascii="Verdana" w:eastAsia="Calibri" w:hAnsi="Verdana" w:cs="Arial"/>
          <w:color w:val="000000"/>
          <w:lang w:val="es-ES" w:eastAsia="es-ES"/>
        </w:rPr>
        <w:t>Cruz</w:t>
      </w:r>
      <w:r w:rsidRPr="00042671">
        <w:rPr>
          <w:rFonts w:ascii="Verdana" w:eastAsia="Calibri" w:hAnsi="Verdana" w:cs="Arial"/>
          <w:color w:val="000000"/>
          <w:lang w:val="es-ES" w:eastAsia="es-ES"/>
        </w:rPr>
        <w:t xml:space="preserve">: </w:t>
      </w:r>
    </w:p>
    <w:p w14:paraId="4F711EB3" w14:textId="77777777" w:rsidR="00AA3E73" w:rsidRPr="00042671" w:rsidRDefault="00AA3E73" w:rsidP="00AA3E73">
      <w:pPr>
        <w:tabs>
          <w:tab w:val="left" w:pos="3768"/>
        </w:tabs>
        <w:spacing w:after="0" w:line="276" w:lineRule="auto"/>
        <w:jc w:val="both"/>
        <w:rPr>
          <w:rFonts w:ascii="Verdana" w:eastAsia="Calibri" w:hAnsi="Verdana" w:cs="Arial"/>
          <w:color w:val="000000"/>
          <w:lang w:val="es-ES" w:eastAsia="es-ES"/>
        </w:rPr>
      </w:pPr>
      <w:r w:rsidRPr="00042671">
        <w:rPr>
          <w:rFonts w:ascii="Verdana" w:eastAsia="Calibri" w:hAnsi="Verdana" w:cs="Arial"/>
          <w:color w:val="000000"/>
          <w:lang w:val="es-ES" w:eastAsia="es-ES"/>
        </w:rPr>
        <w:tab/>
      </w:r>
    </w:p>
    <w:p w14:paraId="41B3A6CC" w14:textId="77777777" w:rsidR="00AA3E73" w:rsidRPr="00042671" w:rsidRDefault="00AA3E73" w:rsidP="00AA3E73">
      <w:pPr>
        <w:spacing w:after="0" w:line="276" w:lineRule="auto"/>
        <w:jc w:val="both"/>
        <w:rPr>
          <w:rFonts w:ascii="Verdana" w:eastAsia="Calibri" w:hAnsi="Verdana" w:cs="Arial"/>
          <w:color w:val="000000"/>
          <w:lang w:val="es-ES" w:eastAsia="es-ES"/>
        </w:rPr>
      </w:pPr>
      <w:r w:rsidRPr="00042671">
        <w:rPr>
          <w:rFonts w:ascii="Verdana" w:eastAsia="Calibri" w:hAnsi="Verdana" w:cs="Arial"/>
          <w:color w:val="000000"/>
          <w:lang w:val="es-ES" w:eastAsia="es-ES"/>
        </w:rPr>
        <w:t>En ejercicio de la competencia otorgada por los artículos 3, numeral 5º, y 11, numeral 8º, del Decreto Ley 4170 de 2011,</w:t>
      </w:r>
      <w:r w:rsidRPr="00042671">
        <w:rPr>
          <w:rFonts w:ascii="Verdana" w:eastAsia="Arial MT" w:hAnsi="Verdana" w:cs="Arial MT"/>
          <w:color w:val="000000"/>
          <w:lang w:val="es-ES" w:eastAsia="es-ES"/>
        </w:rPr>
        <w:t xml:space="preserve"> </w:t>
      </w:r>
      <w:r w:rsidRPr="00042671">
        <w:rPr>
          <w:rFonts w:ascii="Verdana" w:eastAsia="Calibri" w:hAnsi="Verdana" w:cs="Arial"/>
          <w:color w:val="000000"/>
        </w:rPr>
        <w:t xml:space="preserve">así como lo establecido en el artículo 4 de la Resolución 1707 de 2018 expedida por esta Entidad, </w:t>
      </w:r>
      <w:r w:rsidRPr="00042671">
        <w:rPr>
          <w:rFonts w:ascii="Verdana" w:eastAsia="Calibri" w:hAnsi="Verdana" w:cs="Arial"/>
          <w:color w:val="000000"/>
          <w:lang w:val="es-ES" w:eastAsia="es-ES"/>
        </w:rPr>
        <w:t>la Agencia Nacional de Contratación Pública – Colombia Compra Eficiente– responde su solicitud de consulta de fecha 2</w:t>
      </w:r>
      <w:r>
        <w:rPr>
          <w:rFonts w:ascii="Verdana" w:eastAsia="Calibri" w:hAnsi="Verdana" w:cs="Arial"/>
          <w:color w:val="000000"/>
          <w:lang w:val="es-ES" w:eastAsia="es-ES"/>
        </w:rPr>
        <w:t>8</w:t>
      </w:r>
      <w:r w:rsidRPr="00042671">
        <w:rPr>
          <w:rFonts w:ascii="Verdana" w:eastAsia="Calibri" w:hAnsi="Verdana" w:cs="Arial"/>
          <w:color w:val="000000"/>
          <w:lang w:val="es-ES" w:eastAsia="es-ES"/>
        </w:rPr>
        <w:t xml:space="preserve"> de </w:t>
      </w:r>
      <w:r>
        <w:rPr>
          <w:rFonts w:ascii="Verdana" w:eastAsia="Calibri" w:hAnsi="Verdana" w:cs="Arial"/>
          <w:color w:val="000000"/>
          <w:lang w:val="es-ES" w:eastAsia="es-ES"/>
        </w:rPr>
        <w:t>julio</w:t>
      </w:r>
      <w:r w:rsidRPr="00042671">
        <w:rPr>
          <w:rFonts w:ascii="Verdana" w:eastAsia="Calibri" w:hAnsi="Verdana" w:cs="Arial"/>
          <w:color w:val="000000"/>
          <w:lang w:val="es-ES" w:eastAsia="es-ES"/>
        </w:rPr>
        <w:t xml:space="preserve"> de 202</w:t>
      </w:r>
      <w:r>
        <w:rPr>
          <w:rFonts w:ascii="Verdana" w:eastAsia="Calibri" w:hAnsi="Verdana" w:cs="Arial"/>
          <w:color w:val="000000"/>
          <w:lang w:val="es-ES" w:eastAsia="es-ES"/>
        </w:rPr>
        <w:t>5</w:t>
      </w:r>
      <w:r w:rsidRPr="00042671">
        <w:rPr>
          <w:rFonts w:ascii="Verdana" w:eastAsia="Calibri" w:hAnsi="Verdana" w:cs="Arial"/>
          <w:color w:val="000000"/>
          <w:lang w:val="es-ES" w:eastAsia="es-ES"/>
        </w:rPr>
        <w:t xml:space="preserve">, en la cual manifiesta lo siguiente: </w:t>
      </w:r>
    </w:p>
    <w:p w14:paraId="2412BDEC" w14:textId="77777777" w:rsidR="00AA3E73" w:rsidRPr="00042671" w:rsidRDefault="00AA3E73" w:rsidP="007D13BE">
      <w:pPr>
        <w:tabs>
          <w:tab w:val="left" w:pos="142"/>
          <w:tab w:val="left" w:pos="284"/>
        </w:tabs>
        <w:spacing w:after="0" w:line="276" w:lineRule="auto"/>
        <w:jc w:val="both"/>
        <w:rPr>
          <w:rFonts w:ascii="Verdana" w:eastAsia="Century Gothic" w:hAnsi="Verdana" w:cs="Century Gothic"/>
          <w:b/>
          <w:bCs/>
          <w:color w:val="000000"/>
          <w:lang w:val="es-ES"/>
        </w:rPr>
      </w:pPr>
    </w:p>
    <w:p w14:paraId="7E0CCA17" w14:textId="77777777" w:rsidR="00AA3E73" w:rsidRPr="00FB7A78" w:rsidRDefault="00AA3E73" w:rsidP="00AA3E73">
      <w:pPr>
        <w:spacing w:after="0" w:line="240" w:lineRule="auto"/>
        <w:ind w:left="709" w:right="709"/>
        <w:jc w:val="both"/>
        <w:rPr>
          <w:rFonts w:ascii="Verdana" w:eastAsia="Century Gothic" w:hAnsi="Verdana" w:cs="Century Gothic"/>
          <w:color w:val="000000"/>
          <w:sz w:val="20"/>
          <w:szCs w:val="20"/>
          <w:lang w:val="es-ES"/>
        </w:rPr>
      </w:pPr>
      <w:bookmarkStart w:id="0" w:name="_Hlk95313578"/>
      <w:r w:rsidRPr="00042671">
        <w:rPr>
          <w:rFonts w:ascii="Verdana" w:eastAsia="Century Gothic" w:hAnsi="Verdana" w:cs="Century Gothic"/>
          <w:color w:val="000000"/>
          <w:sz w:val="20"/>
          <w:szCs w:val="20"/>
          <w:lang w:val="es-ES"/>
        </w:rPr>
        <w:t>“</w:t>
      </w:r>
      <w:bookmarkEnd w:id="0"/>
      <w:r w:rsidRPr="00FB7A78">
        <w:rPr>
          <w:rFonts w:ascii="Verdana" w:eastAsia="Century Gothic" w:hAnsi="Verdana" w:cs="Century Gothic"/>
          <w:color w:val="000000"/>
          <w:sz w:val="20"/>
          <w:szCs w:val="20"/>
          <w:lang w:val="es-ES"/>
        </w:rPr>
        <w:t xml:space="preserve">Solicito concepto sobre </w:t>
      </w:r>
      <w:proofErr w:type="spellStart"/>
      <w:r w:rsidRPr="00FB7A78">
        <w:rPr>
          <w:rFonts w:ascii="Verdana" w:eastAsia="Century Gothic" w:hAnsi="Verdana" w:cs="Century Gothic"/>
          <w:color w:val="000000"/>
          <w:sz w:val="20"/>
          <w:szCs w:val="20"/>
          <w:lang w:val="es-ES"/>
        </w:rPr>
        <w:t>cuales</w:t>
      </w:r>
      <w:proofErr w:type="spellEnd"/>
      <w:r w:rsidRPr="00FB7A78">
        <w:rPr>
          <w:rFonts w:ascii="Verdana" w:eastAsia="Century Gothic" w:hAnsi="Verdana" w:cs="Century Gothic"/>
          <w:color w:val="000000"/>
          <w:sz w:val="20"/>
          <w:szCs w:val="20"/>
          <w:lang w:val="es-ES"/>
        </w:rPr>
        <w:t xml:space="preserve"> son las </w:t>
      </w:r>
      <w:proofErr w:type="spellStart"/>
      <w:r w:rsidRPr="00FB7A78">
        <w:rPr>
          <w:rFonts w:ascii="Verdana" w:eastAsia="Century Gothic" w:hAnsi="Verdana" w:cs="Century Gothic"/>
          <w:color w:val="000000"/>
          <w:sz w:val="20"/>
          <w:szCs w:val="20"/>
          <w:lang w:val="es-ES"/>
        </w:rPr>
        <w:t>implicacion</w:t>
      </w:r>
      <w:proofErr w:type="spellEnd"/>
      <w:r w:rsidRPr="00FB7A78">
        <w:rPr>
          <w:rFonts w:ascii="Verdana" w:eastAsia="Century Gothic" w:hAnsi="Verdana" w:cs="Century Gothic"/>
          <w:color w:val="000000"/>
          <w:sz w:val="20"/>
          <w:szCs w:val="20"/>
          <w:lang w:val="es-ES"/>
        </w:rPr>
        <w:t xml:space="preserve"> legales y contractuales del TRASALADO DE OBSERVACIONES DE OFERENTES, </w:t>
      </w:r>
      <w:proofErr w:type="spellStart"/>
      <w:r w:rsidRPr="00FB7A78">
        <w:rPr>
          <w:rFonts w:ascii="Verdana" w:eastAsia="Century Gothic" w:hAnsi="Verdana" w:cs="Century Gothic"/>
          <w:color w:val="000000"/>
          <w:sz w:val="20"/>
          <w:szCs w:val="20"/>
          <w:lang w:val="es-ES"/>
        </w:rPr>
        <w:t>explicitamente</w:t>
      </w:r>
      <w:proofErr w:type="spellEnd"/>
      <w:r w:rsidRPr="00FB7A78">
        <w:rPr>
          <w:rFonts w:ascii="Verdana" w:eastAsia="Century Gothic" w:hAnsi="Verdana" w:cs="Century Gothic"/>
          <w:color w:val="000000"/>
          <w:sz w:val="20"/>
          <w:szCs w:val="20"/>
          <w:lang w:val="es-ES"/>
        </w:rPr>
        <w:t xml:space="preserve"> si estas al ser trasladadas por la Entidad a los oferentes, estos </w:t>
      </w:r>
      <w:proofErr w:type="spellStart"/>
      <w:r w:rsidRPr="00FB7A78">
        <w:rPr>
          <w:rFonts w:ascii="Verdana" w:eastAsia="Century Gothic" w:hAnsi="Verdana" w:cs="Century Gothic"/>
          <w:color w:val="000000"/>
          <w:sz w:val="20"/>
          <w:szCs w:val="20"/>
          <w:lang w:val="es-ES"/>
        </w:rPr>
        <w:t>estan</w:t>
      </w:r>
      <w:proofErr w:type="spellEnd"/>
      <w:r w:rsidRPr="00FB7A78">
        <w:rPr>
          <w:rFonts w:ascii="Verdana" w:eastAsia="Century Gothic" w:hAnsi="Verdana" w:cs="Century Gothic"/>
          <w:color w:val="000000"/>
          <w:sz w:val="20"/>
          <w:szCs w:val="20"/>
          <w:lang w:val="es-ES"/>
        </w:rPr>
        <w:t xml:space="preserve"> la obligación de responderlas y subsanar y si no se subsana o no se subsana en debida forma aplica la ley 1882 de 2018 en cuanto al rechazo y que no se pueda volver a solicitar completar la </w:t>
      </w:r>
      <w:proofErr w:type="spellStart"/>
      <w:r w:rsidRPr="00FB7A78">
        <w:rPr>
          <w:rFonts w:ascii="Verdana" w:eastAsia="Century Gothic" w:hAnsi="Verdana" w:cs="Century Gothic"/>
          <w:color w:val="000000"/>
          <w:sz w:val="20"/>
          <w:szCs w:val="20"/>
          <w:lang w:val="es-ES"/>
        </w:rPr>
        <w:t>informacion</w:t>
      </w:r>
      <w:proofErr w:type="spellEnd"/>
      <w:r w:rsidRPr="00FB7A78">
        <w:rPr>
          <w:rFonts w:ascii="Verdana" w:eastAsia="Century Gothic" w:hAnsi="Verdana" w:cs="Century Gothic"/>
          <w:color w:val="000000"/>
          <w:sz w:val="20"/>
          <w:szCs w:val="20"/>
          <w:lang w:val="es-ES"/>
        </w:rPr>
        <w:t xml:space="preserve"> o aportar nuevos </w:t>
      </w:r>
      <w:proofErr w:type="spellStart"/>
      <w:r w:rsidRPr="00FB7A78">
        <w:rPr>
          <w:rFonts w:ascii="Verdana" w:eastAsia="Century Gothic" w:hAnsi="Verdana" w:cs="Century Gothic"/>
          <w:color w:val="000000"/>
          <w:sz w:val="20"/>
          <w:szCs w:val="20"/>
          <w:lang w:val="es-ES"/>
        </w:rPr>
        <w:t>docuementos</w:t>
      </w:r>
      <w:proofErr w:type="spellEnd"/>
      <w:r w:rsidRPr="00FB7A78">
        <w:rPr>
          <w:rFonts w:ascii="Verdana" w:eastAsia="Century Gothic" w:hAnsi="Verdana" w:cs="Century Gothic"/>
          <w:color w:val="000000"/>
          <w:sz w:val="20"/>
          <w:szCs w:val="20"/>
          <w:lang w:val="es-ES"/>
        </w:rPr>
        <w:t xml:space="preserve"> para ello. </w:t>
      </w:r>
    </w:p>
    <w:p w14:paraId="4BB1DFDF" w14:textId="77777777" w:rsidR="00AA3E73" w:rsidRPr="00042671" w:rsidRDefault="00AA3E73" w:rsidP="00AA3E73">
      <w:pPr>
        <w:spacing w:after="0" w:line="240" w:lineRule="auto"/>
        <w:ind w:left="709" w:right="709"/>
        <w:jc w:val="both"/>
        <w:rPr>
          <w:rFonts w:ascii="Verdana" w:eastAsia="Century Gothic" w:hAnsi="Verdana" w:cs="Century Gothic"/>
          <w:color w:val="000000"/>
          <w:sz w:val="20"/>
          <w:szCs w:val="20"/>
          <w:lang w:val="es-ES"/>
        </w:rPr>
      </w:pPr>
      <w:r w:rsidRPr="00FB7A78">
        <w:rPr>
          <w:rFonts w:ascii="Verdana" w:eastAsia="Century Gothic" w:hAnsi="Verdana" w:cs="Century Gothic"/>
          <w:color w:val="000000"/>
          <w:sz w:val="20"/>
          <w:szCs w:val="20"/>
          <w:lang w:val="es-ES"/>
        </w:rPr>
        <w:t xml:space="preserve">en segundo lugar aclarar y emitir concepto sobre si las entidades pueden rechazar una oferta cuando se presente una </w:t>
      </w:r>
      <w:proofErr w:type="spellStart"/>
      <w:r w:rsidRPr="00FB7A78">
        <w:rPr>
          <w:rFonts w:ascii="Verdana" w:eastAsia="Century Gothic" w:hAnsi="Verdana" w:cs="Century Gothic"/>
          <w:color w:val="000000"/>
          <w:sz w:val="20"/>
          <w:szCs w:val="20"/>
          <w:lang w:val="es-ES"/>
        </w:rPr>
        <w:t>observacion</w:t>
      </w:r>
      <w:proofErr w:type="spellEnd"/>
      <w:r w:rsidRPr="00FB7A78">
        <w:rPr>
          <w:rFonts w:ascii="Verdana" w:eastAsia="Century Gothic" w:hAnsi="Verdana" w:cs="Century Gothic"/>
          <w:color w:val="000000"/>
          <w:sz w:val="20"/>
          <w:szCs w:val="20"/>
          <w:lang w:val="es-ES"/>
        </w:rPr>
        <w:t xml:space="preserve"> sobre </w:t>
      </w:r>
      <w:r w:rsidRPr="00FB7A78">
        <w:rPr>
          <w:rFonts w:ascii="Verdana" w:eastAsia="Century Gothic" w:hAnsi="Verdana" w:cs="Century Gothic"/>
          <w:color w:val="000000"/>
          <w:sz w:val="20"/>
          <w:szCs w:val="20"/>
          <w:lang w:val="es-ES"/>
        </w:rPr>
        <w:lastRenderedPageBreak/>
        <w:t xml:space="preserve">PRESUNTAS DEUDAS en el </w:t>
      </w:r>
      <w:proofErr w:type="spellStart"/>
      <w:r w:rsidRPr="00FB7A78">
        <w:rPr>
          <w:rFonts w:ascii="Verdana" w:eastAsia="Century Gothic" w:hAnsi="Verdana" w:cs="Century Gothic"/>
          <w:color w:val="000000"/>
          <w:sz w:val="20"/>
          <w:szCs w:val="20"/>
          <w:lang w:val="es-ES"/>
        </w:rPr>
        <w:t>sitema</w:t>
      </w:r>
      <w:proofErr w:type="spellEnd"/>
      <w:r w:rsidRPr="00FB7A78">
        <w:rPr>
          <w:rFonts w:ascii="Verdana" w:eastAsia="Century Gothic" w:hAnsi="Verdana" w:cs="Century Gothic"/>
          <w:color w:val="000000"/>
          <w:sz w:val="20"/>
          <w:szCs w:val="20"/>
          <w:lang w:val="es-ES"/>
        </w:rPr>
        <w:t xml:space="preserve"> de seguridad social de los </w:t>
      </w:r>
      <w:proofErr w:type="spellStart"/>
      <w:r w:rsidRPr="00FB7A78">
        <w:rPr>
          <w:rFonts w:ascii="Verdana" w:eastAsia="Century Gothic" w:hAnsi="Verdana" w:cs="Century Gothic"/>
          <w:color w:val="000000"/>
          <w:sz w:val="20"/>
          <w:szCs w:val="20"/>
          <w:lang w:val="es-ES"/>
        </w:rPr>
        <w:t>oferntes</w:t>
      </w:r>
      <w:proofErr w:type="spellEnd"/>
      <w:r w:rsidRPr="00FB7A78">
        <w:rPr>
          <w:rFonts w:ascii="Verdana" w:eastAsia="Century Gothic" w:hAnsi="Verdana" w:cs="Century Gothic"/>
          <w:color w:val="000000"/>
          <w:sz w:val="20"/>
          <w:szCs w:val="20"/>
          <w:lang w:val="es-ES"/>
        </w:rPr>
        <w:t xml:space="preserve"> de </w:t>
      </w:r>
      <w:proofErr w:type="spellStart"/>
      <w:r w:rsidRPr="00FB7A78">
        <w:rPr>
          <w:rFonts w:ascii="Verdana" w:eastAsia="Century Gothic" w:hAnsi="Verdana" w:cs="Century Gothic"/>
          <w:color w:val="000000"/>
          <w:sz w:val="20"/>
          <w:szCs w:val="20"/>
          <w:lang w:val="es-ES"/>
        </w:rPr>
        <w:t>mas</w:t>
      </w:r>
      <w:proofErr w:type="spellEnd"/>
      <w:r w:rsidRPr="00FB7A78">
        <w:rPr>
          <w:rFonts w:ascii="Verdana" w:eastAsia="Century Gothic" w:hAnsi="Verdana" w:cs="Century Gothic"/>
          <w:color w:val="000000"/>
          <w:sz w:val="20"/>
          <w:szCs w:val="20"/>
          <w:lang w:val="es-ES"/>
        </w:rPr>
        <w:t xml:space="preserve"> de 6 meses </w:t>
      </w:r>
      <w:proofErr w:type="spellStart"/>
      <w:r w:rsidRPr="00FB7A78">
        <w:rPr>
          <w:rFonts w:ascii="Verdana" w:eastAsia="Century Gothic" w:hAnsi="Verdana" w:cs="Century Gothic"/>
          <w:color w:val="000000"/>
          <w:sz w:val="20"/>
          <w:szCs w:val="20"/>
          <w:lang w:val="es-ES"/>
        </w:rPr>
        <w:t>atras</w:t>
      </w:r>
      <w:proofErr w:type="spellEnd"/>
      <w:r w:rsidRPr="00FB7A78">
        <w:rPr>
          <w:rFonts w:ascii="Verdana" w:eastAsia="Century Gothic" w:hAnsi="Verdana" w:cs="Century Gothic"/>
          <w:color w:val="000000"/>
          <w:sz w:val="20"/>
          <w:szCs w:val="20"/>
          <w:lang w:val="es-ES"/>
        </w:rPr>
        <w:t xml:space="preserve"> del cierre del proceso (como lo exigen en los </w:t>
      </w:r>
      <w:proofErr w:type="spellStart"/>
      <w:r w:rsidRPr="00FB7A78">
        <w:rPr>
          <w:rFonts w:ascii="Verdana" w:eastAsia="Century Gothic" w:hAnsi="Verdana" w:cs="Century Gothic"/>
          <w:color w:val="000000"/>
          <w:sz w:val="20"/>
          <w:szCs w:val="20"/>
          <w:lang w:val="es-ES"/>
        </w:rPr>
        <w:t>plIegos</w:t>
      </w:r>
      <w:proofErr w:type="spellEnd"/>
      <w:r w:rsidRPr="00FB7A78">
        <w:rPr>
          <w:rFonts w:ascii="Verdana" w:eastAsia="Century Gothic" w:hAnsi="Verdana" w:cs="Century Gothic"/>
          <w:color w:val="000000"/>
          <w:sz w:val="20"/>
          <w:szCs w:val="20"/>
          <w:lang w:val="es-ES"/>
        </w:rPr>
        <w:t xml:space="preserve">) esto porque el oferente aporta la </w:t>
      </w:r>
      <w:proofErr w:type="spellStart"/>
      <w:r w:rsidRPr="00FB7A78">
        <w:rPr>
          <w:rFonts w:ascii="Verdana" w:eastAsia="Century Gothic" w:hAnsi="Verdana" w:cs="Century Gothic"/>
          <w:color w:val="000000"/>
          <w:sz w:val="20"/>
          <w:szCs w:val="20"/>
          <w:lang w:val="es-ES"/>
        </w:rPr>
        <w:t>certifación</w:t>
      </w:r>
      <w:proofErr w:type="spellEnd"/>
      <w:r w:rsidRPr="00FB7A78">
        <w:rPr>
          <w:rFonts w:ascii="Verdana" w:eastAsia="Century Gothic" w:hAnsi="Verdana" w:cs="Century Gothic"/>
          <w:color w:val="000000"/>
          <w:sz w:val="20"/>
          <w:szCs w:val="20"/>
          <w:lang w:val="es-ES"/>
        </w:rPr>
        <w:t xml:space="preserve"> de estar a paz y salvo en los </w:t>
      </w:r>
      <w:proofErr w:type="spellStart"/>
      <w:r w:rsidRPr="00FB7A78">
        <w:rPr>
          <w:rFonts w:ascii="Verdana" w:eastAsia="Century Gothic" w:hAnsi="Verdana" w:cs="Century Gothic"/>
          <w:color w:val="000000"/>
          <w:sz w:val="20"/>
          <w:szCs w:val="20"/>
          <w:lang w:val="es-ES"/>
        </w:rPr>
        <w:t>ultimos</w:t>
      </w:r>
      <w:proofErr w:type="spellEnd"/>
      <w:r w:rsidRPr="00FB7A78">
        <w:rPr>
          <w:rFonts w:ascii="Verdana" w:eastAsia="Century Gothic" w:hAnsi="Verdana" w:cs="Century Gothic"/>
          <w:color w:val="000000"/>
          <w:sz w:val="20"/>
          <w:szCs w:val="20"/>
          <w:lang w:val="es-ES"/>
        </w:rPr>
        <w:t xml:space="preserve"> seis meses y efectivamente se comprueba en el reporte de las EPS que </w:t>
      </w:r>
      <w:proofErr w:type="spellStart"/>
      <w:r w:rsidRPr="00FB7A78">
        <w:rPr>
          <w:rFonts w:ascii="Verdana" w:eastAsia="Century Gothic" w:hAnsi="Verdana" w:cs="Century Gothic"/>
          <w:color w:val="000000"/>
          <w:sz w:val="20"/>
          <w:szCs w:val="20"/>
          <w:lang w:val="es-ES"/>
        </w:rPr>
        <w:t>esta</w:t>
      </w:r>
      <w:proofErr w:type="spellEnd"/>
      <w:r w:rsidRPr="00FB7A78">
        <w:rPr>
          <w:rFonts w:ascii="Verdana" w:eastAsia="Century Gothic" w:hAnsi="Verdana" w:cs="Century Gothic"/>
          <w:color w:val="000000"/>
          <w:sz w:val="20"/>
          <w:szCs w:val="20"/>
          <w:lang w:val="es-ES"/>
        </w:rPr>
        <w:t xml:space="preserve"> a paz y </w:t>
      </w:r>
      <w:proofErr w:type="spellStart"/>
      <w:r w:rsidRPr="00FB7A78">
        <w:rPr>
          <w:rFonts w:ascii="Verdana" w:eastAsia="Century Gothic" w:hAnsi="Verdana" w:cs="Century Gothic"/>
          <w:color w:val="000000"/>
          <w:sz w:val="20"/>
          <w:szCs w:val="20"/>
          <w:lang w:val="es-ES"/>
        </w:rPr>
        <w:t>salavo</w:t>
      </w:r>
      <w:proofErr w:type="spellEnd"/>
      <w:r w:rsidRPr="00FB7A78">
        <w:rPr>
          <w:rFonts w:ascii="Verdana" w:eastAsia="Century Gothic" w:hAnsi="Verdana" w:cs="Century Gothic"/>
          <w:color w:val="000000"/>
          <w:sz w:val="20"/>
          <w:szCs w:val="20"/>
          <w:lang w:val="es-ES"/>
        </w:rPr>
        <w:t xml:space="preserve"> pero figuran presuntas moras de años anteriores en bases de datos de EPS que no son verificables</w:t>
      </w:r>
      <w:r>
        <w:rPr>
          <w:rFonts w:ascii="Verdana" w:eastAsia="Century Gothic" w:hAnsi="Verdana" w:cs="Century Gothic"/>
          <w:color w:val="000000"/>
          <w:sz w:val="20"/>
          <w:szCs w:val="20"/>
          <w:lang w:val="es-ES"/>
        </w:rPr>
        <w:t>.(SIC)”</w:t>
      </w:r>
    </w:p>
    <w:p w14:paraId="01E6503F" w14:textId="77777777" w:rsidR="00AA3E73" w:rsidRPr="00042671" w:rsidRDefault="00AA3E73" w:rsidP="007D13BE">
      <w:pPr>
        <w:tabs>
          <w:tab w:val="left" w:pos="142"/>
          <w:tab w:val="left" w:pos="284"/>
        </w:tabs>
        <w:spacing w:after="0" w:line="276" w:lineRule="auto"/>
        <w:jc w:val="both"/>
        <w:rPr>
          <w:rFonts w:ascii="Verdana" w:eastAsia="Century Gothic" w:hAnsi="Verdana" w:cs="Century Gothic"/>
          <w:b/>
          <w:bCs/>
          <w:color w:val="000000"/>
          <w:lang w:val="es-ES"/>
        </w:rPr>
      </w:pPr>
    </w:p>
    <w:p w14:paraId="7BA13961" w14:textId="534DA74F" w:rsidR="00AA3E73" w:rsidRPr="00042671" w:rsidRDefault="00AA3E73" w:rsidP="00AA3E73">
      <w:pPr>
        <w:spacing w:after="120" w:line="276" w:lineRule="auto"/>
        <w:ind w:firstLine="709"/>
        <w:jc w:val="both"/>
        <w:rPr>
          <w:rFonts w:ascii="Verdana" w:eastAsia="Calibri" w:hAnsi="Verdana" w:cs="Arial"/>
          <w:color w:val="000000"/>
          <w:szCs w:val="24"/>
          <w:lang w:val="es-ES_tradnl" w:eastAsia="es-ES_tradnl"/>
        </w:rPr>
      </w:pPr>
      <w:r w:rsidRPr="00042671">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sidR="00495B1E">
        <w:rPr>
          <w:rFonts w:ascii="Verdana" w:eastAsia="Calibri" w:hAnsi="Verdana" w:cs="Arial"/>
          <w:color w:val="000000"/>
          <w:lang w:val="es-ES" w:eastAsia="es-ES"/>
        </w:rPr>
        <w:t xml:space="preserve">la Agencia Nacional de Contratación Pública – </w:t>
      </w:r>
      <w:r w:rsidRPr="00042671">
        <w:rPr>
          <w:rFonts w:ascii="Verdana" w:eastAsia="Calibri" w:hAnsi="Verdana" w:cs="Arial"/>
          <w:color w:val="000000"/>
          <w:lang w:val="es-ES" w:eastAsia="es-ES"/>
        </w:rPr>
        <w:t>Colombia</w:t>
      </w:r>
      <w:r w:rsidR="00495B1E">
        <w:rPr>
          <w:rFonts w:ascii="Verdana" w:eastAsia="Calibri" w:hAnsi="Verdana" w:cs="Arial"/>
          <w:color w:val="000000"/>
          <w:lang w:val="es-ES" w:eastAsia="es-ES"/>
        </w:rPr>
        <w:t xml:space="preserve"> </w:t>
      </w:r>
      <w:r w:rsidRPr="00042671">
        <w:rPr>
          <w:rFonts w:ascii="Verdana" w:eastAsia="Calibri" w:hAnsi="Verdana" w:cs="Arial"/>
          <w:color w:val="000000"/>
          <w:lang w:val="es-ES" w:eastAsia="es-ES"/>
        </w:rPr>
        <w:t xml:space="preserve">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42671">
        <w:rPr>
          <w:rFonts w:ascii="Verdana" w:eastAsia="Calibri" w:hAnsi="Verdana" w:cs="Arial"/>
          <w:color w:val="000000"/>
          <w:szCs w:val="24"/>
          <w:lang w:val="es-ES_tradnl" w:eastAsia="es-ES_tradnl"/>
        </w:rPr>
        <w:tab/>
      </w:r>
    </w:p>
    <w:p w14:paraId="73233CCB" w14:textId="61315891" w:rsidR="00AA3E73" w:rsidRPr="00042671" w:rsidRDefault="00AA3E73" w:rsidP="00AA3E73">
      <w:pPr>
        <w:spacing w:after="0" w:line="276" w:lineRule="auto"/>
        <w:ind w:firstLine="709"/>
        <w:jc w:val="both"/>
        <w:rPr>
          <w:rFonts w:ascii="Verdana" w:eastAsia="Calibri" w:hAnsi="Verdana" w:cs="Arial"/>
          <w:color w:val="000000"/>
          <w:lang w:val="es-ES" w:eastAsia="es-ES"/>
        </w:rPr>
      </w:pPr>
      <w:r w:rsidRPr="00042671">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sidR="00495B1E">
        <w:rPr>
          <w:rFonts w:ascii="Verdana" w:eastAsia="Calibri" w:hAnsi="Verdana" w:cs="Arial"/>
          <w:color w:val="000000"/>
          <w:lang w:val="es-ES" w:eastAsia="es-ES"/>
        </w:rPr>
        <w:t>señalando</w:t>
      </w:r>
      <w:r w:rsidR="00495B1E" w:rsidRPr="00042671">
        <w:rPr>
          <w:rFonts w:ascii="Verdana" w:eastAsia="Calibri" w:hAnsi="Verdana" w:cs="Arial"/>
          <w:color w:val="000000"/>
          <w:lang w:val="es-ES" w:eastAsia="es-ES"/>
        </w:rPr>
        <w:t xml:space="preserve"> </w:t>
      </w:r>
      <w:r w:rsidR="00495B1E">
        <w:rPr>
          <w:rFonts w:ascii="Verdana" w:eastAsia="Calibri" w:hAnsi="Verdana" w:cs="Arial"/>
          <w:color w:val="000000"/>
          <w:lang w:val="es-ES" w:eastAsia="es-ES"/>
        </w:rPr>
        <w:t>alg</w:t>
      </w:r>
      <w:r w:rsidRPr="00042671">
        <w:rPr>
          <w:rFonts w:ascii="Verdana" w:eastAsia="Calibri" w:hAnsi="Verdana" w:cs="Arial"/>
          <w:color w:val="000000"/>
          <w:lang w:val="es-ES" w:eastAsia="es-ES"/>
        </w:rPr>
        <w:t xml:space="preserve">unas consideraciones sobre las normas generales relacionadas con los problemas jurídicos de su consulta. </w:t>
      </w:r>
    </w:p>
    <w:p w14:paraId="29E02093" w14:textId="77777777" w:rsidR="00AA3E73" w:rsidRPr="00042671" w:rsidRDefault="00AA3E73" w:rsidP="00AA3E73">
      <w:pPr>
        <w:spacing w:after="0" w:line="276" w:lineRule="auto"/>
        <w:ind w:firstLine="709"/>
        <w:jc w:val="both"/>
        <w:rPr>
          <w:rFonts w:ascii="Verdana" w:eastAsia="Calibri" w:hAnsi="Verdana" w:cs="Arial"/>
          <w:color w:val="000000"/>
          <w:lang w:val="es-ES" w:eastAsia="es-ES"/>
        </w:rPr>
      </w:pPr>
    </w:p>
    <w:p w14:paraId="164E5F60" w14:textId="77777777" w:rsidR="00AA3E73" w:rsidRPr="00042671" w:rsidRDefault="00AA3E73" w:rsidP="00AA3E73">
      <w:pPr>
        <w:numPr>
          <w:ilvl w:val="0"/>
          <w:numId w:val="16"/>
        </w:numPr>
        <w:tabs>
          <w:tab w:val="left" w:pos="142"/>
          <w:tab w:val="left" w:pos="284"/>
        </w:tabs>
        <w:spacing w:after="0" w:line="276" w:lineRule="auto"/>
        <w:jc w:val="both"/>
        <w:rPr>
          <w:rFonts w:ascii="Verdana" w:eastAsia="Century Gothic" w:hAnsi="Verdana" w:cs="Century Gothic"/>
          <w:b/>
          <w:bCs/>
          <w:color w:val="000000"/>
          <w:lang w:val="es-ES"/>
        </w:rPr>
      </w:pPr>
      <w:r w:rsidRPr="00042671">
        <w:rPr>
          <w:rFonts w:ascii="Verdana" w:eastAsia="Century Gothic" w:hAnsi="Verdana" w:cs="Century Gothic"/>
          <w:b/>
          <w:bCs/>
          <w:color w:val="000000"/>
          <w:lang w:val="es-ES"/>
        </w:rPr>
        <w:t>Problema planteado:</w:t>
      </w:r>
    </w:p>
    <w:p w14:paraId="57ADB3A6" w14:textId="77777777" w:rsidR="00AA3E73" w:rsidRPr="00042671" w:rsidRDefault="00AA3E73" w:rsidP="00AA3E73">
      <w:pPr>
        <w:tabs>
          <w:tab w:val="left" w:pos="426"/>
        </w:tabs>
        <w:spacing w:after="0" w:line="276" w:lineRule="auto"/>
        <w:jc w:val="both"/>
        <w:rPr>
          <w:rFonts w:ascii="Verdana" w:eastAsia="Century Gothic" w:hAnsi="Verdana" w:cs="Century Gothic"/>
          <w:color w:val="000000"/>
          <w:lang w:val="es-ES"/>
        </w:rPr>
      </w:pPr>
    </w:p>
    <w:p w14:paraId="3DD1D5F9" w14:textId="2DEF2A96" w:rsidR="00AA3E73" w:rsidRPr="00042671" w:rsidRDefault="00AA3E73" w:rsidP="00AA3E73">
      <w:pPr>
        <w:spacing w:after="0" w:line="276" w:lineRule="auto"/>
        <w:jc w:val="both"/>
        <w:rPr>
          <w:rFonts w:ascii="Verdana" w:eastAsia="Century Gothic" w:hAnsi="Verdana" w:cs="Century Gothic"/>
          <w:color w:val="000000"/>
        </w:rPr>
      </w:pPr>
      <w:r w:rsidRPr="00042671">
        <w:rPr>
          <w:rFonts w:ascii="Verdana" w:eastAsia="Century Gothic" w:hAnsi="Verdana" w:cs="Century Gothic"/>
          <w:color w:val="000000"/>
        </w:rPr>
        <w:t>De acuerdo con el contenido de su solicitud, esta Agencia resolverá l</w:t>
      </w:r>
      <w:r w:rsidR="00495B1E">
        <w:rPr>
          <w:rFonts w:ascii="Verdana" w:eastAsia="Century Gothic" w:hAnsi="Verdana" w:cs="Century Gothic"/>
          <w:color w:val="000000"/>
        </w:rPr>
        <w:t>os</w:t>
      </w:r>
      <w:r w:rsidRPr="00042671">
        <w:rPr>
          <w:rFonts w:ascii="Verdana" w:eastAsia="Century Gothic" w:hAnsi="Verdana" w:cs="Century Gothic"/>
          <w:color w:val="000000"/>
        </w:rPr>
        <w:t xml:space="preserve"> siguiente</w:t>
      </w:r>
      <w:r w:rsidR="00495B1E">
        <w:rPr>
          <w:rFonts w:ascii="Verdana" w:eastAsia="Century Gothic" w:hAnsi="Verdana" w:cs="Century Gothic"/>
          <w:color w:val="000000"/>
        </w:rPr>
        <w:t>s</w:t>
      </w:r>
      <w:r w:rsidRPr="00042671">
        <w:rPr>
          <w:rFonts w:ascii="Verdana" w:eastAsia="Century Gothic" w:hAnsi="Verdana" w:cs="Century Gothic"/>
          <w:color w:val="000000"/>
        </w:rPr>
        <w:t xml:space="preserve"> problema</w:t>
      </w:r>
      <w:r w:rsidR="00495B1E">
        <w:rPr>
          <w:rFonts w:ascii="Verdana" w:eastAsia="Century Gothic" w:hAnsi="Verdana" w:cs="Century Gothic"/>
          <w:color w:val="000000"/>
        </w:rPr>
        <w:t>s</w:t>
      </w:r>
      <w:r w:rsidRPr="00042671">
        <w:rPr>
          <w:rFonts w:ascii="Verdana" w:eastAsia="Century Gothic" w:hAnsi="Verdana" w:cs="Century Gothic"/>
          <w:color w:val="000000"/>
        </w:rPr>
        <w:t xml:space="preserve"> jurídico</w:t>
      </w:r>
      <w:r w:rsidR="00495B1E">
        <w:rPr>
          <w:rFonts w:ascii="Verdana" w:eastAsia="Century Gothic" w:hAnsi="Verdana" w:cs="Century Gothic"/>
          <w:color w:val="000000"/>
        </w:rPr>
        <w:t>s</w:t>
      </w:r>
      <w:r w:rsidRPr="00042671">
        <w:rPr>
          <w:rFonts w:ascii="Verdana" w:eastAsia="Century Gothic" w:hAnsi="Verdana" w:cs="Century Gothic"/>
          <w:color w:val="000000"/>
        </w:rPr>
        <w:t xml:space="preserve">: </w:t>
      </w:r>
      <w:r>
        <w:rPr>
          <w:rFonts w:ascii="Verdana" w:eastAsia="Century Gothic" w:hAnsi="Verdana" w:cs="Century Gothic"/>
          <w:color w:val="000000"/>
        </w:rPr>
        <w:t>i)</w:t>
      </w:r>
      <w:r w:rsidRPr="0013478A">
        <w:t xml:space="preserve"> </w:t>
      </w:r>
      <w:r w:rsidRPr="0013478A">
        <w:rPr>
          <w:rFonts w:ascii="Verdana" w:eastAsia="Century Gothic" w:hAnsi="Verdana" w:cs="Century Gothic"/>
          <w:color w:val="000000"/>
        </w:rPr>
        <w:t>¿</w:t>
      </w:r>
      <w:r w:rsidR="00316ABE">
        <w:rPr>
          <w:rFonts w:ascii="Verdana" w:eastAsia="Century Gothic" w:hAnsi="Verdana" w:cs="Century Gothic"/>
          <w:color w:val="000000"/>
        </w:rPr>
        <w:t>Los requerimientos realizados por la entidad estatal durante e</w:t>
      </w:r>
      <w:r w:rsidRPr="0013478A">
        <w:rPr>
          <w:rFonts w:ascii="Verdana" w:eastAsia="Century Gothic" w:hAnsi="Verdana" w:cs="Century Gothic"/>
          <w:color w:val="000000"/>
        </w:rPr>
        <w:t xml:space="preserve">l traslado de observaciones en los procesos de selección obliga a los oferentes a responder y subsanar, y </w:t>
      </w:r>
      <w:r w:rsidR="00316ABE">
        <w:rPr>
          <w:rFonts w:ascii="Verdana" w:eastAsia="Century Gothic" w:hAnsi="Verdana" w:cs="Century Gothic"/>
          <w:color w:val="000000"/>
        </w:rPr>
        <w:t>cuáles son</w:t>
      </w:r>
      <w:r w:rsidR="00316ABE" w:rsidRPr="0013478A">
        <w:rPr>
          <w:rFonts w:ascii="Verdana" w:eastAsia="Century Gothic" w:hAnsi="Verdana" w:cs="Century Gothic"/>
          <w:color w:val="000000"/>
        </w:rPr>
        <w:t xml:space="preserve"> </w:t>
      </w:r>
      <w:r w:rsidRPr="0013478A">
        <w:rPr>
          <w:rFonts w:ascii="Verdana" w:eastAsia="Century Gothic" w:hAnsi="Verdana" w:cs="Century Gothic"/>
          <w:color w:val="000000"/>
        </w:rPr>
        <w:t>efectos produce el silencio o la subsanación incompleta a la luz de la Ley 1882 de 2018 sobre el rechazo de ofertas?</w:t>
      </w:r>
      <w:r>
        <w:rPr>
          <w:rFonts w:ascii="Verdana" w:eastAsia="Century Gothic" w:hAnsi="Verdana" w:cs="Century Gothic"/>
          <w:color w:val="000000"/>
        </w:rPr>
        <w:t xml:space="preserve">  </w:t>
      </w:r>
      <w:proofErr w:type="spellStart"/>
      <w:r>
        <w:rPr>
          <w:rFonts w:ascii="Verdana" w:eastAsia="Century Gothic" w:hAnsi="Verdana" w:cs="Century Gothic"/>
          <w:color w:val="000000"/>
        </w:rPr>
        <w:t>ii</w:t>
      </w:r>
      <w:proofErr w:type="spellEnd"/>
      <w:r>
        <w:rPr>
          <w:rFonts w:ascii="Verdana" w:eastAsia="Century Gothic" w:hAnsi="Verdana" w:cs="Century Gothic"/>
          <w:color w:val="000000"/>
        </w:rPr>
        <w:t xml:space="preserve">) </w:t>
      </w:r>
      <w:r w:rsidRPr="00073878">
        <w:rPr>
          <w:rFonts w:ascii="Verdana" w:eastAsia="Century Gothic" w:hAnsi="Verdana" w:cs="Century Gothic"/>
          <w:color w:val="000000"/>
        </w:rPr>
        <w:t>¿Puede una entidad estatal rechazar una oferta con fundamento en presuntas deudas antiguas en el sistema de seguridad social, no verificables y distintas de las certificaciones de paz y salvo aportadas en cumplimiento de los pliegos, o dicho rechazo vulneraría los principios de transparencia, buena fe, confianza legítima y selección objetiva en la contratación pública?</w:t>
      </w:r>
    </w:p>
    <w:p w14:paraId="360A9629" w14:textId="77777777" w:rsidR="00AA3E73" w:rsidRPr="00042671" w:rsidRDefault="00AA3E73" w:rsidP="00AA3E73">
      <w:pPr>
        <w:spacing w:after="0" w:line="276" w:lineRule="auto"/>
        <w:jc w:val="both"/>
        <w:rPr>
          <w:rFonts w:ascii="Verdana" w:eastAsia="Century Gothic" w:hAnsi="Verdana" w:cs="Century Gothic"/>
          <w:color w:val="000000"/>
        </w:rPr>
      </w:pPr>
    </w:p>
    <w:p w14:paraId="4F2F8187" w14:textId="77777777" w:rsidR="00AA3E73" w:rsidRPr="00042671" w:rsidRDefault="00AA3E73" w:rsidP="007D13BE">
      <w:pPr>
        <w:numPr>
          <w:ilvl w:val="0"/>
          <w:numId w:val="16"/>
        </w:numPr>
        <w:tabs>
          <w:tab w:val="left" w:pos="142"/>
          <w:tab w:val="left" w:pos="284"/>
        </w:tabs>
        <w:spacing w:after="0" w:line="276" w:lineRule="auto"/>
        <w:jc w:val="both"/>
        <w:rPr>
          <w:rFonts w:ascii="Verdana" w:eastAsia="Century Gothic" w:hAnsi="Verdana" w:cs="Century Gothic"/>
          <w:b/>
          <w:bCs/>
          <w:color w:val="000000"/>
          <w:lang w:val="es-ES"/>
        </w:rPr>
      </w:pPr>
      <w:r w:rsidRPr="00042671">
        <w:rPr>
          <w:rFonts w:ascii="Verdana" w:eastAsia="Century Gothic" w:hAnsi="Verdana" w:cs="Century Gothic"/>
          <w:b/>
          <w:bCs/>
          <w:color w:val="000000"/>
          <w:lang w:val="es-ES"/>
        </w:rPr>
        <w:t>Respuesta:</w:t>
      </w:r>
    </w:p>
    <w:p w14:paraId="6C8901B1" w14:textId="77777777" w:rsidR="00AA3E73" w:rsidRPr="00042671" w:rsidRDefault="00AA3E73" w:rsidP="00AA3E73">
      <w:pPr>
        <w:tabs>
          <w:tab w:val="left" w:pos="142"/>
          <w:tab w:val="left" w:pos="284"/>
        </w:tabs>
        <w:spacing w:after="0" w:line="276" w:lineRule="auto"/>
        <w:jc w:val="both"/>
        <w:rPr>
          <w:rFonts w:ascii="Verdana" w:eastAsia="Century Gothic" w:hAnsi="Verdana" w:cs="Century Gothic"/>
          <w:b/>
          <w:bCs/>
          <w:color w:val="000000"/>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A3E73" w:rsidRPr="00042671" w14:paraId="62F750B1" w14:textId="77777777" w:rsidTr="005C1A1D">
        <w:tc>
          <w:tcPr>
            <w:tcW w:w="8828" w:type="dxa"/>
          </w:tcPr>
          <w:p w14:paraId="663B3C34" w14:textId="4B417B6F" w:rsidR="00F67123" w:rsidRDefault="00AA3E73" w:rsidP="007D13BE">
            <w:pPr>
              <w:spacing w:after="120" w:line="276" w:lineRule="auto"/>
              <w:jc w:val="both"/>
              <w:rPr>
                <w:rFonts w:ascii="Verdana" w:eastAsia="Calibri" w:hAnsi="Verdana" w:cs="Arial"/>
                <w:color w:val="000000"/>
              </w:rPr>
            </w:pPr>
            <w:r>
              <w:rPr>
                <w:rFonts w:ascii="Verdana" w:eastAsia="Calibri" w:hAnsi="Verdana" w:cs="Arial"/>
                <w:color w:val="000000"/>
              </w:rPr>
              <w:t>i) En primer lugar, e</w:t>
            </w:r>
            <w:r w:rsidRPr="00264207">
              <w:rPr>
                <w:rFonts w:ascii="Verdana" w:eastAsia="Calibri" w:hAnsi="Verdana" w:cs="Arial"/>
                <w:color w:val="000000"/>
              </w:rPr>
              <w:t>l traslado de</w:t>
            </w:r>
            <w:r w:rsidR="001949D0">
              <w:rPr>
                <w:rFonts w:ascii="Verdana" w:eastAsia="Calibri" w:hAnsi="Verdana" w:cs="Arial"/>
                <w:color w:val="000000"/>
              </w:rPr>
              <w:t xml:space="preserve">l informe de evaluación </w:t>
            </w:r>
            <w:r w:rsidRPr="00264207">
              <w:rPr>
                <w:rFonts w:ascii="Verdana" w:eastAsia="Calibri" w:hAnsi="Verdana" w:cs="Arial"/>
                <w:color w:val="000000"/>
              </w:rPr>
              <w:t xml:space="preserve">en los procesos de selección contractual tiene un alcance jurídico que se enmarca en el deber de la entidad estatal de garantizar los principios de transparencia, igualdad, debido proceso y selección objetiva. Este mecanismo busca que los oferentes tengan la oportunidad de conocer las inconsistencias detectadas en sus propuestas o las observaciones formuladas por otros competidores y, de ser el caso, aportar las aclaraciones o subsanaciones a que haya lugar. </w:t>
            </w:r>
          </w:p>
          <w:p w14:paraId="52896AD7" w14:textId="0824BF0A" w:rsidR="000141D6" w:rsidRPr="0089752B" w:rsidRDefault="00F67123" w:rsidP="000141D6">
            <w:pPr>
              <w:spacing w:after="120" w:line="276" w:lineRule="auto"/>
              <w:ind w:firstLine="709"/>
              <w:jc w:val="both"/>
              <w:rPr>
                <w:rFonts w:ascii="Verdana" w:eastAsia="Calibri" w:hAnsi="Verdana" w:cs="Times New Roman"/>
                <w:color w:val="000000"/>
              </w:rPr>
            </w:pPr>
            <w:r>
              <w:rPr>
                <w:rFonts w:ascii="Verdana" w:eastAsia="Calibri" w:hAnsi="Verdana" w:cs="Arial"/>
                <w:color w:val="000000"/>
              </w:rPr>
              <w:t>D</w:t>
            </w:r>
            <w:r w:rsidR="00AA3E73" w:rsidRPr="00264207">
              <w:rPr>
                <w:rFonts w:ascii="Verdana" w:eastAsia="Calibri" w:hAnsi="Verdana" w:cs="Arial"/>
                <w:color w:val="000000"/>
              </w:rPr>
              <w:t>e acuerdo con</w:t>
            </w:r>
            <w:r w:rsidR="00AA3E73">
              <w:rPr>
                <w:rFonts w:ascii="Verdana" w:eastAsia="Calibri" w:hAnsi="Verdana" w:cs="Arial"/>
                <w:color w:val="000000"/>
              </w:rPr>
              <w:t xml:space="preserve"> el artículo 5 de la </w:t>
            </w:r>
            <w:r w:rsidR="00AA3E73" w:rsidRPr="00264207">
              <w:rPr>
                <w:rFonts w:ascii="Verdana" w:eastAsia="Calibri" w:hAnsi="Verdana" w:cs="Arial"/>
                <w:color w:val="000000"/>
              </w:rPr>
              <w:t xml:space="preserve">Ley 1882 de 2018 y la interpretación constante del Consejo de Estado, </w:t>
            </w:r>
            <w:r w:rsidR="000141D6" w:rsidRPr="00E05E39">
              <w:rPr>
                <w:rFonts w:ascii="Verdana" w:eastAsia="Calibri" w:hAnsi="Verdana" w:cs="Times New Roman"/>
                <w:color w:val="000000"/>
              </w:rPr>
              <w:t>los oferentes tienen la posibilidad de subsanar los requisitos habilitantes y otros documentos que no incidan en la asignación de puntaje</w:t>
            </w:r>
            <w:r w:rsidR="000141D6" w:rsidRPr="0089752B">
              <w:rPr>
                <w:rFonts w:ascii="Verdana" w:eastAsia="Calibri" w:hAnsi="Verdana" w:cs="Times New Roman"/>
                <w:color w:val="000000"/>
              </w:rPr>
              <w:t>. Por regla general, el límite para que la entidad solicite y para que el proponente corrija lo que haga falta es hasta el término de traslado del informe de evaluación que corresponda a cada modalidad de selección. La excepción es que el límite anterior no aplica para los procesos de mínima cuantía y para el proceso de selección a través del sistema de subasta.</w:t>
            </w:r>
          </w:p>
          <w:p w14:paraId="55F4A3A9" w14:textId="0F2A5E8F" w:rsidR="006567B0" w:rsidRPr="0089752B" w:rsidRDefault="00AA3E73" w:rsidP="007D13BE">
            <w:pPr>
              <w:spacing w:after="120" w:line="276" w:lineRule="auto"/>
              <w:ind w:firstLine="709"/>
              <w:jc w:val="both"/>
              <w:rPr>
                <w:rFonts w:ascii="Verdana" w:eastAsia="Calibri" w:hAnsi="Verdana" w:cs="Times New Roman"/>
                <w:color w:val="000000"/>
              </w:rPr>
            </w:pPr>
            <w:r w:rsidRPr="00264207">
              <w:rPr>
                <w:rFonts w:ascii="Verdana" w:eastAsia="Calibri" w:hAnsi="Verdana" w:cs="Arial"/>
                <w:color w:val="000000"/>
              </w:rPr>
              <w:t>Así, los oferentes no están obligados a responder todas las observaciones trasladadas, pero sí deben atender aquellas que recaigan sobre requisitos habilitantes o documentos esenciales</w:t>
            </w:r>
            <w:r w:rsidR="00DE40BA">
              <w:rPr>
                <w:rFonts w:ascii="Verdana" w:eastAsia="Calibri" w:hAnsi="Verdana" w:cs="Arial"/>
                <w:color w:val="000000"/>
              </w:rPr>
              <w:t>. E</w:t>
            </w:r>
            <w:r w:rsidRPr="00264207">
              <w:rPr>
                <w:rFonts w:ascii="Verdana" w:eastAsia="Calibri" w:hAnsi="Verdana" w:cs="Arial"/>
                <w:color w:val="000000"/>
              </w:rPr>
              <w:t xml:space="preserve">n caso de no hacerlo o hacerlo de manera incompleta, la entidad debe evaluar la propuesta con los defectos subsistentes y, si estos afectan requisitos habilitantes, proceder al rechazo de la oferta, sin que pueda volver a solicitarse documentación adicional ni permitirse su incorporación extemporánea. </w:t>
            </w:r>
            <w:r w:rsidR="006567B0" w:rsidRPr="0089752B">
              <w:rPr>
                <w:rFonts w:ascii="Verdana" w:eastAsia="Calibri" w:hAnsi="Verdana" w:cs="Times New Roman"/>
                <w:color w:val="000000"/>
              </w:rPr>
              <w:t>Esto se debe a que no se corrigieron los defectos identificados en el informe de evaluación, lo cual impide que la propuesta sea considerada válida dentro del proceso de selección.</w:t>
            </w:r>
          </w:p>
          <w:p w14:paraId="5F12C17C" w14:textId="359E8511" w:rsidR="00AA3E73" w:rsidRPr="000F4631" w:rsidRDefault="00AA3E73" w:rsidP="007D13BE">
            <w:pPr>
              <w:spacing w:line="276" w:lineRule="auto"/>
              <w:ind w:firstLine="709"/>
              <w:jc w:val="both"/>
              <w:rPr>
                <w:rFonts w:ascii="Verdana" w:eastAsia="Times New Roman" w:hAnsi="Verdana" w:cs="Arial"/>
                <w:lang w:val="es-ES" w:eastAsia="es-ES"/>
              </w:rPr>
            </w:pPr>
            <w:r w:rsidRPr="00264207">
              <w:rPr>
                <w:rFonts w:ascii="Verdana" w:eastAsia="Calibri" w:hAnsi="Verdana" w:cs="Arial"/>
                <w:color w:val="000000"/>
              </w:rPr>
              <w:t>En suma, el traslado de</w:t>
            </w:r>
            <w:r w:rsidR="00FC3126">
              <w:rPr>
                <w:rFonts w:ascii="Verdana" w:eastAsia="Calibri" w:hAnsi="Verdana" w:cs="Arial"/>
                <w:color w:val="000000"/>
              </w:rPr>
              <w:t>l informe de evaluación</w:t>
            </w:r>
            <w:r w:rsidRPr="00264207">
              <w:rPr>
                <w:rFonts w:ascii="Verdana" w:eastAsia="Calibri" w:hAnsi="Verdana" w:cs="Arial"/>
                <w:color w:val="000000"/>
              </w:rPr>
              <w:t xml:space="preserve"> es </w:t>
            </w:r>
            <w:r w:rsidR="00A1322B">
              <w:rPr>
                <w:rFonts w:ascii="Verdana" w:eastAsia="Calibri" w:hAnsi="Verdana" w:cs="Arial"/>
                <w:color w:val="000000"/>
              </w:rPr>
              <w:t>el límite</w:t>
            </w:r>
            <w:r w:rsidRPr="00264207">
              <w:rPr>
                <w:rFonts w:ascii="Verdana" w:eastAsia="Calibri" w:hAnsi="Verdana" w:cs="Arial"/>
                <w:color w:val="000000"/>
              </w:rPr>
              <w:t xml:space="preserve"> para que el oferente ejerza su derecho de defensa dentro de los límites legales, y el silencio, la omisión o la subsanación insuficiente tienen como efecto jurídico la pérdida de oportunidad de continuar en el proceso de selección</w:t>
            </w:r>
            <w:r w:rsidRPr="000F4631">
              <w:rPr>
                <w:rFonts w:ascii="Verdana" w:eastAsia="Times New Roman" w:hAnsi="Verdana" w:cs="Arial"/>
                <w:lang w:val="es-ES" w:eastAsia="es-ES"/>
              </w:rPr>
              <w:t>.</w:t>
            </w:r>
          </w:p>
          <w:p w14:paraId="5AA27A63" w14:textId="77777777" w:rsidR="000A6EA3" w:rsidRDefault="000A6EA3" w:rsidP="007D13BE">
            <w:pPr>
              <w:spacing w:line="276" w:lineRule="auto"/>
              <w:jc w:val="both"/>
              <w:rPr>
                <w:rFonts w:ascii="Verdana" w:eastAsia="Times New Roman" w:hAnsi="Verdana" w:cs="Arial"/>
                <w:lang w:val="es-ES" w:eastAsia="es-ES"/>
              </w:rPr>
            </w:pPr>
          </w:p>
          <w:p w14:paraId="6D959852" w14:textId="142EF49D" w:rsidR="00AA3E73" w:rsidRDefault="00AA3E73" w:rsidP="007D13BE">
            <w:pPr>
              <w:spacing w:after="120" w:line="276" w:lineRule="auto"/>
              <w:jc w:val="both"/>
              <w:rPr>
                <w:rFonts w:ascii="Verdana" w:eastAsia="Times New Roman" w:hAnsi="Verdana" w:cs="Arial"/>
                <w:lang w:eastAsia="es-ES_tradnl"/>
              </w:rPr>
            </w:pPr>
            <w:proofErr w:type="spellStart"/>
            <w:r w:rsidRPr="000F4631">
              <w:rPr>
                <w:rFonts w:ascii="Verdana" w:eastAsia="Times New Roman" w:hAnsi="Verdana" w:cs="Arial"/>
                <w:lang w:val="es-ES" w:eastAsia="es-ES"/>
              </w:rPr>
              <w:t>ii</w:t>
            </w:r>
            <w:proofErr w:type="spellEnd"/>
            <w:r w:rsidRPr="000F4631">
              <w:rPr>
                <w:rFonts w:ascii="Verdana" w:eastAsia="Times New Roman" w:hAnsi="Verdana" w:cs="Arial"/>
                <w:lang w:val="es-ES" w:eastAsia="es-ES"/>
              </w:rPr>
              <w:t>) En</w:t>
            </w:r>
            <w:r w:rsidR="004B155F">
              <w:rPr>
                <w:rFonts w:ascii="Verdana" w:eastAsia="Times New Roman" w:hAnsi="Verdana" w:cs="Arial"/>
                <w:lang w:val="es-ES" w:eastAsia="es-ES"/>
              </w:rPr>
              <w:t xml:space="preserve"> segundo lugar, en</w:t>
            </w:r>
            <w:r w:rsidRPr="000F4631">
              <w:rPr>
                <w:rFonts w:ascii="Verdana" w:eastAsia="Times New Roman" w:hAnsi="Verdana" w:cs="Arial"/>
                <w:lang w:val="es-ES" w:eastAsia="es-ES"/>
              </w:rPr>
              <w:t xml:space="preserve"> relación con la</w:t>
            </w:r>
            <w:r w:rsidRPr="00A04D46">
              <w:rPr>
                <w:rFonts w:ascii="Verdana" w:eastAsia="Times New Roman" w:hAnsi="Verdana" w:cs="Arial"/>
                <w:lang w:eastAsia="es-ES_tradnl"/>
              </w:rPr>
              <w:t xml:space="preserve"> inquietud planteada sobre si la habilitación de un proponente en un proceso de selección se ve afectada cuando acredita, mediante el formato exigido por la entidad estatal, el pago de aportes parafiscales correspondientes a los seis </w:t>
            </w:r>
            <w:r w:rsidR="001071CF">
              <w:rPr>
                <w:rFonts w:ascii="Verdana" w:eastAsia="Times New Roman" w:hAnsi="Verdana" w:cs="Arial"/>
                <w:lang w:eastAsia="es-ES_tradnl"/>
              </w:rPr>
              <w:t>(6)</w:t>
            </w:r>
            <w:r w:rsidRPr="00A04D46">
              <w:rPr>
                <w:rFonts w:ascii="Verdana" w:eastAsia="Times New Roman" w:hAnsi="Verdana" w:cs="Arial"/>
                <w:lang w:eastAsia="es-ES_tradnl"/>
              </w:rPr>
              <w:t xml:space="preserve"> meses previos al cierre, </w:t>
            </w:r>
            <w:r w:rsidRPr="00A04D46">
              <w:rPr>
                <w:rFonts w:ascii="Verdana" w:eastAsia="Times New Roman" w:hAnsi="Verdana" w:cs="Arial"/>
                <w:lang w:eastAsia="es-ES_tradnl"/>
              </w:rPr>
              <w:lastRenderedPageBreak/>
              <w:t xml:space="preserve">pero </w:t>
            </w:r>
            <w:r w:rsidR="00E9486A">
              <w:rPr>
                <w:rFonts w:ascii="Verdana" w:eastAsia="Times New Roman" w:hAnsi="Verdana" w:cs="Arial"/>
                <w:lang w:eastAsia="es-ES_tradnl"/>
              </w:rPr>
              <w:t>se encuentra</w:t>
            </w:r>
            <w:r w:rsidRPr="00A04D46">
              <w:rPr>
                <w:rFonts w:ascii="Verdana" w:eastAsia="Times New Roman" w:hAnsi="Verdana" w:cs="Arial"/>
                <w:lang w:eastAsia="es-ES_tradnl"/>
              </w:rPr>
              <w:t xml:space="preserve"> en mora obligaciones de meses anteriores, debe señalarse que, si bien de una lectura estricta del artículo 50 de la Ley 789 de 2002, modificado por la Ley 828 de 2003, podría entenderse que el requisito se satisface con la simple presentación de una certificación expedida por el revisor fiscal o representante legal, para esta Subdirección tal interpretación resulta limitada frente al espíritu de la norma. </w:t>
            </w:r>
          </w:p>
          <w:p w14:paraId="1F017FAC" w14:textId="77777777" w:rsidR="00AA3E73" w:rsidRPr="000F4631" w:rsidRDefault="00AA3E73" w:rsidP="005C1A1D">
            <w:pPr>
              <w:spacing w:after="120" w:line="276" w:lineRule="auto"/>
              <w:ind w:firstLine="708"/>
              <w:jc w:val="both"/>
              <w:rPr>
                <w:rFonts w:ascii="Verdana" w:eastAsia="Times New Roman" w:hAnsi="Verdana" w:cs="Arial"/>
                <w:lang w:val="es-ES" w:eastAsia="es-ES"/>
              </w:rPr>
            </w:pPr>
            <w:r w:rsidRPr="00A04D46">
              <w:rPr>
                <w:rFonts w:ascii="Verdana" w:eastAsia="Times New Roman" w:hAnsi="Verdana" w:cs="Arial"/>
                <w:lang w:eastAsia="es-ES_tradnl"/>
              </w:rPr>
              <w:t xml:space="preserve">En </w:t>
            </w:r>
            <w:r>
              <w:rPr>
                <w:rFonts w:ascii="Verdana" w:eastAsia="Times New Roman" w:hAnsi="Verdana" w:cs="Arial"/>
                <w:lang w:eastAsia="es-ES_tradnl"/>
              </w:rPr>
              <w:t>ese contexto</w:t>
            </w:r>
            <w:r w:rsidRPr="00A04D46">
              <w:rPr>
                <w:rFonts w:ascii="Verdana" w:eastAsia="Times New Roman" w:hAnsi="Verdana" w:cs="Arial"/>
                <w:lang w:eastAsia="es-ES_tradnl"/>
              </w:rPr>
              <w:t xml:space="preserve">, la Ley 789 de 2002 fue concebida para fortalecer la empleabilidad, garantizar el sostenimiento del sistema de protección social y, de manera especial, controlar la evasión en el pago de aportes parafiscales, que constituyen contribuciones obligatorias de los empleadores destinadas no solo a los trabajadores, sino también al ICBF, el SENA y las Cajas de Compensación Familiar. De ahí que la intención del legislador al establecer este requisito no se restringiera a la formalidad de allegar un certificado, sino a garantizar el pago real y oportuno de dichas contribuciones, sancionando a </w:t>
            </w:r>
            <w:r w:rsidRPr="000F4631">
              <w:rPr>
                <w:rFonts w:ascii="Verdana" w:eastAsia="Times New Roman" w:hAnsi="Verdana" w:cs="Arial"/>
                <w:lang w:val="es-ES" w:eastAsia="es-ES"/>
              </w:rPr>
              <w:t xml:space="preserve">las sociedades morosas con la imposibilidad de participar en la contratación pública. </w:t>
            </w:r>
          </w:p>
          <w:p w14:paraId="78181F23" w14:textId="02FFAE00" w:rsidR="004C6EAD" w:rsidRDefault="004C6EAD" w:rsidP="002E4092">
            <w:pPr>
              <w:spacing w:after="120" w:line="276" w:lineRule="auto"/>
              <w:ind w:firstLine="708"/>
              <w:jc w:val="both"/>
              <w:rPr>
                <w:rFonts w:ascii="Verdana" w:eastAsia="Arial" w:hAnsi="Verdana" w:cs="Arial"/>
              </w:rPr>
            </w:pPr>
            <w:r>
              <w:rPr>
                <w:rFonts w:ascii="Verdana" w:eastAsia="Arial" w:hAnsi="Verdana" w:cs="Arial"/>
              </w:rPr>
              <w:t>Sobre e</w:t>
            </w:r>
            <w:r w:rsidRPr="00A358F3">
              <w:rPr>
                <w:rFonts w:ascii="Verdana" w:eastAsia="Arial" w:hAnsi="Verdana" w:cs="Arial"/>
              </w:rPr>
              <w:t xml:space="preserve">l artículo </w:t>
            </w:r>
            <w:r>
              <w:rPr>
                <w:rFonts w:ascii="Verdana" w:eastAsia="Arial" w:hAnsi="Verdana" w:cs="Arial"/>
              </w:rPr>
              <w:t xml:space="preserve">50 </w:t>
            </w:r>
            <w:r w:rsidRPr="00E05E39">
              <w:rPr>
                <w:rFonts w:ascii="Verdana" w:eastAsia="Arial" w:hAnsi="Verdana" w:cs="Arial"/>
                <w:i/>
                <w:iCs/>
              </w:rPr>
              <w:t>ibidem</w:t>
            </w:r>
            <w:r>
              <w:rPr>
                <w:rFonts w:ascii="Verdana" w:eastAsia="Arial" w:hAnsi="Verdana" w:cs="Arial"/>
              </w:rPr>
              <w:t xml:space="preserve">, el Consejo de Estado, en sentencia del 24 de julio de 2024, </w:t>
            </w:r>
            <w:r w:rsidRPr="00A358F3">
              <w:rPr>
                <w:rFonts w:ascii="Verdana" w:eastAsia="Arial" w:hAnsi="Verdana" w:cs="Arial"/>
              </w:rPr>
              <w:t xml:space="preserve">hizo énfasis en que dicho requerimiento debe ser verificado en distintos momentos, entre los cuales se encuentra la etapa en la que se busca seleccionar al futuro contratista. Por ello, todos los oferentes deberán acreditar que se encuentran al día con el Sistema de Seguridad Social y de los aportes parafiscales al momento de ofertar. </w:t>
            </w:r>
            <w:r w:rsidR="00520E6D" w:rsidRPr="008F7D14">
              <w:rPr>
                <w:rFonts w:ascii="Verdana" w:eastAsia="Arial" w:hAnsi="Verdana" w:cs="Arial"/>
              </w:rPr>
              <w:t>Así</w:t>
            </w:r>
            <w:r w:rsidR="00520E6D">
              <w:rPr>
                <w:rFonts w:ascii="Verdana" w:eastAsia="Arial" w:hAnsi="Verdana" w:cs="Arial"/>
              </w:rPr>
              <w:t xml:space="preserve"> las cosas</w:t>
            </w:r>
            <w:r w:rsidR="00520E6D" w:rsidRPr="008F7D14">
              <w:rPr>
                <w:rFonts w:ascii="Verdana" w:eastAsia="Arial" w:hAnsi="Verdana" w:cs="Arial"/>
              </w:rPr>
              <w:t>, la acreditación de estar al día con el Sistema de Seguridad Social y aportes parafiscales, se configura en un requisito de admisibilidad de los proponentes, quienes deberán demostrar que han sido cumplidos en su obligación.</w:t>
            </w:r>
            <w:r w:rsidR="00520E6D">
              <w:rPr>
                <w:rFonts w:ascii="Verdana" w:eastAsia="Arial" w:hAnsi="Verdana" w:cs="Arial"/>
              </w:rPr>
              <w:t xml:space="preserve"> </w:t>
            </w:r>
            <w:r w:rsidRPr="00A358F3">
              <w:rPr>
                <w:rFonts w:ascii="Verdana" w:eastAsia="Arial" w:hAnsi="Verdana" w:cs="Arial"/>
              </w:rPr>
              <w:t>De esta manera, las personas jurídicas, de cara a acreditar el mencionado requisito, deberán aportar la certificación mencionada en precedencia</w:t>
            </w:r>
            <w:r w:rsidR="00C72C23">
              <w:rPr>
                <w:rFonts w:ascii="Verdana" w:eastAsia="Arial" w:hAnsi="Verdana" w:cs="Arial"/>
              </w:rPr>
              <w:t xml:space="preserve">. </w:t>
            </w:r>
          </w:p>
          <w:p w14:paraId="5F30434C" w14:textId="27BB17A9" w:rsidR="00E94A3D" w:rsidRDefault="00E94A3D" w:rsidP="007D13BE">
            <w:pPr>
              <w:widowControl w:val="0"/>
              <w:autoSpaceDE w:val="0"/>
              <w:autoSpaceDN w:val="0"/>
              <w:spacing w:after="120" w:line="276" w:lineRule="auto"/>
              <w:ind w:firstLine="709"/>
              <w:jc w:val="both"/>
              <w:rPr>
                <w:rFonts w:ascii="Verdana" w:eastAsia="Arial" w:hAnsi="Verdana" w:cs="Arial"/>
              </w:rPr>
            </w:pPr>
            <w:r w:rsidRPr="008F7D14">
              <w:rPr>
                <w:rFonts w:ascii="Verdana" w:eastAsia="Arial" w:hAnsi="Verdana" w:cs="Arial"/>
              </w:rPr>
              <w:t>Ahora bien, debe mencionarse que del artículo 50 de la Ley 789 de 2002, surgen dos situaciones que no pueden confundirse. Una de ellas consiste en que el proponente estando al día con el Sistema de Seguridad Social integral, no aporta la prueba, mientras que otra</w:t>
            </w:r>
            <w:r>
              <w:rPr>
                <w:rFonts w:ascii="Verdana" w:eastAsia="Arial" w:hAnsi="Verdana" w:cs="Arial"/>
              </w:rPr>
              <w:t xml:space="preserve"> circunstancia</w:t>
            </w:r>
            <w:r w:rsidRPr="008F7D14">
              <w:rPr>
                <w:rFonts w:ascii="Verdana" w:eastAsia="Arial" w:hAnsi="Verdana" w:cs="Arial"/>
              </w:rPr>
              <w:t xml:space="preserve"> distinta es que, al estar incumplido con el sistema, se vea imposibilitado de aportar la correspondiente prueba. Ante los dos escenarios, se </w:t>
            </w:r>
            <w:r w:rsidR="00530CB5">
              <w:rPr>
                <w:rFonts w:ascii="Verdana" w:eastAsia="Arial" w:hAnsi="Verdana" w:cs="Arial"/>
              </w:rPr>
              <w:t xml:space="preserve">señalarse que </w:t>
            </w:r>
            <w:r w:rsidRPr="008F7D14">
              <w:rPr>
                <w:rFonts w:ascii="Verdana" w:eastAsia="Arial" w:hAnsi="Verdana" w:cs="Arial"/>
              </w:rPr>
              <w:t>lo que se subsana es la prueba, m</w:t>
            </w:r>
            <w:r>
              <w:rPr>
                <w:rFonts w:ascii="Verdana" w:eastAsia="Arial" w:hAnsi="Verdana" w:cs="Arial"/>
              </w:rPr>
              <w:t>á</w:t>
            </w:r>
            <w:r w:rsidRPr="008F7D14">
              <w:rPr>
                <w:rFonts w:ascii="Verdana" w:eastAsia="Arial" w:hAnsi="Verdana" w:cs="Arial"/>
              </w:rPr>
              <w:t>s no el requisito en sí mismo</w:t>
            </w:r>
            <w:r>
              <w:rPr>
                <w:rFonts w:ascii="Verdana" w:eastAsia="Arial" w:hAnsi="Verdana" w:cs="Arial"/>
              </w:rPr>
              <w:t>. Por lo anterior</w:t>
            </w:r>
            <w:r w:rsidRPr="008F7D14">
              <w:rPr>
                <w:rFonts w:ascii="Verdana" w:eastAsia="Arial" w:hAnsi="Verdana" w:cs="Arial"/>
              </w:rPr>
              <w:t xml:space="preserve">, si el contratista se encuentra al día y no aportó el medio de prueba, podrá allegarlo, pero en caso de que se encuentre incumplido, deberá ser rechazado y no podrá ser </w:t>
            </w:r>
            <w:r w:rsidRPr="008F7D14">
              <w:rPr>
                <w:rFonts w:ascii="Verdana" w:eastAsia="Arial" w:hAnsi="Verdana" w:cs="Arial"/>
              </w:rPr>
              <w:lastRenderedPageBreak/>
              <w:t>adjudicatario del proceso de selección en el que participa.</w:t>
            </w:r>
          </w:p>
          <w:p w14:paraId="178BA2F5" w14:textId="6A7F3CBE" w:rsidR="00AA3E73" w:rsidRPr="00042671" w:rsidRDefault="00AA3E73" w:rsidP="007D13BE">
            <w:pPr>
              <w:spacing w:line="276" w:lineRule="auto"/>
              <w:ind w:firstLine="708"/>
              <w:jc w:val="both"/>
              <w:rPr>
                <w:rFonts w:ascii="Verdana" w:eastAsia="Calibri" w:hAnsi="Verdana" w:cs="Arial"/>
                <w:color w:val="000000"/>
              </w:rPr>
            </w:pPr>
            <w:r>
              <w:rPr>
                <w:rFonts w:ascii="Verdana" w:eastAsia="Times New Roman" w:hAnsi="Verdana" w:cs="Arial"/>
                <w:lang w:eastAsia="es-ES_tradnl"/>
              </w:rPr>
              <w:t>Finalmente</w:t>
            </w:r>
            <w:r w:rsidRPr="00A04D46">
              <w:rPr>
                <w:rFonts w:ascii="Verdana" w:eastAsia="Times New Roman" w:hAnsi="Verdana" w:cs="Arial"/>
                <w:lang w:eastAsia="es-ES_tradnl"/>
              </w:rPr>
              <w:t xml:space="preserve">, aunque la norma fije un término mínimo de seis </w:t>
            </w:r>
            <w:r w:rsidR="002E4092">
              <w:rPr>
                <w:rFonts w:ascii="Verdana" w:eastAsia="Times New Roman" w:hAnsi="Verdana" w:cs="Arial"/>
                <w:lang w:eastAsia="es-ES_tradnl"/>
              </w:rPr>
              <w:t>(6)</w:t>
            </w:r>
            <w:r w:rsidRPr="00A04D46">
              <w:rPr>
                <w:rFonts w:ascii="Verdana" w:eastAsia="Times New Roman" w:hAnsi="Verdana" w:cs="Arial"/>
                <w:lang w:eastAsia="es-ES_tradnl"/>
              </w:rPr>
              <w:t xml:space="preserve"> meses como parámetro de verificación, ello no exime al proponente de su obligación de encontrarse al día en la totalidad de los aportes parafiscales, pues su acreditación constituye un requisito indispensable para la presentación de ofertas. Además, corresponde a las entidades estatales verificar en todas las etapas del proceso contractual —selección, ejecución y liquidación— que tanto oferentes como contratistas se encuentren al día en el pago de aportes al Sistema de Seguridad Social Integral y parafiscales, en cumplimiento de la ley.</w:t>
            </w:r>
          </w:p>
        </w:tc>
      </w:tr>
    </w:tbl>
    <w:p w14:paraId="44DF7F46" w14:textId="77777777" w:rsidR="00AA3E73" w:rsidRPr="00042671" w:rsidRDefault="00AA3E73" w:rsidP="00AA3E73">
      <w:pPr>
        <w:tabs>
          <w:tab w:val="left" w:pos="142"/>
          <w:tab w:val="left" w:pos="284"/>
        </w:tabs>
        <w:spacing w:after="0" w:line="276" w:lineRule="auto"/>
        <w:jc w:val="both"/>
        <w:rPr>
          <w:rFonts w:ascii="Verdana" w:eastAsia="Century Gothic" w:hAnsi="Verdana" w:cs="Century Gothic"/>
          <w:b/>
          <w:bCs/>
          <w:color w:val="000000"/>
          <w:lang w:val="es-ES"/>
        </w:rPr>
      </w:pPr>
    </w:p>
    <w:p w14:paraId="4D228CA0" w14:textId="77777777" w:rsidR="00AA3E73" w:rsidRPr="00042671" w:rsidRDefault="00AA3E73" w:rsidP="00AA3E73">
      <w:pPr>
        <w:numPr>
          <w:ilvl w:val="0"/>
          <w:numId w:val="16"/>
        </w:numPr>
        <w:tabs>
          <w:tab w:val="left" w:pos="142"/>
          <w:tab w:val="left" w:pos="284"/>
        </w:tabs>
        <w:spacing w:after="0" w:line="276" w:lineRule="auto"/>
        <w:jc w:val="both"/>
        <w:rPr>
          <w:rFonts w:ascii="Verdana" w:eastAsia="Century Gothic" w:hAnsi="Verdana" w:cs="Century Gothic"/>
          <w:b/>
          <w:bCs/>
          <w:color w:val="000000"/>
          <w:lang w:val="es-ES"/>
        </w:rPr>
      </w:pPr>
      <w:r w:rsidRPr="00042671">
        <w:rPr>
          <w:rFonts w:ascii="Verdana" w:eastAsia="Century Gothic" w:hAnsi="Verdana" w:cs="Century Gothic"/>
          <w:b/>
          <w:bCs/>
          <w:color w:val="000000"/>
          <w:lang w:val="es-ES"/>
        </w:rPr>
        <w:t>Razones de la respuesta:</w:t>
      </w:r>
    </w:p>
    <w:p w14:paraId="4179BB0E" w14:textId="77777777" w:rsidR="00AA3E73" w:rsidRPr="00042671" w:rsidRDefault="00AA3E73" w:rsidP="00AA3E73">
      <w:pPr>
        <w:spacing w:after="0" w:line="276" w:lineRule="auto"/>
        <w:jc w:val="both"/>
        <w:rPr>
          <w:rFonts w:ascii="Verdana" w:eastAsia="Calibri" w:hAnsi="Verdana" w:cs="Arial"/>
          <w:color w:val="000000"/>
          <w:lang w:val="es-ES"/>
        </w:rPr>
      </w:pPr>
    </w:p>
    <w:p w14:paraId="7609D542" w14:textId="77777777" w:rsidR="00AA3E73" w:rsidRPr="00042671" w:rsidRDefault="00AA3E73" w:rsidP="00AA3E73">
      <w:pPr>
        <w:spacing w:after="0" w:line="276" w:lineRule="auto"/>
        <w:jc w:val="both"/>
        <w:rPr>
          <w:rFonts w:ascii="Verdana" w:eastAsia="Calibri" w:hAnsi="Verdana" w:cs="Arial"/>
          <w:color w:val="000000"/>
          <w:lang w:val="es-ES"/>
        </w:rPr>
      </w:pPr>
      <w:r w:rsidRPr="00042671">
        <w:rPr>
          <w:rFonts w:ascii="Verdana" w:eastAsia="Calibri" w:hAnsi="Verdana" w:cs="Arial"/>
          <w:color w:val="000000"/>
          <w:lang w:val="es-ES"/>
        </w:rPr>
        <w:t xml:space="preserve">Lo anterior se sustenta en las siguientes consideraciones: </w:t>
      </w:r>
    </w:p>
    <w:p w14:paraId="7247489F" w14:textId="77777777" w:rsidR="00AA3E73" w:rsidRDefault="00AA3E73" w:rsidP="007D13BE">
      <w:pPr>
        <w:spacing w:after="0" w:line="276" w:lineRule="auto"/>
        <w:jc w:val="both"/>
        <w:rPr>
          <w:rFonts w:ascii="Verdana" w:eastAsia="Calibri" w:hAnsi="Verdana" w:cs="Arial"/>
          <w:noProof/>
          <w:lang w:val="es-ES_tradnl"/>
        </w:rPr>
      </w:pPr>
    </w:p>
    <w:p w14:paraId="33BA0183" w14:textId="0EA2C6FD" w:rsidR="00AA3E73" w:rsidRPr="007D13BE" w:rsidRDefault="00421A1E" w:rsidP="00AA3E73">
      <w:pPr>
        <w:spacing w:after="120" w:line="276" w:lineRule="auto"/>
        <w:jc w:val="both"/>
        <w:rPr>
          <w:rFonts w:ascii="Verdana" w:eastAsia="Calibri" w:hAnsi="Verdana" w:cs="Arial"/>
          <w:lang w:val="es-ES_tradnl"/>
        </w:rPr>
      </w:pPr>
      <w:r>
        <w:rPr>
          <w:rFonts w:ascii="Verdana" w:eastAsia="Calibri" w:hAnsi="Verdana" w:cs="Arial"/>
          <w:noProof/>
          <w:lang w:val="es-ES_tradnl"/>
        </w:rPr>
        <w:t xml:space="preserve">i) </w:t>
      </w:r>
      <w:r w:rsidR="00AA3E73" w:rsidRPr="00042671">
        <w:rPr>
          <w:rFonts w:ascii="Verdana" w:eastAsia="Calibri" w:hAnsi="Verdana" w:cs="Arial"/>
          <w:noProof/>
          <w:lang w:val="es-ES_tradnl"/>
        </w:rPr>
        <w:t>L</w:t>
      </w:r>
      <w:r w:rsidR="00AA3E73" w:rsidRPr="00042671">
        <w:rPr>
          <w:rFonts w:ascii="Verdana" w:eastAsia="Times New Roman" w:hAnsi="Verdana" w:cs="Arial"/>
        </w:rPr>
        <w:t>a regla de la subsanabilidad de las ofertas en los procedimientos de selección</w:t>
      </w:r>
      <w:r w:rsidR="00AA3E73" w:rsidRPr="00042671">
        <w:rPr>
          <w:rFonts w:ascii="Verdana" w:eastAsia="Times New Roman" w:hAnsi="Verdana" w:cs="Arial"/>
          <w:b/>
          <w:bCs/>
        </w:rPr>
        <w:t xml:space="preserve"> </w:t>
      </w:r>
      <w:r w:rsidR="00AA3E73" w:rsidRPr="00042671">
        <w:rPr>
          <w:rFonts w:ascii="Verdana" w:eastAsia="Times New Roman" w:hAnsi="Verdana" w:cs="Arial"/>
          <w:lang w:val="es-ES_tradnl" w:eastAsia="es-ES_tradnl"/>
        </w:rPr>
        <w:t>indica que, por regla general, la falta de entrega y los defectos en la acreditación de los requisitos habilitantes son aspectos subsanables. La excepción a esta regla se encuentra en la prohibición de permitir que se subsanen aspectos que otorgan puntaje, de valer la acreditación de circunstancias ocurridas con posterioridad al cierre del proceso y de permitir la entrega de la garantía de seriedad de la oferta que no fue aportada con la propuesta.</w:t>
      </w:r>
    </w:p>
    <w:p w14:paraId="01D8BAE9" w14:textId="7A6D25D2" w:rsidR="00AA3E73" w:rsidRPr="00042671" w:rsidRDefault="00AA3E73" w:rsidP="00AA3E73">
      <w:pPr>
        <w:spacing w:after="120" w:line="276" w:lineRule="auto"/>
        <w:ind w:firstLine="708"/>
        <w:jc w:val="both"/>
        <w:rPr>
          <w:rFonts w:ascii="Verdana" w:eastAsia="Times New Roman" w:hAnsi="Verdana" w:cs="Arial"/>
          <w:lang w:val="es-ES" w:eastAsia="es-ES"/>
        </w:rPr>
      </w:pPr>
      <w:r w:rsidRPr="00042671">
        <w:rPr>
          <w:rFonts w:ascii="Verdana" w:eastAsia="Times New Roman" w:hAnsi="Verdana" w:cs="Arial"/>
          <w:lang w:val="es-ES_tradnl" w:eastAsia="es-ES_tradnl"/>
        </w:rPr>
        <w:t>La posibilidad de enmendar, corregir o subsanar los errores en los que se incurre en los documentos contentivos de la oferta es un tema que ha tenido diferentes momentos o etapas en el ordenamiento jurídico colombiano, momentos que se han expuesto de manera detallada en conceptos como el C-285 del 20 de mayo de 2022</w:t>
      </w:r>
      <w:r w:rsidRPr="00042671">
        <w:rPr>
          <w:rFonts w:ascii="Verdana" w:eastAsia="Times New Roman" w:hAnsi="Verdana" w:cs="Arial"/>
          <w:vertAlign w:val="superscript"/>
          <w:lang w:val="es-ES_tradnl" w:eastAsia="es-ES_tradnl"/>
        </w:rPr>
        <w:footnoteReference w:id="1"/>
      </w:r>
      <w:r w:rsidRPr="00042671">
        <w:rPr>
          <w:rFonts w:ascii="Verdana" w:eastAsia="Times New Roman" w:hAnsi="Verdana" w:cs="Arial"/>
          <w:lang w:val="es-ES_tradnl" w:eastAsia="es-ES_tradnl"/>
        </w:rPr>
        <w:t xml:space="preserve"> o el C-447 del 19 de septiembre de 2024</w:t>
      </w:r>
      <w:r w:rsidRPr="00042671">
        <w:rPr>
          <w:rFonts w:ascii="Verdana" w:eastAsia="Times New Roman" w:hAnsi="Verdana" w:cs="Arial"/>
          <w:vertAlign w:val="superscript"/>
          <w:lang w:val="es-ES_tradnl" w:eastAsia="es-ES_tradnl"/>
        </w:rPr>
        <w:footnoteReference w:id="2"/>
      </w:r>
      <w:r w:rsidR="00BF2751">
        <w:rPr>
          <w:rFonts w:ascii="Verdana" w:eastAsia="Times New Roman" w:hAnsi="Verdana" w:cs="Arial"/>
          <w:lang w:val="es-ES_tradnl" w:eastAsia="es-ES_tradnl"/>
        </w:rPr>
        <w:t>,</w:t>
      </w:r>
      <w:r w:rsidRPr="00042671">
        <w:rPr>
          <w:rFonts w:ascii="Verdana" w:eastAsia="Times New Roman" w:hAnsi="Verdana" w:cs="Arial"/>
          <w:lang w:val="es-ES_tradnl" w:eastAsia="es-ES_tradnl"/>
        </w:rPr>
        <w:t xml:space="preserve"> los cuales, en el evento en que tenga interés, podrá consultar en los enlaces de la nota al pie. Sin embargo</w:t>
      </w:r>
      <w:r w:rsidRPr="00042671">
        <w:rPr>
          <w:rFonts w:ascii="Verdana" w:eastAsia="Times New Roman" w:hAnsi="Verdana" w:cs="Arial"/>
          <w:lang w:val="es-ES" w:eastAsia="es-ES"/>
        </w:rPr>
        <w:t>, a continuación, se hará referencia particularmente al último momento, que refleja la postura vigente en torno a la subsanabilidad:</w:t>
      </w:r>
    </w:p>
    <w:p w14:paraId="72873896" w14:textId="7BFFA2F5" w:rsidR="00AA3E73" w:rsidRPr="00042671" w:rsidRDefault="00AA3E73" w:rsidP="74B627C0">
      <w:pPr>
        <w:tabs>
          <w:tab w:val="left" w:pos="284"/>
        </w:tabs>
        <w:spacing w:after="0" w:line="276" w:lineRule="auto"/>
        <w:ind w:firstLine="709"/>
        <w:jc w:val="both"/>
        <w:rPr>
          <w:rFonts w:ascii="Verdana" w:eastAsia="Times New Roman" w:hAnsi="Verdana" w:cs="Arial"/>
          <w:lang w:val="es-ES" w:eastAsia="es-CO"/>
        </w:rPr>
      </w:pPr>
      <w:r w:rsidRPr="74B627C0">
        <w:rPr>
          <w:rFonts w:ascii="Verdana" w:eastAsia="Times New Roman" w:hAnsi="Verdana" w:cs="Arial"/>
          <w:lang w:val="es-ES" w:eastAsia="es-ES"/>
        </w:rPr>
        <w:t xml:space="preserve">La expedición de la Ley </w:t>
      </w:r>
      <w:r w:rsidRPr="74B627C0">
        <w:rPr>
          <w:rFonts w:ascii="Verdana" w:eastAsia="Times New Roman" w:hAnsi="Verdana" w:cs="Arial"/>
          <w:lang w:val="es-ES" w:eastAsia="es-CO"/>
        </w:rPr>
        <w:t>1882 de 2018</w:t>
      </w:r>
      <w:r w:rsidR="00235B4C" w:rsidRPr="74B627C0">
        <w:rPr>
          <w:rFonts w:ascii="Verdana" w:eastAsia="Times New Roman" w:hAnsi="Verdana" w:cs="Arial"/>
          <w:lang w:val="es-ES" w:eastAsia="es-CO"/>
        </w:rPr>
        <w:t>, a la cual se refiere en su consulta,</w:t>
      </w:r>
      <w:r w:rsidRPr="74B627C0">
        <w:rPr>
          <w:rFonts w:ascii="Verdana" w:eastAsia="Times New Roman" w:hAnsi="Verdana" w:cs="Arial"/>
          <w:lang w:val="es-ES" w:eastAsia="es-CO"/>
        </w:rPr>
        <w:t xml:space="preserve"> tuvo por finalidad la de introducir cambios y ajustes para fortalecer la </w:t>
      </w:r>
      <w:r w:rsidRPr="74B627C0">
        <w:rPr>
          <w:rFonts w:ascii="Verdana" w:eastAsia="Times New Roman" w:hAnsi="Verdana" w:cs="Arial"/>
          <w:lang w:val="es-ES" w:eastAsia="es-CO"/>
        </w:rPr>
        <w:lastRenderedPageBreak/>
        <w:t xml:space="preserve">contratación pública. En ese orden, mediante su artículo 5 modificó el parágrafo 1º y adicionó algunos otros, entre ellos el 3° y 4° del artículo 5 de la Ley 1150 de 2007, en los siguientes términos: </w:t>
      </w:r>
    </w:p>
    <w:p w14:paraId="4892B852" w14:textId="77777777" w:rsidR="00AA3E73" w:rsidRPr="00042671" w:rsidRDefault="00AA3E73" w:rsidP="00AA3E73">
      <w:pPr>
        <w:spacing w:after="0" w:line="276" w:lineRule="auto"/>
        <w:ind w:left="709" w:right="709"/>
        <w:jc w:val="both"/>
        <w:rPr>
          <w:rFonts w:ascii="Verdana" w:eastAsia="Times New Roman" w:hAnsi="Verdana" w:cs="Arial"/>
          <w:lang w:val="es-ES_tradnl" w:eastAsia="es-CO"/>
        </w:rPr>
      </w:pPr>
    </w:p>
    <w:p w14:paraId="3FB60CDD" w14:textId="77777777" w:rsidR="00AA3E73" w:rsidRPr="00042671" w:rsidRDefault="00AA3E73" w:rsidP="00AA3E73">
      <w:pPr>
        <w:spacing w:after="0" w:line="240" w:lineRule="auto"/>
        <w:ind w:left="709" w:right="709"/>
        <w:jc w:val="both"/>
        <w:rPr>
          <w:rFonts w:ascii="Verdana" w:eastAsia="Times New Roman" w:hAnsi="Verdana" w:cs="Arial"/>
          <w:sz w:val="20"/>
          <w:szCs w:val="20"/>
          <w:lang w:val="es-ES_tradnl" w:eastAsia="es-CO"/>
        </w:rPr>
      </w:pPr>
      <w:r w:rsidRPr="00042671">
        <w:rPr>
          <w:rFonts w:ascii="Verdana" w:eastAsia="Times New Roman" w:hAnsi="Verdana" w:cs="Arial"/>
          <w:sz w:val="20"/>
          <w:szCs w:val="20"/>
          <w:lang w:val="es-ES_tradnl" w:eastAsia="es-CO"/>
        </w:rPr>
        <w:t xml:space="preserve">“Artículo 5°. De la selección objetiva. </w:t>
      </w:r>
    </w:p>
    <w:p w14:paraId="4618436A" w14:textId="77777777" w:rsidR="00AA3E73" w:rsidRPr="00042671" w:rsidRDefault="00AA3E73" w:rsidP="00AA3E73">
      <w:pPr>
        <w:spacing w:after="0" w:line="240" w:lineRule="auto"/>
        <w:ind w:left="709" w:right="709"/>
        <w:jc w:val="both"/>
        <w:textAlignment w:val="baseline"/>
        <w:rPr>
          <w:rFonts w:ascii="Verdana" w:eastAsia="Times New Roman" w:hAnsi="Verdana" w:cs="Arial"/>
          <w:color w:val="000000"/>
          <w:sz w:val="20"/>
          <w:szCs w:val="20"/>
          <w:lang w:val="es-ES" w:eastAsia="es-ES_tradnl"/>
        </w:rPr>
      </w:pPr>
    </w:p>
    <w:p w14:paraId="2BDF1E23" w14:textId="77777777" w:rsidR="00AA3E73" w:rsidRPr="00042671" w:rsidRDefault="00AA3E73" w:rsidP="00AA3E73">
      <w:pPr>
        <w:spacing w:after="0" w:line="240" w:lineRule="auto"/>
        <w:ind w:left="709" w:right="709"/>
        <w:jc w:val="both"/>
        <w:textAlignment w:val="baseline"/>
        <w:rPr>
          <w:rFonts w:ascii="Verdana" w:eastAsia="Times New Roman" w:hAnsi="Verdana" w:cs="Segoe UI"/>
          <w:sz w:val="20"/>
          <w:szCs w:val="20"/>
          <w:lang w:eastAsia="es-ES_tradnl"/>
        </w:rPr>
      </w:pPr>
      <w:r w:rsidRPr="00042671">
        <w:rPr>
          <w:rFonts w:ascii="Verdana" w:eastAsia="Times New Roman" w:hAnsi="Verdana" w:cs="Arial"/>
          <w:color w:val="000000"/>
          <w:sz w:val="20"/>
          <w:szCs w:val="20"/>
          <w:lang w:val="es-ES" w:eastAsia="es-ES_tradnl"/>
        </w:rPr>
        <w:t xml:space="preserve">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00042671">
        <w:rPr>
          <w:rFonts w:ascii="Verdana" w:eastAsia="Times New Roman" w:hAnsi="Verdana" w:cs="Arial"/>
          <w:color w:val="000000"/>
          <w:sz w:val="20"/>
          <w:szCs w:val="20"/>
          <w:lang w:val="es-ES" w:eastAsia="es-ES_tradnl"/>
        </w:rPr>
        <w:t>equivalentes,</w:t>
      </w:r>
      <w:proofErr w:type="gramEnd"/>
      <w:r w:rsidRPr="00042671">
        <w:rPr>
          <w:rFonts w:ascii="Verdana" w:eastAsia="Times New Roman" w:hAnsi="Verdana" w:cs="Arial"/>
          <w:color w:val="000000"/>
          <w:sz w:val="20"/>
          <w:szCs w:val="20"/>
          <w:lang w:val="es-ES" w:eastAsia="es-ES_tradnl"/>
        </w:rPr>
        <w:t xml:space="preserve"> tendrán en cuenta los siguientes criterios:</w:t>
      </w:r>
      <w:r w:rsidRPr="00042671">
        <w:rPr>
          <w:rFonts w:ascii="Verdana" w:eastAsia="Arial" w:hAnsi="Verdana" w:cs="Times New Roman"/>
          <w:color w:val="000000"/>
          <w:sz w:val="20"/>
          <w:szCs w:val="20"/>
          <w:lang w:eastAsia="es-ES_tradnl"/>
        </w:rPr>
        <w:t> </w:t>
      </w:r>
    </w:p>
    <w:p w14:paraId="2993FC62" w14:textId="77777777" w:rsidR="00AA3E73" w:rsidRPr="00042671" w:rsidRDefault="00AA3E73" w:rsidP="00AA3E73">
      <w:pPr>
        <w:spacing w:after="0" w:line="240" w:lineRule="auto"/>
        <w:ind w:left="709" w:right="709"/>
        <w:jc w:val="both"/>
        <w:textAlignment w:val="baseline"/>
        <w:rPr>
          <w:rFonts w:ascii="Verdana" w:eastAsia="Times New Roman" w:hAnsi="Verdana" w:cs="Segoe UI"/>
          <w:sz w:val="20"/>
          <w:szCs w:val="20"/>
          <w:lang w:eastAsia="es-ES_tradnl"/>
        </w:rPr>
      </w:pPr>
      <w:r w:rsidRPr="00042671">
        <w:rPr>
          <w:rFonts w:ascii="Verdana" w:eastAsia="Arial" w:hAnsi="Verdana" w:cs="Times New Roman"/>
          <w:color w:val="000000"/>
          <w:sz w:val="20"/>
          <w:szCs w:val="20"/>
          <w:lang w:eastAsia="es-ES_tradnl"/>
        </w:rPr>
        <w:t> </w:t>
      </w:r>
    </w:p>
    <w:p w14:paraId="2D460302" w14:textId="77777777" w:rsidR="00AA3E73" w:rsidRPr="00042671" w:rsidRDefault="00AA3E73" w:rsidP="00AA3E73">
      <w:pPr>
        <w:spacing w:after="0" w:line="240" w:lineRule="auto"/>
        <w:ind w:left="709" w:right="709"/>
        <w:jc w:val="both"/>
        <w:textAlignment w:val="baseline"/>
        <w:rPr>
          <w:rFonts w:ascii="Verdana" w:eastAsia="Times New Roman" w:hAnsi="Verdana" w:cs="Segoe UI"/>
          <w:sz w:val="20"/>
          <w:szCs w:val="20"/>
          <w:lang w:eastAsia="es-ES_tradnl"/>
        </w:rPr>
      </w:pPr>
      <w:r w:rsidRPr="00042671">
        <w:rPr>
          <w:rFonts w:ascii="Verdana" w:eastAsia="Times New Roman" w:hAnsi="Verdana" w:cs="Arial"/>
          <w:color w:val="000000"/>
          <w:sz w:val="20"/>
          <w:szCs w:val="20"/>
          <w:lang w:val="es-ES" w:eastAsia="es-ES_tradnl"/>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r w:rsidRPr="00042671">
        <w:rPr>
          <w:rFonts w:ascii="Verdana" w:eastAsia="Arial" w:hAnsi="Verdana" w:cs="Times New Roman"/>
          <w:color w:val="000000"/>
          <w:sz w:val="20"/>
          <w:szCs w:val="20"/>
          <w:lang w:eastAsia="es-ES_tradnl"/>
        </w:rPr>
        <w:t> </w:t>
      </w:r>
    </w:p>
    <w:p w14:paraId="71EE4189" w14:textId="77777777" w:rsidR="00AA3E73" w:rsidRPr="00042671" w:rsidRDefault="00AA3E73" w:rsidP="00AA3E73">
      <w:pPr>
        <w:spacing w:after="0" w:line="240" w:lineRule="auto"/>
        <w:ind w:left="709" w:right="709"/>
        <w:jc w:val="both"/>
        <w:textAlignment w:val="baseline"/>
        <w:rPr>
          <w:rFonts w:ascii="Verdana" w:eastAsia="Times New Roman" w:hAnsi="Verdana" w:cs="Segoe UI"/>
          <w:sz w:val="20"/>
          <w:szCs w:val="20"/>
          <w:lang w:eastAsia="es-ES_tradnl"/>
        </w:rPr>
      </w:pPr>
      <w:r w:rsidRPr="00042671">
        <w:rPr>
          <w:rFonts w:ascii="Verdana" w:eastAsia="Arial" w:hAnsi="Verdana" w:cs="Times New Roman"/>
          <w:color w:val="000000"/>
          <w:sz w:val="20"/>
          <w:szCs w:val="20"/>
          <w:lang w:eastAsia="es-ES_tradnl"/>
        </w:rPr>
        <w:t> </w:t>
      </w:r>
    </w:p>
    <w:p w14:paraId="5C550E7E" w14:textId="77777777" w:rsidR="00AA3E73" w:rsidRPr="00042671" w:rsidRDefault="00AA3E73" w:rsidP="00AA3E73">
      <w:pPr>
        <w:spacing w:after="0" w:line="240" w:lineRule="auto"/>
        <w:ind w:left="709" w:right="709"/>
        <w:jc w:val="both"/>
        <w:textAlignment w:val="baseline"/>
        <w:rPr>
          <w:rFonts w:ascii="Verdana" w:eastAsia="Times New Roman" w:hAnsi="Verdana" w:cs="Segoe UI"/>
          <w:sz w:val="20"/>
          <w:szCs w:val="20"/>
          <w:lang w:eastAsia="es-ES_tradnl"/>
        </w:rPr>
      </w:pPr>
      <w:r w:rsidRPr="00042671">
        <w:rPr>
          <w:rFonts w:ascii="Verdana" w:eastAsia="Times New Roman" w:hAnsi="Verdana" w:cs="Arial"/>
          <w:color w:val="000000"/>
          <w:sz w:val="20"/>
          <w:szCs w:val="20"/>
          <w:lang w:val="es-ES" w:eastAsia="es-ES_tradnl"/>
        </w:rPr>
        <w:t>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r w:rsidRPr="00042671">
        <w:rPr>
          <w:rFonts w:ascii="Verdana" w:eastAsia="Arial" w:hAnsi="Verdana" w:cs="Times New Roman"/>
          <w:color w:val="000000"/>
          <w:sz w:val="20"/>
          <w:szCs w:val="20"/>
          <w:lang w:eastAsia="es-ES_tradnl"/>
        </w:rPr>
        <w:t> </w:t>
      </w:r>
    </w:p>
    <w:p w14:paraId="4619DD00" w14:textId="77777777" w:rsidR="00AA3E73" w:rsidRPr="00042671" w:rsidRDefault="00AA3E73" w:rsidP="00AA3E73">
      <w:pPr>
        <w:spacing w:after="0" w:line="240" w:lineRule="auto"/>
        <w:ind w:left="709" w:right="709"/>
        <w:jc w:val="both"/>
        <w:textAlignment w:val="baseline"/>
        <w:rPr>
          <w:rFonts w:ascii="Verdana" w:eastAsia="Times New Roman" w:hAnsi="Verdana" w:cs="Segoe UI"/>
          <w:sz w:val="20"/>
          <w:szCs w:val="20"/>
          <w:lang w:eastAsia="es-ES_tradnl"/>
        </w:rPr>
      </w:pPr>
    </w:p>
    <w:p w14:paraId="6940320C" w14:textId="77777777" w:rsidR="00AA3E73" w:rsidRPr="00042671" w:rsidRDefault="00AA3E73" w:rsidP="00AA3E73">
      <w:pPr>
        <w:spacing w:after="0" w:line="240" w:lineRule="auto"/>
        <w:ind w:left="709" w:right="709"/>
        <w:jc w:val="both"/>
        <w:textAlignment w:val="baseline"/>
        <w:rPr>
          <w:rFonts w:ascii="Verdana" w:eastAsia="Times New Roman" w:hAnsi="Verdana" w:cs="Segoe UI"/>
          <w:sz w:val="20"/>
          <w:szCs w:val="20"/>
          <w:lang w:eastAsia="es-ES_tradnl"/>
        </w:rPr>
      </w:pPr>
      <w:r w:rsidRPr="00042671">
        <w:rPr>
          <w:rFonts w:ascii="Verdana" w:eastAsia="Times New Roman" w:hAnsi="Verdana" w:cs="Arial"/>
          <w:color w:val="000000"/>
          <w:sz w:val="20"/>
          <w:szCs w:val="20"/>
          <w:lang w:val="es-ES" w:eastAsia="es-ES_tradnl"/>
        </w:rPr>
        <w:t>En los procesos de selección en los que se tenga en cuenta los factores técnicos y económicos, la oferta más ventajosa será la que resulte de aplicar alguna de las siguientes alternativas:</w:t>
      </w:r>
      <w:r w:rsidRPr="00042671">
        <w:rPr>
          <w:rFonts w:ascii="Verdana" w:eastAsia="Arial" w:hAnsi="Verdana" w:cs="Times New Roman"/>
          <w:color w:val="000000"/>
          <w:sz w:val="20"/>
          <w:szCs w:val="20"/>
          <w:lang w:eastAsia="es-ES_tradnl"/>
        </w:rPr>
        <w:t> </w:t>
      </w:r>
    </w:p>
    <w:p w14:paraId="5ECCE986" w14:textId="77777777" w:rsidR="00AA3E73" w:rsidRPr="00042671" w:rsidRDefault="00AA3E73" w:rsidP="00AA3E73">
      <w:pPr>
        <w:spacing w:after="0" w:line="240" w:lineRule="auto"/>
        <w:ind w:left="709" w:right="709"/>
        <w:jc w:val="both"/>
        <w:textAlignment w:val="baseline"/>
        <w:rPr>
          <w:rFonts w:ascii="Verdana" w:eastAsia="Times New Roman" w:hAnsi="Verdana" w:cs="Segoe UI"/>
          <w:sz w:val="20"/>
          <w:szCs w:val="20"/>
          <w:lang w:eastAsia="es-ES_tradnl"/>
        </w:rPr>
      </w:pPr>
    </w:p>
    <w:p w14:paraId="76279A7C" w14:textId="77777777" w:rsidR="00AA3E73" w:rsidRPr="00042671" w:rsidRDefault="00AA3E73" w:rsidP="00AA3E73">
      <w:pPr>
        <w:spacing w:after="0" w:line="240" w:lineRule="auto"/>
        <w:ind w:left="709" w:right="709"/>
        <w:jc w:val="both"/>
        <w:textAlignment w:val="baseline"/>
        <w:rPr>
          <w:rFonts w:ascii="Verdana" w:eastAsia="Times New Roman" w:hAnsi="Verdana" w:cs="Segoe UI"/>
          <w:sz w:val="20"/>
          <w:szCs w:val="20"/>
          <w:lang w:eastAsia="es-ES_tradnl"/>
        </w:rPr>
      </w:pPr>
      <w:r w:rsidRPr="00042671">
        <w:rPr>
          <w:rFonts w:ascii="Verdana" w:eastAsia="Times New Roman" w:hAnsi="Verdana" w:cs="Arial"/>
          <w:color w:val="000000"/>
          <w:sz w:val="20"/>
          <w:szCs w:val="20"/>
          <w:lang w:val="es-ES" w:eastAsia="es-ES_tradnl"/>
        </w:rPr>
        <w:t>a) La ponderación de los elementos de calidad y precio soportados en puntajes o fórmulas señaladas en el pliego de condiciones; o</w:t>
      </w:r>
    </w:p>
    <w:p w14:paraId="685E7AF5" w14:textId="77777777" w:rsidR="00AA3E73" w:rsidRPr="00042671" w:rsidRDefault="00AA3E73" w:rsidP="00AA3E73">
      <w:pPr>
        <w:spacing w:after="0" w:line="240" w:lineRule="auto"/>
        <w:ind w:left="709" w:right="709"/>
        <w:jc w:val="both"/>
        <w:textAlignment w:val="baseline"/>
        <w:rPr>
          <w:rFonts w:ascii="Verdana" w:eastAsia="Times New Roman" w:hAnsi="Verdana" w:cs="Segoe UI"/>
          <w:sz w:val="20"/>
          <w:szCs w:val="20"/>
          <w:lang w:eastAsia="es-ES_tradnl"/>
        </w:rPr>
      </w:pPr>
    </w:p>
    <w:p w14:paraId="0BA00936" w14:textId="77777777" w:rsidR="00AA3E73" w:rsidRPr="00042671" w:rsidRDefault="00AA3E73" w:rsidP="00AA3E73">
      <w:pPr>
        <w:spacing w:after="0" w:line="240" w:lineRule="auto"/>
        <w:ind w:left="709" w:right="709"/>
        <w:jc w:val="both"/>
        <w:textAlignment w:val="baseline"/>
        <w:rPr>
          <w:rFonts w:ascii="Verdana" w:eastAsia="Times New Roman" w:hAnsi="Verdana" w:cs="Segoe UI"/>
          <w:sz w:val="20"/>
          <w:szCs w:val="20"/>
          <w:lang w:eastAsia="es-ES_tradnl"/>
        </w:rPr>
      </w:pPr>
      <w:r w:rsidRPr="00042671">
        <w:rPr>
          <w:rFonts w:ascii="Verdana" w:eastAsia="Times New Roman" w:hAnsi="Verdana" w:cs="Arial"/>
          <w:color w:val="000000"/>
          <w:sz w:val="20"/>
          <w:szCs w:val="20"/>
          <w:lang w:val="es-ES" w:eastAsia="es-ES_tradnl"/>
        </w:rPr>
        <w:t>b) La ponderación de los elementos de calidad y precio que representen la mejor relación de costo-beneficio para la entidad.</w:t>
      </w:r>
      <w:r w:rsidRPr="00042671">
        <w:rPr>
          <w:rFonts w:ascii="Verdana" w:eastAsia="Arial" w:hAnsi="Verdana" w:cs="Times New Roman"/>
          <w:color w:val="000000"/>
          <w:sz w:val="20"/>
          <w:szCs w:val="20"/>
          <w:lang w:eastAsia="es-ES_tradnl"/>
        </w:rPr>
        <w:t> </w:t>
      </w:r>
    </w:p>
    <w:p w14:paraId="158E07EE" w14:textId="77777777" w:rsidR="00AA3E73" w:rsidRPr="00042671" w:rsidRDefault="00AA3E73" w:rsidP="00AA3E73">
      <w:pPr>
        <w:spacing w:after="0" w:line="240" w:lineRule="auto"/>
        <w:ind w:left="709" w:right="709"/>
        <w:jc w:val="both"/>
        <w:textAlignment w:val="baseline"/>
        <w:rPr>
          <w:rFonts w:ascii="Verdana" w:eastAsia="Times New Roman" w:hAnsi="Verdana" w:cs="Segoe UI"/>
          <w:sz w:val="20"/>
          <w:szCs w:val="20"/>
          <w:lang w:eastAsia="es-ES_tradnl"/>
        </w:rPr>
      </w:pPr>
    </w:p>
    <w:p w14:paraId="04D2E87E" w14:textId="77777777" w:rsidR="00AA3E73" w:rsidRPr="00042671" w:rsidRDefault="00AA3E73" w:rsidP="00AA3E73">
      <w:pPr>
        <w:spacing w:after="0" w:line="240" w:lineRule="auto"/>
        <w:ind w:left="709" w:right="709"/>
        <w:jc w:val="both"/>
        <w:textAlignment w:val="baseline"/>
        <w:rPr>
          <w:rFonts w:ascii="Verdana" w:eastAsia="Times New Roman" w:hAnsi="Verdana" w:cs="Segoe UI"/>
          <w:sz w:val="20"/>
          <w:szCs w:val="20"/>
          <w:lang w:eastAsia="es-ES_tradnl"/>
        </w:rPr>
      </w:pPr>
      <w:r w:rsidRPr="00042671">
        <w:rPr>
          <w:rFonts w:ascii="Verdana" w:eastAsia="Times New Roman" w:hAnsi="Verdana" w:cs="Arial"/>
          <w:color w:val="000000"/>
          <w:sz w:val="20"/>
          <w:szCs w:val="20"/>
          <w:lang w:val="es-ES" w:eastAsia="es-ES_tradnl"/>
        </w:rPr>
        <w:lastRenderedPageBreak/>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r w:rsidRPr="00042671">
        <w:rPr>
          <w:rFonts w:ascii="Verdana" w:eastAsia="Arial" w:hAnsi="Verdana" w:cs="Times New Roman"/>
          <w:color w:val="000000"/>
          <w:sz w:val="20"/>
          <w:szCs w:val="20"/>
          <w:lang w:eastAsia="es-ES_tradnl"/>
        </w:rPr>
        <w:t> </w:t>
      </w:r>
    </w:p>
    <w:p w14:paraId="2A2DD1A3" w14:textId="77777777" w:rsidR="00AA3E73" w:rsidRPr="00042671" w:rsidRDefault="00AA3E73" w:rsidP="00AA3E73">
      <w:pPr>
        <w:spacing w:after="0" w:line="240" w:lineRule="auto"/>
        <w:ind w:left="709" w:right="709"/>
        <w:jc w:val="both"/>
        <w:textAlignment w:val="baseline"/>
        <w:rPr>
          <w:rFonts w:ascii="Verdana" w:eastAsia="Times New Roman" w:hAnsi="Verdana" w:cs="Segoe UI"/>
          <w:sz w:val="20"/>
          <w:szCs w:val="20"/>
          <w:lang w:eastAsia="es-ES_tradnl"/>
        </w:rPr>
      </w:pPr>
      <w:r w:rsidRPr="00042671">
        <w:rPr>
          <w:rFonts w:ascii="Verdana" w:eastAsia="Arial" w:hAnsi="Verdana" w:cs="Times New Roman"/>
          <w:color w:val="000000"/>
          <w:sz w:val="20"/>
          <w:szCs w:val="20"/>
          <w:lang w:eastAsia="es-ES_tradnl"/>
        </w:rPr>
        <w:t> </w:t>
      </w:r>
    </w:p>
    <w:p w14:paraId="3AD025F8" w14:textId="77777777" w:rsidR="00AA3E73" w:rsidRPr="00042671" w:rsidRDefault="00AA3E73" w:rsidP="00AA3E73">
      <w:pPr>
        <w:spacing w:after="0" w:line="240" w:lineRule="auto"/>
        <w:ind w:left="709" w:right="709"/>
        <w:jc w:val="both"/>
        <w:textAlignment w:val="baseline"/>
        <w:rPr>
          <w:rFonts w:ascii="Verdana" w:eastAsia="Times New Roman" w:hAnsi="Verdana" w:cs="Segoe UI"/>
          <w:sz w:val="20"/>
          <w:szCs w:val="20"/>
          <w:lang w:eastAsia="es-ES_tradnl"/>
        </w:rPr>
      </w:pPr>
      <w:r w:rsidRPr="00042671">
        <w:rPr>
          <w:rFonts w:ascii="Verdana" w:eastAsia="Times New Roman" w:hAnsi="Verdana" w:cs="Arial"/>
          <w:color w:val="000000"/>
          <w:sz w:val="20"/>
          <w:szCs w:val="20"/>
          <w:lang w:val="es-ES" w:eastAsia="es-ES_tradnl"/>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r w:rsidRPr="00042671">
        <w:rPr>
          <w:rFonts w:ascii="Verdana" w:eastAsia="Arial" w:hAnsi="Verdana" w:cs="Times New Roman"/>
          <w:color w:val="000000"/>
          <w:sz w:val="20"/>
          <w:szCs w:val="20"/>
          <w:lang w:eastAsia="es-ES_tradnl"/>
        </w:rPr>
        <w:t> </w:t>
      </w:r>
    </w:p>
    <w:p w14:paraId="5E4D6712" w14:textId="77777777" w:rsidR="00AA3E73" w:rsidRPr="00042671" w:rsidRDefault="00AA3E73" w:rsidP="00AA3E73">
      <w:pPr>
        <w:spacing w:after="0" w:line="240" w:lineRule="auto"/>
        <w:ind w:left="709" w:right="709"/>
        <w:jc w:val="both"/>
        <w:textAlignment w:val="baseline"/>
        <w:rPr>
          <w:rFonts w:ascii="Verdana" w:eastAsia="Times New Roman" w:hAnsi="Verdana" w:cs="Segoe UI"/>
          <w:sz w:val="20"/>
          <w:szCs w:val="20"/>
          <w:lang w:eastAsia="es-ES_tradnl"/>
        </w:rPr>
      </w:pPr>
      <w:r w:rsidRPr="00042671">
        <w:rPr>
          <w:rFonts w:ascii="Verdana" w:eastAsia="Arial" w:hAnsi="Verdana" w:cs="Times New Roman"/>
          <w:color w:val="000000"/>
          <w:sz w:val="20"/>
          <w:szCs w:val="20"/>
          <w:lang w:eastAsia="es-ES_tradnl"/>
        </w:rPr>
        <w:t> </w:t>
      </w:r>
    </w:p>
    <w:p w14:paraId="5A77FE6C" w14:textId="77777777" w:rsidR="00AA3E73" w:rsidRPr="00042671" w:rsidRDefault="00AA3E73" w:rsidP="00AA3E73">
      <w:pPr>
        <w:spacing w:after="0" w:line="240" w:lineRule="auto"/>
        <w:ind w:left="709" w:right="709"/>
        <w:jc w:val="both"/>
        <w:textAlignment w:val="baseline"/>
        <w:rPr>
          <w:rFonts w:ascii="Verdana" w:eastAsia="Times New Roman" w:hAnsi="Verdana" w:cs="Segoe UI"/>
          <w:sz w:val="20"/>
          <w:szCs w:val="20"/>
          <w:lang w:eastAsia="es-ES_tradnl"/>
        </w:rPr>
      </w:pPr>
      <w:r w:rsidRPr="00042671">
        <w:rPr>
          <w:rFonts w:ascii="Verdana" w:eastAsia="Times New Roman" w:hAnsi="Verdana" w:cs="Arial"/>
          <w:color w:val="000000"/>
          <w:sz w:val="20"/>
          <w:szCs w:val="20"/>
          <w:lang w:val="es-ES" w:eastAsia="es-ES_tradnl"/>
        </w:rPr>
        <w:t>En ningún caso se podrá incluir el precio, como factor de escogencia para la selección de consultores.</w:t>
      </w:r>
      <w:r w:rsidRPr="00042671">
        <w:rPr>
          <w:rFonts w:ascii="Verdana" w:eastAsia="Arial" w:hAnsi="Verdana" w:cs="Times New Roman"/>
          <w:color w:val="000000"/>
          <w:sz w:val="20"/>
          <w:szCs w:val="20"/>
          <w:lang w:eastAsia="es-ES_tradnl"/>
        </w:rPr>
        <w:t> </w:t>
      </w:r>
    </w:p>
    <w:p w14:paraId="486849C1" w14:textId="77777777" w:rsidR="00AA3E73" w:rsidRPr="00042671" w:rsidRDefault="00AA3E73" w:rsidP="00AA3E73">
      <w:pPr>
        <w:spacing w:after="0" w:line="240" w:lineRule="auto"/>
        <w:ind w:left="709" w:right="709"/>
        <w:jc w:val="both"/>
        <w:textAlignment w:val="baseline"/>
        <w:rPr>
          <w:rFonts w:ascii="Verdana" w:eastAsia="Times New Roman" w:hAnsi="Verdana" w:cs="Segoe UI"/>
          <w:sz w:val="20"/>
          <w:szCs w:val="20"/>
          <w:lang w:eastAsia="es-ES_tradnl"/>
        </w:rPr>
      </w:pPr>
      <w:r w:rsidRPr="00042671">
        <w:rPr>
          <w:rFonts w:ascii="Verdana" w:eastAsia="Arial" w:hAnsi="Verdana" w:cs="Times New Roman"/>
          <w:color w:val="000000"/>
          <w:sz w:val="20"/>
          <w:szCs w:val="20"/>
          <w:lang w:eastAsia="es-ES_tradnl"/>
        </w:rPr>
        <w:t> </w:t>
      </w:r>
    </w:p>
    <w:p w14:paraId="63E246C1" w14:textId="77777777" w:rsidR="00AA3E73" w:rsidRPr="00042671" w:rsidRDefault="00AA3E73" w:rsidP="00AA3E73">
      <w:pPr>
        <w:spacing w:after="0" w:line="240" w:lineRule="auto"/>
        <w:ind w:left="709" w:right="709"/>
        <w:jc w:val="both"/>
        <w:textAlignment w:val="baseline"/>
        <w:rPr>
          <w:rFonts w:ascii="Verdana" w:eastAsia="Times New Roman" w:hAnsi="Verdana" w:cs="Segoe UI"/>
          <w:sz w:val="20"/>
          <w:szCs w:val="20"/>
          <w:lang w:eastAsia="es-ES_tradnl"/>
        </w:rPr>
      </w:pPr>
      <w:r w:rsidRPr="00042671">
        <w:rPr>
          <w:rFonts w:ascii="Verdana" w:eastAsia="Times New Roman" w:hAnsi="Verdana" w:cs="Arial"/>
          <w:color w:val="000000"/>
          <w:sz w:val="20"/>
          <w:szCs w:val="20"/>
          <w:u w:val="single"/>
          <w:lang w:val="es-ES" w:eastAsia="es-ES_tradnl"/>
        </w:rPr>
        <w:t xml:space="preserve">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042671">
        <w:rPr>
          <w:rFonts w:ascii="Verdana" w:eastAsia="Times New Roman" w:hAnsi="Verdana" w:cs="Arial"/>
          <w:color w:val="000000"/>
          <w:sz w:val="20"/>
          <w:szCs w:val="20"/>
          <w:u w:val="single"/>
          <w:lang w:val="es-ES" w:eastAsia="es-ES_tradnl"/>
        </w:rPr>
        <w:t>puntaje,</w:t>
      </w:r>
      <w:proofErr w:type="gramEnd"/>
      <w:r w:rsidRPr="00042671">
        <w:rPr>
          <w:rFonts w:ascii="Verdana" w:eastAsia="Times New Roman" w:hAnsi="Verdana" w:cs="Arial"/>
          <w:color w:val="000000"/>
          <w:sz w:val="20"/>
          <w:szCs w:val="20"/>
          <w:u w:val="single"/>
          <w:lang w:val="es-ES" w:eastAsia="es-ES_tradnl"/>
        </w:rPr>
        <w:t xml:space="preserve"> deberán ser solicitados por las entidades estatales y deberán ser entregados por los proponentes hasta el término de traslado del informe de evaluación que corresponda a cada modalidad de selección</w:t>
      </w:r>
      <w:r w:rsidRPr="00042671">
        <w:rPr>
          <w:rFonts w:ascii="Verdana" w:eastAsia="Times New Roman" w:hAnsi="Verdana" w:cs="Arial"/>
          <w:color w:val="000000"/>
          <w:sz w:val="20"/>
          <w:szCs w:val="20"/>
          <w:lang w:val="es-ES" w:eastAsia="es-ES_tradnl"/>
        </w:rPr>
        <w:t xml:space="preserve">, salvo lo dispuesto para el proceso de Mínima cuantía y para el proceso de selección a través del sistema de subasta. </w:t>
      </w:r>
      <w:r w:rsidRPr="00042671">
        <w:rPr>
          <w:rFonts w:ascii="Verdana" w:eastAsia="Times New Roman" w:hAnsi="Verdana" w:cs="Arial"/>
          <w:color w:val="000000"/>
          <w:sz w:val="20"/>
          <w:szCs w:val="20"/>
          <w:u w:val="single"/>
          <w:lang w:val="es-ES" w:eastAsia="es-ES_tradnl"/>
        </w:rPr>
        <w:t>Serán rechazadas las ofertas de aquellos proponentes que no suministren la información y la documentación solicitada por la entidad estatal hasta el plazo anteriormente señalado.</w:t>
      </w:r>
      <w:r w:rsidRPr="00042671">
        <w:rPr>
          <w:rFonts w:ascii="Verdana" w:eastAsia="Arial" w:hAnsi="Verdana" w:cs="Times New Roman"/>
          <w:color w:val="000000"/>
          <w:sz w:val="20"/>
          <w:szCs w:val="20"/>
          <w:u w:val="single"/>
          <w:lang w:eastAsia="es-ES_tradnl"/>
        </w:rPr>
        <w:t> </w:t>
      </w:r>
    </w:p>
    <w:p w14:paraId="7AC14B8D" w14:textId="77777777" w:rsidR="00AA3E73" w:rsidRPr="00042671" w:rsidRDefault="00AA3E73" w:rsidP="00AA3E73">
      <w:pPr>
        <w:spacing w:after="0" w:line="240" w:lineRule="auto"/>
        <w:ind w:left="709" w:right="709"/>
        <w:jc w:val="both"/>
        <w:textAlignment w:val="baseline"/>
        <w:rPr>
          <w:rFonts w:ascii="Verdana" w:eastAsia="Times New Roman" w:hAnsi="Verdana" w:cs="Segoe UI"/>
          <w:sz w:val="20"/>
          <w:szCs w:val="20"/>
          <w:lang w:eastAsia="es-ES_tradnl"/>
        </w:rPr>
      </w:pPr>
      <w:r w:rsidRPr="00042671">
        <w:rPr>
          <w:rFonts w:ascii="Verdana" w:eastAsia="Arial" w:hAnsi="Verdana" w:cs="Times New Roman"/>
          <w:color w:val="000000"/>
          <w:sz w:val="20"/>
          <w:szCs w:val="20"/>
          <w:lang w:eastAsia="es-ES_tradnl"/>
        </w:rPr>
        <w:t> </w:t>
      </w:r>
    </w:p>
    <w:p w14:paraId="647C6093" w14:textId="77777777" w:rsidR="00AA3E73" w:rsidRPr="00042671" w:rsidRDefault="00AA3E73" w:rsidP="00AA3E73">
      <w:pPr>
        <w:spacing w:after="0" w:line="240" w:lineRule="auto"/>
        <w:ind w:left="709" w:right="709"/>
        <w:jc w:val="both"/>
        <w:textAlignment w:val="baseline"/>
        <w:rPr>
          <w:rFonts w:ascii="Verdana" w:eastAsia="Times New Roman" w:hAnsi="Verdana" w:cs="Segoe UI"/>
          <w:sz w:val="20"/>
          <w:szCs w:val="20"/>
          <w:lang w:eastAsia="es-ES_tradnl"/>
        </w:rPr>
      </w:pPr>
      <w:r w:rsidRPr="00042671">
        <w:rPr>
          <w:rFonts w:ascii="Verdana" w:eastAsia="Times New Roman" w:hAnsi="Verdana" w:cs="Arial"/>
          <w:color w:val="000000"/>
          <w:sz w:val="20"/>
          <w:szCs w:val="20"/>
          <w:u w:val="single"/>
          <w:lang w:val="es-ES" w:eastAsia="es-ES_tradnl"/>
        </w:rPr>
        <w:t>Durante el término otorgado para subsanar las ofertas, los proponentes no podrán acreditar circunstancias ocurridas con posterioridad al cierre del proceso.</w:t>
      </w:r>
      <w:r w:rsidRPr="00042671">
        <w:rPr>
          <w:rFonts w:ascii="Verdana" w:eastAsia="Arial" w:hAnsi="Verdana" w:cs="Times New Roman"/>
          <w:color w:val="000000"/>
          <w:sz w:val="20"/>
          <w:szCs w:val="20"/>
          <w:lang w:eastAsia="es-ES_tradnl"/>
        </w:rPr>
        <w:t> </w:t>
      </w:r>
    </w:p>
    <w:p w14:paraId="1291C717" w14:textId="77777777" w:rsidR="00AA3E73" w:rsidRPr="00042671" w:rsidRDefault="00AA3E73" w:rsidP="00AA3E73">
      <w:pPr>
        <w:spacing w:after="0" w:line="240" w:lineRule="auto"/>
        <w:ind w:left="709" w:right="709"/>
        <w:jc w:val="both"/>
        <w:textAlignment w:val="baseline"/>
        <w:rPr>
          <w:rFonts w:ascii="Verdana" w:eastAsia="Times New Roman" w:hAnsi="Verdana" w:cs="Segoe UI"/>
          <w:sz w:val="20"/>
          <w:szCs w:val="20"/>
          <w:lang w:eastAsia="es-ES_tradnl"/>
        </w:rPr>
      </w:pPr>
      <w:r w:rsidRPr="00042671">
        <w:rPr>
          <w:rFonts w:ascii="Verdana" w:eastAsia="Arial" w:hAnsi="Verdana" w:cs="Times New Roman"/>
          <w:color w:val="000000"/>
          <w:sz w:val="20"/>
          <w:szCs w:val="20"/>
          <w:lang w:eastAsia="es-ES_tradnl"/>
        </w:rPr>
        <w:t> </w:t>
      </w:r>
    </w:p>
    <w:p w14:paraId="7D8F6F1B" w14:textId="77777777" w:rsidR="00AA3E73" w:rsidRPr="00042671" w:rsidRDefault="00AA3E73" w:rsidP="00AA3E73">
      <w:pPr>
        <w:spacing w:after="0" w:line="240" w:lineRule="auto"/>
        <w:ind w:left="709" w:right="709"/>
        <w:jc w:val="both"/>
        <w:textAlignment w:val="baseline"/>
        <w:rPr>
          <w:rFonts w:ascii="Verdana" w:eastAsia="Times New Roman" w:hAnsi="Verdana" w:cs="Segoe UI"/>
          <w:sz w:val="20"/>
          <w:szCs w:val="20"/>
          <w:lang w:eastAsia="es-ES_tradnl"/>
        </w:rPr>
      </w:pPr>
      <w:r w:rsidRPr="00042671">
        <w:rPr>
          <w:rFonts w:ascii="Verdana" w:eastAsia="Times New Roman" w:hAnsi="Verdana" w:cs="Arial"/>
          <w:color w:val="000000"/>
          <w:sz w:val="20"/>
          <w:szCs w:val="20"/>
          <w:lang w:val="es-ES" w:eastAsia="es-ES_tradnl"/>
        </w:rPr>
        <w:t>PARÁGRAFO 2o. Las certificaciones de sistemas de gestión de calidad no serán objeto de calificación, ni podrán establecerse como documento habilitante para participar en licitaciones o concursos.</w:t>
      </w:r>
      <w:r w:rsidRPr="00042671">
        <w:rPr>
          <w:rFonts w:ascii="Verdana" w:eastAsia="Arial" w:hAnsi="Verdana" w:cs="Times New Roman"/>
          <w:color w:val="000000"/>
          <w:sz w:val="20"/>
          <w:szCs w:val="20"/>
          <w:lang w:eastAsia="es-ES_tradnl"/>
        </w:rPr>
        <w:t> </w:t>
      </w:r>
    </w:p>
    <w:p w14:paraId="02A65008" w14:textId="77777777" w:rsidR="00AA3E73" w:rsidRPr="00042671" w:rsidRDefault="00AA3E73" w:rsidP="00AA3E73">
      <w:pPr>
        <w:spacing w:after="0" w:line="240" w:lineRule="auto"/>
        <w:ind w:left="709" w:right="709"/>
        <w:jc w:val="both"/>
        <w:textAlignment w:val="baseline"/>
        <w:rPr>
          <w:rFonts w:ascii="Verdana" w:eastAsia="Times New Roman" w:hAnsi="Verdana" w:cs="Segoe UI"/>
          <w:sz w:val="20"/>
          <w:szCs w:val="20"/>
          <w:lang w:eastAsia="es-ES_tradnl"/>
        </w:rPr>
      </w:pPr>
      <w:r w:rsidRPr="00042671">
        <w:rPr>
          <w:rFonts w:ascii="Verdana" w:eastAsia="Arial" w:hAnsi="Verdana" w:cs="Times New Roman"/>
          <w:color w:val="000000"/>
          <w:sz w:val="20"/>
          <w:szCs w:val="20"/>
          <w:lang w:eastAsia="es-ES_tradnl"/>
        </w:rPr>
        <w:t> </w:t>
      </w:r>
    </w:p>
    <w:p w14:paraId="4158E1B4" w14:textId="77777777" w:rsidR="00AA3E73" w:rsidRPr="00042671" w:rsidRDefault="00AA3E73" w:rsidP="00AA3E73">
      <w:pPr>
        <w:spacing w:after="0" w:line="240" w:lineRule="auto"/>
        <w:ind w:left="709" w:right="709"/>
        <w:jc w:val="both"/>
        <w:textAlignment w:val="baseline"/>
        <w:rPr>
          <w:rFonts w:ascii="Verdana" w:eastAsia="Times New Roman" w:hAnsi="Verdana" w:cs="Segoe UI"/>
          <w:sz w:val="20"/>
          <w:szCs w:val="20"/>
          <w:u w:val="single"/>
          <w:lang w:eastAsia="es-ES_tradnl"/>
        </w:rPr>
      </w:pPr>
      <w:r w:rsidRPr="00042671">
        <w:rPr>
          <w:rFonts w:ascii="Verdana" w:eastAsia="Times New Roman" w:hAnsi="Verdana" w:cs="Arial"/>
          <w:color w:val="000000"/>
          <w:sz w:val="20"/>
          <w:szCs w:val="20"/>
          <w:u w:val="single"/>
          <w:lang w:val="es-ES" w:eastAsia="es-ES_tradnl"/>
        </w:rPr>
        <w:t xml:space="preserve">PARÁGRAFO 3o. &lt;Parágrafo adicionado por el artículo 5 de la Ley 1882 de 2018. El nuevo texto es el siguiente:&gt; La no entrega de la garantía de seriedad junto con la propuesta no será subsanable y será causal de rechazo de </w:t>
      </w:r>
      <w:proofErr w:type="gramStart"/>
      <w:r w:rsidRPr="00042671">
        <w:rPr>
          <w:rFonts w:ascii="Verdana" w:eastAsia="Times New Roman" w:hAnsi="Verdana" w:cs="Arial"/>
          <w:color w:val="000000"/>
          <w:sz w:val="20"/>
          <w:szCs w:val="20"/>
          <w:u w:val="single"/>
          <w:lang w:val="es-ES" w:eastAsia="es-ES_tradnl"/>
        </w:rPr>
        <w:t>la misma</w:t>
      </w:r>
      <w:proofErr w:type="gramEnd"/>
      <w:r w:rsidRPr="00042671">
        <w:rPr>
          <w:rFonts w:ascii="Verdana" w:eastAsia="Times New Roman" w:hAnsi="Verdana" w:cs="Arial"/>
          <w:color w:val="000000"/>
          <w:sz w:val="20"/>
          <w:szCs w:val="20"/>
          <w:u w:val="single"/>
          <w:lang w:val="es-ES" w:eastAsia="es-ES_tradnl"/>
        </w:rPr>
        <w:t>.</w:t>
      </w:r>
      <w:r w:rsidRPr="00042671">
        <w:rPr>
          <w:rFonts w:ascii="Verdana" w:eastAsia="Arial" w:hAnsi="Verdana" w:cs="Times New Roman"/>
          <w:color w:val="000000"/>
          <w:sz w:val="20"/>
          <w:szCs w:val="20"/>
          <w:u w:val="single"/>
          <w:lang w:eastAsia="es-ES_tradnl"/>
        </w:rPr>
        <w:t> </w:t>
      </w:r>
    </w:p>
    <w:p w14:paraId="09D782F9" w14:textId="77777777" w:rsidR="00AA3E73" w:rsidRPr="00042671" w:rsidRDefault="00AA3E73" w:rsidP="00AA3E73">
      <w:pPr>
        <w:spacing w:after="0" w:line="240" w:lineRule="auto"/>
        <w:ind w:left="709" w:right="709"/>
        <w:jc w:val="both"/>
        <w:textAlignment w:val="baseline"/>
        <w:rPr>
          <w:rFonts w:ascii="Verdana" w:eastAsia="Times New Roman" w:hAnsi="Verdana" w:cs="Segoe UI"/>
          <w:sz w:val="20"/>
          <w:szCs w:val="20"/>
          <w:lang w:eastAsia="es-ES_tradnl"/>
        </w:rPr>
      </w:pPr>
      <w:r w:rsidRPr="00042671">
        <w:rPr>
          <w:rFonts w:ascii="Verdana" w:eastAsia="Arial" w:hAnsi="Verdana" w:cs="Times New Roman"/>
          <w:color w:val="000000"/>
          <w:sz w:val="20"/>
          <w:szCs w:val="20"/>
          <w:lang w:eastAsia="es-ES_tradnl"/>
        </w:rPr>
        <w:t> </w:t>
      </w:r>
    </w:p>
    <w:p w14:paraId="2BC84700" w14:textId="77777777" w:rsidR="00AA3E73" w:rsidRPr="00042671" w:rsidRDefault="00AA3E73" w:rsidP="00AA3E73">
      <w:pPr>
        <w:spacing w:after="0" w:line="240" w:lineRule="auto"/>
        <w:ind w:left="709" w:right="709"/>
        <w:jc w:val="both"/>
        <w:textAlignment w:val="baseline"/>
        <w:rPr>
          <w:rFonts w:ascii="Verdana" w:eastAsia="Times New Roman" w:hAnsi="Verdana" w:cs="Segoe UI"/>
          <w:sz w:val="20"/>
          <w:szCs w:val="20"/>
          <w:lang w:eastAsia="es-ES_tradnl"/>
        </w:rPr>
      </w:pPr>
      <w:r w:rsidRPr="00042671">
        <w:rPr>
          <w:rFonts w:ascii="Verdana" w:eastAsia="Times New Roman" w:hAnsi="Verdana" w:cs="Arial"/>
          <w:color w:val="000000"/>
          <w:sz w:val="20"/>
          <w:szCs w:val="20"/>
          <w:lang w:val="es-ES" w:eastAsia="es-ES_tradnl"/>
        </w:rPr>
        <w:t>PARÁGRAFO 4o. &lt;Parágrafo adicionado por el artículo 5 de la Ley 1882 de 2018. El nuevo texto es el siguiente:&gt; En aquellos procesos de selección en los que se utilice el mecanismo de subasta, los documentos referentes a la futura contratación o al proponente, no necesarios para la comparación de las propuestas, deberán ser solicitados hasta el momento previo a su realización.</w:t>
      </w:r>
      <w:r w:rsidRPr="00042671">
        <w:rPr>
          <w:rFonts w:ascii="Verdana" w:eastAsia="Arial" w:hAnsi="Verdana" w:cs="Times New Roman"/>
          <w:color w:val="000000"/>
          <w:sz w:val="20"/>
          <w:szCs w:val="20"/>
          <w:lang w:eastAsia="es-ES_tradnl"/>
        </w:rPr>
        <w:t> </w:t>
      </w:r>
    </w:p>
    <w:p w14:paraId="3D589BD9" w14:textId="77777777" w:rsidR="00AA3E73" w:rsidRPr="00042671" w:rsidRDefault="00AA3E73" w:rsidP="00AA3E73">
      <w:pPr>
        <w:spacing w:after="0" w:line="240" w:lineRule="auto"/>
        <w:ind w:left="709" w:right="709"/>
        <w:jc w:val="both"/>
        <w:textAlignment w:val="baseline"/>
        <w:rPr>
          <w:rFonts w:ascii="Verdana" w:eastAsia="Times New Roman" w:hAnsi="Verdana" w:cs="Segoe UI"/>
          <w:sz w:val="20"/>
          <w:szCs w:val="20"/>
          <w:lang w:eastAsia="es-ES_tradnl"/>
        </w:rPr>
      </w:pPr>
      <w:r w:rsidRPr="00042671">
        <w:rPr>
          <w:rFonts w:ascii="Verdana" w:eastAsia="Arial" w:hAnsi="Verdana" w:cs="Times New Roman"/>
          <w:color w:val="000000"/>
          <w:sz w:val="20"/>
          <w:szCs w:val="20"/>
          <w:lang w:eastAsia="es-ES_tradnl"/>
        </w:rPr>
        <w:lastRenderedPageBreak/>
        <w:t> </w:t>
      </w:r>
    </w:p>
    <w:p w14:paraId="0B5FAD4D" w14:textId="77777777" w:rsidR="00AA3E73" w:rsidRPr="00042671" w:rsidRDefault="00AA3E73" w:rsidP="00AA3E73">
      <w:pPr>
        <w:spacing w:after="0" w:line="240" w:lineRule="auto"/>
        <w:ind w:left="709" w:right="709"/>
        <w:jc w:val="both"/>
        <w:textAlignment w:val="baseline"/>
        <w:rPr>
          <w:rFonts w:ascii="Verdana" w:eastAsia="Times New Roman" w:hAnsi="Verdana" w:cs="Segoe UI"/>
          <w:sz w:val="20"/>
          <w:szCs w:val="20"/>
          <w:lang w:eastAsia="es-ES_tradnl"/>
        </w:rPr>
      </w:pPr>
      <w:r w:rsidRPr="00042671">
        <w:rPr>
          <w:rFonts w:ascii="Verdana" w:eastAsia="Times New Roman" w:hAnsi="Verdana" w:cs="Arial"/>
          <w:color w:val="000000"/>
          <w:sz w:val="20"/>
          <w:szCs w:val="20"/>
          <w:lang w:val="es-ES" w:eastAsia="es-ES_tradnl"/>
        </w:rPr>
        <w:t>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 [Subrayado por fuera de texto original]</w:t>
      </w:r>
    </w:p>
    <w:p w14:paraId="708811CD" w14:textId="77777777" w:rsidR="00AA3E73" w:rsidRPr="00042671" w:rsidRDefault="00AA3E73" w:rsidP="00AA3E73">
      <w:pPr>
        <w:spacing w:after="0" w:line="276" w:lineRule="auto"/>
        <w:ind w:left="709" w:right="709"/>
        <w:jc w:val="both"/>
        <w:rPr>
          <w:rFonts w:ascii="Verdana" w:eastAsia="Times New Roman" w:hAnsi="Verdana" w:cs="Arial"/>
          <w:lang w:eastAsia="es-CO"/>
        </w:rPr>
      </w:pPr>
    </w:p>
    <w:p w14:paraId="2F1FD378" w14:textId="77777777" w:rsidR="00AA3E73" w:rsidRPr="00042671" w:rsidRDefault="00AA3E73" w:rsidP="00AA3E73">
      <w:pPr>
        <w:spacing w:after="120" w:line="276" w:lineRule="auto"/>
        <w:ind w:firstLine="709"/>
        <w:jc w:val="both"/>
        <w:rPr>
          <w:rFonts w:ascii="Verdana" w:eastAsia="Times New Roman" w:hAnsi="Verdana" w:cs="Arial"/>
          <w:lang w:val="es-ES" w:eastAsia="es-ES"/>
        </w:rPr>
      </w:pPr>
      <w:r w:rsidRPr="00042671">
        <w:rPr>
          <w:rFonts w:ascii="Verdana" w:eastAsia="Times New Roman" w:hAnsi="Verdana" w:cs="Arial"/>
          <w:lang w:val="es-ES" w:eastAsia="es-ES"/>
        </w:rPr>
        <w:t xml:space="preserve">Como puede observarse, la Ley 1882 de 2018: i) mantiene el criterio de la Ley 80 de 1993, relativo a que todo lo que no sea necesario para la comparación de propuestas no es título suficiente para su rechazo; </w:t>
      </w:r>
      <w:proofErr w:type="spellStart"/>
      <w:r w:rsidRPr="00042671">
        <w:rPr>
          <w:rFonts w:ascii="Verdana" w:eastAsia="Times New Roman" w:hAnsi="Verdana" w:cs="Arial"/>
          <w:lang w:val="es-ES" w:eastAsia="es-ES"/>
        </w:rPr>
        <w:t>ii</w:t>
      </w:r>
      <w:proofErr w:type="spellEnd"/>
      <w:r w:rsidRPr="00042671">
        <w:rPr>
          <w:rFonts w:ascii="Verdana" w:eastAsia="Times New Roman" w:hAnsi="Verdana" w:cs="Arial"/>
          <w:lang w:val="es-ES" w:eastAsia="es-ES"/>
        </w:rPr>
        <w:t xml:space="preserve">) mantiene el criterio aclaratorio de la Ley 1150 de 2007, según el cual todo lo que no afecte la asignación de puntaje puede subsanarse; e, </w:t>
      </w:r>
      <w:proofErr w:type="spellStart"/>
      <w:r w:rsidRPr="00042671">
        <w:rPr>
          <w:rFonts w:ascii="Verdana" w:eastAsia="Times New Roman" w:hAnsi="Verdana" w:cs="Arial"/>
          <w:lang w:val="es-ES" w:eastAsia="es-ES"/>
        </w:rPr>
        <w:t>iii</w:t>
      </w:r>
      <w:proofErr w:type="spellEnd"/>
      <w:r w:rsidRPr="00042671">
        <w:rPr>
          <w:rFonts w:ascii="Verdana" w:eastAsia="Times New Roman" w:hAnsi="Verdana" w:cs="Arial"/>
          <w:lang w:val="es-ES" w:eastAsia="es-ES"/>
        </w:rPr>
        <w:t xml:space="preserve">) introduce modificaciones en relación con algunos aspectos que se analizarán a continuación. </w:t>
      </w:r>
    </w:p>
    <w:p w14:paraId="73006EF1" w14:textId="77777777" w:rsidR="00AA3E73" w:rsidRPr="00042671" w:rsidRDefault="00AA3E73" w:rsidP="007D13BE">
      <w:pPr>
        <w:spacing w:after="120" w:line="276" w:lineRule="auto"/>
        <w:ind w:firstLine="709"/>
        <w:jc w:val="both"/>
        <w:rPr>
          <w:rFonts w:ascii="Verdana" w:eastAsia="Times New Roman" w:hAnsi="Verdana" w:cs="Arial"/>
          <w:lang w:val="es-ES_tradnl" w:eastAsia="es-ES_tradnl"/>
        </w:rPr>
      </w:pPr>
      <w:r w:rsidRPr="00042671">
        <w:rPr>
          <w:rFonts w:ascii="Verdana" w:eastAsia="Times New Roman" w:hAnsi="Verdana" w:cs="Arial"/>
          <w:i/>
          <w:iCs/>
          <w:lang w:val="es-ES_tradnl" w:eastAsia="es-ES_tradnl"/>
        </w:rPr>
        <w:t xml:space="preserve">La primera modificación </w:t>
      </w:r>
      <w:r w:rsidRPr="00042671">
        <w:rPr>
          <w:rFonts w:ascii="Verdana" w:eastAsia="Times New Roman" w:hAnsi="Verdana" w:cs="Arial"/>
          <w:lang w:val="es-ES_tradnl" w:eastAsia="es-ES_tradnl"/>
        </w:rPr>
        <w:t>está relacionada con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límite anterior no aplica para los procesos de mínima cuantía y para el proceso de selección a través del sistema de subasta</w:t>
      </w:r>
      <w:r w:rsidRPr="00042671">
        <w:rPr>
          <w:rFonts w:ascii="Verdana" w:eastAsia="Times New Roman" w:hAnsi="Verdana" w:cs="Arial"/>
          <w:vertAlign w:val="superscript"/>
          <w:lang w:val="es-ES_tradnl" w:eastAsia="es-ES_tradnl"/>
        </w:rPr>
        <w:footnoteReference w:id="3"/>
      </w:r>
      <w:r w:rsidRPr="00042671">
        <w:rPr>
          <w:rFonts w:ascii="Verdana" w:eastAsia="Times New Roman" w:hAnsi="Verdana" w:cs="Arial"/>
          <w:lang w:val="es-ES_tradnl" w:eastAsia="es-ES_tradnl"/>
        </w:rPr>
        <w:t>.</w:t>
      </w:r>
    </w:p>
    <w:p w14:paraId="72AD1746" w14:textId="77777777" w:rsidR="00AA3E73" w:rsidRPr="00042671" w:rsidRDefault="00AA3E73" w:rsidP="00AA3E73">
      <w:pPr>
        <w:spacing w:after="120" w:line="276" w:lineRule="auto"/>
        <w:ind w:firstLine="709"/>
        <w:jc w:val="both"/>
        <w:rPr>
          <w:rFonts w:ascii="Verdana" w:eastAsia="Times New Roman" w:hAnsi="Verdana" w:cs="Arial"/>
          <w:lang w:val="es-ES" w:eastAsia="es-ES"/>
        </w:rPr>
      </w:pPr>
      <w:r w:rsidRPr="00042671">
        <w:rPr>
          <w:rFonts w:ascii="Verdana" w:eastAsia="Times New Roman" w:hAnsi="Verdana" w:cs="Arial"/>
          <w:lang w:val="es-ES" w:eastAsia="es-ES"/>
        </w:rPr>
        <w:t>Frente a la regla general aplicable a los demás procesos de selección, la norma fijó un límite final para que la Administración y los oferentes subsanen los requisitos o documentos que puedan y deban ser subsanados. No obstante, lo anterior, nada impide, y la norma no lo hace, que la Administración requiera al proponente antes de publicar el informe de evaluación. En efecto, la redacción de la norma permite que la Administración solicite a los oferentes subsanar y que estos lo hagan hasta antes del término del traslado del informe de evaluación: “</w:t>
      </w:r>
      <w:r w:rsidRPr="00042671">
        <w:rPr>
          <w:rFonts w:ascii="Verdana" w:eastAsia="Times New Roman" w:hAnsi="Verdana" w:cs="Arial"/>
          <w:i/>
          <w:iCs/>
          <w:lang w:val="es-ES" w:eastAsia="es-ES"/>
        </w:rPr>
        <w:t>deberán ser solicitados por las entidades estatales y deberán ser entregados por los proponentes hasta el término de traslado del informe de evaluación que corresponda a cada modalidad de selección”.</w:t>
      </w:r>
      <w:r w:rsidRPr="00042671">
        <w:rPr>
          <w:rFonts w:ascii="Verdana" w:eastAsia="Times New Roman" w:hAnsi="Verdana" w:cs="Arial"/>
          <w:lang w:val="es-ES" w:eastAsia="es-ES"/>
        </w:rPr>
        <w:t xml:space="preserve"> </w:t>
      </w:r>
    </w:p>
    <w:p w14:paraId="7562BEDB" w14:textId="77777777" w:rsidR="00AA3E73" w:rsidRPr="00042671" w:rsidRDefault="00AA3E73" w:rsidP="00AA3E73">
      <w:pPr>
        <w:spacing w:after="120" w:line="276" w:lineRule="auto"/>
        <w:ind w:firstLine="709"/>
        <w:jc w:val="both"/>
        <w:rPr>
          <w:rFonts w:ascii="Verdana" w:eastAsia="Times New Roman" w:hAnsi="Verdana" w:cs="Arial"/>
          <w:lang w:val="es-ES" w:eastAsia="es-ES"/>
        </w:rPr>
      </w:pPr>
      <w:r w:rsidRPr="00042671">
        <w:rPr>
          <w:rFonts w:ascii="Verdana" w:eastAsia="Times New Roman" w:hAnsi="Verdana" w:cs="Arial"/>
          <w:lang w:val="es-ES" w:eastAsia="es-ES"/>
        </w:rPr>
        <w:t xml:space="preserve">Sin perjuicio de lo expuesto, de la lectura de este aparte podrían, en la práctica, darse dos interpretaciones que dan lugar a dos formas de proceder en los procesos de selección, en lo que a la subsanabilidad de las ofertas se refiere. </w:t>
      </w:r>
      <w:r w:rsidRPr="00042671">
        <w:rPr>
          <w:rFonts w:ascii="Verdana" w:eastAsia="Times New Roman" w:hAnsi="Verdana" w:cs="Arial"/>
          <w:i/>
          <w:iCs/>
          <w:lang w:val="es-ES" w:eastAsia="es-ES"/>
        </w:rPr>
        <w:t>Primera</w:t>
      </w:r>
      <w:r w:rsidRPr="00042671">
        <w:rPr>
          <w:rFonts w:ascii="Verdana" w:eastAsia="Times New Roman" w:hAnsi="Verdana" w:cs="Arial"/>
          <w:lang w:val="es-ES" w:eastAsia="es-ES"/>
        </w:rPr>
        <w:t xml:space="preserve">, que la posibilidad para subsanar de los oferentes es el término del traslado del informe de evaluación, ya que es en este documento donde la </w:t>
      </w:r>
      <w:r w:rsidRPr="00042671">
        <w:rPr>
          <w:rFonts w:ascii="Verdana" w:eastAsia="Times New Roman" w:hAnsi="Verdana" w:cs="Arial"/>
          <w:lang w:val="es-ES" w:eastAsia="es-ES"/>
        </w:rPr>
        <w:lastRenderedPageBreak/>
        <w:t xml:space="preserve">Administración consigna los requisitos o documentos omitidos que los oferentes deben subsanar, so pena de rechazo. </w:t>
      </w:r>
      <w:r w:rsidRPr="00042671">
        <w:rPr>
          <w:rFonts w:ascii="Verdana" w:eastAsia="Times New Roman" w:hAnsi="Verdana" w:cs="Arial"/>
          <w:i/>
          <w:iCs/>
          <w:lang w:val="es-ES" w:eastAsia="es-ES"/>
        </w:rPr>
        <w:t>Segunda</w:t>
      </w:r>
      <w:r w:rsidRPr="00042671">
        <w:rPr>
          <w:rFonts w:ascii="Verdana" w:eastAsia="Times New Roman" w:hAnsi="Verdana" w:cs="Arial"/>
          <w:lang w:val="es-ES" w:eastAsia="es-ES"/>
        </w:rPr>
        <w:t xml:space="preserve">, que el término del traslado del informe de evaluación es el </w:t>
      </w:r>
      <w:r w:rsidRPr="00042671">
        <w:rPr>
          <w:rFonts w:ascii="Verdana" w:eastAsia="Times New Roman" w:hAnsi="Verdana" w:cs="Arial"/>
          <w:i/>
          <w:lang w:val="es-ES" w:eastAsia="es-ES"/>
        </w:rPr>
        <w:t>límite</w:t>
      </w:r>
      <w:r w:rsidRPr="00042671">
        <w:rPr>
          <w:rFonts w:ascii="Verdana" w:eastAsia="Times New Roman" w:hAnsi="Verdana" w:cs="Arial"/>
          <w:lang w:val="es-ES" w:eastAsia="es-ES"/>
        </w:rPr>
        <w:t xml:space="preserve"> para la subsanación de ofertas, pero no el único momento para hacerlo. </w:t>
      </w:r>
    </w:p>
    <w:p w14:paraId="6840BD16" w14:textId="77777777" w:rsidR="00AA3E73" w:rsidRPr="00042671" w:rsidRDefault="00AA3E73" w:rsidP="00AA3E73">
      <w:pPr>
        <w:spacing w:after="120" w:line="276" w:lineRule="auto"/>
        <w:ind w:firstLine="709"/>
        <w:jc w:val="both"/>
        <w:rPr>
          <w:rFonts w:ascii="Verdana" w:eastAsia="Times New Roman" w:hAnsi="Verdana" w:cs="Arial"/>
          <w:lang w:val="es-ES_tradnl" w:eastAsia="es-ES_tradnl"/>
        </w:rPr>
      </w:pPr>
      <w:r w:rsidRPr="00042671">
        <w:rPr>
          <w:rFonts w:ascii="Verdana" w:eastAsia="Times New Roman" w:hAnsi="Verdana" w:cs="Arial"/>
          <w:lang w:val="es-ES_tradnl" w:eastAsia="es-ES_tradnl"/>
        </w:rPr>
        <w:t xml:space="preserve">De acuerdo con la primera interpretación, el informe de evaluación se convierte en la oportunidad que adopta la Administración para decirles a los oferentes qué documentos o requisitos omitieron y deben subsanar. Consecuentemente, el término del traslado es la oportunidad del proponente para cumplir con lo solicitado.  </w:t>
      </w:r>
    </w:p>
    <w:p w14:paraId="16A2D3A1" w14:textId="77777777" w:rsidR="00AA3E73" w:rsidRPr="00042671" w:rsidRDefault="00AA3E73" w:rsidP="00AA3E73">
      <w:pPr>
        <w:spacing w:after="120" w:line="276" w:lineRule="auto"/>
        <w:ind w:firstLine="709"/>
        <w:jc w:val="both"/>
        <w:rPr>
          <w:rFonts w:ascii="Verdana" w:eastAsia="Times New Roman" w:hAnsi="Verdana" w:cs="Arial"/>
          <w:lang w:val="es-ES_tradnl" w:eastAsia="es-ES_tradnl"/>
        </w:rPr>
      </w:pPr>
      <w:r w:rsidRPr="00042671">
        <w:rPr>
          <w:rFonts w:ascii="Verdana" w:eastAsia="Times New Roman" w:hAnsi="Verdana" w:cs="Arial"/>
          <w:lang w:val="es-ES_tradnl" w:eastAsia="es-ES_tradnl"/>
        </w:rPr>
        <w:t>La segunda interpretación permitiría que la Administración requiera al oferente durante el proceso de evaluación de las propuestas, tan pronto advierta que hace falta un documento o requisito que se puede subsanar. En este caso, el proceso de subsanación se podría realizar con anterioridad a la publicación del informe de evaluación, de manera que, una vez se publique el informe ya se encuentren subsanadas las propuestas, sin perjuicio del término límite que concedió la ley.</w:t>
      </w:r>
    </w:p>
    <w:p w14:paraId="7F9D8AC5" w14:textId="77777777" w:rsidR="00AA3E73" w:rsidRPr="00042671" w:rsidRDefault="00AA3E73" w:rsidP="00AA3E73">
      <w:pPr>
        <w:spacing w:after="120" w:line="276" w:lineRule="auto"/>
        <w:ind w:firstLine="709"/>
        <w:jc w:val="both"/>
        <w:rPr>
          <w:rFonts w:ascii="Verdana" w:eastAsia="Times New Roman" w:hAnsi="Verdana" w:cs="Arial"/>
          <w:lang w:val="es-ES" w:eastAsia="es-ES"/>
        </w:rPr>
      </w:pPr>
      <w:r w:rsidRPr="00042671">
        <w:rPr>
          <w:rFonts w:ascii="Verdana" w:eastAsia="Times New Roman" w:hAnsi="Verdana" w:cs="Arial"/>
          <w:lang w:val="es-ES" w:eastAsia="es-ES"/>
        </w:rPr>
        <w:t>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Lo anterior, se aclara, sin desconocer el límite que establece la norma para que los oferentes, sin perjuicio de que lo hagan antes, cuenten hasta el término de traslado del informe de evaluación con la posibilidad de presentar la información solicitada.</w:t>
      </w:r>
    </w:p>
    <w:p w14:paraId="59E1AC1D" w14:textId="77777777" w:rsidR="00AA3E73" w:rsidRPr="00042671" w:rsidRDefault="00AA3E73" w:rsidP="00AA3E73">
      <w:pPr>
        <w:spacing w:after="120" w:line="276" w:lineRule="auto"/>
        <w:ind w:firstLine="709"/>
        <w:jc w:val="both"/>
        <w:rPr>
          <w:rFonts w:ascii="Verdana" w:eastAsia="Times New Roman" w:hAnsi="Verdana" w:cs="Arial"/>
          <w:lang w:val="es-ES_tradnl" w:eastAsia="es-ES_tradnl"/>
        </w:rPr>
      </w:pPr>
      <w:r w:rsidRPr="00042671">
        <w:rPr>
          <w:rFonts w:ascii="Verdana" w:eastAsia="Times New Roman" w:hAnsi="Verdana" w:cs="Arial"/>
          <w:lang w:val="es-ES_tradnl" w:eastAsia="es-ES_tradnl"/>
        </w:rPr>
        <w:t xml:space="preserve">El </w:t>
      </w:r>
      <w:r w:rsidRPr="00042671">
        <w:rPr>
          <w:rFonts w:ascii="Verdana" w:eastAsia="Times New Roman" w:hAnsi="Verdana" w:cs="Arial"/>
          <w:i/>
          <w:iCs/>
          <w:lang w:val="es-ES_tradnl" w:eastAsia="es-ES_tradnl"/>
        </w:rPr>
        <w:t>segundo cambio</w:t>
      </w:r>
      <w:r w:rsidRPr="00042671">
        <w:rPr>
          <w:rFonts w:ascii="Verdana" w:eastAsia="Times New Roman" w:hAnsi="Verdana" w:cs="Arial"/>
          <w:lang w:val="es-ES_tradnl" w:eastAsia="es-ES_tradnl"/>
        </w:rPr>
        <w:t xml:space="preserve"> importante de la Ley 1882 de 2018 fue la introducción de un criterio material, directamente relacionado con los aspectos subsanables: </w:t>
      </w:r>
      <w:r w:rsidRPr="00042671">
        <w:rPr>
          <w:rFonts w:ascii="Verdana" w:eastAsia="Times New Roman" w:hAnsi="Verdana" w:cs="Arial"/>
          <w:i/>
          <w:iCs/>
          <w:lang w:val="es-ES_tradnl" w:eastAsia="es-ES_tradnl"/>
        </w:rPr>
        <w:t>“los proponentes no podrán acreditar circunstancias ocurridas con posterioridad al cierre del proceso”.</w:t>
      </w:r>
      <w:r w:rsidRPr="00042671">
        <w:rPr>
          <w:rFonts w:ascii="Verdana" w:eastAsia="Times New Roman" w:hAnsi="Verdana" w:cs="Arial"/>
          <w:lang w:val="es-ES_tradnl" w:eastAsia="es-ES_tradnl"/>
        </w:rPr>
        <w:t xml:space="preserve"> Lo anterior ofrece dos aspectos que merecen clarificación; primero, qué debe entenderse por circunstancias ocurridas con posterioridad; y segundo, qué es el cierre del proceso. </w:t>
      </w:r>
    </w:p>
    <w:p w14:paraId="4194BAD0" w14:textId="77777777" w:rsidR="00AA3E73" w:rsidRPr="00042671" w:rsidRDefault="00AA3E73" w:rsidP="00AA3E73">
      <w:pPr>
        <w:spacing w:after="120" w:line="276" w:lineRule="auto"/>
        <w:ind w:firstLine="709"/>
        <w:jc w:val="both"/>
        <w:rPr>
          <w:rFonts w:ascii="Verdana" w:eastAsia="Times New Roman" w:hAnsi="Verdana" w:cs="Arial"/>
          <w:lang w:val="es-ES" w:eastAsia="es-ES"/>
        </w:rPr>
      </w:pPr>
      <w:r w:rsidRPr="00042671">
        <w:rPr>
          <w:rFonts w:ascii="Verdana" w:eastAsia="Times New Roman" w:hAnsi="Verdana" w:cs="Arial"/>
          <w:lang w:val="es-ES" w:eastAsia="es-ES"/>
        </w:rPr>
        <w:lastRenderedPageBreak/>
        <w:t>La Sala de Consulta y Servicio Civil del Consejo de Estado ya había tenido la oportunidad de precisar estas expresiones, a propósito de un concepto en el que se refirió al artículo 10 del derogado Decreto 2474 de 2008, que había determinado que en ningún caso la entidad podía permitir que se acreditaran circunstancias ocurridas con posterioridad al cierre del proceso. En esa ocasión, el Consejo de Estado precisó que, por cierre del proceso debe entenderse el vencimiento del plazo para la presentación de las ofertas y que lo subsanable son las circunstancias que ocurrieron con anterioridad a esa fecha</w:t>
      </w:r>
      <w:r w:rsidRPr="00042671">
        <w:rPr>
          <w:rFonts w:ascii="Verdana" w:eastAsia="Times New Roman" w:hAnsi="Verdana" w:cs="Arial"/>
          <w:vertAlign w:val="superscript"/>
          <w:lang w:val="es-ES" w:eastAsia="es-ES"/>
        </w:rPr>
        <w:footnoteReference w:id="4"/>
      </w:r>
      <w:r w:rsidRPr="00042671">
        <w:rPr>
          <w:rFonts w:ascii="Verdana" w:eastAsia="Times New Roman" w:hAnsi="Verdana" w:cs="Arial"/>
          <w:lang w:val="es-ES" w:eastAsia="es-ES"/>
        </w:rPr>
        <w:t>.</w:t>
      </w:r>
    </w:p>
    <w:p w14:paraId="01CF9515" w14:textId="77777777" w:rsidR="00AA3E73" w:rsidRPr="00042671" w:rsidRDefault="00AA3E73" w:rsidP="00AA3E73">
      <w:pPr>
        <w:spacing w:after="120" w:line="276" w:lineRule="auto"/>
        <w:ind w:firstLine="709"/>
        <w:jc w:val="both"/>
        <w:rPr>
          <w:rFonts w:ascii="Verdana" w:eastAsia="Times New Roman" w:hAnsi="Verdana" w:cs="Arial"/>
          <w:lang w:val="es-ES_tradnl" w:eastAsia="es-ES_tradnl"/>
        </w:rPr>
      </w:pPr>
      <w:r w:rsidRPr="00042671">
        <w:rPr>
          <w:rFonts w:ascii="Verdana" w:eastAsia="Times New Roman" w:hAnsi="Verdana" w:cs="Arial"/>
          <w:lang w:val="es-ES_tradnl" w:eastAsia="es-ES_tradnl"/>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1397001A" w14:textId="77777777" w:rsidR="00AA3E73" w:rsidRPr="00042671" w:rsidRDefault="00AA3E73" w:rsidP="00AA3E73">
      <w:pPr>
        <w:spacing w:after="120" w:line="276" w:lineRule="auto"/>
        <w:ind w:firstLine="709"/>
        <w:jc w:val="both"/>
        <w:rPr>
          <w:rFonts w:ascii="Verdana" w:eastAsia="Times New Roman" w:hAnsi="Verdana" w:cs="Arial"/>
          <w:lang w:val="es-ES" w:eastAsia="es-ES"/>
        </w:rPr>
      </w:pPr>
      <w:r w:rsidRPr="00042671">
        <w:rPr>
          <w:rFonts w:ascii="Verdana" w:eastAsia="Times New Roman" w:hAnsi="Verdana" w:cs="Arial"/>
          <w:lang w:val="es-ES" w:eastAsia="es-ES"/>
        </w:rPr>
        <w:t xml:space="preserve">Un mejor entendimiento del significado de la expresión </w:t>
      </w:r>
      <w:r w:rsidRPr="00042671">
        <w:rPr>
          <w:rFonts w:ascii="Verdana" w:eastAsia="Times New Roman" w:hAnsi="Verdana" w:cs="Arial"/>
          <w:i/>
          <w:lang w:val="es-ES" w:eastAsia="es-ES"/>
        </w:rPr>
        <w:t>“circunstancias ocurridas con posterioridad al cierre del proceso”</w:t>
      </w:r>
      <w:r w:rsidRPr="00042671">
        <w:rPr>
          <w:rFonts w:ascii="Verdana" w:eastAsia="Times New Roman" w:hAnsi="Verdana" w:cs="Arial"/>
          <w:lang w:val="es-ES" w:eastAsia="es-ES"/>
        </w:rPr>
        <w:t xml:space="preserve"> implica distinguir entre la prueba de un hecho y el hecho mismo. En el caso de la subsanabilidad de las 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w:t>
      </w:r>
      <w:r w:rsidRPr="00042671">
        <w:rPr>
          <w:rFonts w:ascii="Verdana" w:eastAsia="Times New Roman" w:hAnsi="Verdana" w:cs="Arial"/>
          <w:vertAlign w:val="superscript"/>
          <w:lang w:val="es-ES" w:eastAsia="es-ES"/>
        </w:rPr>
        <w:footnoteReference w:id="5"/>
      </w:r>
      <w:r w:rsidRPr="00042671">
        <w:rPr>
          <w:rFonts w:ascii="Verdana" w:eastAsia="Times New Roman" w:hAnsi="Verdana" w:cs="Arial"/>
          <w:lang w:val="es-ES" w:eastAsia="es-ES"/>
        </w:rPr>
        <w:t xml:space="preserve">. </w:t>
      </w:r>
    </w:p>
    <w:p w14:paraId="22EBA524" w14:textId="77777777" w:rsidR="00AA3E73" w:rsidRPr="00042671" w:rsidRDefault="00AA3E73" w:rsidP="00AA3E73">
      <w:pPr>
        <w:spacing w:after="120" w:line="276" w:lineRule="auto"/>
        <w:ind w:firstLine="709"/>
        <w:jc w:val="both"/>
        <w:rPr>
          <w:rFonts w:ascii="Verdana" w:eastAsia="Times New Roman" w:hAnsi="Verdana" w:cs="Arial"/>
          <w:lang w:val="es-ES" w:eastAsia="es-ES"/>
        </w:rPr>
      </w:pPr>
      <w:r w:rsidRPr="00042671">
        <w:rPr>
          <w:rFonts w:ascii="Verdana" w:eastAsia="Times New Roman" w:hAnsi="Verdana" w:cs="Arial"/>
          <w:lang w:val="es-ES" w:eastAsia="es-ES"/>
        </w:rPr>
        <w:lastRenderedPageBreak/>
        <w:t xml:space="preserve">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estando está en firme para dicho momento; </w:t>
      </w:r>
      <w:proofErr w:type="spellStart"/>
      <w:r w:rsidRPr="00042671">
        <w:rPr>
          <w:rFonts w:ascii="Verdana" w:eastAsia="Times New Roman" w:hAnsi="Verdana" w:cs="Arial"/>
          <w:lang w:val="es-ES" w:eastAsia="es-ES"/>
        </w:rPr>
        <w:t>ii</w:t>
      </w:r>
      <w:proofErr w:type="spellEnd"/>
      <w:r w:rsidRPr="00042671">
        <w:rPr>
          <w:rFonts w:ascii="Verdana" w:eastAsia="Times New Roman" w:hAnsi="Verdana" w:cs="Arial"/>
          <w:lang w:val="es-ES" w:eastAsia="es-ES"/>
        </w:rPr>
        <w:t>)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042671">
        <w:rPr>
          <w:rFonts w:ascii="Verdana" w:eastAsia="Times New Roman" w:hAnsi="Verdana" w:cs="Arial"/>
          <w:vertAlign w:val="superscript"/>
          <w:lang w:val="es-ES" w:eastAsia="es-ES"/>
        </w:rPr>
        <w:footnoteReference w:id="6"/>
      </w:r>
      <w:r w:rsidRPr="00042671">
        <w:rPr>
          <w:rFonts w:ascii="Verdana" w:eastAsia="Times New Roman" w:hAnsi="Verdana" w:cs="Arial"/>
          <w:lang w:val="es-ES" w:eastAsia="es-ES"/>
        </w:rPr>
        <w:t xml:space="preserve">; </w:t>
      </w:r>
      <w:proofErr w:type="spellStart"/>
      <w:r w:rsidRPr="00042671">
        <w:rPr>
          <w:rFonts w:ascii="Verdana" w:eastAsia="Times New Roman" w:hAnsi="Verdana" w:cs="Arial"/>
          <w:lang w:val="es-ES" w:eastAsia="es-ES"/>
        </w:rPr>
        <w:t>iii</w:t>
      </w:r>
      <w:proofErr w:type="spellEnd"/>
      <w:r w:rsidRPr="00042671">
        <w:rPr>
          <w:rFonts w:ascii="Verdana" w:eastAsia="Times New Roman" w:hAnsi="Verdana" w:cs="Arial"/>
          <w:lang w:val="es-ES" w:eastAsia="es-ES"/>
        </w:rPr>
        <w:t>) si un oferente no anexó el Certificado de existencia y representación legal, el documento aportado con posterioridad debe dar cuenta de que la sociedad existía antes del cierre del proceso</w:t>
      </w:r>
      <w:r w:rsidRPr="00042671">
        <w:rPr>
          <w:rFonts w:ascii="Verdana" w:eastAsia="Times New Roman" w:hAnsi="Verdana" w:cs="Arial"/>
          <w:vertAlign w:val="superscript"/>
          <w:lang w:val="es-ES" w:eastAsia="es-ES"/>
        </w:rPr>
        <w:footnoteReference w:id="7"/>
      </w:r>
      <w:r w:rsidRPr="00042671">
        <w:rPr>
          <w:rFonts w:ascii="Verdana" w:eastAsia="Times New Roman" w:hAnsi="Verdana" w:cs="Arial"/>
          <w:lang w:val="es-ES" w:eastAsia="es-ES"/>
        </w:rPr>
        <w:t xml:space="preserve">; </w:t>
      </w:r>
      <w:proofErr w:type="spellStart"/>
      <w:r w:rsidRPr="00042671">
        <w:rPr>
          <w:rFonts w:ascii="Verdana" w:eastAsia="Times New Roman" w:hAnsi="Verdana" w:cs="Arial"/>
          <w:lang w:val="es-ES" w:eastAsia="es-ES"/>
        </w:rPr>
        <w:t>iv</w:t>
      </w:r>
      <w:proofErr w:type="spellEnd"/>
      <w:r w:rsidRPr="00042671">
        <w:rPr>
          <w:rFonts w:ascii="Verdana" w:eastAsia="Times New Roman" w:hAnsi="Verdana" w:cs="Arial"/>
          <w:lang w:val="es-ES" w:eastAsia="es-ES"/>
        </w:rPr>
        <w:t xml:space="preserve">) si un oferente olvidó adjuntar un certificado 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con ello se entienda que acreditó una circunstancia ocurrida con posterioridad al cierre del proceso. </w:t>
      </w:r>
    </w:p>
    <w:p w14:paraId="452B0954" w14:textId="77777777" w:rsidR="00AA3E73" w:rsidRPr="00042671" w:rsidRDefault="00AA3E73" w:rsidP="00AA3E73">
      <w:pPr>
        <w:spacing w:after="120" w:line="276" w:lineRule="auto"/>
        <w:ind w:firstLine="709"/>
        <w:jc w:val="both"/>
        <w:rPr>
          <w:rFonts w:ascii="Verdana" w:eastAsia="Times New Roman" w:hAnsi="Verdana" w:cs="Arial"/>
          <w:i/>
          <w:lang w:val="es-ES" w:eastAsia="es-ES"/>
        </w:rPr>
      </w:pPr>
      <w:r w:rsidRPr="00042671">
        <w:rPr>
          <w:rFonts w:ascii="Verdana" w:eastAsia="Times New Roman" w:hAnsi="Verdana" w:cs="Arial"/>
          <w:lang w:val="es-ES" w:eastAsia="es-ES"/>
        </w:rPr>
        <w:t xml:space="preserve">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Es por esto </w:t>
      </w:r>
      <w:proofErr w:type="gramStart"/>
      <w:r w:rsidRPr="00042671">
        <w:rPr>
          <w:rFonts w:ascii="Verdana" w:eastAsia="Times New Roman" w:hAnsi="Verdana" w:cs="Arial"/>
          <w:lang w:val="es-ES" w:eastAsia="es-ES"/>
        </w:rPr>
        <w:t>que</w:t>
      </w:r>
      <w:proofErr w:type="gramEnd"/>
      <w:r w:rsidRPr="00042671">
        <w:rPr>
          <w:rFonts w:ascii="Verdana" w:eastAsia="Times New Roman" w:hAnsi="Verdana" w:cs="Arial"/>
          <w:lang w:val="es-ES" w:eastAsia="es-ES"/>
        </w:rPr>
        <w:t xml:space="preserve"> el Consejo de Estado sostiene que “lo que se subsana es la prueba y no la condición habilitante o un elemento de la propuesta </w:t>
      </w:r>
      <w:r w:rsidRPr="00042671">
        <w:rPr>
          <w:rFonts w:ascii="Verdana" w:eastAsia="Times New Roman" w:hAnsi="Verdana" w:cs="Arial"/>
          <w:lang w:val="es-ES" w:eastAsia="es-ES"/>
        </w:rPr>
        <w:lastRenderedPageBreak/>
        <w:t>[...] lo que se puede remediar es la prueba y no el requisito: La posibilidad debe recaer exclusivamente sobre circunstancias acaecidas antes del cierre del respectivo proceso, esto es, del vencimiento del plazo para presentar ofertas”</w:t>
      </w:r>
      <w:r w:rsidRPr="00042671">
        <w:rPr>
          <w:rFonts w:ascii="Verdana" w:eastAsia="Times New Roman" w:hAnsi="Verdana" w:cs="Arial"/>
          <w:vertAlign w:val="superscript"/>
          <w:lang w:val="es-ES" w:eastAsia="es-ES"/>
        </w:rPr>
        <w:footnoteReference w:id="8"/>
      </w:r>
      <w:r w:rsidRPr="00042671">
        <w:rPr>
          <w:rFonts w:ascii="Verdana" w:eastAsia="Times New Roman" w:hAnsi="Verdana" w:cs="Arial"/>
          <w:lang w:val="es-ES" w:eastAsia="es-ES"/>
        </w:rPr>
        <w:t>.</w:t>
      </w:r>
    </w:p>
    <w:p w14:paraId="1F11BEA6" w14:textId="77777777" w:rsidR="00AA3E73" w:rsidRPr="00042671" w:rsidRDefault="00AA3E73" w:rsidP="00044376">
      <w:pPr>
        <w:spacing w:after="120" w:line="276" w:lineRule="auto"/>
        <w:ind w:firstLine="709"/>
        <w:jc w:val="both"/>
        <w:rPr>
          <w:rFonts w:ascii="Verdana" w:eastAsia="Calibri" w:hAnsi="Verdana" w:cs="Times New Roman"/>
          <w:color w:val="000000"/>
        </w:rPr>
      </w:pPr>
      <w:r w:rsidRPr="00042671">
        <w:rPr>
          <w:rFonts w:ascii="Verdana" w:eastAsia="Times New Roman" w:hAnsi="Verdana" w:cs="Arial"/>
          <w:iCs/>
          <w:lang w:val="es-ES" w:eastAsia="es-ES"/>
        </w:rPr>
        <w:t>Ahora bien,</w:t>
      </w:r>
      <w:r w:rsidRPr="00042671">
        <w:rPr>
          <w:rFonts w:ascii="Verdana" w:eastAsia="Times New Roman" w:hAnsi="Verdana" w:cs="Arial"/>
          <w:i/>
          <w:lang w:val="es-ES" w:eastAsia="es-ES"/>
        </w:rPr>
        <w:t xml:space="preserve"> e</w:t>
      </w:r>
      <w:r w:rsidRPr="00042671">
        <w:rPr>
          <w:rFonts w:ascii="Verdana" w:eastAsia="Calibri" w:hAnsi="Verdana" w:cs="Arial"/>
          <w:color w:val="000000"/>
          <w:lang w:val="es-ES"/>
        </w:rPr>
        <w:t xml:space="preserve">l parágrafo 3 del artículo 5 de la Ley 1882 de 2018 determinó, de manera expresa, que “la no entrega de la garantía de seriedad junto con la propuesta no será subsanable y será causal de rechazo de </w:t>
      </w:r>
      <w:proofErr w:type="gramStart"/>
      <w:r w:rsidRPr="00042671">
        <w:rPr>
          <w:rFonts w:ascii="Verdana" w:eastAsia="Calibri" w:hAnsi="Verdana" w:cs="Arial"/>
          <w:color w:val="000000"/>
          <w:lang w:val="es-ES"/>
        </w:rPr>
        <w:t>la misma</w:t>
      </w:r>
      <w:proofErr w:type="gramEnd"/>
      <w:r w:rsidRPr="00042671">
        <w:rPr>
          <w:rFonts w:ascii="Verdana" w:eastAsia="Calibri" w:hAnsi="Verdana" w:cs="Arial"/>
          <w:color w:val="000000"/>
          <w:lang w:val="es-ES"/>
        </w:rPr>
        <w:t>”, dejando claro que se trata de un documento de obligatoria presentación junto con la propuesta y que materializa los principios de seriedad e irrevocabilidad de la oferta.</w:t>
      </w:r>
      <w:r w:rsidRPr="00042671">
        <w:rPr>
          <w:rFonts w:ascii="Verdana" w:eastAsia="Calibri" w:hAnsi="Verdana" w:cs="Times New Roman"/>
          <w:color w:val="000000"/>
        </w:rPr>
        <w:t> </w:t>
      </w:r>
    </w:p>
    <w:p w14:paraId="3D64F765" w14:textId="0CAD6525" w:rsidR="00A65778" w:rsidRPr="0089752B" w:rsidRDefault="002768C1" w:rsidP="007D13BE">
      <w:pPr>
        <w:spacing w:after="120" w:line="276" w:lineRule="auto"/>
        <w:ind w:firstLine="709"/>
        <w:jc w:val="both"/>
        <w:rPr>
          <w:rFonts w:ascii="Verdana" w:eastAsia="Calibri" w:hAnsi="Verdana" w:cs="Times New Roman"/>
          <w:color w:val="000000"/>
        </w:rPr>
      </w:pPr>
      <w:r w:rsidRPr="0089752B">
        <w:rPr>
          <w:rFonts w:ascii="Verdana" w:eastAsia="Calibri" w:hAnsi="Verdana" w:cs="Times New Roman"/>
          <w:color w:val="000000"/>
        </w:rPr>
        <w:t xml:space="preserve">Frente al primer problema jurídico se concluye que, </w:t>
      </w:r>
      <w:r w:rsidR="003C3A01" w:rsidRPr="0089752B">
        <w:rPr>
          <w:rFonts w:ascii="Verdana" w:eastAsia="Calibri" w:hAnsi="Verdana" w:cs="Times New Roman"/>
          <w:color w:val="000000"/>
        </w:rPr>
        <w:t>la Ley 1882 de 2018 establece que </w:t>
      </w:r>
      <w:r w:rsidR="003C3A01" w:rsidRPr="007D13BE">
        <w:rPr>
          <w:rFonts w:ascii="Verdana" w:eastAsia="Calibri" w:hAnsi="Verdana" w:cs="Times New Roman"/>
          <w:color w:val="000000"/>
        </w:rPr>
        <w:t>los oferentes tienen la posibilidad de subsanar los requisitos habilitantes y otros documentos que no incidan en la asignación de puntaje</w:t>
      </w:r>
      <w:r w:rsidR="00E264F7" w:rsidRPr="0089752B">
        <w:rPr>
          <w:rFonts w:ascii="Verdana" w:eastAsia="Calibri" w:hAnsi="Verdana" w:cs="Times New Roman"/>
          <w:color w:val="000000"/>
        </w:rPr>
        <w:t>. Por regla general</w:t>
      </w:r>
      <w:r w:rsidR="00A65778" w:rsidRPr="0089752B">
        <w:rPr>
          <w:rFonts w:ascii="Verdana" w:eastAsia="Calibri" w:hAnsi="Verdana" w:cs="Times New Roman"/>
          <w:color w:val="000000"/>
        </w:rPr>
        <w:t>, el límite para que la entidad solicite y para que el proponente corrija lo que haga falta es hasta el término de traslado del informe de evaluación que corresponda a cada modalidad de selección. La excepción es que el límite anterior no aplica para los procesos de mínima cuantía y para el proceso de selección a través del sistema de subasta.</w:t>
      </w:r>
    </w:p>
    <w:p w14:paraId="5C2C387F" w14:textId="1341E46D" w:rsidR="00193720" w:rsidRPr="0089752B" w:rsidRDefault="00193720" w:rsidP="00A43AC4">
      <w:pPr>
        <w:spacing w:after="0" w:line="276" w:lineRule="auto"/>
        <w:ind w:firstLine="709"/>
        <w:jc w:val="both"/>
        <w:rPr>
          <w:rFonts w:ascii="Verdana" w:eastAsia="Calibri" w:hAnsi="Verdana" w:cs="Times New Roman"/>
          <w:color w:val="000000"/>
        </w:rPr>
      </w:pPr>
      <w:r w:rsidRPr="0089752B">
        <w:rPr>
          <w:rFonts w:ascii="Verdana" w:eastAsia="Calibri" w:hAnsi="Verdana" w:cs="Times New Roman"/>
          <w:color w:val="000000"/>
        </w:rPr>
        <w:t>Ahora bien, el traslado de observaciones </w:t>
      </w:r>
      <w:r w:rsidRPr="007D13BE">
        <w:rPr>
          <w:rFonts w:ascii="Verdana" w:eastAsia="Calibri" w:hAnsi="Verdana" w:cs="Times New Roman"/>
          <w:color w:val="000000"/>
        </w:rPr>
        <w:t>habilita pero no obliga</w:t>
      </w:r>
      <w:r w:rsidRPr="0089752B">
        <w:rPr>
          <w:rFonts w:ascii="Verdana" w:eastAsia="Calibri" w:hAnsi="Verdana" w:cs="Times New Roman"/>
          <w:color w:val="000000"/>
        </w:rPr>
        <w:t xml:space="preserve"> a los oferentes a subsanar. No obstante, </w:t>
      </w:r>
      <w:r w:rsidR="0089752B" w:rsidRPr="0089752B">
        <w:rPr>
          <w:rFonts w:ascii="Verdana" w:eastAsia="Calibri" w:hAnsi="Verdana" w:cs="Times New Roman"/>
          <w:color w:val="000000"/>
        </w:rPr>
        <w:t>si el oferente </w:t>
      </w:r>
      <w:r w:rsidR="0089752B" w:rsidRPr="007D13BE">
        <w:rPr>
          <w:rFonts w:ascii="Verdana" w:eastAsia="Calibri" w:hAnsi="Verdana" w:cs="Times New Roman"/>
          <w:color w:val="000000"/>
        </w:rPr>
        <w:t>no subsana dentro del plazo establecido</w:t>
      </w:r>
      <w:r w:rsidR="0089752B" w:rsidRPr="0089752B">
        <w:rPr>
          <w:rFonts w:ascii="Verdana" w:eastAsia="Calibri" w:hAnsi="Verdana" w:cs="Times New Roman"/>
          <w:color w:val="000000"/>
        </w:rPr>
        <w:t>, o lo hace de forma </w:t>
      </w:r>
      <w:r w:rsidR="0089752B" w:rsidRPr="007D13BE">
        <w:rPr>
          <w:rFonts w:ascii="Verdana" w:eastAsia="Calibri" w:hAnsi="Verdana" w:cs="Times New Roman"/>
          <w:color w:val="000000"/>
        </w:rPr>
        <w:t>incompleta</w:t>
      </w:r>
      <w:r w:rsidR="0089752B" w:rsidRPr="0089752B">
        <w:rPr>
          <w:rFonts w:ascii="Verdana" w:eastAsia="Calibri" w:hAnsi="Verdana" w:cs="Times New Roman"/>
          <w:color w:val="000000"/>
        </w:rPr>
        <w:t>, la consecuencia jurídica es el </w:t>
      </w:r>
      <w:r w:rsidR="0089752B" w:rsidRPr="007D13BE">
        <w:rPr>
          <w:rFonts w:ascii="Verdana" w:eastAsia="Calibri" w:hAnsi="Verdana" w:cs="Times New Roman"/>
          <w:color w:val="000000"/>
        </w:rPr>
        <w:t>rechazo de la oferta</w:t>
      </w:r>
      <w:r w:rsidR="0089752B" w:rsidRPr="0089752B">
        <w:rPr>
          <w:rFonts w:ascii="Verdana" w:eastAsia="Calibri" w:hAnsi="Verdana" w:cs="Times New Roman"/>
          <w:color w:val="000000"/>
        </w:rPr>
        <w:t>. Esto se debe a que no se corrigieron los defectos identificados en el informe de evaluación, lo cual impide que la propuesta sea considerada válida dentro del proceso de selección.</w:t>
      </w:r>
    </w:p>
    <w:p w14:paraId="61F99DA0" w14:textId="77777777" w:rsidR="008B16A4" w:rsidRDefault="008B16A4" w:rsidP="007D13BE">
      <w:pPr>
        <w:widowControl w:val="0"/>
        <w:spacing w:after="0" w:line="276" w:lineRule="auto"/>
        <w:jc w:val="both"/>
        <w:rPr>
          <w:rFonts w:ascii="Verdana" w:eastAsia="Arial" w:hAnsi="Verdana" w:cs="Arial"/>
        </w:rPr>
      </w:pPr>
    </w:p>
    <w:p w14:paraId="06CBA5B3" w14:textId="61D9C4D4" w:rsidR="00AA3E73" w:rsidRPr="00042671" w:rsidRDefault="008B16A4" w:rsidP="007D13BE">
      <w:pPr>
        <w:widowControl w:val="0"/>
        <w:spacing w:after="120"/>
        <w:jc w:val="both"/>
        <w:rPr>
          <w:rFonts w:ascii="Verdana" w:eastAsia="Arial" w:hAnsi="Verdana" w:cs="Arial"/>
        </w:rPr>
      </w:pPr>
      <w:proofErr w:type="spellStart"/>
      <w:r>
        <w:rPr>
          <w:rFonts w:ascii="Verdana" w:eastAsia="Arial" w:hAnsi="Verdana" w:cs="Arial"/>
        </w:rPr>
        <w:t>i</w:t>
      </w:r>
      <w:r w:rsidR="00F470B5">
        <w:rPr>
          <w:rFonts w:ascii="Verdana" w:eastAsia="Arial" w:hAnsi="Verdana" w:cs="Arial"/>
        </w:rPr>
        <w:t>i</w:t>
      </w:r>
      <w:proofErr w:type="spellEnd"/>
      <w:r>
        <w:rPr>
          <w:rFonts w:ascii="Verdana" w:eastAsia="Arial" w:hAnsi="Verdana" w:cs="Arial"/>
        </w:rPr>
        <w:t>)</w:t>
      </w:r>
      <w:r w:rsidR="00F470B5">
        <w:rPr>
          <w:rFonts w:ascii="Verdana" w:eastAsia="Arial" w:hAnsi="Verdana" w:cs="Arial"/>
        </w:rPr>
        <w:t xml:space="preserve"> </w:t>
      </w:r>
      <w:r w:rsidR="00AA3E73" w:rsidRPr="00042671">
        <w:rPr>
          <w:rFonts w:ascii="Verdana" w:eastAsia="Arial" w:hAnsi="Verdana" w:cs="Arial"/>
        </w:rPr>
        <w:t>El rechazo de las ofertas y los eventos en los que proceden han sido asuntos de los que se ha ocupado la legislación nacional en materia de contratación pública, por lo que “la competencia de las entidades estales para establecer eventos de exclusión de propuestas es de carácter residual y restringido”</w:t>
      </w:r>
      <w:r w:rsidR="00AA3E73" w:rsidRPr="00042671">
        <w:rPr>
          <w:rFonts w:ascii="Verdana" w:eastAsia="Arial" w:hAnsi="Verdana" w:cs="Arial"/>
          <w:vertAlign w:val="superscript"/>
        </w:rPr>
        <w:footnoteReference w:id="9"/>
      </w:r>
      <w:r w:rsidR="00AA3E73" w:rsidRPr="00042671">
        <w:rPr>
          <w:rFonts w:ascii="Verdana" w:eastAsia="Arial" w:hAnsi="Verdana" w:cs="Arial"/>
        </w:rPr>
        <w:t>. En ese sentido, si bien las entidades estatales, en ejercicio de la discrecionalidad que les corresponde en la configuración de los pliegos de condiciones, tienen competencia para determinar los requisitos que deben cumplir los proponentes para la presentación de ofertas</w:t>
      </w:r>
      <w:r w:rsidR="00AA3E73" w:rsidRPr="00042671">
        <w:rPr>
          <w:rFonts w:ascii="Verdana" w:eastAsia="Arial" w:hAnsi="Verdana" w:cs="Arial"/>
          <w:vertAlign w:val="superscript"/>
        </w:rPr>
        <w:footnoteReference w:id="10"/>
      </w:r>
      <w:r w:rsidR="00AA3E73" w:rsidRPr="00042671">
        <w:rPr>
          <w:rFonts w:ascii="Verdana" w:eastAsia="Arial" w:hAnsi="Verdana" w:cs="Arial"/>
        </w:rPr>
        <w:t xml:space="preserve"> y regular los eventos en los que procede su </w:t>
      </w:r>
      <w:r w:rsidR="00AA3E73" w:rsidRPr="00042671">
        <w:rPr>
          <w:rFonts w:ascii="Verdana" w:eastAsia="Arial" w:hAnsi="Verdana" w:cs="Arial"/>
        </w:rPr>
        <w:lastRenderedPageBreak/>
        <w:t>rechazo</w:t>
      </w:r>
      <w:r w:rsidR="00AA3E73" w:rsidRPr="00042671">
        <w:rPr>
          <w:rFonts w:ascii="Verdana" w:eastAsia="Arial" w:hAnsi="Verdana" w:cs="Arial"/>
          <w:vertAlign w:val="superscript"/>
        </w:rPr>
        <w:footnoteReference w:id="11"/>
      </w:r>
      <w:r w:rsidR="00AA3E73" w:rsidRPr="00042671">
        <w:rPr>
          <w:rFonts w:ascii="Verdana" w:eastAsia="Arial" w:hAnsi="Verdana" w:cs="Arial"/>
        </w:rPr>
        <w:t xml:space="preserve">, el ejercicio de tales facultades encuentra ciertos límites en la ley y el reglamento, así como en los principios de razonabilidad y proporcionalidad.  </w:t>
      </w:r>
    </w:p>
    <w:p w14:paraId="4DA06AC4" w14:textId="77777777" w:rsidR="00AA3E73" w:rsidRPr="00042671" w:rsidRDefault="00AA3E73" w:rsidP="00AA3E73">
      <w:pPr>
        <w:widowControl w:val="0"/>
        <w:spacing w:after="120"/>
        <w:ind w:firstLine="607"/>
        <w:jc w:val="both"/>
        <w:rPr>
          <w:rFonts w:ascii="Verdana" w:eastAsia="Arial" w:hAnsi="Verdana" w:cs="Arial"/>
        </w:rPr>
      </w:pPr>
      <w:r w:rsidRPr="00042671">
        <w:rPr>
          <w:rFonts w:ascii="Verdana" w:eastAsia="Arial" w:hAnsi="Verdana" w:cs="Arial"/>
        </w:rPr>
        <w:t xml:space="preserve">En ese entendido, uno de los límites a la facultad para establecer causales de rechazo, se encuentra en la regla de subsanabilidad del parágrafo 1 del artículo 5 de la Ley 1150 de 2007, según la cual “La ausencia de requisitos o la falta de documentos referentes a la futura contratación o al proponente, no necesarios para la comparación de las propuestas no servirán de título suficiente para el rechazo de los ofrecimientos hechos”, por lo que las entidades no podrán establecer causales de rechazo referentes a meros requisitos formales o rechazar las ofertas por esa razón. </w:t>
      </w:r>
    </w:p>
    <w:p w14:paraId="1E2CB786" w14:textId="77777777" w:rsidR="00AA3E73" w:rsidRPr="00042671" w:rsidRDefault="00AA3E73" w:rsidP="00AA3E73">
      <w:pPr>
        <w:widowControl w:val="0"/>
        <w:spacing w:after="0"/>
        <w:ind w:firstLine="708"/>
        <w:jc w:val="both"/>
        <w:rPr>
          <w:rFonts w:ascii="Verdana" w:eastAsia="Arial" w:hAnsi="Verdana" w:cs="Arial"/>
        </w:rPr>
      </w:pPr>
      <w:r w:rsidRPr="00042671">
        <w:rPr>
          <w:rFonts w:ascii="Verdana" w:eastAsia="Arial" w:hAnsi="Verdana" w:cs="Arial"/>
        </w:rPr>
        <w:t>De esta manera, la jurisprudencia del Consejo de Estado ha determinado que las causales de rechazo pueden o no estar establecidas en el pliego de condiciones, sin perjuicio de que sean aplicables al proceso contractual las establecidas directamente en la ley. Así se estableció en la sentencia del 27 de abril de 2011, en los siguientes términos:</w:t>
      </w:r>
    </w:p>
    <w:p w14:paraId="34894CBF" w14:textId="77777777" w:rsidR="00AA3E73" w:rsidRPr="00042671" w:rsidRDefault="00AA3E73" w:rsidP="00AA3E73">
      <w:pPr>
        <w:widowControl w:val="0"/>
        <w:spacing w:after="0"/>
        <w:ind w:firstLine="708"/>
        <w:jc w:val="both"/>
        <w:rPr>
          <w:rFonts w:ascii="Verdana" w:eastAsia="Arial" w:hAnsi="Verdana" w:cs="Arial"/>
        </w:rPr>
      </w:pPr>
    </w:p>
    <w:p w14:paraId="125216A7" w14:textId="77777777" w:rsidR="00AA3E73" w:rsidRPr="00042671" w:rsidRDefault="00AA3E73" w:rsidP="004C5533">
      <w:pPr>
        <w:widowControl w:val="0"/>
        <w:spacing w:after="0" w:line="240" w:lineRule="auto"/>
        <w:ind w:left="709" w:right="709"/>
        <w:jc w:val="both"/>
        <w:rPr>
          <w:rFonts w:ascii="Verdana" w:eastAsia="Arial" w:hAnsi="Verdana" w:cs="Arial"/>
          <w:sz w:val="20"/>
          <w:szCs w:val="20"/>
        </w:rPr>
      </w:pPr>
      <w:r w:rsidRPr="00042671">
        <w:rPr>
          <w:rFonts w:ascii="Verdana" w:eastAsia="Arial" w:hAnsi="Verdana" w:cs="Arial"/>
          <w:sz w:val="20"/>
          <w:szCs w:val="20"/>
        </w:rPr>
        <w:t>“En efecto, la Administración puede rechazar o descalificar los ofrecimientos hechos por causales previstas en la ley; hipótesis bajo la cual, la entidad pública licitante se limita a dar por comprobado el hecho que justifica la exclusión y así lo declarará apoyada en normas legales o reglamentarias de carácter general.</w:t>
      </w:r>
    </w:p>
    <w:p w14:paraId="61BB5065" w14:textId="77777777" w:rsidR="004C5533" w:rsidRPr="00042671" w:rsidRDefault="004C5533" w:rsidP="007D13BE">
      <w:pPr>
        <w:widowControl w:val="0"/>
        <w:spacing w:after="0" w:line="240" w:lineRule="auto"/>
        <w:ind w:left="709" w:right="709"/>
        <w:jc w:val="both"/>
        <w:rPr>
          <w:rFonts w:ascii="Verdana" w:eastAsia="Arial" w:hAnsi="Verdana" w:cs="Arial"/>
          <w:sz w:val="20"/>
          <w:szCs w:val="20"/>
        </w:rPr>
      </w:pPr>
    </w:p>
    <w:p w14:paraId="723BC148" w14:textId="77777777" w:rsidR="00AA3E73" w:rsidRPr="00042671" w:rsidRDefault="00AA3E73" w:rsidP="007D13BE">
      <w:pPr>
        <w:widowControl w:val="0"/>
        <w:spacing w:after="0" w:line="240" w:lineRule="auto"/>
        <w:ind w:left="709" w:right="709"/>
        <w:jc w:val="both"/>
        <w:rPr>
          <w:rFonts w:ascii="Verdana" w:eastAsia="Arial" w:hAnsi="Verdana" w:cs="Arial"/>
          <w:sz w:val="20"/>
          <w:szCs w:val="20"/>
        </w:rPr>
      </w:pPr>
      <w:r w:rsidRPr="00042671">
        <w:rPr>
          <w:rFonts w:ascii="Verdana" w:eastAsia="Arial" w:hAnsi="Verdana" w:cs="Arial"/>
          <w:sz w:val="20"/>
          <w:szCs w:val="20"/>
        </w:rPr>
        <w:t>En esta línea de pensamiento, resulta claro que el rechazo o la descalificación de ofertas no puede depender de la libre discrecionalidad de la Administración, en la medida en que el oferente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o deriven del incumplimiento de requisitos de la propuesta o de la omisión de documentos referentes a la futura contratación que sean necesarios para la comparación de las propuestas, de conformidad con lo establecido en el numeral 15 del artículo 25 de la Ley 80 de 1993, puesto que la causa excluyente debe ser razonable, esencial y proporcionada, toda vez que no tendría justificación excluir una propuesta por una deficiencia que no tenga incidencia alguna en la contratación.</w:t>
      </w:r>
    </w:p>
    <w:p w14:paraId="0B37DB64" w14:textId="77777777" w:rsidR="004C5533" w:rsidRDefault="004C5533" w:rsidP="004C5533">
      <w:pPr>
        <w:widowControl w:val="0"/>
        <w:spacing w:after="0" w:line="240" w:lineRule="auto"/>
        <w:ind w:left="709" w:right="709"/>
        <w:jc w:val="both"/>
        <w:rPr>
          <w:rFonts w:ascii="Verdana" w:eastAsia="Arial" w:hAnsi="Verdana" w:cs="Arial"/>
          <w:sz w:val="20"/>
          <w:szCs w:val="20"/>
        </w:rPr>
      </w:pPr>
    </w:p>
    <w:p w14:paraId="7972E555" w14:textId="1D561A33" w:rsidR="00AA3E73" w:rsidRPr="00042671" w:rsidRDefault="00AA3E73" w:rsidP="004C5533">
      <w:pPr>
        <w:widowControl w:val="0"/>
        <w:spacing w:after="0" w:line="240" w:lineRule="auto"/>
        <w:ind w:left="709" w:right="709"/>
        <w:jc w:val="both"/>
        <w:rPr>
          <w:rFonts w:ascii="Verdana" w:eastAsia="Arial" w:hAnsi="Verdana" w:cs="Arial"/>
          <w:sz w:val="20"/>
          <w:szCs w:val="20"/>
        </w:rPr>
      </w:pPr>
      <w:r w:rsidRPr="00042671">
        <w:rPr>
          <w:rFonts w:ascii="Verdana" w:eastAsia="Arial" w:hAnsi="Verdana" w:cs="Arial"/>
          <w:sz w:val="20"/>
          <w:szCs w:val="20"/>
        </w:rPr>
        <w:t>[…]</w:t>
      </w:r>
    </w:p>
    <w:p w14:paraId="6AE57957" w14:textId="77777777" w:rsidR="004C5533" w:rsidRPr="00042671" w:rsidRDefault="004C5533" w:rsidP="007D13BE">
      <w:pPr>
        <w:widowControl w:val="0"/>
        <w:spacing w:after="0" w:line="240" w:lineRule="auto"/>
        <w:ind w:left="709" w:right="709"/>
        <w:jc w:val="both"/>
        <w:rPr>
          <w:rFonts w:ascii="Verdana" w:eastAsia="Arial" w:hAnsi="Verdana" w:cs="Arial"/>
          <w:sz w:val="20"/>
          <w:szCs w:val="20"/>
        </w:rPr>
      </w:pPr>
    </w:p>
    <w:p w14:paraId="47D4E996" w14:textId="77777777" w:rsidR="00AA3E73" w:rsidRPr="00042671" w:rsidRDefault="00AA3E73" w:rsidP="00AA3E73">
      <w:pPr>
        <w:widowControl w:val="0"/>
        <w:spacing w:after="0" w:line="240" w:lineRule="auto"/>
        <w:ind w:left="709" w:right="709"/>
        <w:jc w:val="both"/>
        <w:rPr>
          <w:rFonts w:ascii="Verdana" w:eastAsia="Arial" w:hAnsi="Verdana" w:cs="Arial"/>
          <w:sz w:val="20"/>
          <w:szCs w:val="20"/>
        </w:rPr>
      </w:pPr>
      <w:r w:rsidRPr="00042671">
        <w:rPr>
          <w:rFonts w:ascii="Verdana" w:eastAsia="Arial" w:hAnsi="Verdana" w:cs="Arial"/>
          <w:sz w:val="20"/>
          <w:szCs w:val="20"/>
        </w:rPr>
        <w:t xml:space="preserve">Quiere con esto destacar la Sala que las causales de rechazo de las propuestas pueden ser legales y por lo mismo generan el efecto del descarte o exclusión de la oferta </w:t>
      </w:r>
      <w:proofErr w:type="spellStart"/>
      <w:r w:rsidRPr="00042671">
        <w:rPr>
          <w:rFonts w:ascii="Verdana" w:eastAsia="Arial" w:hAnsi="Verdana" w:cs="Arial"/>
          <w:i/>
          <w:iCs/>
          <w:sz w:val="20"/>
          <w:szCs w:val="20"/>
        </w:rPr>
        <w:t>ope</w:t>
      </w:r>
      <w:proofErr w:type="spellEnd"/>
      <w:r w:rsidRPr="00042671">
        <w:rPr>
          <w:rFonts w:ascii="Verdana" w:eastAsia="Arial" w:hAnsi="Verdana" w:cs="Arial"/>
          <w:i/>
          <w:iCs/>
          <w:sz w:val="20"/>
          <w:szCs w:val="20"/>
        </w:rPr>
        <w:t xml:space="preserve"> </w:t>
      </w:r>
      <w:proofErr w:type="spellStart"/>
      <w:r w:rsidRPr="00042671">
        <w:rPr>
          <w:rFonts w:ascii="Verdana" w:eastAsia="Arial" w:hAnsi="Verdana" w:cs="Arial"/>
          <w:i/>
          <w:iCs/>
          <w:sz w:val="20"/>
          <w:szCs w:val="20"/>
        </w:rPr>
        <w:t>legis</w:t>
      </w:r>
      <w:proofErr w:type="spellEnd"/>
      <w:r w:rsidRPr="00042671">
        <w:rPr>
          <w:rFonts w:ascii="Verdana" w:eastAsia="Arial" w:hAnsi="Verdana" w:cs="Arial"/>
          <w:sz w:val="20"/>
          <w:szCs w:val="20"/>
        </w:rPr>
        <w:t>,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 contratación</w:t>
      </w:r>
      <w:r w:rsidRPr="00042671">
        <w:rPr>
          <w:rFonts w:ascii="Verdana" w:eastAsia="Arial" w:hAnsi="Verdana" w:cs="Arial"/>
          <w:sz w:val="20"/>
          <w:szCs w:val="20"/>
          <w:vertAlign w:val="superscript"/>
        </w:rPr>
        <w:footnoteReference w:id="12"/>
      </w:r>
      <w:r w:rsidRPr="00042671">
        <w:rPr>
          <w:rFonts w:ascii="Verdana" w:eastAsia="Arial" w:hAnsi="Verdana" w:cs="Arial"/>
          <w:sz w:val="20"/>
          <w:szCs w:val="20"/>
        </w:rPr>
        <w:t>”.</w:t>
      </w:r>
    </w:p>
    <w:p w14:paraId="4E11F522" w14:textId="77777777" w:rsidR="00AA3E73" w:rsidRPr="007D13BE" w:rsidRDefault="00AA3E73" w:rsidP="007D13BE">
      <w:pPr>
        <w:widowControl w:val="0"/>
        <w:spacing w:after="0" w:line="276" w:lineRule="auto"/>
        <w:ind w:left="709" w:right="709"/>
        <w:jc w:val="both"/>
        <w:rPr>
          <w:rFonts w:ascii="Verdana" w:eastAsia="Arial" w:hAnsi="Verdana" w:cs="Arial"/>
        </w:rPr>
      </w:pPr>
    </w:p>
    <w:p w14:paraId="21F60ACC" w14:textId="77777777" w:rsidR="00AA3E73" w:rsidRPr="00042671" w:rsidRDefault="00AA3E73" w:rsidP="007D13BE">
      <w:pPr>
        <w:widowControl w:val="0"/>
        <w:spacing w:after="120" w:line="276" w:lineRule="auto"/>
        <w:ind w:firstLine="708"/>
        <w:jc w:val="both"/>
        <w:rPr>
          <w:rFonts w:ascii="Verdana" w:eastAsia="Arial" w:hAnsi="Verdana" w:cs="Arial"/>
        </w:rPr>
      </w:pPr>
      <w:r w:rsidRPr="00042671">
        <w:rPr>
          <w:rFonts w:ascii="Verdana" w:eastAsia="Arial" w:hAnsi="Verdana" w:cs="Arial"/>
        </w:rPr>
        <w:t xml:space="preserve">De acuerdo con la jurisprudencia citada, existen dos casos en los que procede el rechazo de la oferta: i) que se configure alguna de las causales de rechazo originadas en la ley o el reglamento y </w:t>
      </w:r>
      <w:proofErr w:type="spellStart"/>
      <w:r w:rsidRPr="00042671">
        <w:rPr>
          <w:rFonts w:ascii="Verdana" w:eastAsia="Arial" w:hAnsi="Verdana" w:cs="Arial"/>
        </w:rPr>
        <w:t>ii</w:t>
      </w:r>
      <w:proofErr w:type="spellEnd"/>
      <w:r w:rsidRPr="00042671">
        <w:rPr>
          <w:rFonts w:ascii="Verdana" w:eastAsia="Arial" w:hAnsi="Verdana" w:cs="Arial"/>
        </w:rPr>
        <w:t xml:space="preserve">) que se materialicen las establecidas en el pliego de condiciones. En tal sentido, las causales de rechazo de la oferta serán las consagradas en la ley o el reglamento producto de su aplicación, así como las definidas por las entidades en el respectivo pliego de condiciones. </w:t>
      </w:r>
    </w:p>
    <w:p w14:paraId="7708E7BB" w14:textId="77777777" w:rsidR="00AA3E73" w:rsidRPr="00042671" w:rsidRDefault="00AA3E73" w:rsidP="007D13BE">
      <w:pPr>
        <w:spacing w:after="120" w:line="276" w:lineRule="auto"/>
        <w:jc w:val="both"/>
        <w:rPr>
          <w:rFonts w:ascii="Verdana" w:eastAsia="Arial" w:hAnsi="Verdana" w:cs="Arial"/>
        </w:rPr>
      </w:pPr>
      <w:r w:rsidRPr="00042671">
        <w:rPr>
          <w:rFonts w:ascii="Verdana" w:eastAsia="Arial" w:hAnsi="Verdana" w:cs="Arial"/>
        </w:rPr>
        <w:tab/>
        <w:t xml:space="preserve">En tales términos, la facultad de las entidades estatales para incluir en los pliegos de condiciones causales de rechazo de las ofertas, no es una facultad absoluta, en la medida que se encuentra limitada por lo dispuesto en ley, al igual que por los principios de razonabilidad y proporcionalidad, los cuales exigen que las causales de rechazo que sean establecidas por la entidad, además de no contrariar el ordenamiento jurídico, no versen sobre aspectos meramente formales sin relevancia para el transcurso del proceso de selección o el perfeccionamiento del contrato. </w:t>
      </w:r>
    </w:p>
    <w:p w14:paraId="4CED03E6" w14:textId="0DCA4F00" w:rsidR="005F32D1" w:rsidRDefault="00147DCF" w:rsidP="004C5533">
      <w:pPr>
        <w:widowControl w:val="0"/>
        <w:autoSpaceDE w:val="0"/>
        <w:autoSpaceDN w:val="0"/>
        <w:spacing w:after="120" w:line="276" w:lineRule="auto"/>
        <w:ind w:firstLine="709"/>
        <w:jc w:val="both"/>
        <w:rPr>
          <w:rFonts w:ascii="Verdana" w:eastAsia="Arial" w:hAnsi="Verdana" w:cs="Arial"/>
          <w:lang w:val="es-ES"/>
        </w:rPr>
      </w:pPr>
      <w:r>
        <w:rPr>
          <w:rFonts w:ascii="Verdana" w:eastAsia="Arial" w:hAnsi="Verdana" w:cs="Arial"/>
          <w:lang w:val="es-ES"/>
        </w:rPr>
        <w:t>Ahora bien</w:t>
      </w:r>
      <w:r w:rsidR="00AA3E73" w:rsidRPr="0058797B">
        <w:rPr>
          <w:rFonts w:ascii="Verdana" w:eastAsia="Arial" w:hAnsi="Verdana" w:cs="Arial"/>
          <w:lang w:val="es-ES"/>
        </w:rPr>
        <w:t xml:space="preserve">, en consideración a la pregunta formulada sobre si la habilitación de un proponente en un proceso de selección se </w:t>
      </w:r>
      <w:r w:rsidR="00B34773">
        <w:rPr>
          <w:rFonts w:ascii="Verdana" w:eastAsia="Arial" w:hAnsi="Verdana" w:cs="Arial"/>
          <w:lang w:val="es-ES"/>
        </w:rPr>
        <w:t xml:space="preserve">ve </w:t>
      </w:r>
      <w:r w:rsidR="00AA3E73" w:rsidRPr="0058797B">
        <w:rPr>
          <w:rFonts w:ascii="Verdana" w:eastAsia="Arial" w:hAnsi="Verdana" w:cs="Arial"/>
          <w:lang w:val="es-ES"/>
        </w:rPr>
        <w:t>afecta</w:t>
      </w:r>
      <w:r w:rsidR="00B34773">
        <w:rPr>
          <w:rFonts w:ascii="Verdana" w:eastAsia="Arial" w:hAnsi="Verdana" w:cs="Arial"/>
          <w:lang w:val="es-ES"/>
        </w:rPr>
        <w:t>da</w:t>
      </w:r>
      <w:r w:rsidR="00AA3E73" w:rsidRPr="0058797B">
        <w:rPr>
          <w:rFonts w:ascii="Verdana" w:eastAsia="Arial" w:hAnsi="Verdana" w:cs="Arial"/>
          <w:lang w:val="es-ES"/>
        </w:rPr>
        <w:t xml:space="preserve"> cuando se acredita</w:t>
      </w:r>
      <w:r w:rsidR="00B34773">
        <w:rPr>
          <w:rFonts w:ascii="Verdana" w:eastAsia="Arial" w:hAnsi="Verdana" w:cs="Arial"/>
          <w:lang w:val="es-ES"/>
        </w:rPr>
        <w:t>,</w:t>
      </w:r>
      <w:r w:rsidR="00AA3E73" w:rsidRPr="0058797B">
        <w:rPr>
          <w:rFonts w:ascii="Verdana" w:eastAsia="Arial" w:hAnsi="Verdana" w:cs="Arial"/>
          <w:lang w:val="es-ES"/>
        </w:rPr>
        <w:t xml:space="preserve"> mediante el formato señalado por la entidad estatal</w:t>
      </w:r>
      <w:r w:rsidR="00B34773">
        <w:rPr>
          <w:rFonts w:ascii="Verdana" w:eastAsia="Arial" w:hAnsi="Verdana" w:cs="Arial"/>
          <w:lang w:val="es-ES"/>
        </w:rPr>
        <w:t>,</w:t>
      </w:r>
      <w:r w:rsidR="00AA3E73" w:rsidRPr="0058797B">
        <w:rPr>
          <w:rFonts w:ascii="Verdana" w:eastAsia="Arial" w:hAnsi="Verdana" w:cs="Arial"/>
          <w:lang w:val="es-ES"/>
        </w:rPr>
        <w:t xml:space="preserve"> el </w:t>
      </w:r>
      <w:r w:rsidR="00B34773">
        <w:rPr>
          <w:rFonts w:ascii="Verdana" w:eastAsia="Arial" w:hAnsi="Verdana" w:cs="Arial"/>
          <w:lang w:val="es-ES"/>
        </w:rPr>
        <w:t>pago de</w:t>
      </w:r>
      <w:r w:rsidR="00AA3E73" w:rsidRPr="0058797B">
        <w:rPr>
          <w:rFonts w:ascii="Verdana" w:eastAsia="Arial" w:hAnsi="Verdana" w:cs="Arial"/>
          <w:lang w:val="es-ES"/>
        </w:rPr>
        <w:t xml:space="preserve"> aporte</w:t>
      </w:r>
      <w:r w:rsidR="00B34773">
        <w:rPr>
          <w:rFonts w:ascii="Verdana" w:eastAsia="Arial" w:hAnsi="Verdana" w:cs="Arial"/>
          <w:lang w:val="es-ES"/>
        </w:rPr>
        <w:t>s</w:t>
      </w:r>
      <w:r w:rsidR="00AA3E73" w:rsidRPr="0058797B">
        <w:rPr>
          <w:rFonts w:ascii="Verdana" w:eastAsia="Arial" w:hAnsi="Verdana" w:cs="Arial"/>
          <w:lang w:val="es-ES"/>
        </w:rPr>
        <w:t xml:space="preserve"> parafiscales de los últimos seis </w:t>
      </w:r>
      <w:r w:rsidR="00E86606">
        <w:rPr>
          <w:rFonts w:ascii="Verdana" w:eastAsia="Arial" w:hAnsi="Verdana" w:cs="Arial"/>
          <w:lang w:val="es-ES"/>
        </w:rPr>
        <w:t>(6)</w:t>
      </w:r>
      <w:r w:rsidR="00AA3E73" w:rsidRPr="0058797B">
        <w:rPr>
          <w:rFonts w:ascii="Verdana" w:eastAsia="Arial" w:hAnsi="Verdana" w:cs="Arial"/>
          <w:lang w:val="es-ES"/>
        </w:rPr>
        <w:t xml:space="preserve"> meses anteriores al cierre, pero se encuentra en mora </w:t>
      </w:r>
      <w:r w:rsidR="00B34773">
        <w:rPr>
          <w:rFonts w:ascii="Verdana" w:eastAsia="Arial" w:hAnsi="Verdana" w:cs="Arial"/>
          <w:lang w:val="es-ES"/>
        </w:rPr>
        <w:t>respecto</w:t>
      </w:r>
      <w:r w:rsidR="00AA3E73" w:rsidRPr="0058797B">
        <w:rPr>
          <w:rFonts w:ascii="Verdana" w:eastAsia="Arial" w:hAnsi="Verdana" w:cs="Arial"/>
          <w:lang w:val="es-ES"/>
        </w:rPr>
        <w:t xml:space="preserve"> de meses anteriores, </w:t>
      </w:r>
      <w:r w:rsidR="00204A09">
        <w:rPr>
          <w:rFonts w:ascii="Verdana" w:eastAsia="Arial" w:hAnsi="Verdana" w:cs="Arial"/>
          <w:lang w:val="es-ES"/>
        </w:rPr>
        <w:t xml:space="preserve">y </w:t>
      </w:r>
      <w:r w:rsidR="00AA3E73" w:rsidRPr="0058797B">
        <w:rPr>
          <w:rFonts w:ascii="Verdana" w:eastAsia="Arial" w:hAnsi="Verdana" w:cs="Arial"/>
          <w:lang w:val="es-ES"/>
        </w:rPr>
        <w:t xml:space="preserve">si </w:t>
      </w:r>
      <w:r w:rsidR="00204A09">
        <w:rPr>
          <w:rFonts w:ascii="Verdana" w:eastAsia="Arial" w:hAnsi="Verdana" w:cs="Arial"/>
          <w:lang w:val="es-ES"/>
        </w:rPr>
        <w:t>en</w:t>
      </w:r>
      <w:r w:rsidR="00AA3E73" w:rsidRPr="0058797B">
        <w:rPr>
          <w:rFonts w:ascii="Verdana" w:eastAsia="Arial" w:hAnsi="Verdana" w:cs="Arial"/>
          <w:lang w:val="es-ES"/>
        </w:rPr>
        <w:t xml:space="preserve"> ese caso hipotético se </w:t>
      </w:r>
      <w:r w:rsidR="00AA3E73" w:rsidRPr="0058797B">
        <w:rPr>
          <w:rFonts w:ascii="Verdana" w:eastAsia="Arial" w:hAnsi="Verdana" w:cs="Arial"/>
          <w:lang w:val="es-ES"/>
        </w:rPr>
        <w:lastRenderedPageBreak/>
        <w:t xml:space="preserve">configura una causal de rechazo, resulta relevante indicar </w:t>
      </w:r>
      <w:r w:rsidR="005F32D1">
        <w:rPr>
          <w:rFonts w:ascii="Verdana" w:eastAsia="Arial" w:hAnsi="Verdana" w:cs="Arial"/>
          <w:lang w:val="es-ES"/>
        </w:rPr>
        <w:t xml:space="preserve">lo siguiente: </w:t>
      </w:r>
    </w:p>
    <w:p w14:paraId="2BAEF6E8" w14:textId="4032514B" w:rsidR="00AA3E73" w:rsidRPr="0058797B" w:rsidRDefault="005F32D1" w:rsidP="00AA3E73">
      <w:pPr>
        <w:widowControl w:val="0"/>
        <w:autoSpaceDE w:val="0"/>
        <w:autoSpaceDN w:val="0"/>
        <w:spacing w:after="120" w:line="276" w:lineRule="auto"/>
        <w:ind w:firstLine="709"/>
        <w:jc w:val="both"/>
        <w:rPr>
          <w:rFonts w:ascii="Verdana" w:eastAsia="Arial" w:hAnsi="Verdana" w:cs="Arial"/>
          <w:lang w:val="es-ES"/>
        </w:rPr>
      </w:pPr>
      <w:r>
        <w:rPr>
          <w:rFonts w:ascii="Verdana" w:eastAsia="Arial" w:hAnsi="Verdana" w:cs="Arial"/>
          <w:lang w:val="es-ES"/>
        </w:rPr>
        <w:t>U</w:t>
      </w:r>
      <w:r w:rsidR="00AA3E73" w:rsidRPr="0058797B">
        <w:rPr>
          <w:rFonts w:ascii="Verdana" w:eastAsia="Arial" w:hAnsi="Verdana" w:cs="Arial"/>
          <w:lang w:val="es-ES"/>
        </w:rPr>
        <w:t xml:space="preserve">na interpretación literal del artículo 50 de la Ley 789 de 2002, modificado por la Ley 828 de 2003, </w:t>
      </w:r>
      <w:r w:rsidR="00791B90">
        <w:rPr>
          <w:rFonts w:ascii="Verdana" w:eastAsia="Arial" w:hAnsi="Verdana" w:cs="Arial"/>
          <w:lang w:val="es-ES"/>
        </w:rPr>
        <w:t>permite concluir</w:t>
      </w:r>
      <w:r w:rsidR="00AA3E73" w:rsidRPr="0058797B">
        <w:rPr>
          <w:rFonts w:ascii="Verdana" w:eastAsia="Arial" w:hAnsi="Verdana" w:cs="Arial"/>
          <w:lang w:val="es-ES"/>
        </w:rPr>
        <w:t xml:space="preserve">, </w:t>
      </w:r>
      <w:r w:rsidR="00AA3E73" w:rsidRPr="0058797B">
        <w:rPr>
          <w:rFonts w:ascii="Verdana" w:eastAsia="Arial" w:hAnsi="Verdana" w:cs="Arial"/>
          <w:i/>
          <w:iCs/>
          <w:lang w:val="es-ES"/>
        </w:rPr>
        <w:t>prima facie</w:t>
      </w:r>
      <w:r w:rsidR="00AA3E73" w:rsidRPr="0058797B">
        <w:rPr>
          <w:rFonts w:ascii="Verdana" w:eastAsia="Arial" w:hAnsi="Verdana" w:cs="Arial"/>
          <w:lang w:val="es-ES"/>
        </w:rPr>
        <w:t xml:space="preserve">, que el requisito exigido a las personas jurídicas de acreditar el pago de los aportes parafiscales para presentar ofertas en un proceso de contratación pública se cumple simplemente con </w:t>
      </w:r>
      <w:r w:rsidR="00791B90">
        <w:rPr>
          <w:rFonts w:ascii="Verdana" w:eastAsia="Arial" w:hAnsi="Verdana" w:cs="Arial"/>
          <w:lang w:val="es-ES"/>
        </w:rPr>
        <w:t>la presentación</w:t>
      </w:r>
      <w:r w:rsidR="00AA3E73" w:rsidRPr="0058797B">
        <w:rPr>
          <w:rFonts w:ascii="Verdana" w:eastAsia="Arial" w:hAnsi="Verdana" w:cs="Arial"/>
          <w:lang w:val="es-ES"/>
        </w:rPr>
        <w:t xml:space="preserve"> de una certificación expedida por el revisor fiscal o por el representante legal. No obstante, para esta Subdirección tal exigencia resulta insuficiente para cumplir con el propósito y el espíritu que la norma en mención pretende, por las razones</w:t>
      </w:r>
      <w:r w:rsidR="00791B90">
        <w:rPr>
          <w:rFonts w:ascii="Verdana" w:eastAsia="Arial" w:hAnsi="Verdana" w:cs="Arial"/>
          <w:lang w:val="es-ES"/>
        </w:rPr>
        <w:t xml:space="preserve"> que a continuación se exponen. </w:t>
      </w:r>
    </w:p>
    <w:p w14:paraId="7242F36D" w14:textId="6D8526E3" w:rsidR="00AA3E73" w:rsidRPr="0058797B" w:rsidRDefault="00BB7E70" w:rsidP="00AA3E73">
      <w:pPr>
        <w:widowControl w:val="0"/>
        <w:autoSpaceDE w:val="0"/>
        <w:autoSpaceDN w:val="0"/>
        <w:spacing w:after="120" w:line="276" w:lineRule="auto"/>
        <w:ind w:firstLine="709"/>
        <w:jc w:val="both"/>
        <w:rPr>
          <w:rFonts w:ascii="Verdana" w:eastAsia="Arial" w:hAnsi="Verdana" w:cs="Arial"/>
          <w:lang w:val="es-ES"/>
        </w:rPr>
      </w:pPr>
      <w:r>
        <w:rPr>
          <w:rFonts w:ascii="Verdana" w:eastAsia="Arial" w:hAnsi="Verdana" w:cs="Arial"/>
          <w:lang w:val="es-ES"/>
        </w:rPr>
        <w:t>L</w:t>
      </w:r>
      <w:r w:rsidR="00AA3E73" w:rsidRPr="0058797B">
        <w:rPr>
          <w:rFonts w:ascii="Verdana" w:eastAsia="Arial" w:hAnsi="Verdana" w:cs="Arial"/>
          <w:lang w:val="es-ES"/>
        </w:rPr>
        <w:t xml:space="preserve">a Ley 789 de 2002 fue expedida con la finalidad de promover la empleabilidad, desarrollar el sistema de protección social y controlar la evasión de los aportes al </w:t>
      </w:r>
      <w:r w:rsidR="00367589">
        <w:rPr>
          <w:rFonts w:ascii="Verdana" w:eastAsia="Arial" w:hAnsi="Verdana" w:cs="Arial"/>
          <w:lang w:val="es-ES"/>
        </w:rPr>
        <w:t>Sistema de</w:t>
      </w:r>
      <w:r w:rsidR="00AA3E73" w:rsidRPr="0058797B">
        <w:rPr>
          <w:rFonts w:ascii="Verdana" w:eastAsia="Arial" w:hAnsi="Verdana" w:cs="Arial"/>
          <w:lang w:val="es-ES"/>
        </w:rPr>
        <w:t xml:space="preserve"> </w:t>
      </w:r>
      <w:r w:rsidR="00367589" w:rsidRPr="0058797B">
        <w:rPr>
          <w:rFonts w:ascii="Verdana" w:eastAsia="Arial" w:hAnsi="Verdana" w:cs="Arial"/>
          <w:lang w:val="es-ES"/>
        </w:rPr>
        <w:t>Seguridad Social</w:t>
      </w:r>
      <w:r w:rsidR="00AA3E73" w:rsidRPr="0058797B">
        <w:rPr>
          <w:rFonts w:ascii="Verdana" w:eastAsia="Arial" w:hAnsi="Verdana" w:cs="Arial"/>
          <w:lang w:val="es-ES"/>
        </w:rPr>
        <w:t xml:space="preserve"> y los recursos parafiscales</w:t>
      </w:r>
      <w:r w:rsidR="00AA3E73" w:rsidRPr="0058797B">
        <w:rPr>
          <w:rStyle w:val="Refdenotaalpie"/>
          <w:rFonts w:ascii="Verdana" w:eastAsia="Arial" w:hAnsi="Verdana" w:cs="Arial"/>
          <w:lang w:val="es-ES"/>
        </w:rPr>
        <w:footnoteReference w:id="13"/>
      </w:r>
      <w:r w:rsidR="00AA3E73" w:rsidRPr="0058797B">
        <w:rPr>
          <w:rFonts w:ascii="Verdana" w:eastAsia="Arial" w:hAnsi="Verdana" w:cs="Arial"/>
          <w:lang w:val="es-ES"/>
        </w:rPr>
        <w:t>. Estos últimos, son entendidos como las contribuciones de carácter obligatorio impuestas legalmente a los empleadores, cuyo monto se determina sobre la base gravable de la nómina total de trabajadores y no solo benefician estos últimos, sino también al sostenimiento del ICBF, SENA y las Cajas de Compensación Familiar</w:t>
      </w:r>
      <w:r w:rsidR="00AA3E73" w:rsidRPr="0058797B">
        <w:rPr>
          <w:rStyle w:val="Refdenotaalpie"/>
          <w:rFonts w:ascii="Verdana" w:eastAsia="Arial" w:hAnsi="Verdana" w:cs="Arial"/>
          <w:lang w:val="es-ES"/>
        </w:rPr>
        <w:footnoteReference w:id="14"/>
      </w:r>
      <w:r w:rsidR="00AA3E73" w:rsidRPr="0058797B">
        <w:rPr>
          <w:rFonts w:ascii="Verdana" w:eastAsia="Arial" w:hAnsi="Verdana" w:cs="Arial"/>
          <w:lang w:val="es-ES"/>
        </w:rPr>
        <w:t>.</w:t>
      </w:r>
    </w:p>
    <w:p w14:paraId="0D8191F0" w14:textId="2C0D83EF" w:rsidR="00AA3E73" w:rsidRPr="0058797B" w:rsidRDefault="00AA3E73" w:rsidP="00AA3E73">
      <w:pPr>
        <w:widowControl w:val="0"/>
        <w:autoSpaceDE w:val="0"/>
        <w:autoSpaceDN w:val="0"/>
        <w:spacing w:after="120" w:line="276" w:lineRule="auto"/>
        <w:ind w:firstLine="709"/>
        <w:jc w:val="both"/>
        <w:rPr>
          <w:rFonts w:ascii="Verdana" w:eastAsia="Arial" w:hAnsi="Verdana" w:cs="Arial"/>
          <w:lang w:val="es-ES"/>
        </w:rPr>
      </w:pPr>
      <w:r w:rsidRPr="0058797B">
        <w:rPr>
          <w:rFonts w:ascii="Verdana" w:eastAsia="Arial" w:hAnsi="Verdana" w:cs="Arial"/>
          <w:lang w:val="es-ES"/>
        </w:rPr>
        <w:t>Ante ese panorama, esta Agencia entiende que la intención del legislador</w:t>
      </w:r>
      <w:r w:rsidR="009D457C">
        <w:rPr>
          <w:rFonts w:ascii="Verdana" w:eastAsia="Arial" w:hAnsi="Verdana" w:cs="Arial"/>
          <w:lang w:val="es-ES"/>
        </w:rPr>
        <w:t>, al</w:t>
      </w:r>
      <w:r w:rsidRPr="0058797B">
        <w:rPr>
          <w:rFonts w:ascii="Verdana" w:eastAsia="Arial" w:hAnsi="Verdana" w:cs="Arial"/>
          <w:lang w:val="es-ES"/>
        </w:rPr>
        <w:t xml:space="preserve"> expedi</w:t>
      </w:r>
      <w:r w:rsidR="009D457C">
        <w:rPr>
          <w:rFonts w:ascii="Verdana" w:eastAsia="Arial" w:hAnsi="Verdana" w:cs="Arial"/>
          <w:lang w:val="es-ES"/>
        </w:rPr>
        <w:t>r</w:t>
      </w:r>
      <w:r w:rsidRPr="0058797B">
        <w:rPr>
          <w:rFonts w:ascii="Verdana" w:eastAsia="Arial" w:hAnsi="Verdana" w:cs="Arial"/>
          <w:lang w:val="es-ES"/>
        </w:rPr>
        <w:t xml:space="preserve"> la Ley 789 de 2002, particularmente</w:t>
      </w:r>
      <w:r w:rsidR="006350BF">
        <w:rPr>
          <w:rFonts w:ascii="Verdana" w:eastAsia="Arial" w:hAnsi="Verdana" w:cs="Arial"/>
          <w:lang w:val="es-ES"/>
        </w:rPr>
        <w:t>,</w:t>
      </w:r>
      <w:r w:rsidRPr="0058797B">
        <w:rPr>
          <w:rFonts w:ascii="Verdana" w:eastAsia="Arial" w:hAnsi="Verdana" w:cs="Arial"/>
          <w:lang w:val="es-ES"/>
        </w:rPr>
        <w:t xml:space="preserve"> </w:t>
      </w:r>
      <w:r w:rsidR="003F34F8">
        <w:rPr>
          <w:rFonts w:ascii="Verdana" w:eastAsia="Arial" w:hAnsi="Verdana" w:cs="Arial"/>
          <w:lang w:val="es-ES"/>
        </w:rPr>
        <w:t>lo dispuesto</w:t>
      </w:r>
      <w:r w:rsidRPr="0058797B">
        <w:rPr>
          <w:rFonts w:ascii="Verdana" w:eastAsia="Arial" w:hAnsi="Verdana" w:cs="Arial"/>
          <w:lang w:val="es-ES"/>
        </w:rPr>
        <w:t xml:space="preserve"> en el artículo 50, </w:t>
      </w:r>
      <w:r w:rsidR="003F34F8">
        <w:rPr>
          <w:rFonts w:ascii="Verdana" w:eastAsia="Arial" w:hAnsi="Verdana" w:cs="Arial"/>
          <w:lang w:val="es-ES"/>
        </w:rPr>
        <w:t xml:space="preserve">fue establecer </w:t>
      </w:r>
      <w:r w:rsidRPr="0058797B">
        <w:rPr>
          <w:rFonts w:ascii="Verdana" w:eastAsia="Arial" w:hAnsi="Verdana" w:cs="Arial"/>
          <w:lang w:val="es-ES"/>
        </w:rPr>
        <w:t>que las personas jurídicas interesadas en presentar ofertas en un proceso de selección acreditaran estar a paz y salvo en el pago de aportes parafiscales</w:t>
      </w:r>
      <w:r w:rsidR="003F34F8">
        <w:rPr>
          <w:rFonts w:ascii="Verdana" w:eastAsia="Arial" w:hAnsi="Verdana" w:cs="Arial"/>
          <w:lang w:val="es-ES"/>
        </w:rPr>
        <w:t>.- Esta exigencia va</w:t>
      </w:r>
      <w:r w:rsidRPr="0058797B">
        <w:rPr>
          <w:rFonts w:ascii="Verdana" w:eastAsia="Arial" w:hAnsi="Verdana" w:cs="Arial"/>
          <w:lang w:val="es-ES"/>
        </w:rPr>
        <w:t xml:space="preserve"> más allá de la formalidad de presentar un certificado, pues la verdadera finalidad </w:t>
      </w:r>
      <w:r w:rsidR="00993581">
        <w:rPr>
          <w:rFonts w:ascii="Verdana" w:eastAsia="Arial" w:hAnsi="Verdana" w:cs="Arial"/>
          <w:lang w:val="es-ES"/>
        </w:rPr>
        <w:t>es prevenir la</w:t>
      </w:r>
      <w:r w:rsidRPr="0058797B">
        <w:rPr>
          <w:rFonts w:ascii="Verdana" w:eastAsia="Arial" w:hAnsi="Verdana" w:cs="Arial"/>
          <w:lang w:val="es-ES"/>
        </w:rPr>
        <w:t xml:space="preserve"> mora en el pago de las contribuciones</w:t>
      </w:r>
      <w:r w:rsidR="00993581">
        <w:rPr>
          <w:rFonts w:ascii="Verdana" w:eastAsia="Arial" w:hAnsi="Verdana" w:cs="Arial"/>
          <w:lang w:val="es-ES"/>
        </w:rPr>
        <w:t xml:space="preserve">, mediante </w:t>
      </w:r>
      <w:r w:rsidRPr="0058797B">
        <w:rPr>
          <w:rFonts w:ascii="Verdana" w:eastAsia="Arial" w:hAnsi="Verdana" w:cs="Arial"/>
          <w:lang w:val="es-ES"/>
        </w:rPr>
        <w:t xml:space="preserve">una sanción </w:t>
      </w:r>
      <w:r w:rsidR="00993581">
        <w:rPr>
          <w:rFonts w:ascii="Verdana" w:eastAsia="Arial" w:hAnsi="Verdana" w:cs="Arial"/>
          <w:lang w:val="es-ES"/>
        </w:rPr>
        <w:t>consistente</w:t>
      </w:r>
      <w:r w:rsidR="007A4E76">
        <w:rPr>
          <w:rFonts w:ascii="Verdana" w:eastAsia="Arial" w:hAnsi="Verdana" w:cs="Arial"/>
          <w:lang w:val="es-ES"/>
        </w:rPr>
        <w:t xml:space="preserve"> en la exclusión </w:t>
      </w:r>
      <w:r w:rsidRPr="0058797B">
        <w:rPr>
          <w:rFonts w:ascii="Verdana" w:eastAsia="Arial" w:hAnsi="Verdana" w:cs="Arial"/>
          <w:lang w:val="es-ES"/>
        </w:rPr>
        <w:t>de las sociedades deudoras en procesos públicos de contratación.</w:t>
      </w:r>
    </w:p>
    <w:p w14:paraId="6F747108" w14:textId="1FAEB756" w:rsidR="00E02720" w:rsidRDefault="00E02720" w:rsidP="007D13BE">
      <w:pPr>
        <w:widowControl w:val="0"/>
        <w:autoSpaceDE w:val="0"/>
        <w:autoSpaceDN w:val="0"/>
        <w:spacing w:after="0" w:line="276" w:lineRule="auto"/>
        <w:ind w:firstLine="709"/>
        <w:jc w:val="both"/>
        <w:rPr>
          <w:rFonts w:ascii="Verdana" w:eastAsia="Arial" w:hAnsi="Verdana" w:cs="Arial"/>
          <w:lang w:val="es-ES"/>
        </w:rPr>
      </w:pPr>
      <w:r>
        <w:rPr>
          <w:rFonts w:ascii="Verdana" w:eastAsia="Arial" w:hAnsi="Verdana" w:cs="Arial"/>
          <w:lang w:val="es-ES"/>
        </w:rPr>
        <w:t xml:space="preserve">Así, el referido artículo 50 de la Ley 789 de 2022, a tenor literal, establece lo siguiente: </w:t>
      </w:r>
    </w:p>
    <w:p w14:paraId="3BEDD13A" w14:textId="77777777" w:rsidR="00D920D1" w:rsidRPr="007D13BE" w:rsidRDefault="00D920D1" w:rsidP="007D13BE">
      <w:pPr>
        <w:widowControl w:val="0"/>
        <w:autoSpaceDE w:val="0"/>
        <w:autoSpaceDN w:val="0"/>
        <w:spacing w:after="0" w:line="276" w:lineRule="auto"/>
        <w:ind w:left="709" w:right="709"/>
        <w:jc w:val="both"/>
        <w:rPr>
          <w:rFonts w:ascii="Verdana" w:eastAsia="Arial" w:hAnsi="Verdana" w:cs="Arial"/>
        </w:rPr>
      </w:pPr>
    </w:p>
    <w:p w14:paraId="38311F09" w14:textId="77777777" w:rsidR="00D920D1" w:rsidRDefault="00D920D1" w:rsidP="00D920D1">
      <w:pPr>
        <w:widowControl w:val="0"/>
        <w:autoSpaceDE w:val="0"/>
        <w:autoSpaceDN w:val="0"/>
        <w:spacing w:after="0" w:line="240" w:lineRule="auto"/>
        <w:ind w:left="709" w:right="709"/>
        <w:jc w:val="both"/>
        <w:rPr>
          <w:rFonts w:ascii="Verdana" w:eastAsia="Arial" w:hAnsi="Verdana" w:cs="Arial"/>
          <w:sz w:val="20"/>
          <w:szCs w:val="20"/>
        </w:rPr>
      </w:pPr>
      <w:r>
        <w:rPr>
          <w:rFonts w:ascii="Verdana" w:eastAsia="Arial" w:hAnsi="Verdana" w:cs="Arial"/>
          <w:sz w:val="20"/>
          <w:szCs w:val="20"/>
        </w:rPr>
        <w:t>“</w:t>
      </w:r>
      <w:r w:rsidRPr="00D920D1">
        <w:rPr>
          <w:rFonts w:ascii="Verdana" w:eastAsia="Arial" w:hAnsi="Verdana" w:cs="Arial"/>
          <w:sz w:val="20"/>
          <w:szCs w:val="20"/>
        </w:rPr>
        <w:t>Artículo 50. Control a la evasión de los recursos parafiscales</w:t>
      </w:r>
      <w:r w:rsidRPr="007D13BE">
        <w:rPr>
          <w:rFonts w:ascii="Verdana" w:eastAsia="Arial" w:hAnsi="Verdana" w:cs="Arial"/>
          <w:sz w:val="20"/>
          <w:szCs w:val="20"/>
        </w:rPr>
        <w:t xml:space="preserve">. </w:t>
      </w:r>
      <w:r w:rsidRPr="007D13BE">
        <w:rPr>
          <w:rFonts w:ascii="Verdana" w:eastAsia="Arial" w:hAnsi="Verdana" w:cs="Arial"/>
          <w:i/>
          <w:iCs/>
          <w:sz w:val="20"/>
          <w:szCs w:val="20"/>
        </w:rPr>
        <w:t>La celebración, renovación o liquidación por parte de un particular, de contratos de cualquier naturaleza con Entidades del sector público, requerirá para el efecto, del cumplimiento por parte del contratista de sus obligaciones con los sistemas de salud, riesgos profesionales, pensiones y aportes a las Cajas de Compensación Familiar, Instituto Colombiano de Bienestar Familiar y Servicio Nacional de Aprendizaje, cuando a ello haya lugar.</w:t>
      </w:r>
      <w:r w:rsidRPr="007D13BE">
        <w:rPr>
          <w:rFonts w:ascii="Verdana" w:eastAsia="Arial" w:hAnsi="Verdana" w:cs="Arial"/>
          <w:sz w:val="20"/>
          <w:szCs w:val="20"/>
        </w:rPr>
        <w:t xml:space="preserve"> Las Entidades públicas en el momento de liquidar los contratos deberán verificar y dejar constancia del cumplimiento de las obligaciones del contratista frente a los aportes mencionados durante toda su vigencia, estableciendo una correcta relación entre el monto cancelado y las sumas que debieron haber sido cotizadas. </w:t>
      </w:r>
    </w:p>
    <w:p w14:paraId="11770152" w14:textId="77777777" w:rsidR="00D920D1" w:rsidRDefault="00D920D1" w:rsidP="00D920D1">
      <w:pPr>
        <w:widowControl w:val="0"/>
        <w:autoSpaceDE w:val="0"/>
        <w:autoSpaceDN w:val="0"/>
        <w:spacing w:after="0" w:line="240" w:lineRule="auto"/>
        <w:ind w:left="709" w:right="709"/>
        <w:jc w:val="both"/>
        <w:rPr>
          <w:rFonts w:ascii="Verdana" w:eastAsia="Arial" w:hAnsi="Verdana" w:cs="Arial"/>
          <w:sz w:val="20"/>
          <w:szCs w:val="20"/>
        </w:rPr>
      </w:pPr>
    </w:p>
    <w:p w14:paraId="4C496818" w14:textId="77777777" w:rsidR="00D920D1" w:rsidRDefault="00D920D1" w:rsidP="00D920D1">
      <w:pPr>
        <w:widowControl w:val="0"/>
        <w:autoSpaceDE w:val="0"/>
        <w:autoSpaceDN w:val="0"/>
        <w:spacing w:after="0" w:line="240" w:lineRule="auto"/>
        <w:ind w:left="709" w:right="709"/>
        <w:jc w:val="both"/>
        <w:rPr>
          <w:rFonts w:ascii="Verdana" w:eastAsia="Arial" w:hAnsi="Verdana" w:cs="Arial"/>
          <w:sz w:val="20"/>
          <w:szCs w:val="20"/>
        </w:rPr>
      </w:pPr>
      <w:r w:rsidRPr="007D13BE">
        <w:rPr>
          <w:rFonts w:ascii="Verdana" w:eastAsia="Arial" w:hAnsi="Verdana" w:cs="Arial"/>
          <w:sz w:val="20"/>
          <w:szCs w:val="20"/>
        </w:rPr>
        <w:t xml:space="preserve">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 </w:t>
      </w:r>
    </w:p>
    <w:p w14:paraId="69C9679C" w14:textId="77777777" w:rsidR="00D920D1" w:rsidRDefault="00D920D1" w:rsidP="00D920D1">
      <w:pPr>
        <w:widowControl w:val="0"/>
        <w:autoSpaceDE w:val="0"/>
        <w:autoSpaceDN w:val="0"/>
        <w:spacing w:after="0" w:line="240" w:lineRule="auto"/>
        <w:ind w:left="709" w:right="709"/>
        <w:jc w:val="both"/>
        <w:rPr>
          <w:rFonts w:ascii="Verdana" w:eastAsia="Arial" w:hAnsi="Verdana" w:cs="Arial"/>
          <w:sz w:val="20"/>
          <w:szCs w:val="20"/>
        </w:rPr>
      </w:pPr>
    </w:p>
    <w:p w14:paraId="6B04B19B" w14:textId="77777777" w:rsidR="00FB4AFE" w:rsidRDefault="00D920D1" w:rsidP="00D920D1">
      <w:pPr>
        <w:widowControl w:val="0"/>
        <w:autoSpaceDE w:val="0"/>
        <w:autoSpaceDN w:val="0"/>
        <w:spacing w:after="0" w:line="240" w:lineRule="auto"/>
        <w:ind w:left="709" w:right="709"/>
        <w:jc w:val="both"/>
        <w:rPr>
          <w:rFonts w:ascii="Verdana" w:eastAsia="Arial" w:hAnsi="Verdana" w:cs="Arial"/>
          <w:i/>
          <w:iCs/>
          <w:sz w:val="20"/>
          <w:szCs w:val="20"/>
        </w:rPr>
      </w:pPr>
      <w:r w:rsidRPr="007D13BE">
        <w:rPr>
          <w:rFonts w:ascii="Verdana" w:eastAsia="Arial" w:hAnsi="Verdana" w:cs="Arial"/>
          <w:i/>
          <w:iCs/>
          <w:sz w:val="20"/>
          <w:szCs w:val="20"/>
        </w:rPr>
        <w:t>Cuando la contratación se realice con personas jurídicas, se deberá acreditar el pago de los aportes de sus empleados, a los sistemas mencionados mediante certificación expedida por el revisor fiscal, cuando este exista de acuerdo con los requerimientos de ley, o por el</w:t>
      </w:r>
      <w:r w:rsidR="00FB4AFE" w:rsidRPr="00FB4AFE">
        <w:rPr>
          <w:rFonts w:ascii="Verdana" w:eastAsia="Arial" w:hAnsi="Verdana" w:cs="Arial"/>
          <w:i/>
          <w:iCs/>
          <w:sz w:val="20"/>
          <w:szCs w:val="20"/>
        </w:rPr>
        <w:t xml:space="preserve">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w:t>
      </w:r>
      <w:proofErr w:type="spellStart"/>
      <w:r w:rsidR="00FB4AFE" w:rsidRPr="00FB4AFE">
        <w:rPr>
          <w:rFonts w:ascii="Verdana" w:eastAsia="Arial" w:hAnsi="Verdana" w:cs="Arial"/>
          <w:i/>
          <w:iCs/>
          <w:sz w:val="20"/>
          <w:szCs w:val="20"/>
        </w:rPr>
        <w:t>mas</w:t>
      </w:r>
      <w:proofErr w:type="spellEnd"/>
      <w:r w:rsidR="00FB4AFE" w:rsidRPr="00FB4AFE">
        <w:rPr>
          <w:rFonts w:ascii="Verdana" w:eastAsia="Arial" w:hAnsi="Verdana" w:cs="Arial"/>
          <w:i/>
          <w:iCs/>
          <w:sz w:val="20"/>
          <w:szCs w:val="20"/>
        </w:rPr>
        <w:t xml:space="preserve"> de seis (6) meses de constituida, deberá acreditar los pagos a partir de la fecha de su constitución. </w:t>
      </w:r>
    </w:p>
    <w:p w14:paraId="76810382" w14:textId="77777777" w:rsidR="00FB4AFE" w:rsidRDefault="00FB4AFE" w:rsidP="00D920D1">
      <w:pPr>
        <w:widowControl w:val="0"/>
        <w:autoSpaceDE w:val="0"/>
        <w:autoSpaceDN w:val="0"/>
        <w:spacing w:after="0" w:line="240" w:lineRule="auto"/>
        <w:ind w:left="709" w:right="709"/>
        <w:jc w:val="both"/>
        <w:rPr>
          <w:rFonts w:ascii="Verdana" w:eastAsia="Arial" w:hAnsi="Verdana" w:cs="Arial"/>
          <w:i/>
          <w:iCs/>
          <w:sz w:val="20"/>
          <w:szCs w:val="20"/>
        </w:rPr>
      </w:pPr>
    </w:p>
    <w:p w14:paraId="3C316B1D" w14:textId="6C14D6CA" w:rsidR="00E02720" w:rsidRPr="007D13BE" w:rsidRDefault="00FB4AFE" w:rsidP="007D13BE">
      <w:pPr>
        <w:widowControl w:val="0"/>
        <w:autoSpaceDE w:val="0"/>
        <w:autoSpaceDN w:val="0"/>
        <w:spacing w:after="0" w:line="240" w:lineRule="auto"/>
        <w:ind w:left="709" w:right="709"/>
        <w:jc w:val="both"/>
        <w:rPr>
          <w:rFonts w:ascii="Verdana" w:eastAsia="Arial" w:hAnsi="Verdana" w:cs="Arial"/>
          <w:i/>
          <w:iCs/>
          <w:sz w:val="20"/>
          <w:szCs w:val="20"/>
          <w:lang w:val="es-ES"/>
        </w:rPr>
      </w:pPr>
      <w:r w:rsidRPr="00FB4AFE">
        <w:rPr>
          <w:rFonts w:ascii="Verdana" w:eastAsia="Arial" w:hAnsi="Verdana" w:cs="Arial"/>
          <w:i/>
          <w:iCs/>
          <w:sz w:val="20"/>
          <w:szCs w:val="20"/>
        </w:rPr>
        <w:t>Para la presentación de ofertas por parte de personas jurídicas será indispensable acreditar el requisito señalado anteriormente. El funcionario que no deje constancia de la verificación del cumplimiento de este requisito incurrirá en causal de mala conducta. (Negrilla y subrayado fuera de texto)</w:t>
      </w:r>
    </w:p>
    <w:p w14:paraId="3F565E0E" w14:textId="77777777" w:rsidR="00E02720" w:rsidRPr="0058797B" w:rsidRDefault="00E02720" w:rsidP="007D13BE">
      <w:pPr>
        <w:widowControl w:val="0"/>
        <w:autoSpaceDE w:val="0"/>
        <w:autoSpaceDN w:val="0"/>
        <w:spacing w:after="0" w:line="276" w:lineRule="auto"/>
        <w:ind w:firstLine="709"/>
        <w:jc w:val="both"/>
        <w:rPr>
          <w:rFonts w:ascii="Verdana" w:eastAsia="Arial" w:hAnsi="Verdana" w:cs="Arial"/>
          <w:lang w:val="es-ES"/>
        </w:rPr>
      </w:pPr>
    </w:p>
    <w:p w14:paraId="15F71EE9" w14:textId="72A23BA8" w:rsidR="008062FD" w:rsidRDefault="00AC2A3F" w:rsidP="007D13BE">
      <w:pPr>
        <w:widowControl w:val="0"/>
        <w:autoSpaceDE w:val="0"/>
        <w:autoSpaceDN w:val="0"/>
        <w:spacing w:after="120" w:line="276" w:lineRule="auto"/>
        <w:ind w:firstLine="709"/>
        <w:jc w:val="both"/>
        <w:rPr>
          <w:rFonts w:ascii="Verdana" w:eastAsia="Arial" w:hAnsi="Verdana" w:cs="Arial"/>
          <w:lang w:val="es-ES"/>
        </w:rPr>
      </w:pPr>
      <w:r>
        <w:rPr>
          <w:rFonts w:ascii="Verdana" w:eastAsia="Arial" w:hAnsi="Verdana" w:cs="Arial"/>
        </w:rPr>
        <w:t>Como se mencionó, l</w:t>
      </w:r>
      <w:r w:rsidR="008062FD" w:rsidRPr="008062FD">
        <w:rPr>
          <w:rFonts w:ascii="Verdana" w:eastAsia="Arial" w:hAnsi="Verdana" w:cs="Arial"/>
        </w:rPr>
        <w:t xml:space="preserve">a norma precitada buscó evitar la evasión en el pago al </w:t>
      </w:r>
      <w:r w:rsidR="00D11739" w:rsidRPr="008062FD">
        <w:rPr>
          <w:rFonts w:ascii="Verdana" w:eastAsia="Arial" w:hAnsi="Verdana" w:cs="Arial"/>
        </w:rPr>
        <w:t xml:space="preserve">Sistema </w:t>
      </w:r>
      <w:r w:rsidR="008062FD" w:rsidRPr="008062FD">
        <w:rPr>
          <w:rFonts w:ascii="Verdana" w:eastAsia="Arial" w:hAnsi="Verdana" w:cs="Arial"/>
        </w:rPr>
        <w:t xml:space="preserve">de </w:t>
      </w:r>
      <w:r w:rsidR="00D11739" w:rsidRPr="008062FD">
        <w:rPr>
          <w:rFonts w:ascii="Verdana" w:eastAsia="Arial" w:hAnsi="Verdana" w:cs="Arial"/>
        </w:rPr>
        <w:t xml:space="preserve">Seguridad Social </w:t>
      </w:r>
      <w:r w:rsidR="008062FD" w:rsidRPr="008062FD">
        <w:rPr>
          <w:rFonts w:ascii="Verdana" w:eastAsia="Arial" w:hAnsi="Verdana" w:cs="Arial"/>
        </w:rPr>
        <w:t xml:space="preserve">y de los aportes parafiscales, utilizando como estrategia la revisión constante por parte de los funcionarios públicos respecto a los posibles oferentes en los procesos de selección, así como de los contratistas de manera previa a la suscripción del contrato o su renovación, incluyendo su liquidación. En el caso de las personas jurídicas, el requisito se acredita con la certificación emitida por el revisor fiscal, cuando deba existir en la persona jurídica, o por el representante legal, el cual, en todo caso, no debe ser inferior </w:t>
      </w:r>
      <w:r w:rsidR="008062FD" w:rsidRPr="008062FD">
        <w:rPr>
          <w:rFonts w:ascii="Verdana" w:eastAsia="Arial" w:hAnsi="Verdana" w:cs="Arial"/>
        </w:rPr>
        <w:lastRenderedPageBreak/>
        <w:t xml:space="preserve">a los </w:t>
      </w:r>
      <w:r w:rsidR="001762EB">
        <w:rPr>
          <w:rFonts w:ascii="Verdana" w:eastAsia="Arial" w:hAnsi="Verdana" w:cs="Arial"/>
        </w:rPr>
        <w:t>seis (</w:t>
      </w:r>
      <w:r w:rsidR="008062FD" w:rsidRPr="008062FD">
        <w:rPr>
          <w:rFonts w:ascii="Verdana" w:eastAsia="Arial" w:hAnsi="Verdana" w:cs="Arial"/>
        </w:rPr>
        <w:t>6</w:t>
      </w:r>
      <w:r w:rsidR="001762EB">
        <w:rPr>
          <w:rFonts w:ascii="Verdana" w:eastAsia="Arial" w:hAnsi="Verdana" w:cs="Arial"/>
        </w:rPr>
        <w:t>)</w:t>
      </w:r>
      <w:r w:rsidR="008062FD" w:rsidRPr="008062FD">
        <w:rPr>
          <w:rFonts w:ascii="Verdana" w:eastAsia="Arial" w:hAnsi="Verdana" w:cs="Arial"/>
        </w:rPr>
        <w:t xml:space="preserve"> meses anteriores a la celebración del contrato o a la apertura del proceso de selección.</w:t>
      </w:r>
    </w:p>
    <w:p w14:paraId="583D2A73" w14:textId="6DB3EDF1" w:rsidR="008062FD" w:rsidRDefault="00AA3E73" w:rsidP="007D13BE">
      <w:pPr>
        <w:widowControl w:val="0"/>
        <w:autoSpaceDE w:val="0"/>
        <w:autoSpaceDN w:val="0"/>
        <w:spacing w:after="120" w:line="276" w:lineRule="auto"/>
        <w:ind w:firstLine="709"/>
        <w:jc w:val="both"/>
        <w:rPr>
          <w:rFonts w:ascii="Verdana" w:eastAsia="Arial" w:hAnsi="Verdana" w:cs="Arial"/>
          <w:lang w:val="es-ES"/>
        </w:rPr>
      </w:pPr>
      <w:r w:rsidRPr="0058797B">
        <w:rPr>
          <w:rFonts w:ascii="Verdana" w:eastAsia="Arial" w:hAnsi="Verdana" w:cs="Arial"/>
          <w:lang w:val="es-ES"/>
        </w:rPr>
        <w:t xml:space="preserve">En consecuencia, </w:t>
      </w:r>
      <w:r w:rsidR="00E061A6">
        <w:rPr>
          <w:rFonts w:ascii="Verdana" w:eastAsia="Arial" w:hAnsi="Verdana" w:cs="Arial"/>
          <w:lang w:val="es-ES"/>
        </w:rPr>
        <w:t>si bien</w:t>
      </w:r>
      <w:r w:rsidRPr="0058797B">
        <w:rPr>
          <w:rFonts w:ascii="Verdana" w:eastAsia="Arial" w:hAnsi="Verdana" w:cs="Arial"/>
          <w:lang w:val="es-ES"/>
        </w:rPr>
        <w:t xml:space="preserve"> la norma </w:t>
      </w:r>
      <w:r w:rsidR="00E061A6">
        <w:rPr>
          <w:rFonts w:ascii="Verdana" w:eastAsia="Arial" w:hAnsi="Verdana" w:cs="Arial"/>
          <w:lang w:val="es-ES"/>
        </w:rPr>
        <w:t>establece</w:t>
      </w:r>
      <w:r w:rsidR="00E061A6" w:rsidRPr="0058797B">
        <w:rPr>
          <w:rFonts w:ascii="Verdana" w:eastAsia="Arial" w:hAnsi="Verdana" w:cs="Arial"/>
          <w:lang w:val="es-ES"/>
        </w:rPr>
        <w:t xml:space="preserve"> </w:t>
      </w:r>
      <w:r w:rsidRPr="0058797B">
        <w:rPr>
          <w:rFonts w:ascii="Verdana" w:eastAsia="Arial" w:hAnsi="Verdana" w:cs="Arial"/>
          <w:lang w:val="es-ES"/>
        </w:rPr>
        <w:t xml:space="preserve">un término </w:t>
      </w:r>
      <w:r w:rsidRPr="0058797B">
        <w:rPr>
          <w:rFonts w:ascii="Verdana" w:eastAsia="Arial" w:hAnsi="Verdana" w:cs="Arial"/>
          <w:i/>
          <w:iCs/>
          <w:lang w:val="es-ES"/>
        </w:rPr>
        <w:t>mínimo</w:t>
      </w:r>
      <w:r w:rsidRPr="0058797B">
        <w:rPr>
          <w:rFonts w:ascii="Verdana" w:eastAsia="Arial" w:hAnsi="Verdana" w:cs="Arial"/>
          <w:lang w:val="es-ES"/>
        </w:rPr>
        <w:t xml:space="preserve"> de seis </w:t>
      </w:r>
      <w:r w:rsidR="001762EB">
        <w:rPr>
          <w:rFonts w:ascii="Verdana" w:eastAsia="Arial" w:hAnsi="Verdana" w:cs="Arial"/>
          <w:lang w:val="es-ES"/>
        </w:rPr>
        <w:t>(</w:t>
      </w:r>
      <w:r w:rsidR="008973BE">
        <w:rPr>
          <w:rFonts w:ascii="Verdana" w:eastAsia="Arial" w:hAnsi="Verdana" w:cs="Arial"/>
          <w:lang w:val="es-ES"/>
        </w:rPr>
        <w:t>6</w:t>
      </w:r>
      <w:r w:rsidR="001762EB">
        <w:rPr>
          <w:rFonts w:ascii="Verdana" w:eastAsia="Arial" w:hAnsi="Verdana" w:cs="Arial"/>
          <w:lang w:val="es-ES"/>
        </w:rPr>
        <w:t>)</w:t>
      </w:r>
      <w:r w:rsidRPr="0058797B">
        <w:rPr>
          <w:rFonts w:ascii="Verdana" w:eastAsia="Arial" w:hAnsi="Verdana" w:cs="Arial"/>
          <w:lang w:val="es-ES"/>
        </w:rPr>
        <w:t xml:space="preserve"> meses para que las entidades estatales verifiquen</w:t>
      </w:r>
      <w:r w:rsidR="005B1C7F">
        <w:rPr>
          <w:rFonts w:ascii="Verdana" w:eastAsia="Arial" w:hAnsi="Verdana" w:cs="Arial"/>
          <w:lang w:val="es-ES"/>
        </w:rPr>
        <w:t>,</w:t>
      </w:r>
      <w:r w:rsidRPr="0058797B">
        <w:rPr>
          <w:rFonts w:ascii="Verdana" w:eastAsia="Arial" w:hAnsi="Verdana" w:cs="Arial"/>
          <w:lang w:val="es-ES"/>
        </w:rPr>
        <w:t xml:space="preserve"> a través de la certificación</w:t>
      </w:r>
      <w:r w:rsidR="005B1C7F">
        <w:rPr>
          <w:rFonts w:ascii="Verdana" w:eastAsia="Arial" w:hAnsi="Verdana" w:cs="Arial"/>
          <w:lang w:val="es-ES"/>
        </w:rPr>
        <w:t>, el cumplimiento de</w:t>
      </w:r>
      <w:r w:rsidRPr="0058797B">
        <w:rPr>
          <w:rFonts w:ascii="Verdana" w:eastAsia="Arial" w:hAnsi="Verdana" w:cs="Arial"/>
          <w:lang w:val="es-ES"/>
        </w:rPr>
        <w:t xml:space="preserve"> los aportes parafiscales de las personas jurídicas, </w:t>
      </w:r>
      <w:r w:rsidR="005B1C7F">
        <w:rPr>
          <w:rFonts w:ascii="Verdana" w:eastAsia="Arial" w:hAnsi="Verdana" w:cs="Arial"/>
          <w:lang w:val="es-ES"/>
        </w:rPr>
        <w:t xml:space="preserve">ello </w:t>
      </w:r>
      <w:r w:rsidRPr="0058797B">
        <w:rPr>
          <w:rFonts w:ascii="Verdana" w:eastAsia="Arial" w:hAnsi="Verdana" w:cs="Arial"/>
          <w:lang w:val="es-ES"/>
        </w:rPr>
        <w:t xml:space="preserve">no significa que se omita la exigencia del pago total de </w:t>
      </w:r>
      <w:r w:rsidR="005B1C7F">
        <w:rPr>
          <w:rFonts w:ascii="Verdana" w:eastAsia="Arial" w:hAnsi="Verdana" w:cs="Arial"/>
          <w:lang w:val="es-ES"/>
        </w:rPr>
        <w:t>dicha</w:t>
      </w:r>
      <w:r w:rsidR="005B1C7F" w:rsidRPr="0058797B">
        <w:rPr>
          <w:rFonts w:ascii="Verdana" w:eastAsia="Arial" w:hAnsi="Verdana" w:cs="Arial"/>
          <w:lang w:val="es-ES"/>
        </w:rPr>
        <w:t xml:space="preserve"> </w:t>
      </w:r>
      <w:r w:rsidRPr="0058797B">
        <w:rPr>
          <w:rFonts w:ascii="Verdana" w:eastAsia="Arial" w:hAnsi="Verdana" w:cs="Arial"/>
          <w:lang w:val="es-ES"/>
        </w:rPr>
        <w:t>contribución obligatoria</w:t>
      </w:r>
      <w:r w:rsidR="005F11B4">
        <w:rPr>
          <w:rFonts w:ascii="Verdana" w:eastAsia="Arial" w:hAnsi="Verdana" w:cs="Arial"/>
          <w:lang w:val="es-ES"/>
        </w:rPr>
        <w:t>, conforme al</w:t>
      </w:r>
      <w:r w:rsidRPr="0058797B">
        <w:rPr>
          <w:rFonts w:ascii="Verdana" w:eastAsia="Arial" w:hAnsi="Verdana" w:cs="Arial"/>
          <w:lang w:val="es-ES"/>
        </w:rPr>
        <w:t xml:space="preserve"> mandato le</w:t>
      </w:r>
      <w:r w:rsidR="005F11B4">
        <w:rPr>
          <w:rFonts w:ascii="Verdana" w:eastAsia="Arial" w:hAnsi="Verdana" w:cs="Arial"/>
          <w:lang w:val="es-ES"/>
        </w:rPr>
        <w:t>gal</w:t>
      </w:r>
      <w:r w:rsidR="004470A5">
        <w:rPr>
          <w:rFonts w:ascii="Verdana" w:eastAsia="Arial" w:hAnsi="Verdana" w:cs="Arial"/>
          <w:lang w:val="es-ES"/>
        </w:rPr>
        <w:t>.</w:t>
      </w:r>
      <w:r w:rsidRPr="0058797B">
        <w:rPr>
          <w:rFonts w:ascii="Verdana" w:eastAsia="Arial" w:hAnsi="Verdana" w:cs="Arial"/>
          <w:lang w:val="es-ES"/>
        </w:rPr>
        <w:t xml:space="preserve"> </w:t>
      </w:r>
      <w:r w:rsidR="005F11B4">
        <w:rPr>
          <w:rFonts w:ascii="Verdana" w:eastAsia="Arial" w:hAnsi="Verdana" w:cs="Arial"/>
          <w:lang w:val="es-ES"/>
        </w:rPr>
        <w:t>En ese sentido</w:t>
      </w:r>
      <w:r w:rsidRPr="0058797B">
        <w:rPr>
          <w:rFonts w:ascii="Verdana" w:eastAsia="Arial" w:hAnsi="Verdana" w:cs="Arial"/>
          <w:lang w:val="es-ES"/>
        </w:rPr>
        <w:t xml:space="preserve">, para la presentación de ofertas de personas jurídicas </w:t>
      </w:r>
      <w:r w:rsidR="00782C08">
        <w:rPr>
          <w:rFonts w:ascii="Verdana" w:eastAsia="Arial" w:hAnsi="Verdana" w:cs="Arial"/>
          <w:lang w:val="es-ES"/>
        </w:rPr>
        <w:t>resulta</w:t>
      </w:r>
      <w:r w:rsidRPr="0058797B">
        <w:rPr>
          <w:rFonts w:ascii="Verdana" w:eastAsia="Arial" w:hAnsi="Verdana" w:cs="Arial"/>
          <w:lang w:val="es-ES"/>
        </w:rPr>
        <w:t xml:space="preserve"> indispensable acreditar</w:t>
      </w:r>
      <w:r w:rsidRPr="0058797B">
        <w:rPr>
          <w:rFonts w:ascii="Verdana" w:eastAsia="Arial" w:hAnsi="Verdana" w:cs="Arial"/>
          <w:spacing w:val="-10"/>
          <w:lang w:val="es-ES"/>
        </w:rPr>
        <w:t xml:space="preserve"> </w:t>
      </w:r>
      <w:r w:rsidRPr="0058797B">
        <w:rPr>
          <w:rFonts w:ascii="Verdana" w:eastAsia="Arial" w:hAnsi="Verdana" w:cs="Arial"/>
          <w:lang w:val="es-ES"/>
        </w:rPr>
        <w:t>el</w:t>
      </w:r>
      <w:r w:rsidRPr="0058797B">
        <w:rPr>
          <w:rFonts w:ascii="Verdana" w:eastAsia="Arial" w:hAnsi="Verdana" w:cs="Arial"/>
          <w:spacing w:val="-10"/>
          <w:lang w:val="es-ES"/>
        </w:rPr>
        <w:t xml:space="preserve"> </w:t>
      </w:r>
      <w:r w:rsidRPr="0058797B">
        <w:rPr>
          <w:rFonts w:ascii="Verdana" w:eastAsia="Arial" w:hAnsi="Verdana" w:cs="Arial"/>
          <w:lang w:val="es-ES"/>
        </w:rPr>
        <w:t>requisito</w:t>
      </w:r>
      <w:r w:rsidRPr="0058797B">
        <w:rPr>
          <w:rFonts w:ascii="Verdana" w:eastAsia="Arial" w:hAnsi="Verdana" w:cs="Arial"/>
          <w:spacing w:val="-10"/>
          <w:lang w:val="es-ES"/>
        </w:rPr>
        <w:t xml:space="preserve"> previamente </w:t>
      </w:r>
      <w:r w:rsidRPr="0058797B">
        <w:rPr>
          <w:rFonts w:ascii="Verdana" w:eastAsia="Arial" w:hAnsi="Verdana" w:cs="Arial"/>
          <w:lang w:val="es-ES"/>
        </w:rPr>
        <w:t>señalado, puesto que con ello se busca evitar</w:t>
      </w:r>
      <w:r w:rsidRPr="0058797B">
        <w:rPr>
          <w:rFonts w:ascii="Verdana" w:eastAsia="Arial" w:hAnsi="Verdana" w:cs="Arial"/>
          <w:spacing w:val="-6"/>
          <w:lang w:val="es-ES"/>
        </w:rPr>
        <w:t xml:space="preserve"> </w:t>
      </w:r>
      <w:r w:rsidRPr="0058797B">
        <w:rPr>
          <w:rFonts w:ascii="Verdana" w:eastAsia="Arial" w:hAnsi="Verdana" w:cs="Arial"/>
          <w:lang w:val="es-ES"/>
        </w:rPr>
        <w:t>la</w:t>
      </w:r>
      <w:r w:rsidRPr="0058797B">
        <w:rPr>
          <w:rFonts w:ascii="Verdana" w:eastAsia="Arial" w:hAnsi="Verdana" w:cs="Arial"/>
          <w:spacing w:val="-5"/>
          <w:lang w:val="es-ES"/>
        </w:rPr>
        <w:t xml:space="preserve"> </w:t>
      </w:r>
      <w:r w:rsidRPr="0058797B">
        <w:rPr>
          <w:rFonts w:ascii="Verdana" w:eastAsia="Arial" w:hAnsi="Verdana" w:cs="Arial"/>
          <w:lang w:val="es-ES"/>
        </w:rPr>
        <w:t>evasión</w:t>
      </w:r>
      <w:r w:rsidRPr="0058797B">
        <w:rPr>
          <w:rFonts w:ascii="Verdana" w:eastAsia="Arial" w:hAnsi="Verdana" w:cs="Arial"/>
          <w:spacing w:val="-6"/>
          <w:lang w:val="es-ES"/>
        </w:rPr>
        <w:t xml:space="preserve"> </w:t>
      </w:r>
      <w:r w:rsidRPr="0058797B">
        <w:rPr>
          <w:rFonts w:ascii="Verdana" w:eastAsia="Arial" w:hAnsi="Verdana" w:cs="Arial"/>
          <w:lang w:val="es-ES"/>
        </w:rPr>
        <w:t xml:space="preserve">por parte de los empleadores de efectuar las cotizaciones al </w:t>
      </w:r>
      <w:r w:rsidR="00782C08" w:rsidRPr="0058797B">
        <w:rPr>
          <w:rFonts w:ascii="Verdana" w:eastAsia="Arial" w:hAnsi="Verdana" w:cs="Arial"/>
          <w:lang w:val="es-ES"/>
        </w:rPr>
        <w:t xml:space="preserve">Sistema </w:t>
      </w:r>
      <w:r w:rsidRPr="0058797B">
        <w:rPr>
          <w:rFonts w:ascii="Verdana" w:eastAsia="Arial" w:hAnsi="Verdana" w:cs="Arial"/>
          <w:lang w:val="es-ES"/>
        </w:rPr>
        <w:t xml:space="preserve">de </w:t>
      </w:r>
      <w:r w:rsidR="00782C08" w:rsidRPr="0058797B">
        <w:rPr>
          <w:rFonts w:ascii="Verdana" w:eastAsia="Arial" w:hAnsi="Verdana" w:cs="Arial"/>
          <w:lang w:val="es-ES"/>
        </w:rPr>
        <w:t xml:space="preserve">Seguridad Social </w:t>
      </w:r>
      <w:r w:rsidRPr="0058797B">
        <w:rPr>
          <w:rFonts w:ascii="Verdana" w:eastAsia="Arial" w:hAnsi="Verdana" w:cs="Arial"/>
          <w:lang w:val="es-ES"/>
        </w:rPr>
        <w:t xml:space="preserve">y de los aportes parafiscales. </w:t>
      </w:r>
    </w:p>
    <w:p w14:paraId="3A76E884" w14:textId="6041D5A4" w:rsidR="008062FD" w:rsidRDefault="00A358F3" w:rsidP="007D13BE">
      <w:pPr>
        <w:widowControl w:val="0"/>
        <w:autoSpaceDE w:val="0"/>
        <w:autoSpaceDN w:val="0"/>
        <w:spacing w:after="120" w:line="276" w:lineRule="auto"/>
        <w:ind w:firstLine="709"/>
        <w:jc w:val="both"/>
        <w:rPr>
          <w:rFonts w:ascii="Verdana" w:eastAsia="Arial" w:hAnsi="Verdana" w:cs="Arial"/>
          <w:lang w:val="es-ES"/>
        </w:rPr>
      </w:pPr>
      <w:r>
        <w:rPr>
          <w:rFonts w:ascii="Verdana" w:eastAsia="Arial" w:hAnsi="Verdana" w:cs="Arial"/>
        </w:rPr>
        <w:t>Sobre e</w:t>
      </w:r>
      <w:r w:rsidRPr="00A358F3">
        <w:rPr>
          <w:rFonts w:ascii="Verdana" w:eastAsia="Arial" w:hAnsi="Verdana" w:cs="Arial"/>
        </w:rPr>
        <w:t xml:space="preserve">l artículo </w:t>
      </w:r>
      <w:r w:rsidR="00782C08">
        <w:rPr>
          <w:rFonts w:ascii="Verdana" w:eastAsia="Arial" w:hAnsi="Verdana" w:cs="Arial"/>
        </w:rPr>
        <w:t xml:space="preserve">50 </w:t>
      </w:r>
      <w:r w:rsidR="00782C08" w:rsidRPr="007D13BE">
        <w:rPr>
          <w:rFonts w:ascii="Verdana" w:eastAsia="Arial" w:hAnsi="Verdana" w:cs="Arial"/>
          <w:i/>
          <w:iCs/>
        </w:rPr>
        <w:t>ibidem</w:t>
      </w:r>
      <w:r>
        <w:rPr>
          <w:rFonts w:ascii="Verdana" w:eastAsia="Arial" w:hAnsi="Verdana" w:cs="Arial"/>
        </w:rPr>
        <w:t>, el Consejo de Estado,</w:t>
      </w:r>
      <w:r w:rsidR="006665A9">
        <w:rPr>
          <w:rFonts w:ascii="Verdana" w:eastAsia="Arial" w:hAnsi="Verdana" w:cs="Arial"/>
        </w:rPr>
        <w:t xml:space="preserve"> en sentencia del 24 de julio de 2024,</w:t>
      </w:r>
      <w:r>
        <w:rPr>
          <w:rFonts w:ascii="Verdana" w:eastAsia="Arial" w:hAnsi="Verdana" w:cs="Arial"/>
        </w:rPr>
        <w:t xml:space="preserve"> </w:t>
      </w:r>
      <w:r w:rsidRPr="00A358F3">
        <w:rPr>
          <w:rFonts w:ascii="Verdana" w:eastAsia="Arial" w:hAnsi="Verdana" w:cs="Arial"/>
        </w:rPr>
        <w:t xml:space="preserve">hizo énfasis en que dicho requerimiento debe ser verificado en distintos momentos, entre los cuales se encuentra la etapa en la que se busca seleccionar al futuro contratista. Por ello, todos los oferentes deberán acreditar que se encuentran al día con el </w:t>
      </w:r>
      <w:r w:rsidR="00245F7F" w:rsidRPr="00A358F3">
        <w:rPr>
          <w:rFonts w:ascii="Verdana" w:eastAsia="Arial" w:hAnsi="Verdana" w:cs="Arial"/>
        </w:rPr>
        <w:t xml:space="preserve">Sistema </w:t>
      </w:r>
      <w:r w:rsidRPr="00A358F3">
        <w:rPr>
          <w:rFonts w:ascii="Verdana" w:eastAsia="Arial" w:hAnsi="Verdana" w:cs="Arial"/>
        </w:rPr>
        <w:t xml:space="preserve">de </w:t>
      </w:r>
      <w:r w:rsidR="00245F7F" w:rsidRPr="00A358F3">
        <w:rPr>
          <w:rFonts w:ascii="Verdana" w:eastAsia="Arial" w:hAnsi="Verdana" w:cs="Arial"/>
        </w:rPr>
        <w:t xml:space="preserve">Seguridad Social </w:t>
      </w:r>
      <w:r w:rsidRPr="00A358F3">
        <w:rPr>
          <w:rFonts w:ascii="Verdana" w:eastAsia="Arial" w:hAnsi="Verdana" w:cs="Arial"/>
        </w:rPr>
        <w:t>y de los aportes parafiscales al momento de ofertar. De esta manera, las personas jurídicas, de cara a acreditar el mencionado requisito, deberán aportar la certificación mencionada en precedencia</w:t>
      </w:r>
      <w:r w:rsidR="00245F7F">
        <w:rPr>
          <w:rStyle w:val="Refdenotaalpie"/>
          <w:rFonts w:ascii="Verdana" w:eastAsia="Arial" w:hAnsi="Verdana" w:cs="Arial"/>
        </w:rPr>
        <w:footnoteReference w:id="15"/>
      </w:r>
      <w:r w:rsidRPr="00A358F3">
        <w:rPr>
          <w:rFonts w:ascii="Verdana" w:eastAsia="Arial" w:hAnsi="Verdana" w:cs="Arial"/>
        </w:rPr>
        <w:t>.</w:t>
      </w:r>
    </w:p>
    <w:p w14:paraId="23FA2E36" w14:textId="7E7B80EF" w:rsidR="008062FD" w:rsidRDefault="008F7D14" w:rsidP="007D13BE">
      <w:pPr>
        <w:widowControl w:val="0"/>
        <w:autoSpaceDE w:val="0"/>
        <w:autoSpaceDN w:val="0"/>
        <w:spacing w:after="120" w:line="276" w:lineRule="auto"/>
        <w:ind w:firstLine="709"/>
        <w:jc w:val="both"/>
        <w:rPr>
          <w:rFonts w:ascii="Verdana" w:eastAsia="Arial" w:hAnsi="Verdana" w:cs="Arial"/>
        </w:rPr>
      </w:pPr>
      <w:r w:rsidRPr="008F7D14">
        <w:rPr>
          <w:rFonts w:ascii="Verdana" w:eastAsia="Arial" w:hAnsi="Verdana" w:cs="Arial"/>
        </w:rPr>
        <w:t xml:space="preserve">En tal sentido, el inciso final de la norma, </w:t>
      </w:r>
      <w:r w:rsidR="000C0577">
        <w:rPr>
          <w:rFonts w:ascii="Verdana" w:eastAsia="Arial" w:hAnsi="Verdana" w:cs="Arial"/>
        </w:rPr>
        <w:t>el cual resulta relevante frente al segundo problema jurídico</w:t>
      </w:r>
      <w:r w:rsidRPr="008F7D14">
        <w:rPr>
          <w:rFonts w:ascii="Verdana" w:eastAsia="Arial" w:hAnsi="Verdana" w:cs="Arial"/>
        </w:rPr>
        <w:t xml:space="preserve">, expresó que era necesario acreditar, para presentar ofertas, el pago de los aportes de los empleados a los </w:t>
      </w:r>
      <w:r w:rsidR="000C0577" w:rsidRPr="008F7D14">
        <w:rPr>
          <w:rFonts w:ascii="Verdana" w:eastAsia="Arial" w:hAnsi="Verdana" w:cs="Arial"/>
        </w:rPr>
        <w:t xml:space="preserve">Sistemas </w:t>
      </w:r>
      <w:r w:rsidRPr="008F7D14">
        <w:rPr>
          <w:rFonts w:ascii="Verdana" w:eastAsia="Arial" w:hAnsi="Verdana" w:cs="Arial"/>
        </w:rPr>
        <w:t xml:space="preserve">de </w:t>
      </w:r>
      <w:r w:rsidR="000C0577" w:rsidRPr="008F7D14">
        <w:rPr>
          <w:rFonts w:ascii="Verdana" w:eastAsia="Arial" w:hAnsi="Verdana" w:cs="Arial"/>
        </w:rPr>
        <w:t>Seguridad So</w:t>
      </w:r>
      <w:r w:rsidRPr="008F7D14">
        <w:rPr>
          <w:rFonts w:ascii="Verdana" w:eastAsia="Arial" w:hAnsi="Verdana" w:cs="Arial"/>
        </w:rPr>
        <w:t>cial. Así</w:t>
      </w:r>
      <w:r w:rsidR="000C0577">
        <w:rPr>
          <w:rFonts w:ascii="Verdana" w:eastAsia="Arial" w:hAnsi="Verdana" w:cs="Arial"/>
        </w:rPr>
        <w:t xml:space="preserve"> las cosas</w:t>
      </w:r>
      <w:r w:rsidRPr="008F7D14">
        <w:rPr>
          <w:rFonts w:ascii="Verdana" w:eastAsia="Arial" w:hAnsi="Verdana" w:cs="Arial"/>
        </w:rPr>
        <w:t xml:space="preserve">, la acreditación de estar al día con el </w:t>
      </w:r>
      <w:r w:rsidR="001B188B" w:rsidRPr="008F7D14">
        <w:rPr>
          <w:rFonts w:ascii="Verdana" w:eastAsia="Arial" w:hAnsi="Verdana" w:cs="Arial"/>
        </w:rPr>
        <w:t xml:space="preserve">Sistema </w:t>
      </w:r>
      <w:r w:rsidRPr="008F7D14">
        <w:rPr>
          <w:rFonts w:ascii="Verdana" w:eastAsia="Arial" w:hAnsi="Verdana" w:cs="Arial"/>
        </w:rPr>
        <w:t xml:space="preserve">de </w:t>
      </w:r>
      <w:r w:rsidR="001B188B" w:rsidRPr="008F7D14">
        <w:rPr>
          <w:rFonts w:ascii="Verdana" w:eastAsia="Arial" w:hAnsi="Verdana" w:cs="Arial"/>
        </w:rPr>
        <w:t xml:space="preserve">Seguridad Social </w:t>
      </w:r>
      <w:r w:rsidRPr="008F7D14">
        <w:rPr>
          <w:rFonts w:ascii="Verdana" w:eastAsia="Arial" w:hAnsi="Verdana" w:cs="Arial"/>
        </w:rPr>
        <w:t xml:space="preserve">y aportes parafiscales, se configura en un requisito de admisibilidad de los proponentes, quienes deberán demostrar que han sido cumplidos en su obligación. Ello, porque se trata de un requisito frente a las condiciones del proponente y no relativos al contenido mismo de la oferta. De esta manera, en caso de consorcios o uniones temporales, cada uno de sus miembros deberá acreditar que se encuentra afiliado y al día en el pago de los aportes al </w:t>
      </w:r>
      <w:r w:rsidR="00020A2D" w:rsidRPr="008F7D14">
        <w:rPr>
          <w:rFonts w:ascii="Verdana" w:eastAsia="Arial" w:hAnsi="Verdana" w:cs="Arial"/>
        </w:rPr>
        <w:t xml:space="preserve">Sistema </w:t>
      </w:r>
      <w:r w:rsidRPr="008F7D14">
        <w:rPr>
          <w:rFonts w:ascii="Verdana" w:eastAsia="Arial" w:hAnsi="Verdana" w:cs="Arial"/>
        </w:rPr>
        <w:t xml:space="preserve">de </w:t>
      </w:r>
      <w:r w:rsidR="00020A2D" w:rsidRPr="008F7D14">
        <w:rPr>
          <w:rFonts w:ascii="Verdana" w:eastAsia="Arial" w:hAnsi="Verdana" w:cs="Arial"/>
        </w:rPr>
        <w:t xml:space="preserve">Seguridad Social </w:t>
      </w:r>
      <w:r w:rsidRPr="008F7D14">
        <w:rPr>
          <w:rFonts w:ascii="Verdana" w:eastAsia="Arial" w:hAnsi="Verdana" w:cs="Arial"/>
        </w:rPr>
        <w:t>y aportes parafiscales, dependiendo la prueba de su naturaleza jurídica.</w:t>
      </w:r>
    </w:p>
    <w:p w14:paraId="13BF5EEA" w14:textId="7175C977" w:rsidR="008F7D14" w:rsidRDefault="008F7D14" w:rsidP="007D13BE">
      <w:pPr>
        <w:widowControl w:val="0"/>
        <w:autoSpaceDE w:val="0"/>
        <w:autoSpaceDN w:val="0"/>
        <w:spacing w:after="120" w:line="276" w:lineRule="auto"/>
        <w:ind w:firstLine="709"/>
        <w:jc w:val="both"/>
        <w:rPr>
          <w:rFonts w:ascii="Verdana" w:eastAsia="Arial" w:hAnsi="Verdana" w:cs="Arial"/>
        </w:rPr>
      </w:pPr>
      <w:r w:rsidRPr="008F7D14">
        <w:rPr>
          <w:rFonts w:ascii="Verdana" w:eastAsia="Arial" w:hAnsi="Verdana" w:cs="Arial"/>
        </w:rPr>
        <w:t xml:space="preserve">Ahora bien, debe mencionarse que del artículo 50 de la Ley 789 de 2002, surgen dos situaciones que no pueden confundirse. Una de ellas consiste en que el proponente estando al día con el </w:t>
      </w:r>
      <w:r w:rsidR="00BD6D82" w:rsidRPr="008F7D14">
        <w:rPr>
          <w:rFonts w:ascii="Verdana" w:eastAsia="Arial" w:hAnsi="Verdana" w:cs="Arial"/>
        </w:rPr>
        <w:t xml:space="preserve">Sistema </w:t>
      </w:r>
      <w:r w:rsidRPr="008F7D14">
        <w:rPr>
          <w:rFonts w:ascii="Verdana" w:eastAsia="Arial" w:hAnsi="Verdana" w:cs="Arial"/>
        </w:rPr>
        <w:t xml:space="preserve">de </w:t>
      </w:r>
      <w:r w:rsidR="00BD6D82" w:rsidRPr="008F7D14">
        <w:rPr>
          <w:rFonts w:ascii="Verdana" w:eastAsia="Arial" w:hAnsi="Verdana" w:cs="Arial"/>
        </w:rPr>
        <w:t xml:space="preserve">Seguridad Social </w:t>
      </w:r>
      <w:r w:rsidRPr="008F7D14">
        <w:rPr>
          <w:rFonts w:ascii="Verdana" w:eastAsia="Arial" w:hAnsi="Verdana" w:cs="Arial"/>
        </w:rPr>
        <w:t xml:space="preserve">integral, no </w:t>
      </w:r>
      <w:r w:rsidRPr="008F7D14">
        <w:rPr>
          <w:rFonts w:ascii="Verdana" w:eastAsia="Arial" w:hAnsi="Verdana" w:cs="Arial"/>
        </w:rPr>
        <w:lastRenderedPageBreak/>
        <w:t>aporta la prueba, mientras que otra</w:t>
      </w:r>
      <w:r w:rsidR="00423740">
        <w:rPr>
          <w:rFonts w:ascii="Verdana" w:eastAsia="Arial" w:hAnsi="Verdana" w:cs="Arial"/>
        </w:rPr>
        <w:t xml:space="preserve"> circunstancia</w:t>
      </w:r>
      <w:r w:rsidRPr="008F7D14">
        <w:rPr>
          <w:rFonts w:ascii="Verdana" w:eastAsia="Arial" w:hAnsi="Verdana" w:cs="Arial"/>
        </w:rPr>
        <w:t xml:space="preserve"> distinta es que, al estar incumplido con el sistema, se vea imposibilitado de aportar la correspondiente prueba. Ante los dos escenarios, se debe </w:t>
      </w:r>
      <w:r w:rsidR="00423740">
        <w:rPr>
          <w:rFonts w:ascii="Verdana" w:eastAsia="Arial" w:hAnsi="Verdana" w:cs="Arial"/>
        </w:rPr>
        <w:t>recordar lo expuesto previamente,</w:t>
      </w:r>
      <w:r w:rsidR="004F0336">
        <w:rPr>
          <w:rFonts w:ascii="Verdana" w:eastAsia="Arial" w:hAnsi="Verdana" w:cs="Arial"/>
        </w:rPr>
        <w:t xml:space="preserve"> en el sentido que </w:t>
      </w:r>
      <w:r w:rsidRPr="008F7D14">
        <w:rPr>
          <w:rFonts w:ascii="Verdana" w:eastAsia="Arial" w:hAnsi="Verdana" w:cs="Arial"/>
        </w:rPr>
        <w:t>lo que se subsana es la prueba, m</w:t>
      </w:r>
      <w:r w:rsidR="004F0336">
        <w:rPr>
          <w:rFonts w:ascii="Verdana" w:eastAsia="Arial" w:hAnsi="Verdana" w:cs="Arial"/>
        </w:rPr>
        <w:t>á</w:t>
      </w:r>
      <w:r w:rsidRPr="008F7D14">
        <w:rPr>
          <w:rFonts w:ascii="Verdana" w:eastAsia="Arial" w:hAnsi="Verdana" w:cs="Arial"/>
        </w:rPr>
        <w:t>s no el requisito en sí mismo</w:t>
      </w:r>
      <w:r w:rsidR="004F0336">
        <w:rPr>
          <w:rFonts w:ascii="Verdana" w:eastAsia="Arial" w:hAnsi="Verdana" w:cs="Arial"/>
        </w:rPr>
        <w:t>. Por lo anterior</w:t>
      </w:r>
      <w:r w:rsidRPr="008F7D14">
        <w:rPr>
          <w:rFonts w:ascii="Verdana" w:eastAsia="Arial" w:hAnsi="Verdana" w:cs="Arial"/>
        </w:rPr>
        <w:t>, si el contratista se encuentra al día y no aportó el medio de prueba, podrá allegarlo, pero en caso de que se encuentre incumplido, deberá ser rechazado y no podrá ser adjudicatario del proceso de selección en el que participa.</w:t>
      </w:r>
    </w:p>
    <w:p w14:paraId="65687334" w14:textId="2D9EE033" w:rsidR="00211B5F" w:rsidRDefault="00667A85" w:rsidP="007D13BE">
      <w:pPr>
        <w:widowControl w:val="0"/>
        <w:autoSpaceDE w:val="0"/>
        <w:autoSpaceDN w:val="0"/>
        <w:spacing w:after="120" w:line="276" w:lineRule="auto"/>
        <w:ind w:firstLine="709"/>
        <w:jc w:val="both"/>
        <w:rPr>
          <w:rFonts w:ascii="Verdana" w:eastAsia="Arial" w:hAnsi="Verdana" w:cs="Arial"/>
        </w:rPr>
      </w:pPr>
      <w:r>
        <w:rPr>
          <w:rFonts w:ascii="Verdana" w:eastAsia="Arial" w:hAnsi="Verdana" w:cs="Arial"/>
        </w:rPr>
        <w:t>Lo anterior, teniendo en cuenta que lo que</w:t>
      </w:r>
      <w:r w:rsidR="00211B5F">
        <w:rPr>
          <w:rFonts w:ascii="Verdana" w:eastAsia="Arial" w:hAnsi="Verdana" w:cs="Arial"/>
        </w:rPr>
        <w:t xml:space="preserve"> </w:t>
      </w:r>
      <w:r w:rsidR="00945804">
        <w:rPr>
          <w:rFonts w:ascii="Verdana" w:eastAsia="Arial" w:hAnsi="Verdana" w:cs="Arial"/>
        </w:rPr>
        <w:t>se subsana</w:t>
      </w:r>
      <w:r>
        <w:rPr>
          <w:rFonts w:ascii="Verdana" w:eastAsia="Arial" w:hAnsi="Verdana" w:cs="Arial"/>
        </w:rPr>
        <w:t xml:space="preserve"> son</w:t>
      </w:r>
      <w:r w:rsidR="00945804">
        <w:rPr>
          <w:rFonts w:ascii="Verdana" w:eastAsia="Arial" w:hAnsi="Verdana" w:cs="Arial"/>
        </w:rPr>
        <w:t xml:space="preserve"> las </w:t>
      </w:r>
      <w:r w:rsidR="0080274B">
        <w:rPr>
          <w:rFonts w:ascii="Verdana" w:eastAsia="Arial" w:hAnsi="Verdana" w:cs="Arial"/>
        </w:rPr>
        <w:t xml:space="preserve">circunstancias ocurridas antes del cierre del proceso de contratación. </w:t>
      </w:r>
      <w:r w:rsidR="00541683" w:rsidRPr="00541683">
        <w:rPr>
          <w:rFonts w:ascii="Verdana" w:eastAsia="Arial" w:hAnsi="Verdana" w:cs="Arial"/>
        </w:rPr>
        <w:t>En tal sentido, aunque conforme al artículo 50 de la Ley 789 de 2002, para el momento de ofertar debe aportarse la prueba del pago a los sistemas de salud, riesgos profesionales, pensiones y aportes a las Cajas de Compensación Familiar, Instituto Colombiano de Bienestar Familiar y Servicio Nacional de Aprendizaje, ello no quiere decir que ese requisito no pueda ser subsanado en la medida en que se refiere a la condición misma del contratista y no aportaba ningún elemento de juicio significativo para efectos de la comparación de las propuestas</w:t>
      </w:r>
      <w:r w:rsidR="00541683">
        <w:rPr>
          <w:rFonts w:ascii="Verdana" w:eastAsia="Arial" w:hAnsi="Verdana" w:cs="Arial"/>
        </w:rPr>
        <w:t xml:space="preserve">. </w:t>
      </w:r>
      <w:r w:rsidR="00541683" w:rsidRPr="00541683">
        <w:rPr>
          <w:rFonts w:ascii="Verdana" w:eastAsia="Arial" w:hAnsi="Verdana" w:cs="Arial"/>
        </w:rPr>
        <w:t>Se reitera, eso sí, que se permite subsanar la prueba del pago, pero en manera alguna supone que para el momento de ofertar se habilite el pago atrasado de esa obligación.</w:t>
      </w:r>
    </w:p>
    <w:p w14:paraId="62A15E01" w14:textId="5AC5D762" w:rsidR="00541683" w:rsidRDefault="008929C6" w:rsidP="008929C6">
      <w:pPr>
        <w:widowControl w:val="0"/>
        <w:autoSpaceDE w:val="0"/>
        <w:autoSpaceDN w:val="0"/>
        <w:spacing w:after="0" w:line="276" w:lineRule="auto"/>
        <w:ind w:firstLine="709"/>
        <w:jc w:val="both"/>
        <w:rPr>
          <w:rFonts w:ascii="Verdana" w:eastAsia="Arial" w:hAnsi="Verdana" w:cs="Arial"/>
        </w:rPr>
      </w:pPr>
      <w:r>
        <w:rPr>
          <w:rFonts w:ascii="Verdana" w:eastAsia="Arial" w:hAnsi="Verdana" w:cs="Arial"/>
        </w:rPr>
        <w:t>Al respecto, e</w:t>
      </w:r>
      <w:r w:rsidR="00734055" w:rsidRPr="00734055">
        <w:rPr>
          <w:rFonts w:ascii="Verdana" w:eastAsia="Arial" w:hAnsi="Verdana" w:cs="Arial"/>
        </w:rPr>
        <w:t>n reciente fallo, la Subsección A</w:t>
      </w:r>
      <w:r>
        <w:rPr>
          <w:rFonts w:ascii="Verdana" w:eastAsia="Arial" w:hAnsi="Verdana" w:cs="Arial"/>
        </w:rPr>
        <w:t xml:space="preserve"> del Consejo de Estado</w:t>
      </w:r>
      <w:r w:rsidR="00734055" w:rsidRPr="00734055">
        <w:rPr>
          <w:rFonts w:ascii="Verdana" w:eastAsia="Arial" w:hAnsi="Verdana" w:cs="Arial"/>
        </w:rPr>
        <w:t xml:space="preserve"> estudió un recurso de apelación, en el que el recurrente afirmó que la exigencia de esa certificación, al ser subsanable, no imponía que constara el pago oportuno de la obligación. Frente a ese razonamiento, esa Sala estimó que debía rechazarse la propuesta, pues la interpretación del artículo 50 de la Ley 789 de 2002, imponía que el pago estuviera efectivamente realizado al momento de ofertar. </w:t>
      </w:r>
      <w:r>
        <w:rPr>
          <w:rFonts w:ascii="Verdana" w:eastAsia="Arial" w:hAnsi="Verdana" w:cs="Arial"/>
        </w:rPr>
        <w:t>E</w:t>
      </w:r>
      <w:r w:rsidR="00734055" w:rsidRPr="00734055">
        <w:rPr>
          <w:rFonts w:ascii="Verdana" w:eastAsia="Arial" w:hAnsi="Verdana" w:cs="Arial"/>
        </w:rPr>
        <w:t>n esa oportunidad</w:t>
      </w:r>
      <w:r>
        <w:rPr>
          <w:rFonts w:ascii="Verdana" w:eastAsia="Arial" w:hAnsi="Verdana" w:cs="Arial"/>
        </w:rPr>
        <w:t>, la Sala indicó</w:t>
      </w:r>
      <w:r w:rsidR="00734055" w:rsidRPr="00734055">
        <w:rPr>
          <w:rFonts w:ascii="Verdana" w:eastAsia="Arial" w:hAnsi="Verdana" w:cs="Arial"/>
        </w:rPr>
        <w:t>:</w:t>
      </w:r>
    </w:p>
    <w:p w14:paraId="21B7141C" w14:textId="77777777" w:rsidR="008929C6" w:rsidRDefault="008929C6" w:rsidP="007D13BE">
      <w:pPr>
        <w:widowControl w:val="0"/>
        <w:autoSpaceDE w:val="0"/>
        <w:autoSpaceDN w:val="0"/>
        <w:spacing w:after="0" w:line="276" w:lineRule="auto"/>
        <w:ind w:firstLine="709"/>
        <w:jc w:val="both"/>
        <w:rPr>
          <w:rFonts w:ascii="Verdana" w:eastAsia="Arial" w:hAnsi="Verdana" w:cs="Arial"/>
        </w:rPr>
      </w:pPr>
    </w:p>
    <w:p w14:paraId="44BA43A5" w14:textId="40D25676" w:rsidR="00734055" w:rsidRPr="007D13BE" w:rsidRDefault="00301EDE" w:rsidP="007D13BE">
      <w:pPr>
        <w:widowControl w:val="0"/>
        <w:autoSpaceDE w:val="0"/>
        <w:autoSpaceDN w:val="0"/>
        <w:spacing w:after="0" w:line="240" w:lineRule="auto"/>
        <w:ind w:left="709" w:right="709"/>
        <w:jc w:val="both"/>
        <w:rPr>
          <w:rFonts w:ascii="Verdana" w:eastAsia="Arial" w:hAnsi="Verdana" w:cs="Arial"/>
          <w:sz w:val="20"/>
          <w:szCs w:val="20"/>
        </w:rPr>
      </w:pPr>
      <w:r w:rsidRPr="007D13BE">
        <w:rPr>
          <w:rFonts w:ascii="Verdana" w:eastAsia="Arial" w:hAnsi="Verdana" w:cs="Arial"/>
          <w:sz w:val="20"/>
          <w:szCs w:val="20"/>
        </w:rPr>
        <w:t xml:space="preserve">“(…) Ahora, el recurrente también sostuvo que el INVÍAS realizó una interpretación inadecuada del pliego de condiciones, dado que en este expresamente se dijo que “el INSTITUTO verificará únicamente la acreditación del respectivo pago a la fecha de presentación de la oferta, sin perjuicio de los efectos generados ante las entidades recaudadoras por el no pago de las fechas establecidas en las normas vigentes”, lo que, en su parecer, denota que solo se le podía exigir el pago de los aportes, sin la verificación de que éstos se realizaran de forma oportuna o no y sin la exigencia en la cancelación de los intereses, multas o sanciones impuestos por la supuesta extemporaneidad. (…) Por consiguiente y dado que no se acreditó que la sociedad </w:t>
      </w:r>
      <w:proofErr w:type="spellStart"/>
      <w:r w:rsidRPr="007D13BE">
        <w:rPr>
          <w:rFonts w:ascii="Verdana" w:eastAsia="Arial" w:hAnsi="Verdana" w:cs="Arial"/>
          <w:sz w:val="20"/>
          <w:szCs w:val="20"/>
        </w:rPr>
        <w:t>Excarvar</w:t>
      </w:r>
      <w:proofErr w:type="spellEnd"/>
      <w:r w:rsidRPr="007D13BE">
        <w:rPr>
          <w:rFonts w:ascii="Verdana" w:eastAsia="Arial" w:hAnsi="Verdana" w:cs="Arial"/>
          <w:sz w:val="20"/>
          <w:szCs w:val="20"/>
        </w:rPr>
        <w:t xml:space="preserve"> S.A. estuviese al día en el pago de sus aportes a la </w:t>
      </w:r>
      <w:r w:rsidR="00AA3E73" w:rsidRPr="007D13BE">
        <w:rPr>
          <w:rFonts w:ascii="Verdana" w:eastAsia="Arial" w:hAnsi="Verdana" w:cs="Arial"/>
          <w:sz w:val="20"/>
          <w:szCs w:val="20"/>
        </w:rPr>
        <w:t>seguridad social</w:t>
      </w:r>
      <w:r w:rsidRPr="007D13BE">
        <w:rPr>
          <w:rFonts w:ascii="Verdana" w:eastAsia="Arial" w:hAnsi="Verdana" w:cs="Arial"/>
          <w:sz w:val="20"/>
          <w:szCs w:val="20"/>
        </w:rPr>
        <w:t xml:space="preserve">, a la entidad demandada le correspondía, </w:t>
      </w:r>
      <w:r w:rsidRPr="007D13BE">
        <w:rPr>
          <w:rFonts w:ascii="Verdana" w:eastAsia="Arial" w:hAnsi="Verdana" w:cs="Arial"/>
          <w:sz w:val="20"/>
          <w:szCs w:val="20"/>
        </w:rPr>
        <w:lastRenderedPageBreak/>
        <w:t xml:space="preserve">como ocurrió, desestimar su propuesta, en atención a lo prescrito en la nota del numeral 6 del punto 3.8.1. del pliego de condiciones y en el artículo 50 de la Ley 789 de 2002, ya referenciados, razón por la cual para la Sala el INVÍAS no incurrió en una interpretación extensiva e inadecuada del marco jurídico aplicable, sino que actuó en el marco de sus competencias y de los deberes de verificación y control de evasión de los aportes parafiscales expresamente establecidos en la normativa. Por ende, pese a que en un primer momento fue ubicada la oferta del Consorcio </w:t>
      </w:r>
      <w:proofErr w:type="spellStart"/>
      <w:r w:rsidRPr="007D13BE">
        <w:rPr>
          <w:rFonts w:ascii="Verdana" w:eastAsia="Arial" w:hAnsi="Verdana" w:cs="Arial"/>
          <w:sz w:val="20"/>
          <w:szCs w:val="20"/>
        </w:rPr>
        <w:t>Excarvar</w:t>
      </w:r>
      <w:proofErr w:type="spellEnd"/>
      <w:r w:rsidRPr="007D13BE">
        <w:rPr>
          <w:rFonts w:ascii="Verdana" w:eastAsia="Arial" w:hAnsi="Verdana" w:cs="Arial"/>
          <w:sz w:val="20"/>
          <w:szCs w:val="20"/>
        </w:rPr>
        <w:t xml:space="preserve"> S.A. – Explanan S.A. en el primer lugar de elegibilidad, lo cierto es que la misma fue rechazada por la ausencia en el cumplimiento de sus obligaciones relacionadas con la seguridad social, de modo que su propuesta no era la mejor ni la más conveniente para la Administración”</w:t>
      </w:r>
      <w:r w:rsidRPr="007D13BE">
        <w:rPr>
          <w:rStyle w:val="Refdenotaalpie"/>
          <w:rFonts w:ascii="Verdana" w:eastAsia="Arial" w:hAnsi="Verdana" w:cs="Arial"/>
          <w:sz w:val="20"/>
          <w:szCs w:val="20"/>
        </w:rPr>
        <w:footnoteReference w:id="16"/>
      </w:r>
    </w:p>
    <w:p w14:paraId="32C999D1" w14:textId="77777777" w:rsidR="008929C6" w:rsidRDefault="008929C6" w:rsidP="008929C6">
      <w:pPr>
        <w:widowControl w:val="0"/>
        <w:autoSpaceDE w:val="0"/>
        <w:autoSpaceDN w:val="0"/>
        <w:spacing w:after="0" w:line="276" w:lineRule="auto"/>
        <w:ind w:firstLine="709"/>
        <w:jc w:val="both"/>
        <w:rPr>
          <w:rFonts w:ascii="Verdana" w:eastAsia="Arial" w:hAnsi="Verdana" w:cs="Arial"/>
        </w:rPr>
      </w:pPr>
    </w:p>
    <w:p w14:paraId="759E8E8E" w14:textId="2663D1F2" w:rsidR="006E5FFD" w:rsidRPr="005A6E13" w:rsidRDefault="006E5FFD" w:rsidP="007D13BE">
      <w:pPr>
        <w:widowControl w:val="0"/>
        <w:autoSpaceDE w:val="0"/>
        <w:autoSpaceDN w:val="0"/>
        <w:spacing w:after="0" w:line="276" w:lineRule="auto"/>
        <w:ind w:firstLine="709"/>
        <w:jc w:val="both"/>
        <w:rPr>
          <w:rFonts w:ascii="Verdana" w:eastAsia="Arial" w:hAnsi="Verdana" w:cs="Arial"/>
        </w:rPr>
      </w:pPr>
      <w:r w:rsidRPr="005A6E13">
        <w:rPr>
          <w:rFonts w:ascii="Verdana" w:eastAsia="Arial" w:hAnsi="Verdana" w:cs="Arial"/>
        </w:rPr>
        <w:t>En la </w:t>
      </w:r>
      <w:r w:rsidRPr="007D13BE">
        <w:rPr>
          <w:rFonts w:ascii="Verdana" w:eastAsia="Arial" w:hAnsi="Verdana" w:cs="Arial"/>
        </w:rPr>
        <w:t>Sentencia 47156 del 24 de julio de 2024</w:t>
      </w:r>
      <w:r w:rsidRPr="005A6E13">
        <w:rPr>
          <w:rFonts w:ascii="Verdana" w:eastAsia="Arial" w:hAnsi="Verdana" w:cs="Arial"/>
        </w:rPr>
        <w:t>, el Consejo de Estado estableció que, en los procesos de selección contractual, los oferentes deben acreditar estar al día en el pago de los aportes a seguridad social y parafiscales. Este requisito, aunque puede ser subsanable cuando no se aporta la certificación correspondiente, solo es válido si el proponente ha cumplido efectivamente con sus obligaciones frente a todos los sistemas. De lo contrario, la propuesta deberá ser rechazada</w:t>
      </w:r>
      <w:r w:rsidR="001D6D30">
        <w:rPr>
          <w:rStyle w:val="Refdenotaalpie"/>
          <w:rFonts w:ascii="Verdana" w:eastAsia="Arial" w:hAnsi="Verdana" w:cs="Arial"/>
        </w:rPr>
        <w:footnoteReference w:id="17"/>
      </w:r>
      <w:r w:rsidRPr="005A6E13">
        <w:rPr>
          <w:rFonts w:ascii="Verdana" w:eastAsia="Arial" w:hAnsi="Verdana" w:cs="Arial"/>
        </w:rPr>
        <w:t>.</w:t>
      </w:r>
    </w:p>
    <w:p w14:paraId="36BF6E7F" w14:textId="1B2F2020" w:rsidR="00177844" w:rsidRPr="007D13BE" w:rsidRDefault="006E5FFD" w:rsidP="000F6C31">
      <w:pPr>
        <w:widowControl w:val="0"/>
        <w:autoSpaceDE w:val="0"/>
        <w:autoSpaceDN w:val="0"/>
        <w:spacing w:before="120" w:after="0" w:line="276" w:lineRule="auto"/>
        <w:ind w:firstLine="709"/>
        <w:jc w:val="both"/>
        <w:rPr>
          <w:rFonts w:ascii="Verdana" w:eastAsia="Arial" w:hAnsi="Verdana" w:cs="Arial"/>
        </w:rPr>
      </w:pPr>
      <w:r w:rsidRPr="006E5FFD">
        <w:rPr>
          <w:rFonts w:ascii="Verdana" w:eastAsia="Arial" w:hAnsi="Verdana" w:cs="Arial"/>
        </w:rPr>
        <w:t> </w:t>
      </w:r>
      <w:r w:rsidR="00B700CB">
        <w:rPr>
          <w:rFonts w:ascii="Verdana" w:eastAsia="Arial" w:hAnsi="Verdana" w:cs="Arial"/>
        </w:rPr>
        <w:t xml:space="preserve">Conforme a lo expuesto, respecto al segundo problema jurídico, se afirma que </w:t>
      </w:r>
      <w:r w:rsidRPr="006E5FFD">
        <w:rPr>
          <w:rFonts w:ascii="Verdana" w:eastAsia="Arial" w:hAnsi="Verdana" w:cs="Arial"/>
        </w:rPr>
        <w:t>el artículo 50 de la Ley 789 de 2002 distingue dos escenarios:</w:t>
      </w:r>
      <w:r w:rsidR="00F63CEC">
        <w:rPr>
          <w:rFonts w:ascii="Verdana" w:eastAsia="Arial" w:hAnsi="Verdana" w:cs="Arial"/>
        </w:rPr>
        <w:t xml:space="preserve"> i) </w:t>
      </w:r>
      <w:r w:rsidR="00F63CEC" w:rsidRPr="007D13BE">
        <w:rPr>
          <w:rFonts w:ascii="Verdana" w:eastAsia="Arial" w:hAnsi="Verdana" w:cs="Arial"/>
          <w:i/>
          <w:iCs/>
        </w:rPr>
        <w:t>la f</w:t>
      </w:r>
      <w:r w:rsidRPr="007D13BE">
        <w:rPr>
          <w:rFonts w:ascii="Verdana" w:eastAsia="Arial" w:hAnsi="Verdana" w:cs="Arial"/>
          <w:i/>
          <w:iCs/>
        </w:rPr>
        <w:t>alta de prueba, pero cumplimiento del requisito</w:t>
      </w:r>
      <w:r w:rsidRPr="007D13BE">
        <w:rPr>
          <w:rFonts w:ascii="Verdana" w:eastAsia="Arial" w:hAnsi="Verdana" w:cs="Arial"/>
        </w:rPr>
        <w:t>:</w:t>
      </w:r>
      <w:r w:rsidRPr="00F63CEC">
        <w:rPr>
          <w:rFonts w:ascii="Verdana" w:eastAsia="Arial" w:hAnsi="Verdana" w:cs="Arial"/>
        </w:rPr>
        <w:t> Si el proponente está al día con sus aportes, pero no presenta la certificación, puede subsanar la omisión aportando el documento en la etapa que corresponda</w:t>
      </w:r>
      <w:r w:rsidR="00F63CEC" w:rsidRPr="00F63CEC">
        <w:rPr>
          <w:rFonts w:ascii="Verdana" w:eastAsia="Arial" w:hAnsi="Verdana" w:cs="Arial"/>
        </w:rPr>
        <w:t xml:space="preserve">; </w:t>
      </w:r>
      <w:proofErr w:type="spellStart"/>
      <w:r w:rsidR="00F63CEC" w:rsidRPr="00F63CEC">
        <w:rPr>
          <w:rFonts w:ascii="Verdana" w:eastAsia="Arial" w:hAnsi="Verdana" w:cs="Arial"/>
        </w:rPr>
        <w:t>ii</w:t>
      </w:r>
      <w:proofErr w:type="spellEnd"/>
      <w:r w:rsidR="00F63CEC" w:rsidRPr="00F63CEC">
        <w:rPr>
          <w:rFonts w:ascii="Verdana" w:eastAsia="Arial" w:hAnsi="Verdana" w:cs="Arial"/>
        </w:rPr>
        <w:t xml:space="preserve">) </w:t>
      </w:r>
      <w:r w:rsidR="00F63CEC" w:rsidRPr="007D13BE">
        <w:rPr>
          <w:rFonts w:ascii="Verdana" w:eastAsia="Arial" w:hAnsi="Verdana" w:cs="Arial"/>
          <w:i/>
          <w:iCs/>
        </w:rPr>
        <w:t>el i</w:t>
      </w:r>
      <w:r w:rsidRPr="007D13BE">
        <w:rPr>
          <w:rFonts w:ascii="Verdana" w:eastAsia="Arial" w:hAnsi="Verdana" w:cs="Arial"/>
          <w:i/>
          <w:iCs/>
        </w:rPr>
        <w:t>ncumplimiento del requisito:</w:t>
      </w:r>
      <w:r w:rsidRPr="00F63CEC">
        <w:rPr>
          <w:rFonts w:ascii="Verdana" w:eastAsia="Arial" w:hAnsi="Verdana" w:cs="Arial"/>
        </w:rPr>
        <w:t> Si el proponente no ha cumplido con sus obligaciones al momento del cierre del proceso, su propuesta debe ser rechazada, sin posibilidad de subsanación.</w:t>
      </w:r>
      <w:r w:rsidR="0057162B">
        <w:rPr>
          <w:rFonts w:ascii="Verdana" w:eastAsia="Arial" w:hAnsi="Verdana" w:cs="Arial"/>
        </w:rPr>
        <w:t xml:space="preserve"> Así, </w:t>
      </w:r>
      <w:r w:rsidRPr="006E5FFD">
        <w:rPr>
          <w:rFonts w:ascii="Verdana" w:eastAsia="Arial" w:hAnsi="Verdana" w:cs="Arial"/>
        </w:rPr>
        <w:t xml:space="preserve">lo subsanable es la presentación de la prueba documental y no el requisito mismo. </w:t>
      </w:r>
      <w:r w:rsidR="0057162B">
        <w:rPr>
          <w:rFonts w:ascii="Verdana" w:eastAsia="Arial" w:hAnsi="Verdana" w:cs="Arial"/>
        </w:rPr>
        <w:t>En consecuencia</w:t>
      </w:r>
      <w:r w:rsidRPr="006E5FFD">
        <w:rPr>
          <w:rFonts w:ascii="Verdana" w:eastAsia="Arial" w:hAnsi="Verdana" w:cs="Arial"/>
        </w:rPr>
        <w:t>, los proponentes en mora o que hayan incumplido con sus obligaciones no pueden participar en igualdad de condiciones con aquellos que han cumplido cabalmente.</w:t>
      </w:r>
    </w:p>
    <w:p w14:paraId="3EC8690C" w14:textId="54F8AA87" w:rsidR="00AA3E73" w:rsidRPr="00042671" w:rsidRDefault="00AA3E73" w:rsidP="007D13BE">
      <w:pPr>
        <w:widowControl w:val="0"/>
        <w:autoSpaceDE w:val="0"/>
        <w:autoSpaceDN w:val="0"/>
        <w:spacing w:before="120" w:after="0" w:line="276" w:lineRule="auto"/>
        <w:ind w:firstLine="709"/>
        <w:jc w:val="both"/>
        <w:rPr>
          <w:rFonts w:ascii="Verdana" w:eastAsia="Arial" w:hAnsi="Verdana" w:cs="Arial"/>
          <w:lang w:val="es-ES"/>
        </w:rPr>
      </w:pPr>
      <w:r w:rsidRPr="0058797B">
        <w:rPr>
          <w:rFonts w:ascii="Verdana" w:eastAsia="Arial" w:hAnsi="Verdana" w:cs="Arial"/>
          <w:lang w:val="es-ES"/>
        </w:rPr>
        <w:t xml:space="preserve">Del mismo modo, las </w:t>
      </w:r>
      <w:r w:rsidR="004C1084" w:rsidRPr="0058797B">
        <w:rPr>
          <w:rFonts w:ascii="Verdana" w:eastAsia="Arial" w:hAnsi="Verdana" w:cs="Arial"/>
          <w:lang w:val="es-ES"/>
        </w:rPr>
        <w:t>entidades estatales</w:t>
      </w:r>
      <w:r w:rsidRPr="0058797B">
        <w:rPr>
          <w:rFonts w:ascii="Verdana" w:eastAsia="Arial" w:hAnsi="Verdana" w:cs="Arial"/>
          <w:lang w:val="es-ES"/>
        </w:rPr>
        <w:t xml:space="preserve"> tienen el deber de verificar, en los procesos de selección de contratistas y durante la ejecución y liquidación de los contratos, que tanto los oferentes como los contratistas</w:t>
      </w:r>
      <w:r w:rsidRPr="0058797B">
        <w:rPr>
          <w:rFonts w:ascii="Verdana" w:eastAsia="Arial" w:hAnsi="Verdana" w:cs="Arial"/>
          <w:spacing w:val="-9"/>
          <w:lang w:val="es-ES"/>
        </w:rPr>
        <w:t xml:space="preserve"> </w:t>
      </w:r>
      <w:r w:rsidRPr="0058797B">
        <w:rPr>
          <w:rFonts w:ascii="Verdana" w:eastAsia="Arial" w:hAnsi="Verdana" w:cs="Arial"/>
          <w:lang w:val="es-ES"/>
        </w:rPr>
        <w:t>hayan</w:t>
      </w:r>
      <w:r w:rsidRPr="0058797B">
        <w:rPr>
          <w:rFonts w:ascii="Verdana" w:eastAsia="Arial" w:hAnsi="Verdana" w:cs="Arial"/>
          <w:spacing w:val="-8"/>
          <w:lang w:val="es-ES"/>
        </w:rPr>
        <w:t xml:space="preserve"> </w:t>
      </w:r>
      <w:r w:rsidRPr="0058797B">
        <w:rPr>
          <w:rFonts w:ascii="Verdana" w:eastAsia="Arial" w:hAnsi="Verdana" w:cs="Arial"/>
          <w:lang w:val="es-ES"/>
        </w:rPr>
        <w:t>realizado</w:t>
      </w:r>
      <w:r w:rsidRPr="0058797B">
        <w:rPr>
          <w:rFonts w:ascii="Verdana" w:eastAsia="Arial" w:hAnsi="Verdana" w:cs="Arial"/>
          <w:spacing w:val="-8"/>
          <w:lang w:val="es-ES"/>
        </w:rPr>
        <w:t xml:space="preserve"> </w:t>
      </w:r>
      <w:r w:rsidRPr="0058797B">
        <w:rPr>
          <w:rFonts w:ascii="Verdana" w:eastAsia="Arial" w:hAnsi="Verdana" w:cs="Arial"/>
          <w:lang w:val="es-ES"/>
        </w:rPr>
        <w:t>los</w:t>
      </w:r>
      <w:r w:rsidRPr="0058797B">
        <w:rPr>
          <w:rFonts w:ascii="Verdana" w:eastAsia="Arial" w:hAnsi="Verdana" w:cs="Arial"/>
          <w:spacing w:val="-8"/>
          <w:lang w:val="es-ES"/>
        </w:rPr>
        <w:t xml:space="preserve"> </w:t>
      </w:r>
      <w:r w:rsidRPr="0058797B">
        <w:rPr>
          <w:rFonts w:ascii="Verdana" w:eastAsia="Arial" w:hAnsi="Verdana" w:cs="Arial"/>
          <w:lang w:val="es-ES"/>
        </w:rPr>
        <w:t>aportes</w:t>
      </w:r>
      <w:r w:rsidRPr="0058797B">
        <w:rPr>
          <w:rFonts w:ascii="Verdana" w:eastAsia="Arial" w:hAnsi="Verdana" w:cs="Arial"/>
          <w:spacing w:val="-9"/>
          <w:lang w:val="es-ES"/>
        </w:rPr>
        <w:t xml:space="preserve"> </w:t>
      </w:r>
      <w:r w:rsidRPr="0058797B">
        <w:rPr>
          <w:rFonts w:ascii="Verdana" w:eastAsia="Arial" w:hAnsi="Verdana" w:cs="Arial"/>
          <w:lang w:val="es-ES"/>
        </w:rPr>
        <w:t>al</w:t>
      </w:r>
      <w:r w:rsidRPr="0058797B">
        <w:rPr>
          <w:rFonts w:ascii="Verdana" w:eastAsia="Arial" w:hAnsi="Verdana" w:cs="Arial"/>
          <w:spacing w:val="-8"/>
          <w:lang w:val="es-ES"/>
        </w:rPr>
        <w:t xml:space="preserve"> </w:t>
      </w:r>
      <w:r w:rsidRPr="0058797B">
        <w:rPr>
          <w:rFonts w:ascii="Verdana" w:eastAsia="Arial" w:hAnsi="Verdana" w:cs="Arial"/>
          <w:lang w:val="es-ES"/>
        </w:rPr>
        <w:t>Sistema</w:t>
      </w:r>
      <w:r w:rsidRPr="0058797B">
        <w:rPr>
          <w:rFonts w:ascii="Verdana" w:eastAsia="Arial" w:hAnsi="Verdana" w:cs="Arial"/>
          <w:spacing w:val="-7"/>
          <w:lang w:val="es-ES"/>
        </w:rPr>
        <w:t xml:space="preserve"> </w:t>
      </w:r>
      <w:r w:rsidRPr="0058797B">
        <w:rPr>
          <w:rFonts w:ascii="Verdana" w:eastAsia="Arial" w:hAnsi="Verdana" w:cs="Arial"/>
          <w:lang w:val="es-ES"/>
        </w:rPr>
        <w:t>de</w:t>
      </w:r>
      <w:r w:rsidRPr="0058797B">
        <w:rPr>
          <w:rFonts w:ascii="Verdana" w:eastAsia="Arial" w:hAnsi="Verdana" w:cs="Arial"/>
          <w:spacing w:val="-8"/>
          <w:lang w:val="es-ES"/>
        </w:rPr>
        <w:t xml:space="preserve"> </w:t>
      </w:r>
      <w:r w:rsidRPr="0058797B">
        <w:rPr>
          <w:rFonts w:ascii="Verdana" w:eastAsia="Arial" w:hAnsi="Verdana" w:cs="Arial"/>
          <w:lang w:val="es-ES"/>
        </w:rPr>
        <w:t>Seguridad</w:t>
      </w:r>
      <w:r w:rsidRPr="0058797B">
        <w:rPr>
          <w:rFonts w:ascii="Verdana" w:eastAsia="Arial" w:hAnsi="Verdana" w:cs="Arial"/>
          <w:spacing w:val="-7"/>
          <w:lang w:val="es-ES"/>
        </w:rPr>
        <w:t xml:space="preserve"> </w:t>
      </w:r>
      <w:r w:rsidRPr="0058797B">
        <w:rPr>
          <w:rFonts w:ascii="Verdana" w:eastAsia="Arial" w:hAnsi="Verdana" w:cs="Arial"/>
          <w:lang w:val="es-ES"/>
        </w:rPr>
        <w:t>Social</w:t>
      </w:r>
      <w:r w:rsidRPr="0058797B">
        <w:rPr>
          <w:rFonts w:ascii="Verdana" w:eastAsia="Arial" w:hAnsi="Verdana" w:cs="Arial"/>
          <w:spacing w:val="-7"/>
          <w:lang w:val="es-ES"/>
        </w:rPr>
        <w:t xml:space="preserve"> </w:t>
      </w:r>
      <w:r w:rsidRPr="0058797B">
        <w:rPr>
          <w:rFonts w:ascii="Verdana" w:eastAsia="Arial" w:hAnsi="Verdana" w:cs="Arial"/>
          <w:lang w:val="es-ES"/>
        </w:rPr>
        <w:t>Integral</w:t>
      </w:r>
      <w:r w:rsidR="006E5FFD">
        <w:rPr>
          <w:rFonts w:ascii="Verdana" w:eastAsia="Arial" w:hAnsi="Verdana" w:cs="Arial"/>
          <w:lang w:val="es-ES"/>
        </w:rPr>
        <w:t xml:space="preserve"> y </w:t>
      </w:r>
      <w:r w:rsidR="008E11C1">
        <w:rPr>
          <w:rFonts w:ascii="Verdana" w:eastAsia="Arial" w:hAnsi="Verdana" w:cs="Arial"/>
          <w:lang w:val="es-ES"/>
        </w:rPr>
        <w:t>parafiscales</w:t>
      </w:r>
      <w:r w:rsidR="008E11C1" w:rsidRPr="008E11C1">
        <w:rPr>
          <w:rFonts w:ascii="PT Serif" w:hAnsi="PT Serif"/>
          <w:color w:val="181818"/>
          <w:sz w:val="21"/>
          <w:szCs w:val="21"/>
          <w:shd w:val="clear" w:color="auto" w:fill="FFFFFF"/>
        </w:rPr>
        <w:t>,</w:t>
      </w:r>
      <w:r w:rsidR="008E11C1" w:rsidRPr="008E11C1">
        <w:rPr>
          <w:rFonts w:ascii="Verdana" w:eastAsia="Arial" w:hAnsi="Verdana" w:cs="Arial"/>
        </w:rPr>
        <w:t xml:space="preserve"> preservando los </w:t>
      </w:r>
      <w:r w:rsidR="008E11C1" w:rsidRPr="008E11C1">
        <w:rPr>
          <w:rFonts w:ascii="Verdana" w:eastAsia="Arial" w:hAnsi="Verdana" w:cs="Arial"/>
        </w:rPr>
        <w:lastRenderedPageBreak/>
        <w:t>principios de igualdad y legalidad en la contratación estatal</w:t>
      </w:r>
      <w:r w:rsidRPr="0058797B">
        <w:rPr>
          <w:rFonts w:ascii="Verdana" w:eastAsia="Arial" w:hAnsi="Verdana" w:cs="Arial"/>
          <w:lang w:val="es-ES"/>
        </w:rPr>
        <w:t>.</w:t>
      </w:r>
      <w:r w:rsidR="008E11C1">
        <w:rPr>
          <w:rFonts w:ascii="Verdana" w:eastAsia="Arial" w:hAnsi="Verdana" w:cs="Arial"/>
          <w:lang w:val="es-ES"/>
        </w:rPr>
        <w:t xml:space="preserve"> Así mismo, se resalta, </w:t>
      </w:r>
      <w:r w:rsidR="008E11C1" w:rsidRPr="008E11C1">
        <w:rPr>
          <w:rFonts w:ascii="Verdana" w:eastAsia="Arial" w:hAnsi="Verdana" w:cs="Arial"/>
        </w:rPr>
        <w:t>la necesidad de que los proponentes aseguren el cumplimiento de sus obligaciones para garantizar su participación</w:t>
      </w:r>
    </w:p>
    <w:p w14:paraId="2972C86E" w14:textId="77777777" w:rsidR="00AA3E73" w:rsidRPr="00042671" w:rsidRDefault="00AA3E73" w:rsidP="00AA3E73">
      <w:pPr>
        <w:spacing w:after="0" w:line="276" w:lineRule="auto"/>
        <w:jc w:val="both"/>
        <w:rPr>
          <w:rFonts w:ascii="Verdana" w:eastAsia="Calibri" w:hAnsi="Verdana" w:cs="Arial"/>
          <w:color w:val="000000"/>
          <w:lang w:val="es-ES_tradnl"/>
        </w:rPr>
      </w:pPr>
    </w:p>
    <w:p w14:paraId="337FD9FC" w14:textId="77777777" w:rsidR="00AA3E73" w:rsidRPr="00042671" w:rsidRDefault="00AA3E73" w:rsidP="00AA3E73">
      <w:pPr>
        <w:numPr>
          <w:ilvl w:val="0"/>
          <w:numId w:val="16"/>
        </w:numPr>
        <w:tabs>
          <w:tab w:val="left" w:pos="142"/>
          <w:tab w:val="left" w:pos="284"/>
        </w:tabs>
        <w:spacing w:after="0" w:line="276" w:lineRule="auto"/>
        <w:jc w:val="both"/>
        <w:rPr>
          <w:rFonts w:ascii="Verdana" w:eastAsia="Century Gothic" w:hAnsi="Verdana" w:cs="Century Gothic"/>
          <w:b/>
          <w:bCs/>
          <w:color w:val="000000"/>
          <w:lang w:val="es-ES"/>
        </w:rPr>
      </w:pPr>
      <w:r w:rsidRPr="00042671">
        <w:rPr>
          <w:rFonts w:ascii="Verdana" w:eastAsia="Century Gothic" w:hAnsi="Verdana" w:cs="Century Gothic"/>
          <w:b/>
          <w:bCs/>
          <w:color w:val="000000"/>
          <w:lang w:val="es-ES"/>
        </w:rPr>
        <w:t>Referencias normativas, jurisprudenciales y otras fuentes:</w:t>
      </w:r>
    </w:p>
    <w:p w14:paraId="4ADA70F6" w14:textId="77777777" w:rsidR="00AA3E73" w:rsidRPr="00042671" w:rsidRDefault="00AA3E73" w:rsidP="00AA3E73">
      <w:pPr>
        <w:widowControl w:val="0"/>
        <w:autoSpaceDE w:val="0"/>
        <w:autoSpaceDN w:val="0"/>
        <w:spacing w:after="0" w:line="276" w:lineRule="auto"/>
        <w:jc w:val="both"/>
        <w:rPr>
          <w:rFonts w:ascii="Verdana" w:eastAsia="Calibri" w:hAnsi="Verdana" w:cs="Arial"/>
          <w:color w:val="000000"/>
        </w:rPr>
      </w:pPr>
    </w:p>
    <w:tbl>
      <w:tblPr>
        <w:tblStyle w:val="Tablaconcuadrcula1"/>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A3E73" w:rsidRPr="00042671" w14:paraId="3740F65C" w14:textId="77777777" w:rsidTr="005C1A1D">
        <w:trPr>
          <w:trHeight w:val="870"/>
        </w:trPr>
        <w:tc>
          <w:tcPr>
            <w:tcW w:w="8647" w:type="dxa"/>
          </w:tcPr>
          <w:p w14:paraId="392C7418" w14:textId="32B49C56" w:rsidR="00AA3E73" w:rsidRPr="00042671" w:rsidRDefault="00AA3E73" w:rsidP="007D13BE">
            <w:pPr>
              <w:numPr>
                <w:ilvl w:val="0"/>
                <w:numId w:val="17"/>
              </w:numPr>
              <w:spacing w:line="276" w:lineRule="auto"/>
              <w:ind w:left="357" w:hanging="357"/>
              <w:jc w:val="both"/>
              <w:rPr>
                <w:rFonts w:ascii="Verdana" w:eastAsia="Calibri" w:hAnsi="Verdana" w:cs="Arial"/>
                <w:color w:val="000000"/>
                <w:lang w:eastAsia="es-ES"/>
              </w:rPr>
            </w:pPr>
            <w:r w:rsidRPr="00042671">
              <w:rPr>
                <w:rFonts w:ascii="Verdana" w:eastAsia="Calibri" w:hAnsi="Verdana" w:cs="Arial"/>
                <w:color w:val="000000"/>
                <w:lang w:val="es-ES_tradnl"/>
              </w:rPr>
              <w:t>Ley 80 de 1993, artículos 24.5 literal b) y 30.8</w:t>
            </w:r>
            <w:r w:rsidR="009536E2" w:rsidRPr="00A87950">
              <w:rPr>
                <w:rFonts w:ascii="Verdana" w:eastAsia="Calibri" w:hAnsi="Verdana" w:cs="Arial"/>
                <w:color w:val="000000"/>
                <w:lang w:val="es-ES_tradnl"/>
              </w:rPr>
              <w:t>.</w:t>
            </w:r>
          </w:p>
          <w:p w14:paraId="796E97AE" w14:textId="669DAA9C" w:rsidR="00AA3E73" w:rsidRPr="00042671" w:rsidRDefault="00AA3E73" w:rsidP="007D13BE">
            <w:pPr>
              <w:numPr>
                <w:ilvl w:val="0"/>
                <w:numId w:val="17"/>
              </w:numPr>
              <w:spacing w:line="276" w:lineRule="auto"/>
              <w:ind w:left="357" w:hanging="357"/>
              <w:jc w:val="both"/>
              <w:rPr>
                <w:rFonts w:ascii="Verdana" w:eastAsia="Calibri" w:hAnsi="Verdana" w:cs="Arial"/>
                <w:color w:val="000000"/>
                <w:lang w:eastAsia="es-ES"/>
              </w:rPr>
            </w:pPr>
            <w:r w:rsidRPr="00042671">
              <w:rPr>
                <w:rFonts w:ascii="Verdana" w:eastAsia="Calibri" w:hAnsi="Verdana" w:cs="Arial"/>
                <w:color w:val="000000"/>
                <w:lang w:eastAsia="es-ES"/>
              </w:rPr>
              <w:t xml:space="preserve">Ley 1150 de 2007, </w:t>
            </w:r>
            <w:r w:rsidRPr="00042671">
              <w:rPr>
                <w:rFonts w:ascii="Verdana" w:eastAsia="Calibri" w:hAnsi="Verdana" w:cs="Arial"/>
                <w:color w:val="000000"/>
              </w:rPr>
              <w:t>artículo 5, parágrafo 1, 3 y 4</w:t>
            </w:r>
            <w:r w:rsidR="009536E2" w:rsidRPr="00A87950">
              <w:rPr>
                <w:rFonts w:ascii="Verdana" w:eastAsia="Calibri" w:hAnsi="Verdana" w:cs="Arial"/>
                <w:color w:val="000000"/>
              </w:rPr>
              <w:t>.</w:t>
            </w:r>
          </w:p>
          <w:p w14:paraId="2472EB4E" w14:textId="09B32B8C" w:rsidR="009536E2" w:rsidRPr="00A87950" w:rsidRDefault="009536E2" w:rsidP="007D13BE">
            <w:pPr>
              <w:numPr>
                <w:ilvl w:val="0"/>
                <w:numId w:val="17"/>
              </w:numPr>
              <w:spacing w:line="276" w:lineRule="auto"/>
              <w:ind w:left="357" w:hanging="357"/>
              <w:jc w:val="both"/>
              <w:rPr>
                <w:rFonts w:ascii="Verdana" w:eastAsia="Calibri" w:hAnsi="Verdana" w:cs="Arial"/>
                <w:shd w:val="clear" w:color="auto" w:fill="FFFFFF"/>
              </w:rPr>
            </w:pPr>
            <w:r w:rsidRPr="00A87950">
              <w:rPr>
                <w:rFonts w:ascii="Verdana" w:eastAsia="Calibri" w:hAnsi="Verdana" w:cs="Arial"/>
                <w:color w:val="000000"/>
              </w:rPr>
              <w:t>Ley 1882 de 2018 artículo 5</w:t>
            </w:r>
            <w:r w:rsidR="00932758" w:rsidRPr="00A87950">
              <w:rPr>
                <w:rFonts w:ascii="Verdana" w:eastAsia="Calibri" w:hAnsi="Verdana" w:cs="Arial"/>
                <w:color w:val="000000"/>
              </w:rPr>
              <w:t>.</w:t>
            </w:r>
          </w:p>
          <w:p w14:paraId="22BDDBAF" w14:textId="56F14B23" w:rsidR="00AA3E73" w:rsidRPr="00042671" w:rsidRDefault="00AA3E73" w:rsidP="007D13BE">
            <w:pPr>
              <w:numPr>
                <w:ilvl w:val="0"/>
                <w:numId w:val="17"/>
              </w:numPr>
              <w:spacing w:line="276" w:lineRule="auto"/>
              <w:ind w:left="357" w:hanging="357"/>
              <w:jc w:val="both"/>
              <w:rPr>
                <w:rFonts w:ascii="Verdana" w:eastAsia="Calibri" w:hAnsi="Verdana" w:cs="Arial"/>
                <w:color w:val="000000"/>
                <w:lang w:eastAsia="es-ES"/>
              </w:rPr>
            </w:pPr>
            <w:r w:rsidRPr="00042671">
              <w:rPr>
                <w:rFonts w:ascii="Verdana" w:eastAsia="Calibri" w:hAnsi="Verdana" w:cs="Arial"/>
                <w:color w:val="000000"/>
                <w:lang w:eastAsia="es-ES"/>
              </w:rPr>
              <w:t>Decreto 1082 de 2015, artículo 2.2.1.1.2.1.3. numeral 6</w:t>
            </w:r>
            <w:r w:rsidR="009536E2" w:rsidRPr="00A87950">
              <w:rPr>
                <w:rFonts w:ascii="Verdana" w:eastAsia="Calibri" w:hAnsi="Verdana" w:cs="Arial"/>
                <w:color w:val="000000"/>
                <w:lang w:eastAsia="es-ES"/>
              </w:rPr>
              <w:t>.</w:t>
            </w:r>
          </w:p>
          <w:p w14:paraId="1543CADF" w14:textId="77777777" w:rsidR="00AA3E73" w:rsidRPr="00042671" w:rsidRDefault="00AA3E73" w:rsidP="007D13BE">
            <w:pPr>
              <w:numPr>
                <w:ilvl w:val="0"/>
                <w:numId w:val="17"/>
              </w:numPr>
              <w:spacing w:line="276" w:lineRule="auto"/>
              <w:ind w:left="357" w:hanging="357"/>
              <w:jc w:val="both"/>
              <w:rPr>
                <w:rFonts w:ascii="Verdana" w:eastAsia="Calibri" w:hAnsi="Verdana" w:cs="Arial"/>
                <w:shd w:val="clear" w:color="auto" w:fill="FFFFFF"/>
              </w:rPr>
            </w:pPr>
            <w:r w:rsidRPr="00042671">
              <w:rPr>
                <w:rFonts w:ascii="Verdana" w:eastAsia="Calibri" w:hAnsi="Verdana" w:cs="Arial"/>
                <w:shd w:val="clear" w:color="auto" w:fill="FFFFFF"/>
              </w:rPr>
              <w:t>Consejo de Estado. Sala de Consulta y Servicio Civil. Concepto del 6 de noviembre de 2008. Expediente: 1927. Consejero Ponente: William Zambrano Cetina</w:t>
            </w:r>
          </w:p>
          <w:p w14:paraId="3001B64E" w14:textId="77777777" w:rsidR="00932758" w:rsidRPr="00A87950" w:rsidRDefault="00932758" w:rsidP="007D13BE">
            <w:pPr>
              <w:numPr>
                <w:ilvl w:val="0"/>
                <w:numId w:val="17"/>
              </w:numPr>
              <w:spacing w:line="276" w:lineRule="auto"/>
              <w:ind w:left="357" w:hanging="357"/>
              <w:jc w:val="both"/>
              <w:rPr>
                <w:rFonts w:ascii="Verdana" w:eastAsia="Calibri" w:hAnsi="Verdana" w:cs="Arial"/>
                <w:shd w:val="clear" w:color="auto" w:fill="FFFFFF"/>
              </w:rPr>
            </w:pPr>
            <w:r w:rsidRPr="00A87950">
              <w:rPr>
                <w:rFonts w:ascii="Verdana" w:eastAsia="Calibri" w:hAnsi="Verdana" w:cs="Arial"/>
                <w:shd w:val="clear" w:color="auto" w:fill="FFFFFF"/>
              </w:rPr>
              <w:t>Consejo de Estado. Sala de Consulta y Servicio Civil. Concepto del 20 de mayo de 2010. Expediente: 1992. Consejero Ponente: Enrique José Arboleda Perdomo.</w:t>
            </w:r>
          </w:p>
          <w:p w14:paraId="57C4ECA5" w14:textId="77777777" w:rsidR="00932758" w:rsidRPr="00A87950" w:rsidRDefault="00932758" w:rsidP="007D13BE">
            <w:pPr>
              <w:numPr>
                <w:ilvl w:val="0"/>
                <w:numId w:val="17"/>
              </w:numPr>
              <w:spacing w:line="276" w:lineRule="auto"/>
              <w:ind w:left="357" w:hanging="357"/>
              <w:jc w:val="both"/>
              <w:rPr>
                <w:rFonts w:ascii="Verdana" w:eastAsia="Calibri" w:hAnsi="Verdana" w:cs="Arial"/>
                <w:shd w:val="clear" w:color="auto" w:fill="FFFFFF"/>
              </w:rPr>
            </w:pPr>
            <w:r w:rsidRPr="00A87950">
              <w:rPr>
                <w:rFonts w:ascii="Verdana" w:eastAsia="Calibri" w:hAnsi="Verdana" w:cs="Arial"/>
                <w:shd w:val="clear" w:color="auto" w:fill="FFFFFF"/>
              </w:rPr>
              <w:t xml:space="preserve">Consejo de Estado, Sección Tercera, Subsección C. Sentencia del 26 de febrero de 2011. C.P. Jaime Orlando Santofimio. Rad. 36.408. </w:t>
            </w:r>
          </w:p>
          <w:p w14:paraId="429A63AD" w14:textId="77777777" w:rsidR="00932758" w:rsidRPr="00A87950" w:rsidRDefault="00932758" w:rsidP="007D13BE">
            <w:pPr>
              <w:numPr>
                <w:ilvl w:val="0"/>
                <w:numId w:val="17"/>
              </w:numPr>
              <w:spacing w:line="276" w:lineRule="auto"/>
              <w:ind w:left="357" w:hanging="357"/>
              <w:jc w:val="both"/>
              <w:rPr>
                <w:rFonts w:ascii="Verdana" w:eastAsia="Calibri" w:hAnsi="Verdana" w:cs="Arial"/>
                <w:shd w:val="clear" w:color="auto" w:fill="FFFFFF"/>
              </w:rPr>
            </w:pPr>
            <w:r w:rsidRPr="00A87950">
              <w:rPr>
                <w:rFonts w:ascii="Verdana" w:eastAsia="Calibri" w:hAnsi="Verdana" w:cs="Arial"/>
                <w:shd w:val="clear" w:color="auto" w:fill="FFFFFF"/>
              </w:rPr>
              <w:t>Consejo de Estado. Sección Tercera Subsección B. Sentencia del 27 de abril de 2011. Expediente No. 18.293. C.P. Ponente: Ruth Stella Correa Palacio.</w:t>
            </w:r>
          </w:p>
          <w:p w14:paraId="64CA9730" w14:textId="02E1AF2C" w:rsidR="00AA3E73" w:rsidRPr="00042671" w:rsidRDefault="00932758" w:rsidP="007D13BE">
            <w:pPr>
              <w:numPr>
                <w:ilvl w:val="0"/>
                <w:numId w:val="17"/>
              </w:numPr>
              <w:spacing w:line="276" w:lineRule="auto"/>
              <w:ind w:left="357" w:hanging="357"/>
              <w:jc w:val="both"/>
              <w:rPr>
                <w:rFonts w:ascii="Verdana" w:eastAsia="Calibri" w:hAnsi="Verdana" w:cs="Arial"/>
                <w:shd w:val="clear" w:color="auto" w:fill="FFFFFF"/>
              </w:rPr>
            </w:pPr>
            <w:r w:rsidRPr="00A87950">
              <w:rPr>
                <w:rFonts w:ascii="Verdana" w:eastAsia="Calibri" w:hAnsi="Verdana" w:cs="Arial"/>
                <w:shd w:val="clear" w:color="auto" w:fill="FFFFFF"/>
              </w:rPr>
              <w:t>Consejo de Estado</w:t>
            </w:r>
            <w:r w:rsidR="00AA3E73" w:rsidRPr="00042671">
              <w:rPr>
                <w:rFonts w:ascii="Verdana" w:eastAsia="Calibri" w:hAnsi="Verdana" w:cs="Arial"/>
                <w:shd w:val="clear" w:color="auto" w:fill="FFFFFF"/>
              </w:rPr>
              <w:t>, Sección Tercera, Subsección C. Sentencia del 26 de febrero de 2014. C.P. Enrique Gil Botero. Rad. 25.804.</w:t>
            </w:r>
          </w:p>
          <w:p w14:paraId="33EDBADE" w14:textId="0A294190" w:rsidR="00A87950" w:rsidRPr="00A87950" w:rsidRDefault="00A87950" w:rsidP="007D13BE">
            <w:pPr>
              <w:numPr>
                <w:ilvl w:val="0"/>
                <w:numId w:val="17"/>
              </w:numPr>
              <w:spacing w:line="276" w:lineRule="auto"/>
              <w:ind w:left="357" w:hanging="357"/>
              <w:jc w:val="both"/>
              <w:rPr>
                <w:rFonts w:ascii="Verdana" w:eastAsia="Calibri" w:hAnsi="Verdana" w:cs="Arial"/>
                <w:shd w:val="clear" w:color="auto" w:fill="FFFFFF"/>
              </w:rPr>
            </w:pPr>
            <w:hyperlink r:id="rId13" w:history="1">
              <w:r w:rsidRPr="007D13BE">
                <w:rPr>
                  <w:rStyle w:val="Hipervnculo"/>
                  <w:rFonts w:ascii="Verdana" w:hAnsi="Verdana"/>
                  <w:color w:val="auto"/>
                  <w:u w:val="none"/>
                </w:rPr>
                <w:t>Consejo de Estado. Sala de lo Contencioso Administrativo. Sección Tercera. Subsección C. Radicación: 05001-23-31-000-2005-04664-02 (47.156). Consejero Ponente: WILLIAM BARRERA MUÑOZ. Bogotá D.C., veinticuatro (24) de julio de dos mil veinticuatro (2024).</w:t>
              </w:r>
            </w:hyperlink>
          </w:p>
          <w:p w14:paraId="7BD5E499" w14:textId="724C2CC4" w:rsidR="00932758" w:rsidRPr="00A87950" w:rsidRDefault="00AA3E73" w:rsidP="007D13BE">
            <w:pPr>
              <w:numPr>
                <w:ilvl w:val="0"/>
                <w:numId w:val="17"/>
              </w:numPr>
              <w:spacing w:line="276" w:lineRule="auto"/>
              <w:ind w:left="357" w:hanging="357"/>
              <w:jc w:val="both"/>
              <w:rPr>
                <w:rFonts w:ascii="Verdana" w:eastAsia="Calibri" w:hAnsi="Verdana" w:cs="Arial"/>
                <w:shd w:val="clear" w:color="auto" w:fill="FFFFFF"/>
              </w:rPr>
            </w:pPr>
            <w:r w:rsidRPr="00042671">
              <w:rPr>
                <w:rFonts w:ascii="Verdana" w:eastAsia="Calibri" w:hAnsi="Verdana" w:cs="Arial"/>
                <w:shd w:val="clear" w:color="auto" w:fill="FFFFFF"/>
              </w:rPr>
              <w:t>Circular Externa Única de Colombia Compra Eficiente</w:t>
            </w:r>
            <w:r w:rsidR="00932758" w:rsidRPr="00A87950">
              <w:rPr>
                <w:rFonts w:ascii="Verdana" w:eastAsia="Calibri" w:hAnsi="Verdana" w:cs="Arial"/>
                <w:shd w:val="clear" w:color="auto" w:fill="FFFFFF"/>
              </w:rPr>
              <w:t xml:space="preserve">. </w:t>
            </w:r>
          </w:p>
          <w:p w14:paraId="167F9342" w14:textId="40D6C1F2" w:rsidR="00AA3E73" w:rsidRPr="00042671" w:rsidRDefault="00AA3E73" w:rsidP="007D13BE">
            <w:pPr>
              <w:numPr>
                <w:ilvl w:val="0"/>
                <w:numId w:val="17"/>
              </w:numPr>
              <w:spacing w:line="276" w:lineRule="auto"/>
              <w:ind w:left="357" w:hanging="357"/>
              <w:jc w:val="both"/>
              <w:rPr>
                <w:rFonts w:ascii="Verdana" w:eastAsia="Calibri" w:hAnsi="Verdana" w:cs="Arial"/>
                <w:color w:val="000000"/>
              </w:rPr>
            </w:pPr>
            <w:r w:rsidRPr="00042671">
              <w:rPr>
                <w:rFonts w:ascii="Verdana" w:eastAsia="Calibri" w:hAnsi="Verdana" w:cs="Arial"/>
                <w:shd w:val="clear" w:color="auto" w:fill="FFFFFF"/>
              </w:rPr>
              <w:t>RODRÍGUEZ TAMAYO, Mauricio Fernando. Evaluación y rechazo de ofertas en la Ley 80 de 1993. Medellín: Librería Jurídica Sánchez, 2016.</w:t>
            </w:r>
          </w:p>
        </w:tc>
      </w:tr>
    </w:tbl>
    <w:p w14:paraId="523807C7" w14:textId="77777777" w:rsidR="00AA3E73" w:rsidRPr="00042671" w:rsidRDefault="00AA3E73" w:rsidP="00AA3E73">
      <w:pPr>
        <w:widowControl w:val="0"/>
        <w:autoSpaceDE w:val="0"/>
        <w:autoSpaceDN w:val="0"/>
        <w:spacing w:after="0" w:line="276" w:lineRule="auto"/>
        <w:jc w:val="both"/>
        <w:rPr>
          <w:rFonts w:ascii="Verdana" w:eastAsia="Calibri" w:hAnsi="Verdana" w:cs="Arial"/>
          <w:color w:val="000000"/>
        </w:rPr>
      </w:pPr>
    </w:p>
    <w:p w14:paraId="4A8F4DC3" w14:textId="77777777" w:rsidR="00AA3E73" w:rsidRPr="00042671" w:rsidRDefault="00AA3E73" w:rsidP="00AA3E73">
      <w:pPr>
        <w:numPr>
          <w:ilvl w:val="0"/>
          <w:numId w:val="16"/>
        </w:numPr>
        <w:tabs>
          <w:tab w:val="left" w:pos="142"/>
          <w:tab w:val="left" w:pos="284"/>
        </w:tabs>
        <w:spacing w:after="0" w:line="276" w:lineRule="auto"/>
        <w:jc w:val="both"/>
        <w:rPr>
          <w:rFonts w:ascii="Verdana" w:eastAsia="Century Gothic" w:hAnsi="Verdana" w:cs="Century Gothic"/>
          <w:b/>
          <w:bCs/>
          <w:color w:val="000000"/>
          <w:lang w:val="es-ES"/>
        </w:rPr>
      </w:pPr>
      <w:r w:rsidRPr="00042671">
        <w:rPr>
          <w:rFonts w:ascii="Verdana" w:eastAsia="Century Gothic" w:hAnsi="Verdana" w:cs="Century Gothic"/>
          <w:b/>
          <w:bCs/>
          <w:color w:val="000000"/>
          <w:lang w:val="es-ES"/>
        </w:rPr>
        <w:t>Doctrina de la Agencia Nacional de Contratación Pública:</w:t>
      </w:r>
    </w:p>
    <w:p w14:paraId="76A6FDF7" w14:textId="77777777" w:rsidR="00AA3E73" w:rsidRPr="00042671" w:rsidRDefault="00AA3E73" w:rsidP="00AA3E73">
      <w:pPr>
        <w:widowControl w:val="0"/>
        <w:autoSpaceDE w:val="0"/>
        <w:autoSpaceDN w:val="0"/>
        <w:spacing w:after="0" w:line="276" w:lineRule="auto"/>
        <w:jc w:val="both"/>
        <w:rPr>
          <w:rFonts w:ascii="Verdana" w:eastAsia="Calibri" w:hAnsi="Verdana" w:cs="Arial"/>
          <w:color w:val="000000"/>
        </w:rPr>
      </w:pPr>
    </w:p>
    <w:p w14:paraId="7F69DB8C" w14:textId="77777777" w:rsidR="00AA3E73" w:rsidRPr="00042671" w:rsidRDefault="00AA3E73" w:rsidP="00AA3E73">
      <w:pPr>
        <w:widowControl w:val="0"/>
        <w:autoSpaceDE w:val="0"/>
        <w:autoSpaceDN w:val="0"/>
        <w:spacing w:after="0" w:line="276" w:lineRule="auto"/>
        <w:jc w:val="both"/>
        <w:rPr>
          <w:rFonts w:ascii="Verdana" w:eastAsia="Calibri" w:hAnsi="Verdana" w:cs="Arial"/>
          <w:shd w:val="clear" w:color="auto" w:fill="FFFFFF"/>
          <w:lang w:val="es-ES"/>
        </w:rPr>
      </w:pPr>
      <w:r w:rsidRPr="00042671">
        <w:rPr>
          <w:rFonts w:ascii="Verdana" w:eastAsia="Calibri" w:hAnsi="Verdana" w:cs="Arial"/>
          <w:shd w:val="clear" w:color="auto" w:fill="FFFFFF"/>
          <w:lang w:val="es-ES"/>
        </w:rPr>
        <w:t xml:space="preserve">Sobre la regla de subsanabilidad en los procesos de selección, se pronunció esta Subdirección en los conceptos 4201913000007643 del 26 de diciembre de 2019, C-343 del 17 de junio de 2020, C-518 del 9 de septiembre de 2020, C-285 del 20 de mayo de 2022, C-614 del 5 de octubre de 2022, C-882 del 21 de diciembre de 2022, C-172 del 6 de junio de 2023, C-447 del 19 de septiembre de 2024, </w:t>
      </w:r>
      <w:r w:rsidRPr="00042671">
        <w:rPr>
          <w:rFonts w:ascii="Verdana" w:eastAsia="Calibri" w:hAnsi="Verdana" w:cs="Arial"/>
          <w:shd w:val="clear" w:color="auto" w:fill="FFFFFF"/>
          <w:lang w:val="es-ES"/>
        </w:rPr>
        <w:lastRenderedPageBreak/>
        <w:t>C-1009 del 30 de enero de 2025 y C-331 del 24 de abril de 2025. Es</w:t>
      </w:r>
      <w:r w:rsidRPr="00042671">
        <w:rPr>
          <w:rFonts w:ascii="Verdana" w:eastAsia="Calibri" w:hAnsi="Verdana" w:cs="Times New Roman"/>
        </w:rPr>
        <w:t>tos y otros conceptos se encuentran disponibles para consulta en el Sistema de relatoría de la Agencia, al cual se puede acceder a través del siguiente enlace:</w:t>
      </w:r>
      <w:r w:rsidRPr="00042671">
        <w:rPr>
          <w:rFonts w:ascii="Verdana" w:eastAsia="Calibri" w:hAnsi="Verdana" w:cs="Arial"/>
          <w:shd w:val="clear" w:color="auto" w:fill="FFFFFF"/>
          <w:lang w:val="es-ES"/>
        </w:rPr>
        <w:t xml:space="preserve"> </w:t>
      </w:r>
      <w:hyperlink r:id="rId14" w:history="1">
        <w:r w:rsidRPr="00042671">
          <w:rPr>
            <w:rFonts w:ascii="Verdana" w:eastAsia="Calibri" w:hAnsi="Verdana" w:cs="Arial"/>
            <w:u w:val="single"/>
            <w:shd w:val="clear" w:color="auto" w:fill="FFFFFF"/>
            <w:lang w:val="es-ES"/>
          </w:rPr>
          <w:t>https://relatoria.colombiacompra.gov.co/busqueda/conceptos</w:t>
        </w:r>
      </w:hyperlink>
    </w:p>
    <w:p w14:paraId="156FF0D7" w14:textId="77777777" w:rsidR="00AA3E73" w:rsidRPr="00042671" w:rsidRDefault="00AA3E73" w:rsidP="00AA3E73">
      <w:pPr>
        <w:widowControl w:val="0"/>
        <w:autoSpaceDE w:val="0"/>
        <w:autoSpaceDN w:val="0"/>
        <w:spacing w:after="0" w:line="276" w:lineRule="auto"/>
        <w:jc w:val="both"/>
        <w:rPr>
          <w:rFonts w:ascii="Verdana" w:eastAsia="Calibri" w:hAnsi="Verdana" w:cs="Arial"/>
          <w:color w:val="000000"/>
          <w:shd w:val="clear" w:color="auto" w:fill="FFFFFF"/>
        </w:rPr>
      </w:pPr>
    </w:p>
    <w:p w14:paraId="02772EFE" w14:textId="77777777" w:rsidR="00AA3E73" w:rsidRPr="00042671" w:rsidRDefault="00AA3E73" w:rsidP="007D13BE">
      <w:pPr>
        <w:spacing w:after="0" w:line="276" w:lineRule="auto"/>
        <w:jc w:val="both"/>
        <w:rPr>
          <w:rFonts w:ascii="Verdana" w:eastAsia="Calibri" w:hAnsi="Verdana" w:cs="Times New Roman"/>
          <w:color w:val="000000"/>
        </w:rPr>
      </w:pPr>
      <w:r w:rsidRPr="00042671">
        <w:rPr>
          <w:rFonts w:ascii="Verdana" w:eastAsia="Calibri" w:hAnsi="Verdana" w:cs="Times New Roman"/>
          <w:color w:val="000000"/>
        </w:rPr>
        <w:t xml:space="preserve">Por último, lo invitamos a seguirnos en las redes sociales en las cuales se difunde información institucional: </w:t>
      </w:r>
    </w:p>
    <w:p w14:paraId="3152734E" w14:textId="77777777" w:rsidR="00AA3E73" w:rsidRPr="00042671" w:rsidRDefault="00AA3E73" w:rsidP="007D13BE">
      <w:pPr>
        <w:spacing w:after="0" w:line="276" w:lineRule="auto"/>
        <w:jc w:val="both"/>
        <w:rPr>
          <w:rFonts w:ascii="Verdana" w:eastAsia="Calibri" w:hAnsi="Verdana" w:cs="Times New Roman"/>
          <w:color w:val="000000"/>
        </w:rPr>
      </w:pPr>
    </w:p>
    <w:p w14:paraId="431E578C" w14:textId="77777777" w:rsidR="00AA3E73" w:rsidRPr="00042671" w:rsidRDefault="00AA3E73" w:rsidP="007D13BE">
      <w:pPr>
        <w:spacing w:after="0" w:line="276" w:lineRule="auto"/>
        <w:jc w:val="both"/>
        <w:rPr>
          <w:rFonts w:ascii="Verdana" w:eastAsia="Calibri" w:hAnsi="Verdana" w:cs="Times New Roman"/>
          <w:color w:val="000000"/>
        </w:rPr>
      </w:pPr>
      <w:r w:rsidRPr="00042671">
        <w:rPr>
          <w:rFonts w:ascii="Verdana" w:eastAsia="Calibri" w:hAnsi="Verdana" w:cs="Times New Roman"/>
          <w:color w:val="000000"/>
        </w:rPr>
        <w:t xml:space="preserve">Twitter: </w:t>
      </w:r>
      <w:r w:rsidRPr="00042671">
        <w:rPr>
          <w:rFonts w:ascii="Verdana" w:eastAsia="Calibri" w:hAnsi="Verdana" w:cs="Times New Roman"/>
          <w:color w:val="000000"/>
          <w:u w:val="single"/>
        </w:rPr>
        <w:t>@colombiacompra</w:t>
      </w:r>
      <w:r w:rsidRPr="00042671">
        <w:rPr>
          <w:rFonts w:ascii="Verdana" w:eastAsia="Calibri" w:hAnsi="Verdana" w:cs="Times New Roman"/>
          <w:color w:val="000000"/>
        </w:rPr>
        <w:t xml:space="preserve"> </w:t>
      </w:r>
    </w:p>
    <w:p w14:paraId="7E116907" w14:textId="77777777" w:rsidR="00AA3E73" w:rsidRPr="00042671" w:rsidRDefault="00AA3E73" w:rsidP="007D13BE">
      <w:pPr>
        <w:spacing w:after="0" w:line="276" w:lineRule="auto"/>
        <w:jc w:val="both"/>
        <w:rPr>
          <w:rFonts w:ascii="Verdana" w:eastAsia="Calibri" w:hAnsi="Verdana" w:cs="Times New Roman"/>
          <w:color w:val="000000"/>
        </w:rPr>
      </w:pPr>
      <w:r w:rsidRPr="00042671">
        <w:rPr>
          <w:rFonts w:ascii="Verdana" w:eastAsia="Calibri" w:hAnsi="Verdana" w:cs="Times New Roman"/>
          <w:color w:val="000000"/>
        </w:rPr>
        <w:t xml:space="preserve">Facebook: </w:t>
      </w:r>
      <w:proofErr w:type="spellStart"/>
      <w:r w:rsidRPr="00042671">
        <w:rPr>
          <w:rFonts w:ascii="Verdana" w:eastAsia="Calibri" w:hAnsi="Verdana" w:cs="Times New Roman"/>
          <w:color w:val="000000"/>
          <w:u w:val="single"/>
        </w:rPr>
        <w:t>ColombiaCompraEficiente</w:t>
      </w:r>
      <w:proofErr w:type="spellEnd"/>
    </w:p>
    <w:p w14:paraId="7CF72335" w14:textId="77777777" w:rsidR="00AA3E73" w:rsidRPr="00042671" w:rsidRDefault="00AA3E73" w:rsidP="007D13BE">
      <w:pPr>
        <w:spacing w:after="0" w:line="276" w:lineRule="auto"/>
        <w:jc w:val="both"/>
        <w:rPr>
          <w:rFonts w:ascii="Verdana" w:eastAsia="Calibri" w:hAnsi="Verdana" w:cs="Times New Roman"/>
          <w:color w:val="000000"/>
        </w:rPr>
      </w:pPr>
      <w:r w:rsidRPr="00042671">
        <w:rPr>
          <w:rFonts w:ascii="Verdana" w:eastAsia="Calibri" w:hAnsi="Verdana" w:cs="Times New Roman"/>
          <w:color w:val="000000"/>
        </w:rPr>
        <w:t xml:space="preserve">LinkedIn: </w:t>
      </w:r>
      <w:r w:rsidRPr="00042671">
        <w:rPr>
          <w:rFonts w:ascii="Verdana" w:eastAsia="Calibri" w:hAnsi="Verdana" w:cs="Times New Roman"/>
          <w:color w:val="000000"/>
          <w:u w:val="single"/>
        </w:rPr>
        <w:t>Agencia Nacional de Contratación Pública - Colombia Compra Eficiente</w:t>
      </w:r>
      <w:r w:rsidRPr="00042671">
        <w:rPr>
          <w:rFonts w:ascii="Verdana" w:eastAsia="Calibri" w:hAnsi="Verdana" w:cs="Times New Roman"/>
          <w:color w:val="000000"/>
        </w:rPr>
        <w:t xml:space="preserve"> Instagram: </w:t>
      </w:r>
      <w:r w:rsidRPr="00042671">
        <w:rPr>
          <w:rFonts w:ascii="Verdana" w:eastAsia="Calibri" w:hAnsi="Verdana" w:cs="Times New Roman"/>
          <w:color w:val="000000"/>
          <w:u w:val="single"/>
        </w:rPr>
        <w:t>@colombiacompraeficiente_cce</w:t>
      </w:r>
    </w:p>
    <w:p w14:paraId="300E9739" w14:textId="77777777" w:rsidR="00AA3E73" w:rsidRPr="00042671" w:rsidRDefault="00AA3E73" w:rsidP="00AA3E73">
      <w:pPr>
        <w:widowControl w:val="0"/>
        <w:autoSpaceDE w:val="0"/>
        <w:autoSpaceDN w:val="0"/>
        <w:spacing w:after="0" w:line="276" w:lineRule="auto"/>
        <w:jc w:val="both"/>
        <w:rPr>
          <w:rFonts w:ascii="Verdana" w:eastAsia="Calibri" w:hAnsi="Verdana" w:cs="Arial"/>
          <w:color w:val="000000"/>
        </w:rPr>
      </w:pPr>
    </w:p>
    <w:p w14:paraId="3ACC3FFF" w14:textId="77777777" w:rsidR="00AA3E73" w:rsidRPr="00042671" w:rsidRDefault="00AA3E73" w:rsidP="00AA3E73">
      <w:pPr>
        <w:widowControl w:val="0"/>
        <w:autoSpaceDE w:val="0"/>
        <w:autoSpaceDN w:val="0"/>
        <w:spacing w:after="0" w:line="276" w:lineRule="auto"/>
        <w:jc w:val="both"/>
        <w:rPr>
          <w:rFonts w:ascii="Verdana" w:eastAsia="Calibri" w:hAnsi="Verdana" w:cs="Arial"/>
          <w:color w:val="000000"/>
          <w:lang w:val="es-ES_tradnl"/>
        </w:rPr>
      </w:pPr>
      <w:r w:rsidRPr="00042671">
        <w:rPr>
          <w:rFonts w:ascii="Verdana" w:eastAsia="Calibri" w:hAnsi="Verdana" w:cs="Arial"/>
          <w:color w:val="000000"/>
        </w:rPr>
        <w:t xml:space="preserve">Este concepto tiene el alcance previsto en el artículo 28 del Código de Procedimiento Administrativo y de lo Contencioso Administrativo </w:t>
      </w:r>
      <w:r w:rsidRPr="00042671">
        <w:rPr>
          <w:rFonts w:ascii="Verdana" w:eastAsia="Calibri" w:hAnsi="Verdana" w:cs="Arial"/>
          <w:color w:val="000000"/>
          <w:lang w:val="es-ES_tradnl"/>
        </w:rPr>
        <w:t>y las expresiones aquí utilizadas con mayúscula inicial deben ser entendidas con el significado que les otorga el artículo 2.2.1.1.1.3.1. del Decreto 1082 de 2015.</w:t>
      </w:r>
    </w:p>
    <w:p w14:paraId="48BFEEC1" w14:textId="77777777" w:rsidR="00AA3E73" w:rsidRPr="00042671" w:rsidRDefault="00AA3E73" w:rsidP="00AA3E73">
      <w:pPr>
        <w:widowControl w:val="0"/>
        <w:autoSpaceDE w:val="0"/>
        <w:autoSpaceDN w:val="0"/>
        <w:spacing w:after="0" w:line="276" w:lineRule="auto"/>
        <w:jc w:val="both"/>
        <w:rPr>
          <w:rFonts w:ascii="Verdana" w:eastAsia="Calibri" w:hAnsi="Verdana" w:cs="Arial"/>
          <w:color w:val="000000"/>
        </w:rPr>
      </w:pPr>
    </w:p>
    <w:p w14:paraId="06374925" w14:textId="77777777" w:rsidR="00AA3E73" w:rsidRPr="00042671" w:rsidRDefault="00AA3E73" w:rsidP="007D13BE">
      <w:pPr>
        <w:spacing w:after="0" w:line="276" w:lineRule="auto"/>
        <w:rPr>
          <w:rFonts w:ascii="Verdana" w:eastAsia="Calibri" w:hAnsi="Verdana" w:cs="Arial"/>
          <w:color w:val="000000"/>
          <w:lang w:eastAsia="es-CO"/>
        </w:rPr>
      </w:pPr>
      <w:r w:rsidRPr="00042671">
        <w:rPr>
          <w:rFonts w:ascii="Verdana" w:eastAsia="Times New Roman" w:hAnsi="Verdana" w:cs="Arial"/>
          <w:color w:val="000000"/>
          <w:lang w:eastAsia="es-CO"/>
        </w:rPr>
        <w:t>Atentamente,</w:t>
      </w:r>
      <w:r w:rsidRPr="00042671">
        <w:rPr>
          <w:rFonts w:ascii="Verdana" w:eastAsia="Calibri" w:hAnsi="Verdana" w:cs="Arial"/>
          <w:color w:val="000000"/>
          <w:lang w:eastAsia="es-CO"/>
        </w:rPr>
        <w:t xml:space="preserve"> </w:t>
      </w:r>
    </w:p>
    <w:p w14:paraId="1F43E31C" w14:textId="77777777" w:rsidR="0001184D" w:rsidRDefault="0001184D" w:rsidP="00AA3E73">
      <w:pPr>
        <w:spacing w:line="276" w:lineRule="auto"/>
        <w:jc w:val="center"/>
        <w:rPr>
          <w:rFonts w:ascii="Verdana" w:eastAsia="Calibri" w:hAnsi="Verdana" w:cs="Times New Roman"/>
          <w:noProof/>
          <w:color w:val="000000"/>
        </w:rPr>
      </w:pPr>
    </w:p>
    <w:p w14:paraId="11FDBA8E" w14:textId="212C3D0B" w:rsidR="00AA3E73" w:rsidRPr="00042671" w:rsidRDefault="00FB7957" w:rsidP="00AA3E73">
      <w:pPr>
        <w:spacing w:line="276" w:lineRule="auto"/>
        <w:jc w:val="center"/>
        <w:rPr>
          <w:rFonts w:ascii="Verdana" w:eastAsia="Calibri" w:hAnsi="Verdana" w:cs="Arial"/>
          <w:color w:val="000000"/>
          <w:lang w:val="es-ES_tradnl" w:eastAsia="es-CO"/>
        </w:rPr>
      </w:pPr>
      <w:r w:rsidRPr="004D5C25">
        <w:rPr>
          <w:rFonts w:ascii="Century Gothic" w:hAnsi="Century Gothic"/>
          <w:noProof/>
        </w:rPr>
        <w:drawing>
          <wp:inline distT="0" distB="0" distL="0" distR="0" wp14:anchorId="392EA637" wp14:editId="4DAB4FF1">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5"/>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81A15" w:rsidRPr="00115E3D" w14:paraId="4C65350F" w14:textId="77777777" w:rsidTr="005C1A1D">
        <w:trPr>
          <w:trHeight w:val="315"/>
        </w:trPr>
        <w:tc>
          <w:tcPr>
            <w:tcW w:w="893" w:type="dxa"/>
            <w:vAlign w:val="center"/>
            <w:hideMark/>
          </w:tcPr>
          <w:p w14:paraId="788BC569" w14:textId="77777777" w:rsidR="00281A15" w:rsidRPr="00115E3D" w:rsidRDefault="00281A15" w:rsidP="005C1A1D">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5214D0D" w14:textId="77777777" w:rsidR="00281A15" w:rsidRPr="001B2D15" w:rsidRDefault="00281A15" w:rsidP="005C1A1D">
            <w:pPr>
              <w:contextualSpacing/>
              <w:rPr>
                <w:rFonts w:ascii="Verdana" w:eastAsia="Arial" w:hAnsi="Verdana" w:cs="Arial"/>
                <w:color w:val="000000" w:themeColor="text1"/>
                <w:sz w:val="14"/>
                <w:szCs w:val="14"/>
              </w:rPr>
            </w:pPr>
            <w:r w:rsidRPr="001B2D15">
              <w:rPr>
                <w:rFonts w:ascii="Verdana" w:eastAsia="Arial" w:hAnsi="Verdana" w:cs="Arial"/>
                <w:color w:val="000000" w:themeColor="text1"/>
                <w:sz w:val="14"/>
                <w:szCs w:val="14"/>
              </w:rPr>
              <w:t>A</w:t>
            </w:r>
            <w:r w:rsidRPr="001B2D15">
              <w:rPr>
                <w:rFonts w:ascii="Verdana" w:eastAsia="Arial" w:hAnsi="Verdana" w:cs="Arial"/>
                <w:sz w:val="14"/>
                <w:szCs w:val="14"/>
              </w:rPr>
              <w:t xml:space="preserve">ndreina Cerpa Muñoz </w:t>
            </w:r>
          </w:p>
          <w:p w14:paraId="0995A19A" w14:textId="77777777" w:rsidR="00281A15" w:rsidRPr="001B2D15" w:rsidRDefault="00281A15" w:rsidP="005C1A1D">
            <w:pPr>
              <w:contextualSpacing/>
              <w:rPr>
                <w:rFonts w:ascii="Verdana" w:eastAsia="Arial" w:hAnsi="Verdana" w:cs="Arial"/>
                <w:color w:val="000000" w:themeColor="text1"/>
                <w:sz w:val="14"/>
                <w:szCs w:val="14"/>
              </w:rPr>
            </w:pPr>
            <w:r w:rsidRPr="001B2D15">
              <w:rPr>
                <w:rStyle w:val="normaltextrun"/>
                <w:rFonts w:ascii="Verdana" w:eastAsia="Arial" w:hAnsi="Verdana" w:cs="Arial"/>
                <w:color w:val="000000" w:themeColor="text1"/>
                <w:sz w:val="14"/>
                <w:szCs w:val="14"/>
              </w:rPr>
              <w:t>Analista T2-02 de la Subdirección de Gestión Contractual</w:t>
            </w:r>
          </w:p>
        </w:tc>
      </w:tr>
      <w:tr w:rsidR="00281A15" w:rsidRPr="00115E3D" w14:paraId="523C284D" w14:textId="77777777" w:rsidTr="005C1A1D">
        <w:trPr>
          <w:trHeight w:val="330"/>
        </w:trPr>
        <w:tc>
          <w:tcPr>
            <w:tcW w:w="893" w:type="dxa"/>
            <w:vAlign w:val="center"/>
            <w:hideMark/>
          </w:tcPr>
          <w:p w14:paraId="61B16F6B" w14:textId="77777777" w:rsidR="00281A15" w:rsidRPr="00115E3D" w:rsidRDefault="00281A15" w:rsidP="005C1A1D">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F0C3615" w14:textId="77777777" w:rsidR="00281A15" w:rsidRPr="001B2D15" w:rsidRDefault="00281A15" w:rsidP="005C1A1D">
            <w:pPr>
              <w:pStyle w:val="paragraph"/>
              <w:spacing w:before="0" w:beforeAutospacing="0" w:after="0" w:afterAutospacing="0"/>
              <w:contextualSpacing/>
              <w:textAlignment w:val="baseline"/>
              <w:rPr>
                <w:rFonts w:ascii="Verdana" w:hAnsi="Verdana" w:cs="Segoe UI"/>
                <w:color w:val="000000" w:themeColor="text1"/>
                <w:sz w:val="14"/>
                <w:szCs w:val="14"/>
              </w:rPr>
            </w:pPr>
            <w:r>
              <w:rPr>
                <w:rFonts w:ascii="Verdana" w:hAnsi="Verdana" w:cs="Segoe UI"/>
                <w:color w:val="000000" w:themeColor="text1"/>
                <w:sz w:val="14"/>
                <w:szCs w:val="14"/>
              </w:rPr>
              <w:t xml:space="preserve">Diana Lucia Saavedra Castañeda </w:t>
            </w:r>
          </w:p>
          <w:p w14:paraId="4283B824" w14:textId="77777777" w:rsidR="00281A15" w:rsidRPr="001B2D15" w:rsidRDefault="00281A15" w:rsidP="005C1A1D">
            <w:pPr>
              <w:pStyle w:val="paragraph"/>
              <w:spacing w:before="0" w:beforeAutospacing="0" w:after="0" w:afterAutospacing="0"/>
              <w:contextualSpacing/>
              <w:textAlignment w:val="baseline"/>
              <w:rPr>
                <w:rFonts w:ascii="Verdana" w:hAnsi="Verdana" w:cs="Segoe UI"/>
                <w:color w:val="000000" w:themeColor="text1"/>
                <w:sz w:val="14"/>
                <w:szCs w:val="14"/>
              </w:rPr>
            </w:pPr>
            <w:r w:rsidRPr="001B2D15">
              <w:rPr>
                <w:rStyle w:val="normaltextrun"/>
                <w:rFonts w:ascii="Verdana" w:hAnsi="Verdana" w:cs="Arial"/>
                <w:color w:val="000000" w:themeColor="text1"/>
                <w:sz w:val="14"/>
                <w:szCs w:val="14"/>
                <w:lang w:val="es-ES"/>
              </w:rPr>
              <w:t>Contratista de la Subdirección de Gestión Contractual</w:t>
            </w:r>
            <w:r w:rsidRPr="001B2D15">
              <w:rPr>
                <w:rStyle w:val="eop"/>
                <w:rFonts w:ascii="Verdana" w:hAnsi="Verdana" w:cs="Arial"/>
                <w:color w:val="000000" w:themeColor="text1"/>
                <w:sz w:val="14"/>
                <w:szCs w:val="14"/>
              </w:rPr>
              <w:t> </w:t>
            </w:r>
          </w:p>
        </w:tc>
      </w:tr>
      <w:tr w:rsidR="00281A15" w:rsidRPr="00115E3D" w14:paraId="4D3EBF29" w14:textId="77777777" w:rsidTr="005C1A1D">
        <w:trPr>
          <w:trHeight w:val="70"/>
        </w:trPr>
        <w:tc>
          <w:tcPr>
            <w:tcW w:w="893" w:type="dxa"/>
            <w:vAlign w:val="center"/>
          </w:tcPr>
          <w:p w14:paraId="68E2E90A" w14:textId="77777777" w:rsidR="00281A15" w:rsidRPr="00115E3D" w:rsidRDefault="00281A15" w:rsidP="005C1A1D">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4130104" w14:textId="77777777" w:rsidR="00281A15" w:rsidRPr="00E331B0" w:rsidRDefault="00281A15" w:rsidP="005C1A1D">
            <w:pPr>
              <w:contextualSpacing/>
              <w:rPr>
                <w:rFonts w:ascii="Verdana" w:eastAsia="Calibri" w:hAnsi="Verdana" w:cs="Arial"/>
                <w:sz w:val="14"/>
                <w:szCs w:val="14"/>
                <w:lang w:val="pt-BR" w:eastAsia="es-ES"/>
              </w:rPr>
            </w:pPr>
            <w:r w:rsidRPr="00E331B0">
              <w:rPr>
                <w:rFonts w:ascii="Verdana" w:eastAsia="Calibri" w:hAnsi="Verdana" w:cs="Arial"/>
                <w:sz w:val="14"/>
                <w:szCs w:val="14"/>
                <w:lang w:val="pt-BR" w:eastAsia="es-ES"/>
              </w:rPr>
              <w:t xml:space="preserve">Carolina Quintero </w:t>
            </w:r>
            <w:proofErr w:type="spellStart"/>
            <w:r w:rsidRPr="00E331B0">
              <w:rPr>
                <w:rFonts w:ascii="Verdana" w:eastAsia="Calibri" w:hAnsi="Verdana" w:cs="Arial"/>
                <w:sz w:val="14"/>
                <w:szCs w:val="14"/>
                <w:lang w:val="pt-BR" w:eastAsia="es-ES"/>
              </w:rPr>
              <w:t>Gacharná</w:t>
            </w:r>
            <w:proofErr w:type="spellEnd"/>
          </w:p>
          <w:p w14:paraId="481AF53B" w14:textId="77777777" w:rsidR="00281A15" w:rsidRPr="001B2D15" w:rsidRDefault="00281A15" w:rsidP="005C1A1D">
            <w:pPr>
              <w:contextualSpacing/>
              <w:rPr>
                <w:rFonts w:ascii="Verdana" w:eastAsia="Calibri" w:hAnsi="Verdana" w:cs="Arial"/>
                <w:color w:val="000000" w:themeColor="text1"/>
                <w:sz w:val="14"/>
                <w:szCs w:val="14"/>
                <w:lang w:val="pt-BR" w:eastAsia="es-ES"/>
              </w:rPr>
            </w:pPr>
            <w:r w:rsidRPr="00E331B0">
              <w:rPr>
                <w:rFonts w:ascii="Verdana" w:eastAsia="Calibri" w:hAnsi="Verdana" w:cs="Arial"/>
                <w:sz w:val="14"/>
                <w:szCs w:val="14"/>
                <w:lang w:eastAsia="es-ES"/>
              </w:rPr>
              <w:t>Subdirectora</w:t>
            </w:r>
            <w:r w:rsidRPr="00E331B0">
              <w:rPr>
                <w:rFonts w:ascii="Verdana" w:eastAsia="Calibri" w:hAnsi="Verdana" w:cs="Arial"/>
                <w:sz w:val="14"/>
                <w:szCs w:val="14"/>
                <w:lang w:val="pt-BR" w:eastAsia="es-ES"/>
              </w:rPr>
              <w:t xml:space="preserve"> de Gestión </w:t>
            </w:r>
            <w:proofErr w:type="spellStart"/>
            <w:r w:rsidRPr="00E331B0">
              <w:rPr>
                <w:rFonts w:ascii="Verdana" w:eastAsia="Calibri" w:hAnsi="Verdana" w:cs="Arial"/>
                <w:sz w:val="14"/>
                <w:szCs w:val="14"/>
                <w:lang w:val="pt-BR" w:eastAsia="es-ES"/>
              </w:rPr>
              <w:t>Contractual</w:t>
            </w:r>
            <w:proofErr w:type="spellEnd"/>
            <w:r w:rsidRPr="00E331B0">
              <w:rPr>
                <w:rFonts w:ascii="Verdana" w:eastAsia="Calibri" w:hAnsi="Verdana" w:cs="Arial"/>
                <w:sz w:val="14"/>
                <w:szCs w:val="14"/>
                <w:lang w:val="pt-BR" w:eastAsia="es-ES"/>
              </w:rPr>
              <w:t xml:space="preserve"> ANCP – CCE</w:t>
            </w:r>
          </w:p>
        </w:tc>
      </w:tr>
    </w:tbl>
    <w:p w14:paraId="3900974D" w14:textId="77777777" w:rsidR="003D5B0D" w:rsidRPr="00864EB4" w:rsidRDefault="003D5B0D" w:rsidP="00864EB4"/>
    <w:sectPr w:rsidR="003D5B0D" w:rsidRPr="00864EB4"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A2F6B" w14:textId="77777777" w:rsidR="0005023E" w:rsidRDefault="0005023E" w:rsidP="004A1847">
      <w:pPr>
        <w:spacing w:after="0" w:line="240" w:lineRule="auto"/>
      </w:pPr>
      <w:r>
        <w:separator/>
      </w:r>
    </w:p>
  </w:endnote>
  <w:endnote w:type="continuationSeparator" w:id="0">
    <w:p w14:paraId="7B3CF2B6" w14:textId="77777777" w:rsidR="0005023E" w:rsidRDefault="0005023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T Serif">
    <w:charset w:val="00"/>
    <w:family w:val="roman"/>
    <w:pitch w:val="variable"/>
    <w:sig w:usb0="A00002EF" w:usb1="5000204B" w:usb2="00000000" w:usb3="00000000" w:csb0="00000097"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default"/>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70414" w14:textId="77777777" w:rsidR="0005023E" w:rsidRDefault="0005023E" w:rsidP="004A1847">
      <w:pPr>
        <w:spacing w:after="0" w:line="240" w:lineRule="auto"/>
      </w:pPr>
      <w:r>
        <w:separator/>
      </w:r>
    </w:p>
  </w:footnote>
  <w:footnote w:type="continuationSeparator" w:id="0">
    <w:p w14:paraId="08FFAC15" w14:textId="77777777" w:rsidR="0005023E" w:rsidRDefault="0005023E" w:rsidP="004A1847">
      <w:pPr>
        <w:spacing w:after="0" w:line="240" w:lineRule="auto"/>
      </w:pPr>
      <w:r>
        <w:continuationSeparator/>
      </w:r>
    </w:p>
  </w:footnote>
  <w:footnote w:id="1">
    <w:p w14:paraId="62B3A270" w14:textId="77777777" w:rsidR="00AA3E73" w:rsidRPr="007D13BE" w:rsidRDefault="00AA3E73" w:rsidP="007D13BE">
      <w:pPr>
        <w:pStyle w:val="Car1"/>
        <w:ind w:firstLine="709"/>
        <w:jc w:val="both"/>
        <w:rPr>
          <w:rFonts w:ascii="Verdana" w:hAnsi="Verdana"/>
          <w:sz w:val="14"/>
          <w:szCs w:val="14"/>
        </w:rPr>
      </w:pPr>
      <w:r w:rsidRPr="007D13BE">
        <w:rPr>
          <w:rStyle w:val="Refdenotaalpie"/>
          <w:rFonts w:ascii="Verdana" w:hAnsi="Verdana"/>
          <w:sz w:val="14"/>
          <w:szCs w:val="14"/>
        </w:rPr>
        <w:footnoteRef/>
      </w:r>
      <w:r w:rsidRPr="007D13BE">
        <w:rPr>
          <w:rFonts w:ascii="Verdana" w:hAnsi="Verdana"/>
          <w:sz w:val="14"/>
          <w:szCs w:val="14"/>
        </w:rPr>
        <w:t xml:space="preserve"> Agencia Nacional de Contratación Pública – Colombia Compra Eficiente. Concepto C-285 del 20 de mayo de 2022. Consultar en: </w:t>
      </w:r>
      <w:hyperlink r:id="rId1" w:history="1">
        <w:r w:rsidRPr="007D13BE">
          <w:rPr>
            <w:rStyle w:val="Hipervnculo1"/>
            <w:rFonts w:ascii="Verdana" w:hAnsi="Verdana"/>
            <w:sz w:val="14"/>
            <w:szCs w:val="14"/>
          </w:rPr>
          <w:t>https://relatoria.colombiacompra.gov.co/conceptos/c-285-de-2022/</w:t>
        </w:r>
      </w:hyperlink>
    </w:p>
    <w:p w14:paraId="206B7E54" w14:textId="77777777" w:rsidR="00AA3E73" w:rsidRPr="007D13BE" w:rsidRDefault="00AA3E73" w:rsidP="007D13BE">
      <w:pPr>
        <w:pStyle w:val="Car1"/>
        <w:ind w:firstLine="709"/>
        <w:jc w:val="both"/>
        <w:rPr>
          <w:rFonts w:ascii="Verdana" w:hAnsi="Verdana"/>
          <w:sz w:val="14"/>
          <w:szCs w:val="14"/>
          <w:lang w:val="es-CO"/>
        </w:rPr>
      </w:pPr>
      <w:r w:rsidRPr="007D13BE">
        <w:rPr>
          <w:rFonts w:ascii="Verdana" w:hAnsi="Verdana"/>
          <w:sz w:val="14"/>
          <w:szCs w:val="14"/>
        </w:rPr>
        <w:t xml:space="preserve"> </w:t>
      </w:r>
    </w:p>
  </w:footnote>
  <w:footnote w:id="2">
    <w:p w14:paraId="56DA159C" w14:textId="77777777" w:rsidR="00AA3E73" w:rsidRPr="007D13BE" w:rsidRDefault="00AA3E73" w:rsidP="007D13BE">
      <w:pPr>
        <w:pStyle w:val="Car1"/>
        <w:ind w:firstLine="709"/>
        <w:jc w:val="both"/>
        <w:rPr>
          <w:rFonts w:ascii="Verdana" w:hAnsi="Verdana"/>
          <w:sz w:val="14"/>
          <w:szCs w:val="14"/>
        </w:rPr>
      </w:pPr>
      <w:r w:rsidRPr="007D13BE">
        <w:rPr>
          <w:rStyle w:val="Refdenotaalpie"/>
          <w:rFonts w:ascii="Verdana" w:hAnsi="Verdana"/>
          <w:sz w:val="14"/>
          <w:szCs w:val="14"/>
        </w:rPr>
        <w:footnoteRef/>
      </w:r>
      <w:r w:rsidRPr="007D13BE">
        <w:rPr>
          <w:rFonts w:ascii="Verdana" w:hAnsi="Verdana"/>
          <w:sz w:val="14"/>
          <w:szCs w:val="14"/>
        </w:rPr>
        <w:t xml:space="preserve"> Agencia Nacional de Contratación Pública – Colombia Compra Eficiente. Concepto C-447 del 19 de septiembre de 2024. Consultar en: </w:t>
      </w:r>
      <w:hyperlink r:id="rId2" w:history="1">
        <w:r w:rsidRPr="007D13BE">
          <w:rPr>
            <w:rStyle w:val="Hipervnculo1"/>
            <w:rFonts w:ascii="Verdana" w:hAnsi="Verdana"/>
            <w:sz w:val="14"/>
            <w:szCs w:val="14"/>
          </w:rPr>
          <w:t>https://relatoria.colombiacompra.gov.co/conceptos/c-447-de-2024/</w:t>
        </w:r>
      </w:hyperlink>
      <w:r w:rsidRPr="007D13BE">
        <w:rPr>
          <w:rFonts w:ascii="Verdana" w:hAnsi="Verdana"/>
          <w:sz w:val="14"/>
          <w:szCs w:val="14"/>
        </w:rPr>
        <w:t xml:space="preserve"> </w:t>
      </w:r>
    </w:p>
    <w:p w14:paraId="077BEB40" w14:textId="77777777" w:rsidR="00AA3E73" w:rsidRPr="007D13BE" w:rsidRDefault="00AA3E73" w:rsidP="007D13BE">
      <w:pPr>
        <w:pStyle w:val="Car1"/>
        <w:ind w:firstLine="709"/>
        <w:jc w:val="both"/>
        <w:rPr>
          <w:rFonts w:ascii="Verdana" w:hAnsi="Verdana"/>
          <w:sz w:val="14"/>
          <w:szCs w:val="14"/>
        </w:rPr>
      </w:pPr>
    </w:p>
  </w:footnote>
  <w:footnote w:id="3">
    <w:p w14:paraId="37FCA71B" w14:textId="77777777" w:rsidR="00AA3E73" w:rsidRPr="00933040" w:rsidRDefault="00AA3E73" w:rsidP="00AA3E73">
      <w:pPr>
        <w:pStyle w:val="Car1"/>
        <w:ind w:firstLine="709"/>
        <w:jc w:val="both"/>
        <w:rPr>
          <w:rFonts w:ascii="Verdana" w:hAnsi="Verdana" w:cs="Arial"/>
          <w:color w:val="000000"/>
          <w:sz w:val="14"/>
          <w:szCs w:val="14"/>
        </w:rPr>
      </w:pPr>
      <w:r w:rsidRPr="00933040">
        <w:rPr>
          <w:rStyle w:val="Refdenotaalpie"/>
          <w:rFonts w:ascii="Verdana" w:hAnsi="Verdana" w:cs="Arial"/>
          <w:color w:val="000000"/>
          <w:sz w:val="14"/>
          <w:szCs w:val="14"/>
        </w:rPr>
        <w:footnoteRef/>
      </w:r>
      <w:r w:rsidRPr="00933040">
        <w:rPr>
          <w:rStyle w:val="Refdenotaalpie"/>
          <w:rFonts w:ascii="Verdana" w:hAnsi="Verdana" w:cs="Arial"/>
          <w:color w:val="000000"/>
          <w:sz w:val="14"/>
          <w:szCs w:val="14"/>
        </w:rPr>
        <w:t xml:space="preserve"> </w:t>
      </w:r>
      <w:r w:rsidRPr="00933040">
        <w:rPr>
          <w:rFonts w:ascii="Verdana" w:hAnsi="Verdana" w:cs="Arial"/>
          <w:color w:val="000000"/>
          <w:sz w:val="14"/>
          <w:szCs w:val="14"/>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p w14:paraId="72A37AC4" w14:textId="77777777" w:rsidR="00AA3E73" w:rsidRPr="007D13BE" w:rsidRDefault="00AA3E73" w:rsidP="00AA3E73">
      <w:pPr>
        <w:pStyle w:val="Car1"/>
        <w:ind w:firstLine="709"/>
        <w:jc w:val="both"/>
        <w:rPr>
          <w:rFonts w:ascii="Verdana" w:hAnsi="Verdana" w:cs="Arial"/>
          <w:color w:val="000000"/>
          <w:sz w:val="14"/>
          <w:szCs w:val="14"/>
        </w:rPr>
      </w:pPr>
    </w:p>
  </w:footnote>
  <w:footnote w:id="4">
    <w:p w14:paraId="04A9A7BE" w14:textId="77777777" w:rsidR="00AA3E73" w:rsidRPr="00933040" w:rsidRDefault="00AA3E73" w:rsidP="00AA3E73">
      <w:pPr>
        <w:pStyle w:val="Car1"/>
        <w:ind w:firstLine="709"/>
        <w:jc w:val="both"/>
        <w:rPr>
          <w:rFonts w:ascii="Verdana" w:hAnsi="Verdana" w:cs="Arial"/>
          <w:color w:val="000000"/>
          <w:sz w:val="14"/>
          <w:szCs w:val="14"/>
        </w:rPr>
      </w:pPr>
      <w:r w:rsidRPr="00933040">
        <w:rPr>
          <w:rStyle w:val="Refdenotaalpie"/>
          <w:rFonts w:ascii="Verdana" w:hAnsi="Verdana" w:cs="Arial"/>
          <w:color w:val="000000"/>
          <w:sz w:val="14"/>
          <w:szCs w:val="14"/>
        </w:rPr>
        <w:footnoteRef/>
      </w:r>
      <w:r w:rsidRPr="00933040">
        <w:rPr>
          <w:rFonts w:ascii="Verdana" w:hAnsi="Verdana" w:cs="Arial"/>
          <w:color w:val="000000"/>
          <w:sz w:val="14"/>
          <w:szCs w:val="14"/>
        </w:rPr>
        <w:t xml:space="preserve"> Sin embargo, debe tenerse en cuenta que la última norma en cita -Decreto 2474 de 2008, aparte subrayado-, establece un límite a la </w:t>
      </w:r>
      <w:proofErr w:type="spellStart"/>
      <w:r w:rsidRPr="00933040">
        <w:rPr>
          <w:rFonts w:ascii="Verdana" w:hAnsi="Verdana" w:cs="Arial"/>
          <w:color w:val="000000"/>
          <w:sz w:val="14"/>
          <w:szCs w:val="14"/>
        </w:rPr>
        <w:t>subsanabilidad</w:t>
      </w:r>
      <w:proofErr w:type="spellEnd"/>
      <w:r w:rsidRPr="00933040">
        <w:rPr>
          <w:rFonts w:ascii="Verdana" w:hAnsi="Verdana" w:cs="Arial"/>
          <w:color w:val="000000"/>
          <w:sz w:val="14"/>
          <w:szCs w:val="14"/>
        </w:rPr>
        <w:t>, puesto que en cualquier caso debe referirse o recaer sobre circunstancias ocurridas antes del cierre del respectivo proceso, esto es, del vencimiento del plazo para presentar ofertas.</w:t>
      </w:r>
    </w:p>
    <w:p w14:paraId="7B94E548" w14:textId="77777777" w:rsidR="00AA3E73" w:rsidRPr="00933040" w:rsidRDefault="00AA3E73" w:rsidP="00AA3E73">
      <w:pPr>
        <w:pStyle w:val="Car1"/>
        <w:ind w:firstLine="709"/>
        <w:jc w:val="both"/>
        <w:rPr>
          <w:rFonts w:ascii="Verdana" w:hAnsi="Verdana" w:cs="Arial"/>
          <w:color w:val="000000"/>
          <w:sz w:val="14"/>
          <w:szCs w:val="14"/>
        </w:rPr>
      </w:pPr>
      <w:r w:rsidRPr="00933040">
        <w:rPr>
          <w:rFonts w:ascii="Verdana" w:hAnsi="Verdana" w:cs="Arial"/>
          <w:color w:val="000000"/>
          <w:sz w:val="14"/>
          <w:szCs w:val="14"/>
        </w:rPr>
        <w:t xml:space="preserve">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w:t>
      </w:r>
      <w:proofErr w:type="gramStart"/>
      <w:r w:rsidRPr="00933040">
        <w:rPr>
          <w:rFonts w:ascii="Verdana" w:hAnsi="Verdana" w:cs="Arial"/>
          <w:color w:val="000000"/>
          <w:sz w:val="14"/>
          <w:szCs w:val="14"/>
        </w:rPr>
        <w:t>la misma</w:t>
      </w:r>
      <w:proofErr w:type="gramEnd"/>
      <w:r w:rsidRPr="00933040">
        <w:rPr>
          <w:rFonts w:ascii="Verdana" w:hAnsi="Verdana" w:cs="Arial"/>
          <w:color w:val="000000"/>
          <w:sz w:val="14"/>
          <w:szCs w:val="14"/>
        </w:rPr>
        <w:t xml:space="preserve">,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w:t>
      </w:r>
      <w:proofErr w:type="gramStart"/>
      <w:r w:rsidRPr="00933040">
        <w:rPr>
          <w:rFonts w:ascii="Verdana" w:hAnsi="Verdana" w:cs="Arial"/>
          <w:color w:val="000000"/>
          <w:sz w:val="14"/>
          <w:szCs w:val="14"/>
        </w:rPr>
        <w:t>del mismo</w:t>
      </w:r>
      <w:proofErr w:type="gramEnd"/>
      <w:r w:rsidRPr="00933040">
        <w:rPr>
          <w:rFonts w:ascii="Verdana" w:hAnsi="Verdana" w:cs="Arial"/>
          <w:color w:val="000000"/>
          <w:sz w:val="14"/>
          <w:szCs w:val="14"/>
        </w:rPr>
        <w:t xml:space="preserve"> o lo actualice, pero no para que se constituya la sociedad con posterioridad al cierre del proceso, pues si ello no se había hecho, significa simplemente que el oferente no tenía la condición para participar. (Consejo de Estado. Sala de Consulta y Servicio Civil. Concepto del 6 de noviembre de 2008. Expediente: 1927. Consejero Ponente: William Zambrano Cetina).</w:t>
      </w:r>
    </w:p>
    <w:p w14:paraId="1A2D0361" w14:textId="77777777" w:rsidR="00AA3E73" w:rsidRPr="00933040" w:rsidRDefault="00AA3E73" w:rsidP="00AA3E73">
      <w:pPr>
        <w:pStyle w:val="Car1"/>
        <w:ind w:firstLine="709"/>
        <w:jc w:val="both"/>
        <w:rPr>
          <w:rFonts w:ascii="Verdana" w:hAnsi="Verdana" w:cs="Arial"/>
          <w:color w:val="000000"/>
          <w:sz w:val="14"/>
          <w:szCs w:val="14"/>
        </w:rPr>
      </w:pPr>
    </w:p>
  </w:footnote>
  <w:footnote w:id="5">
    <w:p w14:paraId="4BE75C68" w14:textId="77777777" w:rsidR="00AA3E73" w:rsidRPr="00933040" w:rsidRDefault="00AA3E73" w:rsidP="00AA3E73">
      <w:pPr>
        <w:pStyle w:val="Car1"/>
        <w:ind w:firstLine="709"/>
        <w:jc w:val="both"/>
        <w:rPr>
          <w:rFonts w:ascii="Verdana" w:hAnsi="Verdana" w:cs="Arial"/>
          <w:color w:val="000000"/>
          <w:sz w:val="14"/>
          <w:szCs w:val="14"/>
        </w:rPr>
      </w:pPr>
      <w:r w:rsidRPr="00933040">
        <w:rPr>
          <w:rStyle w:val="Refdenotaalpie"/>
          <w:rFonts w:ascii="Verdana" w:hAnsi="Verdana" w:cs="Arial"/>
          <w:sz w:val="14"/>
          <w:szCs w:val="14"/>
        </w:rPr>
        <w:footnoteRef/>
      </w:r>
      <w:r w:rsidRPr="00933040">
        <w:rPr>
          <w:rFonts w:ascii="Verdana" w:hAnsi="Verdana" w:cs="Arial"/>
          <w:sz w:val="14"/>
          <w:szCs w:val="14"/>
        </w:rPr>
        <w:t xml:space="preserve"> </w:t>
      </w:r>
      <w:r w:rsidRPr="00933040">
        <w:rPr>
          <w:rFonts w:ascii="Verdana" w:hAnsi="Verdana" w:cs="Arial"/>
          <w:color w:val="000000"/>
          <w:sz w:val="14"/>
          <w:szCs w:val="14"/>
        </w:rPr>
        <w:t xml:space="preserve">En armonía con lo anterior, actualmente la Circular Externa Única de Colombia Compra Eficiente señala lo siguiente: “De otro lado, cabe destacar que, de conformidad con el artículo 5 de la Ley 1882 de 2018, durante el término otorgado para subsanar, los proponentes no podrán acreditar circunstancias ocurridas luego del cierre del proceso. De esta manera, es subsanable la prueba de todas las circunstancias ocurridas antes del vencimiento del término para presentar las ofertas, por lo que no se podrán acreditar circunstancias ocurridas con posterioridad a dicho momento. </w:t>
      </w:r>
    </w:p>
    <w:p w14:paraId="05D0D628" w14:textId="77777777" w:rsidR="00AA3E73" w:rsidRPr="003F207B" w:rsidRDefault="00AA3E73" w:rsidP="00AA3E73">
      <w:pPr>
        <w:pStyle w:val="Car1"/>
        <w:ind w:firstLine="709"/>
        <w:jc w:val="both"/>
        <w:rPr>
          <w:rFonts w:ascii="Verdana" w:hAnsi="Verdana" w:cs="Arial"/>
          <w:color w:val="000000"/>
          <w:sz w:val="14"/>
          <w:szCs w:val="14"/>
        </w:rPr>
      </w:pPr>
      <w:r w:rsidRPr="00933040">
        <w:rPr>
          <w:rFonts w:ascii="Verdana" w:hAnsi="Verdana" w:cs="Arial"/>
          <w:color w:val="000000"/>
          <w:sz w:val="14"/>
          <w:szCs w:val="14"/>
        </w:rPr>
        <w:t xml:space="preserve">Lo anterior quiere decir que no es la prueba lo que debe ser anterior al cierre del proceso, sino el hecho que esta acredita. En ese sentido, ante la solicitud de la Administración de subsanar un requisito, el documento podría estar fechado con posterioridad al vencimiento del término para recibir propuestas, con la condición de que el hecho que acredite haya ocurrido antes, esto es, que no sea una circunstancia ocurrida con posterioridad al cierre del proceso. Un mejor entendimiento del significado de la expresión «circunstancias ocurridas con posterioridad al cierre del proceso» implica distinguir entre la prueba de un hecho y el hecho mismo. En el caso de la </w:t>
      </w:r>
      <w:proofErr w:type="spellStart"/>
      <w:r w:rsidRPr="00933040">
        <w:rPr>
          <w:rFonts w:ascii="Verdana" w:hAnsi="Verdana" w:cs="Arial"/>
          <w:color w:val="000000"/>
          <w:sz w:val="14"/>
          <w:szCs w:val="14"/>
        </w:rPr>
        <w:t>subsanabilidad</w:t>
      </w:r>
      <w:proofErr w:type="spellEnd"/>
      <w:r w:rsidRPr="00933040">
        <w:rPr>
          <w:rFonts w:ascii="Verdana" w:hAnsi="Verdana" w:cs="Arial"/>
          <w:color w:val="000000"/>
          <w:sz w:val="14"/>
          <w:szCs w:val="14"/>
        </w:rPr>
        <w:t xml:space="preserve"> de las ofertas, una cosa es el requisito habilitante o el </w:t>
      </w:r>
      <w:r w:rsidRPr="003F207B">
        <w:rPr>
          <w:rFonts w:ascii="Verdana" w:hAnsi="Verdana" w:cs="Arial"/>
          <w:color w:val="000000"/>
          <w:sz w:val="14"/>
          <w:szCs w:val="14"/>
        </w:rPr>
        <w:t xml:space="preserve">elemento de la propuesta que permite cumplir determinada exigencia del pliego de condiciones –o documento equivalente– y otra su prueba. Lo que prohíbe la norma es que se subsanen requisitos que no estaban materialmente cumplidos al momento del cierre del proceso”. Disponible en: </w:t>
      </w:r>
      <w:hyperlink r:id="rId3" w:history="1">
        <w:r w:rsidRPr="003F207B">
          <w:rPr>
            <w:rStyle w:val="Hipervnculo1"/>
            <w:rFonts w:ascii="Verdana" w:hAnsi="Verdana" w:cs="Arial"/>
            <w:sz w:val="14"/>
            <w:szCs w:val="14"/>
          </w:rPr>
          <w:t>https://www.colombiacompra.gov.co/circulares?page=2</w:t>
        </w:r>
      </w:hyperlink>
      <w:r w:rsidRPr="003F207B">
        <w:rPr>
          <w:rStyle w:val="Hipervnculo1"/>
          <w:rFonts w:ascii="Verdana" w:hAnsi="Verdana" w:cs="Arial"/>
          <w:color w:val="000000"/>
          <w:sz w:val="14"/>
          <w:szCs w:val="14"/>
        </w:rPr>
        <w:t xml:space="preserve"> </w:t>
      </w:r>
    </w:p>
    <w:p w14:paraId="37B45DE0" w14:textId="77777777" w:rsidR="00AA3E73" w:rsidRPr="003F207B" w:rsidRDefault="00AA3E73" w:rsidP="00AA3E73">
      <w:pPr>
        <w:pStyle w:val="Car1"/>
        <w:ind w:firstLine="709"/>
        <w:jc w:val="both"/>
        <w:rPr>
          <w:rFonts w:ascii="Verdana" w:hAnsi="Verdana" w:cs="Arial"/>
          <w:color w:val="000000"/>
          <w:sz w:val="14"/>
          <w:szCs w:val="14"/>
        </w:rPr>
      </w:pPr>
    </w:p>
  </w:footnote>
  <w:footnote w:id="6">
    <w:p w14:paraId="1D822DB3" w14:textId="77777777" w:rsidR="00AA3E73" w:rsidRPr="003F207B" w:rsidRDefault="00AA3E73" w:rsidP="00AA3E73">
      <w:pPr>
        <w:pStyle w:val="Car1"/>
        <w:ind w:firstLine="709"/>
        <w:jc w:val="both"/>
        <w:rPr>
          <w:rFonts w:ascii="Verdana" w:hAnsi="Verdana" w:cs="Arial"/>
          <w:color w:val="000000"/>
          <w:sz w:val="14"/>
          <w:szCs w:val="14"/>
        </w:rPr>
      </w:pPr>
      <w:r w:rsidRPr="003F207B">
        <w:rPr>
          <w:rStyle w:val="Refdenotaalpie"/>
          <w:rFonts w:ascii="Verdana" w:hAnsi="Verdana" w:cs="Arial"/>
          <w:color w:val="000000"/>
          <w:sz w:val="14"/>
          <w:szCs w:val="14"/>
        </w:rPr>
        <w:footnoteRef/>
      </w:r>
      <w:r w:rsidRPr="003F207B">
        <w:rPr>
          <w:rFonts w:ascii="Verdana" w:hAnsi="Verdana" w:cs="Arial"/>
          <w:color w:val="000000"/>
          <w:sz w:val="14"/>
          <w:szCs w:val="14"/>
        </w:rPr>
        <w:t xml:space="preserve"> Ver CONSEJO DE ESTADO, Sección Tercera, Subsección C. Sentencia del 26 de febrero de 2011. C.P. Jaime Orlando Santofimio. Rad. 36.408. </w:t>
      </w:r>
    </w:p>
  </w:footnote>
  <w:footnote w:id="7">
    <w:p w14:paraId="261FDEE8" w14:textId="77777777" w:rsidR="00AA3E73" w:rsidRPr="003F207B" w:rsidRDefault="00AA3E73" w:rsidP="00AA3E73">
      <w:pPr>
        <w:pStyle w:val="Car1"/>
        <w:ind w:firstLine="709"/>
        <w:jc w:val="both"/>
        <w:rPr>
          <w:rFonts w:ascii="Verdana" w:hAnsi="Verdana" w:cs="Arial"/>
          <w:color w:val="000000"/>
          <w:sz w:val="14"/>
          <w:szCs w:val="14"/>
        </w:rPr>
      </w:pPr>
    </w:p>
    <w:p w14:paraId="2FB72A92" w14:textId="77777777" w:rsidR="00AA3E73" w:rsidRPr="003F207B" w:rsidRDefault="00AA3E73" w:rsidP="00AA3E73">
      <w:pPr>
        <w:pStyle w:val="Car1"/>
        <w:ind w:firstLine="709"/>
        <w:jc w:val="both"/>
        <w:rPr>
          <w:rFonts w:ascii="Verdana" w:hAnsi="Verdana" w:cs="Arial"/>
          <w:color w:val="000000"/>
          <w:sz w:val="14"/>
          <w:szCs w:val="14"/>
        </w:rPr>
      </w:pPr>
      <w:r w:rsidRPr="003F207B">
        <w:rPr>
          <w:rStyle w:val="Refdenotaalpie"/>
          <w:rFonts w:ascii="Verdana" w:hAnsi="Verdana" w:cs="Arial"/>
          <w:color w:val="000000"/>
          <w:sz w:val="14"/>
          <w:szCs w:val="14"/>
        </w:rPr>
        <w:footnoteRef/>
      </w:r>
      <w:r w:rsidRPr="003F207B">
        <w:rPr>
          <w:rFonts w:ascii="Verdana" w:hAnsi="Verdana" w:cs="Arial"/>
          <w:color w:val="000000"/>
          <w:sz w:val="14"/>
          <w:szCs w:val="14"/>
        </w:rPr>
        <w:t xml:space="preserve"> Ver CONSEJO DE ESTADO, Sección Tercera, Subsección C. Sentencia del 26 de febrero de 2014. C.P. Enrique Gil Botero. Rad. 25.804. </w:t>
      </w:r>
    </w:p>
    <w:p w14:paraId="20E8F709" w14:textId="77777777" w:rsidR="00AA3E73" w:rsidRPr="007D13BE" w:rsidRDefault="00AA3E73" w:rsidP="00AA3E73">
      <w:pPr>
        <w:pStyle w:val="Car1"/>
        <w:ind w:firstLine="709"/>
        <w:jc w:val="both"/>
        <w:rPr>
          <w:rFonts w:ascii="Verdana" w:hAnsi="Verdana" w:cs="Arial"/>
          <w:color w:val="000000"/>
          <w:sz w:val="14"/>
          <w:szCs w:val="14"/>
        </w:rPr>
      </w:pPr>
    </w:p>
  </w:footnote>
  <w:footnote w:id="8">
    <w:p w14:paraId="2459DF80" w14:textId="77777777" w:rsidR="00AA3E73" w:rsidRPr="003F207B" w:rsidRDefault="00AA3E73" w:rsidP="007D13BE">
      <w:pPr>
        <w:pStyle w:val="Car1"/>
        <w:ind w:firstLine="709"/>
        <w:jc w:val="both"/>
        <w:rPr>
          <w:rFonts w:ascii="Verdana" w:hAnsi="Verdana" w:cs="Arial"/>
          <w:color w:val="000000"/>
          <w:sz w:val="14"/>
          <w:szCs w:val="14"/>
        </w:rPr>
      </w:pPr>
      <w:r w:rsidRPr="003F207B">
        <w:rPr>
          <w:rStyle w:val="Refdenotaalpie"/>
          <w:rFonts w:ascii="Verdana" w:hAnsi="Verdana" w:cs="Arial"/>
          <w:color w:val="000000"/>
          <w:sz w:val="14"/>
          <w:szCs w:val="14"/>
        </w:rPr>
        <w:footnoteRef/>
      </w:r>
      <w:r w:rsidRPr="003F207B">
        <w:rPr>
          <w:rFonts w:ascii="Verdana" w:hAnsi="Verdana" w:cs="Arial"/>
          <w:color w:val="000000"/>
          <w:sz w:val="14"/>
          <w:szCs w:val="14"/>
        </w:rPr>
        <w:t xml:space="preserve"> CONSEJO DE ESTADO. Sala de Consulta y Servicio Civil. Concepto del 20 de mayo de 2010. Expediente: 1992. Consejero Ponente: Enrique José Arboleda Perdomo.</w:t>
      </w:r>
    </w:p>
    <w:p w14:paraId="26DFF310" w14:textId="77777777" w:rsidR="00AA3E73" w:rsidRPr="003F207B" w:rsidRDefault="00AA3E73" w:rsidP="007D13BE">
      <w:pPr>
        <w:pStyle w:val="Car1"/>
        <w:ind w:firstLine="709"/>
        <w:jc w:val="both"/>
        <w:rPr>
          <w:rFonts w:ascii="Verdana" w:hAnsi="Verdana" w:cs="Arial"/>
          <w:color w:val="000000"/>
          <w:sz w:val="14"/>
          <w:szCs w:val="14"/>
        </w:rPr>
      </w:pPr>
    </w:p>
  </w:footnote>
  <w:footnote w:id="9">
    <w:p w14:paraId="787C842D" w14:textId="77777777" w:rsidR="00AA3E73" w:rsidRPr="003F207B" w:rsidRDefault="00AA3E73" w:rsidP="00AA3E73">
      <w:pPr>
        <w:pBdr>
          <w:top w:val="nil"/>
          <w:left w:val="nil"/>
          <w:bottom w:val="nil"/>
          <w:right w:val="nil"/>
          <w:between w:val="nil"/>
        </w:pBdr>
        <w:spacing w:after="0" w:line="240" w:lineRule="auto"/>
        <w:ind w:firstLine="709"/>
        <w:jc w:val="both"/>
        <w:rPr>
          <w:rFonts w:ascii="Verdana" w:eastAsia="Arial" w:hAnsi="Verdana" w:cs="Arial"/>
          <w:color w:val="000000"/>
          <w:sz w:val="14"/>
          <w:szCs w:val="14"/>
        </w:rPr>
      </w:pPr>
      <w:r w:rsidRPr="003F207B">
        <w:rPr>
          <w:rFonts w:ascii="Verdana" w:hAnsi="Verdana" w:cs="Arial"/>
          <w:color w:val="000000"/>
          <w:sz w:val="14"/>
          <w:szCs w:val="14"/>
          <w:vertAlign w:val="superscript"/>
        </w:rPr>
        <w:footnoteRef/>
      </w:r>
      <w:r w:rsidRPr="003F207B">
        <w:rPr>
          <w:rFonts w:ascii="Verdana" w:eastAsia="Arial" w:hAnsi="Verdana" w:cs="Arial"/>
          <w:color w:val="000000"/>
          <w:sz w:val="14"/>
          <w:szCs w:val="14"/>
        </w:rPr>
        <w:t xml:space="preserve">  RODRÍGUEZ TAMAYO, Mauricio Fernando. Evaluación y rechazo de ofertas en la Ley 80 de 1993. Medellín: Librería Jurídica Sánchez, 2016. p. 190. </w:t>
      </w:r>
    </w:p>
    <w:p w14:paraId="5BE7AA9B" w14:textId="77777777" w:rsidR="00AA3E73" w:rsidRPr="003F207B" w:rsidRDefault="00AA3E73" w:rsidP="00AA3E73">
      <w:pPr>
        <w:pBdr>
          <w:top w:val="nil"/>
          <w:left w:val="nil"/>
          <w:bottom w:val="nil"/>
          <w:right w:val="nil"/>
          <w:between w:val="nil"/>
        </w:pBdr>
        <w:spacing w:after="0" w:line="240" w:lineRule="auto"/>
        <w:ind w:firstLine="709"/>
        <w:jc w:val="both"/>
        <w:rPr>
          <w:rFonts w:ascii="Verdana" w:eastAsia="Arial" w:hAnsi="Verdana" w:cs="Arial"/>
          <w:color w:val="000000"/>
          <w:sz w:val="14"/>
          <w:szCs w:val="14"/>
        </w:rPr>
      </w:pPr>
    </w:p>
  </w:footnote>
  <w:footnote w:id="10">
    <w:p w14:paraId="6188EAAD" w14:textId="77777777" w:rsidR="00AA3E73" w:rsidRPr="003F207B" w:rsidRDefault="00AA3E73" w:rsidP="00AA3E73">
      <w:pPr>
        <w:pBdr>
          <w:top w:val="nil"/>
          <w:left w:val="nil"/>
          <w:bottom w:val="nil"/>
          <w:right w:val="nil"/>
          <w:between w:val="nil"/>
        </w:pBdr>
        <w:spacing w:after="0" w:line="240" w:lineRule="auto"/>
        <w:ind w:firstLine="709"/>
        <w:jc w:val="both"/>
        <w:rPr>
          <w:rFonts w:ascii="Verdana" w:eastAsia="Arial" w:hAnsi="Verdana" w:cs="Arial"/>
          <w:color w:val="000000"/>
          <w:sz w:val="14"/>
          <w:szCs w:val="14"/>
        </w:rPr>
      </w:pPr>
      <w:r w:rsidRPr="003F207B">
        <w:rPr>
          <w:rFonts w:ascii="Verdana" w:hAnsi="Verdana" w:cs="Arial"/>
          <w:color w:val="000000"/>
          <w:sz w:val="14"/>
          <w:szCs w:val="14"/>
          <w:vertAlign w:val="superscript"/>
        </w:rPr>
        <w:footnoteRef/>
      </w:r>
      <w:r w:rsidRPr="003F207B">
        <w:rPr>
          <w:rFonts w:ascii="Verdana" w:eastAsia="Arial" w:hAnsi="Verdana" w:cs="Arial"/>
          <w:color w:val="000000"/>
          <w:sz w:val="14"/>
          <w:szCs w:val="14"/>
        </w:rPr>
        <w:t xml:space="preserve">  Ley 80 de 1993 “</w:t>
      </w:r>
      <w:r w:rsidRPr="003F207B">
        <w:rPr>
          <w:rFonts w:ascii="Verdana" w:eastAsia="Arial" w:hAnsi="Verdana" w:cs="Arial"/>
          <w:bCs/>
          <w:color w:val="000000"/>
          <w:sz w:val="14"/>
          <w:szCs w:val="14"/>
        </w:rPr>
        <w:t>Articulo 24. Del principio de transparencia. </w:t>
      </w:r>
      <w:r w:rsidRPr="003F207B">
        <w:rPr>
          <w:rFonts w:ascii="Verdana" w:eastAsia="Arial" w:hAnsi="Verdana" w:cs="Arial"/>
          <w:color w:val="000000"/>
          <w:sz w:val="14"/>
          <w:szCs w:val="14"/>
        </w:rPr>
        <w:t xml:space="preserve">En virtud de este principio: </w:t>
      </w:r>
    </w:p>
    <w:p w14:paraId="5C9FDE0A" w14:textId="77777777" w:rsidR="00AA3E73" w:rsidRPr="003F207B" w:rsidRDefault="00AA3E73" w:rsidP="00AA3E73">
      <w:pPr>
        <w:pBdr>
          <w:top w:val="nil"/>
          <w:left w:val="nil"/>
          <w:bottom w:val="nil"/>
          <w:right w:val="nil"/>
          <w:between w:val="nil"/>
        </w:pBdr>
        <w:spacing w:after="0" w:line="240" w:lineRule="auto"/>
        <w:ind w:firstLine="709"/>
        <w:jc w:val="both"/>
        <w:rPr>
          <w:rFonts w:ascii="Verdana" w:eastAsia="Arial" w:hAnsi="Verdana" w:cs="Arial"/>
          <w:color w:val="000000"/>
          <w:sz w:val="14"/>
          <w:szCs w:val="14"/>
        </w:rPr>
      </w:pPr>
      <w:r w:rsidRPr="003F207B">
        <w:rPr>
          <w:rFonts w:ascii="Verdana" w:eastAsia="Arial" w:hAnsi="Verdana" w:cs="Arial"/>
          <w:color w:val="000000"/>
          <w:sz w:val="14"/>
          <w:szCs w:val="14"/>
        </w:rPr>
        <w:t>[…]</w:t>
      </w:r>
    </w:p>
    <w:p w14:paraId="7C1614C0" w14:textId="77777777" w:rsidR="00AA3E73" w:rsidRPr="003F207B" w:rsidRDefault="00AA3E73" w:rsidP="00AA3E73">
      <w:pPr>
        <w:spacing w:after="0" w:line="240" w:lineRule="auto"/>
        <w:ind w:firstLine="709"/>
        <w:jc w:val="both"/>
        <w:rPr>
          <w:rFonts w:ascii="Verdana" w:eastAsia="Arial" w:hAnsi="Verdana" w:cs="Arial"/>
          <w:color w:val="000000"/>
          <w:sz w:val="14"/>
          <w:szCs w:val="14"/>
        </w:rPr>
      </w:pPr>
      <w:r w:rsidRPr="003F207B">
        <w:rPr>
          <w:rFonts w:ascii="Verdana" w:eastAsia="Arial" w:hAnsi="Verdana" w:cs="Arial"/>
          <w:color w:val="000000"/>
          <w:sz w:val="14"/>
          <w:szCs w:val="14"/>
        </w:rPr>
        <w:t>5o. En los pliegos de condiciones:</w:t>
      </w:r>
    </w:p>
    <w:p w14:paraId="7626F1E6" w14:textId="77777777" w:rsidR="00AA3E73" w:rsidRPr="003F207B" w:rsidRDefault="00AA3E73" w:rsidP="00AA3E73">
      <w:pPr>
        <w:spacing w:after="0" w:line="240" w:lineRule="auto"/>
        <w:ind w:firstLine="709"/>
        <w:jc w:val="both"/>
        <w:rPr>
          <w:rFonts w:ascii="Verdana" w:eastAsia="Arial" w:hAnsi="Verdana" w:cs="Arial"/>
          <w:color w:val="000000"/>
          <w:sz w:val="14"/>
          <w:szCs w:val="14"/>
        </w:rPr>
      </w:pPr>
      <w:r w:rsidRPr="003F207B">
        <w:rPr>
          <w:rFonts w:ascii="Verdana" w:eastAsia="Arial" w:hAnsi="Verdana" w:cs="Arial"/>
          <w:color w:val="000000"/>
          <w:sz w:val="14"/>
          <w:szCs w:val="14"/>
        </w:rPr>
        <w:t>[…]</w:t>
      </w:r>
    </w:p>
    <w:p w14:paraId="4F1AF0FA" w14:textId="77777777" w:rsidR="00AA3E73" w:rsidRPr="003F207B" w:rsidRDefault="00AA3E73" w:rsidP="00AA3E73">
      <w:pPr>
        <w:spacing w:after="0" w:line="240" w:lineRule="auto"/>
        <w:ind w:firstLine="709"/>
        <w:jc w:val="both"/>
        <w:rPr>
          <w:rFonts w:ascii="Verdana" w:eastAsia="Arial" w:hAnsi="Verdana" w:cs="Arial"/>
          <w:color w:val="000000"/>
          <w:sz w:val="14"/>
          <w:szCs w:val="14"/>
        </w:rPr>
      </w:pPr>
      <w:r w:rsidRPr="003F207B">
        <w:rPr>
          <w:rFonts w:ascii="Verdana" w:eastAsia="Arial" w:hAnsi="Verdana" w:cs="Arial"/>
          <w:color w:val="000000"/>
          <w:sz w:val="14"/>
          <w:szCs w:val="14"/>
        </w:rPr>
        <w:t>b) Se definirán reglas objetivas, justas, claras y completas que permitan la confección de ofrecimientos de la misma índole, aseguren una escogencia objetiva y eviten la declaratoria de desierta de la licitación […]”.</w:t>
      </w:r>
    </w:p>
    <w:p w14:paraId="579B7A5D" w14:textId="77777777" w:rsidR="00AA3E73" w:rsidRPr="003F207B" w:rsidRDefault="00AA3E73" w:rsidP="00AA3E73">
      <w:pPr>
        <w:spacing w:after="0" w:line="240" w:lineRule="auto"/>
        <w:ind w:firstLine="709"/>
        <w:jc w:val="both"/>
        <w:rPr>
          <w:rFonts w:ascii="Verdana" w:eastAsia="Arial" w:hAnsi="Verdana" w:cs="Arial"/>
          <w:color w:val="000000"/>
          <w:sz w:val="14"/>
          <w:szCs w:val="14"/>
        </w:rPr>
      </w:pPr>
    </w:p>
  </w:footnote>
  <w:footnote w:id="11">
    <w:p w14:paraId="02B22FEF" w14:textId="77777777" w:rsidR="00AA3E73" w:rsidRPr="003F207B" w:rsidRDefault="00AA3E73" w:rsidP="00AA3E73">
      <w:pPr>
        <w:pBdr>
          <w:top w:val="nil"/>
          <w:left w:val="nil"/>
          <w:bottom w:val="nil"/>
          <w:right w:val="nil"/>
          <w:between w:val="nil"/>
        </w:pBdr>
        <w:spacing w:after="0" w:line="240" w:lineRule="auto"/>
        <w:ind w:firstLine="709"/>
        <w:jc w:val="both"/>
        <w:rPr>
          <w:rFonts w:ascii="Verdana" w:eastAsia="Arial" w:hAnsi="Verdana" w:cs="Arial"/>
          <w:color w:val="000000"/>
          <w:sz w:val="14"/>
          <w:szCs w:val="14"/>
        </w:rPr>
      </w:pPr>
      <w:r w:rsidRPr="003F207B">
        <w:rPr>
          <w:rFonts w:ascii="Verdana" w:hAnsi="Verdana" w:cs="Arial"/>
          <w:color w:val="000000"/>
          <w:sz w:val="14"/>
          <w:szCs w:val="14"/>
          <w:vertAlign w:val="superscript"/>
        </w:rPr>
        <w:footnoteRef/>
      </w:r>
      <w:r w:rsidRPr="003F207B">
        <w:rPr>
          <w:rFonts w:ascii="Verdana" w:eastAsia="Arial" w:hAnsi="Verdana" w:cs="Arial"/>
          <w:color w:val="000000"/>
          <w:sz w:val="14"/>
          <w:szCs w:val="14"/>
        </w:rPr>
        <w:t xml:space="preserve"> Decreto 1082 de 2015 “Artículo 2.2.1.1.2.1.3. Pliegos de condiciones. Los pliegos de condiciones deben contener por lo menos la siguiente información</w:t>
      </w:r>
    </w:p>
    <w:p w14:paraId="08E597C1" w14:textId="77777777" w:rsidR="00AA3E73" w:rsidRPr="003F207B" w:rsidRDefault="00AA3E73" w:rsidP="00AA3E73">
      <w:pPr>
        <w:pBdr>
          <w:top w:val="nil"/>
          <w:left w:val="nil"/>
          <w:bottom w:val="nil"/>
          <w:right w:val="nil"/>
          <w:between w:val="nil"/>
        </w:pBdr>
        <w:spacing w:after="0" w:line="240" w:lineRule="auto"/>
        <w:ind w:firstLine="709"/>
        <w:jc w:val="both"/>
        <w:rPr>
          <w:rFonts w:ascii="Verdana" w:eastAsia="Arial" w:hAnsi="Verdana" w:cs="Arial"/>
          <w:color w:val="000000"/>
          <w:sz w:val="14"/>
          <w:szCs w:val="14"/>
        </w:rPr>
      </w:pPr>
      <w:r w:rsidRPr="003F207B">
        <w:rPr>
          <w:rFonts w:ascii="Verdana" w:eastAsia="Arial" w:hAnsi="Verdana" w:cs="Arial"/>
          <w:color w:val="000000"/>
          <w:sz w:val="14"/>
          <w:szCs w:val="14"/>
        </w:rPr>
        <w:t>[…]</w:t>
      </w:r>
    </w:p>
    <w:p w14:paraId="6AFB75DE" w14:textId="77777777" w:rsidR="00AA3E73" w:rsidRPr="007D13BE" w:rsidRDefault="00AA3E73" w:rsidP="00AA3E73">
      <w:pPr>
        <w:pBdr>
          <w:top w:val="nil"/>
          <w:left w:val="nil"/>
          <w:bottom w:val="nil"/>
          <w:right w:val="nil"/>
          <w:between w:val="nil"/>
        </w:pBdr>
        <w:spacing w:after="0" w:line="240" w:lineRule="auto"/>
        <w:ind w:firstLine="709"/>
        <w:jc w:val="both"/>
        <w:rPr>
          <w:rFonts w:ascii="Verdana" w:eastAsia="Arial" w:hAnsi="Verdana" w:cs="Arial"/>
          <w:color w:val="000000"/>
          <w:sz w:val="14"/>
          <w:szCs w:val="14"/>
        </w:rPr>
      </w:pPr>
      <w:r w:rsidRPr="003F207B">
        <w:rPr>
          <w:rFonts w:ascii="Verdana" w:eastAsia="Arial" w:hAnsi="Verdana" w:cs="Arial"/>
          <w:color w:val="000000"/>
          <w:sz w:val="14"/>
          <w:szCs w:val="14"/>
        </w:rPr>
        <w:t>6. Las causas que dan lugar a rechazar una oferta […]”</w:t>
      </w:r>
    </w:p>
  </w:footnote>
  <w:footnote w:id="12">
    <w:p w14:paraId="4BE5C3AB" w14:textId="77777777" w:rsidR="00AA3E73" w:rsidRPr="003F207B" w:rsidRDefault="00AA3E73" w:rsidP="00AA3E73">
      <w:pPr>
        <w:pBdr>
          <w:top w:val="nil"/>
          <w:left w:val="nil"/>
          <w:bottom w:val="nil"/>
          <w:right w:val="nil"/>
          <w:between w:val="nil"/>
        </w:pBdr>
        <w:spacing w:after="0" w:line="240" w:lineRule="auto"/>
        <w:ind w:firstLine="709"/>
        <w:jc w:val="both"/>
        <w:rPr>
          <w:rFonts w:ascii="Verdana" w:eastAsia="Arial" w:hAnsi="Verdana" w:cs="Arial"/>
          <w:color w:val="000000"/>
          <w:sz w:val="14"/>
          <w:szCs w:val="14"/>
        </w:rPr>
      </w:pPr>
      <w:r w:rsidRPr="003F207B">
        <w:rPr>
          <w:rFonts w:ascii="Verdana" w:hAnsi="Verdana" w:cs="Arial"/>
          <w:color w:val="000000"/>
          <w:sz w:val="14"/>
          <w:szCs w:val="14"/>
          <w:vertAlign w:val="superscript"/>
        </w:rPr>
        <w:footnoteRef/>
      </w:r>
      <w:r w:rsidRPr="003F207B">
        <w:rPr>
          <w:rFonts w:ascii="Verdana" w:eastAsia="Arial" w:hAnsi="Verdana" w:cs="Arial"/>
          <w:color w:val="000000"/>
          <w:sz w:val="14"/>
          <w:szCs w:val="14"/>
        </w:rPr>
        <w:t xml:space="preserve"> CONSEJO DE ESTADO. Sección Tercera Subsección B. Sentencia del 27 de abril de 2011. Expediente No. 18.293. C.P. Ponente: Ruth Stella Correa Palacio. </w:t>
      </w:r>
    </w:p>
    <w:p w14:paraId="489055C1" w14:textId="77777777" w:rsidR="00AA3E73" w:rsidRPr="007D13BE" w:rsidRDefault="00AA3E73" w:rsidP="00AA3E73">
      <w:pPr>
        <w:pBdr>
          <w:top w:val="nil"/>
          <w:left w:val="nil"/>
          <w:bottom w:val="nil"/>
          <w:right w:val="nil"/>
          <w:between w:val="nil"/>
        </w:pBdr>
        <w:spacing w:after="0" w:line="240" w:lineRule="auto"/>
        <w:ind w:firstLine="709"/>
        <w:jc w:val="both"/>
        <w:rPr>
          <w:rFonts w:ascii="Verdana" w:eastAsia="Arial" w:hAnsi="Verdana" w:cs="Arial"/>
          <w:color w:val="000000"/>
          <w:sz w:val="14"/>
          <w:szCs w:val="14"/>
        </w:rPr>
      </w:pPr>
    </w:p>
  </w:footnote>
  <w:footnote w:id="13">
    <w:p w14:paraId="6436B6C3" w14:textId="77777777" w:rsidR="00AA3E73" w:rsidRPr="000C7393" w:rsidRDefault="00AA3E73" w:rsidP="007D13BE">
      <w:pPr>
        <w:pStyle w:val="Textonotapie"/>
        <w:ind w:firstLine="709"/>
        <w:jc w:val="both"/>
        <w:rPr>
          <w:rFonts w:ascii="Verdana" w:hAnsi="Verdana"/>
          <w:sz w:val="14"/>
          <w:szCs w:val="14"/>
          <w:lang w:val="es-CO"/>
        </w:rPr>
      </w:pPr>
      <w:r w:rsidRPr="000C7393">
        <w:rPr>
          <w:rStyle w:val="Refdenotaalpie"/>
          <w:rFonts w:ascii="Verdana" w:hAnsi="Verdana"/>
          <w:sz w:val="14"/>
          <w:szCs w:val="14"/>
        </w:rPr>
        <w:footnoteRef/>
      </w:r>
      <w:r w:rsidRPr="000C7393">
        <w:rPr>
          <w:rFonts w:ascii="Verdana" w:hAnsi="Verdana"/>
          <w:sz w:val="14"/>
          <w:szCs w:val="14"/>
        </w:rPr>
        <w:t xml:space="preserve"> </w:t>
      </w:r>
      <w:r w:rsidRPr="000C7393">
        <w:rPr>
          <w:rFonts w:ascii="Verdana" w:hAnsi="Verdana"/>
          <w:sz w:val="14"/>
          <w:szCs w:val="14"/>
          <w:lang w:val="es-CO"/>
        </w:rPr>
        <w:t xml:space="preserve">Exposición de Motivos 789 de 2002 Nivel Nacional, </w:t>
      </w:r>
      <w:hyperlink r:id="rId4" w:history="1">
        <w:r w:rsidRPr="000C7393">
          <w:rPr>
            <w:rStyle w:val="Hipervnculo"/>
            <w:rFonts w:ascii="Verdana" w:hAnsi="Verdana"/>
            <w:sz w:val="14"/>
            <w:szCs w:val="14"/>
            <w:lang w:val="es-CO"/>
          </w:rPr>
          <w:t>https://www.alcaldiabogota.gov.co/sisjur/normas/Norma1.jsp?dt=S&amp;i=7228</w:t>
        </w:r>
      </w:hyperlink>
      <w:r w:rsidRPr="000C7393">
        <w:rPr>
          <w:rFonts w:ascii="Verdana" w:hAnsi="Verdana"/>
          <w:sz w:val="14"/>
          <w:szCs w:val="14"/>
          <w:lang w:val="es-CO"/>
        </w:rPr>
        <w:t xml:space="preserve"> </w:t>
      </w:r>
    </w:p>
    <w:p w14:paraId="220E3507" w14:textId="77777777" w:rsidR="00AA3E73" w:rsidRPr="000C7393" w:rsidRDefault="00AA3E73" w:rsidP="007D13BE">
      <w:pPr>
        <w:pStyle w:val="Textonotapie"/>
        <w:ind w:firstLine="709"/>
        <w:jc w:val="both"/>
        <w:rPr>
          <w:rFonts w:ascii="Verdana" w:hAnsi="Verdana"/>
          <w:sz w:val="14"/>
          <w:szCs w:val="14"/>
          <w:lang w:val="es-CO"/>
        </w:rPr>
      </w:pPr>
      <w:r w:rsidRPr="000C7393">
        <w:rPr>
          <w:rFonts w:ascii="Verdana" w:hAnsi="Verdana"/>
          <w:sz w:val="14"/>
          <w:szCs w:val="14"/>
          <w:lang w:val="es-CO"/>
        </w:rPr>
        <w:t>Gaceta del Congreso de la República núm. 542 del 24 de julio de 2018, Acápite referido a la descripción de la reforma laboral – Ley 789 de 2002, en la que se plasmó: “Desde un punto de vista conceptual, la Ley 789 de 2002 puede dividirse en cuatro partes parcialmente independientes. La primera se ocupa de acopiar recursos para atender las necesidades inmediatas de los desempleados. Los recursos provienen de un cambio en la destinación de las contribuciones parafiscales, especialmente de aquellas administradas por las Cajas de Compensación Familiar. Por mandato legal, los programas previstos, consistentes en subsidios en dinero y especie y planes de capacitación, se focalizan mayoritariamente hacia los desempleados con vinculación anterior a las Cajas de Compensación. // La segunda parte incluye la creación de varios estímulos para la generación de empleo. Los estímulos son de varios tipos: subsidios al empleo, recursos de crédito para empresas pequeñas y medianas, y exención de parafiscales para empresas que empleen personas vulnerables y estudiantes. […]. La tercera parte consiste en la reglamentación de los contratos de aprendizaje y en la regulación del mercado de trabajo para los aprendices. […]. // La cuarta parte (en la que se concentra este trabajo) comprende varias disposiciones orientadas a flexibilizar los contratos laborales. […]”.</w:t>
      </w:r>
    </w:p>
    <w:p w14:paraId="16150D62" w14:textId="77777777" w:rsidR="00AA3E73" w:rsidRPr="000C7393" w:rsidRDefault="00AA3E73" w:rsidP="007D13BE">
      <w:pPr>
        <w:pStyle w:val="Textonotapie"/>
        <w:ind w:firstLine="709"/>
        <w:jc w:val="both"/>
        <w:rPr>
          <w:rFonts w:ascii="Verdana" w:hAnsi="Verdana"/>
          <w:sz w:val="14"/>
          <w:szCs w:val="14"/>
          <w:lang w:val="es-CO"/>
        </w:rPr>
      </w:pPr>
    </w:p>
  </w:footnote>
  <w:footnote w:id="14">
    <w:p w14:paraId="40AF3926" w14:textId="77777777" w:rsidR="00AA3E73" w:rsidRPr="007D13BE" w:rsidRDefault="00AA3E73" w:rsidP="007D13BE">
      <w:pPr>
        <w:pStyle w:val="Textonotapie"/>
        <w:ind w:firstLine="709"/>
        <w:jc w:val="both"/>
        <w:rPr>
          <w:rFonts w:ascii="Verdana" w:hAnsi="Verdana"/>
          <w:sz w:val="14"/>
          <w:szCs w:val="14"/>
          <w:lang w:val="es-CO"/>
        </w:rPr>
      </w:pPr>
      <w:r w:rsidRPr="000C7393">
        <w:rPr>
          <w:rStyle w:val="Refdenotaalpie"/>
          <w:rFonts w:ascii="Verdana" w:hAnsi="Verdana"/>
          <w:sz w:val="14"/>
          <w:szCs w:val="14"/>
        </w:rPr>
        <w:footnoteRef/>
      </w:r>
      <w:r w:rsidRPr="000C7393">
        <w:rPr>
          <w:rFonts w:ascii="Verdana" w:hAnsi="Verdana"/>
          <w:sz w:val="14"/>
          <w:szCs w:val="14"/>
        </w:rPr>
        <w:t xml:space="preserve"> </w:t>
      </w:r>
      <w:r w:rsidRPr="000C7393">
        <w:rPr>
          <w:rFonts w:ascii="Verdana" w:hAnsi="Verdana"/>
          <w:sz w:val="14"/>
          <w:szCs w:val="14"/>
          <w:lang w:val="es-CO"/>
        </w:rPr>
        <w:t>Ley 21 de 1982; Ley 27 de 1974; Ley 7 de 1979 y Ley 119 de 1994.</w:t>
      </w:r>
    </w:p>
  </w:footnote>
  <w:footnote w:id="15">
    <w:p w14:paraId="58ADE844" w14:textId="24069A92" w:rsidR="00245F7F" w:rsidRPr="007D13BE" w:rsidRDefault="00245F7F" w:rsidP="007D13BE">
      <w:pPr>
        <w:pStyle w:val="Textonotapie"/>
        <w:ind w:firstLine="709"/>
        <w:jc w:val="both"/>
        <w:rPr>
          <w:rFonts w:ascii="Verdana" w:hAnsi="Verdana"/>
          <w:sz w:val="14"/>
          <w:szCs w:val="14"/>
        </w:rPr>
      </w:pPr>
      <w:r w:rsidRPr="007D13BE">
        <w:rPr>
          <w:rStyle w:val="Refdenotaalpie"/>
          <w:rFonts w:ascii="Verdana" w:hAnsi="Verdana"/>
          <w:sz w:val="14"/>
          <w:szCs w:val="14"/>
        </w:rPr>
        <w:footnoteRef/>
      </w:r>
      <w:r w:rsidRPr="007D13BE">
        <w:rPr>
          <w:rFonts w:ascii="Verdana" w:hAnsi="Verdana"/>
          <w:sz w:val="14"/>
          <w:szCs w:val="14"/>
        </w:rPr>
        <w:t xml:space="preserve"> </w:t>
      </w:r>
      <w:hyperlink r:id="rId5" w:history="1">
        <w:r w:rsidR="000C0577" w:rsidRPr="007D13BE">
          <w:rPr>
            <w:rStyle w:val="Hipervnculo"/>
            <w:rFonts w:ascii="Verdana" w:hAnsi="Verdana"/>
            <w:color w:val="auto"/>
            <w:sz w:val="14"/>
            <w:szCs w:val="14"/>
            <w:u w:val="none"/>
            <w:lang w:val="es-CO"/>
          </w:rPr>
          <w:t>Consejo de Estado. Sala de lo Contencioso Administrativo. Sección Tercera. Subsección C. Radicación: 05001-23-31-000-2005-04664-02 (47.156). Consejero Ponente: WILLIAM BARRERA MUÑOZ. Bogotá D.C., veinticuatro (24) de julio de dos mil veinticuatro (2024).</w:t>
        </w:r>
      </w:hyperlink>
    </w:p>
  </w:footnote>
  <w:footnote w:id="16">
    <w:p w14:paraId="604BC55B" w14:textId="0B8E8FBE" w:rsidR="00301EDE" w:rsidRPr="007D13BE" w:rsidRDefault="00301EDE" w:rsidP="007D13BE">
      <w:pPr>
        <w:pStyle w:val="Textonotapie"/>
        <w:ind w:firstLine="709"/>
        <w:jc w:val="both"/>
        <w:rPr>
          <w:rFonts w:ascii="Verdana" w:hAnsi="Verdana"/>
          <w:sz w:val="14"/>
          <w:szCs w:val="14"/>
          <w:lang w:val="es-CO"/>
        </w:rPr>
      </w:pPr>
      <w:r w:rsidRPr="007D13BE">
        <w:rPr>
          <w:rStyle w:val="Refdenotaalpie"/>
          <w:rFonts w:ascii="Verdana" w:hAnsi="Verdana"/>
          <w:sz w:val="14"/>
          <w:szCs w:val="14"/>
        </w:rPr>
        <w:footnoteRef/>
      </w:r>
      <w:r w:rsidRPr="007D13BE">
        <w:rPr>
          <w:rFonts w:ascii="Verdana" w:hAnsi="Verdana"/>
          <w:sz w:val="14"/>
          <w:szCs w:val="14"/>
        </w:rPr>
        <w:t xml:space="preserve"> </w:t>
      </w:r>
      <w:r w:rsidR="001D6D30" w:rsidRPr="007D13BE">
        <w:rPr>
          <w:rFonts w:ascii="Verdana" w:hAnsi="Verdana"/>
          <w:sz w:val="14"/>
          <w:szCs w:val="14"/>
        </w:rPr>
        <w:t>C</w:t>
      </w:r>
      <w:proofErr w:type="spellStart"/>
      <w:r w:rsidRPr="007D13BE">
        <w:rPr>
          <w:rFonts w:ascii="Verdana" w:hAnsi="Verdana"/>
          <w:sz w:val="14"/>
          <w:szCs w:val="14"/>
          <w:lang w:val="es-CO"/>
        </w:rPr>
        <w:t>onsejo</w:t>
      </w:r>
      <w:proofErr w:type="spellEnd"/>
      <w:r w:rsidRPr="007D13BE">
        <w:rPr>
          <w:rFonts w:ascii="Verdana" w:hAnsi="Verdana"/>
          <w:sz w:val="14"/>
          <w:szCs w:val="14"/>
          <w:lang w:val="es-CO"/>
        </w:rPr>
        <w:t xml:space="preserve"> de Estado, Sección Tercera Subsección A, sentencia de 19 de febrero de 2021, rad. </w:t>
      </w:r>
      <w:proofErr w:type="spellStart"/>
      <w:r w:rsidRPr="007D13BE">
        <w:rPr>
          <w:rFonts w:ascii="Verdana" w:hAnsi="Verdana"/>
          <w:sz w:val="14"/>
          <w:szCs w:val="14"/>
          <w:lang w:val="es-CO"/>
        </w:rPr>
        <w:t>n°</w:t>
      </w:r>
      <w:proofErr w:type="spellEnd"/>
      <w:r w:rsidRPr="007D13BE">
        <w:rPr>
          <w:rFonts w:ascii="Verdana" w:hAnsi="Verdana"/>
          <w:sz w:val="14"/>
          <w:szCs w:val="14"/>
          <w:lang w:val="es-CO"/>
        </w:rPr>
        <w:t>. 49167 [fundamento jurídico 3.2.3].</w:t>
      </w:r>
    </w:p>
    <w:p w14:paraId="54389A07" w14:textId="77777777" w:rsidR="00EC41E7" w:rsidRPr="007D13BE" w:rsidRDefault="00EC41E7" w:rsidP="007D13BE">
      <w:pPr>
        <w:pStyle w:val="Textonotapie"/>
        <w:ind w:firstLine="709"/>
        <w:jc w:val="both"/>
        <w:rPr>
          <w:rFonts w:ascii="Verdana" w:hAnsi="Verdana"/>
          <w:sz w:val="14"/>
          <w:szCs w:val="14"/>
        </w:rPr>
      </w:pPr>
    </w:p>
  </w:footnote>
  <w:footnote w:id="17">
    <w:p w14:paraId="5E79EB0F" w14:textId="6F3DFDEF" w:rsidR="001D6D30" w:rsidRPr="007D13BE" w:rsidRDefault="001D6D30" w:rsidP="007D13BE">
      <w:pPr>
        <w:pStyle w:val="Textonotapie"/>
        <w:ind w:firstLine="709"/>
        <w:jc w:val="both"/>
        <w:rPr>
          <w:rFonts w:ascii="Verdana" w:hAnsi="Verdana"/>
          <w:sz w:val="14"/>
          <w:szCs w:val="14"/>
        </w:rPr>
      </w:pPr>
      <w:r w:rsidRPr="007D13BE">
        <w:rPr>
          <w:rStyle w:val="Refdenotaalpie"/>
          <w:rFonts w:ascii="Verdana" w:hAnsi="Verdana"/>
          <w:sz w:val="14"/>
          <w:szCs w:val="14"/>
        </w:rPr>
        <w:footnoteRef/>
      </w:r>
      <w:r w:rsidRPr="007D13BE">
        <w:rPr>
          <w:rFonts w:ascii="Verdana" w:hAnsi="Verdana"/>
          <w:sz w:val="14"/>
          <w:szCs w:val="14"/>
        </w:rPr>
        <w:t xml:space="preserve"> </w:t>
      </w:r>
      <w:hyperlink r:id="rId6" w:history="1">
        <w:r w:rsidRPr="00023F50">
          <w:rPr>
            <w:rStyle w:val="Hipervnculo"/>
            <w:rFonts w:ascii="Verdana" w:hAnsi="Verdana"/>
            <w:color w:val="auto"/>
            <w:sz w:val="14"/>
            <w:szCs w:val="14"/>
            <w:u w:val="none"/>
            <w:lang w:val="es-CO"/>
          </w:rPr>
          <w:t>Consejo de Estado. Sala de lo Contencioso Administrativo. Sección Tercera. Subsección C. Radicación: 05001-23-31-000-2005-04664-02 (47.156). Consejero Ponente: WILLIAM BARRERA MUÑOZ. Bogotá D.C., veinticuatro (24) de julio de dos mil veinticuatro (2024).</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1FD1C243" w14:textId="699AB250" w:rsidR="008A446D" w:rsidRPr="00C87554" w:rsidRDefault="004A305D" w:rsidP="00C87554">
    <w:pPr>
      <w:spacing w:after="0"/>
      <w:rPr>
        <w:rFonts w:ascii="Verdana" w:hAnsi="Verdana"/>
        <w:b/>
        <w:bCs/>
      </w:rPr>
    </w:pPr>
    <w:r w:rsidRPr="00DC39FC">
      <w:rPr>
        <w:rFonts w:ascii="Verdana" w:hAnsi="Verdana"/>
        <w:b/>
        <w:bCs/>
      </w:rPr>
      <w:t>FORMATO 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094088D"/>
    <w:multiLevelType w:val="multilevel"/>
    <w:tmpl w:val="73445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2837A7A"/>
    <w:multiLevelType w:val="multilevel"/>
    <w:tmpl w:val="F2EA8C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5"/>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6"/>
  </w:num>
  <w:num w:numId="8" w16cid:durableId="152644682">
    <w:abstractNumId w:val="14"/>
  </w:num>
  <w:num w:numId="9" w16cid:durableId="1317221377">
    <w:abstractNumId w:val="9"/>
  </w:num>
  <w:num w:numId="10" w16cid:durableId="1471245386">
    <w:abstractNumId w:val="13"/>
  </w:num>
  <w:num w:numId="11" w16cid:durableId="289172385">
    <w:abstractNumId w:val="10"/>
  </w:num>
  <w:num w:numId="12" w16cid:durableId="1470781324">
    <w:abstractNumId w:val="1"/>
  </w:num>
  <w:num w:numId="13" w16cid:durableId="1512908409">
    <w:abstractNumId w:val="4"/>
  </w:num>
  <w:num w:numId="14" w16cid:durableId="895897244">
    <w:abstractNumId w:val="16"/>
  </w:num>
  <w:num w:numId="15" w16cid:durableId="390349800">
    <w:abstractNumId w:val="12"/>
  </w:num>
  <w:num w:numId="16" w16cid:durableId="341274352">
    <w:abstractNumId w:val="0"/>
  </w:num>
  <w:num w:numId="17" w16cid:durableId="679089576">
    <w:abstractNumId w:val="11"/>
  </w:num>
  <w:num w:numId="18" w16cid:durableId="727388061">
    <w:abstractNumId w:val="7"/>
  </w:num>
  <w:num w:numId="19" w16cid:durableId="10451777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184D"/>
    <w:rsid w:val="000141D6"/>
    <w:rsid w:val="00016F78"/>
    <w:rsid w:val="00020A2D"/>
    <w:rsid w:val="00023F50"/>
    <w:rsid w:val="00024E50"/>
    <w:rsid w:val="00044376"/>
    <w:rsid w:val="00046945"/>
    <w:rsid w:val="0005023E"/>
    <w:rsid w:val="00061B2A"/>
    <w:rsid w:val="00082362"/>
    <w:rsid w:val="000A683E"/>
    <w:rsid w:val="000A6EA3"/>
    <w:rsid w:val="000B19B9"/>
    <w:rsid w:val="000C0577"/>
    <w:rsid w:val="000C3019"/>
    <w:rsid w:val="000D0334"/>
    <w:rsid w:val="000F6486"/>
    <w:rsid w:val="000F6C31"/>
    <w:rsid w:val="00101EAE"/>
    <w:rsid w:val="001071CF"/>
    <w:rsid w:val="00125105"/>
    <w:rsid w:val="00127233"/>
    <w:rsid w:val="001433AE"/>
    <w:rsid w:val="00147DCF"/>
    <w:rsid w:val="001511A0"/>
    <w:rsid w:val="00157EE8"/>
    <w:rsid w:val="001762EB"/>
    <w:rsid w:val="00177844"/>
    <w:rsid w:val="00193720"/>
    <w:rsid w:val="001949D0"/>
    <w:rsid w:val="001B188B"/>
    <w:rsid w:val="001D6D30"/>
    <w:rsid w:val="001E4177"/>
    <w:rsid w:val="001F7DC6"/>
    <w:rsid w:val="00204A09"/>
    <w:rsid w:val="00211B5F"/>
    <w:rsid w:val="002124D1"/>
    <w:rsid w:val="00235B4C"/>
    <w:rsid w:val="002421BB"/>
    <w:rsid w:val="00245F7F"/>
    <w:rsid w:val="0025796E"/>
    <w:rsid w:val="002707A2"/>
    <w:rsid w:val="002768C1"/>
    <w:rsid w:val="00281A15"/>
    <w:rsid w:val="002951A0"/>
    <w:rsid w:val="002962BC"/>
    <w:rsid w:val="002A093D"/>
    <w:rsid w:val="002A0DD0"/>
    <w:rsid w:val="002A49AC"/>
    <w:rsid w:val="002A4A8A"/>
    <w:rsid w:val="002A64FD"/>
    <w:rsid w:val="002B11C6"/>
    <w:rsid w:val="002C7A84"/>
    <w:rsid w:val="002D2DAB"/>
    <w:rsid w:val="002E4092"/>
    <w:rsid w:val="002E4FD9"/>
    <w:rsid w:val="00301EDE"/>
    <w:rsid w:val="00316ABE"/>
    <w:rsid w:val="00322A85"/>
    <w:rsid w:val="00324168"/>
    <w:rsid w:val="003448F4"/>
    <w:rsid w:val="003564B7"/>
    <w:rsid w:val="00367589"/>
    <w:rsid w:val="00374F5E"/>
    <w:rsid w:val="003750CC"/>
    <w:rsid w:val="00377E3E"/>
    <w:rsid w:val="003A779E"/>
    <w:rsid w:val="003C3A01"/>
    <w:rsid w:val="003D0F4D"/>
    <w:rsid w:val="003D5B0D"/>
    <w:rsid w:val="003E0499"/>
    <w:rsid w:val="003F34F8"/>
    <w:rsid w:val="003F3941"/>
    <w:rsid w:val="00406575"/>
    <w:rsid w:val="004068DB"/>
    <w:rsid w:val="00414C74"/>
    <w:rsid w:val="00421A1E"/>
    <w:rsid w:val="00423740"/>
    <w:rsid w:val="0042722E"/>
    <w:rsid w:val="0044528D"/>
    <w:rsid w:val="004470A5"/>
    <w:rsid w:val="00462619"/>
    <w:rsid w:val="00490AA8"/>
    <w:rsid w:val="00495B1E"/>
    <w:rsid w:val="004A1847"/>
    <w:rsid w:val="004A305D"/>
    <w:rsid w:val="004B155F"/>
    <w:rsid w:val="004C1084"/>
    <w:rsid w:val="004C5533"/>
    <w:rsid w:val="004C6EAD"/>
    <w:rsid w:val="004F0336"/>
    <w:rsid w:val="004F21C4"/>
    <w:rsid w:val="004F685F"/>
    <w:rsid w:val="00520E6D"/>
    <w:rsid w:val="00530CB5"/>
    <w:rsid w:val="00541683"/>
    <w:rsid w:val="005566E8"/>
    <w:rsid w:val="00561C4F"/>
    <w:rsid w:val="0057162B"/>
    <w:rsid w:val="00574867"/>
    <w:rsid w:val="00591460"/>
    <w:rsid w:val="005A6E13"/>
    <w:rsid w:val="005B1C7F"/>
    <w:rsid w:val="005B3816"/>
    <w:rsid w:val="005C3777"/>
    <w:rsid w:val="005C4AF7"/>
    <w:rsid w:val="005C5CDC"/>
    <w:rsid w:val="005D476C"/>
    <w:rsid w:val="005F11B4"/>
    <w:rsid w:val="005F32D1"/>
    <w:rsid w:val="006219F8"/>
    <w:rsid w:val="006350BF"/>
    <w:rsid w:val="006567B0"/>
    <w:rsid w:val="00665D70"/>
    <w:rsid w:val="006665A9"/>
    <w:rsid w:val="00667A85"/>
    <w:rsid w:val="006900D9"/>
    <w:rsid w:val="006939AB"/>
    <w:rsid w:val="006E5FFD"/>
    <w:rsid w:val="006F6277"/>
    <w:rsid w:val="00706C16"/>
    <w:rsid w:val="00734055"/>
    <w:rsid w:val="00756841"/>
    <w:rsid w:val="007649AB"/>
    <w:rsid w:val="00771D0C"/>
    <w:rsid w:val="00782C08"/>
    <w:rsid w:val="007833AC"/>
    <w:rsid w:val="00791B90"/>
    <w:rsid w:val="007A3DB1"/>
    <w:rsid w:val="007A4E76"/>
    <w:rsid w:val="007B268C"/>
    <w:rsid w:val="007B7171"/>
    <w:rsid w:val="007C0C0F"/>
    <w:rsid w:val="007C3DC2"/>
    <w:rsid w:val="007D13BE"/>
    <w:rsid w:val="007E5497"/>
    <w:rsid w:val="0080274B"/>
    <w:rsid w:val="008062FD"/>
    <w:rsid w:val="00806F5F"/>
    <w:rsid w:val="008179B8"/>
    <w:rsid w:val="00820278"/>
    <w:rsid w:val="00841644"/>
    <w:rsid w:val="00846EBA"/>
    <w:rsid w:val="00864EB4"/>
    <w:rsid w:val="008654B7"/>
    <w:rsid w:val="00867F95"/>
    <w:rsid w:val="008843B6"/>
    <w:rsid w:val="00891928"/>
    <w:rsid w:val="008929C6"/>
    <w:rsid w:val="008973BE"/>
    <w:rsid w:val="0089752B"/>
    <w:rsid w:val="008A446D"/>
    <w:rsid w:val="008B16A4"/>
    <w:rsid w:val="008D180B"/>
    <w:rsid w:val="008D7042"/>
    <w:rsid w:val="008E11C1"/>
    <w:rsid w:val="008F0EA7"/>
    <w:rsid w:val="008F7D14"/>
    <w:rsid w:val="00923EEF"/>
    <w:rsid w:val="00932758"/>
    <w:rsid w:val="009419F9"/>
    <w:rsid w:val="00945804"/>
    <w:rsid w:val="009536E2"/>
    <w:rsid w:val="0095685E"/>
    <w:rsid w:val="00961B09"/>
    <w:rsid w:val="00965334"/>
    <w:rsid w:val="0097093E"/>
    <w:rsid w:val="00986AC5"/>
    <w:rsid w:val="00993581"/>
    <w:rsid w:val="009A0DFA"/>
    <w:rsid w:val="009B2D26"/>
    <w:rsid w:val="009C71FA"/>
    <w:rsid w:val="009C72E7"/>
    <w:rsid w:val="009D3058"/>
    <w:rsid w:val="009D457C"/>
    <w:rsid w:val="009F3A13"/>
    <w:rsid w:val="00A122D3"/>
    <w:rsid w:val="00A1322B"/>
    <w:rsid w:val="00A17F13"/>
    <w:rsid w:val="00A20739"/>
    <w:rsid w:val="00A33C78"/>
    <w:rsid w:val="00A358F3"/>
    <w:rsid w:val="00A43AC4"/>
    <w:rsid w:val="00A65778"/>
    <w:rsid w:val="00A87950"/>
    <w:rsid w:val="00A93CF0"/>
    <w:rsid w:val="00AA3E73"/>
    <w:rsid w:val="00AB0ADB"/>
    <w:rsid w:val="00AB29F8"/>
    <w:rsid w:val="00AC2A3F"/>
    <w:rsid w:val="00AD11BA"/>
    <w:rsid w:val="00AD31AB"/>
    <w:rsid w:val="00AF205B"/>
    <w:rsid w:val="00B01B1A"/>
    <w:rsid w:val="00B26AC3"/>
    <w:rsid w:val="00B34773"/>
    <w:rsid w:val="00B66319"/>
    <w:rsid w:val="00B700CB"/>
    <w:rsid w:val="00B72CD3"/>
    <w:rsid w:val="00B72FFF"/>
    <w:rsid w:val="00BB7E70"/>
    <w:rsid w:val="00BC3D36"/>
    <w:rsid w:val="00BD6D82"/>
    <w:rsid w:val="00BD7F72"/>
    <w:rsid w:val="00BF2751"/>
    <w:rsid w:val="00BF592B"/>
    <w:rsid w:val="00C04FB3"/>
    <w:rsid w:val="00C330EB"/>
    <w:rsid w:val="00C41061"/>
    <w:rsid w:val="00C72C23"/>
    <w:rsid w:val="00C754BE"/>
    <w:rsid w:val="00C76B1C"/>
    <w:rsid w:val="00C87554"/>
    <w:rsid w:val="00CB26E6"/>
    <w:rsid w:val="00CB6357"/>
    <w:rsid w:val="00CC1B26"/>
    <w:rsid w:val="00CE3246"/>
    <w:rsid w:val="00D014E5"/>
    <w:rsid w:val="00D11739"/>
    <w:rsid w:val="00D423A2"/>
    <w:rsid w:val="00D520D8"/>
    <w:rsid w:val="00D63AC2"/>
    <w:rsid w:val="00D7383B"/>
    <w:rsid w:val="00D920D1"/>
    <w:rsid w:val="00DA231B"/>
    <w:rsid w:val="00DB1B5F"/>
    <w:rsid w:val="00DC39FC"/>
    <w:rsid w:val="00DE40BA"/>
    <w:rsid w:val="00DF5254"/>
    <w:rsid w:val="00E02720"/>
    <w:rsid w:val="00E061A6"/>
    <w:rsid w:val="00E16408"/>
    <w:rsid w:val="00E20894"/>
    <w:rsid w:val="00E245AB"/>
    <w:rsid w:val="00E264F7"/>
    <w:rsid w:val="00E2764C"/>
    <w:rsid w:val="00E27F2E"/>
    <w:rsid w:val="00E50AFE"/>
    <w:rsid w:val="00E572F0"/>
    <w:rsid w:val="00E74485"/>
    <w:rsid w:val="00E75C92"/>
    <w:rsid w:val="00E771DC"/>
    <w:rsid w:val="00E86606"/>
    <w:rsid w:val="00E8772A"/>
    <w:rsid w:val="00E90F6B"/>
    <w:rsid w:val="00E92C27"/>
    <w:rsid w:val="00E9486A"/>
    <w:rsid w:val="00E94A3D"/>
    <w:rsid w:val="00EA0E3D"/>
    <w:rsid w:val="00EA245D"/>
    <w:rsid w:val="00EC38A7"/>
    <w:rsid w:val="00EC41E7"/>
    <w:rsid w:val="00ED7384"/>
    <w:rsid w:val="00EE1AA8"/>
    <w:rsid w:val="00F31EDC"/>
    <w:rsid w:val="00F346C0"/>
    <w:rsid w:val="00F462B3"/>
    <w:rsid w:val="00F470B5"/>
    <w:rsid w:val="00F5664F"/>
    <w:rsid w:val="00F63CEC"/>
    <w:rsid w:val="00F666C4"/>
    <w:rsid w:val="00F67123"/>
    <w:rsid w:val="00F76AFC"/>
    <w:rsid w:val="00FA47C0"/>
    <w:rsid w:val="00FB4AFE"/>
    <w:rsid w:val="00FB5DD1"/>
    <w:rsid w:val="00FB7957"/>
    <w:rsid w:val="00FC2B5D"/>
    <w:rsid w:val="00FC3126"/>
    <w:rsid w:val="00FF1449"/>
    <w:rsid w:val="165E9519"/>
    <w:rsid w:val="382536D9"/>
    <w:rsid w:val="6EFDAB80"/>
    <w:rsid w:val="74B627C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Car1">
    <w:name w:val="Car1"/>
    <w:basedOn w:val="Normal"/>
    <w:next w:val="Textonotapie"/>
    <w:uiPriority w:val="99"/>
    <w:unhideWhenUsed/>
    <w:qFormat/>
    <w:rsid w:val="00AA3E73"/>
    <w:pPr>
      <w:spacing w:after="0" w:line="240" w:lineRule="auto"/>
    </w:pPr>
    <w:rPr>
      <w:sz w:val="20"/>
      <w:szCs w:val="20"/>
      <w:lang w:val="es-MX"/>
    </w:rPr>
  </w:style>
  <w:style w:type="paragraph" w:customStyle="1" w:styleId="Appelnotedebasde">
    <w:name w:val="Appel note de bas de..."/>
    <w:basedOn w:val="Normal"/>
    <w:link w:val="Refdenotaalpie"/>
    <w:uiPriority w:val="99"/>
    <w:rsid w:val="00AA3E73"/>
    <w:pPr>
      <w:spacing w:line="240" w:lineRule="exact"/>
    </w:pPr>
    <w:rPr>
      <w:vertAlign w:val="superscript"/>
    </w:rPr>
  </w:style>
  <w:style w:type="table" w:customStyle="1" w:styleId="Tablaconcuadrcula1">
    <w:name w:val="Tabla con cuadrícula1"/>
    <w:basedOn w:val="Tablanormal"/>
    <w:next w:val="Tablaconcuadrcula"/>
    <w:uiPriority w:val="39"/>
    <w:qFormat/>
    <w:rsid w:val="00AA3E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pervnculo1">
    <w:name w:val="Hipervínculo1"/>
    <w:basedOn w:val="Fuentedeprrafopredeter"/>
    <w:uiPriority w:val="99"/>
    <w:unhideWhenUsed/>
    <w:rsid w:val="00AA3E7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ranciscofajardoabogados.com/wp-content/uploads/2024/11/1.-Sentencia-47156-de-julio-24-de-2024-CE-SIII-SubC-Certificado-de-pago-de-aportes-parafiscales-subsanabilidad_-seleccion-objetiva.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esar196913@g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circulares?page=2" TargetMode="External"/><Relationship Id="rId2" Type="http://schemas.openxmlformats.org/officeDocument/2006/relationships/hyperlink" Target="https://relatoria.colombiacompra.gov.co/conceptos/c-447-de-2024/" TargetMode="External"/><Relationship Id="rId1" Type="http://schemas.openxmlformats.org/officeDocument/2006/relationships/hyperlink" Target="https://relatoria.colombiacompra.gov.co/conceptos/c-285-de-2022/" TargetMode="External"/><Relationship Id="rId6" Type="http://schemas.openxmlformats.org/officeDocument/2006/relationships/hyperlink" Target="https://franciscofajardoabogados.com/wp-content/uploads/2024/11/1.-Sentencia-47156-de-julio-24-de-2024-CE-SIII-SubC-Certificado-de-pago-de-aportes-parafiscales-subsanabilidad_-seleccion-objetiva.pdf" TargetMode="External"/><Relationship Id="rId5" Type="http://schemas.openxmlformats.org/officeDocument/2006/relationships/hyperlink" Target="https://franciscofajardoabogados.com/wp-content/uploads/2024/11/1.-Sentencia-47156-de-julio-24-de-2024-CE-SIII-SubC-Certificado-de-pago-de-aportes-parafiscales-subsanabilidad_-seleccion-objetiva.pdf" TargetMode="External"/><Relationship Id="rId4" Type="http://schemas.openxmlformats.org/officeDocument/2006/relationships/hyperlink" Target="https://www.alcaldiabogota.gov.co/sisjur/normas/Norma1.jsp?dt=S&amp;i=722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documentManagement/types"/>
    <ds:schemaRef ds:uri="9d85dbaf-23eb-4e57-a637-93dcacc8b1a1"/>
    <ds:schemaRef ds:uri="http://schemas.openxmlformats.org/package/2006/metadata/core-properties"/>
    <ds:schemaRef ds:uri="http://purl.org/dc/elements/1.1/"/>
    <ds:schemaRef ds:uri="http://schemas.microsoft.com/office/infopath/2007/PartnerControls"/>
    <ds:schemaRef ds:uri="http://schemas.microsoft.com/office/2006/metadata/properties"/>
    <ds:schemaRef ds:uri="http://purl.org/dc/terms/"/>
    <ds:schemaRef ds:uri="a6cb9e4b-f1d1-4245-83ec-6cad768d538a"/>
    <ds:schemaRef ds:uri="http://www.w3.org/XML/1998/namespace"/>
    <ds:schemaRef ds:uri="http://purl.org/dc/dcmitype/"/>
  </ds:schemaRefs>
</ds:datastoreItem>
</file>

<file path=customXml/itemProps3.xml><?xml version="1.0" encoding="utf-8"?>
<ds:datastoreItem xmlns:ds="http://schemas.openxmlformats.org/officeDocument/2006/customXml" ds:itemID="{254F8162-A3D7-44FE-B34E-FBF40D0E87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4FC4A3-B03D-426A-8D1C-EA7AF8EAF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24</Pages>
  <Words>8597</Words>
  <Characters>47286</Characters>
  <Application>Microsoft Office Word</Application>
  <DocSecurity>0</DocSecurity>
  <Lines>394</Lines>
  <Paragraphs>111</Paragraphs>
  <ScaleCrop>false</ScaleCrop>
  <Company/>
  <LinksUpToDate>false</LinksUpToDate>
  <CharactersWithSpaces>55772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2025-09-02T16:45:00Z</dcterms:created>
  <dcterms:modified xsi:type="dcterms:W3CDTF">2025-09-02T16:45:00Z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