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B90AC" w14:textId="77777777" w:rsidR="00387220" w:rsidRPr="00D7487F" w:rsidRDefault="00387220" w:rsidP="00387220">
      <w:pPr>
        <w:pStyle w:val="Prrafodelista"/>
        <w:spacing w:after="0" w:line="240" w:lineRule="auto"/>
        <w:ind w:left="0"/>
        <w:jc w:val="both"/>
        <w:rPr>
          <w:rFonts w:ascii="Verdana" w:eastAsia="Calibri" w:hAnsi="Verdana" w:cs="Arial"/>
          <w:b/>
          <w:color w:val="1A1A1A" w:themeColor="background1" w:themeShade="1A"/>
        </w:rPr>
      </w:pPr>
      <w:r w:rsidRPr="00D7487F">
        <w:rPr>
          <w:rFonts w:ascii="Verdana" w:eastAsia="Calibri" w:hAnsi="Verdana" w:cs="Arial"/>
          <w:b/>
          <w:color w:val="1A1A1A" w:themeColor="background1" w:themeShade="1A"/>
        </w:rPr>
        <w:t>ESTATUTO ORGÁNICO DEL PRESUPUESTO – Disponibilidad presupuestal – Registro presupuestal – Deber – Suscripción de contratos</w:t>
      </w:r>
    </w:p>
    <w:p w14:paraId="39B9F139" w14:textId="77777777" w:rsidR="00387220" w:rsidRPr="00D7487F" w:rsidRDefault="00387220" w:rsidP="00387220">
      <w:pPr>
        <w:pStyle w:val="Prrafodelista"/>
        <w:spacing w:after="0" w:line="240" w:lineRule="auto"/>
        <w:ind w:left="0"/>
        <w:jc w:val="both"/>
        <w:rPr>
          <w:rFonts w:ascii="Verdana" w:eastAsia="Calibri" w:hAnsi="Verdana" w:cs="Arial"/>
          <w:b/>
          <w:color w:val="1A1A1A" w:themeColor="background1" w:themeShade="1A"/>
          <w:sz w:val="20"/>
          <w:szCs w:val="20"/>
        </w:rPr>
      </w:pPr>
    </w:p>
    <w:p w14:paraId="2D67F046" w14:textId="77777777" w:rsidR="00387220" w:rsidRPr="00D7487F" w:rsidRDefault="00387220" w:rsidP="00387220">
      <w:pPr>
        <w:pStyle w:val="Prrafodelista"/>
        <w:spacing w:after="0" w:line="240" w:lineRule="auto"/>
        <w:ind w:left="0"/>
        <w:jc w:val="both"/>
        <w:rPr>
          <w:rFonts w:ascii="Verdana" w:eastAsia="Times New Roman" w:hAnsi="Verdana" w:cs="Arial"/>
          <w:color w:val="1A1A1A" w:themeColor="background1" w:themeShade="1A"/>
          <w:sz w:val="20"/>
          <w:szCs w:val="20"/>
          <w:lang w:eastAsia="es-ES_tradnl"/>
        </w:rPr>
      </w:pPr>
      <w:r w:rsidRPr="00D7487F">
        <w:rPr>
          <w:rFonts w:ascii="Verdana" w:eastAsia="Calibri" w:hAnsi="Verdana" w:cs="Arial"/>
          <w:color w:val="1A1A1A" w:themeColor="background1" w:themeShade="1A"/>
          <w:sz w:val="20"/>
          <w:szCs w:val="20"/>
        </w:rPr>
        <w:t xml:space="preserve">[…] </w:t>
      </w:r>
      <w:r w:rsidRPr="00D7487F">
        <w:rPr>
          <w:rFonts w:ascii="Verdana" w:eastAsia="Times New Roman" w:hAnsi="Verdana" w:cs="Arial"/>
          <w:color w:val="1A1A1A" w:themeColor="background1" w:themeShade="1A"/>
          <w:sz w:val="20"/>
          <w:szCs w:val="20"/>
          <w:lang w:eastAsia="es-ES_tradnl"/>
        </w:rPr>
        <w:t>es importante considerar el artículo 71 del Decreto 111 de 1996 –Estatuto Orgánico del Presupuesto– trata del deber de contar con el Certificado de Disponibilidad Presupuestal (CDP) como garantía de que existen los recursos necesarios para abrir procedimientos de selección e iniciar procesos de suscripción de contratos, en armonía con el numeral 6° del artículo 25 de la Ley 80 de 1993. De igual manera, conforme al artículo 41 de la Ley 80 de 1993, el Registro Presupuestal es necesario para iniciar la ejecución del contrato, una vez se tenga definido el valor y el plazo.</w:t>
      </w:r>
    </w:p>
    <w:p w14:paraId="07797BBC" w14:textId="77777777" w:rsidR="00387220" w:rsidRPr="00927A9A" w:rsidRDefault="00387220" w:rsidP="00387220">
      <w:pPr>
        <w:spacing w:after="0" w:line="240" w:lineRule="auto"/>
        <w:contextualSpacing/>
        <w:jc w:val="both"/>
        <w:rPr>
          <w:rFonts w:ascii="Verdana" w:eastAsia="Calibri" w:hAnsi="Verdana" w:cs="Arial"/>
          <w:b/>
          <w:color w:val="1A1A1A" w:themeColor="background1" w:themeShade="1A"/>
          <w:lang w:val="es-ES"/>
        </w:rPr>
      </w:pPr>
    </w:p>
    <w:p w14:paraId="5A8C87A7" w14:textId="77777777" w:rsidR="00387220" w:rsidRPr="002D5565" w:rsidRDefault="00387220" w:rsidP="00387220">
      <w:pPr>
        <w:spacing w:after="0" w:line="240" w:lineRule="auto"/>
        <w:contextualSpacing/>
        <w:jc w:val="both"/>
        <w:rPr>
          <w:rFonts w:ascii="Verdana" w:eastAsia="Calibri" w:hAnsi="Verdana" w:cs="Arial"/>
          <w:b/>
          <w:color w:val="1A1A1A" w:themeColor="background1" w:themeShade="1A"/>
        </w:rPr>
      </w:pPr>
      <w:r w:rsidRPr="002D5565">
        <w:rPr>
          <w:rFonts w:ascii="Verdana" w:eastAsia="Calibri" w:hAnsi="Verdana" w:cs="Arial"/>
          <w:b/>
          <w:color w:val="1A1A1A" w:themeColor="background1" w:themeShade="1A"/>
        </w:rPr>
        <w:t>REGISTRO PRESUPUESTAL – Definición – Recursos</w:t>
      </w:r>
    </w:p>
    <w:p w14:paraId="5C3CFFE3" w14:textId="77777777" w:rsidR="00387220" w:rsidRPr="002D5565" w:rsidRDefault="00387220" w:rsidP="00387220">
      <w:pPr>
        <w:spacing w:after="0" w:line="240" w:lineRule="auto"/>
        <w:contextualSpacing/>
        <w:jc w:val="both"/>
        <w:rPr>
          <w:rFonts w:ascii="Verdana" w:eastAsia="Calibri" w:hAnsi="Verdana" w:cs="Arial"/>
          <w:color w:val="1A1A1A" w:themeColor="background1" w:themeShade="1A"/>
          <w:sz w:val="20"/>
          <w:szCs w:val="20"/>
        </w:rPr>
      </w:pPr>
    </w:p>
    <w:p w14:paraId="2B3188B9" w14:textId="77777777" w:rsidR="00387220" w:rsidRPr="002D5565" w:rsidRDefault="00387220" w:rsidP="00387220">
      <w:pPr>
        <w:spacing w:after="0" w:line="240" w:lineRule="auto"/>
        <w:contextualSpacing/>
        <w:jc w:val="both"/>
        <w:rPr>
          <w:rFonts w:ascii="Verdana" w:eastAsia="Times New Roman" w:hAnsi="Verdana" w:cs="Arial"/>
          <w:color w:val="000000" w:themeColor="text1"/>
          <w:sz w:val="20"/>
          <w:szCs w:val="20"/>
          <w:shd w:val="clear" w:color="auto" w:fill="FFFFFF"/>
          <w:lang w:eastAsia="es-CO"/>
        </w:rPr>
      </w:pPr>
      <w:r w:rsidRPr="002D5565">
        <w:rPr>
          <w:rFonts w:ascii="Verdana" w:eastAsia="Calibri" w:hAnsi="Verdana" w:cs="Arial"/>
          <w:color w:val="1A1A1A" w:themeColor="background1" w:themeShade="1A"/>
          <w:sz w:val="20"/>
          <w:szCs w:val="20"/>
        </w:rPr>
        <w:t xml:space="preserve">[…] </w:t>
      </w:r>
      <w:r w:rsidRPr="002D5565">
        <w:rPr>
          <w:rFonts w:ascii="Verdana" w:eastAsia="Times New Roman" w:hAnsi="Verdana" w:cs="Arial"/>
          <w:color w:val="000000" w:themeColor="text1"/>
          <w:sz w:val="20"/>
          <w:szCs w:val="20"/>
          <w:shd w:val="clear" w:color="auto" w:fill="FFFFFF"/>
          <w:lang w:eastAsia="es-CO"/>
        </w:rPr>
        <w:t>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Entidad Pública vaya a adquirir. En consecuencia, es un instrumento mediante el cual se busca prevenir erogaciones que superen el monto autorizado en el correspondiente presupuesto, con el objeto de evitar que los recursos destinados a la financiación de un determinado compromiso se desvíen a una finalidad distinta.</w:t>
      </w:r>
    </w:p>
    <w:p w14:paraId="2656F235" w14:textId="77777777" w:rsidR="00387220" w:rsidRPr="002D5565" w:rsidRDefault="00387220" w:rsidP="00387220">
      <w:pPr>
        <w:pStyle w:val="Prrafodelista"/>
        <w:spacing w:after="0" w:line="240" w:lineRule="auto"/>
        <w:ind w:left="0"/>
        <w:jc w:val="both"/>
        <w:rPr>
          <w:rFonts w:ascii="Verdana" w:eastAsia="Calibri" w:hAnsi="Verdana" w:cs="Arial"/>
          <w:b/>
          <w:color w:val="1A1A1A" w:themeColor="background1" w:themeShade="1A"/>
          <w:sz w:val="20"/>
          <w:szCs w:val="20"/>
        </w:rPr>
      </w:pPr>
    </w:p>
    <w:p w14:paraId="70969C4A" w14:textId="77777777" w:rsidR="00387220" w:rsidRPr="002D5565" w:rsidRDefault="00387220" w:rsidP="00387220">
      <w:pPr>
        <w:pStyle w:val="Prrafodelista"/>
        <w:spacing w:after="0" w:line="240" w:lineRule="auto"/>
        <w:ind w:left="0"/>
        <w:jc w:val="both"/>
        <w:rPr>
          <w:rFonts w:ascii="Verdana" w:eastAsia="Calibri" w:hAnsi="Verdana" w:cs="Arial"/>
          <w:b/>
          <w:color w:val="1A1A1A" w:themeColor="background1" w:themeShade="1A"/>
        </w:rPr>
      </w:pPr>
      <w:r w:rsidRPr="002D5565">
        <w:rPr>
          <w:rFonts w:ascii="Verdana" w:eastAsia="Calibri" w:hAnsi="Verdana" w:cs="Arial"/>
          <w:b/>
          <w:color w:val="1A1A1A" w:themeColor="background1" w:themeShade="1A"/>
        </w:rPr>
        <w:t xml:space="preserve">REGISTRO PRESUPUESTAL – Expedición – Oportunidad </w:t>
      </w:r>
      <w:r w:rsidRPr="002D5565">
        <w:rPr>
          <w:rFonts w:ascii="Verdana" w:eastAsia="Calibri" w:hAnsi="Verdana" w:cs="Arial"/>
          <w:b/>
          <w:color w:val="1A1A1A" w:themeColor="background1" w:themeShade="1A"/>
        </w:rPr>
        <w:softHyphen/>
        <w:t>– Requisito de ejecución</w:t>
      </w:r>
    </w:p>
    <w:p w14:paraId="5CF6B632" w14:textId="77777777" w:rsidR="00387220" w:rsidRPr="002D5565" w:rsidRDefault="00387220" w:rsidP="00387220">
      <w:pPr>
        <w:spacing w:after="0" w:line="240" w:lineRule="auto"/>
        <w:contextualSpacing/>
        <w:jc w:val="both"/>
        <w:rPr>
          <w:rFonts w:ascii="Verdana" w:eastAsia="Calibri" w:hAnsi="Verdana" w:cs="Arial"/>
          <w:color w:val="1A1A1A" w:themeColor="background1" w:themeShade="1A"/>
          <w:sz w:val="20"/>
          <w:szCs w:val="20"/>
        </w:rPr>
      </w:pPr>
    </w:p>
    <w:p w14:paraId="7FB88AFB" w14:textId="77777777" w:rsidR="00387220" w:rsidRPr="002D5565" w:rsidRDefault="00387220" w:rsidP="00387220">
      <w:pPr>
        <w:spacing w:line="240" w:lineRule="auto"/>
        <w:contextualSpacing/>
        <w:jc w:val="both"/>
        <w:rPr>
          <w:rFonts w:ascii="Verdana" w:eastAsia="Calibri" w:hAnsi="Verdana" w:cs="Arial"/>
          <w:sz w:val="20"/>
          <w:szCs w:val="20"/>
        </w:rPr>
      </w:pPr>
      <w:r w:rsidRPr="002D5565">
        <w:rPr>
          <w:rFonts w:ascii="Verdana" w:eastAsia="Calibri" w:hAnsi="Verdana" w:cs="Arial"/>
          <w:color w:val="1A1A1A" w:themeColor="background1" w:themeShade="1A"/>
          <w:sz w:val="20"/>
          <w:szCs w:val="20"/>
        </w:rPr>
        <w:t xml:space="preserve">[…] </w:t>
      </w:r>
      <w:r w:rsidRPr="002D5565">
        <w:rPr>
          <w:rFonts w:ascii="Verdana" w:eastAsia="Calibri" w:hAnsi="Verdana" w:cs="Arial"/>
          <w:sz w:val="20"/>
          <w:szCs w:val="20"/>
          <w:lang w:eastAsia="es-ES_tradnl"/>
        </w:rPr>
        <w:t xml:space="preserve">a partir del año 2006 el Consejo de Estado, con apoyo en el artículo 41 de la Ley 80 de 1993, modificó la primera posición jurisprudencial que consideró al Registro Presupuestal como requisito de perfeccionamiento. Así las cosas, en adelante se ha considerado que se trata de un requisito de ejecución. </w:t>
      </w:r>
    </w:p>
    <w:p w14:paraId="65B8B1D2" w14:textId="77777777" w:rsidR="00387220" w:rsidRPr="002D5565" w:rsidRDefault="00387220" w:rsidP="00387220">
      <w:pPr>
        <w:spacing w:after="0" w:line="240" w:lineRule="auto"/>
        <w:contextualSpacing/>
        <w:jc w:val="both"/>
        <w:rPr>
          <w:rFonts w:ascii="Verdana" w:eastAsia="Times New Roman" w:hAnsi="Verdana" w:cs="Arial"/>
          <w:color w:val="1A1A1A" w:themeColor="background1" w:themeShade="1A"/>
          <w:sz w:val="20"/>
          <w:szCs w:val="20"/>
          <w:lang w:eastAsia="es-ES_tradnl"/>
        </w:rPr>
      </w:pPr>
    </w:p>
    <w:p w14:paraId="798AC231" w14:textId="77777777" w:rsidR="00387220" w:rsidRPr="002D5565" w:rsidRDefault="00387220" w:rsidP="00387220">
      <w:pPr>
        <w:spacing w:after="0" w:line="240" w:lineRule="auto"/>
        <w:contextualSpacing/>
        <w:jc w:val="both"/>
        <w:rPr>
          <w:rFonts w:ascii="Verdana" w:eastAsia="Times New Roman" w:hAnsi="Verdana" w:cs="Arial"/>
          <w:color w:val="1A1A1A" w:themeColor="background1" w:themeShade="1A"/>
          <w:sz w:val="20"/>
          <w:szCs w:val="20"/>
          <w:lang w:eastAsia="es-ES_tradnl"/>
        </w:rPr>
      </w:pPr>
      <w:r w:rsidRPr="002D5565">
        <w:rPr>
          <w:rFonts w:ascii="Verdana" w:eastAsia="Times New Roman" w:hAnsi="Verdana" w:cs="Arial"/>
          <w:color w:val="1A1A1A" w:themeColor="background1" w:themeShade="1A"/>
          <w:sz w:val="20"/>
          <w:szCs w:val="20"/>
          <w:lang w:eastAsia="es-ES_tradnl"/>
        </w:rPr>
        <w:t>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su expedición previa no afecta la validez del contrato estatal.</w:t>
      </w:r>
    </w:p>
    <w:p w14:paraId="5B48CA22" w14:textId="77777777" w:rsidR="00387220" w:rsidRPr="002D5565" w:rsidRDefault="00387220" w:rsidP="00387220">
      <w:pPr>
        <w:spacing w:after="0" w:line="240" w:lineRule="auto"/>
        <w:contextualSpacing/>
        <w:jc w:val="both"/>
        <w:rPr>
          <w:rFonts w:ascii="Verdana" w:eastAsia="Calibri" w:hAnsi="Verdana" w:cs="Arial"/>
          <w:color w:val="1A1A1A" w:themeColor="background1" w:themeShade="1A"/>
          <w:sz w:val="20"/>
          <w:szCs w:val="20"/>
        </w:rPr>
      </w:pPr>
    </w:p>
    <w:p w14:paraId="127F6FC4" w14:textId="77777777" w:rsidR="00387220" w:rsidRPr="002D5565" w:rsidRDefault="00387220" w:rsidP="00387220">
      <w:pPr>
        <w:spacing w:after="0" w:line="240" w:lineRule="auto"/>
        <w:contextualSpacing/>
        <w:jc w:val="both"/>
        <w:rPr>
          <w:rFonts w:ascii="Verdana" w:eastAsia="Calibri" w:hAnsi="Verdana" w:cs="Arial"/>
          <w:b/>
          <w:color w:val="1A1A1A" w:themeColor="background1" w:themeShade="1A"/>
        </w:rPr>
      </w:pPr>
      <w:r w:rsidRPr="002D5565">
        <w:rPr>
          <w:rFonts w:ascii="Verdana" w:eastAsia="Calibri" w:hAnsi="Verdana" w:cs="Arial"/>
          <w:b/>
          <w:color w:val="1A1A1A" w:themeColor="background1" w:themeShade="1A"/>
        </w:rPr>
        <w:t>REGISTRO PRESUPUESTAL – Omisión – Consecuencias – Responsabilidad personal</w:t>
      </w:r>
    </w:p>
    <w:p w14:paraId="3DEF7DE2" w14:textId="77777777" w:rsidR="00387220" w:rsidRPr="002D5565" w:rsidRDefault="00387220" w:rsidP="00387220">
      <w:pPr>
        <w:spacing w:after="0" w:line="240" w:lineRule="auto"/>
        <w:contextualSpacing/>
        <w:jc w:val="both"/>
        <w:rPr>
          <w:rFonts w:ascii="Verdana" w:eastAsia="Calibri" w:hAnsi="Verdana" w:cs="Arial"/>
          <w:b/>
          <w:color w:val="1A1A1A" w:themeColor="background1" w:themeShade="1A"/>
          <w:sz w:val="20"/>
          <w:szCs w:val="20"/>
        </w:rPr>
      </w:pPr>
    </w:p>
    <w:p w14:paraId="27BD0C1D" w14:textId="77777777" w:rsidR="00387220" w:rsidRPr="002D5565" w:rsidRDefault="00387220" w:rsidP="00387220">
      <w:pPr>
        <w:spacing w:after="0" w:line="240" w:lineRule="auto"/>
        <w:contextualSpacing/>
        <w:jc w:val="both"/>
        <w:rPr>
          <w:rFonts w:ascii="Verdana" w:hAnsi="Verdana" w:cs="Arial"/>
          <w:color w:val="1A1A1A" w:themeColor="background1" w:themeShade="1A"/>
          <w:sz w:val="20"/>
          <w:szCs w:val="20"/>
        </w:rPr>
      </w:pPr>
      <w:r w:rsidRPr="002D5565">
        <w:rPr>
          <w:rFonts w:ascii="Verdana" w:eastAsia="Calibri" w:hAnsi="Verdana" w:cs="Arial"/>
          <w:color w:val="1A1A1A" w:themeColor="background1" w:themeShade="1A"/>
          <w:sz w:val="20"/>
          <w:szCs w:val="20"/>
        </w:rPr>
        <w:t xml:space="preserve">[…] </w:t>
      </w:r>
      <w:r w:rsidRPr="002D5565">
        <w:rPr>
          <w:rFonts w:ascii="Verdana" w:eastAsia="Times New Roman" w:hAnsi="Verdana" w:cs="Arial"/>
          <w:color w:val="1A1A1A" w:themeColor="background1" w:themeShade="1A"/>
          <w:sz w:val="20"/>
          <w:szCs w:val="20"/>
          <w:lang w:eastAsia="es-ES_tradnl"/>
        </w:rPr>
        <w:t>el Consejo de Estado, en sentencia del 12 de agosto de 2014, determinó, al analizar la responsabilidad del Estado cuando se compromete sin contar con Registro Presupuestal, que de conformidad con el artículo 71 del Decreto 111 de 1996, “[l]a sanción por la violación a esta norma es clara: el funcionario que omita el requisito responde disciplinaria, penal y fiscalmente, incluso patrimonialmente -alcance personal de la conducta-, por ejecutar un contrato sin respaldo presupuestal […]”</w:t>
      </w:r>
    </w:p>
    <w:p w14:paraId="1A86732E" w14:textId="77777777" w:rsidR="00387220" w:rsidRPr="002D5565" w:rsidRDefault="00387220" w:rsidP="00387220">
      <w:pPr>
        <w:spacing w:after="0" w:line="240" w:lineRule="auto"/>
        <w:contextualSpacing/>
        <w:jc w:val="both"/>
        <w:rPr>
          <w:rFonts w:ascii="Verdana" w:eastAsia="Calibri" w:hAnsi="Verdana" w:cs="Arial"/>
          <w:color w:val="1A1A1A" w:themeColor="background1" w:themeShade="1A"/>
          <w:sz w:val="20"/>
          <w:szCs w:val="20"/>
        </w:rPr>
      </w:pPr>
    </w:p>
    <w:p w14:paraId="32FD597E" w14:textId="77777777" w:rsidR="00387220" w:rsidRPr="002D5565" w:rsidRDefault="00387220" w:rsidP="00387220">
      <w:pPr>
        <w:spacing w:after="0" w:line="240" w:lineRule="auto"/>
        <w:contextualSpacing/>
        <w:jc w:val="both"/>
        <w:rPr>
          <w:rFonts w:ascii="Verdana" w:eastAsia="Calibri" w:hAnsi="Verdana" w:cs="Arial"/>
          <w:color w:val="1A1A1A" w:themeColor="background1" w:themeShade="1A"/>
          <w:sz w:val="20"/>
          <w:szCs w:val="20"/>
        </w:rPr>
      </w:pPr>
      <w:r w:rsidRPr="002D5565">
        <w:rPr>
          <w:rFonts w:ascii="Verdana" w:eastAsia="Calibri" w:hAnsi="Verdana" w:cs="Arial"/>
          <w:color w:val="1A1A1A" w:themeColor="background1" w:themeShade="1A"/>
          <w:sz w:val="20"/>
          <w:szCs w:val="20"/>
        </w:rPr>
        <w:lastRenderedPageBreak/>
        <w:t>[…]</w:t>
      </w:r>
    </w:p>
    <w:p w14:paraId="3C5F0FF0" w14:textId="77777777" w:rsidR="00387220" w:rsidRPr="002D5565" w:rsidRDefault="00387220" w:rsidP="00387220">
      <w:pPr>
        <w:spacing w:after="0" w:line="240" w:lineRule="auto"/>
        <w:contextualSpacing/>
        <w:jc w:val="both"/>
        <w:rPr>
          <w:rFonts w:ascii="Verdana" w:eastAsia="Calibri" w:hAnsi="Verdana" w:cs="Arial"/>
          <w:color w:val="1A1A1A" w:themeColor="background1" w:themeShade="1A"/>
          <w:sz w:val="20"/>
          <w:szCs w:val="20"/>
        </w:rPr>
      </w:pPr>
    </w:p>
    <w:p w14:paraId="25F349DF" w14:textId="77777777" w:rsidR="00387220" w:rsidRPr="002D5565" w:rsidRDefault="00387220" w:rsidP="00387220">
      <w:pPr>
        <w:spacing w:after="0" w:line="240" w:lineRule="auto"/>
        <w:contextualSpacing/>
        <w:jc w:val="both"/>
        <w:rPr>
          <w:rFonts w:ascii="Verdana" w:eastAsia="Times New Roman" w:hAnsi="Verdana" w:cs="Arial"/>
          <w:color w:val="1A1A1A" w:themeColor="background1" w:themeShade="1A"/>
          <w:sz w:val="20"/>
          <w:szCs w:val="20"/>
          <w:lang w:eastAsia="es-ES_tradnl"/>
        </w:rPr>
      </w:pPr>
      <w:r w:rsidRPr="002D5565">
        <w:rPr>
          <w:rFonts w:ascii="Verdana" w:eastAsia="Times New Roman" w:hAnsi="Verdana" w:cs="Arial"/>
          <w:color w:val="1A1A1A" w:themeColor="background1" w:themeShade="1A"/>
          <w:sz w:val="20"/>
          <w:szCs w:val="20"/>
          <w:lang w:eastAsia="es-ES_tradnl"/>
        </w:rPr>
        <w:t>De conformidad con lo anterior, es claro que la sanción por omitir la obligación de contar con el Registro Presupuestal no afecta el acto o contrato mismo, sino que es de tipo personal, esto es, responde el funcionario que omita dicho requisito, y el modo de responsabilidad en la que podría incurrir es de carácter disciplinaria, penal y fiscal, incluso patrimonial –en consideración al alcance personal de la conducta–.</w:t>
      </w:r>
    </w:p>
    <w:p w14:paraId="0165C822" w14:textId="77777777" w:rsidR="00387220" w:rsidRDefault="00387220" w:rsidP="00387220">
      <w:pPr>
        <w:spacing w:after="0" w:line="240" w:lineRule="auto"/>
        <w:rPr>
          <w:rFonts w:ascii="Verdana" w:eastAsia="Geomanist Light" w:hAnsi="Verdana" w:cs="Arial"/>
          <w:color w:val="000000" w:themeColor="text1"/>
          <w:lang w:val="es-MX"/>
        </w:rPr>
      </w:pPr>
    </w:p>
    <w:p w14:paraId="38BB64D8" w14:textId="77777777" w:rsidR="00387220" w:rsidRDefault="00387220" w:rsidP="00387220">
      <w:pPr>
        <w:spacing w:after="0" w:line="240" w:lineRule="auto"/>
        <w:rPr>
          <w:rFonts w:ascii="Verdana" w:eastAsia="Calibri" w:hAnsi="Verdana" w:cs="Arial"/>
          <w:b/>
          <w:color w:val="1A1A1A" w:themeColor="background1" w:themeShade="1A"/>
        </w:rPr>
      </w:pPr>
      <w:r w:rsidRPr="002D5565">
        <w:rPr>
          <w:rFonts w:ascii="Verdana" w:eastAsia="Calibri" w:hAnsi="Verdana" w:cs="Arial"/>
          <w:b/>
          <w:color w:val="1A1A1A" w:themeColor="background1" w:themeShade="1A"/>
        </w:rPr>
        <w:t xml:space="preserve">REGISTRO PRESUPUESTAL – </w:t>
      </w:r>
      <w:r>
        <w:rPr>
          <w:rFonts w:ascii="Verdana" w:eastAsia="Calibri" w:hAnsi="Verdana" w:cs="Arial"/>
          <w:b/>
          <w:color w:val="1A1A1A" w:themeColor="background1" w:themeShade="1A"/>
        </w:rPr>
        <w:t xml:space="preserve">Contrato </w:t>
      </w:r>
      <w:r w:rsidRPr="002D5565">
        <w:rPr>
          <w:rFonts w:ascii="Verdana" w:eastAsia="Calibri" w:hAnsi="Verdana" w:cs="Arial"/>
          <w:b/>
          <w:color w:val="1A1A1A" w:themeColor="background1" w:themeShade="1A"/>
        </w:rPr>
        <w:t xml:space="preserve">– </w:t>
      </w:r>
      <w:r>
        <w:rPr>
          <w:rFonts w:ascii="Verdana" w:eastAsia="Calibri" w:hAnsi="Verdana" w:cs="Arial"/>
          <w:b/>
          <w:color w:val="1A1A1A" w:themeColor="background1" w:themeShade="1A"/>
        </w:rPr>
        <w:t>Relación</w:t>
      </w:r>
    </w:p>
    <w:p w14:paraId="0818778F" w14:textId="77777777" w:rsidR="00387220" w:rsidRDefault="00387220" w:rsidP="00387220">
      <w:pPr>
        <w:spacing w:after="0" w:line="240" w:lineRule="auto"/>
        <w:rPr>
          <w:rFonts w:ascii="Verdana" w:eastAsia="Calibri" w:hAnsi="Verdana" w:cs="Arial"/>
          <w:b/>
          <w:color w:val="1A1A1A" w:themeColor="background1" w:themeShade="1A"/>
        </w:rPr>
      </w:pPr>
    </w:p>
    <w:p w14:paraId="2DAF53A9" w14:textId="77777777" w:rsidR="00387220" w:rsidRPr="00375F0B" w:rsidRDefault="00387220" w:rsidP="00387220">
      <w:pPr>
        <w:spacing w:after="0" w:line="240" w:lineRule="auto"/>
        <w:contextualSpacing/>
        <w:jc w:val="both"/>
        <w:rPr>
          <w:rFonts w:ascii="Verdana" w:eastAsia="Times New Roman" w:hAnsi="Verdana" w:cs="Arial"/>
          <w:color w:val="1A1A1A" w:themeColor="background1" w:themeShade="1A"/>
          <w:sz w:val="20"/>
          <w:szCs w:val="20"/>
          <w:lang w:eastAsia="es-ES_tradnl"/>
        </w:rPr>
      </w:pPr>
      <w:r w:rsidRPr="00375F0B">
        <w:rPr>
          <w:rFonts w:ascii="Verdana" w:eastAsia="Times New Roman" w:hAnsi="Verdana" w:cs="Arial"/>
          <w:color w:val="1A1A1A" w:themeColor="background1" w:themeShade="1A"/>
          <w:sz w:val="20"/>
          <w:szCs w:val="20"/>
          <w:lang w:eastAsia="es-ES_tradnl"/>
        </w:rPr>
        <w:t xml:space="preserve">Se concluye que no es posible la expedición del Registro Presupuestal antes de la firma del contrato porque el objetivo normativo presupuestario de este trámite es resguardar, amparar y registrar la disponibilidad presupuestal de los rubros y códigos financieros con los que se garantiza el dinero del proyecto o contrato. En consecuencia, solo podrá surtirse este trámite luego de la firma del contrato, ya que esto no genera nulidad alguna sobre este, pero si recaen ciertas responsabilidades personales y pecuniarias sobre el funcionario que omita el cumplimiento de estos supuestos. </w:t>
      </w:r>
    </w:p>
    <w:p w14:paraId="3A294267" w14:textId="77777777" w:rsidR="00387220" w:rsidRPr="00375F0B" w:rsidRDefault="00387220" w:rsidP="00387220">
      <w:pPr>
        <w:spacing w:after="0" w:line="240" w:lineRule="auto"/>
        <w:rPr>
          <w:rFonts w:ascii="Verdana" w:eastAsia="Geomanist Light" w:hAnsi="Verdana" w:cs="Arial"/>
          <w:color w:val="000000" w:themeColor="text1"/>
        </w:rPr>
      </w:pPr>
    </w:p>
    <w:p w14:paraId="5BE5323F" w14:textId="77777777" w:rsidR="00387220" w:rsidRDefault="00387220" w:rsidP="00387220">
      <w:pPr>
        <w:spacing w:after="0" w:line="240" w:lineRule="auto"/>
        <w:rPr>
          <w:rFonts w:ascii="Verdana" w:eastAsia="Calibri" w:hAnsi="Verdana" w:cs="Arial"/>
          <w:b/>
          <w:color w:val="1A1A1A" w:themeColor="background1" w:themeShade="1A"/>
        </w:rPr>
      </w:pPr>
      <w:r>
        <w:rPr>
          <w:rFonts w:ascii="Verdana" w:eastAsia="Calibri" w:hAnsi="Verdana" w:cs="Arial"/>
          <w:b/>
          <w:color w:val="1A1A1A" w:themeColor="background1" w:themeShade="1A"/>
        </w:rPr>
        <w:t>HONORARIOS</w:t>
      </w:r>
      <w:r w:rsidRPr="002D5565">
        <w:rPr>
          <w:rFonts w:ascii="Verdana" w:eastAsia="Calibri" w:hAnsi="Verdana" w:cs="Arial"/>
          <w:b/>
          <w:color w:val="1A1A1A" w:themeColor="background1" w:themeShade="1A"/>
        </w:rPr>
        <w:t xml:space="preserve"> – </w:t>
      </w:r>
      <w:r>
        <w:rPr>
          <w:rFonts w:ascii="Verdana" w:eastAsia="Calibri" w:hAnsi="Verdana" w:cs="Arial"/>
          <w:b/>
          <w:color w:val="1A1A1A" w:themeColor="background1" w:themeShade="1A"/>
        </w:rPr>
        <w:t xml:space="preserve">Salario </w:t>
      </w:r>
      <w:r w:rsidRPr="002D5565">
        <w:rPr>
          <w:rFonts w:ascii="Verdana" w:eastAsia="Calibri" w:hAnsi="Verdana" w:cs="Arial"/>
          <w:b/>
          <w:color w:val="1A1A1A" w:themeColor="background1" w:themeShade="1A"/>
        </w:rPr>
        <w:t xml:space="preserve">– </w:t>
      </w:r>
      <w:r>
        <w:rPr>
          <w:rFonts w:ascii="Verdana" w:eastAsia="Calibri" w:hAnsi="Verdana" w:cs="Arial"/>
          <w:b/>
          <w:color w:val="1A1A1A" w:themeColor="background1" w:themeShade="1A"/>
        </w:rPr>
        <w:t>Diferencia</w:t>
      </w:r>
    </w:p>
    <w:p w14:paraId="02C58A02" w14:textId="77777777" w:rsidR="00387220" w:rsidRDefault="00387220" w:rsidP="00387220">
      <w:pPr>
        <w:spacing w:after="0" w:line="240" w:lineRule="auto"/>
        <w:rPr>
          <w:rFonts w:ascii="Verdana" w:eastAsia="Calibri" w:hAnsi="Verdana" w:cs="Arial"/>
          <w:b/>
          <w:color w:val="1A1A1A" w:themeColor="background1" w:themeShade="1A"/>
        </w:rPr>
      </w:pPr>
    </w:p>
    <w:p w14:paraId="6F4C3083" w14:textId="77777777" w:rsidR="00387220" w:rsidRPr="00375F0B" w:rsidRDefault="00387220" w:rsidP="00387220">
      <w:pPr>
        <w:spacing w:after="0" w:line="240" w:lineRule="auto"/>
        <w:contextualSpacing/>
        <w:jc w:val="both"/>
        <w:rPr>
          <w:rFonts w:ascii="Verdana" w:eastAsia="Times New Roman" w:hAnsi="Verdana" w:cs="Arial"/>
          <w:color w:val="1A1A1A" w:themeColor="background1" w:themeShade="1A"/>
          <w:sz w:val="20"/>
          <w:szCs w:val="20"/>
          <w:lang w:eastAsia="es-ES_tradnl"/>
        </w:rPr>
      </w:pPr>
      <w:r w:rsidRPr="00375F0B">
        <w:rPr>
          <w:rFonts w:ascii="Verdana" w:eastAsia="Times New Roman" w:hAnsi="Verdana" w:cs="Arial"/>
          <w:color w:val="1A1A1A" w:themeColor="background1" w:themeShade="1A"/>
          <w:sz w:val="20"/>
          <w:szCs w:val="20"/>
          <w:lang w:eastAsia="es-ES_tradnl"/>
        </w:rPr>
        <w:t xml:space="preserve">No existe en el sistema de compra pública una disposición de origen legal que defina los honorarios, por </w:t>
      </w:r>
      <w:proofErr w:type="gramStart"/>
      <w:r w:rsidRPr="00375F0B">
        <w:rPr>
          <w:rFonts w:ascii="Verdana" w:eastAsia="Times New Roman" w:hAnsi="Verdana" w:cs="Arial"/>
          <w:color w:val="1A1A1A" w:themeColor="background1" w:themeShade="1A"/>
          <w:sz w:val="20"/>
          <w:szCs w:val="20"/>
          <w:lang w:eastAsia="es-ES_tradnl"/>
        </w:rPr>
        <w:t>tanto</w:t>
      </w:r>
      <w:proofErr w:type="gramEnd"/>
      <w:r w:rsidRPr="00375F0B">
        <w:rPr>
          <w:rFonts w:ascii="Verdana" w:eastAsia="Times New Roman" w:hAnsi="Verdana" w:cs="Arial"/>
          <w:color w:val="1A1A1A" w:themeColor="background1" w:themeShade="1A"/>
          <w:sz w:val="20"/>
          <w:szCs w:val="20"/>
          <w:lang w:eastAsia="es-ES_tradnl"/>
        </w:rPr>
        <w:t xml:space="preserve"> el Diccionario de la Real Academia Española indica: “m. pl. Importe de los servicios de algunas profesiones liberales. Sin.: remuneración, retribución, estipendio, emolumentos”. Por </w:t>
      </w:r>
      <w:proofErr w:type="gramStart"/>
      <w:r w:rsidRPr="00375F0B">
        <w:rPr>
          <w:rFonts w:ascii="Verdana" w:eastAsia="Times New Roman" w:hAnsi="Verdana" w:cs="Arial"/>
          <w:color w:val="1A1A1A" w:themeColor="background1" w:themeShade="1A"/>
          <w:sz w:val="20"/>
          <w:szCs w:val="20"/>
          <w:lang w:eastAsia="es-ES_tradnl"/>
        </w:rPr>
        <w:t>tanto</w:t>
      </w:r>
      <w:proofErr w:type="gramEnd"/>
      <w:r w:rsidRPr="00375F0B">
        <w:rPr>
          <w:rFonts w:ascii="Verdana" w:eastAsia="Times New Roman" w:hAnsi="Verdana" w:cs="Arial"/>
          <w:color w:val="1A1A1A" w:themeColor="background1" w:themeShade="1A"/>
          <w:sz w:val="20"/>
          <w:szCs w:val="20"/>
          <w:lang w:eastAsia="es-ES_tradnl"/>
        </w:rPr>
        <w:t xml:space="preserve"> es el dinero que se paga a cambio de un servicio adquirido mediante un contrato diferente al laboral. Por otra parte, la definición de salario se encuentra consagrada en el Código Sustantivo del Trabajo, artículo 22, cuando se refiere al contrato de trabajo y también señala: “Quien presta el servicio se denomina trabajador, quien lo recibe y remunera, empleador, y la remuneración, cualquiera que sea su forma, salario”.</w:t>
      </w:r>
    </w:p>
    <w:p w14:paraId="58EDFDDD" w14:textId="77777777" w:rsidR="00387220" w:rsidRDefault="00387220" w:rsidP="00387220">
      <w:pPr>
        <w:spacing w:after="0" w:line="240" w:lineRule="auto"/>
        <w:contextualSpacing/>
        <w:jc w:val="both"/>
        <w:rPr>
          <w:rFonts w:ascii="Verdana" w:eastAsia="Times New Roman" w:hAnsi="Verdana" w:cs="Arial"/>
          <w:color w:val="1A1A1A" w:themeColor="background1" w:themeShade="1A"/>
          <w:sz w:val="20"/>
          <w:szCs w:val="20"/>
          <w:lang w:eastAsia="es-ES_tradnl"/>
        </w:rPr>
      </w:pPr>
    </w:p>
    <w:p w14:paraId="3D30E3D2" w14:textId="77777777" w:rsidR="00387220" w:rsidRPr="00375F0B" w:rsidRDefault="00387220" w:rsidP="00387220">
      <w:pPr>
        <w:spacing w:after="0" w:line="240" w:lineRule="auto"/>
        <w:contextualSpacing/>
        <w:jc w:val="both"/>
        <w:rPr>
          <w:rFonts w:ascii="Verdana" w:eastAsia="Times New Roman" w:hAnsi="Verdana" w:cs="Arial"/>
          <w:color w:val="1A1A1A" w:themeColor="background1" w:themeShade="1A"/>
          <w:sz w:val="20"/>
          <w:szCs w:val="20"/>
          <w:lang w:eastAsia="es-ES_tradnl"/>
        </w:rPr>
      </w:pPr>
      <w:r w:rsidRPr="00375F0B">
        <w:rPr>
          <w:rFonts w:ascii="Verdana" w:eastAsia="Times New Roman" w:hAnsi="Verdana" w:cs="Arial"/>
          <w:color w:val="1A1A1A" w:themeColor="background1" w:themeShade="1A"/>
          <w:sz w:val="20"/>
          <w:szCs w:val="20"/>
          <w:lang w:eastAsia="es-ES_tradnl"/>
        </w:rPr>
        <w:t>De esta manera, la diferencia entre honorarios y salario radica, entre otros, en el tipo de contrato en el cual se establecen como pago por la prestación de un servicio, ya que si la vinculación es mediante contrato de trabajo el pago se denomina salario, y si es mediante un contrato civil como el contrato de prestación de servicios, se denomina honorarios.</w:t>
      </w:r>
    </w:p>
    <w:p w14:paraId="17A0D5A5" w14:textId="77777777" w:rsidR="00387220" w:rsidRDefault="00387220" w:rsidP="00387220">
      <w:pPr>
        <w:spacing w:after="0" w:line="240" w:lineRule="auto"/>
        <w:rPr>
          <w:rFonts w:ascii="Verdana" w:eastAsia="Calibri" w:hAnsi="Verdana" w:cs="Arial"/>
          <w:b/>
          <w:color w:val="1A1A1A" w:themeColor="background1" w:themeShade="1A"/>
        </w:rPr>
      </w:pPr>
    </w:p>
    <w:p w14:paraId="1030D311" w14:textId="77777777" w:rsidR="00387220" w:rsidRDefault="00387220" w:rsidP="00387220">
      <w:pPr>
        <w:spacing w:after="0" w:line="240" w:lineRule="auto"/>
        <w:rPr>
          <w:rFonts w:ascii="Verdana" w:eastAsia="Calibri" w:hAnsi="Verdana" w:cs="Arial"/>
          <w:b/>
          <w:color w:val="1A1A1A" w:themeColor="background1" w:themeShade="1A"/>
        </w:rPr>
      </w:pPr>
      <w:r>
        <w:rPr>
          <w:rFonts w:ascii="Verdana" w:eastAsia="Calibri" w:hAnsi="Verdana" w:cs="Arial"/>
          <w:b/>
          <w:color w:val="1A1A1A" w:themeColor="background1" w:themeShade="1A"/>
        </w:rPr>
        <w:t>PAGO – Entidad estatal – Deber – Contratista – Derecho</w:t>
      </w:r>
    </w:p>
    <w:p w14:paraId="3C1DE886" w14:textId="77777777" w:rsidR="00387220" w:rsidRDefault="00387220" w:rsidP="00387220">
      <w:pPr>
        <w:spacing w:after="0" w:line="240" w:lineRule="auto"/>
        <w:rPr>
          <w:rFonts w:ascii="Verdana" w:eastAsia="Calibri" w:hAnsi="Verdana" w:cs="Arial"/>
          <w:b/>
          <w:color w:val="1A1A1A" w:themeColor="background1" w:themeShade="1A"/>
        </w:rPr>
      </w:pPr>
    </w:p>
    <w:p w14:paraId="626E431B" w14:textId="77777777" w:rsidR="00387220" w:rsidRPr="00375F0B" w:rsidRDefault="00387220" w:rsidP="00387220">
      <w:pPr>
        <w:spacing w:after="0" w:line="240" w:lineRule="auto"/>
        <w:contextualSpacing/>
        <w:jc w:val="both"/>
        <w:rPr>
          <w:rFonts w:ascii="Verdana" w:eastAsia="Times New Roman" w:hAnsi="Verdana" w:cs="Arial"/>
          <w:color w:val="1A1A1A" w:themeColor="background1" w:themeShade="1A"/>
          <w:sz w:val="20"/>
          <w:szCs w:val="20"/>
          <w:lang w:eastAsia="es-ES_tradnl"/>
        </w:rPr>
      </w:pPr>
      <w:r w:rsidRPr="00375F0B">
        <w:rPr>
          <w:rFonts w:ascii="Verdana" w:eastAsia="Times New Roman" w:hAnsi="Verdana" w:cs="Arial"/>
          <w:color w:val="1A1A1A" w:themeColor="background1" w:themeShade="1A"/>
          <w:sz w:val="20"/>
          <w:szCs w:val="20"/>
          <w:lang w:eastAsia="es-ES_tradnl"/>
        </w:rPr>
        <w:t>Por último, respecto de la obligación de las entidades estatales de realizar el pago de los honorarios pactados en los contratos que suscriben, la Ley 80 de 1993 en sus artículos 4 y 5 señalan el deber de las entidades contratantes de realizar el pago a los contratistas, y el derecho de los contratistas “a recibir oportunamente la remuneración pactada y a que el valor intrínseco de la misma no se altere o modifique durante la vigencia del contrato”.</w:t>
      </w:r>
    </w:p>
    <w:p w14:paraId="3B114843" w14:textId="77777777" w:rsidR="00387220" w:rsidRDefault="00387220" w:rsidP="00387220">
      <w:pPr>
        <w:spacing w:after="0" w:line="240" w:lineRule="auto"/>
        <w:rPr>
          <w:rFonts w:ascii="Verdana" w:eastAsia="Geomanist Light" w:hAnsi="Verdana" w:cs="Arial"/>
          <w:color w:val="000000" w:themeColor="text1"/>
          <w:lang w:val="es-MX"/>
        </w:rPr>
      </w:pPr>
    </w:p>
    <w:p w14:paraId="210E09EF" w14:textId="77777777" w:rsidR="00387220" w:rsidRDefault="00387220" w:rsidP="00387220">
      <w:pPr>
        <w:spacing w:after="0" w:line="240" w:lineRule="auto"/>
        <w:rPr>
          <w:rFonts w:ascii="Verdana" w:eastAsia="Geomanist Light" w:hAnsi="Verdana" w:cs="Arial"/>
          <w:color w:val="000000" w:themeColor="text1"/>
          <w:lang w:val="es-MX"/>
        </w:rPr>
      </w:pPr>
    </w:p>
    <w:p w14:paraId="329FD644" w14:textId="77777777" w:rsidR="00387220" w:rsidRDefault="00387220" w:rsidP="00387220">
      <w:pPr>
        <w:spacing w:after="0" w:line="240" w:lineRule="auto"/>
        <w:rPr>
          <w:rFonts w:ascii="Verdana" w:eastAsia="Geomanist Light" w:hAnsi="Verdana" w:cs="Arial"/>
          <w:color w:val="000000" w:themeColor="text1"/>
          <w:lang w:val="es-MX"/>
        </w:rPr>
      </w:pPr>
    </w:p>
    <w:p w14:paraId="43F0026A" w14:textId="6A3F9729" w:rsidR="00387220" w:rsidRDefault="00387220" w:rsidP="0056004C">
      <w:pPr>
        <w:spacing w:after="0" w:line="240" w:lineRule="auto"/>
        <w:rPr>
          <w:rFonts w:ascii="Verdana" w:eastAsia="Calibri" w:hAnsi="Verdana" w:cs="Arial"/>
          <w:color w:val="000000"/>
          <w:lang w:val="es-MX"/>
        </w:rPr>
      </w:pPr>
      <w:r w:rsidRPr="005671C4">
        <w:rPr>
          <w:rFonts w:ascii="Verdana" w:eastAsia="Geomanist Light" w:hAnsi="Verdana" w:cs="Arial"/>
          <w:color w:val="000000" w:themeColor="text1"/>
          <w:lang w:val="es-MX"/>
        </w:rPr>
        <w:lastRenderedPageBreak/>
        <w:t>Bogotá D.C., </w:t>
      </w:r>
      <w:r w:rsidRPr="0031759C">
        <w:rPr>
          <w:rFonts w:ascii="Verdana" w:eastAsia="Geomanist Light" w:hAnsi="Verdana" w:cs="Arial"/>
          <w:color w:val="000000" w:themeColor="text1"/>
          <w:lang w:val="es-ES_tradnl"/>
        </w:rPr>
        <w:t>[Día] de [</w:t>
      </w:r>
      <w:proofErr w:type="spellStart"/>
      <w:r w:rsidRPr="0031759C">
        <w:rPr>
          <w:rFonts w:ascii="Verdana" w:eastAsia="Geomanist Light" w:hAnsi="Verdana" w:cs="Arial"/>
          <w:color w:val="000000" w:themeColor="text1"/>
          <w:lang w:val="es-ES_tradnl"/>
        </w:rPr>
        <w:t>Mes.NombreCapitalizado</w:t>
      </w:r>
      <w:proofErr w:type="spellEnd"/>
      <w:r w:rsidRPr="0031759C">
        <w:rPr>
          <w:rFonts w:ascii="Verdana" w:eastAsia="Geomanist Light" w:hAnsi="Verdana" w:cs="Arial"/>
          <w:color w:val="000000" w:themeColor="text1"/>
          <w:lang w:val="es-ES_tradnl"/>
        </w:rPr>
        <w:t>] de [Año]</w:t>
      </w:r>
    </w:p>
    <w:p w14:paraId="5FC5A63D" w14:textId="77777777" w:rsidR="0056004C" w:rsidRDefault="0056004C" w:rsidP="00387220">
      <w:pPr>
        <w:spacing w:after="0" w:line="240" w:lineRule="auto"/>
        <w:jc w:val="both"/>
        <w:rPr>
          <w:rFonts w:ascii="Verdana" w:eastAsia="Calibri" w:hAnsi="Verdana" w:cs="Arial"/>
          <w:color w:val="000000"/>
          <w:lang w:val="es-MX"/>
        </w:rPr>
      </w:pPr>
    </w:p>
    <w:p w14:paraId="2E8C8163" w14:textId="59D26949" w:rsidR="0056004C" w:rsidRDefault="0056004C" w:rsidP="0056004C">
      <w:pPr>
        <w:spacing w:after="0" w:line="240" w:lineRule="auto"/>
        <w:jc w:val="right"/>
        <w:rPr>
          <w:rFonts w:ascii="Verdana" w:eastAsia="Calibri" w:hAnsi="Verdana" w:cs="Arial"/>
          <w:color w:val="000000"/>
          <w:lang w:val="es-MX"/>
        </w:rPr>
      </w:pPr>
      <w:r w:rsidRPr="0056004C">
        <w:rPr>
          <w:rFonts w:ascii="Verdana" w:eastAsia="Calibri" w:hAnsi="Verdana" w:cs="Arial"/>
          <w:noProof/>
          <w:color w:val="000000"/>
          <w:lang w:val="es-MX"/>
        </w:rPr>
        <w:drawing>
          <wp:inline distT="0" distB="0" distL="0" distR="0" wp14:anchorId="781E0E00" wp14:editId="73F00968">
            <wp:extent cx="3305998" cy="930303"/>
            <wp:effectExtent l="0" t="0" r="889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28953" cy="936763"/>
                    </a:xfrm>
                    <a:prstGeom prst="rect">
                      <a:avLst/>
                    </a:prstGeom>
                  </pic:spPr>
                </pic:pic>
              </a:graphicData>
            </a:graphic>
          </wp:inline>
        </w:drawing>
      </w:r>
    </w:p>
    <w:p w14:paraId="15837ADE" w14:textId="77777777" w:rsidR="0056004C" w:rsidRPr="008F71F8" w:rsidRDefault="0056004C" w:rsidP="00387220">
      <w:pPr>
        <w:spacing w:after="0" w:line="240" w:lineRule="auto"/>
        <w:jc w:val="both"/>
        <w:rPr>
          <w:rFonts w:ascii="Verdana" w:eastAsia="Calibri" w:hAnsi="Verdana" w:cs="Arial"/>
          <w:color w:val="000000"/>
          <w:lang w:val="es-MX"/>
        </w:rPr>
      </w:pPr>
    </w:p>
    <w:p w14:paraId="6999852E" w14:textId="77777777" w:rsidR="00387220" w:rsidRPr="0031759C" w:rsidRDefault="00387220" w:rsidP="00387220">
      <w:pPr>
        <w:spacing w:after="0" w:line="240" w:lineRule="auto"/>
        <w:jc w:val="both"/>
        <w:rPr>
          <w:rFonts w:ascii="Verdana" w:eastAsia="Calibri" w:hAnsi="Verdana" w:cs="Arial"/>
          <w:lang w:val="en-US" w:eastAsia="es-ES"/>
        </w:rPr>
      </w:pPr>
      <w:proofErr w:type="spellStart"/>
      <w:r w:rsidRPr="0031759C">
        <w:rPr>
          <w:rFonts w:ascii="Verdana" w:eastAsia="Calibri" w:hAnsi="Verdana" w:cs="Arial"/>
          <w:lang w:val="en-US" w:eastAsia="es-ES"/>
        </w:rPr>
        <w:t>Seño</w:t>
      </w:r>
      <w:r>
        <w:rPr>
          <w:rFonts w:ascii="Verdana" w:eastAsia="Calibri" w:hAnsi="Verdana" w:cs="Arial"/>
          <w:lang w:val="en-US" w:eastAsia="es-ES"/>
        </w:rPr>
        <w:t>ra</w:t>
      </w:r>
      <w:proofErr w:type="spellEnd"/>
    </w:p>
    <w:p w14:paraId="41972C66" w14:textId="77777777" w:rsidR="00387220" w:rsidRPr="0031759C" w:rsidRDefault="00387220" w:rsidP="00387220">
      <w:pPr>
        <w:spacing w:after="0" w:line="240" w:lineRule="auto"/>
        <w:rPr>
          <w:rFonts w:ascii="Verdana" w:eastAsia="Calibri" w:hAnsi="Verdana" w:cs="Arial"/>
          <w:b/>
          <w:lang w:val="en-US" w:eastAsia="es-ES_tradnl"/>
        </w:rPr>
      </w:pPr>
      <w:r w:rsidRPr="0031759C">
        <w:rPr>
          <w:rFonts w:ascii="Verdana" w:eastAsia="Calibri" w:hAnsi="Verdana" w:cs="Arial"/>
          <w:b/>
          <w:lang w:val="en-US" w:eastAsia="es-ES_tradnl"/>
        </w:rPr>
        <w:t>Yensy Kath</w:t>
      </w:r>
      <w:r>
        <w:rPr>
          <w:rFonts w:ascii="Verdana" w:eastAsia="Calibri" w:hAnsi="Verdana" w:cs="Arial"/>
          <w:b/>
          <w:lang w:val="en-US" w:eastAsia="es-ES_tradnl"/>
        </w:rPr>
        <w:t>erine Sánchez Puentes</w:t>
      </w:r>
    </w:p>
    <w:p w14:paraId="5F8F141A" w14:textId="77777777" w:rsidR="00387220" w:rsidRPr="004252AE" w:rsidRDefault="00387220" w:rsidP="00387220">
      <w:pPr>
        <w:spacing w:after="0" w:line="240" w:lineRule="auto"/>
        <w:rPr>
          <w:rFonts w:ascii="Verdana" w:hAnsi="Verdana"/>
          <w:lang w:val="en-US"/>
        </w:rPr>
      </w:pPr>
      <w:hyperlink r:id="rId11" w:history="1">
        <w:r w:rsidRPr="004252AE">
          <w:rPr>
            <w:rStyle w:val="Hipervnculo"/>
            <w:rFonts w:ascii="Verdana" w:hAnsi="Verdana"/>
            <w:lang w:val="en-US"/>
          </w:rPr>
          <w:t>kspconsultance.legaladvice@gmail.com</w:t>
        </w:r>
      </w:hyperlink>
      <w:r w:rsidRPr="004252AE">
        <w:rPr>
          <w:rFonts w:ascii="Verdana" w:hAnsi="Verdana"/>
          <w:lang w:val="en-US"/>
        </w:rPr>
        <w:t xml:space="preserve"> </w:t>
      </w:r>
    </w:p>
    <w:p w14:paraId="0F031B7D" w14:textId="77777777" w:rsidR="00387220" w:rsidRPr="005671C4" w:rsidRDefault="00387220" w:rsidP="00387220">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Ciudad</w:t>
      </w:r>
    </w:p>
    <w:p w14:paraId="05424F6C" w14:textId="77777777" w:rsidR="00387220" w:rsidRPr="00D33448" w:rsidRDefault="00387220" w:rsidP="0038722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87220" w:rsidRPr="00D33448" w14:paraId="5AAC187B" w14:textId="77777777" w:rsidTr="00E677B5">
        <w:trPr>
          <w:trHeight w:val="884"/>
        </w:trPr>
        <w:tc>
          <w:tcPr>
            <w:tcW w:w="2689" w:type="dxa"/>
          </w:tcPr>
          <w:p w14:paraId="5BEDA0E0" w14:textId="77777777" w:rsidR="00387220" w:rsidRPr="00D33448" w:rsidRDefault="00387220" w:rsidP="00E677B5">
            <w:pPr>
              <w:jc w:val="both"/>
              <w:rPr>
                <w:rFonts w:ascii="Verdana" w:eastAsia="Calibri" w:hAnsi="Verdana" w:cs="Arial"/>
                <w:b/>
                <w:bCs/>
                <w:lang w:val="es-ES_tradnl" w:eastAsia="es-ES_tradnl"/>
              </w:rPr>
            </w:pPr>
          </w:p>
        </w:tc>
        <w:tc>
          <w:tcPr>
            <w:tcW w:w="6100" w:type="dxa"/>
          </w:tcPr>
          <w:p w14:paraId="46418585" w14:textId="77777777" w:rsidR="00387220" w:rsidRPr="00D7487F" w:rsidRDefault="00387220" w:rsidP="00E677B5">
            <w:pPr>
              <w:jc w:val="both"/>
              <w:rPr>
                <w:rFonts w:ascii="Verdana" w:eastAsia="Calibri" w:hAnsi="Verdana" w:cs="Arial"/>
                <w:b/>
                <w:bCs/>
                <w:lang w:val="es-ES" w:eastAsia="es-ES"/>
              </w:rPr>
            </w:pPr>
            <w:r w:rsidRPr="00D7487F">
              <w:rPr>
                <w:rFonts w:ascii="Verdana" w:eastAsia="Calibri" w:hAnsi="Verdana" w:cs="Arial"/>
                <w:b/>
                <w:bCs/>
                <w:lang w:val="es-ES" w:eastAsia="es-ES"/>
              </w:rPr>
              <w:t>Concepto C-1039 de 2024</w:t>
            </w:r>
          </w:p>
        </w:tc>
      </w:tr>
      <w:tr w:rsidR="00387220" w:rsidRPr="00D33448" w14:paraId="0D7A278F" w14:textId="77777777" w:rsidTr="00E677B5">
        <w:trPr>
          <w:trHeight w:val="884"/>
        </w:trPr>
        <w:tc>
          <w:tcPr>
            <w:tcW w:w="2689" w:type="dxa"/>
          </w:tcPr>
          <w:p w14:paraId="1734065F" w14:textId="77777777" w:rsidR="00387220" w:rsidRPr="00D33448" w:rsidRDefault="00387220" w:rsidP="00E677B5">
            <w:pPr>
              <w:jc w:val="both"/>
              <w:rPr>
                <w:rFonts w:ascii="Verdana" w:eastAsia="Calibri" w:hAnsi="Verdana" w:cs="Arial"/>
                <w:lang w:val="es-ES_tradnl" w:eastAsia="es-ES_tradnl"/>
              </w:rPr>
            </w:pPr>
            <w:r w:rsidRPr="00D33448">
              <w:rPr>
                <w:rFonts w:ascii="Verdana" w:eastAsia="Calibri" w:hAnsi="Verdana" w:cs="Arial"/>
                <w:b/>
                <w:lang w:val="es-ES_tradnl" w:eastAsia="es-ES_tradnl"/>
              </w:rPr>
              <w:t>Temas:</w:t>
            </w:r>
            <w:r w:rsidRPr="00D33448">
              <w:rPr>
                <w:rFonts w:ascii="Verdana" w:eastAsia="Calibri" w:hAnsi="Verdana" w:cs="Arial"/>
                <w:lang w:val="es-ES_tradnl" w:eastAsia="es-ES_tradnl"/>
              </w:rPr>
              <w:t xml:space="preserve">                   </w:t>
            </w:r>
          </w:p>
        </w:tc>
        <w:tc>
          <w:tcPr>
            <w:tcW w:w="6100" w:type="dxa"/>
          </w:tcPr>
          <w:p w14:paraId="41E51C44" w14:textId="77777777" w:rsidR="00387220" w:rsidRPr="00D33448" w:rsidRDefault="00387220" w:rsidP="00E677B5">
            <w:pPr>
              <w:spacing w:line="276" w:lineRule="auto"/>
              <w:jc w:val="both"/>
              <w:rPr>
                <w:rFonts w:ascii="Verdana" w:eastAsia="Calibri" w:hAnsi="Verdana" w:cs="Arial"/>
                <w:lang w:val="es-ES" w:eastAsia="es-ES"/>
              </w:rPr>
            </w:pPr>
            <w:r w:rsidRPr="00023D7E">
              <w:rPr>
                <w:rFonts w:ascii="Verdana" w:eastAsia="Calibri" w:hAnsi="Verdana" w:cs="Arial"/>
                <w:lang w:val="es-ES" w:eastAsia="es-ES"/>
              </w:rPr>
              <w:t>ESTATUTO ORGÁNICO DEL PRESUPUESTO – Disponibilidad presupuestal – Registro presupuestal – Deber – Suscripción de contratos</w:t>
            </w:r>
            <w:r>
              <w:rPr>
                <w:rFonts w:ascii="Verdana" w:eastAsia="Calibri" w:hAnsi="Verdana" w:cs="Arial"/>
                <w:lang w:val="es-ES" w:eastAsia="es-ES"/>
              </w:rPr>
              <w:t xml:space="preserve"> </w:t>
            </w:r>
            <w:r w:rsidRPr="00023D7E">
              <w:rPr>
                <w:rFonts w:ascii="Verdana" w:eastAsia="Calibri" w:hAnsi="Verdana" w:cs="Arial"/>
                <w:lang w:val="es-ES" w:eastAsia="es-ES"/>
              </w:rPr>
              <w:t>/ REGISTRO PRESUPUESTAL – Definición – Recursos / REGISTRO PRESUPUESTAL – Expedición – Oportunidad – Requisito de ejecución / REGISTRO PRESUPUESTAL – Omisión – Consecuencias – Responsabilidad personal</w:t>
            </w:r>
            <w:r>
              <w:rPr>
                <w:rFonts w:ascii="Verdana" w:eastAsia="Calibri" w:hAnsi="Verdana" w:cs="Arial"/>
                <w:lang w:val="es-ES" w:eastAsia="es-ES"/>
              </w:rPr>
              <w:t xml:space="preserve"> / </w:t>
            </w:r>
            <w:r w:rsidRPr="00023D7E">
              <w:rPr>
                <w:rFonts w:ascii="Verdana" w:eastAsia="Calibri" w:hAnsi="Verdana" w:cs="Arial"/>
                <w:lang w:val="es-ES" w:eastAsia="es-ES"/>
              </w:rPr>
              <w:t>REGISTRO PRESUPUESTAL – Contrato – Relación</w:t>
            </w:r>
            <w:r>
              <w:rPr>
                <w:rFonts w:ascii="Verdana" w:eastAsia="Calibri" w:hAnsi="Verdana" w:cs="Arial"/>
                <w:lang w:val="es-ES" w:eastAsia="es-ES"/>
              </w:rPr>
              <w:t xml:space="preserve"> / </w:t>
            </w:r>
            <w:r w:rsidRPr="00023D7E">
              <w:rPr>
                <w:rFonts w:ascii="Verdana" w:eastAsia="Calibri" w:hAnsi="Verdana" w:cs="Arial"/>
                <w:lang w:val="es-ES" w:eastAsia="es-ES"/>
              </w:rPr>
              <w:t>HONORARIOS – Salario – Diferencia</w:t>
            </w:r>
            <w:r>
              <w:rPr>
                <w:rFonts w:ascii="Verdana" w:eastAsia="Calibri" w:hAnsi="Verdana" w:cs="Arial"/>
                <w:lang w:val="es-ES" w:eastAsia="es-ES"/>
              </w:rPr>
              <w:t xml:space="preserve"> / </w:t>
            </w:r>
            <w:r w:rsidRPr="00023D7E">
              <w:rPr>
                <w:rFonts w:ascii="Verdana" w:eastAsia="Calibri" w:hAnsi="Verdana" w:cs="Arial"/>
                <w:lang w:val="es-ES" w:eastAsia="es-ES"/>
              </w:rPr>
              <w:t>PAGO – Entidad estatal – Deber – Contratista – Derecho</w:t>
            </w:r>
          </w:p>
        </w:tc>
      </w:tr>
      <w:tr w:rsidR="00387220" w:rsidRPr="00D33448" w14:paraId="791F3BC2" w14:textId="77777777" w:rsidTr="00E677B5">
        <w:tc>
          <w:tcPr>
            <w:tcW w:w="2689" w:type="dxa"/>
          </w:tcPr>
          <w:p w14:paraId="224C5E09" w14:textId="77777777" w:rsidR="00387220" w:rsidRPr="00D33448" w:rsidRDefault="00387220" w:rsidP="00E677B5">
            <w:pPr>
              <w:jc w:val="both"/>
              <w:rPr>
                <w:rFonts w:ascii="Verdana" w:eastAsia="Calibri" w:hAnsi="Verdana" w:cs="Arial"/>
                <w:b/>
                <w:lang w:val="es-ES_tradnl" w:eastAsia="es-ES_tradnl"/>
              </w:rPr>
            </w:pPr>
            <w:r w:rsidRPr="00D33448">
              <w:rPr>
                <w:rFonts w:ascii="Verdana" w:eastAsia="Calibri" w:hAnsi="Verdana" w:cs="Arial"/>
                <w:b/>
                <w:lang w:val="es-ES_tradnl" w:eastAsia="es-ES_tradnl"/>
              </w:rPr>
              <w:t>Radicación:</w:t>
            </w:r>
            <w:r w:rsidRPr="00D33448">
              <w:rPr>
                <w:rFonts w:ascii="Verdana" w:eastAsia="Calibri" w:hAnsi="Verdana" w:cs="Arial"/>
                <w:lang w:val="es-ES_tradnl" w:eastAsia="es-ES_tradnl"/>
              </w:rPr>
              <w:t xml:space="preserve">               </w:t>
            </w:r>
          </w:p>
        </w:tc>
        <w:tc>
          <w:tcPr>
            <w:tcW w:w="6100" w:type="dxa"/>
          </w:tcPr>
          <w:p w14:paraId="66C044E0" w14:textId="77777777" w:rsidR="00387220" w:rsidRPr="00D33448" w:rsidRDefault="00387220" w:rsidP="00E677B5">
            <w:pPr>
              <w:jc w:val="both"/>
              <w:rPr>
                <w:rFonts w:ascii="Verdana" w:eastAsia="Calibri" w:hAnsi="Verdana" w:cs="Arial"/>
                <w:lang w:val="es-ES_tradnl" w:eastAsia="es-ES_tradnl"/>
              </w:rPr>
            </w:pPr>
            <w:r w:rsidRPr="00D33448">
              <w:rPr>
                <w:rFonts w:ascii="Verdana" w:eastAsia="Calibri" w:hAnsi="Verdana" w:cs="Arial"/>
                <w:lang w:val="es-ES_tradnl" w:eastAsia="es-ES_tradnl"/>
              </w:rPr>
              <w:t xml:space="preserve">Respuesta a consulta con radicado No. </w:t>
            </w:r>
            <w:r w:rsidRPr="0031759C">
              <w:rPr>
                <w:rFonts w:ascii="Verdana" w:eastAsia="Calibri" w:hAnsi="Verdana" w:cs="Arial"/>
                <w:lang w:eastAsia="es-ES_tradnl"/>
              </w:rPr>
              <w:t>P20241223012760</w:t>
            </w:r>
            <w:r>
              <w:rPr>
                <w:rFonts w:ascii="Verdana" w:eastAsia="Calibri" w:hAnsi="Verdana" w:cs="Arial"/>
                <w:lang w:eastAsia="es-ES_tradnl"/>
              </w:rPr>
              <w:t xml:space="preserve"> acumulada con los radicados No. </w:t>
            </w:r>
            <w:r w:rsidRPr="00100E50">
              <w:rPr>
                <w:rFonts w:ascii="Verdana" w:eastAsia="Calibri" w:hAnsi="Verdana" w:cs="Arial"/>
                <w:lang w:eastAsia="es-ES_tradnl"/>
              </w:rPr>
              <w:t>P20241230012853 y P20250102000019</w:t>
            </w:r>
          </w:p>
        </w:tc>
      </w:tr>
    </w:tbl>
    <w:p w14:paraId="3E448161" w14:textId="77777777" w:rsidR="00387220" w:rsidRPr="00D33448" w:rsidRDefault="00387220" w:rsidP="00387220">
      <w:pPr>
        <w:spacing w:after="0" w:line="240" w:lineRule="auto"/>
        <w:jc w:val="both"/>
        <w:rPr>
          <w:rFonts w:ascii="Verdana" w:eastAsia="Calibri" w:hAnsi="Verdana" w:cs="Arial"/>
          <w:lang w:val="es-ES_tradnl" w:eastAsia="es-ES_tradnl"/>
        </w:rPr>
      </w:pPr>
    </w:p>
    <w:p w14:paraId="65244279" w14:textId="77777777" w:rsidR="00387220" w:rsidRPr="00D33448" w:rsidRDefault="00387220" w:rsidP="00387220">
      <w:pPr>
        <w:spacing w:after="0" w:line="240" w:lineRule="auto"/>
        <w:jc w:val="both"/>
        <w:rPr>
          <w:rFonts w:ascii="Verdana" w:eastAsia="Calibri" w:hAnsi="Verdana" w:cs="Arial"/>
          <w:lang w:val="es-ES_tradnl" w:eastAsia="es-ES_tradnl"/>
        </w:rPr>
      </w:pPr>
    </w:p>
    <w:p w14:paraId="3B170CCD" w14:textId="77777777" w:rsidR="00387220" w:rsidRPr="00D33448" w:rsidRDefault="00387220" w:rsidP="00387220">
      <w:pPr>
        <w:spacing w:after="0" w:line="276" w:lineRule="auto"/>
        <w:jc w:val="both"/>
        <w:rPr>
          <w:rFonts w:ascii="Verdana" w:eastAsia="Calibri" w:hAnsi="Verdana" w:cs="Arial"/>
          <w:lang w:val="es-ES" w:eastAsia="es-ES"/>
        </w:rPr>
      </w:pPr>
      <w:r w:rsidRPr="00D33448">
        <w:rPr>
          <w:rFonts w:ascii="Verdana" w:eastAsia="Calibri" w:hAnsi="Verdana" w:cs="Arial"/>
          <w:lang w:val="es-ES" w:eastAsia="es-ES"/>
        </w:rPr>
        <w:t>Estimad</w:t>
      </w:r>
      <w:r>
        <w:rPr>
          <w:rFonts w:ascii="Verdana" w:eastAsia="Calibri" w:hAnsi="Verdana" w:cs="Arial"/>
          <w:lang w:val="es-ES" w:eastAsia="es-ES"/>
        </w:rPr>
        <w:t>a</w:t>
      </w:r>
      <w:r w:rsidRPr="00D33448">
        <w:rPr>
          <w:rFonts w:ascii="Verdana" w:eastAsia="Calibri" w:hAnsi="Verdana" w:cs="Arial"/>
          <w:lang w:val="es-ES" w:eastAsia="es-ES"/>
        </w:rPr>
        <w:t xml:space="preserve"> señor</w:t>
      </w:r>
      <w:r>
        <w:rPr>
          <w:rFonts w:ascii="Verdana" w:eastAsia="Calibri" w:hAnsi="Verdana" w:cs="Arial"/>
          <w:lang w:val="es-ES" w:eastAsia="es-ES"/>
        </w:rPr>
        <w:t>a</w:t>
      </w:r>
      <w:r w:rsidRPr="00D33448">
        <w:rPr>
          <w:rFonts w:ascii="Verdana" w:eastAsia="Calibri" w:hAnsi="Verdana" w:cs="Arial"/>
          <w:lang w:val="es-ES" w:eastAsia="es-ES"/>
        </w:rPr>
        <w:t xml:space="preserve"> </w:t>
      </w:r>
      <w:r>
        <w:rPr>
          <w:rFonts w:ascii="Verdana" w:eastAsia="Calibri" w:hAnsi="Verdana" w:cs="Arial"/>
          <w:lang w:val="es-ES" w:eastAsia="es-ES"/>
        </w:rPr>
        <w:t>Sánchez</w:t>
      </w:r>
      <w:r w:rsidRPr="00D33448">
        <w:rPr>
          <w:rFonts w:ascii="Verdana" w:eastAsia="Calibri" w:hAnsi="Verdana" w:cs="Arial"/>
          <w:lang w:val="es-ES" w:eastAsia="es-ES"/>
        </w:rPr>
        <w:t xml:space="preserve">: </w:t>
      </w:r>
    </w:p>
    <w:p w14:paraId="7E52DD13" w14:textId="77777777" w:rsidR="00387220" w:rsidRPr="00D33448" w:rsidRDefault="00387220" w:rsidP="00387220">
      <w:pPr>
        <w:tabs>
          <w:tab w:val="left" w:pos="3768"/>
        </w:tabs>
        <w:spacing w:after="0" w:line="276" w:lineRule="auto"/>
        <w:jc w:val="both"/>
        <w:rPr>
          <w:rFonts w:ascii="Verdana" w:eastAsia="Calibri" w:hAnsi="Verdana" w:cs="Arial"/>
          <w:lang w:val="es-ES" w:eastAsia="es-ES"/>
        </w:rPr>
      </w:pPr>
      <w:r w:rsidRPr="00D33448">
        <w:rPr>
          <w:rFonts w:ascii="Verdana" w:eastAsia="Calibri" w:hAnsi="Verdana" w:cs="Arial"/>
          <w:lang w:val="es-ES" w:eastAsia="es-ES"/>
        </w:rPr>
        <w:tab/>
      </w:r>
    </w:p>
    <w:p w14:paraId="4BF8227B" w14:textId="77777777" w:rsidR="00387220" w:rsidRPr="00D33448" w:rsidRDefault="00387220" w:rsidP="00387220">
      <w:pPr>
        <w:spacing w:after="0" w:line="276" w:lineRule="auto"/>
        <w:jc w:val="both"/>
        <w:rPr>
          <w:rFonts w:ascii="Verdana" w:eastAsia="Calibri" w:hAnsi="Verdana" w:cs="Arial"/>
          <w:lang w:val="es-ES" w:eastAsia="es-ES"/>
        </w:rPr>
      </w:pPr>
      <w:r w:rsidRPr="00D33448">
        <w:rPr>
          <w:rFonts w:ascii="Verdana" w:eastAsia="Calibri" w:hAnsi="Verdana" w:cs="Arial"/>
          <w:lang w:val="es-ES" w:eastAsia="es-ES"/>
        </w:rPr>
        <w:t>En ejercicio de la competencia otorgada por los artículos 3, numeral 5º, y 11, numeral 8º, del Decreto Ley 4170 de 2011,</w:t>
      </w:r>
      <w:r w:rsidRPr="00D33448">
        <w:rPr>
          <w:rFonts w:ascii="Verdana" w:eastAsia="Arial MT" w:hAnsi="Verdana" w:cs="Arial MT"/>
          <w:lang w:val="es-ES" w:eastAsia="es-ES"/>
        </w:rPr>
        <w:t xml:space="preserve"> </w:t>
      </w:r>
      <w:r w:rsidRPr="00D33448">
        <w:rPr>
          <w:rFonts w:ascii="Verdana" w:hAnsi="Verdana" w:cs="Arial"/>
        </w:rPr>
        <w:t xml:space="preserve">así como lo establecido en el artículo 4 de la Resolución 1707 de 2018 expedida por esta Entidad, </w:t>
      </w:r>
      <w:r w:rsidRPr="00D33448">
        <w:rPr>
          <w:rFonts w:ascii="Verdana" w:eastAsia="Calibri" w:hAnsi="Verdana" w:cs="Arial"/>
          <w:lang w:val="es-ES" w:eastAsia="es-ES"/>
        </w:rPr>
        <w:t>la Agencia Nacional de Contratación Pública – Colombia Compra Eficiente– responde su</w:t>
      </w:r>
      <w:r>
        <w:rPr>
          <w:rFonts w:ascii="Verdana" w:eastAsia="Calibri" w:hAnsi="Verdana" w:cs="Arial"/>
          <w:lang w:val="es-ES" w:eastAsia="es-ES"/>
        </w:rPr>
        <w:t>s</w:t>
      </w:r>
      <w:r w:rsidRPr="00D33448">
        <w:rPr>
          <w:rFonts w:ascii="Verdana" w:eastAsia="Calibri" w:hAnsi="Verdana" w:cs="Arial"/>
          <w:lang w:val="es-ES" w:eastAsia="es-ES"/>
        </w:rPr>
        <w:t xml:space="preserve"> solicitud</w:t>
      </w:r>
      <w:r>
        <w:rPr>
          <w:rFonts w:ascii="Verdana" w:eastAsia="Calibri" w:hAnsi="Verdana" w:cs="Arial"/>
          <w:lang w:val="es-ES" w:eastAsia="es-ES"/>
        </w:rPr>
        <w:t xml:space="preserve">es </w:t>
      </w:r>
      <w:r w:rsidRPr="00D33448">
        <w:rPr>
          <w:rFonts w:ascii="Verdana" w:eastAsia="Calibri" w:hAnsi="Verdana" w:cs="Arial"/>
          <w:lang w:val="es-ES" w:eastAsia="es-ES"/>
        </w:rPr>
        <w:t>de consulta de fecha</w:t>
      </w:r>
      <w:r>
        <w:rPr>
          <w:rFonts w:ascii="Verdana" w:eastAsia="Calibri" w:hAnsi="Verdana" w:cs="Arial"/>
          <w:lang w:val="es-ES" w:eastAsia="es-ES"/>
        </w:rPr>
        <w:t>s</w:t>
      </w:r>
      <w:r w:rsidRPr="00D33448">
        <w:rPr>
          <w:rFonts w:ascii="Verdana" w:eastAsia="Calibri" w:hAnsi="Verdana" w:cs="Arial"/>
          <w:lang w:val="es-ES" w:eastAsia="es-ES"/>
        </w:rPr>
        <w:t xml:space="preserve"> </w:t>
      </w:r>
      <w:r>
        <w:rPr>
          <w:rFonts w:ascii="Verdana" w:eastAsia="Calibri" w:hAnsi="Verdana" w:cs="Arial"/>
          <w:lang w:val="es-ES" w:eastAsia="es-ES"/>
        </w:rPr>
        <w:t>23 y 30</w:t>
      </w:r>
      <w:r w:rsidRPr="00D33448">
        <w:rPr>
          <w:rFonts w:ascii="Verdana" w:eastAsia="Calibri" w:hAnsi="Verdana" w:cs="Arial"/>
          <w:lang w:val="es-ES" w:eastAsia="es-ES"/>
        </w:rPr>
        <w:t xml:space="preserve"> de </w:t>
      </w:r>
      <w:r>
        <w:rPr>
          <w:rFonts w:ascii="Verdana" w:eastAsia="Calibri" w:hAnsi="Verdana" w:cs="Arial"/>
          <w:lang w:val="es-ES" w:eastAsia="es-ES"/>
        </w:rPr>
        <w:t>diciembre</w:t>
      </w:r>
      <w:r w:rsidRPr="00D33448">
        <w:rPr>
          <w:rFonts w:ascii="Verdana" w:eastAsia="Calibri" w:hAnsi="Verdana" w:cs="Arial"/>
          <w:lang w:val="es-ES" w:eastAsia="es-ES"/>
        </w:rPr>
        <w:t xml:space="preserve"> de 2024</w:t>
      </w:r>
      <w:r>
        <w:rPr>
          <w:rFonts w:ascii="Verdana" w:eastAsia="Calibri" w:hAnsi="Verdana" w:cs="Arial"/>
          <w:lang w:val="es-ES" w:eastAsia="es-ES"/>
        </w:rPr>
        <w:t xml:space="preserve"> y 2 de enero de 2025</w:t>
      </w:r>
      <w:r w:rsidRPr="00D33448">
        <w:rPr>
          <w:rFonts w:ascii="Verdana" w:eastAsia="Calibri" w:hAnsi="Verdana" w:cs="Arial"/>
          <w:lang w:val="es-ES" w:eastAsia="es-ES"/>
        </w:rPr>
        <w:t xml:space="preserve">, en la cual manifiesta lo siguiente: </w:t>
      </w:r>
    </w:p>
    <w:p w14:paraId="094F96D6" w14:textId="77777777" w:rsidR="00387220" w:rsidRPr="00D33448" w:rsidRDefault="00387220" w:rsidP="00387220">
      <w:pPr>
        <w:pStyle w:val="Prrafodelista"/>
        <w:tabs>
          <w:tab w:val="left" w:pos="142"/>
          <w:tab w:val="left" w:pos="284"/>
        </w:tabs>
        <w:spacing w:line="276" w:lineRule="auto"/>
        <w:ind w:left="0"/>
        <w:jc w:val="both"/>
        <w:rPr>
          <w:rFonts w:ascii="Verdana" w:eastAsia="Century Gothic" w:hAnsi="Verdana" w:cs="Century Gothic"/>
          <w:b/>
          <w:bCs/>
        </w:rPr>
      </w:pPr>
    </w:p>
    <w:p w14:paraId="4D5A5487" w14:textId="77777777" w:rsidR="00387220" w:rsidRPr="0031759C" w:rsidRDefault="00387220" w:rsidP="00387220">
      <w:pPr>
        <w:spacing w:after="0" w:line="240" w:lineRule="auto"/>
        <w:ind w:left="709" w:right="709"/>
        <w:jc w:val="both"/>
        <w:rPr>
          <w:rFonts w:ascii="Verdana" w:hAnsi="Verdana" w:cs="Arial"/>
          <w:sz w:val="20"/>
          <w:szCs w:val="20"/>
          <w:shd w:val="clear" w:color="auto" w:fill="FFFFFF"/>
        </w:rPr>
      </w:pPr>
      <w:bookmarkStart w:id="0" w:name="_Hlk95313578"/>
      <w:r w:rsidRPr="00D33448">
        <w:rPr>
          <w:rFonts w:ascii="Verdana" w:eastAsia="Century Gothic" w:hAnsi="Verdana" w:cs="Century Gothic"/>
          <w:sz w:val="20"/>
          <w:szCs w:val="20"/>
          <w:lang w:val="es-ES"/>
        </w:rPr>
        <w:lastRenderedPageBreak/>
        <w:t>“</w:t>
      </w:r>
      <w:r w:rsidRPr="0031759C">
        <w:rPr>
          <w:rFonts w:ascii="Verdana" w:hAnsi="Verdana" w:cs="Arial"/>
          <w:sz w:val="20"/>
          <w:szCs w:val="20"/>
          <w:shd w:val="clear" w:color="auto" w:fill="FFFFFF"/>
        </w:rPr>
        <w:t>PETICIÓN A LAS DEMÁS ENTIDADES</w:t>
      </w:r>
    </w:p>
    <w:p w14:paraId="1D698F25" w14:textId="77777777" w:rsidR="00387220" w:rsidRPr="0031759C" w:rsidRDefault="00387220" w:rsidP="00387220">
      <w:pPr>
        <w:spacing w:after="0" w:line="240" w:lineRule="auto"/>
        <w:ind w:left="709" w:right="709"/>
        <w:jc w:val="both"/>
        <w:rPr>
          <w:rFonts w:ascii="Verdana" w:hAnsi="Verdana" w:cs="Arial"/>
          <w:sz w:val="20"/>
          <w:szCs w:val="20"/>
          <w:shd w:val="clear" w:color="auto" w:fill="FFFFFF"/>
        </w:rPr>
      </w:pPr>
      <w:r w:rsidRPr="0031759C">
        <w:rPr>
          <w:rFonts w:ascii="Verdana" w:hAnsi="Verdana" w:cs="Arial"/>
          <w:sz w:val="20"/>
          <w:szCs w:val="20"/>
          <w:shd w:val="clear" w:color="auto" w:fill="FFFFFF"/>
        </w:rPr>
        <w:t>De conformidad con lo expuesto anteriormente.</w:t>
      </w:r>
    </w:p>
    <w:p w14:paraId="75A53895" w14:textId="77777777" w:rsidR="00387220" w:rsidRPr="0031759C" w:rsidRDefault="00387220" w:rsidP="00387220">
      <w:pPr>
        <w:spacing w:after="0" w:line="240" w:lineRule="auto"/>
        <w:ind w:left="709" w:right="709"/>
        <w:jc w:val="both"/>
        <w:rPr>
          <w:rFonts w:ascii="Verdana" w:hAnsi="Verdana" w:cs="Arial"/>
          <w:sz w:val="20"/>
          <w:szCs w:val="20"/>
          <w:shd w:val="clear" w:color="auto" w:fill="FFFFFF"/>
        </w:rPr>
      </w:pPr>
      <w:r w:rsidRPr="0031759C">
        <w:rPr>
          <w:rFonts w:ascii="Verdana" w:hAnsi="Verdana" w:cs="Arial"/>
          <w:sz w:val="20"/>
          <w:szCs w:val="20"/>
          <w:shd w:val="clear" w:color="auto" w:fill="FFFFFF"/>
        </w:rPr>
        <w:t xml:space="preserve">PRIMERA: Se brinde </w:t>
      </w:r>
      <w:proofErr w:type="gramStart"/>
      <w:r w:rsidRPr="0031759C">
        <w:rPr>
          <w:rFonts w:ascii="Verdana" w:hAnsi="Verdana" w:cs="Arial"/>
          <w:sz w:val="20"/>
          <w:szCs w:val="20"/>
          <w:shd w:val="clear" w:color="auto" w:fill="FFFFFF"/>
        </w:rPr>
        <w:t>la concepto</w:t>
      </w:r>
      <w:proofErr w:type="gramEnd"/>
      <w:r w:rsidRPr="0031759C">
        <w:rPr>
          <w:rFonts w:ascii="Verdana" w:hAnsi="Verdana" w:cs="Arial"/>
          <w:sz w:val="20"/>
          <w:szCs w:val="20"/>
          <w:shd w:val="clear" w:color="auto" w:fill="FFFFFF"/>
        </w:rPr>
        <w:t xml:space="preserve"> sobre ¿</w:t>
      </w:r>
      <w:proofErr w:type="spellStart"/>
      <w:r w:rsidRPr="0031759C">
        <w:rPr>
          <w:rFonts w:ascii="Verdana" w:hAnsi="Verdana" w:cs="Arial"/>
          <w:sz w:val="20"/>
          <w:szCs w:val="20"/>
          <w:shd w:val="clear" w:color="auto" w:fill="FFFFFF"/>
        </w:rPr>
        <w:t>Cúal</w:t>
      </w:r>
      <w:proofErr w:type="spellEnd"/>
      <w:r w:rsidRPr="0031759C">
        <w:rPr>
          <w:rFonts w:ascii="Verdana" w:hAnsi="Verdana" w:cs="Arial"/>
          <w:sz w:val="20"/>
          <w:szCs w:val="20"/>
          <w:shd w:val="clear" w:color="auto" w:fill="FFFFFF"/>
        </w:rPr>
        <w:t xml:space="preserve"> es el alcance y nexo causal existente entre el</w:t>
      </w:r>
      <w:r>
        <w:rPr>
          <w:rFonts w:ascii="Verdana" w:hAnsi="Verdana" w:cs="Arial"/>
          <w:sz w:val="20"/>
          <w:szCs w:val="20"/>
          <w:shd w:val="clear" w:color="auto" w:fill="FFFFFF"/>
        </w:rPr>
        <w:t xml:space="preserve"> </w:t>
      </w:r>
      <w:r w:rsidRPr="0031759C">
        <w:rPr>
          <w:rFonts w:ascii="Verdana" w:hAnsi="Verdana" w:cs="Arial"/>
          <w:sz w:val="20"/>
          <w:szCs w:val="20"/>
          <w:shd w:val="clear" w:color="auto" w:fill="FFFFFF"/>
        </w:rPr>
        <w:t>registro presupuestal y el clausulado general contractual que se realizan con las entidades</w:t>
      </w:r>
      <w:r>
        <w:rPr>
          <w:rFonts w:ascii="Verdana" w:hAnsi="Verdana" w:cs="Arial"/>
          <w:sz w:val="20"/>
          <w:szCs w:val="20"/>
          <w:shd w:val="clear" w:color="auto" w:fill="FFFFFF"/>
        </w:rPr>
        <w:t xml:space="preserve"> </w:t>
      </w:r>
      <w:r w:rsidRPr="0031759C">
        <w:rPr>
          <w:rFonts w:ascii="Verdana" w:hAnsi="Verdana" w:cs="Arial"/>
          <w:sz w:val="20"/>
          <w:szCs w:val="20"/>
          <w:shd w:val="clear" w:color="auto" w:fill="FFFFFF"/>
        </w:rPr>
        <w:t>públicas?</w:t>
      </w:r>
    </w:p>
    <w:p w14:paraId="5E78AA88" w14:textId="77777777" w:rsidR="00387220" w:rsidRDefault="00387220" w:rsidP="00387220">
      <w:pPr>
        <w:spacing w:after="0" w:line="240" w:lineRule="auto"/>
        <w:ind w:left="709" w:right="709"/>
        <w:jc w:val="both"/>
        <w:rPr>
          <w:rFonts w:ascii="Verdana" w:hAnsi="Verdana" w:cs="Arial"/>
          <w:sz w:val="20"/>
          <w:szCs w:val="20"/>
          <w:shd w:val="clear" w:color="auto" w:fill="FFFFFF"/>
        </w:rPr>
      </w:pPr>
      <w:r w:rsidRPr="0031759C">
        <w:rPr>
          <w:rFonts w:ascii="Verdana" w:hAnsi="Verdana" w:cs="Arial"/>
          <w:sz w:val="20"/>
          <w:szCs w:val="20"/>
          <w:shd w:val="clear" w:color="auto" w:fill="FFFFFF"/>
        </w:rPr>
        <w:t>SEGUNDA: Se brinde concepto frente la postura de las altas cortes en relación de la</w:t>
      </w:r>
      <w:r>
        <w:rPr>
          <w:rFonts w:ascii="Verdana" w:hAnsi="Verdana" w:cs="Arial"/>
          <w:sz w:val="20"/>
          <w:szCs w:val="20"/>
          <w:shd w:val="clear" w:color="auto" w:fill="FFFFFF"/>
        </w:rPr>
        <w:t xml:space="preserve"> </w:t>
      </w:r>
      <w:r w:rsidRPr="0031759C">
        <w:rPr>
          <w:rFonts w:ascii="Verdana" w:hAnsi="Verdana" w:cs="Arial"/>
          <w:sz w:val="20"/>
          <w:szCs w:val="20"/>
          <w:shd w:val="clear" w:color="auto" w:fill="FFFFFF"/>
        </w:rPr>
        <w:t>expectativa de utilidad en contratación directa por prestación de servicios con las entidades</w:t>
      </w:r>
      <w:r>
        <w:rPr>
          <w:rFonts w:ascii="Verdana" w:hAnsi="Verdana" w:cs="Arial"/>
          <w:sz w:val="20"/>
          <w:szCs w:val="20"/>
          <w:shd w:val="clear" w:color="auto" w:fill="FFFFFF"/>
        </w:rPr>
        <w:t xml:space="preserve"> </w:t>
      </w:r>
      <w:r w:rsidRPr="0031759C">
        <w:rPr>
          <w:rFonts w:ascii="Verdana" w:hAnsi="Verdana" w:cs="Arial"/>
          <w:sz w:val="20"/>
          <w:szCs w:val="20"/>
          <w:shd w:val="clear" w:color="auto" w:fill="FFFFFF"/>
        </w:rPr>
        <w:t>públicas.</w:t>
      </w:r>
    </w:p>
    <w:p w14:paraId="56330DBA" w14:textId="77777777" w:rsidR="00387220" w:rsidRPr="0031759C" w:rsidRDefault="00387220" w:rsidP="00387220">
      <w:pPr>
        <w:spacing w:after="0" w:line="240" w:lineRule="auto"/>
        <w:ind w:left="709" w:right="709"/>
        <w:jc w:val="both"/>
        <w:rPr>
          <w:rFonts w:ascii="Verdana" w:eastAsia="Century Gothic" w:hAnsi="Verdana" w:cs="Century Gothic"/>
          <w:sz w:val="20"/>
          <w:szCs w:val="20"/>
          <w:lang w:val="es-ES"/>
        </w:rPr>
      </w:pPr>
      <w:r w:rsidRPr="0031759C">
        <w:rPr>
          <w:rFonts w:ascii="Verdana" w:eastAsia="Century Gothic" w:hAnsi="Verdana" w:cs="Century Gothic"/>
          <w:sz w:val="20"/>
          <w:szCs w:val="20"/>
          <w:lang w:val="es-ES"/>
        </w:rPr>
        <w:t>TERCERO: Se brinde información sobre el proceso de la creación de los rubros a las</w:t>
      </w:r>
      <w:r>
        <w:rPr>
          <w:rFonts w:ascii="Verdana" w:eastAsia="Century Gothic" w:hAnsi="Verdana" w:cs="Century Gothic"/>
          <w:sz w:val="20"/>
          <w:szCs w:val="20"/>
          <w:lang w:val="es-ES"/>
        </w:rPr>
        <w:t xml:space="preserve"> </w:t>
      </w:r>
      <w:r w:rsidRPr="0031759C">
        <w:rPr>
          <w:rFonts w:ascii="Verdana" w:eastAsia="Century Gothic" w:hAnsi="Verdana" w:cs="Century Gothic"/>
          <w:sz w:val="20"/>
          <w:szCs w:val="20"/>
          <w:lang w:val="es-ES"/>
        </w:rPr>
        <w:t>entidades nacionales y territoriales, específicamente en las consecuencias del NO uso del</w:t>
      </w:r>
      <w:r>
        <w:rPr>
          <w:rFonts w:ascii="Verdana" w:eastAsia="Century Gothic" w:hAnsi="Verdana" w:cs="Century Gothic"/>
          <w:sz w:val="20"/>
          <w:szCs w:val="20"/>
          <w:lang w:val="es-ES"/>
        </w:rPr>
        <w:t xml:space="preserve"> </w:t>
      </w:r>
      <w:r w:rsidRPr="0031759C">
        <w:rPr>
          <w:rFonts w:ascii="Verdana" w:eastAsia="Century Gothic" w:hAnsi="Verdana" w:cs="Century Gothic"/>
          <w:sz w:val="20"/>
          <w:szCs w:val="20"/>
          <w:lang w:val="es-ES"/>
        </w:rPr>
        <w:t xml:space="preserve">dicho </w:t>
      </w:r>
      <w:proofErr w:type="gramStart"/>
      <w:r w:rsidRPr="0031759C">
        <w:rPr>
          <w:rFonts w:ascii="Verdana" w:eastAsia="Century Gothic" w:hAnsi="Verdana" w:cs="Century Gothic"/>
          <w:sz w:val="20"/>
          <w:szCs w:val="20"/>
          <w:lang w:val="es-ES"/>
        </w:rPr>
        <w:t>erario público</w:t>
      </w:r>
      <w:proofErr w:type="gramEnd"/>
      <w:r w:rsidRPr="0031759C">
        <w:rPr>
          <w:rFonts w:ascii="Verdana" w:eastAsia="Century Gothic" w:hAnsi="Verdana" w:cs="Century Gothic"/>
          <w:sz w:val="20"/>
          <w:szCs w:val="20"/>
          <w:lang w:val="es-ES"/>
        </w:rPr>
        <w:t xml:space="preserve"> asignado.</w:t>
      </w:r>
    </w:p>
    <w:p w14:paraId="7FA28F1A" w14:textId="77777777" w:rsidR="00387220" w:rsidRPr="0031759C" w:rsidRDefault="00387220" w:rsidP="00387220">
      <w:pPr>
        <w:spacing w:after="0" w:line="240" w:lineRule="auto"/>
        <w:ind w:left="709" w:right="709"/>
        <w:jc w:val="both"/>
        <w:rPr>
          <w:rFonts w:ascii="Verdana" w:eastAsia="Century Gothic" w:hAnsi="Verdana" w:cs="Century Gothic"/>
          <w:sz w:val="20"/>
          <w:szCs w:val="20"/>
          <w:lang w:val="es-ES"/>
        </w:rPr>
      </w:pPr>
      <w:r w:rsidRPr="0031759C">
        <w:rPr>
          <w:rFonts w:ascii="Verdana" w:eastAsia="Century Gothic" w:hAnsi="Verdana" w:cs="Century Gothic"/>
          <w:sz w:val="20"/>
          <w:szCs w:val="20"/>
          <w:lang w:val="es-ES"/>
        </w:rPr>
        <w:t>CUARTO: Se brinde información sobre la diferencia entre salario y honorarios y como la</w:t>
      </w:r>
      <w:r>
        <w:rPr>
          <w:rFonts w:ascii="Verdana" w:eastAsia="Century Gothic" w:hAnsi="Verdana" w:cs="Century Gothic"/>
          <w:sz w:val="20"/>
          <w:szCs w:val="20"/>
          <w:lang w:val="es-ES"/>
        </w:rPr>
        <w:t xml:space="preserve"> </w:t>
      </w:r>
      <w:r w:rsidRPr="0031759C">
        <w:rPr>
          <w:rFonts w:ascii="Verdana" w:eastAsia="Century Gothic" w:hAnsi="Verdana" w:cs="Century Gothic"/>
          <w:sz w:val="20"/>
          <w:szCs w:val="20"/>
          <w:lang w:val="es-ES"/>
        </w:rPr>
        <w:t>condicional de pago mensual hace la partición de diferencial entre el pacto mensual</w:t>
      </w:r>
      <w:r>
        <w:rPr>
          <w:rFonts w:ascii="Verdana" w:eastAsia="Century Gothic" w:hAnsi="Verdana" w:cs="Century Gothic"/>
          <w:sz w:val="20"/>
          <w:szCs w:val="20"/>
          <w:lang w:val="es-ES"/>
        </w:rPr>
        <w:t xml:space="preserve"> </w:t>
      </w:r>
      <w:r w:rsidRPr="0031759C">
        <w:rPr>
          <w:rFonts w:ascii="Verdana" w:eastAsia="Century Gothic" w:hAnsi="Verdana" w:cs="Century Gothic"/>
          <w:sz w:val="20"/>
          <w:szCs w:val="20"/>
          <w:lang w:val="es-ES"/>
        </w:rPr>
        <w:t>empleado empleador por el reconocimiento de sus labores y el acuerdo de pago diferido para</w:t>
      </w:r>
      <w:r>
        <w:rPr>
          <w:rFonts w:ascii="Verdana" w:eastAsia="Century Gothic" w:hAnsi="Verdana" w:cs="Century Gothic"/>
          <w:sz w:val="20"/>
          <w:szCs w:val="20"/>
          <w:lang w:val="es-ES"/>
        </w:rPr>
        <w:t xml:space="preserve"> </w:t>
      </w:r>
      <w:r w:rsidRPr="0031759C">
        <w:rPr>
          <w:rFonts w:ascii="Verdana" w:eastAsia="Century Gothic" w:hAnsi="Verdana" w:cs="Century Gothic"/>
          <w:sz w:val="20"/>
          <w:szCs w:val="20"/>
          <w:lang w:val="es-ES"/>
        </w:rPr>
        <w:t xml:space="preserve">el cumplimiento del saldo pactado </w:t>
      </w:r>
      <w:proofErr w:type="gramStart"/>
      <w:r w:rsidRPr="0031759C">
        <w:rPr>
          <w:rFonts w:ascii="Verdana" w:eastAsia="Century Gothic" w:hAnsi="Verdana" w:cs="Century Gothic"/>
          <w:sz w:val="20"/>
          <w:szCs w:val="20"/>
          <w:lang w:val="es-ES"/>
        </w:rPr>
        <w:t>en razón del</w:t>
      </w:r>
      <w:proofErr w:type="gramEnd"/>
      <w:r w:rsidRPr="0031759C">
        <w:rPr>
          <w:rFonts w:ascii="Verdana" w:eastAsia="Century Gothic" w:hAnsi="Verdana" w:cs="Century Gothic"/>
          <w:sz w:val="20"/>
          <w:szCs w:val="20"/>
          <w:lang w:val="es-ES"/>
        </w:rPr>
        <w:t xml:space="preserve"> ejercicio especial por el cual se permite este</w:t>
      </w:r>
      <w:r>
        <w:rPr>
          <w:rFonts w:ascii="Verdana" w:eastAsia="Century Gothic" w:hAnsi="Verdana" w:cs="Century Gothic"/>
          <w:sz w:val="20"/>
          <w:szCs w:val="20"/>
          <w:lang w:val="es-ES"/>
        </w:rPr>
        <w:t xml:space="preserve"> </w:t>
      </w:r>
      <w:r w:rsidRPr="0031759C">
        <w:rPr>
          <w:rFonts w:ascii="Verdana" w:eastAsia="Century Gothic" w:hAnsi="Verdana" w:cs="Century Gothic"/>
          <w:sz w:val="20"/>
          <w:szCs w:val="20"/>
          <w:lang w:val="es-ES"/>
        </w:rPr>
        <w:t>tipo de contratos en las entidades públicas.</w:t>
      </w:r>
    </w:p>
    <w:p w14:paraId="1A58E64A" w14:textId="77777777" w:rsidR="00387220" w:rsidRPr="00D33448" w:rsidRDefault="00387220" w:rsidP="00387220">
      <w:pPr>
        <w:spacing w:after="0" w:line="240" w:lineRule="auto"/>
        <w:ind w:left="709" w:right="709"/>
        <w:jc w:val="both"/>
        <w:rPr>
          <w:rFonts w:ascii="Verdana" w:eastAsia="Century Gothic" w:hAnsi="Verdana" w:cs="Century Gothic"/>
          <w:sz w:val="20"/>
          <w:szCs w:val="20"/>
          <w:lang w:val="es-ES"/>
        </w:rPr>
      </w:pPr>
      <w:r w:rsidRPr="0031759C">
        <w:rPr>
          <w:rFonts w:ascii="Verdana" w:eastAsia="Century Gothic" w:hAnsi="Verdana" w:cs="Century Gothic"/>
          <w:sz w:val="20"/>
          <w:szCs w:val="20"/>
          <w:lang w:val="es-ES"/>
        </w:rPr>
        <w:t xml:space="preserve">QUINTO: Se brinde información </w:t>
      </w:r>
      <w:bookmarkStart w:id="1" w:name="_Hlk189674410"/>
      <w:r w:rsidRPr="0031759C">
        <w:rPr>
          <w:rFonts w:ascii="Verdana" w:eastAsia="Century Gothic" w:hAnsi="Verdana" w:cs="Century Gothic"/>
          <w:sz w:val="20"/>
          <w:szCs w:val="20"/>
          <w:lang w:val="es-ES"/>
        </w:rPr>
        <w:t>como el incumplimiento contractual en relación del no</w:t>
      </w:r>
      <w:r>
        <w:rPr>
          <w:rFonts w:ascii="Verdana" w:eastAsia="Century Gothic" w:hAnsi="Verdana" w:cs="Century Gothic"/>
          <w:sz w:val="20"/>
          <w:szCs w:val="20"/>
          <w:lang w:val="es-ES"/>
        </w:rPr>
        <w:t xml:space="preserve"> </w:t>
      </w:r>
      <w:r w:rsidRPr="0031759C">
        <w:rPr>
          <w:rFonts w:ascii="Verdana" w:eastAsia="Century Gothic" w:hAnsi="Verdana" w:cs="Century Gothic"/>
          <w:sz w:val="20"/>
          <w:szCs w:val="20"/>
          <w:lang w:val="es-ES"/>
        </w:rPr>
        <w:t>pago de los honorarios pactados por parte de las entidades públicas, al seguir el debido</w:t>
      </w:r>
      <w:r>
        <w:rPr>
          <w:rFonts w:ascii="Verdana" w:eastAsia="Century Gothic" w:hAnsi="Verdana" w:cs="Century Gothic"/>
          <w:sz w:val="20"/>
          <w:szCs w:val="20"/>
          <w:lang w:val="es-ES"/>
        </w:rPr>
        <w:t xml:space="preserve"> </w:t>
      </w:r>
      <w:r w:rsidRPr="0031759C">
        <w:rPr>
          <w:rFonts w:ascii="Verdana" w:eastAsia="Century Gothic" w:hAnsi="Verdana" w:cs="Century Gothic"/>
          <w:sz w:val="20"/>
          <w:szCs w:val="20"/>
          <w:lang w:val="es-ES"/>
        </w:rPr>
        <w:t xml:space="preserve">proceso generan una afectación en el </w:t>
      </w:r>
      <w:proofErr w:type="gramStart"/>
      <w:r w:rsidRPr="0031759C">
        <w:rPr>
          <w:rFonts w:ascii="Verdana" w:eastAsia="Century Gothic" w:hAnsi="Verdana" w:cs="Century Gothic"/>
          <w:sz w:val="20"/>
          <w:szCs w:val="20"/>
          <w:lang w:val="es-ES"/>
        </w:rPr>
        <w:t>erario público</w:t>
      </w:r>
      <w:bookmarkEnd w:id="1"/>
      <w:proofErr w:type="gramEnd"/>
      <w:r w:rsidRPr="0031759C">
        <w:rPr>
          <w:rFonts w:ascii="Verdana" w:eastAsia="Century Gothic" w:hAnsi="Verdana" w:cs="Century Gothic"/>
          <w:sz w:val="20"/>
          <w:szCs w:val="20"/>
          <w:lang w:val="es-ES"/>
        </w:rPr>
        <w:t>.</w:t>
      </w:r>
      <w:r w:rsidRPr="00D33448">
        <w:rPr>
          <w:rFonts w:ascii="Verdana" w:eastAsia="Century Gothic" w:hAnsi="Verdana" w:cs="Century Gothic"/>
          <w:sz w:val="20"/>
          <w:szCs w:val="20"/>
          <w:lang w:val="es-ES"/>
        </w:rPr>
        <w:t>”</w:t>
      </w:r>
      <w:bookmarkEnd w:id="0"/>
      <w:r w:rsidRPr="00D33448">
        <w:rPr>
          <w:rFonts w:ascii="Verdana" w:eastAsia="Century Gothic" w:hAnsi="Verdana" w:cs="Century Gothic"/>
          <w:sz w:val="20"/>
          <w:szCs w:val="20"/>
          <w:lang w:val="es-ES"/>
        </w:rPr>
        <w:t>.</w:t>
      </w:r>
    </w:p>
    <w:p w14:paraId="5F875283" w14:textId="77777777" w:rsidR="00387220" w:rsidRPr="00D33448" w:rsidRDefault="00387220" w:rsidP="00387220">
      <w:pPr>
        <w:pStyle w:val="Prrafodelista"/>
        <w:tabs>
          <w:tab w:val="left" w:pos="142"/>
          <w:tab w:val="left" w:pos="284"/>
        </w:tabs>
        <w:spacing w:line="276" w:lineRule="auto"/>
        <w:ind w:left="0"/>
        <w:jc w:val="both"/>
        <w:rPr>
          <w:rFonts w:ascii="Verdana" w:eastAsia="Century Gothic" w:hAnsi="Verdana" w:cs="Century Gothic"/>
          <w:b/>
          <w:bCs/>
        </w:rPr>
      </w:pPr>
    </w:p>
    <w:p w14:paraId="65755D2E" w14:textId="77777777" w:rsidR="00387220" w:rsidRPr="00D33448" w:rsidRDefault="00387220" w:rsidP="00387220">
      <w:pPr>
        <w:spacing w:after="120" w:line="276" w:lineRule="auto"/>
        <w:ind w:firstLine="709"/>
        <w:jc w:val="both"/>
        <w:rPr>
          <w:rFonts w:ascii="Verdana" w:eastAsia="Calibri" w:hAnsi="Verdana" w:cs="Arial"/>
          <w:szCs w:val="24"/>
          <w:lang w:val="es-ES_tradnl" w:eastAsia="es-ES_tradnl"/>
        </w:rPr>
      </w:pPr>
      <w:r w:rsidRPr="00D3344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33448">
        <w:rPr>
          <w:rFonts w:ascii="Verdana" w:eastAsia="Calibri" w:hAnsi="Verdana" w:cs="Arial"/>
          <w:szCs w:val="24"/>
          <w:lang w:val="es-ES_tradnl" w:eastAsia="es-ES_tradnl"/>
        </w:rPr>
        <w:tab/>
      </w:r>
    </w:p>
    <w:p w14:paraId="628495A2" w14:textId="77777777" w:rsidR="00387220" w:rsidRPr="00D33448" w:rsidRDefault="00387220" w:rsidP="00387220">
      <w:pPr>
        <w:spacing w:after="0" w:line="276" w:lineRule="auto"/>
        <w:ind w:firstLine="709"/>
        <w:jc w:val="both"/>
        <w:rPr>
          <w:rFonts w:ascii="Verdana" w:eastAsia="Calibri" w:hAnsi="Verdana" w:cs="Arial"/>
          <w:lang w:val="es-ES" w:eastAsia="es-ES"/>
        </w:rPr>
      </w:pPr>
      <w:r w:rsidRPr="00D3344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36D6596" w14:textId="77777777" w:rsidR="00387220" w:rsidRPr="00D33448" w:rsidRDefault="00387220" w:rsidP="00387220">
      <w:pPr>
        <w:spacing w:after="0" w:line="276" w:lineRule="auto"/>
        <w:ind w:firstLine="709"/>
        <w:jc w:val="both"/>
        <w:rPr>
          <w:rFonts w:ascii="Verdana" w:eastAsia="Calibri" w:hAnsi="Verdana" w:cs="Arial"/>
          <w:lang w:val="es-ES" w:eastAsia="es-ES"/>
        </w:rPr>
      </w:pPr>
    </w:p>
    <w:p w14:paraId="66DED706" w14:textId="77777777" w:rsidR="00387220" w:rsidRPr="00D33448" w:rsidRDefault="00387220" w:rsidP="00387220">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D33448">
        <w:rPr>
          <w:rFonts w:ascii="Verdana" w:eastAsia="Century Gothic" w:hAnsi="Verdana" w:cs="Century Gothic"/>
          <w:b/>
          <w:bCs/>
        </w:rPr>
        <w:t>Problema</w:t>
      </w:r>
      <w:r>
        <w:rPr>
          <w:rFonts w:ascii="Verdana" w:eastAsia="Century Gothic" w:hAnsi="Verdana" w:cs="Century Gothic"/>
          <w:b/>
          <w:bCs/>
        </w:rPr>
        <w:t>s</w:t>
      </w:r>
      <w:r w:rsidRPr="00D33448">
        <w:rPr>
          <w:rFonts w:ascii="Verdana" w:eastAsia="Century Gothic" w:hAnsi="Verdana" w:cs="Century Gothic"/>
          <w:b/>
          <w:bCs/>
        </w:rPr>
        <w:t xml:space="preserve"> planteado</w:t>
      </w:r>
      <w:r>
        <w:rPr>
          <w:rFonts w:ascii="Verdana" w:eastAsia="Century Gothic" w:hAnsi="Verdana" w:cs="Century Gothic"/>
          <w:b/>
          <w:bCs/>
        </w:rPr>
        <w:t>s</w:t>
      </w:r>
      <w:r w:rsidRPr="00D33448">
        <w:rPr>
          <w:rFonts w:ascii="Verdana" w:eastAsia="Century Gothic" w:hAnsi="Verdana" w:cs="Century Gothic"/>
          <w:b/>
          <w:bCs/>
        </w:rPr>
        <w:t>:</w:t>
      </w:r>
    </w:p>
    <w:p w14:paraId="0DEBEF7A" w14:textId="77777777" w:rsidR="00387220" w:rsidRPr="00D33448" w:rsidRDefault="00387220" w:rsidP="00387220">
      <w:pPr>
        <w:tabs>
          <w:tab w:val="left" w:pos="426"/>
        </w:tabs>
        <w:spacing w:after="0" w:line="276" w:lineRule="auto"/>
        <w:jc w:val="both"/>
        <w:rPr>
          <w:rFonts w:ascii="Verdana" w:eastAsia="Century Gothic" w:hAnsi="Verdana" w:cs="Century Gothic"/>
          <w:lang w:val="es-ES"/>
        </w:rPr>
      </w:pPr>
    </w:p>
    <w:p w14:paraId="2F4EDD2F" w14:textId="77777777" w:rsidR="00387220" w:rsidRDefault="00387220" w:rsidP="00387220">
      <w:pPr>
        <w:spacing w:after="0" w:line="276" w:lineRule="auto"/>
        <w:jc w:val="both"/>
        <w:rPr>
          <w:rFonts w:ascii="Verdana" w:eastAsia="Century Gothic" w:hAnsi="Verdana" w:cs="Century Gothic"/>
        </w:rPr>
      </w:pPr>
      <w:r w:rsidRPr="00D33448">
        <w:rPr>
          <w:rFonts w:ascii="Verdana" w:eastAsia="Century Gothic" w:hAnsi="Verdana" w:cs="Century Gothic"/>
        </w:rPr>
        <w:t>De acuerdo con el contenido de su solicitud, esta Agencia</w:t>
      </w:r>
      <w:r>
        <w:rPr>
          <w:rFonts w:ascii="Verdana" w:eastAsia="Century Gothic" w:hAnsi="Verdana" w:cs="Century Gothic"/>
        </w:rPr>
        <w:t>, en el marco de sus competencias,</w:t>
      </w:r>
      <w:r w:rsidRPr="00D33448">
        <w:rPr>
          <w:rFonts w:ascii="Verdana" w:eastAsia="Century Gothic" w:hAnsi="Verdana" w:cs="Century Gothic"/>
        </w:rPr>
        <w:t xml:space="preserve"> resolverá los siguientes problemas jurídicos: </w:t>
      </w:r>
    </w:p>
    <w:p w14:paraId="7F8820F2" w14:textId="77777777" w:rsidR="00387220" w:rsidRPr="00D33448" w:rsidRDefault="00387220" w:rsidP="00387220">
      <w:pPr>
        <w:spacing w:after="0" w:line="276" w:lineRule="auto"/>
        <w:jc w:val="both"/>
        <w:rPr>
          <w:rFonts w:ascii="Verdana" w:eastAsia="Century Gothic" w:hAnsi="Verdana" w:cs="Century Gothic"/>
        </w:rPr>
      </w:pPr>
    </w:p>
    <w:p w14:paraId="2464F20E" w14:textId="77777777" w:rsidR="00387220" w:rsidRDefault="00387220" w:rsidP="00387220">
      <w:pPr>
        <w:spacing w:after="0" w:line="276" w:lineRule="auto"/>
        <w:jc w:val="both"/>
        <w:rPr>
          <w:rFonts w:ascii="Verdana" w:hAnsi="Verdana"/>
          <w:lang w:val="es-MX"/>
        </w:rPr>
      </w:pPr>
      <w:r>
        <w:rPr>
          <w:rFonts w:ascii="Verdana" w:hAnsi="Verdana"/>
          <w:lang w:val="es-MX"/>
        </w:rPr>
        <w:t xml:space="preserve">1. </w:t>
      </w:r>
      <w:r w:rsidRPr="00AD7165">
        <w:rPr>
          <w:rFonts w:ascii="Verdana" w:hAnsi="Verdana"/>
          <w:lang w:val="es-MX"/>
        </w:rPr>
        <w:t>¿Cuál es la relación entre el registro presupuestal y el clausulado de los contratos que realiza la entidad estatal?</w:t>
      </w:r>
    </w:p>
    <w:p w14:paraId="4FA6CC97" w14:textId="77777777" w:rsidR="00387220" w:rsidRPr="00AD7165" w:rsidRDefault="00387220" w:rsidP="00387220">
      <w:pPr>
        <w:spacing w:after="0" w:line="276" w:lineRule="auto"/>
        <w:jc w:val="both"/>
        <w:rPr>
          <w:rFonts w:ascii="Verdana" w:eastAsia="Century Gothic" w:hAnsi="Verdana" w:cs="Century Gothic"/>
        </w:rPr>
      </w:pPr>
    </w:p>
    <w:p w14:paraId="4D039DF6" w14:textId="77777777" w:rsidR="00387220" w:rsidRDefault="00387220" w:rsidP="00387220">
      <w:pPr>
        <w:spacing w:after="0" w:line="276" w:lineRule="auto"/>
        <w:jc w:val="both"/>
        <w:rPr>
          <w:rFonts w:ascii="Verdana" w:hAnsi="Verdana"/>
        </w:rPr>
      </w:pPr>
      <w:r>
        <w:rPr>
          <w:rFonts w:ascii="Verdana" w:hAnsi="Verdana"/>
        </w:rPr>
        <w:t xml:space="preserve">2. </w:t>
      </w:r>
      <w:r w:rsidRPr="00AD7165">
        <w:rPr>
          <w:rFonts w:ascii="Verdana" w:hAnsi="Verdana"/>
        </w:rPr>
        <w:t>¿Cuál es la postura sobre la jurisprudencia de las altas cortes respecto de la expectativa de utilidad en la contratación directa por prestación de servicios con las entidades estatales?</w:t>
      </w:r>
    </w:p>
    <w:p w14:paraId="1ECFCFCB" w14:textId="77777777" w:rsidR="00387220" w:rsidRPr="00AD7165" w:rsidRDefault="00387220" w:rsidP="00387220">
      <w:pPr>
        <w:spacing w:after="0" w:line="276" w:lineRule="auto"/>
        <w:jc w:val="both"/>
        <w:rPr>
          <w:rFonts w:ascii="Verdana" w:eastAsia="Century Gothic" w:hAnsi="Verdana" w:cs="Century Gothic"/>
        </w:rPr>
      </w:pPr>
    </w:p>
    <w:p w14:paraId="25636807" w14:textId="77777777" w:rsidR="00387220" w:rsidRDefault="00387220" w:rsidP="00387220">
      <w:pPr>
        <w:spacing w:after="0" w:line="276" w:lineRule="auto"/>
        <w:jc w:val="both"/>
        <w:rPr>
          <w:rFonts w:ascii="Verdana" w:hAnsi="Verdana"/>
        </w:rPr>
      </w:pPr>
      <w:r>
        <w:rPr>
          <w:rFonts w:ascii="Verdana" w:hAnsi="Verdana"/>
        </w:rPr>
        <w:t xml:space="preserve">3. </w:t>
      </w:r>
      <w:r w:rsidRPr="00AD7165">
        <w:rPr>
          <w:rFonts w:ascii="Verdana" w:hAnsi="Verdana"/>
        </w:rPr>
        <w:t>¿Cuál es la diferencia entre salario y honorarios?</w:t>
      </w:r>
    </w:p>
    <w:p w14:paraId="719AA0BE" w14:textId="77777777" w:rsidR="00387220" w:rsidRPr="00AD7165" w:rsidRDefault="00387220" w:rsidP="00387220">
      <w:pPr>
        <w:spacing w:after="0" w:line="276" w:lineRule="auto"/>
        <w:jc w:val="both"/>
        <w:rPr>
          <w:rFonts w:ascii="Verdana" w:eastAsia="Century Gothic" w:hAnsi="Verdana" w:cs="Century Gothic"/>
        </w:rPr>
      </w:pPr>
    </w:p>
    <w:p w14:paraId="54158ECF" w14:textId="77777777" w:rsidR="00387220" w:rsidRPr="00AD7165" w:rsidRDefault="00387220" w:rsidP="00387220">
      <w:pPr>
        <w:spacing w:after="0" w:line="276" w:lineRule="auto"/>
        <w:jc w:val="both"/>
        <w:rPr>
          <w:rFonts w:ascii="Verdana" w:eastAsia="Century Gothic" w:hAnsi="Verdana" w:cs="Century Gothic"/>
        </w:rPr>
      </w:pPr>
      <w:r>
        <w:rPr>
          <w:rFonts w:ascii="Verdana" w:hAnsi="Verdana"/>
        </w:rPr>
        <w:t xml:space="preserve">4. </w:t>
      </w:r>
      <w:r w:rsidRPr="00AD7165">
        <w:rPr>
          <w:rFonts w:ascii="Verdana" w:hAnsi="Verdana"/>
        </w:rPr>
        <w:t xml:space="preserve">¿Cómo el incumplimiento contractual por el no pago de los honorarios pactados por parte de las entidades públicas generan una afectación en el </w:t>
      </w:r>
      <w:proofErr w:type="gramStart"/>
      <w:r w:rsidRPr="00AD7165">
        <w:rPr>
          <w:rFonts w:ascii="Verdana" w:hAnsi="Verdana"/>
        </w:rPr>
        <w:t>erario público</w:t>
      </w:r>
      <w:proofErr w:type="gramEnd"/>
      <w:r w:rsidRPr="00AD7165">
        <w:rPr>
          <w:rFonts w:ascii="Verdana" w:hAnsi="Verdana"/>
        </w:rPr>
        <w:t>?</w:t>
      </w:r>
    </w:p>
    <w:p w14:paraId="5A1489B8" w14:textId="77777777" w:rsidR="00387220" w:rsidRPr="005671C4" w:rsidRDefault="00387220" w:rsidP="00387220">
      <w:pPr>
        <w:spacing w:after="0" w:line="276" w:lineRule="auto"/>
        <w:jc w:val="both"/>
        <w:rPr>
          <w:rFonts w:ascii="Verdana" w:eastAsia="Calibri" w:hAnsi="Verdana" w:cs="Arial"/>
          <w:color w:val="7030A0"/>
          <w:lang w:val="es-ES"/>
        </w:rPr>
      </w:pPr>
    </w:p>
    <w:p w14:paraId="60F42E9C" w14:textId="77777777" w:rsidR="00387220" w:rsidRPr="005671C4" w:rsidRDefault="00387220" w:rsidP="0038722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671C4">
        <w:rPr>
          <w:rFonts w:ascii="Verdana" w:eastAsia="Century Gothic" w:hAnsi="Verdana" w:cs="Century Gothic"/>
          <w:b/>
          <w:bCs/>
        </w:rPr>
        <w:t>Respuesta</w:t>
      </w:r>
      <w:r>
        <w:rPr>
          <w:rFonts w:ascii="Verdana" w:eastAsia="Century Gothic" w:hAnsi="Verdana" w:cs="Century Gothic"/>
          <w:b/>
          <w:bCs/>
        </w:rPr>
        <w:t>s</w:t>
      </w:r>
      <w:r w:rsidRPr="005671C4">
        <w:rPr>
          <w:rFonts w:ascii="Verdana" w:eastAsia="Century Gothic" w:hAnsi="Verdana" w:cs="Century Gothic"/>
          <w:b/>
          <w:bCs/>
        </w:rPr>
        <w:t>:</w:t>
      </w:r>
    </w:p>
    <w:p w14:paraId="12ACFD8D" w14:textId="77777777" w:rsidR="00387220" w:rsidRPr="005671C4" w:rsidRDefault="00387220" w:rsidP="0038722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87220" w:rsidRPr="005671C4" w14:paraId="049F9B5F" w14:textId="77777777" w:rsidTr="00E677B5">
        <w:tc>
          <w:tcPr>
            <w:tcW w:w="8828" w:type="dxa"/>
            <w:shd w:val="clear" w:color="auto" w:fill="auto"/>
          </w:tcPr>
          <w:p w14:paraId="1187CCC3" w14:textId="77777777" w:rsidR="00387220" w:rsidRDefault="00387220" w:rsidP="00E677B5">
            <w:pPr>
              <w:spacing w:before="120" w:after="120" w:line="276" w:lineRule="auto"/>
              <w:jc w:val="both"/>
              <w:rPr>
                <w:rFonts w:ascii="Verdana" w:eastAsia="Calibri" w:hAnsi="Verdana" w:cs="Arial"/>
              </w:rPr>
            </w:pPr>
            <w:r>
              <w:rPr>
                <w:rFonts w:ascii="Verdana" w:eastAsia="Calibri" w:hAnsi="Verdana" w:cs="Arial"/>
              </w:rPr>
              <w:t xml:space="preserve">1. </w:t>
            </w:r>
            <w:r w:rsidRPr="001A7C11">
              <w:rPr>
                <w:rFonts w:ascii="Verdana" w:eastAsia="Calibri" w:hAnsi="Verdana" w:cs="Arial"/>
              </w:rPr>
              <w:t xml:space="preserve">Frente al primer interrogante planteado, es menester señalar que, el registro presupuestal es un instrumento mediante el cual se busca prevenir erogaciones que superen el monto autorizado en el correspondiente presupuesto, con el objeto de evitar que los recursos destinados a la financiación de un determinado compromiso se desvíen a una finalidad distinta. </w:t>
            </w:r>
          </w:p>
          <w:p w14:paraId="21C713B5" w14:textId="77777777" w:rsidR="00387220" w:rsidRPr="001A7C11" w:rsidRDefault="00387220" w:rsidP="00E677B5">
            <w:pPr>
              <w:spacing w:before="120" w:after="120" w:line="276" w:lineRule="auto"/>
              <w:jc w:val="both"/>
              <w:rPr>
                <w:rFonts w:ascii="Verdana" w:eastAsia="Calibri" w:hAnsi="Verdana" w:cs="Arial"/>
                <w:i/>
                <w:iCs/>
              </w:rPr>
            </w:pPr>
            <w:r w:rsidRPr="001A7C11">
              <w:rPr>
                <w:rFonts w:ascii="Verdana" w:eastAsia="Calibri" w:hAnsi="Verdana" w:cs="Arial"/>
              </w:rPr>
              <w:t xml:space="preserve">Por consiguiente, teniendo en cuenta que el registro presupuestal es un requisito de ejecución mas no de perfeccionamiento, una vez se conozca el adjudicatario del procedimiento contractual, resulta viable expedir el registro presupuestal en la etapa contractual, siendo el término máximo para su expedición el inicio de la ejecución del contrato, lo cual ocurre una vez este firmado y se cumplan con las condiciones pactadas. Ahora bien, la omisión de su expedición no genera ni la inexistencia, ni a la invalidez del contrato, ya que se trata de una irregularidad de carácter administrativo, hecho que, de conformidad con el artículo 71 del Decreto 111 de 1996, provocaría que </w:t>
            </w:r>
            <w:r w:rsidRPr="001A7C11">
              <w:rPr>
                <w:rFonts w:ascii="Verdana" w:eastAsia="Calibri" w:hAnsi="Verdana" w:cs="Arial"/>
                <w:i/>
                <w:iCs/>
              </w:rPr>
              <w:t>“cualquier compromiso que se adquiera con violación a estos preceptos creará responsabilidad personal y pecuniaria a cargo de quien asuma estas obligaciones”.</w:t>
            </w:r>
          </w:p>
          <w:p w14:paraId="6D4BC970" w14:textId="77777777" w:rsidR="00387220" w:rsidRPr="001A7C11" w:rsidRDefault="00387220" w:rsidP="00E677B5">
            <w:pPr>
              <w:spacing w:before="120" w:after="120" w:line="276" w:lineRule="auto"/>
              <w:jc w:val="both"/>
              <w:rPr>
                <w:rFonts w:ascii="Verdana" w:eastAsia="Calibri" w:hAnsi="Verdana" w:cs="Arial"/>
              </w:rPr>
            </w:pPr>
            <w:r w:rsidRPr="001A7C11">
              <w:rPr>
                <w:rFonts w:ascii="Verdana" w:eastAsia="Calibri" w:hAnsi="Verdana" w:cs="Arial"/>
              </w:rPr>
              <w:lastRenderedPageBreak/>
              <w:t xml:space="preserve">Finalmente, se concluye que no es posible la expedición del Registro Presupuestal antes de la firma del contrato porque el objetivo normativo presupuestario de este trámite es resguardar, amparar y registrar la disponibilidad presupuestal de los rubros y códigos financieros con los que se garantiza el dinero del proyecto o contrato. En consecuencia, solo podrá surtirse este trámite luego de la firma del contrato, ya que esto no genera nulidad alguna sobre este, pero si recaen ciertas responsabilidades personales y pecuniarias sobre el funcionario que omita el cumplimiento de estos supuestos. </w:t>
            </w:r>
          </w:p>
          <w:p w14:paraId="0F7BC0DB" w14:textId="77777777" w:rsidR="00387220" w:rsidRPr="001A7C11" w:rsidRDefault="00387220" w:rsidP="00E677B5">
            <w:pPr>
              <w:spacing w:before="120" w:after="120" w:line="276" w:lineRule="auto"/>
              <w:jc w:val="both"/>
              <w:rPr>
                <w:rFonts w:ascii="Verdana" w:eastAsia="Calibri" w:hAnsi="Verdana" w:cs="Arial"/>
                <w:i/>
                <w:iCs/>
              </w:rPr>
            </w:pPr>
            <w:r w:rsidRPr="001A7C11">
              <w:rPr>
                <w:rFonts w:ascii="Verdana" w:eastAsia="Calibri" w:hAnsi="Verdana" w:cs="Arial"/>
              </w:rPr>
              <w:t>Es importante destacar que, la consecuencia de la omisión de su expedición consistiría en el riesgo que se genera para el pago de los honorarios, por lo que el presupuesto destinado en el Certificado de Disponibilidad Presupuestal no estaría registrado dentro del presupuesto general de la entidad. Una vez acabe la vigencia fiscal correspondiente, este fenecería por falta de registro.</w:t>
            </w:r>
          </w:p>
          <w:p w14:paraId="19A24C15" w14:textId="77777777" w:rsidR="00387220" w:rsidRDefault="00387220" w:rsidP="00E677B5">
            <w:pPr>
              <w:spacing w:before="120" w:after="120" w:line="276" w:lineRule="auto"/>
              <w:jc w:val="both"/>
              <w:rPr>
                <w:rFonts w:ascii="Verdana" w:eastAsia="Calibri" w:hAnsi="Verdana" w:cs="Arial"/>
              </w:rPr>
            </w:pPr>
          </w:p>
          <w:p w14:paraId="024D6FCA" w14:textId="77777777" w:rsidR="00387220" w:rsidRPr="001A7C11" w:rsidRDefault="00387220" w:rsidP="00E677B5">
            <w:pPr>
              <w:spacing w:before="120" w:after="120" w:line="276" w:lineRule="auto"/>
              <w:jc w:val="both"/>
              <w:rPr>
                <w:rFonts w:ascii="Verdana" w:eastAsia="Calibri" w:hAnsi="Verdana" w:cs="Arial"/>
              </w:rPr>
            </w:pPr>
            <w:r>
              <w:rPr>
                <w:rFonts w:ascii="Verdana" w:eastAsia="Calibri" w:hAnsi="Verdana" w:cs="Arial"/>
              </w:rPr>
              <w:t xml:space="preserve">2. </w:t>
            </w:r>
            <w:r w:rsidRPr="001A7C11">
              <w:rPr>
                <w:rFonts w:ascii="Verdana" w:eastAsia="Calibri" w:hAnsi="Verdana" w:cs="Arial"/>
              </w:rPr>
              <w:t xml:space="preserve">Frente al segundo interrogante planteado, teniendo en cuenta que usted no señala la jurisprudencia a la que hace referencia y que esta Agencia </w:t>
            </w:r>
            <w:r w:rsidRPr="001A7C11">
              <w:rPr>
                <w:rFonts w:ascii="Verdana" w:eastAsia="Calibri" w:hAnsi="Verdana" w:cs="Arial"/>
                <w:lang w:val="es-ES" w:eastAsia="es-ES"/>
              </w:rPr>
              <w:t>solo tiene competencia para responder consultas sobre la aplicación de normas de carácter general en materia de compras y contratación pública</w:t>
            </w:r>
            <w:r w:rsidRPr="001A7C11">
              <w:rPr>
                <w:rFonts w:ascii="Verdana" w:eastAsia="Calibri" w:hAnsi="Verdana" w:cs="Arial"/>
                <w:lang w:eastAsia="es-ES"/>
              </w:rPr>
              <w:t xml:space="preserve">, </w:t>
            </w:r>
            <w:r w:rsidRPr="001A7C11">
              <w:rPr>
                <w:rFonts w:ascii="Verdana" w:eastAsia="Calibri" w:hAnsi="Verdana" w:cs="Arial"/>
                <w:lang w:val="es-ES" w:eastAsia="es-ES"/>
              </w:rPr>
              <w:t xml:space="preserve">resolver casos particulares desborda las atribuciones asignadas por el legislador extraordinario, que no concibió a Colombia Compra Eficiente como una autoridad para solucionar problemas jurídicos particulares de todos los partícipes del sistema de compra pública. </w:t>
            </w:r>
            <w:r w:rsidRPr="001A7C11">
              <w:rPr>
                <w:rFonts w:ascii="Verdana" w:eastAsia="Calibri" w:hAnsi="Verdana" w:cs="Arial"/>
                <w:lang w:eastAsia="es-ES"/>
              </w:rPr>
              <w:t>Por tanto, e</w:t>
            </w:r>
            <w:proofErr w:type="spellStart"/>
            <w:r w:rsidRPr="001A7C11">
              <w:rPr>
                <w:rFonts w:ascii="Verdana" w:eastAsia="Calibri" w:hAnsi="Verdana" w:cs="Arial"/>
                <w:lang w:val="es-ES" w:eastAsia="es-ES"/>
              </w:rPr>
              <w:t>sta</w:t>
            </w:r>
            <w:proofErr w:type="spellEnd"/>
            <w:r w:rsidRPr="001A7C11">
              <w:rPr>
                <w:rFonts w:ascii="Verdana" w:eastAsia="Calibri" w:hAnsi="Verdana" w:cs="Arial"/>
                <w:lang w:val="es-ES" w:eastAsia="es-ES"/>
              </w:rPr>
              <w:t xml:space="preserve"> competencia de interpretación de normas generales, por definición, no puede extenderse a la resolución de controversias, ni a brindar asesorías sobre casos puntuales.</w:t>
            </w:r>
          </w:p>
          <w:p w14:paraId="6FC647A9" w14:textId="77777777" w:rsidR="00387220" w:rsidRDefault="00387220" w:rsidP="00E677B5">
            <w:pPr>
              <w:spacing w:before="120" w:after="120" w:line="276" w:lineRule="auto"/>
              <w:jc w:val="both"/>
              <w:rPr>
                <w:rFonts w:ascii="Verdana" w:eastAsia="Calibri" w:hAnsi="Verdana" w:cs="Arial"/>
              </w:rPr>
            </w:pPr>
          </w:p>
          <w:p w14:paraId="24B80FD7" w14:textId="77777777" w:rsidR="00387220" w:rsidRPr="001A7C11" w:rsidRDefault="00387220" w:rsidP="00E677B5">
            <w:pPr>
              <w:spacing w:before="120" w:after="120" w:line="276" w:lineRule="auto"/>
              <w:jc w:val="both"/>
              <w:rPr>
                <w:rFonts w:ascii="Verdana" w:eastAsia="Calibri" w:hAnsi="Verdana" w:cs="Arial"/>
              </w:rPr>
            </w:pPr>
            <w:r>
              <w:rPr>
                <w:rFonts w:ascii="Verdana" w:eastAsia="Calibri" w:hAnsi="Verdana" w:cs="Arial"/>
              </w:rPr>
              <w:t xml:space="preserve">3. </w:t>
            </w:r>
            <w:r w:rsidRPr="001A7C11">
              <w:rPr>
                <w:rFonts w:ascii="Verdana" w:eastAsia="Calibri" w:hAnsi="Verdana" w:cs="Arial"/>
              </w:rPr>
              <w:t xml:space="preserve">No existe en el sistema de compra pública una disposición de origen legal que defina los honorarios, por </w:t>
            </w:r>
            <w:proofErr w:type="gramStart"/>
            <w:r w:rsidRPr="001A7C11">
              <w:rPr>
                <w:rFonts w:ascii="Verdana" w:eastAsia="Calibri" w:hAnsi="Verdana" w:cs="Arial"/>
              </w:rPr>
              <w:t>tanto</w:t>
            </w:r>
            <w:proofErr w:type="gramEnd"/>
            <w:r w:rsidRPr="001A7C11">
              <w:rPr>
                <w:rFonts w:ascii="Verdana" w:eastAsia="Calibri" w:hAnsi="Verdana" w:cs="Arial"/>
              </w:rPr>
              <w:t xml:space="preserve"> el Diccionario de la Real Academia Española indica: “m. pl. Importe de los servicios de algunas profesiones liberales. Sin.: remuneración, retribución, estipendio, emolumentos”</w:t>
            </w:r>
            <w:r>
              <w:rPr>
                <w:rStyle w:val="Refdenotaalpie"/>
                <w:rFonts w:ascii="Verdana" w:eastAsia="Calibri" w:hAnsi="Verdana" w:cs="Arial"/>
              </w:rPr>
              <w:footnoteReference w:id="1"/>
            </w:r>
            <w:r w:rsidRPr="001A7C11">
              <w:rPr>
                <w:rFonts w:ascii="Verdana" w:eastAsia="Calibri" w:hAnsi="Verdana" w:cs="Arial"/>
              </w:rPr>
              <w:t xml:space="preserve">. Por </w:t>
            </w:r>
            <w:proofErr w:type="gramStart"/>
            <w:r w:rsidRPr="001A7C11">
              <w:rPr>
                <w:rFonts w:ascii="Verdana" w:eastAsia="Calibri" w:hAnsi="Verdana" w:cs="Arial"/>
              </w:rPr>
              <w:t>tanto</w:t>
            </w:r>
            <w:proofErr w:type="gramEnd"/>
            <w:r w:rsidRPr="001A7C11">
              <w:rPr>
                <w:rFonts w:ascii="Verdana" w:eastAsia="Calibri" w:hAnsi="Verdana" w:cs="Arial"/>
              </w:rPr>
              <w:t xml:space="preserve"> es el dinero que se paga a cambio de un servicio adquirido mediante un contrato diferente al laboral. Por otra parte, la definición de salario se encuentra consagrada en el Código Sustantivo del Trabajo, artículo 22, cuando se refiere al contrato de trabajo y también señala: “Quien presta el servicio se </w:t>
            </w:r>
            <w:r w:rsidRPr="001A7C11">
              <w:rPr>
                <w:rFonts w:ascii="Verdana" w:eastAsia="Calibri" w:hAnsi="Verdana" w:cs="Arial"/>
              </w:rPr>
              <w:lastRenderedPageBreak/>
              <w:t>denomina trabajador, quien lo recibe y remunera, empleador, y la remuneración, cualquiera que sea su forma, salario”.</w:t>
            </w:r>
          </w:p>
          <w:p w14:paraId="444475CF" w14:textId="77777777" w:rsidR="00387220" w:rsidRPr="001A7C11" w:rsidRDefault="00387220" w:rsidP="00E677B5">
            <w:pPr>
              <w:spacing w:before="120" w:after="120" w:line="276" w:lineRule="auto"/>
              <w:jc w:val="both"/>
              <w:rPr>
                <w:rFonts w:ascii="Verdana" w:eastAsia="Calibri" w:hAnsi="Verdana" w:cs="Arial"/>
              </w:rPr>
            </w:pPr>
            <w:r w:rsidRPr="001A7C11">
              <w:rPr>
                <w:rFonts w:ascii="Verdana" w:eastAsia="Calibri" w:hAnsi="Verdana" w:cs="Arial"/>
              </w:rPr>
              <w:t>De esta manera, la diferencia entre honorarios y salario radica, entre otros, en el tipo de contrato en el cual se establecen como pago por la prestación de un servicio, ya que si la vinculación es mediante contrato de trabajo el pago se denomina salario, y si es mediante un contrato civil como el contrato de prestación de servicios, se denomina honorarios.</w:t>
            </w:r>
          </w:p>
          <w:p w14:paraId="116863B7" w14:textId="77777777" w:rsidR="00387220" w:rsidRDefault="00387220" w:rsidP="00E677B5">
            <w:pPr>
              <w:spacing w:before="120" w:after="120" w:line="276" w:lineRule="auto"/>
              <w:jc w:val="both"/>
              <w:rPr>
                <w:rFonts w:ascii="Verdana" w:eastAsia="Calibri" w:hAnsi="Verdana" w:cs="Arial"/>
              </w:rPr>
            </w:pPr>
          </w:p>
          <w:p w14:paraId="6CC60AF7" w14:textId="77777777" w:rsidR="00387220" w:rsidRPr="001A7C11" w:rsidRDefault="00387220" w:rsidP="00E677B5">
            <w:pPr>
              <w:spacing w:before="120" w:after="120" w:line="276" w:lineRule="auto"/>
              <w:jc w:val="both"/>
              <w:rPr>
                <w:rFonts w:ascii="Verdana" w:eastAsia="Calibri" w:hAnsi="Verdana" w:cs="Arial"/>
              </w:rPr>
            </w:pPr>
            <w:r>
              <w:rPr>
                <w:rFonts w:ascii="Verdana" w:eastAsia="Calibri" w:hAnsi="Verdana" w:cs="Arial"/>
              </w:rPr>
              <w:t xml:space="preserve">4. </w:t>
            </w:r>
            <w:r w:rsidRPr="001A7C11">
              <w:rPr>
                <w:rFonts w:ascii="Verdana" w:eastAsia="Calibri" w:hAnsi="Verdana" w:cs="Arial"/>
              </w:rPr>
              <w:t>Por último, respecto de la obligación de las entidades estatales de realizar el pago de los honorarios pactados en los contratos que suscriben, la Ley 80 de 1993 en sus artículos 4 y 5 señalan el deber de las entidades contratantes de realizar el pago a los contratistas, y el derecho de los contratistas “a recibir oportunamente la remuneración pactada y a que el valor intrínseco de la misma no se altere o modifique durante la vigencia del contrato”.</w:t>
            </w:r>
            <w:r>
              <w:rPr>
                <w:rFonts w:ascii="Verdana" w:eastAsia="Calibri" w:hAnsi="Verdana" w:cs="Arial"/>
              </w:rPr>
              <w:t xml:space="preserve"> De esta manera corresponde a las entidades cumplir con su deber, y esta Agencia no es competente para determinar las consecuencias que se deriven del incumplimiento de la norma mencionada, lo cual corresponde a los entes de control, y presupuestalmente al Ministerio de Hacienda y Crédito Público.</w:t>
            </w:r>
          </w:p>
        </w:tc>
      </w:tr>
    </w:tbl>
    <w:p w14:paraId="7A1845E1" w14:textId="77777777" w:rsidR="00387220" w:rsidRPr="005671C4" w:rsidRDefault="00387220" w:rsidP="00387220">
      <w:pPr>
        <w:tabs>
          <w:tab w:val="left" w:pos="142"/>
          <w:tab w:val="left" w:pos="284"/>
        </w:tabs>
        <w:spacing w:after="0" w:line="276" w:lineRule="auto"/>
        <w:jc w:val="both"/>
        <w:rPr>
          <w:rFonts w:ascii="Verdana" w:eastAsia="Century Gothic" w:hAnsi="Verdana" w:cs="Century Gothic"/>
          <w:b/>
          <w:bCs/>
          <w:lang w:val="es-ES"/>
        </w:rPr>
      </w:pPr>
    </w:p>
    <w:p w14:paraId="103DB5B0" w14:textId="77777777" w:rsidR="00387220" w:rsidRPr="005671C4" w:rsidRDefault="00387220" w:rsidP="0038722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671C4">
        <w:rPr>
          <w:rFonts w:ascii="Verdana" w:eastAsia="Century Gothic" w:hAnsi="Verdana" w:cs="Century Gothic"/>
          <w:b/>
          <w:bCs/>
        </w:rPr>
        <w:t>Razones de la respuesta:</w:t>
      </w:r>
    </w:p>
    <w:p w14:paraId="2A6FD89C" w14:textId="77777777" w:rsidR="00387220" w:rsidRPr="005671C4" w:rsidRDefault="00387220" w:rsidP="00387220">
      <w:pPr>
        <w:spacing w:after="0" w:line="276" w:lineRule="auto"/>
        <w:jc w:val="both"/>
        <w:rPr>
          <w:rFonts w:ascii="Verdana" w:eastAsia="Calibri" w:hAnsi="Verdana" w:cs="Arial"/>
          <w:color w:val="7030A0"/>
          <w:lang w:val="es-ES"/>
        </w:rPr>
      </w:pPr>
    </w:p>
    <w:p w14:paraId="1FD5B0F1" w14:textId="77777777" w:rsidR="00387220" w:rsidRPr="005671C4" w:rsidRDefault="00387220" w:rsidP="00387220">
      <w:pPr>
        <w:spacing w:after="0" w:line="276" w:lineRule="auto"/>
        <w:jc w:val="both"/>
        <w:rPr>
          <w:rFonts w:ascii="Verdana" w:eastAsia="Calibri" w:hAnsi="Verdana" w:cs="Arial"/>
          <w:lang w:val="es-ES"/>
        </w:rPr>
      </w:pPr>
      <w:r w:rsidRPr="005671C4">
        <w:rPr>
          <w:rFonts w:ascii="Verdana" w:eastAsia="Calibri" w:hAnsi="Verdana" w:cs="Arial"/>
          <w:lang w:val="es-ES"/>
        </w:rPr>
        <w:t xml:space="preserve">Lo anterior se sustenta en las siguientes consideraciones: </w:t>
      </w:r>
    </w:p>
    <w:p w14:paraId="63F1BFFA" w14:textId="77777777" w:rsidR="00387220" w:rsidRPr="005D54AE" w:rsidRDefault="00387220" w:rsidP="00387220">
      <w:pPr>
        <w:spacing w:after="0" w:line="276" w:lineRule="auto"/>
        <w:jc w:val="both"/>
        <w:rPr>
          <w:rFonts w:ascii="Verdana" w:eastAsia="Times New Roman" w:hAnsi="Verdana" w:cs="Arial"/>
          <w:b/>
          <w:color w:val="1A1A1A" w:themeColor="background1" w:themeShade="1A"/>
          <w:lang w:eastAsia="es-ES_tradnl"/>
        </w:rPr>
      </w:pPr>
    </w:p>
    <w:p w14:paraId="4C5EBD06" w14:textId="77777777" w:rsidR="00387220" w:rsidRPr="005671C4" w:rsidRDefault="00387220" w:rsidP="00387220">
      <w:pPr>
        <w:pStyle w:val="Prrafodelista"/>
        <w:numPr>
          <w:ilvl w:val="0"/>
          <w:numId w:val="2"/>
        </w:numPr>
        <w:spacing w:after="120" w:line="276" w:lineRule="auto"/>
        <w:jc w:val="both"/>
        <w:rPr>
          <w:rFonts w:ascii="Verdana" w:eastAsia="Times New Roman" w:hAnsi="Verdana" w:cs="Arial"/>
          <w:color w:val="1A1A1A" w:themeColor="background1" w:themeShade="1A"/>
          <w:lang w:eastAsia="es-ES_tradnl"/>
        </w:rPr>
      </w:pPr>
      <w:r w:rsidRPr="005671C4">
        <w:rPr>
          <w:rFonts w:ascii="Verdana" w:eastAsia="Times New Roman" w:hAnsi="Verdana" w:cs="Arial"/>
          <w:color w:val="1A1A1A" w:themeColor="background1" w:themeShade="1A"/>
          <w:lang w:eastAsia="es-ES_tradnl"/>
        </w:rPr>
        <w:t xml:space="preserve">El presupuesto de una Entidad Estatal está compuesto por los recursos públicos en dinero y su distribución efectiva para viabilizar el cumplimiento de las funciones que la ley le ha señalado a cada organismo del Estado. Para la debida asignación y distribución de los recursos públicos, las Entidades deben cumplir los procedimientos señalados en las normas para su correcta ejecución, observando la regulación presupuestal, donde se establecen diferentes requisitos que comportan deberes ineludibles que tienen como finalidad el control del gasto. Una forma de ejecutar el presupuesto consiste en la celebración de contratos estatales, con la finalidad de adquirir o ejecutar bienes, obras o servicios requeridos para satisfacer las necesidades de las Entidades Estatales. </w:t>
      </w:r>
    </w:p>
    <w:p w14:paraId="69867BE6" w14:textId="77777777" w:rsidR="00387220" w:rsidRPr="005671C4" w:rsidRDefault="00387220" w:rsidP="00387220">
      <w:pPr>
        <w:pStyle w:val="Prrafodelista"/>
        <w:rPr>
          <w:rFonts w:ascii="Verdana" w:eastAsia="Times New Roman" w:hAnsi="Verdana" w:cs="Arial"/>
          <w:color w:val="1A1A1A" w:themeColor="background1" w:themeShade="1A"/>
          <w:lang w:eastAsia="es-ES_tradnl"/>
        </w:rPr>
      </w:pPr>
    </w:p>
    <w:p w14:paraId="674C15E5" w14:textId="77777777" w:rsidR="00387220" w:rsidRDefault="00387220" w:rsidP="00387220">
      <w:pPr>
        <w:pStyle w:val="Prrafodelista"/>
        <w:numPr>
          <w:ilvl w:val="0"/>
          <w:numId w:val="2"/>
        </w:numPr>
        <w:spacing w:after="120" w:line="276" w:lineRule="auto"/>
        <w:jc w:val="both"/>
        <w:rPr>
          <w:rFonts w:ascii="Verdana" w:eastAsia="Times New Roman" w:hAnsi="Verdana" w:cs="Arial"/>
          <w:color w:val="1A1A1A" w:themeColor="background1" w:themeShade="1A"/>
          <w:lang w:eastAsia="es-ES_tradnl"/>
        </w:rPr>
      </w:pPr>
      <w:r w:rsidRPr="00A561E9">
        <w:rPr>
          <w:rFonts w:ascii="Verdana" w:eastAsia="Times New Roman" w:hAnsi="Verdana" w:cs="Arial"/>
          <w:color w:val="1A1A1A" w:themeColor="background1" w:themeShade="1A"/>
          <w:lang w:eastAsia="es-ES_tradnl"/>
        </w:rPr>
        <w:t xml:space="preserve">En ese sentido, la Ley 80 de 1993, respecto del principio de economía, que establece directrices relacionadas con las diferentes etapas de un </w:t>
      </w:r>
      <w:r w:rsidRPr="00A561E9">
        <w:rPr>
          <w:rFonts w:ascii="Verdana" w:eastAsia="Times New Roman" w:hAnsi="Verdana" w:cs="Arial"/>
          <w:color w:val="1A1A1A" w:themeColor="background1" w:themeShade="1A"/>
          <w:lang w:eastAsia="es-ES_tradnl"/>
        </w:rPr>
        <w:lastRenderedPageBreak/>
        <w:t>Proceso de Contratación, refleja dos aspectos que ocurren en la actividad contractual: i) la apertura del proceso y la suscripción de contratos estatales que requieren la disponibilidad presupuestal pertinente</w:t>
      </w:r>
      <w:r w:rsidRPr="005671C4">
        <w:rPr>
          <w:rFonts w:ascii="Verdana" w:hAnsi="Verdana"/>
          <w:vertAlign w:val="superscript"/>
          <w:lang w:eastAsia="es-ES_tradnl"/>
        </w:rPr>
        <w:footnoteReference w:id="2"/>
      </w:r>
      <w:r w:rsidRPr="00A561E9">
        <w:rPr>
          <w:rFonts w:ascii="Verdana" w:eastAsia="Times New Roman" w:hAnsi="Verdana" w:cs="Arial"/>
          <w:color w:val="1A1A1A" w:themeColor="background1" w:themeShade="1A"/>
          <w:lang w:eastAsia="es-ES_tradnl"/>
        </w:rPr>
        <w:t xml:space="preserve">, y </w:t>
      </w:r>
      <w:proofErr w:type="spellStart"/>
      <w:r w:rsidRPr="00A561E9">
        <w:rPr>
          <w:rFonts w:ascii="Verdana" w:eastAsia="Times New Roman" w:hAnsi="Verdana" w:cs="Arial"/>
          <w:color w:val="1A1A1A" w:themeColor="background1" w:themeShade="1A"/>
          <w:lang w:eastAsia="es-ES_tradnl"/>
        </w:rPr>
        <w:t>ii</w:t>
      </w:r>
      <w:proofErr w:type="spellEnd"/>
      <w:r w:rsidRPr="00A561E9">
        <w:rPr>
          <w:rFonts w:ascii="Verdana" w:eastAsia="Times New Roman" w:hAnsi="Verdana" w:cs="Arial"/>
          <w:color w:val="1A1A1A" w:themeColor="background1" w:themeShade="1A"/>
          <w:lang w:eastAsia="es-ES_tradnl"/>
        </w:rPr>
        <w:t>) la ejecución del contrato que exige de la Entidad Estatal contar con un Registro Presupuestal</w:t>
      </w:r>
      <w:r>
        <w:rPr>
          <w:rFonts w:ascii="Verdana" w:eastAsia="Times New Roman" w:hAnsi="Verdana" w:cs="Arial"/>
          <w:color w:val="1A1A1A" w:themeColor="background1" w:themeShade="1A"/>
          <w:lang w:eastAsia="es-ES_tradnl"/>
        </w:rPr>
        <w:t>.</w:t>
      </w:r>
    </w:p>
    <w:p w14:paraId="6CF0EF3F" w14:textId="77777777" w:rsidR="00387220" w:rsidRPr="00A561E9" w:rsidRDefault="00387220" w:rsidP="00387220">
      <w:pPr>
        <w:pStyle w:val="Prrafodelista"/>
        <w:rPr>
          <w:rFonts w:ascii="Verdana" w:eastAsia="Times New Roman" w:hAnsi="Verdana" w:cs="Arial"/>
          <w:color w:val="1A1A1A" w:themeColor="background1" w:themeShade="1A"/>
          <w:lang w:eastAsia="es-ES_tradnl"/>
        </w:rPr>
      </w:pPr>
    </w:p>
    <w:p w14:paraId="721723CB" w14:textId="77777777" w:rsidR="00387220" w:rsidRPr="005671C4" w:rsidRDefault="00387220" w:rsidP="00387220">
      <w:pPr>
        <w:pStyle w:val="Prrafodelista"/>
        <w:numPr>
          <w:ilvl w:val="0"/>
          <w:numId w:val="2"/>
        </w:numPr>
        <w:spacing w:after="120" w:line="276" w:lineRule="auto"/>
        <w:jc w:val="both"/>
        <w:rPr>
          <w:rFonts w:ascii="Verdana" w:eastAsia="Times New Roman" w:hAnsi="Verdana" w:cs="Arial"/>
          <w:color w:val="1A1A1A" w:themeColor="background1" w:themeShade="1A"/>
          <w:lang w:eastAsia="es-ES_tradnl"/>
        </w:rPr>
      </w:pPr>
      <w:r w:rsidRPr="005671C4">
        <w:rPr>
          <w:rFonts w:ascii="Verdana" w:eastAsia="Times New Roman" w:hAnsi="Verdana" w:cs="Arial"/>
          <w:color w:val="1A1A1A" w:themeColor="background1" w:themeShade="1A"/>
          <w:lang w:eastAsia="es-ES_tradnl"/>
        </w:rPr>
        <w:t>En todo caso, tanto la disponibilidad como el compromiso presupuestal tienen como antecedente el estudio del sector relativo a los bienes, obras o servicios que adquirirá la Entidad mediante el proceso contractual, lo cual permite conocer el mercado respecto de los proveedores, cadenas de producción, costos, calidad, entre otros, para lograr que el presupuesto que se comprometa al proceso corresponda al valor real, y así se cumpla el deber de la entidad de planear y conocer las adquisiciones que pretende realizar, particularmente para estimar el valor del contrato</w:t>
      </w:r>
      <w:r w:rsidRPr="005671C4">
        <w:rPr>
          <w:rFonts w:ascii="Verdana" w:hAnsi="Verdana"/>
          <w:vertAlign w:val="superscript"/>
          <w:lang w:eastAsia="es-ES_tradnl"/>
        </w:rPr>
        <w:footnoteReference w:id="3"/>
      </w:r>
      <w:r w:rsidRPr="005671C4">
        <w:rPr>
          <w:rFonts w:ascii="Verdana" w:eastAsia="Times New Roman" w:hAnsi="Verdana" w:cs="Arial"/>
          <w:color w:val="1A1A1A" w:themeColor="background1" w:themeShade="1A"/>
          <w:lang w:eastAsia="es-ES_tradnl"/>
        </w:rPr>
        <w:t>.</w:t>
      </w:r>
    </w:p>
    <w:p w14:paraId="7CC50FC3" w14:textId="77777777" w:rsidR="00387220" w:rsidRPr="005671C4" w:rsidRDefault="00387220" w:rsidP="00387220">
      <w:pPr>
        <w:pStyle w:val="Prrafodelista"/>
        <w:rPr>
          <w:rFonts w:ascii="Verdana" w:eastAsia="Times New Roman" w:hAnsi="Verdana" w:cs="Arial"/>
          <w:color w:val="1A1A1A" w:themeColor="background1" w:themeShade="1A"/>
          <w:lang w:eastAsia="es-ES_tradnl"/>
        </w:rPr>
      </w:pPr>
    </w:p>
    <w:p w14:paraId="2EFAB722" w14:textId="77777777" w:rsidR="00387220" w:rsidRDefault="00387220" w:rsidP="00387220">
      <w:pPr>
        <w:pStyle w:val="Prrafodelista"/>
        <w:numPr>
          <w:ilvl w:val="0"/>
          <w:numId w:val="2"/>
        </w:numPr>
        <w:spacing w:after="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De tal manera que, p</w:t>
      </w:r>
      <w:r w:rsidRPr="005671C4">
        <w:rPr>
          <w:rFonts w:ascii="Verdana" w:eastAsia="Times New Roman" w:hAnsi="Verdana" w:cs="Arial"/>
          <w:color w:val="1A1A1A" w:themeColor="background1" w:themeShade="1A"/>
          <w:lang w:eastAsia="es-ES_tradnl"/>
        </w:rPr>
        <w:t xml:space="preserve">revio al cumplimiento de las obligaciones presupuestales, la Entidad debe indicar en el Pliego de Condiciones el presupuesto oficial del proceso, para que los interesados en presentar una oferta no hagan ofrecimientos que superen el valor con el que cuenta la entidad para pagarle al contratista por el respectivo bien, obra o servicio. Ahora bien, es importante considerar el artículo 71 del Decreto 111 de 1996 –Estatuto Orgánico del Presupuesto– trata del deber de contar con el Certificado de Disponibilidad Presupuestal (CDP) como garantía de que existen los recursos necesarios para abrir procedimientos de selección e iniciar procesos de suscripción de contratos, en armonía con el numeral 6° del artículo 25 de la Ley </w:t>
      </w:r>
      <w:r w:rsidRPr="00362659">
        <w:rPr>
          <w:rFonts w:ascii="Verdana" w:eastAsia="Times New Roman" w:hAnsi="Verdana" w:cs="Arial"/>
          <w:color w:val="1A1A1A" w:themeColor="background1" w:themeShade="1A"/>
          <w:lang w:eastAsia="es-ES_tradnl"/>
        </w:rPr>
        <w:t xml:space="preserve">80 de 1993. </w:t>
      </w:r>
    </w:p>
    <w:p w14:paraId="6350609A" w14:textId="77777777" w:rsidR="00387220" w:rsidRPr="004C39AE" w:rsidRDefault="00387220" w:rsidP="00387220">
      <w:pPr>
        <w:pStyle w:val="Prrafodelista"/>
        <w:rPr>
          <w:rFonts w:ascii="Verdana" w:eastAsia="Times New Roman" w:hAnsi="Verdana" w:cs="Arial"/>
          <w:color w:val="1A1A1A" w:themeColor="background1" w:themeShade="1A"/>
          <w:lang w:eastAsia="es-ES_tradnl"/>
        </w:rPr>
      </w:pPr>
    </w:p>
    <w:p w14:paraId="1D96D834" w14:textId="77777777" w:rsidR="00387220" w:rsidRPr="005671C4" w:rsidRDefault="00387220" w:rsidP="00387220">
      <w:pPr>
        <w:pStyle w:val="Prrafodelista"/>
        <w:numPr>
          <w:ilvl w:val="0"/>
          <w:numId w:val="2"/>
        </w:numPr>
        <w:spacing w:after="0" w:line="276" w:lineRule="auto"/>
        <w:jc w:val="both"/>
        <w:rPr>
          <w:rFonts w:ascii="Verdana" w:eastAsia="Times New Roman" w:hAnsi="Verdana" w:cs="Arial"/>
          <w:color w:val="1A1A1A" w:themeColor="background1" w:themeShade="1A"/>
          <w:lang w:eastAsia="es-ES_tradnl"/>
        </w:rPr>
      </w:pPr>
      <w:r w:rsidRPr="00362659">
        <w:rPr>
          <w:rFonts w:ascii="Verdana" w:eastAsia="Times New Roman" w:hAnsi="Verdana" w:cs="Arial"/>
          <w:color w:val="1A1A1A" w:themeColor="background1" w:themeShade="1A"/>
          <w:lang w:eastAsia="es-ES_tradnl"/>
        </w:rPr>
        <w:t>De igual manera, conforme al artículo 41 de la Ley 80 de 1993, el Registro Presupuestal es necesario para iniciar la ejecución del contrato, una vez se tenga definido el valor y el plazo.</w:t>
      </w:r>
      <w:r w:rsidRPr="005671C4">
        <w:rPr>
          <w:rFonts w:ascii="Verdana" w:eastAsia="Times New Roman" w:hAnsi="Verdana" w:cs="Arial"/>
          <w:color w:val="1A1A1A" w:themeColor="background1" w:themeShade="1A"/>
          <w:lang w:eastAsia="es-ES_tradnl"/>
        </w:rPr>
        <w:t xml:space="preserve"> En concordancia con lo anterior, el </w:t>
      </w:r>
      <w:r w:rsidRPr="005671C4">
        <w:rPr>
          <w:rFonts w:ascii="Verdana" w:eastAsia="Times New Roman" w:hAnsi="Verdana" w:cs="Arial"/>
          <w:color w:val="1A1A1A" w:themeColor="background1" w:themeShade="1A"/>
          <w:lang w:eastAsia="es-ES_tradnl"/>
        </w:rPr>
        <w:lastRenderedPageBreak/>
        <w:t>Consejo de Estado expresó respecto de la disponibilidad y el compromiso presupuestal, que:</w:t>
      </w:r>
    </w:p>
    <w:p w14:paraId="3EF0F7B7" w14:textId="77777777" w:rsidR="00387220" w:rsidRPr="005671C4" w:rsidRDefault="00387220" w:rsidP="00387220">
      <w:pPr>
        <w:pStyle w:val="Prrafodelista"/>
        <w:spacing w:after="0" w:line="276" w:lineRule="auto"/>
        <w:jc w:val="both"/>
        <w:rPr>
          <w:rFonts w:ascii="Verdana" w:eastAsia="Times New Roman" w:hAnsi="Verdana" w:cs="Arial"/>
          <w:color w:val="1A1A1A" w:themeColor="background1" w:themeShade="1A"/>
          <w:lang w:eastAsia="es-ES_tradnl"/>
        </w:rPr>
      </w:pPr>
    </w:p>
    <w:p w14:paraId="3D5C037E" w14:textId="77777777" w:rsidR="00387220" w:rsidRPr="005671C4" w:rsidRDefault="00387220" w:rsidP="00387220">
      <w:pPr>
        <w:pStyle w:val="Prrafodelista"/>
        <w:spacing w:after="0" w:line="240" w:lineRule="auto"/>
        <w:ind w:left="1491" w:right="357"/>
        <w:jc w:val="both"/>
        <w:rPr>
          <w:rFonts w:ascii="Verdana" w:eastAsia="Times New Roman" w:hAnsi="Verdana" w:cs="Arial"/>
          <w:color w:val="000000" w:themeColor="text1"/>
          <w:sz w:val="20"/>
          <w:szCs w:val="20"/>
          <w:lang w:eastAsia="es-ES_tradnl"/>
        </w:rPr>
      </w:pPr>
      <w:r w:rsidRPr="005671C4">
        <w:rPr>
          <w:rFonts w:ascii="Verdana" w:eastAsia="Times New Roman" w:hAnsi="Verdana" w:cs="Arial"/>
          <w:color w:val="000000" w:themeColor="text1"/>
          <w:sz w:val="20"/>
          <w:szCs w:val="20"/>
          <w:lang w:eastAsia="es-ES_tradnl"/>
        </w:rPr>
        <w:t>“En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5671C4">
        <w:rPr>
          <w:rFonts w:ascii="Verdana" w:eastAsia="Times New Roman" w:hAnsi="Verdana" w:cs="Arial"/>
          <w:color w:val="000000" w:themeColor="text1"/>
          <w:spacing w:val="-3"/>
          <w:sz w:val="20"/>
          <w:szCs w:val="20"/>
          <w:lang w:eastAsia="es-ES_tradnl"/>
        </w:rPr>
        <w:t xml:space="preserve"> </w:t>
      </w:r>
      <w:r w:rsidRPr="005671C4">
        <w:rPr>
          <w:rFonts w:ascii="Verdana" w:eastAsia="Times New Roman" w:hAnsi="Verdana" w:cs="Arial"/>
          <w:color w:val="000000" w:themeColor="text1"/>
          <w:sz w:val="20"/>
          <w:szCs w:val="20"/>
          <w:lang w:eastAsia="es-ES_tradnl"/>
        </w:rPr>
        <w:t>partes.</w:t>
      </w:r>
    </w:p>
    <w:p w14:paraId="0DFED4B7" w14:textId="77777777" w:rsidR="00387220" w:rsidRPr="005671C4" w:rsidRDefault="00387220" w:rsidP="00387220">
      <w:pPr>
        <w:pStyle w:val="Prrafodelista"/>
        <w:spacing w:after="0" w:line="240" w:lineRule="auto"/>
        <w:ind w:left="1491" w:right="357"/>
        <w:jc w:val="both"/>
        <w:rPr>
          <w:rFonts w:ascii="Verdana" w:eastAsia="Times New Roman" w:hAnsi="Verdana" w:cs="Arial"/>
          <w:color w:val="000000" w:themeColor="text1"/>
          <w:sz w:val="20"/>
          <w:szCs w:val="20"/>
          <w:lang w:eastAsia="es-ES_tradnl"/>
        </w:rPr>
      </w:pPr>
    </w:p>
    <w:p w14:paraId="04331F17" w14:textId="77777777" w:rsidR="00387220" w:rsidRPr="005671C4" w:rsidRDefault="00387220" w:rsidP="00387220">
      <w:pPr>
        <w:pStyle w:val="Prrafodelista"/>
        <w:spacing w:after="0" w:line="240" w:lineRule="auto"/>
        <w:ind w:left="1491" w:right="357"/>
        <w:rPr>
          <w:rFonts w:ascii="Verdana" w:eastAsia="Times New Roman" w:hAnsi="Verdana" w:cs="Arial"/>
          <w:color w:val="000000" w:themeColor="text1"/>
          <w:sz w:val="20"/>
          <w:szCs w:val="20"/>
          <w:lang w:eastAsia="es-ES_tradnl"/>
        </w:rPr>
      </w:pPr>
      <w:r w:rsidRPr="005671C4">
        <w:rPr>
          <w:rFonts w:ascii="Verdana" w:eastAsia="Times New Roman" w:hAnsi="Verdana" w:cs="Arial"/>
          <w:sz w:val="20"/>
          <w:szCs w:val="20"/>
          <w:lang w:eastAsia="es-ES_tradnl"/>
        </w:rPr>
        <w:t>[…]</w:t>
      </w:r>
    </w:p>
    <w:p w14:paraId="383C6815" w14:textId="77777777" w:rsidR="00387220" w:rsidRPr="005671C4" w:rsidRDefault="00387220" w:rsidP="00387220">
      <w:pPr>
        <w:pStyle w:val="Prrafodelista"/>
        <w:spacing w:after="0" w:line="240" w:lineRule="auto"/>
        <w:ind w:left="1491" w:right="357"/>
        <w:jc w:val="both"/>
        <w:rPr>
          <w:rFonts w:ascii="Verdana" w:eastAsia="Times New Roman" w:hAnsi="Verdana" w:cs="Arial"/>
          <w:color w:val="000000" w:themeColor="text1"/>
          <w:sz w:val="20"/>
          <w:szCs w:val="20"/>
          <w:lang w:eastAsia="es-ES_tradnl"/>
        </w:rPr>
      </w:pPr>
    </w:p>
    <w:p w14:paraId="0071C659" w14:textId="77777777" w:rsidR="00387220" w:rsidRPr="005671C4" w:rsidRDefault="00387220" w:rsidP="00387220">
      <w:pPr>
        <w:pStyle w:val="Prrafodelista"/>
        <w:spacing w:after="0" w:line="240" w:lineRule="auto"/>
        <w:ind w:left="1491" w:right="357"/>
        <w:jc w:val="both"/>
        <w:rPr>
          <w:rFonts w:ascii="Verdana" w:eastAsia="Times New Roman" w:hAnsi="Verdana" w:cs="Arial"/>
          <w:color w:val="000000" w:themeColor="text1"/>
          <w:sz w:val="20"/>
          <w:szCs w:val="20"/>
          <w:lang w:eastAsia="es-ES_tradnl"/>
        </w:rPr>
      </w:pPr>
      <w:r w:rsidRPr="005671C4">
        <w:rPr>
          <w:rFonts w:ascii="Verdana" w:eastAsia="Times New Roman" w:hAnsi="Verdana" w:cs="Arial"/>
          <w:color w:val="000000" w:themeColor="text1"/>
          <w:sz w:val="20"/>
          <w:szCs w:val="20"/>
          <w:lang w:eastAsia="es-ES_tradnl"/>
        </w:rPr>
        <w:t>Conviene recordarse que el certificado de disponibilidad presupuestal, en el terreno de lo contratos estatales sometidos al imperio de la Ley 80, no corresponde a un requisito de perfeccionamiento del negocio jurídico, 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Estatal, habida consideración de que su implementación constituye una exigencia para la ejecución del contrato y no para su</w:t>
      </w:r>
      <w:r w:rsidRPr="005671C4">
        <w:rPr>
          <w:rFonts w:ascii="Verdana" w:eastAsia="Times New Roman" w:hAnsi="Verdana" w:cs="Arial"/>
          <w:color w:val="000000" w:themeColor="text1"/>
          <w:spacing w:val="-19"/>
          <w:sz w:val="20"/>
          <w:szCs w:val="20"/>
          <w:lang w:eastAsia="es-ES_tradnl"/>
        </w:rPr>
        <w:t xml:space="preserve"> </w:t>
      </w:r>
      <w:r w:rsidRPr="005671C4">
        <w:rPr>
          <w:rFonts w:ascii="Verdana" w:eastAsia="Times New Roman" w:hAnsi="Verdana" w:cs="Arial"/>
          <w:color w:val="000000" w:themeColor="text1"/>
          <w:sz w:val="20"/>
          <w:szCs w:val="20"/>
          <w:lang w:eastAsia="es-ES_tradnl"/>
        </w:rPr>
        <w:t>existencia”</w:t>
      </w:r>
      <w:r w:rsidRPr="005671C4">
        <w:rPr>
          <w:rFonts w:ascii="Verdana" w:hAnsi="Verdana"/>
          <w:sz w:val="20"/>
          <w:szCs w:val="20"/>
          <w:vertAlign w:val="superscript"/>
          <w:lang w:eastAsia="es-ES_tradnl"/>
        </w:rPr>
        <w:footnoteReference w:id="4"/>
      </w:r>
      <w:r w:rsidRPr="005671C4">
        <w:rPr>
          <w:rFonts w:ascii="Verdana" w:eastAsia="Times New Roman" w:hAnsi="Verdana" w:cs="Arial"/>
          <w:color w:val="000000" w:themeColor="text1"/>
          <w:sz w:val="20"/>
          <w:szCs w:val="20"/>
          <w:lang w:eastAsia="es-ES_tradnl"/>
        </w:rPr>
        <w:t>.</w:t>
      </w:r>
    </w:p>
    <w:p w14:paraId="27D2FA35" w14:textId="77777777" w:rsidR="00387220" w:rsidRPr="005671C4" w:rsidRDefault="00387220" w:rsidP="00387220">
      <w:pPr>
        <w:pStyle w:val="Prrafodelista"/>
        <w:spacing w:after="0" w:line="276" w:lineRule="auto"/>
        <w:ind w:right="709"/>
        <w:jc w:val="both"/>
        <w:rPr>
          <w:rFonts w:ascii="Verdana" w:eastAsia="Times New Roman" w:hAnsi="Verdana" w:cs="Arial"/>
          <w:color w:val="000000" w:themeColor="text1"/>
          <w:lang w:eastAsia="es-ES_tradnl"/>
        </w:rPr>
      </w:pPr>
    </w:p>
    <w:p w14:paraId="63D58DBB" w14:textId="77777777" w:rsidR="00387220" w:rsidRPr="005671C4" w:rsidRDefault="00387220" w:rsidP="00387220">
      <w:pPr>
        <w:pStyle w:val="Prrafodelista"/>
        <w:spacing w:after="0" w:line="276" w:lineRule="auto"/>
        <w:jc w:val="both"/>
        <w:rPr>
          <w:rFonts w:ascii="Verdana" w:eastAsia="Times New Roman" w:hAnsi="Verdana" w:cs="Arial"/>
          <w:b/>
          <w:bCs/>
          <w:color w:val="1A1A1A" w:themeColor="background1" w:themeShade="1A"/>
          <w:lang w:eastAsia="es-ES_tradnl"/>
        </w:rPr>
      </w:pPr>
    </w:p>
    <w:p w14:paraId="12AB3968" w14:textId="77777777" w:rsidR="00387220" w:rsidRPr="004D2506" w:rsidRDefault="00387220" w:rsidP="00387220">
      <w:pPr>
        <w:pStyle w:val="Prrafodelista"/>
        <w:numPr>
          <w:ilvl w:val="0"/>
          <w:numId w:val="2"/>
        </w:numPr>
        <w:spacing w:after="120" w:line="276" w:lineRule="auto"/>
        <w:jc w:val="both"/>
        <w:rPr>
          <w:rFonts w:ascii="Verdana" w:eastAsia="Times New Roman" w:hAnsi="Verdana" w:cs="Arial"/>
          <w:color w:val="1A1A1A" w:themeColor="background1" w:themeShade="1A"/>
          <w:lang w:eastAsia="es-ES_tradnl"/>
        </w:rPr>
      </w:pPr>
      <w:bookmarkStart w:id="2" w:name="_Hlk169002677"/>
      <w:r w:rsidRPr="004D2506">
        <w:rPr>
          <w:rFonts w:ascii="Verdana" w:eastAsia="Times New Roman" w:hAnsi="Verdana" w:cs="Arial"/>
          <w:color w:val="1A1A1A" w:themeColor="background1" w:themeShade="1A"/>
          <w:lang w:eastAsia="es-ES_tradnl"/>
        </w:rPr>
        <w:t xml:space="preserve">De esta manera, con el fin de dar respuesta a su </w:t>
      </w:r>
      <w:r>
        <w:rPr>
          <w:rFonts w:ascii="Verdana" w:eastAsia="Times New Roman" w:hAnsi="Verdana" w:cs="Arial"/>
          <w:color w:val="1A1A1A" w:themeColor="background1" w:themeShade="1A"/>
          <w:lang w:eastAsia="es-ES_tradnl"/>
        </w:rPr>
        <w:t>consulta</w:t>
      </w:r>
      <w:r w:rsidRPr="004D2506">
        <w:rPr>
          <w:rFonts w:ascii="Verdana" w:eastAsia="Times New Roman" w:hAnsi="Verdana" w:cs="Arial"/>
          <w:color w:val="1A1A1A" w:themeColor="background1" w:themeShade="1A"/>
          <w:lang w:eastAsia="es-ES_tradnl"/>
        </w:rPr>
        <w:t>, 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Entidad Pública vaya a adquirir. En consecuencia, es un instrumento mediante el cual se busca prevenir erogaciones que superen el monto autorizado en el correspondiente presupuesto, con el objeto de evitar que los recursos destinados a la financiación de un determinado compromiso se desvíen a una finalidad distinta.</w:t>
      </w:r>
    </w:p>
    <w:p w14:paraId="4DC60D51" w14:textId="77777777" w:rsidR="00387220" w:rsidRDefault="00387220" w:rsidP="00387220">
      <w:pPr>
        <w:pStyle w:val="Prrafodelista"/>
        <w:spacing w:after="120" w:line="276" w:lineRule="auto"/>
        <w:jc w:val="both"/>
        <w:rPr>
          <w:rFonts w:ascii="Verdana" w:eastAsia="Times New Roman" w:hAnsi="Verdana" w:cs="Arial"/>
          <w:color w:val="1A1A1A" w:themeColor="background1" w:themeShade="1A"/>
          <w:lang w:eastAsia="es-ES_tradnl"/>
        </w:rPr>
      </w:pPr>
    </w:p>
    <w:p w14:paraId="41F9C1A7" w14:textId="77777777" w:rsidR="00387220" w:rsidRDefault="00387220" w:rsidP="00387220">
      <w:pPr>
        <w:pStyle w:val="Prrafodelista"/>
        <w:numPr>
          <w:ilvl w:val="0"/>
          <w:numId w:val="2"/>
        </w:numPr>
        <w:spacing w:after="12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lastRenderedPageBreak/>
        <w:t>Ahora bien, respecto a la o</w:t>
      </w:r>
      <w:r w:rsidRPr="00994681">
        <w:rPr>
          <w:rFonts w:ascii="Verdana" w:eastAsia="Times New Roman" w:hAnsi="Verdana" w:cs="Arial"/>
          <w:color w:val="1A1A1A" w:themeColor="background1" w:themeShade="1A"/>
          <w:lang w:eastAsia="es-ES_tradnl"/>
        </w:rPr>
        <w:t>portunidad y consecuencias de omitir el Registro Presupuestal</w:t>
      </w:r>
      <w:r>
        <w:rPr>
          <w:rFonts w:ascii="Verdana" w:eastAsia="Times New Roman" w:hAnsi="Verdana" w:cs="Arial"/>
          <w:color w:val="1A1A1A" w:themeColor="background1" w:themeShade="1A"/>
          <w:lang w:eastAsia="es-ES_tradnl"/>
        </w:rPr>
        <w:t>,</w:t>
      </w:r>
      <w:r w:rsidRPr="00994681">
        <w:rPr>
          <w:rFonts w:ascii="Verdana" w:eastAsia="Times New Roman" w:hAnsi="Verdana" w:cs="Arial"/>
          <w:color w:val="1A1A1A" w:themeColor="background1" w:themeShade="1A"/>
          <w:lang w:eastAsia="es-ES_tradnl"/>
        </w:rPr>
        <w:t xml:space="preserve"> </w:t>
      </w:r>
      <w:r>
        <w:rPr>
          <w:rFonts w:ascii="Verdana" w:eastAsia="Times New Roman" w:hAnsi="Verdana" w:cs="Arial"/>
          <w:color w:val="1A1A1A" w:themeColor="background1" w:themeShade="1A"/>
          <w:lang w:eastAsia="es-ES_tradnl"/>
        </w:rPr>
        <w:t>d</w:t>
      </w:r>
      <w:r w:rsidRPr="005671C4">
        <w:rPr>
          <w:rFonts w:ascii="Verdana" w:eastAsia="Times New Roman" w:hAnsi="Verdana" w:cs="Arial"/>
          <w:color w:val="1A1A1A" w:themeColor="background1" w:themeShade="1A"/>
          <w:lang w:eastAsia="es-ES_tradnl"/>
        </w:rPr>
        <w:t>e acuerdo con el artículo 41 de la Ley 80 de 1993, los contratos estatales se perfeccionan cuando se logre acuerdo sobre el objeto y la contraprestación, y este se eleve a escrito. En este sentido, la existencia y perfeccionamiento del contrato se produce cuando se cumplen los elementos y solemnidades de este, es decir, cuando existe un acuerdo de voluntades exento de vicios sobre el objeto, la contraprestación, y este conste por escrito. Adicionalmente, el inciso</w:t>
      </w:r>
      <w:r>
        <w:rPr>
          <w:rFonts w:ascii="Verdana" w:eastAsia="Times New Roman" w:hAnsi="Verdana" w:cs="Arial"/>
          <w:color w:val="1A1A1A" w:themeColor="background1" w:themeShade="1A"/>
          <w:lang w:eastAsia="es-ES_tradnl"/>
        </w:rPr>
        <w:t xml:space="preserve"> </w:t>
      </w:r>
      <w:r w:rsidRPr="005671C4">
        <w:rPr>
          <w:rFonts w:ascii="Verdana" w:eastAsia="Times New Roman" w:hAnsi="Verdana" w:cs="Arial"/>
          <w:color w:val="1A1A1A" w:themeColor="background1" w:themeShade="1A"/>
          <w:lang w:eastAsia="es-ES_tradnl"/>
        </w:rPr>
        <w:t xml:space="preserve">segundo del precitado artículo establece que “[p]ara la ejecución se requerirá de la aprobación de la garantía y de la existencia de las disponibilidades presupuestales correspondientes […]”, de forma que, el Registro Presupuestal, al ser un acto mediante el cual se comprometen los recursos, se constituye como un requisito necesario para </w:t>
      </w:r>
      <w:proofErr w:type="gramStart"/>
      <w:r w:rsidRPr="005671C4">
        <w:rPr>
          <w:rFonts w:ascii="Verdana" w:eastAsia="Times New Roman" w:hAnsi="Verdana" w:cs="Arial"/>
          <w:color w:val="1A1A1A" w:themeColor="background1" w:themeShade="1A"/>
          <w:lang w:eastAsia="es-ES_tradnl"/>
        </w:rPr>
        <w:t>dar inicio a</w:t>
      </w:r>
      <w:proofErr w:type="gramEnd"/>
      <w:r w:rsidRPr="005671C4">
        <w:rPr>
          <w:rFonts w:ascii="Verdana" w:eastAsia="Times New Roman" w:hAnsi="Verdana" w:cs="Arial"/>
          <w:color w:val="1A1A1A" w:themeColor="background1" w:themeShade="1A"/>
          <w:lang w:eastAsia="es-ES_tradnl"/>
        </w:rPr>
        <w:t xml:space="preserve"> la ejecución del contrato.</w:t>
      </w:r>
    </w:p>
    <w:p w14:paraId="25870CB8" w14:textId="77777777" w:rsidR="00387220" w:rsidRPr="004D2506" w:rsidRDefault="00387220" w:rsidP="00387220">
      <w:pPr>
        <w:pStyle w:val="Prrafodelista"/>
        <w:rPr>
          <w:rFonts w:ascii="Verdana" w:eastAsia="Times New Roman" w:hAnsi="Verdana" w:cs="Arial"/>
          <w:color w:val="1A1A1A" w:themeColor="background1" w:themeShade="1A"/>
          <w:lang w:eastAsia="es-ES_tradnl"/>
        </w:rPr>
      </w:pPr>
    </w:p>
    <w:bookmarkEnd w:id="2"/>
    <w:p w14:paraId="48FFBBA5" w14:textId="77777777" w:rsidR="00387220" w:rsidRPr="004D2506" w:rsidRDefault="00387220" w:rsidP="00387220">
      <w:pPr>
        <w:pStyle w:val="Prrafodelista"/>
        <w:numPr>
          <w:ilvl w:val="0"/>
          <w:numId w:val="2"/>
        </w:numPr>
        <w:spacing w:after="120" w:line="276" w:lineRule="auto"/>
        <w:jc w:val="both"/>
        <w:rPr>
          <w:rFonts w:ascii="Verdana" w:eastAsia="Times New Roman" w:hAnsi="Verdana" w:cs="Arial"/>
          <w:color w:val="1A1A1A" w:themeColor="background1" w:themeShade="1A"/>
          <w:lang w:eastAsia="es-ES_tradnl"/>
        </w:rPr>
      </w:pPr>
      <w:r>
        <w:rPr>
          <w:rFonts w:ascii="Verdana" w:eastAsia="Calibri" w:hAnsi="Verdana" w:cs="Arial"/>
          <w:lang w:eastAsia="es-ES_tradnl"/>
        </w:rPr>
        <w:t>Asimismo</w:t>
      </w:r>
      <w:r w:rsidRPr="004D2506">
        <w:rPr>
          <w:rFonts w:ascii="Verdana" w:eastAsia="Calibri" w:hAnsi="Verdana" w:cs="Arial"/>
          <w:lang w:eastAsia="es-ES_tradnl"/>
        </w:rPr>
        <w:t>, es necesario reconstruir las posiciones jurisprudenciales que ha tenido el Consejo de Estado respecto del Registro Presupuestal como requisito del procedimiento de contratación, pues han existido cambios en los lineamientos que lo definen, las consecuencias de su omisión y la etapa en la cual es obligatorio tener dicho registro</w:t>
      </w:r>
      <w:r w:rsidRPr="004D2506">
        <w:rPr>
          <w:vertAlign w:val="superscript"/>
          <w:lang w:eastAsia="es-ES_tradnl"/>
        </w:rPr>
        <w:footnoteReference w:id="5"/>
      </w:r>
      <w:r w:rsidRPr="004D2506">
        <w:rPr>
          <w:rFonts w:ascii="Verdana" w:eastAsia="Calibri" w:hAnsi="Verdana" w:cs="Arial"/>
          <w:lang w:eastAsia="es-ES_tradnl"/>
        </w:rPr>
        <w:t>. En primer lugar, en el año 2000</w:t>
      </w:r>
      <w:r w:rsidRPr="004D2506">
        <w:rPr>
          <w:vertAlign w:val="superscript"/>
          <w:lang w:eastAsia="es-ES_tradnl"/>
        </w:rPr>
        <w:footnoteReference w:id="6"/>
      </w:r>
      <w:r w:rsidRPr="004D2506">
        <w:rPr>
          <w:rFonts w:ascii="Verdana" w:eastAsia="Calibri" w:hAnsi="Verdana" w:cs="Arial"/>
          <w:lang w:eastAsia="es-ES_tradnl"/>
        </w:rPr>
        <w:t>, esta Alta Corte sostuvo que el Registro Presupuestal era un requisito de perfeccionamiento, de acuerdo con el citado artículo 71 del Decreto 111 de 1996 –Estatuto Orgánico del Presupuesto– que en el inciso tercero indica que el Registro Presupuestal “es un requisito de perfeccionamiento de estos actos administrativos”, lo que provocó que en ese momento se considerara que esa norma había modificado el artículo 41 de la Ley 80 de 1993, que diferenciaba claramente, en el inciso primero, los requisitos de perfeccionamiento, es decir, que exista acuerdo sobre el objeto, el precio, y que sea elevado a escrito; y en el inciso segundo los requisitos de ejecución, específicamente la “existencia de las disponibilidades presupuestales correspondientes”</w:t>
      </w:r>
      <w:r w:rsidRPr="004D2506">
        <w:rPr>
          <w:vertAlign w:val="superscript"/>
          <w:lang w:eastAsia="es-ES_tradnl"/>
        </w:rPr>
        <w:footnoteReference w:id="7"/>
      </w:r>
      <w:r w:rsidRPr="004D2506">
        <w:rPr>
          <w:rFonts w:ascii="Verdana" w:eastAsia="Calibri" w:hAnsi="Verdana" w:cs="Arial"/>
          <w:lang w:eastAsia="es-ES_tradnl"/>
        </w:rPr>
        <w:t>.</w:t>
      </w:r>
    </w:p>
    <w:p w14:paraId="15CE89C0" w14:textId="77777777" w:rsidR="00387220" w:rsidRPr="004D2506" w:rsidRDefault="00387220" w:rsidP="00387220">
      <w:pPr>
        <w:pStyle w:val="Prrafodelista"/>
        <w:spacing w:after="120" w:line="276" w:lineRule="auto"/>
        <w:jc w:val="both"/>
        <w:rPr>
          <w:rFonts w:ascii="Verdana" w:eastAsia="Times New Roman" w:hAnsi="Verdana" w:cs="Arial"/>
          <w:color w:val="1A1A1A" w:themeColor="background1" w:themeShade="1A"/>
          <w:lang w:eastAsia="es-ES_tradnl"/>
        </w:rPr>
      </w:pPr>
    </w:p>
    <w:p w14:paraId="2F87584D" w14:textId="77777777" w:rsidR="00387220" w:rsidRPr="004D2506" w:rsidRDefault="00387220" w:rsidP="00387220">
      <w:pPr>
        <w:pStyle w:val="Prrafodelista"/>
        <w:numPr>
          <w:ilvl w:val="0"/>
          <w:numId w:val="2"/>
        </w:numPr>
        <w:spacing w:after="120" w:line="276" w:lineRule="auto"/>
        <w:jc w:val="both"/>
        <w:rPr>
          <w:rFonts w:ascii="Verdana" w:eastAsia="Times New Roman" w:hAnsi="Verdana" w:cs="Arial"/>
          <w:color w:val="1A1A1A" w:themeColor="background1" w:themeShade="1A"/>
          <w:lang w:eastAsia="es-ES_tradnl"/>
        </w:rPr>
      </w:pPr>
      <w:r w:rsidRPr="004D2506">
        <w:rPr>
          <w:rFonts w:ascii="Verdana" w:eastAsia="Calibri" w:hAnsi="Verdana" w:cs="Arial"/>
          <w:lang w:eastAsia="es-ES_tradnl"/>
        </w:rPr>
        <w:t>No obstante, muy pronto se advirtió el error de la anterior consideración, porque al observar con detenimiento la norma, se encontró que el artículo 71 del Estatuto Orgánico de Presupuesto se refiere a actos administrativos y no a contratos estatales. De esta manera, a partir del año 2006</w:t>
      </w:r>
      <w:r w:rsidRPr="004D2506">
        <w:rPr>
          <w:vertAlign w:val="superscript"/>
          <w:lang w:eastAsia="es-ES_tradnl"/>
        </w:rPr>
        <w:footnoteReference w:id="8"/>
      </w:r>
      <w:r w:rsidRPr="004D2506">
        <w:rPr>
          <w:rFonts w:ascii="Verdana" w:eastAsia="Calibri" w:hAnsi="Verdana" w:cs="Arial"/>
          <w:lang w:eastAsia="es-ES_tradnl"/>
        </w:rPr>
        <w:t xml:space="preserve"> el Consejo de Estado, con apoyo en el artículo 41 de la Ley 80 de 1993, modificó la primera posición jurisprudencial que consideró al Registro Presupuestal como requisito de perfeccionamiento. Así las cosas, en adelante se ha considerado que se trata de un requisito de ejecución</w:t>
      </w:r>
      <w:r w:rsidRPr="004D2506">
        <w:rPr>
          <w:vertAlign w:val="superscript"/>
          <w:lang w:eastAsia="es-ES_tradnl"/>
        </w:rPr>
        <w:footnoteReference w:id="9"/>
      </w:r>
      <w:r w:rsidRPr="004D2506">
        <w:rPr>
          <w:rFonts w:ascii="Verdana" w:eastAsia="Calibri" w:hAnsi="Verdana" w:cs="Arial"/>
          <w:lang w:eastAsia="es-ES_tradnl"/>
        </w:rPr>
        <w:t xml:space="preserve">. </w:t>
      </w:r>
    </w:p>
    <w:p w14:paraId="76535BBC" w14:textId="77777777" w:rsidR="00387220" w:rsidRPr="004D2506" w:rsidRDefault="00387220" w:rsidP="00387220">
      <w:pPr>
        <w:pStyle w:val="Prrafodelista"/>
        <w:rPr>
          <w:rFonts w:ascii="Verdana" w:eastAsia="Times New Roman" w:hAnsi="Verdana" w:cs="Arial"/>
          <w:color w:val="1A1A1A" w:themeColor="background1" w:themeShade="1A"/>
          <w:lang w:eastAsia="es-ES_tradnl"/>
        </w:rPr>
      </w:pPr>
    </w:p>
    <w:p w14:paraId="76F32C5C" w14:textId="77777777" w:rsidR="00387220" w:rsidRDefault="00387220" w:rsidP="00387220">
      <w:pPr>
        <w:pStyle w:val="Prrafodelista"/>
        <w:numPr>
          <w:ilvl w:val="0"/>
          <w:numId w:val="2"/>
        </w:numPr>
        <w:spacing w:after="120" w:line="276" w:lineRule="auto"/>
        <w:jc w:val="both"/>
        <w:rPr>
          <w:rFonts w:ascii="Verdana" w:eastAsia="Times New Roman" w:hAnsi="Verdana" w:cs="Arial"/>
          <w:color w:val="1A1A1A" w:themeColor="background1" w:themeShade="1A"/>
          <w:lang w:eastAsia="es-ES_tradnl"/>
        </w:rPr>
      </w:pPr>
      <w:r w:rsidRPr="004D2506">
        <w:rPr>
          <w:rFonts w:ascii="Verdana" w:eastAsia="Times New Roman" w:hAnsi="Verdana" w:cs="Arial"/>
          <w:color w:val="1A1A1A" w:themeColor="background1" w:themeShade="1A"/>
          <w:lang w:eastAsia="es-ES_tradnl"/>
        </w:rPr>
        <w:t>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su expedición previa no afecta la validez del contrato estatal.</w:t>
      </w:r>
    </w:p>
    <w:p w14:paraId="69F9C95E" w14:textId="77777777" w:rsidR="00387220" w:rsidRPr="004D2506" w:rsidRDefault="00387220" w:rsidP="00387220">
      <w:pPr>
        <w:pStyle w:val="Prrafodelista"/>
        <w:rPr>
          <w:rFonts w:ascii="Verdana" w:eastAsia="Times New Roman" w:hAnsi="Verdana" w:cs="Arial"/>
          <w:color w:val="1A1A1A" w:themeColor="background1" w:themeShade="1A"/>
          <w:lang w:eastAsia="es-ES_tradnl"/>
        </w:rPr>
      </w:pPr>
    </w:p>
    <w:p w14:paraId="2EAF1668" w14:textId="77777777" w:rsidR="00387220" w:rsidRDefault="00387220" w:rsidP="00387220">
      <w:pPr>
        <w:pStyle w:val="Prrafodelista"/>
        <w:numPr>
          <w:ilvl w:val="0"/>
          <w:numId w:val="2"/>
        </w:numPr>
        <w:spacing w:after="120" w:line="276" w:lineRule="auto"/>
        <w:jc w:val="both"/>
        <w:rPr>
          <w:rFonts w:ascii="Verdana" w:eastAsia="Times New Roman" w:hAnsi="Verdana" w:cs="Arial"/>
          <w:color w:val="1A1A1A" w:themeColor="background1" w:themeShade="1A"/>
          <w:lang w:eastAsia="es-ES_tradnl"/>
        </w:rPr>
      </w:pPr>
      <w:r w:rsidRPr="004D2506">
        <w:rPr>
          <w:rFonts w:ascii="Verdana" w:eastAsia="Times New Roman" w:hAnsi="Verdana" w:cs="Arial"/>
          <w:color w:val="1A1A1A" w:themeColor="background1" w:themeShade="1A"/>
          <w:lang w:eastAsia="es-ES_tradnl"/>
        </w:rPr>
        <w:t>Por otro lado, de conformidad con el artículo 71 del Decreto 111 de 1996</w:t>
      </w:r>
      <w:r w:rsidRPr="004D2506">
        <w:rPr>
          <w:vertAlign w:val="superscript"/>
          <w:lang w:eastAsia="es-ES_tradnl"/>
        </w:rPr>
        <w:footnoteReference w:id="10"/>
      </w:r>
      <w:r w:rsidRPr="004D2506">
        <w:rPr>
          <w:rFonts w:ascii="Verdana" w:eastAsia="Times New Roman" w:hAnsi="Verdana" w:cs="Arial"/>
          <w:color w:val="1A1A1A" w:themeColor="background1" w:themeShade="1A"/>
          <w:lang w:eastAsia="es-ES_tradnl"/>
        </w:rPr>
        <w:t>, los compromisos económicos del Estado deben contar con Registro Presupuestal y “cualquier compromiso que se adquiera con violación a estos preceptos creará responsabilidad personal y pecuniaria a cargo de quien asuma estas obligaciones”.</w:t>
      </w:r>
    </w:p>
    <w:p w14:paraId="0DFB65E8" w14:textId="77777777" w:rsidR="00387220" w:rsidRPr="004D2506" w:rsidRDefault="00387220" w:rsidP="00387220">
      <w:pPr>
        <w:pStyle w:val="Prrafodelista"/>
        <w:rPr>
          <w:rFonts w:ascii="Verdana" w:eastAsia="Times New Roman" w:hAnsi="Verdana" w:cs="Arial"/>
          <w:color w:val="1A1A1A" w:themeColor="background1" w:themeShade="1A"/>
          <w:lang w:eastAsia="es-ES_tradnl"/>
        </w:rPr>
      </w:pPr>
    </w:p>
    <w:p w14:paraId="00812BC2" w14:textId="77777777" w:rsidR="00387220" w:rsidRDefault="00387220" w:rsidP="00387220">
      <w:pPr>
        <w:pStyle w:val="Prrafodelista"/>
        <w:numPr>
          <w:ilvl w:val="0"/>
          <w:numId w:val="2"/>
        </w:numPr>
        <w:spacing w:after="120" w:line="276" w:lineRule="auto"/>
        <w:jc w:val="both"/>
        <w:rPr>
          <w:rFonts w:ascii="Verdana" w:eastAsia="Times New Roman" w:hAnsi="Verdana" w:cs="Arial"/>
          <w:color w:val="1A1A1A" w:themeColor="background1" w:themeShade="1A"/>
          <w:lang w:eastAsia="es-ES_tradnl"/>
        </w:rPr>
      </w:pPr>
      <w:r w:rsidRPr="004D2506">
        <w:rPr>
          <w:rFonts w:ascii="Verdana" w:eastAsia="Times New Roman" w:hAnsi="Verdana" w:cs="Arial"/>
          <w:color w:val="1A1A1A" w:themeColor="background1" w:themeShade="1A"/>
          <w:lang w:eastAsia="es-ES_tradnl"/>
        </w:rPr>
        <w:lastRenderedPageBreak/>
        <w:t>Por su parte, el Consejo de Estado, en sentencia del 12 de agosto de 2014, determinó, al analizar la responsabilidad del Estado cuando se compromete sin contar con Registro Presupuestal, que de conformidad con el artículo 71 del Decreto 111 de 1996, “[l]a sanción por la violación a esta norma es clara: el funcionario que omita el requisito responde disciplinaria, penal y fiscalmente, incluso patrimonialmente -alcance personal de la conducta-, por ejecutar un contrato sin respaldo presupuestal […]”</w:t>
      </w:r>
      <w:r w:rsidRPr="004D2506">
        <w:rPr>
          <w:vertAlign w:val="superscript"/>
          <w:lang w:eastAsia="es-ES_tradnl"/>
        </w:rPr>
        <w:footnoteReference w:id="11"/>
      </w:r>
      <w:r w:rsidRPr="004D2506">
        <w:rPr>
          <w:rFonts w:ascii="Verdana" w:eastAsia="Times New Roman" w:hAnsi="Verdana" w:cs="Arial"/>
          <w:color w:val="1A1A1A" w:themeColor="background1" w:themeShade="1A"/>
          <w:lang w:eastAsia="es-ES_tradnl"/>
        </w:rPr>
        <w:t>.</w:t>
      </w:r>
    </w:p>
    <w:p w14:paraId="767866F9" w14:textId="77777777" w:rsidR="00387220" w:rsidRPr="004D2506" w:rsidRDefault="00387220" w:rsidP="00387220">
      <w:pPr>
        <w:pStyle w:val="Prrafodelista"/>
        <w:rPr>
          <w:rFonts w:ascii="Verdana" w:eastAsia="Times New Roman" w:hAnsi="Verdana" w:cs="Arial"/>
          <w:color w:val="1A1A1A" w:themeColor="background1" w:themeShade="1A"/>
          <w:lang w:eastAsia="es-ES_tradnl"/>
        </w:rPr>
      </w:pPr>
    </w:p>
    <w:p w14:paraId="041352D3" w14:textId="77777777" w:rsidR="00387220" w:rsidRDefault="00387220" w:rsidP="00387220">
      <w:pPr>
        <w:pStyle w:val="Prrafodelista"/>
        <w:numPr>
          <w:ilvl w:val="0"/>
          <w:numId w:val="2"/>
        </w:numPr>
        <w:spacing w:after="120" w:line="276" w:lineRule="auto"/>
        <w:jc w:val="both"/>
        <w:rPr>
          <w:rFonts w:ascii="Verdana" w:eastAsia="Times New Roman" w:hAnsi="Verdana" w:cs="Arial"/>
          <w:color w:val="1A1A1A" w:themeColor="background1" w:themeShade="1A"/>
          <w:lang w:eastAsia="es-ES_tradnl"/>
        </w:rPr>
      </w:pPr>
      <w:r w:rsidRPr="004D2506">
        <w:rPr>
          <w:rFonts w:ascii="Verdana" w:eastAsia="Times New Roman" w:hAnsi="Verdana" w:cs="Arial"/>
          <w:color w:val="1A1A1A" w:themeColor="background1" w:themeShade="1A"/>
          <w:lang w:eastAsia="es-ES_tradnl"/>
        </w:rPr>
        <w:t>En sentido similar, la jurisprudencia del Consejo de Estado ha sido reiterativa respecto a las consecuencias de no contar con el Registro Presupuestal. La Sección Tercera del Consejo de Estado reiteró que la omisión del Registro Presupuestal no genera ni la inexistencia ni la invalidez del contrato estatal</w:t>
      </w:r>
      <w:r w:rsidRPr="004D2506">
        <w:rPr>
          <w:vertAlign w:val="superscript"/>
          <w:lang w:eastAsia="es-ES_tradnl"/>
        </w:rPr>
        <w:footnoteReference w:id="12"/>
      </w:r>
      <w:r w:rsidRPr="004D2506">
        <w:rPr>
          <w:rFonts w:ascii="Verdana" w:eastAsia="Times New Roman" w:hAnsi="Verdana" w:cs="Arial"/>
          <w:color w:val="1A1A1A" w:themeColor="background1" w:themeShade="1A"/>
          <w:lang w:eastAsia="es-ES_tradnl"/>
        </w:rPr>
        <w:t>, sino que se trata de una “irregularidad administrativa” que puede comprometer la responsabilidad penal y patrimonial del servidor público que tiene a su cargo el contrato.</w:t>
      </w:r>
    </w:p>
    <w:p w14:paraId="745D2B1C" w14:textId="77777777" w:rsidR="00387220" w:rsidRPr="004D2506" w:rsidRDefault="00387220" w:rsidP="00387220">
      <w:pPr>
        <w:pStyle w:val="Prrafodelista"/>
        <w:rPr>
          <w:rFonts w:ascii="Verdana" w:eastAsia="Times New Roman" w:hAnsi="Verdana" w:cs="Arial"/>
          <w:color w:val="1A1A1A" w:themeColor="background1" w:themeShade="1A"/>
          <w:lang w:eastAsia="es-ES_tradnl"/>
        </w:rPr>
      </w:pPr>
    </w:p>
    <w:p w14:paraId="354BD5CC" w14:textId="77777777" w:rsidR="00387220" w:rsidRPr="004D2506" w:rsidRDefault="00387220" w:rsidP="00387220">
      <w:pPr>
        <w:pStyle w:val="Prrafodelista"/>
        <w:numPr>
          <w:ilvl w:val="0"/>
          <w:numId w:val="2"/>
        </w:numPr>
        <w:spacing w:after="120" w:line="276" w:lineRule="auto"/>
        <w:jc w:val="both"/>
        <w:rPr>
          <w:rFonts w:ascii="Verdana" w:eastAsia="Times New Roman" w:hAnsi="Verdana" w:cs="Arial"/>
          <w:color w:val="1A1A1A" w:themeColor="background1" w:themeShade="1A"/>
          <w:lang w:eastAsia="es-ES_tradnl"/>
        </w:rPr>
      </w:pPr>
      <w:r w:rsidRPr="004D2506">
        <w:rPr>
          <w:rFonts w:ascii="Verdana" w:eastAsia="Times New Roman" w:hAnsi="Verdana" w:cs="Arial"/>
          <w:color w:val="1A1A1A" w:themeColor="background1" w:themeShade="1A"/>
          <w:lang w:eastAsia="es-ES_tradnl"/>
        </w:rPr>
        <w:t>De conformidad con lo anterior, es claro que la sanción por omitir la obligación de contar con el Registro Presupuestal no afecta el acto o contrato mismo, sino que es de tipo personal, esto es, responde el funcionario que omita dicho requisito, y el modo de responsabilidad en la que podría incurrir es de carácter disciplinaria, penal y fiscal, incluso patrimonial –en consideración al alcance personal de la conducta–.</w:t>
      </w:r>
    </w:p>
    <w:p w14:paraId="3955BA11" w14:textId="77777777" w:rsidR="00387220" w:rsidRPr="004D2506" w:rsidRDefault="00387220" w:rsidP="00387220">
      <w:pPr>
        <w:pStyle w:val="Prrafodelista"/>
        <w:spacing w:after="120" w:line="276" w:lineRule="auto"/>
        <w:jc w:val="both"/>
        <w:rPr>
          <w:rFonts w:ascii="Verdana" w:eastAsia="Times New Roman" w:hAnsi="Verdana" w:cs="Arial"/>
          <w:color w:val="1A1A1A" w:themeColor="background1" w:themeShade="1A"/>
          <w:lang w:val="es-CO" w:eastAsia="es-ES_tradnl"/>
        </w:rPr>
      </w:pPr>
    </w:p>
    <w:p w14:paraId="28CFF88B" w14:textId="77777777" w:rsidR="00387220" w:rsidRDefault="00387220" w:rsidP="00387220">
      <w:pPr>
        <w:pStyle w:val="Prrafodelista"/>
        <w:numPr>
          <w:ilvl w:val="0"/>
          <w:numId w:val="2"/>
        </w:numPr>
        <w:spacing w:after="0" w:line="276" w:lineRule="auto"/>
        <w:jc w:val="both"/>
        <w:rPr>
          <w:rFonts w:ascii="Verdana" w:eastAsia="Times New Roman" w:hAnsi="Verdana" w:cs="Arial"/>
          <w:color w:val="000000" w:themeColor="text1"/>
          <w:shd w:val="clear" w:color="auto" w:fill="FFFFFF"/>
          <w:lang w:eastAsia="es-CO"/>
        </w:rPr>
      </w:pPr>
      <w:r w:rsidRPr="00362659">
        <w:rPr>
          <w:rFonts w:ascii="Verdana" w:eastAsia="Times New Roman" w:hAnsi="Verdana" w:cs="Arial"/>
          <w:color w:val="000000" w:themeColor="text1"/>
          <w:shd w:val="clear" w:color="auto" w:fill="FFFFFF"/>
          <w:lang w:eastAsia="es-CO"/>
        </w:rPr>
        <w:t>De esta manera, con el fin de dar respuesta a su primer interrogante, el Registro Presupuestal consiste en la certificación de apropiación de presupuesto con destino al cumplimiento de las obligaciones pecuniarias del contrato.</w:t>
      </w:r>
      <w:r w:rsidRPr="005671C4">
        <w:rPr>
          <w:rFonts w:ascii="Verdana" w:eastAsia="Times New Roman" w:hAnsi="Verdana" w:cs="Arial"/>
          <w:color w:val="000000" w:themeColor="text1"/>
          <w:shd w:val="clear" w:color="auto" w:fill="FFFFFF"/>
          <w:lang w:eastAsia="es-CO"/>
        </w:rPr>
        <w:t xml:space="preserve"> En este, se comprometen los recursos públicos necesarios para concretar un contrato estatal, de acuerdo con los bienes y servicios que una Entidad Pública vaya a adquirir. En consecuencia, es un instrumento mediante el cual se busca prevenir erogaciones que superen el monto autorizado en el correspondiente presupuesto, con el objeto de evitar que los recursos destinados a la financiación de un determinado </w:t>
      </w:r>
      <w:r w:rsidRPr="005671C4">
        <w:rPr>
          <w:rFonts w:ascii="Verdana" w:eastAsia="Times New Roman" w:hAnsi="Verdana" w:cs="Arial"/>
          <w:color w:val="000000" w:themeColor="text1"/>
          <w:shd w:val="clear" w:color="auto" w:fill="FFFFFF"/>
          <w:lang w:eastAsia="es-CO"/>
        </w:rPr>
        <w:lastRenderedPageBreak/>
        <w:t>compromiso se desvíen a una finalidad distinta.</w:t>
      </w:r>
      <w:r>
        <w:rPr>
          <w:rFonts w:ascii="Verdana" w:eastAsia="Times New Roman" w:hAnsi="Verdana" w:cs="Arial"/>
          <w:color w:val="000000" w:themeColor="text1"/>
          <w:shd w:val="clear" w:color="auto" w:fill="FFFFFF"/>
          <w:lang w:eastAsia="es-CO"/>
        </w:rPr>
        <w:t xml:space="preserve"> Por ende, este se expide, como se explica anteriormente, previo a la ejecución el contrato, siendo entonces un requisito de ejecución que no afecta el perfeccionamiento siempre y cuando sea expedido antes del inicio de la ejecución.</w:t>
      </w:r>
    </w:p>
    <w:p w14:paraId="4D7EA238" w14:textId="77777777" w:rsidR="00387220" w:rsidRPr="004D08AC" w:rsidRDefault="00387220" w:rsidP="00387220">
      <w:pPr>
        <w:widowControl w:val="0"/>
        <w:autoSpaceDE w:val="0"/>
        <w:autoSpaceDN w:val="0"/>
        <w:spacing w:after="0" w:line="276" w:lineRule="auto"/>
        <w:jc w:val="both"/>
        <w:rPr>
          <w:rFonts w:ascii="Verdana" w:hAnsi="Verdana" w:cs="Arial"/>
        </w:rPr>
      </w:pPr>
    </w:p>
    <w:p w14:paraId="0E222141" w14:textId="77777777" w:rsidR="00387220" w:rsidRPr="004D08AC" w:rsidRDefault="00387220" w:rsidP="0038722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D08AC">
        <w:rPr>
          <w:rFonts w:ascii="Verdana" w:eastAsia="Century Gothic" w:hAnsi="Verdana" w:cs="Century Gothic"/>
          <w:b/>
          <w:bCs/>
        </w:rPr>
        <w:t>Referencias normativas, jurisprudenciales y otras fuentes:</w:t>
      </w:r>
    </w:p>
    <w:p w14:paraId="4E626519" w14:textId="77777777" w:rsidR="00387220" w:rsidRPr="004D08AC" w:rsidRDefault="00387220" w:rsidP="0038722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87220" w:rsidRPr="004D08AC" w14:paraId="211B65F6" w14:textId="77777777" w:rsidTr="00E677B5">
        <w:trPr>
          <w:trHeight w:val="870"/>
        </w:trPr>
        <w:tc>
          <w:tcPr>
            <w:tcW w:w="8647" w:type="dxa"/>
          </w:tcPr>
          <w:p w14:paraId="2FCD498C" w14:textId="77777777" w:rsidR="00387220" w:rsidRPr="00444F1F" w:rsidRDefault="00387220" w:rsidP="00387220">
            <w:pPr>
              <w:pStyle w:val="Prrafodelista"/>
              <w:widowControl w:val="0"/>
              <w:numPr>
                <w:ilvl w:val="0"/>
                <w:numId w:val="3"/>
              </w:numPr>
              <w:autoSpaceDE w:val="0"/>
              <w:autoSpaceDN w:val="0"/>
              <w:spacing w:after="120" w:line="276" w:lineRule="auto"/>
              <w:jc w:val="both"/>
              <w:rPr>
                <w:rFonts w:ascii="Verdana" w:hAnsi="Verdana" w:cs="Arial"/>
              </w:rPr>
            </w:pPr>
            <w:r w:rsidRPr="00444F1F">
              <w:rPr>
                <w:rFonts w:ascii="Verdana" w:hAnsi="Verdana" w:cs="Arial"/>
              </w:rPr>
              <w:t>Ley 80 de 1993: Artículo</w:t>
            </w:r>
            <w:r>
              <w:rPr>
                <w:rFonts w:ascii="Verdana" w:hAnsi="Verdana" w:cs="Arial"/>
              </w:rPr>
              <w:t>s</w:t>
            </w:r>
            <w:r w:rsidRPr="00444F1F">
              <w:rPr>
                <w:rFonts w:ascii="Verdana" w:hAnsi="Verdana" w:cs="Arial"/>
              </w:rPr>
              <w:t xml:space="preserve"> 25</w:t>
            </w:r>
            <w:r>
              <w:rPr>
                <w:rFonts w:ascii="Verdana" w:hAnsi="Verdana" w:cs="Arial"/>
              </w:rPr>
              <w:t xml:space="preserve"> y</w:t>
            </w:r>
            <w:r w:rsidRPr="00444F1F">
              <w:rPr>
                <w:rFonts w:ascii="Verdana" w:hAnsi="Verdana" w:cs="Arial"/>
              </w:rPr>
              <w:t xml:space="preserve"> 41</w:t>
            </w:r>
            <w:r>
              <w:rPr>
                <w:rFonts w:ascii="Verdana" w:hAnsi="Verdana" w:cs="Arial"/>
              </w:rPr>
              <w:t>.</w:t>
            </w:r>
          </w:p>
          <w:p w14:paraId="718B550D" w14:textId="77777777" w:rsidR="00387220" w:rsidRDefault="00387220" w:rsidP="00387220">
            <w:pPr>
              <w:pStyle w:val="Prrafodelista"/>
              <w:widowControl w:val="0"/>
              <w:numPr>
                <w:ilvl w:val="0"/>
                <w:numId w:val="3"/>
              </w:numPr>
              <w:autoSpaceDE w:val="0"/>
              <w:autoSpaceDN w:val="0"/>
              <w:spacing w:after="120" w:line="276" w:lineRule="auto"/>
              <w:jc w:val="both"/>
              <w:rPr>
                <w:rFonts w:ascii="Verdana" w:hAnsi="Verdana" w:cs="Arial"/>
              </w:rPr>
            </w:pPr>
            <w:r w:rsidRPr="004D08AC">
              <w:rPr>
                <w:rFonts w:ascii="Verdana" w:hAnsi="Verdana" w:cs="Arial"/>
              </w:rPr>
              <w:t>Decreto 1082 de 2015</w:t>
            </w:r>
            <w:r>
              <w:rPr>
                <w:rFonts w:ascii="Verdana" w:hAnsi="Verdana" w:cs="Arial"/>
              </w:rPr>
              <w:t>:</w:t>
            </w:r>
            <w:r w:rsidRPr="004D08AC">
              <w:rPr>
                <w:rFonts w:ascii="Verdana" w:hAnsi="Verdana" w:cs="Arial"/>
              </w:rPr>
              <w:t xml:space="preserve"> Artículo 2.2.1.2.1.4.9.</w:t>
            </w:r>
          </w:p>
          <w:p w14:paraId="094AC1B9" w14:textId="77777777" w:rsidR="00387220" w:rsidRDefault="00387220" w:rsidP="00387220">
            <w:pPr>
              <w:pStyle w:val="Prrafodelista"/>
              <w:widowControl w:val="0"/>
              <w:numPr>
                <w:ilvl w:val="0"/>
                <w:numId w:val="3"/>
              </w:numPr>
              <w:autoSpaceDE w:val="0"/>
              <w:autoSpaceDN w:val="0"/>
              <w:spacing w:after="120" w:line="276" w:lineRule="auto"/>
              <w:jc w:val="both"/>
              <w:rPr>
                <w:rFonts w:ascii="Verdana" w:hAnsi="Verdana" w:cs="Arial"/>
              </w:rPr>
            </w:pPr>
            <w:r w:rsidRPr="00444F1F">
              <w:rPr>
                <w:rFonts w:ascii="Verdana" w:hAnsi="Verdana" w:cs="Arial"/>
              </w:rPr>
              <w:t>Decreto 111 de 1996</w:t>
            </w:r>
            <w:r>
              <w:rPr>
                <w:rFonts w:ascii="Verdana" w:hAnsi="Verdana" w:cs="Arial"/>
              </w:rPr>
              <w:t xml:space="preserve">: </w:t>
            </w:r>
            <w:r w:rsidRPr="00444F1F">
              <w:rPr>
                <w:rFonts w:ascii="Verdana" w:hAnsi="Verdana" w:cs="Arial"/>
              </w:rPr>
              <w:t>artículo 71</w:t>
            </w:r>
            <w:r>
              <w:rPr>
                <w:rFonts w:ascii="Verdana" w:hAnsi="Verdana" w:cs="Arial"/>
              </w:rPr>
              <w:t>.</w:t>
            </w:r>
          </w:p>
          <w:p w14:paraId="13F67C33" w14:textId="77777777" w:rsidR="00387220" w:rsidRDefault="00387220" w:rsidP="00387220">
            <w:pPr>
              <w:pStyle w:val="Prrafodelista"/>
              <w:widowControl w:val="0"/>
              <w:numPr>
                <w:ilvl w:val="0"/>
                <w:numId w:val="3"/>
              </w:numPr>
              <w:autoSpaceDE w:val="0"/>
              <w:autoSpaceDN w:val="0"/>
              <w:spacing w:after="120" w:line="276" w:lineRule="auto"/>
              <w:jc w:val="both"/>
              <w:rPr>
                <w:rFonts w:ascii="Verdana" w:hAnsi="Verdana" w:cs="Arial"/>
              </w:rPr>
            </w:pPr>
            <w:r w:rsidRPr="00444F1F">
              <w:rPr>
                <w:rFonts w:ascii="Verdana" w:hAnsi="Verdana" w:cs="Arial"/>
              </w:rPr>
              <w:t xml:space="preserve">Consejo de Estado. Sección Tercera. Sentencia del 27 de abril de 2011. </w:t>
            </w:r>
            <w:proofErr w:type="spellStart"/>
            <w:r w:rsidRPr="00444F1F">
              <w:rPr>
                <w:rFonts w:ascii="Verdana" w:hAnsi="Verdana" w:cs="Arial"/>
              </w:rPr>
              <w:t>Exp</w:t>
            </w:r>
            <w:proofErr w:type="spellEnd"/>
            <w:r w:rsidRPr="00444F1F">
              <w:rPr>
                <w:rFonts w:ascii="Verdana" w:hAnsi="Verdana" w:cs="Arial"/>
              </w:rPr>
              <w:t>. 18.293. C.P. Ruth Stella Correa Palacio</w:t>
            </w:r>
            <w:r>
              <w:rPr>
                <w:rFonts w:ascii="Verdana" w:hAnsi="Verdana" w:cs="Arial"/>
              </w:rPr>
              <w:t>.</w:t>
            </w:r>
          </w:p>
          <w:p w14:paraId="72076786" w14:textId="77777777" w:rsidR="00387220" w:rsidRPr="00A473FD" w:rsidRDefault="00387220" w:rsidP="00387220">
            <w:pPr>
              <w:pStyle w:val="Prrafodelista"/>
              <w:widowControl w:val="0"/>
              <w:numPr>
                <w:ilvl w:val="0"/>
                <w:numId w:val="3"/>
              </w:numPr>
              <w:autoSpaceDE w:val="0"/>
              <w:autoSpaceDN w:val="0"/>
              <w:spacing w:after="120" w:line="276" w:lineRule="auto"/>
              <w:jc w:val="both"/>
              <w:rPr>
                <w:rFonts w:ascii="Verdana" w:hAnsi="Verdana" w:cs="Arial"/>
              </w:rPr>
            </w:pPr>
            <w:r>
              <w:rPr>
                <w:rFonts w:ascii="Verdana" w:hAnsi="Verdana" w:cs="Arial"/>
              </w:rPr>
              <w:t xml:space="preserve">Consejo de Estado. Sección tercera. Sentencia del 6 de julio de 2022. </w:t>
            </w:r>
            <w:proofErr w:type="spellStart"/>
            <w:r>
              <w:rPr>
                <w:rFonts w:ascii="Verdana" w:hAnsi="Verdana" w:cs="Arial"/>
              </w:rPr>
              <w:t>Exp</w:t>
            </w:r>
            <w:proofErr w:type="spellEnd"/>
            <w:r>
              <w:rPr>
                <w:rFonts w:ascii="Verdana" w:hAnsi="Verdana" w:cs="Arial"/>
              </w:rPr>
              <w:t xml:space="preserve">. 54.711. C.P. </w:t>
            </w:r>
            <w:r w:rsidRPr="004E7B4A">
              <w:rPr>
                <w:rFonts w:ascii="Verdana" w:hAnsi="Verdana" w:cs="Arial"/>
              </w:rPr>
              <w:t>José Roberto Sáchica Méndez</w:t>
            </w:r>
            <w:r>
              <w:rPr>
                <w:rFonts w:ascii="Verdana" w:hAnsi="Verdana" w:cs="Arial"/>
              </w:rPr>
              <w:t>.</w:t>
            </w:r>
            <w:r w:rsidRPr="00A473FD">
              <w:rPr>
                <w:rFonts w:ascii="Verdana" w:hAnsi="Verdana" w:cs="Arial"/>
              </w:rPr>
              <w:t xml:space="preserve"> </w:t>
            </w:r>
          </w:p>
        </w:tc>
      </w:tr>
    </w:tbl>
    <w:p w14:paraId="33233F99" w14:textId="77777777" w:rsidR="00387220" w:rsidRPr="004D08AC" w:rsidRDefault="00387220" w:rsidP="00387220">
      <w:pPr>
        <w:widowControl w:val="0"/>
        <w:autoSpaceDE w:val="0"/>
        <w:autoSpaceDN w:val="0"/>
        <w:spacing w:after="0" w:line="276" w:lineRule="auto"/>
        <w:jc w:val="both"/>
        <w:rPr>
          <w:rFonts w:ascii="Verdana" w:hAnsi="Verdana" w:cs="Arial"/>
        </w:rPr>
      </w:pPr>
    </w:p>
    <w:p w14:paraId="6A4B9105" w14:textId="77777777" w:rsidR="00387220" w:rsidRPr="004D08AC" w:rsidRDefault="00387220" w:rsidP="0038722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D08AC">
        <w:rPr>
          <w:rFonts w:ascii="Verdana" w:eastAsia="Century Gothic" w:hAnsi="Verdana" w:cs="Century Gothic"/>
          <w:b/>
          <w:bCs/>
        </w:rPr>
        <w:t>Doctrina de la Agencia Nacional de Contratación Pública:</w:t>
      </w:r>
    </w:p>
    <w:p w14:paraId="70074EBF" w14:textId="77777777" w:rsidR="00387220" w:rsidRPr="004D08AC" w:rsidRDefault="00387220" w:rsidP="00387220">
      <w:pPr>
        <w:widowControl w:val="0"/>
        <w:autoSpaceDE w:val="0"/>
        <w:autoSpaceDN w:val="0"/>
        <w:spacing w:after="0" w:line="276" w:lineRule="auto"/>
        <w:jc w:val="both"/>
        <w:rPr>
          <w:rFonts w:ascii="Verdana" w:hAnsi="Verdana" w:cs="Arial"/>
        </w:rPr>
      </w:pPr>
    </w:p>
    <w:p w14:paraId="6364DEBC" w14:textId="77777777" w:rsidR="00387220" w:rsidRPr="00FF5727" w:rsidRDefault="00387220" w:rsidP="00387220">
      <w:pPr>
        <w:widowControl w:val="0"/>
        <w:autoSpaceDE w:val="0"/>
        <w:autoSpaceDN w:val="0"/>
        <w:spacing w:after="0" w:line="276" w:lineRule="auto"/>
        <w:jc w:val="both"/>
        <w:rPr>
          <w:rStyle w:val="normaltextrun"/>
          <w:rFonts w:ascii="Verdana" w:hAnsi="Verdana" w:cs="Arial"/>
          <w:shd w:val="clear" w:color="auto" w:fill="FFFFFF"/>
          <w:lang w:val="es-ES"/>
        </w:rPr>
      </w:pPr>
      <w:r w:rsidRPr="004D08AC">
        <w:rPr>
          <w:rStyle w:val="normaltextrun"/>
          <w:rFonts w:ascii="Verdana" w:hAnsi="Verdana" w:cs="Arial"/>
          <w:shd w:val="clear" w:color="auto" w:fill="FFFFFF"/>
          <w:lang w:val="es-ES"/>
        </w:rPr>
        <w:t>Sobre el Registro Presupuestal y la oportunidad para expedirlo se pronunció esta Subdirección en los conceptos</w:t>
      </w:r>
      <w:r w:rsidRPr="004D08AC">
        <w:rPr>
          <w:rStyle w:val="normaltextrun"/>
          <w:rFonts w:ascii="Verdana" w:hAnsi="Verdana" w:cs="Calibri"/>
          <w:shd w:val="clear" w:color="auto" w:fill="FFFFFF"/>
        </w:rPr>
        <w:t xml:space="preserve"> </w:t>
      </w:r>
      <w:r w:rsidRPr="004D08AC">
        <w:rPr>
          <w:rStyle w:val="normaltextrun"/>
          <w:rFonts w:ascii="Verdana" w:hAnsi="Verdana" w:cs="Arial"/>
          <w:shd w:val="clear" w:color="auto" w:fill="FFFFFF"/>
          <w:lang w:val="es-ES"/>
        </w:rPr>
        <w:t>4201913000005594 del 30 de septiembre de 2019, 4201913000006907 del 23 de octubre de 2019, C-110 de 2020, C-291 de 2020, C-075 del 16 de marzo del 2021 y C-047 del 1 de junio de 2023, entre otros. Así mismo, sobre los contratos de prestación de servicios, así como los requisitos para su celebración, entre otros, en los conceptos 4201913000006452 del 07 de octubre de 2019, 4201912000006434 del 30 de octubre de 2019,</w:t>
      </w:r>
      <w:r>
        <w:rPr>
          <w:rStyle w:val="normaltextrun"/>
          <w:rFonts w:ascii="Verdana" w:hAnsi="Verdana" w:cs="Arial"/>
          <w:shd w:val="clear" w:color="auto" w:fill="FFFFFF"/>
          <w:lang w:val="es-ES"/>
        </w:rPr>
        <w:t xml:space="preserve"> </w:t>
      </w:r>
      <w:r w:rsidRPr="004D08AC">
        <w:rPr>
          <w:rStyle w:val="normaltextrun"/>
          <w:rFonts w:ascii="Verdana" w:hAnsi="Verdana" w:cs="Arial"/>
          <w:shd w:val="clear" w:color="auto" w:fill="FFFFFF"/>
          <w:lang w:val="es-ES"/>
        </w:rPr>
        <w:t>4201913000006444 del 01 de noviembre de 2019, 4201913000006331 del 07 de noviembre de 2019, 4201912000006692 del 12 de noviembre de 2019de noviembre de 2019,  4201912000006692  del  12  de  noviembre  de</w:t>
      </w:r>
      <w:r>
        <w:rPr>
          <w:rStyle w:val="normaltextrun"/>
          <w:rFonts w:ascii="Verdana" w:hAnsi="Verdana" w:cs="Arial"/>
          <w:shd w:val="clear" w:color="auto" w:fill="FFFFFF"/>
          <w:lang w:val="es-ES"/>
        </w:rPr>
        <w:t xml:space="preserve"> </w:t>
      </w:r>
      <w:r w:rsidRPr="004D08AC">
        <w:rPr>
          <w:rStyle w:val="normaltextrun"/>
          <w:rFonts w:ascii="Verdana" w:hAnsi="Verdana" w:cs="Arial"/>
          <w:shd w:val="clear" w:color="auto" w:fill="FFFFFF"/>
          <w:lang w:val="es-ES"/>
        </w:rPr>
        <w:t>2019</w:t>
      </w:r>
      <w:r>
        <w:rPr>
          <w:rStyle w:val="normaltextrun"/>
          <w:rFonts w:ascii="Verdana" w:hAnsi="Verdana" w:cs="Arial"/>
          <w:shd w:val="clear" w:color="auto" w:fill="FFFFFF"/>
          <w:lang w:val="es-ES"/>
        </w:rPr>
        <w:t xml:space="preserve">, </w:t>
      </w:r>
      <w:r w:rsidRPr="004D08AC">
        <w:rPr>
          <w:rStyle w:val="normaltextrun"/>
          <w:rFonts w:ascii="Verdana" w:hAnsi="Verdana" w:cs="Arial"/>
          <w:shd w:val="clear" w:color="auto" w:fill="FFFFFF"/>
          <w:lang w:val="es-ES"/>
        </w:rPr>
        <w:t>4201912000007378 del 11 de diciembre de 2019, 4201912000007781</w:t>
      </w:r>
      <w:r>
        <w:rPr>
          <w:rStyle w:val="normaltextrun"/>
          <w:rFonts w:ascii="Verdana" w:hAnsi="Verdana" w:cs="Arial"/>
          <w:shd w:val="clear" w:color="auto" w:fill="FFFFFF"/>
          <w:lang w:val="es-ES"/>
        </w:rPr>
        <w:t xml:space="preserve"> </w:t>
      </w:r>
      <w:r w:rsidRPr="004D08AC">
        <w:rPr>
          <w:rStyle w:val="normaltextrun"/>
          <w:rFonts w:ascii="Verdana" w:hAnsi="Verdana" w:cs="Arial"/>
          <w:shd w:val="clear" w:color="auto" w:fill="FFFFFF"/>
          <w:lang w:val="es-ES"/>
        </w:rPr>
        <w:t xml:space="preserve">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w:t>
      </w:r>
      <w:r w:rsidRPr="004D08AC">
        <w:rPr>
          <w:rStyle w:val="normaltextrun"/>
          <w:rFonts w:ascii="Verdana" w:hAnsi="Verdana" w:cs="Arial"/>
          <w:shd w:val="clear" w:color="auto" w:fill="FFFFFF"/>
          <w:lang w:val="es-ES"/>
        </w:rPr>
        <w:lastRenderedPageBreak/>
        <w:t>2020, C- 004 del 12 de febrero de 2021, C−106 del 7 de abril de 2021, C-181 del 07 de abril de 2022, C-214 del 22 de abril de 2022 y C-491 de 01 de agosto de 2022, C-008 del 20 de febrero de 2023, C-009 del 20 de febrero de 2023, C-286 del 2023,</w:t>
      </w:r>
      <w:r>
        <w:rPr>
          <w:rStyle w:val="normaltextrun"/>
          <w:rFonts w:ascii="Verdana" w:hAnsi="Verdana" w:cs="Arial"/>
          <w:shd w:val="clear" w:color="auto" w:fill="FFFFFF"/>
          <w:lang w:val="es-ES"/>
        </w:rPr>
        <w:t xml:space="preserve"> C-090 del 12 de junio de 2024,</w:t>
      </w:r>
      <w:r w:rsidRPr="004D08AC">
        <w:rPr>
          <w:rStyle w:val="normaltextrun"/>
          <w:rFonts w:ascii="Verdana" w:hAnsi="Verdana" w:cs="Arial"/>
          <w:shd w:val="clear" w:color="auto" w:fill="FFFFFF"/>
          <w:lang w:val="es-ES"/>
        </w:rPr>
        <w:t xml:space="preserve"> C-351 del 30 de agosto de 2024</w:t>
      </w:r>
      <w:r>
        <w:rPr>
          <w:rStyle w:val="normaltextrun"/>
          <w:rFonts w:ascii="Verdana" w:hAnsi="Verdana" w:cs="Arial"/>
          <w:shd w:val="clear" w:color="auto" w:fill="FFFFFF"/>
          <w:lang w:val="es-ES"/>
        </w:rPr>
        <w:t>,</w:t>
      </w:r>
      <w:r w:rsidRPr="004D08AC">
        <w:rPr>
          <w:rStyle w:val="normaltextrun"/>
          <w:rFonts w:ascii="Verdana" w:hAnsi="Verdana" w:cs="Arial"/>
          <w:shd w:val="clear" w:color="auto" w:fill="FFFFFF"/>
          <w:lang w:val="es-ES"/>
        </w:rPr>
        <w:t xml:space="preserve"> C-372 del 26 de </w:t>
      </w:r>
      <w:r>
        <w:rPr>
          <w:rStyle w:val="normaltextrun"/>
          <w:rFonts w:ascii="Verdana" w:hAnsi="Verdana" w:cs="Arial"/>
          <w:shd w:val="clear" w:color="auto" w:fill="FFFFFF"/>
          <w:lang w:val="es-ES"/>
        </w:rPr>
        <w:t>a</w:t>
      </w:r>
      <w:r w:rsidRPr="004D08AC">
        <w:rPr>
          <w:rStyle w:val="normaltextrun"/>
          <w:rFonts w:ascii="Verdana" w:hAnsi="Verdana" w:cs="Arial"/>
          <w:shd w:val="clear" w:color="auto" w:fill="FFFFFF"/>
          <w:lang w:val="es-ES"/>
        </w:rPr>
        <w:t>gosto 2024</w:t>
      </w:r>
      <w:r>
        <w:rPr>
          <w:rStyle w:val="normaltextrun"/>
          <w:rFonts w:ascii="Verdana" w:hAnsi="Verdana" w:cs="Arial"/>
          <w:shd w:val="clear" w:color="auto" w:fill="FFFFFF"/>
          <w:lang w:val="es-ES"/>
        </w:rPr>
        <w:t xml:space="preserve"> y C-844 del 9 de diciembre de 2024</w:t>
      </w:r>
      <w:r w:rsidRPr="004D08AC">
        <w:rPr>
          <w:rStyle w:val="normaltextrun"/>
          <w:rFonts w:ascii="Verdana" w:hAnsi="Verdana" w:cs="Arial"/>
          <w:shd w:val="clear" w:color="auto" w:fill="FFFFFF"/>
          <w:lang w:val="es-ES"/>
        </w:rPr>
        <w:t>. Es</w:t>
      </w:r>
      <w:r w:rsidRPr="004D08AC">
        <w:rPr>
          <w:rFonts w:ascii="Verdana" w:hAnsi="Verdana"/>
        </w:rPr>
        <w:t xml:space="preserve">tos y otros conceptos se encuentran disponibles para consulta en el Sistema de relatoría de la Agencia, al cual se puede acceder a </w:t>
      </w:r>
      <w:r w:rsidRPr="005671C4">
        <w:rPr>
          <w:rFonts w:ascii="Verdana" w:hAnsi="Verdana"/>
        </w:rPr>
        <w:t>través del siguiente enlace:</w:t>
      </w:r>
      <w:r w:rsidRPr="005671C4">
        <w:rPr>
          <w:rStyle w:val="normaltextrun"/>
          <w:rFonts w:ascii="Verdana" w:hAnsi="Verdana" w:cs="Arial"/>
          <w:shd w:val="clear" w:color="auto" w:fill="FFFFFF"/>
          <w:lang w:val="es-ES"/>
        </w:rPr>
        <w:t xml:space="preserve"> </w:t>
      </w:r>
      <w:hyperlink r:id="rId12" w:history="1">
        <w:r w:rsidRPr="00F937C5">
          <w:rPr>
            <w:rStyle w:val="Hipervnculo"/>
            <w:rFonts w:ascii="Verdana" w:hAnsi="Verdana" w:cs="Arial"/>
            <w:color w:val="4472C4" w:themeColor="accent1"/>
            <w:shd w:val="clear" w:color="auto" w:fill="FFFFFF"/>
            <w:lang w:val="es-ES"/>
          </w:rPr>
          <w:t>https://relatoria.colombiacompra.gov.co/busqueda/conceptos</w:t>
        </w:r>
      </w:hyperlink>
    </w:p>
    <w:p w14:paraId="2FC1BB1F" w14:textId="77777777" w:rsidR="00387220" w:rsidRPr="00FF5727" w:rsidRDefault="00387220" w:rsidP="00387220">
      <w:pPr>
        <w:widowControl w:val="0"/>
        <w:autoSpaceDE w:val="0"/>
        <w:autoSpaceDN w:val="0"/>
        <w:spacing w:after="0" w:line="276" w:lineRule="auto"/>
        <w:jc w:val="both"/>
        <w:rPr>
          <w:rStyle w:val="normaltextrun"/>
          <w:rFonts w:ascii="Verdana" w:hAnsi="Verdana" w:cs="Arial"/>
          <w:shd w:val="clear" w:color="auto" w:fill="FFFFFF"/>
          <w:lang w:val="es-ES"/>
        </w:rPr>
      </w:pPr>
    </w:p>
    <w:p w14:paraId="36347286" w14:textId="77777777" w:rsidR="00387220" w:rsidRPr="004148DF" w:rsidRDefault="00387220" w:rsidP="00387220">
      <w:pPr>
        <w:widowControl w:val="0"/>
        <w:autoSpaceDE w:val="0"/>
        <w:autoSpaceDN w:val="0"/>
        <w:spacing w:after="0" w:line="276" w:lineRule="auto"/>
        <w:jc w:val="both"/>
        <w:rPr>
          <w:rFonts w:ascii="Verdana" w:hAnsi="Verdana" w:cs="Arial"/>
          <w:shd w:val="clear" w:color="auto" w:fill="FFFFFF"/>
        </w:rPr>
      </w:pPr>
      <w:r w:rsidRPr="004148DF">
        <w:rPr>
          <w:rFonts w:ascii="Verdana" w:hAnsi="Verdana" w:cs="Arial"/>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51A457D" w14:textId="77777777" w:rsidR="00387220" w:rsidRPr="004148DF" w:rsidRDefault="00387220" w:rsidP="00387220">
      <w:pPr>
        <w:widowControl w:val="0"/>
        <w:numPr>
          <w:ilvl w:val="0"/>
          <w:numId w:val="4"/>
        </w:numPr>
        <w:autoSpaceDE w:val="0"/>
        <w:autoSpaceDN w:val="0"/>
        <w:spacing w:after="0" w:line="276" w:lineRule="auto"/>
        <w:jc w:val="both"/>
        <w:rPr>
          <w:rFonts w:ascii="Verdana" w:hAnsi="Verdana" w:cs="Arial"/>
          <w:shd w:val="clear" w:color="auto" w:fill="FFFFFF"/>
        </w:rPr>
      </w:pPr>
      <w:r w:rsidRPr="004148DF">
        <w:rPr>
          <w:rFonts w:ascii="Verdana" w:hAnsi="Verdana" w:cs="Arial"/>
          <w:b/>
          <w:bCs/>
          <w:shd w:val="clear" w:color="auto" w:fill="FFFFFF"/>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4148DF">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2BE898D7" w14:textId="77777777" w:rsidR="00387220" w:rsidRPr="004148DF" w:rsidRDefault="00387220" w:rsidP="00387220">
      <w:pPr>
        <w:widowControl w:val="0"/>
        <w:numPr>
          <w:ilvl w:val="0"/>
          <w:numId w:val="4"/>
        </w:numPr>
        <w:autoSpaceDE w:val="0"/>
        <w:autoSpaceDN w:val="0"/>
        <w:spacing w:after="0" w:line="276" w:lineRule="auto"/>
        <w:jc w:val="both"/>
        <w:rPr>
          <w:rFonts w:ascii="Verdana" w:hAnsi="Verdana" w:cs="Arial"/>
          <w:shd w:val="clear" w:color="auto" w:fill="FFFFFF"/>
        </w:rPr>
      </w:pPr>
      <w:r w:rsidRPr="004148DF">
        <w:rPr>
          <w:rFonts w:ascii="Verdana" w:hAnsi="Verdana" w:cs="Arial"/>
          <w:b/>
          <w:bCs/>
          <w:shd w:val="clear" w:color="auto" w:fill="FFFFFF"/>
        </w:rPr>
        <w:t>Documentos tipo para los procesos de selección de consultoría de obra pública de infraestructura de transporte – versión 2:</w:t>
      </w:r>
      <w:r w:rsidRPr="004148DF">
        <w:rPr>
          <w:rFonts w:ascii="Verdana" w:hAnsi="Verdana" w:cs="Arial"/>
          <w:shd w:val="clear" w:color="auto" w:fill="FFFFFF"/>
        </w:rPr>
        <w:t> </w:t>
      </w:r>
      <w:hyperlink r:id="rId14" w:tgtFrame="_blank" w:tooltip="Dirección URL original: https://www.colombiacompra.gov.co/content/02-documentos-tipo-para-los-procesos-de-seleccion-de-consultoria-de-obra-publica-de. Haga clic o pulse si confía en este vínculo." w:history="1">
        <w:r w:rsidRPr="004148DF">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153C2E13" w14:textId="77777777" w:rsidR="00387220" w:rsidRDefault="00387220" w:rsidP="00387220">
      <w:pPr>
        <w:widowControl w:val="0"/>
        <w:autoSpaceDE w:val="0"/>
        <w:autoSpaceDN w:val="0"/>
        <w:spacing w:after="0" w:line="276" w:lineRule="auto"/>
        <w:jc w:val="both"/>
        <w:rPr>
          <w:rFonts w:ascii="Verdana" w:hAnsi="Verdana" w:cs="Arial"/>
          <w:shd w:val="clear" w:color="auto" w:fill="FFFFFF"/>
        </w:rPr>
      </w:pPr>
    </w:p>
    <w:p w14:paraId="40C04AB2" w14:textId="77777777" w:rsidR="00387220" w:rsidRPr="004148DF" w:rsidRDefault="00387220" w:rsidP="00387220">
      <w:pPr>
        <w:widowControl w:val="0"/>
        <w:autoSpaceDE w:val="0"/>
        <w:autoSpaceDN w:val="0"/>
        <w:spacing w:after="0" w:line="276" w:lineRule="auto"/>
        <w:jc w:val="both"/>
        <w:rPr>
          <w:rFonts w:ascii="Verdana" w:hAnsi="Verdana" w:cs="Arial"/>
          <w:shd w:val="clear" w:color="auto" w:fill="FFFFFF"/>
        </w:rPr>
      </w:pPr>
      <w:r w:rsidRPr="004148DF">
        <w:rPr>
          <w:rFonts w:ascii="Verdana" w:hAnsi="Verdana" w:cs="Arial"/>
          <w:shd w:val="clear" w:color="auto" w:fill="FFFFFF"/>
        </w:rPr>
        <w:t>También, te contamos que ya publicamos </w:t>
      </w:r>
      <w:r w:rsidRPr="004148DF">
        <w:rPr>
          <w:rFonts w:ascii="Verdana" w:hAnsi="Verdana" w:cs="Arial"/>
          <w:b/>
          <w:bCs/>
          <w:shd w:val="clear" w:color="auto" w:fill="FFFFFF"/>
        </w:rPr>
        <w:t>la nueva Guía de Contratación Pública Sostenible y Socialmente Responsable</w:t>
      </w:r>
      <w:r w:rsidRPr="004148DF">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4148DF">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2BFE668E" w14:textId="77777777" w:rsidR="00387220" w:rsidRPr="004148DF" w:rsidRDefault="00387220" w:rsidP="00387220">
      <w:pPr>
        <w:widowControl w:val="0"/>
        <w:autoSpaceDE w:val="0"/>
        <w:autoSpaceDN w:val="0"/>
        <w:spacing w:after="0" w:line="276" w:lineRule="auto"/>
        <w:jc w:val="both"/>
        <w:rPr>
          <w:rStyle w:val="normaltextrun"/>
          <w:rFonts w:ascii="Verdana" w:hAnsi="Verdana" w:cs="Arial"/>
          <w:shd w:val="clear" w:color="auto" w:fill="FFFFFF"/>
        </w:rPr>
      </w:pPr>
    </w:p>
    <w:p w14:paraId="59B131E5" w14:textId="77777777" w:rsidR="00387220" w:rsidRPr="005671C4" w:rsidRDefault="00387220" w:rsidP="00387220">
      <w:pPr>
        <w:spacing w:after="0" w:line="240" w:lineRule="auto"/>
        <w:jc w:val="both"/>
        <w:rPr>
          <w:rFonts w:ascii="Verdana" w:hAnsi="Verdana"/>
        </w:rPr>
      </w:pPr>
      <w:r w:rsidRPr="00FF5727">
        <w:rPr>
          <w:rFonts w:ascii="Verdana" w:hAnsi="Verdana"/>
        </w:rPr>
        <w:t>Por último</w:t>
      </w:r>
      <w:r w:rsidRPr="005671C4">
        <w:rPr>
          <w:rFonts w:ascii="Verdana" w:hAnsi="Verdana"/>
        </w:rPr>
        <w:t xml:space="preserve">, lo invitamos a seguirnos en las redes sociales en las cuales se difunde información institucional: </w:t>
      </w:r>
    </w:p>
    <w:p w14:paraId="7DD41600" w14:textId="77777777" w:rsidR="00387220" w:rsidRPr="005671C4" w:rsidRDefault="00387220" w:rsidP="00387220">
      <w:pPr>
        <w:spacing w:after="0" w:line="240" w:lineRule="auto"/>
        <w:jc w:val="both"/>
        <w:rPr>
          <w:rFonts w:ascii="Verdana" w:hAnsi="Verdana"/>
        </w:rPr>
      </w:pPr>
    </w:p>
    <w:p w14:paraId="4C5CE8D9" w14:textId="77777777" w:rsidR="00387220" w:rsidRPr="005671C4" w:rsidRDefault="00387220" w:rsidP="00387220">
      <w:pPr>
        <w:spacing w:after="0" w:line="240" w:lineRule="auto"/>
        <w:jc w:val="both"/>
        <w:rPr>
          <w:rFonts w:ascii="Verdana" w:hAnsi="Verdana"/>
        </w:rPr>
      </w:pPr>
      <w:r w:rsidRPr="005671C4">
        <w:rPr>
          <w:rFonts w:ascii="Verdana" w:hAnsi="Verdana"/>
        </w:rPr>
        <w:t xml:space="preserve">Twitter: </w:t>
      </w:r>
      <w:r w:rsidRPr="005671C4">
        <w:rPr>
          <w:rStyle w:val="Hipervnculo"/>
          <w:rFonts w:ascii="Verdana" w:hAnsi="Verdana"/>
          <w:color w:val="4472C4" w:themeColor="accent1"/>
        </w:rPr>
        <w:t>@colombiacompra</w:t>
      </w:r>
      <w:r w:rsidRPr="005671C4">
        <w:rPr>
          <w:rFonts w:ascii="Verdana" w:hAnsi="Verdana"/>
          <w:color w:val="4472C4" w:themeColor="accent1"/>
        </w:rPr>
        <w:t xml:space="preserve"> </w:t>
      </w:r>
    </w:p>
    <w:p w14:paraId="235DA793" w14:textId="77777777" w:rsidR="00387220" w:rsidRPr="005671C4" w:rsidRDefault="00387220" w:rsidP="00387220">
      <w:pPr>
        <w:spacing w:after="0" w:line="240" w:lineRule="auto"/>
        <w:jc w:val="both"/>
        <w:rPr>
          <w:rFonts w:ascii="Verdana" w:hAnsi="Verdana"/>
        </w:rPr>
      </w:pPr>
      <w:r w:rsidRPr="005671C4">
        <w:rPr>
          <w:rFonts w:ascii="Verdana" w:hAnsi="Verdana"/>
        </w:rPr>
        <w:t xml:space="preserve">Facebook: </w:t>
      </w:r>
      <w:proofErr w:type="spellStart"/>
      <w:r w:rsidRPr="005671C4">
        <w:rPr>
          <w:rStyle w:val="Hipervnculo"/>
          <w:rFonts w:ascii="Verdana" w:hAnsi="Verdana"/>
          <w:color w:val="4472C4" w:themeColor="accent1"/>
        </w:rPr>
        <w:t>ColombiaCompraEficiente</w:t>
      </w:r>
      <w:proofErr w:type="spellEnd"/>
    </w:p>
    <w:p w14:paraId="5AF2649A" w14:textId="77777777" w:rsidR="00387220" w:rsidRPr="005671C4" w:rsidRDefault="00387220" w:rsidP="00387220">
      <w:pPr>
        <w:spacing w:after="0" w:line="240" w:lineRule="auto"/>
        <w:jc w:val="both"/>
        <w:rPr>
          <w:rFonts w:ascii="Verdana" w:hAnsi="Verdana"/>
        </w:rPr>
      </w:pPr>
      <w:r w:rsidRPr="005671C4">
        <w:rPr>
          <w:rFonts w:ascii="Verdana" w:hAnsi="Verdana"/>
        </w:rPr>
        <w:lastRenderedPageBreak/>
        <w:t xml:space="preserve">LinkedIn: </w:t>
      </w:r>
      <w:r w:rsidRPr="005671C4">
        <w:rPr>
          <w:rStyle w:val="Hipervnculo"/>
          <w:rFonts w:ascii="Verdana" w:hAnsi="Verdana"/>
          <w:color w:val="4472C4" w:themeColor="accent1"/>
        </w:rPr>
        <w:t>Agencia Nacional de Contratación Pública - Colombia Compra Eficiente</w:t>
      </w:r>
      <w:r w:rsidRPr="005671C4">
        <w:rPr>
          <w:rFonts w:ascii="Verdana" w:hAnsi="Verdana"/>
          <w:color w:val="4472C4" w:themeColor="accent1"/>
        </w:rPr>
        <w:t xml:space="preserve"> </w:t>
      </w:r>
      <w:r w:rsidRPr="005671C4">
        <w:rPr>
          <w:rFonts w:ascii="Verdana" w:hAnsi="Verdana"/>
        </w:rPr>
        <w:t xml:space="preserve">Instagram: </w:t>
      </w:r>
      <w:r w:rsidRPr="005671C4">
        <w:rPr>
          <w:rStyle w:val="Hipervnculo"/>
          <w:rFonts w:ascii="Verdana" w:hAnsi="Verdana"/>
          <w:color w:val="4472C4" w:themeColor="accent1"/>
        </w:rPr>
        <w:t>@colombiacompraeficiente_cce</w:t>
      </w:r>
    </w:p>
    <w:p w14:paraId="200A5C9C" w14:textId="77777777" w:rsidR="00387220" w:rsidRPr="005671C4" w:rsidRDefault="00387220" w:rsidP="00387220">
      <w:pPr>
        <w:widowControl w:val="0"/>
        <w:autoSpaceDE w:val="0"/>
        <w:autoSpaceDN w:val="0"/>
        <w:spacing w:after="0" w:line="276" w:lineRule="auto"/>
        <w:jc w:val="both"/>
        <w:rPr>
          <w:rFonts w:ascii="Verdana" w:hAnsi="Verdana" w:cs="Arial"/>
        </w:rPr>
      </w:pPr>
    </w:p>
    <w:p w14:paraId="488F9F64" w14:textId="77777777" w:rsidR="00387220" w:rsidRPr="005671C4" w:rsidRDefault="00387220" w:rsidP="00387220">
      <w:pPr>
        <w:widowControl w:val="0"/>
        <w:autoSpaceDE w:val="0"/>
        <w:autoSpaceDN w:val="0"/>
        <w:spacing w:after="0" w:line="276" w:lineRule="auto"/>
        <w:jc w:val="both"/>
        <w:rPr>
          <w:rFonts w:ascii="Verdana" w:hAnsi="Verdana" w:cs="Arial"/>
          <w:lang w:val="es-ES_tradnl"/>
        </w:rPr>
      </w:pPr>
      <w:r w:rsidRPr="005671C4">
        <w:rPr>
          <w:rFonts w:ascii="Verdana" w:hAnsi="Verdana" w:cs="Arial"/>
        </w:rPr>
        <w:t xml:space="preserve">Este concepto tiene el alcance previsto en el artículo 28 del Código de Procedimiento Administrativo y de lo Contencioso Administrativo </w:t>
      </w:r>
      <w:r w:rsidRPr="005671C4">
        <w:rPr>
          <w:rFonts w:ascii="Verdana" w:hAnsi="Verdana" w:cs="Arial"/>
          <w:lang w:val="es-ES_tradnl"/>
        </w:rPr>
        <w:t>y las expresiones aquí utilizadas con mayúscula inicial deben ser entendidas con el significado que les otorga el artículo 2.2.1.1.1.3.1. del Decreto 1082 de 2015.</w:t>
      </w:r>
    </w:p>
    <w:p w14:paraId="48E2AD8C" w14:textId="77777777" w:rsidR="00387220" w:rsidRPr="005671C4" w:rsidRDefault="00387220" w:rsidP="00387220">
      <w:pPr>
        <w:widowControl w:val="0"/>
        <w:autoSpaceDE w:val="0"/>
        <w:autoSpaceDN w:val="0"/>
        <w:spacing w:after="0" w:line="276" w:lineRule="auto"/>
        <w:jc w:val="both"/>
        <w:rPr>
          <w:rFonts w:ascii="Verdana" w:hAnsi="Verdana" w:cs="Arial"/>
        </w:rPr>
      </w:pPr>
    </w:p>
    <w:p w14:paraId="3B28B51E" w14:textId="77777777" w:rsidR="00387220" w:rsidRPr="005671C4" w:rsidRDefault="00387220" w:rsidP="00387220">
      <w:pPr>
        <w:spacing w:after="0" w:line="240" w:lineRule="auto"/>
        <w:rPr>
          <w:rFonts w:ascii="Verdana" w:hAnsi="Verdana" w:cs="Arial"/>
          <w:lang w:eastAsia="es-CO"/>
        </w:rPr>
      </w:pPr>
      <w:r w:rsidRPr="005671C4">
        <w:rPr>
          <w:rFonts w:ascii="Verdana" w:eastAsia="Times New Roman" w:hAnsi="Verdana" w:cs="Arial"/>
          <w:lang w:eastAsia="es-CO"/>
        </w:rPr>
        <w:t>Atentamente,</w:t>
      </w:r>
      <w:r w:rsidRPr="005671C4">
        <w:rPr>
          <w:rFonts w:ascii="Verdana" w:hAnsi="Verdana" w:cs="Arial"/>
          <w:lang w:eastAsia="es-CO"/>
        </w:rPr>
        <w:t xml:space="preserve"> </w:t>
      </w:r>
    </w:p>
    <w:p w14:paraId="0DCA0899" w14:textId="331B8304" w:rsidR="00387220" w:rsidRPr="00262582" w:rsidRDefault="007E76F6" w:rsidP="00387220">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66EA0D02" wp14:editId="3C01E7CF">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636"/>
      </w:tblGrid>
      <w:tr w:rsidR="00387220" w:rsidRPr="00262582" w14:paraId="7AF2BE04" w14:textId="77777777" w:rsidTr="00E677B5">
        <w:trPr>
          <w:trHeight w:val="286"/>
        </w:trPr>
        <w:tc>
          <w:tcPr>
            <w:tcW w:w="893" w:type="dxa"/>
            <w:vAlign w:val="center"/>
            <w:hideMark/>
          </w:tcPr>
          <w:p w14:paraId="1AB87C2C" w14:textId="77777777" w:rsidR="00387220" w:rsidRPr="00262582" w:rsidRDefault="00387220" w:rsidP="00E677B5">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Elaboró:</w:t>
            </w:r>
          </w:p>
        </w:tc>
        <w:tc>
          <w:tcPr>
            <w:tcW w:w="4636" w:type="dxa"/>
            <w:tcBorders>
              <w:top w:val="nil"/>
              <w:left w:val="nil"/>
              <w:bottom w:val="dotted" w:sz="4" w:space="0" w:color="7F7F7F"/>
              <w:right w:val="nil"/>
            </w:tcBorders>
            <w:vAlign w:val="center"/>
            <w:hideMark/>
          </w:tcPr>
          <w:p w14:paraId="32806C5E" w14:textId="77777777" w:rsidR="00387220" w:rsidRPr="00262582" w:rsidRDefault="00387220" w:rsidP="00E677B5">
            <w:pPr>
              <w:rPr>
                <w:rFonts w:ascii="Verdana" w:eastAsia="Times New Roman" w:hAnsi="Verdana" w:cs="Arial"/>
                <w:sz w:val="16"/>
                <w:szCs w:val="16"/>
                <w:lang w:val="es-ES_tradnl" w:eastAsia="es-ES"/>
              </w:rPr>
            </w:pPr>
            <w:r w:rsidRPr="00262582">
              <w:rPr>
                <w:rFonts w:ascii="Verdana" w:eastAsia="Times New Roman" w:hAnsi="Verdana" w:cs="Arial"/>
                <w:sz w:val="16"/>
                <w:szCs w:val="16"/>
                <w:lang w:val="es-ES_tradnl" w:eastAsia="es-ES"/>
              </w:rPr>
              <w:t xml:space="preserve">Sergio </w:t>
            </w:r>
            <w:r>
              <w:rPr>
                <w:rFonts w:ascii="Verdana" w:eastAsia="Times New Roman" w:hAnsi="Verdana" w:cs="Arial"/>
                <w:sz w:val="16"/>
                <w:szCs w:val="16"/>
                <w:lang w:val="es-ES_tradnl" w:eastAsia="es-ES"/>
              </w:rPr>
              <w:t xml:space="preserve">Enrique </w:t>
            </w:r>
            <w:r w:rsidRPr="00262582">
              <w:rPr>
                <w:rFonts w:ascii="Verdana" w:eastAsia="Times New Roman" w:hAnsi="Verdana" w:cs="Arial"/>
                <w:sz w:val="16"/>
                <w:szCs w:val="16"/>
                <w:lang w:val="es-ES_tradnl" w:eastAsia="es-ES"/>
              </w:rPr>
              <w:t>Caballero</w:t>
            </w:r>
            <w:r>
              <w:rPr>
                <w:rFonts w:ascii="Verdana" w:eastAsia="Times New Roman" w:hAnsi="Verdana" w:cs="Arial"/>
                <w:sz w:val="16"/>
                <w:szCs w:val="16"/>
                <w:lang w:val="es-ES_tradnl" w:eastAsia="es-ES"/>
              </w:rPr>
              <w:t xml:space="preserve"> Lesmes</w:t>
            </w:r>
          </w:p>
          <w:p w14:paraId="03CA1776" w14:textId="77777777" w:rsidR="00387220" w:rsidRPr="00262582" w:rsidRDefault="00387220" w:rsidP="00E677B5">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Analista T</w:t>
            </w:r>
            <w:r>
              <w:rPr>
                <w:rFonts w:ascii="Verdana" w:eastAsia="Times New Roman" w:hAnsi="Verdana" w:cs="Arial"/>
                <w:sz w:val="16"/>
                <w:szCs w:val="16"/>
                <w:lang w:eastAsia="es-ES"/>
              </w:rPr>
              <w:t>2</w:t>
            </w:r>
            <w:r w:rsidRPr="00262582">
              <w:rPr>
                <w:rFonts w:ascii="Verdana" w:eastAsia="Times New Roman" w:hAnsi="Verdana" w:cs="Arial"/>
                <w:sz w:val="16"/>
                <w:szCs w:val="16"/>
                <w:lang w:eastAsia="es-ES"/>
              </w:rPr>
              <w:t>-1 de la Subdirección de Gestión Contractual</w:t>
            </w:r>
          </w:p>
        </w:tc>
      </w:tr>
      <w:tr w:rsidR="00387220" w:rsidRPr="00262582" w14:paraId="6B9D47E7" w14:textId="77777777" w:rsidTr="00E677B5">
        <w:trPr>
          <w:trHeight w:val="299"/>
        </w:trPr>
        <w:tc>
          <w:tcPr>
            <w:tcW w:w="893" w:type="dxa"/>
            <w:vAlign w:val="center"/>
            <w:hideMark/>
          </w:tcPr>
          <w:p w14:paraId="4D70897A" w14:textId="77777777" w:rsidR="00387220" w:rsidRPr="00262582" w:rsidRDefault="00387220" w:rsidP="00E677B5">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Revisó:</w:t>
            </w:r>
          </w:p>
        </w:tc>
        <w:tc>
          <w:tcPr>
            <w:tcW w:w="4636" w:type="dxa"/>
            <w:tcBorders>
              <w:top w:val="dotted" w:sz="4" w:space="0" w:color="7F7F7F"/>
              <w:left w:val="nil"/>
              <w:bottom w:val="dotted" w:sz="4" w:space="0" w:color="7F7F7F"/>
              <w:right w:val="nil"/>
            </w:tcBorders>
            <w:vAlign w:val="center"/>
            <w:hideMark/>
          </w:tcPr>
          <w:p w14:paraId="7156E80E" w14:textId="77777777" w:rsidR="00387220" w:rsidRPr="00262582" w:rsidRDefault="00387220" w:rsidP="00E677B5">
            <w:pPr>
              <w:rPr>
                <w:rFonts w:ascii="Verdana" w:eastAsia="Times New Roman" w:hAnsi="Verdana" w:cs="Arial"/>
                <w:sz w:val="16"/>
                <w:szCs w:val="16"/>
                <w:lang w:val="es-ES_tradnl" w:eastAsia="es-ES"/>
              </w:rPr>
            </w:pPr>
            <w:r w:rsidRPr="0031759C">
              <w:rPr>
                <w:rFonts w:ascii="Verdana" w:eastAsia="Times New Roman" w:hAnsi="Verdana" w:cs="Arial"/>
                <w:sz w:val="16"/>
                <w:szCs w:val="16"/>
                <w:lang w:val="es-ES_tradnl" w:eastAsia="es-ES"/>
              </w:rPr>
              <w:t>Ximena Ríos López</w:t>
            </w:r>
          </w:p>
          <w:p w14:paraId="2E116004" w14:textId="77777777" w:rsidR="00387220" w:rsidRPr="00262582" w:rsidRDefault="00387220" w:rsidP="00E677B5">
            <w:pPr>
              <w:rPr>
                <w:rFonts w:ascii="Verdana" w:eastAsia="Times New Roman" w:hAnsi="Verdana" w:cs="Arial"/>
                <w:sz w:val="14"/>
                <w:szCs w:val="14"/>
                <w:lang w:eastAsia="es-ES"/>
              </w:rPr>
            </w:pPr>
            <w:r>
              <w:rPr>
                <w:rFonts w:ascii="Verdana" w:eastAsia="Times New Roman" w:hAnsi="Verdana" w:cs="Arial"/>
                <w:sz w:val="16"/>
                <w:szCs w:val="16"/>
                <w:lang w:eastAsia="es-ES"/>
              </w:rPr>
              <w:t>Gestor T1-11</w:t>
            </w:r>
            <w:r w:rsidRPr="00262582">
              <w:rPr>
                <w:rFonts w:ascii="Verdana" w:eastAsia="Times New Roman" w:hAnsi="Verdana" w:cs="Arial"/>
                <w:sz w:val="16"/>
                <w:szCs w:val="16"/>
                <w:lang w:eastAsia="es-ES"/>
              </w:rPr>
              <w:t xml:space="preserve"> de la Subdirección de Gestión Contractual</w:t>
            </w:r>
          </w:p>
        </w:tc>
      </w:tr>
      <w:tr w:rsidR="00387220" w:rsidRPr="00262582" w14:paraId="4C356F9F" w14:textId="77777777" w:rsidTr="00E677B5">
        <w:trPr>
          <w:trHeight w:val="272"/>
        </w:trPr>
        <w:tc>
          <w:tcPr>
            <w:tcW w:w="893" w:type="dxa"/>
            <w:vAlign w:val="center"/>
            <w:hideMark/>
          </w:tcPr>
          <w:p w14:paraId="0BDC4994" w14:textId="77777777" w:rsidR="00387220" w:rsidRPr="00262582" w:rsidRDefault="00387220" w:rsidP="00E677B5">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Aprobó:</w:t>
            </w:r>
          </w:p>
        </w:tc>
        <w:tc>
          <w:tcPr>
            <w:tcW w:w="4636" w:type="dxa"/>
            <w:tcBorders>
              <w:top w:val="dotted" w:sz="4" w:space="0" w:color="7F7F7F"/>
              <w:left w:val="nil"/>
              <w:bottom w:val="dotted" w:sz="4" w:space="0" w:color="7F7F7F"/>
              <w:right w:val="nil"/>
            </w:tcBorders>
            <w:vAlign w:val="center"/>
            <w:hideMark/>
          </w:tcPr>
          <w:p w14:paraId="1CFF7288" w14:textId="77777777" w:rsidR="00387220" w:rsidRPr="00262582" w:rsidRDefault="00387220" w:rsidP="00E677B5">
            <w:pPr>
              <w:rPr>
                <w:rFonts w:ascii="Verdana" w:eastAsia="Times New Roman" w:hAnsi="Verdana" w:cs="Arial"/>
                <w:sz w:val="16"/>
                <w:szCs w:val="16"/>
                <w:lang w:eastAsia="es-ES"/>
              </w:rPr>
            </w:pPr>
            <w:r w:rsidRPr="00262582">
              <w:rPr>
                <w:rFonts w:ascii="Verdana" w:eastAsia="Times New Roman" w:hAnsi="Verdana" w:cs="Arial"/>
                <w:sz w:val="16"/>
                <w:szCs w:val="16"/>
                <w:lang w:eastAsia="es-ES"/>
              </w:rPr>
              <w:t xml:space="preserve">Carolina Quintero </w:t>
            </w:r>
            <w:proofErr w:type="spellStart"/>
            <w:r w:rsidRPr="00262582">
              <w:rPr>
                <w:rFonts w:ascii="Verdana" w:eastAsia="Times New Roman" w:hAnsi="Verdana" w:cs="Arial"/>
                <w:sz w:val="16"/>
                <w:szCs w:val="16"/>
                <w:lang w:eastAsia="es-ES"/>
              </w:rPr>
              <w:t>Gacharná</w:t>
            </w:r>
            <w:proofErr w:type="spellEnd"/>
          </w:p>
          <w:p w14:paraId="0ED994FD" w14:textId="77777777" w:rsidR="00387220" w:rsidRPr="00262582" w:rsidRDefault="00387220" w:rsidP="00E677B5">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Subdirectora de Gestión Contractual ANCP – CCE</w:t>
            </w:r>
          </w:p>
        </w:tc>
      </w:tr>
    </w:tbl>
    <w:p w14:paraId="39080C11" w14:textId="77777777" w:rsidR="00387220" w:rsidRPr="004D08AC" w:rsidRDefault="00387220" w:rsidP="00387220">
      <w:pPr>
        <w:spacing w:after="0" w:line="240" w:lineRule="auto"/>
        <w:rPr>
          <w:rFonts w:ascii="Verdana" w:eastAsia="Times New Roman" w:hAnsi="Verdana" w:cs="Arial"/>
          <w:sz w:val="24"/>
          <w:szCs w:val="24"/>
          <w:lang w:eastAsia="es-ES"/>
        </w:rPr>
      </w:pPr>
    </w:p>
    <w:p w14:paraId="04C3B1D6" w14:textId="77777777" w:rsidR="00387220" w:rsidRPr="005671C4" w:rsidRDefault="00387220" w:rsidP="00387220">
      <w:pPr>
        <w:rPr>
          <w:rFonts w:ascii="Verdana" w:hAnsi="Verdana"/>
        </w:rPr>
      </w:pPr>
    </w:p>
    <w:p w14:paraId="628A010F" w14:textId="77777777" w:rsidR="00387220" w:rsidRPr="00F937C5" w:rsidRDefault="00387220" w:rsidP="00387220"/>
    <w:p w14:paraId="63577DA1" w14:textId="77777777" w:rsidR="00387220" w:rsidRPr="00A10F9D" w:rsidRDefault="00387220" w:rsidP="00387220"/>
    <w:p w14:paraId="3849B8DF" w14:textId="77777777" w:rsidR="00274079" w:rsidRDefault="00274079"/>
    <w:sectPr w:rsidR="00274079" w:rsidSect="00387220">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0B4B6" w14:textId="77777777" w:rsidR="00387220" w:rsidRDefault="00387220" w:rsidP="00387220">
      <w:pPr>
        <w:spacing w:after="0" w:line="240" w:lineRule="auto"/>
      </w:pPr>
      <w:r>
        <w:separator/>
      </w:r>
    </w:p>
  </w:endnote>
  <w:endnote w:type="continuationSeparator" w:id="0">
    <w:p w14:paraId="522A238D" w14:textId="77777777" w:rsidR="00387220" w:rsidRDefault="00387220" w:rsidP="00387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F4C4" w14:textId="77777777" w:rsidR="007E76F6" w:rsidRDefault="007E76F6">
    <w:pPr>
      <w:pStyle w:val="Piedepgina"/>
    </w:pPr>
  </w:p>
  <w:p w14:paraId="2D43BB53" w14:textId="77777777" w:rsidR="007E76F6" w:rsidRPr="00174B77" w:rsidRDefault="007E76F6"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A763ADE" w14:textId="77777777" w:rsidR="007E76F6" w:rsidRDefault="007E76F6"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4BD16B6" w14:textId="77777777" w:rsidR="007E76F6" w:rsidRPr="00E41027" w:rsidRDefault="007E76F6" w:rsidP="00D520D8">
    <w:pPr>
      <w:spacing w:after="0"/>
      <w:jc w:val="both"/>
      <w:rPr>
        <w:rFonts w:ascii="Verdana" w:hAnsi="Verdana"/>
        <w:sz w:val="18"/>
        <w:szCs w:val="18"/>
      </w:rPr>
    </w:pPr>
    <w:r w:rsidRPr="00E41027">
      <w:rPr>
        <w:rFonts w:ascii="Verdana" w:hAnsi="Verdana"/>
        <w:sz w:val="18"/>
        <w:szCs w:val="18"/>
      </w:rPr>
      <w:t>Mesa de servicio: (+57) 601 7456788</w:t>
    </w:r>
  </w:p>
  <w:p w14:paraId="251D2992" w14:textId="77777777" w:rsidR="007E76F6" w:rsidRDefault="007E76F6"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F1EA9" w14:textId="77777777" w:rsidR="00387220" w:rsidRDefault="00387220" w:rsidP="00387220">
      <w:pPr>
        <w:spacing w:after="0" w:line="240" w:lineRule="auto"/>
      </w:pPr>
      <w:r>
        <w:separator/>
      </w:r>
    </w:p>
  </w:footnote>
  <w:footnote w:type="continuationSeparator" w:id="0">
    <w:p w14:paraId="2973A51F" w14:textId="77777777" w:rsidR="00387220" w:rsidRDefault="00387220" w:rsidP="00387220">
      <w:pPr>
        <w:spacing w:after="0" w:line="240" w:lineRule="auto"/>
      </w:pPr>
      <w:r>
        <w:continuationSeparator/>
      </w:r>
    </w:p>
  </w:footnote>
  <w:footnote w:id="1">
    <w:p w14:paraId="55810EEA" w14:textId="77777777" w:rsidR="00387220" w:rsidRPr="00BD1F11" w:rsidRDefault="00387220" w:rsidP="00387220">
      <w:pPr>
        <w:pStyle w:val="Textonotapie"/>
        <w:ind w:firstLine="708"/>
        <w:jc w:val="both"/>
        <w:rPr>
          <w:rFonts w:ascii="Verdana" w:hAnsi="Verdana"/>
          <w:sz w:val="10"/>
          <w:szCs w:val="10"/>
          <w:lang w:val="es-CO"/>
        </w:rPr>
      </w:pPr>
      <w:r w:rsidRPr="00BD1F11">
        <w:rPr>
          <w:rStyle w:val="Refdenotaalpie"/>
          <w:rFonts w:ascii="Verdana" w:hAnsi="Verdana"/>
          <w:sz w:val="10"/>
          <w:szCs w:val="10"/>
        </w:rPr>
        <w:footnoteRef/>
      </w:r>
      <w:r w:rsidRPr="00BD1F11">
        <w:rPr>
          <w:rFonts w:ascii="Verdana" w:hAnsi="Verdana"/>
          <w:sz w:val="10"/>
          <w:szCs w:val="10"/>
        </w:rPr>
        <w:t xml:space="preserve"> Disponible en: </w:t>
      </w:r>
      <w:hyperlink r:id="rId1" w:history="1">
        <w:r w:rsidRPr="00BD1F11">
          <w:rPr>
            <w:rStyle w:val="Hipervnculo"/>
            <w:rFonts w:ascii="Verdana" w:hAnsi="Verdana"/>
            <w:sz w:val="10"/>
            <w:szCs w:val="10"/>
          </w:rPr>
          <w:t>https://dle.rae.es/honorario</w:t>
        </w:r>
      </w:hyperlink>
      <w:r w:rsidRPr="00BD1F11">
        <w:rPr>
          <w:rFonts w:ascii="Verdana" w:hAnsi="Verdana"/>
          <w:sz w:val="10"/>
          <w:szCs w:val="10"/>
        </w:rPr>
        <w:t xml:space="preserve">  </w:t>
      </w:r>
    </w:p>
  </w:footnote>
  <w:footnote w:id="2">
    <w:p w14:paraId="53261946" w14:textId="77777777" w:rsidR="00387220" w:rsidRPr="00BD1F11" w:rsidRDefault="00387220" w:rsidP="00387220">
      <w:pPr>
        <w:pStyle w:val="Textonotapie"/>
        <w:ind w:left="708"/>
        <w:jc w:val="both"/>
        <w:rPr>
          <w:rFonts w:ascii="Verdana" w:hAnsi="Verdana" w:cs="Arial"/>
          <w:sz w:val="10"/>
          <w:szCs w:val="10"/>
        </w:rPr>
      </w:pPr>
      <w:r w:rsidRPr="00BD1F11">
        <w:rPr>
          <w:rStyle w:val="Refdenotaalpie"/>
          <w:rFonts w:ascii="Verdana" w:hAnsi="Verdana"/>
          <w:sz w:val="10"/>
          <w:szCs w:val="10"/>
        </w:rPr>
        <w:footnoteRef/>
      </w:r>
      <w:r w:rsidRPr="00BD1F11">
        <w:rPr>
          <w:rFonts w:ascii="Verdana" w:hAnsi="Verdana" w:cs="Arial"/>
          <w:sz w:val="10"/>
          <w:szCs w:val="10"/>
        </w:rPr>
        <w:t xml:space="preserve"> Ley 80 de 1993: “Artículo 25. En virtud de este principio:</w:t>
      </w:r>
    </w:p>
    <w:p w14:paraId="77A46C57" w14:textId="77777777" w:rsidR="00387220" w:rsidRPr="00BD1F11" w:rsidRDefault="00387220" w:rsidP="00387220">
      <w:pPr>
        <w:pStyle w:val="Textonotapie"/>
        <w:jc w:val="both"/>
        <w:rPr>
          <w:rFonts w:ascii="Verdana" w:hAnsi="Verdana" w:cs="Arial"/>
          <w:sz w:val="10"/>
          <w:szCs w:val="10"/>
        </w:rPr>
      </w:pPr>
      <w:r w:rsidRPr="00BD1F11">
        <w:rPr>
          <w:rFonts w:ascii="Verdana" w:hAnsi="Verdana" w:cs="Arial"/>
          <w:sz w:val="10"/>
          <w:szCs w:val="10"/>
        </w:rPr>
        <w:tab/>
        <w:t>[...]</w:t>
      </w:r>
    </w:p>
    <w:p w14:paraId="79DD449B" w14:textId="77777777" w:rsidR="00387220" w:rsidRPr="00BD1F11" w:rsidRDefault="00387220" w:rsidP="00387220">
      <w:pPr>
        <w:pStyle w:val="Textonotapie"/>
        <w:ind w:firstLine="708"/>
        <w:jc w:val="both"/>
        <w:rPr>
          <w:rFonts w:ascii="Verdana" w:hAnsi="Verdana" w:cs="Arial"/>
          <w:sz w:val="10"/>
          <w:szCs w:val="10"/>
        </w:rPr>
      </w:pPr>
      <w:r w:rsidRPr="00BD1F11">
        <w:rPr>
          <w:rFonts w:ascii="Verdana" w:hAnsi="Verdana" w:cs="Arial"/>
          <w:sz w:val="10"/>
          <w:szCs w:val="10"/>
        </w:rPr>
        <w:t>6. Las entidades estatales abrirán licitaciones o concursos e iniciarán procesos de suscripción de contratos, cuando existan las respectivas partidas o disponibilidades presupuestales.</w:t>
      </w:r>
    </w:p>
    <w:p w14:paraId="389DEA04" w14:textId="77777777" w:rsidR="00387220" w:rsidRPr="00BD1F11" w:rsidRDefault="00387220" w:rsidP="00387220">
      <w:pPr>
        <w:pStyle w:val="Textonotapie"/>
        <w:jc w:val="both"/>
        <w:rPr>
          <w:rFonts w:ascii="Verdana" w:hAnsi="Verdana" w:cs="Arial"/>
          <w:sz w:val="10"/>
          <w:szCs w:val="10"/>
        </w:rPr>
      </w:pPr>
      <w:r w:rsidRPr="00BD1F11">
        <w:rPr>
          <w:rFonts w:ascii="Verdana" w:hAnsi="Verdana" w:cs="Arial"/>
          <w:sz w:val="10"/>
          <w:szCs w:val="10"/>
        </w:rPr>
        <w:tab/>
        <w:t>[...]</w:t>
      </w:r>
    </w:p>
    <w:p w14:paraId="1D277119" w14:textId="77777777" w:rsidR="00387220" w:rsidRPr="00BD1F11" w:rsidRDefault="00387220" w:rsidP="00387220">
      <w:pPr>
        <w:pStyle w:val="Textonotapie"/>
        <w:ind w:firstLine="708"/>
        <w:jc w:val="both"/>
        <w:rPr>
          <w:rFonts w:ascii="Verdana" w:hAnsi="Verdana" w:cs="Arial"/>
          <w:sz w:val="10"/>
          <w:szCs w:val="10"/>
        </w:rPr>
      </w:pPr>
      <w:r w:rsidRPr="00BD1F11">
        <w:rPr>
          <w:rFonts w:ascii="Verdana" w:hAnsi="Verdana" w:cs="Arial"/>
          <w:sz w:val="10"/>
          <w:szCs w:val="10"/>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0D2A972A" w14:textId="77777777" w:rsidR="00387220" w:rsidRPr="00BD1F11" w:rsidRDefault="00387220" w:rsidP="00387220">
      <w:pPr>
        <w:pStyle w:val="Textonotapie"/>
        <w:ind w:firstLine="708"/>
        <w:jc w:val="both"/>
        <w:rPr>
          <w:rFonts w:ascii="Verdana" w:hAnsi="Verdana" w:cs="Arial"/>
          <w:sz w:val="10"/>
          <w:szCs w:val="10"/>
        </w:rPr>
      </w:pPr>
      <w:r w:rsidRPr="00BD1F11">
        <w:rPr>
          <w:rFonts w:ascii="Verdana" w:hAnsi="Verdana" w:cs="Arial"/>
          <w:sz w:val="10"/>
          <w:szCs w:val="10"/>
        </w:rPr>
        <w:t>[...]”.</w:t>
      </w:r>
    </w:p>
  </w:footnote>
  <w:footnote w:id="3">
    <w:p w14:paraId="35F5D9E2" w14:textId="77777777" w:rsidR="00387220" w:rsidRDefault="00387220" w:rsidP="00387220">
      <w:pPr>
        <w:pStyle w:val="Textonotapie"/>
        <w:ind w:firstLine="708"/>
        <w:jc w:val="both"/>
        <w:rPr>
          <w:rFonts w:ascii="Verdana" w:hAnsi="Verdana"/>
          <w:sz w:val="10"/>
          <w:szCs w:val="10"/>
        </w:rPr>
      </w:pPr>
    </w:p>
    <w:p w14:paraId="33B492B6" w14:textId="77777777" w:rsidR="00387220" w:rsidRPr="00BD1F11" w:rsidRDefault="00387220" w:rsidP="00387220">
      <w:pPr>
        <w:pStyle w:val="Textonotapie"/>
        <w:ind w:firstLine="708"/>
        <w:jc w:val="both"/>
        <w:rPr>
          <w:rFonts w:ascii="Verdana" w:hAnsi="Verdana" w:cs="Arial"/>
          <w:sz w:val="10"/>
          <w:szCs w:val="10"/>
        </w:rPr>
      </w:pPr>
      <w:r w:rsidRPr="00BD1F11">
        <w:rPr>
          <w:rStyle w:val="Refdenotaalpie"/>
          <w:rFonts w:ascii="Verdana" w:hAnsi="Verdana"/>
          <w:sz w:val="10"/>
          <w:szCs w:val="10"/>
        </w:rPr>
        <w:footnoteRef/>
      </w:r>
      <w:r w:rsidRPr="00BD1F11">
        <w:rPr>
          <w:rFonts w:ascii="Verdana" w:hAnsi="Verdana"/>
          <w:sz w:val="10"/>
          <w:szCs w:val="10"/>
        </w:rPr>
        <w:t xml:space="preserve"> </w:t>
      </w:r>
      <w:r w:rsidRPr="00BD1F11">
        <w:rPr>
          <w:rFonts w:ascii="Verdana" w:hAnsi="Verdana" w:cs="Arial"/>
          <w:sz w:val="10"/>
          <w:szCs w:val="10"/>
        </w:rPr>
        <w:t>Consejo de Estado. Sección Tercera. Sentencia del 27 de abril de 2011. Exp. 18.293. C.P. Ruth Stella Correa Palacio: “Además, en la construcción del estudio de mercado por la entidad respectiva para la estimación del valor del contrato, entran en juego múltiples variables como el objeto a contratar, el tipo de contrato, las circunstancias de tiempo, modo y lugar en que deban ejecutarse las prestaciones, los costos asociados a la producción y comercialización de los bienes y servicios, el valor de la mano de obra, la distancia de acarreo de los materiales, los fletes, seguros y demás gastos de transporte y entrega de los productos, las condiciones de pago, volúmenes, la administración, los imprevistos, la carga impositiva, la utilidad o provecho económico del contratista, la especialidad de la labor, los riesgos trasladados, etc.</w:t>
      </w:r>
    </w:p>
    <w:p w14:paraId="316D2144" w14:textId="77777777" w:rsidR="00387220" w:rsidRPr="00BD1F11" w:rsidRDefault="00387220" w:rsidP="00387220">
      <w:pPr>
        <w:pStyle w:val="Textonotapie"/>
        <w:ind w:firstLine="708"/>
        <w:jc w:val="both"/>
        <w:rPr>
          <w:rFonts w:ascii="Verdana" w:hAnsi="Verdana" w:cs="Arial"/>
          <w:sz w:val="10"/>
          <w:szCs w:val="10"/>
        </w:rPr>
      </w:pPr>
      <w:r w:rsidRPr="00BD1F11">
        <w:rPr>
          <w:rFonts w:ascii="Verdana" w:hAnsi="Verdana" w:cs="Arial"/>
          <w:sz w:val="10"/>
          <w:szCs w:val="10"/>
        </w:rPr>
        <w:t xml:space="preserve"> [...] Sea lo que fuere, es digno de señalar por la Sala que la Administración debe tener presente que al celebrar los contratos está obligada a “...obtener, sino el menor precio, por lo menos uno razonable...” y justificado, no exagerado o con sobreprecios ni tampoco artificialmente bajo, lo que le evitará pagar más o menos de lo que realmente cuesta el bien o servicio, como lo señala algún sector de la doctrina, lo que sólo se garantiza con unos estudios previos de costos que consulten el mercado y que estén a disposición de los interesados[...]”.</w:t>
      </w:r>
    </w:p>
  </w:footnote>
  <w:footnote w:id="4">
    <w:p w14:paraId="42A1FCAD" w14:textId="77777777" w:rsidR="00387220" w:rsidRPr="00BD1F11" w:rsidRDefault="00387220" w:rsidP="00387220">
      <w:pPr>
        <w:pStyle w:val="Textonotapie"/>
        <w:ind w:firstLine="708"/>
        <w:jc w:val="both"/>
        <w:rPr>
          <w:rFonts w:ascii="Verdana" w:hAnsi="Verdana"/>
          <w:sz w:val="10"/>
          <w:szCs w:val="10"/>
          <w:lang w:val="es-CO"/>
        </w:rPr>
      </w:pPr>
      <w:r w:rsidRPr="00BD1F11">
        <w:rPr>
          <w:rStyle w:val="Refdenotaalpie"/>
          <w:rFonts w:ascii="Verdana" w:hAnsi="Verdana"/>
          <w:sz w:val="10"/>
          <w:szCs w:val="10"/>
        </w:rPr>
        <w:footnoteRef/>
      </w:r>
      <w:r w:rsidRPr="00BD1F11">
        <w:rPr>
          <w:rFonts w:ascii="Verdana" w:hAnsi="Verdana"/>
          <w:sz w:val="10"/>
          <w:szCs w:val="10"/>
        </w:rPr>
        <w:t xml:space="preserve"> </w:t>
      </w:r>
      <w:r w:rsidRPr="00BD1F11">
        <w:rPr>
          <w:rFonts w:ascii="Verdana" w:hAnsi="Verdana" w:cs="Arial"/>
          <w:color w:val="1A1A1A" w:themeColor="background1" w:themeShade="1A"/>
          <w:sz w:val="10"/>
          <w:szCs w:val="10"/>
        </w:rPr>
        <w:t>CONSEJO DE ESTADO. Sección Tercera. Subsección A. Sentencia del del 24 de febrero de 2016. Exp. 46.185. C.P. Marta Nubia Velásquez Rico.</w:t>
      </w:r>
    </w:p>
  </w:footnote>
  <w:footnote w:id="5">
    <w:p w14:paraId="5B6763EB" w14:textId="77777777" w:rsidR="00387220" w:rsidRDefault="00387220" w:rsidP="00387220">
      <w:pPr>
        <w:pStyle w:val="Textonotapie"/>
        <w:ind w:firstLine="708"/>
        <w:jc w:val="both"/>
        <w:rPr>
          <w:rFonts w:ascii="Verdana" w:hAnsi="Verdana" w:cs="Arial"/>
          <w:color w:val="000000" w:themeColor="text1"/>
          <w:sz w:val="10"/>
          <w:szCs w:val="10"/>
        </w:rPr>
      </w:pPr>
      <w:r w:rsidRPr="00BD1F11">
        <w:rPr>
          <w:rStyle w:val="Refdenotaalpie"/>
          <w:rFonts w:ascii="Verdana" w:hAnsi="Verdana" w:cs="Arial"/>
          <w:color w:val="000000" w:themeColor="text1"/>
          <w:sz w:val="10"/>
          <w:szCs w:val="10"/>
        </w:rPr>
        <w:footnoteRef/>
      </w:r>
      <w:r w:rsidRPr="00BD1F11">
        <w:rPr>
          <w:rFonts w:ascii="Verdana" w:hAnsi="Verdana" w:cs="Arial"/>
          <w:color w:val="000000" w:themeColor="text1"/>
          <w:sz w:val="10"/>
          <w:szCs w:val="10"/>
        </w:rPr>
        <w:t xml:space="preserve"> La reconstrucción de la jurisprudencia del Consejo de Estado, respecto del registro presupuestal, se hace con apoyo en la Sentencia del 12 de agosto de 2014, de la Sección Tercera, Subsección C –Exp. 28.565. C.P. Enrique Gil Botero–.</w:t>
      </w:r>
    </w:p>
    <w:p w14:paraId="28711DDE" w14:textId="77777777" w:rsidR="00387220" w:rsidRPr="00BD1F11" w:rsidRDefault="00387220" w:rsidP="00387220">
      <w:pPr>
        <w:pStyle w:val="Textonotapie"/>
        <w:ind w:firstLine="708"/>
        <w:jc w:val="both"/>
        <w:rPr>
          <w:rFonts w:ascii="Verdana" w:hAnsi="Verdana" w:cs="Arial"/>
          <w:color w:val="000000" w:themeColor="text1"/>
          <w:sz w:val="10"/>
          <w:szCs w:val="10"/>
          <w:lang w:val="es-ES"/>
        </w:rPr>
      </w:pPr>
    </w:p>
  </w:footnote>
  <w:footnote w:id="6">
    <w:p w14:paraId="16938BEB" w14:textId="77777777" w:rsidR="00387220" w:rsidRPr="00BD1F11" w:rsidRDefault="00387220" w:rsidP="00387220">
      <w:pPr>
        <w:pStyle w:val="Textonotapie"/>
        <w:ind w:firstLine="708"/>
        <w:jc w:val="both"/>
        <w:rPr>
          <w:rFonts w:ascii="Verdana" w:hAnsi="Verdana" w:cs="Arial"/>
          <w:color w:val="000000" w:themeColor="text1"/>
          <w:sz w:val="10"/>
          <w:szCs w:val="10"/>
        </w:rPr>
      </w:pPr>
      <w:r w:rsidRPr="00BD1F11">
        <w:rPr>
          <w:rStyle w:val="Refdenotaalpie"/>
          <w:rFonts w:ascii="Verdana" w:hAnsi="Verdana" w:cs="Arial"/>
          <w:color w:val="000000" w:themeColor="text1"/>
          <w:sz w:val="10"/>
          <w:szCs w:val="10"/>
        </w:rPr>
        <w:footnoteRef/>
      </w:r>
      <w:r w:rsidRPr="00BD1F11">
        <w:rPr>
          <w:rFonts w:ascii="Verdana" w:hAnsi="Verdana" w:cs="Arial"/>
          <w:color w:val="000000" w:themeColor="text1"/>
          <w:sz w:val="10"/>
          <w:szCs w:val="10"/>
        </w:rPr>
        <w:t xml:space="preserve"> A continuación, se enlistan las sentencias con la primera posición del Consejo de Estado respecto del registro presupuestal, esto es, que es un requisito de perfeccionamiento: Sala de Consulta y Servicio Civil. Auto del 27 de enero de 2000. Exp. 14.935. C.P. Edgar González López; Sección Tercera. Sentencia del 3 de febrero de 2000. Exp. 10.399. C.P. Ricardo Hoyos Duque; y Sección Tercera. Sentencia del 6 de abril de 2000. Exp. 12.775. C.P. Ricardo Hoyos Duque.</w:t>
      </w:r>
    </w:p>
  </w:footnote>
  <w:footnote w:id="7">
    <w:p w14:paraId="356B67AD" w14:textId="77777777" w:rsidR="00387220" w:rsidRDefault="00387220" w:rsidP="00387220">
      <w:pPr>
        <w:pStyle w:val="Textonotapie"/>
        <w:ind w:firstLine="708"/>
        <w:jc w:val="both"/>
        <w:rPr>
          <w:rFonts w:ascii="Verdana" w:hAnsi="Verdana" w:cs="Arial"/>
          <w:color w:val="000000" w:themeColor="text1"/>
          <w:sz w:val="10"/>
          <w:szCs w:val="10"/>
        </w:rPr>
      </w:pPr>
    </w:p>
    <w:p w14:paraId="74751F40" w14:textId="77777777" w:rsidR="00387220" w:rsidRPr="00BD1F11" w:rsidRDefault="00387220" w:rsidP="00387220">
      <w:pPr>
        <w:pStyle w:val="Textonotapie"/>
        <w:ind w:firstLine="708"/>
        <w:jc w:val="both"/>
        <w:rPr>
          <w:rFonts w:ascii="Verdana" w:hAnsi="Verdana" w:cs="Arial"/>
          <w:color w:val="000000" w:themeColor="text1"/>
          <w:sz w:val="10"/>
          <w:szCs w:val="10"/>
        </w:rPr>
      </w:pPr>
      <w:r w:rsidRPr="00BD1F11">
        <w:rPr>
          <w:rStyle w:val="Refdenotaalpie"/>
          <w:rFonts w:ascii="Verdana" w:hAnsi="Verdana" w:cs="Arial"/>
          <w:color w:val="000000" w:themeColor="text1"/>
          <w:sz w:val="10"/>
          <w:szCs w:val="10"/>
        </w:rPr>
        <w:footnoteRef/>
      </w:r>
      <w:r w:rsidRPr="00BD1F11">
        <w:rPr>
          <w:rFonts w:ascii="Verdana" w:hAnsi="Verdana" w:cs="Arial"/>
          <w:color w:val="000000" w:themeColor="text1"/>
          <w:sz w:val="10"/>
          <w:szCs w:val="10"/>
        </w:rPr>
        <w:t xml:space="preserve"> Ley 80 de 1993: “Artículo 41. Del perfeccionamiento del contrato. Los contratos del Estado se perfeccionan cuando se logre acuerdo sobre el objeto y la contraprestación y éste se eleve a escrito.</w:t>
      </w:r>
    </w:p>
    <w:p w14:paraId="4C3CDE6C" w14:textId="77777777" w:rsidR="00387220" w:rsidRPr="00BD1F11" w:rsidRDefault="00387220" w:rsidP="00387220">
      <w:pPr>
        <w:pStyle w:val="Textonotapie"/>
        <w:ind w:firstLine="708"/>
        <w:jc w:val="both"/>
        <w:rPr>
          <w:rFonts w:ascii="Verdana" w:hAnsi="Verdana" w:cs="Arial"/>
          <w:color w:val="000000" w:themeColor="text1"/>
          <w:sz w:val="10"/>
          <w:szCs w:val="10"/>
        </w:rPr>
      </w:pPr>
      <w:r w:rsidRPr="00BD1F11">
        <w:rPr>
          <w:rFonts w:ascii="Verdana" w:hAnsi="Verdana" w:cs="Arial"/>
          <w:color w:val="000000" w:themeColor="text1"/>
          <w:sz w:val="10"/>
          <w:szCs w:val="10"/>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562DBEF5" w14:textId="77777777" w:rsidR="00387220" w:rsidRPr="00BD1F11" w:rsidRDefault="00387220" w:rsidP="00387220">
      <w:pPr>
        <w:pStyle w:val="Textonotapie"/>
        <w:ind w:firstLine="708"/>
        <w:jc w:val="both"/>
        <w:rPr>
          <w:rFonts w:ascii="Verdana" w:hAnsi="Verdana" w:cs="Arial"/>
          <w:color w:val="000000" w:themeColor="text1"/>
          <w:sz w:val="10"/>
          <w:szCs w:val="10"/>
        </w:rPr>
      </w:pPr>
      <w:r w:rsidRPr="00BD1F11">
        <w:rPr>
          <w:rFonts w:ascii="Verdana" w:hAnsi="Verdana" w:cs="Arial"/>
          <w:color w:val="000000" w:themeColor="text1"/>
          <w:sz w:val="10"/>
          <w:szCs w:val="10"/>
        </w:rPr>
        <w:t>Los contratos estatales son intuito personae y, en consecuencia, una vez celebrados no podrán cederse sin previa autorización escrita de la entidad contratante.</w:t>
      </w:r>
    </w:p>
    <w:p w14:paraId="3403A228" w14:textId="77777777" w:rsidR="00387220" w:rsidRPr="00BD1F11" w:rsidRDefault="00387220" w:rsidP="00387220">
      <w:pPr>
        <w:pStyle w:val="Textonotapie"/>
        <w:ind w:firstLine="708"/>
        <w:jc w:val="both"/>
        <w:rPr>
          <w:rFonts w:ascii="Verdana" w:hAnsi="Verdana" w:cs="Arial"/>
          <w:color w:val="000000" w:themeColor="text1"/>
          <w:sz w:val="10"/>
          <w:szCs w:val="10"/>
        </w:rPr>
      </w:pPr>
      <w:r w:rsidRPr="00BD1F11">
        <w:rPr>
          <w:rFonts w:ascii="Verdana" w:hAnsi="Verdana" w:cs="Arial"/>
          <w:color w:val="000000" w:themeColor="text1"/>
          <w:sz w:val="10"/>
          <w:szCs w:val="10"/>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0A70BA9E" w14:textId="77777777" w:rsidR="00387220" w:rsidRPr="00BD1F11" w:rsidRDefault="00387220" w:rsidP="00387220">
      <w:pPr>
        <w:pStyle w:val="Textonotapie"/>
        <w:ind w:firstLine="708"/>
        <w:jc w:val="both"/>
        <w:rPr>
          <w:rFonts w:ascii="Verdana" w:hAnsi="Verdana" w:cs="Arial"/>
          <w:color w:val="000000" w:themeColor="text1"/>
          <w:sz w:val="10"/>
          <w:szCs w:val="10"/>
          <w:lang w:val="es-ES"/>
        </w:rPr>
      </w:pPr>
      <w:r w:rsidRPr="00BD1F11">
        <w:rPr>
          <w:rFonts w:ascii="Verdana" w:hAnsi="Verdana" w:cs="Arial"/>
          <w:color w:val="000000" w:themeColor="text1"/>
          <w:sz w:val="10"/>
          <w:szCs w:val="10"/>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footnote>
  <w:footnote w:id="8">
    <w:p w14:paraId="21B3E9F6" w14:textId="77777777" w:rsidR="00387220" w:rsidRDefault="00387220" w:rsidP="00387220">
      <w:pPr>
        <w:pStyle w:val="Textonotapie"/>
        <w:ind w:firstLine="708"/>
        <w:jc w:val="both"/>
        <w:rPr>
          <w:rFonts w:ascii="Verdana" w:hAnsi="Verdana" w:cs="Arial"/>
          <w:color w:val="000000" w:themeColor="text1"/>
          <w:sz w:val="10"/>
          <w:szCs w:val="10"/>
        </w:rPr>
      </w:pPr>
    </w:p>
    <w:p w14:paraId="0E233C71" w14:textId="77777777" w:rsidR="00387220" w:rsidRPr="00BD1F11" w:rsidRDefault="00387220" w:rsidP="00387220">
      <w:pPr>
        <w:pStyle w:val="Textonotapie"/>
        <w:ind w:firstLine="708"/>
        <w:jc w:val="both"/>
        <w:rPr>
          <w:rFonts w:ascii="Verdana" w:hAnsi="Verdana" w:cs="Arial"/>
          <w:color w:val="000000" w:themeColor="text1"/>
          <w:sz w:val="10"/>
          <w:szCs w:val="10"/>
          <w:lang w:val="es-ES"/>
        </w:rPr>
      </w:pPr>
      <w:r w:rsidRPr="00BD1F11">
        <w:rPr>
          <w:rStyle w:val="Refdenotaalpie"/>
          <w:rFonts w:ascii="Verdana" w:hAnsi="Verdana" w:cs="Arial"/>
          <w:color w:val="000000" w:themeColor="text1"/>
          <w:sz w:val="10"/>
          <w:szCs w:val="10"/>
        </w:rPr>
        <w:footnoteRef/>
      </w:r>
      <w:r w:rsidRPr="00BD1F11">
        <w:rPr>
          <w:rFonts w:ascii="Verdana" w:hAnsi="Verdana" w:cs="Arial"/>
          <w:color w:val="000000" w:themeColor="text1"/>
          <w:sz w:val="10"/>
          <w:szCs w:val="10"/>
        </w:rPr>
        <w:t xml:space="preserve"> A continuación, se enlistan las sentencias con la segunda posición del Consejo de Estado respecto del registro presupuestal, esto es, que es un requisito de ejecución: Sección Tercera. Sentencia del 28 de septiembre de 2006. Exp. 15.307. C.P. Ramiro Saavedra Becerra; y Sección Tercera. Sentencia del 7 de junio de 2007. Exp. 14.669. C.P. Ramiro Saavedra Becerra.</w:t>
      </w:r>
    </w:p>
  </w:footnote>
  <w:footnote w:id="9">
    <w:p w14:paraId="78D265C2" w14:textId="77777777" w:rsidR="00387220" w:rsidRDefault="00387220" w:rsidP="00387220">
      <w:pPr>
        <w:pStyle w:val="Textonotapie"/>
        <w:ind w:firstLine="708"/>
        <w:jc w:val="both"/>
        <w:rPr>
          <w:rFonts w:ascii="Verdana" w:hAnsi="Verdana" w:cs="Arial"/>
          <w:color w:val="000000" w:themeColor="text1"/>
          <w:sz w:val="10"/>
          <w:szCs w:val="10"/>
        </w:rPr>
      </w:pPr>
    </w:p>
    <w:p w14:paraId="3A96B1D9" w14:textId="77777777" w:rsidR="00387220" w:rsidRPr="00BD1F11" w:rsidRDefault="00387220" w:rsidP="00387220">
      <w:pPr>
        <w:pStyle w:val="Textonotapie"/>
        <w:ind w:firstLine="708"/>
        <w:jc w:val="both"/>
        <w:rPr>
          <w:rFonts w:ascii="Verdana" w:hAnsi="Verdana" w:cs="Arial"/>
          <w:color w:val="000000" w:themeColor="text1"/>
          <w:sz w:val="10"/>
          <w:szCs w:val="10"/>
        </w:rPr>
      </w:pPr>
      <w:r w:rsidRPr="00BD1F11">
        <w:rPr>
          <w:rStyle w:val="Refdenotaalpie"/>
          <w:rFonts w:ascii="Verdana" w:hAnsi="Verdana" w:cs="Arial"/>
          <w:color w:val="000000" w:themeColor="text1"/>
          <w:sz w:val="10"/>
          <w:szCs w:val="10"/>
        </w:rPr>
        <w:footnoteRef/>
      </w:r>
      <w:r w:rsidRPr="00BD1F11">
        <w:rPr>
          <w:rFonts w:ascii="Verdana" w:hAnsi="Verdana" w:cs="Arial"/>
          <w:color w:val="000000" w:themeColor="text1"/>
          <w:sz w:val="10"/>
          <w:szCs w:val="10"/>
        </w:rPr>
        <w:t xml:space="preserve"> Consejo de Estado. Sección Tercera. Sentencia del 14 de febrero de 2019. Exp. 60.049. C.P. Marta Nubia Velásquez Rico: “Toda obligación de pago emanada de un contrato en la que se comprometan recursos del presupuesto nacional o de los presupuestos de las entidades territoriales en su caso, requiere para su ejecución, primero, de la previa disponibilidad presupuestal, la cual debe existir desde el momento en que se abre la convocatoria para la contratación, se aprueba la modificación al contrato respectivo o se realiza la contratación directa en que se afectan los recursos. [...] La Corte Constitucional ha detallado que, por su naturaleza, las disponibilidades presupuestales deben ser entendidas como un requisito para la ejecución del gasto público. [...] Con posterioridad a la celebración del contrato se requiere un registro presupuestal (RP) que se efectúa por la propia entidad contratante, por el monto de los compromisos asumidos en el contrato, con cargo a la referida disponibilidad presupuestal. [...] [L]a norma citada [artículo 71 del Estatuto Orgánico de Presupuesto] no contiene una referencia al perfeccionamiento del contrato, sino a los actos de registro y control del presupuesto, que se exigen respecto de todo gasto, independientemente de que se origine en un contrato, un acto unilateral o una afectación de las cuentas de funcionamiento. </w:t>
      </w:r>
    </w:p>
    <w:p w14:paraId="42319ABD" w14:textId="77777777" w:rsidR="00387220" w:rsidRPr="00BD1F11" w:rsidRDefault="00387220" w:rsidP="00387220">
      <w:pPr>
        <w:pStyle w:val="Textonotapie"/>
        <w:jc w:val="both"/>
        <w:rPr>
          <w:rFonts w:ascii="Verdana" w:hAnsi="Verdana" w:cs="Arial"/>
          <w:color w:val="000000" w:themeColor="text1"/>
          <w:sz w:val="10"/>
          <w:szCs w:val="10"/>
        </w:rPr>
      </w:pPr>
      <w:r w:rsidRPr="00BD1F11">
        <w:rPr>
          <w:rFonts w:ascii="Verdana" w:hAnsi="Verdana" w:cs="Arial"/>
          <w:color w:val="000000" w:themeColor="text1"/>
          <w:sz w:val="10"/>
          <w:szCs w:val="10"/>
        </w:rPr>
        <w:tab/>
        <w:t>[...]</w:t>
      </w:r>
    </w:p>
    <w:p w14:paraId="040A1463" w14:textId="77777777" w:rsidR="00387220" w:rsidRPr="00BD1F11" w:rsidRDefault="00387220" w:rsidP="00387220">
      <w:pPr>
        <w:pStyle w:val="Textonotapie"/>
        <w:ind w:firstLine="708"/>
        <w:jc w:val="both"/>
        <w:rPr>
          <w:rFonts w:ascii="Verdana" w:hAnsi="Verdana" w:cs="Arial"/>
          <w:color w:val="000000" w:themeColor="text1"/>
          <w:sz w:val="10"/>
          <w:szCs w:val="10"/>
        </w:rPr>
      </w:pPr>
      <w:r w:rsidRPr="00BD1F11">
        <w:rPr>
          <w:rFonts w:ascii="Verdana" w:hAnsi="Verdana" w:cs="Arial"/>
          <w:color w:val="000000" w:themeColor="text1"/>
          <w:sz w:val="10"/>
          <w:szCs w:val="10"/>
        </w:rPr>
        <w:t>A partir del año 2006, la Sección Tercera del Consejo de Estado ha reiterado en múltiples oportunidades que la disponibilidad y el registro presupuestal son requisitos de legalidad del gasto y no de validez del contrato y, con mayor razón, lo ha previsto de esa manera tratándose de contratos que se rigen por el derecho privado. En el mismo sentido, en la jurisprudencia referida a los contratos que se rigen por la Ley 80 de 1993, con apoyo en los artículos 25 y 41 de la citada ley, se ha advertido que el gasto no puede ejecutarse por parte de la entidad pública en el supuesto de la ausencia de disponibilidades presupuestales y que la conducta omisiva en la observancia de los requisitos presupuestales configura el incumplimiento del contrato”.</w:t>
      </w:r>
    </w:p>
  </w:footnote>
  <w:footnote w:id="10">
    <w:p w14:paraId="11BCD7A2" w14:textId="77777777" w:rsidR="00387220" w:rsidRDefault="00387220" w:rsidP="00387220">
      <w:pPr>
        <w:spacing w:after="0" w:line="240" w:lineRule="auto"/>
        <w:ind w:firstLine="709"/>
        <w:jc w:val="both"/>
        <w:rPr>
          <w:rFonts w:ascii="Verdana" w:hAnsi="Verdana" w:cs="Arial"/>
          <w:color w:val="000000" w:themeColor="text1"/>
          <w:sz w:val="10"/>
          <w:szCs w:val="10"/>
        </w:rPr>
      </w:pPr>
    </w:p>
    <w:p w14:paraId="14A92823" w14:textId="77777777" w:rsidR="00387220" w:rsidRPr="00BD1F11" w:rsidRDefault="00387220" w:rsidP="00387220">
      <w:pPr>
        <w:spacing w:after="0" w:line="240" w:lineRule="auto"/>
        <w:ind w:firstLine="709"/>
        <w:jc w:val="both"/>
        <w:rPr>
          <w:rFonts w:ascii="Verdana" w:hAnsi="Verdana" w:cs="Arial"/>
          <w:color w:val="000000" w:themeColor="text1"/>
          <w:sz w:val="10"/>
          <w:szCs w:val="10"/>
          <w:lang w:eastAsia="es-MX"/>
        </w:rPr>
      </w:pPr>
      <w:r w:rsidRPr="00BD1F11">
        <w:rPr>
          <w:rStyle w:val="Refdenotaalpie"/>
          <w:rFonts w:ascii="Verdana" w:hAnsi="Verdana" w:cs="Arial"/>
          <w:color w:val="000000" w:themeColor="text1"/>
          <w:sz w:val="10"/>
          <w:szCs w:val="10"/>
        </w:rPr>
        <w:footnoteRef/>
      </w:r>
      <w:r w:rsidRPr="00BD1F11">
        <w:rPr>
          <w:rFonts w:ascii="Verdana" w:hAnsi="Verdana" w:cs="Arial"/>
          <w:color w:val="000000" w:themeColor="text1"/>
          <w:sz w:val="10"/>
          <w:szCs w:val="10"/>
        </w:rPr>
        <w:t xml:space="preserve"> Decreto 111 de 1996: “Artículo 71. </w:t>
      </w:r>
      <w:r w:rsidRPr="00BD1F11">
        <w:rPr>
          <w:rFonts w:ascii="Verdana" w:hAnsi="Verdana" w:cs="Arial"/>
          <w:color w:val="000000" w:themeColor="text1"/>
          <w:sz w:val="10"/>
          <w:szCs w:val="10"/>
          <w:lang w:eastAsia="es-MX"/>
        </w:rPr>
        <w:t>Todos los actos administrativos que afecten las apropiaciones presupuestales deberán contar con certificados de disponibilidad previos que garanticen la existencia de apropiación suficiente para atender estos gastos. </w:t>
      </w:r>
    </w:p>
    <w:p w14:paraId="387588BA" w14:textId="77777777" w:rsidR="00387220" w:rsidRPr="00BD1F11" w:rsidRDefault="00387220" w:rsidP="00387220">
      <w:pPr>
        <w:spacing w:after="0" w:line="240" w:lineRule="auto"/>
        <w:ind w:firstLine="709"/>
        <w:jc w:val="both"/>
        <w:rPr>
          <w:rFonts w:ascii="Verdana" w:hAnsi="Verdana" w:cs="Arial"/>
          <w:color w:val="000000" w:themeColor="text1"/>
          <w:sz w:val="10"/>
          <w:szCs w:val="10"/>
          <w:lang w:eastAsia="es-MX"/>
        </w:rPr>
      </w:pPr>
      <w:r w:rsidRPr="00BD1F11">
        <w:rPr>
          <w:rFonts w:ascii="Verdana" w:hAnsi="Verdana" w:cs="Arial"/>
          <w:color w:val="000000" w:themeColor="text1"/>
          <w:sz w:val="10"/>
          <w:szCs w:val="10"/>
          <w:lang w:eastAsia="es-MX"/>
        </w:rPr>
        <w:t>Igualmente, estos compromisos deberán contar con registro presupuestal para que los recursos con él financiados no sean desviados a ningún otro fin. </w:t>
      </w:r>
    </w:p>
    <w:p w14:paraId="100B2263" w14:textId="77777777" w:rsidR="00387220" w:rsidRPr="00BD1F11" w:rsidRDefault="00387220" w:rsidP="00387220">
      <w:pPr>
        <w:spacing w:after="0" w:line="240" w:lineRule="auto"/>
        <w:ind w:firstLine="709"/>
        <w:jc w:val="both"/>
        <w:rPr>
          <w:rFonts w:ascii="Verdana" w:hAnsi="Verdana" w:cs="Arial"/>
          <w:color w:val="000000" w:themeColor="text1"/>
          <w:sz w:val="10"/>
          <w:szCs w:val="10"/>
          <w:lang w:eastAsia="es-MX"/>
        </w:rPr>
      </w:pPr>
      <w:r w:rsidRPr="00BD1F11">
        <w:rPr>
          <w:rFonts w:ascii="Verdana" w:hAnsi="Verdana" w:cs="Arial"/>
          <w:color w:val="000000" w:themeColor="text1"/>
          <w:sz w:val="10"/>
          <w:szCs w:val="10"/>
          <w:lang w:eastAsia="es-MX"/>
        </w:rPr>
        <w:t>En este registro se deberá indicar claramente el valor y el plazo de las prestaciones a las que haya lugar. Esta operación es un requisito de perfeccionamiento de estos actos administrativos. </w:t>
      </w:r>
    </w:p>
    <w:p w14:paraId="1632E923" w14:textId="77777777" w:rsidR="00387220" w:rsidRPr="00BD1F11" w:rsidRDefault="00387220" w:rsidP="00387220">
      <w:pPr>
        <w:spacing w:after="0" w:line="240" w:lineRule="auto"/>
        <w:ind w:firstLine="709"/>
        <w:jc w:val="both"/>
        <w:rPr>
          <w:rFonts w:ascii="Verdana" w:hAnsi="Verdana" w:cs="Arial"/>
          <w:color w:val="000000" w:themeColor="text1"/>
          <w:sz w:val="10"/>
          <w:szCs w:val="10"/>
          <w:lang w:eastAsia="es-MX"/>
        </w:rPr>
      </w:pPr>
      <w:r w:rsidRPr="00BD1F11">
        <w:rPr>
          <w:rFonts w:ascii="Verdana" w:hAnsi="Verdana" w:cs="Arial"/>
          <w:color w:val="000000" w:themeColor="text1"/>
          <w:sz w:val="10"/>
          <w:szCs w:val="10"/>
          <w:lang w:eastAsia="es-MX"/>
        </w:rPr>
        <w:t>En consecuencia, ninguna autoridad podrá contraer obligaciones sobre apropiaciones inexistentes, o en exceso del saldo disponible, o sin la autorización previa del Confis o por quien éste delegue, para comprometer vigencias futuras y la adquisición de compromisos con cargo a los recursos del crédito autorizados. </w:t>
      </w:r>
    </w:p>
    <w:p w14:paraId="3A26ADE5" w14:textId="77777777" w:rsidR="00387220" w:rsidRPr="00BD1F11" w:rsidRDefault="00387220" w:rsidP="00387220">
      <w:pPr>
        <w:spacing w:after="0" w:line="240" w:lineRule="auto"/>
        <w:ind w:firstLine="709"/>
        <w:jc w:val="both"/>
        <w:rPr>
          <w:rFonts w:ascii="Verdana" w:hAnsi="Verdana" w:cs="Arial"/>
          <w:color w:val="000000" w:themeColor="text1"/>
          <w:sz w:val="10"/>
          <w:szCs w:val="10"/>
          <w:lang w:eastAsia="es-MX"/>
        </w:rPr>
      </w:pPr>
      <w:r w:rsidRPr="00BD1F11">
        <w:rPr>
          <w:rFonts w:ascii="Verdana" w:hAnsi="Verdana" w:cs="Arial"/>
          <w:color w:val="000000" w:themeColor="text1"/>
          <w:sz w:val="10"/>
          <w:szCs w:val="10"/>
        </w:rPr>
        <w:t>[...]</w:t>
      </w:r>
    </w:p>
    <w:p w14:paraId="78E9FD49" w14:textId="77777777" w:rsidR="00387220" w:rsidRPr="00BD1F11" w:rsidRDefault="00387220" w:rsidP="00387220">
      <w:pPr>
        <w:spacing w:after="0" w:line="240" w:lineRule="auto"/>
        <w:ind w:firstLine="709"/>
        <w:jc w:val="both"/>
        <w:rPr>
          <w:rFonts w:ascii="Verdana" w:hAnsi="Verdana" w:cs="Arial"/>
          <w:color w:val="000000" w:themeColor="text1"/>
          <w:sz w:val="10"/>
          <w:szCs w:val="10"/>
          <w:lang w:eastAsia="es-MX"/>
        </w:rPr>
      </w:pPr>
      <w:r w:rsidRPr="00BD1F11">
        <w:rPr>
          <w:rFonts w:ascii="Verdana" w:hAnsi="Verdana" w:cs="Arial"/>
          <w:color w:val="000000" w:themeColor="text1"/>
          <w:sz w:val="10"/>
          <w:szCs w:val="10"/>
          <w:lang w:eastAsia="es-MX"/>
        </w:rPr>
        <w:t>Cualquier compromiso que se adquiera con violación de estos preceptos creará responsabilidad personal y pecuniaria a cargo de quien asuma estas obligaciones (Ley 38/89, artículo 86, Ley 179/94, artículo 49)</w:t>
      </w:r>
      <w:r w:rsidRPr="00BD1F11">
        <w:rPr>
          <w:rFonts w:ascii="Verdana" w:hAnsi="Verdana" w:cs="Arial"/>
          <w:color w:val="000000" w:themeColor="text1"/>
          <w:sz w:val="10"/>
          <w:szCs w:val="10"/>
        </w:rPr>
        <w:t>”</w:t>
      </w:r>
      <w:r w:rsidRPr="00BD1F11">
        <w:rPr>
          <w:rFonts w:ascii="Verdana" w:hAnsi="Verdana" w:cs="Arial"/>
          <w:color w:val="000000" w:themeColor="text1"/>
          <w:sz w:val="10"/>
          <w:szCs w:val="10"/>
          <w:lang w:eastAsia="es-MX"/>
        </w:rPr>
        <w:t>.</w:t>
      </w:r>
    </w:p>
  </w:footnote>
  <w:footnote w:id="11">
    <w:p w14:paraId="43A6C438" w14:textId="77777777" w:rsidR="00387220" w:rsidRPr="00BD1F11" w:rsidRDefault="00387220" w:rsidP="00387220">
      <w:pPr>
        <w:pStyle w:val="Textonotapie"/>
        <w:ind w:firstLine="708"/>
        <w:jc w:val="both"/>
        <w:rPr>
          <w:rFonts w:ascii="Verdana" w:hAnsi="Verdana"/>
          <w:sz w:val="10"/>
          <w:szCs w:val="10"/>
        </w:rPr>
      </w:pPr>
      <w:r w:rsidRPr="00BD1F11">
        <w:rPr>
          <w:rStyle w:val="Refdenotaalpie"/>
          <w:rFonts w:ascii="Verdana" w:hAnsi="Verdana"/>
          <w:sz w:val="10"/>
          <w:szCs w:val="10"/>
        </w:rPr>
        <w:footnoteRef/>
      </w:r>
      <w:r w:rsidRPr="00BD1F11">
        <w:rPr>
          <w:rFonts w:ascii="Verdana" w:hAnsi="Verdana"/>
          <w:sz w:val="10"/>
          <w:szCs w:val="10"/>
        </w:rPr>
        <w:t xml:space="preserve"> </w:t>
      </w:r>
      <w:r w:rsidRPr="00BD1F11">
        <w:rPr>
          <w:rFonts w:ascii="Verdana" w:eastAsia="Times New Roman" w:hAnsi="Verdana" w:cs="Arial"/>
          <w:color w:val="000000" w:themeColor="text1"/>
          <w:sz w:val="10"/>
          <w:szCs w:val="10"/>
          <w:lang w:val="es-CO" w:eastAsia="es-MX"/>
        </w:rPr>
        <w:t>CONSEJO DE ESTADO. Sección Tercera. Subsección C. Sentencia del 12 de agosto de 2014. Exp. 28.565. C.P. Enrique Gil Botero.</w:t>
      </w:r>
    </w:p>
  </w:footnote>
  <w:footnote w:id="12">
    <w:p w14:paraId="6FC264FE" w14:textId="77777777" w:rsidR="00387220" w:rsidRPr="00BD1F11" w:rsidRDefault="00387220" w:rsidP="00387220">
      <w:pPr>
        <w:spacing w:after="0" w:line="240" w:lineRule="auto"/>
        <w:ind w:right="79" w:firstLine="709"/>
        <w:jc w:val="both"/>
        <w:rPr>
          <w:rFonts w:ascii="Verdana" w:hAnsi="Verdana" w:cs="Arial"/>
          <w:color w:val="000000" w:themeColor="text1"/>
          <w:sz w:val="10"/>
          <w:szCs w:val="10"/>
          <w:lang w:val="es-ES_tradnl"/>
        </w:rPr>
      </w:pPr>
      <w:r w:rsidRPr="00BD1F11">
        <w:rPr>
          <w:rStyle w:val="Refdenotaalpie"/>
          <w:rFonts w:ascii="Verdana" w:hAnsi="Verdana" w:cs="Arial"/>
          <w:color w:val="000000" w:themeColor="text1"/>
          <w:sz w:val="10"/>
          <w:szCs w:val="10"/>
        </w:rPr>
        <w:footnoteRef/>
      </w:r>
      <w:r w:rsidRPr="00BD1F11">
        <w:rPr>
          <w:rFonts w:ascii="Verdana" w:hAnsi="Verdana" w:cs="Arial"/>
          <w:color w:val="000000" w:themeColor="text1"/>
          <w:sz w:val="10"/>
          <w:szCs w:val="10"/>
        </w:rPr>
        <w:t xml:space="preserve"> </w:t>
      </w:r>
      <w:r w:rsidRPr="00BD1F11">
        <w:rPr>
          <w:rFonts w:ascii="Verdana" w:hAnsi="Verdana" w:cs="Arial"/>
          <w:color w:val="000000" w:themeColor="text1"/>
          <w:sz w:val="10"/>
          <w:szCs w:val="10"/>
          <w:lang w:val="es-ES"/>
        </w:rPr>
        <w:t xml:space="preserve">Consejo de Estado. Sección Tercera. Subsección C. Sentencia del 13 de abril de 2015. Exp. </w:t>
      </w:r>
      <w:r w:rsidRPr="00BD1F11">
        <w:rPr>
          <w:rFonts w:ascii="Verdana" w:hAnsi="Verdana" w:cs="Arial"/>
          <w:color w:val="000000" w:themeColor="text1"/>
          <w:sz w:val="10"/>
          <w:szCs w:val="10"/>
        </w:rPr>
        <w:t>30.685. C.P. Olga Mélida Valle de la Hoz: “</w:t>
      </w:r>
      <w:r w:rsidRPr="00BD1F11">
        <w:rPr>
          <w:rFonts w:ascii="Verdana" w:hAnsi="Verdana" w:cs="Arial"/>
          <w:color w:val="000000" w:themeColor="text1"/>
          <w:sz w:val="10"/>
          <w:szCs w:val="10"/>
          <w:lang w:val="es-ES_tradnl"/>
        </w:rPr>
        <w:t>En conclusión, la Sala confirma y consolida, incluso con razones adicionales a las citadas en las sentencias mencionadas, que la ausencia de disponibilidad y con mayor de registro presupuestal no producen ni inexistencia ni nulidad del contrato estatal. No obstante, las siguientes razones se suman a las expresadas hasta ahora.</w:t>
      </w:r>
    </w:p>
    <w:p w14:paraId="0FA95D83" w14:textId="77777777" w:rsidR="00387220" w:rsidRPr="00BD1F11" w:rsidRDefault="00387220" w:rsidP="00387220">
      <w:pPr>
        <w:spacing w:after="0" w:line="240" w:lineRule="auto"/>
        <w:ind w:firstLine="709"/>
        <w:jc w:val="both"/>
        <w:rPr>
          <w:rFonts w:ascii="Verdana" w:hAnsi="Verdana" w:cs="Arial"/>
          <w:color w:val="000000" w:themeColor="text1"/>
          <w:sz w:val="10"/>
          <w:szCs w:val="10"/>
          <w:lang w:eastAsia="es-MX"/>
        </w:rPr>
      </w:pPr>
      <w:r w:rsidRPr="00BD1F11">
        <w:rPr>
          <w:rFonts w:ascii="Verdana" w:hAnsi="Verdana" w:cs="Arial"/>
          <w:color w:val="000000" w:themeColor="text1"/>
          <w:sz w:val="10"/>
          <w:szCs w:val="10"/>
        </w:rPr>
        <w:t>[...]</w:t>
      </w:r>
    </w:p>
    <w:p w14:paraId="6F751A2B" w14:textId="77777777" w:rsidR="00387220" w:rsidRPr="00BD1F11" w:rsidRDefault="00387220" w:rsidP="00387220">
      <w:pPr>
        <w:spacing w:after="0" w:line="240" w:lineRule="auto"/>
        <w:ind w:right="79" w:firstLine="709"/>
        <w:jc w:val="both"/>
        <w:rPr>
          <w:rFonts w:ascii="Verdana" w:hAnsi="Verdana" w:cs="Arial"/>
          <w:sz w:val="10"/>
          <w:szCs w:val="10"/>
          <w:lang w:val="es-ES_tradnl"/>
        </w:rPr>
      </w:pPr>
      <w:r w:rsidRPr="00BD1F11">
        <w:rPr>
          <w:rFonts w:ascii="Verdana" w:hAnsi="Verdana" w:cs="Arial"/>
          <w:color w:val="000000" w:themeColor="text1"/>
          <w:sz w:val="10"/>
          <w:szCs w:val="10"/>
          <w:lang w:val="es-ES_tradnl"/>
        </w:rPr>
        <w:t>Lo expresado hasta ahora significa que no cualquier defecto o irregularidad en la contratación estatal produce la nulidad el contrato, ni siquiera la relativa. De hecho, hay que distinguir los defectos que se presentan en las distintas etapas: proceso de selección, perfeccionamiento del contrato, ejecución y liquidación. Esta distinción facilita entender que las causales de nulidad del contrato –absoluta o relativa- se configuran en las etapas de selección del contratista o en la de perfeccionamiento del contrato; pero no en las etapas de ejecución o liquidación. Basta observar las causales legales que las constituyen para admitir esta conclusión. Esta razón, adicional a las expresadas, refuerza que los defectos en que incurra la administración y/o el contratista para ejecutar un contrato o para liquidarlo, no inciden en la validez del negocio</w:t>
      </w:r>
      <w:r w:rsidRPr="00BD1F11">
        <w:rPr>
          <w:rFonts w:ascii="Verdana" w:hAnsi="Verdana" w:cs="Arial"/>
          <w:color w:val="000000" w:themeColor="text1"/>
          <w:sz w:val="10"/>
          <w:szCs w:val="10"/>
        </w:rPr>
        <w:t>”</w:t>
      </w:r>
      <w:r w:rsidRPr="00BD1F11">
        <w:rPr>
          <w:rFonts w:ascii="Verdana" w:hAnsi="Verdana" w:cs="Arial"/>
          <w:color w:val="000000" w:themeColor="text1"/>
          <w:sz w:val="10"/>
          <w:szCs w:val="10"/>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CA92" w14:textId="77777777" w:rsidR="007E76F6" w:rsidRDefault="007E76F6">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03C104A" wp14:editId="7B49C8D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8A9BCE9" wp14:editId="02C11F7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D5D330F" w14:textId="77777777" w:rsidR="007E76F6" w:rsidRDefault="007E76F6">
    <w:pPr>
      <w:pStyle w:val="Encabezado"/>
    </w:pPr>
  </w:p>
  <w:p w14:paraId="6B7C8F34" w14:textId="77777777" w:rsidR="007E76F6" w:rsidRDefault="007E76F6" w:rsidP="004A305D">
    <w:pPr>
      <w:spacing w:after="0"/>
      <w:rPr>
        <w:rFonts w:ascii="Verdana" w:hAnsi="Verdana"/>
        <w:b/>
        <w:bCs/>
      </w:rPr>
    </w:pPr>
  </w:p>
  <w:p w14:paraId="248EA60B" w14:textId="77777777" w:rsidR="007E76F6" w:rsidRPr="004A305D" w:rsidRDefault="007E76F6" w:rsidP="00B01B1A">
    <w:pPr>
      <w:spacing w:after="0" w:line="120" w:lineRule="auto"/>
      <w:rPr>
        <w:rFonts w:ascii="Century Gothic" w:eastAsia="Geo" w:hAnsi="Century Gothic" w:cs="Geo"/>
        <w:sz w:val="16"/>
        <w:szCs w:val="16"/>
        <w:lang w:eastAsia="es-CO"/>
      </w:rPr>
    </w:pPr>
  </w:p>
  <w:p w14:paraId="0F84BA0F" w14:textId="77777777" w:rsidR="007E76F6" w:rsidRDefault="007E76F6"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4384A9E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6C56090"/>
    <w:multiLevelType w:val="multilevel"/>
    <w:tmpl w:val="9720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1274352">
    <w:abstractNumId w:val="0"/>
  </w:num>
  <w:num w:numId="2" w16cid:durableId="1492209491">
    <w:abstractNumId w:val="1"/>
  </w:num>
  <w:num w:numId="3" w16cid:durableId="679089576">
    <w:abstractNumId w:val="2"/>
  </w:num>
  <w:num w:numId="4" w16cid:durableId="15938554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220"/>
    <w:rsid w:val="000416E1"/>
    <w:rsid w:val="00274079"/>
    <w:rsid w:val="00387220"/>
    <w:rsid w:val="0056004C"/>
    <w:rsid w:val="007E76F6"/>
    <w:rsid w:val="00A672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74763"/>
  <w15:chartTrackingRefBased/>
  <w15:docId w15:val="{098A0CBD-0F2D-4BE5-AF72-625B2F570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220"/>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72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7220"/>
    <w:rPr>
      <w:kern w:val="0"/>
      <w14:ligatures w14:val="none"/>
    </w:rPr>
  </w:style>
  <w:style w:type="paragraph" w:styleId="Piedepgina">
    <w:name w:val="footer"/>
    <w:basedOn w:val="Normal"/>
    <w:link w:val="PiedepginaCar"/>
    <w:uiPriority w:val="99"/>
    <w:unhideWhenUsed/>
    <w:rsid w:val="003872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7220"/>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8722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8722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38722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87220"/>
    <w:rPr>
      <w:vertAlign w:val="superscript"/>
    </w:rPr>
  </w:style>
  <w:style w:type="character" w:customStyle="1" w:styleId="normaltextrun">
    <w:name w:val="normaltextrun"/>
    <w:basedOn w:val="Fuentedeprrafopredeter"/>
    <w:rsid w:val="00387220"/>
  </w:style>
  <w:style w:type="table" w:styleId="Tablaconcuadrcula">
    <w:name w:val="Table Grid"/>
    <w:basedOn w:val="Tablanormal"/>
    <w:uiPriority w:val="39"/>
    <w:qFormat/>
    <w:rsid w:val="0038722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87220"/>
    <w:pPr>
      <w:ind w:left="720"/>
      <w:contextualSpacing/>
    </w:pPr>
    <w:rPr>
      <w:rFonts w:ascii="Geomanist Light" w:hAnsi="Geomanist Light"/>
      <w:lang w:val="es-ES"/>
    </w:rPr>
  </w:style>
  <w:style w:type="character" w:styleId="Hipervnculo">
    <w:name w:val="Hyperlink"/>
    <w:basedOn w:val="Fuentedeprrafopredeter"/>
    <w:uiPriority w:val="99"/>
    <w:unhideWhenUsed/>
    <w:rsid w:val="00387220"/>
    <w:rPr>
      <w:color w:val="0000FF"/>
      <w:u w:val="single"/>
    </w:rPr>
  </w:style>
  <w:style w:type="paragraph" w:customStyle="1" w:styleId="Appelnotedebasde">
    <w:name w:val="Appel note de bas de..."/>
    <w:basedOn w:val="Normal"/>
    <w:link w:val="Refdenotaalpie"/>
    <w:uiPriority w:val="99"/>
    <w:rsid w:val="00387220"/>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87220"/>
    <w:rPr>
      <w:rFonts w:ascii="Geomanist Light" w:hAnsi="Geomanist Light"/>
      <w:kern w:val="0"/>
      <w:lang w:val="es-ES"/>
      <w14:ligatures w14:val="none"/>
    </w:rPr>
  </w:style>
  <w:style w:type="table" w:customStyle="1" w:styleId="Tablaconcuadrcula1">
    <w:name w:val="Tabla con cuadrícula1"/>
    <w:basedOn w:val="Tablanormal"/>
    <w:next w:val="Tablaconcuadrcula"/>
    <w:uiPriority w:val="59"/>
    <w:rsid w:val="00387220"/>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spconsultance.legaladvice@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le.rae.es/honorari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4A6E80-B58A-4E5E-8D48-93F526A5F645}">
  <ds:schemaRefs>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purl.org/dc/dcmitype/"/>
    <ds:schemaRef ds:uri="http://schemas.microsoft.com/office/infopath/2007/PartnerControls"/>
    <ds:schemaRef ds:uri="http://purl.org/dc/elements/1.1/"/>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6E1250C8-4C71-40DD-8199-ECB5B3D54709}">
  <ds:schemaRefs>
    <ds:schemaRef ds:uri="http://schemas.microsoft.com/sharepoint/v3/contenttype/forms"/>
  </ds:schemaRefs>
</ds:datastoreItem>
</file>

<file path=customXml/itemProps3.xml><?xml version="1.0" encoding="utf-8"?>
<ds:datastoreItem xmlns:ds="http://schemas.openxmlformats.org/officeDocument/2006/customXml" ds:itemID="{7523FC62-004A-4A31-9CEB-1D69B11D2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5096</Words>
  <Characters>28029</Characters>
  <Application>Microsoft Office Word</Application>
  <DocSecurity>0</DocSecurity>
  <Lines>233</Lines>
  <Paragraphs>66</Paragraphs>
  <ScaleCrop>false</ScaleCrop>
  <Company/>
  <LinksUpToDate>false</LinksUpToDate>
  <CharactersWithSpaces>33059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Andrés Rivera Cano</cp:lastModifiedBy>
  <cp:revision>2</cp:revision>
  <dcterms:created xsi:type="dcterms:W3CDTF">2025-02-11T19:40:00Z</dcterms:created>
  <dcterms:modified xsi:type="dcterms:W3CDTF">2025-02-11T19:40:00Z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