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174E3" w14:textId="77777777" w:rsidR="00253972" w:rsidRPr="00AA02AF" w:rsidRDefault="00253972" w:rsidP="00253972">
      <w:pPr>
        <w:spacing w:after="0" w:line="240" w:lineRule="auto"/>
        <w:contextualSpacing/>
        <w:jc w:val="both"/>
        <w:rPr>
          <w:rFonts w:ascii="Verdana" w:eastAsia="Arial" w:hAnsi="Verdana" w:cs="Arial"/>
          <w:b/>
          <w:bCs/>
        </w:rPr>
      </w:pPr>
      <w:bookmarkStart w:id="0" w:name="_Hlk181166130"/>
      <w:bookmarkStart w:id="1" w:name="_Hlk204353692"/>
      <w:bookmarkStart w:id="2" w:name="_Hlk143780582"/>
      <w:r w:rsidRPr="00AA02AF">
        <w:rPr>
          <w:rFonts w:ascii="Verdana" w:eastAsia="Arial" w:hAnsi="Verdana" w:cs="Arial"/>
          <w:b/>
          <w:bCs/>
        </w:rPr>
        <w:t>CAPACIDAD RESIDUAL – Concepto</w:t>
      </w:r>
    </w:p>
    <w:p w14:paraId="284DDC18" w14:textId="77777777" w:rsidR="00253972" w:rsidRPr="00AA02AF" w:rsidRDefault="00253972" w:rsidP="00253972">
      <w:pPr>
        <w:spacing w:after="0" w:line="240" w:lineRule="auto"/>
        <w:contextualSpacing/>
        <w:jc w:val="both"/>
        <w:rPr>
          <w:rFonts w:ascii="Verdana" w:eastAsia="Arial" w:hAnsi="Verdana" w:cs="Arial"/>
          <w:sz w:val="20"/>
          <w:szCs w:val="20"/>
        </w:rPr>
      </w:pPr>
    </w:p>
    <w:p w14:paraId="4E013DF7" w14:textId="77777777" w:rsidR="00253972" w:rsidRPr="00AA02AF" w:rsidRDefault="00253972" w:rsidP="00253972">
      <w:pPr>
        <w:spacing w:after="0" w:line="240" w:lineRule="auto"/>
        <w:contextualSpacing/>
        <w:jc w:val="both"/>
        <w:rPr>
          <w:rFonts w:ascii="Verdana" w:eastAsia="Arial" w:hAnsi="Verdana" w:cs="Arial"/>
          <w:sz w:val="20"/>
          <w:szCs w:val="20"/>
        </w:rPr>
      </w:pPr>
      <w:r w:rsidRPr="00AA02AF">
        <w:rPr>
          <w:rFonts w:ascii="Verdana" w:eastAsia="Arial" w:hAnsi="Verdana" w:cs="Arial"/>
          <w:sz w:val="20"/>
          <w:szCs w:val="20"/>
        </w:rPr>
        <w:t>La capacidad residual es una aptitud que se le exige a los oferentes en los procesos de selección de contratistas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w:t>
      </w:r>
    </w:p>
    <w:p w14:paraId="20B2FDE1" w14:textId="77777777" w:rsidR="00253972" w:rsidRPr="00AA02AF" w:rsidRDefault="00253972" w:rsidP="00253972">
      <w:pPr>
        <w:spacing w:after="0" w:line="240" w:lineRule="auto"/>
        <w:contextualSpacing/>
        <w:jc w:val="both"/>
        <w:rPr>
          <w:rFonts w:ascii="Verdana" w:eastAsia="Arial" w:hAnsi="Verdana" w:cs="Arial"/>
          <w:sz w:val="20"/>
          <w:szCs w:val="20"/>
        </w:rPr>
      </w:pPr>
    </w:p>
    <w:p w14:paraId="0DC26FB7" w14:textId="77777777" w:rsidR="00253972" w:rsidRPr="00AA02AF" w:rsidRDefault="00253972" w:rsidP="00253972">
      <w:pPr>
        <w:spacing w:after="0" w:line="240" w:lineRule="auto"/>
        <w:contextualSpacing/>
        <w:jc w:val="both"/>
        <w:rPr>
          <w:rFonts w:ascii="Verdana" w:eastAsia="Arial" w:hAnsi="Verdana" w:cs="Arial"/>
          <w:sz w:val="20"/>
          <w:szCs w:val="20"/>
        </w:rPr>
      </w:pPr>
      <w:r w:rsidRPr="00AA02AF">
        <w:rPr>
          <w:rFonts w:ascii="Verdana" w:eastAsia="Arial" w:hAnsi="Verdana" w:cs="Arial"/>
          <w:sz w:val="20"/>
          <w:szCs w:val="20"/>
        </w:rPr>
        <w:t>Por su parte, esta Agencia, en los conceptos C-033 del 25 de marzo de 2021 y C-143 del 9 de abril de 2021, definió la capacidad residual como la suficiencia que se predica del proponente para asumir nuevas obligaciones que se derivan del contrato objeto del proceso de contratación, en relación con las obligaciones que ha adquirido simultáneamente en contratos ya perfeccionados y en ejecución.</w:t>
      </w:r>
    </w:p>
    <w:p w14:paraId="77448430" w14:textId="77777777" w:rsidR="00253972" w:rsidRPr="00AA02AF" w:rsidRDefault="00253972" w:rsidP="00253972">
      <w:pPr>
        <w:spacing w:after="0" w:line="240" w:lineRule="auto"/>
        <w:contextualSpacing/>
        <w:jc w:val="both"/>
        <w:rPr>
          <w:rFonts w:ascii="Verdana" w:eastAsia="Arial" w:hAnsi="Verdana" w:cs="Arial"/>
          <w:sz w:val="20"/>
          <w:szCs w:val="20"/>
        </w:rPr>
      </w:pPr>
    </w:p>
    <w:p w14:paraId="1A9014EF" w14:textId="77777777" w:rsidR="00253972" w:rsidRPr="00AA02AF" w:rsidRDefault="00253972" w:rsidP="00253972">
      <w:pPr>
        <w:spacing w:after="0" w:line="240" w:lineRule="auto"/>
        <w:contextualSpacing/>
        <w:jc w:val="both"/>
        <w:rPr>
          <w:rFonts w:ascii="Verdana" w:eastAsia="Arial" w:hAnsi="Verdana" w:cs="Arial"/>
          <w:sz w:val="20"/>
          <w:szCs w:val="20"/>
        </w:rPr>
      </w:pPr>
      <w:r w:rsidRPr="00AA02AF">
        <w:rPr>
          <w:rFonts w:ascii="Verdana" w:eastAsia="Arial" w:hAnsi="Verdana" w:cs="Arial"/>
          <w:sz w:val="20"/>
          <w:szCs w:val="20"/>
        </w:rPr>
        <w:t xml:space="preserve">Del recuento realizado hasta aquí se concluye que la capacidad residual se entiende como la suficiencia que se predica del proponente para asumir y cumplir de manera oportuna y a cabalidad con las nuevas obligaciones que se derivan del contrato objeto del proceso de contratación, en relación con las obligaciones que ha adquirido simultáneamente en otros contratos. Así mismo, de acuerdo con la reglamentación vigente, para su cálculo se tienen en cuenta solamente los contratos de obras civiles, por lo cual, el interesado deberá aportar únicamente los documentos de los contratos en ejecución de este tipo. </w:t>
      </w:r>
    </w:p>
    <w:p w14:paraId="247FD317" w14:textId="77777777" w:rsidR="00253972" w:rsidRPr="00AA02AF" w:rsidRDefault="00253972" w:rsidP="00253972">
      <w:pPr>
        <w:spacing w:after="0" w:line="240" w:lineRule="auto"/>
        <w:contextualSpacing/>
        <w:jc w:val="both"/>
        <w:rPr>
          <w:rFonts w:ascii="Verdana" w:eastAsia="Arial" w:hAnsi="Verdana" w:cs="Arial"/>
          <w:sz w:val="20"/>
          <w:szCs w:val="20"/>
        </w:rPr>
      </w:pPr>
    </w:p>
    <w:p w14:paraId="56D1F105" w14:textId="77777777" w:rsidR="00253972" w:rsidRPr="00AA02AF" w:rsidRDefault="00253972" w:rsidP="00253972">
      <w:pPr>
        <w:spacing w:after="0" w:line="240" w:lineRule="auto"/>
        <w:contextualSpacing/>
        <w:jc w:val="both"/>
        <w:rPr>
          <w:rFonts w:ascii="Verdana" w:eastAsia="Arial" w:hAnsi="Verdana" w:cs="Arial"/>
          <w:b/>
          <w:bCs/>
        </w:rPr>
      </w:pPr>
      <w:r w:rsidRPr="00AA02AF">
        <w:rPr>
          <w:rFonts w:ascii="Verdana" w:eastAsia="Arial" w:hAnsi="Verdana" w:cs="Arial"/>
          <w:b/>
          <w:bCs/>
        </w:rPr>
        <w:t>CÁLCULO DE LA CAPACIDAD RESIDUAL – Documentos requeridos - Cálculo</w:t>
      </w:r>
    </w:p>
    <w:p w14:paraId="4F183A96" w14:textId="77777777" w:rsidR="00253972" w:rsidRPr="00AA02AF" w:rsidRDefault="00253972" w:rsidP="00253972">
      <w:pPr>
        <w:spacing w:after="0" w:line="240" w:lineRule="auto"/>
        <w:contextualSpacing/>
        <w:jc w:val="both"/>
        <w:rPr>
          <w:rFonts w:ascii="Verdana" w:eastAsia="Arial" w:hAnsi="Verdana" w:cs="Arial"/>
          <w:sz w:val="20"/>
          <w:szCs w:val="20"/>
        </w:rPr>
      </w:pPr>
      <w:r w:rsidRPr="00AA02AF">
        <w:rPr>
          <w:rFonts w:ascii="Verdana" w:eastAsia="Arial" w:hAnsi="Verdana" w:cs="Arial"/>
          <w:sz w:val="20"/>
          <w:szCs w:val="20"/>
        </w:rPr>
        <w:t xml:space="preserve"> </w:t>
      </w:r>
    </w:p>
    <w:p w14:paraId="6F8C6A4D" w14:textId="77777777" w:rsidR="00253972" w:rsidRPr="00AA02AF" w:rsidRDefault="00253972" w:rsidP="00253972">
      <w:pPr>
        <w:spacing w:after="0" w:line="240" w:lineRule="auto"/>
        <w:contextualSpacing/>
        <w:jc w:val="both"/>
        <w:rPr>
          <w:rFonts w:ascii="Verdana" w:eastAsia="Arial" w:hAnsi="Verdana" w:cs="Arial"/>
          <w:sz w:val="20"/>
          <w:szCs w:val="20"/>
        </w:rPr>
      </w:pPr>
      <w:r w:rsidRPr="00AA02AF">
        <w:rPr>
          <w:rFonts w:ascii="Verdana" w:eastAsia="Arial" w:hAnsi="Verdana" w:cs="Arial"/>
          <w:sz w:val="20"/>
          <w:szCs w:val="20"/>
        </w:rPr>
        <w:t xml:space="preserve">El artículo 2.2.1.1.1.6.4 del Decreto 1082 de 2015 dispuso que las entidades estatales deben calcular la capacidad residual conforme a la metodología definida por Colombia Compre Eficiente y precisó que, para tales fines, resulta necesario tener en cuenta los factores de: i) experiencia; </w:t>
      </w:r>
      <w:proofErr w:type="spellStart"/>
      <w:r w:rsidRPr="00AA02AF">
        <w:rPr>
          <w:rFonts w:ascii="Verdana" w:eastAsia="Arial" w:hAnsi="Verdana" w:cs="Arial"/>
          <w:sz w:val="20"/>
          <w:szCs w:val="20"/>
        </w:rPr>
        <w:t>ii</w:t>
      </w:r>
      <w:proofErr w:type="spellEnd"/>
      <w:r w:rsidRPr="00AA02AF">
        <w:rPr>
          <w:rFonts w:ascii="Verdana" w:eastAsia="Arial" w:hAnsi="Verdana" w:cs="Arial"/>
          <w:sz w:val="20"/>
          <w:szCs w:val="20"/>
        </w:rPr>
        <w:t xml:space="preserve">) capacidad financiera; </w:t>
      </w:r>
      <w:proofErr w:type="spellStart"/>
      <w:r w:rsidRPr="00AA02AF">
        <w:rPr>
          <w:rFonts w:ascii="Verdana" w:eastAsia="Arial" w:hAnsi="Verdana" w:cs="Arial"/>
          <w:sz w:val="20"/>
          <w:szCs w:val="20"/>
        </w:rPr>
        <w:t>iii</w:t>
      </w:r>
      <w:proofErr w:type="spellEnd"/>
      <w:r w:rsidRPr="00AA02AF">
        <w:rPr>
          <w:rFonts w:ascii="Verdana" w:eastAsia="Arial" w:hAnsi="Verdana" w:cs="Arial"/>
          <w:sz w:val="20"/>
          <w:szCs w:val="20"/>
        </w:rPr>
        <w:t xml:space="preserve">) capacidad técnica; </w:t>
      </w:r>
      <w:proofErr w:type="spellStart"/>
      <w:r w:rsidRPr="00AA02AF">
        <w:rPr>
          <w:rFonts w:ascii="Verdana" w:eastAsia="Arial" w:hAnsi="Verdana" w:cs="Arial"/>
          <w:sz w:val="20"/>
          <w:szCs w:val="20"/>
        </w:rPr>
        <w:t>iv</w:t>
      </w:r>
      <w:proofErr w:type="spellEnd"/>
      <w:r w:rsidRPr="00AA02AF">
        <w:rPr>
          <w:rFonts w:ascii="Verdana" w:eastAsia="Arial" w:hAnsi="Verdana" w:cs="Arial"/>
          <w:sz w:val="20"/>
          <w:szCs w:val="20"/>
        </w:rPr>
        <w:t>) capacidad de organización; y v) los saldos de los contratos en ejecución […]</w:t>
      </w:r>
    </w:p>
    <w:p w14:paraId="78D6F5B1" w14:textId="77777777" w:rsidR="00253972" w:rsidRPr="00AA02AF" w:rsidRDefault="00253972" w:rsidP="00253972">
      <w:pPr>
        <w:spacing w:after="0" w:line="240" w:lineRule="auto"/>
        <w:contextualSpacing/>
        <w:jc w:val="both"/>
        <w:rPr>
          <w:rFonts w:ascii="Verdana" w:eastAsia="Arial" w:hAnsi="Verdana" w:cs="Arial"/>
          <w:sz w:val="20"/>
          <w:szCs w:val="20"/>
        </w:rPr>
      </w:pPr>
    </w:p>
    <w:p w14:paraId="699C92E4" w14:textId="77777777" w:rsidR="00253972" w:rsidRPr="00AA02AF" w:rsidRDefault="00253972" w:rsidP="00253972">
      <w:pPr>
        <w:spacing w:after="0" w:line="240" w:lineRule="auto"/>
        <w:contextualSpacing/>
        <w:jc w:val="both"/>
        <w:rPr>
          <w:rFonts w:ascii="Verdana" w:eastAsia="Arial" w:hAnsi="Verdana" w:cs="Arial"/>
          <w:sz w:val="20"/>
          <w:szCs w:val="20"/>
        </w:rPr>
      </w:pPr>
      <w:r w:rsidRPr="00AA02AF">
        <w:rPr>
          <w:rFonts w:ascii="Verdana" w:eastAsia="Arial" w:hAnsi="Verdana" w:cs="Arial"/>
          <w:sz w:val="20"/>
          <w:szCs w:val="20"/>
        </w:rPr>
        <w:t>Así mismo, esta Agencia expidió la “Guía para Determinar y Verificar la capacidad residual del Proponente en los Procesos de Contratación de Obra Pública”, en la cual dispone, entre otras cuestiones, que a la entidad contratante le corresponde, primero, establecer la capacidad residual del proceso de contratación “CRPC” y, segundo, determinar si los proponentes cumplen con la capacidad residual del proceso de contratación […]</w:t>
      </w:r>
    </w:p>
    <w:p w14:paraId="36BC1DF4" w14:textId="77777777" w:rsidR="00253972" w:rsidRPr="00AA02AF" w:rsidRDefault="00253972" w:rsidP="00253972">
      <w:pPr>
        <w:spacing w:after="0" w:line="240" w:lineRule="auto"/>
        <w:contextualSpacing/>
        <w:jc w:val="both"/>
        <w:rPr>
          <w:rFonts w:ascii="Verdana" w:eastAsia="Arial" w:hAnsi="Verdana" w:cs="Arial"/>
          <w:sz w:val="20"/>
          <w:szCs w:val="20"/>
        </w:rPr>
      </w:pPr>
    </w:p>
    <w:p w14:paraId="69D5ED69" w14:textId="77777777" w:rsidR="00253972" w:rsidRPr="00AA02AF" w:rsidRDefault="00253972" w:rsidP="00253972">
      <w:pPr>
        <w:spacing w:after="0" w:line="240" w:lineRule="auto"/>
        <w:contextualSpacing/>
        <w:jc w:val="both"/>
        <w:rPr>
          <w:rFonts w:ascii="Verdana" w:eastAsia="Arial" w:hAnsi="Verdana" w:cs="Arial"/>
          <w:sz w:val="20"/>
          <w:szCs w:val="20"/>
        </w:rPr>
      </w:pPr>
      <w:r w:rsidRPr="00AA02AF">
        <w:rPr>
          <w:rFonts w:ascii="Verdana" w:eastAsia="Arial" w:hAnsi="Verdana" w:cs="Arial"/>
          <w:sz w:val="20"/>
          <w:szCs w:val="20"/>
        </w:rPr>
        <w:t>Se observa que la guía expedida por esta Agencia para calcular la capacidad residual señala que el proponente debe allegar, entre otros documentos, los contratos en ejecución y define estos como aquellos contratos que a la fecha de presentación de la oferta obligan al proponente con entidades estatales y con entidades privadas para ejecutar “obras civiles”.</w:t>
      </w:r>
    </w:p>
    <w:p w14:paraId="4F01B1D5" w14:textId="77777777" w:rsidR="00253972" w:rsidRPr="00AA02AF" w:rsidRDefault="00253972" w:rsidP="00253972">
      <w:pPr>
        <w:spacing w:after="0" w:line="240" w:lineRule="auto"/>
        <w:contextualSpacing/>
        <w:jc w:val="both"/>
        <w:rPr>
          <w:rFonts w:ascii="Verdana" w:eastAsia="Arial" w:hAnsi="Verdana" w:cs="Arial"/>
          <w:sz w:val="20"/>
          <w:szCs w:val="20"/>
        </w:rPr>
      </w:pPr>
    </w:p>
    <w:p w14:paraId="0F10064F" w14:textId="77777777" w:rsidR="00253972" w:rsidRPr="00AA02AF" w:rsidRDefault="00253972" w:rsidP="00253972">
      <w:pPr>
        <w:spacing w:after="0" w:line="240" w:lineRule="auto"/>
        <w:contextualSpacing/>
        <w:jc w:val="both"/>
        <w:rPr>
          <w:rFonts w:ascii="Verdana" w:eastAsia="Arial" w:hAnsi="Verdana" w:cs="Arial"/>
          <w:b/>
          <w:bCs/>
        </w:rPr>
      </w:pPr>
      <w:r w:rsidRPr="00AA02AF">
        <w:rPr>
          <w:rFonts w:ascii="Verdana" w:eastAsia="Arial" w:hAnsi="Verdana" w:cs="Arial"/>
          <w:b/>
          <w:bCs/>
        </w:rPr>
        <w:lastRenderedPageBreak/>
        <w:t>CÁLCULO DE LA CAPACIDAD RESIDUAL – Saldos de contratos en ejecución – Persona jurídica</w:t>
      </w:r>
    </w:p>
    <w:p w14:paraId="74CEB493" w14:textId="77777777" w:rsidR="00253972" w:rsidRPr="00AA02AF" w:rsidRDefault="00253972" w:rsidP="00253972">
      <w:pPr>
        <w:spacing w:after="0" w:line="240" w:lineRule="auto"/>
        <w:contextualSpacing/>
        <w:jc w:val="both"/>
        <w:rPr>
          <w:rFonts w:ascii="Verdana" w:eastAsia="Arial" w:hAnsi="Verdana" w:cs="Arial"/>
          <w:b/>
          <w:bCs/>
        </w:rPr>
      </w:pPr>
    </w:p>
    <w:p w14:paraId="38F26E3A" w14:textId="77777777" w:rsidR="00253972" w:rsidRPr="00AA02AF" w:rsidRDefault="00253972" w:rsidP="00253972">
      <w:pPr>
        <w:spacing w:after="120" w:line="240" w:lineRule="auto"/>
        <w:jc w:val="both"/>
        <w:rPr>
          <w:rFonts w:ascii="Verdana" w:eastAsia="Calibri" w:hAnsi="Verdana" w:cs="Arial"/>
          <w:sz w:val="20"/>
          <w:lang w:eastAsia="es-ES_tradnl"/>
        </w:rPr>
      </w:pPr>
      <w:r w:rsidRPr="00AA02AF">
        <w:rPr>
          <w:rFonts w:ascii="Verdana" w:eastAsia="Calibri" w:hAnsi="Verdana" w:cs="Arial"/>
          <w:sz w:val="20"/>
          <w:lang w:eastAsia="es-ES_tradnl"/>
        </w:rPr>
        <w:t>Para calcular la capacidad residual de un proponente, es necesario considerar su naturaleza jurídica, ya sea como persona natural, persona jurídica o proponente plural (consorcio o unión temporal). En primer lugar, debe tenerse en cuenta la Guía para determinar y verificar la capacidad residual del proponente en los procesos de contratación de obra pública, expedida por esta Agencia.</w:t>
      </w:r>
    </w:p>
    <w:p w14:paraId="477B869B" w14:textId="77777777" w:rsidR="00253972" w:rsidRPr="00AA02AF" w:rsidRDefault="00253972" w:rsidP="00253972">
      <w:pPr>
        <w:spacing w:after="120" w:line="240" w:lineRule="auto"/>
        <w:jc w:val="both"/>
        <w:rPr>
          <w:rFonts w:ascii="Verdana" w:eastAsia="Calibri" w:hAnsi="Verdana" w:cs="Arial"/>
          <w:sz w:val="20"/>
          <w:lang w:eastAsia="es-ES_tradnl"/>
        </w:rPr>
      </w:pPr>
      <w:r w:rsidRPr="00AA02AF">
        <w:rPr>
          <w:rFonts w:ascii="Verdana" w:eastAsia="Calibri" w:hAnsi="Verdana" w:cs="Arial"/>
          <w:sz w:val="20"/>
          <w:lang w:eastAsia="es-ES_tradnl"/>
        </w:rPr>
        <w:t>Dicha guía establece que, en lo relacionado con el factor de saldos de contratos en ejecución, los proponentes que sean personas naturales o jurídicas deben presentar una certificación que contenga la información correspondiente al contrato que se está ejecutando. En el caso de los proponentes plurales, se debe considerar el porcentaje de participación de cada miembro para determinar el saldo que le corresponde.</w:t>
      </w:r>
    </w:p>
    <w:p w14:paraId="68E7B27C" w14:textId="77777777" w:rsidR="00253972" w:rsidRPr="00AA02AF" w:rsidRDefault="00253972" w:rsidP="00253972">
      <w:pPr>
        <w:spacing w:after="120" w:line="240" w:lineRule="auto"/>
        <w:jc w:val="both"/>
        <w:rPr>
          <w:rFonts w:ascii="Verdana" w:eastAsia="Calibri" w:hAnsi="Verdana" w:cs="Arial"/>
          <w:sz w:val="20"/>
          <w:szCs w:val="20"/>
          <w:lang w:eastAsia="es-ES"/>
        </w:rPr>
      </w:pPr>
      <w:r w:rsidRPr="00AA02AF">
        <w:rPr>
          <w:rFonts w:ascii="Verdana" w:eastAsia="Calibri" w:hAnsi="Verdana" w:cs="Arial"/>
          <w:sz w:val="20"/>
          <w:szCs w:val="20"/>
          <w:lang w:eastAsia="es-ES"/>
        </w:rPr>
        <w:t>Lo anterior, en razón a que el proponente plural no es una persona jurídica; su capacidad jurídica depende de la de sus miembros. Por lo tanto, para efectos del cálculo de la capacidad residual, es necesario determinar el saldo de contratos en ejecución correspondiente a cada miembro, en proporción a su participación dentro del proponente plural.</w:t>
      </w:r>
    </w:p>
    <w:p w14:paraId="1BB73882" w14:textId="77777777" w:rsidR="00253972" w:rsidRPr="00AA02AF" w:rsidRDefault="00253972" w:rsidP="00253972">
      <w:pPr>
        <w:spacing w:after="0"/>
        <w:rPr>
          <w:rFonts w:ascii="Verdana" w:hAnsi="Verdana"/>
        </w:rPr>
      </w:pPr>
    </w:p>
    <w:p w14:paraId="5EFF978F" w14:textId="77777777" w:rsidR="00253972" w:rsidRPr="00AA02AF" w:rsidRDefault="00253972" w:rsidP="00253972">
      <w:pPr>
        <w:tabs>
          <w:tab w:val="left" w:pos="426"/>
        </w:tabs>
        <w:spacing w:after="0" w:line="240" w:lineRule="auto"/>
        <w:jc w:val="both"/>
        <w:rPr>
          <w:rFonts w:ascii="Verdana" w:hAnsi="Verdana" w:cs="Arial"/>
          <w:b/>
          <w:lang w:eastAsia="es-CO"/>
        </w:rPr>
      </w:pPr>
    </w:p>
    <w:p w14:paraId="0E663BF8" w14:textId="77777777" w:rsidR="00253972" w:rsidRPr="00AA02AF" w:rsidRDefault="00253972" w:rsidP="00253972">
      <w:pPr>
        <w:spacing w:after="0" w:line="240" w:lineRule="auto"/>
        <w:rPr>
          <w:rFonts w:ascii="Verdana" w:hAnsi="Verdana" w:cs="Arial"/>
          <w:b/>
          <w:lang w:eastAsia="es-CO"/>
        </w:rPr>
      </w:pPr>
    </w:p>
    <w:p w14:paraId="0317459B" w14:textId="77777777" w:rsidR="00253972" w:rsidRPr="00AA02AF" w:rsidRDefault="00253972" w:rsidP="00253972">
      <w:pPr>
        <w:spacing w:after="0" w:line="240" w:lineRule="auto"/>
        <w:rPr>
          <w:rFonts w:ascii="Verdana" w:eastAsia="Times New Roman" w:hAnsi="Verdana" w:cs="Arial"/>
          <w:lang w:val="es-ES" w:eastAsia="es-ES_tradnl"/>
        </w:rPr>
      </w:pPr>
    </w:p>
    <w:p w14:paraId="2ED5FABD" w14:textId="77777777" w:rsidR="00253972" w:rsidRPr="00AA02AF" w:rsidRDefault="00253972" w:rsidP="00253972">
      <w:pPr>
        <w:spacing w:after="0" w:line="240" w:lineRule="auto"/>
        <w:rPr>
          <w:rFonts w:ascii="Verdana" w:eastAsia="Times New Roman" w:hAnsi="Verdana" w:cs="Arial"/>
          <w:lang w:val="es-ES" w:eastAsia="es-ES_tradnl"/>
        </w:rPr>
      </w:pPr>
    </w:p>
    <w:p w14:paraId="6200FDAD" w14:textId="77777777" w:rsidR="00253972" w:rsidRPr="00AA02AF" w:rsidRDefault="00253972" w:rsidP="00253972">
      <w:pPr>
        <w:spacing w:after="0" w:line="240" w:lineRule="auto"/>
        <w:rPr>
          <w:rFonts w:ascii="Verdana" w:eastAsia="Times New Roman" w:hAnsi="Verdana" w:cs="Arial"/>
          <w:lang w:eastAsia="es-ES_tradnl"/>
        </w:rPr>
      </w:pPr>
    </w:p>
    <w:p w14:paraId="5B10BE99" w14:textId="77777777" w:rsidR="00253972" w:rsidRPr="00AA02AF" w:rsidRDefault="00253972" w:rsidP="00253972">
      <w:pPr>
        <w:spacing w:after="0" w:line="240" w:lineRule="auto"/>
        <w:rPr>
          <w:rFonts w:ascii="Verdana" w:eastAsia="Times New Roman" w:hAnsi="Verdana" w:cs="Arial"/>
          <w:lang w:eastAsia="es-ES_tradnl"/>
        </w:rPr>
      </w:pPr>
    </w:p>
    <w:p w14:paraId="2C6CCAE0" w14:textId="77777777" w:rsidR="00253972" w:rsidRPr="00AA02AF" w:rsidRDefault="00253972" w:rsidP="00253972">
      <w:pPr>
        <w:spacing w:after="0" w:line="240" w:lineRule="auto"/>
        <w:rPr>
          <w:rFonts w:ascii="Verdana" w:eastAsia="Times New Roman" w:hAnsi="Verdana" w:cs="Arial"/>
          <w:lang w:eastAsia="es-ES_tradnl"/>
        </w:rPr>
      </w:pPr>
    </w:p>
    <w:p w14:paraId="64AFBE4D" w14:textId="77777777" w:rsidR="00253972" w:rsidRPr="00AA02AF" w:rsidRDefault="00253972" w:rsidP="00253972">
      <w:pPr>
        <w:spacing w:after="0" w:line="240" w:lineRule="auto"/>
        <w:rPr>
          <w:rFonts w:ascii="Verdana" w:eastAsia="Times New Roman" w:hAnsi="Verdana" w:cs="Arial"/>
          <w:lang w:eastAsia="es-ES_tradnl"/>
        </w:rPr>
      </w:pPr>
    </w:p>
    <w:p w14:paraId="45248263" w14:textId="77777777" w:rsidR="00253972" w:rsidRPr="00AA02AF" w:rsidRDefault="00253972" w:rsidP="00253972">
      <w:pPr>
        <w:spacing w:after="0" w:line="240" w:lineRule="auto"/>
        <w:rPr>
          <w:rFonts w:ascii="Verdana" w:eastAsia="Times New Roman" w:hAnsi="Verdana" w:cs="Arial"/>
          <w:lang w:eastAsia="es-ES_tradnl"/>
        </w:rPr>
      </w:pPr>
    </w:p>
    <w:p w14:paraId="24AAF7D1" w14:textId="77777777" w:rsidR="00253972" w:rsidRPr="00AA02AF" w:rsidRDefault="00253972" w:rsidP="00253972">
      <w:pPr>
        <w:spacing w:after="0" w:line="240" w:lineRule="auto"/>
        <w:rPr>
          <w:rFonts w:ascii="Verdana" w:eastAsia="Times New Roman" w:hAnsi="Verdana" w:cs="Arial"/>
          <w:lang w:eastAsia="es-ES_tradnl"/>
        </w:rPr>
      </w:pPr>
    </w:p>
    <w:p w14:paraId="4DF1DD53" w14:textId="77777777" w:rsidR="00253972" w:rsidRPr="00AA02AF" w:rsidRDefault="00253972" w:rsidP="00253972">
      <w:pPr>
        <w:spacing w:after="0" w:line="240" w:lineRule="auto"/>
        <w:rPr>
          <w:rFonts w:ascii="Verdana" w:eastAsia="Times New Roman" w:hAnsi="Verdana" w:cs="Arial"/>
          <w:lang w:eastAsia="es-ES_tradnl"/>
        </w:rPr>
      </w:pPr>
    </w:p>
    <w:p w14:paraId="52C48F2B" w14:textId="77777777" w:rsidR="00253972" w:rsidRPr="00AA02AF" w:rsidRDefault="00253972" w:rsidP="00253972">
      <w:pPr>
        <w:spacing w:after="0" w:line="240" w:lineRule="auto"/>
        <w:rPr>
          <w:rFonts w:ascii="Verdana" w:eastAsia="Times New Roman" w:hAnsi="Verdana" w:cs="Arial"/>
          <w:lang w:eastAsia="es-ES_tradnl"/>
        </w:rPr>
      </w:pPr>
    </w:p>
    <w:p w14:paraId="59B5528A" w14:textId="77777777" w:rsidR="00253972" w:rsidRPr="00AA02AF" w:rsidRDefault="00253972" w:rsidP="00253972">
      <w:pPr>
        <w:spacing w:after="0" w:line="240" w:lineRule="auto"/>
        <w:rPr>
          <w:rFonts w:ascii="Verdana" w:eastAsia="Times New Roman" w:hAnsi="Verdana" w:cs="Arial"/>
          <w:lang w:eastAsia="es-ES_tradnl"/>
        </w:rPr>
      </w:pPr>
    </w:p>
    <w:p w14:paraId="1C2C63E2" w14:textId="77777777" w:rsidR="00253972" w:rsidRPr="00AA02AF" w:rsidRDefault="00253972" w:rsidP="00253972">
      <w:pPr>
        <w:spacing w:after="0" w:line="240" w:lineRule="auto"/>
        <w:rPr>
          <w:rFonts w:ascii="Verdana" w:eastAsia="Times New Roman" w:hAnsi="Verdana" w:cs="Arial"/>
          <w:lang w:eastAsia="es-ES_tradnl"/>
        </w:rPr>
      </w:pPr>
    </w:p>
    <w:p w14:paraId="6E009038" w14:textId="77777777" w:rsidR="00253972" w:rsidRPr="00AA02AF" w:rsidRDefault="00253972" w:rsidP="00253972">
      <w:pPr>
        <w:spacing w:after="0" w:line="240" w:lineRule="auto"/>
        <w:rPr>
          <w:rFonts w:ascii="Verdana" w:eastAsia="Times New Roman" w:hAnsi="Verdana" w:cs="Arial"/>
          <w:lang w:eastAsia="es-ES_tradnl"/>
        </w:rPr>
      </w:pPr>
    </w:p>
    <w:p w14:paraId="26A99A40" w14:textId="77777777" w:rsidR="00253972" w:rsidRPr="00AA02AF" w:rsidRDefault="00253972" w:rsidP="00253972">
      <w:pPr>
        <w:spacing w:after="0" w:line="240" w:lineRule="auto"/>
        <w:rPr>
          <w:rFonts w:ascii="Verdana" w:eastAsia="Times New Roman" w:hAnsi="Verdana" w:cs="Arial"/>
          <w:lang w:eastAsia="es-ES_tradnl"/>
        </w:rPr>
      </w:pPr>
    </w:p>
    <w:p w14:paraId="538F3DEC" w14:textId="77777777" w:rsidR="00253972" w:rsidRPr="00AA02AF" w:rsidRDefault="00253972" w:rsidP="00253972">
      <w:pPr>
        <w:spacing w:after="0" w:line="240" w:lineRule="auto"/>
        <w:rPr>
          <w:rFonts w:ascii="Verdana" w:eastAsia="Times New Roman" w:hAnsi="Verdana" w:cs="Arial"/>
          <w:lang w:eastAsia="es-ES_tradnl"/>
        </w:rPr>
      </w:pPr>
    </w:p>
    <w:p w14:paraId="39477B2C" w14:textId="77777777" w:rsidR="00253972" w:rsidRPr="00AA02AF" w:rsidRDefault="00253972" w:rsidP="00253972">
      <w:pPr>
        <w:spacing w:after="0" w:line="240" w:lineRule="auto"/>
        <w:rPr>
          <w:rFonts w:ascii="Verdana" w:eastAsia="Times New Roman" w:hAnsi="Verdana" w:cs="Arial"/>
          <w:lang w:eastAsia="es-ES_tradnl"/>
        </w:rPr>
      </w:pPr>
    </w:p>
    <w:p w14:paraId="064D2B2B" w14:textId="77777777" w:rsidR="00253972" w:rsidRPr="00AA02AF" w:rsidRDefault="00253972" w:rsidP="00253972">
      <w:pPr>
        <w:spacing w:after="0" w:line="240" w:lineRule="auto"/>
        <w:rPr>
          <w:rFonts w:ascii="Verdana" w:eastAsia="Times New Roman" w:hAnsi="Verdana" w:cs="Arial"/>
          <w:lang w:eastAsia="es-ES_tradnl"/>
        </w:rPr>
      </w:pPr>
    </w:p>
    <w:p w14:paraId="597DBE7A" w14:textId="77777777" w:rsidR="00253972" w:rsidRPr="00AA02AF" w:rsidRDefault="00253972" w:rsidP="00253972">
      <w:pPr>
        <w:spacing w:after="0" w:line="240" w:lineRule="auto"/>
        <w:rPr>
          <w:rFonts w:ascii="Verdana" w:eastAsia="Times New Roman" w:hAnsi="Verdana" w:cs="Arial"/>
          <w:lang w:eastAsia="es-ES_tradnl"/>
        </w:rPr>
      </w:pPr>
    </w:p>
    <w:p w14:paraId="48012E74" w14:textId="77777777" w:rsidR="00253972" w:rsidRPr="00AA02AF" w:rsidRDefault="00253972" w:rsidP="00253972">
      <w:pPr>
        <w:spacing w:after="0" w:line="240" w:lineRule="auto"/>
        <w:rPr>
          <w:rFonts w:ascii="Verdana" w:eastAsia="Times New Roman" w:hAnsi="Verdana" w:cs="Arial"/>
          <w:lang w:eastAsia="es-ES_tradnl"/>
        </w:rPr>
      </w:pPr>
    </w:p>
    <w:p w14:paraId="705FF3B3" w14:textId="77777777" w:rsidR="00253972" w:rsidRPr="00AA02AF" w:rsidRDefault="00253972" w:rsidP="00253972">
      <w:pPr>
        <w:spacing w:after="0" w:line="240" w:lineRule="auto"/>
        <w:rPr>
          <w:rFonts w:ascii="Verdana" w:eastAsia="Times New Roman" w:hAnsi="Verdana" w:cs="Arial"/>
          <w:lang w:eastAsia="es-ES_tradnl"/>
        </w:rPr>
      </w:pPr>
    </w:p>
    <w:p w14:paraId="2C1518E2" w14:textId="77777777" w:rsidR="00253972" w:rsidRPr="00AA02AF" w:rsidRDefault="00253972" w:rsidP="00253972">
      <w:pPr>
        <w:spacing w:after="0" w:line="240" w:lineRule="auto"/>
        <w:rPr>
          <w:rFonts w:ascii="Verdana" w:eastAsia="Times New Roman" w:hAnsi="Verdana" w:cs="Arial"/>
          <w:lang w:eastAsia="es-ES_tradnl"/>
        </w:rPr>
      </w:pPr>
    </w:p>
    <w:p w14:paraId="40685D82" w14:textId="77777777" w:rsidR="00253972" w:rsidRPr="00AA02AF" w:rsidRDefault="00253972" w:rsidP="00253972">
      <w:pPr>
        <w:spacing w:after="0" w:line="240" w:lineRule="auto"/>
        <w:rPr>
          <w:rFonts w:ascii="Verdana" w:eastAsia="Times New Roman" w:hAnsi="Verdana" w:cs="Arial"/>
          <w:lang w:eastAsia="es-ES_tradnl"/>
        </w:rPr>
      </w:pPr>
    </w:p>
    <w:p w14:paraId="7ED82209" w14:textId="08CDA861" w:rsidR="00253972" w:rsidRDefault="00253972" w:rsidP="00253972">
      <w:pPr>
        <w:spacing w:after="0"/>
        <w:rPr>
          <w:rFonts w:ascii="Verdana" w:hAnsi="Verdana"/>
        </w:rPr>
      </w:pPr>
      <w:r w:rsidRPr="00AA02AF">
        <w:rPr>
          <w:rFonts w:ascii="Verdana" w:hAnsi="Verdana"/>
        </w:rPr>
        <w:lastRenderedPageBreak/>
        <w:t>Bogotá D.C., 0</w:t>
      </w:r>
      <w:r w:rsidR="00FB29DB">
        <w:rPr>
          <w:rFonts w:ascii="Verdana" w:hAnsi="Verdana"/>
        </w:rPr>
        <w:t>5</w:t>
      </w:r>
      <w:r w:rsidRPr="00AA02AF">
        <w:rPr>
          <w:rFonts w:ascii="Verdana" w:hAnsi="Verdana"/>
        </w:rPr>
        <w:t xml:space="preserve"> de septiembre de 2025</w:t>
      </w:r>
    </w:p>
    <w:p w14:paraId="7B2B6F46" w14:textId="77777777" w:rsidR="00FB29DB" w:rsidRPr="00AA02AF" w:rsidRDefault="00FB29DB" w:rsidP="00253972">
      <w:pPr>
        <w:spacing w:after="0"/>
        <w:rPr>
          <w:rFonts w:ascii="Verdana" w:hAnsi="Verdana"/>
        </w:rPr>
      </w:pPr>
    </w:p>
    <w:p w14:paraId="6AB5948C" w14:textId="5C56C690" w:rsidR="00253972" w:rsidRPr="00AA02AF" w:rsidRDefault="00FB29DB" w:rsidP="00FB29DB">
      <w:pPr>
        <w:spacing w:after="0"/>
        <w:ind w:left="4956"/>
        <w:rPr>
          <w:rFonts w:ascii="Verdana" w:hAnsi="Verdana"/>
        </w:rPr>
      </w:pPr>
      <w:bookmarkStart w:id="3" w:name="_Hlk180638295"/>
      <w:bookmarkEnd w:id="0"/>
      <w:r>
        <w:rPr>
          <w:noProof/>
        </w:rPr>
        <w:drawing>
          <wp:inline distT="0" distB="0" distL="0" distR="0" wp14:anchorId="080C740F" wp14:editId="534C932E">
            <wp:extent cx="2371725" cy="781050"/>
            <wp:effectExtent l="0" t="0" r="9525" b="0"/>
            <wp:docPr id="1431271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71120" name=""/>
                    <pic:cNvPicPr/>
                  </pic:nvPicPr>
                  <pic:blipFill>
                    <a:blip r:embed="rId10"/>
                    <a:stretch>
                      <a:fillRect/>
                    </a:stretch>
                  </pic:blipFill>
                  <pic:spPr>
                    <a:xfrm>
                      <a:off x="0" y="0"/>
                      <a:ext cx="2371725" cy="781050"/>
                    </a:xfrm>
                    <a:prstGeom prst="rect">
                      <a:avLst/>
                    </a:prstGeom>
                  </pic:spPr>
                </pic:pic>
              </a:graphicData>
            </a:graphic>
          </wp:inline>
        </w:drawing>
      </w:r>
    </w:p>
    <w:p w14:paraId="5310B206" w14:textId="77777777" w:rsidR="00253972" w:rsidRPr="00AA02AF" w:rsidRDefault="00253972" w:rsidP="00253972">
      <w:pPr>
        <w:spacing w:after="0" w:line="240" w:lineRule="auto"/>
        <w:jc w:val="both"/>
        <w:rPr>
          <w:rFonts w:ascii="Verdana" w:eastAsia="Calibri" w:hAnsi="Verdana" w:cs="Arial"/>
          <w:lang w:eastAsia="es-ES"/>
        </w:rPr>
      </w:pPr>
      <w:bookmarkStart w:id="4" w:name="_Hlk181166167"/>
      <w:r w:rsidRPr="00AA02AF">
        <w:rPr>
          <w:rFonts w:ascii="Verdana" w:eastAsia="Calibri" w:hAnsi="Verdana" w:cs="Arial"/>
          <w:lang w:eastAsia="es-ES"/>
        </w:rPr>
        <w:t>Señor</w:t>
      </w:r>
    </w:p>
    <w:p w14:paraId="428A70FD" w14:textId="1947BF1E" w:rsidR="00253972" w:rsidRPr="00AA02AF" w:rsidRDefault="00180ADD" w:rsidP="00253972">
      <w:pPr>
        <w:spacing w:after="0" w:line="240" w:lineRule="auto"/>
        <w:rPr>
          <w:rFonts w:ascii="Verdana" w:eastAsia="Calibri" w:hAnsi="Verdana" w:cs="Arial"/>
          <w:b/>
          <w:bCs/>
          <w:lang w:eastAsia="es-ES"/>
        </w:rPr>
      </w:pPr>
      <w:r w:rsidRPr="00AA02AF">
        <w:rPr>
          <w:rFonts w:ascii="Verdana" w:eastAsia="Calibri" w:hAnsi="Verdana" w:cs="Arial"/>
          <w:b/>
          <w:bCs/>
          <w:lang w:eastAsia="es-ES"/>
        </w:rPr>
        <w:t>Rubén</w:t>
      </w:r>
      <w:r w:rsidR="00253972" w:rsidRPr="00AA02AF">
        <w:rPr>
          <w:rFonts w:ascii="Verdana" w:eastAsia="Calibri" w:hAnsi="Verdana" w:cs="Arial"/>
          <w:b/>
          <w:bCs/>
          <w:lang w:eastAsia="es-ES"/>
        </w:rPr>
        <w:t xml:space="preserve"> Gerardo</w:t>
      </w:r>
      <w:r w:rsidRPr="00AA02AF">
        <w:rPr>
          <w:rFonts w:ascii="Verdana" w:eastAsia="Calibri" w:hAnsi="Verdana" w:cs="Arial"/>
          <w:b/>
          <w:bCs/>
          <w:lang w:eastAsia="es-ES"/>
        </w:rPr>
        <w:t xml:space="preserve"> Burbano</w:t>
      </w:r>
      <w:r w:rsidR="00253972" w:rsidRPr="00AA02AF">
        <w:rPr>
          <w:rFonts w:ascii="Verdana" w:eastAsia="Calibri" w:hAnsi="Verdana" w:cs="Arial"/>
          <w:b/>
          <w:bCs/>
          <w:lang w:eastAsia="es-ES"/>
        </w:rPr>
        <w:t xml:space="preserve"> </w:t>
      </w:r>
    </w:p>
    <w:p w14:paraId="541D6776" w14:textId="0CAE8549" w:rsidR="00253972" w:rsidRPr="00AA02AF" w:rsidRDefault="00180ADD" w:rsidP="00253972">
      <w:pPr>
        <w:spacing w:after="0" w:line="240" w:lineRule="auto"/>
        <w:rPr>
          <w:rFonts w:ascii="Verdana" w:hAnsi="Verdana"/>
        </w:rPr>
      </w:pPr>
      <w:r w:rsidRPr="00AA02AF">
        <w:rPr>
          <w:rFonts w:ascii="Verdana" w:hAnsi="Verdana"/>
        </w:rPr>
        <w:t>rubenlassoburbano@gmail.com</w:t>
      </w:r>
    </w:p>
    <w:p w14:paraId="0716F3A3" w14:textId="3DD78B43" w:rsidR="00253972" w:rsidRPr="00AA02AF" w:rsidRDefault="00180ADD" w:rsidP="00253972">
      <w:pPr>
        <w:spacing w:after="0" w:line="240" w:lineRule="auto"/>
        <w:rPr>
          <w:rFonts w:ascii="Verdana" w:eastAsia="Calibri" w:hAnsi="Verdana" w:cs="Arial"/>
          <w:color w:val="000000"/>
          <w:lang w:val="es-ES_tradnl" w:eastAsia="es-ES_tradnl"/>
        </w:rPr>
      </w:pPr>
      <w:r w:rsidRPr="00AA02AF">
        <w:rPr>
          <w:rFonts w:ascii="Verdana" w:eastAsia="Calibri" w:hAnsi="Verdana" w:cs="Arial"/>
          <w:color w:val="000000"/>
          <w:lang w:val="es-ES_tradnl" w:eastAsia="es-ES_tradnl"/>
        </w:rPr>
        <w:t xml:space="preserve">Bogotá </w:t>
      </w:r>
    </w:p>
    <w:p w14:paraId="168D588F" w14:textId="77777777" w:rsidR="00253972" w:rsidRPr="00AA02AF" w:rsidRDefault="00253972" w:rsidP="00253972">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253972" w:rsidRPr="00AA02AF" w14:paraId="689E4119" w14:textId="77777777" w:rsidTr="00381A88">
        <w:trPr>
          <w:trHeight w:val="884"/>
        </w:trPr>
        <w:tc>
          <w:tcPr>
            <w:tcW w:w="2410" w:type="dxa"/>
          </w:tcPr>
          <w:p w14:paraId="478B1D19" w14:textId="77777777" w:rsidR="00253972" w:rsidRPr="00AA02AF" w:rsidRDefault="00253972" w:rsidP="00381A88">
            <w:pPr>
              <w:jc w:val="both"/>
              <w:rPr>
                <w:rFonts w:ascii="Verdana" w:eastAsia="Calibri" w:hAnsi="Verdana" w:cs="Arial"/>
                <w:b/>
                <w:bCs/>
                <w:color w:val="7030A0"/>
                <w:lang w:val="es-ES_tradnl" w:eastAsia="es-ES_tradnl"/>
              </w:rPr>
            </w:pPr>
          </w:p>
        </w:tc>
        <w:tc>
          <w:tcPr>
            <w:tcW w:w="6804" w:type="dxa"/>
            <w:gridSpan w:val="2"/>
          </w:tcPr>
          <w:p w14:paraId="3EE815EF" w14:textId="7F7B92AA" w:rsidR="00253972" w:rsidRPr="00AA02AF" w:rsidRDefault="00253972" w:rsidP="00381A88">
            <w:pPr>
              <w:jc w:val="both"/>
              <w:rPr>
                <w:rFonts w:ascii="Verdana" w:eastAsia="Calibri" w:hAnsi="Verdana" w:cs="Arial"/>
                <w:b/>
                <w:bCs/>
                <w:color w:val="7030A0"/>
                <w:lang w:val="es-ES" w:eastAsia="es-ES"/>
              </w:rPr>
            </w:pPr>
            <w:r w:rsidRPr="00AA02AF">
              <w:rPr>
                <w:rFonts w:ascii="Verdana" w:eastAsia="Calibri" w:hAnsi="Verdana" w:cs="Arial"/>
                <w:b/>
                <w:bCs/>
                <w:lang w:val="es-ES" w:eastAsia="es-ES"/>
              </w:rPr>
              <w:t xml:space="preserve">Concepto C- </w:t>
            </w:r>
            <w:r w:rsidR="00180ADD" w:rsidRPr="00AA02AF">
              <w:rPr>
                <w:rFonts w:ascii="Verdana" w:eastAsia="Calibri" w:hAnsi="Verdana" w:cs="Arial"/>
                <w:b/>
                <w:bCs/>
                <w:lang w:val="es-ES" w:eastAsia="es-ES"/>
              </w:rPr>
              <w:t>1039</w:t>
            </w:r>
            <w:r w:rsidRPr="00AA02AF">
              <w:rPr>
                <w:rFonts w:ascii="Verdana" w:eastAsia="Calibri" w:hAnsi="Verdana" w:cs="Arial"/>
                <w:b/>
                <w:bCs/>
                <w:lang w:val="es-ES" w:eastAsia="es-ES"/>
              </w:rPr>
              <w:t xml:space="preserve"> de 2025</w:t>
            </w:r>
          </w:p>
        </w:tc>
      </w:tr>
      <w:tr w:rsidR="00253972" w:rsidRPr="00AA02AF" w14:paraId="4DAADB75" w14:textId="77777777" w:rsidTr="00381A88">
        <w:trPr>
          <w:trHeight w:val="884"/>
        </w:trPr>
        <w:tc>
          <w:tcPr>
            <w:tcW w:w="2410" w:type="dxa"/>
          </w:tcPr>
          <w:p w14:paraId="1A343CAB" w14:textId="77777777" w:rsidR="00253972" w:rsidRPr="00AA02AF" w:rsidRDefault="00253972" w:rsidP="00381A88">
            <w:pPr>
              <w:jc w:val="both"/>
              <w:rPr>
                <w:rFonts w:ascii="Verdana" w:eastAsia="Calibri" w:hAnsi="Verdana" w:cs="Arial"/>
                <w:color w:val="000000"/>
                <w:lang w:val="es-ES_tradnl" w:eastAsia="es-ES_tradnl"/>
              </w:rPr>
            </w:pPr>
            <w:r w:rsidRPr="00AA02AF">
              <w:rPr>
                <w:rFonts w:ascii="Verdana" w:eastAsia="Calibri" w:hAnsi="Verdana" w:cs="Arial"/>
                <w:b/>
                <w:color w:val="000000"/>
                <w:lang w:val="es-ES_tradnl" w:eastAsia="es-ES_tradnl"/>
              </w:rPr>
              <w:t>Temas:</w:t>
            </w:r>
            <w:r w:rsidRPr="00AA02AF">
              <w:rPr>
                <w:rFonts w:ascii="Verdana" w:eastAsia="Calibri" w:hAnsi="Verdana" w:cs="Arial"/>
                <w:color w:val="000000"/>
                <w:lang w:val="es-ES_tradnl" w:eastAsia="es-ES_tradnl"/>
              </w:rPr>
              <w:t xml:space="preserve">                   </w:t>
            </w:r>
          </w:p>
        </w:tc>
        <w:tc>
          <w:tcPr>
            <w:tcW w:w="6804" w:type="dxa"/>
            <w:gridSpan w:val="2"/>
          </w:tcPr>
          <w:p w14:paraId="610824C4" w14:textId="77777777" w:rsidR="00253972" w:rsidRPr="00AA02AF" w:rsidRDefault="00253972" w:rsidP="00381A88">
            <w:pPr>
              <w:jc w:val="both"/>
              <w:rPr>
                <w:rFonts w:ascii="Verdana" w:hAnsi="Verdana" w:cs="Arial"/>
                <w:lang w:eastAsia="es-CO"/>
              </w:rPr>
            </w:pPr>
            <w:r w:rsidRPr="00AA02AF">
              <w:rPr>
                <w:rFonts w:ascii="Verdana" w:eastAsia="Times New Roman" w:hAnsi="Verdana" w:cs="Arial"/>
                <w:lang w:eastAsia="es-ES_tradnl"/>
              </w:rPr>
              <w:t>CAPACIDAD RESIDUAL – Concepto / CÁLCULO DE LA CAPACIDAD RESIDUAL – Documentos requeridos - Cálculo / CÁLCULO DE LA CAPACIDAD RESIDUAL – Saldos de contratos en ejecución – Persona jurídica</w:t>
            </w:r>
            <w:r w:rsidRPr="00AA02AF">
              <w:rPr>
                <w:rFonts w:ascii="Verdana" w:hAnsi="Verdana" w:cs="Arial"/>
                <w:lang w:eastAsia="es-CO"/>
              </w:rPr>
              <w:t>.</w:t>
            </w:r>
          </w:p>
          <w:p w14:paraId="10775955" w14:textId="77777777" w:rsidR="00253972" w:rsidRPr="00AA02AF" w:rsidRDefault="00253972" w:rsidP="00381A88">
            <w:pPr>
              <w:jc w:val="both"/>
              <w:rPr>
                <w:rFonts w:ascii="Verdana" w:eastAsia="Calibri" w:hAnsi="Verdana" w:cs="Arial"/>
                <w:b/>
                <w:lang w:val="es-ES" w:eastAsia="es-ES"/>
              </w:rPr>
            </w:pPr>
          </w:p>
        </w:tc>
      </w:tr>
      <w:tr w:rsidR="00253972" w:rsidRPr="00AA02AF" w14:paraId="7FA39A31" w14:textId="77777777" w:rsidTr="00381A88">
        <w:tc>
          <w:tcPr>
            <w:tcW w:w="2410" w:type="dxa"/>
          </w:tcPr>
          <w:p w14:paraId="2EB1FF95" w14:textId="77777777" w:rsidR="00253972" w:rsidRPr="00AA02AF" w:rsidRDefault="00253972" w:rsidP="00381A88">
            <w:pPr>
              <w:jc w:val="both"/>
              <w:rPr>
                <w:rFonts w:ascii="Verdana" w:eastAsia="Calibri" w:hAnsi="Verdana" w:cs="Arial"/>
                <w:b/>
                <w:lang w:val="es-ES_tradnl" w:eastAsia="es-ES_tradnl"/>
              </w:rPr>
            </w:pPr>
            <w:r w:rsidRPr="00AA02AF">
              <w:rPr>
                <w:rFonts w:ascii="Verdana" w:eastAsia="Calibri" w:hAnsi="Verdana" w:cs="Arial"/>
                <w:b/>
                <w:lang w:val="es-ES_tradnl" w:eastAsia="es-ES_tradnl"/>
              </w:rPr>
              <w:t>Radicación:</w:t>
            </w:r>
            <w:r w:rsidRPr="00AA02AF">
              <w:rPr>
                <w:rFonts w:ascii="Verdana" w:eastAsia="Calibri" w:hAnsi="Verdana" w:cs="Arial"/>
                <w:lang w:val="es-ES_tradnl" w:eastAsia="es-ES_tradnl"/>
              </w:rPr>
              <w:t xml:space="preserve">               </w:t>
            </w:r>
          </w:p>
        </w:tc>
        <w:tc>
          <w:tcPr>
            <w:tcW w:w="6804" w:type="dxa"/>
            <w:gridSpan w:val="2"/>
          </w:tcPr>
          <w:p w14:paraId="7DA6B611" w14:textId="04A53B11" w:rsidR="00253972" w:rsidRPr="00AA02AF" w:rsidRDefault="00253972" w:rsidP="00381A88">
            <w:pPr>
              <w:jc w:val="both"/>
              <w:rPr>
                <w:rFonts w:ascii="Verdana" w:eastAsia="Calibri" w:hAnsi="Verdana" w:cs="Arial"/>
                <w:lang w:eastAsia="es-ES_tradnl"/>
              </w:rPr>
            </w:pPr>
            <w:r w:rsidRPr="00AA02AF">
              <w:rPr>
                <w:rFonts w:ascii="Verdana" w:eastAsia="Calibri" w:hAnsi="Verdana" w:cs="Arial"/>
                <w:lang w:val="es-ES_tradnl" w:eastAsia="es-ES_tradnl"/>
              </w:rPr>
              <w:t xml:space="preserve">Respuesta a consulta con radicado No. </w:t>
            </w:r>
            <w:r w:rsidR="00165CF3" w:rsidRPr="00AA02AF">
              <w:rPr>
                <w:rFonts w:ascii="Verdana" w:eastAsia="Calibri" w:hAnsi="Verdana" w:cs="Arial"/>
                <w:lang w:val="es-ES_tradnl" w:eastAsia="es-ES_tradnl"/>
              </w:rPr>
              <w:t>1_2025_07_26_007721</w:t>
            </w:r>
          </w:p>
        </w:tc>
      </w:tr>
      <w:tr w:rsidR="00253972" w:rsidRPr="00AA02AF" w14:paraId="5A177798" w14:textId="77777777" w:rsidTr="00381A88">
        <w:trPr>
          <w:gridAfter w:val="1"/>
          <w:wAfter w:w="336" w:type="dxa"/>
          <w:trHeight w:val="233"/>
        </w:trPr>
        <w:tc>
          <w:tcPr>
            <w:tcW w:w="8878" w:type="dxa"/>
            <w:gridSpan w:val="2"/>
          </w:tcPr>
          <w:p w14:paraId="425F38EB" w14:textId="77777777" w:rsidR="00253972" w:rsidRPr="00AA02AF" w:rsidRDefault="00253972" w:rsidP="00381A88">
            <w:pPr>
              <w:spacing w:after="120" w:line="276" w:lineRule="auto"/>
              <w:jc w:val="both"/>
              <w:rPr>
                <w:rFonts w:ascii="Verdana" w:eastAsia="Calibri" w:hAnsi="Verdana" w:cs="Arial"/>
                <w:lang w:val="es-ES_tradnl" w:eastAsia="es-ES"/>
              </w:rPr>
            </w:pPr>
          </w:p>
        </w:tc>
      </w:tr>
    </w:tbl>
    <w:p w14:paraId="5153F575" w14:textId="4A5B82DA" w:rsidR="00253972" w:rsidRPr="00AA02AF" w:rsidRDefault="00253972" w:rsidP="00253972">
      <w:pPr>
        <w:spacing w:after="0" w:line="276" w:lineRule="auto"/>
        <w:jc w:val="both"/>
        <w:rPr>
          <w:rFonts w:ascii="Verdana" w:eastAsia="Calibri" w:hAnsi="Verdana" w:cs="Arial"/>
          <w:lang w:val="es-ES" w:eastAsia="es-ES"/>
        </w:rPr>
      </w:pPr>
      <w:r w:rsidRPr="00AA02AF">
        <w:rPr>
          <w:rFonts w:ascii="Verdana" w:eastAsia="Calibri" w:hAnsi="Verdana" w:cs="Arial"/>
          <w:lang w:val="es-ES" w:eastAsia="es-ES"/>
        </w:rPr>
        <w:t xml:space="preserve">Estimado señor </w:t>
      </w:r>
      <w:r w:rsidR="00165CF3" w:rsidRPr="00AA02AF">
        <w:rPr>
          <w:rFonts w:ascii="Verdana" w:eastAsia="Calibri" w:hAnsi="Verdana" w:cs="Arial"/>
          <w:lang w:val="es-ES" w:eastAsia="es-ES"/>
        </w:rPr>
        <w:t>Gerardo</w:t>
      </w:r>
      <w:r w:rsidRPr="00AA02AF">
        <w:rPr>
          <w:rFonts w:ascii="Verdana" w:eastAsia="Calibri" w:hAnsi="Verdana" w:cs="Arial"/>
          <w:lang w:val="es-ES" w:eastAsia="es-ES"/>
        </w:rPr>
        <w:t>;</w:t>
      </w:r>
    </w:p>
    <w:p w14:paraId="1CFC7148" w14:textId="77777777" w:rsidR="00253972" w:rsidRPr="00AA02AF" w:rsidRDefault="00253972" w:rsidP="00253972">
      <w:pPr>
        <w:tabs>
          <w:tab w:val="left" w:pos="3768"/>
        </w:tabs>
        <w:spacing w:after="0" w:line="276" w:lineRule="auto"/>
        <w:jc w:val="both"/>
        <w:rPr>
          <w:rFonts w:ascii="Verdana" w:eastAsia="Calibri" w:hAnsi="Verdana" w:cs="Arial"/>
          <w:color w:val="000000" w:themeColor="text1"/>
          <w:lang w:val="es-ES" w:eastAsia="es-ES"/>
        </w:rPr>
      </w:pPr>
      <w:r w:rsidRPr="00AA02AF">
        <w:rPr>
          <w:rFonts w:ascii="Verdana" w:eastAsia="Calibri" w:hAnsi="Verdana" w:cs="Arial"/>
          <w:color w:val="000000" w:themeColor="text1"/>
          <w:lang w:val="es-ES" w:eastAsia="es-ES"/>
        </w:rPr>
        <w:tab/>
      </w:r>
    </w:p>
    <w:p w14:paraId="1B92A097" w14:textId="637C98B1" w:rsidR="00253972" w:rsidRPr="00AA02AF" w:rsidRDefault="00253972" w:rsidP="00253972">
      <w:pPr>
        <w:spacing w:after="0" w:line="276" w:lineRule="auto"/>
        <w:jc w:val="both"/>
        <w:rPr>
          <w:rFonts w:ascii="Verdana" w:eastAsia="Calibri" w:hAnsi="Verdana" w:cs="Arial"/>
          <w:lang w:val="es-ES" w:eastAsia="es-ES"/>
        </w:rPr>
      </w:pPr>
      <w:r w:rsidRPr="00AA02AF">
        <w:rPr>
          <w:rFonts w:ascii="Verdana" w:eastAsia="Calibri" w:hAnsi="Verdana" w:cs="Arial"/>
          <w:lang w:val="es-ES" w:eastAsia="es-ES"/>
        </w:rPr>
        <w:t>En ejercicio de la competencia otorgada por los artículos 3, numeral 5º, y 11, numeral 8º, del Decreto Ley 4170 de 2011,</w:t>
      </w:r>
      <w:r w:rsidRPr="00AA02AF">
        <w:rPr>
          <w:rFonts w:ascii="Verdana" w:eastAsia="Arial MT" w:hAnsi="Verdana" w:cs="Arial MT"/>
          <w:lang w:val="es-ES" w:eastAsia="es-ES"/>
        </w:rPr>
        <w:t xml:space="preserve"> </w:t>
      </w:r>
      <w:r w:rsidRPr="00AA02AF">
        <w:rPr>
          <w:rFonts w:ascii="Verdana" w:hAnsi="Verdana" w:cs="Arial"/>
        </w:rPr>
        <w:t xml:space="preserve">así como lo establecido en el artículo 4 de la Resolución 1707 de 2018 expedida por esta Entidad, </w:t>
      </w:r>
      <w:r w:rsidRPr="00AA02AF">
        <w:rPr>
          <w:rFonts w:ascii="Verdana" w:eastAsia="Calibri" w:hAnsi="Verdana" w:cs="Arial"/>
          <w:lang w:val="es-ES" w:eastAsia="es-ES"/>
        </w:rPr>
        <w:t xml:space="preserve">la Agencia Nacional de Contratación Pública – Colombia Compra Eficiente– responde su solicitud radicada en esta entidad el </w:t>
      </w:r>
      <w:r w:rsidR="00165CF3" w:rsidRPr="00AA02AF">
        <w:rPr>
          <w:rFonts w:ascii="Verdana" w:eastAsia="Calibri" w:hAnsi="Verdana" w:cs="Arial"/>
          <w:lang w:val="es-ES" w:eastAsia="es-ES"/>
        </w:rPr>
        <w:t>26</w:t>
      </w:r>
      <w:r w:rsidRPr="00AA02AF">
        <w:rPr>
          <w:rFonts w:ascii="Verdana" w:eastAsia="Calibri" w:hAnsi="Verdana" w:cs="Arial"/>
          <w:lang w:val="es-ES" w:eastAsia="es-ES"/>
        </w:rPr>
        <w:t xml:space="preserve"> de julio de 2025, en la cual manifiesta lo siguiente: </w:t>
      </w:r>
    </w:p>
    <w:p w14:paraId="632774A1" w14:textId="77777777" w:rsidR="00253972" w:rsidRPr="00AA02AF" w:rsidRDefault="00253972" w:rsidP="00253972">
      <w:pPr>
        <w:spacing w:after="0" w:line="240" w:lineRule="auto"/>
        <w:ind w:left="709" w:right="474"/>
        <w:jc w:val="both"/>
        <w:rPr>
          <w:rFonts w:ascii="Verdana" w:hAnsi="Verdana" w:cs="Arial"/>
          <w:sz w:val="20"/>
          <w:szCs w:val="20"/>
          <w:shd w:val="clear" w:color="auto" w:fill="FFFFFF"/>
        </w:rPr>
      </w:pPr>
      <w:bookmarkStart w:id="5" w:name="_Hlk95313578"/>
    </w:p>
    <w:bookmarkEnd w:id="5"/>
    <w:p w14:paraId="7BB23208" w14:textId="77777777" w:rsidR="00253972" w:rsidRPr="00AA02AF" w:rsidRDefault="00253972" w:rsidP="00253972">
      <w:pPr>
        <w:tabs>
          <w:tab w:val="left" w:pos="142"/>
          <w:tab w:val="left" w:pos="567"/>
        </w:tabs>
        <w:ind w:left="709" w:right="709"/>
        <w:jc w:val="both"/>
        <w:rPr>
          <w:rFonts w:ascii="Verdana" w:eastAsia="Century Gothic" w:hAnsi="Verdana" w:cs="Century Gothic"/>
          <w:i/>
          <w:iCs/>
          <w:sz w:val="20"/>
          <w:szCs w:val="20"/>
        </w:rPr>
      </w:pPr>
      <w:r w:rsidRPr="00AA02AF">
        <w:rPr>
          <w:rFonts w:ascii="Verdana" w:eastAsia="Century Gothic" w:hAnsi="Verdana" w:cs="Century Gothic"/>
          <w:i/>
          <w:iCs/>
          <w:sz w:val="20"/>
          <w:szCs w:val="20"/>
        </w:rPr>
        <w:t xml:space="preserve">“(…) </w:t>
      </w:r>
    </w:p>
    <w:p w14:paraId="7E364C2C" w14:textId="7558B104" w:rsidR="00253972" w:rsidRPr="00AA02AF" w:rsidRDefault="00253972" w:rsidP="002F545D">
      <w:pPr>
        <w:tabs>
          <w:tab w:val="left" w:pos="142"/>
          <w:tab w:val="left" w:pos="567"/>
        </w:tabs>
        <w:ind w:left="709" w:right="709"/>
        <w:jc w:val="both"/>
        <w:rPr>
          <w:rFonts w:ascii="Verdana" w:eastAsia="Century Gothic" w:hAnsi="Verdana" w:cs="Century Gothic"/>
          <w:i/>
          <w:iCs/>
        </w:rPr>
      </w:pPr>
      <w:bookmarkStart w:id="6" w:name="_Hlk203460035"/>
      <w:r w:rsidRPr="00AA02AF">
        <w:rPr>
          <w:rFonts w:ascii="Verdana" w:eastAsia="Century Gothic" w:hAnsi="Verdana" w:cs="Century Gothic"/>
          <w:i/>
          <w:iCs/>
        </w:rPr>
        <w:t xml:space="preserve"> </w:t>
      </w:r>
      <w:r w:rsidR="002F545D" w:rsidRPr="00AA02AF">
        <w:rPr>
          <w:rFonts w:ascii="Verdana" w:eastAsia="Century Gothic" w:hAnsi="Verdana" w:cs="Century Gothic"/>
          <w:i/>
          <w:iCs/>
        </w:rPr>
        <w:t>¿Necesariamente tengo que presentar Estado de resultados integral (estado de resultado o pérdida o ganancias), del año en que hayan obtenido el mayor ingreso operacional en los últimos cinco (5) años? O ¿también puede ser el de un año de los últimos cinco (5) en que haya obtenido un ingreso operacional MENOR (no necesariamente el mejor año de ingresos) y que con ese ingreso operacional MENOR sea suficiente para cumplir con la capacidad residual exigida para el proyecto</w:t>
      </w:r>
      <w:r w:rsidR="002F545D" w:rsidRPr="00AA02AF">
        <w:rPr>
          <w:rFonts w:ascii="Verdana" w:eastAsia="Century Gothic" w:hAnsi="Verdana" w:cs="Century Gothic"/>
          <w:i/>
          <w:iCs/>
          <w:sz w:val="20"/>
          <w:szCs w:val="20"/>
        </w:rPr>
        <w:t>?</w:t>
      </w:r>
    </w:p>
    <w:p w14:paraId="04152A26" w14:textId="3D458B2B" w:rsidR="00253972" w:rsidRPr="00AA02AF" w:rsidRDefault="00253972" w:rsidP="00253972">
      <w:pPr>
        <w:tabs>
          <w:tab w:val="left" w:pos="142"/>
          <w:tab w:val="left" w:pos="567"/>
        </w:tabs>
        <w:ind w:left="709" w:right="709"/>
        <w:jc w:val="both"/>
        <w:rPr>
          <w:rFonts w:ascii="Verdana" w:eastAsia="Century Gothic" w:hAnsi="Verdana" w:cs="Century Gothic"/>
          <w:i/>
          <w:iCs/>
          <w:sz w:val="20"/>
          <w:szCs w:val="20"/>
        </w:rPr>
      </w:pPr>
      <w:r w:rsidRPr="00AA02AF">
        <w:rPr>
          <w:rFonts w:ascii="Verdana" w:eastAsia="Century Gothic" w:hAnsi="Verdana" w:cs="Century Gothic"/>
          <w:i/>
          <w:iCs/>
          <w:sz w:val="20"/>
          <w:szCs w:val="20"/>
        </w:rPr>
        <w:lastRenderedPageBreak/>
        <w:t xml:space="preserve"> </w:t>
      </w:r>
      <w:bookmarkEnd w:id="6"/>
      <w:r w:rsidRPr="00AA02AF">
        <w:rPr>
          <w:rFonts w:ascii="Verdana" w:eastAsia="Century Gothic" w:hAnsi="Verdana" w:cs="Century Gothic"/>
          <w:i/>
          <w:iCs/>
          <w:sz w:val="20"/>
          <w:szCs w:val="20"/>
        </w:rPr>
        <w:t xml:space="preserve">(…)” </w:t>
      </w:r>
    </w:p>
    <w:p w14:paraId="3AFEB884" w14:textId="77777777" w:rsidR="00253972" w:rsidRPr="00AA02AF" w:rsidRDefault="00253972" w:rsidP="00253972">
      <w:pPr>
        <w:spacing w:after="120" w:line="276" w:lineRule="auto"/>
        <w:ind w:firstLine="709"/>
        <w:jc w:val="both"/>
        <w:rPr>
          <w:rFonts w:ascii="Verdana" w:eastAsia="Calibri" w:hAnsi="Verdana" w:cs="Arial"/>
          <w:lang w:val="es-ES_tradnl" w:eastAsia="es-ES_tradnl"/>
        </w:rPr>
      </w:pPr>
      <w:r w:rsidRPr="00AA02AF">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Estatales o de los demás participantes de la contratación pública. Esta competencia de interpretación de normas generales, por definición, no puede extenderse a la resolución de controversias, ni a brindar asesorías sobre casos puntuales.</w:t>
      </w:r>
    </w:p>
    <w:p w14:paraId="58F96915" w14:textId="77777777" w:rsidR="00253972" w:rsidRPr="00AA02AF" w:rsidRDefault="00253972" w:rsidP="00253972">
      <w:pPr>
        <w:spacing w:after="0" w:line="276" w:lineRule="auto"/>
        <w:ind w:firstLine="709"/>
        <w:jc w:val="both"/>
        <w:rPr>
          <w:rFonts w:ascii="Verdana" w:eastAsia="Calibri" w:hAnsi="Verdana" w:cs="Arial"/>
          <w:lang w:val="es-ES" w:eastAsia="es-ES"/>
        </w:rPr>
      </w:pPr>
      <w:r w:rsidRPr="00AA02A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AA02AF">
        <w:t xml:space="preserve"> </w:t>
      </w:r>
    </w:p>
    <w:p w14:paraId="73412F41" w14:textId="77777777" w:rsidR="00253972" w:rsidRPr="00AA02AF" w:rsidRDefault="00253972" w:rsidP="00253972">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26BECEA5" w14:textId="77777777" w:rsidR="00253972" w:rsidRPr="00AA02AF" w:rsidRDefault="00253972" w:rsidP="0025397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AA02AF">
        <w:rPr>
          <w:rFonts w:ascii="Verdana" w:eastAsia="Century Gothic" w:hAnsi="Verdana" w:cs="Century Gothic"/>
          <w:b/>
          <w:bCs/>
        </w:rPr>
        <w:t>Problema jurídico planteado:</w:t>
      </w:r>
    </w:p>
    <w:p w14:paraId="010A5781" w14:textId="77777777" w:rsidR="00253972" w:rsidRPr="00AA02AF" w:rsidRDefault="00253972" w:rsidP="00253972">
      <w:pPr>
        <w:pStyle w:val="Prrafodelista"/>
        <w:tabs>
          <w:tab w:val="left" w:pos="142"/>
          <w:tab w:val="left" w:pos="284"/>
        </w:tabs>
        <w:spacing w:after="0" w:line="276" w:lineRule="auto"/>
        <w:ind w:left="0"/>
        <w:jc w:val="both"/>
        <w:rPr>
          <w:rFonts w:ascii="Verdana" w:eastAsia="Century Gothic" w:hAnsi="Verdana" w:cs="Century Gothic"/>
          <w:b/>
          <w:bCs/>
        </w:rPr>
      </w:pPr>
    </w:p>
    <w:p w14:paraId="04CB8EE3" w14:textId="1CF8728C" w:rsidR="00253972" w:rsidRPr="00AA02AF" w:rsidRDefault="00253972" w:rsidP="00253972">
      <w:pPr>
        <w:spacing w:after="0" w:line="276" w:lineRule="auto"/>
        <w:jc w:val="both"/>
        <w:rPr>
          <w:rFonts w:ascii="Verdana" w:hAnsi="Verdana"/>
          <w:lang w:val="es-ES"/>
        </w:rPr>
      </w:pPr>
      <w:r w:rsidRPr="00AA02AF">
        <w:rPr>
          <w:rFonts w:ascii="Verdana" w:eastAsia="Calibri" w:hAnsi="Verdana" w:cs="Arial"/>
          <w:lang w:eastAsia="es-ES"/>
        </w:rPr>
        <w:t>De acuerdo con el contenido de su solicitud, esta Agencia resolverá el siguiente problema jurídico</w:t>
      </w:r>
      <w:bookmarkStart w:id="7" w:name="_Hlk196737317"/>
      <w:r w:rsidRPr="00AA02AF">
        <w:rPr>
          <w:rFonts w:ascii="Verdana" w:eastAsia="Calibri" w:hAnsi="Verdana" w:cs="Arial"/>
          <w:lang w:eastAsia="es-ES"/>
        </w:rPr>
        <w:t xml:space="preserve">: </w:t>
      </w:r>
      <w:proofErr w:type="gramStart"/>
      <w:r w:rsidRPr="00AA02AF">
        <w:rPr>
          <w:rFonts w:ascii="Verdana" w:hAnsi="Verdana"/>
          <w:lang w:val="es-ES"/>
        </w:rPr>
        <w:t>¿</w:t>
      </w:r>
      <w:r w:rsidR="00412806" w:rsidRPr="00AA02AF">
        <w:t xml:space="preserve"> </w:t>
      </w:r>
      <w:r w:rsidR="00412806" w:rsidRPr="00AA02AF">
        <w:rPr>
          <w:rFonts w:ascii="Verdana" w:hAnsi="Verdana"/>
          <w:lang w:val="es-ES"/>
        </w:rPr>
        <w:t>Debe</w:t>
      </w:r>
      <w:proofErr w:type="gramEnd"/>
      <w:r w:rsidR="00412806" w:rsidRPr="00AA02AF">
        <w:rPr>
          <w:rFonts w:ascii="Verdana" w:hAnsi="Verdana"/>
          <w:lang w:val="es-ES"/>
        </w:rPr>
        <w:t xml:space="preserve"> la Empresa presentar necesariamente el estado de resultados integral correspondiente al ejercicio en que obtuvo el mayor ingreso operacional de los últimos cinco años, o puede elegir con menor ingreso operacional, </w:t>
      </w:r>
      <w:r w:rsidR="000E1033" w:rsidRPr="00AA02AF">
        <w:rPr>
          <w:rFonts w:ascii="Verdana" w:hAnsi="Verdana"/>
          <w:lang w:val="es-ES"/>
        </w:rPr>
        <w:t>-</w:t>
      </w:r>
      <w:r w:rsidR="00412806" w:rsidRPr="00AA02AF">
        <w:rPr>
          <w:rFonts w:ascii="Verdana" w:hAnsi="Verdana"/>
          <w:lang w:val="es-ES"/>
        </w:rPr>
        <w:t>siempre que dicho nivel de ingresos sea suficiente para cumplir con la capacidad residual exigida para el proyecto</w:t>
      </w:r>
      <w:r w:rsidRPr="00AA02AF">
        <w:rPr>
          <w:rFonts w:ascii="Verdana" w:hAnsi="Verdana"/>
          <w:lang w:val="es-ES"/>
        </w:rPr>
        <w:t xml:space="preserve">? </w:t>
      </w:r>
    </w:p>
    <w:p w14:paraId="10355596" w14:textId="77777777" w:rsidR="00253972" w:rsidRPr="00AA02AF" w:rsidRDefault="00253972" w:rsidP="00253972">
      <w:pPr>
        <w:pStyle w:val="Prrafodelista"/>
        <w:tabs>
          <w:tab w:val="left" w:pos="142"/>
          <w:tab w:val="left" w:pos="284"/>
        </w:tabs>
        <w:spacing w:after="0" w:line="276" w:lineRule="auto"/>
        <w:ind w:left="0"/>
        <w:jc w:val="both"/>
        <w:rPr>
          <w:rFonts w:ascii="Verdana" w:eastAsia="Calibri" w:hAnsi="Verdana" w:cs="Arial"/>
          <w:lang w:eastAsia="es-ES"/>
        </w:rPr>
      </w:pPr>
      <w:r w:rsidRPr="00AA02AF">
        <w:rPr>
          <w:rFonts w:ascii="Verdana" w:hAnsi="Verdana"/>
        </w:rPr>
        <w:t xml:space="preserve">  </w:t>
      </w:r>
    </w:p>
    <w:bookmarkEnd w:id="7"/>
    <w:p w14:paraId="69212687" w14:textId="77777777" w:rsidR="00253972" w:rsidRPr="00AA02AF" w:rsidRDefault="00253972" w:rsidP="0025397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2AF">
        <w:rPr>
          <w:rFonts w:ascii="Verdana" w:eastAsia="Century Gothic" w:hAnsi="Verdana" w:cs="Century Gothic"/>
          <w:b/>
          <w:bCs/>
        </w:rPr>
        <w:t>Respuesta:</w:t>
      </w:r>
    </w:p>
    <w:p w14:paraId="37CFEB1B" w14:textId="77777777" w:rsidR="00253972" w:rsidRPr="00AA02AF" w:rsidRDefault="00253972" w:rsidP="0025397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53972" w:rsidRPr="00AA02AF" w14:paraId="323C47FF" w14:textId="77777777" w:rsidTr="00381A88">
        <w:tc>
          <w:tcPr>
            <w:tcW w:w="8828" w:type="dxa"/>
          </w:tcPr>
          <w:p w14:paraId="3E7B4399" w14:textId="77777777" w:rsidR="00253972" w:rsidRPr="00AA02AF" w:rsidRDefault="00253972" w:rsidP="00381A88">
            <w:pPr>
              <w:spacing w:line="276" w:lineRule="auto"/>
              <w:jc w:val="both"/>
              <w:rPr>
                <w:rFonts w:ascii="Verdana" w:eastAsia="Calibri" w:hAnsi="Verdana" w:cs="Times New Roman"/>
              </w:rPr>
            </w:pPr>
            <w:r w:rsidRPr="00AA02AF">
              <w:rPr>
                <w:rFonts w:ascii="Verdana" w:eastAsia="Calibri" w:hAnsi="Verdana" w:cs="Arial"/>
                <w:lang w:eastAsia="es-ES"/>
              </w:rPr>
              <w:t xml:space="preserve">        </w:t>
            </w:r>
            <w:r w:rsidRPr="00AA02AF">
              <w:rPr>
                <w:rFonts w:ascii="Verdana" w:eastAsia="Calibri" w:hAnsi="Verdana" w:cs="Times New Roman"/>
              </w:rPr>
              <w:t xml:space="preserve">         </w:t>
            </w:r>
          </w:p>
          <w:p w14:paraId="19DD27CA" w14:textId="77777777" w:rsidR="00253972" w:rsidRPr="00AA02AF" w:rsidRDefault="00253972" w:rsidP="00381A88">
            <w:pPr>
              <w:widowControl w:val="0"/>
              <w:spacing w:after="120" w:line="276" w:lineRule="auto"/>
              <w:jc w:val="both"/>
              <w:rPr>
                <w:rFonts w:ascii="Verdana" w:eastAsia="Arial" w:hAnsi="Verdana" w:cs="Arial"/>
              </w:rPr>
            </w:pPr>
            <w:bookmarkStart w:id="8" w:name="_Hlk82170746"/>
            <w:r w:rsidRPr="00AA02AF">
              <w:rPr>
                <w:rFonts w:ascii="Verdana" w:eastAsia="Arial" w:hAnsi="Verdana" w:cs="Arial"/>
              </w:rPr>
              <w:t xml:space="preserve">        </w:t>
            </w:r>
            <w:bookmarkEnd w:id="8"/>
            <w:r w:rsidRPr="00AA02AF">
              <w:rPr>
                <w:rFonts w:ascii="Verdana" w:eastAsia="Arial" w:hAnsi="Verdana" w:cs="Arial"/>
              </w:rPr>
              <w:t xml:space="preserve">De manera preliminar, es pertinente señalar que el artículo 2.2.1.1.1.6.4 del Decreto 1082 de 2015, establece las generalidades de la capacidad residual como requisito habilitante en los procesos de selección para la adquisición de servicios de obra. Conforme a dicha disposición, quien pretenda celebrar </w:t>
            </w:r>
            <w:r w:rsidRPr="00AA02AF">
              <w:rPr>
                <w:rFonts w:ascii="Verdana" w:eastAsia="Arial" w:hAnsi="Verdana" w:cs="Arial"/>
              </w:rPr>
              <w:lastRenderedPageBreak/>
              <w:t>contratos de obra pública con entidades estatales debe acreditar su capacidad residual o K de contratación en los términos allí previstos.</w:t>
            </w:r>
          </w:p>
          <w:p w14:paraId="544C36BD" w14:textId="77777777" w:rsidR="00253972" w:rsidRPr="00AA02AF" w:rsidRDefault="00253972" w:rsidP="00381A88">
            <w:pPr>
              <w:widowControl w:val="0"/>
              <w:spacing w:after="120" w:line="276" w:lineRule="auto"/>
              <w:jc w:val="both"/>
              <w:rPr>
                <w:rFonts w:ascii="Verdana" w:eastAsia="Arial" w:hAnsi="Verdana" w:cs="Arial"/>
              </w:rPr>
            </w:pPr>
            <w:r w:rsidRPr="00AA02AF">
              <w:rPr>
                <w:rFonts w:ascii="Verdana" w:eastAsia="Arial" w:hAnsi="Verdana" w:cs="Arial"/>
              </w:rPr>
              <w:t xml:space="preserve">       De igual manera, el citado artículo estableció que 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0ADCE002" w14:textId="77777777" w:rsidR="00253972" w:rsidRPr="00AA02AF" w:rsidRDefault="00253972" w:rsidP="00381A88">
            <w:pPr>
              <w:widowControl w:val="0"/>
              <w:spacing w:after="120" w:line="276" w:lineRule="auto"/>
              <w:jc w:val="both"/>
              <w:rPr>
                <w:rFonts w:ascii="Verdana" w:eastAsia="Arial" w:hAnsi="Verdana" w:cs="Arial"/>
              </w:rPr>
            </w:pPr>
            <w:r w:rsidRPr="00AA02AF">
              <w:rPr>
                <w:rFonts w:ascii="Verdana" w:eastAsia="Arial" w:hAnsi="Verdana" w:cs="Arial"/>
              </w:rPr>
              <w:t xml:space="preserve">          Como resultado de lo anterior, la Agencia Nacional de Contratación Pública – Colombia Compra Eficiente expidió la “Guía para determinar y verificar la capacidad residual del proponente en los procesos de contratación de obra pública”</w:t>
            </w:r>
            <w:r w:rsidRPr="00AA02AF">
              <w:rPr>
                <w:rStyle w:val="Refdenotaalpie"/>
                <w:rFonts w:ascii="Verdana" w:eastAsia="Arial" w:hAnsi="Verdana" w:cs="Arial"/>
              </w:rPr>
              <w:footnoteReference w:id="1"/>
            </w:r>
            <w:r w:rsidRPr="00AA02AF">
              <w:rPr>
                <w:rFonts w:ascii="Verdana" w:eastAsia="Arial" w:hAnsi="Verdana" w:cs="Arial"/>
              </w:rPr>
              <w:t xml:space="preserve"> , mediante la cual se establece la metodología para el cálculo de la capacidad residual, la cual resulta de obligatoria observancia tanto para entidades como oferentes en los Procesos de Contratación de obra pública.</w:t>
            </w:r>
          </w:p>
          <w:p w14:paraId="568A5D0E" w14:textId="77777777" w:rsidR="00253972" w:rsidRPr="00AA02AF" w:rsidRDefault="00253972" w:rsidP="00381A88">
            <w:pPr>
              <w:widowControl w:val="0"/>
              <w:spacing w:after="120" w:line="276" w:lineRule="auto"/>
              <w:jc w:val="both"/>
              <w:rPr>
                <w:rFonts w:ascii="Verdana" w:eastAsia="Arial" w:hAnsi="Verdana" w:cs="Arial"/>
              </w:rPr>
            </w:pPr>
            <w:r w:rsidRPr="00AA02AF">
              <w:rPr>
                <w:rFonts w:ascii="Verdana" w:eastAsia="Arial" w:hAnsi="Verdana" w:cs="Arial"/>
              </w:rPr>
              <w:t xml:space="preserve">         De acuerdo con los lineamientos de la Guía, el cálculo de la capacidad residual exige que el proponente demuestre que su operación o actividad comercial le permite asumir nuevas obligaciones derivadas del contrato objeto del proceso de contratación; en este contexto, y en atención a su petición, resulta pertinente destacar los lineamientos metodológicos allí previstos respecto de la Capacidad de Organización (CO).</w:t>
            </w:r>
          </w:p>
          <w:p w14:paraId="1520C1FF" w14:textId="77777777" w:rsidR="00253972" w:rsidRPr="00AA02AF" w:rsidRDefault="00253972" w:rsidP="00381A88">
            <w:pPr>
              <w:widowControl w:val="0"/>
              <w:spacing w:after="120" w:line="276" w:lineRule="auto"/>
              <w:jc w:val="both"/>
              <w:rPr>
                <w:rFonts w:ascii="Verdana" w:eastAsia="Arial" w:hAnsi="Verdana" w:cs="Arial"/>
              </w:rPr>
            </w:pPr>
            <w:r w:rsidRPr="00AA02AF">
              <w:rPr>
                <w:rFonts w:ascii="Verdana" w:eastAsia="Arial" w:hAnsi="Verdana" w:cs="Arial"/>
              </w:rPr>
              <w:t xml:space="preserve">         La primera consideración definida es que la Capacidad de Organización no tiene asignación de puntaje en la fórmula porque su unidad de medida es en pesos colombianos y constituye un factor multiplicador de los demás factores.</w:t>
            </w:r>
          </w:p>
          <w:p w14:paraId="24BF1A4C" w14:textId="77777777" w:rsidR="00253972" w:rsidRPr="00AA02AF" w:rsidRDefault="00253972" w:rsidP="00381A88">
            <w:pPr>
              <w:widowControl w:val="0"/>
              <w:spacing w:after="120" w:line="276" w:lineRule="auto"/>
              <w:jc w:val="both"/>
              <w:rPr>
                <w:rFonts w:ascii="Verdana" w:eastAsia="Arial" w:hAnsi="Verdana" w:cs="Arial"/>
              </w:rPr>
            </w:pPr>
            <w:r w:rsidRPr="00AA02AF">
              <w:rPr>
                <w:rFonts w:ascii="Verdana" w:eastAsia="Arial" w:hAnsi="Verdana" w:cs="Arial"/>
              </w:rPr>
              <w:t xml:space="preserve">         En segunda instancia, la Guía establece cómo calcular la Capacidad de Organización (CO), para lo cual indica que la Capacidad de Organización (CO) corresponde a los ingresos operacionales, y para su determinación establece la siguiente metodología:</w:t>
            </w:r>
          </w:p>
          <w:tbl>
            <w:tblPr>
              <w:tblW w:w="0" w:type="auto"/>
              <w:jc w:val="center"/>
              <w:tblLook w:val="04A0" w:firstRow="1" w:lastRow="0" w:firstColumn="1" w:lastColumn="0" w:noHBand="0" w:noVBand="1"/>
            </w:tblPr>
            <w:tblGrid>
              <w:gridCol w:w="2630"/>
              <w:gridCol w:w="5305"/>
            </w:tblGrid>
            <w:tr w:rsidR="00253972" w:rsidRPr="00AA02AF" w14:paraId="50AE3B13" w14:textId="77777777" w:rsidTr="00381A88">
              <w:trPr>
                <w:trHeight w:val="218"/>
                <w:tblHeader/>
                <w:jc w:val="center"/>
              </w:trPr>
              <w:tc>
                <w:tcPr>
                  <w:tcW w:w="2630" w:type="dxa"/>
                  <w:tcBorders>
                    <w:top w:val="double" w:sz="4" w:space="0" w:color="auto"/>
                    <w:left w:val="double" w:sz="4" w:space="0" w:color="auto"/>
                    <w:bottom w:val="single" w:sz="6" w:space="0" w:color="000000" w:themeColor="text1"/>
                    <w:right w:val="single" w:sz="6" w:space="0" w:color="000000" w:themeColor="text1"/>
                  </w:tcBorders>
                  <w:shd w:val="clear" w:color="auto" w:fill="404040" w:themeFill="text1" w:themeFillTint="BF"/>
                  <w:vAlign w:val="center"/>
                  <w:hideMark/>
                </w:tcPr>
                <w:p w14:paraId="52609419" w14:textId="77777777" w:rsidR="00253972" w:rsidRPr="00AA02AF" w:rsidRDefault="00253972" w:rsidP="00381A88">
                  <w:pPr>
                    <w:autoSpaceDE w:val="0"/>
                    <w:autoSpaceDN w:val="0"/>
                    <w:adjustRightInd w:val="0"/>
                    <w:spacing w:after="0" w:line="276" w:lineRule="auto"/>
                    <w:jc w:val="center"/>
                    <w:rPr>
                      <w:rFonts w:ascii="Verdana" w:eastAsia="Arial" w:hAnsi="Verdana" w:cs="Arial"/>
                      <w:b/>
                      <w:bCs/>
                      <w:color w:val="FFFFFF" w:themeColor="background1"/>
                      <w:sz w:val="16"/>
                      <w:szCs w:val="16"/>
                    </w:rPr>
                  </w:pPr>
                  <w:r w:rsidRPr="00AA02AF">
                    <w:rPr>
                      <w:rFonts w:ascii="Verdana" w:hAnsi="Verdana" w:cs="Arial"/>
                      <w:b/>
                      <w:bCs/>
                      <w:color w:val="FFFFFF" w:themeColor="background1"/>
                      <w:sz w:val="16"/>
                      <w:szCs w:val="16"/>
                    </w:rPr>
                    <w:t>Años</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de</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información</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financiera</w:t>
                  </w:r>
                  <w:r w:rsidRPr="00AA02AF">
                    <w:rPr>
                      <w:rFonts w:ascii="Verdana" w:eastAsia="Arial" w:hAnsi="Verdana" w:cs="Arial"/>
                      <w:b/>
                      <w:bCs/>
                      <w:color w:val="FFFFFF" w:themeColor="background1"/>
                      <w:sz w:val="16"/>
                      <w:szCs w:val="16"/>
                    </w:rPr>
                    <w:t xml:space="preserve"> </w:t>
                  </w:r>
                </w:p>
              </w:tc>
              <w:tc>
                <w:tcPr>
                  <w:tcW w:w="5305" w:type="dxa"/>
                  <w:tcBorders>
                    <w:top w:val="double" w:sz="4" w:space="0" w:color="auto"/>
                    <w:left w:val="single" w:sz="6" w:space="0" w:color="000000" w:themeColor="text1"/>
                    <w:bottom w:val="single" w:sz="6" w:space="0" w:color="000000" w:themeColor="text1"/>
                    <w:right w:val="double" w:sz="4" w:space="0" w:color="auto"/>
                  </w:tcBorders>
                  <w:shd w:val="clear" w:color="auto" w:fill="404040" w:themeFill="text1" w:themeFillTint="BF"/>
                  <w:vAlign w:val="center"/>
                  <w:hideMark/>
                </w:tcPr>
                <w:p w14:paraId="5E1E6FA7" w14:textId="77777777" w:rsidR="00253972" w:rsidRPr="00AA02AF" w:rsidRDefault="00253972" w:rsidP="00381A88">
                  <w:pPr>
                    <w:autoSpaceDE w:val="0"/>
                    <w:autoSpaceDN w:val="0"/>
                    <w:adjustRightInd w:val="0"/>
                    <w:spacing w:after="0" w:line="276" w:lineRule="auto"/>
                    <w:jc w:val="center"/>
                    <w:rPr>
                      <w:rFonts w:ascii="Verdana" w:eastAsia="Arial" w:hAnsi="Verdana" w:cs="Arial"/>
                      <w:b/>
                      <w:bCs/>
                      <w:color w:val="FFFFFF" w:themeColor="background1"/>
                      <w:sz w:val="16"/>
                      <w:szCs w:val="16"/>
                    </w:rPr>
                  </w:pPr>
                  <w:r w:rsidRPr="00AA02AF">
                    <w:rPr>
                      <w:rFonts w:ascii="Verdana" w:hAnsi="Verdana" w:cs="Arial"/>
                      <w:b/>
                      <w:bCs/>
                      <w:color w:val="FFFFFF" w:themeColor="background1"/>
                      <w:sz w:val="16"/>
                      <w:szCs w:val="16"/>
                    </w:rPr>
                    <w:t>Capacidad</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de</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organización</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(CO)</w:t>
                  </w:r>
                  <w:r w:rsidRPr="00AA02AF">
                    <w:rPr>
                      <w:rFonts w:ascii="Verdana" w:eastAsia="Arial" w:hAnsi="Verdana" w:cs="Arial"/>
                      <w:b/>
                      <w:bCs/>
                      <w:color w:val="FFFFFF" w:themeColor="background1"/>
                      <w:sz w:val="16"/>
                      <w:szCs w:val="16"/>
                    </w:rPr>
                    <w:t xml:space="preserve"> </w:t>
                  </w:r>
                </w:p>
              </w:tc>
            </w:tr>
            <w:tr w:rsidR="00253972" w:rsidRPr="00AA02AF" w14:paraId="5B13719E" w14:textId="77777777" w:rsidTr="00381A88">
              <w:trPr>
                <w:trHeight w:val="391"/>
                <w:jc w:val="center"/>
              </w:trPr>
              <w:tc>
                <w:tcPr>
                  <w:tcW w:w="2630" w:type="dxa"/>
                  <w:tcBorders>
                    <w:top w:val="single" w:sz="6" w:space="0" w:color="000000" w:themeColor="text1"/>
                    <w:left w:val="double" w:sz="4" w:space="0" w:color="auto"/>
                    <w:bottom w:val="single" w:sz="6" w:space="0" w:color="000000" w:themeColor="text1"/>
                    <w:right w:val="single" w:sz="6" w:space="0" w:color="000000" w:themeColor="text1"/>
                  </w:tcBorders>
                  <w:vAlign w:val="center"/>
                  <w:hideMark/>
                </w:tcPr>
                <w:p w14:paraId="471D26D6"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Cinco</w:t>
                  </w:r>
                  <w:r w:rsidRPr="00AA02AF">
                    <w:rPr>
                      <w:rFonts w:ascii="Verdana" w:eastAsia="Arial" w:hAnsi="Verdana" w:cs="Arial"/>
                      <w:sz w:val="16"/>
                      <w:szCs w:val="16"/>
                    </w:rPr>
                    <w:t xml:space="preserve"> </w:t>
                  </w:r>
                  <w:r w:rsidRPr="00AA02AF">
                    <w:rPr>
                      <w:rFonts w:ascii="Verdana" w:hAnsi="Verdana" w:cs="Arial"/>
                      <w:sz w:val="16"/>
                      <w:szCs w:val="16"/>
                    </w:rPr>
                    <w:t>(5)</w:t>
                  </w:r>
                  <w:r w:rsidRPr="00AA02AF">
                    <w:rPr>
                      <w:rFonts w:ascii="Verdana" w:eastAsia="Arial" w:hAnsi="Verdana" w:cs="Arial"/>
                      <w:sz w:val="16"/>
                      <w:szCs w:val="16"/>
                    </w:rPr>
                    <w:t xml:space="preserve"> </w:t>
                  </w:r>
                  <w:r w:rsidRPr="00AA02AF">
                    <w:rPr>
                      <w:rFonts w:ascii="Verdana" w:hAnsi="Verdana" w:cs="Arial"/>
                      <w:sz w:val="16"/>
                      <w:szCs w:val="16"/>
                    </w:rPr>
                    <w:t>años</w:t>
                  </w:r>
                  <w:r w:rsidRPr="00AA02AF">
                    <w:rPr>
                      <w:rFonts w:ascii="Verdana" w:eastAsia="Arial" w:hAnsi="Verdana" w:cs="Arial"/>
                      <w:sz w:val="16"/>
                      <w:szCs w:val="16"/>
                    </w:rPr>
                    <w:t xml:space="preserve"> </w:t>
                  </w:r>
                  <w:r w:rsidRPr="00AA02AF">
                    <w:rPr>
                      <w:rFonts w:ascii="Verdana" w:hAnsi="Verdana" w:cs="Arial"/>
                      <w:sz w:val="16"/>
                      <w:szCs w:val="16"/>
                    </w:rPr>
                    <w:t>o</w:t>
                  </w:r>
                  <w:r w:rsidRPr="00AA02AF">
                    <w:rPr>
                      <w:rFonts w:ascii="Verdana" w:eastAsia="Arial" w:hAnsi="Verdana" w:cs="Arial"/>
                      <w:sz w:val="16"/>
                      <w:szCs w:val="16"/>
                    </w:rPr>
                    <w:t xml:space="preserve"> </w:t>
                  </w:r>
                  <w:r w:rsidRPr="00AA02AF">
                    <w:rPr>
                      <w:rFonts w:ascii="Verdana" w:hAnsi="Verdana" w:cs="Arial"/>
                      <w:sz w:val="16"/>
                      <w:szCs w:val="16"/>
                    </w:rPr>
                    <w:t>más</w:t>
                  </w:r>
                </w:p>
              </w:tc>
              <w:tc>
                <w:tcPr>
                  <w:tcW w:w="5305" w:type="dxa"/>
                  <w:tcBorders>
                    <w:top w:val="single" w:sz="6" w:space="0" w:color="000000" w:themeColor="text1"/>
                    <w:left w:val="single" w:sz="6" w:space="0" w:color="000000" w:themeColor="text1"/>
                    <w:bottom w:val="single" w:sz="6" w:space="0" w:color="000000" w:themeColor="text1"/>
                    <w:right w:val="double" w:sz="4" w:space="0" w:color="auto"/>
                  </w:tcBorders>
                  <w:hideMark/>
                </w:tcPr>
                <w:p w14:paraId="4467BEE7"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Mayor</w:t>
                  </w:r>
                  <w:r w:rsidRPr="00AA02AF">
                    <w:rPr>
                      <w:rFonts w:ascii="Verdana" w:eastAsia="Arial" w:hAnsi="Verdana" w:cs="Arial"/>
                      <w:sz w:val="16"/>
                      <w:szCs w:val="16"/>
                    </w:rPr>
                    <w:t xml:space="preserve"> </w:t>
                  </w:r>
                  <w:r w:rsidRPr="00AA02AF">
                    <w:rPr>
                      <w:rFonts w:ascii="Verdana" w:hAnsi="Verdana" w:cs="Arial"/>
                      <w:sz w:val="16"/>
                      <w:szCs w:val="16"/>
                    </w:rPr>
                    <w:t>ingreso</w:t>
                  </w:r>
                  <w:r w:rsidRPr="00AA02AF">
                    <w:rPr>
                      <w:rFonts w:ascii="Verdana" w:eastAsia="Arial" w:hAnsi="Verdana" w:cs="Arial"/>
                      <w:sz w:val="16"/>
                      <w:szCs w:val="16"/>
                    </w:rPr>
                    <w:t xml:space="preserve"> </w:t>
                  </w:r>
                  <w:r w:rsidRPr="00AA02AF">
                    <w:rPr>
                      <w:rFonts w:ascii="Verdana" w:hAnsi="Verdana" w:cs="Arial"/>
                      <w:sz w:val="16"/>
                      <w:szCs w:val="16"/>
                    </w:rPr>
                    <w:t>operacional</w:t>
                  </w:r>
                  <w:r w:rsidRPr="00AA02AF">
                    <w:rPr>
                      <w:rFonts w:ascii="Verdana" w:eastAsia="Arial" w:hAnsi="Verdana" w:cs="Arial"/>
                      <w:sz w:val="16"/>
                      <w:szCs w:val="16"/>
                    </w:rPr>
                    <w:t xml:space="preserve"> </w:t>
                  </w:r>
                  <w:r w:rsidRPr="00AA02AF">
                    <w:rPr>
                      <w:rFonts w:ascii="Verdana" w:hAnsi="Verdana" w:cs="Arial"/>
                      <w:sz w:val="16"/>
                      <w:szCs w:val="16"/>
                    </w:rPr>
                    <w:t>de</w:t>
                  </w:r>
                  <w:r w:rsidRPr="00AA02AF">
                    <w:rPr>
                      <w:rFonts w:ascii="Verdana" w:eastAsia="Arial" w:hAnsi="Verdana" w:cs="Arial"/>
                      <w:sz w:val="16"/>
                      <w:szCs w:val="16"/>
                    </w:rPr>
                    <w:t xml:space="preserve"> </w:t>
                  </w:r>
                  <w:r w:rsidRPr="00AA02AF">
                    <w:rPr>
                      <w:rFonts w:ascii="Verdana" w:hAnsi="Verdana" w:cs="Arial"/>
                      <w:sz w:val="16"/>
                      <w:szCs w:val="16"/>
                    </w:rPr>
                    <w:t>los</w:t>
                  </w:r>
                  <w:r w:rsidRPr="00AA02AF">
                    <w:rPr>
                      <w:rFonts w:ascii="Verdana" w:eastAsia="Arial" w:hAnsi="Verdana" w:cs="Arial"/>
                      <w:sz w:val="16"/>
                      <w:szCs w:val="16"/>
                    </w:rPr>
                    <w:t xml:space="preserve"> </w:t>
                  </w:r>
                  <w:r w:rsidRPr="00AA02AF">
                    <w:rPr>
                      <w:rFonts w:ascii="Verdana" w:hAnsi="Verdana" w:cs="Arial"/>
                      <w:sz w:val="16"/>
                      <w:szCs w:val="16"/>
                    </w:rPr>
                    <w:t>últimos</w:t>
                  </w:r>
                  <w:r w:rsidRPr="00AA02AF">
                    <w:rPr>
                      <w:rFonts w:ascii="Verdana" w:eastAsia="Arial" w:hAnsi="Verdana" w:cs="Arial"/>
                      <w:sz w:val="16"/>
                      <w:szCs w:val="16"/>
                    </w:rPr>
                    <w:t xml:space="preserve"> </w:t>
                  </w:r>
                  <w:r w:rsidRPr="00AA02AF">
                    <w:rPr>
                      <w:rFonts w:ascii="Verdana" w:hAnsi="Verdana" w:cs="Arial"/>
                      <w:sz w:val="16"/>
                      <w:szCs w:val="16"/>
                    </w:rPr>
                    <w:t>5</w:t>
                  </w:r>
                  <w:r w:rsidRPr="00AA02AF">
                    <w:rPr>
                      <w:rFonts w:ascii="Verdana" w:eastAsia="Arial" w:hAnsi="Verdana" w:cs="Arial"/>
                      <w:sz w:val="16"/>
                      <w:szCs w:val="16"/>
                    </w:rPr>
                    <w:t xml:space="preserve"> </w:t>
                  </w:r>
                  <w:r w:rsidRPr="00AA02AF">
                    <w:rPr>
                      <w:rFonts w:ascii="Verdana" w:hAnsi="Verdana" w:cs="Arial"/>
                      <w:sz w:val="16"/>
                      <w:szCs w:val="16"/>
                    </w:rPr>
                    <w:t>años</w:t>
                  </w:r>
                </w:p>
              </w:tc>
            </w:tr>
            <w:tr w:rsidR="00253972" w:rsidRPr="00AA02AF" w14:paraId="00697F8C" w14:textId="77777777" w:rsidTr="00381A88">
              <w:trPr>
                <w:trHeight w:val="241"/>
                <w:jc w:val="center"/>
              </w:trPr>
              <w:tc>
                <w:tcPr>
                  <w:tcW w:w="2630" w:type="dxa"/>
                  <w:tcBorders>
                    <w:top w:val="single" w:sz="6" w:space="0" w:color="000000" w:themeColor="text1"/>
                    <w:left w:val="double" w:sz="4" w:space="0" w:color="auto"/>
                    <w:bottom w:val="single" w:sz="6" w:space="0" w:color="000000" w:themeColor="text1"/>
                    <w:right w:val="single" w:sz="6" w:space="0" w:color="000000" w:themeColor="text1"/>
                  </w:tcBorders>
                  <w:vAlign w:val="center"/>
                  <w:hideMark/>
                </w:tcPr>
                <w:p w14:paraId="13FAA21A"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lastRenderedPageBreak/>
                    <w:t>Entre</w:t>
                  </w:r>
                  <w:r w:rsidRPr="00AA02AF">
                    <w:rPr>
                      <w:rFonts w:ascii="Verdana" w:eastAsia="Arial" w:hAnsi="Verdana" w:cs="Arial"/>
                      <w:sz w:val="16"/>
                      <w:szCs w:val="16"/>
                    </w:rPr>
                    <w:t xml:space="preserve"> </w:t>
                  </w:r>
                  <w:r w:rsidRPr="00AA02AF">
                    <w:rPr>
                      <w:rFonts w:ascii="Verdana" w:hAnsi="Verdana" w:cs="Arial"/>
                      <w:sz w:val="16"/>
                      <w:szCs w:val="16"/>
                    </w:rPr>
                    <w:t>uno</w:t>
                  </w:r>
                  <w:r w:rsidRPr="00AA02AF">
                    <w:rPr>
                      <w:rFonts w:ascii="Verdana" w:eastAsia="Arial" w:hAnsi="Verdana" w:cs="Arial"/>
                      <w:sz w:val="16"/>
                      <w:szCs w:val="16"/>
                    </w:rPr>
                    <w:t xml:space="preserve"> </w:t>
                  </w:r>
                  <w:r w:rsidRPr="00AA02AF">
                    <w:rPr>
                      <w:rFonts w:ascii="Verdana" w:hAnsi="Verdana" w:cs="Arial"/>
                      <w:sz w:val="16"/>
                      <w:szCs w:val="16"/>
                    </w:rPr>
                    <w:t>(1)</w:t>
                  </w:r>
                  <w:r w:rsidRPr="00AA02AF">
                    <w:rPr>
                      <w:rFonts w:ascii="Verdana" w:eastAsia="Arial" w:hAnsi="Verdana" w:cs="Arial"/>
                      <w:sz w:val="16"/>
                      <w:szCs w:val="16"/>
                    </w:rPr>
                    <w:t xml:space="preserve"> </w:t>
                  </w:r>
                  <w:r w:rsidRPr="00AA02AF">
                    <w:rPr>
                      <w:rFonts w:ascii="Verdana" w:hAnsi="Verdana" w:cs="Arial"/>
                      <w:sz w:val="16"/>
                      <w:szCs w:val="16"/>
                    </w:rPr>
                    <w:t>y</w:t>
                  </w:r>
                  <w:r w:rsidRPr="00AA02AF">
                    <w:rPr>
                      <w:rFonts w:ascii="Verdana" w:eastAsia="Arial" w:hAnsi="Verdana" w:cs="Arial"/>
                      <w:sz w:val="16"/>
                      <w:szCs w:val="16"/>
                    </w:rPr>
                    <w:t xml:space="preserve"> </w:t>
                  </w:r>
                  <w:r w:rsidRPr="00AA02AF">
                    <w:rPr>
                      <w:rFonts w:ascii="Verdana" w:hAnsi="Verdana" w:cs="Arial"/>
                      <w:sz w:val="16"/>
                      <w:szCs w:val="16"/>
                    </w:rPr>
                    <w:t>cinco</w:t>
                  </w:r>
                  <w:r w:rsidRPr="00AA02AF">
                    <w:rPr>
                      <w:rFonts w:ascii="Verdana" w:eastAsia="Arial" w:hAnsi="Verdana" w:cs="Arial"/>
                      <w:sz w:val="16"/>
                      <w:szCs w:val="16"/>
                    </w:rPr>
                    <w:t xml:space="preserve"> </w:t>
                  </w:r>
                  <w:r w:rsidRPr="00AA02AF">
                    <w:rPr>
                      <w:rFonts w:ascii="Verdana" w:hAnsi="Verdana" w:cs="Arial"/>
                      <w:sz w:val="16"/>
                      <w:szCs w:val="16"/>
                    </w:rPr>
                    <w:t>(5)</w:t>
                  </w:r>
                  <w:r w:rsidRPr="00AA02AF">
                    <w:rPr>
                      <w:rFonts w:ascii="Verdana" w:eastAsia="Arial" w:hAnsi="Verdana" w:cs="Arial"/>
                      <w:sz w:val="16"/>
                      <w:szCs w:val="16"/>
                    </w:rPr>
                    <w:t xml:space="preserve"> </w:t>
                  </w:r>
                  <w:r w:rsidRPr="00AA02AF">
                    <w:rPr>
                      <w:rFonts w:ascii="Verdana" w:hAnsi="Verdana" w:cs="Arial"/>
                      <w:sz w:val="16"/>
                      <w:szCs w:val="16"/>
                    </w:rPr>
                    <w:t>años</w:t>
                  </w:r>
                </w:p>
              </w:tc>
              <w:tc>
                <w:tcPr>
                  <w:tcW w:w="5305" w:type="dxa"/>
                  <w:tcBorders>
                    <w:top w:val="single" w:sz="6" w:space="0" w:color="000000" w:themeColor="text1"/>
                    <w:left w:val="single" w:sz="6" w:space="0" w:color="000000" w:themeColor="text1"/>
                    <w:bottom w:val="single" w:sz="6" w:space="0" w:color="000000" w:themeColor="text1"/>
                    <w:right w:val="double" w:sz="4" w:space="0" w:color="auto"/>
                  </w:tcBorders>
                  <w:hideMark/>
                </w:tcPr>
                <w:p w14:paraId="112981E9"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Mayor</w:t>
                  </w:r>
                  <w:r w:rsidRPr="00AA02AF">
                    <w:rPr>
                      <w:rFonts w:ascii="Verdana" w:eastAsia="Arial" w:hAnsi="Verdana" w:cs="Arial"/>
                      <w:sz w:val="16"/>
                      <w:szCs w:val="16"/>
                    </w:rPr>
                    <w:t xml:space="preserve"> </w:t>
                  </w:r>
                  <w:r w:rsidRPr="00AA02AF">
                    <w:rPr>
                      <w:rFonts w:ascii="Verdana" w:hAnsi="Verdana" w:cs="Arial"/>
                      <w:sz w:val="16"/>
                      <w:szCs w:val="16"/>
                    </w:rPr>
                    <w:t>ingreso</w:t>
                  </w:r>
                  <w:r w:rsidRPr="00AA02AF">
                    <w:rPr>
                      <w:rFonts w:ascii="Verdana" w:eastAsia="Arial" w:hAnsi="Verdana" w:cs="Arial"/>
                      <w:sz w:val="16"/>
                      <w:szCs w:val="16"/>
                    </w:rPr>
                    <w:t xml:space="preserve"> </w:t>
                  </w:r>
                  <w:r w:rsidRPr="00AA02AF">
                    <w:rPr>
                      <w:rFonts w:ascii="Verdana" w:hAnsi="Verdana" w:cs="Arial"/>
                      <w:sz w:val="16"/>
                      <w:szCs w:val="16"/>
                    </w:rPr>
                    <w:t>operacional</w:t>
                  </w:r>
                  <w:r w:rsidRPr="00AA02AF">
                    <w:rPr>
                      <w:rFonts w:ascii="Verdana" w:eastAsia="Arial" w:hAnsi="Verdana" w:cs="Arial"/>
                      <w:sz w:val="16"/>
                      <w:szCs w:val="16"/>
                    </w:rPr>
                    <w:t xml:space="preserve"> </w:t>
                  </w:r>
                  <w:r w:rsidRPr="00AA02AF">
                    <w:rPr>
                      <w:rFonts w:ascii="Verdana" w:hAnsi="Verdana" w:cs="Arial"/>
                      <w:sz w:val="16"/>
                      <w:szCs w:val="16"/>
                    </w:rPr>
                    <w:t>de</w:t>
                  </w:r>
                  <w:r w:rsidRPr="00AA02AF">
                    <w:rPr>
                      <w:rFonts w:ascii="Verdana" w:eastAsia="Arial" w:hAnsi="Verdana" w:cs="Arial"/>
                      <w:sz w:val="16"/>
                      <w:szCs w:val="16"/>
                    </w:rPr>
                    <w:t xml:space="preserve"> </w:t>
                  </w:r>
                  <w:r w:rsidRPr="00AA02AF">
                    <w:rPr>
                      <w:rFonts w:ascii="Verdana" w:hAnsi="Verdana" w:cs="Arial"/>
                      <w:sz w:val="16"/>
                      <w:szCs w:val="16"/>
                    </w:rPr>
                    <w:t xml:space="preserve">los años de existencia del proponente. </w:t>
                  </w:r>
                </w:p>
              </w:tc>
            </w:tr>
            <w:tr w:rsidR="00253972" w:rsidRPr="00AA02AF" w14:paraId="7190658D" w14:textId="77777777" w:rsidTr="00381A88">
              <w:trPr>
                <w:trHeight w:val="245"/>
                <w:jc w:val="center"/>
              </w:trPr>
              <w:tc>
                <w:tcPr>
                  <w:tcW w:w="2630" w:type="dxa"/>
                  <w:tcBorders>
                    <w:top w:val="single" w:sz="6" w:space="0" w:color="000000" w:themeColor="text1"/>
                    <w:left w:val="double" w:sz="4" w:space="0" w:color="auto"/>
                    <w:bottom w:val="double" w:sz="4" w:space="0" w:color="auto"/>
                    <w:right w:val="single" w:sz="6" w:space="0" w:color="000000" w:themeColor="text1"/>
                  </w:tcBorders>
                  <w:vAlign w:val="center"/>
                  <w:hideMark/>
                </w:tcPr>
                <w:p w14:paraId="6A4EBE4D"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Menos</w:t>
                  </w:r>
                  <w:r w:rsidRPr="00AA02AF">
                    <w:rPr>
                      <w:rFonts w:ascii="Verdana" w:eastAsia="Arial" w:hAnsi="Verdana" w:cs="Arial"/>
                      <w:sz w:val="16"/>
                      <w:szCs w:val="16"/>
                    </w:rPr>
                    <w:t xml:space="preserve"> </w:t>
                  </w:r>
                  <w:r w:rsidRPr="00AA02AF">
                    <w:rPr>
                      <w:rFonts w:ascii="Verdana" w:hAnsi="Verdana" w:cs="Arial"/>
                      <w:sz w:val="16"/>
                      <w:szCs w:val="16"/>
                    </w:rPr>
                    <w:t>de</w:t>
                  </w:r>
                  <w:r w:rsidRPr="00AA02AF">
                    <w:rPr>
                      <w:rFonts w:ascii="Verdana" w:eastAsia="Arial" w:hAnsi="Verdana" w:cs="Arial"/>
                      <w:sz w:val="16"/>
                      <w:szCs w:val="16"/>
                    </w:rPr>
                    <w:t xml:space="preserve"> </w:t>
                  </w:r>
                  <w:r w:rsidRPr="00AA02AF">
                    <w:rPr>
                      <w:rFonts w:ascii="Verdana" w:hAnsi="Verdana" w:cs="Arial"/>
                      <w:sz w:val="16"/>
                      <w:szCs w:val="16"/>
                    </w:rPr>
                    <w:t>un</w:t>
                  </w:r>
                  <w:r w:rsidRPr="00AA02AF">
                    <w:rPr>
                      <w:rFonts w:ascii="Verdana" w:eastAsia="Arial" w:hAnsi="Verdana" w:cs="Arial"/>
                      <w:sz w:val="16"/>
                      <w:szCs w:val="16"/>
                    </w:rPr>
                    <w:t xml:space="preserve"> </w:t>
                  </w:r>
                  <w:r w:rsidRPr="00AA02AF">
                    <w:rPr>
                      <w:rFonts w:ascii="Verdana" w:hAnsi="Verdana" w:cs="Arial"/>
                      <w:sz w:val="16"/>
                      <w:szCs w:val="16"/>
                    </w:rPr>
                    <w:t>(1)</w:t>
                  </w:r>
                  <w:r w:rsidRPr="00AA02AF">
                    <w:rPr>
                      <w:rFonts w:ascii="Verdana" w:eastAsia="Arial" w:hAnsi="Verdana" w:cs="Arial"/>
                      <w:sz w:val="16"/>
                      <w:szCs w:val="16"/>
                    </w:rPr>
                    <w:t xml:space="preserve"> </w:t>
                  </w:r>
                  <w:r w:rsidRPr="00AA02AF">
                    <w:rPr>
                      <w:rFonts w:ascii="Verdana" w:hAnsi="Verdana" w:cs="Arial"/>
                      <w:sz w:val="16"/>
                      <w:szCs w:val="16"/>
                    </w:rPr>
                    <w:t>año</w:t>
                  </w:r>
                  <w:r w:rsidRPr="00AA02AF">
                    <w:rPr>
                      <w:rFonts w:ascii="Verdana" w:eastAsia="Arial" w:hAnsi="Verdana" w:cs="Arial"/>
                      <w:sz w:val="16"/>
                      <w:szCs w:val="16"/>
                    </w:rPr>
                    <w:t xml:space="preserve"> (*)</w:t>
                  </w:r>
                </w:p>
              </w:tc>
              <w:tc>
                <w:tcPr>
                  <w:tcW w:w="5305" w:type="dxa"/>
                  <w:tcBorders>
                    <w:top w:val="single" w:sz="6" w:space="0" w:color="000000" w:themeColor="text1"/>
                    <w:left w:val="single" w:sz="6" w:space="0" w:color="000000" w:themeColor="text1"/>
                    <w:bottom w:val="double" w:sz="4" w:space="0" w:color="auto"/>
                    <w:right w:val="double" w:sz="4" w:space="0" w:color="auto"/>
                  </w:tcBorders>
                  <w:hideMark/>
                </w:tcPr>
                <w:p w14:paraId="69E782C3"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USD</w:t>
                  </w:r>
                  <w:r w:rsidRPr="00AA02AF">
                    <w:rPr>
                      <w:rFonts w:ascii="Verdana" w:eastAsia="Arial" w:hAnsi="Verdana" w:cs="Arial"/>
                      <w:sz w:val="16"/>
                      <w:szCs w:val="16"/>
                    </w:rPr>
                    <w:t xml:space="preserve"> </w:t>
                  </w:r>
                  <w:r w:rsidRPr="00AA02AF">
                    <w:rPr>
                      <w:rFonts w:ascii="Verdana" w:hAnsi="Verdana" w:cs="Arial"/>
                      <w:sz w:val="16"/>
                      <w:szCs w:val="16"/>
                    </w:rPr>
                    <w:t>125.000</w:t>
                  </w:r>
                  <w:r w:rsidRPr="00AA02AF">
                    <w:rPr>
                      <w:rFonts w:ascii="Verdana" w:eastAsia="Arial" w:hAnsi="Verdana" w:cs="Arial"/>
                      <w:sz w:val="16"/>
                      <w:szCs w:val="16"/>
                    </w:rPr>
                    <w:t xml:space="preserve"> (</w:t>
                  </w:r>
                  <w:r w:rsidRPr="00AA02AF">
                    <w:rPr>
                      <w:rFonts w:ascii="Verdana" w:hAnsi="Verdana" w:cs="Arial"/>
                      <w:sz w:val="16"/>
                      <w:szCs w:val="16"/>
                    </w:rPr>
                    <w:t xml:space="preserve">Liquidados a la tasa de cambio determinada por el Ministerio de Comercio, Industria y Turismo cada 2 años para efectos del umbral del beneficio de las </w:t>
                  </w:r>
                  <w:proofErr w:type="spellStart"/>
                  <w:r w:rsidRPr="00AA02AF">
                    <w:rPr>
                      <w:rFonts w:ascii="Verdana" w:hAnsi="Verdana" w:cs="Arial"/>
                      <w:sz w:val="16"/>
                      <w:szCs w:val="16"/>
                    </w:rPr>
                    <w:t>Mipyme</w:t>
                  </w:r>
                  <w:proofErr w:type="spellEnd"/>
                  <w:r w:rsidRPr="00AA02AF">
                    <w:rPr>
                      <w:rFonts w:ascii="Verdana" w:hAnsi="Verdana" w:cs="Arial"/>
                      <w:sz w:val="16"/>
                      <w:szCs w:val="16"/>
                    </w:rPr>
                    <w:t>.</w:t>
                  </w:r>
                  <w:r w:rsidRPr="00AA02AF">
                    <w:rPr>
                      <w:rFonts w:ascii="Verdana" w:eastAsia="Arial" w:hAnsi="Verdana" w:cs="Arial"/>
                      <w:sz w:val="16"/>
                      <w:szCs w:val="16"/>
                    </w:rPr>
                    <w:t>)</w:t>
                  </w:r>
                </w:p>
              </w:tc>
            </w:tr>
          </w:tbl>
          <w:p w14:paraId="4B94D5F2" w14:textId="77777777" w:rsidR="00253972" w:rsidRPr="00AA02AF" w:rsidRDefault="00253972" w:rsidP="00381A88">
            <w:pPr>
              <w:widowControl w:val="0"/>
              <w:spacing w:after="120" w:line="276" w:lineRule="auto"/>
              <w:ind w:left="306" w:right="367"/>
              <w:jc w:val="both"/>
              <w:rPr>
                <w:rFonts w:ascii="Verdana" w:eastAsia="Arial" w:hAnsi="Verdana" w:cs="Arial"/>
                <w:sz w:val="16"/>
                <w:szCs w:val="16"/>
              </w:rPr>
            </w:pPr>
            <w:r w:rsidRPr="00AA02AF">
              <w:rPr>
                <w:rFonts w:ascii="Verdana" w:eastAsia="Arial" w:hAnsi="Verdana" w:cs="Arial"/>
                <w:sz w:val="16"/>
                <w:szCs w:val="16"/>
              </w:rPr>
              <w:t xml:space="preserve">*Si los ingresos operacionales del proponente con uno (1) o más años de información financiera es menor a USD 125.000, la Capacidad de Organización (CO) del proponente es igual a USD 125.000.  </w:t>
            </w:r>
          </w:p>
          <w:p w14:paraId="27E08B58" w14:textId="77777777" w:rsidR="00253972" w:rsidRPr="00AA02AF" w:rsidRDefault="00253972" w:rsidP="00381A88">
            <w:pPr>
              <w:widowControl w:val="0"/>
              <w:spacing w:after="120" w:line="276" w:lineRule="auto"/>
              <w:jc w:val="both"/>
              <w:rPr>
                <w:rFonts w:ascii="Verdana" w:eastAsia="Arial" w:hAnsi="Verdana" w:cs="Arial"/>
              </w:rPr>
            </w:pPr>
            <w:r w:rsidRPr="00AA02AF">
              <w:rPr>
                <w:rFonts w:ascii="Verdana" w:eastAsia="Arial" w:hAnsi="Verdana" w:cs="Arial"/>
              </w:rPr>
              <w:t xml:space="preserve">        Es de precisar que la Guía realiza las siguientes precisiones respecto a la información que debe presentar los proponentes obligados a tener RUP para acreditar el factor (CO):</w:t>
            </w:r>
          </w:p>
          <w:p w14:paraId="6C4E6E0E" w14:textId="77777777" w:rsidR="00253972" w:rsidRPr="00AA02AF" w:rsidRDefault="00253972" w:rsidP="00381A88">
            <w:pPr>
              <w:widowControl w:val="0"/>
              <w:spacing w:after="120" w:line="276" w:lineRule="auto"/>
              <w:jc w:val="both"/>
              <w:rPr>
                <w:rFonts w:ascii="Verdana" w:eastAsia="Arial" w:hAnsi="Verdana" w:cs="Arial"/>
              </w:rPr>
            </w:pPr>
            <w:r w:rsidRPr="00AA02AF">
              <w:rPr>
                <w:rFonts w:ascii="Verdana" w:eastAsia="Arial" w:hAnsi="Verdana" w:cs="Arial"/>
              </w:rPr>
              <w:t xml:space="preserve">        Estado de resultados integral (estado de resultado o pérdida o ganancias) del año en que hayan obtenido el mayor ingreso operacional en los últimos cinco (5) años o de los años de vida del oferente, según corresponda, debidamente firmado por el representante legal y el contador público bajo cuya responsabilidad se han preparado y por el revisor fiscal o, en caso de no haberlo, por no estar obligado a tenerlo, por contador público independiente, acompañados de su dictamen u opinión de conformidad con el artículo 38 de la Ley 222 de 1995. </w:t>
            </w:r>
          </w:p>
          <w:p w14:paraId="17E10D0B" w14:textId="77777777" w:rsidR="00253972" w:rsidRPr="00AA02AF" w:rsidRDefault="00253972" w:rsidP="00381A88">
            <w:pPr>
              <w:widowControl w:val="0"/>
              <w:spacing w:after="120" w:line="276" w:lineRule="auto"/>
              <w:jc w:val="both"/>
              <w:rPr>
                <w:rFonts w:ascii="Verdana" w:eastAsia="Arial" w:hAnsi="Verdana" w:cs="Arial"/>
              </w:rPr>
            </w:pPr>
            <w:r w:rsidRPr="00AA02AF">
              <w:rPr>
                <w:rFonts w:ascii="Verdana" w:eastAsia="Arial" w:hAnsi="Verdana" w:cs="Arial"/>
              </w:rPr>
              <w:tab/>
              <w:t xml:space="preserve">Copia de la tarjeta profesional y certificado de antecedentes disciplinarios vigentes de los Contadores Públicos, Revisores Fiscales, Contadores independientes (externos), quienes suscribieron los documentos señalados en el presente literal.  </w:t>
            </w:r>
          </w:p>
          <w:p w14:paraId="2FBE1F83" w14:textId="77777777" w:rsidR="00253972" w:rsidRPr="00AA02AF" w:rsidRDefault="00253972" w:rsidP="00381A88">
            <w:pPr>
              <w:widowControl w:val="0"/>
              <w:spacing w:after="120" w:line="276" w:lineRule="auto"/>
              <w:jc w:val="both"/>
              <w:rPr>
                <w:rFonts w:ascii="Verdana" w:eastAsia="Arial" w:hAnsi="Verdana" w:cs="Arial"/>
              </w:rPr>
            </w:pPr>
            <w:r w:rsidRPr="00AA02AF">
              <w:rPr>
                <w:rFonts w:ascii="Verdana" w:eastAsia="Arial" w:hAnsi="Verdana" w:cs="Arial"/>
              </w:rPr>
              <w:t xml:space="preserve">         Ahora bien, conforme con lo anteriormente reseñado, y en el marco de su consulta, es importante resaltar que la metodología definida por la Guía para establecer la capacidad de organización del proponente con base en los ingresos operacionales, no consideró realizar ningún ejercicio de indexación de la información por este concepto para realizar el cálculo de la capacidad residual, por el contrario, y amparada en lo definido en el Decreto 1082 de 2015, la metodología contempla la incorporación del mayor ingreso operacional en el marco de un periodo específico (dependiendo de la antigüedad del proponente) permitiendo así que el proponente pueda utilizar para el cálculo de la capacidad residual los mejores resultados  obtenidos en cuanto a los ingresos operacionales se refiere, como resultado del ejercicio de una empresa en un año específico dentro del periodo definido:</w:t>
            </w:r>
          </w:p>
          <w:tbl>
            <w:tblPr>
              <w:tblW w:w="0" w:type="auto"/>
              <w:jc w:val="center"/>
              <w:tblLook w:val="04A0" w:firstRow="1" w:lastRow="0" w:firstColumn="1" w:lastColumn="0" w:noHBand="0" w:noVBand="1"/>
            </w:tblPr>
            <w:tblGrid>
              <w:gridCol w:w="2630"/>
            </w:tblGrid>
            <w:tr w:rsidR="00253972" w:rsidRPr="00AA02AF" w14:paraId="3ED75BDB" w14:textId="77777777" w:rsidTr="00381A88">
              <w:trPr>
                <w:trHeight w:val="218"/>
                <w:tblHeader/>
                <w:jc w:val="center"/>
              </w:trPr>
              <w:tc>
                <w:tcPr>
                  <w:tcW w:w="2630" w:type="dxa"/>
                  <w:tcBorders>
                    <w:top w:val="double" w:sz="4" w:space="0" w:color="auto"/>
                    <w:left w:val="double" w:sz="4" w:space="0" w:color="auto"/>
                    <w:bottom w:val="single" w:sz="6" w:space="0" w:color="000000" w:themeColor="text1"/>
                    <w:right w:val="single" w:sz="6" w:space="0" w:color="000000" w:themeColor="text1"/>
                  </w:tcBorders>
                  <w:shd w:val="clear" w:color="auto" w:fill="404040" w:themeFill="text1" w:themeFillTint="BF"/>
                  <w:vAlign w:val="center"/>
                  <w:hideMark/>
                </w:tcPr>
                <w:p w14:paraId="2BCBA721" w14:textId="77777777" w:rsidR="00253972" w:rsidRPr="00AA02AF" w:rsidRDefault="00253972" w:rsidP="00381A88">
                  <w:pPr>
                    <w:autoSpaceDE w:val="0"/>
                    <w:autoSpaceDN w:val="0"/>
                    <w:adjustRightInd w:val="0"/>
                    <w:spacing w:after="0" w:line="276" w:lineRule="auto"/>
                    <w:jc w:val="center"/>
                    <w:rPr>
                      <w:rFonts w:ascii="Verdana" w:eastAsia="Arial" w:hAnsi="Verdana" w:cs="Arial"/>
                      <w:b/>
                      <w:bCs/>
                      <w:color w:val="FFFFFF" w:themeColor="background1"/>
                      <w:sz w:val="16"/>
                      <w:szCs w:val="16"/>
                    </w:rPr>
                  </w:pPr>
                  <w:r w:rsidRPr="00AA02AF">
                    <w:rPr>
                      <w:rFonts w:ascii="Verdana" w:hAnsi="Verdana" w:cs="Arial"/>
                      <w:b/>
                      <w:bCs/>
                      <w:color w:val="FFFFFF" w:themeColor="background1"/>
                      <w:sz w:val="16"/>
                      <w:szCs w:val="16"/>
                    </w:rPr>
                    <w:t>Años</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de</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información</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financiera</w:t>
                  </w:r>
                  <w:r w:rsidRPr="00AA02AF">
                    <w:rPr>
                      <w:rFonts w:ascii="Verdana" w:eastAsia="Arial" w:hAnsi="Verdana" w:cs="Arial"/>
                      <w:b/>
                      <w:bCs/>
                      <w:color w:val="FFFFFF" w:themeColor="background1"/>
                      <w:sz w:val="16"/>
                      <w:szCs w:val="16"/>
                    </w:rPr>
                    <w:t xml:space="preserve"> </w:t>
                  </w:r>
                </w:p>
              </w:tc>
            </w:tr>
            <w:tr w:rsidR="00253972" w:rsidRPr="00AA02AF" w14:paraId="78E274AF" w14:textId="77777777" w:rsidTr="00381A88">
              <w:trPr>
                <w:trHeight w:val="391"/>
                <w:jc w:val="center"/>
              </w:trPr>
              <w:tc>
                <w:tcPr>
                  <w:tcW w:w="2630" w:type="dxa"/>
                  <w:tcBorders>
                    <w:top w:val="single" w:sz="6" w:space="0" w:color="000000" w:themeColor="text1"/>
                    <w:left w:val="double" w:sz="4" w:space="0" w:color="auto"/>
                    <w:bottom w:val="single" w:sz="6" w:space="0" w:color="000000" w:themeColor="text1"/>
                    <w:right w:val="single" w:sz="6" w:space="0" w:color="000000" w:themeColor="text1"/>
                  </w:tcBorders>
                  <w:vAlign w:val="center"/>
                  <w:hideMark/>
                </w:tcPr>
                <w:p w14:paraId="66EBA33E"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Cinco</w:t>
                  </w:r>
                  <w:r w:rsidRPr="00AA02AF">
                    <w:rPr>
                      <w:rFonts w:ascii="Verdana" w:eastAsia="Arial" w:hAnsi="Verdana" w:cs="Arial"/>
                      <w:sz w:val="16"/>
                      <w:szCs w:val="16"/>
                    </w:rPr>
                    <w:t xml:space="preserve"> </w:t>
                  </w:r>
                  <w:r w:rsidRPr="00AA02AF">
                    <w:rPr>
                      <w:rFonts w:ascii="Verdana" w:hAnsi="Verdana" w:cs="Arial"/>
                      <w:sz w:val="16"/>
                      <w:szCs w:val="16"/>
                    </w:rPr>
                    <w:t>(5)</w:t>
                  </w:r>
                  <w:r w:rsidRPr="00AA02AF">
                    <w:rPr>
                      <w:rFonts w:ascii="Verdana" w:eastAsia="Arial" w:hAnsi="Verdana" w:cs="Arial"/>
                      <w:sz w:val="16"/>
                      <w:szCs w:val="16"/>
                    </w:rPr>
                    <w:t xml:space="preserve"> </w:t>
                  </w:r>
                  <w:r w:rsidRPr="00AA02AF">
                    <w:rPr>
                      <w:rFonts w:ascii="Verdana" w:hAnsi="Verdana" w:cs="Arial"/>
                      <w:sz w:val="16"/>
                      <w:szCs w:val="16"/>
                    </w:rPr>
                    <w:t>años</w:t>
                  </w:r>
                  <w:r w:rsidRPr="00AA02AF">
                    <w:rPr>
                      <w:rFonts w:ascii="Verdana" w:eastAsia="Arial" w:hAnsi="Verdana" w:cs="Arial"/>
                      <w:sz w:val="16"/>
                      <w:szCs w:val="16"/>
                    </w:rPr>
                    <w:t xml:space="preserve"> </w:t>
                  </w:r>
                  <w:r w:rsidRPr="00AA02AF">
                    <w:rPr>
                      <w:rFonts w:ascii="Verdana" w:hAnsi="Verdana" w:cs="Arial"/>
                      <w:sz w:val="16"/>
                      <w:szCs w:val="16"/>
                    </w:rPr>
                    <w:t>o</w:t>
                  </w:r>
                  <w:r w:rsidRPr="00AA02AF">
                    <w:rPr>
                      <w:rFonts w:ascii="Verdana" w:eastAsia="Arial" w:hAnsi="Verdana" w:cs="Arial"/>
                      <w:sz w:val="16"/>
                      <w:szCs w:val="16"/>
                    </w:rPr>
                    <w:t xml:space="preserve"> </w:t>
                  </w:r>
                  <w:r w:rsidRPr="00AA02AF">
                    <w:rPr>
                      <w:rFonts w:ascii="Verdana" w:hAnsi="Verdana" w:cs="Arial"/>
                      <w:sz w:val="16"/>
                      <w:szCs w:val="16"/>
                    </w:rPr>
                    <w:t>más</w:t>
                  </w:r>
                </w:p>
              </w:tc>
            </w:tr>
            <w:tr w:rsidR="00253972" w:rsidRPr="00AA02AF" w14:paraId="715CC0EF" w14:textId="77777777" w:rsidTr="00381A88">
              <w:trPr>
                <w:trHeight w:val="241"/>
                <w:jc w:val="center"/>
              </w:trPr>
              <w:tc>
                <w:tcPr>
                  <w:tcW w:w="2630" w:type="dxa"/>
                  <w:tcBorders>
                    <w:top w:val="single" w:sz="6" w:space="0" w:color="000000" w:themeColor="text1"/>
                    <w:left w:val="double" w:sz="4" w:space="0" w:color="auto"/>
                    <w:bottom w:val="single" w:sz="6" w:space="0" w:color="000000" w:themeColor="text1"/>
                    <w:right w:val="single" w:sz="6" w:space="0" w:color="000000" w:themeColor="text1"/>
                  </w:tcBorders>
                  <w:vAlign w:val="center"/>
                  <w:hideMark/>
                </w:tcPr>
                <w:p w14:paraId="22A364BF"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lastRenderedPageBreak/>
                    <w:t>Entre</w:t>
                  </w:r>
                  <w:r w:rsidRPr="00AA02AF">
                    <w:rPr>
                      <w:rFonts w:ascii="Verdana" w:eastAsia="Arial" w:hAnsi="Verdana" w:cs="Arial"/>
                      <w:sz w:val="16"/>
                      <w:szCs w:val="16"/>
                    </w:rPr>
                    <w:t xml:space="preserve"> </w:t>
                  </w:r>
                  <w:r w:rsidRPr="00AA02AF">
                    <w:rPr>
                      <w:rFonts w:ascii="Verdana" w:hAnsi="Verdana" w:cs="Arial"/>
                      <w:sz w:val="16"/>
                      <w:szCs w:val="16"/>
                    </w:rPr>
                    <w:t>uno</w:t>
                  </w:r>
                  <w:r w:rsidRPr="00AA02AF">
                    <w:rPr>
                      <w:rFonts w:ascii="Verdana" w:eastAsia="Arial" w:hAnsi="Verdana" w:cs="Arial"/>
                      <w:sz w:val="16"/>
                      <w:szCs w:val="16"/>
                    </w:rPr>
                    <w:t xml:space="preserve"> </w:t>
                  </w:r>
                  <w:r w:rsidRPr="00AA02AF">
                    <w:rPr>
                      <w:rFonts w:ascii="Verdana" w:hAnsi="Verdana" w:cs="Arial"/>
                      <w:sz w:val="16"/>
                      <w:szCs w:val="16"/>
                    </w:rPr>
                    <w:t>(1)</w:t>
                  </w:r>
                  <w:r w:rsidRPr="00AA02AF">
                    <w:rPr>
                      <w:rFonts w:ascii="Verdana" w:eastAsia="Arial" w:hAnsi="Verdana" w:cs="Arial"/>
                      <w:sz w:val="16"/>
                      <w:szCs w:val="16"/>
                    </w:rPr>
                    <w:t xml:space="preserve"> </w:t>
                  </w:r>
                  <w:r w:rsidRPr="00AA02AF">
                    <w:rPr>
                      <w:rFonts w:ascii="Verdana" w:hAnsi="Verdana" w:cs="Arial"/>
                      <w:sz w:val="16"/>
                      <w:szCs w:val="16"/>
                    </w:rPr>
                    <w:t>y</w:t>
                  </w:r>
                  <w:r w:rsidRPr="00AA02AF">
                    <w:rPr>
                      <w:rFonts w:ascii="Verdana" w:eastAsia="Arial" w:hAnsi="Verdana" w:cs="Arial"/>
                      <w:sz w:val="16"/>
                      <w:szCs w:val="16"/>
                    </w:rPr>
                    <w:t xml:space="preserve"> </w:t>
                  </w:r>
                  <w:r w:rsidRPr="00AA02AF">
                    <w:rPr>
                      <w:rFonts w:ascii="Verdana" w:hAnsi="Verdana" w:cs="Arial"/>
                      <w:sz w:val="16"/>
                      <w:szCs w:val="16"/>
                    </w:rPr>
                    <w:t>cinco</w:t>
                  </w:r>
                  <w:r w:rsidRPr="00AA02AF">
                    <w:rPr>
                      <w:rFonts w:ascii="Verdana" w:eastAsia="Arial" w:hAnsi="Verdana" w:cs="Arial"/>
                      <w:sz w:val="16"/>
                      <w:szCs w:val="16"/>
                    </w:rPr>
                    <w:t xml:space="preserve"> </w:t>
                  </w:r>
                  <w:r w:rsidRPr="00AA02AF">
                    <w:rPr>
                      <w:rFonts w:ascii="Verdana" w:hAnsi="Verdana" w:cs="Arial"/>
                      <w:sz w:val="16"/>
                      <w:szCs w:val="16"/>
                    </w:rPr>
                    <w:t>(5)</w:t>
                  </w:r>
                  <w:r w:rsidRPr="00AA02AF">
                    <w:rPr>
                      <w:rFonts w:ascii="Verdana" w:eastAsia="Arial" w:hAnsi="Verdana" w:cs="Arial"/>
                      <w:sz w:val="16"/>
                      <w:szCs w:val="16"/>
                    </w:rPr>
                    <w:t xml:space="preserve"> </w:t>
                  </w:r>
                  <w:r w:rsidRPr="00AA02AF">
                    <w:rPr>
                      <w:rFonts w:ascii="Verdana" w:hAnsi="Verdana" w:cs="Arial"/>
                      <w:sz w:val="16"/>
                      <w:szCs w:val="16"/>
                    </w:rPr>
                    <w:t>años</w:t>
                  </w:r>
                </w:p>
              </w:tc>
            </w:tr>
          </w:tbl>
          <w:p w14:paraId="0E6290F4" w14:textId="77777777" w:rsidR="00253972" w:rsidRPr="00AA02AF" w:rsidRDefault="00253972" w:rsidP="00381A88">
            <w:pPr>
              <w:widowControl w:val="0"/>
              <w:spacing w:after="120" w:line="276" w:lineRule="auto"/>
              <w:jc w:val="both"/>
              <w:rPr>
                <w:rFonts w:ascii="Verdana" w:eastAsia="Arial" w:hAnsi="Verdana" w:cs="Arial"/>
              </w:rPr>
            </w:pPr>
          </w:p>
          <w:p w14:paraId="765FAB7E" w14:textId="77777777" w:rsidR="00253972" w:rsidRPr="00AA02AF" w:rsidRDefault="00253972" w:rsidP="00381A88">
            <w:pPr>
              <w:widowControl w:val="0"/>
              <w:spacing w:after="120" w:line="276" w:lineRule="auto"/>
              <w:jc w:val="both"/>
              <w:rPr>
                <w:rFonts w:ascii="Verdana" w:eastAsia="Arial" w:hAnsi="Verdana" w:cs="Arial"/>
              </w:rPr>
            </w:pPr>
            <w:r w:rsidRPr="00AA02AF">
              <w:rPr>
                <w:rFonts w:ascii="Verdana" w:eastAsia="Arial" w:hAnsi="Verdana" w:cs="Arial"/>
              </w:rPr>
              <w:t xml:space="preserve">           Aunado a lo anterior, es importante resaltar que el documento mediante el cual se acreditan los ingresos operacionales para ser integrados dentro del cálculo de la capacidad residual es el Estado de resultados integral (estado de resultado de pérdida o ganancias) del oferente, el cual muestra su desempeño financiero </w:t>
            </w:r>
            <w:r w:rsidRPr="00AA02AF">
              <w:rPr>
                <w:rFonts w:ascii="Verdana" w:eastAsia="Arial" w:hAnsi="Verdana" w:cs="Arial"/>
                <w:b/>
                <w:bCs/>
              </w:rPr>
              <w:t>durante un periodo específico</w:t>
            </w:r>
            <w:r w:rsidRPr="00AA02AF">
              <w:rPr>
                <w:rFonts w:ascii="Verdana" w:eastAsia="Arial" w:hAnsi="Verdana" w:cs="Arial"/>
              </w:rPr>
              <w:t xml:space="preserve">, presentando las partidas de ingresos, costos y gastos de la entidad, buscando así determinar si se generó un excedente o déficit durante el ejercicio. </w:t>
            </w:r>
          </w:p>
          <w:p w14:paraId="4F42EC38" w14:textId="77777777" w:rsidR="00253972" w:rsidRPr="00AA02AF" w:rsidRDefault="00253972" w:rsidP="00381A88">
            <w:pPr>
              <w:widowControl w:val="0"/>
              <w:spacing w:after="120" w:line="276" w:lineRule="auto"/>
              <w:jc w:val="both"/>
            </w:pPr>
            <w:r w:rsidRPr="00AA02AF">
              <w:rPr>
                <w:rFonts w:ascii="Verdana" w:eastAsia="Arial" w:hAnsi="Verdana" w:cs="Arial"/>
              </w:rPr>
              <w:t xml:space="preserve">          </w:t>
            </w:r>
            <w:r w:rsidRPr="00AA02AF">
              <w:rPr>
                <w:rFonts w:ascii="Verdana" w:eastAsia="Calibri" w:hAnsi="Verdana" w:cs="Arial"/>
                <w:lang w:val="es-ES" w:eastAsia="es-ES"/>
              </w:rPr>
              <w:t>Finalmente</w:t>
            </w:r>
            <w:r w:rsidRPr="00AA02AF">
              <w:rPr>
                <w:rFonts w:ascii="Verdana" w:eastAsia="Calibri" w:hAnsi="Verdana" w:cs="Times New Roman"/>
                <w:lang w:val="es-ES"/>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AA02AF">
              <w:t xml:space="preserve"> </w:t>
            </w:r>
          </w:p>
          <w:p w14:paraId="556D0C77" w14:textId="77777777" w:rsidR="00253972" w:rsidRPr="00AA02AF" w:rsidRDefault="00253972" w:rsidP="00381A88">
            <w:pPr>
              <w:widowControl w:val="0"/>
              <w:spacing w:after="120" w:line="276" w:lineRule="auto"/>
              <w:jc w:val="both"/>
              <w:rPr>
                <w:rFonts w:ascii="Verdana" w:eastAsia="Arial" w:hAnsi="Verdana" w:cs="Arial"/>
              </w:rPr>
            </w:pPr>
            <w:r w:rsidRPr="00AA02AF">
              <w:rPr>
                <w:lang w:val="es-ES"/>
              </w:rPr>
              <w:t xml:space="preserve">               </w:t>
            </w:r>
            <w:r w:rsidRPr="00AA02AF">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3840F31" w14:textId="4489DC9C" w:rsidR="00253972" w:rsidRPr="00AA02AF" w:rsidRDefault="00253972" w:rsidP="00381A88">
            <w:pPr>
              <w:widowControl w:val="0"/>
              <w:autoSpaceDE w:val="0"/>
              <w:autoSpaceDN w:val="0"/>
              <w:spacing w:line="276" w:lineRule="auto"/>
              <w:jc w:val="both"/>
              <w:rPr>
                <w:rFonts w:ascii="Verdana" w:eastAsia="Calibri" w:hAnsi="Verdana" w:cs="Arial"/>
                <w:lang w:eastAsia="es-ES"/>
              </w:rPr>
            </w:pPr>
            <w:r w:rsidRPr="00AA02AF">
              <w:rPr>
                <w:rFonts w:ascii="Verdana" w:hAnsi="Verdana" w:cs="Arial"/>
                <w:iCs/>
                <w:color w:val="000000" w:themeColor="text1"/>
              </w:rPr>
              <w:t xml:space="preserve">          </w:t>
            </w:r>
            <w:r w:rsidR="00AA02AF" w:rsidRPr="00AA02AF">
              <w:rPr>
                <w:rFonts w:ascii="Verdana" w:hAnsi="Verdana" w:cs="Arial"/>
                <w:iCs/>
                <w:color w:val="000000" w:themeColor="text1"/>
              </w:rPr>
              <w:t>Ahora bien</w:t>
            </w:r>
            <w:r w:rsidRPr="00AA02AF">
              <w:rPr>
                <w:rFonts w:ascii="Verdana" w:hAnsi="Verdana" w:cs="Arial"/>
                <w:iCs/>
                <w:color w:val="000000" w:themeColor="text1"/>
              </w:rPr>
              <w:t xml:space="preserve">, </w:t>
            </w:r>
            <w:r w:rsidRPr="00AA02AF">
              <w:rPr>
                <w:rFonts w:ascii="Verdana" w:hAnsi="Verdana" w:cs="Arial"/>
              </w:rPr>
              <w:t>debe advertirse que el análisis sobre la subsanación o el rechazo de las ofertas al interior de los procedimientos de selección debe ser realizado por quienes tengan interés en ello, de acuerdo con lo expuesto en la parte considerativa del presente oficio.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C479C1A" w14:textId="77777777" w:rsidR="00253972" w:rsidRPr="00AA02AF" w:rsidRDefault="00253972" w:rsidP="00381A88">
            <w:pPr>
              <w:spacing w:line="276" w:lineRule="auto"/>
              <w:ind w:firstLine="709"/>
              <w:contextualSpacing/>
              <w:jc w:val="both"/>
              <w:rPr>
                <w:rFonts w:ascii="Verdana" w:hAnsi="Verdana" w:cs="Arial"/>
                <w:bCs/>
                <w:color w:val="000000" w:themeColor="text1"/>
              </w:rPr>
            </w:pPr>
          </w:p>
        </w:tc>
      </w:tr>
      <w:tr w:rsidR="00253972" w:rsidRPr="00AA02AF" w14:paraId="7763DBAF" w14:textId="77777777" w:rsidTr="00381A88">
        <w:tc>
          <w:tcPr>
            <w:tcW w:w="8828" w:type="dxa"/>
          </w:tcPr>
          <w:p w14:paraId="4DA2BE1A" w14:textId="77777777" w:rsidR="00253972" w:rsidRPr="00AA02AF" w:rsidRDefault="00253972" w:rsidP="00381A88">
            <w:pPr>
              <w:spacing w:line="276" w:lineRule="auto"/>
              <w:jc w:val="both"/>
              <w:rPr>
                <w:rFonts w:ascii="Verdana" w:eastAsia="Calibri" w:hAnsi="Verdana" w:cs="Arial"/>
                <w:lang w:val="es-ES"/>
              </w:rPr>
            </w:pPr>
          </w:p>
        </w:tc>
      </w:tr>
    </w:tbl>
    <w:p w14:paraId="4CEFCC86" w14:textId="77777777" w:rsidR="00253972" w:rsidRPr="00AA02AF" w:rsidRDefault="00253972" w:rsidP="00253972">
      <w:pPr>
        <w:tabs>
          <w:tab w:val="left" w:pos="142"/>
          <w:tab w:val="left" w:pos="284"/>
        </w:tabs>
        <w:spacing w:after="0" w:line="276" w:lineRule="auto"/>
        <w:jc w:val="both"/>
        <w:rPr>
          <w:rFonts w:ascii="Verdana" w:eastAsia="Century Gothic" w:hAnsi="Verdana" w:cs="Century Gothic"/>
          <w:b/>
          <w:bCs/>
          <w:lang w:val="es-ES"/>
        </w:rPr>
      </w:pPr>
    </w:p>
    <w:p w14:paraId="26860593" w14:textId="77777777" w:rsidR="00253972" w:rsidRPr="00AA02AF" w:rsidRDefault="00253972" w:rsidP="0025397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2AF">
        <w:rPr>
          <w:rFonts w:ascii="Verdana" w:eastAsia="Century Gothic" w:hAnsi="Verdana" w:cs="Century Gothic"/>
          <w:b/>
          <w:bCs/>
        </w:rPr>
        <w:t>Razones de la respuesta:</w:t>
      </w:r>
    </w:p>
    <w:p w14:paraId="7E90AA85" w14:textId="77777777" w:rsidR="00253972" w:rsidRPr="00AA02AF" w:rsidRDefault="00253972" w:rsidP="00253972">
      <w:pPr>
        <w:widowControl w:val="0"/>
        <w:autoSpaceDE w:val="0"/>
        <w:autoSpaceDN w:val="0"/>
        <w:spacing w:after="120" w:line="276" w:lineRule="auto"/>
        <w:jc w:val="both"/>
        <w:rPr>
          <w:rFonts w:ascii="Verdana" w:eastAsia="Calibri" w:hAnsi="Verdana" w:cs="Arial"/>
        </w:rPr>
      </w:pPr>
    </w:p>
    <w:p w14:paraId="0EEAB385" w14:textId="77777777" w:rsidR="00253972" w:rsidRPr="00AA02AF" w:rsidRDefault="00253972" w:rsidP="00253972">
      <w:pPr>
        <w:widowControl w:val="0"/>
        <w:autoSpaceDE w:val="0"/>
        <w:autoSpaceDN w:val="0"/>
        <w:spacing w:after="120" w:line="276" w:lineRule="auto"/>
        <w:ind w:firstLine="708"/>
        <w:jc w:val="both"/>
        <w:rPr>
          <w:rFonts w:ascii="Verdana" w:eastAsia="Arial" w:hAnsi="Verdana" w:cs="Arial"/>
        </w:rPr>
      </w:pPr>
      <w:r w:rsidRPr="00AA02AF">
        <w:rPr>
          <w:rFonts w:ascii="Verdana" w:hAnsi="Verdana" w:cs="Arial"/>
          <w:noProof/>
          <w:lang w:val="es-ES_tradnl"/>
        </w:rPr>
        <w:t>L</w:t>
      </w:r>
      <w:r w:rsidRPr="00AA02AF">
        <w:rPr>
          <w:rFonts w:ascii="Verdana" w:eastAsia="Times New Roman" w:hAnsi="Verdana" w:cs="Arial"/>
        </w:rPr>
        <w:t xml:space="preserve">a regla de la </w:t>
      </w:r>
      <w:proofErr w:type="spellStart"/>
      <w:r w:rsidRPr="00AA02AF">
        <w:rPr>
          <w:rFonts w:ascii="Verdana" w:eastAsia="Times New Roman" w:hAnsi="Verdana" w:cs="Arial"/>
        </w:rPr>
        <w:t>subsanabilidad</w:t>
      </w:r>
      <w:proofErr w:type="spellEnd"/>
      <w:r w:rsidRPr="00AA02AF">
        <w:rPr>
          <w:rFonts w:ascii="Verdana" w:eastAsia="Times New Roman" w:hAnsi="Verdana" w:cs="Arial"/>
        </w:rPr>
        <w:t xml:space="preserve"> de las ofertas en los procedimientos de selección</w:t>
      </w:r>
      <w:r w:rsidRPr="00AA02AF">
        <w:rPr>
          <w:rFonts w:ascii="Verdana" w:eastAsia="Times New Roman" w:hAnsi="Verdana" w:cs="Arial"/>
          <w:b/>
          <w:bCs/>
        </w:rPr>
        <w:t xml:space="preserve"> </w:t>
      </w:r>
      <w:r w:rsidRPr="00AA02AF">
        <w:rPr>
          <w:rFonts w:ascii="Verdana" w:eastAsia="Times New Roman" w:hAnsi="Verdana" w:cs="Arial"/>
          <w:lang w:val="es-ES_tradnl" w:eastAsia="es-ES_tradnl"/>
        </w:rPr>
        <w:t xml:space="preserve">indica que, por regla general, la falta de entrega y los defectos en la </w:t>
      </w:r>
      <w:bookmarkStart w:id="9" w:name="_Hlk98159514"/>
      <w:r w:rsidRPr="00AA02AF">
        <w:rPr>
          <w:rFonts w:ascii="Verdana" w:eastAsia="Arial" w:hAnsi="Verdana" w:cs="Arial"/>
          <w:b/>
          <w:bCs/>
        </w:rPr>
        <w:t>La capacidad residual</w:t>
      </w:r>
      <w:r w:rsidRPr="00AA02AF">
        <w:rPr>
          <w:rFonts w:ascii="Verdana" w:eastAsia="Arial" w:hAnsi="Verdana" w:cs="Arial"/>
        </w:rPr>
        <w:t xml:space="preserve"> es una aptitud que se le exige a los oferentes en los procesos de selección de contratistas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w:t>
      </w:r>
      <w:r w:rsidRPr="00AA02AF">
        <w:rPr>
          <w:rFonts w:ascii="Verdana" w:eastAsia="Arial" w:hAnsi="Verdana" w:cs="Arial"/>
          <w:vertAlign w:val="superscript"/>
        </w:rPr>
        <w:footnoteReference w:id="2"/>
      </w:r>
      <w:r w:rsidRPr="00AA02AF">
        <w:rPr>
          <w:rFonts w:ascii="Verdana" w:eastAsia="Arial" w:hAnsi="Verdana" w:cs="Arial"/>
        </w:rPr>
        <w:t xml:space="preserve">. </w:t>
      </w:r>
      <w:bookmarkEnd w:id="9"/>
      <w:r w:rsidRPr="00AA02AF">
        <w:rPr>
          <w:rFonts w:ascii="Verdana" w:eastAsia="Arial" w:hAnsi="Verdana" w:cs="Arial"/>
        </w:rPr>
        <w:t>El Consejo de Estado ha definido la capacidad residual como: “la diferencia que existe entre el potencial de contratación que se tiene y los compromisos que haya adquirido y que se encuentren en ejecución, para la fecha de presentación de la oferta”</w:t>
      </w:r>
      <w:r w:rsidRPr="00AA02AF">
        <w:rPr>
          <w:rFonts w:ascii="Verdana" w:eastAsia="Arial" w:hAnsi="Verdana" w:cs="Arial"/>
          <w:vertAlign w:val="superscript"/>
        </w:rPr>
        <w:footnoteReference w:id="3"/>
      </w:r>
      <w:r w:rsidRPr="00AA02AF">
        <w:rPr>
          <w:rFonts w:ascii="Verdana" w:eastAsia="Arial" w:hAnsi="Verdana" w:cs="Arial"/>
        </w:rPr>
        <w:t>.</w:t>
      </w:r>
    </w:p>
    <w:p w14:paraId="5CF5AAE4" w14:textId="77777777" w:rsidR="00253972" w:rsidRPr="00AA02AF" w:rsidRDefault="00253972" w:rsidP="00253972">
      <w:pPr>
        <w:widowControl w:val="0"/>
        <w:autoSpaceDE w:val="0"/>
        <w:autoSpaceDN w:val="0"/>
        <w:spacing w:after="0" w:line="276" w:lineRule="auto"/>
        <w:ind w:firstLine="709"/>
        <w:contextualSpacing/>
        <w:jc w:val="both"/>
        <w:rPr>
          <w:rFonts w:ascii="Verdana" w:eastAsia="Arial" w:hAnsi="Verdana" w:cs="Arial"/>
        </w:rPr>
      </w:pPr>
      <w:bookmarkStart w:id="11" w:name="_Hlk98159554"/>
      <w:bookmarkStart w:id="12" w:name="_Hlk97545054"/>
      <w:r w:rsidRPr="00AA02AF">
        <w:rPr>
          <w:rFonts w:ascii="Verdana" w:eastAsia="Arial" w:hAnsi="Verdana" w:cs="Arial"/>
        </w:rPr>
        <w:t>Por su parte, esta Agencia, en los conceptos C-033 del 25 de marzo de 2021 y C-143 del 9 de abril de 2021, definió la capacidad residual como la suficiencia que se predica del proponente para asumir nuevas obligaciones que se derivan del contrato objeto del proceso de contratación, en relación con las obligaciones que ha adquirido simultáneamente en contratos ya perfeccionados y en ejecución.</w:t>
      </w:r>
      <w:bookmarkEnd w:id="11"/>
      <w:r w:rsidRPr="00AA02AF">
        <w:rPr>
          <w:rFonts w:ascii="Verdana" w:eastAsia="Arial" w:hAnsi="Verdana" w:cs="Arial"/>
        </w:rPr>
        <w:t xml:space="preserve"> </w:t>
      </w:r>
      <w:bookmarkEnd w:id="12"/>
      <w:r w:rsidRPr="00AA02AF">
        <w:rPr>
          <w:rFonts w:ascii="Verdana" w:eastAsia="Arial" w:hAnsi="Verdana" w:cs="Arial"/>
        </w:rPr>
        <w:t>La exigencia de la capacidad residual o K de contratación está regulada en la Ley 1150 de 2007, que en el parágrafo 1° del artículo 6 dispone:</w:t>
      </w:r>
    </w:p>
    <w:p w14:paraId="57A9C1CC" w14:textId="77777777" w:rsidR="00253972" w:rsidRPr="00AA02AF" w:rsidRDefault="00253972" w:rsidP="00253972">
      <w:pPr>
        <w:widowControl w:val="0"/>
        <w:autoSpaceDE w:val="0"/>
        <w:autoSpaceDN w:val="0"/>
        <w:spacing w:after="0" w:line="276" w:lineRule="auto"/>
        <w:ind w:firstLine="709"/>
        <w:contextualSpacing/>
        <w:jc w:val="both"/>
        <w:rPr>
          <w:rFonts w:ascii="Verdana" w:eastAsia="Arial" w:hAnsi="Verdana" w:cs="Arial"/>
        </w:rPr>
      </w:pPr>
    </w:p>
    <w:p w14:paraId="267C8833"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AA02AF">
        <w:rPr>
          <w:rFonts w:ascii="Verdana" w:eastAsia="Calibri" w:hAnsi="Verdana" w:cs="Arial"/>
          <w:color w:val="000000"/>
          <w:sz w:val="20"/>
          <w:szCs w:val="20"/>
          <w:lang w:val="es-ES"/>
        </w:rPr>
        <w:t>“Para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1281E53F"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1C4457C3"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AA02AF">
        <w:rPr>
          <w:rFonts w:ascii="Verdana" w:eastAsia="Calibri" w:hAnsi="Verdana" w:cs="Arial"/>
          <w:color w:val="000000"/>
          <w:sz w:val="20"/>
          <w:szCs w:val="20"/>
          <w:lang w:val="es-E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4E79E53" w14:textId="77777777" w:rsidR="00253972" w:rsidRPr="00AA02AF" w:rsidRDefault="00253972" w:rsidP="00253972">
      <w:pPr>
        <w:widowControl w:val="0"/>
        <w:autoSpaceDE w:val="0"/>
        <w:autoSpaceDN w:val="0"/>
        <w:spacing w:after="0" w:line="276" w:lineRule="auto"/>
        <w:contextualSpacing/>
        <w:jc w:val="both"/>
        <w:rPr>
          <w:rFonts w:ascii="Verdana" w:eastAsia="Arial" w:hAnsi="Verdana" w:cs="Arial"/>
          <w:color w:val="FF0000"/>
          <w:lang w:val="es-ES"/>
        </w:rPr>
      </w:pPr>
    </w:p>
    <w:p w14:paraId="44B17865" w14:textId="77777777" w:rsidR="00253972" w:rsidRPr="00AA02AF" w:rsidRDefault="00253972" w:rsidP="00253972">
      <w:pPr>
        <w:widowControl w:val="0"/>
        <w:autoSpaceDE w:val="0"/>
        <w:autoSpaceDN w:val="0"/>
        <w:spacing w:after="0" w:line="276" w:lineRule="auto"/>
        <w:ind w:firstLine="709"/>
        <w:contextualSpacing/>
        <w:jc w:val="both"/>
        <w:rPr>
          <w:rFonts w:ascii="Verdana" w:eastAsia="Arial" w:hAnsi="Verdana" w:cs="Arial"/>
        </w:rPr>
      </w:pPr>
      <w:r w:rsidRPr="00AA02AF">
        <w:rPr>
          <w:rFonts w:ascii="Verdana" w:eastAsia="Arial" w:hAnsi="Verdana" w:cs="Arial"/>
        </w:rPr>
        <w:lastRenderedPageBreak/>
        <w:t xml:space="preserve">Con posterioridad, </w:t>
      </w:r>
      <w:bookmarkStart w:id="13" w:name="_Hlk205541890"/>
      <w:r w:rsidRPr="00AA02AF">
        <w:rPr>
          <w:rFonts w:ascii="Verdana" w:eastAsia="Arial" w:hAnsi="Verdana" w:cs="Arial"/>
        </w:rPr>
        <w:t xml:space="preserve">el artículo 72 de la Ley 1682 de 2013 </w:t>
      </w:r>
      <w:bookmarkEnd w:id="13"/>
      <w:r w:rsidRPr="00AA02AF">
        <w:rPr>
          <w:rFonts w:ascii="Verdana" w:eastAsia="Arial" w:hAnsi="Verdana" w:cs="Arial"/>
        </w:rPr>
        <w:t>estableció, de forma más precisa, los componentes que se deben tener en cuenta para calcular la capacidad residual en procesos contractuales de obra pública de la siguiente forma:</w:t>
      </w:r>
    </w:p>
    <w:p w14:paraId="676494E7" w14:textId="77777777" w:rsidR="00253972" w:rsidRPr="00AA02AF" w:rsidRDefault="00253972" w:rsidP="00253972">
      <w:pPr>
        <w:widowControl w:val="0"/>
        <w:autoSpaceDE w:val="0"/>
        <w:autoSpaceDN w:val="0"/>
        <w:spacing w:after="0" w:line="276" w:lineRule="auto"/>
        <w:contextualSpacing/>
        <w:jc w:val="both"/>
        <w:rPr>
          <w:rFonts w:ascii="Verdana" w:eastAsia="Arial" w:hAnsi="Verdana" w:cs="Arial"/>
          <w:color w:val="FF0000"/>
          <w:lang w:val="es-ES"/>
        </w:rPr>
      </w:pPr>
    </w:p>
    <w:p w14:paraId="18B1566F"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AA02AF">
        <w:rPr>
          <w:rFonts w:ascii="Verdana" w:eastAsia="Calibri" w:hAnsi="Verdana" w:cs="Arial"/>
          <w:color w:val="000000"/>
          <w:sz w:val="20"/>
          <w:szCs w:val="20"/>
          <w:lang w:val="es-ES"/>
        </w:rPr>
        <w:t>“Capacidad residual de contratación para contratos de obra pública. La capacidad residual de contratación cuando se realicen contratos de obra pública se obtendrá de sustraer de la capacidad de contratación, el saldo del valor de los contratos en ejecución.</w:t>
      </w:r>
    </w:p>
    <w:p w14:paraId="664DA51B"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4BC3F345"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AA02AF">
        <w:rPr>
          <w:rFonts w:ascii="Verdana" w:eastAsia="Calibri" w:hAnsi="Verdana" w:cs="Arial"/>
          <w:color w:val="000000"/>
          <w:sz w:val="20"/>
          <w:szCs w:val="20"/>
          <w:lang w:val="es-ES"/>
        </w:rPr>
        <w:t>La capacidad de contratación se deberá calcular mediante la evaluación de los siguientes factores: Experiencia (E), Capacidad Financiera (CF), Capacidad Técnica (CT), y Capacidad de Organización (CO).</w:t>
      </w:r>
    </w:p>
    <w:p w14:paraId="37587E93"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58FCA571"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AA02AF">
        <w:rPr>
          <w:rFonts w:ascii="Verdana" w:eastAsia="Calibri" w:hAnsi="Verdana" w:cs="Arial"/>
          <w:color w:val="000000"/>
          <w:sz w:val="20"/>
          <w:szCs w:val="20"/>
          <w:lang w:val="es-ES"/>
        </w:rPr>
        <w:t>El Gobierno Nacional reglamentará la materia, dentro de los sesenta (60) días siguientes a la promulgación de la presente ley, acudiendo al concepto técnico de la Sociedad Colombiana de ingenieros, en virtud de la Ley 46 de 1904, para propender por una reglamentación equitativa en la implementación de mínimos y máximos que garanticen los derechos de los pequeños contratistas”. </w:t>
      </w:r>
    </w:p>
    <w:p w14:paraId="6F63CA4C" w14:textId="77777777" w:rsidR="00253972" w:rsidRPr="00AA02AF" w:rsidRDefault="00253972" w:rsidP="00253972">
      <w:pPr>
        <w:widowControl w:val="0"/>
        <w:autoSpaceDE w:val="0"/>
        <w:autoSpaceDN w:val="0"/>
        <w:spacing w:after="0" w:line="276" w:lineRule="auto"/>
        <w:contextualSpacing/>
        <w:jc w:val="both"/>
        <w:rPr>
          <w:rFonts w:ascii="Verdana" w:eastAsia="Arial" w:hAnsi="Verdana" w:cs="Arial"/>
          <w:color w:val="FF0000"/>
          <w:lang w:val="es-ES"/>
        </w:rPr>
      </w:pPr>
    </w:p>
    <w:p w14:paraId="6254B52D" w14:textId="77777777" w:rsidR="00253972" w:rsidRPr="00AA02AF" w:rsidRDefault="00253972" w:rsidP="00253972">
      <w:pPr>
        <w:widowControl w:val="0"/>
        <w:tabs>
          <w:tab w:val="left" w:pos="3119"/>
        </w:tabs>
        <w:autoSpaceDE w:val="0"/>
        <w:autoSpaceDN w:val="0"/>
        <w:spacing w:after="0" w:line="276" w:lineRule="auto"/>
        <w:ind w:firstLine="709"/>
        <w:contextualSpacing/>
        <w:jc w:val="both"/>
        <w:rPr>
          <w:rFonts w:ascii="Verdana" w:eastAsia="Arial" w:hAnsi="Verdana" w:cs="Arial"/>
        </w:rPr>
      </w:pPr>
      <w:r w:rsidRPr="00AA02AF">
        <w:rPr>
          <w:rFonts w:ascii="Verdana" w:eastAsia="Arial" w:hAnsi="Verdana" w:cs="Arial"/>
        </w:rPr>
        <w:t>Más tarde, el Decreto 1510 de 2013 recogió lo regulado en la Ley 1682 de 2013, y estableció una nueva definición de la capacidad residual en su artículo 3, señalando lo siguiente:</w:t>
      </w:r>
    </w:p>
    <w:p w14:paraId="66B76B04" w14:textId="77777777" w:rsidR="00253972" w:rsidRPr="00AA02AF" w:rsidRDefault="00253972" w:rsidP="00253972">
      <w:pPr>
        <w:widowControl w:val="0"/>
        <w:autoSpaceDE w:val="0"/>
        <w:autoSpaceDN w:val="0"/>
        <w:spacing w:after="0" w:line="276" w:lineRule="auto"/>
        <w:contextualSpacing/>
        <w:jc w:val="both"/>
        <w:rPr>
          <w:rFonts w:ascii="Verdana" w:eastAsia="Arial" w:hAnsi="Verdana" w:cs="Arial"/>
          <w:lang w:val="es-ES"/>
        </w:rPr>
      </w:pPr>
    </w:p>
    <w:p w14:paraId="25917955"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AA02AF">
        <w:rPr>
          <w:rFonts w:ascii="Verdana" w:eastAsia="Calibri" w:hAnsi="Verdana" w:cs="Arial"/>
          <w:color w:val="000000"/>
          <w:sz w:val="20"/>
          <w:szCs w:val="20"/>
          <w:lang w:val="es-ES"/>
        </w:rPr>
        <w:t>“Artículo 3. Definiciones. Los términos no definidos en el presente decreto y utilizados frecuentemente deben entenderse de acuerdo con su significado natural y obvio. Para la interpretación del presente decreto, las expresiones aquí utilizadas con mayúscula inicial deben ser entendidas con el significado que a continuación se indica. Los términos definidos son utilizados en singular y en plural de acuerdo como lo requiera el contexto en el cual son utilizados.</w:t>
      </w:r>
    </w:p>
    <w:p w14:paraId="58E8758A"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68F209CB"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AA02AF">
        <w:rPr>
          <w:rFonts w:ascii="Verdana" w:eastAsia="Calibri" w:hAnsi="Verdana" w:cs="Arial"/>
          <w:i/>
          <w:iCs/>
          <w:color w:val="000000"/>
          <w:sz w:val="20"/>
          <w:szCs w:val="20"/>
          <w:lang w:val="es-ES"/>
        </w:rPr>
        <w:t>Capacidad Residual o K de Contratación es la aptitud de un oferente para cumplir oportuna y cabalmente con el objeto de un contrato de obra, sin que sus otros compromisos contractuales afecten su habilidad de cumplir con el contrato que está en proceso de selección”.</w:t>
      </w:r>
      <w:r w:rsidRPr="00AA02AF">
        <w:rPr>
          <w:rFonts w:ascii="Verdana" w:eastAsia="Calibri" w:hAnsi="Verdana" w:cs="Arial"/>
          <w:color w:val="000000"/>
          <w:sz w:val="20"/>
          <w:szCs w:val="20"/>
          <w:lang w:val="es-ES"/>
        </w:rPr>
        <w:t xml:space="preserve"> (Cursiva fuera del texto original). </w:t>
      </w:r>
    </w:p>
    <w:p w14:paraId="286EA8B5" w14:textId="77777777" w:rsidR="00253972" w:rsidRPr="00AA02AF" w:rsidRDefault="00253972" w:rsidP="00253972">
      <w:pPr>
        <w:widowControl w:val="0"/>
        <w:autoSpaceDE w:val="0"/>
        <w:autoSpaceDN w:val="0"/>
        <w:spacing w:after="0" w:line="276" w:lineRule="auto"/>
        <w:ind w:left="1008" w:right="956"/>
        <w:contextualSpacing/>
        <w:jc w:val="both"/>
        <w:rPr>
          <w:rFonts w:ascii="Verdana" w:eastAsia="Arial" w:hAnsi="Verdana" w:cs="Arial"/>
          <w:lang w:val="es-ES"/>
        </w:rPr>
      </w:pPr>
    </w:p>
    <w:p w14:paraId="384AFA2D" w14:textId="77777777" w:rsidR="00253972" w:rsidRPr="00AA02AF" w:rsidRDefault="00253972" w:rsidP="00253972">
      <w:pPr>
        <w:widowControl w:val="0"/>
        <w:autoSpaceDE w:val="0"/>
        <w:autoSpaceDN w:val="0"/>
        <w:spacing w:after="120" w:line="276" w:lineRule="auto"/>
        <w:ind w:firstLine="709"/>
        <w:jc w:val="both"/>
        <w:rPr>
          <w:rFonts w:ascii="Verdana" w:eastAsia="Arial" w:hAnsi="Verdana" w:cs="Arial"/>
        </w:rPr>
      </w:pPr>
      <w:r w:rsidRPr="00AA02AF">
        <w:rPr>
          <w:rFonts w:ascii="Verdana" w:eastAsia="Arial" w:hAnsi="Verdana" w:cs="Arial"/>
        </w:rPr>
        <w:t xml:space="preserve">Finalmente, el artículo anterior fue modificado por el artículo 1 del Decreto 791 de 2014 y compilado en el Decreto 1082 de 2015, Único del Sector de Planeación Nacional. En consecuencia, el texto definitivo que se encuentra vigente en la actualidad es el contenido en los artículos </w:t>
      </w:r>
      <w:bookmarkStart w:id="14" w:name="_Hlk205541906"/>
      <w:r w:rsidRPr="00AA02AF">
        <w:rPr>
          <w:rFonts w:ascii="Verdana" w:eastAsia="Arial" w:hAnsi="Verdana" w:cs="Arial"/>
        </w:rPr>
        <w:t xml:space="preserve">2.2.1.1.1.3.1 </w:t>
      </w:r>
      <w:bookmarkEnd w:id="14"/>
      <w:r w:rsidRPr="00AA02AF">
        <w:rPr>
          <w:rFonts w:ascii="Verdana" w:eastAsia="Arial" w:hAnsi="Verdana" w:cs="Arial"/>
        </w:rPr>
        <w:t xml:space="preserve">y </w:t>
      </w:r>
      <w:r w:rsidRPr="00AA02AF">
        <w:rPr>
          <w:rFonts w:ascii="Verdana" w:eastAsia="Arial" w:hAnsi="Verdana" w:cs="Arial"/>
        </w:rPr>
        <w:lastRenderedPageBreak/>
        <w:t xml:space="preserve">2.2.1.1.1.6.4. del Decreto 1082 de 2015, que recoge el desarrollo legislativo de la capacidad residual, en especial los componentes establecidos por la Ley 1682 de 2013. </w:t>
      </w:r>
    </w:p>
    <w:p w14:paraId="2F6C62B2" w14:textId="77777777" w:rsidR="00253972" w:rsidRPr="00AA02AF" w:rsidRDefault="00253972" w:rsidP="00253972">
      <w:pPr>
        <w:widowControl w:val="0"/>
        <w:autoSpaceDE w:val="0"/>
        <w:autoSpaceDN w:val="0"/>
        <w:spacing w:after="120" w:line="276" w:lineRule="auto"/>
        <w:ind w:firstLine="709"/>
        <w:jc w:val="both"/>
        <w:rPr>
          <w:rFonts w:ascii="Verdana" w:eastAsia="Arial" w:hAnsi="Verdana" w:cs="Arial"/>
        </w:rPr>
      </w:pPr>
      <w:r w:rsidRPr="00AA02AF">
        <w:rPr>
          <w:rFonts w:ascii="Verdana" w:eastAsia="Arial" w:hAnsi="Verdana" w:cs="Arial"/>
        </w:rPr>
        <w:t xml:space="preserve">Por un lado, el artículo 2.2.1.1.1.3.1 del Decreto 1082 de 2015 define la capacidad residual como: “Aptitud de un oferente para cumplir oportuna y cabalmente con el objeto de un contrato de obra, sin que sus otros compromisos contractuales afecten su habilidad de cumplir con el contrato que está en proceso de selección”. </w:t>
      </w:r>
    </w:p>
    <w:p w14:paraId="6C13120A" w14:textId="77777777" w:rsidR="00253972" w:rsidRPr="00AA02AF" w:rsidRDefault="00253972" w:rsidP="00253972">
      <w:pPr>
        <w:widowControl w:val="0"/>
        <w:autoSpaceDE w:val="0"/>
        <w:autoSpaceDN w:val="0"/>
        <w:spacing w:after="0" w:line="276" w:lineRule="auto"/>
        <w:ind w:firstLine="709"/>
        <w:contextualSpacing/>
        <w:jc w:val="both"/>
        <w:rPr>
          <w:rFonts w:ascii="Verdana" w:eastAsia="Arial" w:hAnsi="Verdana" w:cs="Arial"/>
        </w:rPr>
      </w:pPr>
      <w:r w:rsidRPr="00AA02AF">
        <w:rPr>
          <w:rFonts w:ascii="Verdana" w:eastAsia="Arial" w:hAnsi="Verdana" w:cs="Arial"/>
        </w:rPr>
        <w:t xml:space="preserve">Por su parte, el artículo 2.2.1.1.1.6.4. del Decreto 1082 de 2015 señala la información que debe entregar el proponente interesado en un proceso de contratación para acreditar su Capacidad Residual, de la siguiente forma: </w:t>
      </w:r>
    </w:p>
    <w:p w14:paraId="32A7FF7F" w14:textId="77777777" w:rsidR="00253972" w:rsidRPr="00AA02AF" w:rsidRDefault="00253972" w:rsidP="00253972">
      <w:pPr>
        <w:widowControl w:val="0"/>
        <w:autoSpaceDE w:val="0"/>
        <w:autoSpaceDN w:val="0"/>
        <w:spacing w:after="0" w:line="276" w:lineRule="auto"/>
        <w:ind w:firstLine="709"/>
        <w:contextualSpacing/>
        <w:jc w:val="both"/>
        <w:rPr>
          <w:rFonts w:ascii="Verdana" w:eastAsia="Arial" w:hAnsi="Verdana" w:cs="Arial"/>
          <w:lang w:val="es-ES"/>
        </w:rPr>
      </w:pPr>
    </w:p>
    <w:p w14:paraId="72017A55"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AA02AF">
        <w:rPr>
          <w:rFonts w:ascii="Verdana" w:eastAsia="Calibri" w:hAnsi="Verdana" w:cs="Arial"/>
          <w:color w:val="000000"/>
          <w:sz w:val="20"/>
          <w:szCs w:val="20"/>
          <w:lang w:val="es-ES"/>
        </w:rPr>
        <w:t>“El interesado en celebrar contratos de obra pública con Entidades Estatales debe acreditar su Capacidad Residual o K de Contratación con los siguientes documentos:  </w:t>
      </w:r>
    </w:p>
    <w:p w14:paraId="3DBF0EDB"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65A9CAB0"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AA02AF">
        <w:rPr>
          <w:rFonts w:ascii="Verdana" w:eastAsia="Calibri" w:hAnsi="Verdana" w:cs="Arial"/>
          <w:color w:val="000000"/>
          <w:sz w:val="20"/>
          <w:szCs w:val="20"/>
          <w:lang w:val="es-ES"/>
        </w:rPr>
        <w:t>1. </w:t>
      </w:r>
      <w:r w:rsidRPr="00AA02AF">
        <w:rPr>
          <w:rFonts w:ascii="Verdana" w:eastAsia="Calibri" w:hAnsi="Verdana" w:cs="Arial"/>
          <w:i/>
          <w:iCs/>
          <w:color w:val="000000"/>
          <w:sz w:val="20"/>
          <w:szCs w:val="20"/>
          <w:lang w:val="es-ES"/>
        </w:rPr>
        <w:t>La lista de los contratos de obras civiles en ejecución suscritos con Entidades Estatales y con entidades privadas</w:t>
      </w:r>
      <w:r w:rsidRPr="00AA02AF">
        <w:rPr>
          <w:rFonts w:ascii="Verdana" w:eastAsia="Calibri" w:hAnsi="Verdana" w:cs="Arial"/>
          <w:color w:val="000000"/>
          <w:sz w:val="20"/>
          <w:szCs w:val="20"/>
          <w:lang w:val="es-ES"/>
        </w:rPr>
        <w:t>, así como el valor y plazo de tales contratos, incluyendo contratos de concesión y los contratos de obra suscritos con concesionarios.  </w:t>
      </w:r>
    </w:p>
    <w:p w14:paraId="3DD1A7B1"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2F1AFE67" w14:textId="77777777" w:rsidR="00253972" w:rsidRPr="00AA02AF" w:rsidRDefault="00253972" w:rsidP="0025397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AA02AF">
        <w:rPr>
          <w:rFonts w:ascii="Verdana" w:eastAsia="Calibri" w:hAnsi="Verdana" w:cs="Arial"/>
          <w:color w:val="000000"/>
          <w:sz w:val="20"/>
          <w:szCs w:val="20"/>
          <w:lang w:val="es-ES"/>
        </w:rPr>
        <w:t>2. </w:t>
      </w:r>
      <w:r w:rsidRPr="00AA02AF">
        <w:rPr>
          <w:rFonts w:ascii="Verdana" w:eastAsia="Calibri" w:hAnsi="Verdana" w:cs="Arial"/>
          <w:i/>
          <w:iCs/>
          <w:color w:val="000000"/>
          <w:sz w:val="20"/>
          <w:szCs w:val="20"/>
          <w:lang w:val="es-ES"/>
        </w:rPr>
        <w:t>La lista de los contratos de obras civiles en ejecución, suscritos por sociedades, consorcios o uniones temporales, en los cuales el proponente tenga participación, con Entidades Estatales y con entidades privadas</w:t>
      </w:r>
      <w:r w:rsidRPr="00AA02AF">
        <w:rPr>
          <w:rFonts w:ascii="Verdana" w:eastAsia="Calibri" w:hAnsi="Verdana" w:cs="Arial"/>
          <w:color w:val="000000"/>
          <w:sz w:val="20"/>
          <w:szCs w:val="20"/>
          <w:lang w:val="es-ES"/>
        </w:rPr>
        <w:t>, así como el valor y plazo de tales contratos, incluyendo los contratos de concesión y los contratos de obra suscritos con concesionarios. […]”. (Cursivas fuera del texto original).</w:t>
      </w:r>
    </w:p>
    <w:p w14:paraId="399E8BBC" w14:textId="77777777" w:rsidR="00253972" w:rsidRPr="00AA02AF" w:rsidRDefault="00253972" w:rsidP="00253972">
      <w:pPr>
        <w:spacing w:after="120" w:line="276" w:lineRule="auto"/>
        <w:ind w:firstLine="708"/>
        <w:jc w:val="both"/>
        <w:rPr>
          <w:rFonts w:ascii="Verdana" w:eastAsia="Times New Roman" w:hAnsi="Verdana" w:cs="Arial"/>
          <w:lang w:val="es-ES_tradnl" w:eastAsia="es-ES_tradnl"/>
        </w:rPr>
      </w:pPr>
      <w:r w:rsidRPr="00AA02AF">
        <w:rPr>
          <w:rFonts w:ascii="Verdana" w:eastAsia="Times New Roman" w:hAnsi="Verdana" w:cs="Arial"/>
          <w:lang w:val="es-ES_tradnl" w:eastAsia="es-ES_tradnl"/>
        </w:rPr>
        <w:t xml:space="preserve"> </w:t>
      </w:r>
    </w:p>
    <w:p w14:paraId="12638EBB" w14:textId="77777777" w:rsidR="00253972" w:rsidRPr="00AA02AF" w:rsidRDefault="00253972" w:rsidP="00253972">
      <w:pPr>
        <w:ind w:left="708" w:right="758"/>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106750D6" w14:textId="77777777" w:rsidR="00253972" w:rsidRPr="00AA02AF" w:rsidRDefault="00253972" w:rsidP="00253972">
      <w:pPr>
        <w:ind w:firstLine="708"/>
        <w:jc w:val="both"/>
        <w:rPr>
          <w:rFonts w:ascii="Verdana" w:eastAsia="Calibri" w:hAnsi="Verdana" w:cs="Arial"/>
          <w:color w:val="000000" w:themeColor="text1"/>
        </w:rPr>
      </w:pPr>
      <w:r w:rsidRPr="00AA02AF">
        <w:rPr>
          <w:rFonts w:ascii="Verdana" w:hAnsi="Verdana"/>
        </w:rPr>
        <w:t xml:space="preserve">Igualmente, el artículo </w:t>
      </w:r>
      <w:r w:rsidRPr="00AA02AF">
        <w:rPr>
          <w:rFonts w:ascii="Verdana" w:eastAsia="Calibri" w:hAnsi="Verdana" w:cs="Arial"/>
          <w:color w:val="000000" w:themeColor="text1"/>
        </w:rPr>
        <w:t xml:space="preserve">2.2.1.1.1.6.4 estableció que la Entidad Estatal debe calcular la Capacidad Residual del proponente de acuerdo con la metodología que defina Colombia Compra Eficiente, teniendo en cuenta los </w:t>
      </w:r>
      <w:r w:rsidRPr="00AA02AF">
        <w:rPr>
          <w:rFonts w:ascii="Verdana" w:eastAsia="Calibri" w:hAnsi="Verdana" w:cs="Arial"/>
          <w:color w:val="000000" w:themeColor="text1"/>
        </w:rPr>
        <w:lastRenderedPageBreak/>
        <w:t>factores de: Experiencia (E), Capacidad Financiera (CF), Capacidad Técnica (CT), Capacidad de Organización (CO), y los saldos de los contratos en ejecución (SCE).</w:t>
      </w:r>
    </w:p>
    <w:p w14:paraId="6694DE5B" w14:textId="77777777" w:rsidR="00253972" w:rsidRPr="00AA02AF" w:rsidRDefault="00253972" w:rsidP="00253972">
      <w:pPr>
        <w:ind w:firstLine="708"/>
        <w:jc w:val="both"/>
        <w:rPr>
          <w:rFonts w:ascii="Verdana" w:eastAsia="Calibri" w:hAnsi="Verdana" w:cs="Arial"/>
          <w:color w:val="000000" w:themeColor="text1"/>
        </w:rPr>
      </w:pPr>
      <w:r w:rsidRPr="00AA02AF">
        <w:rPr>
          <w:rFonts w:ascii="Verdana" w:eastAsia="Calibri" w:hAnsi="Verdana" w:cs="Arial"/>
          <w:color w:val="000000" w:themeColor="text1"/>
        </w:rPr>
        <w:t>Como resultado de lo anterior, la Agencia Nacional de Contratación Pública – Colombia Compra Eficiente estructuró la “Guía para determinar y verificar la capacidad residual del proponente en los procesos de contratación de obra pública” - versión 01 del 29 de septiembre de 2023</w:t>
      </w:r>
      <w:r w:rsidRPr="00AA02AF">
        <w:rPr>
          <w:rStyle w:val="Refdenotaalpie"/>
          <w:rFonts w:ascii="Verdana" w:eastAsia="Calibri" w:hAnsi="Verdana" w:cs="Arial"/>
          <w:color w:val="000000" w:themeColor="text1"/>
        </w:rPr>
        <w:footnoteReference w:id="4"/>
      </w:r>
      <w:r w:rsidRPr="00AA02AF">
        <w:rPr>
          <w:rFonts w:ascii="Verdana" w:eastAsia="Calibri" w:hAnsi="Verdana" w:cs="Arial"/>
          <w:color w:val="000000" w:themeColor="text1"/>
        </w:rPr>
        <w:t>, mediante la cual se establece la metodología para el cálculo de la capacidad residual, la cual resulta de obligatoria observancia tanto para entidades como oferentes en los Procesos de Contratación de obra pública.</w:t>
      </w:r>
    </w:p>
    <w:p w14:paraId="7823473C" w14:textId="77777777" w:rsidR="00253972" w:rsidRPr="00AA02AF" w:rsidRDefault="00253972" w:rsidP="00253972">
      <w:pPr>
        <w:ind w:firstLine="708"/>
        <w:jc w:val="both"/>
        <w:rPr>
          <w:rFonts w:ascii="Verdana" w:eastAsia="Calibri" w:hAnsi="Verdana" w:cs="Arial"/>
          <w:color w:val="000000" w:themeColor="text1"/>
        </w:rPr>
      </w:pPr>
      <w:r w:rsidRPr="00AA02AF">
        <w:rPr>
          <w:rFonts w:ascii="Verdana" w:eastAsia="Calibri" w:hAnsi="Verdana" w:cs="Arial"/>
          <w:color w:val="000000" w:themeColor="text1"/>
        </w:rPr>
        <w:t>De acuerdo con los lineamientos definidos en la Guía, para el cálculo de la capacidad residual el proponente debe demostrar que su operación o actividad comercial le permite asumir nuevas obligaciones derivadas del contrato objeto del Proceso de Contratación. Por lo cual, el proponente en un Proceso de Contratación de una obra pública debe presentar la siguiente información para acreditar su Capacidad Residual:</w:t>
      </w:r>
    </w:p>
    <w:p w14:paraId="7C70C480" w14:textId="77777777" w:rsidR="00253972" w:rsidRPr="00AA02AF" w:rsidRDefault="00253972" w:rsidP="00253972">
      <w:pPr>
        <w:ind w:left="708"/>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t xml:space="preserve">1. La lista de los Contratos en Ejecución, así como el valor y plazo de tales contratos.  </w:t>
      </w:r>
    </w:p>
    <w:p w14:paraId="0D2F5E82" w14:textId="77777777" w:rsidR="00253972" w:rsidRPr="00AA02AF" w:rsidRDefault="00253972" w:rsidP="00253972">
      <w:pPr>
        <w:ind w:left="708"/>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t xml:space="preserve">2. La lista de los Contratos en Ejecución, suscritos por sociedades, consorcios o uniones temporales, en los cuales el proponente tenga participación, así como el valor y plazo de tales contratos.  Nota: En caso de que los Contratos en Ejecución se encuentren suspendidos, esta circunstancia también deberá ser indicada de igual forma.  </w:t>
      </w:r>
    </w:p>
    <w:p w14:paraId="6D496C61" w14:textId="77777777" w:rsidR="00253972" w:rsidRPr="00AA02AF" w:rsidRDefault="00253972" w:rsidP="00253972">
      <w:pPr>
        <w:ind w:left="708"/>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t xml:space="preserve">3. 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Registro Único de Proponentes (RUP), las Entidades Estatales solo deben solicitar como documento adicional el estado de resultados que contiene el mejor ingreso operacional de los últimos cinco (5) años puesto que la información de la liquidez se encuentra contenida en el RUP.  </w:t>
      </w:r>
    </w:p>
    <w:p w14:paraId="34CFA632" w14:textId="77777777" w:rsidR="00253972" w:rsidRPr="00AA02AF" w:rsidRDefault="00253972" w:rsidP="00253972">
      <w:pPr>
        <w:ind w:left="708"/>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t>El cálculo de la Capacidad Residual del Proceso de Contratación debe incluir los siguientes factores:</w:t>
      </w:r>
    </w:p>
    <w:p w14:paraId="1D27A7CE" w14:textId="77777777" w:rsidR="00253972" w:rsidRPr="00AA02AF" w:rsidRDefault="00253972" w:rsidP="00253972">
      <w:pPr>
        <w:pStyle w:val="Prrafodelista"/>
        <w:numPr>
          <w:ilvl w:val="0"/>
          <w:numId w:val="18"/>
        </w:numPr>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t>Experiencia (E)</w:t>
      </w:r>
    </w:p>
    <w:p w14:paraId="155D42EF" w14:textId="77777777" w:rsidR="00253972" w:rsidRPr="00AA02AF" w:rsidRDefault="00253972" w:rsidP="00253972">
      <w:pPr>
        <w:pStyle w:val="Prrafodelista"/>
        <w:numPr>
          <w:ilvl w:val="0"/>
          <w:numId w:val="18"/>
        </w:numPr>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t xml:space="preserve">Capacidad Financiera (CF) </w:t>
      </w:r>
    </w:p>
    <w:p w14:paraId="35DD8E09" w14:textId="77777777" w:rsidR="00253972" w:rsidRPr="00AA02AF" w:rsidRDefault="00253972" w:rsidP="00253972">
      <w:pPr>
        <w:pStyle w:val="Prrafodelista"/>
        <w:numPr>
          <w:ilvl w:val="0"/>
          <w:numId w:val="18"/>
        </w:numPr>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lastRenderedPageBreak/>
        <w:t xml:space="preserve">Capacidad Técnica (CT) </w:t>
      </w:r>
    </w:p>
    <w:p w14:paraId="0F9EC67D" w14:textId="77777777" w:rsidR="00253972" w:rsidRPr="00AA02AF" w:rsidRDefault="00253972" w:rsidP="00253972">
      <w:pPr>
        <w:pStyle w:val="Prrafodelista"/>
        <w:numPr>
          <w:ilvl w:val="0"/>
          <w:numId w:val="18"/>
        </w:numPr>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t>Capacidad de Organización (CO)</w:t>
      </w:r>
    </w:p>
    <w:p w14:paraId="59316D5E" w14:textId="77777777" w:rsidR="00253972" w:rsidRPr="00AA02AF" w:rsidRDefault="00253972" w:rsidP="00253972">
      <w:pPr>
        <w:pStyle w:val="Prrafodelista"/>
        <w:numPr>
          <w:ilvl w:val="0"/>
          <w:numId w:val="18"/>
        </w:numPr>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t>Saldos de los Contratos en Ejecución (SCE)</w:t>
      </w:r>
    </w:p>
    <w:p w14:paraId="583DA5AF" w14:textId="77777777" w:rsidR="00253972" w:rsidRPr="00AA02AF" w:rsidRDefault="00253972" w:rsidP="00253972">
      <w:pPr>
        <w:ind w:left="708"/>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t xml:space="preserve">Lo cual se traduce en la aplicación de la siguiente fórmula:  </w:t>
      </w:r>
    </w:p>
    <w:p w14:paraId="500A120D" w14:textId="77777777" w:rsidR="00253972" w:rsidRPr="00AA02AF" w:rsidRDefault="00253972" w:rsidP="00253972">
      <w:pPr>
        <w:spacing w:line="276" w:lineRule="auto"/>
        <w:rPr>
          <w:rFonts w:eastAsiaTheme="minorEastAsia" w:cs="Arial"/>
          <w:bCs/>
          <w:i/>
          <w:szCs w:val="20"/>
        </w:rPr>
      </w:pPr>
      <m:oMathPara>
        <m:oMath>
          <m:r>
            <w:rPr>
              <w:rFonts w:ascii="Cambria Math" w:eastAsiaTheme="minorEastAsia" w:hAnsi="Cambria Math" w:cs="Arial"/>
              <w:szCs w:val="20"/>
            </w:rPr>
            <m:t>Capacidad Residual del Proponente=</m:t>
          </m:r>
          <m:r>
            <w:rPr>
              <w:rFonts w:ascii="Cambria Math" w:hAnsi="Cambria Math" w:cs="Arial"/>
              <w:szCs w:val="20"/>
            </w:rPr>
            <m:t>CO*</m:t>
          </m:r>
          <m:d>
            <m:dPr>
              <m:begChr m:val="["/>
              <m:endChr m:val="]"/>
              <m:ctrlPr>
                <w:rPr>
                  <w:rFonts w:ascii="Cambria Math" w:hAnsi="Cambria Math" w:cs="Arial"/>
                  <w:bCs/>
                  <w:i/>
                </w:rPr>
              </m:ctrlPr>
            </m:dPr>
            <m:e>
              <m:f>
                <m:fPr>
                  <m:ctrlPr>
                    <w:rPr>
                      <w:rFonts w:ascii="Cambria Math" w:hAnsi="Cambria Math" w:cs="Arial"/>
                      <w:bCs/>
                      <w:i/>
                    </w:rPr>
                  </m:ctrlPr>
                </m:fPr>
                <m:num>
                  <m:r>
                    <w:rPr>
                      <w:rFonts w:ascii="Cambria Math" w:hAnsi="Cambria Math" w:cs="Arial"/>
                      <w:szCs w:val="20"/>
                    </w:rPr>
                    <m:t>(E+CT+CF)</m:t>
                  </m:r>
                </m:num>
                <m:den>
                  <m:r>
                    <w:rPr>
                      <w:rFonts w:ascii="Cambria Math" w:hAnsi="Cambria Math" w:cs="Arial"/>
                      <w:szCs w:val="20"/>
                    </w:rPr>
                    <m:t>100</m:t>
                  </m:r>
                </m:den>
              </m:f>
            </m:e>
          </m:d>
          <m:r>
            <w:rPr>
              <w:rFonts w:ascii="Cambria Math" w:hAnsi="Cambria Math" w:cs="Arial"/>
              <w:szCs w:val="20"/>
            </w:rPr>
            <m:t>-SCE</m:t>
          </m:r>
        </m:oMath>
      </m:oMathPara>
    </w:p>
    <w:p w14:paraId="2D6350A5" w14:textId="77777777" w:rsidR="00253972" w:rsidRPr="00AA02AF" w:rsidRDefault="00253972" w:rsidP="00253972">
      <w:pPr>
        <w:ind w:left="708"/>
        <w:jc w:val="both"/>
        <w:rPr>
          <w:rFonts w:ascii="Verdana" w:eastAsia="Calibri" w:hAnsi="Verdana" w:cs="Arial"/>
          <w:color w:val="000000" w:themeColor="text1"/>
          <w:sz w:val="20"/>
          <w:szCs w:val="20"/>
        </w:rPr>
      </w:pPr>
      <w:r w:rsidRPr="00AA02AF">
        <w:rPr>
          <w:rFonts w:ascii="Verdana" w:eastAsia="Calibri" w:hAnsi="Verdana" w:cs="Arial"/>
          <w:color w:val="000000" w:themeColor="text1"/>
          <w:sz w:val="20"/>
          <w:szCs w:val="20"/>
        </w:rPr>
        <w:t>Cada uno de los factores se le asigna el siguiente puntaje máximo:</w:t>
      </w:r>
    </w:p>
    <w:tbl>
      <w:tblPr>
        <w:tblW w:w="0" w:type="auto"/>
        <w:jc w:val="center"/>
        <w:tblLook w:val="04A0" w:firstRow="1" w:lastRow="0" w:firstColumn="1" w:lastColumn="0" w:noHBand="0" w:noVBand="1"/>
      </w:tblPr>
      <w:tblGrid>
        <w:gridCol w:w="2440"/>
        <w:gridCol w:w="1843"/>
      </w:tblGrid>
      <w:tr w:rsidR="00253972" w:rsidRPr="00AA02AF" w14:paraId="68E1AC64" w14:textId="77777777" w:rsidTr="00381A88">
        <w:trPr>
          <w:trHeight w:val="397"/>
          <w:tblHeader/>
          <w:jc w:val="center"/>
        </w:trPr>
        <w:tc>
          <w:tcPr>
            <w:tcW w:w="2440" w:type="dxa"/>
            <w:tcBorders>
              <w:top w:val="double" w:sz="4" w:space="0" w:color="auto"/>
              <w:left w:val="double" w:sz="4" w:space="0" w:color="auto"/>
              <w:bottom w:val="single" w:sz="6" w:space="0" w:color="000000" w:themeColor="text1"/>
              <w:right w:val="single" w:sz="6" w:space="0" w:color="000000" w:themeColor="text1"/>
            </w:tcBorders>
            <w:shd w:val="clear" w:color="auto" w:fill="404040" w:themeFill="text1" w:themeFillTint="BF"/>
            <w:vAlign w:val="center"/>
            <w:hideMark/>
          </w:tcPr>
          <w:p w14:paraId="56198E33" w14:textId="77777777" w:rsidR="00253972" w:rsidRPr="00AA02AF" w:rsidRDefault="00253972" w:rsidP="00381A88">
            <w:pPr>
              <w:autoSpaceDE w:val="0"/>
              <w:autoSpaceDN w:val="0"/>
              <w:adjustRightInd w:val="0"/>
              <w:spacing w:after="0" w:line="276" w:lineRule="auto"/>
              <w:jc w:val="center"/>
              <w:rPr>
                <w:rFonts w:eastAsia="Arial" w:cs="Arial"/>
                <w:b/>
                <w:bCs/>
                <w:color w:val="FFFFFF" w:themeColor="background1"/>
                <w:szCs w:val="20"/>
              </w:rPr>
            </w:pPr>
            <w:r w:rsidRPr="00AA02AF">
              <w:rPr>
                <w:rFonts w:cs="Arial"/>
                <w:b/>
                <w:bCs/>
                <w:color w:val="FFFFFF" w:themeColor="background1"/>
                <w:szCs w:val="20"/>
              </w:rPr>
              <w:t>Factor</w:t>
            </w:r>
          </w:p>
        </w:tc>
        <w:tc>
          <w:tcPr>
            <w:tcW w:w="1843" w:type="dxa"/>
            <w:tcBorders>
              <w:top w:val="double" w:sz="4" w:space="0" w:color="auto"/>
              <w:left w:val="single" w:sz="6" w:space="0" w:color="000000" w:themeColor="text1"/>
              <w:bottom w:val="single" w:sz="6" w:space="0" w:color="000000" w:themeColor="text1"/>
              <w:right w:val="double" w:sz="4" w:space="0" w:color="auto"/>
            </w:tcBorders>
            <w:shd w:val="clear" w:color="auto" w:fill="404040" w:themeFill="text1" w:themeFillTint="BF"/>
            <w:vAlign w:val="center"/>
            <w:hideMark/>
          </w:tcPr>
          <w:p w14:paraId="2D712693" w14:textId="77777777" w:rsidR="00253972" w:rsidRPr="00AA02AF" w:rsidRDefault="00253972" w:rsidP="00381A88">
            <w:pPr>
              <w:autoSpaceDE w:val="0"/>
              <w:autoSpaceDN w:val="0"/>
              <w:adjustRightInd w:val="0"/>
              <w:spacing w:after="0" w:line="276" w:lineRule="auto"/>
              <w:jc w:val="center"/>
              <w:rPr>
                <w:rFonts w:eastAsia="Arial" w:cs="Arial"/>
                <w:b/>
                <w:bCs/>
                <w:color w:val="FFFFFF" w:themeColor="background1"/>
                <w:szCs w:val="20"/>
              </w:rPr>
            </w:pPr>
            <w:r w:rsidRPr="00AA02AF">
              <w:rPr>
                <w:rFonts w:cs="Arial"/>
                <w:b/>
                <w:bCs/>
                <w:color w:val="FFFFFF" w:themeColor="background1"/>
                <w:szCs w:val="20"/>
              </w:rPr>
              <w:t>Puntaje</w:t>
            </w:r>
            <w:r w:rsidRPr="00AA02AF">
              <w:rPr>
                <w:rFonts w:eastAsia="Arial" w:cs="Arial"/>
                <w:b/>
                <w:bCs/>
                <w:color w:val="FFFFFF" w:themeColor="background1"/>
                <w:szCs w:val="20"/>
              </w:rPr>
              <w:t xml:space="preserve"> </w:t>
            </w:r>
            <w:r w:rsidRPr="00AA02AF">
              <w:rPr>
                <w:rFonts w:cs="Arial"/>
                <w:b/>
                <w:bCs/>
                <w:color w:val="FFFFFF" w:themeColor="background1"/>
                <w:szCs w:val="20"/>
              </w:rPr>
              <w:t>máximo</w:t>
            </w:r>
          </w:p>
        </w:tc>
      </w:tr>
      <w:tr w:rsidR="00253972" w:rsidRPr="00AA02AF" w14:paraId="0E44301C" w14:textId="77777777" w:rsidTr="00381A88">
        <w:trPr>
          <w:trHeight w:val="20"/>
          <w:jc w:val="center"/>
        </w:trPr>
        <w:tc>
          <w:tcPr>
            <w:tcW w:w="2440" w:type="dxa"/>
            <w:tcBorders>
              <w:top w:val="single" w:sz="6" w:space="0" w:color="000000" w:themeColor="text1"/>
              <w:left w:val="double" w:sz="4" w:space="0" w:color="auto"/>
              <w:bottom w:val="single" w:sz="6" w:space="0" w:color="000000" w:themeColor="text1"/>
              <w:right w:val="single" w:sz="6" w:space="0" w:color="000000" w:themeColor="text1"/>
            </w:tcBorders>
            <w:hideMark/>
          </w:tcPr>
          <w:p w14:paraId="349F741C" w14:textId="77777777" w:rsidR="00253972" w:rsidRPr="00AA02AF" w:rsidRDefault="00253972" w:rsidP="00381A88">
            <w:pPr>
              <w:autoSpaceDE w:val="0"/>
              <w:autoSpaceDN w:val="0"/>
              <w:adjustRightInd w:val="0"/>
              <w:spacing w:after="0" w:line="276" w:lineRule="auto"/>
              <w:rPr>
                <w:rFonts w:eastAsia="Arial" w:cs="Arial"/>
                <w:szCs w:val="20"/>
              </w:rPr>
            </w:pPr>
            <w:r w:rsidRPr="00AA02AF">
              <w:rPr>
                <w:rFonts w:cs="Arial"/>
                <w:szCs w:val="20"/>
              </w:rPr>
              <w:t>Experiencia</w:t>
            </w:r>
            <w:r w:rsidRPr="00AA02AF">
              <w:rPr>
                <w:rFonts w:eastAsia="Arial" w:cs="Arial"/>
                <w:szCs w:val="20"/>
              </w:rPr>
              <w:t xml:space="preserve"> </w:t>
            </w:r>
            <w:r w:rsidRPr="00AA02AF">
              <w:rPr>
                <w:rFonts w:cs="Arial"/>
                <w:szCs w:val="20"/>
              </w:rPr>
              <w:t>(E)</w:t>
            </w:r>
          </w:p>
        </w:tc>
        <w:tc>
          <w:tcPr>
            <w:tcW w:w="1843" w:type="dxa"/>
            <w:tcBorders>
              <w:top w:val="single" w:sz="6" w:space="0" w:color="000000" w:themeColor="text1"/>
              <w:left w:val="single" w:sz="6" w:space="0" w:color="000000" w:themeColor="text1"/>
              <w:bottom w:val="single" w:sz="6" w:space="0" w:color="000000" w:themeColor="text1"/>
              <w:right w:val="double" w:sz="4" w:space="0" w:color="auto"/>
            </w:tcBorders>
            <w:hideMark/>
          </w:tcPr>
          <w:p w14:paraId="643632B5" w14:textId="77777777" w:rsidR="00253972" w:rsidRPr="00AA02AF" w:rsidRDefault="00253972" w:rsidP="00381A88">
            <w:pPr>
              <w:autoSpaceDE w:val="0"/>
              <w:autoSpaceDN w:val="0"/>
              <w:adjustRightInd w:val="0"/>
              <w:spacing w:after="0" w:line="276" w:lineRule="auto"/>
              <w:jc w:val="center"/>
              <w:rPr>
                <w:rFonts w:eastAsia="Arial" w:cs="Arial"/>
                <w:szCs w:val="20"/>
              </w:rPr>
            </w:pPr>
            <w:r w:rsidRPr="00AA02AF">
              <w:rPr>
                <w:rFonts w:cs="Arial"/>
                <w:szCs w:val="20"/>
              </w:rPr>
              <w:t>120</w:t>
            </w:r>
            <w:r w:rsidRPr="00AA02AF">
              <w:rPr>
                <w:rFonts w:eastAsia="Arial" w:cs="Arial"/>
                <w:szCs w:val="20"/>
              </w:rPr>
              <w:t xml:space="preserve"> </w:t>
            </w:r>
          </w:p>
        </w:tc>
      </w:tr>
      <w:tr w:rsidR="00253972" w:rsidRPr="00AA02AF" w14:paraId="7660FF6E" w14:textId="77777777" w:rsidTr="00381A88">
        <w:trPr>
          <w:trHeight w:val="20"/>
          <w:jc w:val="center"/>
        </w:trPr>
        <w:tc>
          <w:tcPr>
            <w:tcW w:w="2440" w:type="dxa"/>
            <w:tcBorders>
              <w:top w:val="single" w:sz="6" w:space="0" w:color="000000" w:themeColor="text1"/>
              <w:left w:val="double" w:sz="4" w:space="0" w:color="auto"/>
              <w:bottom w:val="single" w:sz="6" w:space="0" w:color="000000" w:themeColor="text1"/>
              <w:right w:val="single" w:sz="6" w:space="0" w:color="000000" w:themeColor="text1"/>
            </w:tcBorders>
            <w:hideMark/>
          </w:tcPr>
          <w:p w14:paraId="68F65A4A" w14:textId="77777777" w:rsidR="00253972" w:rsidRPr="00AA02AF" w:rsidRDefault="00253972" w:rsidP="00381A88">
            <w:pPr>
              <w:autoSpaceDE w:val="0"/>
              <w:autoSpaceDN w:val="0"/>
              <w:adjustRightInd w:val="0"/>
              <w:spacing w:after="0" w:line="276" w:lineRule="auto"/>
              <w:rPr>
                <w:rFonts w:eastAsia="Arial" w:cs="Arial"/>
                <w:szCs w:val="20"/>
              </w:rPr>
            </w:pPr>
            <w:r w:rsidRPr="00AA02AF">
              <w:rPr>
                <w:rFonts w:cs="Arial"/>
                <w:szCs w:val="20"/>
              </w:rPr>
              <w:t>Capacidad</w:t>
            </w:r>
            <w:r w:rsidRPr="00AA02AF">
              <w:rPr>
                <w:rFonts w:eastAsia="Arial" w:cs="Arial"/>
                <w:szCs w:val="20"/>
              </w:rPr>
              <w:t xml:space="preserve"> </w:t>
            </w:r>
            <w:r w:rsidRPr="00AA02AF">
              <w:rPr>
                <w:rFonts w:cs="Arial"/>
                <w:szCs w:val="20"/>
              </w:rPr>
              <w:t>financiera</w:t>
            </w:r>
            <w:r w:rsidRPr="00AA02AF">
              <w:rPr>
                <w:rFonts w:eastAsia="Arial" w:cs="Arial"/>
                <w:szCs w:val="20"/>
              </w:rPr>
              <w:t xml:space="preserve"> </w:t>
            </w:r>
            <w:r w:rsidRPr="00AA02AF">
              <w:rPr>
                <w:rFonts w:cs="Arial"/>
                <w:szCs w:val="20"/>
              </w:rPr>
              <w:t>(CF)</w:t>
            </w:r>
            <w:r w:rsidRPr="00AA02AF">
              <w:rPr>
                <w:rFonts w:eastAsia="Arial" w:cs="Arial"/>
                <w:szCs w:val="20"/>
              </w:rPr>
              <w:t xml:space="preserve"> </w:t>
            </w:r>
          </w:p>
        </w:tc>
        <w:tc>
          <w:tcPr>
            <w:tcW w:w="1843" w:type="dxa"/>
            <w:tcBorders>
              <w:top w:val="single" w:sz="6" w:space="0" w:color="000000" w:themeColor="text1"/>
              <w:left w:val="single" w:sz="6" w:space="0" w:color="000000" w:themeColor="text1"/>
              <w:bottom w:val="single" w:sz="6" w:space="0" w:color="000000" w:themeColor="text1"/>
              <w:right w:val="double" w:sz="4" w:space="0" w:color="auto"/>
            </w:tcBorders>
            <w:hideMark/>
          </w:tcPr>
          <w:p w14:paraId="4DF2CAF5" w14:textId="77777777" w:rsidR="00253972" w:rsidRPr="00AA02AF" w:rsidRDefault="00253972" w:rsidP="00381A88">
            <w:pPr>
              <w:autoSpaceDE w:val="0"/>
              <w:autoSpaceDN w:val="0"/>
              <w:adjustRightInd w:val="0"/>
              <w:spacing w:after="0" w:line="276" w:lineRule="auto"/>
              <w:jc w:val="center"/>
              <w:rPr>
                <w:rFonts w:eastAsia="Arial" w:cs="Arial"/>
                <w:szCs w:val="20"/>
              </w:rPr>
            </w:pPr>
            <w:r w:rsidRPr="00AA02AF">
              <w:rPr>
                <w:rFonts w:cs="Arial"/>
                <w:szCs w:val="20"/>
              </w:rPr>
              <w:t>40</w:t>
            </w:r>
            <w:r w:rsidRPr="00AA02AF">
              <w:rPr>
                <w:rFonts w:eastAsia="Arial" w:cs="Arial"/>
                <w:szCs w:val="20"/>
              </w:rPr>
              <w:t xml:space="preserve"> </w:t>
            </w:r>
          </w:p>
        </w:tc>
      </w:tr>
      <w:tr w:rsidR="00253972" w:rsidRPr="00AA02AF" w14:paraId="55ED1BA0" w14:textId="77777777" w:rsidTr="00381A88">
        <w:trPr>
          <w:trHeight w:val="20"/>
          <w:jc w:val="center"/>
        </w:trPr>
        <w:tc>
          <w:tcPr>
            <w:tcW w:w="2440" w:type="dxa"/>
            <w:tcBorders>
              <w:top w:val="single" w:sz="6" w:space="0" w:color="000000" w:themeColor="text1"/>
              <w:left w:val="double" w:sz="4" w:space="0" w:color="auto"/>
              <w:bottom w:val="single" w:sz="6" w:space="0" w:color="000000" w:themeColor="text1"/>
              <w:right w:val="single" w:sz="6" w:space="0" w:color="000000" w:themeColor="text1"/>
            </w:tcBorders>
            <w:hideMark/>
          </w:tcPr>
          <w:p w14:paraId="0234046B" w14:textId="77777777" w:rsidR="00253972" w:rsidRPr="00AA02AF" w:rsidRDefault="00253972" w:rsidP="00381A88">
            <w:pPr>
              <w:autoSpaceDE w:val="0"/>
              <w:autoSpaceDN w:val="0"/>
              <w:adjustRightInd w:val="0"/>
              <w:spacing w:after="0" w:line="276" w:lineRule="auto"/>
              <w:rPr>
                <w:rFonts w:eastAsia="Arial" w:cs="Arial"/>
                <w:szCs w:val="20"/>
              </w:rPr>
            </w:pPr>
            <w:r w:rsidRPr="00AA02AF">
              <w:rPr>
                <w:rFonts w:cs="Arial"/>
                <w:szCs w:val="20"/>
              </w:rPr>
              <w:t>Capacidad</w:t>
            </w:r>
            <w:r w:rsidRPr="00AA02AF">
              <w:rPr>
                <w:rFonts w:eastAsia="Arial" w:cs="Arial"/>
                <w:szCs w:val="20"/>
              </w:rPr>
              <w:t xml:space="preserve"> </w:t>
            </w:r>
            <w:r w:rsidRPr="00AA02AF">
              <w:rPr>
                <w:rFonts w:cs="Arial"/>
                <w:szCs w:val="20"/>
              </w:rPr>
              <w:t>técnica</w:t>
            </w:r>
            <w:r w:rsidRPr="00AA02AF">
              <w:rPr>
                <w:rFonts w:eastAsia="Arial" w:cs="Arial"/>
                <w:szCs w:val="20"/>
              </w:rPr>
              <w:t xml:space="preserve"> </w:t>
            </w:r>
            <w:r w:rsidRPr="00AA02AF">
              <w:rPr>
                <w:rFonts w:cs="Arial"/>
                <w:szCs w:val="20"/>
              </w:rPr>
              <w:t>(CT)</w:t>
            </w:r>
            <w:r w:rsidRPr="00AA02AF">
              <w:rPr>
                <w:rFonts w:eastAsia="Arial" w:cs="Arial"/>
                <w:szCs w:val="20"/>
              </w:rPr>
              <w:t xml:space="preserve"> </w:t>
            </w:r>
          </w:p>
        </w:tc>
        <w:tc>
          <w:tcPr>
            <w:tcW w:w="1843" w:type="dxa"/>
            <w:tcBorders>
              <w:top w:val="single" w:sz="6" w:space="0" w:color="000000" w:themeColor="text1"/>
              <w:left w:val="single" w:sz="6" w:space="0" w:color="000000" w:themeColor="text1"/>
              <w:bottom w:val="single" w:sz="6" w:space="0" w:color="000000" w:themeColor="text1"/>
              <w:right w:val="double" w:sz="4" w:space="0" w:color="auto"/>
            </w:tcBorders>
            <w:hideMark/>
          </w:tcPr>
          <w:p w14:paraId="209A2E40" w14:textId="77777777" w:rsidR="00253972" w:rsidRPr="00AA02AF" w:rsidRDefault="00253972" w:rsidP="00381A88">
            <w:pPr>
              <w:autoSpaceDE w:val="0"/>
              <w:autoSpaceDN w:val="0"/>
              <w:adjustRightInd w:val="0"/>
              <w:spacing w:after="0" w:line="276" w:lineRule="auto"/>
              <w:jc w:val="center"/>
              <w:rPr>
                <w:rFonts w:eastAsia="Arial" w:cs="Arial"/>
                <w:szCs w:val="20"/>
              </w:rPr>
            </w:pPr>
            <w:r w:rsidRPr="00AA02AF">
              <w:rPr>
                <w:rFonts w:cs="Arial"/>
                <w:szCs w:val="20"/>
              </w:rPr>
              <w:t>40</w:t>
            </w:r>
            <w:r w:rsidRPr="00AA02AF">
              <w:rPr>
                <w:rFonts w:eastAsia="Arial" w:cs="Arial"/>
                <w:szCs w:val="20"/>
              </w:rPr>
              <w:t xml:space="preserve"> </w:t>
            </w:r>
          </w:p>
        </w:tc>
      </w:tr>
      <w:tr w:rsidR="00253972" w:rsidRPr="00AA02AF" w14:paraId="5C230475" w14:textId="77777777" w:rsidTr="00381A88">
        <w:trPr>
          <w:trHeight w:val="20"/>
          <w:jc w:val="center"/>
        </w:trPr>
        <w:tc>
          <w:tcPr>
            <w:tcW w:w="2440" w:type="dxa"/>
            <w:tcBorders>
              <w:top w:val="single" w:sz="6" w:space="0" w:color="000000" w:themeColor="text1"/>
              <w:left w:val="double" w:sz="4" w:space="0" w:color="auto"/>
              <w:bottom w:val="double" w:sz="4" w:space="0" w:color="auto"/>
              <w:right w:val="single" w:sz="6" w:space="0" w:color="000000" w:themeColor="text1"/>
            </w:tcBorders>
            <w:hideMark/>
          </w:tcPr>
          <w:p w14:paraId="0449B9D2" w14:textId="77777777" w:rsidR="00253972" w:rsidRPr="00AA02AF" w:rsidRDefault="00253972" w:rsidP="00381A88">
            <w:pPr>
              <w:autoSpaceDE w:val="0"/>
              <w:autoSpaceDN w:val="0"/>
              <w:adjustRightInd w:val="0"/>
              <w:spacing w:after="0" w:line="276" w:lineRule="auto"/>
              <w:rPr>
                <w:rFonts w:eastAsia="Arial" w:cs="Arial"/>
                <w:szCs w:val="20"/>
              </w:rPr>
            </w:pPr>
            <w:r w:rsidRPr="00AA02AF">
              <w:rPr>
                <w:rFonts w:cs="Arial"/>
                <w:szCs w:val="20"/>
              </w:rPr>
              <w:t>Total</w:t>
            </w:r>
            <w:r w:rsidRPr="00AA02AF">
              <w:rPr>
                <w:rFonts w:eastAsia="Arial" w:cs="Arial"/>
                <w:szCs w:val="20"/>
              </w:rPr>
              <w:t xml:space="preserve"> </w:t>
            </w:r>
          </w:p>
        </w:tc>
        <w:tc>
          <w:tcPr>
            <w:tcW w:w="1843" w:type="dxa"/>
            <w:tcBorders>
              <w:top w:val="single" w:sz="6" w:space="0" w:color="000000" w:themeColor="text1"/>
              <w:left w:val="single" w:sz="6" w:space="0" w:color="000000" w:themeColor="text1"/>
              <w:bottom w:val="double" w:sz="4" w:space="0" w:color="auto"/>
              <w:right w:val="double" w:sz="4" w:space="0" w:color="auto"/>
            </w:tcBorders>
            <w:hideMark/>
          </w:tcPr>
          <w:p w14:paraId="1B6A67F6" w14:textId="77777777" w:rsidR="00253972" w:rsidRPr="00AA02AF" w:rsidRDefault="00253972" w:rsidP="00381A88">
            <w:pPr>
              <w:autoSpaceDE w:val="0"/>
              <w:autoSpaceDN w:val="0"/>
              <w:adjustRightInd w:val="0"/>
              <w:spacing w:after="0" w:line="276" w:lineRule="auto"/>
              <w:jc w:val="center"/>
              <w:rPr>
                <w:rFonts w:eastAsia="Arial" w:cs="Arial"/>
                <w:szCs w:val="20"/>
              </w:rPr>
            </w:pPr>
            <w:r w:rsidRPr="00AA02AF">
              <w:rPr>
                <w:rFonts w:cs="Arial"/>
                <w:szCs w:val="20"/>
              </w:rPr>
              <w:t>200</w:t>
            </w:r>
            <w:r w:rsidRPr="00AA02AF">
              <w:rPr>
                <w:rFonts w:eastAsia="Arial" w:cs="Arial"/>
                <w:szCs w:val="20"/>
              </w:rPr>
              <w:t xml:space="preserve"> </w:t>
            </w:r>
          </w:p>
        </w:tc>
      </w:tr>
    </w:tbl>
    <w:p w14:paraId="466EF045" w14:textId="77777777" w:rsidR="00253972" w:rsidRPr="00AA02AF" w:rsidRDefault="00253972" w:rsidP="00253972">
      <w:pPr>
        <w:jc w:val="both"/>
        <w:rPr>
          <w:rFonts w:ascii="Verdana" w:eastAsia="Calibri" w:hAnsi="Verdana" w:cs="Arial"/>
          <w:color w:val="000000" w:themeColor="text1"/>
        </w:rPr>
      </w:pPr>
    </w:p>
    <w:p w14:paraId="290452E5" w14:textId="77777777" w:rsidR="00253972" w:rsidRPr="00AA02AF" w:rsidRDefault="00253972" w:rsidP="00253972">
      <w:pPr>
        <w:ind w:firstLine="708"/>
        <w:jc w:val="both"/>
        <w:rPr>
          <w:rFonts w:ascii="Verdana" w:eastAsia="Calibri" w:hAnsi="Verdana" w:cs="Arial"/>
          <w:color w:val="000000" w:themeColor="text1"/>
        </w:rPr>
      </w:pPr>
      <w:r w:rsidRPr="00AA02AF">
        <w:rPr>
          <w:rFonts w:ascii="Verdana" w:eastAsia="Calibri" w:hAnsi="Verdana" w:cs="Arial"/>
          <w:color w:val="000000" w:themeColor="text1"/>
        </w:rPr>
        <w:t xml:space="preserve">Dentro de los lineamientos metodológicos establecidos en la “Guía para determinar y verificar la capacidad residual del proponente en los procesos de contratación de obra pública”, y en el marco de su petición, vale la pena reseñar aquellos definidos con relación a la </w:t>
      </w:r>
      <w:r w:rsidRPr="00AA02AF">
        <w:rPr>
          <w:rFonts w:ascii="Verdana" w:eastAsia="Calibri" w:hAnsi="Verdana" w:cs="Arial"/>
          <w:b/>
          <w:bCs/>
          <w:color w:val="000000" w:themeColor="text1"/>
        </w:rPr>
        <w:t>Capacidad de Organización (CO)</w:t>
      </w:r>
      <w:r w:rsidRPr="00AA02AF">
        <w:rPr>
          <w:rFonts w:ascii="Verdana" w:eastAsia="Calibri" w:hAnsi="Verdana" w:cs="Arial"/>
          <w:color w:val="000000" w:themeColor="text1"/>
        </w:rPr>
        <w:t xml:space="preserve">. </w:t>
      </w:r>
    </w:p>
    <w:p w14:paraId="25ECEE24" w14:textId="77777777" w:rsidR="00253972" w:rsidRPr="00AA02AF" w:rsidRDefault="00253972" w:rsidP="00253972">
      <w:pPr>
        <w:ind w:firstLine="708"/>
        <w:jc w:val="both"/>
        <w:rPr>
          <w:rFonts w:ascii="Verdana" w:eastAsia="Calibri" w:hAnsi="Verdana" w:cs="Arial"/>
          <w:color w:val="000000" w:themeColor="text1"/>
        </w:rPr>
      </w:pPr>
      <w:r w:rsidRPr="00AA02AF">
        <w:rPr>
          <w:rFonts w:ascii="Verdana" w:eastAsia="Calibri" w:hAnsi="Verdana" w:cs="Arial"/>
          <w:color w:val="000000" w:themeColor="text1"/>
        </w:rPr>
        <w:t>La primera consideración definida es que la Capacidad de Organización no tiene asignación de puntaje en la fórmula porque su unidad de medida es en pesos colombianos y constituye un factor multiplicador de los demás factores.</w:t>
      </w:r>
    </w:p>
    <w:p w14:paraId="0D78917B" w14:textId="77777777" w:rsidR="00253972" w:rsidRPr="00AA02AF" w:rsidRDefault="00253972" w:rsidP="00253972">
      <w:pPr>
        <w:ind w:firstLine="708"/>
        <w:jc w:val="both"/>
        <w:rPr>
          <w:rFonts w:ascii="Verdana" w:eastAsia="Calibri" w:hAnsi="Verdana" w:cs="Arial"/>
          <w:color w:val="000000" w:themeColor="text1"/>
        </w:rPr>
      </w:pPr>
      <w:r w:rsidRPr="00AA02AF">
        <w:rPr>
          <w:rFonts w:ascii="Verdana" w:eastAsia="Calibri" w:hAnsi="Verdana" w:cs="Arial"/>
          <w:color w:val="000000" w:themeColor="text1"/>
        </w:rPr>
        <w:t>En segunda instancia, la Guía establece cómo calcular la Capacidad de Organización (CO), para lo cual indica que la Capacidad de Organización (CO) corresponde a los ingresos operacionales, y para su determinación establece la siguiente metodología:</w:t>
      </w:r>
    </w:p>
    <w:tbl>
      <w:tblPr>
        <w:tblW w:w="0" w:type="auto"/>
        <w:jc w:val="center"/>
        <w:tblLayout w:type="fixed"/>
        <w:tblLook w:val="04A0" w:firstRow="1" w:lastRow="0" w:firstColumn="1" w:lastColumn="0" w:noHBand="0" w:noVBand="1"/>
      </w:tblPr>
      <w:tblGrid>
        <w:gridCol w:w="2537"/>
        <w:gridCol w:w="5305"/>
      </w:tblGrid>
      <w:tr w:rsidR="00253972" w:rsidRPr="00AA02AF" w14:paraId="70912C47" w14:textId="77777777" w:rsidTr="00381A88">
        <w:trPr>
          <w:trHeight w:val="218"/>
          <w:tblHeader/>
          <w:jc w:val="center"/>
        </w:trPr>
        <w:tc>
          <w:tcPr>
            <w:tcW w:w="2537" w:type="dxa"/>
            <w:tcBorders>
              <w:top w:val="double" w:sz="4" w:space="0" w:color="auto"/>
              <w:left w:val="double" w:sz="4" w:space="0" w:color="auto"/>
              <w:bottom w:val="single" w:sz="6" w:space="0" w:color="000000" w:themeColor="text1"/>
              <w:right w:val="single" w:sz="6" w:space="0" w:color="000000" w:themeColor="text1"/>
            </w:tcBorders>
            <w:shd w:val="clear" w:color="auto" w:fill="404040" w:themeFill="text1" w:themeFillTint="BF"/>
            <w:vAlign w:val="center"/>
            <w:hideMark/>
          </w:tcPr>
          <w:p w14:paraId="6571CA36" w14:textId="77777777" w:rsidR="00253972" w:rsidRPr="00AA02AF" w:rsidRDefault="00253972" w:rsidP="00381A88">
            <w:pPr>
              <w:autoSpaceDE w:val="0"/>
              <w:autoSpaceDN w:val="0"/>
              <w:adjustRightInd w:val="0"/>
              <w:spacing w:after="0" w:line="276" w:lineRule="auto"/>
              <w:jc w:val="center"/>
              <w:rPr>
                <w:rFonts w:ascii="Verdana" w:eastAsia="Arial" w:hAnsi="Verdana" w:cs="Arial"/>
                <w:b/>
                <w:bCs/>
                <w:color w:val="FFFFFF" w:themeColor="background1"/>
                <w:sz w:val="16"/>
                <w:szCs w:val="16"/>
              </w:rPr>
            </w:pPr>
            <w:r w:rsidRPr="00AA02AF">
              <w:rPr>
                <w:rFonts w:ascii="Verdana" w:hAnsi="Verdana" w:cs="Arial"/>
                <w:b/>
                <w:bCs/>
                <w:color w:val="FFFFFF" w:themeColor="background1"/>
                <w:sz w:val="16"/>
                <w:szCs w:val="16"/>
              </w:rPr>
              <w:t>Años</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de</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información</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financiera</w:t>
            </w:r>
            <w:r w:rsidRPr="00AA02AF">
              <w:rPr>
                <w:rFonts w:ascii="Verdana" w:eastAsia="Arial" w:hAnsi="Verdana" w:cs="Arial"/>
                <w:b/>
                <w:bCs/>
                <w:color w:val="FFFFFF" w:themeColor="background1"/>
                <w:sz w:val="16"/>
                <w:szCs w:val="16"/>
              </w:rPr>
              <w:t xml:space="preserve"> </w:t>
            </w:r>
          </w:p>
        </w:tc>
        <w:tc>
          <w:tcPr>
            <w:tcW w:w="5305" w:type="dxa"/>
            <w:tcBorders>
              <w:top w:val="double" w:sz="4" w:space="0" w:color="auto"/>
              <w:left w:val="single" w:sz="6" w:space="0" w:color="000000" w:themeColor="text1"/>
              <w:bottom w:val="single" w:sz="6" w:space="0" w:color="000000" w:themeColor="text1"/>
              <w:right w:val="double" w:sz="4" w:space="0" w:color="auto"/>
            </w:tcBorders>
            <w:shd w:val="clear" w:color="auto" w:fill="404040" w:themeFill="text1" w:themeFillTint="BF"/>
            <w:vAlign w:val="center"/>
            <w:hideMark/>
          </w:tcPr>
          <w:p w14:paraId="5967721A" w14:textId="77777777" w:rsidR="00253972" w:rsidRPr="00AA02AF" w:rsidRDefault="00253972" w:rsidP="00381A88">
            <w:pPr>
              <w:autoSpaceDE w:val="0"/>
              <w:autoSpaceDN w:val="0"/>
              <w:adjustRightInd w:val="0"/>
              <w:spacing w:after="0" w:line="276" w:lineRule="auto"/>
              <w:jc w:val="center"/>
              <w:rPr>
                <w:rFonts w:ascii="Verdana" w:eastAsia="Arial" w:hAnsi="Verdana" w:cs="Arial"/>
                <w:b/>
                <w:bCs/>
                <w:color w:val="FFFFFF" w:themeColor="background1"/>
                <w:sz w:val="16"/>
                <w:szCs w:val="16"/>
              </w:rPr>
            </w:pPr>
            <w:r w:rsidRPr="00AA02AF">
              <w:rPr>
                <w:rFonts w:ascii="Verdana" w:hAnsi="Verdana" w:cs="Arial"/>
                <w:b/>
                <w:bCs/>
                <w:color w:val="FFFFFF" w:themeColor="background1"/>
                <w:sz w:val="16"/>
                <w:szCs w:val="16"/>
              </w:rPr>
              <w:t>Capacidad</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de</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organización</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(CO)</w:t>
            </w:r>
            <w:r w:rsidRPr="00AA02AF">
              <w:rPr>
                <w:rFonts w:ascii="Verdana" w:eastAsia="Arial" w:hAnsi="Verdana" w:cs="Arial"/>
                <w:b/>
                <w:bCs/>
                <w:color w:val="FFFFFF" w:themeColor="background1"/>
                <w:sz w:val="16"/>
                <w:szCs w:val="16"/>
              </w:rPr>
              <w:t xml:space="preserve"> </w:t>
            </w:r>
          </w:p>
        </w:tc>
      </w:tr>
      <w:tr w:rsidR="00253972" w:rsidRPr="00AA02AF" w14:paraId="686159E0" w14:textId="77777777" w:rsidTr="00381A88">
        <w:trPr>
          <w:trHeight w:val="391"/>
          <w:jc w:val="center"/>
        </w:trPr>
        <w:tc>
          <w:tcPr>
            <w:tcW w:w="2537" w:type="dxa"/>
            <w:tcBorders>
              <w:top w:val="single" w:sz="6" w:space="0" w:color="000000" w:themeColor="text1"/>
              <w:left w:val="double" w:sz="4" w:space="0" w:color="auto"/>
              <w:bottom w:val="single" w:sz="6" w:space="0" w:color="000000" w:themeColor="text1"/>
              <w:right w:val="single" w:sz="6" w:space="0" w:color="000000" w:themeColor="text1"/>
            </w:tcBorders>
            <w:vAlign w:val="center"/>
            <w:hideMark/>
          </w:tcPr>
          <w:p w14:paraId="0C5CA206"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Cinco</w:t>
            </w:r>
            <w:r w:rsidRPr="00AA02AF">
              <w:rPr>
                <w:rFonts w:ascii="Verdana" w:eastAsia="Arial" w:hAnsi="Verdana" w:cs="Arial"/>
                <w:sz w:val="16"/>
                <w:szCs w:val="16"/>
              </w:rPr>
              <w:t xml:space="preserve"> </w:t>
            </w:r>
            <w:r w:rsidRPr="00AA02AF">
              <w:rPr>
                <w:rFonts w:ascii="Verdana" w:hAnsi="Verdana" w:cs="Arial"/>
                <w:sz w:val="16"/>
                <w:szCs w:val="16"/>
              </w:rPr>
              <w:t>(5)</w:t>
            </w:r>
            <w:r w:rsidRPr="00AA02AF">
              <w:rPr>
                <w:rFonts w:ascii="Verdana" w:eastAsia="Arial" w:hAnsi="Verdana" w:cs="Arial"/>
                <w:sz w:val="16"/>
                <w:szCs w:val="16"/>
              </w:rPr>
              <w:t xml:space="preserve"> </w:t>
            </w:r>
            <w:r w:rsidRPr="00AA02AF">
              <w:rPr>
                <w:rFonts w:ascii="Verdana" w:hAnsi="Verdana" w:cs="Arial"/>
                <w:sz w:val="16"/>
                <w:szCs w:val="16"/>
              </w:rPr>
              <w:t>años</w:t>
            </w:r>
            <w:r w:rsidRPr="00AA02AF">
              <w:rPr>
                <w:rFonts w:ascii="Verdana" w:eastAsia="Arial" w:hAnsi="Verdana" w:cs="Arial"/>
                <w:sz w:val="16"/>
                <w:szCs w:val="16"/>
              </w:rPr>
              <w:t xml:space="preserve"> </w:t>
            </w:r>
            <w:r w:rsidRPr="00AA02AF">
              <w:rPr>
                <w:rFonts w:ascii="Verdana" w:hAnsi="Verdana" w:cs="Arial"/>
                <w:sz w:val="16"/>
                <w:szCs w:val="16"/>
              </w:rPr>
              <w:t>o</w:t>
            </w:r>
            <w:r w:rsidRPr="00AA02AF">
              <w:rPr>
                <w:rFonts w:ascii="Verdana" w:eastAsia="Arial" w:hAnsi="Verdana" w:cs="Arial"/>
                <w:sz w:val="16"/>
                <w:szCs w:val="16"/>
              </w:rPr>
              <w:t xml:space="preserve"> </w:t>
            </w:r>
            <w:r w:rsidRPr="00AA02AF">
              <w:rPr>
                <w:rFonts w:ascii="Verdana" w:hAnsi="Verdana" w:cs="Arial"/>
                <w:sz w:val="16"/>
                <w:szCs w:val="16"/>
              </w:rPr>
              <w:t>más</w:t>
            </w:r>
          </w:p>
        </w:tc>
        <w:tc>
          <w:tcPr>
            <w:tcW w:w="5305" w:type="dxa"/>
            <w:tcBorders>
              <w:top w:val="single" w:sz="6" w:space="0" w:color="000000" w:themeColor="text1"/>
              <w:left w:val="single" w:sz="6" w:space="0" w:color="000000" w:themeColor="text1"/>
              <w:bottom w:val="single" w:sz="6" w:space="0" w:color="000000" w:themeColor="text1"/>
              <w:right w:val="double" w:sz="4" w:space="0" w:color="auto"/>
            </w:tcBorders>
            <w:hideMark/>
          </w:tcPr>
          <w:p w14:paraId="58C067F7"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Mayor</w:t>
            </w:r>
            <w:r w:rsidRPr="00AA02AF">
              <w:rPr>
                <w:rFonts w:ascii="Verdana" w:eastAsia="Arial" w:hAnsi="Verdana" w:cs="Arial"/>
                <w:sz w:val="16"/>
                <w:szCs w:val="16"/>
              </w:rPr>
              <w:t xml:space="preserve"> </w:t>
            </w:r>
            <w:r w:rsidRPr="00AA02AF">
              <w:rPr>
                <w:rFonts w:ascii="Verdana" w:hAnsi="Verdana" w:cs="Arial"/>
                <w:sz w:val="16"/>
                <w:szCs w:val="16"/>
              </w:rPr>
              <w:t>ingreso</w:t>
            </w:r>
            <w:r w:rsidRPr="00AA02AF">
              <w:rPr>
                <w:rFonts w:ascii="Verdana" w:eastAsia="Arial" w:hAnsi="Verdana" w:cs="Arial"/>
                <w:sz w:val="16"/>
                <w:szCs w:val="16"/>
              </w:rPr>
              <w:t xml:space="preserve"> </w:t>
            </w:r>
            <w:r w:rsidRPr="00AA02AF">
              <w:rPr>
                <w:rFonts w:ascii="Verdana" w:hAnsi="Verdana" w:cs="Arial"/>
                <w:sz w:val="16"/>
                <w:szCs w:val="16"/>
              </w:rPr>
              <w:t>operacional</w:t>
            </w:r>
            <w:r w:rsidRPr="00AA02AF">
              <w:rPr>
                <w:rFonts w:ascii="Verdana" w:eastAsia="Arial" w:hAnsi="Verdana" w:cs="Arial"/>
                <w:sz w:val="16"/>
                <w:szCs w:val="16"/>
              </w:rPr>
              <w:t xml:space="preserve"> </w:t>
            </w:r>
            <w:r w:rsidRPr="00AA02AF">
              <w:rPr>
                <w:rFonts w:ascii="Verdana" w:hAnsi="Verdana" w:cs="Arial"/>
                <w:sz w:val="16"/>
                <w:szCs w:val="16"/>
              </w:rPr>
              <w:t>de</w:t>
            </w:r>
            <w:r w:rsidRPr="00AA02AF">
              <w:rPr>
                <w:rFonts w:ascii="Verdana" w:eastAsia="Arial" w:hAnsi="Verdana" w:cs="Arial"/>
                <w:sz w:val="16"/>
                <w:szCs w:val="16"/>
              </w:rPr>
              <w:t xml:space="preserve"> </w:t>
            </w:r>
            <w:r w:rsidRPr="00AA02AF">
              <w:rPr>
                <w:rFonts w:ascii="Verdana" w:hAnsi="Verdana" w:cs="Arial"/>
                <w:sz w:val="16"/>
                <w:szCs w:val="16"/>
              </w:rPr>
              <w:t>los</w:t>
            </w:r>
            <w:r w:rsidRPr="00AA02AF">
              <w:rPr>
                <w:rFonts w:ascii="Verdana" w:eastAsia="Arial" w:hAnsi="Verdana" w:cs="Arial"/>
                <w:sz w:val="16"/>
                <w:szCs w:val="16"/>
              </w:rPr>
              <w:t xml:space="preserve"> </w:t>
            </w:r>
            <w:r w:rsidRPr="00AA02AF">
              <w:rPr>
                <w:rFonts w:ascii="Verdana" w:hAnsi="Verdana" w:cs="Arial"/>
                <w:sz w:val="16"/>
                <w:szCs w:val="16"/>
              </w:rPr>
              <w:t>últimos</w:t>
            </w:r>
            <w:r w:rsidRPr="00AA02AF">
              <w:rPr>
                <w:rFonts w:ascii="Verdana" w:eastAsia="Arial" w:hAnsi="Verdana" w:cs="Arial"/>
                <w:sz w:val="16"/>
                <w:szCs w:val="16"/>
              </w:rPr>
              <w:t xml:space="preserve"> </w:t>
            </w:r>
            <w:r w:rsidRPr="00AA02AF">
              <w:rPr>
                <w:rFonts w:ascii="Verdana" w:hAnsi="Verdana" w:cs="Arial"/>
                <w:sz w:val="16"/>
                <w:szCs w:val="16"/>
              </w:rPr>
              <w:t>5</w:t>
            </w:r>
            <w:r w:rsidRPr="00AA02AF">
              <w:rPr>
                <w:rFonts w:ascii="Verdana" w:eastAsia="Arial" w:hAnsi="Verdana" w:cs="Arial"/>
                <w:sz w:val="16"/>
                <w:szCs w:val="16"/>
              </w:rPr>
              <w:t xml:space="preserve"> </w:t>
            </w:r>
            <w:r w:rsidRPr="00AA02AF">
              <w:rPr>
                <w:rFonts w:ascii="Verdana" w:hAnsi="Verdana" w:cs="Arial"/>
                <w:sz w:val="16"/>
                <w:szCs w:val="16"/>
              </w:rPr>
              <w:t>años</w:t>
            </w:r>
          </w:p>
        </w:tc>
      </w:tr>
      <w:tr w:rsidR="00253972" w:rsidRPr="00AA02AF" w14:paraId="02F8154B" w14:textId="77777777" w:rsidTr="00381A88">
        <w:trPr>
          <w:trHeight w:val="241"/>
          <w:jc w:val="center"/>
        </w:trPr>
        <w:tc>
          <w:tcPr>
            <w:tcW w:w="2537" w:type="dxa"/>
            <w:tcBorders>
              <w:top w:val="single" w:sz="6" w:space="0" w:color="000000" w:themeColor="text1"/>
              <w:left w:val="double" w:sz="4" w:space="0" w:color="auto"/>
              <w:bottom w:val="single" w:sz="6" w:space="0" w:color="000000" w:themeColor="text1"/>
              <w:right w:val="single" w:sz="6" w:space="0" w:color="000000" w:themeColor="text1"/>
            </w:tcBorders>
            <w:vAlign w:val="center"/>
            <w:hideMark/>
          </w:tcPr>
          <w:p w14:paraId="79C1DCD5"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Entre</w:t>
            </w:r>
            <w:r w:rsidRPr="00AA02AF">
              <w:rPr>
                <w:rFonts w:ascii="Verdana" w:eastAsia="Arial" w:hAnsi="Verdana" w:cs="Arial"/>
                <w:sz w:val="16"/>
                <w:szCs w:val="16"/>
              </w:rPr>
              <w:t xml:space="preserve"> </w:t>
            </w:r>
            <w:r w:rsidRPr="00AA02AF">
              <w:rPr>
                <w:rFonts w:ascii="Verdana" w:hAnsi="Verdana" w:cs="Arial"/>
                <w:sz w:val="16"/>
                <w:szCs w:val="16"/>
              </w:rPr>
              <w:t>uno</w:t>
            </w:r>
            <w:r w:rsidRPr="00AA02AF">
              <w:rPr>
                <w:rFonts w:ascii="Verdana" w:eastAsia="Arial" w:hAnsi="Verdana" w:cs="Arial"/>
                <w:sz w:val="16"/>
                <w:szCs w:val="16"/>
              </w:rPr>
              <w:t xml:space="preserve"> </w:t>
            </w:r>
            <w:r w:rsidRPr="00AA02AF">
              <w:rPr>
                <w:rFonts w:ascii="Verdana" w:hAnsi="Verdana" w:cs="Arial"/>
                <w:sz w:val="16"/>
                <w:szCs w:val="16"/>
              </w:rPr>
              <w:t>(1)</w:t>
            </w:r>
            <w:r w:rsidRPr="00AA02AF">
              <w:rPr>
                <w:rFonts w:ascii="Verdana" w:eastAsia="Arial" w:hAnsi="Verdana" w:cs="Arial"/>
                <w:sz w:val="16"/>
                <w:szCs w:val="16"/>
              </w:rPr>
              <w:t xml:space="preserve"> </w:t>
            </w:r>
            <w:r w:rsidRPr="00AA02AF">
              <w:rPr>
                <w:rFonts w:ascii="Verdana" w:hAnsi="Verdana" w:cs="Arial"/>
                <w:sz w:val="16"/>
                <w:szCs w:val="16"/>
              </w:rPr>
              <w:t>y</w:t>
            </w:r>
            <w:r w:rsidRPr="00AA02AF">
              <w:rPr>
                <w:rFonts w:ascii="Verdana" w:eastAsia="Arial" w:hAnsi="Verdana" w:cs="Arial"/>
                <w:sz w:val="16"/>
                <w:szCs w:val="16"/>
              </w:rPr>
              <w:t xml:space="preserve"> </w:t>
            </w:r>
            <w:r w:rsidRPr="00AA02AF">
              <w:rPr>
                <w:rFonts w:ascii="Verdana" w:hAnsi="Verdana" w:cs="Arial"/>
                <w:sz w:val="16"/>
                <w:szCs w:val="16"/>
              </w:rPr>
              <w:t>cinco</w:t>
            </w:r>
            <w:r w:rsidRPr="00AA02AF">
              <w:rPr>
                <w:rFonts w:ascii="Verdana" w:eastAsia="Arial" w:hAnsi="Verdana" w:cs="Arial"/>
                <w:sz w:val="16"/>
                <w:szCs w:val="16"/>
              </w:rPr>
              <w:t xml:space="preserve"> </w:t>
            </w:r>
            <w:r w:rsidRPr="00AA02AF">
              <w:rPr>
                <w:rFonts w:ascii="Verdana" w:hAnsi="Verdana" w:cs="Arial"/>
                <w:sz w:val="16"/>
                <w:szCs w:val="16"/>
              </w:rPr>
              <w:t>(5)</w:t>
            </w:r>
            <w:r w:rsidRPr="00AA02AF">
              <w:rPr>
                <w:rFonts w:ascii="Verdana" w:eastAsia="Arial" w:hAnsi="Verdana" w:cs="Arial"/>
                <w:sz w:val="16"/>
                <w:szCs w:val="16"/>
              </w:rPr>
              <w:t xml:space="preserve"> </w:t>
            </w:r>
            <w:r w:rsidRPr="00AA02AF">
              <w:rPr>
                <w:rFonts w:ascii="Verdana" w:hAnsi="Verdana" w:cs="Arial"/>
                <w:sz w:val="16"/>
                <w:szCs w:val="16"/>
              </w:rPr>
              <w:t>años</w:t>
            </w:r>
          </w:p>
        </w:tc>
        <w:tc>
          <w:tcPr>
            <w:tcW w:w="5305" w:type="dxa"/>
            <w:tcBorders>
              <w:top w:val="single" w:sz="6" w:space="0" w:color="000000" w:themeColor="text1"/>
              <w:left w:val="single" w:sz="6" w:space="0" w:color="000000" w:themeColor="text1"/>
              <w:bottom w:val="single" w:sz="6" w:space="0" w:color="000000" w:themeColor="text1"/>
              <w:right w:val="double" w:sz="4" w:space="0" w:color="auto"/>
            </w:tcBorders>
            <w:hideMark/>
          </w:tcPr>
          <w:p w14:paraId="1D41DE41"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Mayor</w:t>
            </w:r>
            <w:r w:rsidRPr="00AA02AF">
              <w:rPr>
                <w:rFonts w:ascii="Verdana" w:eastAsia="Arial" w:hAnsi="Verdana" w:cs="Arial"/>
                <w:sz w:val="16"/>
                <w:szCs w:val="16"/>
              </w:rPr>
              <w:t xml:space="preserve"> </w:t>
            </w:r>
            <w:r w:rsidRPr="00AA02AF">
              <w:rPr>
                <w:rFonts w:ascii="Verdana" w:hAnsi="Verdana" w:cs="Arial"/>
                <w:sz w:val="16"/>
                <w:szCs w:val="16"/>
              </w:rPr>
              <w:t>ingreso</w:t>
            </w:r>
            <w:r w:rsidRPr="00AA02AF">
              <w:rPr>
                <w:rFonts w:ascii="Verdana" w:eastAsia="Arial" w:hAnsi="Verdana" w:cs="Arial"/>
                <w:sz w:val="16"/>
                <w:szCs w:val="16"/>
              </w:rPr>
              <w:t xml:space="preserve"> </w:t>
            </w:r>
            <w:r w:rsidRPr="00AA02AF">
              <w:rPr>
                <w:rFonts w:ascii="Verdana" w:hAnsi="Verdana" w:cs="Arial"/>
                <w:sz w:val="16"/>
                <w:szCs w:val="16"/>
              </w:rPr>
              <w:t>operacional</w:t>
            </w:r>
            <w:r w:rsidRPr="00AA02AF">
              <w:rPr>
                <w:rFonts w:ascii="Verdana" w:eastAsia="Arial" w:hAnsi="Verdana" w:cs="Arial"/>
                <w:sz w:val="16"/>
                <w:szCs w:val="16"/>
              </w:rPr>
              <w:t xml:space="preserve"> </w:t>
            </w:r>
            <w:r w:rsidRPr="00AA02AF">
              <w:rPr>
                <w:rFonts w:ascii="Verdana" w:hAnsi="Verdana" w:cs="Arial"/>
                <w:sz w:val="16"/>
                <w:szCs w:val="16"/>
              </w:rPr>
              <w:t>de</w:t>
            </w:r>
            <w:r w:rsidRPr="00AA02AF">
              <w:rPr>
                <w:rFonts w:ascii="Verdana" w:eastAsia="Arial" w:hAnsi="Verdana" w:cs="Arial"/>
                <w:sz w:val="16"/>
                <w:szCs w:val="16"/>
              </w:rPr>
              <w:t xml:space="preserve"> </w:t>
            </w:r>
            <w:r w:rsidRPr="00AA02AF">
              <w:rPr>
                <w:rFonts w:ascii="Verdana" w:hAnsi="Verdana" w:cs="Arial"/>
                <w:sz w:val="16"/>
                <w:szCs w:val="16"/>
              </w:rPr>
              <w:t xml:space="preserve">los años de existencia del proponente. </w:t>
            </w:r>
          </w:p>
        </w:tc>
      </w:tr>
      <w:tr w:rsidR="00253972" w:rsidRPr="00AA02AF" w14:paraId="03DD392F" w14:textId="77777777" w:rsidTr="00381A88">
        <w:trPr>
          <w:trHeight w:val="245"/>
          <w:jc w:val="center"/>
        </w:trPr>
        <w:tc>
          <w:tcPr>
            <w:tcW w:w="2537" w:type="dxa"/>
            <w:tcBorders>
              <w:top w:val="single" w:sz="6" w:space="0" w:color="000000" w:themeColor="text1"/>
              <w:left w:val="double" w:sz="4" w:space="0" w:color="auto"/>
              <w:bottom w:val="double" w:sz="4" w:space="0" w:color="auto"/>
              <w:right w:val="single" w:sz="6" w:space="0" w:color="000000" w:themeColor="text1"/>
            </w:tcBorders>
            <w:vAlign w:val="center"/>
            <w:hideMark/>
          </w:tcPr>
          <w:p w14:paraId="0255A223"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Menos</w:t>
            </w:r>
            <w:r w:rsidRPr="00AA02AF">
              <w:rPr>
                <w:rFonts w:ascii="Verdana" w:eastAsia="Arial" w:hAnsi="Verdana" w:cs="Arial"/>
                <w:sz w:val="16"/>
                <w:szCs w:val="16"/>
              </w:rPr>
              <w:t xml:space="preserve"> </w:t>
            </w:r>
            <w:r w:rsidRPr="00AA02AF">
              <w:rPr>
                <w:rFonts w:ascii="Verdana" w:hAnsi="Verdana" w:cs="Arial"/>
                <w:sz w:val="16"/>
                <w:szCs w:val="16"/>
              </w:rPr>
              <w:t>de</w:t>
            </w:r>
            <w:r w:rsidRPr="00AA02AF">
              <w:rPr>
                <w:rFonts w:ascii="Verdana" w:eastAsia="Arial" w:hAnsi="Verdana" w:cs="Arial"/>
                <w:sz w:val="16"/>
                <w:szCs w:val="16"/>
              </w:rPr>
              <w:t xml:space="preserve"> </w:t>
            </w:r>
            <w:r w:rsidRPr="00AA02AF">
              <w:rPr>
                <w:rFonts w:ascii="Verdana" w:hAnsi="Verdana" w:cs="Arial"/>
                <w:sz w:val="16"/>
                <w:szCs w:val="16"/>
              </w:rPr>
              <w:t>un</w:t>
            </w:r>
            <w:r w:rsidRPr="00AA02AF">
              <w:rPr>
                <w:rFonts w:ascii="Verdana" w:eastAsia="Arial" w:hAnsi="Verdana" w:cs="Arial"/>
                <w:sz w:val="16"/>
                <w:szCs w:val="16"/>
              </w:rPr>
              <w:t xml:space="preserve"> </w:t>
            </w:r>
            <w:r w:rsidRPr="00AA02AF">
              <w:rPr>
                <w:rFonts w:ascii="Verdana" w:hAnsi="Verdana" w:cs="Arial"/>
                <w:sz w:val="16"/>
                <w:szCs w:val="16"/>
              </w:rPr>
              <w:t>(1)</w:t>
            </w:r>
            <w:r w:rsidRPr="00AA02AF">
              <w:rPr>
                <w:rFonts w:ascii="Verdana" w:eastAsia="Arial" w:hAnsi="Verdana" w:cs="Arial"/>
                <w:sz w:val="16"/>
                <w:szCs w:val="16"/>
              </w:rPr>
              <w:t xml:space="preserve"> </w:t>
            </w:r>
            <w:r w:rsidRPr="00AA02AF">
              <w:rPr>
                <w:rFonts w:ascii="Verdana" w:hAnsi="Verdana" w:cs="Arial"/>
                <w:sz w:val="16"/>
                <w:szCs w:val="16"/>
              </w:rPr>
              <w:t>año</w:t>
            </w:r>
            <w:r w:rsidRPr="00AA02AF">
              <w:rPr>
                <w:rFonts w:ascii="Verdana" w:eastAsia="Arial" w:hAnsi="Verdana" w:cs="Arial"/>
                <w:sz w:val="16"/>
                <w:szCs w:val="16"/>
              </w:rPr>
              <w:t xml:space="preserve"> (*)</w:t>
            </w:r>
          </w:p>
        </w:tc>
        <w:tc>
          <w:tcPr>
            <w:tcW w:w="5305" w:type="dxa"/>
            <w:tcBorders>
              <w:top w:val="single" w:sz="6" w:space="0" w:color="000000" w:themeColor="text1"/>
              <w:left w:val="single" w:sz="6" w:space="0" w:color="000000" w:themeColor="text1"/>
              <w:bottom w:val="double" w:sz="4" w:space="0" w:color="auto"/>
              <w:right w:val="double" w:sz="4" w:space="0" w:color="auto"/>
            </w:tcBorders>
            <w:hideMark/>
          </w:tcPr>
          <w:p w14:paraId="2A39BB8F"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USD</w:t>
            </w:r>
            <w:r w:rsidRPr="00AA02AF">
              <w:rPr>
                <w:rFonts w:ascii="Verdana" w:eastAsia="Arial" w:hAnsi="Verdana" w:cs="Arial"/>
                <w:sz w:val="16"/>
                <w:szCs w:val="16"/>
              </w:rPr>
              <w:t xml:space="preserve"> </w:t>
            </w:r>
            <w:r w:rsidRPr="00AA02AF">
              <w:rPr>
                <w:rFonts w:ascii="Verdana" w:hAnsi="Verdana" w:cs="Arial"/>
                <w:sz w:val="16"/>
                <w:szCs w:val="16"/>
              </w:rPr>
              <w:t>125.000</w:t>
            </w:r>
            <w:r w:rsidRPr="00AA02AF">
              <w:rPr>
                <w:rFonts w:ascii="Verdana" w:eastAsia="Arial" w:hAnsi="Verdana" w:cs="Arial"/>
                <w:sz w:val="16"/>
                <w:szCs w:val="16"/>
              </w:rPr>
              <w:t xml:space="preserve"> (</w:t>
            </w:r>
            <w:r w:rsidRPr="00AA02AF">
              <w:rPr>
                <w:rFonts w:ascii="Verdana" w:hAnsi="Verdana" w:cs="Arial"/>
                <w:sz w:val="16"/>
                <w:szCs w:val="16"/>
              </w:rPr>
              <w:t xml:space="preserve">Liquidados a la tasa de cambio determinada por el Ministerio de Comercio, Industria y Turismo cada 2 años para efectos del umbral del beneficio de las </w:t>
            </w:r>
            <w:proofErr w:type="spellStart"/>
            <w:r w:rsidRPr="00AA02AF">
              <w:rPr>
                <w:rFonts w:ascii="Verdana" w:hAnsi="Verdana" w:cs="Arial"/>
                <w:sz w:val="16"/>
                <w:szCs w:val="16"/>
              </w:rPr>
              <w:t>Mipyme</w:t>
            </w:r>
            <w:proofErr w:type="spellEnd"/>
            <w:r w:rsidRPr="00AA02AF">
              <w:rPr>
                <w:rFonts w:ascii="Verdana" w:hAnsi="Verdana" w:cs="Arial"/>
                <w:sz w:val="16"/>
                <w:szCs w:val="16"/>
              </w:rPr>
              <w:t>.</w:t>
            </w:r>
            <w:r w:rsidRPr="00AA02AF">
              <w:rPr>
                <w:rFonts w:ascii="Verdana" w:eastAsia="Arial" w:hAnsi="Verdana" w:cs="Arial"/>
                <w:sz w:val="16"/>
                <w:szCs w:val="16"/>
              </w:rPr>
              <w:t>)</w:t>
            </w:r>
          </w:p>
        </w:tc>
      </w:tr>
    </w:tbl>
    <w:p w14:paraId="58E782E9" w14:textId="77777777" w:rsidR="00253972" w:rsidRPr="00AA02AF" w:rsidRDefault="00253972" w:rsidP="00253972">
      <w:pPr>
        <w:ind w:left="567" w:right="474"/>
        <w:jc w:val="both"/>
        <w:rPr>
          <w:rFonts w:ascii="Verdana" w:hAnsi="Verdana"/>
          <w:sz w:val="18"/>
          <w:szCs w:val="18"/>
        </w:rPr>
      </w:pPr>
      <w:r w:rsidRPr="00AA02AF">
        <w:rPr>
          <w:rFonts w:ascii="Verdana" w:hAnsi="Verdana"/>
          <w:sz w:val="18"/>
          <w:szCs w:val="18"/>
        </w:rPr>
        <w:t xml:space="preserve">Si los ingresos operacionales del proponente con uno (1) o más años de información financiera es menor a USD 125.000, la Capacidad de Organización (CO) del proponente es igual a USD 125.000.  </w:t>
      </w:r>
    </w:p>
    <w:p w14:paraId="4495FF62" w14:textId="77777777" w:rsidR="00253972" w:rsidRPr="00AA02AF" w:rsidRDefault="00253972" w:rsidP="00253972">
      <w:pPr>
        <w:jc w:val="both"/>
        <w:rPr>
          <w:rFonts w:ascii="Verdana" w:hAnsi="Verdana"/>
        </w:rPr>
      </w:pPr>
      <w:r w:rsidRPr="00AA02AF">
        <w:rPr>
          <w:rFonts w:ascii="Verdana" w:hAnsi="Verdana"/>
        </w:rPr>
        <w:lastRenderedPageBreak/>
        <w:t>Finalmente, la Guía realiza las siguientes precisiones respecto a la información que debe presentar los proponentes obligados a tener RUP ara acreditar el factor (CO):</w:t>
      </w:r>
    </w:p>
    <w:p w14:paraId="49732B2B" w14:textId="77777777" w:rsidR="00253972" w:rsidRPr="00AA02AF" w:rsidRDefault="00253972" w:rsidP="00253972">
      <w:pPr>
        <w:pStyle w:val="Prrafodelista"/>
        <w:numPr>
          <w:ilvl w:val="0"/>
          <w:numId w:val="19"/>
        </w:numPr>
        <w:ind w:left="851" w:hanging="284"/>
        <w:jc w:val="both"/>
        <w:rPr>
          <w:rFonts w:ascii="Verdana" w:hAnsi="Verdana"/>
          <w:sz w:val="20"/>
          <w:szCs w:val="20"/>
        </w:rPr>
      </w:pPr>
      <w:r w:rsidRPr="00AA02AF">
        <w:rPr>
          <w:rFonts w:ascii="Verdana" w:hAnsi="Verdana"/>
          <w:sz w:val="20"/>
          <w:szCs w:val="20"/>
        </w:rPr>
        <w:t xml:space="preserve">Estado de resultados integral (estado de resultado o pérdida o ganancias) del año en que hayan obtenido el mayor ingreso operacional en los últimos cinco (5) años o de los años de vida del oferente, según corresponda, debidamente firmado por el representante legal y el contador público bajo cuya responsabilidad se han preparado y por el revisor fiscal o, en caso de no haberlo, por no estar obligado a tenerlo, por contador público independiente, acompañados de su dictamen u opinión de conformidad con el artículo 38 de la Ley 222 de 1995. </w:t>
      </w:r>
    </w:p>
    <w:p w14:paraId="624BDEEB" w14:textId="77777777" w:rsidR="00253972" w:rsidRPr="00AA02AF" w:rsidRDefault="00253972" w:rsidP="00253972">
      <w:pPr>
        <w:pStyle w:val="Prrafodelista"/>
        <w:numPr>
          <w:ilvl w:val="0"/>
          <w:numId w:val="19"/>
        </w:numPr>
        <w:ind w:left="851" w:hanging="284"/>
        <w:jc w:val="both"/>
        <w:rPr>
          <w:rFonts w:ascii="Verdana" w:hAnsi="Verdana"/>
          <w:sz w:val="20"/>
          <w:szCs w:val="20"/>
        </w:rPr>
      </w:pPr>
      <w:r w:rsidRPr="00AA02AF">
        <w:rPr>
          <w:rFonts w:ascii="Verdana" w:hAnsi="Verdana"/>
          <w:sz w:val="20"/>
          <w:szCs w:val="20"/>
        </w:rPr>
        <w:t xml:space="preserve">Copia de la tarjeta profesional y certificado de antecedentes disciplinarios vigentes de los Contadores Públicos, Revisores Fiscales, Contadores independientes (externos), quienes suscribieron los documentos señalados en el presente literal.  </w:t>
      </w:r>
    </w:p>
    <w:p w14:paraId="13B3D675" w14:textId="77777777" w:rsidR="00253972" w:rsidRPr="00AA02AF" w:rsidRDefault="00253972" w:rsidP="00253972">
      <w:pPr>
        <w:ind w:firstLine="567"/>
        <w:jc w:val="both"/>
        <w:rPr>
          <w:rFonts w:ascii="Verdana" w:hAnsi="Verdana"/>
        </w:rPr>
      </w:pPr>
      <w:r w:rsidRPr="00AA02AF">
        <w:rPr>
          <w:rFonts w:ascii="Verdana" w:hAnsi="Verdana"/>
        </w:rPr>
        <w:t>Conforme con lo anteriormente reseñado, y en el marco de su consulta, es importante resaltar que la metodología definida por la Guía para establecer la capacidad de organización del proponente con base en los ingresos operacionales, no consideró realizar ningún ejercicio de indexación de la información por este concepto para realizar el cálculo de la capacidad residual, por el contrario, y amparada en lo definido en el decreto 1082 de 2015, la metodología contempla la incorporación del mayor ingreso operacional en el marco de un periodo específico (dependiendo de la antigüedad del proponente) permitiendo así que el proponente pueda utilizar para el cálculo de la capacidad residual los mejores resultados  obtenidos en cuanto a los ingresos operacionales se refiere, como resultado del ejercicio de una empresa en un año específico dentro del periodo definido:</w:t>
      </w:r>
    </w:p>
    <w:tbl>
      <w:tblPr>
        <w:tblW w:w="0" w:type="auto"/>
        <w:jc w:val="center"/>
        <w:tblLayout w:type="fixed"/>
        <w:tblLook w:val="04A0" w:firstRow="1" w:lastRow="0" w:firstColumn="1" w:lastColumn="0" w:noHBand="0" w:noVBand="1"/>
      </w:tblPr>
      <w:tblGrid>
        <w:gridCol w:w="2630"/>
      </w:tblGrid>
      <w:tr w:rsidR="00253972" w:rsidRPr="00AA02AF" w14:paraId="5C2EC0AD" w14:textId="77777777" w:rsidTr="00381A88">
        <w:trPr>
          <w:trHeight w:val="218"/>
          <w:tblHeader/>
          <w:jc w:val="center"/>
        </w:trPr>
        <w:tc>
          <w:tcPr>
            <w:tcW w:w="2630" w:type="dxa"/>
            <w:tcBorders>
              <w:top w:val="double" w:sz="4" w:space="0" w:color="auto"/>
              <w:left w:val="double" w:sz="4" w:space="0" w:color="auto"/>
              <w:bottom w:val="single" w:sz="6" w:space="0" w:color="000000" w:themeColor="text1"/>
              <w:right w:val="single" w:sz="6" w:space="0" w:color="000000" w:themeColor="text1"/>
            </w:tcBorders>
            <w:shd w:val="clear" w:color="auto" w:fill="404040" w:themeFill="text1" w:themeFillTint="BF"/>
            <w:vAlign w:val="center"/>
            <w:hideMark/>
          </w:tcPr>
          <w:p w14:paraId="75370E5B" w14:textId="77777777" w:rsidR="00253972" w:rsidRPr="00AA02AF" w:rsidRDefault="00253972" w:rsidP="00381A88">
            <w:pPr>
              <w:autoSpaceDE w:val="0"/>
              <w:autoSpaceDN w:val="0"/>
              <w:adjustRightInd w:val="0"/>
              <w:spacing w:after="0" w:line="276" w:lineRule="auto"/>
              <w:jc w:val="center"/>
              <w:rPr>
                <w:rFonts w:ascii="Verdana" w:eastAsia="Arial" w:hAnsi="Verdana" w:cs="Arial"/>
                <w:b/>
                <w:bCs/>
                <w:color w:val="FFFFFF" w:themeColor="background1"/>
                <w:sz w:val="16"/>
                <w:szCs w:val="16"/>
              </w:rPr>
            </w:pPr>
            <w:r w:rsidRPr="00AA02AF">
              <w:rPr>
                <w:rFonts w:ascii="Verdana" w:hAnsi="Verdana" w:cs="Arial"/>
                <w:b/>
                <w:bCs/>
                <w:color w:val="FFFFFF" w:themeColor="background1"/>
                <w:sz w:val="16"/>
                <w:szCs w:val="16"/>
              </w:rPr>
              <w:t>Años</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de</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información</w:t>
            </w:r>
            <w:r w:rsidRPr="00AA02AF">
              <w:rPr>
                <w:rFonts w:ascii="Verdana" w:eastAsia="Arial" w:hAnsi="Verdana" w:cs="Arial"/>
                <w:b/>
                <w:bCs/>
                <w:color w:val="FFFFFF" w:themeColor="background1"/>
                <w:sz w:val="16"/>
                <w:szCs w:val="16"/>
              </w:rPr>
              <w:t xml:space="preserve"> </w:t>
            </w:r>
            <w:r w:rsidRPr="00AA02AF">
              <w:rPr>
                <w:rFonts w:ascii="Verdana" w:hAnsi="Verdana" w:cs="Arial"/>
                <w:b/>
                <w:bCs/>
                <w:color w:val="FFFFFF" w:themeColor="background1"/>
                <w:sz w:val="16"/>
                <w:szCs w:val="16"/>
              </w:rPr>
              <w:t>financiera</w:t>
            </w:r>
            <w:r w:rsidRPr="00AA02AF">
              <w:rPr>
                <w:rFonts w:ascii="Verdana" w:eastAsia="Arial" w:hAnsi="Verdana" w:cs="Arial"/>
                <w:b/>
                <w:bCs/>
                <w:color w:val="FFFFFF" w:themeColor="background1"/>
                <w:sz w:val="16"/>
                <w:szCs w:val="16"/>
              </w:rPr>
              <w:t xml:space="preserve"> </w:t>
            </w:r>
          </w:p>
        </w:tc>
      </w:tr>
      <w:tr w:rsidR="00253972" w:rsidRPr="00AA02AF" w14:paraId="62882C65" w14:textId="77777777" w:rsidTr="00381A88">
        <w:trPr>
          <w:trHeight w:val="391"/>
          <w:jc w:val="center"/>
        </w:trPr>
        <w:tc>
          <w:tcPr>
            <w:tcW w:w="2630" w:type="dxa"/>
            <w:tcBorders>
              <w:top w:val="single" w:sz="6" w:space="0" w:color="000000" w:themeColor="text1"/>
              <w:left w:val="double" w:sz="4" w:space="0" w:color="auto"/>
              <w:bottom w:val="single" w:sz="6" w:space="0" w:color="000000" w:themeColor="text1"/>
              <w:right w:val="single" w:sz="6" w:space="0" w:color="000000" w:themeColor="text1"/>
            </w:tcBorders>
            <w:vAlign w:val="center"/>
            <w:hideMark/>
          </w:tcPr>
          <w:p w14:paraId="08A2A45D"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Cinco</w:t>
            </w:r>
            <w:r w:rsidRPr="00AA02AF">
              <w:rPr>
                <w:rFonts w:ascii="Verdana" w:eastAsia="Arial" w:hAnsi="Verdana" w:cs="Arial"/>
                <w:sz w:val="16"/>
                <w:szCs w:val="16"/>
              </w:rPr>
              <w:t xml:space="preserve"> </w:t>
            </w:r>
            <w:r w:rsidRPr="00AA02AF">
              <w:rPr>
                <w:rFonts w:ascii="Verdana" w:hAnsi="Verdana" w:cs="Arial"/>
                <w:sz w:val="16"/>
                <w:szCs w:val="16"/>
              </w:rPr>
              <w:t>(5)</w:t>
            </w:r>
            <w:r w:rsidRPr="00AA02AF">
              <w:rPr>
                <w:rFonts w:ascii="Verdana" w:eastAsia="Arial" w:hAnsi="Verdana" w:cs="Arial"/>
                <w:sz w:val="16"/>
                <w:szCs w:val="16"/>
              </w:rPr>
              <w:t xml:space="preserve"> </w:t>
            </w:r>
            <w:r w:rsidRPr="00AA02AF">
              <w:rPr>
                <w:rFonts w:ascii="Verdana" w:hAnsi="Verdana" w:cs="Arial"/>
                <w:sz w:val="16"/>
                <w:szCs w:val="16"/>
              </w:rPr>
              <w:t>años</w:t>
            </w:r>
            <w:r w:rsidRPr="00AA02AF">
              <w:rPr>
                <w:rFonts w:ascii="Verdana" w:eastAsia="Arial" w:hAnsi="Verdana" w:cs="Arial"/>
                <w:sz w:val="16"/>
                <w:szCs w:val="16"/>
              </w:rPr>
              <w:t xml:space="preserve"> </w:t>
            </w:r>
            <w:r w:rsidRPr="00AA02AF">
              <w:rPr>
                <w:rFonts w:ascii="Verdana" w:hAnsi="Verdana" w:cs="Arial"/>
                <w:sz w:val="16"/>
                <w:szCs w:val="16"/>
              </w:rPr>
              <w:t>o</w:t>
            </w:r>
            <w:r w:rsidRPr="00AA02AF">
              <w:rPr>
                <w:rFonts w:ascii="Verdana" w:eastAsia="Arial" w:hAnsi="Verdana" w:cs="Arial"/>
                <w:sz w:val="16"/>
                <w:szCs w:val="16"/>
              </w:rPr>
              <w:t xml:space="preserve"> </w:t>
            </w:r>
            <w:r w:rsidRPr="00AA02AF">
              <w:rPr>
                <w:rFonts w:ascii="Verdana" w:hAnsi="Verdana" w:cs="Arial"/>
                <w:sz w:val="16"/>
                <w:szCs w:val="16"/>
              </w:rPr>
              <w:t>más</w:t>
            </w:r>
          </w:p>
        </w:tc>
      </w:tr>
      <w:tr w:rsidR="00253972" w:rsidRPr="00AA02AF" w14:paraId="57AF6D55" w14:textId="77777777" w:rsidTr="00381A88">
        <w:trPr>
          <w:trHeight w:val="241"/>
          <w:jc w:val="center"/>
        </w:trPr>
        <w:tc>
          <w:tcPr>
            <w:tcW w:w="2630" w:type="dxa"/>
            <w:tcBorders>
              <w:top w:val="single" w:sz="6" w:space="0" w:color="000000" w:themeColor="text1"/>
              <w:left w:val="double" w:sz="4" w:space="0" w:color="auto"/>
              <w:bottom w:val="single" w:sz="6" w:space="0" w:color="000000" w:themeColor="text1"/>
              <w:right w:val="single" w:sz="6" w:space="0" w:color="000000" w:themeColor="text1"/>
            </w:tcBorders>
            <w:vAlign w:val="center"/>
            <w:hideMark/>
          </w:tcPr>
          <w:p w14:paraId="1D1C09C4" w14:textId="77777777" w:rsidR="00253972" w:rsidRPr="00AA02AF" w:rsidRDefault="00253972" w:rsidP="00381A88">
            <w:pPr>
              <w:autoSpaceDE w:val="0"/>
              <w:autoSpaceDN w:val="0"/>
              <w:adjustRightInd w:val="0"/>
              <w:spacing w:after="0" w:line="276" w:lineRule="auto"/>
              <w:jc w:val="center"/>
              <w:rPr>
                <w:rFonts w:ascii="Verdana" w:eastAsia="Arial" w:hAnsi="Verdana" w:cs="Arial"/>
                <w:sz w:val="16"/>
                <w:szCs w:val="16"/>
              </w:rPr>
            </w:pPr>
            <w:r w:rsidRPr="00AA02AF">
              <w:rPr>
                <w:rFonts w:ascii="Verdana" w:hAnsi="Verdana" w:cs="Arial"/>
                <w:sz w:val="16"/>
                <w:szCs w:val="16"/>
              </w:rPr>
              <w:t>Entre</w:t>
            </w:r>
            <w:r w:rsidRPr="00AA02AF">
              <w:rPr>
                <w:rFonts w:ascii="Verdana" w:eastAsia="Arial" w:hAnsi="Verdana" w:cs="Arial"/>
                <w:sz w:val="16"/>
                <w:szCs w:val="16"/>
              </w:rPr>
              <w:t xml:space="preserve"> </w:t>
            </w:r>
            <w:r w:rsidRPr="00AA02AF">
              <w:rPr>
                <w:rFonts w:ascii="Verdana" w:hAnsi="Verdana" w:cs="Arial"/>
                <w:sz w:val="16"/>
                <w:szCs w:val="16"/>
              </w:rPr>
              <w:t>uno</w:t>
            </w:r>
            <w:r w:rsidRPr="00AA02AF">
              <w:rPr>
                <w:rFonts w:ascii="Verdana" w:eastAsia="Arial" w:hAnsi="Verdana" w:cs="Arial"/>
                <w:sz w:val="16"/>
                <w:szCs w:val="16"/>
              </w:rPr>
              <w:t xml:space="preserve"> </w:t>
            </w:r>
            <w:r w:rsidRPr="00AA02AF">
              <w:rPr>
                <w:rFonts w:ascii="Verdana" w:hAnsi="Verdana" w:cs="Arial"/>
                <w:sz w:val="16"/>
                <w:szCs w:val="16"/>
              </w:rPr>
              <w:t>(1)</w:t>
            </w:r>
            <w:r w:rsidRPr="00AA02AF">
              <w:rPr>
                <w:rFonts w:ascii="Verdana" w:eastAsia="Arial" w:hAnsi="Verdana" w:cs="Arial"/>
                <w:sz w:val="16"/>
                <w:szCs w:val="16"/>
              </w:rPr>
              <w:t xml:space="preserve"> </w:t>
            </w:r>
            <w:r w:rsidRPr="00AA02AF">
              <w:rPr>
                <w:rFonts w:ascii="Verdana" w:hAnsi="Verdana" w:cs="Arial"/>
                <w:sz w:val="16"/>
                <w:szCs w:val="16"/>
              </w:rPr>
              <w:t>y</w:t>
            </w:r>
            <w:r w:rsidRPr="00AA02AF">
              <w:rPr>
                <w:rFonts w:ascii="Verdana" w:eastAsia="Arial" w:hAnsi="Verdana" w:cs="Arial"/>
                <w:sz w:val="16"/>
                <w:szCs w:val="16"/>
              </w:rPr>
              <w:t xml:space="preserve"> </w:t>
            </w:r>
            <w:r w:rsidRPr="00AA02AF">
              <w:rPr>
                <w:rFonts w:ascii="Verdana" w:hAnsi="Verdana" w:cs="Arial"/>
                <w:sz w:val="16"/>
                <w:szCs w:val="16"/>
              </w:rPr>
              <w:t>cinco</w:t>
            </w:r>
            <w:r w:rsidRPr="00AA02AF">
              <w:rPr>
                <w:rFonts w:ascii="Verdana" w:eastAsia="Arial" w:hAnsi="Verdana" w:cs="Arial"/>
                <w:sz w:val="16"/>
                <w:szCs w:val="16"/>
              </w:rPr>
              <w:t xml:space="preserve"> </w:t>
            </w:r>
            <w:r w:rsidRPr="00AA02AF">
              <w:rPr>
                <w:rFonts w:ascii="Verdana" w:hAnsi="Verdana" w:cs="Arial"/>
                <w:sz w:val="16"/>
                <w:szCs w:val="16"/>
              </w:rPr>
              <w:t>(5)</w:t>
            </w:r>
            <w:r w:rsidRPr="00AA02AF">
              <w:rPr>
                <w:rFonts w:ascii="Verdana" w:eastAsia="Arial" w:hAnsi="Verdana" w:cs="Arial"/>
                <w:sz w:val="16"/>
                <w:szCs w:val="16"/>
              </w:rPr>
              <w:t xml:space="preserve"> </w:t>
            </w:r>
            <w:r w:rsidRPr="00AA02AF">
              <w:rPr>
                <w:rFonts w:ascii="Verdana" w:hAnsi="Verdana" w:cs="Arial"/>
                <w:sz w:val="16"/>
                <w:szCs w:val="16"/>
              </w:rPr>
              <w:t>años</w:t>
            </w:r>
          </w:p>
        </w:tc>
      </w:tr>
    </w:tbl>
    <w:p w14:paraId="00023A83" w14:textId="77777777" w:rsidR="00253972" w:rsidRPr="00AA02AF" w:rsidRDefault="00253972" w:rsidP="00253972">
      <w:pPr>
        <w:ind w:left="131"/>
        <w:jc w:val="both"/>
        <w:rPr>
          <w:rFonts w:ascii="Verdana" w:hAnsi="Verdana"/>
          <w:sz w:val="20"/>
          <w:szCs w:val="20"/>
        </w:rPr>
      </w:pPr>
    </w:p>
    <w:p w14:paraId="708B64E4" w14:textId="77777777" w:rsidR="00253972" w:rsidRPr="00AA02AF" w:rsidRDefault="00253972" w:rsidP="00253972">
      <w:pPr>
        <w:ind w:left="131"/>
        <w:jc w:val="both"/>
        <w:rPr>
          <w:rFonts w:ascii="Verdana" w:hAnsi="Verdana"/>
        </w:rPr>
      </w:pPr>
      <w:r w:rsidRPr="00AA02AF">
        <w:rPr>
          <w:rFonts w:ascii="Verdana" w:hAnsi="Verdana"/>
        </w:rPr>
        <w:t xml:space="preserve">Aunado a lo anterior, es importante resaltar que el documento mediante el cual se acreditan los ingresos operacionales para ser integrados dentro del cálculo de la capacidad residual es el Estado de resultados integral (estado de resultado de pérdida o ganancias) del oferente, el cual muestra su desempeño financiero durante </w:t>
      </w:r>
      <w:r w:rsidRPr="00AA02AF">
        <w:rPr>
          <w:rFonts w:ascii="Verdana" w:hAnsi="Verdana"/>
          <w:b/>
          <w:bCs/>
          <w:u w:val="single"/>
        </w:rPr>
        <w:t>un periodo específico</w:t>
      </w:r>
      <w:r w:rsidRPr="00AA02AF">
        <w:rPr>
          <w:rFonts w:ascii="Verdana" w:hAnsi="Verdana"/>
        </w:rPr>
        <w:t xml:space="preserve">, presentando las partidas de ingresos, costos </w:t>
      </w:r>
      <w:r w:rsidRPr="00AA02AF">
        <w:rPr>
          <w:rFonts w:ascii="Verdana" w:hAnsi="Verdana"/>
        </w:rPr>
        <w:lastRenderedPageBreak/>
        <w:t xml:space="preserve">y gastos de la entidad, buscando así determinar si se generó un excedente o déficit durante el ejercicio. </w:t>
      </w:r>
    </w:p>
    <w:p w14:paraId="2EAA6C9A" w14:textId="77777777" w:rsidR="00253972" w:rsidRPr="00AA02AF" w:rsidRDefault="00253972" w:rsidP="00253972">
      <w:pPr>
        <w:widowControl w:val="0"/>
        <w:spacing w:after="120" w:line="276" w:lineRule="auto"/>
        <w:jc w:val="both"/>
        <w:rPr>
          <w:rFonts w:ascii="Verdana" w:eastAsia="Arial" w:hAnsi="Verdana" w:cs="Arial"/>
        </w:rPr>
      </w:pPr>
      <w:r w:rsidRPr="00AA02AF">
        <w:rPr>
          <w:lang w:val="es-ES"/>
        </w:rPr>
        <w:t xml:space="preserve">               </w:t>
      </w:r>
      <w:r w:rsidRPr="00AA02AF">
        <w:rPr>
          <w:rFonts w:ascii="Verdana" w:eastAsia="Calibri" w:hAnsi="Verdana" w:cs="Times New Roman"/>
          <w:lang w:val="es-ES"/>
        </w:rPr>
        <w:t>Finalmente,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B151541" w14:textId="77777777" w:rsidR="00253972" w:rsidRPr="00AA02AF" w:rsidRDefault="00253972" w:rsidP="00253972">
      <w:pPr>
        <w:widowControl w:val="0"/>
        <w:autoSpaceDE w:val="0"/>
        <w:autoSpaceDN w:val="0"/>
        <w:spacing w:line="276" w:lineRule="auto"/>
        <w:jc w:val="both"/>
        <w:rPr>
          <w:rFonts w:ascii="Verdana" w:eastAsia="Calibri" w:hAnsi="Verdana" w:cs="Arial"/>
          <w:lang w:eastAsia="es-ES"/>
        </w:rPr>
      </w:pPr>
      <w:r w:rsidRPr="00AA02AF">
        <w:rPr>
          <w:rFonts w:ascii="Verdana" w:hAnsi="Verdana" w:cs="Arial"/>
          <w:iCs/>
          <w:color w:val="000000" w:themeColor="text1"/>
        </w:rPr>
        <w:t xml:space="preserve">          En ese sentido, </w:t>
      </w:r>
      <w:r w:rsidRPr="00AA02AF">
        <w:rPr>
          <w:rFonts w:ascii="Verdana" w:hAnsi="Verdana" w:cs="Arial"/>
        </w:rPr>
        <w:t>debe advertirse que el análisis sobre la subsanación o el rechazo de las ofertas al interior de los procedimientos de selección debe ser realizado por quienes tengan interés en ello, de acuerdo con lo expuesto en la parte considerativa del presente oficio.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2DD3920" w14:textId="77777777" w:rsidR="00253972" w:rsidRPr="00AA02AF" w:rsidRDefault="00253972" w:rsidP="00253972">
      <w:pPr>
        <w:pStyle w:val="Prrafodelista"/>
        <w:numPr>
          <w:ilvl w:val="0"/>
          <w:numId w:val="16"/>
        </w:numPr>
        <w:spacing w:after="120" w:line="276" w:lineRule="auto"/>
        <w:ind w:left="284"/>
        <w:jc w:val="both"/>
        <w:rPr>
          <w:rFonts w:ascii="Verdana" w:eastAsia="Century Gothic" w:hAnsi="Verdana" w:cs="Century Gothic"/>
          <w:b/>
          <w:bCs/>
        </w:rPr>
      </w:pPr>
      <w:r w:rsidRPr="00AA02AF">
        <w:rPr>
          <w:rFonts w:ascii="Verdana" w:eastAsia="Century Gothic" w:hAnsi="Verdana" w:cs="Century Gothic"/>
          <w:b/>
          <w:bCs/>
        </w:rPr>
        <w:t>Referencias normativas, jurisprudenciales y otras fuentes:</w:t>
      </w:r>
    </w:p>
    <w:p w14:paraId="0BE56AA7" w14:textId="77777777" w:rsidR="00253972" w:rsidRPr="00AA02AF" w:rsidRDefault="00253972" w:rsidP="0025397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53972" w:rsidRPr="00AA02AF" w14:paraId="5F5AFF6E" w14:textId="77777777" w:rsidTr="00381A88">
        <w:trPr>
          <w:trHeight w:val="870"/>
        </w:trPr>
        <w:tc>
          <w:tcPr>
            <w:tcW w:w="8647" w:type="dxa"/>
          </w:tcPr>
          <w:p w14:paraId="7B393CF7" w14:textId="77777777" w:rsidR="00253972" w:rsidRPr="00AA02AF" w:rsidRDefault="00253972" w:rsidP="00253972">
            <w:pPr>
              <w:widowControl w:val="0"/>
              <w:numPr>
                <w:ilvl w:val="0"/>
                <w:numId w:val="17"/>
              </w:numPr>
              <w:autoSpaceDE w:val="0"/>
              <w:autoSpaceDN w:val="0"/>
              <w:spacing w:after="120" w:line="276" w:lineRule="auto"/>
              <w:ind w:left="454"/>
              <w:contextualSpacing/>
              <w:jc w:val="both"/>
              <w:rPr>
                <w:rFonts w:ascii="Verdana" w:eastAsia="Calibri" w:hAnsi="Verdana" w:cs="Arial"/>
              </w:rPr>
            </w:pPr>
            <w:r w:rsidRPr="00AA02AF">
              <w:rPr>
                <w:rFonts w:ascii="Verdana" w:eastAsia="Calibri" w:hAnsi="Verdana" w:cs="Arial"/>
              </w:rPr>
              <w:t>Ley 1150 de 2007, parágrafo 1° del artículo 6.</w:t>
            </w:r>
          </w:p>
          <w:p w14:paraId="5DE4C7B0" w14:textId="77777777" w:rsidR="00253972" w:rsidRPr="00AA02AF" w:rsidRDefault="00253972" w:rsidP="00253972">
            <w:pPr>
              <w:widowControl w:val="0"/>
              <w:numPr>
                <w:ilvl w:val="0"/>
                <w:numId w:val="17"/>
              </w:numPr>
              <w:autoSpaceDE w:val="0"/>
              <w:autoSpaceDN w:val="0"/>
              <w:spacing w:after="120" w:line="276" w:lineRule="auto"/>
              <w:ind w:left="454"/>
              <w:contextualSpacing/>
              <w:jc w:val="both"/>
              <w:rPr>
                <w:rFonts w:ascii="Verdana" w:eastAsia="Calibri" w:hAnsi="Verdana" w:cs="Arial"/>
              </w:rPr>
            </w:pPr>
            <w:r w:rsidRPr="00AA02AF">
              <w:rPr>
                <w:rFonts w:ascii="Verdana" w:eastAsia="Arial" w:hAnsi="Verdana" w:cs="Arial"/>
              </w:rPr>
              <w:t>Ley 1682 de 2013, artículo 72.</w:t>
            </w:r>
          </w:p>
          <w:p w14:paraId="2CCDA3CC" w14:textId="77777777" w:rsidR="00253972" w:rsidRPr="00AA02AF" w:rsidRDefault="00253972" w:rsidP="00253972">
            <w:pPr>
              <w:widowControl w:val="0"/>
              <w:numPr>
                <w:ilvl w:val="0"/>
                <w:numId w:val="17"/>
              </w:numPr>
              <w:autoSpaceDE w:val="0"/>
              <w:autoSpaceDN w:val="0"/>
              <w:spacing w:after="120" w:line="276" w:lineRule="auto"/>
              <w:ind w:left="454"/>
              <w:contextualSpacing/>
              <w:jc w:val="both"/>
              <w:rPr>
                <w:rFonts w:ascii="Verdana" w:eastAsia="Calibri" w:hAnsi="Verdana" w:cs="Arial"/>
              </w:rPr>
            </w:pPr>
            <w:r w:rsidRPr="00AA02AF">
              <w:rPr>
                <w:rFonts w:ascii="Verdana" w:eastAsia="Calibri" w:hAnsi="Verdana" w:cs="Arial"/>
              </w:rPr>
              <w:t xml:space="preserve">Decreto 1082 de 2015, artículo </w:t>
            </w:r>
            <w:r w:rsidRPr="00AA02AF">
              <w:rPr>
                <w:rFonts w:ascii="Verdana" w:eastAsia="Arial" w:hAnsi="Verdana" w:cs="Arial"/>
              </w:rPr>
              <w:t>2.2.1.1.1.3.1</w:t>
            </w:r>
            <w:r w:rsidRPr="00AA02AF">
              <w:t xml:space="preserve">, </w:t>
            </w:r>
            <w:r w:rsidRPr="00AA02AF">
              <w:rPr>
                <w:rFonts w:ascii="Verdana" w:eastAsia="Calibri" w:hAnsi="Verdana" w:cs="Arial"/>
              </w:rPr>
              <w:t xml:space="preserve">2.2.1.1.1.6.4. </w:t>
            </w:r>
          </w:p>
          <w:p w14:paraId="6811A26C" w14:textId="77777777" w:rsidR="00253972" w:rsidRPr="00AA02AF" w:rsidRDefault="00253972" w:rsidP="00253972">
            <w:pPr>
              <w:widowControl w:val="0"/>
              <w:numPr>
                <w:ilvl w:val="0"/>
                <w:numId w:val="17"/>
              </w:numPr>
              <w:autoSpaceDE w:val="0"/>
              <w:autoSpaceDN w:val="0"/>
              <w:spacing w:after="120" w:line="276" w:lineRule="auto"/>
              <w:ind w:left="454"/>
              <w:contextualSpacing/>
              <w:jc w:val="both"/>
              <w:rPr>
                <w:rFonts w:ascii="Verdana" w:hAnsi="Verdana" w:cs="Arial"/>
              </w:rPr>
            </w:pPr>
            <w:r w:rsidRPr="00AA02AF">
              <w:rPr>
                <w:rFonts w:ascii="Verdana" w:eastAsia="Calibri" w:hAnsi="Verdana" w:cs="Arial"/>
              </w:rPr>
              <w:t>Consejo de Estado. Sección Tercera. Providencia del 26 de junio de 2003. Expediente: 13.354.</w:t>
            </w:r>
          </w:p>
          <w:p w14:paraId="0790F6DC" w14:textId="77777777" w:rsidR="00253972" w:rsidRPr="00AA02AF" w:rsidRDefault="00253972" w:rsidP="00253972">
            <w:pPr>
              <w:widowControl w:val="0"/>
              <w:numPr>
                <w:ilvl w:val="0"/>
                <w:numId w:val="17"/>
              </w:numPr>
              <w:autoSpaceDE w:val="0"/>
              <w:autoSpaceDN w:val="0"/>
              <w:spacing w:after="120" w:line="276" w:lineRule="auto"/>
              <w:ind w:left="454"/>
              <w:contextualSpacing/>
              <w:jc w:val="both"/>
              <w:rPr>
                <w:rFonts w:ascii="Verdana" w:hAnsi="Verdana" w:cs="Arial"/>
              </w:rPr>
            </w:pPr>
            <w:r w:rsidRPr="00AA02AF">
              <w:rPr>
                <w:rFonts w:ascii="Verdana" w:eastAsia="Calibri" w:hAnsi="Verdana" w:cs="Arial"/>
              </w:rPr>
              <w:t>Colombia Compra Eficiente,</w:t>
            </w:r>
            <w:r w:rsidRPr="00AA02AF">
              <w:rPr>
                <w:rFonts w:ascii="Calibri" w:eastAsia="Calibri" w:hAnsi="Calibri" w:cs="Times New Roman"/>
              </w:rPr>
              <w:t xml:space="preserve"> </w:t>
            </w:r>
            <w:r w:rsidRPr="00AA02AF">
              <w:rPr>
                <w:rFonts w:ascii="Verdana" w:eastAsia="Calibri" w:hAnsi="Verdana" w:cs="Arial"/>
              </w:rPr>
              <w:t xml:space="preserve">Guía para Determinar y Verificar la Capacidad Residual del Proponente en los Procesos de Contratación de Obra Pública. Disponible en: </w:t>
            </w:r>
            <w:hyperlink r:id="rId11" w:history="1">
              <w:r w:rsidRPr="00AA02AF">
                <w:rPr>
                  <w:rFonts w:ascii="Verdana" w:eastAsia="Calibri" w:hAnsi="Verdana" w:cs="Arial"/>
                  <w:color w:val="0000FF"/>
                  <w:u w:val="single"/>
                </w:rPr>
                <w:t>https://www.colombiacompra.gov.co/wp-content/uploads/2024/08/2023-Guia-para-determinar-y-verificar-la-Capacidad-Residual-del-proponente-en-los-Procesos-de-Contratacion-de-obra-publica-CCE-REC-GI-22.pdf</w:t>
              </w:r>
            </w:hyperlink>
          </w:p>
        </w:tc>
      </w:tr>
    </w:tbl>
    <w:p w14:paraId="410610ED" w14:textId="77777777" w:rsidR="00253972" w:rsidRPr="00AA02AF" w:rsidRDefault="00253972" w:rsidP="0025397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0C43881" w14:textId="77777777" w:rsidR="00253972" w:rsidRPr="00AA02AF" w:rsidRDefault="00253972" w:rsidP="00253972">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sidRPr="00AA02AF">
        <w:rPr>
          <w:rFonts w:ascii="Verdana" w:eastAsia="Century Gothic" w:hAnsi="Verdana" w:cs="Century Gothic"/>
          <w:b/>
          <w:bCs/>
        </w:rPr>
        <w:t>Doctrina de la Agencia Nacional de Contratación Pública:</w:t>
      </w:r>
    </w:p>
    <w:p w14:paraId="22B86FA0" w14:textId="77777777" w:rsidR="00253972" w:rsidRPr="00AA02AF" w:rsidRDefault="00253972" w:rsidP="0025397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89F20E6" w14:textId="2A02228D" w:rsidR="00253972" w:rsidRPr="00AA02AF" w:rsidRDefault="00253972" w:rsidP="00253972">
      <w:pPr>
        <w:widowControl w:val="0"/>
        <w:autoSpaceDE w:val="0"/>
        <w:autoSpaceDN w:val="0"/>
        <w:spacing w:after="0" w:line="276" w:lineRule="auto"/>
        <w:jc w:val="both"/>
        <w:rPr>
          <w:rFonts w:ascii="Verdana" w:hAnsi="Verdana" w:cs="Arial"/>
          <w:color w:val="000000" w:themeColor="text1"/>
          <w:shd w:val="clear" w:color="auto" w:fill="FFFFFF"/>
          <w:lang w:val="es-ES"/>
        </w:rPr>
      </w:pPr>
      <w:r w:rsidRPr="00AA02AF">
        <w:rPr>
          <w:rFonts w:ascii="Verdana" w:eastAsia="Calibri" w:hAnsi="Verdana" w:cs="Arial"/>
          <w:lang w:val="es-ES_tradnl" w:eastAsia="es-ES_tradnl"/>
        </w:rPr>
        <w:t>Sobre la capacidad residual, se pronunció esta Subdirección en los conceptos 2201913000009642, del 26 de diciembre de 2019, C – 003 de 2021, del 25 de marzo de 2021, C – 143 de 2021 del 9 de abril de 2021, C-070 del 14 de marzo de 2022, C-438 del 15 de mayo de 2025</w:t>
      </w:r>
      <w:r w:rsidR="00AA02AF" w:rsidRPr="00AA02AF">
        <w:rPr>
          <w:rFonts w:ascii="Verdana" w:eastAsia="Calibri" w:hAnsi="Verdana" w:cs="Arial"/>
          <w:lang w:val="es-ES_tradnl" w:eastAsia="es-ES_tradnl"/>
        </w:rPr>
        <w:t>, C- 862 del 12 de agosto del 2025</w:t>
      </w:r>
      <w:r w:rsidRPr="00AA02AF">
        <w:rPr>
          <w:rFonts w:ascii="Verdana" w:eastAsia="Calibri" w:hAnsi="Verdana" w:cs="Arial"/>
          <w:lang w:val="es-ES_tradnl" w:eastAsia="es-ES_tradnl"/>
        </w:rPr>
        <w:t xml:space="preserve"> y C-619 del 27 de agosto de 2025</w:t>
      </w:r>
      <w:r w:rsidRPr="00AA02AF">
        <w:rPr>
          <w:rFonts w:ascii="Verdana" w:eastAsia="Calibri" w:hAnsi="Verdana" w:cs="Arial"/>
          <w:lang w:val="es-ES" w:eastAsia="es-ES_tradnl"/>
        </w:rPr>
        <w:t>. Estos</w:t>
      </w:r>
      <w:r w:rsidRPr="00AA02AF">
        <w:rPr>
          <w:rFonts w:ascii="Verdana" w:hAnsi="Verdana"/>
        </w:rPr>
        <w:t xml:space="preserve"> y otros conceptos se encuentran disponibles para consulta en el Sistema de relatoría de la Agencia, al cual se puede acceder a través del siguiente enlace:</w:t>
      </w:r>
      <w:r w:rsidRPr="00AA02AF">
        <w:rPr>
          <w:rFonts w:ascii="Verdana" w:hAnsi="Verdana" w:cs="Arial"/>
          <w:shd w:val="clear" w:color="auto" w:fill="FFFFFF"/>
          <w:lang w:val="es-ES"/>
        </w:rPr>
        <w:t xml:space="preserve"> </w:t>
      </w:r>
      <w:r w:rsidRPr="00AA02AF">
        <w:rPr>
          <w:rFonts w:ascii="Verdana" w:hAnsi="Verdana" w:cs="Arial"/>
          <w:color w:val="0563C1" w:themeColor="hyperlink"/>
          <w:u w:val="single"/>
          <w:shd w:val="clear" w:color="auto" w:fill="FFFFFF"/>
          <w:lang w:val="es-ES"/>
        </w:rPr>
        <w:t>https://relatoria.colombiacompra.gov.co /</w:t>
      </w:r>
      <w:proofErr w:type="spellStart"/>
      <w:r w:rsidRPr="00AA02AF">
        <w:rPr>
          <w:rFonts w:ascii="Verdana" w:hAnsi="Verdana" w:cs="Arial"/>
          <w:color w:val="0563C1" w:themeColor="hyperlink"/>
          <w:u w:val="single"/>
          <w:shd w:val="clear" w:color="auto" w:fill="FFFFFF"/>
          <w:lang w:val="es-ES"/>
        </w:rPr>
        <w:t>busqueda</w:t>
      </w:r>
      <w:proofErr w:type="spellEnd"/>
      <w:r w:rsidRPr="00AA02AF">
        <w:rPr>
          <w:rFonts w:ascii="Verdana" w:hAnsi="Verdana" w:cs="Arial"/>
          <w:color w:val="0563C1" w:themeColor="hyperlink"/>
          <w:u w:val="single"/>
          <w:shd w:val="clear" w:color="auto" w:fill="FFFFFF"/>
          <w:lang w:val="es-ES"/>
        </w:rPr>
        <w:t>/conceptos</w:t>
      </w:r>
    </w:p>
    <w:p w14:paraId="2BBDCDE1" w14:textId="77777777" w:rsidR="00253972" w:rsidRPr="00AA02AF" w:rsidRDefault="00253972" w:rsidP="00253972">
      <w:pPr>
        <w:widowControl w:val="0"/>
        <w:autoSpaceDE w:val="0"/>
        <w:autoSpaceDN w:val="0"/>
        <w:spacing w:after="0" w:line="276" w:lineRule="auto"/>
        <w:jc w:val="both"/>
        <w:rPr>
          <w:rFonts w:ascii="Verdana" w:hAnsi="Verdana" w:cs="Arial"/>
          <w:color w:val="000000" w:themeColor="text1"/>
          <w:shd w:val="clear" w:color="auto" w:fill="FFFFFF"/>
        </w:rPr>
      </w:pPr>
    </w:p>
    <w:p w14:paraId="2B8FFEAA" w14:textId="77777777" w:rsidR="00253972" w:rsidRPr="00AA02AF" w:rsidRDefault="00253972" w:rsidP="00253972">
      <w:pPr>
        <w:widowControl w:val="0"/>
        <w:autoSpaceDE w:val="0"/>
        <w:autoSpaceDN w:val="0"/>
        <w:spacing w:after="0" w:line="276" w:lineRule="auto"/>
        <w:jc w:val="both"/>
      </w:pPr>
      <w:r w:rsidRPr="00AA02AF">
        <w:rPr>
          <w:rFonts w:ascii="Verdana" w:hAnsi="Verdana" w:cs="Arial"/>
          <w:color w:val="000000" w:themeColor="text1"/>
          <w:shd w:val="clear" w:color="auto" w:fill="FFFFFF"/>
        </w:rPr>
        <w:t xml:space="preserve">También, te contamos que ya publicamos la nueva </w:t>
      </w:r>
      <w:r w:rsidRPr="00AA02AF">
        <w:rPr>
          <w:rFonts w:ascii="Verdana" w:hAnsi="Verdana" w:cs="Arial"/>
          <w:b/>
          <w:bCs/>
          <w:color w:val="000000" w:themeColor="text1"/>
          <w:shd w:val="clear" w:color="auto" w:fill="FFFFFF"/>
        </w:rPr>
        <w:t>Guía de Contratación Pública Sostenible y Socialmente Responsable</w:t>
      </w:r>
      <w:r w:rsidRPr="00AA02AF">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2" w:tgtFrame="_blank" w:tooltip="Dirección URL original: https://www.colombiacompra.gov.co/manuales-guias-y-pliegos-tipo/manuales-y-guias/guia-de-contratacion-publica-sostenible-y-socialmente. Haga clic o pulse si confía en este vínculo." w:history="1">
        <w:r w:rsidRPr="00AA02AF">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AA02AF">
        <w:t>.</w:t>
      </w:r>
    </w:p>
    <w:p w14:paraId="4E299600" w14:textId="77777777" w:rsidR="00253972" w:rsidRPr="00AA02AF" w:rsidRDefault="00253972" w:rsidP="00253972">
      <w:pPr>
        <w:widowControl w:val="0"/>
        <w:autoSpaceDE w:val="0"/>
        <w:autoSpaceDN w:val="0"/>
        <w:spacing w:after="0" w:line="276" w:lineRule="auto"/>
        <w:jc w:val="both"/>
      </w:pPr>
    </w:p>
    <w:p w14:paraId="2C6C5A77" w14:textId="77777777" w:rsidR="00253972" w:rsidRPr="00AA02AF" w:rsidRDefault="00253972" w:rsidP="00253972">
      <w:pPr>
        <w:widowControl w:val="0"/>
        <w:autoSpaceDE w:val="0"/>
        <w:autoSpaceDN w:val="0"/>
        <w:spacing w:after="0" w:line="276" w:lineRule="auto"/>
        <w:jc w:val="both"/>
        <w:rPr>
          <w:rFonts w:ascii="Verdana" w:hAnsi="Verdana" w:cs="Arial"/>
          <w:lang w:val="es-ES_tradnl"/>
        </w:rPr>
      </w:pPr>
      <w:r w:rsidRPr="00AA02AF">
        <w:rPr>
          <w:rFonts w:ascii="Verdana" w:hAnsi="Verdana" w:cs="Arial"/>
        </w:rPr>
        <w:t xml:space="preserve">Este concepto tiene el alcance previsto en el artículo 28 del Código de Procedimiento Administrativo y de lo Contencioso Administrativo </w:t>
      </w:r>
      <w:r w:rsidRPr="00AA02AF">
        <w:rPr>
          <w:rFonts w:ascii="Verdana" w:hAnsi="Verdana" w:cs="Arial"/>
          <w:lang w:val="es-ES_tradnl"/>
        </w:rPr>
        <w:t>y las expresiones aquí utilizadas con mayúscula inicial deben ser entendidas con el significado que les otorga el artículo 2.2.1.1.1.3.1. del Decreto 1082 de 2015.</w:t>
      </w:r>
    </w:p>
    <w:p w14:paraId="53D74040" w14:textId="77777777" w:rsidR="00253972" w:rsidRPr="00AA02AF" w:rsidRDefault="00253972" w:rsidP="00253972">
      <w:pPr>
        <w:widowControl w:val="0"/>
        <w:autoSpaceDE w:val="0"/>
        <w:autoSpaceDN w:val="0"/>
        <w:spacing w:after="0" w:line="276" w:lineRule="auto"/>
        <w:jc w:val="both"/>
        <w:rPr>
          <w:rFonts w:ascii="Verdana" w:hAnsi="Verdana" w:cs="Arial"/>
        </w:rPr>
      </w:pPr>
    </w:p>
    <w:p w14:paraId="03C8B9DC" w14:textId="77777777" w:rsidR="00253972" w:rsidRPr="00AA02AF" w:rsidRDefault="00253972" w:rsidP="00253972">
      <w:pPr>
        <w:spacing w:after="0" w:line="276" w:lineRule="auto"/>
        <w:jc w:val="both"/>
        <w:rPr>
          <w:rFonts w:ascii="Verdana" w:hAnsi="Verdana" w:cs="Arial"/>
          <w:lang w:eastAsia="es-CO"/>
        </w:rPr>
      </w:pPr>
      <w:r w:rsidRPr="00AA02AF">
        <w:rPr>
          <w:rFonts w:ascii="Verdana" w:eastAsia="Times New Roman" w:hAnsi="Verdana" w:cs="Arial"/>
          <w:lang w:eastAsia="es-CO"/>
        </w:rPr>
        <w:t>Atentamente,</w:t>
      </w:r>
      <w:r w:rsidRPr="00AA02AF">
        <w:rPr>
          <w:rFonts w:ascii="Verdana" w:hAnsi="Verdana" w:cs="Arial"/>
          <w:lang w:eastAsia="es-CO"/>
        </w:rPr>
        <w:t xml:space="preserve"> </w:t>
      </w:r>
    </w:p>
    <w:p w14:paraId="468EE1E5" w14:textId="77777777" w:rsidR="00253972" w:rsidRPr="00AA02AF" w:rsidRDefault="00253972" w:rsidP="00253972">
      <w:pPr>
        <w:spacing w:line="276" w:lineRule="auto"/>
        <w:jc w:val="center"/>
        <w:rPr>
          <w:rFonts w:ascii="Verdana" w:hAnsi="Verdana"/>
          <w:noProof/>
        </w:rPr>
      </w:pPr>
    </w:p>
    <w:p w14:paraId="727CF823" w14:textId="6934F2E0" w:rsidR="00253972" w:rsidRPr="00AA02AF" w:rsidRDefault="00FB29DB" w:rsidP="00253972">
      <w:pPr>
        <w:spacing w:line="276" w:lineRule="auto"/>
        <w:jc w:val="center"/>
        <w:rPr>
          <w:rFonts w:ascii="Verdana" w:hAnsi="Verdana"/>
          <w:noProof/>
        </w:rPr>
      </w:pPr>
      <w:r>
        <w:rPr>
          <w:rFonts w:ascii="Verdana" w:hAnsi="Verdana"/>
          <w:noProof/>
        </w:rPr>
        <w:drawing>
          <wp:inline distT="0" distB="0" distL="0" distR="0" wp14:anchorId="2F5673A3" wp14:editId="0149C34B">
            <wp:extent cx="2772095" cy="1363345"/>
            <wp:effectExtent l="0" t="0" r="9525" b="8255"/>
            <wp:docPr id="3464668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66822" name="Imagen 346466822"/>
                    <pic:cNvPicPr/>
                  </pic:nvPicPr>
                  <pic:blipFill>
                    <a:blip r:embed="rId13">
                      <a:extLst>
                        <a:ext uri="{28A0092B-C50C-407E-A947-70E740481C1C}">
                          <a14:useLocalDpi xmlns:a14="http://schemas.microsoft.com/office/drawing/2010/main" val="0"/>
                        </a:ext>
                      </a:extLst>
                    </a:blip>
                    <a:stretch>
                      <a:fillRect/>
                    </a:stretch>
                  </pic:blipFill>
                  <pic:spPr>
                    <a:xfrm>
                      <a:off x="0" y="0"/>
                      <a:ext cx="2796702" cy="137544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53972" w:rsidRPr="00AA02AF" w14:paraId="1E043F75" w14:textId="77777777" w:rsidTr="00381A88">
        <w:trPr>
          <w:trHeight w:val="315"/>
        </w:trPr>
        <w:tc>
          <w:tcPr>
            <w:tcW w:w="893" w:type="dxa"/>
            <w:vAlign w:val="center"/>
            <w:hideMark/>
          </w:tcPr>
          <w:p w14:paraId="3F4850C6" w14:textId="77777777" w:rsidR="00253972" w:rsidRPr="00AA02AF" w:rsidRDefault="00253972" w:rsidP="00381A88">
            <w:pPr>
              <w:contextualSpacing/>
              <w:rPr>
                <w:rFonts w:ascii="Verdana" w:hAnsi="Verdana" w:cs="Arial"/>
                <w:sz w:val="16"/>
                <w:szCs w:val="16"/>
                <w:lang w:val="es-ES" w:eastAsia="es-ES"/>
              </w:rPr>
            </w:pPr>
            <w:r w:rsidRPr="00AA02A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44F91B9" w14:textId="5E6C0C26" w:rsidR="00253972" w:rsidRPr="00AA02AF" w:rsidRDefault="00253972" w:rsidP="00381A88">
            <w:pPr>
              <w:rPr>
                <w:rFonts w:ascii="Verdana" w:hAnsi="Verdana"/>
                <w:sz w:val="16"/>
                <w:szCs w:val="16"/>
              </w:rPr>
            </w:pPr>
            <w:r w:rsidRPr="00AA02AF">
              <w:rPr>
                <w:rFonts w:ascii="Verdana" w:hAnsi="Verdana"/>
                <w:sz w:val="16"/>
                <w:szCs w:val="16"/>
              </w:rPr>
              <w:t>Karol Andrea Gonzalez Marin</w:t>
            </w:r>
          </w:p>
          <w:p w14:paraId="0B963F3A" w14:textId="77777777" w:rsidR="00253972" w:rsidRPr="00AA02AF" w:rsidRDefault="00253972" w:rsidP="00381A88">
            <w:pPr>
              <w:contextualSpacing/>
              <w:rPr>
                <w:rFonts w:ascii="Verdana" w:eastAsia="Arial" w:hAnsi="Verdana" w:cs="Arial"/>
                <w:sz w:val="16"/>
                <w:szCs w:val="16"/>
              </w:rPr>
            </w:pPr>
            <w:r w:rsidRPr="00AA02AF">
              <w:rPr>
                <w:rFonts w:ascii="Verdana" w:hAnsi="Verdana"/>
                <w:sz w:val="16"/>
                <w:szCs w:val="16"/>
              </w:rPr>
              <w:t>Contratista de la Subdirección de Gestión Contractual</w:t>
            </w:r>
          </w:p>
        </w:tc>
      </w:tr>
      <w:tr w:rsidR="00253972" w:rsidRPr="00AA02AF" w14:paraId="66413024" w14:textId="77777777" w:rsidTr="00381A88">
        <w:trPr>
          <w:trHeight w:val="330"/>
        </w:trPr>
        <w:tc>
          <w:tcPr>
            <w:tcW w:w="893" w:type="dxa"/>
            <w:vAlign w:val="center"/>
            <w:hideMark/>
          </w:tcPr>
          <w:p w14:paraId="24032580" w14:textId="77777777" w:rsidR="00253972" w:rsidRPr="00AA02AF" w:rsidRDefault="00253972" w:rsidP="00381A88">
            <w:pPr>
              <w:contextualSpacing/>
              <w:rPr>
                <w:rFonts w:ascii="Verdana" w:hAnsi="Verdana" w:cs="Arial"/>
                <w:sz w:val="16"/>
                <w:szCs w:val="16"/>
                <w:lang w:val="es-ES" w:eastAsia="es-ES"/>
              </w:rPr>
            </w:pPr>
            <w:r w:rsidRPr="00AA02A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57BBB6" w14:textId="77777777" w:rsidR="00AA02AF" w:rsidRPr="00AA02AF" w:rsidRDefault="00AA02AF" w:rsidP="00381A88">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sidRPr="00AA02AF">
              <w:rPr>
                <w:rFonts w:ascii="Verdana" w:eastAsiaTheme="minorHAnsi" w:hAnsi="Verdana" w:cstheme="minorBidi"/>
                <w:sz w:val="16"/>
                <w:szCs w:val="16"/>
                <w:lang w:eastAsia="en-US"/>
              </w:rPr>
              <w:t>Juan David Cárdenas</w:t>
            </w:r>
            <w:r w:rsidRPr="00AA02AF">
              <w:rPr>
                <w:rStyle w:val="normaltextrun"/>
                <w:rFonts w:ascii="Verdana" w:eastAsiaTheme="minorHAnsi" w:hAnsi="Verdana" w:cstheme="minorBidi"/>
                <w:sz w:val="16"/>
                <w:szCs w:val="16"/>
                <w:lang w:eastAsia="en-US"/>
              </w:rPr>
              <w:t xml:space="preserve"> </w:t>
            </w:r>
          </w:p>
          <w:p w14:paraId="685A2B6F" w14:textId="5FBFF646" w:rsidR="00253972" w:rsidRPr="00AA02AF" w:rsidRDefault="00253972" w:rsidP="00381A88">
            <w:pPr>
              <w:pStyle w:val="paragraph"/>
              <w:spacing w:before="0" w:beforeAutospacing="0" w:after="0" w:afterAutospacing="0"/>
              <w:contextualSpacing/>
              <w:textAlignment w:val="baseline"/>
              <w:rPr>
                <w:rFonts w:ascii="Verdana" w:hAnsi="Verdana" w:cstheme="minorHAnsi"/>
                <w:sz w:val="16"/>
                <w:szCs w:val="16"/>
              </w:rPr>
            </w:pPr>
            <w:r w:rsidRPr="00AA02AF">
              <w:rPr>
                <w:rStyle w:val="normaltextrun"/>
                <w:rFonts w:ascii="Verdana" w:eastAsia="Arial" w:hAnsi="Verdana" w:cs="Arial"/>
                <w:sz w:val="16"/>
                <w:szCs w:val="16"/>
              </w:rPr>
              <w:t>Contratista Subdirección de Gestión Contractual</w:t>
            </w:r>
          </w:p>
        </w:tc>
      </w:tr>
      <w:tr w:rsidR="00253972" w:rsidRPr="00593A5F" w14:paraId="7797D12C" w14:textId="77777777" w:rsidTr="00381A88">
        <w:trPr>
          <w:trHeight w:val="300"/>
        </w:trPr>
        <w:tc>
          <w:tcPr>
            <w:tcW w:w="893" w:type="dxa"/>
            <w:vAlign w:val="center"/>
          </w:tcPr>
          <w:p w14:paraId="6DE0C7B7" w14:textId="77777777" w:rsidR="00253972" w:rsidRPr="00AA02AF" w:rsidRDefault="00253972" w:rsidP="00381A88">
            <w:pPr>
              <w:contextualSpacing/>
              <w:rPr>
                <w:rFonts w:ascii="Verdana" w:hAnsi="Verdana" w:cs="Arial"/>
                <w:sz w:val="16"/>
                <w:szCs w:val="16"/>
                <w:lang w:val="es-ES" w:eastAsia="es-ES"/>
              </w:rPr>
            </w:pPr>
            <w:r w:rsidRPr="00AA02AF">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5AB43C" w14:textId="77777777" w:rsidR="00253972" w:rsidRPr="00AA02AF" w:rsidRDefault="00253972" w:rsidP="00381A88">
            <w:pPr>
              <w:contextualSpacing/>
              <w:rPr>
                <w:rFonts w:ascii="Verdana" w:eastAsia="Calibri" w:hAnsi="Verdana" w:cs="Arial"/>
                <w:sz w:val="16"/>
                <w:szCs w:val="16"/>
                <w:lang w:val="pt-BR" w:eastAsia="es-ES"/>
              </w:rPr>
            </w:pPr>
            <w:r w:rsidRPr="00AA02AF">
              <w:rPr>
                <w:rFonts w:ascii="Verdana" w:eastAsia="Calibri" w:hAnsi="Verdana" w:cs="Arial"/>
                <w:sz w:val="16"/>
                <w:szCs w:val="16"/>
                <w:lang w:val="pt-BR" w:eastAsia="es-ES"/>
              </w:rPr>
              <w:t xml:space="preserve">Carolina Quintero </w:t>
            </w:r>
            <w:proofErr w:type="spellStart"/>
            <w:r w:rsidRPr="00AA02AF">
              <w:rPr>
                <w:rFonts w:ascii="Verdana" w:eastAsia="Calibri" w:hAnsi="Verdana" w:cs="Arial"/>
                <w:sz w:val="16"/>
                <w:szCs w:val="16"/>
                <w:lang w:val="pt-BR" w:eastAsia="es-ES"/>
              </w:rPr>
              <w:t>Gacharnà</w:t>
            </w:r>
            <w:proofErr w:type="spellEnd"/>
          </w:p>
          <w:p w14:paraId="29C14C46" w14:textId="77777777" w:rsidR="00253972" w:rsidRPr="007911EE" w:rsidRDefault="00253972" w:rsidP="00381A88">
            <w:pPr>
              <w:contextualSpacing/>
              <w:rPr>
                <w:rFonts w:ascii="Verdana" w:eastAsia="Calibri" w:hAnsi="Verdana" w:cs="Arial"/>
                <w:sz w:val="16"/>
                <w:szCs w:val="16"/>
                <w:lang w:val="pt-BR" w:eastAsia="es-ES"/>
              </w:rPr>
            </w:pPr>
            <w:r w:rsidRPr="00AA02AF">
              <w:rPr>
                <w:rFonts w:ascii="Verdana" w:eastAsia="Calibri" w:hAnsi="Verdana" w:cs="Arial"/>
                <w:sz w:val="16"/>
                <w:szCs w:val="16"/>
                <w:lang w:eastAsia="es-ES"/>
              </w:rPr>
              <w:t>Subdirectora</w:t>
            </w:r>
            <w:r w:rsidRPr="00AA02AF">
              <w:rPr>
                <w:rFonts w:ascii="Verdana" w:eastAsia="Calibri" w:hAnsi="Verdana" w:cs="Arial"/>
                <w:sz w:val="16"/>
                <w:szCs w:val="16"/>
                <w:lang w:val="pt-BR" w:eastAsia="es-ES"/>
              </w:rPr>
              <w:t xml:space="preserve"> de Gestión Contratual ANCP – CCE</w:t>
            </w:r>
          </w:p>
        </w:tc>
      </w:tr>
      <w:bookmarkEnd w:id="1"/>
      <w:bookmarkEnd w:id="2"/>
      <w:bookmarkEnd w:id="3"/>
      <w:bookmarkEnd w:id="4"/>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B315A" w14:textId="77777777" w:rsidR="00427B5E" w:rsidRDefault="00427B5E" w:rsidP="004A1847">
      <w:pPr>
        <w:spacing w:after="0" w:line="240" w:lineRule="auto"/>
      </w:pPr>
      <w:r>
        <w:separator/>
      </w:r>
    </w:p>
  </w:endnote>
  <w:endnote w:type="continuationSeparator" w:id="0">
    <w:p w14:paraId="4E7DC2BB" w14:textId="77777777" w:rsidR="00427B5E" w:rsidRDefault="00427B5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09B9C" w14:textId="77777777" w:rsidR="00427B5E" w:rsidRDefault="00427B5E" w:rsidP="004A1847">
      <w:pPr>
        <w:spacing w:after="0" w:line="240" w:lineRule="auto"/>
      </w:pPr>
      <w:r>
        <w:separator/>
      </w:r>
    </w:p>
  </w:footnote>
  <w:footnote w:type="continuationSeparator" w:id="0">
    <w:p w14:paraId="4B376F35" w14:textId="77777777" w:rsidR="00427B5E" w:rsidRDefault="00427B5E" w:rsidP="004A1847">
      <w:pPr>
        <w:spacing w:after="0" w:line="240" w:lineRule="auto"/>
      </w:pPr>
      <w:r>
        <w:continuationSeparator/>
      </w:r>
    </w:p>
  </w:footnote>
  <w:footnote w:id="1">
    <w:p w14:paraId="5F203DA7" w14:textId="77777777" w:rsidR="00253972" w:rsidRPr="003A6D6A" w:rsidRDefault="00253972" w:rsidP="00253972">
      <w:pPr>
        <w:pStyle w:val="Textonotapie"/>
        <w:jc w:val="both"/>
        <w:rPr>
          <w:rFonts w:ascii="Verdana" w:hAnsi="Verdana"/>
          <w:sz w:val="16"/>
          <w:szCs w:val="16"/>
          <w:lang w:val="es-ES"/>
        </w:rPr>
      </w:pPr>
      <w:r w:rsidRPr="003A6D6A">
        <w:rPr>
          <w:rStyle w:val="Refdenotaalpie"/>
          <w:rFonts w:ascii="Verdana" w:hAnsi="Verdana"/>
          <w:sz w:val="16"/>
          <w:szCs w:val="16"/>
        </w:rPr>
        <w:footnoteRef/>
      </w:r>
      <w:r w:rsidRPr="003A6D6A">
        <w:rPr>
          <w:rFonts w:ascii="Verdana" w:hAnsi="Verdana"/>
          <w:sz w:val="16"/>
          <w:szCs w:val="16"/>
        </w:rPr>
        <w:t xml:space="preserve"> </w:t>
      </w:r>
      <w:r w:rsidRPr="003A6D6A">
        <w:rPr>
          <w:rFonts w:ascii="Verdana" w:eastAsia="Arial" w:hAnsi="Verdana" w:cs="Arial"/>
          <w:sz w:val="16"/>
          <w:szCs w:val="16"/>
        </w:rPr>
        <w:t xml:space="preserve">Versión 01 del 29 de </w:t>
      </w:r>
      <w:proofErr w:type="gramStart"/>
      <w:r w:rsidRPr="003A6D6A">
        <w:rPr>
          <w:rFonts w:ascii="Verdana" w:eastAsia="Arial" w:hAnsi="Verdana" w:cs="Arial"/>
          <w:sz w:val="16"/>
          <w:szCs w:val="16"/>
        </w:rPr>
        <w:t>Septiembre</w:t>
      </w:r>
      <w:proofErr w:type="gramEnd"/>
      <w:r w:rsidRPr="003A6D6A">
        <w:rPr>
          <w:rFonts w:ascii="Verdana" w:eastAsia="Arial" w:hAnsi="Verdana" w:cs="Arial"/>
          <w:sz w:val="16"/>
          <w:szCs w:val="16"/>
        </w:rPr>
        <w:t xml:space="preserve"> de 2023 </w:t>
      </w:r>
      <w:hyperlink r:id="rId1" w:history="1">
        <w:r w:rsidRPr="003A6D6A">
          <w:rPr>
            <w:rStyle w:val="Hipervnculo"/>
            <w:rFonts w:ascii="Verdana" w:hAnsi="Verdana"/>
            <w:sz w:val="16"/>
            <w:szCs w:val="16"/>
          </w:rPr>
          <w:t>https://www.colombiacompra.gov.co/archivos/manual/guia-para-determinar-y-verificar-la-capacidad-residual-del-proponente-en-los-procesos-de-contratacion-de-obra-publica</w:t>
        </w:r>
      </w:hyperlink>
    </w:p>
  </w:footnote>
  <w:footnote w:id="2">
    <w:p w14:paraId="72EA2B12" w14:textId="77777777" w:rsidR="00253972" w:rsidRPr="00D73F6F" w:rsidRDefault="00253972" w:rsidP="00253972">
      <w:pPr>
        <w:spacing w:after="120" w:line="240" w:lineRule="auto"/>
        <w:ind w:firstLine="708"/>
        <w:jc w:val="both"/>
        <w:rPr>
          <w:rFonts w:ascii="Verdana" w:hAnsi="Verdana" w:cs="Arial"/>
          <w:sz w:val="16"/>
          <w:szCs w:val="16"/>
        </w:rPr>
      </w:pPr>
      <w:r w:rsidRPr="00D73F6F">
        <w:rPr>
          <w:rStyle w:val="Refdenotaalpie"/>
          <w:rFonts w:ascii="Verdana" w:hAnsi="Verdana" w:cs="Arial"/>
          <w:sz w:val="16"/>
          <w:szCs w:val="16"/>
        </w:rPr>
        <w:footnoteRef/>
      </w:r>
      <w:r w:rsidRPr="00D73F6F">
        <w:rPr>
          <w:rFonts w:ascii="Verdana" w:hAnsi="Verdana" w:cs="Arial"/>
          <w:sz w:val="16"/>
          <w:szCs w:val="16"/>
        </w:rPr>
        <w:t xml:space="preserve"> Definición desarrollada en el Concepto 003 de 2021 y el Concepto C-143 de 2021. </w:t>
      </w:r>
    </w:p>
  </w:footnote>
  <w:footnote w:id="3">
    <w:p w14:paraId="1C8357F7" w14:textId="77777777" w:rsidR="00253972" w:rsidRPr="00D33D7C" w:rsidRDefault="00253972" w:rsidP="00253972">
      <w:pPr>
        <w:spacing w:after="120" w:line="240" w:lineRule="auto"/>
        <w:ind w:firstLine="708"/>
        <w:jc w:val="both"/>
        <w:rPr>
          <w:rFonts w:ascii="Verdana" w:hAnsi="Verdana" w:cs="Arial"/>
          <w:sz w:val="16"/>
          <w:szCs w:val="16"/>
        </w:rPr>
      </w:pPr>
      <w:r w:rsidRPr="00D73F6F">
        <w:rPr>
          <w:rStyle w:val="Refdenotaalpie"/>
          <w:rFonts w:ascii="Verdana" w:hAnsi="Verdana" w:cs="Arial"/>
          <w:sz w:val="16"/>
          <w:szCs w:val="16"/>
        </w:rPr>
        <w:footnoteRef/>
      </w:r>
      <w:r w:rsidRPr="00D73F6F">
        <w:rPr>
          <w:rFonts w:ascii="Verdana" w:hAnsi="Verdana" w:cs="Arial"/>
          <w:sz w:val="16"/>
          <w:szCs w:val="16"/>
        </w:rPr>
        <w:t xml:space="preserve"> </w:t>
      </w:r>
      <w:bookmarkStart w:id="10" w:name="_Hlk205541880"/>
      <w:r w:rsidRPr="00D73F6F">
        <w:rPr>
          <w:rFonts w:ascii="Verdana" w:hAnsi="Verdana" w:cs="Arial"/>
          <w:sz w:val="16"/>
          <w:szCs w:val="16"/>
        </w:rPr>
        <w:t>Consejo de Estado. Sección Tercera. Providencia del 26 de junio de 2003. Expediente: 13.354.</w:t>
      </w:r>
    </w:p>
    <w:bookmarkEnd w:id="10"/>
  </w:footnote>
  <w:footnote w:id="4">
    <w:p w14:paraId="75D24D1C" w14:textId="77777777" w:rsidR="00253972" w:rsidRPr="001D1551" w:rsidRDefault="00253972" w:rsidP="00253972">
      <w:pPr>
        <w:pStyle w:val="Textonotapie"/>
        <w:jc w:val="both"/>
        <w:rPr>
          <w:rFonts w:ascii="Verdana" w:hAnsi="Verdana"/>
          <w:sz w:val="16"/>
          <w:szCs w:val="16"/>
        </w:rPr>
      </w:pPr>
      <w:r w:rsidRPr="001D1551">
        <w:rPr>
          <w:rStyle w:val="Refdenotaalpie"/>
          <w:rFonts w:ascii="Verdana" w:hAnsi="Verdana"/>
          <w:sz w:val="16"/>
          <w:szCs w:val="16"/>
        </w:rPr>
        <w:footnoteRef/>
      </w:r>
      <w:r w:rsidRPr="001D1551">
        <w:rPr>
          <w:rFonts w:ascii="Verdana" w:hAnsi="Verdana"/>
          <w:sz w:val="16"/>
          <w:szCs w:val="16"/>
        </w:rPr>
        <w:t xml:space="preserve"> </w:t>
      </w:r>
      <w:hyperlink r:id="rId2" w:history="1">
        <w:r w:rsidRPr="001D1551">
          <w:rPr>
            <w:rStyle w:val="Hipervnculo"/>
            <w:rFonts w:ascii="Verdana" w:hAnsi="Verdana"/>
            <w:sz w:val="16"/>
            <w:szCs w:val="16"/>
          </w:rPr>
          <w:t>https://www.colombiacompra.gov.co/archivos/manual/guia-para-determinar-y-verificar-la-capacidad-residual-del-proponente-en-los-procesos-de-contratacion-de-obra-publica</w:t>
        </w:r>
      </w:hyperlink>
      <w:r w:rsidRPr="001D1551">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1B86F34E" w:rsidR="004A305D" w:rsidRPr="00DC39FC" w:rsidRDefault="004A305D"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E61A24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2263E60"/>
    <w:multiLevelType w:val="hybridMultilevel"/>
    <w:tmpl w:val="32508484"/>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1" w15:restartNumberingAfterBreak="0">
    <w:nsid w:val="5B6B5A55"/>
    <w:multiLevelType w:val="hybridMultilevel"/>
    <w:tmpl w:val="0C54342E"/>
    <w:lvl w:ilvl="0" w:tplc="5FA80BD4">
      <w:start w:val="1"/>
      <w:numFmt w:val="upp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380713882">
    <w:abstractNumId w:val="0"/>
  </w:num>
  <w:num w:numId="17" w16cid:durableId="153255849">
    <w:abstractNumId w:val="9"/>
  </w:num>
  <w:num w:numId="18" w16cid:durableId="18311944">
    <w:abstractNumId w:val="10"/>
  </w:num>
  <w:num w:numId="19" w16cid:durableId="780223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6870"/>
    <w:rsid w:val="00082362"/>
    <w:rsid w:val="000A683E"/>
    <w:rsid w:val="000B19B9"/>
    <w:rsid w:val="000D0334"/>
    <w:rsid w:val="000E1033"/>
    <w:rsid w:val="000F6486"/>
    <w:rsid w:val="00125105"/>
    <w:rsid w:val="00127233"/>
    <w:rsid w:val="001511A0"/>
    <w:rsid w:val="00165CF3"/>
    <w:rsid w:val="00180ADD"/>
    <w:rsid w:val="001E4177"/>
    <w:rsid w:val="001F7DC6"/>
    <w:rsid w:val="002421BB"/>
    <w:rsid w:val="00253972"/>
    <w:rsid w:val="0025796E"/>
    <w:rsid w:val="002707A2"/>
    <w:rsid w:val="002951A0"/>
    <w:rsid w:val="002962BC"/>
    <w:rsid w:val="002A093D"/>
    <w:rsid w:val="002A0DD0"/>
    <w:rsid w:val="002A49AC"/>
    <w:rsid w:val="002A64FD"/>
    <w:rsid w:val="002C7A84"/>
    <w:rsid w:val="002E4FD9"/>
    <w:rsid w:val="002F545D"/>
    <w:rsid w:val="00322A85"/>
    <w:rsid w:val="00324168"/>
    <w:rsid w:val="003448F4"/>
    <w:rsid w:val="00374F5E"/>
    <w:rsid w:val="00377E3E"/>
    <w:rsid w:val="003A779E"/>
    <w:rsid w:val="003D0F4D"/>
    <w:rsid w:val="003D5B0D"/>
    <w:rsid w:val="003E0499"/>
    <w:rsid w:val="003F3941"/>
    <w:rsid w:val="00406575"/>
    <w:rsid w:val="00412806"/>
    <w:rsid w:val="00414C74"/>
    <w:rsid w:val="0042722E"/>
    <w:rsid w:val="00427B5E"/>
    <w:rsid w:val="0044528D"/>
    <w:rsid w:val="004A1847"/>
    <w:rsid w:val="004A305D"/>
    <w:rsid w:val="004F21C4"/>
    <w:rsid w:val="004F685F"/>
    <w:rsid w:val="005566E8"/>
    <w:rsid w:val="00574867"/>
    <w:rsid w:val="00591460"/>
    <w:rsid w:val="005B3816"/>
    <w:rsid w:val="005C3777"/>
    <w:rsid w:val="005C5CDC"/>
    <w:rsid w:val="005D476C"/>
    <w:rsid w:val="006219F8"/>
    <w:rsid w:val="00621A55"/>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86451"/>
    <w:rsid w:val="00891928"/>
    <w:rsid w:val="00893DCA"/>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0563"/>
    <w:rsid w:val="009D3058"/>
    <w:rsid w:val="009F3A13"/>
    <w:rsid w:val="009F6127"/>
    <w:rsid w:val="00A122D3"/>
    <w:rsid w:val="00A17F13"/>
    <w:rsid w:val="00A20739"/>
    <w:rsid w:val="00A33C78"/>
    <w:rsid w:val="00A56FAA"/>
    <w:rsid w:val="00AA02AF"/>
    <w:rsid w:val="00AB0ADB"/>
    <w:rsid w:val="00B01B1A"/>
    <w:rsid w:val="00B66319"/>
    <w:rsid w:val="00B72CD3"/>
    <w:rsid w:val="00B72FFF"/>
    <w:rsid w:val="00BA4AD1"/>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29DB"/>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5397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53972"/>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6371303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wp-content/uploads/2024/08/2023-Guia-para-determinar-y-verificar-la-Capacidad-Residual-del-proponente-en-los-Procesos-de-Contratacion-de-obra-publica-CCE-REC-GI-22.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archivos/manual/guia-para-determinar-y-verificar-la-capacidad-residual-del-proponente-en-los-procesos-de-contratacion-de-obra-publica" TargetMode="External"/><Relationship Id="rId1" Type="http://schemas.openxmlformats.org/officeDocument/2006/relationships/hyperlink" Target="https://www.colombiacompra.gov.co/archivos/manual/guia-para-determinar-y-verificar-la-capacidad-residual-del-proponente-en-los-procesos-de-contratacion-de-obra-publi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A5ED2B6-8E88-4EA5-9D6B-026FBD3CE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5003</Words>
  <Characters>27519</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2025-09-09T01:18:00Z</dcterms:created>
  <dcterms:modified xsi:type="dcterms:W3CDTF">2025-09-09T01:18:00Z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