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87B80" w14:textId="77777777" w:rsidR="00E0626F" w:rsidRPr="00B53D4E" w:rsidRDefault="00E0626F" w:rsidP="00E0626F">
      <w:pPr>
        <w:spacing w:after="0" w:line="240" w:lineRule="auto"/>
        <w:jc w:val="both"/>
        <w:rPr>
          <w:rFonts w:ascii="Verdana" w:eastAsia="Calibri" w:hAnsi="Verdana" w:cs="Arial"/>
          <w:b/>
          <w:bCs/>
        </w:rPr>
      </w:pPr>
      <w:bookmarkStart w:id="0" w:name="_Hlk143780582"/>
      <w:r>
        <w:rPr>
          <w:rFonts w:ascii="Verdana" w:eastAsia="Calibri" w:hAnsi="Verdana" w:cs="Arial"/>
          <w:b/>
          <w:bCs/>
        </w:rPr>
        <w:t>INFORMACIÓN CONTRACTUAL</w:t>
      </w:r>
      <w:r w:rsidRPr="00B53D4E">
        <w:rPr>
          <w:rFonts w:ascii="Verdana" w:eastAsia="Calibri" w:hAnsi="Verdana" w:cs="Arial"/>
          <w:b/>
          <w:bCs/>
        </w:rPr>
        <w:t xml:space="preserve"> – </w:t>
      </w:r>
      <w:r>
        <w:rPr>
          <w:rFonts w:ascii="Verdana" w:eastAsia="Calibri" w:hAnsi="Verdana" w:cs="Arial"/>
          <w:b/>
          <w:bCs/>
        </w:rPr>
        <w:t xml:space="preserve">Publicidad – Alcance </w:t>
      </w:r>
      <w:r w:rsidRPr="00B53D4E">
        <w:rPr>
          <w:rFonts w:ascii="Verdana" w:eastAsia="Calibri" w:hAnsi="Verdana" w:cs="Arial"/>
          <w:b/>
          <w:bCs/>
        </w:rPr>
        <w:t xml:space="preserve"> </w:t>
      </w:r>
    </w:p>
    <w:p w14:paraId="72C69D69" w14:textId="77777777" w:rsidR="00E0626F" w:rsidRPr="00B53D4E" w:rsidRDefault="00E0626F" w:rsidP="00E0626F">
      <w:pPr>
        <w:spacing w:after="0" w:line="240" w:lineRule="auto"/>
        <w:jc w:val="both"/>
        <w:rPr>
          <w:rFonts w:ascii="Verdana" w:eastAsia="Calibri" w:hAnsi="Verdana" w:cs="Arial"/>
          <w:sz w:val="20"/>
          <w:szCs w:val="20"/>
        </w:rPr>
      </w:pPr>
    </w:p>
    <w:p w14:paraId="4891C306" w14:textId="77777777" w:rsidR="00E0626F" w:rsidRDefault="00E0626F" w:rsidP="00E0626F">
      <w:pPr>
        <w:spacing w:after="0" w:line="240" w:lineRule="auto"/>
        <w:jc w:val="both"/>
        <w:rPr>
          <w:rFonts w:ascii="Verdana" w:eastAsia="Calibri" w:hAnsi="Verdana" w:cs="Arial"/>
          <w:sz w:val="20"/>
          <w:szCs w:val="20"/>
        </w:rPr>
      </w:pPr>
      <w:r>
        <w:rPr>
          <w:rFonts w:ascii="Verdana" w:eastAsia="Calibri" w:hAnsi="Verdana" w:cs="Arial"/>
          <w:sz w:val="20"/>
          <w:szCs w:val="20"/>
        </w:rPr>
        <w:t xml:space="preserve">[…] </w:t>
      </w:r>
      <w:r w:rsidRPr="00FA226F">
        <w:rPr>
          <w:rFonts w:ascii="Verdana" w:eastAsia="Calibri" w:hAnsi="Verdana" w:cs="Arial"/>
          <w:sz w:val="20"/>
          <w:szCs w:val="20"/>
        </w:rPr>
        <w:t>las entidades estatales, conforme al artículo 2.2.1.1.1.7.1 del Decreto 1082 de 2015, tienen la obligación de publicar en el SECOP “[…] los Documentos del Proceso y los actos administrativos del Proceso de Contratación […]”. La expresión Documentos del Proceso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1AF39D04" w14:textId="77777777" w:rsidR="00E0626F" w:rsidRDefault="00E0626F" w:rsidP="00E0626F">
      <w:pPr>
        <w:spacing w:after="0" w:line="240" w:lineRule="auto"/>
        <w:jc w:val="both"/>
        <w:rPr>
          <w:rFonts w:ascii="Verdana" w:eastAsia="Calibri" w:hAnsi="Verdana" w:cs="Arial"/>
          <w:sz w:val="20"/>
          <w:szCs w:val="20"/>
        </w:rPr>
      </w:pPr>
    </w:p>
    <w:p w14:paraId="0EDB6225" w14:textId="77777777" w:rsidR="00E0626F" w:rsidRDefault="00E0626F" w:rsidP="00E0626F">
      <w:pPr>
        <w:spacing w:after="0" w:line="240" w:lineRule="auto"/>
        <w:jc w:val="both"/>
        <w:rPr>
          <w:rFonts w:ascii="Verdana" w:eastAsia="Calibri" w:hAnsi="Verdana" w:cs="Arial"/>
          <w:sz w:val="20"/>
          <w:szCs w:val="20"/>
        </w:rPr>
      </w:pPr>
      <w:r>
        <w:rPr>
          <w:rFonts w:ascii="Verdana" w:eastAsia="Calibri" w:hAnsi="Verdana" w:cs="Arial"/>
          <w:sz w:val="20"/>
          <w:szCs w:val="20"/>
        </w:rPr>
        <w:t xml:space="preserve">[…] </w:t>
      </w:r>
    </w:p>
    <w:p w14:paraId="1150E80E" w14:textId="77777777" w:rsidR="00E0626F" w:rsidRPr="00FA226F" w:rsidRDefault="00E0626F" w:rsidP="00E0626F">
      <w:pPr>
        <w:spacing w:after="0" w:line="240" w:lineRule="auto"/>
        <w:jc w:val="both"/>
        <w:rPr>
          <w:rFonts w:ascii="Verdana" w:eastAsia="Calibri" w:hAnsi="Verdana" w:cs="Arial"/>
          <w:sz w:val="20"/>
          <w:szCs w:val="20"/>
        </w:rPr>
      </w:pPr>
    </w:p>
    <w:p w14:paraId="67E326EB" w14:textId="77777777" w:rsidR="00E0626F" w:rsidRDefault="00E0626F" w:rsidP="00E0626F">
      <w:pPr>
        <w:spacing w:after="0" w:line="240" w:lineRule="auto"/>
        <w:jc w:val="both"/>
        <w:rPr>
          <w:rFonts w:ascii="Verdana" w:eastAsia="Calibri" w:hAnsi="Verdana" w:cs="Arial"/>
          <w:sz w:val="20"/>
          <w:szCs w:val="20"/>
        </w:rPr>
      </w:pPr>
      <w:r w:rsidRPr="006D7A0F">
        <w:rPr>
          <w:rFonts w:ascii="Verdana" w:eastAsia="Calibri" w:hAnsi="Verdana" w:cs="Arial"/>
          <w:sz w:val="20"/>
          <w:szCs w:val="20"/>
        </w:rPr>
        <w:t xml:space="preserve">Adicionalmente, el deber de publicar la actividad contractual de las entidades estatales no solo está regulado en el artículo 3 de la Ley 1150 de 2007 y en el artículo 2.2.1.1.1.7.1 del Decreto 1082 de 2015, sino también en la Ley 1712 de 2014 y en el Decreto 1081 de 2015. Estas normas no solo refuerzan y complementan al régimen de contratación estatal en cuanto a la publicidad, sino que lo amplía, para incluir la publicación de los “procedimientos” y la información relativa a la “gestión contractual”, sin el condicionamiento de tratarse exclusivamente de los Documentos del Proceso expedidos por la “entidad estatal”. </w:t>
      </w:r>
    </w:p>
    <w:p w14:paraId="1058EA4E" w14:textId="77777777" w:rsidR="00E0626F" w:rsidRPr="006D7A0F" w:rsidRDefault="00E0626F" w:rsidP="00E0626F">
      <w:pPr>
        <w:spacing w:after="0" w:line="240" w:lineRule="auto"/>
        <w:jc w:val="both"/>
        <w:rPr>
          <w:rFonts w:ascii="Verdana" w:eastAsia="Calibri" w:hAnsi="Verdana" w:cs="Arial"/>
          <w:sz w:val="20"/>
          <w:szCs w:val="20"/>
        </w:rPr>
      </w:pPr>
    </w:p>
    <w:p w14:paraId="3E215926" w14:textId="77777777" w:rsidR="00E0626F" w:rsidRDefault="00E0626F" w:rsidP="00E0626F">
      <w:pPr>
        <w:spacing w:after="0" w:line="240" w:lineRule="auto"/>
        <w:jc w:val="both"/>
        <w:rPr>
          <w:rFonts w:ascii="Verdana" w:eastAsia="Calibri" w:hAnsi="Verdana" w:cs="Arial"/>
          <w:sz w:val="20"/>
          <w:szCs w:val="20"/>
        </w:rPr>
      </w:pPr>
      <w:r w:rsidRPr="006D7A0F">
        <w:rPr>
          <w:rFonts w:ascii="Verdana" w:eastAsia="Calibri" w:hAnsi="Verdana" w:cs="Arial"/>
          <w:sz w:val="20"/>
          <w:szCs w:val="20"/>
        </w:rPr>
        <w:t>Esta obligación, está reglamentada en el Decreto 1081 de 2015. Este señala, en el artículo 2.1.1.2.1.7, que las entidades deberán publicar en el SECOP la información de su gestión contractual</w:t>
      </w:r>
      <w:r w:rsidRPr="006D7A0F">
        <w:rPr>
          <w:rFonts w:ascii="Verdana" w:eastAsia="Calibri" w:hAnsi="Verdana" w:cs="Arial"/>
          <w:sz w:val="20"/>
          <w:szCs w:val="20"/>
        </w:rPr>
        <w:footnoteReference w:id="1"/>
      </w:r>
      <w:r w:rsidRPr="006D7A0F">
        <w:rPr>
          <w:rFonts w:ascii="Verdana" w:eastAsia="Calibri" w:hAnsi="Verdana" w:cs="Arial"/>
          <w:sz w:val="20"/>
          <w:szCs w:val="20"/>
        </w:rPr>
        <w:t>. Por su parte, el artículo 2.1.1.2.1.8, establece los efectos de la obligación contenida en el literal g) del artículo 11 de la Ley 1712 de 2014, en relación con los documentos producidos durante la ejecución del contrato, señalando que se deben publicar las aprobaciones, autorizaciones, requerimientos o informes del supervisor o interventor, que prueben la ejecución del contrato</w:t>
      </w:r>
      <w:r>
        <w:rPr>
          <w:rFonts w:ascii="Verdana" w:eastAsia="Calibri" w:hAnsi="Verdana" w:cs="Arial"/>
          <w:sz w:val="20"/>
          <w:szCs w:val="20"/>
        </w:rPr>
        <w:t>.</w:t>
      </w:r>
    </w:p>
    <w:p w14:paraId="2065E418" w14:textId="77777777" w:rsidR="00E0626F" w:rsidRDefault="00E0626F" w:rsidP="00E0626F">
      <w:pPr>
        <w:spacing w:after="0" w:line="240" w:lineRule="auto"/>
        <w:jc w:val="both"/>
        <w:rPr>
          <w:rFonts w:ascii="Verdana" w:eastAsia="Calibri" w:hAnsi="Verdana" w:cs="Arial"/>
          <w:sz w:val="20"/>
          <w:szCs w:val="20"/>
        </w:rPr>
      </w:pPr>
    </w:p>
    <w:p w14:paraId="7FEC25A9" w14:textId="77777777" w:rsidR="00E0626F" w:rsidRPr="00A44AB5" w:rsidRDefault="00E0626F" w:rsidP="00E0626F">
      <w:pPr>
        <w:spacing w:after="0" w:line="240" w:lineRule="auto"/>
        <w:jc w:val="both"/>
        <w:rPr>
          <w:rStyle w:val="Textoennegrita"/>
          <w:rFonts w:ascii="Verdana" w:hAnsi="Verdana" w:cs="Arial"/>
          <w:lang w:val="es-ES"/>
        </w:rPr>
      </w:pPr>
      <w:r w:rsidRPr="00A44AB5">
        <w:rPr>
          <w:rStyle w:val="Textoennegrita"/>
          <w:rFonts w:ascii="Verdana" w:hAnsi="Verdana" w:cs="Arial"/>
          <w:lang w:val="es-ES"/>
        </w:rPr>
        <w:t>RESERVA DE INFORMACIÓN PÚBLICA – Fundamento – Constitución – Ley – Aplicación – Procesos contractuales</w:t>
      </w:r>
    </w:p>
    <w:p w14:paraId="216DC666" w14:textId="77777777" w:rsidR="00E0626F" w:rsidRPr="00A44AB5" w:rsidRDefault="00E0626F" w:rsidP="00E0626F">
      <w:pPr>
        <w:tabs>
          <w:tab w:val="left" w:pos="426"/>
        </w:tabs>
        <w:spacing w:after="0" w:line="240" w:lineRule="auto"/>
        <w:jc w:val="both"/>
        <w:rPr>
          <w:rFonts w:ascii="Verdana" w:eastAsia="Calibri" w:hAnsi="Verdana" w:cs="Arial"/>
          <w:color w:val="000000"/>
          <w:sz w:val="20"/>
          <w:szCs w:val="20"/>
          <w:lang w:val="es-ES_tradnl" w:eastAsia="en-GB"/>
        </w:rPr>
      </w:pPr>
    </w:p>
    <w:p w14:paraId="0B60F03A" w14:textId="77777777" w:rsidR="00E0626F" w:rsidRPr="00A44AB5" w:rsidRDefault="00E0626F" w:rsidP="00E0626F">
      <w:pPr>
        <w:tabs>
          <w:tab w:val="left" w:pos="426"/>
        </w:tabs>
        <w:spacing w:after="0" w:line="240" w:lineRule="auto"/>
        <w:jc w:val="both"/>
        <w:rPr>
          <w:rFonts w:ascii="Verdana" w:eastAsia="Calibri" w:hAnsi="Verdana" w:cs="Arial"/>
          <w:color w:val="000000"/>
          <w:sz w:val="20"/>
          <w:szCs w:val="20"/>
          <w:lang w:val="es-ES_tradnl" w:eastAsia="en-GB"/>
        </w:rPr>
      </w:pPr>
      <w:r w:rsidRPr="00A44AB5">
        <w:rPr>
          <w:rFonts w:ascii="Verdana" w:eastAsia="Calibri" w:hAnsi="Verdana" w:cs="Arial"/>
          <w:color w:val="000000"/>
          <w:sz w:val="20"/>
          <w:szCs w:val="20"/>
          <w:lang w:val="es-ES_tradnl" w:eastAsia="en-GB"/>
        </w:rPr>
        <w:t xml:space="preserve">Cuando el documento contractual tenga información sensible, clasificada o reservada, para proteger la reserva de información, las autoridades deben abstenerse de publicar en el SECOP la información que tiene protección especial o está sometida a reserva. Sin embargo, de acuerdo con el segundo inciso del artículo 25 de la Ley 1437 de 2011 “La restricción por reserva legal no se extenderá a otras piezas del respectivo expediente o actuación que no estén cubiertas por ella”. Por ello, la Entidad Estatal puede dejar de publicar algún documento del proceso o aparte del mismo que contenga datos sensibles, </w:t>
      </w:r>
      <w:r w:rsidRPr="00A44AB5">
        <w:rPr>
          <w:rFonts w:ascii="Verdana" w:eastAsia="Calibri" w:hAnsi="Verdana" w:cs="Arial"/>
          <w:color w:val="000000"/>
          <w:sz w:val="20"/>
          <w:szCs w:val="20"/>
          <w:lang w:val="es-ES_tradnl" w:eastAsia="en-GB"/>
        </w:rPr>
        <w:lastRenderedPageBreak/>
        <w:t>clasificados o reservados, para no divulgarla, pero debe publicar los demás documentos o los apartados de estos, en caso de que estos no gocen de reserva. Lo anterior, sin perjuicio de que dependiendo de la información en específico todo el documento o expediente deba dejar de publicarse, por ampararse en su integridad en alguna causal de reserva, dada la conexión de su contenido con la información que el constituyente o el legislador decidió limitar en cuanto a su publicidad.</w:t>
      </w:r>
    </w:p>
    <w:p w14:paraId="20ECAB40" w14:textId="77777777" w:rsidR="00E0626F" w:rsidRDefault="00E0626F" w:rsidP="00E0626F">
      <w:pPr>
        <w:pStyle w:val="s17"/>
        <w:spacing w:before="0" w:beforeAutospacing="0" w:after="0" w:afterAutospacing="0"/>
        <w:jc w:val="both"/>
        <w:rPr>
          <w:rFonts w:ascii="Verdana" w:eastAsia="Geomanist Light" w:hAnsi="Verdana" w:cs="Arial"/>
          <w:color w:val="000000" w:themeColor="text1"/>
        </w:rPr>
      </w:pPr>
    </w:p>
    <w:p w14:paraId="32728959" w14:textId="77777777" w:rsidR="00E0626F" w:rsidRPr="008217F4" w:rsidRDefault="00E0626F" w:rsidP="00E0626F">
      <w:pPr>
        <w:rPr>
          <w:rFonts w:ascii="Verdana" w:eastAsia="Calibri" w:hAnsi="Verdana" w:cs="Arial"/>
          <w:b/>
          <w:bCs/>
          <w:lang w:val="es-ES" w:eastAsia="es-ES"/>
        </w:rPr>
      </w:pPr>
      <w:r w:rsidRPr="008217F4">
        <w:rPr>
          <w:rFonts w:ascii="Verdana" w:eastAsia="Calibri" w:hAnsi="Verdana" w:cs="Arial"/>
          <w:b/>
          <w:bCs/>
          <w:lang w:val="es-ES" w:eastAsia="es-ES"/>
        </w:rPr>
        <w:t xml:space="preserve">DEBER DE VIGILANCIA DE LOS CONTRATOS – Obligación de la entidad estatal – Supervisión e interventoría </w:t>
      </w:r>
    </w:p>
    <w:p w14:paraId="6F0BDFAA" w14:textId="2416E035" w:rsidR="00E0626F" w:rsidRPr="008217F4" w:rsidRDefault="00E0626F" w:rsidP="00E0626F">
      <w:pPr>
        <w:spacing w:line="240" w:lineRule="auto"/>
        <w:jc w:val="both"/>
        <w:rPr>
          <w:rFonts w:ascii="Verdana" w:eastAsia="Calibri" w:hAnsi="Verdana" w:cs="Arial"/>
          <w:sz w:val="20"/>
          <w:szCs w:val="20"/>
          <w:lang w:val="es-ES" w:eastAsia="es-ES"/>
        </w:rPr>
      </w:pPr>
      <w:r w:rsidRPr="008217F4">
        <w:rPr>
          <w:rFonts w:ascii="Verdana" w:eastAsia="Calibri" w:hAnsi="Verdana" w:cs="Arial"/>
          <w:sz w:val="20"/>
          <w:szCs w:val="20"/>
          <w:lang w:val="es-ES"/>
        </w:rPr>
        <w:t xml:space="preserve">De esta forma, la Ley 1474 de 2011 enmarcó el seguimiento, control y vigilancia de la ejecución del contrato estatal dentro del principio de moralidad administrativa. Por ello, el artículo 83 </w:t>
      </w:r>
      <w:proofErr w:type="spellStart"/>
      <w:r w:rsidRPr="008217F4">
        <w:rPr>
          <w:rFonts w:ascii="Verdana" w:eastAsia="Calibri" w:hAnsi="Verdana" w:cs="Arial"/>
          <w:i/>
          <w:iCs/>
          <w:sz w:val="20"/>
          <w:szCs w:val="20"/>
          <w:lang w:val="es-ES"/>
        </w:rPr>
        <w:t>ibibem</w:t>
      </w:r>
      <w:proofErr w:type="spellEnd"/>
      <w:r w:rsidRPr="008217F4">
        <w:rPr>
          <w:rFonts w:ascii="Verdana" w:eastAsia="Calibri" w:hAnsi="Verdana" w:cs="Arial"/>
          <w:i/>
          <w:iCs/>
          <w:sz w:val="20"/>
          <w:szCs w:val="20"/>
          <w:lang w:val="es-ES"/>
        </w:rPr>
        <w:t xml:space="preserve"> </w:t>
      </w:r>
      <w:r w:rsidRPr="008217F4">
        <w:rPr>
          <w:rFonts w:ascii="Verdana" w:eastAsia="Calibri" w:hAnsi="Verdana" w:cs="Arial"/>
          <w:sz w:val="20"/>
          <w:szCs w:val="20"/>
          <w:lang w:val="es-ES"/>
        </w:rPr>
        <w:t>establece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w:t>
      </w:r>
      <w:r w:rsidR="00785863">
        <w:rPr>
          <w:rFonts w:ascii="Verdana" w:eastAsia="Calibri" w:hAnsi="Verdana" w:cs="Arial"/>
          <w:sz w:val="20"/>
          <w:szCs w:val="20"/>
          <w:lang w:val="es-ES"/>
        </w:rPr>
        <w:t>.</w:t>
      </w:r>
    </w:p>
    <w:p w14:paraId="35906FC6" w14:textId="77777777" w:rsidR="00E0626F" w:rsidRDefault="00E0626F" w:rsidP="00E0626F">
      <w:pPr>
        <w:rPr>
          <w:rFonts w:ascii="Verdana" w:hAnsi="Verdana"/>
          <w:b/>
          <w:bCs/>
        </w:rPr>
      </w:pPr>
      <w:r w:rsidRPr="008217F4">
        <w:rPr>
          <w:rFonts w:ascii="Verdana" w:eastAsia="Calibri" w:hAnsi="Verdana" w:cs="Arial"/>
          <w:b/>
          <w:bCs/>
          <w:lang w:val="es-ES" w:eastAsia="es-ES"/>
        </w:rPr>
        <w:t>FACTURACIÓN – Discrecionalidad</w:t>
      </w:r>
      <w:r w:rsidRPr="008217F4">
        <w:rPr>
          <w:rFonts w:ascii="Verdana" w:hAnsi="Verdana"/>
          <w:b/>
          <w:bCs/>
        </w:rPr>
        <w:t xml:space="preserve"> </w:t>
      </w:r>
    </w:p>
    <w:p w14:paraId="3FE2184B" w14:textId="0CEF65FA" w:rsidR="00E245AB" w:rsidRPr="0044528D" w:rsidRDefault="00E0626F" w:rsidP="0046190B">
      <w:pPr>
        <w:spacing w:after="0"/>
        <w:jc w:val="both"/>
        <w:rPr>
          <w:rFonts w:ascii="Verdana" w:hAnsi="Verdana"/>
        </w:rPr>
      </w:pPr>
      <w:r w:rsidRPr="008217F4">
        <w:rPr>
          <w:rFonts w:ascii="Verdana" w:hAnsi="Verdana" w:cs="Arial"/>
          <w:sz w:val="20"/>
          <w:szCs w:val="20"/>
        </w:rPr>
        <w:t xml:space="preserve">De acuerdo con lo anterior, cada entidad según la naturaleza de su </w:t>
      </w:r>
      <w:r w:rsidR="0046190B" w:rsidRPr="008217F4">
        <w:rPr>
          <w:rFonts w:ascii="Verdana" w:hAnsi="Verdana" w:cs="Arial"/>
          <w:sz w:val="20"/>
          <w:szCs w:val="20"/>
        </w:rPr>
        <w:t>presupuesto</w:t>
      </w:r>
      <w:r w:rsidRPr="008217F4">
        <w:rPr>
          <w:rFonts w:ascii="Verdana" w:hAnsi="Verdana" w:cs="Arial"/>
          <w:sz w:val="20"/>
          <w:szCs w:val="20"/>
        </w:rPr>
        <w:t xml:space="preserve"> deberá dar cumplimiento a las disposiciones particulares para las actividades de gestión financiera, y establecer en los contratos la forma y qué documentos se deben presentar por parte de los contratistas para la facturación de los bienes, obras o servicios ejecutados</w:t>
      </w:r>
      <w:r w:rsidR="0046190B">
        <w:rPr>
          <w:rFonts w:ascii="Verdana" w:hAnsi="Verdana" w:cs="Arial"/>
        </w:rPr>
        <w:t>.</w:t>
      </w:r>
      <w:r w:rsidRPr="008217F4">
        <w:rPr>
          <w:rFonts w:ascii="Verdana" w:hAnsi="Verdana"/>
          <w:b/>
          <w:bCs/>
        </w:rPr>
        <w:br w:type="page"/>
      </w:r>
      <w:r w:rsidR="00E245AB" w:rsidRPr="0044528D">
        <w:rPr>
          <w:rFonts w:ascii="Verdana" w:hAnsi="Verdana"/>
        </w:rPr>
        <w:lastRenderedPageBreak/>
        <w:t xml:space="preserve">Bogotá D.C., </w:t>
      </w:r>
      <w:r w:rsidR="00634C5A">
        <w:rPr>
          <w:rFonts w:ascii="Verdana" w:hAnsi="Verdana"/>
        </w:rPr>
        <w:t>4 septiembre 2025</w:t>
      </w:r>
      <w:r w:rsidR="00891928" w:rsidRPr="0044528D">
        <w:rPr>
          <w:rFonts w:ascii="Verdana" w:hAnsi="Verdana"/>
        </w:rPr>
        <w:tab/>
      </w:r>
    </w:p>
    <w:p w14:paraId="5FCADBF9" w14:textId="5534AEA4" w:rsidR="00E245AB" w:rsidRPr="0044528D" w:rsidRDefault="0046190B" w:rsidP="00E245AB">
      <w:pPr>
        <w:spacing w:after="0"/>
        <w:rPr>
          <w:rFonts w:ascii="Verdana" w:hAnsi="Verdana"/>
        </w:rPr>
      </w:pPr>
      <w:r w:rsidRPr="00700B61">
        <w:rPr>
          <w:rFonts w:ascii="Verdana" w:eastAsia="Geomanist Light" w:hAnsi="Verdana" w:cs="Arial"/>
          <w:noProof/>
          <w:color w:val="000000" w:themeColor="text1"/>
        </w:rPr>
        <w:drawing>
          <wp:anchor distT="0" distB="0" distL="114300" distR="114300" simplePos="0" relativeHeight="251657216" behindDoc="0" locked="0" layoutInCell="1" allowOverlap="1" wp14:anchorId="4639F722" wp14:editId="611C9FAB">
            <wp:simplePos x="0" y="0"/>
            <wp:positionH relativeFrom="margin">
              <wp:align>right</wp:align>
            </wp:positionH>
            <wp:positionV relativeFrom="paragraph">
              <wp:posOffset>77470</wp:posOffset>
            </wp:positionV>
            <wp:extent cx="2922905" cy="977900"/>
            <wp:effectExtent l="0" t="0" r="0" b="0"/>
            <wp:wrapSquare wrapText="bothSides"/>
            <wp:docPr id="368031444" name="Imagen 1" descr="Interfaz de usuario gráfica,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031444" name="Imagen 1" descr="Interfaz de usuario gráfica, 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922905" cy="977900"/>
                    </a:xfrm>
                    <a:prstGeom prst="rect">
                      <a:avLst/>
                    </a:prstGeom>
                  </pic:spPr>
                </pic:pic>
              </a:graphicData>
            </a:graphic>
            <wp14:sizeRelH relativeFrom="margin">
              <wp14:pctWidth>0</wp14:pctWidth>
            </wp14:sizeRelH>
            <wp14:sizeRelV relativeFrom="margin">
              <wp14:pctHeight>0</wp14:pctHeight>
            </wp14:sizeRelV>
          </wp:anchor>
        </w:drawing>
      </w:r>
    </w:p>
    <w:p w14:paraId="33284558" w14:textId="24AB2845" w:rsidR="00493102" w:rsidRPr="00B96799" w:rsidRDefault="00493102" w:rsidP="006133A8">
      <w:pPr>
        <w:pStyle w:val="s17"/>
        <w:spacing w:before="0" w:beforeAutospacing="0" w:after="0" w:afterAutospacing="0"/>
        <w:jc w:val="both"/>
        <w:rPr>
          <w:rFonts w:ascii="Verdana" w:eastAsia="Calibri" w:hAnsi="Verdana" w:cs="Arial"/>
          <w:lang w:val="es-ES" w:eastAsia="es-ES"/>
        </w:rPr>
      </w:pPr>
      <w:r>
        <w:rPr>
          <w:rFonts w:ascii="Verdana" w:eastAsia="Calibri" w:hAnsi="Verdana" w:cs="Arial"/>
          <w:lang w:val="es-ES" w:eastAsia="es-ES"/>
        </w:rPr>
        <w:t>Señor</w:t>
      </w:r>
    </w:p>
    <w:p w14:paraId="2AF90B26" w14:textId="0A8133BF" w:rsidR="00493102" w:rsidRDefault="000035B8" w:rsidP="00FC3B64">
      <w:pPr>
        <w:spacing w:after="0" w:line="240" w:lineRule="auto"/>
        <w:rPr>
          <w:rFonts w:ascii="Verdana" w:eastAsia="Calibri" w:hAnsi="Verdana" w:cs="Arial"/>
          <w:b/>
          <w:lang w:val="es-ES" w:eastAsia="es-ES"/>
        </w:rPr>
      </w:pPr>
      <w:r w:rsidRPr="003E44B3">
        <w:rPr>
          <w:rFonts w:ascii="Verdana" w:eastAsia="Calibri" w:hAnsi="Verdana" w:cs="Arial"/>
          <w:b/>
          <w:lang w:val="es-ES" w:eastAsia="es-ES"/>
        </w:rPr>
        <w:t xml:space="preserve">Ricardo </w:t>
      </w:r>
      <w:r w:rsidR="006A4240" w:rsidRPr="003E44B3">
        <w:rPr>
          <w:rFonts w:ascii="Verdana" w:eastAsia="Calibri" w:hAnsi="Verdana" w:cs="Arial"/>
          <w:b/>
          <w:lang w:val="es-ES" w:eastAsia="es-ES"/>
        </w:rPr>
        <w:t>Andrés</w:t>
      </w:r>
      <w:r w:rsidRPr="003E44B3">
        <w:rPr>
          <w:rFonts w:ascii="Verdana" w:eastAsia="Calibri" w:hAnsi="Verdana" w:cs="Arial"/>
          <w:b/>
          <w:lang w:val="es-ES" w:eastAsia="es-ES"/>
        </w:rPr>
        <w:t xml:space="preserve"> Bayona Estrada</w:t>
      </w:r>
    </w:p>
    <w:p w14:paraId="2F2D83E7" w14:textId="77777777" w:rsidR="00493102" w:rsidRPr="00A6315A" w:rsidRDefault="00493102" w:rsidP="00FC3B64">
      <w:pPr>
        <w:spacing w:after="0" w:line="240" w:lineRule="auto"/>
        <w:rPr>
          <w:rFonts w:ascii="Verdana" w:eastAsia="Calibri" w:hAnsi="Verdana" w:cs="Arial"/>
          <w:lang w:val="es-ES" w:eastAsia="es-ES"/>
        </w:rPr>
      </w:pPr>
      <w:r w:rsidRPr="00453FEC">
        <w:rPr>
          <w:rFonts w:ascii="Verdana" w:hAnsi="Verdana"/>
        </w:rPr>
        <w:t>carlzzeiss@gmail.com</w:t>
      </w:r>
      <w:r>
        <w:rPr>
          <w:rFonts w:ascii="Verdana" w:hAnsi="Verdana"/>
        </w:rPr>
        <w:t xml:space="preserve">  </w:t>
      </w:r>
      <w:r w:rsidRPr="00A6315A">
        <w:rPr>
          <w:rFonts w:ascii="Verdana" w:hAnsi="Verdana"/>
        </w:rPr>
        <w:t xml:space="preserve">            </w:t>
      </w:r>
      <w:r w:rsidRPr="00A6315A">
        <w:rPr>
          <w:rFonts w:ascii="Verdana" w:eastAsia="Calibri" w:hAnsi="Verdana" w:cs="Arial"/>
          <w:lang w:val="es-ES" w:eastAsia="es-ES"/>
        </w:rPr>
        <w:t xml:space="preserve">    </w:t>
      </w:r>
    </w:p>
    <w:p w14:paraId="0029F942" w14:textId="77777777" w:rsidR="00493102" w:rsidRDefault="00493102" w:rsidP="00FC3B64">
      <w:pPr>
        <w:spacing w:after="0" w:line="240" w:lineRule="auto"/>
        <w:rPr>
          <w:rFonts w:ascii="Verdana" w:eastAsia="Calibri" w:hAnsi="Verdana" w:cs="Arial"/>
          <w:lang w:val="es-ES" w:eastAsia="es-ES"/>
        </w:rPr>
      </w:pPr>
      <w:r>
        <w:rPr>
          <w:rFonts w:ascii="Verdana" w:eastAsia="Calibri" w:hAnsi="Verdana" w:cs="Arial"/>
          <w:lang w:val="es-ES" w:eastAsia="es-ES"/>
        </w:rPr>
        <w:t>Yopal, Casanare</w:t>
      </w:r>
    </w:p>
    <w:p w14:paraId="654BFF43" w14:textId="77777777" w:rsidR="00493102" w:rsidRPr="00593A5F" w:rsidRDefault="00493102" w:rsidP="00FC3B64">
      <w:pPr>
        <w:spacing w:after="0" w:line="240" w:lineRule="auto"/>
        <w:rPr>
          <w:rFonts w:ascii="Verdana" w:eastAsia="Calibri" w:hAnsi="Verdana" w:cs="Arial"/>
          <w:b/>
          <w:bCs/>
          <w:color w:val="000000"/>
          <w:lang w:val="es-ES_tradnl" w:eastAsia="es-ES_tradnl"/>
        </w:rPr>
      </w:pPr>
    </w:p>
    <w:p w14:paraId="2F8CA694" w14:textId="77777777" w:rsidR="00493102" w:rsidRPr="00593A5F" w:rsidRDefault="00493102" w:rsidP="00FC3B64">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93102" w:rsidRPr="00593A5F" w14:paraId="3B287F77" w14:textId="77777777" w:rsidTr="005F2788">
        <w:trPr>
          <w:trHeight w:val="176"/>
        </w:trPr>
        <w:tc>
          <w:tcPr>
            <w:tcW w:w="2689" w:type="dxa"/>
          </w:tcPr>
          <w:p w14:paraId="41DF3995" w14:textId="77777777" w:rsidR="00493102" w:rsidRPr="00C00976" w:rsidRDefault="00493102" w:rsidP="00FC3B64">
            <w:pPr>
              <w:jc w:val="both"/>
              <w:rPr>
                <w:rFonts w:ascii="Verdana" w:eastAsia="Calibri" w:hAnsi="Verdana" w:cs="Arial"/>
                <w:b/>
                <w:bCs/>
                <w:color w:val="7030A0"/>
                <w:lang w:val="es-ES_tradnl" w:eastAsia="es-ES_tradnl"/>
              </w:rPr>
            </w:pPr>
          </w:p>
        </w:tc>
        <w:tc>
          <w:tcPr>
            <w:tcW w:w="6100" w:type="dxa"/>
          </w:tcPr>
          <w:p w14:paraId="47568222" w14:textId="77777777" w:rsidR="00493102" w:rsidRDefault="00493102" w:rsidP="00FC3B64">
            <w:pPr>
              <w:jc w:val="both"/>
              <w:rPr>
                <w:rFonts w:ascii="Verdana" w:eastAsia="Calibri" w:hAnsi="Verdana" w:cs="Arial"/>
                <w:b/>
                <w:bCs/>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 xml:space="preserve">1041 </w:t>
            </w:r>
            <w:r w:rsidRPr="008E6AD9">
              <w:rPr>
                <w:rFonts w:ascii="Verdana" w:eastAsia="Calibri" w:hAnsi="Verdana" w:cs="Arial"/>
                <w:b/>
                <w:bCs/>
                <w:lang w:val="es-ES" w:eastAsia="es-ES"/>
              </w:rPr>
              <w:t>de 202</w:t>
            </w:r>
            <w:r>
              <w:rPr>
                <w:rFonts w:ascii="Verdana" w:eastAsia="Calibri" w:hAnsi="Verdana" w:cs="Arial"/>
                <w:b/>
                <w:bCs/>
                <w:lang w:val="es-ES" w:eastAsia="es-ES"/>
              </w:rPr>
              <w:t>5</w:t>
            </w:r>
          </w:p>
          <w:p w14:paraId="2BB0DD5A" w14:textId="77777777" w:rsidR="007B635B" w:rsidRPr="00C00976" w:rsidRDefault="007B635B" w:rsidP="00FC3B64">
            <w:pPr>
              <w:jc w:val="both"/>
              <w:rPr>
                <w:rFonts w:ascii="Verdana" w:eastAsia="Calibri" w:hAnsi="Verdana" w:cs="Arial"/>
                <w:b/>
                <w:bCs/>
                <w:color w:val="7030A0"/>
                <w:lang w:val="es-ES" w:eastAsia="es-ES"/>
              </w:rPr>
            </w:pPr>
          </w:p>
        </w:tc>
      </w:tr>
      <w:tr w:rsidR="00493102" w:rsidRPr="00593A5F" w14:paraId="244666E2" w14:textId="77777777" w:rsidTr="00754D1E">
        <w:trPr>
          <w:trHeight w:val="884"/>
        </w:trPr>
        <w:tc>
          <w:tcPr>
            <w:tcW w:w="2689" w:type="dxa"/>
          </w:tcPr>
          <w:p w14:paraId="1BAED3CC" w14:textId="77777777" w:rsidR="00493102" w:rsidRPr="00593A5F" w:rsidRDefault="00493102" w:rsidP="00FC3B64">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1CFFEB3D" w14:textId="77777777" w:rsidR="00493102" w:rsidRPr="006D7A0F" w:rsidRDefault="00493102" w:rsidP="00FC3B64">
            <w:pPr>
              <w:jc w:val="both"/>
              <w:rPr>
                <w:rFonts w:ascii="Verdana" w:eastAsia="Calibri" w:hAnsi="Verdana" w:cs="Arial"/>
              </w:rPr>
            </w:pPr>
            <w:r w:rsidRPr="006D7A0F">
              <w:rPr>
                <w:rFonts w:ascii="Verdana" w:eastAsia="Calibri" w:hAnsi="Verdana" w:cs="Arial"/>
              </w:rPr>
              <w:t xml:space="preserve">INFORMACIÓN CONTRACTUAL – Publicidad – Alcance  </w:t>
            </w:r>
          </w:p>
          <w:p w14:paraId="20F04A7E" w14:textId="340B2C5A" w:rsidR="00493102" w:rsidRDefault="00493102" w:rsidP="005F2788">
            <w:pPr>
              <w:jc w:val="both"/>
              <w:rPr>
                <w:rFonts w:ascii="Verdana" w:eastAsia="Calibri" w:hAnsi="Verdana" w:cs="Arial"/>
                <w:lang w:val="es-ES" w:eastAsia="es-ES"/>
              </w:rPr>
            </w:pPr>
            <w:r>
              <w:rPr>
                <w:rFonts w:ascii="Verdana" w:eastAsia="Calibri" w:hAnsi="Verdana" w:cs="Arial"/>
                <w:lang w:val="es-ES" w:eastAsia="es-ES"/>
              </w:rPr>
              <w:t xml:space="preserve">/ </w:t>
            </w:r>
            <w:r w:rsidRPr="00BB63BB">
              <w:rPr>
                <w:rFonts w:ascii="Verdana" w:eastAsia="Calibri" w:hAnsi="Verdana" w:cs="Arial"/>
                <w:lang w:val="es-ES" w:eastAsia="es-ES"/>
              </w:rPr>
              <w:t>RESERVA DE INFORMACIÓN PÚBLICA – Fundamento – Constitución – Ley – Aplicación – Procesos contractuales</w:t>
            </w:r>
            <w:r>
              <w:rPr>
                <w:rFonts w:ascii="Verdana" w:eastAsia="Calibri" w:hAnsi="Verdana" w:cs="Arial"/>
                <w:lang w:val="es-ES" w:eastAsia="es-ES"/>
              </w:rPr>
              <w:t xml:space="preserve"> /</w:t>
            </w:r>
            <w:r w:rsidRPr="002A2AF6">
              <w:rPr>
                <w:rFonts w:ascii="Verdana" w:eastAsia="Calibri" w:hAnsi="Verdana" w:cs="Arial"/>
                <w:lang w:val="es-ES" w:eastAsia="es-ES"/>
              </w:rPr>
              <w:t xml:space="preserve"> DEBER DE VIGILANCIA DE LOS CONTRATOS – Obligación de la entidad estatal – Supervisión e interventoría</w:t>
            </w:r>
            <w:r>
              <w:rPr>
                <w:rFonts w:ascii="Verdana" w:eastAsia="Calibri" w:hAnsi="Verdana" w:cs="Arial"/>
                <w:lang w:val="es-ES" w:eastAsia="es-ES"/>
              </w:rPr>
              <w:t xml:space="preserve"> / FACTURACIÓN </w:t>
            </w:r>
            <w:r w:rsidRPr="002A2AF6">
              <w:rPr>
                <w:rFonts w:ascii="Verdana" w:eastAsia="Calibri" w:hAnsi="Verdana" w:cs="Arial"/>
                <w:lang w:val="es-ES" w:eastAsia="es-ES"/>
              </w:rPr>
              <w:t xml:space="preserve">– </w:t>
            </w:r>
            <w:r>
              <w:rPr>
                <w:rFonts w:ascii="Verdana" w:eastAsia="Calibri" w:hAnsi="Verdana" w:cs="Arial"/>
                <w:lang w:val="es-ES" w:eastAsia="es-ES"/>
              </w:rPr>
              <w:t>Discrecionalidad</w:t>
            </w:r>
          </w:p>
          <w:p w14:paraId="3D669A9E" w14:textId="77777777" w:rsidR="00493102" w:rsidRPr="00593A5F" w:rsidRDefault="00493102" w:rsidP="005F2788">
            <w:pPr>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493102" w:rsidRPr="008E6AD9" w14:paraId="3B83801D" w14:textId="77777777" w:rsidTr="00754D1E">
        <w:tc>
          <w:tcPr>
            <w:tcW w:w="2689" w:type="dxa"/>
          </w:tcPr>
          <w:p w14:paraId="3BE5AA84" w14:textId="77777777" w:rsidR="00493102" w:rsidRPr="008E6AD9" w:rsidRDefault="00493102" w:rsidP="00FC3B64">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74CB6F8E" w14:textId="22265803" w:rsidR="00493102" w:rsidRPr="00B92340" w:rsidRDefault="00493102" w:rsidP="005F2788">
            <w:pPr>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Pr="003630A3">
              <w:rPr>
                <w:rFonts w:ascii="Verdana" w:eastAsia="Calibri" w:hAnsi="Verdana" w:cs="Arial"/>
                <w:lang w:val="es-ES_tradnl" w:eastAsia="es-ES_tradnl"/>
              </w:rPr>
              <w:t>1_2025_07_25_007719</w:t>
            </w:r>
          </w:p>
        </w:tc>
      </w:tr>
    </w:tbl>
    <w:p w14:paraId="4E3DD645" w14:textId="77777777" w:rsidR="00493102" w:rsidRDefault="00493102" w:rsidP="00FC3B64">
      <w:pPr>
        <w:spacing w:after="0" w:line="276" w:lineRule="auto"/>
        <w:jc w:val="both"/>
        <w:rPr>
          <w:rFonts w:ascii="Verdana" w:eastAsia="Calibri" w:hAnsi="Verdana" w:cs="Arial"/>
          <w:color w:val="000000"/>
          <w:lang w:val="es-ES_tradnl" w:eastAsia="es-ES_tradnl"/>
        </w:rPr>
      </w:pPr>
    </w:p>
    <w:p w14:paraId="3551F341" w14:textId="77777777" w:rsidR="00493102" w:rsidRPr="008E6AD9" w:rsidRDefault="00493102" w:rsidP="00FC3B64">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señor Bayona</w:t>
      </w:r>
      <w:r w:rsidRPr="008E6AD9">
        <w:rPr>
          <w:rFonts w:ascii="Verdana" w:eastAsia="Calibri" w:hAnsi="Verdana" w:cs="Arial"/>
          <w:lang w:val="es-ES" w:eastAsia="es-ES"/>
        </w:rPr>
        <w:t xml:space="preserve">: </w:t>
      </w:r>
    </w:p>
    <w:p w14:paraId="23EDC474" w14:textId="77777777" w:rsidR="00493102" w:rsidRDefault="00493102" w:rsidP="00FC3B64">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739666B0" w14:textId="77777777" w:rsidR="00493102" w:rsidRPr="00593A5F" w:rsidRDefault="00493102" w:rsidP="00FC3B64">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25 de julio de 2025, en la que manifiesta lo siguiente</w:t>
      </w:r>
      <w:r w:rsidRPr="008E6AD9">
        <w:rPr>
          <w:rFonts w:ascii="Verdana" w:eastAsia="Calibri" w:hAnsi="Verdana" w:cs="Arial"/>
          <w:lang w:val="es-ES" w:eastAsia="es-ES"/>
        </w:rPr>
        <w:t xml:space="preserve">: </w:t>
      </w:r>
    </w:p>
    <w:p w14:paraId="6BEE51E4" w14:textId="77777777" w:rsidR="00493102" w:rsidRPr="00272A7B" w:rsidRDefault="00493102" w:rsidP="00FC3B64">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0C87DA8" w14:textId="77777777" w:rsidR="00493102" w:rsidRPr="005F2788" w:rsidRDefault="00493102" w:rsidP="005F2788">
      <w:pPr>
        <w:spacing w:after="0" w:line="240" w:lineRule="auto"/>
        <w:ind w:left="709" w:right="709"/>
        <w:jc w:val="both"/>
        <w:rPr>
          <w:rFonts w:ascii="Verdana" w:eastAsia="Century Gothic" w:hAnsi="Verdana" w:cs="Century Gothic"/>
          <w:sz w:val="20"/>
          <w:szCs w:val="20"/>
          <w:lang w:val="es-ES"/>
        </w:rPr>
      </w:pPr>
      <w:bookmarkStart w:id="1" w:name="_Hlk95313578"/>
      <w:r w:rsidRPr="005F2788">
        <w:rPr>
          <w:rFonts w:ascii="Verdana" w:eastAsia="Century Gothic" w:hAnsi="Verdana" w:cs="Century Gothic"/>
          <w:sz w:val="20"/>
          <w:szCs w:val="20"/>
          <w:lang w:val="es-ES"/>
        </w:rPr>
        <w:t xml:space="preserve">(…) </w:t>
      </w:r>
    </w:p>
    <w:p w14:paraId="16896A2E" w14:textId="77777777" w:rsidR="00493102" w:rsidRDefault="00493102" w:rsidP="005F2788">
      <w:pPr>
        <w:spacing w:after="0" w:line="240" w:lineRule="auto"/>
        <w:ind w:left="709" w:right="709"/>
        <w:jc w:val="both"/>
        <w:rPr>
          <w:rFonts w:ascii="Verdana" w:hAnsi="Verdana"/>
          <w:sz w:val="20"/>
          <w:szCs w:val="20"/>
        </w:rPr>
      </w:pPr>
      <w:r w:rsidRPr="005F2788">
        <w:rPr>
          <w:rFonts w:ascii="Verdana" w:eastAsia="Century Gothic" w:hAnsi="Verdana" w:cs="Century Gothic"/>
          <w:sz w:val="20"/>
          <w:szCs w:val="20"/>
          <w:lang w:val="es-ES"/>
        </w:rPr>
        <w:t>“</w:t>
      </w:r>
      <w:bookmarkEnd w:id="1"/>
      <w:r w:rsidRPr="0070654E">
        <w:rPr>
          <w:rFonts w:ascii="Verdana" w:hAnsi="Verdana"/>
          <w:sz w:val="20"/>
          <w:szCs w:val="20"/>
        </w:rPr>
        <w:t xml:space="preserve">1. ¿Puede una entidad estatal omitir, total o parcialmente, el cargue de documentos en la plataforma SECOP relacionados con un contrato suscrito? En caso afirmativo, indique </w:t>
      </w:r>
      <w:proofErr w:type="gramStart"/>
      <w:r w:rsidRPr="0070654E">
        <w:rPr>
          <w:rFonts w:ascii="Verdana" w:hAnsi="Verdana"/>
          <w:sz w:val="20"/>
          <w:szCs w:val="20"/>
        </w:rPr>
        <w:t>bajo qué condiciones</w:t>
      </w:r>
      <w:proofErr w:type="gramEnd"/>
      <w:r w:rsidRPr="0070654E">
        <w:rPr>
          <w:rFonts w:ascii="Verdana" w:hAnsi="Verdana"/>
          <w:sz w:val="20"/>
          <w:szCs w:val="20"/>
        </w:rPr>
        <w:t xml:space="preserve"> y con base en qué normativa. </w:t>
      </w:r>
    </w:p>
    <w:p w14:paraId="24781CB1" w14:textId="77777777" w:rsidR="0070654E" w:rsidRPr="0070654E" w:rsidRDefault="0070654E" w:rsidP="005F2788">
      <w:pPr>
        <w:spacing w:after="0" w:line="240" w:lineRule="auto"/>
        <w:ind w:left="709" w:right="709"/>
        <w:jc w:val="both"/>
        <w:rPr>
          <w:rFonts w:ascii="Verdana" w:hAnsi="Verdana"/>
          <w:sz w:val="20"/>
          <w:szCs w:val="20"/>
        </w:rPr>
      </w:pPr>
    </w:p>
    <w:p w14:paraId="30BB1983" w14:textId="77777777" w:rsidR="00493102" w:rsidRPr="0070654E" w:rsidRDefault="00493102" w:rsidP="005F2788">
      <w:pPr>
        <w:spacing w:after="0" w:line="240" w:lineRule="auto"/>
        <w:ind w:left="709" w:right="709"/>
        <w:jc w:val="both"/>
        <w:rPr>
          <w:rFonts w:ascii="Verdana" w:hAnsi="Verdana"/>
          <w:sz w:val="20"/>
          <w:szCs w:val="20"/>
        </w:rPr>
      </w:pPr>
      <w:r w:rsidRPr="0070654E">
        <w:rPr>
          <w:rFonts w:ascii="Verdana" w:hAnsi="Verdana"/>
          <w:sz w:val="20"/>
          <w:szCs w:val="20"/>
        </w:rPr>
        <w:t xml:space="preserve">2. ¿Es permitido que una entidad realice pagos mensuales correspondientes a un contrato sin que en la plataforma SECOP existan soportes de facturación o informes de actividades que justifiquen dichos pagos? </w:t>
      </w:r>
    </w:p>
    <w:p w14:paraId="75B8FB14" w14:textId="77777777" w:rsidR="0070654E" w:rsidRDefault="0070654E" w:rsidP="005F2788">
      <w:pPr>
        <w:spacing w:after="0" w:line="240" w:lineRule="auto"/>
        <w:ind w:left="709" w:right="709"/>
        <w:jc w:val="both"/>
        <w:rPr>
          <w:rFonts w:ascii="Verdana" w:hAnsi="Verdana"/>
          <w:sz w:val="20"/>
          <w:szCs w:val="20"/>
        </w:rPr>
      </w:pPr>
    </w:p>
    <w:p w14:paraId="14CE9647" w14:textId="668775A4" w:rsidR="00493102" w:rsidRDefault="00493102" w:rsidP="005F2788">
      <w:pPr>
        <w:spacing w:after="0" w:line="240" w:lineRule="auto"/>
        <w:ind w:left="709" w:right="709"/>
        <w:jc w:val="both"/>
        <w:rPr>
          <w:rFonts w:ascii="Verdana" w:hAnsi="Verdana"/>
          <w:sz w:val="20"/>
          <w:szCs w:val="20"/>
        </w:rPr>
      </w:pPr>
      <w:r w:rsidRPr="0070654E">
        <w:rPr>
          <w:rFonts w:ascii="Verdana" w:hAnsi="Verdana"/>
          <w:sz w:val="20"/>
          <w:szCs w:val="20"/>
        </w:rPr>
        <w:t xml:space="preserve">3. ¿Constituye una infracción, ya sea parcial o total, la omisión del cargue de documentos como facturas o informes de actividades en la plataforma </w:t>
      </w:r>
      <w:r w:rsidRPr="0070654E">
        <w:rPr>
          <w:rFonts w:ascii="Verdana" w:hAnsi="Verdana"/>
          <w:sz w:val="20"/>
          <w:szCs w:val="20"/>
        </w:rPr>
        <w:lastRenderedPageBreak/>
        <w:t xml:space="preserve">SECOP? En caso afirmativo, indique las posibles consecuencias legales o administrativas. En caso de que las conductas descritas sean contrarias a la normativa vigente, señale las leyes, decretos, resoluciones u otras disposiciones que se estarían vulnerando. </w:t>
      </w:r>
    </w:p>
    <w:p w14:paraId="3827307E" w14:textId="77777777" w:rsidR="0070654E" w:rsidRPr="0070654E" w:rsidRDefault="0070654E" w:rsidP="005F2788">
      <w:pPr>
        <w:spacing w:after="0" w:line="240" w:lineRule="auto"/>
        <w:ind w:left="709" w:right="709"/>
        <w:jc w:val="both"/>
        <w:rPr>
          <w:rFonts w:ascii="Verdana" w:hAnsi="Verdana"/>
          <w:sz w:val="20"/>
          <w:szCs w:val="20"/>
        </w:rPr>
      </w:pPr>
    </w:p>
    <w:p w14:paraId="5467D38B" w14:textId="77777777" w:rsidR="00493102" w:rsidRPr="0070654E" w:rsidRDefault="00493102" w:rsidP="005F2788">
      <w:pPr>
        <w:spacing w:after="0" w:line="240" w:lineRule="auto"/>
        <w:ind w:left="709" w:right="709"/>
        <w:jc w:val="both"/>
        <w:rPr>
          <w:rFonts w:ascii="Verdana" w:hAnsi="Verdana"/>
          <w:sz w:val="20"/>
          <w:szCs w:val="20"/>
        </w:rPr>
      </w:pPr>
      <w:r w:rsidRPr="0070654E">
        <w:rPr>
          <w:rFonts w:ascii="Verdana" w:hAnsi="Verdana"/>
          <w:sz w:val="20"/>
          <w:szCs w:val="20"/>
        </w:rPr>
        <w:t xml:space="preserve">4. Precise qué entidades de control tienen competencia para investigar y sancionar las posibles irregularidades relacionadas con las omisiones mencionadas en el contexto de este derecho de petición. </w:t>
      </w:r>
      <w:r w:rsidRPr="0070654E">
        <w:rPr>
          <w:rFonts w:ascii="Verdana" w:eastAsia="Century Gothic" w:hAnsi="Verdana" w:cs="Century Gothic"/>
          <w:sz w:val="20"/>
          <w:szCs w:val="20"/>
        </w:rPr>
        <w:t>(…)”.</w:t>
      </w:r>
    </w:p>
    <w:p w14:paraId="2E2B6CB7" w14:textId="77777777" w:rsidR="00493102" w:rsidRPr="005F2788" w:rsidRDefault="00493102" w:rsidP="005F2788">
      <w:pPr>
        <w:spacing w:after="0" w:line="276" w:lineRule="auto"/>
        <w:ind w:right="709"/>
        <w:jc w:val="both"/>
        <w:rPr>
          <w:rFonts w:ascii="Verdana" w:eastAsia="Century Gothic" w:hAnsi="Verdana" w:cs="Century Gothic"/>
        </w:rPr>
      </w:pPr>
    </w:p>
    <w:p w14:paraId="52F66D90" w14:textId="2E33EF03" w:rsidR="00493102" w:rsidRPr="00A652FF" w:rsidRDefault="00493102" w:rsidP="00493102">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sidR="006631E3">
        <w:rPr>
          <w:rFonts w:ascii="Verdana" w:eastAsia="Calibri" w:hAnsi="Verdana" w:cs="Arial"/>
          <w:color w:val="000000"/>
          <w:lang w:val="es-ES" w:eastAsia="es-ES"/>
        </w:rPr>
        <w:t xml:space="preserve">la Agencia Nacional de Contratación Pública – </w:t>
      </w:r>
      <w:r w:rsidRPr="00593A5F">
        <w:rPr>
          <w:rFonts w:ascii="Verdana" w:eastAsia="Calibri" w:hAnsi="Verdana" w:cs="Arial"/>
          <w:color w:val="000000"/>
          <w:lang w:val="es-ES" w:eastAsia="es-ES"/>
        </w:rPr>
        <w:t>Colombia</w:t>
      </w:r>
      <w:r w:rsidR="006631E3">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52D61949" w14:textId="196514D8" w:rsidR="00493102" w:rsidRDefault="00493102" w:rsidP="00493102">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w:t>
      </w:r>
      <w:r w:rsidR="00117ACB">
        <w:rPr>
          <w:rFonts w:ascii="Verdana" w:eastAsia="Calibri" w:hAnsi="Verdana" w:cs="Arial"/>
          <w:color w:val="000000"/>
          <w:lang w:val="es-ES" w:eastAsia="es-ES"/>
        </w:rPr>
        <w:t>señalando</w:t>
      </w:r>
      <w:r w:rsidR="00117ACB" w:rsidRPr="00593A5F">
        <w:rPr>
          <w:rFonts w:ascii="Verdana" w:eastAsia="Calibri" w:hAnsi="Verdana" w:cs="Arial"/>
          <w:color w:val="000000"/>
          <w:lang w:val="es-ES" w:eastAsia="es-ES"/>
        </w:rPr>
        <w:t xml:space="preserve"> </w:t>
      </w:r>
      <w:r w:rsidR="00117ACB">
        <w:rPr>
          <w:rFonts w:ascii="Verdana" w:eastAsia="Calibri" w:hAnsi="Verdana" w:cs="Arial"/>
          <w:color w:val="000000"/>
          <w:lang w:val="es-ES" w:eastAsia="es-ES"/>
        </w:rPr>
        <w:t>alg</w:t>
      </w:r>
      <w:r w:rsidRPr="00593A5F">
        <w:rPr>
          <w:rFonts w:ascii="Verdana" w:eastAsia="Calibri" w:hAnsi="Verdana" w:cs="Arial"/>
          <w:color w:val="000000"/>
          <w:lang w:val="es-ES" w:eastAsia="es-ES"/>
        </w:rPr>
        <w:t xml:space="preserve">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7A94D58A" w14:textId="77777777" w:rsidR="00493102" w:rsidRPr="00593A5F" w:rsidRDefault="00493102" w:rsidP="006631E3">
      <w:pPr>
        <w:spacing w:after="0" w:line="276" w:lineRule="auto"/>
        <w:ind w:firstLine="709"/>
        <w:jc w:val="both"/>
        <w:rPr>
          <w:rFonts w:ascii="Verdana" w:eastAsia="Calibri" w:hAnsi="Verdana" w:cs="Arial"/>
          <w:color w:val="000000"/>
          <w:lang w:val="es-ES" w:eastAsia="es-ES"/>
        </w:rPr>
      </w:pPr>
    </w:p>
    <w:p w14:paraId="3AD10F09" w14:textId="77777777" w:rsidR="00493102" w:rsidRPr="007F3378" w:rsidRDefault="00493102" w:rsidP="006631E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7F3378">
        <w:rPr>
          <w:rFonts w:ascii="Verdana" w:eastAsia="Century Gothic" w:hAnsi="Verdana" w:cs="Century Gothic"/>
          <w:b/>
          <w:bCs/>
        </w:rPr>
        <w:t>Problema planteado:</w:t>
      </w:r>
    </w:p>
    <w:p w14:paraId="013AA883" w14:textId="77777777" w:rsidR="00493102" w:rsidRPr="007F3378" w:rsidRDefault="00493102" w:rsidP="006631E3">
      <w:pPr>
        <w:tabs>
          <w:tab w:val="left" w:pos="426"/>
        </w:tabs>
        <w:spacing w:after="0" w:line="276" w:lineRule="auto"/>
        <w:jc w:val="both"/>
        <w:rPr>
          <w:rFonts w:ascii="Verdana" w:eastAsia="Century Gothic" w:hAnsi="Verdana" w:cs="Century Gothic"/>
          <w:lang w:val="es-ES"/>
        </w:rPr>
      </w:pPr>
    </w:p>
    <w:p w14:paraId="425F4DB5" w14:textId="55DD5246" w:rsidR="00493102" w:rsidRPr="00E31906" w:rsidRDefault="00493102" w:rsidP="006631E3">
      <w:pPr>
        <w:spacing w:after="0" w:line="276" w:lineRule="auto"/>
        <w:jc w:val="both"/>
        <w:rPr>
          <w:rFonts w:ascii="Verdana" w:eastAsia="Century Gothic" w:hAnsi="Verdana" w:cs="Century Gothic"/>
        </w:rPr>
      </w:pPr>
      <w:r w:rsidRPr="007F3378">
        <w:rPr>
          <w:rFonts w:ascii="Verdana" w:eastAsia="Century Gothic" w:hAnsi="Verdana" w:cs="Century Gothic"/>
        </w:rPr>
        <w:t>De acuerdo con el contenido de su solicitud, esta Agencia resolverá l</w:t>
      </w:r>
      <w:r w:rsidR="00207FD5" w:rsidRPr="007F3378">
        <w:rPr>
          <w:rFonts w:ascii="Verdana" w:eastAsia="Century Gothic" w:hAnsi="Verdana" w:cs="Century Gothic"/>
        </w:rPr>
        <w:t>os</w:t>
      </w:r>
      <w:r w:rsidRPr="007F3378">
        <w:rPr>
          <w:rFonts w:ascii="Verdana" w:eastAsia="Century Gothic" w:hAnsi="Verdana" w:cs="Century Gothic"/>
        </w:rPr>
        <w:t xml:space="preserve"> siguiente</w:t>
      </w:r>
      <w:r w:rsidR="00207FD5" w:rsidRPr="007F3378">
        <w:rPr>
          <w:rFonts w:ascii="Verdana" w:eastAsia="Century Gothic" w:hAnsi="Verdana" w:cs="Century Gothic"/>
        </w:rPr>
        <w:t>s</w:t>
      </w:r>
      <w:r w:rsidRPr="007F3378">
        <w:rPr>
          <w:rFonts w:ascii="Verdana" w:eastAsia="Century Gothic" w:hAnsi="Verdana" w:cs="Century Gothic"/>
        </w:rPr>
        <w:t xml:space="preserve"> problema</w:t>
      </w:r>
      <w:r w:rsidR="00207FD5" w:rsidRPr="007F3378">
        <w:rPr>
          <w:rFonts w:ascii="Verdana" w:eastAsia="Century Gothic" w:hAnsi="Verdana" w:cs="Century Gothic"/>
        </w:rPr>
        <w:t>s</w:t>
      </w:r>
      <w:r w:rsidRPr="007F3378">
        <w:rPr>
          <w:rFonts w:ascii="Verdana" w:eastAsia="Century Gothic" w:hAnsi="Verdana" w:cs="Century Gothic"/>
        </w:rPr>
        <w:t xml:space="preserve"> jurídico</w:t>
      </w:r>
      <w:r w:rsidR="00207FD5" w:rsidRPr="007F3378">
        <w:rPr>
          <w:rFonts w:ascii="Verdana" w:eastAsia="Century Gothic" w:hAnsi="Verdana" w:cs="Century Gothic"/>
        </w:rPr>
        <w:t>s</w:t>
      </w:r>
      <w:r w:rsidRPr="007F3378">
        <w:rPr>
          <w:rFonts w:ascii="Verdana" w:eastAsia="Century Gothic" w:hAnsi="Verdana" w:cs="Century Gothic"/>
        </w:rPr>
        <w:t xml:space="preserve">: i. ¿Es obligatoria la publicación relativa a la información sobre la ejecución de contratos en SECOP II? </w:t>
      </w:r>
      <w:proofErr w:type="spellStart"/>
      <w:r w:rsidRPr="007F3378">
        <w:rPr>
          <w:rFonts w:ascii="Verdana" w:eastAsia="Century Gothic" w:hAnsi="Verdana" w:cs="Century Gothic"/>
        </w:rPr>
        <w:t>ii</w:t>
      </w:r>
      <w:proofErr w:type="spellEnd"/>
      <w:r w:rsidRPr="007F3378">
        <w:rPr>
          <w:rFonts w:ascii="Verdana" w:eastAsia="Century Gothic" w:hAnsi="Verdana" w:cs="Century Gothic"/>
        </w:rPr>
        <w:t xml:space="preserve">. ¿Cómo se maneja la información reservada o con datos sensibles en la contratación pública? y </w:t>
      </w:r>
      <w:proofErr w:type="spellStart"/>
      <w:r w:rsidRPr="007F3378">
        <w:rPr>
          <w:rFonts w:ascii="Verdana" w:eastAsia="Century Gothic" w:hAnsi="Verdana" w:cs="Century Gothic"/>
        </w:rPr>
        <w:t>iii</w:t>
      </w:r>
      <w:proofErr w:type="spellEnd"/>
      <w:r w:rsidRPr="007F3378">
        <w:rPr>
          <w:rFonts w:ascii="Verdana" w:eastAsia="Century Gothic" w:hAnsi="Verdana" w:cs="Century Gothic"/>
        </w:rPr>
        <w:t xml:space="preserve">. ¿Qué documentos se deben cargar en la plataforma </w:t>
      </w:r>
      <w:r w:rsidR="006631E3" w:rsidRPr="007F3378">
        <w:rPr>
          <w:rFonts w:ascii="Verdana" w:eastAsia="Century Gothic" w:hAnsi="Verdana" w:cs="Century Gothic"/>
        </w:rPr>
        <w:t xml:space="preserve">SECOP </w:t>
      </w:r>
      <w:r w:rsidRPr="007F3378">
        <w:rPr>
          <w:rFonts w:ascii="Verdana" w:eastAsia="Century Gothic" w:hAnsi="Verdana" w:cs="Century Gothic"/>
        </w:rPr>
        <w:t>II respecto a la facturación?</w:t>
      </w:r>
    </w:p>
    <w:p w14:paraId="50B66C19" w14:textId="7B7F9F63" w:rsidR="00493102" w:rsidRPr="004B140F" w:rsidRDefault="00493102" w:rsidP="006631E3">
      <w:pPr>
        <w:spacing w:after="0" w:line="276" w:lineRule="auto"/>
        <w:jc w:val="both"/>
        <w:rPr>
          <w:rFonts w:ascii="Verdana" w:eastAsia="Calibri" w:hAnsi="Verdana" w:cs="Arial"/>
          <w:color w:val="7030A0"/>
        </w:rPr>
      </w:pPr>
      <w:r w:rsidRPr="00906BE9">
        <w:rPr>
          <w:rFonts w:ascii="Verdana" w:eastAsia="Century Gothic" w:hAnsi="Verdana" w:cs="Century Gothic"/>
        </w:rPr>
        <w:t xml:space="preserve">       </w:t>
      </w:r>
      <w:r>
        <w:rPr>
          <w:rFonts w:ascii="Verdana" w:eastAsia="Century Gothic" w:hAnsi="Verdana" w:cs="Century Gothic"/>
        </w:rPr>
        <w:t xml:space="preserve">       </w:t>
      </w:r>
      <w:r w:rsidRPr="00C00976">
        <w:rPr>
          <w:rFonts w:ascii="Verdana" w:eastAsia="Century Gothic" w:hAnsi="Verdana" w:cs="Century Gothic"/>
          <w:color w:val="7030A0"/>
        </w:rPr>
        <w:t xml:space="preserve"> </w:t>
      </w:r>
    </w:p>
    <w:p w14:paraId="015DE795" w14:textId="77777777" w:rsidR="00493102" w:rsidRPr="00593A5F" w:rsidRDefault="00493102" w:rsidP="006631E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0A89F335" w14:textId="77777777" w:rsidR="00493102" w:rsidRPr="00593A5F" w:rsidRDefault="00493102" w:rsidP="006631E3">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93102" w:rsidRPr="00593A5F" w14:paraId="2EBDDA54" w14:textId="77777777" w:rsidTr="00754D1E">
        <w:trPr>
          <w:jc w:val="center"/>
        </w:trPr>
        <w:tc>
          <w:tcPr>
            <w:tcW w:w="8828" w:type="dxa"/>
          </w:tcPr>
          <w:p w14:paraId="6943F4F2" w14:textId="77777777" w:rsidR="00493102" w:rsidRDefault="00493102" w:rsidP="005F2788">
            <w:pPr>
              <w:spacing w:after="120" w:line="276" w:lineRule="auto"/>
              <w:jc w:val="both"/>
              <w:rPr>
                <w:rFonts w:ascii="Verdana" w:eastAsia="Arial" w:hAnsi="Verdana" w:cs="Arial"/>
                <w:lang w:val="es-ES"/>
              </w:rPr>
            </w:pPr>
            <w:bookmarkStart w:id="2" w:name="_Hlk171694685"/>
            <w:r>
              <w:rPr>
                <w:rFonts w:ascii="Verdana" w:eastAsia="Calibri" w:hAnsi="Verdana" w:cs="Arial"/>
                <w:bCs/>
                <w:color w:val="000000" w:themeColor="text1"/>
              </w:rPr>
              <w:t xml:space="preserve">i. </w:t>
            </w:r>
            <w:r w:rsidRPr="00C01845">
              <w:rPr>
                <w:rFonts w:ascii="Verdana" w:eastAsia="Century Gothic" w:hAnsi="Verdana" w:cs="Century Gothic"/>
                <w:bCs/>
              </w:rPr>
              <w:t xml:space="preserve">Respecto al </w:t>
            </w:r>
            <w:r>
              <w:rPr>
                <w:rFonts w:ascii="Verdana" w:eastAsia="Century Gothic" w:hAnsi="Verdana" w:cs="Century Gothic"/>
                <w:bCs/>
              </w:rPr>
              <w:t xml:space="preserve">primer </w:t>
            </w:r>
            <w:r>
              <w:rPr>
                <w:rFonts w:ascii="Verdana" w:eastAsia="Century Gothic" w:hAnsi="Verdana" w:cs="Century Gothic"/>
                <w:bCs/>
                <w:i/>
                <w:iCs/>
              </w:rPr>
              <w:t>problema jurídico,</w:t>
            </w:r>
            <w:r>
              <w:rPr>
                <w:rFonts w:ascii="Verdana" w:eastAsia="Calibri" w:hAnsi="Verdana" w:cs="Arial"/>
                <w:bCs/>
                <w:color w:val="000000" w:themeColor="text1"/>
              </w:rPr>
              <w:t xml:space="preserve"> es importante destacar que e</w:t>
            </w:r>
            <w:r w:rsidRPr="00F16D2E">
              <w:rPr>
                <w:rFonts w:ascii="Verdana" w:eastAsia="Calibri" w:hAnsi="Verdana" w:cs="Arial"/>
                <w:lang w:val="es-ES"/>
              </w:rPr>
              <w:t xml:space="preserve">l deber de publicar la actividad contractual de las entidades estatales no solo está regulado en el artículo 3 de la Ley 1150 de 2007 y en el </w:t>
            </w:r>
            <w:r w:rsidRPr="00F16D2E">
              <w:rPr>
                <w:rFonts w:ascii="Verdana" w:eastAsia="Arial" w:hAnsi="Verdana" w:cs="Arial"/>
                <w:lang w:val="es-ES"/>
              </w:rPr>
              <w:t xml:space="preserve">artículo 2.2.1.1.1.7.1 del Decreto 1082 de 2015, sino también en la Ley 1712 de 2014 y en el Decreto 1081 de 2015. Estas normas no solo refuerzan y complementan al régimen de contratación estatal en cuanto a la publicidad, sino que lo amplía, para incluir la publicación de los “procedimientos” y la información relativa a la “gestión contractual”, sin el condicionamiento de tratarse exclusivamente de los </w:t>
            </w:r>
            <w:r w:rsidRPr="00F16D2E">
              <w:rPr>
                <w:rFonts w:ascii="Verdana" w:eastAsia="Arial" w:hAnsi="Verdana" w:cs="Arial"/>
                <w:i/>
                <w:iCs/>
                <w:lang w:val="es-ES"/>
              </w:rPr>
              <w:t xml:space="preserve">Documentos del Proceso </w:t>
            </w:r>
            <w:r w:rsidRPr="00F16D2E">
              <w:rPr>
                <w:rFonts w:ascii="Verdana" w:eastAsia="Arial" w:hAnsi="Verdana" w:cs="Arial"/>
                <w:lang w:val="es-ES"/>
              </w:rPr>
              <w:t xml:space="preserve">expedidos por la “entidad estatal”. </w:t>
            </w:r>
          </w:p>
          <w:p w14:paraId="6F18D233" w14:textId="77777777" w:rsidR="00493102" w:rsidRPr="00FD46A9" w:rsidRDefault="00493102" w:rsidP="00754D1E">
            <w:pPr>
              <w:spacing w:before="120" w:after="120" w:line="276" w:lineRule="auto"/>
              <w:ind w:firstLine="709"/>
              <w:jc w:val="both"/>
              <w:rPr>
                <w:rFonts w:ascii="Verdana" w:eastAsia="Calibri" w:hAnsi="Verdana" w:cs="Arial"/>
                <w:lang w:val="es-ES"/>
              </w:rPr>
            </w:pPr>
            <w:r w:rsidRPr="00FD46A9">
              <w:rPr>
                <w:rFonts w:ascii="Verdana" w:eastAsia="Arial" w:hAnsi="Verdana" w:cs="Arial"/>
                <w:lang w:val="es-ES"/>
              </w:rPr>
              <w:t>Esta obligación, está reglamentada en el Decreto 1081 de 2015. Este señala, en el artículo 2.1.1.2.1.7, que las entidades deberán publicar en el SECOP la información de su gestión contractual</w:t>
            </w:r>
            <w:r w:rsidRPr="00FD46A9">
              <w:rPr>
                <w:rFonts w:ascii="Verdana" w:eastAsia="Arial" w:hAnsi="Verdana" w:cs="Arial"/>
                <w:vertAlign w:val="superscript"/>
                <w:lang w:val="es-ES"/>
              </w:rPr>
              <w:footnoteReference w:id="2"/>
            </w:r>
            <w:r w:rsidRPr="00FD46A9">
              <w:rPr>
                <w:rFonts w:ascii="Verdana" w:eastAsia="Arial" w:hAnsi="Verdana" w:cs="Arial"/>
                <w:lang w:val="es-ES"/>
              </w:rPr>
              <w:t xml:space="preserve">. Por su parte, </w:t>
            </w:r>
            <w:r w:rsidRPr="00FD46A9">
              <w:rPr>
                <w:rFonts w:ascii="Verdana" w:eastAsia="Calibri" w:hAnsi="Verdana" w:cs="Arial"/>
                <w:lang w:val="es-ES"/>
              </w:rPr>
              <w:t>el artículo 2.1.1.2.1.8, establece los efectos de la obligación contenida en el literal g) del artículo 11 de la Ley 1712 de 2014, en relación con los documentos producidos durante la ejecución del contrato, señalando que se deben publicar las aprobaciones, autorizaciones, requerimientos o informes del supervisor o interventor, que prueben la ejecución del contrato</w:t>
            </w:r>
            <w:r w:rsidRPr="00FD46A9">
              <w:rPr>
                <w:rFonts w:ascii="Verdana" w:eastAsia="Calibri" w:hAnsi="Verdana" w:cs="Arial"/>
                <w:vertAlign w:val="superscript"/>
                <w:lang w:val="es-ES"/>
              </w:rPr>
              <w:footnoteReference w:id="3"/>
            </w:r>
            <w:r w:rsidRPr="00FD46A9">
              <w:rPr>
                <w:rFonts w:ascii="Verdana" w:eastAsia="Calibri" w:hAnsi="Verdana" w:cs="Arial"/>
                <w:lang w:val="es-ES"/>
              </w:rPr>
              <w:t>.</w:t>
            </w:r>
          </w:p>
          <w:p w14:paraId="2644CE70" w14:textId="77777777" w:rsidR="00493102" w:rsidRDefault="00493102" w:rsidP="007F3378">
            <w:pPr>
              <w:spacing w:before="120" w:line="276" w:lineRule="auto"/>
              <w:ind w:firstLine="709"/>
              <w:jc w:val="both"/>
              <w:rPr>
                <w:rFonts w:ascii="Verdana" w:eastAsia="Arial" w:hAnsi="Verdana" w:cs="Arial"/>
                <w:lang w:val="es-ES"/>
              </w:rPr>
            </w:pPr>
            <w:r w:rsidRPr="00FD46A9">
              <w:rPr>
                <w:rFonts w:ascii="Verdana" w:eastAsia="Calibri" w:hAnsi="Verdana" w:cs="Arial"/>
                <w:lang w:val="es-ES"/>
              </w:rPr>
              <w:t xml:space="preserve">En ese orden, el deber de publicar la actividad contractual de las entidades estatales no solo está regulado en el artículo 3 de la Ley 1150 de 2007, y en el </w:t>
            </w:r>
            <w:r w:rsidRPr="00FD46A9">
              <w:rPr>
                <w:rFonts w:ascii="Verdana" w:eastAsia="Arial" w:hAnsi="Verdana" w:cs="Arial"/>
                <w:lang w:val="es-ES"/>
              </w:rPr>
              <w:t xml:space="preserve">artículo 2.2.1.1.1.7.1. del Decreto 1082 de 2015, sino también en la Ley 1712 de 2014, y en el Decreto 1081 de 2015, normas que no solo refuerzan y complementan al régimen de contratación estatal en cuanto a la publicidad, sino que lo amplía, para incluir la publicación de los “procedimientos” y la información relativa a la “gestión contractual”, sin el condicionamiento de tratarse exclusivamente de los </w:t>
            </w:r>
            <w:r w:rsidRPr="00FD46A9">
              <w:rPr>
                <w:rFonts w:ascii="Verdana" w:eastAsia="Arial" w:hAnsi="Verdana" w:cs="Arial"/>
                <w:i/>
                <w:iCs/>
                <w:lang w:val="es-ES"/>
              </w:rPr>
              <w:t xml:space="preserve">Documentos del Proceso </w:t>
            </w:r>
            <w:r w:rsidRPr="00FD46A9">
              <w:rPr>
                <w:rFonts w:ascii="Verdana" w:eastAsia="Arial" w:hAnsi="Verdana" w:cs="Arial"/>
                <w:lang w:val="es-ES"/>
              </w:rPr>
              <w:t>expedidos por la “entidad estatal”.</w:t>
            </w:r>
          </w:p>
          <w:p w14:paraId="48AE4335" w14:textId="77777777" w:rsidR="007F3378" w:rsidRPr="00FD46A9" w:rsidRDefault="007F3378" w:rsidP="005F2788">
            <w:pPr>
              <w:spacing w:line="276" w:lineRule="auto"/>
              <w:ind w:firstLine="709"/>
              <w:jc w:val="both"/>
              <w:rPr>
                <w:rFonts w:ascii="Verdana" w:eastAsia="Calibri" w:hAnsi="Verdana" w:cs="Arial"/>
                <w:lang w:val="es-ES"/>
              </w:rPr>
            </w:pPr>
          </w:p>
          <w:p w14:paraId="38B06558" w14:textId="77777777" w:rsidR="00493102" w:rsidRDefault="00493102" w:rsidP="007F3378">
            <w:pPr>
              <w:spacing w:line="276" w:lineRule="auto"/>
              <w:jc w:val="both"/>
              <w:rPr>
                <w:rFonts w:ascii="Verdana" w:eastAsia="Calibri" w:hAnsi="Verdana" w:cs="Arial"/>
                <w:lang w:val="es-ES_tradnl" w:eastAsia="es-ES"/>
              </w:rPr>
            </w:pPr>
            <w:proofErr w:type="spellStart"/>
            <w:r w:rsidRPr="00F4711F">
              <w:rPr>
                <w:rStyle w:val="s15"/>
                <w:rFonts w:ascii="Verdana" w:hAnsi="Verdana"/>
              </w:rPr>
              <w:lastRenderedPageBreak/>
              <w:t>ii</w:t>
            </w:r>
            <w:proofErr w:type="spellEnd"/>
            <w:r w:rsidRPr="00F4711F">
              <w:rPr>
                <w:rStyle w:val="s15"/>
                <w:rFonts w:ascii="Verdana" w:hAnsi="Verdana"/>
              </w:rPr>
              <w:t xml:space="preserve">. </w:t>
            </w:r>
            <w:r w:rsidRPr="00C01845">
              <w:rPr>
                <w:rFonts w:ascii="Verdana" w:eastAsia="Century Gothic" w:hAnsi="Verdana" w:cs="Century Gothic"/>
                <w:bCs/>
              </w:rPr>
              <w:t xml:space="preserve">Respecto al </w:t>
            </w:r>
            <w:r>
              <w:rPr>
                <w:rFonts w:ascii="Verdana" w:eastAsia="Century Gothic" w:hAnsi="Verdana" w:cs="Century Gothic"/>
                <w:bCs/>
                <w:i/>
                <w:iCs/>
              </w:rPr>
              <w:t xml:space="preserve">segundo problema jurídico, </w:t>
            </w:r>
            <w:r w:rsidRPr="000A78A5">
              <w:rPr>
                <w:rFonts w:ascii="Verdana" w:eastAsia="Calibri" w:hAnsi="Verdana" w:cs="Arial"/>
                <w:lang w:val="es-ES_tradnl" w:eastAsia="es-ES"/>
              </w:rPr>
              <w:t>es posible que el constituyente o el legislador establezcan reservas de cierta información pública. En este sentido, en desarrollo de cualquier proceso contractual, es posible que los documentos del proceso contengan información sometida a reserva, de acuerdo con las causales establecidas en la Constitución o en la ley, caso en el cual dicha información no debe publicarse en el SECOP, precisamente por tratarse de información reservada. En estos casos, debe procederse conforme lo establecido en la Ley 1712 de 2014, particularmente, cumpliendo las obligaciones y los deberes establecidos en el título III “Excepciones acceso a la información”.</w:t>
            </w:r>
          </w:p>
          <w:p w14:paraId="68269D0C" w14:textId="77777777" w:rsidR="007F3378" w:rsidRDefault="007F3378" w:rsidP="005F2788">
            <w:pPr>
              <w:spacing w:line="276" w:lineRule="auto"/>
              <w:jc w:val="both"/>
              <w:rPr>
                <w:rFonts w:ascii="Verdana" w:eastAsia="Calibri" w:hAnsi="Verdana" w:cs="Arial"/>
                <w:lang w:val="es-ES_tradnl" w:eastAsia="es-ES"/>
              </w:rPr>
            </w:pPr>
          </w:p>
          <w:p w14:paraId="6AADF5DC" w14:textId="22DC4E95" w:rsidR="00493102" w:rsidRPr="00F4711F" w:rsidRDefault="00493102" w:rsidP="005F2788">
            <w:pPr>
              <w:spacing w:after="120" w:line="276" w:lineRule="auto"/>
              <w:jc w:val="both"/>
              <w:rPr>
                <w:rFonts w:ascii="Verdana" w:eastAsia="Calibri" w:hAnsi="Verdana" w:cs="Arial"/>
                <w:bCs/>
                <w:color w:val="000000" w:themeColor="text1"/>
                <w:lang w:val="es-ES_tradnl"/>
              </w:rPr>
            </w:pPr>
            <w:proofErr w:type="spellStart"/>
            <w:r>
              <w:rPr>
                <w:rFonts w:ascii="Verdana" w:eastAsia="Century Gothic" w:hAnsi="Verdana" w:cs="Century Gothic"/>
                <w:bCs/>
              </w:rPr>
              <w:t>iii</w:t>
            </w:r>
            <w:proofErr w:type="spellEnd"/>
            <w:r>
              <w:rPr>
                <w:rFonts w:ascii="Verdana" w:eastAsia="Century Gothic" w:hAnsi="Verdana" w:cs="Century Gothic"/>
                <w:bCs/>
              </w:rPr>
              <w:t xml:space="preserve">) </w:t>
            </w:r>
            <w:r w:rsidRPr="00C01845">
              <w:rPr>
                <w:rFonts w:ascii="Verdana" w:eastAsia="Century Gothic" w:hAnsi="Verdana" w:cs="Century Gothic"/>
                <w:bCs/>
              </w:rPr>
              <w:t xml:space="preserve">Respecto al </w:t>
            </w:r>
            <w:r>
              <w:rPr>
                <w:rFonts w:ascii="Verdana" w:eastAsia="Century Gothic" w:hAnsi="Verdana" w:cs="Century Gothic"/>
                <w:bCs/>
                <w:i/>
                <w:iCs/>
              </w:rPr>
              <w:t>tercer problema jurídico</w:t>
            </w:r>
            <w:r>
              <w:rPr>
                <w:rFonts w:ascii="Verdana" w:eastAsia="Century Gothic" w:hAnsi="Verdana" w:cs="Century Gothic"/>
                <w:bCs/>
              </w:rPr>
              <w:t xml:space="preserve">, se aclara que en la plataforma SECOP II se encuentra en la </w:t>
            </w:r>
            <w:proofErr w:type="gramStart"/>
            <w:r>
              <w:rPr>
                <w:rFonts w:ascii="Verdana" w:eastAsia="Century Gothic" w:hAnsi="Verdana" w:cs="Century Gothic"/>
                <w:bCs/>
              </w:rPr>
              <w:t>interface</w:t>
            </w:r>
            <w:proofErr w:type="gramEnd"/>
            <w:r>
              <w:rPr>
                <w:rFonts w:ascii="Verdana" w:eastAsia="Century Gothic" w:hAnsi="Verdana" w:cs="Century Gothic"/>
                <w:bCs/>
              </w:rPr>
              <w:t xml:space="preserve"> de </w:t>
            </w:r>
            <w:r>
              <w:rPr>
                <w:rFonts w:ascii="Verdana" w:eastAsia="Century Gothic" w:hAnsi="Verdana" w:cs="Century Gothic"/>
                <w:bCs/>
                <w:i/>
                <w:iCs/>
              </w:rPr>
              <w:t xml:space="preserve">plan de pagos, </w:t>
            </w:r>
            <w:r w:rsidRPr="00AB26E7">
              <w:rPr>
                <w:rFonts w:ascii="Verdana" w:eastAsia="Calibri" w:hAnsi="Verdana" w:cs="Arial"/>
              </w:rPr>
              <w:t>la funcionalidad de validación de factura electrónica</w:t>
            </w:r>
            <w:r>
              <w:rPr>
                <w:rFonts w:ascii="Verdana" w:eastAsia="Calibri" w:hAnsi="Verdana" w:cs="Arial"/>
              </w:rPr>
              <w:t xml:space="preserve">. </w:t>
            </w:r>
            <w:r w:rsidRPr="00AB26E7">
              <w:rPr>
                <w:rFonts w:ascii="Verdana" w:eastAsia="Calibri" w:hAnsi="Verdana" w:cs="Arial"/>
              </w:rPr>
              <w:t xml:space="preserve">El proceso de validación se realizará a través de mecanismos de interoperabilidad con la Dirección de Impuestos y Aduanas Nacionales - DIAN, proceso mediante el cual, el usuario registra en SECOP el código único de factura electrónica CUFE presente en el archivo </w:t>
            </w:r>
            <w:proofErr w:type="spellStart"/>
            <w:r w:rsidRPr="00AB26E7">
              <w:rPr>
                <w:rFonts w:ascii="Verdana" w:eastAsia="Calibri" w:hAnsi="Verdana" w:cs="Arial"/>
              </w:rPr>
              <w:t>pdf</w:t>
            </w:r>
            <w:proofErr w:type="spellEnd"/>
            <w:r w:rsidRPr="00AB26E7">
              <w:rPr>
                <w:rFonts w:ascii="Verdana" w:eastAsia="Calibri" w:hAnsi="Verdana" w:cs="Arial"/>
              </w:rPr>
              <w:t xml:space="preserve"> que su facturador electrónico le envía; posteriormente se valida de manera transparente con DIAN para conocer si la factura está o no autorizada y así continuar con su registro de factura en SECOP.</w:t>
            </w:r>
            <w:r>
              <w:rPr>
                <w:rFonts w:ascii="Verdana" w:eastAsia="Calibri" w:hAnsi="Verdana" w:cs="Arial"/>
              </w:rPr>
              <w:t xml:space="preserve"> Ahora bien, se debe señalar que para los tramites de pago internos o gestión administrativa, cada entidad tendrá la autonomía para solicitar los documentos que se requieran por parte del contratista respecto a la facturación.</w:t>
            </w:r>
          </w:p>
        </w:tc>
      </w:tr>
    </w:tbl>
    <w:p w14:paraId="446DA773" w14:textId="77777777" w:rsidR="00493102" w:rsidRPr="00593A5F" w:rsidRDefault="00493102" w:rsidP="00493102">
      <w:pPr>
        <w:tabs>
          <w:tab w:val="left" w:pos="142"/>
          <w:tab w:val="left" w:pos="284"/>
        </w:tabs>
        <w:spacing w:after="0" w:line="276" w:lineRule="auto"/>
        <w:jc w:val="both"/>
        <w:rPr>
          <w:rFonts w:ascii="Verdana" w:eastAsia="Century Gothic" w:hAnsi="Verdana" w:cs="Century Gothic"/>
          <w:b/>
          <w:bCs/>
          <w:lang w:val="es-ES"/>
        </w:rPr>
      </w:pPr>
    </w:p>
    <w:bookmarkEnd w:id="2"/>
    <w:p w14:paraId="3DBDC5F0" w14:textId="77777777" w:rsidR="00493102" w:rsidRPr="00593A5F" w:rsidRDefault="00493102" w:rsidP="0049310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345F55E4" w14:textId="77777777" w:rsidR="00493102" w:rsidRPr="00593A5F" w:rsidRDefault="00493102" w:rsidP="00493102">
      <w:pPr>
        <w:spacing w:after="0" w:line="276" w:lineRule="auto"/>
        <w:jc w:val="both"/>
        <w:rPr>
          <w:rFonts w:ascii="Verdana" w:eastAsia="Calibri" w:hAnsi="Verdana" w:cs="Arial"/>
          <w:color w:val="7030A0"/>
          <w:lang w:val="es-ES"/>
        </w:rPr>
      </w:pPr>
    </w:p>
    <w:p w14:paraId="486ECD2A" w14:textId="77777777" w:rsidR="00493102" w:rsidRDefault="00493102" w:rsidP="00493102">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5DC1AD15" w14:textId="77777777" w:rsidR="00493102" w:rsidRDefault="00493102" w:rsidP="00493102">
      <w:pPr>
        <w:spacing w:after="0" w:line="276" w:lineRule="auto"/>
        <w:jc w:val="both"/>
        <w:rPr>
          <w:rFonts w:ascii="Verdana" w:eastAsia="Calibri" w:hAnsi="Verdana" w:cs="Arial"/>
          <w:lang w:val="es-ES"/>
        </w:rPr>
      </w:pPr>
    </w:p>
    <w:p w14:paraId="790589DC" w14:textId="77777777" w:rsidR="00A15597" w:rsidRDefault="00493102" w:rsidP="00546940">
      <w:pPr>
        <w:widowControl w:val="0"/>
        <w:tabs>
          <w:tab w:val="left" w:pos="728"/>
        </w:tabs>
        <w:autoSpaceDE w:val="0"/>
        <w:autoSpaceDN w:val="0"/>
        <w:spacing w:after="120" w:line="276" w:lineRule="auto"/>
        <w:jc w:val="both"/>
        <w:rPr>
          <w:rFonts w:ascii="Verdana" w:eastAsia="Calibri" w:hAnsi="Verdana" w:cs="Arial"/>
        </w:rPr>
      </w:pPr>
      <w:r>
        <w:rPr>
          <w:rFonts w:ascii="Verdana" w:eastAsia="Calibri" w:hAnsi="Verdana" w:cs="Arial"/>
        </w:rPr>
        <w:t xml:space="preserve">i. </w:t>
      </w:r>
      <w:r w:rsidRPr="00202E53">
        <w:rPr>
          <w:rFonts w:ascii="Verdana" w:eastAsia="Calibri" w:hAnsi="Verdana" w:cs="Arial"/>
        </w:rPr>
        <w:t>La Agencia al no ser un órgano judicial, ni una entidad de vigilancia, inspección o control en materia contractual, carece de la facultad para desempeñar estas funciones y por lo tanto el pronunciamiento por parte de esta entidad sobre su</w:t>
      </w:r>
      <w:r w:rsidR="00A83EDB">
        <w:rPr>
          <w:rFonts w:ascii="Verdana" w:eastAsia="Calibri" w:hAnsi="Verdana" w:cs="Arial"/>
        </w:rPr>
        <w:t>s</w:t>
      </w:r>
      <w:r w:rsidRPr="00202E53">
        <w:rPr>
          <w:rFonts w:ascii="Verdana" w:eastAsia="Calibri" w:hAnsi="Verdana" w:cs="Arial"/>
        </w:rPr>
        <w:t xml:space="preserve"> pregunta</w:t>
      </w:r>
      <w:r w:rsidR="00A83EDB">
        <w:rPr>
          <w:rFonts w:ascii="Verdana" w:eastAsia="Calibri" w:hAnsi="Verdana" w:cs="Arial"/>
        </w:rPr>
        <w:t xml:space="preserve">s relacionadas con las presuntas irregularidades </w:t>
      </w:r>
      <w:r w:rsidR="00A15597">
        <w:rPr>
          <w:rFonts w:ascii="Verdana" w:eastAsia="Calibri" w:hAnsi="Verdana" w:cs="Arial"/>
        </w:rPr>
        <w:t>en el cargue de información contractual por parte de una Entidad Pública</w:t>
      </w:r>
      <w:r w:rsidRPr="00202E53">
        <w:rPr>
          <w:rFonts w:ascii="Verdana" w:eastAsia="Calibri" w:hAnsi="Verdana" w:cs="Arial"/>
        </w:rPr>
        <w:t xml:space="preserve"> desborda nuestra competencia. </w:t>
      </w:r>
    </w:p>
    <w:p w14:paraId="6A19DCE3" w14:textId="73DBDE63" w:rsidR="00493102" w:rsidRPr="00F16D2E" w:rsidRDefault="00A15597" w:rsidP="005F2788">
      <w:pPr>
        <w:widowControl w:val="0"/>
        <w:tabs>
          <w:tab w:val="left" w:pos="728"/>
        </w:tabs>
        <w:autoSpaceDE w:val="0"/>
        <w:autoSpaceDN w:val="0"/>
        <w:spacing w:after="120" w:line="276" w:lineRule="auto"/>
        <w:jc w:val="both"/>
        <w:rPr>
          <w:rFonts w:ascii="Verdana" w:eastAsia="Arial" w:hAnsi="Verdana" w:cs="Arial"/>
          <w:lang w:val="es-ES"/>
        </w:rPr>
      </w:pPr>
      <w:r>
        <w:rPr>
          <w:rFonts w:ascii="Verdana" w:eastAsia="Calibri" w:hAnsi="Verdana" w:cs="Arial"/>
        </w:rPr>
        <w:tab/>
      </w:r>
      <w:r w:rsidR="00493102" w:rsidRPr="00202E53">
        <w:rPr>
          <w:rFonts w:ascii="Verdana" w:eastAsia="Calibri" w:hAnsi="Verdana" w:cs="Arial"/>
        </w:rPr>
        <w:t xml:space="preserve">No </w:t>
      </w:r>
      <w:proofErr w:type="gramStart"/>
      <w:r w:rsidR="00493102" w:rsidRPr="00202E53">
        <w:rPr>
          <w:rFonts w:ascii="Verdana" w:eastAsia="Calibri" w:hAnsi="Verdana" w:cs="Arial"/>
        </w:rPr>
        <w:t>obstante</w:t>
      </w:r>
      <w:proofErr w:type="gramEnd"/>
      <w:r>
        <w:rPr>
          <w:rFonts w:ascii="Verdana" w:eastAsia="Calibri" w:hAnsi="Verdana" w:cs="Arial"/>
        </w:rPr>
        <w:t xml:space="preserve"> lo anterior</w:t>
      </w:r>
      <w:r w:rsidR="00493102" w:rsidRPr="00202E53">
        <w:rPr>
          <w:rFonts w:ascii="Verdana" w:eastAsia="Calibri" w:hAnsi="Verdana" w:cs="Arial"/>
        </w:rPr>
        <w:t xml:space="preserve">, en el marco de la función consultiva orientada a resolver inquietudes sobre la aplicación de normas generales en materia de </w:t>
      </w:r>
      <w:r w:rsidR="00493102" w:rsidRPr="00202E53">
        <w:rPr>
          <w:rFonts w:ascii="Verdana" w:eastAsia="Calibri" w:hAnsi="Verdana" w:cs="Arial"/>
        </w:rPr>
        <w:lastRenderedPageBreak/>
        <w:t xml:space="preserve">compras y contratación pública, </w:t>
      </w:r>
      <w:r w:rsidR="001B26CC">
        <w:rPr>
          <w:rFonts w:ascii="Verdana" w:eastAsia="Calibri" w:hAnsi="Verdana" w:cs="Arial"/>
        </w:rPr>
        <w:t xml:space="preserve">se </w:t>
      </w:r>
      <w:r w:rsidR="00493102" w:rsidRPr="00202E53">
        <w:rPr>
          <w:rFonts w:ascii="Verdana" w:eastAsia="Calibri" w:hAnsi="Verdana" w:cs="Arial"/>
        </w:rPr>
        <w:t>abordará el problema jurídico planteado, para lo cual es pertinente destacar que el principio de publicidad impone a las autoridades administrativas el deber de dar a conocer sus actos, contratos y decisiones, para que se divulguen y</w:t>
      </w:r>
      <w:r w:rsidR="00730EF4">
        <w:rPr>
          <w:rFonts w:ascii="Verdana" w:eastAsia="Calibri" w:hAnsi="Verdana" w:cs="Arial"/>
        </w:rPr>
        <w:t>,</w:t>
      </w:r>
      <w:r w:rsidR="00493102" w:rsidRPr="00202E53">
        <w:rPr>
          <w:rFonts w:ascii="Verdana" w:eastAsia="Calibri" w:hAnsi="Verdana" w:cs="Arial"/>
        </w:rPr>
        <w:t xml:space="preserve"> eventualmente</w:t>
      </w:r>
      <w:r w:rsidR="00730EF4">
        <w:rPr>
          <w:rFonts w:ascii="Verdana" w:eastAsia="Calibri" w:hAnsi="Verdana" w:cs="Arial"/>
        </w:rPr>
        <w:t>,</w:t>
      </w:r>
      <w:r w:rsidR="00493102" w:rsidRPr="00202E53">
        <w:rPr>
          <w:rFonts w:ascii="Verdana" w:eastAsia="Calibri" w:hAnsi="Verdana" w:cs="Arial"/>
        </w:rPr>
        <w:t xml:space="preserve"> se controlen las actuaciones. </w:t>
      </w:r>
      <w:r w:rsidR="00316E8A">
        <w:rPr>
          <w:rFonts w:ascii="Verdana" w:eastAsia="Calibri" w:hAnsi="Verdana" w:cs="Arial"/>
        </w:rPr>
        <w:t>En materia de contratación estatal, e</w:t>
      </w:r>
      <w:r w:rsidR="00493102" w:rsidRPr="00202E53">
        <w:rPr>
          <w:rFonts w:ascii="Verdana" w:eastAsia="Calibri" w:hAnsi="Verdana" w:cs="Arial"/>
        </w:rPr>
        <w:t>l literal c) del artículo 3 de la Ley 1150 de 2007 dispone que el Sistema Electrónico para la Contratación Pública –SECOP– “contará con la información oficial de la contratación realizada con dineros públicos, para lo cual establecerá los patrones a que haya lugar y se encargará de su difusión a través de canales electrónicos”</w:t>
      </w:r>
      <w:r w:rsidR="000F6898" w:rsidRPr="000F6898">
        <w:rPr>
          <w:rFonts w:ascii="Verdana" w:eastAsia="Calibri" w:hAnsi="Verdana" w:cs="Arial"/>
          <w:vertAlign w:val="superscript"/>
          <w:lang w:val="es-ES_tradnl"/>
        </w:rPr>
        <w:t xml:space="preserve"> </w:t>
      </w:r>
      <w:r w:rsidR="000F6898" w:rsidRPr="004977A2">
        <w:rPr>
          <w:rFonts w:ascii="Verdana" w:eastAsia="Calibri" w:hAnsi="Verdana" w:cs="Arial"/>
          <w:vertAlign w:val="superscript"/>
          <w:lang w:val="es-ES_tradnl"/>
        </w:rPr>
        <w:footnoteReference w:id="4"/>
      </w:r>
      <w:r w:rsidR="00493102" w:rsidRPr="00202E53">
        <w:rPr>
          <w:rFonts w:ascii="Verdana" w:eastAsia="Calibri" w:hAnsi="Verdana" w:cs="Arial"/>
        </w:rPr>
        <w:t xml:space="preserve">. </w:t>
      </w:r>
    </w:p>
    <w:p w14:paraId="7D3BDDA2" w14:textId="54EF799E" w:rsidR="00493102" w:rsidRPr="00F16D2E" w:rsidRDefault="00493102" w:rsidP="00493102">
      <w:pPr>
        <w:widowControl w:val="0"/>
        <w:tabs>
          <w:tab w:val="left" w:pos="728"/>
        </w:tabs>
        <w:autoSpaceDE w:val="0"/>
        <w:autoSpaceDN w:val="0"/>
        <w:spacing w:after="120" w:line="276" w:lineRule="auto"/>
        <w:ind w:firstLine="709"/>
        <w:jc w:val="both"/>
        <w:rPr>
          <w:rFonts w:ascii="Verdana" w:eastAsia="Arial" w:hAnsi="Verdana" w:cs="Arial"/>
          <w:lang w:val="es-ES"/>
        </w:rPr>
      </w:pPr>
      <w:r w:rsidRPr="00F16D2E">
        <w:rPr>
          <w:rFonts w:ascii="Verdana" w:eastAsia="Arial" w:hAnsi="Verdana" w:cs="Arial"/>
          <w:lang w:val="es-ES"/>
        </w:rPr>
        <w:tab/>
        <w:t>De otra parte, la Ley 1712 de 2014</w:t>
      </w:r>
      <w:r w:rsidR="00D06287">
        <w:rPr>
          <w:rFonts w:ascii="Verdana" w:eastAsia="Arial" w:hAnsi="Verdana" w:cs="Arial"/>
          <w:lang w:val="es-ES"/>
        </w:rPr>
        <w:t xml:space="preserve"> </w:t>
      </w:r>
      <w:r w:rsidR="00D06287" w:rsidRPr="004977A2">
        <w:rPr>
          <w:rFonts w:ascii="Verdana" w:eastAsia="Calibri" w:hAnsi="Verdana" w:cs="Arial"/>
          <w:kern w:val="2"/>
          <w14:ligatures w14:val="standardContextual"/>
        </w:rPr>
        <w:t>–Ley estatutaria que regula la transparencia y el derecho de acceso a la información y a los documentos públicos–</w:t>
      </w:r>
      <w:r w:rsidRPr="00F16D2E">
        <w:rPr>
          <w:rFonts w:ascii="Verdana" w:eastAsia="Arial" w:hAnsi="Verdana" w:cs="Arial"/>
          <w:lang w:val="es-ES"/>
        </w:rPr>
        <w:t xml:space="preserve"> identifica como principios que orientan el acceso a la información pública el de máxima publicidad</w:t>
      </w:r>
      <w:r w:rsidR="00AB7835">
        <w:rPr>
          <w:rFonts w:ascii="Verdana" w:eastAsia="Arial" w:hAnsi="Verdana" w:cs="Arial"/>
          <w:lang w:val="es-ES"/>
        </w:rPr>
        <w:t>,</w:t>
      </w:r>
      <w:r w:rsidRPr="00F16D2E">
        <w:rPr>
          <w:rFonts w:ascii="Verdana" w:eastAsia="Arial" w:hAnsi="Verdana" w:cs="Arial"/>
          <w:lang w:val="es-ES"/>
        </w:rPr>
        <w:t xml:space="preserve"> el de transparencia en la información</w:t>
      </w:r>
      <w:r w:rsidR="00AB7835">
        <w:rPr>
          <w:rFonts w:ascii="Verdana" w:eastAsia="Arial" w:hAnsi="Verdana" w:cs="Arial"/>
          <w:lang w:val="es-ES"/>
        </w:rPr>
        <w:t xml:space="preserve"> y el de buena fe</w:t>
      </w:r>
      <w:r w:rsidRPr="00F16D2E">
        <w:rPr>
          <w:rFonts w:ascii="Verdana" w:eastAsia="Arial" w:hAnsi="Verdana" w:cs="Arial"/>
          <w:lang w:val="es-ES"/>
        </w:rPr>
        <w:t xml:space="preserve">. El primero establece que toda información en posesión, bajo control o custodia de un sujeto obligado es pública y no podrá ser reservada o limitada sino por disposición constitucional o legal. Por su parte, el segundo alude al deber de los sujetos de proporcionar y facilitar el acceso a la misma en los términos más amplios posibles, y a través de los medios y procedimientos que establezca la ley. </w:t>
      </w:r>
    </w:p>
    <w:p w14:paraId="7CB282A3" w14:textId="021993C5" w:rsidR="00493102" w:rsidRPr="00F16D2E" w:rsidRDefault="00493102" w:rsidP="00493102">
      <w:pPr>
        <w:widowControl w:val="0"/>
        <w:tabs>
          <w:tab w:val="left" w:pos="728"/>
        </w:tabs>
        <w:autoSpaceDE w:val="0"/>
        <w:autoSpaceDN w:val="0"/>
        <w:spacing w:after="120" w:line="276" w:lineRule="auto"/>
        <w:ind w:firstLine="709"/>
        <w:jc w:val="both"/>
        <w:rPr>
          <w:rFonts w:ascii="Verdana" w:eastAsia="Arial" w:hAnsi="Verdana" w:cs="Arial"/>
          <w:lang w:val="es-ES"/>
        </w:rPr>
      </w:pPr>
      <w:r w:rsidRPr="00F16D2E">
        <w:rPr>
          <w:rFonts w:ascii="Verdana" w:eastAsia="Arial" w:hAnsi="Verdana" w:cs="Arial"/>
          <w:lang w:val="es-ES"/>
        </w:rPr>
        <w:tab/>
        <w:t xml:space="preserve">La citada </w:t>
      </w:r>
      <w:r w:rsidR="0091381C" w:rsidRPr="00F16D2E">
        <w:rPr>
          <w:rFonts w:ascii="Verdana" w:eastAsia="Arial" w:hAnsi="Verdana" w:cs="Arial"/>
          <w:lang w:val="es-ES"/>
        </w:rPr>
        <w:t xml:space="preserve">Ley </w:t>
      </w:r>
      <w:r w:rsidRPr="00F16D2E">
        <w:rPr>
          <w:rFonts w:ascii="Verdana" w:eastAsia="Arial" w:hAnsi="Verdana" w:cs="Arial"/>
          <w:lang w:val="es-ES"/>
        </w:rPr>
        <w:t xml:space="preserve">dispone, en el literal </w:t>
      </w:r>
      <w:r>
        <w:rPr>
          <w:rFonts w:ascii="Verdana" w:eastAsia="Arial" w:hAnsi="Verdana" w:cs="Arial"/>
          <w:lang w:val="es-ES"/>
        </w:rPr>
        <w:t>a</w:t>
      </w:r>
      <w:r w:rsidRPr="00F16D2E">
        <w:rPr>
          <w:rFonts w:ascii="Verdana" w:eastAsia="Arial" w:hAnsi="Verdana" w:cs="Arial"/>
          <w:lang w:val="es-ES"/>
        </w:rPr>
        <w:t xml:space="preserve">) del artículo </w:t>
      </w:r>
      <w:r>
        <w:rPr>
          <w:rFonts w:ascii="Verdana" w:eastAsia="Arial" w:hAnsi="Verdana" w:cs="Arial"/>
          <w:lang w:val="es-ES"/>
        </w:rPr>
        <w:t>5</w:t>
      </w:r>
      <w:r w:rsidRPr="00F16D2E">
        <w:rPr>
          <w:rFonts w:ascii="Verdana" w:eastAsia="Arial" w:hAnsi="Verdana" w:cs="Arial"/>
          <w:lang w:val="es-ES"/>
        </w:rPr>
        <w:t>, que los sujetos obligados, que son todas las entidades públicas</w:t>
      </w:r>
      <w:r w:rsidRPr="00F16D2E">
        <w:rPr>
          <w:rFonts w:ascii="Verdana" w:eastAsia="Arial" w:hAnsi="Verdana" w:cs="Arial"/>
          <w:vertAlign w:val="superscript"/>
          <w:lang w:val="es-ES"/>
        </w:rPr>
        <w:footnoteReference w:id="5"/>
      </w:r>
      <w:r w:rsidRPr="00F16D2E">
        <w:rPr>
          <w:rFonts w:ascii="Verdana" w:eastAsia="Arial" w:hAnsi="Verdana" w:cs="Arial"/>
          <w:lang w:val="es-ES"/>
        </w:rPr>
        <w:t xml:space="preserve">, deben publicar la información relativa a su contratación. Esta obligación fue en principio desarrollada por el Decreto 103 de 2015, compilado en el Decreto 1081 de 2015, el cual dispuso que la publicación de la información contractual de los sujetos obligados, que </w:t>
      </w:r>
      <w:r w:rsidRPr="00F16D2E">
        <w:rPr>
          <w:rFonts w:ascii="Verdana" w:eastAsia="Arial" w:hAnsi="Verdana" w:cs="Arial"/>
          <w:lang w:val="es-ES"/>
        </w:rPr>
        <w:lastRenderedPageBreak/>
        <w:t>contratan con cargo a recursos públicos, debe hacerse en el Sistema Electrónico de Contratación Pública –SECOP–</w:t>
      </w:r>
      <w:r w:rsidRPr="00F16D2E">
        <w:rPr>
          <w:rFonts w:ascii="Verdana" w:eastAsia="Arial" w:hAnsi="Verdana" w:cs="Arial"/>
          <w:vertAlign w:val="superscript"/>
          <w:lang w:val="es-ES"/>
        </w:rPr>
        <w:footnoteReference w:id="6"/>
      </w:r>
      <w:r w:rsidRPr="00F16D2E">
        <w:rPr>
          <w:rFonts w:ascii="Verdana" w:eastAsia="Arial" w:hAnsi="Verdana" w:cs="Arial"/>
          <w:lang w:val="es-ES"/>
        </w:rPr>
        <w:t>.</w:t>
      </w:r>
    </w:p>
    <w:p w14:paraId="674AB1E8" w14:textId="77777777" w:rsidR="00493102" w:rsidRDefault="00493102" w:rsidP="00493102">
      <w:pPr>
        <w:widowControl w:val="0"/>
        <w:tabs>
          <w:tab w:val="left" w:pos="728"/>
        </w:tabs>
        <w:autoSpaceDE w:val="0"/>
        <w:autoSpaceDN w:val="0"/>
        <w:spacing w:after="120" w:line="276" w:lineRule="auto"/>
        <w:ind w:firstLine="726"/>
        <w:jc w:val="both"/>
        <w:rPr>
          <w:rFonts w:ascii="Verdana" w:eastAsia="Arial" w:hAnsi="Verdana" w:cs="Arial"/>
          <w:lang w:val="es-ES"/>
        </w:rPr>
      </w:pPr>
      <w:r w:rsidRPr="00F16D2E">
        <w:rPr>
          <w:rFonts w:ascii="Verdana" w:eastAsia="Arial" w:hAnsi="Verdana" w:cs="Arial"/>
          <w:lang w:val="es-ES"/>
        </w:rPr>
        <w:tab/>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3797F383" w14:textId="77777777" w:rsidR="00493102" w:rsidRPr="00F16D2E" w:rsidRDefault="00493102" w:rsidP="00493102">
      <w:pPr>
        <w:widowControl w:val="0"/>
        <w:tabs>
          <w:tab w:val="left" w:pos="728"/>
        </w:tabs>
        <w:autoSpaceDE w:val="0"/>
        <w:autoSpaceDN w:val="0"/>
        <w:spacing w:after="120" w:line="276" w:lineRule="auto"/>
        <w:ind w:firstLine="726"/>
        <w:jc w:val="both"/>
        <w:rPr>
          <w:rFonts w:ascii="Verdana" w:hAnsi="Verdana" w:cs="Arial"/>
          <w:lang w:val="es-ES"/>
        </w:rPr>
      </w:pPr>
      <w:r w:rsidRPr="00F16D2E">
        <w:rPr>
          <w:rFonts w:ascii="Verdana" w:eastAsia="Arial" w:hAnsi="Verdana" w:cs="Arial"/>
          <w:lang w:val="es-ES"/>
        </w:rPr>
        <w:tab/>
      </w:r>
      <w:r w:rsidRPr="00F16D2E">
        <w:rPr>
          <w:rFonts w:ascii="Verdana" w:hAnsi="Verdana" w:cs="Arial"/>
          <w:lang w:val="es-ES"/>
        </w:rPr>
        <w:t>El deber de publicidad que se desprende del artículo 3 de la Ley 1150 de 2007 está reglamentado por el artículo 2.2.1.1.1.7.1 del Decreto 1082 de 2015, el cual dispone los documentos que deben publicarse y al SECOP como medio de publicación</w:t>
      </w:r>
      <w:r w:rsidRPr="00F16D2E">
        <w:rPr>
          <w:rFonts w:ascii="Verdana" w:hAnsi="Verdana" w:cs="Arial"/>
          <w:vertAlign w:val="superscript"/>
          <w:lang w:val="es-ES"/>
        </w:rPr>
        <w:footnoteReference w:id="7"/>
      </w:r>
      <w:r w:rsidRPr="00F16D2E">
        <w:rPr>
          <w:rFonts w:ascii="Verdana" w:hAnsi="Verdana" w:cs="Arial"/>
          <w:lang w:val="es-ES"/>
        </w:rPr>
        <w:t>. De acuerdo con esto, las entidades deben cumplir con el principio de publicidad respecto de su actividad contractual como garantía para los administrados, para conocer las actuaciones y participar en el control de estas, siendo el SECOP la herramienta que dispuso el Estado para que las entidades cumplan el principio de publicidad.</w:t>
      </w:r>
    </w:p>
    <w:p w14:paraId="5B65C773" w14:textId="5A1EDB19" w:rsidR="00493102" w:rsidRDefault="00493102" w:rsidP="00493102">
      <w:pPr>
        <w:widowControl w:val="0"/>
        <w:tabs>
          <w:tab w:val="left" w:pos="728"/>
        </w:tabs>
        <w:autoSpaceDE w:val="0"/>
        <w:autoSpaceDN w:val="0"/>
        <w:spacing w:after="120" w:line="276" w:lineRule="auto"/>
        <w:ind w:firstLine="726"/>
        <w:jc w:val="both"/>
        <w:rPr>
          <w:rFonts w:ascii="Verdana" w:hAnsi="Verdana" w:cs="Arial"/>
          <w:lang w:val="es-ES"/>
        </w:rPr>
      </w:pPr>
      <w:r w:rsidRPr="00F16D2E">
        <w:rPr>
          <w:rFonts w:ascii="Verdana" w:hAnsi="Verdana" w:cs="Arial"/>
          <w:lang w:val="es-ES"/>
        </w:rPr>
        <w:tab/>
        <w:t>Ahora bien, las entidades estatales, conforme al artículo 2.2.1.1.1.7.1 del Decreto 1082 de 2015, tienen la obligación de publicar en el SECOP “[…] los Documentos del Proceso y los actos administrativos del Proceso de Contratación […]”. La expresión Documentos del Proceso está definida en el artículo 2.2.1.1.1.3.1</w:t>
      </w:r>
      <w:r w:rsidR="00D07277">
        <w:rPr>
          <w:rFonts w:ascii="Verdana" w:hAnsi="Verdana" w:cs="Arial"/>
          <w:lang w:val="es-ES"/>
        </w:rPr>
        <w:t>.</w:t>
      </w:r>
      <w:r w:rsidRPr="00F16D2E">
        <w:rPr>
          <w:rFonts w:ascii="Verdana" w:hAnsi="Verdana" w:cs="Arial"/>
          <w:lang w:val="es-ES"/>
        </w:rPr>
        <w:t xml:space="preserve">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6AA15EF7" w14:textId="77777777" w:rsidR="00493102" w:rsidRPr="00F16D2E" w:rsidRDefault="00493102" w:rsidP="00493102">
      <w:pPr>
        <w:widowControl w:val="0"/>
        <w:autoSpaceDE w:val="0"/>
        <w:autoSpaceDN w:val="0"/>
        <w:spacing w:after="120" w:line="276" w:lineRule="auto"/>
        <w:ind w:firstLine="726"/>
        <w:jc w:val="both"/>
        <w:rPr>
          <w:rFonts w:ascii="Verdana" w:eastAsia="Arial" w:hAnsi="Verdana" w:cs="Arial"/>
          <w:lang w:val="es-ES"/>
        </w:rPr>
      </w:pPr>
      <w:r w:rsidRPr="00F16D2E">
        <w:rPr>
          <w:rFonts w:ascii="Verdana" w:eastAsia="Arial" w:hAnsi="Verdana" w:cs="Arial"/>
          <w:lang w:val="es-ES"/>
        </w:rPr>
        <w:lastRenderedPageBreak/>
        <w:t xml:space="preserve">No obstante, para identificar los documentos que deben publicarse, es necesario realizar una interpretación sistemática de las disposiciones del Decreto 1082 del 2015, comoquiera que el anterior no es un listado taxativo, sino enunciativo. En efecto, además de los documentos enlistados, el artículo 2.2.1.1.1.3.1 </w:t>
      </w:r>
      <w:proofErr w:type="spellStart"/>
      <w:r w:rsidRPr="00F16D2E">
        <w:rPr>
          <w:rFonts w:ascii="Verdana" w:eastAsia="Arial" w:hAnsi="Verdana" w:cs="Arial"/>
          <w:i/>
          <w:iCs/>
          <w:lang w:val="es-ES"/>
        </w:rPr>
        <w:t>Ibídem</w:t>
      </w:r>
      <w:proofErr w:type="spellEnd"/>
      <w:r w:rsidRPr="00F16D2E">
        <w:rPr>
          <w:rFonts w:ascii="Verdana" w:eastAsia="Arial" w:hAnsi="Verdana" w:cs="Arial"/>
          <w:lang w:val="es-ES"/>
        </w:rPr>
        <w:t xml:space="preserve"> recoge en la noción de </w:t>
      </w:r>
      <w:r w:rsidRPr="00F16D2E">
        <w:rPr>
          <w:rFonts w:ascii="Verdana" w:eastAsia="Arial" w:hAnsi="Verdana" w:cs="Arial"/>
          <w:i/>
          <w:iCs/>
          <w:lang w:val="es-ES"/>
        </w:rPr>
        <w:t>Documentos del Proceso</w:t>
      </w:r>
      <w:r w:rsidRPr="00F16D2E">
        <w:rPr>
          <w:rFonts w:ascii="Verdana" w:eastAsia="Arial" w:hAnsi="Verdana" w:cs="Arial"/>
          <w:lang w:val="es-ES"/>
        </w:rPr>
        <w:t xml:space="preserve"> “cualquier otro documento expedido por la Entidad Estatal durante el </w:t>
      </w:r>
      <w:r w:rsidRPr="00F16D2E">
        <w:rPr>
          <w:rFonts w:ascii="Verdana" w:eastAsia="Arial" w:hAnsi="Verdana" w:cs="Arial"/>
          <w:i/>
          <w:iCs/>
          <w:lang w:val="es-ES"/>
        </w:rPr>
        <w:t>Proceso de Contratación”</w:t>
      </w:r>
      <w:r w:rsidRPr="00F16D2E">
        <w:rPr>
          <w:rFonts w:ascii="Verdana" w:eastAsia="Arial" w:hAnsi="Verdana" w:cs="Arial"/>
          <w:lang w:val="es-ES"/>
        </w:rPr>
        <w:t xml:space="preserve">. Este mismo artículo define la expresión </w:t>
      </w:r>
      <w:r w:rsidRPr="00F16D2E">
        <w:rPr>
          <w:rFonts w:ascii="Verdana" w:eastAsia="Arial" w:hAnsi="Verdana" w:cs="Arial"/>
          <w:i/>
          <w:iCs/>
          <w:lang w:val="es-ES"/>
        </w:rPr>
        <w:t>Proceso de Contratación</w:t>
      </w:r>
      <w:r w:rsidRPr="00F16D2E">
        <w:rPr>
          <w:rFonts w:ascii="Verdana" w:eastAsia="Arial" w:hAnsi="Verdana" w:cs="Arial"/>
          <w:lang w:val="es-ES"/>
        </w:rPr>
        <w:t xml:space="preserve">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4BC521EA" w14:textId="2A46993A" w:rsidR="00493102" w:rsidRDefault="00493102" w:rsidP="00493102">
      <w:pPr>
        <w:widowControl w:val="0"/>
        <w:autoSpaceDE w:val="0"/>
        <w:autoSpaceDN w:val="0"/>
        <w:spacing w:after="120" w:line="276" w:lineRule="auto"/>
        <w:ind w:firstLine="726"/>
        <w:jc w:val="both"/>
        <w:rPr>
          <w:rFonts w:ascii="Verdana" w:eastAsia="Arial" w:hAnsi="Verdana" w:cs="Arial"/>
          <w:lang w:val="es-ES"/>
        </w:rPr>
      </w:pPr>
      <w:r w:rsidRPr="00F16D2E">
        <w:rPr>
          <w:rFonts w:ascii="Verdana" w:eastAsia="Arial" w:hAnsi="Verdana" w:cs="Arial"/>
          <w:lang w:val="es-ES"/>
        </w:rPr>
        <w:t xml:space="preserve">En todo caso, de conformidad con la segunda parte del inciso primero del artículo 2.2.1.1.1.7.1 </w:t>
      </w:r>
      <w:r w:rsidRPr="00F16D2E">
        <w:rPr>
          <w:rFonts w:ascii="Verdana" w:eastAsia="Arial" w:hAnsi="Verdana" w:cs="Arial"/>
          <w:i/>
          <w:iCs/>
          <w:lang w:val="es-ES"/>
        </w:rPr>
        <w:t>Ibidem</w:t>
      </w:r>
      <w:r w:rsidRPr="00F16D2E">
        <w:rPr>
          <w:rFonts w:ascii="Verdana" w:eastAsia="Arial" w:hAnsi="Verdana" w:cs="Arial"/>
          <w:lang w:val="es-ES"/>
        </w:rPr>
        <w:t>, el deber de publicar las actuaciones realizadas en el marco del proceso de contratación, en lo referente a las ofertas presentadas, solo se predica de la propuesta del adjudicatario, así que no es necesario publicar las demás. Del deber de publicidad, de conformidad con la tercera parte del inciso primero de la referida norma, también se encuentran exentos los documentos de las operaciones que se realicen en bolsa de productos.</w:t>
      </w:r>
    </w:p>
    <w:p w14:paraId="64B2F555" w14:textId="25248635" w:rsidR="00493102" w:rsidRPr="00F16D2E" w:rsidRDefault="00493102" w:rsidP="00493102">
      <w:pPr>
        <w:widowControl w:val="0"/>
        <w:autoSpaceDE w:val="0"/>
        <w:autoSpaceDN w:val="0"/>
        <w:spacing w:after="120" w:line="276" w:lineRule="auto"/>
        <w:ind w:firstLine="726"/>
        <w:jc w:val="both"/>
        <w:rPr>
          <w:rFonts w:ascii="Verdana" w:eastAsia="Arial" w:hAnsi="Verdana" w:cs="Arial"/>
          <w:lang w:val="es-ES"/>
        </w:rPr>
      </w:pPr>
      <w:r w:rsidRPr="00F16D2E">
        <w:rPr>
          <w:rFonts w:ascii="Verdana" w:eastAsia="Arial" w:hAnsi="Verdana" w:cs="Arial"/>
          <w:lang w:val="es-ES"/>
        </w:rPr>
        <w:t xml:space="preserve">De lo anterior puede concluirse que, en virtud de lo dispuesto en el artículo 3 de la Ley 1150 de 2007, desarrollado por el artículo 2.2.1.1.1.7.1. del Decreto 1082 de 2015, las entidades están obligadas a publicar en el SECOP todos los documentos relacionados con el </w:t>
      </w:r>
      <w:r w:rsidRPr="00F16D2E">
        <w:rPr>
          <w:rFonts w:ascii="Verdana" w:eastAsia="Arial" w:hAnsi="Verdana" w:cs="Arial"/>
          <w:i/>
          <w:iCs/>
          <w:lang w:val="es-ES"/>
        </w:rPr>
        <w:t>Proceso de Contratación</w:t>
      </w:r>
      <w:r w:rsidRPr="00F16D2E">
        <w:rPr>
          <w:rFonts w:ascii="Verdana" w:eastAsia="Arial" w:hAnsi="Verdana" w:cs="Arial"/>
          <w:lang w:val="es-ES"/>
        </w:rPr>
        <w:t xml:space="preserve"> expedidos durante las etapas precontractual, de ejecución y </w:t>
      </w:r>
      <w:proofErr w:type="spellStart"/>
      <w:r w:rsidRPr="00F16D2E">
        <w:rPr>
          <w:rFonts w:ascii="Verdana" w:eastAsia="Arial" w:hAnsi="Verdana" w:cs="Arial"/>
          <w:lang w:val="es-ES"/>
        </w:rPr>
        <w:t>postcontractual</w:t>
      </w:r>
      <w:proofErr w:type="spellEnd"/>
      <w:r w:rsidRPr="00F16D2E">
        <w:rPr>
          <w:rFonts w:ascii="Verdana" w:eastAsia="Arial" w:hAnsi="Verdana" w:cs="Arial"/>
          <w:lang w:val="es-ES"/>
        </w:rPr>
        <w:t>. Este deber aplica a todas las modalidades de selección y entidades regidas por el Estatuto General de Contratación de la Administración Pública,</w:t>
      </w:r>
      <w:r w:rsidR="00832B38">
        <w:rPr>
          <w:rFonts w:ascii="Verdana" w:eastAsia="Arial" w:hAnsi="Verdana" w:cs="Arial"/>
          <w:lang w:val="es-ES"/>
        </w:rPr>
        <w:t xml:space="preserve"> así como las exceptuadas de este,</w:t>
      </w:r>
      <w:r w:rsidRPr="00F16D2E">
        <w:rPr>
          <w:rFonts w:ascii="Verdana" w:eastAsia="Arial" w:hAnsi="Verdana" w:cs="Arial"/>
          <w:lang w:val="es-ES"/>
        </w:rPr>
        <w:t xml:space="preserve"> y solo se encuentran excluidas las ofertas perdedoras y los documentos expedidos en el marco de operaciones de bolsa de productos. </w:t>
      </w:r>
    </w:p>
    <w:p w14:paraId="407AAA3A" w14:textId="77777777" w:rsidR="00493102" w:rsidRDefault="00493102" w:rsidP="00493102">
      <w:pPr>
        <w:spacing w:before="120" w:after="120" w:line="276" w:lineRule="auto"/>
        <w:ind w:firstLine="726"/>
        <w:jc w:val="both"/>
        <w:rPr>
          <w:rFonts w:ascii="Verdana" w:eastAsia="Arial" w:hAnsi="Verdana" w:cs="Arial"/>
          <w:lang w:val="es-ES"/>
        </w:rPr>
      </w:pPr>
      <w:r w:rsidRPr="00F16D2E">
        <w:rPr>
          <w:rFonts w:ascii="Verdana" w:eastAsia="Calibri" w:hAnsi="Verdana" w:cs="Arial"/>
          <w:lang w:val="es-ES"/>
        </w:rPr>
        <w:t xml:space="preserve">Adicionalmente, el deber de publicar la actividad contractual de las entidades estatales no solo está regulado en el artículo 3 de la Ley 1150 de 2007 y en el </w:t>
      </w:r>
      <w:r w:rsidRPr="00F16D2E">
        <w:rPr>
          <w:rFonts w:ascii="Verdana" w:eastAsia="Arial" w:hAnsi="Verdana" w:cs="Arial"/>
          <w:lang w:val="es-ES"/>
        </w:rPr>
        <w:t xml:space="preserve">artículo 2.2.1.1.1.7.1 del Decreto 1082 de 2015, sino también en la Ley 1712 de 2014 y en el Decreto 1081 de 2015. Estas normas no solo refuerzan y complementan al régimen de contratación estatal en cuanto a la publicidad, sino que lo amplía, para incluir la publicación de los “procedimientos” y la información relativa a la “gestión contractual”, sin el condicionamiento de tratarse </w:t>
      </w:r>
      <w:r w:rsidRPr="00F16D2E">
        <w:rPr>
          <w:rFonts w:ascii="Verdana" w:eastAsia="Arial" w:hAnsi="Verdana" w:cs="Arial"/>
          <w:lang w:val="es-ES"/>
        </w:rPr>
        <w:lastRenderedPageBreak/>
        <w:t xml:space="preserve">exclusivamente de los </w:t>
      </w:r>
      <w:r w:rsidRPr="00F16D2E">
        <w:rPr>
          <w:rFonts w:ascii="Verdana" w:eastAsia="Arial" w:hAnsi="Verdana" w:cs="Arial"/>
          <w:i/>
          <w:iCs/>
          <w:lang w:val="es-ES"/>
        </w:rPr>
        <w:t xml:space="preserve">Documentos del Proceso </w:t>
      </w:r>
      <w:r w:rsidRPr="00F16D2E">
        <w:rPr>
          <w:rFonts w:ascii="Verdana" w:eastAsia="Arial" w:hAnsi="Verdana" w:cs="Arial"/>
          <w:lang w:val="es-ES"/>
        </w:rPr>
        <w:t xml:space="preserve">expedidos por la “entidad estatal”. </w:t>
      </w:r>
    </w:p>
    <w:p w14:paraId="3CE13F93" w14:textId="77777777" w:rsidR="00493102" w:rsidRPr="00FD46A9" w:rsidRDefault="00493102" w:rsidP="00493102">
      <w:pPr>
        <w:spacing w:before="120" w:after="120" w:line="276" w:lineRule="auto"/>
        <w:ind w:firstLine="726"/>
        <w:jc w:val="both"/>
        <w:rPr>
          <w:rFonts w:ascii="Verdana" w:eastAsia="Calibri" w:hAnsi="Verdana" w:cs="Arial"/>
          <w:lang w:val="es-ES"/>
        </w:rPr>
      </w:pPr>
      <w:r w:rsidRPr="00FD46A9">
        <w:rPr>
          <w:rFonts w:ascii="Verdana" w:eastAsia="Arial" w:hAnsi="Verdana" w:cs="Arial"/>
          <w:lang w:val="es-ES"/>
        </w:rPr>
        <w:t>Esta obligación, está reglamentada en el Decreto 1081 de 2015. Este señala, en el artículo 2.1.1.2.1.7, que las entidades deberán publicar en el SECOP la información de su gestión contractual</w:t>
      </w:r>
      <w:r w:rsidRPr="00FD46A9">
        <w:rPr>
          <w:rFonts w:ascii="Verdana" w:eastAsia="Arial" w:hAnsi="Verdana" w:cs="Arial"/>
          <w:vertAlign w:val="superscript"/>
          <w:lang w:val="es-ES"/>
        </w:rPr>
        <w:footnoteReference w:id="8"/>
      </w:r>
      <w:r w:rsidRPr="00FD46A9">
        <w:rPr>
          <w:rFonts w:ascii="Verdana" w:eastAsia="Arial" w:hAnsi="Verdana" w:cs="Arial"/>
          <w:lang w:val="es-ES"/>
        </w:rPr>
        <w:t xml:space="preserve">. Por su parte, </w:t>
      </w:r>
      <w:r w:rsidRPr="00FD46A9">
        <w:rPr>
          <w:rFonts w:ascii="Verdana" w:eastAsia="Calibri" w:hAnsi="Verdana" w:cs="Arial"/>
          <w:lang w:val="es-ES"/>
        </w:rPr>
        <w:t>el artículo 2.1.1.2.1.8, establece los efectos de la obligación contenida en el literal g) del artículo 11 de la Ley 1712 de 2014, en relación con los documentos producidos durante la ejecución del contrato, señalando que se deben publicar las aprobaciones, autorizaciones, requerimientos o informes del supervisor o interventor, que prueben la ejecución del contrato</w:t>
      </w:r>
      <w:r w:rsidRPr="00FD46A9">
        <w:rPr>
          <w:rFonts w:ascii="Verdana" w:eastAsia="Calibri" w:hAnsi="Verdana" w:cs="Arial"/>
          <w:vertAlign w:val="superscript"/>
          <w:lang w:val="es-ES"/>
        </w:rPr>
        <w:footnoteReference w:id="9"/>
      </w:r>
      <w:r w:rsidRPr="00FD46A9">
        <w:rPr>
          <w:rFonts w:ascii="Verdana" w:eastAsia="Calibri" w:hAnsi="Verdana" w:cs="Arial"/>
          <w:lang w:val="es-ES"/>
        </w:rPr>
        <w:t>.</w:t>
      </w:r>
    </w:p>
    <w:p w14:paraId="2850AF57" w14:textId="77777777" w:rsidR="00493102" w:rsidRDefault="00493102" w:rsidP="00493102">
      <w:pPr>
        <w:spacing w:before="120" w:after="120" w:line="276" w:lineRule="auto"/>
        <w:ind w:firstLine="726"/>
        <w:jc w:val="both"/>
        <w:rPr>
          <w:rFonts w:ascii="Verdana" w:eastAsia="Arial" w:hAnsi="Verdana" w:cs="Arial"/>
          <w:lang w:val="es-ES"/>
        </w:rPr>
      </w:pPr>
      <w:r w:rsidRPr="00F16D2E">
        <w:rPr>
          <w:rFonts w:ascii="Verdana" w:eastAsia="Arial" w:hAnsi="Verdana" w:cs="Arial"/>
          <w:lang w:val="es-ES"/>
        </w:rPr>
        <w:t xml:space="preserve">Es necesario tener en cuenta que la Ley de Transparencia define el concepto de información pública. Por un lado, el literal a) del artículo 6 de la Ley 1712 de 2014 dispone que la </w:t>
      </w:r>
      <w:r w:rsidRPr="00F16D2E">
        <w:rPr>
          <w:rFonts w:ascii="Verdana" w:eastAsia="Arial" w:hAnsi="Verdana" w:cs="Arial"/>
          <w:i/>
          <w:iCs/>
          <w:lang w:val="es-ES"/>
        </w:rPr>
        <w:t>información</w:t>
      </w:r>
      <w:r w:rsidRPr="00F16D2E">
        <w:rPr>
          <w:rFonts w:ascii="Verdana" w:eastAsia="Arial" w:hAnsi="Verdana" w:cs="Arial"/>
          <w:lang w:val="es-ES"/>
        </w:rPr>
        <w:t xml:space="preserve"> se “Se refiere a un conjunto organizado de datos contenido en cualquier documento que los sujetos obligados generen, obtengan, adquieran, transformen o controlen”. Además, el literal b) </w:t>
      </w:r>
      <w:r w:rsidRPr="00F16D2E">
        <w:rPr>
          <w:rFonts w:ascii="Verdana" w:eastAsia="Arial" w:hAnsi="Verdana" w:cs="Arial"/>
          <w:i/>
          <w:iCs/>
          <w:lang w:val="es-ES"/>
        </w:rPr>
        <w:t>ibidem</w:t>
      </w:r>
      <w:r w:rsidRPr="00F16D2E">
        <w:rPr>
          <w:rFonts w:ascii="Verdana" w:eastAsia="Arial" w:hAnsi="Verdana" w:cs="Arial"/>
          <w:lang w:val="es-ES"/>
        </w:rPr>
        <w:t xml:space="preserve"> define la </w:t>
      </w:r>
      <w:r w:rsidRPr="00F16D2E">
        <w:rPr>
          <w:rFonts w:ascii="Verdana" w:eastAsia="Arial" w:hAnsi="Verdana" w:cs="Arial"/>
          <w:i/>
          <w:iCs/>
          <w:lang w:val="es-ES"/>
        </w:rPr>
        <w:t>información pública</w:t>
      </w:r>
      <w:r w:rsidRPr="00F16D2E">
        <w:rPr>
          <w:rFonts w:ascii="Verdana" w:eastAsia="Arial" w:hAnsi="Verdana" w:cs="Arial"/>
          <w:lang w:val="es-ES"/>
        </w:rPr>
        <w:t xml:space="preserve"> como “[…] toda información que un sujeto obligado </w:t>
      </w:r>
      <w:proofErr w:type="gramStart"/>
      <w:r w:rsidRPr="00F16D2E">
        <w:rPr>
          <w:rFonts w:ascii="Verdana" w:eastAsia="Arial" w:hAnsi="Verdana" w:cs="Arial"/>
          <w:lang w:val="es-ES"/>
        </w:rPr>
        <w:t>genere,</w:t>
      </w:r>
      <w:proofErr w:type="gramEnd"/>
      <w:r w:rsidRPr="00F16D2E">
        <w:rPr>
          <w:rFonts w:ascii="Verdana" w:eastAsia="Arial" w:hAnsi="Verdana" w:cs="Arial"/>
          <w:lang w:val="es-ES"/>
        </w:rPr>
        <w:t xml:space="preserve"> obtenga, adquiera, o controle en su calidad de tal”.</w:t>
      </w:r>
    </w:p>
    <w:p w14:paraId="3A635447" w14:textId="77777777" w:rsidR="00493102" w:rsidRPr="00F16D2E" w:rsidRDefault="00493102" w:rsidP="00493102">
      <w:pPr>
        <w:spacing w:before="120" w:after="120" w:line="276" w:lineRule="auto"/>
        <w:ind w:firstLine="726"/>
        <w:jc w:val="both"/>
        <w:rPr>
          <w:rFonts w:ascii="Verdana" w:eastAsia="Calibri" w:hAnsi="Verdana" w:cs="Arial"/>
          <w:lang w:val="es-ES"/>
        </w:rPr>
      </w:pPr>
      <w:r w:rsidRPr="00F16D2E">
        <w:rPr>
          <w:rFonts w:ascii="Verdana" w:eastAsia="Calibri" w:hAnsi="Verdana" w:cs="Arial"/>
          <w:lang w:val="es-ES"/>
        </w:rPr>
        <w:t xml:space="preserve">Las publicaciones que corresponde efectuar a las entidades estatales, como sujetos obligados por la normativa de la transparencia y acceso a la información pública, antes que una derogación o subrogación del contenido del deber de publicidad regulado por el EGCAP, suponen una ampliación de su alcance, que lo extiende de la simple publicación de la información “producida por la entidad estatal” asociada a la noción de </w:t>
      </w:r>
      <w:r w:rsidRPr="00F16D2E">
        <w:rPr>
          <w:rFonts w:ascii="Verdana" w:eastAsia="Calibri" w:hAnsi="Verdana" w:cs="Arial"/>
          <w:i/>
          <w:iCs/>
          <w:lang w:val="es-ES"/>
        </w:rPr>
        <w:t>Documentos del Proceso</w:t>
      </w:r>
      <w:r w:rsidRPr="00F16D2E">
        <w:rPr>
          <w:rFonts w:ascii="Verdana" w:eastAsia="Calibri" w:hAnsi="Verdana" w:cs="Arial"/>
          <w:lang w:val="es-ES"/>
        </w:rPr>
        <w:t xml:space="preserve">. Esto implica que la publicación que corresponde a las entidades estatales, como sujetos obligados en el marco de la Ley 1712 de 2014, se extiende a todo el desarrollo del procedimiento, desde la etapa de planeación hasta el vencimiento de las garantías, incluyendo cada actuación que se produzca en ese lapso.  </w:t>
      </w:r>
    </w:p>
    <w:p w14:paraId="0FA50010" w14:textId="71710370" w:rsidR="00493102" w:rsidRDefault="00493102" w:rsidP="005F2788">
      <w:pPr>
        <w:spacing w:after="120" w:line="276" w:lineRule="auto"/>
        <w:ind w:firstLine="726"/>
        <w:jc w:val="both"/>
        <w:rPr>
          <w:rFonts w:ascii="Verdana" w:eastAsia="Calibri" w:hAnsi="Verdana" w:cs="Arial"/>
          <w:lang w:val="es-ES"/>
        </w:rPr>
      </w:pPr>
      <w:r w:rsidRPr="14FCC0CC">
        <w:rPr>
          <w:rFonts w:ascii="Verdana" w:eastAsia="Calibri" w:hAnsi="Verdana" w:cs="Arial"/>
          <w:lang w:val="es-ES"/>
        </w:rPr>
        <w:lastRenderedPageBreak/>
        <w:t xml:space="preserve">En cuanto a los documentos que deben publicarse en el SECOP II, la norma citada hace referencia a los documentos relacionados con su </w:t>
      </w:r>
      <w:r w:rsidRPr="14FCC0CC">
        <w:rPr>
          <w:rFonts w:ascii="Verdana" w:eastAsia="Calibri" w:hAnsi="Verdana" w:cs="Arial"/>
          <w:i/>
          <w:iCs/>
          <w:lang w:val="es-ES"/>
        </w:rPr>
        <w:t>actividad contractual,</w:t>
      </w:r>
      <w:r w:rsidRPr="14FCC0CC">
        <w:rPr>
          <w:rFonts w:ascii="Verdana" w:eastAsia="Calibri" w:hAnsi="Verdana" w:cs="Arial"/>
          <w:lang w:val="es-ES"/>
        </w:rPr>
        <w:t xml:space="preserve"> es decir, “[…] los documentos, contratos, actos e información generada por oferentes, contratista, contratante, supervisor o interventor, tanto en la etapa precontractual, como en la contractual y la </w:t>
      </w:r>
      <w:proofErr w:type="spellStart"/>
      <w:r w:rsidRPr="14FCC0CC">
        <w:rPr>
          <w:rFonts w:ascii="Verdana" w:eastAsia="Calibri" w:hAnsi="Verdana" w:cs="Arial"/>
          <w:lang w:val="es-ES"/>
        </w:rPr>
        <w:t>postcontractual</w:t>
      </w:r>
      <w:proofErr w:type="spellEnd"/>
      <w:r w:rsidRPr="14FCC0CC">
        <w:rPr>
          <w:rFonts w:ascii="Verdana" w:eastAsia="Calibri" w:hAnsi="Verdana" w:cs="Arial"/>
          <w:lang w:val="es-ES"/>
        </w:rPr>
        <w:t xml:space="preserve">”. </w:t>
      </w:r>
      <w:bookmarkStart w:id="3" w:name="_Hlk114572097"/>
      <w:bookmarkStart w:id="4" w:name="_Hlk112856043"/>
      <w:bookmarkStart w:id="5" w:name="_Hlk112245356"/>
    </w:p>
    <w:bookmarkEnd w:id="3"/>
    <w:bookmarkEnd w:id="4"/>
    <w:bookmarkEnd w:id="5"/>
    <w:p w14:paraId="38F03F82" w14:textId="0A6A6295" w:rsidR="00493102" w:rsidRPr="00F95B1D" w:rsidRDefault="00493102" w:rsidP="00493102">
      <w:pPr>
        <w:spacing w:after="120" w:line="276" w:lineRule="auto"/>
        <w:ind w:firstLine="726"/>
        <w:jc w:val="both"/>
        <w:rPr>
          <w:rFonts w:ascii="Verdana" w:eastAsia="Calibri" w:hAnsi="Verdana" w:cs="Arial"/>
          <w:lang w:val="es-ES_tradnl"/>
        </w:rPr>
      </w:pPr>
      <w:r>
        <w:rPr>
          <w:rFonts w:ascii="Verdana" w:eastAsia="Calibri" w:hAnsi="Verdana" w:cs="Arial"/>
          <w:color w:val="000000" w:themeColor="text1"/>
          <w:lang w:val="es-ES"/>
        </w:rPr>
        <w:t>El</w:t>
      </w:r>
      <w:r w:rsidRPr="00F95B1D">
        <w:rPr>
          <w:rFonts w:ascii="Verdana" w:eastAsia="Calibri" w:hAnsi="Verdana" w:cs="Arial"/>
          <w:lang w:val="es-ES_tradnl"/>
        </w:rPr>
        <w:t xml:space="preserve"> artículo 3 de la Ley 1150 de 2007 crea el Sistema Electrónico para la Contratación Pública, el cual –de conformidad con el artículo 3.8 del Decreto 4170 de 2011– es administrado por esta Agencia. Esta plataforma no solo es un canal de publicidad de la gestión contractual de las entidades públicas, pues también es un medio transaccional para la suscripción de contratos electrónicos. A estas dos (2) facetas del SECOP se refiere la citada </w:t>
      </w:r>
      <w:r w:rsidR="004F0D8F" w:rsidRPr="00F95B1D">
        <w:rPr>
          <w:rFonts w:ascii="Verdana" w:eastAsia="Calibri" w:hAnsi="Verdana" w:cs="Arial"/>
          <w:lang w:val="es-ES_tradnl"/>
        </w:rPr>
        <w:t xml:space="preserve">ley </w:t>
      </w:r>
      <w:r w:rsidRPr="00F95B1D">
        <w:rPr>
          <w:rFonts w:ascii="Verdana" w:eastAsia="Calibri" w:hAnsi="Verdana" w:cs="Arial"/>
          <w:lang w:val="es-ES_tradnl"/>
        </w:rPr>
        <w:t xml:space="preserve">cuando dispone, respectivamente, que “De conformidad con lo dispuesto en la Ley 527 de 1999, […] la expedición de los […] contratos y en general los actos derivados de la actividad precontractual y contractual, podrán tener lugar por medios electrónicos” y que “Contará con la información oficial de la contratación realizada con dineros públicos, para lo cual establecerá los patrones a que haya lugar y se encargará de su difusión a través de canales electrónicos”. </w:t>
      </w:r>
    </w:p>
    <w:p w14:paraId="73C12734" w14:textId="1043E318" w:rsidR="00493102" w:rsidRPr="00F95B1D" w:rsidRDefault="00493102" w:rsidP="00493102">
      <w:pPr>
        <w:spacing w:before="120" w:after="120" w:line="276" w:lineRule="auto"/>
        <w:ind w:firstLine="726"/>
        <w:jc w:val="both"/>
        <w:rPr>
          <w:rFonts w:ascii="Verdana" w:eastAsia="Calibri" w:hAnsi="Verdana" w:cs="Arial"/>
          <w:bCs/>
          <w:color w:val="000000" w:themeColor="text1"/>
          <w:lang w:val="es-ES_tradnl"/>
        </w:rPr>
      </w:pPr>
      <w:r w:rsidRPr="00F95B1D">
        <w:rPr>
          <w:rFonts w:ascii="Verdana" w:eastAsia="Calibri" w:hAnsi="Verdana" w:cs="Arial"/>
          <w:lang w:val="es-ES_tradnl"/>
        </w:rPr>
        <w:t>El numeral 1.2</w:t>
      </w:r>
      <w:r w:rsidR="007663D4">
        <w:rPr>
          <w:rFonts w:ascii="Verdana" w:eastAsia="Calibri" w:hAnsi="Verdana" w:cs="Arial"/>
          <w:lang w:val="es-ES_tradnl"/>
        </w:rPr>
        <w:t>.</w:t>
      </w:r>
      <w:r w:rsidRPr="00F95B1D">
        <w:rPr>
          <w:rFonts w:ascii="Verdana" w:eastAsia="Calibri" w:hAnsi="Verdana" w:cs="Arial"/>
          <w:lang w:val="es-ES_tradnl"/>
        </w:rPr>
        <w:t xml:space="preserve"> </w:t>
      </w:r>
      <w:r w:rsidRPr="00F95B1D">
        <w:rPr>
          <w:rFonts w:ascii="Verdana" w:eastAsia="Calibri" w:hAnsi="Verdana" w:cs="Arial"/>
        </w:rPr>
        <w:t>de la Circular Externa Única de la Agencia Nacional de Contratación Pública – Colombia Compra Eficiente dispone que el Sistema Electrónico para la Contratación Pública</w:t>
      </w:r>
      <w:r w:rsidRPr="00F95B1D">
        <w:rPr>
          <w:rFonts w:ascii="Verdana" w:eastAsia="Calibri" w:hAnsi="Verdana" w:cs="Arial"/>
          <w:lang w:val="es-ES_tradnl"/>
        </w:rPr>
        <w:t xml:space="preserve"> está compuesto por el SECOP I, el SECOP II y la Tienda Virtual del Estado Colombiano. </w:t>
      </w:r>
      <w:r>
        <w:rPr>
          <w:rFonts w:ascii="Verdana" w:eastAsia="Calibri" w:hAnsi="Verdana" w:cs="Arial"/>
          <w:lang w:val="es-ES_tradnl"/>
        </w:rPr>
        <w:t>El</w:t>
      </w:r>
      <w:r w:rsidRPr="00F95B1D">
        <w:rPr>
          <w:rFonts w:ascii="Verdana" w:eastAsia="Calibri" w:hAnsi="Verdana" w:cs="Arial"/>
          <w:bCs/>
          <w:color w:val="000000" w:themeColor="text1"/>
          <w:lang w:val="es-ES_tradnl"/>
        </w:rPr>
        <w:t xml:space="preserve"> SECOP I solo funciona como medio de publicidad, es decir, no tiene carácter transaccional. Esto significa que el procedimiento contractual se adelanta fuera de la plataforma a través de un expediente físico. No obstante, las actuaciones y los documentos se convierten en electrónicos para cargarse posteriormente a la plataforma por quien tenga la función dentro de la entidad. </w:t>
      </w:r>
    </w:p>
    <w:p w14:paraId="5409F2F2" w14:textId="77777777" w:rsidR="00493102" w:rsidRDefault="00493102" w:rsidP="00493102">
      <w:pPr>
        <w:spacing w:after="120" w:line="276" w:lineRule="auto"/>
        <w:ind w:firstLine="726"/>
        <w:jc w:val="both"/>
        <w:rPr>
          <w:rFonts w:ascii="Verdana" w:eastAsia="Calibri" w:hAnsi="Verdana" w:cs="Arial"/>
          <w:color w:val="000000" w:themeColor="text1"/>
          <w:lang w:val="es-ES"/>
        </w:rPr>
      </w:pPr>
      <w:r w:rsidRPr="7EF3A662">
        <w:rPr>
          <w:rFonts w:ascii="Verdana" w:eastAsia="Calibri" w:hAnsi="Verdana" w:cs="Arial"/>
          <w:color w:val="000000" w:themeColor="text1"/>
          <w:lang w:val="es-ES"/>
        </w:rPr>
        <w:t>En contraste, el SECOP II permite generar contratos en línea y realizar la firma electrónica de los mismos. Tiene funciones que permiten al proveedor presentar garantías y facturas; y a la entidad estatal, realizar la revisión y aprobación de ambos tipos de documentos en línea. Además, el módulo permite hacer modificaciones contractuales, tanto unilaterales como bilaterales –estas últimas son enviadas para aprobación del proveedor antes de la publicación por parte de la entidad estatal–.</w:t>
      </w:r>
    </w:p>
    <w:p w14:paraId="1CBA0DE6" w14:textId="6F48D289" w:rsidR="00493102" w:rsidRPr="004678E2" w:rsidRDefault="00493102" w:rsidP="00493102">
      <w:pPr>
        <w:spacing w:after="120" w:line="276" w:lineRule="auto"/>
        <w:ind w:firstLine="726"/>
        <w:jc w:val="both"/>
        <w:rPr>
          <w:rFonts w:ascii="Verdana" w:eastAsia="Calibri" w:hAnsi="Verdana" w:cs="Arial"/>
          <w:bCs/>
          <w:color w:val="000000" w:themeColor="text1"/>
          <w:lang w:val="es-ES_tradnl"/>
        </w:rPr>
      </w:pPr>
      <w:r w:rsidRPr="004678E2">
        <w:rPr>
          <w:rFonts w:ascii="Verdana" w:eastAsia="Calibri" w:hAnsi="Verdana" w:cs="Arial"/>
          <w:bCs/>
          <w:color w:val="000000" w:themeColor="text1"/>
          <w:lang w:val="es-ES_tradnl"/>
        </w:rPr>
        <w:t xml:space="preserve">Para la publicidad de la ejecución del contrato se recomienda el uso del módulo de “Plan de Pagos” que se encuentra en la sección “7. Ejecución del contrato”. Allí el contratista podrá registrar las facturas y/o cuentas de cobro, </w:t>
      </w:r>
      <w:r w:rsidRPr="004678E2">
        <w:rPr>
          <w:rFonts w:ascii="Verdana" w:eastAsia="Calibri" w:hAnsi="Verdana" w:cs="Arial"/>
          <w:bCs/>
          <w:color w:val="000000" w:themeColor="text1"/>
          <w:lang w:val="es-ES_tradnl"/>
        </w:rPr>
        <w:lastRenderedPageBreak/>
        <w:t xml:space="preserve">junto con los demás documentos exigidos por la </w:t>
      </w:r>
      <w:r w:rsidR="005C642D" w:rsidRPr="004678E2">
        <w:rPr>
          <w:rFonts w:ascii="Verdana" w:eastAsia="Calibri" w:hAnsi="Verdana" w:cs="Arial"/>
          <w:bCs/>
          <w:color w:val="000000" w:themeColor="text1"/>
          <w:lang w:val="es-ES_tradnl"/>
        </w:rPr>
        <w:t>entidad estatal</w:t>
      </w:r>
      <w:r w:rsidRPr="004678E2">
        <w:rPr>
          <w:rFonts w:ascii="Verdana" w:eastAsia="Calibri" w:hAnsi="Verdana" w:cs="Arial"/>
          <w:bCs/>
          <w:color w:val="000000" w:themeColor="text1"/>
          <w:lang w:val="es-ES_tradnl"/>
        </w:rPr>
        <w:t xml:space="preserve">. Por su parte, la </w:t>
      </w:r>
      <w:r w:rsidR="00CD645C" w:rsidRPr="004678E2">
        <w:rPr>
          <w:rFonts w:ascii="Verdana" w:eastAsia="Calibri" w:hAnsi="Verdana" w:cs="Arial"/>
          <w:bCs/>
          <w:color w:val="000000" w:themeColor="text1"/>
          <w:lang w:val="es-ES_tradnl"/>
        </w:rPr>
        <w:t xml:space="preserve">entidad </w:t>
      </w:r>
      <w:r w:rsidRPr="004678E2">
        <w:rPr>
          <w:rFonts w:ascii="Verdana" w:eastAsia="Calibri" w:hAnsi="Verdana" w:cs="Arial"/>
          <w:bCs/>
          <w:color w:val="000000" w:themeColor="text1"/>
          <w:lang w:val="es-ES_tradnl"/>
        </w:rPr>
        <w:t xml:space="preserve">en su deber de seguimiento a la </w:t>
      </w:r>
      <w:r w:rsidRPr="005F2788">
        <w:rPr>
          <w:rFonts w:ascii="Verdana" w:eastAsia="Calibri" w:hAnsi="Verdana" w:cs="Arial"/>
          <w:bCs/>
          <w:i/>
          <w:iCs/>
          <w:color w:val="000000" w:themeColor="text1"/>
          <w:lang w:val="es-ES_tradnl"/>
        </w:rPr>
        <w:t>Ejecución contractual</w:t>
      </w:r>
      <w:r w:rsidRPr="004678E2">
        <w:rPr>
          <w:rFonts w:ascii="Verdana" w:eastAsia="Calibri" w:hAnsi="Verdana" w:cs="Arial"/>
          <w:bCs/>
          <w:color w:val="000000" w:themeColor="text1"/>
          <w:lang w:val="es-ES_tradnl"/>
        </w:rPr>
        <w:t xml:space="preserve"> tendrá disponible la opción de rechazar o aprobar la referencia del plan de pago según corresponda, así como de publicar los documentos relacionados con la supervisión del contrato. </w:t>
      </w:r>
    </w:p>
    <w:p w14:paraId="28B3FE2F" w14:textId="77777777" w:rsidR="00493102" w:rsidRDefault="00493102" w:rsidP="00493102">
      <w:pPr>
        <w:spacing w:after="120" w:line="276" w:lineRule="auto"/>
        <w:ind w:firstLine="709"/>
        <w:jc w:val="both"/>
        <w:rPr>
          <w:rFonts w:ascii="Verdana" w:eastAsia="Calibri" w:hAnsi="Verdana" w:cs="Arial"/>
          <w:color w:val="000000" w:themeColor="text1"/>
          <w:lang w:val="es-ES"/>
        </w:rPr>
      </w:pPr>
      <w:r w:rsidRPr="7EF3A662">
        <w:rPr>
          <w:rFonts w:ascii="Verdana" w:eastAsia="Calibri" w:hAnsi="Verdana" w:cs="Arial"/>
          <w:color w:val="000000" w:themeColor="text1"/>
          <w:lang w:val="es-ES"/>
        </w:rPr>
        <w:t xml:space="preserve">Para registrar el seguimiento al avance de la ejecución, el módulo de gestión contractual habilita el registro de planes de ejecución por porcentaje de avance y el cargue de documentos tanto a proveedor como a la entidad estatal, la cual puede crear usuarios para que los supervisores de los contratos carguen la información pertinente. Finalmente, la liquidación y el cierre de los expedientes contractuales también puede realizarse a través del SECOP II. </w:t>
      </w:r>
    </w:p>
    <w:p w14:paraId="1C2B0B72" w14:textId="77777777" w:rsidR="00493102" w:rsidRDefault="00493102" w:rsidP="0075246D">
      <w:pPr>
        <w:spacing w:after="0" w:line="276" w:lineRule="auto"/>
        <w:ind w:firstLine="709"/>
        <w:jc w:val="both"/>
        <w:rPr>
          <w:rFonts w:ascii="Verdana" w:eastAsia="Calibri" w:hAnsi="Verdana" w:cs="Arial"/>
          <w:bCs/>
          <w:color w:val="000000" w:themeColor="text1"/>
          <w:lang w:val="es-ES_tradnl"/>
        </w:rPr>
      </w:pPr>
      <w:r>
        <w:rPr>
          <w:rFonts w:ascii="Verdana" w:eastAsia="Calibri" w:hAnsi="Verdana" w:cs="Arial"/>
          <w:bCs/>
          <w:color w:val="000000" w:themeColor="text1"/>
          <w:lang w:val="es-ES_tradnl"/>
        </w:rPr>
        <w:t xml:space="preserve">Para estos efectos, la Circular Externa Única dispone que “[…] </w:t>
      </w:r>
      <w:r w:rsidRPr="00F95B1D">
        <w:rPr>
          <w:rFonts w:ascii="Verdana" w:eastAsia="Calibri" w:hAnsi="Verdana" w:cs="Arial"/>
          <w:bCs/>
          <w:color w:val="000000" w:themeColor="text1"/>
          <w:lang w:val="es-ES_tradnl"/>
        </w:rPr>
        <w:t>Toda la etapa de gestión</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contractual está contenida en la plataforma, lo que significa que la</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Entidad y el Proveedor deben incluir en el SECOP II la información</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correspondiente que no se genere en línea (garantías, facturas, informes</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de supervisión, modificaciones, etc.)</w:t>
      </w:r>
      <w:r>
        <w:rPr>
          <w:rFonts w:ascii="Verdana" w:eastAsia="Calibri" w:hAnsi="Verdana" w:cs="Arial"/>
          <w:bCs/>
          <w:color w:val="000000" w:themeColor="text1"/>
          <w:lang w:val="es-ES_tradnl"/>
        </w:rPr>
        <w:t xml:space="preserve">”. Esto significa que, a diferencia de SECOP I, en SECOP II no es necesario un expediente físico paralelo con la gestión contractual de los procesos adelantados. No obstante, el numeral 2 de la Circular precisa que “[…] </w:t>
      </w:r>
      <w:r w:rsidRPr="00F95B1D">
        <w:rPr>
          <w:rFonts w:ascii="Verdana" w:eastAsia="Calibri" w:hAnsi="Verdana" w:cs="Arial"/>
          <w:bCs/>
          <w:color w:val="000000" w:themeColor="text1"/>
          <w:lang w:val="es-ES_tradnl"/>
        </w:rPr>
        <w:t>En los casos en que el documento original haya sido producido en formato físico,</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la Entidad Estatal debe conservar su original por el tiempo que indiquen las Tablas</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de Retención Documental - TRD, e incorporar una copia digitalizada dentro del</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proceso de contratación en el SECOP II en cumplimiento de la obligación de</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publicidad</w:t>
      </w:r>
      <w:r>
        <w:rPr>
          <w:rFonts w:ascii="Verdana" w:eastAsia="Calibri" w:hAnsi="Verdana" w:cs="Arial"/>
          <w:bCs/>
          <w:color w:val="000000" w:themeColor="text1"/>
          <w:lang w:val="es-ES_tradnl"/>
        </w:rPr>
        <w:t>”</w:t>
      </w:r>
      <w:r w:rsidRPr="00F95B1D">
        <w:rPr>
          <w:rFonts w:ascii="Verdana" w:eastAsia="Calibri" w:hAnsi="Verdana" w:cs="Arial"/>
          <w:bCs/>
          <w:color w:val="000000" w:themeColor="text1"/>
          <w:lang w:val="es-ES_tradnl"/>
        </w:rPr>
        <w:t xml:space="preserve">.  </w:t>
      </w:r>
    </w:p>
    <w:p w14:paraId="26D11B09" w14:textId="77777777" w:rsidR="0075246D" w:rsidRPr="00F95B1D" w:rsidRDefault="0075246D" w:rsidP="005F2788">
      <w:pPr>
        <w:spacing w:after="0" w:line="276" w:lineRule="auto"/>
        <w:ind w:firstLine="709"/>
        <w:jc w:val="both"/>
        <w:rPr>
          <w:rFonts w:ascii="Verdana" w:eastAsia="Calibri" w:hAnsi="Verdana" w:cs="Arial"/>
          <w:bCs/>
          <w:color w:val="000000" w:themeColor="text1"/>
          <w:lang w:val="es-ES_tradnl"/>
        </w:rPr>
      </w:pPr>
    </w:p>
    <w:p w14:paraId="3A62DAFF" w14:textId="2E54A235" w:rsidR="00493102" w:rsidRDefault="00493102" w:rsidP="005F2788">
      <w:pPr>
        <w:tabs>
          <w:tab w:val="left" w:pos="426"/>
        </w:tabs>
        <w:spacing w:after="120" w:line="276" w:lineRule="auto"/>
        <w:jc w:val="both"/>
        <w:rPr>
          <w:rFonts w:ascii="Verdana" w:eastAsia="Calibri" w:hAnsi="Verdana" w:cs="Arial"/>
          <w:lang w:val="es-ES" w:eastAsia="es-ES_tradnl"/>
        </w:rPr>
      </w:pPr>
      <w:proofErr w:type="spellStart"/>
      <w:r>
        <w:rPr>
          <w:rFonts w:ascii="Verdana" w:eastAsia="Calibri" w:hAnsi="Verdana" w:cs="Arial"/>
          <w:lang w:val="es-ES" w:eastAsia="es-ES_tradnl"/>
        </w:rPr>
        <w:t>ii</w:t>
      </w:r>
      <w:proofErr w:type="spellEnd"/>
      <w:r>
        <w:rPr>
          <w:rFonts w:ascii="Verdana" w:eastAsia="Calibri" w:hAnsi="Verdana" w:cs="Arial"/>
          <w:lang w:val="es-ES" w:eastAsia="es-ES_tradnl"/>
        </w:rPr>
        <w:t xml:space="preserve">. </w:t>
      </w:r>
      <w:r w:rsidR="0075246D">
        <w:rPr>
          <w:rFonts w:ascii="Verdana" w:eastAsia="Calibri" w:hAnsi="Verdana" w:cs="Arial"/>
          <w:lang w:val="es-ES" w:eastAsia="es-ES_tradnl"/>
        </w:rPr>
        <w:t>V</w:t>
      </w:r>
      <w:r w:rsidRPr="00A9405A">
        <w:rPr>
          <w:rFonts w:ascii="Verdana" w:eastAsia="Calibri" w:hAnsi="Verdana" w:cs="Arial"/>
          <w:lang w:val="es-ES" w:eastAsia="es-ES_tradnl"/>
        </w:rPr>
        <w:t xml:space="preserve">ale la pena aclarar que el cumplimiento del deber de publicación de la documentación contractual debe armonizarse con las normas aplicables al tipo de información que estas contienen. Lo anterior significa que, respecto de la información sometida a reserva o de la cual proceda un tratamiento especial que impida su publicidad, las entidades deberán actuar de conformidad con el tratamiento que impongan tales normas, absteniéndose, de ser el caso, de publicar los documentos del proceso, algunos de ellos o algunos apartes de dichos documentos en los que se evidencie este tipo de información. </w:t>
      </w:r>
    </w:p>
    <w:p w14:paraId="7D784685" w14:textId="77777777" w:rsidR="00493102" w:rsidRPr="00A9405A" w:rsidRDefault="00493102" w:rsidP="00493102">
      <w:pPr>
        <w:spacing w:after="120" w:line="276" w:lineRule="auto"/>
        <w:ind w:firstLine="709"/>
        <w:jc w:val="both"/>
        <w:rPr>
          <w:rFonts w:ascii="Verdana" w:eastAsia="Calibri" w:hAnsi="Verdana" w:cs="Arial"/>
          <w:color w:val="000000"/>
          <w:lang w:val="es-ES" w:eastAsia="en-GB"/>
        </w:rPr>
      </w:pPr>
      <w:r>
        <w:rPr>
          <w:rFonts w:ascii="Verdana" w:eastAsia="Calibri" w:hAnsi="Verdana" w:cs="Arial"/>
          <w:color w:val="000000"/>
          <w:lang w:val="es-ES" w:eastAsia="en-GB"/>
        </w:rPr>
        <w:t>E</w:t>
      </w:r>
      <w:r w:rsidRPr="46576C03">
        <w:rPr>
          <w:rFonts w:ascii="Verdana" w:eastAsia="Calibri" w:hAnsi="Verdana" w:cs="Arial"/>
          <w:color w:val="000000"/>
          <w:lang w:val="es-ES" w:eastAsia="en-GB"/>
        </w:rPr>
        <w:t xml:space="preserve">l principio o regla general consiste en la máxima publicidad de la información pública y lo excepcional es la reserva, razón por la cual el artículo 21 de la Ley 1712 de 2014 incluso exige la divulgación parcial de la información contenida en un documento, cuando este contenga parte de información </w:t>
      </w:r>
      <w:r w:rsidRPr="46576C03">
        <w:rPr>
          <w:rFonts w:ascii="Verdana" w:eastAsia="Calibri" w:hAnsi="Verdana" w:cs="Arial"/>
          <w:color w:val="000000"/>
          <w:lang w:val="es-ES" w:eastAsia="en-GB"/>
        </w:rPr>
        <w:lastRenderedPageBreak/>
        <w:t>sometida a reserva, pero también incluya información que no esté afectada por la reserva. Además, dicha disposición establece que la reserva de acceso a la información opera respecto al contenido de un documento público, pero no respecto de su existencia</w:t>
      </w:r>
      <w:r w:rsidRPr="46576C03">
        <w:rPr>
          <w:rFonts w:ascii="Verdana" w:eastAsia="Calibri" w:hAnsi="Verdana" w:cs="Arial"/>
          <w:color w:val="000000"/>
          <w:vertAlign w:val="superscript"/>
          <w:lang w:val="es-ES" w:eastAsia="en-GB"/>
        </w:rPr>
        <w:footnoteReference w:id="10"/>
      </w:r>
      <w:r w:rsidRPr="46576C03">
        <w:rPr>
          <w:rFonts w:ascii="Verdana" w:eastAsia="Calibri" w:hAnsi="Verdana" w:cs="Arial"/>
          <w:color w:val="000000"/>
          <w:lang w:val="es-ES" w:eastAsia="en-GB"/>
        </w:rPr>
        <w:t>. Sin perjuicio de lo anterior, es posible que el contenido de todo el documento o expediente no deba ser objeto de publicidad por estar amparado de forma íntegra por la reserva, dada su conexión con las causales establecidas en la Constitución o la ley.</w:t>
      </w:r>
    </w:p>
    <w:p w14:paraId="0A364D03" w14:textId="77777777" w:rsidR="00493102" w:rsidRPr="00A9405A" w:rsidRDefault="00493102" w:rsidP="00493102">
      <w:pPr>
        <w:tabs>
          <w:tab w:val="left" w:pos="426"/>
        </w:tabs>
        <w:spacing w:after="120" w:line="276" w:lineRule="auto"/>
        <w:ind w:firstLine="709"/>
        <w:jc w:val="both"/>
        <w:rPr>
          <w:rFonts w:ascii="Verdana" w:eastAsia="Calibri" w:hAnsi="Verdana" w:cs="Arial"/>
          <w:color w:val="000000"/>
          <w:lang w:val="es-ES_tradnl" w:eastAsia="en-GB"/>
        </w:rPr>
      </w:pPr>
      <w:r w:rsidRPr="00A9405A">
        <w:rPr>
          <w:rFonts w:ascii="Verdana" w:eastAsia="Calibri" w:hAnsi="Verdana" w:cs="Arial"/>
          <w:color w:val="000000"/>
          <w:lang w:val="es-ES_tradnl" w:eastAsia="en-GB"/>
        </w:rPr>
        <w:t>Por ello, el artículo 74 de la Constitución, en armonía con los artículos 18 y 19 de la Ley 1712 de 2014 y los artículos 24 y 25 de la Ley 1437 de 2011 –de acuerdo con la modificación realizada por la Ley 1755 de 2015–, establecen que el derecho de acceso a la información o documentación pública no es absoluto, sino que puede exceptuarse cuando se configuren causales de reserva. Así mismo, hay información que goza de protección especial y no puede divulgarse. La información pública que contiene datos semiprivados o privados, definidos en los literales g) y h) del artículo 3° de la Ley 1266 de 2008; clasificados o reservados, según los artículos 18 y 19 de la Ley 1712 de 2014; o datos personales o sensibles, según lo previsto en los artículos 3° y 5° de la Ley 1581 de 2012</w:t>
      </w:r>
      <w:r>
        <w:rPr>
          <w:rFonts w:ascii="Verdana" w:eastAsia="Calibri" w:hAnsi="Verdana" w:cs="Arial"/>
          <w:color w:val="000000"/>
          <w:lang w:val="es-ES_tradnl" w:eastAsia="en-GB"/>
        </w:rPr>
        <w:t>.</w:t>
      </w:r>
    </w:p>
    <w:p w14:paraId="603526C2" w14:textId="2E37553A" w:rsidR="00493102" w:rsidRDefault="00493102" w:rsidP="47D3DCCE">
      <w:pPr>
        <w:tabs>
          <w:tab w:val="left" w:pos="426"/>
        </w:tabs>
        <w:spacing w:after="120" w:line="276" w:lineRule="auto"/>
        <w:ind w:firstLine="709"/>
        <w:jc w:val="both"/>
        <w:rPr>
          <w:rFonts w:ascii="Verdana" w:eastAsia="Calibri" w:hAnsi="Verdana" w:cs="Arial"/>
          <w:color w:val="000000"/>
          <w:lang w:val="es-ES" w:eastAsia="en-GB"/>
        </w:rPr>
      </w:pPr>
      <w:r w:rsidRPr="47D3DCCE">
        <w:rPr>
          <w:rFonts w:ascii="Verdana" w:eastAsia="Calibri" w:hAnsi="Verdana" w:cs="Arial"/>
          <w:color w:val="000000" w:themeColor="text1"/>
          <w:lang w:val="es-ES" w:eastAsia="en-GB"/>
        </w:rPr>
        <w:t xml:space="preserve">Cuando el documento contractual tenga información sensible, clasificada o reservada, para proteger la reserva de información, las autoridades deben abstenerse de publicar en el SECOP la información que tiene protección especial o está sometida a reserva. Sin embargo, de acuerdo con el segundo inciso del artículo 25 de la Ley 1437 de 2011 “La restricción por reserva legal no se extenderá a otras piezas del respectivo expediente o actuación que no estén cubiertas por ella”. Por ello, la </w:t>
      </w:r>
      <w:r w:rsidR="00E038A3" w:rsidRPr="47D3DCCE">
        <w:rPr>
          <w:rFonts w:ascii="Verdana" w:eastAsia="Calibri" w:hAnsi="Verdana" w:cs="Arial"/>
          <w:color w:val="000000" w:themeColor="text1"/>
          <w:lang w:val="es-ES" w:eastAsia="en-GB"/>
        </w:rPr>
        <w:t xml:space="preserve">entidad estatal </w:t>
      </w:r>
      <w:r w:rsidRPr="47D3DCCE">
        <w:rPr>
          <w:rFonts w:ascii="Verdana" w:eastAsia="Calibri" w:hAnsi="Verdana" w:cs="Arial"/>
          <w:color w:val="000000" w:themeColor="text1"/>
          <w:lang w:val="es-ES" w:eastAsia="en-GB"/>
        </w:rPr>
        <w:t xml:space="preserve">puede dejar de publicar algún documento del proceso o aparte del mismo que contenga datos sensibles, clasificados o reservados, para no divulgarla, pero debe publicar los demás documentos o los apartados de estos, en caso de que estos no gocen de reserva. Lo anterior, sin perjuicio de que dependiendo de la información en específico </w:t>
      </w:r>
      <w:r w:rsidRPr="47D3DCCE">
        <w:rPr>
          <w:rFonts w:ascii="Verdana" w:eastAsia="Calibri" w:hAnsi="Verdana" w:cs="Arial"/>
          <w:color w:val="000000" w:themeColor="text1"/>
          <w:lang w:val="es-ES" w:eastAsia="en-GB"/>
        </w:rPr>
        <w:lastRenderedPageBreak/>
        <w:t>todo el documento o expediente deba dejar de publicarse, por ampararse en su integridad en alguna causal de reserva, dada la conexión de su contenido con la información que el constituyente o el legislador decidió limitar en cuanto a su publicidad.</w:t>
      </w:r>
    </w:p>
    <w:p w14:paraId="721CC2EE" w14:textId="77777777" w:rsidR="00493102" w:rsidRPr="000A78A5" w:rsidRDefault="00493102" w:rsidP="005F2788">
      <w:pPr>
        <w:spacing w:after="0" w:line="276" w:lineRule="auto"/>
        <w:ind w:firstLine="709"/>
        <w:jc w:val="both"/>
        <w:rPr>
          <w:rFonts w:ascii="Verdana" w:eastAsia="Calibri" w:hAnsi="Verdana" w:cs="Arial"/>
          <w:lang w:val="es-ES" w:eastAsia="es-ES"/>
        </w:rPr>
      </w:pPr>
      <w:r w:rsidRPr="14FCC0CC">
        <w:rPr>
          <w:rFonts w:ascii="Verdana" w:eastAsia="Calibri" w:hAnsi="Verdana" w:cs="Arial"/>
          <w:lang w:val="es-ES" w:eastAsia="es-ES"/>
        </w:rPr>
        <w:t>Por lo anterior, es posible que el constituyente o el legislador establezcan reservas de cierta información pública. En este sentido, en desarrollo de cualquier proceso contractual, es posible que los documentos del proceso contengan información sometida a reserva, de acuerdo con las causales establecidas en la Constitución o en la ley, caso en el cual dicha información no debe publicarse en el SECOP, precisamente por tratarse de información reservada. En estos casos, debe procederse conforme lo establecido en la Ley 1712 de 2014, particularmente, cumpliendo las obligaciones y los deberes establecidos en el título III “Excepciones acceso a la información”.</w:t>
      </w:r>
    </w:p>
    <w:p w14:paraId="5EC304A9" w14:textId="77777777" w:rsidR="00DE1352" w:rsidRDefault="00DE1352" w:rsidP="00DE1352">
      <w:pPr>
        <w:spacing w:after="120" w:line="276" w:lineRule="auto"/>
        <w:contextualSpacing/>
        <w:jc w:val="both"/>
        <w:rPr>
          <w:rFonts w:ascii="Verdana" w:eastAsia="Calibri" w:hAnsi="Verdana" w:cs="Arial"/>
          <w:lang w:val="es-ES"/>
        </w:rPr>
      </w:pPr>
    </w:p>
    <w:p w14:paraId="546F1839" w14:textId="5DC1616A" w:rsidR="00493102" w:rsidRDefault="00493102" w:rsidP="005F2788">
      <w:pPr>
        <w:spacing w:after="120" w:line="276" w:lineRule="auto"/>
        <w:contextualSpacing/>
        <w:jc w:val="both"/>
        <w:rPr>
          <w:rFonts w:ascii="Verdana" w:eastAsia="Calibri" w:hAnsi="Verdana" w:cs="Arial"/>
          <w:lang w:val="es-ES"/>
        </w:rPr>
      </w:pPr>
      <w:proofErr w:type="spellStart"/>
      <w:r>
        <w:rPr>
          <w:rFonts w:ascii="Verdana" w:eastAsia="Calibri" w:hAnsi="Verdana" w:cs="Arial"/>
          <w:lang w:val="es-ES"/>
        </w:rPr>
        <w:t>iii</w:t>
      </w:r>
      <w:proofErr w:type="spellEnd"/>
      <w:r>
        <w:rPr>
          <w:rFonts w:ascii="Verdana" w:eastAsia="Calibri" w:hAnsi="Verdana" w:cs="Arial"/>
          <w:lang w:val="es-ES"/>
        </w:rPr>
        <w:t>. Finalmente, frente al tercer problema jurídico planteado, l</w:t>
      </w:r>
      <w:r w:rsidRPr="00292355">
        <w:rPr>
          <w:rFonts w:ascii="Verdana" w:eastAsia="Calibri" w:hAnsi="Verdana" w:cs="Arial"/>
          <w:lang w:val="es-ES"/>
        </w:rPr>
        <w:t xml:space="preserve">a Ley 1474 de 2011 enmarcó el seguimiento, control y vigilancia de la ejecución del contrato estatal dentro del principio de moralidad administrativa. Por ello, el artículo 83 </w:t>
      </w:r>
      <w:r w:rsidRPr="00292355">
        <w:rPr>
          <w:rFonts w:ascii="Verdana" w:eastAsia="Calibri" w:hAnsi="Verdana" w:cs="Arial"/>
          <w:i/>
          <w:iCs/>
          <w:lang w:val="es-ES"/>
        </w:rPr>
        <w:t>ibi</w:t>
      </w:r>
      <w:r>
        <w:rPr>
          <w:rFonts w:ascii="Verdana" w:eastAsia="Calibri" w:hAnsi="Verdana" w:cs="Arial"/>
          <w:i/>
          <w:iCs/>
          <w:lang w:val="es-ES"/>
        </w:rPr>
        <w:t>d</w:t>
      </w:r>
      <w:r w:rsidRPr="00292355">
        <w:rPr>
          <w:rFonts w:ascii="Verdana" w:eastAsia="Calibri" w:hAnsi="Verdana" w:cs="Arial"/>
          <w:i/>
          <w:iCs/>
          <w:lang w:val="es-ES"/>
        </w:rPr>
        <w:t xml:space="preserve">em </w:t>
      </w:r>
      <w:r w:rsidRPr="00292355">
        <w:rPr>
          <w:rFonts w:ascii="Verdana" w:eastAsia="Calibri" w:hAnsi="Verdana" w:cs="Arial"/>
          <w:lang w:val="es-ES"/>
        </w:rPr>
        <w:t xml:space="preserve">establece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De ahí que, quien ejerza la vigilancia del contrato, ya sea mediante la supervisión o la interventoría, podrá hacer uso de las facultades previstas en el artículo 84 de la Ley 1474 de 2011 para efectuar el seguimiento al cumplimiento obligacional del contrato y estará </w:t>
      </w:r>
      <w:r w:rsidRPr="000D548F">
        <w:rPr>
          <w:rFonts w:ascii="Verdana" w:eastAsia="Calibri" w:hAnsi="Verdana" w:cs="Arial"/>
          <w:lang w:val="es-ES"/>
        </w:rPr>
        <w:t>sometido a los deberes y responsabilidades que implica el ejercicio de dicha actividad.</w:t>
      </w:r>
    </w:p>
    <w:p w14:paraId="450134F9" w14:textId="77777777" w:rsidR="00493102" w:rsidRPr="00F4711F" w:rsidRDefault="00493102" w:rsidP="005F2788">
      <w:pPr>
        <w:spacing w:after="0" w:line="276" w:lineRule="auto"/>
        <w:ind w:firstLine="709"/>
        <w:jc w:val="both"/>
        <w:rPr>
          <w:rFonts w:ascii="Verdana" w:eastAsia="Calibri" w:hAnsi="Verdana" w:cs="Arial"/>
          <w:color w:val="000000"/>
        </w:rPr>
      </w:pPr>
      <w:r w:rsidRPr="00F4711F">
        <w:rPr>
          <w:rFonts w:ascii="Verdana" w:eastAsia="Times New Roman" w:hAnsi="Verdana" w:cs="Arial"/>
          <w:color w:val="000000"/>
          <w:lang w:eastAsia="es-ES"/>
        </w:rPr>
        <w:t>Adicionalmente, debe precisarse que esta Agencia en el ejercicio de sus funciones, expidió la “Guía para el ejercicio de las funciones de Supervisión e Interventoría de los contratos del Estado”</w:t>
      </w:r>
      <w:r w:rsidRPr="660D747D">
        <w:rPr>
          <w:rStyle w:val="Refdenotaalpie"/>
          <w:rFonts w:ascii="Verdana" w:eastAsia="Times New Roman" w:hAnsi="Verdana" w:cs="Arial"/>
          <w:color w:val="000000"/>
          <w:lang w:eastAsia="es-ES"/>
        </w:rPr>
        <w:footnoteReference w:id="11"/>
      </w:r>
      <w:r w:rsidRPr="00F4711F">
        <w:rPr>
          <w:rFonts w:ascii="Verdana" w:eastAsia="Times New Roman" w:hAnsi="Verdana" w:cs="Arial"/>
          <w:color w:val="000000"/>
          <w:lang w:eastAsia="es-ES"/>
        </w:rPr>
        <w:t xml:space="preserve">, la cual constituye una herramienta pedagógica en la que se imparten lineamientos de buenas prácticas para el ejercicio de la supervisión e interventoría de los contratos estatales, la cual trae a título </w:t>
      </w:r>
      <w:r w:rsidRPr="00F4711F">
        <w:rPr>
          <w:rFonts w:ascii="Verdana" w:eastAsia="Times New Roman" w:hAnsi="Verdana" w:cs="Arial"/>
          <w:i/>
          <w:iCs/>
          <w:color w:val="000000"/>
          <w:lang w:eastAsia="es-ES"/>
        </w:rPr>
        <w:t>D. Vigilancia financiera y contable</w:t>
      </w:r>
      <w:r w:rsidRPr="00F4711F">
        <w:rPr>
          <w:rFonts w:ascii="Verdana" w:eastAsia="Times New Roman" w:hAnsi="Verdana" w:cs="Arial"/>
          <w:color w:val="000000"/>
          <w:lang w:eastAsia="es-ES"/>
        </w:rPr>
        <w:t xml:space="preserve">, las siguientes actividades: </w:t>
      </w:r>
    </w:p>
    <w:p w14:paraId="5A5A0E5F" w14:textId="77777777" w:rsidR="00493102" w:rsidRDefault="00493102" w:rsidP="005F2788">
      <w:pPr>
        <w:pStyle w:val="Prrafodelista"/>
        <w:spacing w:after="0"/>
        <w:rPr>
          <w:rFonts w:ascii="Verdana" w:eastAsia="Times New Roman" w:hAnsi="Verdana" w:cs="Arial"/>
          <w:color w:val="000000"/>
          <w:szCs w:val="24"/>
          <w:lang w:val="es-ES_tradnl" w:eastAsia="es-ES_tradnl"/>
        </w:rPr>
      </w:pPr>
    </w:p>
    <w:p w14:paraId="4BE62B27" w14:textId="77777777" w:rsidR="00493102" w:rsidRPr="005F2788" w:rsidRDefault="00493102" w:rsidP="005F2788">
      <w:pPr>
        <w:pStyle w:val="Prrafodelista"/>
        <w:ind w:left="709" w:right="709"/>
        <w:rPr>
          <w:rFonts w:ascii="Verdana" w:eastAsia="Times New Roman" w:hAnsi="Verdana" w:cs="Arial"/>
          <w:color w:val="000000"/>
          <w:sz w:val="20"/>
          <w:szCs w:val="20"/>
          <w:lang w:val="es-ES_tradnl" w:eastAsia="es-ES_tradnl"/>
        </w:rPr>
      </w:pPr>
      <w:r w:rsidRPr="005F2788">
        <w:rPr>
          <w:rFonts w:ascii="Verdana" w:eastAsia="Times New Roman" w:hAnsi="Verdana" w:cs="Arial"/>
          <w:color w:val="000000"/>
          <w:sz w:val="20"/>
          <w:szCs w:val="20"/>
          <w:lang w:val="es-ES_tradnl" w:eastAsia="es-ES_tradnl"/>
        </w:rPr>
        <w:t>(…)</w:t>
      </w:r>
    </w:p>
    <w:p w14:paraId="58124C6F" w14:textId="77777777" w:rsidR="00493102" w:rsidRPr="005318D6" w:rsidRDefault="00493102" w:rsidP="005F2788">
      <w:pPr>
        <w:pStyle w:val="Prrafodelista"/>
        <w:numPr>
          <w:ilvl w:val="0"/>
          <w:numId w:val="18"/>
        </w:numPr>
        <w:spacing w:after="0" w:line="276" w:lineRule="auto"/>
        <w:ind w:left="709" w:right="709"/>
        <w:jc w:val="both"/>
        <w:rPr>
          <w:rFonts w:ascii="Verdana" w:eastAsia="Calibri" w:hAnsi="Verdana" w:cs="Arial"/>
          <w:color w:val="000000"/>
          <w:sz w:val="20"/>
          <w:szCs w:val="20"/>
        </w:rPr>
      </w:pPr>
      <w:r w:rsidRPr="005318D6">
        <w:rPr>
          <w:rFonts w:ascii="Verdana" w:eastAsia="Times New Roman" w:hAnsi="Verdana" w:cs="Arial"/>
          <w:i/>
          <w:iCs/>
          <w:color w:val="000000" w:themeColor="text1"/>
          <w:sz w:val="20"/>
          <w:szCs w:val="20"/>
          <w:lang w:eastAsia="es-ES"/>
        </w:rPr>
        <w:lastRenderedPageBreak/>
        <w:t xml:space="preserve">Revisar los documentos necesarios para efectuar los pagos al contrato, incluyendo el recibo a satisfacción de los bienes o servicios objeto </w:t>
      </w:r>
      <w:proofErr w:type="gramStart"/>
      <w:r w:rsidRPr="005318D6">
        <w:rPr>
          <w:rFonts w:ascii="Verdana" w:eastAsia="Times New Roman" w:hAnsi="Verdana" w:cs="Arial"/>
          <w:i/>
          <w:iCs/>
          <w:color w:val="000000" w:themeColor="text1"/>
          <w:sz w:val="20"/>
          <w:szCs w:val="20"/>
          <w:lang w:eastAsia="es-ES"/>
        </w:rPr>
        <w:t>del mismo</w:t>
      </w:r>
      <w:proofErr w:type="gramEnd"/>
      <w:r w:rsidRPr="005318D6">
        <w:rPr>
          <w:rFonts w:ascii="Verdana" w:eastAsia="Times New Roman" w:hAnsi="Verdana" w:cs="Arial"/>
          <w:i/>
          <w:iCs/>
          <w:color w:val="000000" w:themeColor="text1"/>
          <w:sz w:val="20"/>
          <w:szCs w:val="20"/>
          <w:lang w:eastAsia="es-ES"/>
        </w:rPr>
        <w:t xml:space="preserve">.  </w:t>
      </w:r>
    </w:p>
    <w:p w14:paraId="510B3349" w14:textId="77777777" w:rsidR="00493102" w:rsidRPr="005318D6" w:rsidRDefault="00493102" w:rsidP="005F2788">
      <w:pPr>
        <w:pStyle w:val="Prrafodelista"/>
        <w:numPr>
          <w:ilvl w:val="0"/>
          <w:numId w:val="18"/>
        </w:numPr>
        <w:spacing w:after="0" w:line="276" w:lineRule="auto"/>
        <w:ind w:left="709" w:right="709"/>
        <w:jc w:val="both"/>
        <w:rPr>
          <w:rFonts w:ascii="Verdana" w:eastAsia="Calibri" w:hAnsi="Verdana" w:cs="Arial"/>
          <w:color w:val="000000"/>
          <w:sz w:val="20"/>
          <w:szCs w:val="20"/>
        </w:rPr>
      </w:pPr>
      <w:r w:rsidRPr="005318D6">
        <w:rPr>
          <w:rFonts w:ascii="Verdana" w:eastAsia="Times New Roman" w:hAnsi="Verdana" w:cs="Arial"/>
          <w:i/>
          <w:iCs/>
          <w:color w:val="000000" w:themeColor="text1"/>
          <w:sz w:val="20"/>
          <w:szCs w:val="20"/>
          <w:lang w:eastAsia="es-ES"/>
        </w:rPr>
        <w:t xml:space="preserve">Documentar los pagos y ajustes que se hagan al contrato y controlar el balance presupuestal del contrato para efecto de pagos y de liquidación </w:t>
      </w:r>
      <w:proofErr w:type="gramStart"/>
      <w:r w:rsidRPr="005318D6">
        <w:rPr>
          <w:rFonts w:ascii="Verdana" w:eastAsia="Times New Roman" w:hAnsi="Verdana" w:cs="Arial"/>
          <w:i/>
          <w:iCs/>
          <w:color w:val="000000" w:themeColor="text1"/>
          <w:sz w:val="20"/>
          <w:szCs w:val="20"/>
          <w:lang w:eastAsia="es-ES"/>
        </w:rPr>
        <w:t>del mismo</w:t>
      </w:r>
      <w:proofErr w:type="gramEnd"/>
      <w:r w:rsidRPr="005318D6">
        <w:rPr>
          <w:rFonts w:ascii="Verdana" w:eastAsia="Times New Roman" w:hAnsi="Verdana" w:cs="Arial"/>
          <w:i/>
          <w:iCs/>
          <w:color w:val="000000" w:themeColor="text1"/>
          <w:sz w:val="20"/>
          <w:szCs w:val="20"/>
          <w:lang w:eastAsia="es-ES"/>
        </w:rPr>
        <w:t xml:space="preserve">.   </w:t>
      </w:r>
    </w:p>
    <w:p w14:paraId="35BB661D" w14:textId="77777777" w:rsidR="00493102" w:rsidRPr="005F2788" w:rsidRDefault="00493102" w:rsidP="005F2788">
      <w:pPr>
        <w:pStyle w:val="Sangra3detindependiente"/>
        <w:spacing w:after="0"/>
        <w:ind w:right="709" w:firstLine="425"/>
        <w:jc w:val="both"/>
        <w:rPr>
          <w:rFonts w:ascii="Verdana" w:hAnsi="Verdana" w:cs="Arial"/>
          <w:sz w:val="20"/>
          <w:szCs w:val="20"/>
        </w:rPr>
      </w:pPr>
      <w:r w:rsidRPr="005F2788">
        <w:rPr>
          <w:rFonts w:ascii="Verdana" w:hAnsi="Verdana" w:cs="Arial"/>
          <w:sz w:val="20"/>
          <w:szCs w:val="20"/>
        </w:rPr>
        <w:t>(…)</w:t>
      </w:r>
    </w:p>
    <w:p w14:paraId="437D756F" w14:textId="77777777" w:rsidR="005318D6" w:rsidRDefault="005318D6" w:rsidP="005F2788">
      <w:pPr>
        <w:spacing w:after="0" w:line="276" w:lineRule="auto"/>
        <w:ind w:firstLine="709"/>
        <w:jc w:val="both"/>
        <w:rPr>
          <w:rFonts w:ascii="Verdana" w:hAnsi="Verdana" w:cs="Arial"/>
        </w:rPr>
      </w:pPr>
    </w:p>
    <w:p w14:paraId="71494445" w14:textId="32633CC4" w:rsidR="00493102" w:rsidRPr="00F4711F" w:rsidRDefault="00493102" w:rsidP="00493102">
      <w:pPr>
        <w:spacing w:after="120" w:line="276" w:lineRule="auto"/>
        <w:ind w:firstLine="709"/>
        <w:jc w:val="both"/>
        <w:rPr>
          <w:rFonts w:ascii="Verdana" w:hAnsi="Verdana" w:cs="Arial"/>
        </w:rPr>
      </w:pPr>
      <w:r w:rsidRPr="00F4711F">
        <w:rPr>
          <w:rFonts w:ascii="Verdana" w:hAnsi="Verdana" w:cs="Arial"/>
        </w:rPr>
        <w:t>Las anteriores actividades tendrán como referente particular lo establecido por las partes en el contrato respectivo, teniendo presente que cada entidad contratante</w:t>
      </w:r>
      <w:r w:rsidRPr="00F4711F">
        <w:rPr>
          <w:rFonts w:ascii="Verdana" w:eastAsia="Calibri" w:hAnsi="Verdana" w:cs="Arial"/>
        </w:rPr>
        <w:t xml:space="preserve"> tendrá la autonomía para solicitar los documentos que se requieran por parte del contratista respecto a la facturación de acuerdo </w:t>
      </w:r>
      <w:r w:rsidR="00765512">
        <w:rPr>
          <w:rFonts w:ascii="Verdana" w:eastAsia="Calibri" w:hAnsi="Verdana" w:cs="Arial"/>
        </w:rPr>
        <w:t xml:space="preserve">con </w:t>
      </w:r>
      <w:r w:rsidRPr="00F4711F">
        <w:rPr>
          <w:rFonts w:ascii="Verdana" w:eastAsia="Calibri" w:hAnsi="Verdana" w:cs="Arial"/>
        </w:rPr>
        <w:t>las normas presupuestales respectivas, ya que por ejemplo las entidades y órganos que hacen parte del Presupuesto Nacional de la Nación, deben dar cumplimiento a las disposiciones del Decreto 1068 de 2015-por medio del cual se expide el Decreto Único Reglamentario del Sector Hacienda y Crédito Público- en particular el uso de Sistema Integrado de Información Financiera (SIIF) Nación</w:t>
      </w:r>
      <w:r>
        <w:rPr>
          <w:rFonts w:ascii="Verdana" w:eastAsia="Calibri" w:hAnsi="Verdana" w:cs="Arial"/>
        </w:rPr>
        <w:t xml:space="preserve"> y la circular externa 003 del 7 de enero de 2025 expedida por el Subdirector de Operaciones de la Dirección General de Crédito Público y del Tesoro Nacional, mediante el cual indica en términos generales el calendario PAC vigencia fiscal 2025 y aspectos a considerar para su aprobación.</w:t>
      </w:r>
    </w:p>
    <w:p w14:paraId="22CCEDD3" w14:textId="77777777" w:rsidR="00493102" w:rsidRDefault="00493102" w:rsidP="00493102">
      <w:pPr>
        <w:spacing w:after="120" w:line="276" w:lineRule="auto"/>
        <w:ind w:firstLine="709"/>
        <w:jc w:val="both"/>
        <w:rPr>
          <w:rFonts w:ascii="Verdana" w:eastAsia="Calibri" w:hAnsi="Verdana" w:cs="Arial"/>
        </w:rPr>
      </w:pPr>
      <w:r w:rsidRPr="00F4711F">
        <w:rPr>
          <w:rFonts w:ascii="Verdana" w:eastAsia="Calibri" w:hAnsi="Verdana" w:cs="Arial"/>
        </w:rPr>
        <w:t>Dentro de los documentos expedidos por parte de SIIF, se encuentra la Guía gestión documentos electrónicos en el proceso de Recepción del Sistema de Factura Electrónica</w:t>
      </w:r>
      <w:r>
        <w:rPr>
          <w:rStyle w:val="Refdenotaalpie"/>
          <w:rFonts w:ascii="Verdana" w:eastAsia="Calibri" w:hAnsi="Verdana" w:cs="Arial"/>
        </w:rPr>
        <w:footnoteReference w:id="12"/>
      </w:r>
      <w:r w:rsidRPr="00F4711F">
        <w:rPr>
          <w:rFonts w:ascii="Verdana" w:eastAsia="Calibri" w:hAnsi="Verdana" w:cs="Arial"/>
        </w:rPr>
        <w:t xml:space="preserve">, en donde se explican a detalle el procedimiento y documentos a presentarse por parte de los Proveedores o Contratistas que tengan identificado en el RUT la responsabilidad 52 – Facturador electrónico (emisor), los cuales deberán entregar factura electrónica de venta por los bienes y/o servicios ofrecidos a las entidades del ámbito SIIF Nación, como también las notas débito y/o notas crédito, a través del buzón dispuesto para el efecto por el Ministerio de Hacienda y Crédito Público, por tanto, la información tributaria de los terceros creados en el SIIF Nación se actualizará con base en los datos de la DIAN mediante un Servicio Web. </w:t>
      </w:r>
    </w:p>
    <w:p w14:paraId="2ACC7AB7" w14:textId="77777777" w:rsidR="00493102" w:rsidRPr="00F4711F" w:rsidRDefault="00493102" w:rsidP="00493102">
      <w:pPr>
        <w:spacing w:line="276" w:lineRule="auto"/>
        <w:ind w:firstLine="708"/>
        <w:jc w:val="both"/>
        <w:rPr>
          <w:rFonts w:ascii="Verdana" w:hAnsi="Verdana" w:cs="Arial"/>
        </w:rPr>
      </w:pPr>
      <w:r>
        <w:rPr>
          <w:rFonts w:ascii="Verdana" w:eastAsia="Century Gothic" w:hAnsi="Verdana" w:cs="Century Gothic"/>
          <w:bCs/>
        </w:rPr>
        <w:t xml:space="preserve">En la plataforma SECOP II se encuentra en la </w:t>
      </w:r>
      <w:proofErr w:type="gramStart"/>
      <w:r>
        <w:rPr>
          <w:rFonts w:ascii="Verdana" w:eastAsia="Century Gothic" w:hAnsi="Verdana" w:cs="Century Gothic"/>
          <w:bCs/>
        </w:rPr>
        <w:t>interface</w:t>
      </w:r>
      <w:proofErr w:type="gramEnd"/>
      <w:r>
        <w:rPr>
          <w:rFonts w:ascii="Verdana" w:eastAsia="Century Gothic" w:hAnsi="Verdana" w:cs="Century Gothic"/>
          <w:bCs/>
        </w:rPr>
        <w:t xml:space="preserve"> de </w:t>
      </w:r>
      <w:r>
        <w:rPr>
          <w:rFonts w:ascii="Verdana" w:eastAsia="Century Gothic" w:hAnsi="Verdana" w:cs="Century Gothic"/>
          <w:bCs/>
          <w:i/>
          <w:iCs/>
        </w:rPr>
        <w:t xml:space="preserve">plan de pagos, </w:t>
      </w:r>
      <w:r w:rsidRPr="006D7A0F">
        <w:rPr>
          <w:rFonts w:ascii="Verdana" w:eastAsia="Century Gothic" w:hAnsi="Verdana" w:cs="Century Gothic"/>
          <w:bCs/>
        </w:rPr>
        <w:t xml:space="preserve">como se </w:t>
      </w:r>
      <w:r w:rsidRPr="00CD481A">
        <w:rPr>
          <w:rFonts w:ascii="Verdana" w:eastAsia="Century Gothic" w:hAnsi="Verdana" w:cs="Century Gothic"/>
          <w:bCs/>
        </w:rPr>
        <w:t>mencionó</w:t>
      </w:r>
      <w:r w:rsidRPr="006D7A0F">
        <w:rPr>
          <w:rFonts w:ascii="Verdana" w:eastAsia="Century Gothic" w:hAnsi="Verdana" w:cs="Century Gothic"/>
          <w:bCs/>
        </w:rPr>
        <w:t xml:space="preserve"> </w:t>
      </w:r>
      <w:r w:rsidRPr="00CD481A">
        <w:rPr>
          <w:rFonts w:ascii="Verdana" w:eastAsia="Century Gothic" w:hAnsi="Verdana" w:cs="Century Gothic"/>
          <w:bCs/>
        </w:rPr>
        <w:t>previamente,</w:t>
      </w:r>
      <w:r>
        <w:rPr>
          <w:rFonts w:ascii="Verdana" w:eastAsia="Century Gothic" w:hAnsi="Verdana" w:cs="Century Gothic"/>
          <w:bCs/>
          <w:i/>
          <w:iCs/>
        </w:rPr>
        <w:t xml:space="preserve"> </w:t>
      </w:r>
      <w:r w:rsidRPr="006D7A0F">
        <w:rPr>
          <w:rFonts w:ascii="Verdana" w:eastAsia="Century Gothic" w:hAnsi="Verdana" w:cs="Century Gothic"/>
          <w:bCs/>
        </w:rPr>
        <w:t>la</w:t>
      </w:r>
      <w:r w:rsidRPr="002B7173">
        <w:rPr>
          <w:rFonts w:ascii="Verdana" w:eastAsia="Calibri" w:hAnsi="Verdana" w:cs="Arial"/>
        </w:rPr>
        <w:t xml:space="preserve"> funcionalidad</w:t>
      </w:r>
      <w:r w:rsidRPr="00AB26E7">
        <w:rPr>
          <w:rFonts w:ascii="Verdana" w:eastAsia="Calibri" w:hAnsi="Verdana" w:cs="Arial"/>
        </w:rPr>
        <w:t xml:space="preserve"> de validación de factura electrónica</w:t>
      </w:r>
      <w:r>
        <w:rPr>
          <w:rFonts w:ascii="Verdana" w:eastAsia="Calibri" w:hAnsi="Verdana" w:cs="Arial"/>
        </w:rPr>
        <w:t xml:space="preserve">. </w:t>
      </w:r>
      <w:r w:rsidRPr="00AB26E7">
        <w:rPr>
          <w:rFonts w:ascii="Verdana" w:eastAsia="Calibri" w:hAnsi="Verdana" w:cs="Arial"/>
        </w:rPr>
        <w:t xml:space="preserve">El proceso de validación se realizará a través de mecanismos de interoperabilidad con la Dirección de Impuestos y Aduanas Nacionales - DIAN, </w:t>
      </w:r>
      <w:r w:rsidRPr="00AB26E7">
        <w:rPr>
          <w:rFonts w:ascii="Verdana" w:eastAsia="Calibri" w:hAnsi="Verdana" w:cs="Arial"/>
        </w:rPr>
        <w:lastRenderedPageBreak/>
        <w:t xml:space="preserve">proceso mediante el cual, el usuario registra en SECOP el código único de factura electrónica CUFE presente en el archivo </w:t>
      </w:r>
      <w:proofErr w:type="spellStart"/>
      <w:r w:rsidRPr="00AB26E7">
        <w:rPr>
          <w:rFonts w:ascii="Verdana" w:eastAsia="Calibri" w:hAnsi="Verdana" w:cs="Arial"/>
        </w:rPr>
        <w:t>pdf</w:t>
      </w:r>
      <w:proofErr w:type="spellEnd"/>
      <w:r w:rsidRPr="00AB26E7">
        <w:rPr>
          <w:rFonts w:ascii="Verdana" w:eastAsia="Calibri" w:hAnsi="Verdana" w:cs="Arial"/>
        </w:rPr>
        <w:t xml:space="preserve"> que su facturador electrónico le envía; posteriormente se valida de manera transparente con DIAN para conocer si la factura está o no autorizada y así continuar con su registro de factura en SECOP.</w:t>
      </w:r>
      <w:r>
        <w:rPr>
          <w:rFonts w:ascii="Verdana" w:eastAsia="Calibri" w:hAnsi="Verdana" w:cs="Arial"/>
        </w:rPr>
        <w:t xml:space="preserve"> Ahora bien, se debe señalar que para los tramites de pago internos o gestión administrativa, cada entidad tendrá la autonomía para solicitar los documentos que se requieran por parte del contratista respecto a la facturación. </w:t>
      </w:r>
    </w:p>
    <w:p w14:paraId="018C87C4" w14:textId="7FDF87F1" w:rsidR="00493102" w:rsidRPr="00F4711F" w:rsidRDefault="00493102" w:rsidP="00493102">
      <w:pPr>
        <w:spacing w:after="120" w:line="276" w:lineRule="auto"/>
        <w:ind w:firstLine="709"/>
        <w:jc w:val="both"/>
        <w:rPr>
          <w:rFonts w:ascii="Verdana" w:hAnsi="Verdana" w:cs="Arial"/>
        </w:rPr>
      </w:pPr>
      <w:r w:rsidRPr="00F4711F">
        <w:rPr>
          <w:rFonts w:ascii="Verdana" w:hAnsi="Verdana" w:cs="Arial"/>
        </w:rPr>
        <w:t xml:space="preserve">De acuerdo con lo anterior, cada entidad según la naturaleza de su presupuesto deberá dar cumplimiento a las disposiciones particulares para las actividades de gestión financiera, y establecer en los contratos la forma y qué documentos se deben presentar por parte de los contratistas para la facturación de los bienes, obras o servicios ejecutados. </w:t>
      </w:r>
    </w:p>
    <w:p w14:paraId="0741100C" w14:textId="77777777" w:rsidR="00493102" w:rsidRDefault="00493102" w:rsidP="00803A05">
      <w:pPr>
        <w:spacing w:after="0" w:line="276" w:lineRule="auto"/>
        <w:ind w:firstLine="709"/>
        <w:jc w:val="both"/>
        <w:rPr>
          <w:rFonts w:ascii="Verdana" w:eastAsia="Calibri" w:hAnsi="Verdana" w:cs="Arial"/>
          <w:bCs/>
          <w:color w:val="000000" w:themeColor="text1"/>
        </w:rPr>
      </w:pPr>
      <w:r w:rsidRPr="00E853DE">
        <w:rPr>
          <w:rFonts w:ascii="Verdana" w:eastAsia="Calibri" w:hAnsi="Verdana" w:cs="Arial"/>
          <w:bCs/>
          <w:color w:val="000000" w:themeColor="text1"/>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w:t>
      </w:r>
    </w:p>
    <w:p w14:paraId="49BE2A7F" w14:textId="77777777" w:rsidR="00803A05" w:rsidRPr="00F4711F" w:rsidRDefault="00803A05" w:rsidP="005F2788">
      <w:pPr>
        <w:spacing w:after="0" w:line="276" w:lineRule="auto"/>
        <w:ind w:firstLine="709"/>
        <w:jc w:val="both"/>
        <w:rPr>
          <w:rFonts w:ascii="Verdana" w:eastAsia="Calibri" w:hAnsi="Verdana" w:cs="Arial"/>
          <w:color w:val="000000" w:themeColor="text1"/>
          <w:lang w:val="es-ES"/>
        </w:rPr>
      </w:pPr>
    </w:p>
    <w:p w14:paraId="6611456B" w14:textId="77777777" w:rsidR="00493102" w:rsidRPr="00593A5F" w:rsidRDefault="00493102" w:rsidP="0049310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3FA113E4" w14:textId="77777777" w:rsidR="00493102" w:rsidRPr="00593A5F" w:rsidRDefault="00493102" w:rsidP="00493102">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93102" w:rsidRPr="002407CE" w14:paraId="1F80E03F" w14:textId="77777777" w:rsidTr="00754D1E">
        <w:trPr>
          <w:trHeight w:val="870"/>
          <w:jc w:val="center"/>
        </w:trPr>
        <w:tc>
          <w:tcPr>
            <w:tcW w:w="8647" w:type="dxa"/>
          </w:tcPr>
          <w:p w14:paraId="2184F749" w14:textId="77777777" w:rsidR="00493102" w:rsidRPr="00667B56" w:rsidRDefault="00493102" w:rsidP="00667B5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sidRPr="00667B56">
              <w:rPr>
                <w:rFonts w:ascii="Verdana" w:hAnsi="Verdana" w:cs="Arial"/>
                <w:color w:val="000000" w:themeColor="text1"/>
                <w:lang w:val="es-ES_tradnl"/>
              </w:rPr>
              <w:t>Ley 80 de 1993, artículo 77.</w:t>
            </w:r>
          </w:p>
          <w:p w14:paraId="050F5CC0" w14:textId="77777777" w:rsidR="00493102" w:rsidRPr="00667B56" w:rsidRDefault="00493102" w:rsidP="00667B5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sidRPr="00667B56">
              <w:rPr>
                <w:rFonts w:ascii="Verdana" w:hAnsi="Verdana" w:cs="Arial"/>
                <w:color w:val="000000" w:themeColor="text1"/>
                <w:lang w:val="es-ES_tradnl"/>
              </w:rPr>
              <w:t>Ley 527 de 1999, artículos 2 y 10.</w:t>
            </w:r>
          </w:p>
          <w:p w14:paraId="3965F230" w14:textId="77777777" w:rsidR="00493102" w:rsidRPr="00667B56" w:rsidRDefault="00493102" w:rsidP="00667B5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sidRPr="00667B56">
              <w:rPr>
                <w:rFonts w:ascii="Verdana" w:hAnsi="Verdana" w:cs="Arial"/>
              </w:rPr>
              <w:t xml:space="preserve">Ley 1150 de 2007, artículos 3 y 13. </w:t>
            </w:r>
          </w:p>
          <w:p w14:paraId="1708FD5F" w14:textId="77777777" w:rsidR="00493102" w:rsidRPr="00667B56" w:rsidRDefault="00493102" w:rsidP="00667B5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sidRPr="00667B56">
              <w:rPr>
                <w:rFonts w:ascii="Verdana" w:hAnsi="Verdana" w:cs="Arial"/>
              </w:rPr>
              <w:t>Ley 1437 de 2011, artículos 5, 7, 35, 53 a 64.</w:t>
            </w:r>
          </w:p>
          <w:p w14:paraId="4EECE87F" w14:textId="77777777" w:rsidR="00493102" w:rsidRPr="00667B56" w:rsidRDefault="00493102" w:rsidP="00667B5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sidRPr="00667B56">
              <w:rPr>
                <w:rFonts w:ascii="Verdana" w:hAnsi="Verdana" w:cs="Arial"/>
                <w:color w:val="000000" w:themeColor="text1"/>
                <w:lang w:val="es-ES_tradnl"/>
              </w:rPr>
              <w:t>Ley 1712 de 2014, artículos 5, 6 y 11.</w:t>
            </w:r>
          </w:p>
          <w:p w14:paraId="71A038CF" w14:textId="77777777" w:rsidR="00493102" w:rsidRPr="00667B56" w:rsidRDefault="00493102" w:rsidP="00667B5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sidRPr="00667B56">
              <w:rPr>
                <w:rFonts w:ascii="Verdana" w:hAnsi="Verdana" w:cs="Arial"/>
                <w:color w:val="000000" w:themeColor="text1"/>
                <w:lang w:val="es-ES_tradnl"/>
              </w:rPr>
              <w:t>Ley 2195 de 2022, artículo 53.</w:t>
            </w:r>
          </w:p>
          <w:p w14:paraId="2AB053E3" w14:textId="77777777" w:rsidR="00493102" w:rsidRPr="00667B56" w:rsidRDefault="00493102" w:rsidP="00667B5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sidRPr="00667B56">
              <w:rPr>
                <w:rFonts w:ascii="Verdana" w:hAnsi="Verdana" w:cs="Arial"/>
                <w:color w:val="000000" w:themeColor="text1"/>
                <w:lang w:val="es-ES_tradnl"/>
              </w:rPr>
              <w:t>Decreto 1081 de 2015, artículo 2.1.1.2.1.7.</w:t>
            </w:r>
          </w:p>
          <w:p w14:paraId="498EFA84" w14:textId="77777777" w:rsidR="00493102" w:rsidRPr="00667B56" w:rsidRDefault="00493102" w:rsidP="00667B5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sidRPr="00667B56">
              <w:rPr>
                <w:rFonts w:ascii="Verdana" w:hAnsi="Verdana" w:cs="Arial"/>
                <w:color w:val="000000" w:themeColor="text1"/>
                <w:lang w:val="es-ES_tradnl"/>
              </w:rPr>
              <w:t xml:space="preserve">Decreto 1082 de 2015, artículos 2.2.1.1.1.3.1 y </w:t>
            </w:r>
            <w:r w:rsidRPr="00667B56">
              <w:rPr>
                <w:rFonts w:ascii="Verdana" w:hAnsi="Verdana" w:cs="Arial"/>
              </w:rPr>
              <w:t>2.2.1.1.1.7.1.</w:t>
            </w:r>
          </w:p>
          <w:p w14:paraId="0D2D65A2" w14:textId="77777777" w:rsidR="00493102" w:rsidRPr="00667B56" w:rsidRDefault="00493102" w:rsidP="005F2788">
            <w:pPr>
              <w:pStyle w:val="Prrafodelista"/>
              <w:widowControl w:val="0"/>
              <w:numPr>
                <w:ilvl w:val="0"/>
                <w:numId w:val="17"/>
              </w:numPr>
              <w:autoSpaceDE w:val="0"/>
              <w:autoSpaceDN w:val="0"/>
              <w:spacing w:after="120" w:line="276" w:lineRule="auto"/>
              <w:contextualSpacing w:val="0"/>
              <w:jc w:val="both"/>
              <w:rPr>
                <w:rFonts w:ascii="Verdana" w:hAnsi="Verdana" w:cs="Arial"/>
                <w:color w:val="000000" w:themeColor="text1"/>
              </w:rPr>
            </w:pPr>
            <w:r w:rsidRPr="00667B56">
              <w:rPr>
                <w:rFonts w:ascii="Verdana" w:hAnsi="Verdana" w:cs="Arial"/>
                <w:color w:val="000000" w:themeColor="text1"/>
              </w:rPr>
              <w:t>Decreto 103 de 2015. Artículo 8.</w:t>
            </w:r>
          </w:p>
          <w:p w14:paraId="2E7A28ED" w14:textId="77777777" w:rsidR="00493102" w:rsidRPr="00FF09AA" w:rsidRDefault="00493102" w:rsidP="005F2788">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sidRPr="00667B56">
              <w:rPr>
                <w:rFonts w:ascii="Verdana" w:hAnsi="Verdana" w:cs="Arial"/>
                <w:color w:val="000000" w:themeColor="text1"/>
                <w:lang w:val="es-ES_tradnl"/>
              </w:rPr>
              <w:t xml:space="preserve">Circular Externa Única del 27 de diciembre de 2023. Disponible en: </w:t>
            </w:r>
            <w:hyperlink r:id="rId11" w:history="1">
              <w:r w:rsidRPr="00667B56">
                <w:rPr>
                  <w:rStyle w:val="Hipervnculo"/>
                  <w:rFonts w:ascii="Verdana" w:hAnsi="Verdana" w:cs="Arial"/>
                  <w:lang w:val="es-ES_tradnl"/>
                </w:rPr>
                <w:t>https://www.colombiacompra.gov.co/wp-</w:t>
              </w:r>
              <w:r w:rsidRPr="00667B56">
                <w:rPr>
                  <w:rStyle w:val="Hipervnculo"/>
                  <w:rFonts w:ascii="Verdana" w:hAnsi="Verdana" w:cs="Arial"/>
                  <w:lang w:val="es-ES_tradnl"/>
                </w:rPr>
                <w:lastRenderedPageBreak/>
                <w:t>content/uploads/2024/08/circular_externa_unica_version_3_vf49.pdf</w:t>
              </w:r>
            </w:hyperlink>
            <w:r w:rsidRPr="00667B56">
              <w:rPr>
                <w:rFonts w:ascii="Verdana" w:hAnsi="Verdana" w:cs="Arial"/>
                <w:color w:val="000000" w:themeColor="text1"/>
                <w:lang w:val="es-ES_tradnl"/>
              </w:rPr>
              <w:t>.</w:t>
            </w:r>
            <w:r>
              <w:rPr>
                <w:rFonts w:ascii="Verdana" w:hAnsi="Verdana" w:cs="Arial"/>
                <w:color w:val="000000" w:themeColor="text1"/>
                <w:lang w:val="es-ES_tradnl"/>
              </w:rPr>
              <w:t xml:space="preserve"> </w:t>
            </w:r>
          </w:p>
        </w:tc>
      </w:tr>
    </w:tbl>
    <w:p w14:paraId="2E2783B1" w14:textId="77777777" w:rsidR="00493102" w:rsidRPr="00667B56" w:rsidRDefault="00493102" w:rsidP="00667B56">
      <w:pPr>
        <w:widowControl w:val="0"/>
        <w:autoSpaceDE w:val="0"/>
        <w:autoSpaceDN w:val="0"/>
        <w:spacing w:after="0" w:line="276" w:lineRule="auto"/>
        <w:jc w:val="both"/>
        <w:rPr>
          <w:rFonts w:ascii="Verdana" w:hAnsi="Verdana" w:cs="Arial"/>
        </w:rPr>
      </w:pPr>
    </w:p>
    <w:p w14:paraId="3CF3D69F" w14:textId="77777777" w:rsidR="00493102" w:rsidRPr="00667B56" w:rsidRDefault="00493102" w:rsidP="00667B5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67B56">
        <w:rPr>
          <w:rFonts w:ascii="Verdana" w:eastAsia="Century Gothic" w:hAnsi="Verdana" w:cs="Century Gothic"/>
          <w:b/>
          <w:bCs/>
        </w:rPr>
        <w:t>Doctrina de la Agencia Nacional de Contratación Pública:</w:t>
      </w:r>
    </w:p>
    <w:p w14:paraId="717D69E0" w14:textId="77777777" w:rsidR="00493102" w:rsidRPr="00667B56" w:rsidRDefault="00493102" w:rsidP="00667B56">
      <w:pPr>
        <w:widowControl w:val="0"/>
        <w:autoSpaceDE w:val="0"/>
        <w:autoSpaceDN w:val="0"/>
        <w:spacing w:after="0" w:line="276" w:lineRule="auto"/>
        <w:jc w:val="both"/>
        <w:rPr>
          <w:rFonts w:ascii="Verdana" w:hAnsi="Verdana" w:cs="Arial"/>
        </w:rPr>
      </w:pPr>
    </w:p>
    <w:p w14:paraId="7353A797" w14:textId="77777777" w:rsidR="00493102" w:rsidRPr="00667B56" w:rsidRDefault="00493102" w:rsidP="00667B56">
      <w:pPr>
        <w:widowControl w:val="0"/>
        <w:autoSpaceDE w:val="0"/>
        <w:autoSpaceDN w:val="0"/>
        <w:spacing w:after="0" w:line="276" w:lineRule="auto"/>
        <w:jc w:val="both"/>
        <w:rPr>
          <w:rStyle w:val="normaltextrun"/>
          <w:rFonts w:ascii="Verdana" w:eastAsia="Calibri" w:hAnsi="Verdana" w:cs="Arial"/>
          <w:color w:val="000000" w:themeColor="text1"/>
          <w:lang w:val="es-ES"/>
        </w:rPr>
      </w:pPr>
      <w:r w:rsidRPr="00667B56">
        <w:rPr>
          <w:rFonts w:ascii="Verdana" w:hAnsi="Verdana" w:cs="Arial"/>
          <w:shd w:val="clear" w:color="auto" w:fill="FFFFFF"/>
        </w:rPr>
        <w:t>Esta Subdirección se ha pronunciado sobre los fundamentos normativos del deber de publicar la documentación contractual en las Sistema Electrónico de Contratación Pública–SECOP–, han sido materia de estudio de la doctrina de esta Subdirección en los Conceptos CU-003 del 15 de enero de 2020 y CU-367 del 23 de julio de 2020, reiterados en los Conceptos C-433 de 24 de julio de 2020, C-472 del 6 de septiembre de 2021, C-074 del 10 de marzo de 2022, C-134 de 2024 y C-939 del 23 de julio de 2025</w:t>
      </w:r>
      <w:r w:rsidRPr="00667B56">
        <w:rPr>
          <w:rFonts w:ascii="Verdana" w:hAnsi="Verdana"/>
        </w:rPr>
        <w:t xml:space="preserve">. </w:t>
      </w:r>
      <w:r w:rsidRPr="00667B56">
        <w:rPr>
          <w:rFonts w:ascii="Verdana" w:eastAsia="Calibri" w:hAnsi="Verdana" w:cs="Arial"/>
          <w:lang w:val="es-ES_tradnl" w:eastAsia="es-ES_tradnl"/>
        </w:rPr>
        <w:t>Asimismo, en el concepto C-104 del 6 de abril de 2021, C-005 del 21 de febrero de 2023, C-230 del 28 de junio de 2023, C-649 del 9 de septiembre de 2022, C-391 del 14 de noviembre de 2023, 273ª del 30 de abril de 2025, se estudió la existencia de reservas como excepción al deber de publicar la información contractual en el SECOP, entre otros</w:t>
      </w:r>
      <w:r w:rsidRPr="00667B56">
        <w:rPr>
          <w:rStyle w:val="normaltextrun"/>
          <w:rFonts w:ascii="Verdana" w:hAnsi="Verdana" w:cs="Arial"/>
          <w:shd w:val="clear" w:color="auto" w:fill="FFFFFF"/>
          <w:lang w:val="es-ES"/>
        </w:rPr>
        <w:t xml:space="preserve">. Sobre </w:t>
      </w:r>
      <w:r w:rsidRPr="00667B56">
        <w:rPr>
          <w:rFonts w:ascii="Verdana" w:eastAsia="Calibri" w:hAnsi="Verdana" w:cs="Arial"/>
          <w:color w:val="000000" w:themeColor="text1"/>
          <w:lang w:val="es-ES"/>
        </w:rPr>
        <w:t>la vigilancia de los contratos a través de la supervisión, esta Subdirección se ha pronunciado en sendos conceptos entre los cuales se encuentran los conceptos con radicado: C-521 del 08 de octubre de 2024, C-489 del 30 de octubre de 2024, C-737 del 20 de noviembre de 2024, C-974 del 17 de diciembre de 2024 y C-892 del 26 de diciembre de 2024.</w:t>
      </w:r>
      <w:r w:rsidRPr="00667B56">
        <w:rPr>
          <w:rStyle w:val="normaltextrun"/>
          <w:rFonts w:ascii="Verdana" w:hAnsi="Verdana" w:cs="Arial"/>
          <w:shd w:val="clear" w:color="auto" w:fill="FFFFFF"/>
          <w:lang w:val="es-ES"/>
        </w:rPr>
        <w:t xml:space="preserve"> </w:t>
      </w:r>
      <w:r w:rsidRPr="00667B56">
        <w:rPr>
          <w:rFonts w:ascii="Verdana" w:hAnsi="Verdana" w:cs="Arial"/>
          <w:shd w:val="clear" w:color="auto" w:fill="FFFFFF"/>
        </w:rPr>
        <w:t>Estos y otros </w:t>
      </w:r>
      <w:r w:rsidRPr="00667B56">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2" w:history="1">
        <w:r w:rsidRPr="00667B56">
          <w:rPr>
            <w:rStyle w:val="Hipervnculo"/>
            <w:rFonts w:ascii="Verdana" w:hAnsi="Verdana" w:cs="Arial"/>
            <w:shd w:val="clear" w:color="auto" w:fill="FFFFFF"/>
          </w:rPr>
          <w:t>https://relatoria.colombiacompra.gov.co/busqueda/conceptos</w:t>
        </w:r>
      </w:hyperlink>
      <w:r w:rsidRPr="00667B56">
        <w:rPr>
          <w:rStyle w:val="normaltextrun"/>
          <w:rFonts w:ascii="Verdana" w:hAnsi="Verdana" w:cs="Arial"/>
          <w:shd w:val="clear" w:color="auto" w:fill="FFFFFF"/>
        </w:rPr>
        <w:t xml:space="preserve">. </w:t>
      </w:r>
      <w:r w:rsidRPr="00667B56">
        <w:rPr>
          <w:rStyle w:val="normaltextrun"/>
          <w:rFonts w:ascii="Verdana" w:hAnsi="Verdana" w:cs="Arial"/>
          <w:color w:val="FF0000"/>
          <w:shd w:val="clear" w:color="auto" w:fill="FFFFFF"/>
          <w:lang w:val="es-ES"/>
        </w:rPr>
        <w:t xml:space="preserve"> </w:t>
      </w:r>
    </w:p>
    <w:p w14:paraId="6B513760" w14:textId="77777777" w:rsidR="00493102" w:rsidRPr="00667B56" w:rsidRDefault="00493102" w:rsidP="00667B56">
      <w:pPr>
        <w:widowControl w:val="0"/>
        <w:autoSpaceDE w:val="0"/>
        <w:autoSpaceDN w:val="0"/>
        <w:spacing w:after="0" w:line="276" w:lineRule="auto"/>
        <w:jc w:val="both"/>
        <w:rPr>
          <w:rFonts w:ascii="Verdana" w:hAnsi="Verdana" w:cs="Arial"/>
          <w:color w:val="000000" w:themeColor="text1"/>
          <w:shd w:val="clear" w:color="auto" w:fill="FFFFFF"/>
        </w:rPr>
      </w:pPr>
    </w:p>
    <w:p w14:paraId="25C650E4" w14:textId="77777777" w:rsidR="00493102" w:rsidRDefault="00493102" w:rsidP="00667B56">
      <w:pPr>
        <w:shd w:val="clear" w:color="auto" w:fill="FFFFFF"/>
        <w:spacing w:after="0" w:line="276" w:lineRule="auto"/>
        <w:jc w:val="both"/>
        <w:rPr>
          <w:rFonts w:ascii="Verdana" w:hAnsi="Verdana"/>
          <w:color w:val="000000"/>
          <w:u w:val="single"/>
        </w:rPr>
      </w:pPr>
      <w:r w:rsidRPr="00667B56">
        <w:rPr>
          <w:rFonts w:ascii="Verdana" w:hAnsi="Verdana"/>
          <w:color w:val="000000"/>
        </w:rPr>
        <w:t>Te informamos que ya se encuentra disponible la </w:t>
      </w:r>
      <w:r w:rsidRPr="00667B56">
        <w:rPr>
          <w:rFonts w:ascii="Verdana" w:hAnsi="Verdana"/>
          <w:b/>
          <w:bCs/>
          <w:color w:val="000000"/>
        </w:rPr>
        <w:t>Guía de lineamientos de transparencia y selección objetiva para el departamento de La Guajira – Objetivo sexto constitucional de la Sentencia T-302 del 2017. </w:t>
      </w:r>
      <w:r w:rsidRPr="00667B56">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667B56">
        <w:rPr>
          <w:rFonts w:ascii="Verdana" w:hAnsi="Verdana"/>
          <w:color w:val="000000"/>
        </w:rPr>
        <w:t>Wayúu</w:t>
      </w:r>
      <w:proofErr w:type="spellEnd"/>
      <w:r w:rsidRPr="00667B56">
        <w:rPr>
          <w:rFonts w:ascii="Verdana" w:hAnsi="Verdana"/>
          <w:color w:val="000000"/>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667B56">
          <w:rPr>
            <w:rStyle w:val="Hipervnculo"/>
            <w:rFonts w:ascii="Verdana" w:hAnsi="Verdana"/>
          </w:rPr>
          <w:t>Guía de lineamientos de transparencia y selección objetiva para el departamento de La Guajira – Objetivo sexto constitucional de la Sentencia T-302 del 2017</w:t>
        </w:r>
      </w:hyperlink>
      <w:r w:rsidRPr="00667B56">
        <w:rPr>
          <w:rFonts w:ascii="Verdana" w:hAnsi="Verdana"/>
          <w:color w:val="000000"/>
          <w:u w:val="single"/>
        </w:rPr>
        <w:t>.</w:t>
      </w:r>
    </w:p>
    <w:p w14:paraId="5F628E72" w14:textId="77777777" w:rsidR="00F12546" w:rsidRDefault="00F12546" w:rsidP="00667B56">
      <w:pPr>
        <w:shd w:val="clear" w:color="auto" w:fill="FFFFFF"/>
        <w:spacing w:after="0" w:line="276" w:lineRule="auto"/>
        <w:jc w:val="both"/>
        <w:rPr>
          <w:rFonts w:ascii="Verdana" w:hAnsi="Verdana"/>
          <w:color w:val="000000"/>
          <w:u w:val="single"/>
        </w:rPr>
      </w:pPr>
    </w:p>
    <w:p w14:paraId="441A0DC6" w14:textId="445E82E0" w:rsidR="00493102" w:rsidRPr="00667B56" w:rsidRDefault="00493102" w:rsidP="00667B56">
      <w:pPr>
        <w:widowControl w:val="0"/>
        <w:autoSpaceDE w:val="0"/>
        <w:autoSpaceDN w:val="0"/>
        <w:spacing w:after="0" w:line="276" w:lineRule="auto"/>
        <w:jc w:val="both"/>
        <w:rPr>
          <w:rFonts w:ascii="Verdana" w:hAnsi="Verdana" w:cs="Arial"/>
          <w:color w:val="FF0000"/>
          <w:shd w:val="clear" w:color="auto" w:fill="FFFFFF"/>
          <w:lang w:val="es-ES_tradnl"/>
        </w:rPr>
      </w:pPr>
      <w:r w:rsidRPr="00667B56">
        <w:rPr>
          <w:rStyle w:val="normaltextrun"/>
          <w:rFonts w:ascii="Verdana" w:hAnsi="Verdana" w:cs="Arial"/>
          <w:color w:val="FF0000"/>
          <w:shd w:val="clear" w:color="auto" w:fill="FFFFFF"/>
          <w:lang w:val="es-ES_tradnl"/>
        </w:rPr>
        <w:t xml:space="preserve">        </w:t>
      </w:r>
    </w:p>
    <w:p w14:paraId="368F41B1" w14:textId="77777777" w:rsidR="00493102" w:rsidRPr="00667B56" w:rsidRDefault="00493102" w:rsidP="00667B56">
      <w:pPr>
        <w:widowControl w:val="0"/>
        <w:autoSpaceDE w:val="0"/>
        <w:autoSpaceDN w:val="0"/>
        <w:spacing w:after="0" w:line="276" w:lineRule="auto"/>
        <w:jc w:val="both"/>
        <w:rPr>
          <w:rFonts w:ascii="Verdana" w:hAnsi="Verdana" w:cs="Arial"/>
          <w:lang w:val="es-ES_tradnl"/>
        </w:rPr>
      </w:pPr>
      <w:r w:rsidRPr="00667B56">
        <w:rPr>
          <w:rFonts w:ascii="Verdana" w:hAnsi="Verdana" w:cs="Arial"/>
        </w:rPr>
        <w:t xml:space="preserve">Este concepto tiene el alcance previsto en el artículo 28 del Código de Procedimiento Administrativo y de lo Contencioso Administrativo </w:t>
      </w:r>
      <w:r w:rsidRPr="00667B56">
        <w:rPr>
          <w:rFonts w:ascii="Verdana" w:hAnsi="Verdana" w:cs="Arial"/>
          <w:lang w:val="es-ES_tradnl"/>
        </w:rPr>
        <w:t>y las expresiones aquí utilizadas con mayúscula inicial deben ser entendidas con el significado que les otorga el artículo 2.2.1.1.1.3.1. del Decreto 1082 de 2015.</w:t>
      </w:r>
    </w:p>
    <w:p w14:paraId="30D7F832" w14:textId="77777777" w:rsidR="00493102" w:rsidRPr="00667B56" w:rsidRDefault="00493102" w:rsidP="00667B56">
      <w:pPr>
        <w:widowControl w:val="0"/>
        <w:autoSpaceDE w:val="0"/>
        <w:autoSpaceDN w:val="0"/>
        <w:spacing w:after="0" w:line="276" w:lineRule="auto"/>
        <w:jc w:val="both"/>
        <w:rPr>
          <w:rFonts w:ascii="Verdana" w:hAnsi="Verdana" w:cs="Arial"/>
        </w:rPr>
      </w:pPr>
    </w:p>
    <w:p w14:paraId="68596849" w14:textId="77777777" w:rsidR="00493102" w:rsidRPr="00667B56" w:rsidRDefault="00493102" w:rsidP="00667B56">
      <w:pPr>
        <w:spacing w:after="0" w:line="276" w:lineRule="auto"/>
        <w:jc w:val="both"/>
        <w:rPr>
          <w:rFonts w:ascii="Verdana" w:eastAsia="Times New Roman" w:hAnsi="Verdana" w:cs="Arial"/>
          <w:lang w:eastAsia="es-CO"/>
        </w:rPr>
      </w:pPr>
      <w:bookmarkStart w:id="6" w:name="_Hlk117695077"/>
      <w:r w:rsidRPr="00667B56">
        <w:rPr>
          <w:rFonts w:ascii="Verdana" w:eastAsia="Times New Roman" w:hAnsi="Verdana" w:cs="Arial"/>
          <w:lang w:eastAsia="es-CO"/>
        </w:rPr>
        <w:t>Atentamente,</w:t>
      </w:r>
    </w:p>
    <w:bookmarkEnd w:id="6"/>
    <w:p w14:paraId="4902955B" w14:textId="154581AA" w:rsidR="00493102" w:rsidRDefault="00AF551A" w:rsidP="00493102">
      <w:pPr>
        <w:spacing w:after="0" w:line="276" w:lineRule="auto"/>
        <w:jc w:val="center"/>
        <w:rPr>
          <w:rFonts w:ascii="Verdana" w:eastAsia="Times New Roman" w:hAnsi="Verdana" w:cs="Arial"/>
        </w:rPr>
      </w:pPr>
      <w:r w:rsidRPr="002C3AD6">
        <w:rPr>
          <w:rFonts w:ascii="Century Gothic" w:hAnsi="Century Gothic"/>
          <w:noProof/>
        </w:rPr>
        <w:drawing>
          <wp:inline distT="0" distB="0" distL="0" distR="0" wp14:anchorId="268C1972" wp14:editId="67B8F737">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p>
    <w:p w14:paraId="654E5401" w14:textId="77777777" w:rsidR="005F2788" w:rsidRDefault="005F2788" w:rsidP="00493102">
      <w:pPr>
        <w:spacing w:after="0" w:line="276" w:lineRule="auto"/>
        <w:jc w:val="center"/>
        <w:rPr>
          <w:rFonts w:ascii="Verdana" w:eastAsia="Times New Roman" w:hAnsi="Verdana" w:cs="Arial"/>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93102" w:rsidRPr="007A0E81" w14:paraId="66F28D91" w14:textId="77777777" w:rsidTr="00754D1E">
        <w:trPr>
          <w:trHeight w:val="315"/>
        </w:trPr>
        <w:tc>
          <w:tcPr>
            <w:tcW w:w="893" w:type="dxa"/>
            <w:vAlign w:val="center"/>
            <w:hideMark/>
          </w:tcPr>
          <w:p w14:paraId="03289FED" w14:textId="77777777" w:rsidR="00493102" w:rsidRPr="007A0E81" w:rsidRDefault="00493102" w:rsidP="00754D1E">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Elaboró:</w:t>
            </w:r>
          </w:p>
        </w:tc>
        <w:tc>
          <w:tcPr>
            <w:tcW w:w="5628" w:type="dxa"/>
            <w:tcBorders>
              <w:top w:val="nil"/>
              <w:left w:val="nil"/>
              <w:bottom w:val="dotted" w:sz="4" w:space="0" w:color="7F7F7F"/>
              <w:right w:val="nil"/>
            </w:tcBorders>
            <w:vAlign w:val="center"/>
            <w:hideMark/>
          </w:tcPr>
          <w:p w14:paraId="488BEEBC" w14:textId="77777777" w:rsidR="00493102" w:rsidRPr="007A0E81" w:rsidRDefault="00493102" w:rsidP="00754D1E">
            <w:pPr>
              <w:spacing w:line="276" w:lineRule="auto"/>
              <w:rPr>
                <w:rFonts w:ascii="Verdana" w:eastAsia="Arial" w:hAnsi="Verdana" w:cs="Arial"/>
                <w:color w:val="000000"/>
                <w:sz w:val="16"/>
                <w:szCs w:val="16"/>
              </w:rPr>
            </w:pPr>
            <w:r w:rsidRPr="007A0E81">
              <w:rPr>
                <w:rFonts w:ascii="Verdana" w:eastAsia="Times New Roman" w:hAnsi="Verdana" w:cs="Arial"/>
                <w:color w:val="000000"/>
                <w:sz w:val="16"/>
                <w:szCs w:val="16"/>
              </w:rPr>
              <w:t xml:space="preserve">María </w:t>
            </w:r>
            <w:proofErr w:type="spellStart"/>
            <w:r w:rsidRPr="007A0E81">
              <w:rPr>
                <w:rFonts w:ascii="Verdana" w:eastAsia="Times New Roman" w:hAnsi="Verdana" w:cs="Arial"/>
                <w:color w:val="000000"/>
                <w:sz w:val="16"/>
                <w:szCs w:val="16"/>
              </w:rPr>
              <w:t>Joshira</w:t>
            </w:r>
            <w:proofErr w:type="spellEnd"/>
            <w:r w:rsidRPr="007A0E81">
              <w:rPr>
                <w:rFonts w:ascii="Verdana" w:eastAsia="Times New Roman" w:hAnsi="Verdana" w:cs="Arial"/>
                <w:color w:val="000000"/>
                <w:sz w:val="16"/>
                <w:szCs w:val="16"/>
              </w:rPr>
              <w:t xml:space="preserve"> Nieto Manzano</w:t>
            </w:r>
          </w:p>
          <w:p w14:paraId="3B527F83" w14:textId="77777777" w:rsidR="00493102" w:rsidRPr="007A0E81" w:rsidRDefault="00493102" w:rsidP="00754D1E">
            <w:pPr>
              <w:spacing w:line="276" w:lineRule="auto"/>
              <w:rPr>
                <w:rFonts w:ascii="Verdana" w:eastAsia="Arial" w:hAnsi="Verdana" w:cs="Arial"/>
                <w:color w:val="000000"/>
                <w:sz w:val="16"/>
                <w:szCs w:val="16"/>
              </w:rPr>
            </w:pPr>
            <w:r w:rsidRPr="007A0E81">
              <w:rPr>
                <w:rFonts w:ascii="Verdana" w:eastAsia="Arial" w:hAnsi="Verdana" w:cs="Arial"/>
                <w:color w:val="000000"/>
                <w:sz w:val="16"/>
                <w:szCs w:val="16"/>
              </w:rPr>
              <w:t>Contratista de la Subdirección de Gestión Contractual</w:t>
            </w:r>
          </w:p>
        </w:tc>
      </w:tr>
      <w:tr w:rsidR="00493102" w:rsidRPr="007A0E81" w14:paraId="4B88B57B" w14:textId="77777777" w:rsidTr="00754D1E">
        <w:trPr>
          <w:trHeight w:val="330"/>
        </w:trPr>
        <w:tc>
          <w:tcPr>
            <w:tcW w:w="893" w:type="dxa"/>
            <w:vAlign w:val="center"/>
            <w:hideMark/>
          </w:tcPr>
          <w:p w14:paraId="022DF0BC" w14:textId="77777777" w:rsidR="00493102" w:rsidRPr="007A0E81" w:rsidRDefault="00493102" w:rsidP="00754D1E">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377915D8" w14:textId="77777777" w:rsidR="00493102" w:rsidRPr="007A0E81" w:rsidRDefault="00493102" w:rsidP="00754D1E">
            <w:pPr>
              <w:spacing w:line="276" w:lineRule="auto"/>
              <w:rPr>
                <w:rFonts w:ascii="Verdana" w:eastAsia="Times New Roman" w:hAnsi="Verdana" w:cs="Arial"/>
                <w:color w:val="000000"/>
                <w:sz w:val="16"/>
                <w:szCs w:val="16"/>
              </w:rPr>
            </w:pPr>
            <w:r w:rsidRPr="007A0E81">
              <w:rPr>
                <w:rFonts w:ascii="Verdana" w:eastAsia="Times New Roman" w:hAnsi="Verdana" w:cs="Arial"/>
                <w:color w:val="000000"/>
                <w:sz w:val="16"/>
                <w:szCs w:val="16"/>
              </w:rPr>
              <w:t xml:space="preserve">Diana Lucia Saavedra Castañeda </w:t>
            </w:r>
          </w:p>
          <w:p w14:paraId="3B47C621" w14:textId="77777777" w:rsidR="00493102" w:rsidRPr="007A0E81" w:rsidRDefault="00493102" w:rsidP="00754D1E">
            <w:pPr>
              <w:spacing w:line="276" w:lineRule="auto"/>
              <w:textAlignment w:val="baseline"/>
              <w:rPr>
                <w:rFonts w:ascii="Verdana" w:eastAsia="Times New Roman" w:hAnsi="Verdana" w:cs="Arial"/>
                <w:color w:val="000000"/>
                <w:sz w:val="16"/>
                <w:szCs w:val="16"/>
              </w:rPr>
            </w:pPr>
            <w:r w:rsidRPr="007A0E81">
              <w:rPr>
                <w:rFonts w:ascii="Verdana" w:eastAsia="Times New Roman" w:hAnsi="Verdana" w:cs="Arial"/>
                <w:color w:val="000000"/>
                <w:sz w:val="16"/>
                <w:szCs w:val="16"/>
              </w:rPr>
              <w:t>Contratista de la Subdirección de Gestión Contractual</w:t>
            </w:r>
          </w:p>
        </w:tc>
      </w:tr>
      <w:tr w:rsidR="00493102" w:rsidRPr="007A0E81" w14:paraId="51C78560" w14:textId="77777777" w:rsidTr="00754D1E">
        <w:trPr>
          <w:trHeight w:val="300"/>
        </w:trPr>
        <w:tc>
          <w:tcPr>
            <w:tcW w:w="893" w:type="dxa"/>
            <w:vAlign w:val="center"/>
          </w:tcPr>
          <w:p w14:paraId="56A71330" w14:textId="77777777" w:rsidR="00493102" w:rsidRPr="007A0E81" w:rsidRDefault="00493102" w:rsidP="00754D1E">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6297FAAB" w14:textId="77777777" w:rsidR="00493102" w:rsidRPr="007A0E81" w:rsidRDefault="00493102" w:rsidP="00754D1E">
            <w:pPr>
              <w:spacing w:line="276" w:lineRule="auto"/>
              <w:rPr>
                <w:rFonts w:ascii="Verdana" w:eastAsia="Times New Roman" w:hAnsi="Verdana" w:cs="Arial"/>
                <w:color w:val="000000"/>
                <w:sz w:val="16"/>
                <w:szCs w:val="16"/>
              </w:rPr>
            </w:pPr>
            <w:r w:rsidRPr="007A0E81">
              <w:rPr>
                <w:rFonts w:ascii="Verdana" w:eastAsia="Times New Roman" w:hAnsi="Verdana" w:cs="Arial"/>
                <w:color w:val="000000"/>
                <w:sz w:val="16"/>
                <w:szCs w:val="16"/>
              </w:rPr>
              <w:t xml:space="preserve">Carolina Quintero </w:t>
            </w:r>
            <w:proofErr w:type="spellStart"/>
            <w:r w:rsidRPr="007A0E81">
              <w:rPr>
                <w:rFonts w:ascii="Verdana" w:eastAsia="Times New Roman" w:hAnsi="Verdana" w:cs="Arial"/>
                <w:color w:val="000000"/>
                <w:sz w:val="16"/>
                <w:szCs w:val="16"/>
              </w:rPr>
              <w:t>Gacharná</w:t>
            </w:r>
            <w:proofErr w:type="spellEnd"/>
          </w:p>
          <w:p w14:paraId="7B7850FA" w14:textId="77777777" w:rsidR="00493102" w:rsidRPr="007A0E81" w:rsidRDefault="00493102" w:rsidP="00754D1E">
            <w:pPr>
              <w:spacing w:line="276" w:lineRule="auto"/>
              <w:rPr>
                <w:rFonts w:ascii="Verdana" w:eastAsia="Times New Roman" w:hAnsi="Verdana" w:cs="Arial"/>
                <w:color w:val="000000"/>
                <w:sz w:val="16"/>
                <w:szCs w:val="16"/>
              </w:rPr>
            </w:pPr>
            <w:r w:rsidRPr="007A0E81">
              <w:rPr>
                <w:rFonts w:ascii="Verdana" w:eastAsia="Times New Roman" w:hAnsi="Verdana" w:cs="Arial"/>
                <w:color w:val="000000"/>
                <w:sz w:val="16"/>
                <w:szCs w:val="16"/>
              </w:rPr>
              <w:t>Subdirectora de Gestión Contractual ANCP – CCE</w:t>
            </w:r>
          </w:p>
        </w:tc>
      </w:tr>
      <w:bookmarkEnd w:id="0"/>
    </w:tbl>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A9DDC" w14:textId="77777777" w:rsidR="00B047D6" w:rsidRDefault="00B047D6" w:rsidP="004A1847">
      <w:pPr>
        <w:spacing w:after="0" w:line="240" w:lineRule="auto"/>
      </w:pPr>
      <w:r>
        <w:separator/>
      </w:r>
    </w:p>
  </w:endnote>
  <w:endnote w:type="continuationSeparator" w:id="0">
    <w:p w14:paraId="34793851" w14:textId="77777777" w:rsidR="00B047D6" w:rsidRDefault="00B047D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90C38" w14:textId="77777777" w:rsidR="00B047D6" w:rsidRDefault="00B047D6" w:rsidP="004A1847">
      <w:pPr>
        <w:spacing w:after="0" w:line="240" w:lineRule="auto"/>
      </w:pPr>
      <w:r>
        <w:separator/>
      </w:r>
    </w:p>
  </w:footnote>
  <w:footnote w:type="continuationSeparator" w:id="0">
    <w:p w14:paraId="06492F67" w14:textId="77777777" w:rsidR="00B047D6" w:rsidRDefault="00B047D6" w:rsidP="004A1847">
      <w:pPr>
        <w:spacing w:after="0" w:line="240" w:lineRule="auto"/>
      </w:pPr>
      <w:r>
        <w:continuationSeparator/>
      </w:r>
    </w:p>
  </w:footnote>
  <w:footnote w:id="1">
    <w:p w14:paraId="49AC5B23" w14:textId="77777777" w:rsidR="00E0626F" w:rsidRPr="005F2788" w:rsidRDefault="00E0626F" w:rsidP="00E0626F">
      <w:pPr>
        <w:pStyle w:val="NormalWeb"/>
        <w:spacing w:before="0" w:beforeAutospacing="0" w:after="0" w:afterAutospacing="0"/>
        <w:ind w:firstLine="708"/>
        <w:contextualSpacing/>
        <w:jc w:val="both"/>
        <w:rPr>
          <w:rFonts w:ascii="Verdana" w:hAnsi="Verdana" w:cs="Arial"/>
          <w:color w:val="000000"/>
          <w:sz w:val="14"/>
          <w:szCs w:val="14"/>
        </w:rPr>
      </w:pPr>
      <w:r w:rsidRPr="005F2788">
        <w:rPr>
          <w:rStyle w:val="Refdenotaalpie"/>
          <w:rFonts w:ascii="Verdana" w:hAnsi="Verdana" w:cs="Arial"/>
          <w:sz w:val="14"/>
          <w:szCs w:val="14"/>
        </w:rPr>
        <w:footnoteRef/>
      </w:r>
      <w:r w:rsidRPr="005F2788">
        <w:rPr>
          <w:rFonts w:ascii="Verdana" w:hAnsi="Verdana" w:cs="Arial"/>
          <w:sz w:val="14"/>
          <w:szCs w:val="14"/>
        </w:rPr>
        <w:t xml:space="preserve"> Decreto 1081 de 2015 “</w:t>
      </w:r>
      <w:r w:rsidRPr="005F2788">
        <w:rPr>
          <w:rFonts w:ascii="Verdana" w:hAnsi="Verdana" w:cs="Arial"/>
          <w:color w:val="000000"/>
          <w:sz w:val="14"/>
          <w:szCs w:val="14"/>
        </w:rPr>
        <w:t>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7431229B" w14:textId="77777777" w:rsidR="00E0626F" w:rsidRPr="005F2788" w:rsidRDefault="00E0626F" w:rsidP="00E0626F">
      <w:pPr>
        <w:spacing w:after="0" w:line="240" w:lineRule="auto"/>
        <w:contextualSpacing/>
        <w:jc w:val="both"/>
        <w:rPr>
          <w:rFonts w:ascii="Verdana" w:hAnsi="Verdana" w:cs="Arial"/>
          <w:color w:val="000000"/>
          <w:sz w:val="14"/>
          <w:szCs w:val="14"/>
          <w:lang w:eastAsia="es-CO"/>
        </w:rPr>
      </w:pPr>
      <w:r w:rsidRPr="005F2788">
        <w:rPr>
          <w:rFonts w:ascii="Verdana" w:hAnsi="Verdana" w:cs="Arial"/>
          <w:color w:val="000000"/>
          <w:sz w:val="14"/>
          <w:szCs w:val="14"/>
          <w:lang w:eastAsia="es-CO"/>
        </w:rPr>
        <w:t>  </w:t>
      </w:r>
      <w:r w:rsidRPr="005F2788">
        <w:rPr>
          <w:rFonts w:ascii="Verdana" w:hAnsi="Verdana" w:cs="Arial"/>
          <w:color w:val="000000"/>
          <w:sz w:val="14"/>
          <w:szCs w:val="14"/>
          <w:lang w:eastAsia="es-CO"/>
        </w:rPr>
        <w:tab/>
        <w:t>“Los sujetos obligados que contratan con cargo a recursos públicos deben publicar la información de su gestión contractual en el plazo previsto en el artículo 19 del Decreto 1510 de 2013, o el que lo modifique, sustituya o adicione. </w:t>
      </w:r>
    </w:p>
    <w:p w14:paraId="1C099843" w14:textId="77777777" w:rsidR="00E0626F" w:rsidRPr="005F2788" w:rsidRDefault="00E0626F" w:rsidP="00E0626F">
      <w:pPr>
        <w:spacing w:after="0" w:line="240" w:lineRule="auto"/>
        <w:contextualSpacing/>
        <w:jc w:val="both"/>
        <w:rPr>
          <w:rFonts w:ascii="Verdana" w:hAnsi="Verdana" w:cs="Arial"/>
          <w:color w:val="000000"/>
          <w:sz w:val="14"/>
          <w:szCs w:val="14"/>
          <w:lang w:eastAsia="es-CO"/>
        </w:rPr>
      </w:pPr>
      <w:r w:rsidRPr="005F2788">
        <w:rPr>
          <w:rFonts w:ascii="Verdana" w:hAnsi="Verdana" w:cs="Arial"/>
          <w:color w:val="000000"/>
          <w:sz w:val="14"/>
          <w:szCs w:val="14"/>
          <w:lang w:eastAsia="es-CO"/>
        </w:rPr>
        <w:t>  </w:t>
      </w:r>
      <w:r w:rsidRPr="005F2788">
        <w:rPr>
          <w:rFonts w:ascii="Verdana" w:hAnsi="Verdana" w:cs="Arial"/>
          <w:color w:val="000000"/>
          <w:sz w:val="14"/>
          <w:szCs w:val="14"/>
          <w:lang w:eastAsia="es-CO"/>
        </w:rPr>
        <w:tab/>
        <w:t>“Los sujetos obligados que contratan con recursos públicos y recursos privados, deben publicar la información de su gestión contractual con cargo a recursos públicos en el Sistema Electrónico para la Contratación Pública (SECOP)</w:t>
      </w:r>
      <w:r w:rsidRPr="005F2788">
        <w:rPr>
          <w:rFonts w:ascii="Verdana" w:hAnsi="Verdana" w:cs="Arial"/>
          <w:sz w:val="14"/>
          <w:szCs w:val="14"/>
        </w:rPr>
        <w:t>”.</w:t>
      </w:r>
    </w:p>
  </w:footnote>
  <w:footnote w:id="2">
    <w:p w14:paraId="6EDC482B" w14:textId="77777777" w:rsidR="00493102" w:rsidRPr="005F2788" w:rsidRDefault="00493102" w:rsidP="005F2788">
      <w:pPr>
        <w:pStyle w:val="NormalWeb"/>
        <w:spacing w:before="0" w:beforeAutospacing="0" w:after="0" w:afterAutospacing="0"/>
        <w:ind w:firstLine="708"/>
        <w:contextualSpacing/>
        <w:jc w:val="both"/>
        <w:rPr>
          <w:rFonts w:ascii="Verdana" w:hAnsi="Verdana" w:cs="Arial"/>
          <w:color w:val="000000"/>
          <w:sz w:val="14"/>
          <w:szCs w:val="14"/>
        </w:rPr>
      </w:pPr>
      <w:r w:rsidRPr="005F2788">
        <w:rPr>
          <w:rStyle w:val="Refdenotaalpie"/>
          <w:rFonts w:ascii="Verdana" w:hAnsi="Verdana" w:cs="Arial"/>
          <w:sz w:val="14"/>
          <w:szCs w:val="14"/>
        </w:rPr>
        <w:footnoteRef/>
      </w:r>
      <w:r w:rsidRPr="005F2788">
        <w:rPr>
          <w:rFonts w:ascii="Verdana" w:hAnsi="Verdana" w:cs="Arial"/>
          <w:sz w:val="14"/>
          <w:szCs w:val="14"/>
        </w:rPr>
        <w:t xml:space="preserve"> Decreto 1081 de 2015 “</w:t>
      </w:r>
      <w:r w:rsidRPr="005F2788">
        <w:rPr>
          <w:rFonts w:ascii="Verdana" w:hAnsi="Verdana" w:cs="Arial"/>
          <w:color w:val="000000"/>
          <w:sz w:val="14"/>
          <w:szCs w:val="14"/>
        </w:rPr>
        <w:t>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13C98200" w14:textId="77777777" w:rsidR="00493102" w:rsidRPr="005F2788" w:rsidRDefault="00493102" w:rsidP="005F2788">
      <w:pPr>
        <w:spacing w:after="0" w:line="240" w:lineRule="auto"/>
        <w:contextualSpacing/>
        <w:jc w:val="both"/>
        <w:rPr>
          <w:rFonts w:ascii="Verdana" w:hAnsi="Verdana" w:cs="Arial"/>
          <w:color w:val="000000"/>
          <w:sz w:val="14"/>
          <w:szCs w:val="14"/>
          <w:lang w:eastAsia="es-CO"/>
        </w:rPr>
      </w:pPr>
      <w:r w:rsidRPr="005F2788">
        <w:rPr>
          <w:rFonts w:ascii="Verdana" w:hAnsi="Verdana" w:cs="Arial"/>
          <w:color w:val="000000"/>
          <w:sz w:val="14"/>
          <w:szCs w:val="14"/>
          <w:lang w:eastAsia="es-CO"/>
        </w:rPr>
        <w:t>  </w:t>
      </w:r>
      <w:r w:rsidRPr="005F2788">
        <w:rPr>
          <w:rFonts w:ascii="Verdana" w:hAnsi="Verdana" w:cs="Arial"/>
          <w:color w:val="000000"/>
          <w:sz w:val="14"/>
          <w:szCs w:val="14"/>
          <w:lang w:eastAsia="es-CO"/>
        </w:rPr>
        <w:tab/>
        <w:t>“Los sujetos obligados que contratan con cargo a recursos públicos deben publicar la información de su gestión contractual en el plazo previsto en el artículo 19 del Decreto 1510 de 2013, o el que lo modifique, sustituya o adicione. </w:t>
      </w:r>
    </w:p>
    <w:p w14:paraId="348CEE87" w14:textId="77777777" w:rsidR="00493102" w:rsidRDefault="00493102" w:rsidP="007F3378">
      <w:pPr>
        <w:spacing w:after="0" w:line="240" w:lineRule="auto"/>
        <w:contextualSpacing/>
        <w:jc w:val="both"/>
        <w:rPr>
          <w:rFonts w:ascii="Verdana" w:hAnsi="Verdana" w:cs="Arial"/>
          <w:sz w:val="14"/>
          <w:szCs w:val="14"/>
        </w:rPr>
      </w:pPr>
      <w:r w:rsidRPr="005F2788">
        <w:rPr>
          <w:rFonts w:ascii="Verdana" w:hAnsi="Verdana" w:cs="Arial"/>
          <w:color w:val="000000"/>
          <w:sz w:val="14"/>
          <w:szCs w:val="14"/>
          <w:lang w:eastAsia="es-CO"/>
        </w:rPr>
        <w:t>  </w:t>
      </w:r>
      <w:r w:rsidRPr="005F2788">
        <w:rPr>
          <w:rFonts w:ascii="Verdana" w:hAnsi="Verdana" w:cs="Arial"/>
          <w:color w:val="000000"/>
          <w:sz w:val="14"/>
          <w:szCs w:val="14"/>
          <w:lang w:eastAsia="es-CO"/>
        </w:rPr>
        <w:tab/>
        <w:t>“Los sujetos obligados que contratan con recursos públicos y recursos privados, deben publicar la información de su gestión contractual con cargo a recursos públicos en el Sistema Electrónico para la Contratación Pública (SECOP)</w:t>
      </w:r>
      <w:r w:rsidRPr="005F2788">
        <w:rPr>
          <w:rFonts w:ascii="Verdana" w:hAnsi="Verdana" w:cs="Arial"/>
          <w:sz w:val="14"/>
          <w:szCs w:val="14"/>
        </w:rPr>
        <w:t>”.</w:t>
      </w:r>
    </w:p>
    <w:p w14:paraId="3BBA660C" w14:textId="77777777" w:rsidR="0008025A" w:rsidRPr="005F2788" w:rsidRDefault="0008025A" w:rsidP="005F2788">
      <w:pPr>
        <w:spacing w:after="0" w:line="240" w:lineRule="auto"/>
        <w:contextualSpacing/>
        <w:jc w:val="both"/>
        <w:rPr>
          <w:rFonts w:ascii="Verdana" w:hAnsi="Verdana" w:cs="Arial"/>
          <w:color w:val="000000"/>
          <w:sz w:val="14"/>
          <w:szCs w:val="14"/>
          <w:lang w:eastAsia="es-CO"/>
        </w:rPr>
      </w:pPr>
    </w:p>
  </w:footnote>
  <w:footnote w:id="3">
    <w:p w14:paraId="1DA7712F" w14:textId="77777777" w:rsidR="00493102" w:rsidRPr="005F2788" w:rsidRDefault="00493102" w:rsidP="005F2788">
      <w:pPr>
        <w:pStyle w:val="Textonotapie"/>
        <w:ind w:right="49" w:firstLine="709"/>
        <w:contextualSpacing/>
        <w:jc w:val="both"/>
        <w:rPr>
          <w:rFonts w:ascii="Verdana" w:hAnsi="Verdana" w:cs="Arial"/>
          <w:color w:val="000000"/>
          <w:sz w:val="14"/>
          <w:szCs w:val="14"/>
        </w:rPr>
      </w:pPr>
      <w:r w:rsidRPr="005F2788">
        <w:rPr>
          <w:rStyle w:val="Refdenotaalpie"/>
          <w:rFonts w:ascii="Verdana" w:hAnsi="Verdana" w:cs="Arial"/>
          <w:color w:val="000000"/>
          <w:sz w:val="14"/>
          <w:szCs w:val="14"/>
        </w:rPr>
        <w:footnoteRef/>
      </w:r>
      <w:r w:rsidRPr="005F2788">
        <w:rPr>
          <w:rFonts w:ascii="Verdana" w:hAnsi="Verdana" w:cs="Arial"/>
          <w:color w:val="000000"/>
          <w:sz w:val="14"/>
          <w:szCs w:val="14"/>
        </w:rPr>
        <w:t xml:space="preserve"> Decreto 1081 de 2015: “Artículo 2.1.1.2.1.8.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footnote>
  <w:footnote w:id="4">
    <w:p w14:paraId="3141BC1C" w14:textId="77777777" w:rsidR="000F6898" w:rsidRPr="005F2788" w:rsidRDefault="000F6898" w:rsidP="005F2788">
      <w:pPr>
        <w:pStyle w:val="Textonotapie"/>
        <w:ind w:firstLine="709"/>
        <w:contextualSpacing/>
        <w:jc w:val="both"/>
        <w:rPr>
          <w:rFonts w:ascii="Verdana" w:hAnsi="Verdana" w:cs="Arial"/>
          <w:color w:val="000000"/>
          <w:sz w:val="14"/>
          <w:szCs w:val="14"/>
        </w:rPr>
      </w:pPr>
      <w:r w:rsidRPr="005F2788">
        <w:rPr>
          <w:rStyle w:val="Refdenotaalpie"/>
          <w:rFonts w:ascii="Verdana" w:hAnsi="Verdana" w:cs="Arial"/>
          <w:color w:val="000000"/>
          <w:sz w:val="14"/>
          <w:szCs w:val="14"/>
        </w:rPr>
        <w:footnoteRef/>
      </w:r>
      <w:r w:rsidRPr="005F2788">
        <w:rPr>
          <w:rFonts w:ascii="Verdana" w:hAnsi="Verdana" w:cs="Arial"/>
          <w:color w:val="000000"/>
          <w:sz w:val="14"/>
          <w:szCs w:val="14"/>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41DA596F" w14:textId="77777777" w:rsidR="000F6898" w:rsidRPr="005F2788" w:rsidRDefault="000F6898" w:rsidP="005F2788">
      <w:pPr>
        <w:pStyle w:val="Textonotapie"/>
        <w:ind w:firstLine="709"/>
        <w:contextualSpacing/>
        <w:jc w:val="both"/>
        <w:rPr>
          <w:rFonts w:ascii="Verdana" w:hAnsi="Verdana" w:cs="Arial"/>
          <w:color w:val="000000"/>
          <w:sz w:val="14"/>
          <w:szCs w:val="14"/>
        </w:rPr>
      </w:pPr>
    </w:p>
    <w:p w14:paraId="70A5DA4D" w14:textId="77777777" w:rsidR="000F6898" w:rsidRPr="005F2788" w:rsidRDefault="000F6898" w:rsidP="005F2788">
      <w:pPr>
        <w:pStyle w:val="Textonotapie"/>
        <w:ind w:firstLine="709"/>
        <w:contextualSpacing/>
        <w:jc w:val="both"/>
        <w:rPr>
          <w:rFonts w:ascii="Verdana" w:hAnsi="Verdana" w:cs="Arial"/>
          <w:color w:val="000000"/>
          <w:sz w:val="14"/>
          <w:szCs w:val="14"/>
        </w:rPr>
      </w:pPr>
      <w:r w:rsidRPr="005F2788">
        <w:rPr>
          <w:rFonts w:ascii="Verdana" w:hAnsi="Verdana" w:cs="Arial"/>
          <w:color w:val="000000"/>
          <w:sz w:val="14"/>
          <w:szCs w:val="14"/>
        </w:rPr>
        <w:t>Lo anterior, sin perjuicio de las publicaciones previstas en el numeral 3 del artículo 30 de la Ley 80 de 1993.</w:t>
      </w:r>
    </w:p>
    <w:p w14:paraId="25B4BA27" w14:textId="77777777" w:rsidR="000F6898" w:rsidRPr="005F2788" w:rsidRDefault="000F6898" w:rsidP="005F2788">
      <w:pPr>
        <w:pStyle w:val="Textonotapie"/>
        <w:ind w:firstLine="709"/>
        <w:contextualSpacing/>
        <w:jc w:val="both"/>
        <w:rPr>
          <w:rFonts w:ascii="Verdana" w:hAnsi="Verdana" w:cs="Arial"/>
          <w:color w:val="000000"/>
          <w:sz w:val="14"/>
          <w:szCs w:val="14"/>
        </w:rPr>
      </w:pPr>
      <w:r w:rsidRPr="005F2788">
        <w:rPr>
          <w:rFonts w:ascii="Verdana" w:hAnsi="Verdana" w:cs="Arial"/>
          <w:color w:val="000000"/>
          <w:sz w:val="14"/>
          <w:szCs w:val="14"/>
        </w:rPr>
        <w:t xml:space="preserve">Con el fin de materializar los objetivos a que se refiere el inciso anterior, el Gobierno Nacional desarrollará el Sistema Electrónico para la Contratación Pública, </w:t>
      </w:r>
      <w:proofErr w:type="spellStart"/>
      <w:r w:rsidRPr="005F2788">
        <w:rPr>
          <w:rFonts w:ascii="Verdana" w:hAnsi="Verdana" w:cs="Arial"/>
          <w:color w:val="000000"/>
          <w:sz w:val="14"/>
          <w:szCs w:val="14"/>
        </w:rPr>
        <w:t>Secop</w:t>
      </w:r>
      <w:proofErr w:type="spellEnd"/>
      <w:r w:rsidRPr="005F2788">
        <w:rPr>
          <w:rFonts w:ascii="Verdana" w:hAnsi="Verdana" w:cs="Arial"/>
          <w:color w:val="000000"/>
          <w:sz w:val="14"/>
          <w:szCs w:val="14"/>
        </w:rPr>
        <w:t xml:space="preserve">, el cual: </w:t>
      </w:r>
    </w:p>
    <w:p w14:paraId="21563F83" w14:textId="77777777" w:rsidR="000F6898" w:rsidRPr="005F2788" w:rsidRDefault="000F6898" w:rsidP="005F2788">
      <w:pPr>
        <w:pStyle w:val="Textonotapie"/>
        <w:ind w:firstLine="709"/>
        <w:contextualSpacing/>
        <w:jc w:val="both"/>
        <w:rPr>
          <w:rFonts w:ascii="Verdana" w:hAnsi="Verdana" w:cs="Arial"/>
          <w:color w:val="000000"/>
          <w:sz w:val="14"/>
          <w:szCs w:val="14"/>
        </w:rPr>
      </w:pPr>
      <w:r w:rsidRPr="005F2788">
        <w:rPr>
          <w:rFonts w:ascii="Verdana" w:hAnsi="Verdana" w:cs="Arial"/>
          <w:color w:val="000000"/>
          <w:sz w:val="14"/>
          <w:szCs w:val="14"/>
        </w:rPr>
        <w:t>[…]</w:t>
      </w:r>
    </w:p>
    <w:p w14:paraId="04CF5A29" w14:textId="77777777" w:rsidR="000F6898" w:rsidRPr="005F2788" w:rsidRDefault="000F6898" w:rsidP="005F2788">
      <w:pPr>
        <w:pStyle w:val="Textonotapie"/>
        <w:ind w:firstLine="709"/>
        <w:contextualSpacing/>
        <w:jc w:val="both"/>
        <w:rPr>
          <w:rFonts w:ascii="Verdana" w:hAnsi="Verdana" w:cs="Arial"/>
          <w:color w:val="000000"/>
          <w:sz w:val="14"/>
          <w:szCs w:val="14"/>
        </w:rPr>
      </w:pPr>
      <w:r w:rsidRPr="005F2788">
        <w:rPr>
          <w:rFonts w:ascii="Verdana" w:hAnsi="Verdana" w:cs="Arial"/>
          <w:color w:val="000000"/>
          <w:sz w:val="14"/>
          <w:szCs w:val="14"/>
        </w:rPr>
        <w:t xml:space="preserve">c) Contará con la información oficial de la contratación realizada con dineros públicos, para lo cual establecerá los patrones a que haya lugar y se encargará de su difusión a través de canales electrónico”. </w:t>
      </w:r>
    </w:p>
    <w:p w14:paraId="21C29B02" w14:textId="77777777" w:rsidR="000F6898" w:rsidRPr="005F2788" w:rsidRDefault="000F6898" w:rsidP="005F2788">
      <w:pPr>
        <w:pStyle w:val="Textonotapie"/>
        <w:ind w:firstLine="709"/>
        <w:contextualSpacing/>
        <w:jc w:val="both"/>
        <w:rPr>
          <w:rFonts w:ascii="Verdana" w:hAnsi="Verdana" w:cs="Arial"/>
          <w:color w:val="000000"/>
          <w:sz w:val="14"/>
          <w:szCs w:val="14"/>
          <w:lang w:val="es-CO"/>
        </w:rPr>
      </w:pPr>
    </w:p>
  </w:footnote>
  <w:footnote w:id="5">
    <w:p w14:paraId="3BADDE22" w14:textId="77777777" w:rsidR="00493102" w:rsidRPr="005F2788" w:rsidRDefault="00493102" w:rsidP="005F2788">
      <w:pPr>
        <w:pStyle w:val="Textonotapie"/>
        <w:ind w:right="49" w:firstLine="709"/>
        <w:contextualSpacing/>
        <w:jc w:val="both"/>
        <w:rPr>
          <w:rFonts w:ascii="Verdana" w:hAnsi="Verdana" w:cs="Arial"/>
          <w:color w:val="000000" w:themeColor="text1"/>
          <w:sz w:val="14"/>
          <w:szCs w:val="14"/>
        </w:rPr>
      </w:pPr>
      <w:r w:rsidRPr="005F2788">
        <w:rPr>
          <w:rStyle w:val="Refdenotaalpie"/>
          <w:rFonts w:ascii="Verdana" w:hAnsi="Verdana" w:cs="Arial"/>
          <w:color w:val="000000" w:themeColor="text1"/>
          <w:sz w:val="14"/>
          <w:szCs w:val="14"/>
        </w:rPr>
        <w:footnoteRef/>
      </w:r>
      <w:r w:rsidRPr="005F2788">
        <w:rPr>
          <w:rFonts w:ascii="Verdana" w:hAnsi="Verdana" w:cs="Arial"/>
          <w:color w:val="000000" w:themeColor="text1"/>
          <w:sz w:val="14"/>
          <w:szCs w:val="14"/>
        </w:rPr>
        <w:t xml:space="preserve"> Ley 1712 de 2014: “Artículo 5. Ámbito de aplicación. Las disposiciones de esta ley serán aplicables a las siguientes personas en calidad de sujetos obligados: </w:t>
      </w:r>
    </w:p>
    <w:p w14:paraId="182F91D3" w14:textId="77777777" w:rsidR="00493102" w:rsidRDefault="00493102" w:rsidP="007F3378">
      <w:pPr>
        <w:pStyle w:val="Textonotapie"/>
        <w:ind w:right="49" w:firstLine="709"/>
        <w:contextualSpacing/>
        <w:jc w:val="both"/>
        <w:rPr>
          <w:rFonts w:ascii="Verdana" w:hAnsi="Verdana" w:cs="Arial"/>
          <w:color w:val="000000" w:themeColor="text1"/>
          <w:sz w:val="14"/>
          <w:szCs w:val="14"/>
        </w:rPr>
      </w:pPr>
      <w:r w:rsidRPr="005F2788">
        <w:rPr>
          <w:rFonts w:ascii="Verdana" w:hAnsi="Verdana" w:cs="Arial"/>
          <w:color w:val="000000" w:themeColor="text1"/>
          <w:sz w:val="14"/>
          <w:szCs w:val="14"/>
        </w:rPr>
        <w:t>a)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p w14:paraId="0D224EDE" w14:textId="77777777" w:rsidR="00DC5B2A" w:rsidRPr="005F2788" w:rsidRDefault="00DC5B2A" w:rsidP="005F2788">
      <w:pPr>
        <w:pStyle w:val="Textonotapie"/>
        <w:ind w:right="49" w:firstLine="709"/>
        <w:contextualSpacing/>
        <w:jc w:val="both"/>
        <w:rPr>
          <w:rFonts w:ascii="Verdana" w:hAnsi="Verdana" w:cs="Arial"/>
          <w:color w:val="000000" w:themeColor="text1"/>
          <w:sz w:val="14"/>
          <w:szCs w:val="14"/>
        </w:rPr>
      </w:pPr>
    </w:p>
  </w:footnote>
  <w:footnote w:id="6">
    <w:p w14:paraId="73FA0C76" w14:textId="77777777" w:rsidR="00493102" w:rsidRPr="005F2788" w:rsidRDefault="00493102" w:rsidP="005F2788">
      <w:pPr>
        <w:pStyle w:val="Textonotapie"/>
        <w:ind w:right="49" w:firstLine="709"/>
        <w:contextualSpacing/>
        <w:jc w:val="both"/>
        <w:rPr>
          <w:rFonts w:ascii="Verdana" w:hAnsi="Verdana" w:cs="Arial"/>
          <w:color w:val="000000" w:themeColor="text1"/>
          <w:sz w:val="14"/>
          <w:szCs w:val="14"/>
        </w:rPr>
      </w:pPr>
      <w:r w:rsidRPr="005F2788">
        <w:rPr>
          <w:rFonts w:ascii="Verdana" w:hAnsi="Verdana" w:cs="Arial"/>
          <w:color w:val="000000" w:themeColor="text1"/>
          <w:sz w:val="14"/>
          <w:szCs w:val="14"/>
          <w:vertAlign w:val="superscript"/>
          <w:lang w:val="es-ES" w:eastAsia="es-ES"/>
        </w:rPr>
        <w:footnoteRef/>
      </w:r>
      <w:r w:rsidRPr="005F2788">
        <w:rPr>
          <w:rFonts w:ascii="Verdana" w:hAnsi="Verdana" w:cs="Arial"/>
          <w:color w:val="000000" w:themeColor="text1"/>
          <w:sz w:val="14"/>
          <w:szCs w:val="14"/>
          <w:vertAlign w:val="superscript"/>
          <w:lang w:val="es-ES" w:eastAsia="es-ES"/>
        </w:rPr>
        <w:t xml:space="preserve"> </w:t>
      </w:r>
      <w:r w:rsidRPr="005F2788">
        <w:rPr>
          <w:rFonts w:ascii="Verdana" w:hAnsi="Verdana" w:cs="Arial"/>
          <w:color w:val="000000" w:themeColor="text1"/>
          <w:sz w:val="14"/>
          <w:szCs w:val="14"/>
          <w:lang w:val="es-ES" w:eastAsia="es-ES"/>
        </w:rPr>
        <w:t>“</w:t>
      </w:r>
      <w:r w:rsidRPr="005F2788">
        <w:rPr>
          <w:rFonts w:ascii="Verdana" w:hAnsi="Verdana" w:cs="Arial"/>
          <w:color w:val="000000" w:themeColor="text1"/>
          <w:sz w:val="14"/>
          <w:szCs w:val="14"/>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5ABD0FA4" w14:textId="77777777" w:rsidR="00493102" w:rsidRPr="005F2788" w:rsidRDefault="00493102" w:rsidP="005F2788">
      <w:pPr>
        <w:pStyle w:val="Textonotapie"/>
        <w:ind w:right="49" w:firstLine="709"/>
        <w:contextualSpacing/>
        <w:jc w:val="both"/>
        <w:rPr>
          <w:rFonts w:ascii="Verdana" w:hAnsi="Verdana" w:cs="Arial"/>
          <w:color w:val="000000" w:themeColor="text1"/>
          <w:sz w:val="14"/>
          <w:szCs w:val="14"/>
          <w:lang w:val="es-ES" w:eastAsia="es-ES"/>
        </w:rPr>
      </w:pPr>
      <w:r w:rsidRPr="005F2788">
        <w:rPr>
          <w:rFonts w:ascii="Verdana" w:hAnsi="Verdana" w:cs="Arial"/>
          <w:color w:val="000000" w:themeColor="text1"/>
          <w:sz w:val="14"/>
          <w:szCs w:val="14"/>
        </w:rPr>
        <w:t>[…].</w:t>
      </w:r>
    </w:p>
    <w:p w14:paraId="220DDB53" w14:textId="77777777" w:rsidR="00493102" w:rsidRDefault="00493102" w:rsidP="007F3378">
      <w:pPr>
        <w:pStyle w:val="Textonotapie"/>
        <w:ind w:right="49" w:firstLine="709"/>
        <w:contextualSpacing/>
        <w:jc w:val="both"/>
        <w:rPr>
          <w:rFonts w:ascii="Verdana" w:hAnsi="Verdana" w:cs="Arial"/>
          <w:color w:val="000000" w:themeColor="text1"/>
          <w:sz w:val="14"/>
          <w:szCs w:val="14"/>
          <w:lang w:val="es-ES" w:eastAsia="es-ES"/>
        </w:rPr>
      </w:pPr>
      <w:r w:rsidRPr="005F2788">
        <w:rPr>
          <w:rFonts w:ascii="Verdana" w:hAnsi="Verdana" w:cs="Arial"/>
          <w:color w:val="000000" w:themeColor="text1"/>
          <w:sz w:val="14"/>
          <w:szCs w:val="14"/>
          <w:lang w:val="es-ES" w:eastAsia="es-ES"/>
        </w:rPr>
        <w:t xml:space="preserve">Los sujetos obligados que contratan con recursos públicos y recursos </w:t>
      </w:r>
      <w:proofErr w:type="gramStart"/>
      <w:r w:rsidRPr="005F2788">
        <w:rPr>
          <w:rFonts w:ascii="Verdana" w:hAnsi="Verdana" w:cs="Arial"/>
          <w:color w:val="000000" w:themeColor="text1"/>
          <w:sz w:val="14"/>
          <w:szCs w:val="14"/>
          <w:lang w:val="es-ES" w:eastAsia="es-ES"/>
        </w:rPr>
        <w:t>privados,</w:t>
      </w:r>
      <w:proofErr w:type="gramEnd"/>
      <w:r w:rsidRPr="005F2788">
        <w:rPr>
          <w:rFonts w:ascii="Verdana" w:hAnsi="Verdana" w:cs="Arial"/>
          <w:color w:val="000000" w:themeColor="text1"/>
          <w:sz w:val="14"/>
          <w:szCs w:val="14"/>
          <w:lang w:val="es-ES" w:eastAsia="es-ES"/>
        </w:rPr>
        <w:t xml:space="preserve"> deben publicar la información de su gestión contractual con cargo a recursos públicos en el Sistema Electrónico para la Contratación Pública [SECOP]”.</w:t>
      </w:r>
    </w:p>
    <w:p w14:paraId="0B349048" w14:textId="77777777" w:rsidR="0008025A" w:rsidRPr="005F2788" w:rsidRDefault="0008025A" w:rsidP="005F2788">
      <w:pPr>
        <w:pStyle w:val="Textonotapie"/>
        <w:ind w:right="49" w:firstLine="709"/>
        <w:contextualSpacing/>
        <w:jc w:val="both"/>
        <w:rPr>
          <w:rFonts w:ascii="Verdana" w:hAnsi="Verdana" w:cs="Arial"/>
          <w:color w:val="000000" w:themeColor="text1"/>
          <w:sz w:val="14"/>
          <w:szCs w:val="14"/>
          <w:lang w:val="es-ES" w:eastAsia="es-ES"/>
        </w:rPr>
      </w:pPr>
    </w:p>
  </w:footnote>
  <w:footnote w:id="7">
    <w:p w14:paraId="08A3C357" w14:textId="77777777" w:rsidR="00493102" w:rsidRPr="005F2788" w:rsidRDefault="00493102" w:rsidP="005F2788">
      <w:pPr>
        <w:pStyle w:val="Textonotapie"/>
        <w:ind w:right="49" w:firstLine="708"/>
        <w:contextualSpacing/>
        <w:jc w:val="both"/>
        <w:rPr>
          <w:rFonts w:ascii="Verdana" w:hAnsi="Verdana" w:cs="Arial"/>
          <w:color w:val="000000" w:themeColor="text1"/>
          <w:sz w:val="14"/>
          <w:szCs w:val="14"/>
        </w:rPr>
      </w:pPr>
      <w:r w:rsidRPr="005F2788">
        <w:rPr>
          <w:rStyle w:val="Refdenotaalpie"/>
          <w:rFonts w:ascii="Verdana" w:hAnsi="Verdana" w:cs="Arial"/>
          <w:color w:val="000000" w:themeColor="text1"/>
          <w:sz w:val="14"/>
          <w:szCs w:val="14"/>
        </w:rPr>
        <w:footnoteRef/>
      </w:r>
      <w:r w:rsidRPr="005F2788">
        <w:rPr>
          <w:rFonts w:ascii="Verdana" w:hAnsi="Verdana" w:cs="Arial"/>
          <w:color w:val="000000" w:themeColor="text1"/>
          <w:sz w:val="14"/>
          <w:szCs w:val="14"/>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0D899F53" w14:textId="77777777" w:rsidR="00493102" w:rsidRDefault="00493102" w:rsidP="007F3378">
      <w:pPr>
        <w:pStyle w:val="Textonotapie"/>
        <w:ind w:right="49" w:firstLine="708"/>
        <w:contextualSpacing/>
        <w:jc w:val="both"/>
        <w:rPr>
          <w:rFonts w:ascii="Verdana" w:hAnsi="Verdana" w:cs="Arial"/>
          <w:color w:val="000000" w:themeColor="text1"/>
          <w:sz w:val="14"/>
          <w:szCs w:val="14"/>
        </w:rPr>
      </w:pPr>
      <w:r w:rsidRPr="005F2788">
        <w:rPr>
          <w:rFonts w:ascii="Verdana" w:hAnsi="Verdana" w:cs="Arial"/>
          <w:color w:val="000000" w:themeColor="text1"/>
          <w:sz w:val="14"/>
          <w:szCs w:val="14"/>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p w14:paraId="54B621A2" w14:textId="77777777" w:rsidR="00DC5B2A" w:rsidRPr="005F2788" w:rsidRDefault="00DC5B2A" w:rsidP="005F2788">
      <w:pPr>
        <w:pStyle w:val="Textonotapie"/>
        <w:ind w:right="49" w:firstLine="708"/>
        <w:contextualSpacing/>
        <w:jc w:val="both"/>
        <w:rPr>
          <w:rFonts w:ascii="Verdana" w:hAnsi="Verdana" w:cs="Arial"/>
          <w:color w:val="000000" w:themeColor="text1"/>
          <w:sz w:val="14"/>
          <w:szCs w:val="14"/>
          <w:lang w:val="es-ES"/>
        </w:rPr>
      </w:pPr>
    </w:p>
  </w:footnote>
  <w:footnote w:id="8">
    <w:p w14:paraId="73B1E7E6" w14:textId="77777777" w:rsidR="00493102" w:rsidRPr="005F2788" w:rsidRDefault="00493102" w:rsidP="005F2788">
      <w:pPr>
        <w:pStyle w:val="NormalWeb"/>
        <w:spacing w:before="0" w:beforeAutospacing="0" w:after="0" w:afterAutospacing="0"/>
        <w:ind w:firstLine="708"/>
        <w:contextualSpacing/>
        <w:jc w:val="both"/>
        <w:rPr>
          <w:rFonts w:ascii="Verdana" w:hAnsi="Verdana" w:cs="Arial"/>
          <w:color w:val="000000"/>
          <w:sz w:val="14"/>
          <w:szCs w:val="14"/>
        </w:rPr>
      </w:pPr>
      <w:r w:rsidRPr="005F2788">
        <w:rPr>
          <w:rStyle w:val="Refdenotaalpie"/>
          <w:rFonts w:ascii="Verdana" w:hAnsi="Verdana" w:cs="Arial"/>
          <w:sz w:val="14"/>
          <w:szCs w:val="14"/>
        </w:rPr>
        <w:footnoteRef/>
      </w:r>
      <w:r w:rsidRPr="005F2788">
        <w:rPr>
          <w:rFonts w:ascii="Verdana" w:hAnsi="Verdana" w:cs="Arial"/>
          <w:sz w:val="14"/>
          <w:szCs w:val="14"/>
        </w:rPr>
        <w:t xml:space="preserve"> Decreto 1081 de 2015 “</w:t>
      </w:r>
      <w:r w:rsidRPr="005F2788">
        <w:rPr>
          <w:rFonts w:ascii="Verdana" w:hAnsi="Verdana" w:cs="Arial"/>
          <w:color w:val="000000"/>
          <w:sz w:val="14"/>
          <w:szCs w:val="14"/>
        </w:rPr>
        <w:t>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0B1A5DF7" w14:textId="77777777" w:rsidR="00493102" w:rsidRPr="005F2788" w:rsidRDefault="00493102" w:rsidP="005F2788">
      <w:pPr>
        <w:spacing w:after="0" w:line="240" w:lineRule="auto"/>
        <w:contextualSpacing/>
        <w:jc w:val="both"/>
        <w:rPr>
          <w:rFonts w:ascii="Verdana" w:hAnsi="Verdana" w:cs="Arial"/>
          <w:color w:val="000000"/>
          <w:sz w:val="14"/>
          <w:szCs w:val="14"/>
          <w:lang w:eastAsia="es-CO"/>
        </w:rPr>
      </w:pPr>
      <w:r w:rsidRPr="005F2788">
        <w:rPr>
          <w:rFonts w:ascii="Verdana" w:hAnsi="Verdana" w:cs="Arial"/>
          <w:color w:val="000000"/>
          <w:sz w:val="14"/>
          <w:szCs w:val="14"/>
          <w:lang w:eastAsia="es-CO"/>
        </w:rPr>
        <w:t>  </w:t>
      </w:r>
      <w:r w:rsidRPr="005F2788">
        <w:rPr>
          <w:rFonts w:ascii="Verdana" w:hAnsi="Verdana" w:cs="Arial"/>
          <w:color w:val="000000"/>
          <w:sz w:val="14"/>
          <w:szCs w:val="14"/>
          <w:lang w:eastAsia="es-CO"/>
        </w:rPr>
        <w:tab/>
        <w:t>“Los sujetos obligados que contratan con cargo a recursos públicos deben publicar la información de su gestión contractual en el plazo previsto en el artículo 19 del Decreto 1510 de 2013, o el que lo modifique, sustituya o adicione. </w:t>
      </w:r>
    </w:p>
    <w:p w14:paraId="0D938681" w14:textId="77777777" w:rsidR="00493102" w:rsidRPr="005F2788" w:rsidRDefault="00493102" w:rsidP="005F2788">
      <w:pPr>
        <w:spacing w:after="0" w:line="240" w:lineRule="auto"/>
        <w:contextualSpacing/>
        <w:jc w:val="both"/>
        <w:rPr>
          <w:rFonts w:ascii="Verdana" w:hAnsi="Verdana" w:cs="Arial"/>
          <w:color w:val="000000"/>
          <w:sz w:val="14"/>
          <w:szCs w:val="14"/>
          <w:lang w:eastAsia="es-CO"/>
        </w:rPr>
      </w:pPr>
      <w:r w:rsidRPr="005F2788">
        <w:rPr>
          <w:rFonts w:ascii="Verdana" w:hAnsi="Verdana" w:cs="Arial"/>
          <w:color w:val="000000"/>
          <w:sz w:val="14"/>
          <w:szCs w:val="14"/>
          <w:lang w:eastAsia="es-CO"/>
        </w:rPr>
        <w:t>  </w:t>
      </w:r>
      <w:r w:rsidRPr="005F2788">
        <w:rPr>
          <w:rFonts w:ascii="Verdana" w:hAnsi="Verdana" w:cs="Arial"/>
          <w:color w:val="000000"/>
          <w:sz w:val="14"/>
          <w:szCs w:val="14"/>
          <w:lang w:eastAsia="es-CO"/>
        </w:rPr>
        <w:tab/>
        <w:t>“Los sujetos obligados que contratan con recursos públicos y recursos privados, deben publicar la información de su gestión contractual con cargo a recursos públicos en el Sistema Electrónico para la Contratación Pública (SECOP)</w:t>
      </w:r>
      <w:r w:rsidRPr="005F2788">
        <w:rPr>
          <w:rFonts w:ascii="Verdana" w:hAnsi="Verdana" w:cs="Arial"/>
          <w:sz w:val="14"/>
          <w:szCs w:val="14"/>
        </w:rPr>
        <w:t>”.</w:t>
      </w:r>
    </w:p>
  </w:footnote>
  <w:footnote w:id="9">
    <w:p w14:paraId="6F9BB80F" w14:textId="77777777" w:rsidR="00493102" w:rsidRDefault="00493102" w:rsidP="007F3378">
      <w:pPr>
        <w:pStyle w:val="Textonotapie"/>
        <w:ind w:right="49" w:firstLine="709"/>
        <w:contextualSpacing/>
        <w:jc w:val="both"/>
        <w:rPr>
          <w:rFonts w:ascii="Verdana" w:hAnsi="Verdana" w:cs="Arial"/>
          <w:color w:val="000000"/>
          <w:sz w:val="14"/>
          <w:szCs w:val="14"/>
        </w:rPr>
      </w:pPr>
      <w:r w:rsidRPr="005F2788">
        <w:rPr>
          <w:rStyle w:val="Refdenotaalpie"/>
          <w:rFonts w:ascii="Verdana" w:hAnsi="Verdana" w:cs="Arial"/>
          <w:color w:val="000000"/>
          <w:sz w:val="14"/>
          <w:szCs w:val="14"/>
        </w:rPr>
        <w:footnoteRef/>
      </w:r>
      <w:r w:rsidRPr="005F2788">
        <w:rPr>
          <w:rFonts w:ascii="Verdana" w:hAnsi="Verdana" w:cs="Arial"/>
          <w:color w:val="000000"/>
          <w:sz w:val="14"/>
          <w:szCs w:val="14"/>
        </w:rPr>
        <w:t xml:space="preserve"> Decreto 1081 de 2015: “Artículo 2.1.1.2.1.8.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p w14:paraId="2B4A5EB6" w14:textId="77777777" w:rsidR="0008025A" w:rsidRPr="005F2788" w:rsidRDefault="0008025A" w:rsidP="005F2788">
      <w:pPr>
        <w:pStyle w:val="Textonotapie"/>
        <w:ind w:right="49" w:firstLine="709"/>
        <w:contextualSpacing/>
        <w:jc w:val="both"/>
        <w:rPr>
          <w:rFonts w:ascii="Verdana" w:hAnsi="Verdana" w:cs="Arial"/>
          <w:color w:val="000000"/>
          <w:sz w:val="14"/>
          <w:szCs w:val="14"/>
        </w:rPr>
      </w:pPr>
    </w:p>
  </w:footnote>
  <w:footnote w:id="10">
    <w:p w14:paraId="43F1164E" w14:textId="77777777" w:rsidR="00493102" w:rsidRPr="005F2788" w:rsidRDefault="00493102" w:rsidP="007F3378">
      <w:pPr>
        <w:pStyle w:val="Textonotapie"/>
        <w:ind w:firstLine="708"/>
        <w:contextualSpacing/>
        <w:jc w:val="both"/>
        <w:rPr>
          <w:rFonts w:ascii="Verdana" w:hAnsi="Verdana" w:cs="Arial"/>
          <w:sz w:val="14"/>
          <w:szCs w:val="14"/>
        </w:rPr>
      </w:pPr>
      <w:r w:rsidRPr="005F2788">
        <w:rPr>
          <w:rStyle w:val="Refdenotaalpie"/>
          <w:rFonts w:ascii="Verdana" w:hAnsi="Verdana" w:cs="Arial"/>
          <w:sz w:val="14"/>
          <w:szCs w:val="14"/>
        </w:rPr>
        <w:footnoteRef/>
      </w:r>
      <w:r w:rsidRPr="005F2788">
        <w:rPr>
          <w:rFonts w:ascii="Verdana" w:hAnsi="Verdana" w:cs="Arial"/>
          <w:sz w:val="14"/>
          <w:szCs w:val="14"/>
        </w:rPr>
        <w:t xml:space="preserve"> “Artículo 21. DIVULGACIÓN PARCIAL Y OTRAS REGLAS. En aquellas circunstancias en que la totalidad de la información contenida en un documento no esté protegida por una excepción contenida en la presente ley, debe hacerse una versión pública que mantenga la reserva únicamente de la parte indispensable. La información pública que no cae en ningún supuesto de excepción deberá ser entregada a la parte solicitante, así como ser de conocimiento público. La reserva de acceso a la información opera respecto del contenido de un documento </w:t>
      </w:r>
      <w:proofErr w:type="gramStart"/>
      <w:r w:rsidRPr="005F2788">
        <w:rPr>
          <w:rFonts w:ascii="Verdana" w:hAnsi="Verdana" w:cs="Arial"/>
          <w:sz w:val="14"/>
          <w:szCs w:val="14"/>
        </w:rPr>
        <w:t>público</w:t>
      </w:r>
      <w:proofErr w:type="gramEnd"/>
      <w:r w:rsidRPr="005F2788">
        <w:rPr>
          <w:rFonts w:ascii="Verdana" w:hAnsi="Verdana" w:cs="Arial"/>
          <w:sz w:val="14"/>
          <w:szCs w:val="14"/>
        </w:rPr>
        <w:t xml:space="preserve"> pero no de su existencia.</w:t>
      </w:r>
    </w:p>
    <w:p w14:paraId="12F175BF" w14:textId="77777777" w:rsidR="00493102" w:rsidRPr="005F2788" w:rsidRDefault="00493102" w:rsidP="007F3378">
      <w:pPr>
        <w:pStyle w:val="Textonotapie"/>
        <w:ind w:firstLine="708"/>
        <w:contextualSpacing/>
        <w:jc w:val="both"/>
        <w:rPr>
          <w:rFonts w:ascii="Verdana" w:hAnsi="Verdana" w:cs="Arial"/>
          <w:sz w:val="14"/>
          <w:szCs w:val="14"/>
        </w:rPr>
      </w:pPr>
      <w:r w:rsidRPr="005F2788">
        <w:rPr>
          <w:rFonts w:ascii="Verdana" w:hAnsi="Verdana" w:cs="Arial"/>
          <w:sz w:val="14"/>
          <w:szCs w:val="14"/>
        </w:rPr>
        <w:t xml:space="preserve">Ninguna </w:t>
      </w:r>
      <w:proofErr w:type="gramStart"/>
      <w:r w:rsidRPr="005F2788">
        <w:rPr>
          <w:rFonts w:ascii="Verdana" w:hAnsi="Verdana" w:cs="Arial"/>
          <w:sz w:val="14"/>
          <w:szCs w:val="14"/>
        </w:rPr>
        <w:t>autoridad pública</w:t>
      </w:r>
      <w:proofErr w:type="gramEnd"/>
      <w:r w:rsidRPr="005F2788">
        <w:rPr>
          <w:rFonts w:ascii="Verdana" w:hAnsi="Verdana" w:cs="Arial"/>
          <w:sz w:val="14"/>
          <w:szCs w:val="14"/>
        </w:rPr>
        <w:t xml:space="preserve"> puede negarse a indicar si un documento obra o no en su poder o negar la divulgación de un documento, salvo que el daño causado al interés protegido sea mayor al interés público de obtener acceso a la información.</w:t>
      </w:r>
    </w:p>
    <w:p w14:paraId="543ED7D5" w14:textId="77777777" w:rsidR="00493102" w:rsidRDefault="00493102" w:rsidP="007F3378">
      <w:pPr>
        <w:pStyle w:val="Textonotapie"/>
        <w:ind w:firstLine="708"/>
        <w:contextualSpacing/>
        <w:jc w:val="both"/>
        <w:rPr>
          <w:rFonts w:ascii="Verdana" w:hAnsi="Verdana" w:cs="Arial"/>
          <w:sz w:val="14"/>
          <w:szCs w:val="14"/>
        </w:rPr>
      </w:pPr>
      <w:r w:rsidRPr="005F2788">
        <w:rPr>
          <w:rFonts w:ascii="Verdana" w:hAnsi="Verdana" w:cs="Arial"/>
          <w:sz w:val="14"/>
          <w:szCs w:val="14"/>
        </w:rPr>
        <w:t>Las excepciones de acceso a la información contenidas en la presente ley no aplican en casos de violación de derechos humanos o delitos de lesa humanidad, y en todo caso deberán protegerse los derechos de las víctimas de dichas violaciones”.</w:t>
      </w:r>
    </w:p>
    <w:p w14:paraId="548A3A3F" w14:textId="77777777" w:rsidR="0008025A" w:rsidRPr="005F2788" w:rsidRDefault="0008025A" w:rsidP="007F3378">
      <w:pPr>
        <w:pStyle w:val="Textonotapie"/>
        <w:ind w:firstLine="708"/>
        <w:contextualSpacing/>
        <w:jc w:val="both"/>
        <w:rPr>
          <w:rFonts w:ascii="Verdana" w:hAnsi="Verdana" w:cs="Arial"/>
          <w:sz w:val="14"/>
          <w:szCs w:val="14"/>
          <w:lang w:val="es-CO"/>
        </w:rPr>
      </w:pPr>
    </w:p>
  </w:footnote>
  <w:footnote w:id="11">
    <w:p w14:paraId="09EAF01B" w14:textId="77777777" w:rsidR="00493102" w:rsidRDefault="00493102" w:rsidP="007F3378">
      <w:pPr>
        <w:pStyle w:val="Textonotapie"/>
        <w:ind w:firstLine="708"/>
        <w:contextualSpacing/>
        <w:rPr>
          <w:rFonts w:ascii="Verdana" w:hAnsi="Verdana"/>
          <w:sz w:val="14"/>
          <w:szCs w:val="14"/>
        </w:rPr>
      </w:pPr>
      <w:r w:rsidRPr="005F2788">
        <w:rPr>
          <w:rStyle w:val="Refdenotaalpie"/>
          <w:rFonts w:ascii="Verdana" w:hAnsi="Verdana"/>
          <w:sz w:val="14"/>
          <w:szCs w:val="14"/>
        </w:rPr>
        <w:footnoteRef/>
      </w:r>
      <w:r w:rsidRPr="005F2788">
        <w:rPr>
          <w:rFonts w:ascii="Verdana" w:hAnsi="Verdana"/>
          <w:sz w:val="14"/>
          <w:szCs w:val="14"/>
        </w:rPr>
        <w:t xml:space="preserve"> Consultar en el siguiente enlace: </w:t>
      </w:r>
      <w:hyperlink r:id="rId1" w:history="1">
        <w:r w:rsidRPr="005F2788">
          <w:rPr>
            <w:rStyle w:val="Hipervnculo"/>
            <w:rFonts w:ascii="Verdana" w:hAnsi="Verdana"/>
            <w:sz w:val="14"/>
            <w:szCs w:val="14"/>
          </w:rPr>
          <w:t>https://operaciones.colombiacompra.gov.co/sites/cce_public/files/cce_documents/cce_guia_para_el_ejercicio_de_las_funciones_de_supervision_e_interventoria_de_los_contratos_del_estado.pdf</w:t>
        </w:r>
      </w:hyperlink>
    </w:p>
    <w:p w14:paraId="7B80C37E" w14:textId="77777777" w:rsidR="0008025A" w:rsidRPr="005F2788" w:rsidRDefault="0008025A" w:rsidP="005F2788">
      <w:pPr>
        <w:pStyle w:val="Textonotapie"/>
        <w:ind w:firstLine="708"/>
        <w:contextualSpacing/>
        <w:rPr>
          <w:rFonts w:ascii="Verdana" w:hAnsi="Verdana"/>
          <w:sz w:val="14"/>
          <w:szCs w:val="14"/>
        </w:rPr>
      </w:pPr>
    </w:p>
  </w:footnote>
  <w:footnote w:id="12">
    <w:p w14:paraId="1509FA9A" w14:textId="77777777" w:rsidR="00493102" w:rsidRPr="005F2788" w:rsidRDefault="00493102" w:rsidP="005F2788">
      <w:pPr>
        <w:pStyle w:val="Textonotapie"/>
        <w:ind w:firstLine="708"/>
        <w:contextualSpacing/>
        <w:rPr>
          <w:rFonts w:ascii="Verdana" w:hAnsi="Verdana"/>
          <w:sz w:val="14"/>
          <w:szCs w:val="14"/>
        </w:rPr>
      </w:pPr>
      <w:r w:rsidRPr="005F2788">
        <w:rPr>
          <w:rStyle w:val="Refdenotaalpie"/>
          <w:rFonts w:ascii="Verdana" w:hAnsi="Verdana"/>
          <w:sz w:val="14"/>
          <w:szCs w:val="14"/>
        </w:rPr>
        <w:footnoteRef/>
      </w:r>
      <w:r w:rsidRPr="005F2788">
        <w:rPr>
          <w:rFonts w:ascii="Verdana" w:hAnsi="Verdana"/>
          <w:sz w:val="14"/>
          <w:szCs w:val="14"/>
        </w:rPr>
        <w:t xml:space="preserve"> Consultar enlace: https://www.minhacienda.gov.co/documents/d/portal/guages-1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6255923"/>
    <w:multiLevelType w:val="hybridMultilevel"/>
    <w:tmpl w:val="CD607488"/>
    <w:lvl w:ilvl="0" w:tplc="240A0001">
      <w:start w:val="1"/>
      <w:numFmt w:val="bullet"/>
      <w:lvlText w:val=""/>
      <w:lvlJc w:val="left"/>
      <w:pPr>
        <w:ind w:left="1287" w:hanging="360"/>
      </w:pPr>
      <w:rPr>
        <w:rFonts w:ascii="Symbol" w:hAnsi="Symbol" w:hint="default"/>
      </w:rPr>
    </w:lvl>
    <w:lvl w:ilvl="1" w:tplc="240A0003" w:tentative="1">
      <w:start w:val="1"/>
      <w:numFmt w:val="bullet"/>
      <w:lvlText w:val="o"/>
      <w:lvlJc w:val="left"/>
      <w:pPr>
        <w:ind w:left="2007" w:hanging="360"/>
      </w:pPr>
      <w:rPr>
        <w:rFonts w:ascii="Courier New" w:hAnsi="Courier New" w:cs="Courier New" w:hint="default"/>
      </w:rPr>
    </w:lvl>
    <w:lvl w:ilvl="2" w:tplc="240A0005" w:tentative="1">
      <w:start w:val="1"/>
      <w:numFmt w:val="bullet"/>
      <w:lvlText w:val=""/>
      <w:lvlJc w:val="left"/>
      <w:pPr>
        <w:ind w:left="2727" w:hanging="360"/>
      </w:pPr>
      <w:rPr>
        <w:rFonts w:ascii="Wingdings" w:hAnsi="Wingdings" w:hint="default"/>
      </w:rPr>
    </w:lvl>
    <w:lvl w:ilvl="3" w:tplc="240A0001" w:tentative="1">
      <w:start w:val="1"/>
      <w:numFmt w:val="bullet"/>
      <w:lvlText w:val=""/>
      <w:lvlJc w:val="left"/>
      <w:pPr>
        <w:ind w:left="3447" w:hanging="360"/>
      </w:pPr>
      <w:rPr>
        <w:rFonts w:ascii="Symbol" w:hAnsi="Symbol" w:hint="default"/>
      </w:rPr>
    </w:lvl>
    <w:lvl w:ilvl="4" w:tplc="240A0003" w:tentative="1">
      <w:start w:val="1"/>
      <w:numFmt w:val="bullet"/>
      <w:lvlText w:val="o"/>
      <w:lvlJc w:val="left"/>
      <w:pPr>
        <w:ind w:left="4167" w:hanging="360"/>
      </w:pPr>
      <w:rPr>
        <w:rFonts w:ascii="Courier New" w:hAnsi="Courier New" w:cs="Courier New" w:hint="default"/>
      </w:rPr>
    </w:lvl>
    <w:lvl w:ilvl="5" w:tplc="240A0005" w:tentative="1">
      <w:start w:val="1"/>
      <w:numFmt w:val="bullet"/>
      <w:lvlText w:val=""/>
      <w:lvlJc w:val="left"/>
      <w:pPr>
        <w:ind w:left="4887" w:hanging="360"/>
      </w:pPr>
      <w:rPr>
        <w:rFonts w:ascii="Wingdings" w:hAnsi="Wingdings" w:hint="default"/>
      </w:rPr>
    </w:lvl>
    <w:lvl w:ilvl="6" w:tplc="240A0001" w:tentative="1">
      <w:start w:val="1"/>
      <w:numFmt w:val="bullet"/>
      <w:lvlText w:val=""/>
      <w:lvlJc w:val="left"/>
      <w:pPr>
        <w:ind w:left="5607" w:hanging="360"/>
      </w:pPr>
      <w:rPr>
        <w:rFonts w:ascii="Symbol" w:hAnsi="Symbol" w:hint="default"/>
      </w:rPr>
    </w:lvl>
    <w:lvl w:ilvl="7" w:tplc="240A0003" w:tentative="1">
      <w:start w:val="1"/>
      <w:numFmt w:val="bullet"/>
      <w:lvlText w:val="o"/>
      <w:lvlJc w:val="left"/>
      <w:pPr>
        <w:ind w:left="6327" w:hanging="360"/>
      </w:pPr>
      <w:rPr>
        <w:rFonts w:ascii="Courier New" w:hAnsi="Courier New" w:cs="Courier New" w:hint="default"/>
      </w:rPr>
    </w:lvl>
    <w:lvl w:ilvl="8" w:tplc="240A0005" w:tentative="1">
      <w:start w:val="1"/>
      <w:numFmt w:val="bullet"/>
      <w:lvlText w:val=""/>
      <w:lvlJc w:val="left"/>
      <w:pPr>
        <w:ind w:left="7047"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0"/>
  </w:num>
  <w:num w:numId="16" w16cid:durableId="1330140246">
    <w:abstractNumId w:val="0"/>
  </w:num>
  <w:num w:numId="17" w16cid:durableId="679089576">
    <w:abstractNumId w:val="9"/>
  </w:num>
  <w:num w:numId="18" w16cid:durableId="13472937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5B8"/>
    <w:rsid w:val="00010DF7"/>
    <w:rsid w:val="00016F78"/>
    <w:rsid w:val="00025A46"/>
    <w:rsid w:val="00046945"/>
    <w:rsid w:val="00061B2A"/>
    <w:rsid w:val="0008025A"/>
    <w:rsid w:val="00082362"/>
    <w:rsid w:val="000A683E"/>
    <w:rsid w:val="000B19B9"/>
    <w:rsid w:val="000C671E"/>
    <w:rsid w:val="000D0334"/>
    <w:rsid w:val="000F6486"/>
    <w:rsid w:val="000F6898"/>
    <w:rsid w:val="00102383"/>
    <w:rsid w:val="00117ACB"/>
    <w:rsid w:val="00125105"/>
    <w:rsid w:val="00127233"/>
    <w:rsid w:val="00131E51"/>
    <w:rsid w:val="001511A0"/>
    <w:rsid w:val="001771DA"/>
    <w:rsid w:val="001823CE"/>
    <w:rsid w:val="001B26CC"/>
    <w:rsid w:val="001E4177"/>
    <w:rsid w:val="001E485A"/>
    <w:rsid w:val="001F7DC6"/>
    <w:rsid w:val="00207FD5"/>
    <w:rsid w:val="00240F12"/>
    <w:rsid w:val="002421BB"/>
    <w:rsid w:val="0025796E"/>
    <w:rsid w:val="002707A2"/>
    <w:rsid w:val="00293433"/>
    <w:rsid w:val="002951A0"/>
    <w:rsid w:val="002962BC"/>
    <w:rsid w:val="002A093D"/>
    <w:rsid w:val="002A0DD0"/>
    <w:rsid w:val="002A49AC"/>
    <w:rsid w:val="002A64FD"/>
    <w:rsid w:val="002B5023"/>
    <w:rsid w:val="002C7A84"/>
    <w:rsid w:val="002E4FD9"/>
    <w:rsid w:val="00316E8A"/>
    <w:rsid w:val="00322A85"/>
    <w:rsid w:val="00324168"/>
    <w:rsid w:val="003448F4"/>
    <w:rsid w:val="00374F5E"/>
    <w:rsid w:val="00377E3E"/>
    <w:rsid w:val="003A779E"/>
    <w:rsid w:val="003C4F58"/>
    <w:rsid w:val="003D0F4D"/>
    <w:rsid w:val="003D5B0D"/>
    <w:rsid w:val="003E0499"/>
    <w:rsid w:val="003F3941"/>
    <w:rsid w:val="00406575"/>
    <w:rsid w:val="00414C74"/>
    <w:rsid w:val="0042722E"/>
    <w:rsid w:val="0044528D"/>
    <w:rsid w:val="0046190B"/>
    <w:rsid w:val="004622E7"/>
    <w:rsid w:val="00493102"/>
    <w:rsid w:val="004A1847"/>
    <w:rsid w:val="004A305D"/>
    <w:rsid w:val="004F0D8F"/>
    <w:rsid w:val="004F21C4"/>
    <w:rsid w:val="004F685F"/>
    <w:rsid w:val="005318D6"/>
    <w:rsid w:val="00546940"/>
    <w:rsid w:val="005566E8"/>
    <w:rsid w:val="00567B90"/>
    <w:rsid w:val="00574867"/>
    <w:rsid w:val="00576FFB"/>
    <w:rsid w:val="00591460"/>
    <w:rsid w:val="005B3816"/>
    <w:rsid w:val="005C3777"/>
    <w:rsid w:val="005C5CDC"/>
    <w:rsid w:val="005C642D"/>
    <w:rsid w:val="005D476C"/>
    <w:rsid w:val="005F2788"/>
    <w:rsid w:val="006027B7"/>
    <w:rsid w:val="006133A8"/>
    <w:rsid w:val="006219F8"/>
    <w:rsid w:val="00634C5A"/>
    <w:rsid w:val="006631E3"/>
    <w:rsid w:val="00665D70"/>
    <w:rsid w:val="00667B56"/>
    <w:rsid w:val="006900D9"/>
    <w:rsid w:val="00692802"/>
    <w:rsid w:val="006A4240"/>
    <w:rsid w:val="006F7593"/>
    <w:rsid w:val="00700B61"/>
    <w:rsid w:val="0070654E"/>
    <w:rsid w:val="00706C16"/>
    <w:rsid w:val="00730EF4"/>
    <w:rsid w:val="0075246D"/>
    <w:rsid w:val="00756841"/>
    <w:rsid w:val="007649AB"/>
    <w:rsid w:val="00765512"/>
    <w:rsid w:val="007663D4"/>
    <w:rsid w:val="00771D0C"/>
    <w:rsid w:val="00774C66"/>
    <w:rsid w:val="007833AC"/>
    <w:rsid w:val="00785863"/>
    <w:rsid w:val="007B268C"/>
    <w:rsid w:val="007B635B"/>
    <w:rsid w:val="007B7171"/>
    <w:rsid w:val="007C0C0F"/>
    <w:rsid w:val="007C3DC2"/>
    <w:rsid w:val="007C7B24"/>
    <w:rsid w:val="007E5497"/>
    <w:rsid w:val="007F3378"/>
    <w:rsid w:val="00803A05"/>
    <w:rsid w:val="00806F5F"/>
    <w:rsid w:val="00820278"/>
    <w:rsid w:val="00832B38"/>
    <w:rsid w:val="00867F95"/>
    <w:rsid w:val="008843B6"/>
    <w:rsid w:val="00891928"/>
    <w:rsid w:val="008A446D"/>
    <w:rsid w:val="008D180B"/>
    <w:rsid w:val="008E08FA"/>
    <w:rsid w:val="008F0EA7"/>
    <w:rsid w:val="0091381C"/>
    <w:rsid w:val="0091777C"/>
    <w:rsid w:val="00923EEF"/>
    <w:rsid w:val="009419F9"/>
    <w:rsid w:val="0095685E"/>
    <w:rsid w:val="00961B09"/>
    <w:rsid w:val="00965334"/>
    <w:rsid w:val="0096742B"/>
    <w:rsid w:val="0097093E"/>
    <w:rsid w:val="00986AC5"/>
    <w:rsid w:val="009A0DFA"/>
    <w:rsid w:val="009B2D26"/>
    <w:rsid w:val="009C71FA"/>
    <w:rsid w:val="009C72E7"/>
    <w:rsid w:val="009D3058"/>
    <w:rsid w:val="009F3A13"/>
    <w:rsid w:val="00A122D3"/>
    <w:rsid w:val="00A15597"/>
    <w:rsid w:val="00A17F13"/>
    <w:rsid w:val="00A20739"/>
    <w:rsid w:val="00A33C78"/>
    <w:rsid w:val="00A35E77"/>
    <w:rsid w:val="00A5616D"/>
    <w:rsid w:val="00A83EDB"/>
    <w:rsid w:val="00AB0ADB"/>
    <w:rsid w:val="00AB7835"/>
    <w:rsid w:val="00AF551A"/>
    <w:rsid w:val="00B01B1A"/>
    <w:rsid w:val="00B047D6"/>
    <w:rsid w:val="00B66319"/>
    <w:rsid w:val="00B72CD3"/>
    <w:rsid w:val="00B72FFF"/>
    <w:rsid w:val="00BC3D36"/>
    <w:rsid w:val="00BD7F72"/>
    <w:rsid w:val="00C04FB3"/>
    <w:rsid w:val="00C330EB"/>
    <w:rsid w:val="00C41061"/>
    <w:rsid w:val="00C4596A"/>
    <w:rsid w:val="00C754BE"/>
    <w:rsid w:val="00C76B1C"/>
    <w:rsid w:val="00CB2EDE"/>
    <w:rsid w:val="00CB6357"/>
    <w:rsid w:val="00CC1B26"/>
    <w:rsid w:val="00CD645C"/>
    <w:rsid w:val="00CE6EE5"/>
    <w:rsid w:val="00D06287"/>
    <w:rsid w:val="00D07277"/>
    <w:rsid w:val="00D079B5"/>
    <w:rsid w:val="00D11686"/>
    <w:rsid w:val="00D423A2"/>
    <w:rsid w:val="00D520D8"/>
    <w:rsid w:val="00D63AC2"/>
    <w:rsid w:val="00D7383B"/>
    <w:rsid w:val="00DA231B"/>
    <w:rsid w:val="00DC39FC"/>
    <w:rsid w:val="00DC5B2A"/>
    <w:rsid w:val="00DE1352"/>
    <w:rsid w:val="00DF5254"/>
    <w:rsid w:val="00E038A3"/>
    <w:rsid w:val="00E0626F"/>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12546"/>
    <w:rsid w:val="00F31EDC"/>
    <w:rsid w:val="00F462B3"/>
    <w:rsid w:val="00F5664F"/>
    <w:rsid w:val="00F666C4"/>
    <w:rsid w:val="00F76AFC"/>
    <w:rsid w:val="00F90E12"/>
    <w:rsid w:val="00FA47C0"/>
    <w:rsid w:val="00FB5DD1"/>
    <w:rsid w:val="00FC2B5D"/>
    <w:rsid w:val="00FC3B64"/>
    <w:rsid w:val="00FF1449"/>
    <w:rsid w:val="00FF614F"/>
    <w:rsid w:val="14FCC0CC"/>
    <w:rsid w:val="165E9519"/>
    <w:rsid w:val="382536D9"/>
    <w:rsid w:val="47D3DCCE"/>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93102"/>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93102"/>
    <w:rPr>
      <w:rFonts w:ascii="Geomanist Light" w:hAnsi="Geomanist Light"/>
      <w:lang w:val="es-ES"/>
    </w:rPr>
  </w:style>
  <w:style w:type="character" w:customStyle="1" w:styleId="s15">
    <w:name w:val="s15"/>
    <w:basedOn w:val="Fuentedeprrafopredeter"/>
    <w:rsid w:val="00493102"/>
  </w:style>
  <w:style w:type="paragraph" w:customStyle="1" w:styleId="s17">
    <w:name w:val="s17"/>
    <w:basedOn w:val="Normal"/>
    <w:rsid w:val="00493102"/>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NormalWebCar">
    <w:name w:val="Normal (Web) Car"/>
    <w:link w:val="NormalWeb"/>
    <w:uiPriority w:val="99"/>
    <w:rsid w:val="00493102"/>
    <w:rPr>
      <w:rFonts w:ascii="Times New Roman" w:eastAsia="Times New Roman" w:hAnsi="Times New Roman" w:cs="Times New Roman"/>
      <w:sz w:val="24"/>
      <w:szCs w:val="24"/>
      <w:lang w:eastAsia="es-CO"/>
    </w:rPr>
  </w:style>
  <w:style w:type="paragraph" w:styleId="Sangra3detindependiente">
    <w:name w:val="Body Text Indent 3"/>
    <w:basedOn w:val="Normal"/>
    <w:link w:val="Sangra3detindependienteCar"/>
    <w:uiPriority w:val="99"/>
    <w:unhideWhenUsed/>
    <w:rsid w:val="0049310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493102"/>
    <w:rPr>
      <w:sz w:val="16"/>
      <w:szCs w:val="16"/>
    </w:rPr>
  </w:style>
  <w:style w:type="character" w:styleId="Textoennegrita">
    <w:name w:val="Strong"/>
    <w:basedOn w:val="Fuentedeprrafopredeter"/>
    <w:uiPriority w:val="22"/>
    <w:qFormat/>
    <w:rsid w:val="004931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wp-content/uploads/2024/08/circular_externa_unica_version_3_vf49.pdf"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operaciones.colombiacompra.gov.co/sites/cce_public/files/cce_documents/cce_guia_para_el_ejercicio_de_las_funciones_de_supervision_e_interventoria_de_los_contratos_del_estado.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BAFC4E31-F4A9-4ECC-97F1-B76A1729C5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infopath/2007/PartnerControls"/>
    <ds:schemaRef ds:uri="http://purl.org/dc/elements/1.1/"/>
    <ds:schemaRef ds:uri="http://schemas.microsoft.com/office/2006/metadata/properties"/>
    <ds:schemaRef ds:uri="http://purl.org/dc/terms/"/>
    <ds:schemaRef ds:uri="9d85dbaf-23eb-4e57-a637-93dcacc8b1a1"/>
    <ds:schemaRef ds:uri="http://schemas.microsoft.com/office/2006/documentManagement/types"/>
    <ds:schemaRef ds:uri="http://schemas.openxmlformats.org/package/2006/metadata/core-properties"/>
    <ds:schemaRef ds:uri="a6cb9e4b-f1d1-4245-83ec-6cad768d538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18</Pages>
  <Words>5851</Words>
  <Characters>32185</Characters>
  <Application>Microsoft Office Word</Application>
  <DocSecurity>0</DocSecurity>
  <Lines>268</Lines>
  <Paragraphs>75</Paragraphs>
  <ScaleCrop>false</ScaleCrop>
  <Company/>
  <LinksUpToDate>false</LinksUpToDate>
  <CharactersWithSpaces>37961</CharactersWithSpaces>
  <SharedDoc>false</SharedDoc>
  <HLinks>
    <vt:vector size="24" baseType="variant">
      <vt:variant>
        <vt:i4>7995518</vt:i4>
      </vt:variant>
      <vt:variant>
        <vt:i4>6</vt:i4>
      </vt:variant>
      <vt:variant>
        <vt:i4>0</vt:i4>
      </vt:variant>
      <vt:variant>
        <vt:i4>5</vt:i4>
      </vt:variant>
      <vt:variant>
        <vt:lpwstr>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786475</vt:i4>
      </vt:variant>
      <vt:variant>
        <vt:i4>0</vt:i4>
      </vt:variant>
      <vt:variant>
        <vt:i4>0</vt:i4>
      </vt:variant>
      <vt:variant>
        <vt:i4>5</vt:i4>
      </vt:variant>
      <vt:variant>
        <vt:lpwstr>https://www.colombiacompra.gov.co/wp-content/uploads/2024/08/circular_externa_unica_version_3_vf49.pdf</vt:lpwstr>
      </vt:variant>
      <vt:variant>
        <vt:lpwstr/>
      </vt:variant>
      <vt:variant>
        <vt:i4>720897</vt:i4>
      </vt:variant>
      <vt:variant>
        <vt:i4>0</vt:i4>
      </vt:variant>
      <vt:variant>
        <vt:i4>0</vt:i4>
      </vt:variant>
      <vt:variant>
        <vt:i4>5</vt:i4>
      </vt:variant>
      <vt:variant>
        <vt:lpwstr>https://operaciones.colombiacompra.gov.co/sites/cce_public/files/cce_documents/cce_guia_para_el_ejercicio_de_las_funciones_de_supervision_e_interventoria_de_los_contratos_del_estado.pdf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2025-09-11T22:06:00Z</dcterms:created>
  <dcterms:modified xsi:type="dcterms:W3CDTF">2025-09-11T22:06:00Z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