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E5921" w14:textId="77777777" w:rsidR="006949EF" w:rsidRPr="006949EF" w:rsidRDefault="006949EF" w:rsidP="006949EF">
      <w:pPr>
        <w:jc w:val="both"/>
        <w:rPr>
          <w:rFonts w:ascii="Verdana" w:hAnsi="Verdana" w:cs="Arial"/>
          <w:b/>
          <w:color w:val="000000" w:themeColor="text1"/>
          <w:lang w:val="es-ES_tradnl"/>
        </w:rPr>
      </w:pPr>
      <w:bookmarkStart w:id="0" w:name="_Hlk143780582"/>
      <w:r w:rsidRPr="006949EF">
        <w:rPr>
          <w:rFonts w:ascii="Verdana" w:hAnsi="Verdana" w:cs="Arial"/>
          <w:b/>
          <w:color w:val="000000" w:themeColor="text1"/>
          <w:lang w:val="es-ES_tradnl"/>
        </w:rPr>
        <w:t>PRECIOS ARTIFICIALMENTE BAJOS – Noción -Deber de las entidades estatales</w:t>
      </w:r>
    </w:p>
    <w:p w14:paraId="55B9B112" w14:textId="31BFDACF" w:rsidR="006949EF" w:rsidRDefault="006949EF" w:rsidP="006949EF">
      <w:pPr>
        <w:jc w:val="both"/>
        <w:rPr>
          <w:rFonts w:ascii="Verdana" w:hAnsi="Verdana" w:cs="Arial"/>
          <w:bCs/>
          <w:color w:val="000000" w:themeColor="text1"/>
          <w:lang w:val="es-ES_tradnl"/>
        </w:rPr>
      </w:pPr>
      <w:r w:rsidRPr="00910028">
        <w:rPr>
          <w:rFonts w:ascii="Verdana" w:eastAsia="Arial" w:hAnsi="Verdana" w:cs="Arial"/>
          <w:lang w:val="es-ES" w:eastAsia="es-ES" w:bidi="es-ES"/>
        </w:rPr>
        <w:t>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sebe rechazar la oferta o continuar con el análisis de la oferta durante la evaluación de las ofertas</w:t>
      </w:r>
      <w:r>
        <w:rPr>
          <w:rFonts w:ascii="Verdana" w:eastAsia="Arial" w:hAnsi="Verdana" w:cs="Arial"/>
          <w:lang w:val="es-ES" w:eastAsia="es-ES" w:bidi="es-ES"/>
        </w:rPr>
        <w:t xml:space="preserve"> […]</w:t>
      </w:r>
    </w:p>
    <w:p w14:paraId="1C82E2E7" w14:textId="14A6517F" w:rsidR="006949EF" w:rsidRPr="006949EF" w:rsidRDefault="006949EF" w:rsidP="006949EF">
      <w:pPr>
        <w:jc w:val="both"/>
        <w:rPr>
          <w:rFonts w:ascii="Verdana" w:hAnsi="Verdana" w:cs="Arial"/>
          <w:b/>
          <w:color w:val="000000" w:themeColor="text1"/>
          <w:lang w:val="es-ES_tradnl"/>
        </w:rPr>
      </w:pPr>
      <w:r w:rsidRPr="006949EF">
        <w:rPr>
          <w:rFonts w:ascii="Verdana" w:hAnsi="Verdana" w:cs="Arial"/>
          <w:b/>
          <w:color w:val="000000" w:themeColor="text1"/>
          <w:lang w:val="es-ES_tradnl"/>
        </w:rPr>
        <w:t xml:space="preserve">EVALUACIÓN DE LAS OFERTAS – Finalidad – Oportunidad </w:t>
      </w:r>
    </w:p>
    <w:p w14:paraId="1C1D51B5" w14:textId="1EBCB525" w:rsidR="006949EF" w:rsidRPr="00AC1339" w:rsidRDefault="006949EF" w:rsidP="006949EF">
      <w:pPr>
        <w:spacing w:before="120" w:line="276" w:lineRule="auto"/>
        <w:jc w:val="both"/>
        <w:rPr>
          <w:rFonts w:ascii="Verdana" w:eastAsia="Calibri" w:hAnsi="Verdana" w:cs="Arial"/>
        </w:rPr>
      </w:pPr>
      <w:r w:rsidRPr="00AC1339">
        <w:rPr>
          <w:rFonts w:ascii="Verdana" w:eastAsia="Calibri" w:hAnsi="Verdana" w:cs="Arial"/>
          <w:lang w:val="es-ES"/>
        </w:rPr>
        <w:t>Sin embargo, debe precisarse que el análisis de los precios de una oferta se hace en la fase de evaluación del procedimiento</w:t>
      </w:r>
      <w:r>
        <w:rPr>
          <w:rFonts w:ascii="Verdana" w:eastAsia="Calibri" w:hAnsi="Verdana" w:cs="Arial"/>
          <w:lang w:val="es-ES"/>
        </w:rPr>
        <w:t xml:space="preserve"> de selección</w:t>
      </w:r>
      <w:r w:rsidRPr="00AC1339">
        <w:rPr>
          <w:rFonts w:ascii="Verdana" w:eastAsia="Calibri" w:hAnsi="Verdana" w:cs="Arial"/>
          <w:lang w:val="es-ES"/>
        </w:rPr>
        <w:t>, que es la oportunidad para verificar, a través del comité evaluador</w:t>
      </w:r>
      <w:r>
        <w:rPr>
          <w:rFonts w:ascii="Verdana" w:eastAsia="Calibri" w:hAnsi="Verdana" w:cs="Arial"/>
          <w:lang w:val="es-MX"/>
        </w:rPr>
        <w:t xml:space="preserve"> si se cumplen o no</w:t>
      </w:r>
      <w:r w:rsidRPr="00AC1339">
        <w:rPr>
          <w:rFonts w:ascii="Verdana" w:eastAsia="Calibri" w:hAnsi="Verdana" w:cs="Arial"/>
          <w:lang w:val="es-MX"/>
        </w:rPr>
        <w:t xml:space="preserve"> las reglas </w:t>
      </w:r>
      <w:r>
        <w:rPr>
          <w:rFonts w:ascii="Verdana" w:eastAsia="Calibri" w:hAnsi="Verdana" w:cs="Arial"/>
          <w:lang w:val="es-MX"/>
        </w:rPr>
        <w:t>de</w:t>
      </w:r>
      <w:r w:rsidRPr="00AC1339">
        <w:rPr>
          <w:rFonts w:ascii="Verdana" w:eastAsia="Calibri" w:hAnsi="Verdana" w:cs="Arial"/>
          <w:lang w:val="es-MX"/>
        </w:rPr>
        <w:t xml:space="preserve"> los pliegos de condiciones.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09A78A99" w14:textId="64477CA0" w:rsidR="006949EF" w:rsidRPr="006949EF" w:rsidRDefault="006949EF" w:rsidP="006949EF">
      <w:pPr>
        <w:jc w:val="both"/>
        <w:rPr>
          <w:rFonts w:ascii="Verdana" w:hAnsi="Verdana" w:cs="Arial"/>
          <w:b/>
          <w:color w:val="000000" w:themeColor="text1"/>
          <w:lang w:val="es-ES_tradnl"/>
        </w:rPr>
      </w:pPr>
      <w:r w:rsidRPr="006949EF">
        <w:rPr>
          <w:rFonts w:ascii="Verdana" w:hAnsi="Verdana" w:cs="Arial"/>
          <w:b/>
          <w:color w:val="000000" w:themeColor="text1"/>
          <w:lang w:val="es-ES_tradnl"/>
        </w:rPr>
        <w:t>GUÍA DE OFERTAS ARTIFICIALMENTE BAJAS – Manejo</w:t>
      </w:r>
    </w:p>
    <w:p w14:paraId="03CFEA68" w14:textId="612E3161" w:rsidR="006949EF" w:rsidRDefault="006949EF" w:rsidP="006949EF">
      <w:pPr>
        <w:spacing w:after="0"/>
        <w:jc w:val="both"/>
        <w:rPr>
          <w:rFonts w:ascii="Verdana" w:hAnsi="Verdana"/>
        </w:rPr>
      </w:pPr>
      <w:r w:rsidRPr="00AC1339">
        <w:rPr>
          <w:rFonts w:ascii="Verdana" w:eastAsia="Times New Roman" w:hAnsi="Verdana" w:cs="Arial"/>
          <w:lang w:val="es-ES"/>
        </w:rPr>
        <w:t>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de ofertas artificialmente bajas, sino que también se relaciona a modo de sugerencia dos metodologías que podrían aplicar las entidades para identificarlas y manejarlas</w:t>
      </w:r>
      <w:r>
        <w:rPr>
          <w:rFonts w:ascii="Verdana" w:eastAsia="Times New Roman" w:hAnsi="Verdana" w:cs="Arial"/>
          <w:lang w:val="es-ES"/>
        </w:rPr>
        <w:t xml:space="preserve"> […]</w:t>
      </w:r>
    </w:p>
    <w:p w14:paraId="3D841A02" w14:textId="77777777" w:rsidR="006949EF" w:rsidRDefault="006949EF" w:rsidP="00E245AB">
      <w:pPr>
        <w:spacing w:after="0"/>
        <w:rPr>
          <w:rFonts w:ascii="Verdana" w:hAnsi="Verdana"/>
        </w:rPr>
      </w:pPr>
    </w:p>
    <w:p w14:paraId="1BA8CDA9" w14:textId="77777777" w:rsidR="006949EF" w:rsidRDefault="006949EF" w:rsidP="00E245AB">
      <w:pPr>
        <w:spacing w:after="0"/>
        <w:rPr>
          <w:rFonts w:ascii="Verdana" w:hAnsi="Verdana"/>
        </w:rPr>
      </w:pPr>
    </w:p>
    <w:p w14:paraId="6AEBEFD5" w14:textId="77777777" w:rsidR="006949EF" w:rsidRDefault="006949EF" w:rsidP="00E245AB">
      <w:pPr>
        <w:spacing w:after="0"/>
        <w:rPr>
          <w:rFonts w:ascii="Verdana" w:hAnsi="Verdana"/>
        </w:rPr>
      </w:pPr>
    </w:p>
    <w:p w14:paraId="14ACDE0F" w14:textId="77777777" w:rsidR="006949EF" w:rsidRDefault="006949EF" w:rsidP="00E245AB">
      <w:pPr>
        <w:spacing w:after="0"/>
        <w:rPr>
          <w:rFonts w:ascii="Verdana" w:hAnsi="Verdana"/>
        </w:rPr>
      </w:pPr>
    </w:p>
    <w:p w14:paraId="2450179A" w14:textId="77777777" w:rsidR="006949EF" w:rsidRDefault="006949EF" w:rsidP="00E245AB">
      <w:pPr>
        <w:spacing w:after="0"/>
        <w:rPr>
          <w:rFonts w:ascii="Verdana" w:hAnsi="Verdana"/>
        </w:rPr>
      </w:pPr>
    </w:p>
    <w:p w14:paraId="146390D2" w14:textId="77777777" w:rsidR="006949EF" w:rsidRDefault="006949EF" w:rsidP="00E245AB">
      <w:pPr>
        <w:spacing w:after="0"/>
        <w:rPr>
          <w:rFonts w:ascii="Verdana" w:hAnsi="Verdana"/>
        </w:rPr>
      </w:pPr>
    </w:p>
    <w:p w14:paraId="7F94B786" w14:textId="77777777" w:rsidR="006949EF" w:rsidRDefault="006949EF" w:rsidP="00E245AB">
      <w:pPr>
        <w:spacing w:after="0"/>
        <w:rPr>
          <w:rFonts w:ascii="Verdana" w:hAnsi="Verdana"/>
        </w:rPr>
      </w:pPr>
    </w:p>
    <w:p w14:paraId="5C0185C4" w14:textId="77777777" w:rsidR="006949EF" w:rsidRDefault="006949EF" w:rsidP="00E245AB">
      <w:pPr>
        <w:spacing w:after="0"/>
        <w:rPr>
          <w:rFonts w:ascii="Verdana" w:hAnsi="Verdana"/>
        </w:rPr>
      </w:pPr>
    </w:p>
    <w:p w14:paraId="563D6E28" w14:textId="77777777" w:rsidR="006949EF" w:rsidRDefault="006949EF" w:rsidP="00E245AB">
      <w:pPr>
        <w:spacing w:after="0"/>
        <w:rPr>
          <w:rFonts w:ascii="Verdana" w:hAnsi="Verdana"/>
        </w:rPr>
      </w:pPr>
    </w:p>
    <w:p w14:paraId="3FE2184B" w14:textId="740F5B68" w:rsidR="00E245AB" w:rsidRPr="0044528D" w:rsidRDefault="006949EF" w:rsidP="00E245AB">
      <w:pPr>
        <w:spacing w:after="0"/>
        <w:rPr>
          <w:rFonts w:ascii="Verdana" w:hAnsi="Verdana"/>
        </w:rPr>
      </w:pPr>
      <w:r>
        <w:rPr>
          <w:rFonts w:ascii="Verdana" w:hAnsi="Verdana" w:cs="ArialMT"/>
          <w:noProof/>
        </w:rPr>
        <w:drawing>
          <wp:anchor distT="0" distB="0" distL="114300" distR="114300" simplePos="0" relativeHeight="251658240" behindDoc="0" locked="0" layoutInCell="1" allowOverlap="1" wp14:anchorId="7D028EA4" wp14:editId="28626B98">
            <wp:simplePos x="0" y="0"/>
            <wp:positionH relativeFrom="column">
              <wp:posOffset>2957293</wp:posOffset>
            </wp:positionH>
            <wp:positionV relativeFrom="paragraph">
              <wp:posOffset>-4298</wp:posOffset>
            </wp:positionV>
            <wp:extent cx="2356738" cy="745587"/>
            <wp:effectExtent l="0" t="0" r="571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0">
                      <a:extLst>
                        <a:ext uri="{28A0092B-C50C-407E-A947-70E740481C1C}">
                          <a14:useLocalDpi xmlns:a14="http://schemas.microsoft.com/office/drawing/2010/main" val="0"/>
                        </a:ext>
                      </a:extLst>
                    </a:blip>
                    <a:stretch>
                      <a:fillRect/>
                    </a:stretch>
                  </pic:blipFill>
                  <pic:spPr>
                    <a:xfrm>
                      <a:off x="0" y="0"/>
                      <a:ext cx="2367834" cy="749097"/>
                    </a:xfrm>
                    <a:prstGeom prst="rect">
                      <a:avLst/>
                    </a:prstGeom>
                  </pic:spPr>
                </pic:pic>
              </a:graphicData>
            </a:graphic>
            <wp14:sizeRelH relativeFrom="page">
              <wp14:pctWidth>0</wp14:pctWidth>
            </wp14:sizeRelH>
            <wp14:sizeRelV relativeFrom="page">
              <wp14:pctHeight>0</wp14:pctHeight>
            </wp14:sizeRelV>
          </wp:anchor>
        </w:drawing>
      </w:r>
      <w:r w:rsidR="00E245AB" w:rsidRPr="0044528D">
        <w:rPr>
          <w:rFonts w:ascii="Verdana" w:hAnsi="Verdana"/>
        </w:rPr>
        <w:t xml:space="preserve">Bogotá D.C., </w:t>
      </w:r>
      <w:r>
        <w:rPr>
          <w:rFonts w:ascii="Verdana" w:hAnsi="Verdana"/>
        </w:rPr>
        <w:t>05</w:t>
      </w:r>
      <w:r w:rsidR="00891928" w:rsidRPr="0044528D">
        <w:rPr>
          <w:rFonts w:ascii="Verdana" w:hAnsi="Verdana"/>
        </w:rPr>
        <w:t xml:space="preserve"> </w:t>
      </w:r>
      <w:proofErr w:type="gramStart"/>
      <w:r>
        <w:rPr>
          <w:rFonts w:ascii="Verdana" w:hAnsi="Verdana"/>
        </w:rPr>
        <w:t>Septiembre</w:t>
      </w:r>
      <w:proofErr w:type="gramEnd"/>
      <w:r>
        <w:rPr>
          <w:rFonts w:ascii="Verdana" w:hAnsi="Verdana"/>
        </w:rPr>
        <w:t xml:space="preserve"> 2025</w:t>
      </w:r>
      <w:r w:rsidR="00891928" w:rsidRPr="0044528D">
        <w:rPr>
          <w:rFonts w:ascii="Verdana" w:hAnsi="Verdana"/>
        </w:rPr>
        <w:tab/>
      </w:r>
    </w:p>
    <w:p w14:paraId="5BC6EEA1" w14:textId="3DC669EE" w:rsidR="00FF1BEC" w:rsidRPr="0044528D" w:rsidRDefault="00FF1BEC" w:rsidP="00FF1BEC">
      <w:pPr>
        <w:spacing w:after="0"/>
        <w:rPr>
          <w:rFonts w:ascii="Verdana" w:hAnsi="Verdana"/>
        </w:rPr>
      </w:pPr>
    </w:p>
    <w:p w14:paraId="79BD7678" w14:textId="1BBD96C8" w:rsidR="00FF1BEC" w:rsidRDefault="00FF1BEC" w:rsidP="00FF1BEC">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7476CD94" w14:textId="0498B555" w:rsidR="00FF1BEC" w:rsidRPr="00C53B42" w:rsidRDefault="00FF1BEC" w:rsidP="00FF1BEC">
      <w:pPr>
        <w:spacing w:after="0" w:line="240" w:lineRule="auto"/>
        <w:jc w:val="both"/>
        <w:rPr>
          <w:rFonts w:ascii="Verdana" w:eastAsia="Calibri" w:hAnsi="Verdana" w:cs="Arial"/>
          <w:b/>
          <w:lang w:val="es-ES" w:eastAsia="es-ES"/>
        </w:rPr>
      </w:pPr>
      <w:proofErr w:type="spellStart"/>
      <w:r>
        <w:rPr>
          <w:rFonts w:ascii="Verdana" w:eastAsia="Calibri" w:hAnsi="Verdana" w:cs="Arial"/>
          <w:b/>
          <w:lang w:val="es-ES" w:eastAsia="es-ES"/>
        </w:rPr>
        <w:t>Ruben</w:t>
      </w:r>
      <w:proofErr w:type="spellEnd"/>
      <w:r>
        <w:rPr>
          <w:rFonts w:ascii="Verdana" w:eastAsia="Calibri" w:hAnsi="Verdana" w:cs="Arial"/>
          <w:b/>
          <w:lang w:val="es-ES" w:eastAsia="es-ES"/>
        </w:rPr>
        <w:t xml:space="preserve"> Gerardo Lasso Burbano </w:t>
      </w:r>
    </w:p>
    <w:p w14:paraId="0CB9ADDD" w14:textId="286C83E2" w:rsidR="00FF1BEC" w:rsidRPr="00C53B42" w:rsidRDefault="00FF1BEC" w:rsidP="00FF1BEC">
      <w:pPr>
        <w:spacing w:after="0" w:line="240" w:lineRule="auto"/>
        <w:rPr>
          <w:rFonts w:ascii="Verdana" w:hAnsi="Verdana" w:cs="ArialMT"/>
        </w:rPr>
      </w:pPr>
      <w:hyperlink r:id="rId11" w:history="1">
        <w:r w:rsidRPr="009666D9">
          <w:rPr>
            <w:rStyle w:val="Hipervnculo"/>
            <w:rFonts w:ascii="Verdana" w:hAnsi="Verdana" w:cs="ArialMT"/>
          </w:rPr>
          <w:t>rubenlassoburbano@gmail.com</w:t>
        </w:r>
      </w:hyperlink>
      <w:r w:rsidRPr="00C53B42">
        <w:rPr>
          <w:rFonts w:ascii="Verdana" w:hAnsi="Verdana" w:cs="ArialMT"/>
        </w:rPr>
        <w:t xml:space="preserve">  </w:t>
      </w:r>
    </w:p>
    <w:p w14:paraId="4A4FBDF1" w14:textId="77777777" w:rsidR="00FF1BEC" w:rsidRPr="00C53B42" w:rsidRDefault="00FF1BEC" w:rsidP="00FF1BEC">
      <w:pPr>
        <w:spacing w:after="0" w:line="240" w:lineRule="auto"/>
        <w:rPr>
          <w:rFonts w:ascii="Verdana" w:hAnsi="Verdana" w:cs="ArialMT"/>
        </w:rPr>
      </w:pPr>
      <w:r>
        <w:rPr>
          <w:rFonts w:ascii="Verdana" w:eastAsia="Calibri" w:hAnsi="Verdana" w:cs="Arial"/>
          <w:lang w:val="es-ES" w:eastAsia="es-ES"/>
        </w:rPr>
        <w:t>Pasto, Nariño</w:t>
      </w:r>
    </w:p>
    <w:p w14:paraId="7036AB67" w14:textId="77777777" w:rsidR="00FF1BEC" w:rsidRPr="00C53B42" w:rsidRDefault="00FF1BEC" w:rsidP="00FF1BEC">
      <w:pPr>
        <w:spacing w:after="0" w:line="240" w:lineRule="auto"/>
        <w:rPr>
          <w:rFonts w:ascii="Verdana" w:eastAsia="Calibri" w:hAnsi="Verdana" w:cs="Arial"/>
          <w:b/>
          <w:bCs/>
          <w:color w:val="000000"/>
          <w:lang w:val="es-ES_tradnl" w:eastAsia="es-ES_tradnl"/>
        </w:rPr>
      </w:pPr>
    </w:p>
    <w:p w14:paraId="7C5A7AFC" w14:textId="77777777" w:rsidR="00FF1BEC" w:rsidRPr="00C53B42" w:rsidRDefault="00FF1BEC" w:rsidP="00FF1BE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75"/>
        <w:gridCol w:w="6614"/>
      </w:tblGrid>
      <w:tr w:rsidR="00FF1BEC" w:rsidRPr="00C53B42" w14:paraId="3E45704A" w14:textId="77777777" w:rsidTr="00CC0E50">
        <w:trPr>
          <w:trHeight w:val="218"/>
        </w:trPr>
        <w:tc>
          <w:tcPr>
            <w:tcW w:w="2175" w:type="dxa"/>
          </w:tcPr>
          <w:p w14:paraId="362D1D65" w14:textId="77777777" w:rsidR="00FF1BEC" w:rsidRPr="00C53B42" w:rsidRDefault="00FF1BEC" w:rsidP="00CC0E50">
            <w:pPr>
              <w:jc w:val="both"/>
              <w:rPr>
                <w:rFonts w:ascii="Verdana" w:eastAsia="Calibri" w:hAnsi="Verdana" w:cs="Arial"/>
                <w:b/>
                <w:bCs/>
                <w:color w:val="7030A0"/>
                <w:lang w:val="es-ES_tradnl" w:eastAsia="es-ES_tradnl"/>
              </w:rPr>
            </w:pPr>
          </w:p>
        </w:tc>
        <w:tc>
          <w:tcPr>
            <w:tcW w:w="6614" w:type="dxa"/>
            <w:hideMark/>
          </w:tcPr>
          <w:p w14:paraId="7BCD6B4D" w14:textId="77777777" w:rsidR="00FF1BEC" w:rsidRPr="00C53B42" w:rsidRDefault="00FF1BEC" w:rsidP="00CC0E50">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1042</w:t>
            </w:r>
            <w:r w:rsidRPr="00C53B42">
              <w:rPr>
                <w:rFonts w:ascii="Verdana" w:eastAsia="Calibri" w:hAnsi="Verdana" w:cs="Arial"/>
                <w:b/>
                <w:bCs/>
                <w:lang w:val="es-ES" w:eastAsia="es-ES"/>
              </w:rPr>
              <w:t xml:space="preserve"> de 2025</w:t>
            </w:r>
          </w:p>
          <w:p w14:paraId="129A7158" w14:textId="77777777" w:rsidR="00FF1BEC" w:rsidRPr="00C53B42" w:rsidRDefault="00FF1BEC" w:rsidP="00CC0E50">
            <w:pPr>
              <w:jc w:val="both"/>
              <w:rPr>
                <w:rFonts w:ascii="Verdana" w:eastAsia="Calibri" w:hAnsi="Verdana" w:cs="Arial"/>
                <w:b/>
                <w:bCs/>
                <w:lang w:val="es-ES" w:eastAsia="es-ES"/>
              </w:rPr>
            </w:pPr>
          </w:p>
          <w:p w14:paraId="49FB06EC" w14:textId="77777777" w:rsidR="00FF1BEC" w:rsidRPr="00C53B42" w:rsidRDefault="00FF1BEC" w:rsidP="00CC0E50">
            <w:pPr>
              <w:jc w:val="both"/>
              <w:rPr>
                <w:rFonts w:ascii="Verdana" w:eastAsia="Calibri" w:hAnsi="Verdana" w:cs="Arial"/>
                <w:b/>
                <w:bCs/>
                <w:lang w:val="es-ES" w:eastAsia="es-ES"/>
              </w:rPr>
            </w:pPr>
          </w:p>
        </w:tc>
      </w:tr>
      <w:tr w:rsidR="00FF1BEC" w:rsidRPr="00C53B42" w14:paraId="483C51B7" w14:textId="77777777" w:rsidTr="00CC0E50">
        <w:trPr>
          <w:trHeight w:val="884"/>
        </w:trPr>
        <w:tc>
          <w:tcPr>
            <w:tcW w:w="2175" w:type="dxa"/>
            <w:hideMark/>
          </w:tcPr>
          <w:p w14:paraId="08F19796" w14:textId="77777777" w:rsidR="00FF1BEC" w:rsidRPr="00C53B42" w:rsidRDefault="00FF1BEC" w:rsidP="00CC0E50">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614" w:type="dxa"/>
            <w:hideMark/>
          </w:tcPr>
          <w:p w14:paraId="3750FAA8" w14:textId="77777777" w:rsidR="00FF1BEC" w:rsidRDefault="00FF1BEC" w:rsidP="00CC0E50">
            <w:pPr>
              <w:jc w:val="both"/>
              <w:rPr>
                <w:rFonts w:ascii="Verdana" w:hAnsi="Verdana" w:cs="Arial"/>
                <w:bCs/>
                <w:color w:val="000000" w:themeColor="text1"/>
                <w:lang w:val="es-ES_tradnl"/>
              </w:rPr>
            </w:pPr>
            <w:r w:rsidRPr="002D623A">
              <w:rPr>
                <w:rFonts w:ascii="Verdana" w:hAnsi="Verdana" w:cs="Arial"/>
                <w:bCs/>
                <w:color w:val="000000" w:themeColor="text1"/>
                <w:lang w:val="es-ES_tradnl"/>
              </w:rPr>
              <w:t xml:space="preserve">PRECIOS ARTIFICIALMENTE BAJOS – Noción -Deber de las entidades estatales / EVALUACIÓN DE LAS OFERTAS – Finalidad – Oportunidad / GUÍA DE OFERTAS ARTIFICIALMENTE BAJAS – </w:t>
            </w:r>
            <w:r>
              <w:rPr>
                <w:rFonts w:ascii="Verdana" w:hAnsi="Verdana" w:cs="Arial"/>
                <w:bCs/>
                <w:color w:val="000000" w:themeColor="text1"/>
                <w:lang w:val="es-ES_tradnl"/>
              </w:rPr>
              <w:t>Manejo</w:t>
            </w:r>
          </w:p>
          <w:p w14:paraId="38ACDC78" w14:textId="77777777" w:rsidR="00FF1BEC" w:rsidRDefault="00FF1BEC" w:rsidP="00CC0E50">
            <w:pPr>
              <w:jc w:val="both"/>
              <w:rPr>
                <w:rFonts w:ascii="Verdana" w:hAnsi="Verdana" w:cs="Arial"/>
                <w:bCs/>
                <w:color w:val="000000" w:themeColor="text1"/>
                <w:lang w:val="es-ES_tradnl"/>
              </w:rPr>
            </w:pPr>
          </w:p>
          <w:p w14:paraId="5A92AE7A" w14:textId="77777777" w:rsidR="00FF1BEC" w:rsidRPr="00C53B42" w:rsidRDefault="00FF1BEC" w:rsidP="00CC0E50">
            <w:pPr>
              <w:jc w:val="both"/>
              <w:rPr>
                <w:rFonts w:ascii="Verdana" w:eastAsia="Calibri" w:hAnsi="Verdana" w:cs="Arial"/>
                <w:lang w:val="es-ES" w:eastAsia="es-ES"/>
              </w:rPr>
            </w:pPr>
          </w:p>
        </w:tc>
      </w:tr>
      <w:tr w:rsidR="00FF1BEC" w14:paraId="5E630AF6" w14:textId="77777777" w:rsidTr="00CC0E50">
        <w:tc>
          <w:tcPr>
            <w:tcW w:w="2175" w:type="dxa"/>
            <w:hideMark/>
          </w:tcPr>
          <w:p w14:paraId="4D17B9B0" w14:textId="77777777" w:rsidR="00FF1BEC" w:rsidRPr="00C53B42" w:rsidRDefault="00FF1BEC" w:rsidP="00CC0E50">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614" w:type="dxa"/>
          </w:tcPr>
          <w:p w14:paraId="223B7778" w14:textId="77777777" w:rsidR="00FF1BEC" w:rsidRPr="00C53B42" w:rsidRDefault="00FF1BEC" w:rsidP="00CC0E50">
            <w:pPr>
              <w:jc w:val="both"/>
              <w:rPr>
                <w:rFonts w:ascii="Verdana" w:eastAsia="Calibri" w:hAnsi="Verdana" w:cs="Arial"/>
                <w:lang w:val="es-ES" w:eastAsia="es-ES"/>
              </w:rPr>
            </w:pPr>
            <w:r w:rsidRPr="798D707B">
              <w:rPr>
                <w:rFonts w:ascii="Verdana" w:eastAsia="Calibri" w:hAnsi="Verdana" w:cs="Arial"/>
                <w:lang w:val="es-ES" w:eastAsia="es-ES"/>
              </w:rPr>
              <w:t xml:space="preserve">Respuesta a consulta con radicado </w:t>
            </w:r>
            <w:proofErr w:type="gramStart"/>
            <w:r w:rsidRPr="798D707B">
              <w:rPr>
                <w:rFonts w:ascii="Verdana" w:eastAsia="Calibri" w:hAnsi="Verdana" w:cs="Arial"/>
                <w:lang w:val="es-ES" w:eastAsia="es-ES"/>
              </w:rPr>
              <w:t xml:space="preserve">No.   </w:t>
            </w:r>
            <w:proofErr w:type="gramEnd"/>
            <w:r w:rsidRPr="798D707B">
              <w:rPr>
                <w:rFonts w:ascii="Verdana" w:eastAsia="Calibri" w:hAnsi="Verdana" w:cs="Arial"/>
                <w:lang w:val="es-ES" w:eastAsia="es-ES"/>
              </w:rPr>
              <w:t xml:space="preserve">1_2025_07_28_007774 </w:t>
            </w:r>
          </w:p>
        </w:tc>
      </w:tr>
    </w:tbl>
    <w:p w14:paraId="18A86D71" w14:textId="77777777" w:rsidR="00FF1BEC" w:rsidRDefault="00FF1BEC" w:rsidP="00FF1BEC">
      <w:pPr>
        <w:spacing w:after="0" w:line="240" w:lineRule="auto"/>
        <w:jc w:val="both"/>
        <w:rPr>
          <w:rFonts w:ascii="Verdana" w:eastAsia="Calibri" w:hAnsi="Verdana" w:cs="Arial"/>
          <w:color w:val="000000"/>
          <w:lang w:val="es-ES_tradnl" w:eastAsia="es-ES_tradnl"/>
        </w:rPr>
      </w:pPr>
    </w:p>
    <w:p w14:paraId="107B3503" w14:textId="77777777" w:rsidR="00FF1BEC" w:rsidRDefault="00FF1BEC" w:rsidP="00FF1BEC">
      <w:pPr>
        <w:spacing w:after="0" w:line="240" w:lineRule="auto"/>
        <w:jc w:val="both"/>
        <w:rPr>
          <w:rFonts w:ascii="Verdana" w:eastAsia="Calibri" w:hAnsi="Verdana" w:cs="Arial"/>
          <w:color w:val="000000"/>
          <w:lang w:val="es-ES_tradnl" w:eastAsia="es-ES_tradnl"/>
        </w:rPr>
      </w:pPr>
    </w:p>
    <w:p w14:paraId="61AD66F7" w14:textId="77777777" w:rsidR="00FF1BEC" w:rsidRDefault="00FF1BEC" w:rsidP="00FF1BEC">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Lasso,</w:t>
      </w:r>
    </w:p>
    <w:p w14:paraId="5453F862" w14:textId="77777777" w:rsidR="00FF1BEC" w:rsidRDefault="00FF1BEC" w:rsidP="00FF1BEC">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46C9B99" w14:textId="77777777" w:rsidR="00FF1BEC" w:rsidRDefault="00FF1BEC" w:rsidP="00FF1BEC">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del 28 de julio de 2025, en la cual manifiesta lo siguiente: </w:t>
      </w:r>
    </w:p>
    <w:p w14:paraId="459A07CF" w14:textId="77777777" w:rsidR="00FF1BEC" w:rsidRDefault="00FF1BEC" w:rsidP="00FF1BE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12A7820" w14:textId="77777777" w:rsidR="00FF1BEC" w:rsidRPr="00937F30" w:rsidRDefault="00FF1BEC" w:rsidP="00FF1BEC">
      <w:pPr>
        <w:autoSpaceDE w:val="0"/>
        <w:autoSpaceDN w:val="0"/>
        <w:adjustRightInd w:val="0"/>
        <w:spacing w:after="0" w:line="276" w:lineRule="auto"/>
        <w:ind w:left="851" w:right="616"/>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r w:rsidRPr="00937F30">
        <w:rPr>
          <w:rFonts w:ascii="Verdana" w:eastAsia="Century Gothic" w:hAnsi="Verdana" w:cs="Century Gothic"/>
          <w:sz w:val="20"/>
          <w:szCs w:val="20"/>
          <w:lang w:val="es-ES"/>
        </w:rPr>
        <w:t>Asunto: Plazo para requerir a un proponente sobre su oferta con precios artificialmente bajos en un</w:t>
      </w:r>
      <w:r>
        <w:rPr>
          <w:rFonts w:ascii="Verdana" w:eastAsia="Century Gothic" w:hAnsi="Verdana" w:cs="Century Gothic"/>
          <w:sz w:val="20"/>
          <w:szCs w:val="20"/>
          <w:lang w:val="es-ES"/>
        </w:rPr>
        <w:t xml:space="preserve"> </w:t>
      </w:r>
      <w:r w:rsidRPr="00937F30">
        <w:rPr>
          <w:rFonts w:ascii="Verdana" w:eastAsia="Century Gothic" w:hAnsi="Verdana" w:cs="Century Gothic"/>
          <w:sz w:val="20"/>
          <w:szCs w:val="20"/>
          <w:lang w:val="es-ES"/>
        </w:rPr>
        <w:t>proceso de selección abreviada.</w:t>
      </w:r>
    </w:p>
    <w:p w14:paraId="154F3AFF" w14:textId="77777777" w:rsidR="00FF1BEC" w:rsidRPr="00937F30" w:rsidRDefault="00FF1BEC" w:rsidP="00FF1BEC">
      <w:pPr>
        <w:autoSpaceDE w:val="0"/>
        <w:autoSpaceDN w:val="0"/>
        <w:adjustRightInd w:val="0"/>
        <w:spacing w:after="0" w:line="276" w:lineRule="auto"/>
        <w:ind w:left="851" w:right="616"/>
        <w:jc w:val="both"/>
        <w:rPr>
          <w:rFonts w:ascii="Verdana" w:eastAsia="Century Gothic" w:hAnsi="Verdana" w:cs="Century Gothic"/>
          <w:sz w:val="20"/>
          <w:szCs w:val="20"/>
          <w:lang w:val="es-ES"/>
        </w:rPr>
      </w:pPr>
      <w:r w:rsidRPr="00937F30">
        <w:rPr>
          <w:rFonts w:ascii="Verdana" w:eastAsia="Century Gothic" w:hAnsi="Verdana" w:cs="Century Gothic"/>
          <w:sz w:val="20"/>
          <w:szCs w:val="20"/>
          <w:lang w:val="es-ES"/>
        </w:rPr>
        <w:t>Estimados señores:</w:t>
      </w:r>
    </w:p>
    <w:p w14:paraId="1B96F42C" w14:textId="77777777" w:rsidR="00FF1BEC" w:rsidRPr="00937F30" w:rsidRDefault="00FF1BEC" w:rsidP="00FF1BEC">
      <w:pPr>
        <w:autoSpaceDE w:val="0"/>
        <w:autoSpaceDN w:val="0"/>
        <w:adjustRightInd w:val="0"/>
        <w:spacing w:after="0" w:line="276" w:lineRule="auto"/>
        <w:ind w:left="851" w:right="616"/>
        <w:jc w:val="both"/>
        <w:rPr>
          <w:rFonts w:ascii="Verdana" w:eastAsia="Century Gothic" w:hAnsi="Verdana" w:cs="Century Gothic"/>
          <w:sz w:val="20"/>
          <w:szCs w:val="20"/>
          <w:lang w:val="es-ES"/>
        </w:rPr>
      </w:pPr>
      <w:r w:rsidRPr="00937F30">
        <w:rPr>
          <w:rFonts w:ascii="Verdana" w:eastAsia="Century Gothic" w:hAnsi="Verdana" w:cs="Century Gothic"/>
          <w:sz w:val="20"/>
          <w:szCs w:val="20"/>
          <w:lang w:val="es-ES"/>
        </w:rPr>
        <w:t>Cordial saludo.</w:t>
      </w:r>
    </w:p>
    <w:p w14:paraId="092203EB" w14:textId="77777777" w:rsidR="00FF1BEC" w:rsidRDefault="00FF1BEC" w:rsidP="00FF1BEC">
      <w:pPr>
        <w:autoSpaceDE w:val="0"/>
        <w:autoSpaceDN w:val="0"/>
        <w:adjustRightInd w:val="0"/>
        <w:spacing w:after="0" w:line="276" w:lineRule="auto"/>
        <w:ind w:left="851" w:right="616"/>
        <w:jc w:val="both"/>
        <w:rPr>
          <w:rFonts w:ascii="Verdana" w:eastAsia="Century Gothic" w:hAnsi="Verdana" w:cs="Century Gothic"/>
          <w:sz w:val="20"/>
          <w:szCs w:val="20"/>
          <w:lang w:val="es-ES"/>
        </w:rPr>
      </w:pPr>
      <w:r w:rsidRPr="00937F30">
        <w:rPr>
          <w:rFonts w:ascii="Verdana" w:eastAsia="Century Gothic" w:hAnsi="Verdana" w:cs="Century Gothic"/>
          <w:sz w:val="20"/>
          <w:szCs w:val="20"/>
          <w:lang w:val="es-ES"/>
        </w:rPr>
        <w:t>¿El requerimiento al proponente para que explique precios artificialmente bajos en una selección abreviada</w:t>
      </w:r>
      <w:r>
        <w:rPr>
          <w:rFonts w:ascii="Verdana" w:eastAsia="Century Gothic" w:hAnsi="Verdana" w:cs="Century Gothic"/>
          <w:sz w:val="20"/>
          <w:szCs w:val="20"/>
          <w:lang w:val="es-ES"/>
        </w:rPr>
        <w:t xml:space="preserve"> </w:t>
      </w:r>
      <w:r w:rsidRPr="00937F30">
        <w:rPr>
          <w:rFonts w:ascii="Verdana" w:eastAsia="Century Gothic" w:hAnsi="Verdana" w:cs="Century Gothic"/>
          <w:sz w:val="20"/>
          <w:szCs w:val="20"/>
          <w:lang w:val="es-ES"/>
        </w:rPr>
        <w:t>de menor cuantía debe realizarse antes de la adjudicación del contrato?</w:t>
      </w:r>
    </w:p>
    <w:p w14:paraId="78FD103B" w14:textId="77777777" w:rsidR="00FF1BEC" w:rsidRPr="00924340" w:rsidRDefault="00FF1BEC" w:rsidP="00FF1BEC">
      <w:pPr>
        <w:autoSpaceDE w:val="0"/>
        <w:autoSpaceDN w:val="0"/>
        <w:adjustRightInd w:val="0"/>
        <w:spacing w:after="0" w:line="276" w:lineRule="auto"/>
        <w:ind w:left="851" w:right="616"/>
        <w:jc w:val="both"/>
        <w:rPr>
          <w:rFonts w:ascii="Verdana" w:eastAsia="Century Gothic" w:hAnsi="Verdana" w:cs="Century Gothic"/>
          <w:b/>
        </w:rPr>
      </w:pPr>
    </w:p>
    <w:p w14:paraId="1F649AAD" w14:textId="77777777" w:rsidR="00FF1BEC" w:rsidRDefault="00FF1BEC" w:rsidP="00FF1BEC">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Pr>
          <w:rFonts w:ascii="Verdana" w:eastAsia="Calibri" w:hAnsi="Verdana" w:cs="Arial"/>
          <w:color w:val="000000"/>
          <w:lang w:val="es-ES" w:eastAsia="es-ES"/>
        </w:rPr>
        <w:lastRenderedPageBreak/>
        <w:t xml:space="preserve">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718EA068" w14:textId="77777777" w:rsidR="00FF1BEC" w:rsidRDefault="00FF1BEC" w:rsidP="00FF1BEC">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07ACB384" w14:textId="77777777" w:rsidR="00FF1BEC" w:rsidRDefault="00FF1BEC" w:rsidP="00FF1BEC">
      <w:pPr>
        <w:spacing w:after="0" w:line="276" w:lineRule="auto"/>
        <w:ind w:firstLine="709"/>
        <w:jc w:val="both"/>
        <w:rPr>
          <w:rFonts w:ascii="Verdana" w:eastAsia="Calibri" w:hAnsi="Verdana" w:cs="Arial"/>
          <w:color w:val="000000"/>
          <w:lang w:val="es-ES" w:eastAsia="es-ES"/>
        </w:rPr>
      </w:pPr>
    </w:p>
    <w:p w14:paraId="076F7AA4" w14:textId="77777777" w:rsidR="00FF1BEC" w:rsidRDefault="00FF1BEC" w:rsidP="00FF1BE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5AC09515" w14:textId="77777777" w:rsidR="00FF1BEC" w:rsidRDefault="00FF1BEC" w:rsidP="00FF1BEC">
      <w:pPr>
        <w:tabs>
          <w:tab w:val="left" w:pos="426"/>
        </w:tabs>
        <w:spacing w:after="0" w:line="276" w:lineRule="auto"/>
        <w:jc w:val="both"/>
        <w:rPr>
          <w:rFonts w:ascii="Verdana" w:eastAsia="Century Gothic" w:hAnsi="Verdana" w:cs="Century Gothic"/>
          <w:lang w:val="es-ES"/>
        </w:rPr>
      </w:pPr>
    </w:p>
    <w:p w14:paraId="2924269D" w14:textId="77777777" w:rsidR="00FF1BEC" w:rsidRDefault="00FF1BEC" w:rsidP="00FF1BEC">
      <w:pPr>
        <w:spacing w:after="0" w:line="276" w:lineRule="auto"/>
        <w:jc w:val="both"/>
        <w:rPr>
          <w:rFonts w:ascii="Verdana" w:eastAsia="Century Gothic" w:hAnsi="Verdana" w:cs="Century Gothic"/>
        </w:rPr>
      </w:pPr>
      <w:r>
        <w:rPr>
          <w:rFonts w:ascii="Verdana" w:eastAsia="Century Gothic" w:hAnsi="Verdana" w:cs="Century Gothic"/>
        </w:rPr>
        <w:t>De acuerdo con el contenido de su solicitud, esta Agencia resolverá el siguiente problema jurídico: En el marco de un proceso de selección abreviada de menor cuantía ¿el requerimiento de aclaración sobre precios artificialmente bajos a un proponente debe realizarse antes de la adjudicación del contrato?</w:t>
      </w:r>
    </w:p>
    <w:p w14:paraId="6AEA22A9" w14:textId="77777777" w:rsidR="00FF1BEC" w:rsidRDefault="00FF1BEC" w:rsidP="00FF1BEC">
      <w:pPr>
        <w:spacing w:after="0" w:line="276" w:lineRule="auto"/>
        <w:jc w:val="both"/>
        <w:rPr>
          <w:rFonts w:ascii="Verdana" w:eastAsia="Calibri" w:hAnsi="Verdana" w:cs="Arial"/>
          <w:color w:val="7030A0"/>
          <w:lang w:val="es-ES"/>
        </w:rPr>
      </w:pPr>
    </w:p>
    <w:p w14:paraId="33408E21" w14:textId="77777777" w:rsidR="00FF1BEC" w:rsidRDefault="00FF1BEC" w:rsidP="00FF1BE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4E994EA5" w14:textId="77777777" w:rsidR="00FF1BEC" w:rsidRDefault="00FF1BEC" w:rsidP="00FF1BE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F1BEC" w:rsidRPr="00DE5508" w14:paraId="75C03A57" w14:textId="77777777" w:rsidTr="00CC0E50">
        <w:tc>
          <w:tcPr>
            <w:tcW w:w="8828" w:type="dxa"/>
            <w:tcBorders>
              <w:top w:val="dotted" w:sz="4" w:space="0" w:color="auto"/>
              <w:left w:val="dotted" w:sz="4" w:space="0" w:color="auto"/>
              <w:bottom w:val="dotted" w:sz="4" w:space="0" w:color="auto"/>
              <w:right w:val="dotted" w:sz="4" w:space="0" w:color="auto"/>
            </w:tcBorders>
          </w:tcPr>
          <w:p w14:paraId="6A6AF4CB" w14:textId="77777777" w:rsidR="00FF1BEC" w:rsidRDefault="00FF1BEC" w:rsidP="00CC0E50">
            <w:pPr>
              <w:widowControl w:val="0"/>
              <w:autoSpaceDE w:val="0"/>
              <w:autoSpaceDN w:val="0"/>
              <w:spacing w:line="276" w:lineRule="auto"/>
              <w:ind w:right="176"/>
              <w:jc w:val="both"/>
              <w:rPr>
                <w:rFonts w:ascii="Verdana" w:eastAsia="Arial" w:hAnsi="Verdana" w:cs="Arial"/>
                <w:lang w:val="es-ES" w:eastAsia="es-ES" w:bidi="es-ES"/>
              </w:rPr>
            </w:pPr>
            <w:r>
              <w:rPr>
                <w:rFonts w:ascii="Verdana" w:eastAsia="Arial" w:hAnsi="Verdana" w:cs="Arial"/>
                <w:lang w:val="es-ES" w:eastAsia="es-ES" w:bidi="es-ES"/>
              </w:rPr>
              <w:t>E</w:t>
            </w:r>
            <w:r w:rsidRPr="00910028">
              <w:rPr>
                <w:rFonts w:ascii="Verdana" w:eastAsia="Arial" w:hAnsi="Verdana" w:cs="Arial"/>
                <w:lang w:val="es-ES" w:eastAsia="es-ES" w:bidi="es-ES"/>
              </w:rPr>
              <w:t>l artículo 2.2.1.1.2.2.4. del Decreto 1082 de 2015 establece que cuando el valor de una oferta parezca artificialmente bajo, la entidad debe requerir al oferente para que explique las razones que sustentan el valor ofrecido</w:t>
            </w:r>
            <w:r>
              <w:rPr>
                <w:rFonts w:ascii="Verdana" w:eastAsia="Arial" w:hAnsi="Verdana" w:cs="Arial"/>
                <w:lang w:val="es-ES" w:eastAsia="es-ES" w:bidi="es-ES"/>
              </w:rPr>
              <w:t>:</w:t>
            </w:r>
          </w:p>
          <w:p w14:paraId="243DFC52" w14:textId="77777777" w:rsidR="00FF1BEC" w:rsidRDefault="00FF1BEC" w:rsidP="00CC0E50">
            <w:pPr>
              <w:widowControl w:val="0"/>
              <w:autoSpaceDE w:val="0"/>
              <w:autoSpaceDN w:val="0"/>
              <w:spacing w:line="276" w:lineRule="auto"/>
              <w:ind w:right="176"/>
              <w:jc w:val="both"/>
              <w:rPr>
                <w:rFonts w:ascii="Verdana" w:hAnsi="Verdana"/>
              </w:rPr>
            </w:pPr>
          </w:p>
          <w:p w14:paraId="790590D4" w14:textId="77777777" w:rsidR="00FF1BEC" w:rsidRPr="00C71D70" w:rsidRDefault="00FF1BEC" w:rsidP="00CC0E50">
            <w:pPr>
              <w:ind w:left="708" w:right="616" w:firstLine="1"/>
              <w:jc w:val="both"/>
              <w:rPr>
                <w:rFonts w:ascii="Verdana" w:hAnsi="Verdana"/>
                <w:sz w:val="21"/>
                <w:szCs w:val="21"/>
              </w:rPr>
            </w:pPr>
            <w:r w:rsidRPr="00C71D70">
              <w:rPr>
                <w:rFonts w:ascii="Verdana" w:hAnsi="Verdana"/>
                <w:sz w:val="21"/>
                <w:szCs w:val="21"/>
              </w:rPr>
              <w:t>“Artículo 2.2.1.1.2.2.4. Oferta con valor artificialmente bajo</w:t>
            </w:r>
            <w:r w:rsidRPr="00C71D70">
              <w:rPr>
                <w:rFonts w:ascii="Verdana" w:hAnsi="Verdana"/>
                <w:b/>
                <w:i/>
                <w:sz w:val="21"/>
                <w:szCs w:val="21"/>
              </w:rPr>
              <w:t xml:space="preserve">. </w:t>
            </w:r>
            <w:r w:rsidRPr="00C71D70">
              <w:rPr>
                <w:rFonts w:ascii="Verdana" w:hAnsi="Verdana"/>
                <w:sz w:val="21"/>
                <w:szCs w:val="21"/>
              </w:rPr>
              <w:t xml:space="preserve">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w:t>
            </w:r>
            <w:proofErr w:type="gramStart"/>
            <w:r w:rsidRPr="00C71D70">
              <w:rPr>
                <w:rFonts w:ascii="Verdana" w:hAnsi="Verdana"/>
                <w:sz w:val="21"/>
                <w:szCs w:val="21"/>
              </w:rPr>
              <w:t>la misma</w:t>
            </w:r>
            <w:proofErr w:type="gramEnd"/>
            <w:r w:rsidRPr="00C71D70">
              <w:rPr>
                <w:rFonts w:ascii="Verdana" w:hAnsi="Verdana"/>
                <w:sz w:val="21"/>
                <w:szCs w:val="21"/>
              </w:rPr>
              <w:t xml:space="preserve"> en la evaluación de las</w:t>
            </w:r>
            <w:r w:rsidRPr="00C71D70">
              <w:rPr>
                <w:rFonts w:ascii="Verdana" w:hAnsi="Verdana"/>
                <w:spacing w:val="-21"/>
                <w:sz w:val="21"/>
                <w:szCs w:val="21"/>
              </w:rPr>
              <w:t xml:space="preserve"> </w:t>
            </w:r>
            <w:r w:rsidRPr="00C71D70">
              <w:rPr>
                <w:rFonts w:ascii="Verdana" w:hAnsi="Verdana"/>
                <w:sz w:val="21"/>
                <w:szCs w:val="21"/>
              </w:rPr>
              <w:t>ofertas.</w:t>
            </w:r>
          </w:p>
          <w:p w14:paraId="65921A50" w14:textId="77777777" w:rsidR="00FF1BEC" w:rsidRPr="00C71D70" w:rsidRDefault="00FF1BEC" w:rsidP="00CC0E50">
            <w:pPr>
              <w:ind w:left="709" w:right="616"/>
              <w:jc w:val="both"/>
              <w:rPr>
                <w:rFonts w:ascii="Verdana" w:hAnsi="Verdana"/>
                <w:sz w:val="21"/>
                <w:szCs w:val="21"/>
              </w:rPr>
            </w:pPr>
            <w:r w:rsidRPr="00C71D70">
              <w:rPr>
                <w:rFonts w:ascii="Verdana" w:hAnsi="Verdana"/>
                <w:sz w:val="21"/>
                <w:szCs w:val="21"/>
              </w:rPr>
              <w:t xml:space="preserve">Cuando el valor de la oferta sobre la cual la Entidad Estatal tuvo dudas sobre su </w:t>
            </w:r>
            <w:proofErr w:type="gramStart"/>
            <w:r w:rsidRPr="00C71D70">
              <w:rPr>
                <w:rFonts w:ascii="Verdana" w:hAnsi="Verdana"/>
                <w:sz w:val="21"/>
                <w:szCs w:val="21"/>
              </w:rPr>
              <w:t>valor,</w:t>
            </w:r>
            <w:proofErr w:type="gramEnd"/>
            <w:r w:rsidRPr="00C71D70">
              <w:rPr>
                <w:rFonts w:ascii="Verdana" w:hAnsi="Verdana"/>
                <w:sz w:val="21"/>
                <w:szCs w:val="21"/>
              </w:rPr>
              <w:t xml:space="preserve"> responde a circunstancias objetivas del oferente y de su oferta que no ponen en riesgo el cumplimiento del contrato si este es adjudicado a tal oferta, la Entidad Estatal debe continuar con su análisis en el proceso de evaluación de ofertas.</w:t>
            </w:r>
          </w:p>
          <w:p w14:paraId="31084E4C" w14:textId="77777777" w:rsidR="00FF1BEC" w:rsidRPr="00C71D70" w:rsidRDefault="00FF1BEC" w:rsidP="00CC0E50">
            <w:pPr>
              <w:ind w:left="708" w:right="616" w:firstLine="1"/>
              <w:jc w:val="both"/>
              <w:rPr>
                <w:rFonts w:ascii="Verdana" w:hAnsi="Verdana"/>
                <w:sz w:val="21"/>
                <w:szCs w:val="21"/>
              </w:rPr>
            </w:pPr>
            <w:r w:rsidRPr="00C71D70">
              <w:rPr>
                <w:rFonts w:ascii="Verdana" w:hAnsi="Verdana"/>
                <w:sz w:val="21"/>
                <w:szCs w:val="21"/>
              </w:rPr>
              <w:lastRenderedPageBreak/>
              <w:t xml:space="preserve">En la subasta inversa esta disposición es aplicable sobre el precio obtenido al final de </w:t>
            </w:r>
            <w:proofErr w:type="gramStart"/>
            <w:r w:rsidRPr="00C71D70">
              <w:rPr>
                <w:rFonts w:ascii="Verdana" w:hAnsi="Verdana"/>
                <w:sz w:val="21"/>
                <w:szCs w:val="21"/>
              </w:rPr>
              <w:t>la misma</w:t>
            </w:r>
            <w:proofErr w:type="gramEnd"/>
            <w:r w:rsidRPr="00C71D70">
              <w:rPr>
                <w:rFonts w:ascii="Verdana" w:hAnsi="Verdana"/>
                <w:sz w:val="21"/>
                <w:szCs w:val="21"/>
              </w:rPr>
              <w:t>”.</w:t>
            </w:r>
          </w:p>
          <w:p w14:paraId="26B08E48" w14:textId="77777777" w:rsidR="00FF1BEC" w:rsidRDefault="00FF1BEC" w:rsidP="00CC0E50">
            <w:pPr>
              <w:widowControl w:val="0"/>
              <w:autoSpaceDE w:val="0"/>
              <w:autoSpaceDN w:val="0"/>
              <w:spacing w:line="276" w:lineRule="auto"/>
              <w:ind w:right="176"/>
              <w:jc w:val="both"/>
              <w:rPr>
                <w:rFonts w:ascii="Verdana" w:hAnsi="Verdana"/>
              </w:rPr>
            </w:pPr>
          </w:p>
          <w:p w14:paraId="5E4F1D5F" w14:textId="77777777" w:rsidR="00FF1BEC" w:rsidRDefault="00FF1BEC" w:rsidP="00CC0E50">
            <w:pPr>
              <w:spacing w:after="120" w:line="276" w:lineRule="auto"/>
              <w:ind w:firstLine="708"/>
              <w:jc w:val="both"/>
              <w:rPr>
                <w:rFonts w:ascii="Verdana" w:eastAsia="Calibri" w:hAnsi="Verdana" w:cs="Arial"/>
                <w:lang w:val="es-MX"/>
              </w:rPr>
            </w:pPr>
            <w:r>
              <w:rPr>
                <w:rFonts w:ascii="Verdana" w:eastAsia="Calibri" w:hAnsi="Verdana" w:cs="Arial"/>
                <w:lang w:val="es-MX"/>
              </w:rPr>
              <w:t xml:space="preserve">Así, </w:t>
            </w:r>
            <w:r w:rsidRPr="00AC1339">
              <w:rPr>
                <w:rFonts w:ascii="Verdana" w:eastAsia="Calibri" w:hAnsi="Verdana" w:cs="Arial"/>
                <w:lang w:val="es-MX"/>
              </w:rPr>
              <w:t xml:space="preserve">la entidad cuando el precio de una oferta parece artificialmente bajo, </w:t>
            </w:r>
            <w:r>
              <w:rPr>
                <w:rFonts w:ascii="Verdana" w:eastAsia="Calibri" w:hAnsi="Verdana" w:cs="Arial"/>
                <w:lang w:val="es-MX"/>
              </w:rPr>
              <w:t>debe</w:t>
            </w:r>
            <w:r w:rsidRPr="00AC1339">
              <w:rPr>
                <w:rFonts w:ascii="Verdana" w:eastAsia="Calibri" w:hAnsi="Verdana" w:cs="Arial"/>
                <w:lang w:val="es-MX"/>
              </w:rPr>
              <w:t xml:space="preserve">: i) solicitar explicación al oferente, </w:t>
            </w:r>
            <w:proofErr w:type="spellStart"/>
            <w:r w:rsidRPr="00AC1339">
              <w:rPr>
                <w:rFonts w:ascii="Verdana" w:eastAsia="Calibri" w:hAnsi="Verdana" w:cs="Arial"/>
                <w:lang w:val="es-MX"/>
              </w:rPr>
              <w:t>ii</w:t>
            </w:r>
            <w:proofErr w:type="spellEnd"/>
            <w:r w:rsidRPr="00AC1339">
              <w:rPr>
                <w:rFonts w:ascii="Verdana" w:eastAsia="Calibri" w:hAnsi="Verdana" w:cs="Arial"/>
                <w:lang w:val="es-MX"/>
              </w:rPr>
              <w:t xml:space="preserve">) analizar las explicaciones del oferente, </w:t>
            </w:r>
            <w:proofErr w:type="spellStart"/>
            <w:r w:rsidRPr="00AC1339">
              <w:rPr>
                <w:rFonts w:ascii="Verdana" w:eastAsia="Calibri" w:hAnsi="Verdana" w:cs="Arial"/>
                <w:lang w:val="es-MX"/>
              </w:rPr>
              <w:t>iii</w:t>
            </w:r>
            <w:proofErr w:type="spellEnd"/>
            <w:r w:rsidRPr="00AC1339">
              <w:rPr>
                <w:rFonts w:ascii="Verdana" w:eastAsia="Calibri" w:hAnsi="Verdana" w:cs="Arial"/>
                <w:lang w:val="es-MX"/>
              </w:rPr>
              <w:t xml:space="preserve">) el responsable de la evaluación de las ofertas debe recomendar rechazar o continuar la evaluación de la oferta, y </w:t>
            </w:r>
            <w:proofErr w:type="spellStart"/>
            <w:r w:rsidRPr="00AC1339">
              <w:rPr>
                <w:rFonts w:ascii="Verdana" w:eastAsia="Calibri" w:hAnsi="Verdana" w:cs="Arial"/>
                <w:lang w:val="es-MX"/>
              </w:rPr>
              <w:t>iv</w:t>
            </w:r>
            <w:proofErr w:type="spellEnd"/>
            <w:r w:rsidRPr="00AC1339">
              <w:rPr>
                <w:rFonts w:ascii="Verdana" w:eastAsia="Calibri" w:hAnsi="Verdana" w:cs="Arial"/>
                <w:lang w:val="es-MX"/>
              </w:rPr>
              <w:t>) para la subasta inversa, lo anterior se debe hacer al finalizar el evento.</w:t>
            </w:r>
          </w:p>
          <w:p w14:paraId="1C26AEB7" w14:textId="77777777" w:rsidR="00FF1BEC" w:rsidRDefault="00FF1BEC" w:rsidP="00CC0E50">
            <w:pPr>
              <w:spacing w:before="120" w:line="276" w:lineRule="auto"/>
              <w:ind w:firstLine="708"/>
              <w:jc w:val="both"/>
              <w:rPr>
                <w:rFonts w:ascii="Verdana" w:eastAsia="Calibri" w:hAnsi="Verdana" w:cs="Arial"/>
                <w:lang w:val="es-MX"/>
              </w:rPr>
            </w:pPr>
            <w:r w:rsidRPr="00AC1339">
              <w:rPr>
                <w:rFonts w:ascii="Verdana" w:eastAsia="Calibri" w:hAnsi="Verdana" w:cs="Arial"/>
                <w:lang w:val="es-ES"/>
              </w:rPr>
              <w:t>Sin embargo, debe precisarse que el análisis de los precios de una oferta se hace en la fase de evaluación del procedimiento</w:t>
            </w:r>
            <w:r>
              <w:rPr>
                <w:rFonts w:ascii="Verdana" w:eastAsia="Calibri" w:hAnsi="Verdana" w:cs="Arial"/>
                <w:lang w:val="es-ES"/>
              </w:rPr>
              <w:t xml:space="preserve"> de selección</w:t>
            </w:r>
            <w:r w:rsidRPr="00AC1339">
              <w:rPr>
                <w:rFonts w:ascii="Verdana" w:eastAsia="Calibri" w:hAnsi="Verdana" w:cs="Arial"/>
                <w:lang w:val="es-ES"/>
              </w:rPr>
              <w:t>, que es la oportunidad para verificar, a través del comité evaluador</w:t>
            </w:r>
            <w:r w:rsidRPr="00AC1339">
              <w:rPr>
                <w:rFonts w:ascii="Verdana" w:eastAsia="Aptos" w:hAnsi="Verdana" w:cs="Times New Roman"/>
                <w:kern w:val="2"/>
                <w:vertAlign w:val="superscript"/>
                <w:lang w:val="es-MX"/>
                <w14:ligatures w14:val="standardContextual"/>
              </w:rPr>
              <w:footnoteReference w:id="2"/>
            </w:r>
            <w:r>
              <w:rPr>
                <w:rFonts w:ascii="Verdana" w:eastAsia="Calibri" w:hAnsi="Verdana" w:cs="Arial"/>
                <w:lang w:val="es-MX"/>
              </w:rPr>
              <w:t xml:space="preserve"> si se cumplen o no</w:t>
            </w:r>
            <w:r w:rsidRPr="00AC1339">
              <w:rPr>
                <w:rFonts w:ascii="Verdana" w:eastAsia="Calibri" w:hAnsi="Verdana" w:cs="Arial"/>
                <w:lang w:val="es-MX"/>
              </w:rPr>
              <w:t xml:space="preserve"> las reglas </w:t>
            </w:r>
            <w:r>
              <w:rPr>
                <w:rFonts w:ascii="Verdana" w:eastAsia="Calibri" w:hAnsi="Verdana" w:cs="Arial"/>
                <w:lang w:val="es-MX"/>
              </w:rPr>
              <w:t>de</w:t>
            </w:r>
            <w:r w:rsidRPr="00AC1339">
              <w:rPr>
                <w:rFonts w:ascii="Verdana" w:eastAsia="Calibri" w:hAnsi="Verdana" w:cs="Arial"/>
                <w:lang w:val="es-MX"/>
              </w:rPr>
              <w:t xml:space="preserve"> los pliegos de condiciones. </w:t>
            </w:r>
            <w:r w:rsidRPr="00AC1339">
              <w:rPr>
                <w:rFonts w:ascii="Verdana" w:eastAsia="Calibri" w:hAnsi="Verdana" w:cs="Arial"/>
                <w:lang w:val="es-ES"/>
              </w:rPr>
              <w:t>En ese sentid</w:t>
            </w:r>
            <w:r>
              <w:rPr>
                <w:rFonts w:ascii="Verdana" w:eastAsia="Calibri" w:hAnsi="Verdana" w:cs="Arial"/>
                <w:lang w:val="es-ES"/>
              </w:rPr>
              <w:t xml:space="preserve">o, </w:t>
            </w:r>
            <w:r w:rsidRPr="00AC1339">
              <w:rPr>
                <w:rFonts w:ascii="Verdana" w:eastAsia="Calibri" w:hAnsi="Verdana" w:cs="Arial"/>
                <w:lang w:val="es-ES"/>
              </w:rPr>
              <w:t>en la evaluación</w:t>
            </w:r>
            <w:r>
              <w:rPr>
                <w:rFonts w:ascii="Verdana" w:eastAsia="Calibri" w:hAnsi="Verdana" w:cs="Arial"/>
                <w:lang w:val="es-ES"/>
              </w:rPr>
              <w:t xml:space="preserve"> que se realiza antes de la adjudicación del contrato</w:t>
            </w:r>
            <w:r w:rsidRPr="00AC1339">
              <w:rPr>
                <w:rFonts w:ascii="Verdana" w:eastAsia="Calibri" w:hAnsi="Verdana" w:cs="Arial"/>
                <w:lang w:val="es-ES"/>
              </w:rPr>
              <w:t xml:space="preserve">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se pretende contratar. En ese caso, la entidad podrá identificar las ofertas con precios que parecen artificialmente bajos, y seguir el procedimiento del Decreto 1082 de 2015.</w:t>
            </w:r>
          </w:p>
          <w:p w14:paraId="130956DC" w14:textId="77777777" w:rsidR="00FF1BEC" w:rsidRDefault="00FF1BEC" w:rsidP="00CC0E50">
            <w:pPr>
              <w:spacing w:after="120" w:line="276" w:lineRule="auto"/>
              <w:ind w:firstLine="708"/>
              <w:jc w:val="both"/>
              <w:rPr>
                <w:rFonts w:ascii="Verdana" w:eastAsia="Times New Roman" w:hAnsi="Verdana" w:cs="Arial"/>
                <w:lang w:val="es-ES"/>
              </w:rPr>
            </w:pPr>
            <w:r>
              <w:rPr>
                <w:rFonts w:ascii="Verdana" w:eastAsia="Times New Roman" w:hAnsi="Verdana" w:cs="Arial"/>
                <w:lang w:val="es-ES"/>
              </w:rPr>
              <w:t>E</w:t>
            </w:r>
            <w:r w:rsidRPr="00AC1339">
              <w:rPr>
                <w:rFonts w:ascii="Verdana" w:eastAsia="Times New Roman" w:hAnsi="Verdana" w:cs="Arial"/>
                <w:lang w:val="es-ES"/>
              </w:rPr>
              <w:t>n este asunto, la Agencia Nacional de Contratación Pública – Colombia Compra Eficiente el 16 de diciembre de 2024, actualizó la “Guía para el manejo de ofertas artificialmente bajas en Procesos de Contratación”,</w:t>
            </w:r>
            <w:r>
              <w:rPr>
                <w:rFonts w:ascii="Verdana" w:eastAsia="Times New Roman" w:hAnsi="Verdana" w:cs="Arial"/>
                <w:lang w:val="es-ES"/>
              </w:rPr>
              <w:t xml:space="preserve"> aclarando el manejo que debe darse a las ofertas con precios artificialmente bajos:</w:t>
            </w:r>
          </w:p>
          <w:p w14:paraId="6855E81F" w14:textId="77777777" w:rsidR="00FF1BEC" w:rsidRPr="00887912" w:rsidRDefault="00FF1BEC" w:rsidP="00CC0E50">
            <w:pPr>
              <w:spacing w:after="120" w:line="276" w:lineRule="auto"/>
              <w:ind w:left="709" w:right="616"/>
              <w:jc w:val="both"/>
              <w:rPr>
                <w:rFonts w:ascii="Verdana" w:hAnsi="Verdana"/>
                <w:sz w:val="21"/>
                <w:szCs w:val="21"/>
              </w:rPr>
            </w:pPr>
            <w:r w:rsidRPr="00887912">
              <w:rPr>
                <w:rFonts w:ascii="Verdana" w:hAnsi="Verdana"/>
                <w:sz w:val="21"/>
                <w:szCs w:val="21"/>
              </w:rPr>
              <w:t>•Requerir al oferente con relación a los precios ofrecidos que parecen bajos para que sustente las razones del valor ofrecido.</w:t>
            </w:r>
          </w:p>
          <w:p w14:paraId="42B6E1ED" w14:textId="77777777" w:rsidR="00FF1BEC" w:rsidRPr="00887912" w:rsidRDefault="00FF1BEC" w:rsidP="00CC0E50">
            <w:pPr>
              <w:spacing w:after="120" w:line="276" w:lineRule="auto"/>
              <w:ind w:left="709" w:right="616"/>
              <w:jc w:val="both"/>
              <w:rPr>
                <w:rFonts w:ascii="Verdana" w:hAnsi="Verdana"/>
                <w:sz w:val="21"/>
                <w:szCs w:val="21"/>
              </w:rPr>
            </w:pPr>
            <w:r w:rsidRPr="00887912">
              <w:rPr>
                <w:rFonts w:ascii="Verdana" w:hAnsi="Verdana"/>
                <w:sz w:val="21"/>
                <w:szCs w:val="21"/>
              </w:rPr>
              <w:lastRenderedPageBreak/>
              <w:t xml:space="preserve"> •Analizar las explicaciones del oferente, para revisar si estas sustentan los valores ofrecidos y si estos son suficientes para ejecutar el contrato de acuerdo con los Documentos del Proceso. </w:t>
            </w:r>
          </w:p>
          <w:p w14:paraId="7D0613D1" w14:textId="77777777" w:rsidR="00FF1BEC" w:rsidRPr="00887912" w:rsidRDefault="00FF1BEC" w:rsidP="00CC0E50">
            <w:pPr>
              <w:spacing w:after="120" w:line="276" w:lineRule="auto"/>
              <w:ind w:left="709" w:right="616"/>
              <w:jc w:val="both"/>
              <w:rPr>
                <w:rFonts w:ascii="Verdana" w:hAnsi="Verdana"/>
                <w:sz w:val="21"/>
                <w:szCs w:val="21"/>
              </w:rPr>
            </w:pPr>
            <w:r w:rsidRPr="00887912">
              <w:rPr>
                <w:rFonts w:ascii="Verdana" w:hAnsi="Verdana"/>
                <w:sz w:val="21"/>
                <w:szCs w:val="21"/>
              </w:rPr>
              <w:t>•Decidir si continúa con la evaluación de la oferta porque la explicación demuestra la habilidad del proponente para cumplir adecuadamente con el contrato con los precios ofrecidos o, si rechaza la oferta porque la explicación no sustenta los valores ofrecidos.</w:t>
            </w:r>
          </w:p>
          <w:p w14:paraId="6D332725" w14:textId="77777777" w:rsidR="00FF1BEC" w:rsidRPr="00887912" w:rsidRDefault="00FF1BEC" w:rsidP="00CC0E50">
            <w:pPr>
              <w:spacing w:after="120" w:line="276" w:lineRule="auto"/>
              <w:ind w:left="709" w:right="616"/>
              <w:jc w:val="both"/>
              <w:rPr>
                <w:rFonts w:ascii="Verdana" w:hAnsi="Verdana"/>
                <w:sz w:val="21"/>
                <w:szCs w:val="21"/>
              </w:rPr>
            </w:pPr>
            <w:r w:rsidRPr="00887912">
              <w:rPr>
                <w:rFonts w:ascii="Verdana" w:hAnsi="Verdana"/>
                <w:sz w:val="21"/>
                <w:szCs w:val="21"/>
              </w:rPr>
              <w:t xml:space="preserve"> •En la subasta inversa, lo anterior deberá realizarse al finalizar el evento de subasta, de acuerdo con el precio ofrecido al final de esta. </w:t>
            </w:r>
          </w:p>
          <w:p w14:paraId="5E7197C6" w14:textId="77777777" w:rsidR="00FF1BEC" w:rsidRPr="00887912" w:rsidRDefault="00FF1BEC" w:rsidP="00CC0E50">
            <w:pPr>
              <w:spacing w:after="120" w:line="276" w:lineRule="auto"/>
              <w:ind w:left="709" w:right="616"/>
              <w:jc w:val="both"/>
              <w:rPr>
                <w:rFonts w:ascii="Verdana" w:eastAsia="Times New Roman" w:hAnsi="Verdana" w:cs="Arial"/>
                <w:sz w:val="21"/>
                <w:szCs w:val="21"/>
                <w:lang w:val="es-ES"/>
              </w:rPr>
            </w:pPr>
            <w:r w:rsidRPr="00887912">
              <w:rPr>
                <w:rFonts w:ascii="Verdana" w:hAnsi="Verdana"/>
                <w:sz w:val="21"/>
                <w:szCs w:val="21"/>
              </w:rPr>
              <w:t>El análisis de precios de una oferta se hace en la fase de evaluación del proceso de selección, donde se tiene la oportunidad para verificar, por medio del comité evaluador, las reglas diseñadas en la estructuración del proceso y plasmadas en los pliegos de condiciones, con el fin de comprobar si las propuestas presentadas cumplen o no, calificar a los oferentes o rechazarlos para establecer un orden de elegibilidad.</w:t>
            </w:r>
          </w:p>
          <w:p w14:paraId="46D85EF8" w14:textId="77777777" w:rsidR="00FF1BEC" w:rsidRPr="00887912" w:rsidRDefault="00FF1BEC" w:rsidP="00CC0E50">
            <w:pPr>
              <w:spacing w:after="120" w:line="276" w:lineRule="auto"/>
              <w:jc w:val="both"/>
              <w:rPr>
                <w:rFonts w:ascii="Verdana" w:eastAsia="Calibri" w:hAnsi="Verdana" w:cs="Arial"/>
              </w:rPr>
            </w:pPr>
            <w:r w:rsidRPr="00AC1339">
              <w:rPr>
                <w:rFonts w:ascii="Verdana" w:eastAsia="Calibri" w:hAnsi="Verdana" w:cs="Arial"/>
                <w:lang w:val="es-ES"/>
              </w:rPr>
              <w:tab/>
            </w:r>
            <w:r w:rsidRPr="00AC1339">
              <w:rPr>
                <w:rFonts w:ascii="Verdana" w:eastAsia="Calibri" w:hAnsi="Verdana" w:cs="Arial"/>
              </w:rPr>
              <w:t xml:space="preserve">Finalmente, debe advertirse que el análisis requerido para resolver problemas específicos en torno a la verificación de ofertas que puedan resultar artificialmente bajas debe ser realizado por las Entidades.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tc>
      </w:tr>
    </w:tbl>
    <w:p w14:paraId="6A8B0B2C" w14:textId="77777777" w:rsidR="00FF1BEC" w:rsidRPr="00DE5508" w:rsidRDefault="00FF1BEC" w:rsidP="00FF1BEC">
      <w:pPr>
        <w:tabs>
          <w:tab w:val="left" w:pos="142"/>
          <w:tab w:val="left" w:pos="284"/>
        </w:tabs>
        <w:spacing w:after="0" w:line="276" w:lineRule="auto"/>
        <w:jc w:val="both"/>
        <w:rPr>
          <w:rFonts w:ascii="Verdana" w:eastAsia="Century Gothic" w:hAnsi="Verdana" w:cs="Century Gothic"/>
          <w:b/>
          <w:bCs/>
          <w:lang w:val="es-ES"/>
        </w:rPr>
      </w:pPr>
    </w:p>
    <w:p w14:paraId="733882A7" w14:textId="77777777" w:rsidR="00FF1BEC" w:rsidRDefault="00FF1BEC" w:rsidP="00FF1BE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59F9418B" w14:textId="77777777" w:rsidR="00FF1BEC" w:rsidRDefault="00FF1BEC" w:rsidP="00FF1BEC">
      <w:pPr>
        <w:spacing w:after="0" w:line="276" w:lineRule="auto"/>
        <w:jc w:val="both"/>
        <w:rPr>
          <w:rFonts w:ascii="Verdana" w:eastAsia="Calibri" w:hAnsi="Verdana" w:cs="Arial"/>
          <w:color w:val="7030A0"/>
          <w:lang w:val="es-ES"/>
        </w:rPr>
      </w:pPr>
    </w:p>
    <w:p w14:paraId="4A545B85" w14:textId="77777777" w:rsidR="00FF1BEC" w:rsidRDefault="00FF1BEC" w:rsidP="00FF1BEC">
      <w:pPr>
        <w:spacing w:after="0" w:line="276"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2147D7FB" w14:textId="77777777" w:rsidR="00FF1BEC" w:rsidRDefault="00FF1BEC" w:rsidP="00FF1BEC">
      <w:pPr>
        <w:widowControl w:val="0"/>
        <w:autoSpaceDE w:val="0"/>
        <w:autoSpaceDN w:val="0"/>
        <w:spacing w:after="0" w:line="276" w:lineRule="auto"/>
        <w:ind w:right="176"/>
        <w:jc w:val="both"/>
        <w:rPr>
          <w:rFonts w:ascii="Verdana" w:eastAsia="Calibri" w:hAnsi="Verdana" w:cs="Arial"/>
          <w:lang w:val="es-ES"/>
        </w:rPr>
      </w:pPr>
    </w:p>
    <w:p w14:paraId="5C3589C7" w14:textId="77777777" w:rsidR="00FF1BEC" w:rsidRPr="00910028" w:rsidRDefault="00FF1BEC" w:rsidP="00FF1BEC">
      <w:pPr>
        <w:widowControl w:val="0"/>
        <w:autoSpaceDE w:val="0"/>
        <w:autoSpaceDN w:val="0"/>
        <w:snapToGrid w:val="0"/>
        <w:spacing w:after="120" w:line="276" w:lineRule="auto"/>
        <w:jc w:val="both"/>
        <w:rPr>
          <w:rFonts w:ascii="Verdana" w:eastAsia="Arial" w:hAnsi="Verdana" w:cs="Arial"/>
          <w:lang w:val="es-ES" w:eastAsia="es-ES" w:bidi="es-ES"/>
        </w:rPr>
      </w:pPr>
      <w:r w:rsidRPr="00910028">
        <w:rPr>
          <w:rFonts w:ascii="Verdana" w:eastAsia="Arial" w:hAnsi="Verdana" w:cs="Arial"/>
          <w:lang w:val="es-ES" w:eastAsia="es-ES" w:bidi="es-ES"/>
        </w:rPr>
        <w:t xml:space="preserve">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w:t>
      </w:r>
      <w:r w:rsidRPr="00910028">
        <w:rPr>
          <w:rFonts w:ascii="Verdana" w:eastAsia="Arial" w:hAnsi="Verdana" w:cs="Arial"/>
          <w:lang w:val="es-ES" w:eastAsia="es-ES" w:bidi="es-ES"/>
        </w:rPr>
        <w:lastRenderedPageBreak/>
        <w:t>contrato</w:t>
      </w:r>
      <w:r w:rsidRPr="00910028">
        <w:rPr>
          <w:rFonts w:ascii="Verdana" w:eastAsia="Arial" w:hAnsi="Verdana" w:cs="Arial"/>
          <w:vertAlign w:val="superscript"/>
          <w:lang w:val="es-ES" w:eastAsia="es-ES" w:bidi="es-ES"/>
        </w:rPr>
        <w:footnoteReference w:id="3"/>
      </w:r>
      <w:r w:rsidRPr="00910028">
        <w:rPr>
          <w:rFonts w:ascii="Verdana" w:eastAsia="Arial" w:hAnsi="Verdana" w:cs="Arial"/>
          <w:lang w:val="es-ES" w:eastAsia="es-ES" w:bidi="es-ES"/>
        </w:rPr>
        <w:t>.</w:t>
      </w:r>
    </w:p>
    <w:p w14:paraId="0CF39015" w14:textId="77777777" w:rsidR="00FF1BEC" w:rsidRPr="00910028" w:rsidRDefault="00FF1BEC" w:rsidP="00FF1BEC">
      <w:pPr>
        <w:widowControl w:val="0"/>
        <w:autoSpaceDE w:val="0"/>
        <w:autoSpaceDN w:val="0"/>
        <w:snapToGrid w:val="0"/>
        <w:spacing w:after="0" w:line="276" w:lineRule="auto"/>
        <w:ind w:firstLine="709"/>
        <w:jc w:val="both"/>
        <w:rPr>
          <w:rFonts w:ascii="Verdana" w:eastAsia="Arial" w:hAnsi="Verdana" w:cs="Arial"/>
          <w:lang w:val="es-ES" w:eastAsia="es-ES" w:bidi="es-ES"/>
        </w:rPr>
      </w:pPr>
      <w:r w:rsidRPr="00910028">
        <w:rPr>
          <w:rFonts w:ascii="Verdana" w:eastAsia="Arial" w:hAnsi="Verdana" w:cs="Arial"/>
          <w:lang w:val="es-ES" w:eastAsia="es-ES" w:bidi="es-ES"/>
        </w:rPr>
        <w:t>El Consejo de Estado, Sección Tercera, sentencia 4 de junio de 2008, radicado No. 17.783, M.P. Myriam Guerrero de Escobar, define el precio artificialmente bajo como aquel que no tiene sustento o fundamento en su</w:t>
      </w:r>
      <w:r w:rsidRPr="00910028">
        <w:rPr>
          <w:rFonts w:ascii="Verdana" w:eastAsia="Arial" w:hAnsi="Verdana" w:cs="Arial"/>
          <w:spacing w:val="-45"/>
          <w:lang w:val="es-ES" w:eastAsia="es-ES" w:bidi="es-ES"/>
        </w:rPr>
        <w:t xml:space="preserve"> </w:t>
      </w:r>
      <w:r w:rsidRPr="00910028">
        <w:rPr>
          <w:rFonts w:ascii="Verdana" w:eastAsia="Arial" w:hAnsi="Verdana" w:cs="Arial"/>
          <w:lang w:val="es-ES" w:eastAsia="es-ES" w:bidi="es-ES"/>
        </w:rPr>
        <w:t>estructuración dentro del tráfico comercial:</w:t>
      </w:r>
    </w:p>
    <w:p w14:paraId="76EB219C" w14:textId="77777777" w:rsidR="00FF1BEC" w:rsidRPr="00910028" w:rsidRDefault="00FF1BEC" w:rsidP="00FF1BEC">
      <w:pPr>
        <w:widowControl w:val="0"/>
        <w:autoSpaceDE w:val="0"/>
        <w:autoSpaceDN w:val="0"/>
        <w:spacing w:after="0" w:line="276" w:lineRule="auto"/>
        <w:ind w:left="720"/>
        <w:rPr>
          <w:rFonts w:ascii="Verdana" w:eastAsia="Arial" w:hAnsi="Verdana" w:cs="Arial"/>
          <w:lang w:val="es-ES" w:eastAsia="es-ES" w:bidi="es-ES"/>
        </w:rPr>
      </w:pPr>
    </w:p>
    <w:p w14:paraId="35754F6A" w14:textId="77777777" w:rsidR="00FF1BEC" w:rsidRPr="00910028" w:rsidRDefault="00FF1BEC" w:rsidP="00FF1BEC">
      <w:pPr>
        <w:spacing w:after="0" w:line="240" w:lineRule="auto"/>
        <w:ind w:left="709" w:right="709"/>
        <w:jc w:val="both"/>
        <w:rPr>
          <w:rFonts w:ascii="Verdana" w:eastAsia="Aptos" w:hAnsi="Verdana" w:cs="Times New Roman"/>
          <w:kern w:val="2"/>
          <w:sz w:val="21"/>
          <w:szCs w:val="21"/>
          <w14:ligatures w14:val="standardContextual"/>
        </w:rPr>
      </w:pPr>
      <w:r w:rsidRPr="00910028">
        <w:rPr>
          <w:rFonts w:ascii="Verdana" w:eastAsia="Aptos" w:hAnsi="Verdana" w:cs="Times New Roman"/>
          <w:kern w:val="2"/>
          <w:sz w:val="21"/>
          <w:szCs w:val="21"/>
          <w14:ligatures w14:val="standardContextual"/>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w:t>
      </w:r>
      <w:r w:rsidRPr="00910028">
        <w:rPr>
          <w:rFonts w:ascii="Verdana" w:eastAsia="Aptos" w:hAnsi="Verdana" w:cs="Times New Roman"/>
          <w:spacing w:val="-8"/>
          <w:kern w:val="2"/>
          <w:sz w:val="21"/>
          <w:szCs w:val="21"/>
          <w14:ligatures w14:val="standardContextual"/>
        </w:rPr>
        <w:t xml:space="preserve"> </w:t>
      </w:r>
      <w:r w:rsidRPr="00910028">
        <w:rPr>
          <w:rFonts w:ascii="Verdana" w:eastAsia="Aptos" w:hAnsi="Verdana" w:cs="Times New Roman"/>
          <w:kern w:val="2"/>
          <w:sz w:val="21"/>
          <w:szCs w:val="21"/>
          <w14:ligatures w14:val="standardContextual"/>
        </w:rPr>
        <w:t>[…]”.</w:t>
      </w:r>
    </w:p>
    <w:p w14:paraId="70746527" w14:textId="77777777" w:rsidR="00FF1BEC" w:rsidRPr="00910028" w:rsidRDefault="00FF1BEC" w:rsidP="00FF1BEC">
      <w:pPr>
        <w:widowControl w:val="0"/>
        <w:autoSpaceDE w:val="0"/>
        <w:autoSpaceDN w:val="0"/>
        <w:spacing w:after="0" w:line="276" w:lineRule="auto"/>
        <w:ind w:left="720"/>
        <w:jc w:val="both"/>
        <w:rPr>
          <w:rFonts w:ascii="Verdana" w:eastAsia="Arial" w:hAnsi="Verdana" w:cs="Arial"/>
          <w:lang w:val="es-ES" w:eastAsia="es-ES" w:bidi="es-ES"/>
        </w:rPr>
      </w:pPr>
    </w:p>
    <w:p w14:paraId="3C598C98" w14:textId="77777777" w:rsidR="00FF1BEC" w:rsidRDefault="00FF1BEC" w:rsidP="00FF1BEC">
      <w:pPr>
        <w:widowControl w:val="0"/>
        <w:autoSpaceDE w:val="0"/>
        <w:autoSpaceDN w:val="0"/>
        <w:spacing w:after="120" w:line="276" w:lineRule="auto"/>
        <w:ind w:firstLine="709"/>
        <w:jc w:val="both"/>
        <w:rPr>
          <w:rFonts w:ascii="Verdana" w:eastAsia="Arial" w:hAnsi="Verdana" w:cs="Arial"/>
          <w:lang w:val="es-ES" w:eastAsia="es-ES" w:bidi="es-ES"/>
        </w:rPr>
      </w:pPr>
      <w:r w:rsidRPr="00910028">
        <w:rPr>
          <w:rFonts w:ascii="Verdana" w:eastAsia="Arial" w:hAnsi="Verdana" w:cs="Arial"/>
          <w:lang w:val="es-ES" w:eastAsia="es-ES" w:bidi="es-ES"/>
        </w:rPr>
        <w:t>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sebe rechazar la oferta o continuar con el análisis de la oferta durante la evaluación de las ofertas</w:t>
      </w:r>
      <w:r>
        <w:rPr>
          <w:rFonts w:ascii="Verdana" w:eastAsia="Arial" w:hAnsi="Verdana" w:cs="Arial"/>
          <w:lang w:val="es-ES" w:eastAsia="es-ES" w:bidi="es-ES"/>
        </w:rPr>
        <w:t>:</w:t>
      </w:r>
    </w:p>
    <w:p w14:paraId="52736DC6" w14:textId="77777777" w:rsidR="00FF1BEC" w:rsidRPr="00C71D70" w:rsidRDefault="00FF1BEC" w:rsidP="00FF1BEC">
      <w:pPr>
        <w:spacing w:after="0" w:line="240" w:lineRule="auto"/>
        <w:ind w:left="708" w:right="616" w:firstLine="1"/>
        <w:jc w:val="both"/>
        <w:rPr>
          <w:rFonts w:ascii="Verdana" w:hAnsi="Verdana"/>
          <w:sz w:val="21"/>
          <w:szCs w:val="21"/>
        </w:rPr>
      </w:pPr>
      <w:r w:rsidRPr="00C71D70">
        <w:rPr>
          <w:rFonts w:ascii="Verdana" w:hAnsi="Verdana"/>
          <w:sz w:val="21"/>
          <w:szCs w:val="21"/>
        </w:rPr>
        <w:t>“Artículo 2.2.1.1.2.2.4. Oferta con valor artificialmente bajo</w:t>
      </w:r>
      <w:r w:rsidRPr="00C71D70">
        <w:rPr>
          <w:rFonts w:ascii="Verdana" w:hAnsi="Verdana"/>
          <w:b/>
          <w:i/>
          <w:sz w:val="21"/>
          <w:szCs w:val="21"/>
        </w:rPr>
        <w:t xml:space="preserve">. </w:t>
      </w:r>
      <w:r w:rsidRPr="00C71D70">
        <w:rPr>
          <w:rFonts w:ascii="Verdana" w:hAnsi="Verdana"/>
          <w:sz w:val="21"/>
          <w:szCs w:val="21"/>
        </w:rPr>
        <w:t xml:space="preserve">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w:t>
      </w:r>
      <w:proofErr w:type="gramStart"/>
      <w:r w:rsidRPr="00C71D70">
        <w:rPr>
          <w:rFonts w:ascii="Verdana" w:hAnsi="Verdana"/>
          <w:sz w:val="21"/>
          <w:szCs w:val="21"/>
        </w:rPr>
        <w:t>la misma</w:t>
      </w:r>
      <w:proofErr w:type="gramEnd"/>
      <w:r w:rsidRPr="00C71D70">
        <w:rPr>
          <w:rFonts w:ascii="Verdana" w:hAnsi="Verdana"/>
          <w:sz w:val="21"/>
          <w:szCs w:val="21"/>
        </w:rPr>
        <w:t xml:space="preserve"> en la evaluación de las</w:t>
      </w:r>
      <w:r w:rsidRPr="00C71D70">
        <w:rPr>
          <w:rFonts w:ascii="Verdana" w:hAnsi="Verdana"/>
          <w:spacing w:val="-21"/>
          <w:sz w:val="21"/>
          <w:szCs w:val="21"/>
        </w:rPr>
        <w:t xml:space="preserve"> </w:t>
      </w:r>
      <w:r w:rsidRPr="00C71D70">
        <w:rPr>
          <w:rFonts w:ascii="Verdana" w:hAnsi="Verdana"/>
          <w:sz w:val="21"/>
          <w:szCs w:val="21"/>
        </w:rPr>
        <w:t>ofertas.</w:t>
      </w:r>
    </w:p>
    <w:p w14:paraId="31471481" w14:textId="77777777" w:rsidR="00FF1BEC" w:rsidRPr="00C71D70" w:rsidRDefault="00FF1BEC" w:rsidP="00FF1BEC">
      <w:pPr>
        <w:spacing w:after="0" w:line="240" w:lineRule="auto"/>
        <w:ind w:left="709" w:right="616"/>
        <w:jc w:val="both"/>
        <w:rPr>
          <w:rFonts w:ascii="Verdana" w:hAnsi="Verdana"/>
          <w:sz w:val="21"/>
          <w:szCs w:val="21"/>
        </w:rPr>
      </w:pPr>
      <w:r w:rsidRPr="00C71D70">
        <w:rPr>
          <w:rFonts w:ascii="Verdana" w:hAnsi="Verdana"/>
          <w:sz w:val="21"/>
          <w:szCs w:val="21"/>
        </w:rPr>
        <w:t xml:space="preserve">Cuando el valor de la oferta sobre la cual la Entidad Estatal tuvo dudas sobre su </w:t>
      </w:r>
      <w:proofErr w:type="gramStart"/>
      <w:r w:rsidRPr="00C71D70">
        <w:rPr>
          <w:rFonts w:ascii="Verdana" w:hAnsi="Verdana"/>
          <w:sz w:val="21"/>
          <w:szCs w:val="21"/>
        </w:rPr>
        <w:t>valor,</w:t>
      </w:r>
      <w:proofErr w:type="gramEnd"/>
      <w:r w:rsidRPr="00C71D70">
        <w:rPr>
          <w:rFonts w:ascii="Verdana" w:hAnsi="Verdana"/>
          <w:sz w:val="21"/>
          <w:szCs w:val="21"/>
        </w:rPr>
        <w:t xml:space="preserve"> responde a circunstancias objetivas del oferente y de su oferta que no ponen en riesgo el cumplimiento del contrato si este es </w:t>
      </w:r>
      <w:r w:rsidRPr="00C71D70">
        <w:rPr>
          <w:rFonts w:ascii="Verdana" w:hAnsi="Verdana"/>
          <w:sz w:val="21"/>
          <w:szCs w:val="21"/>
        </w:rPr>
        <w:lastRenderedPageBreak/>
        <w:t>adjudicado a tal oferta, la Entidad Estatal debe continuar con su análisis en el proceso de evaluación de ofertas.</w:t>
      </w:r>
    </w:p>
    <w:p w14:paraId="0EEA6EF6" w14:textId="77777777" w:rsidR="00FF1BEC" w:rsidRPr="00C71D70" w:rsidRDefault="00FF1BEC" w:rsidP="00FF1BEC">
      <w:pPr>
        <w:spacing w:after="0" w:line="240" w:lineRule="auto"/>
        <w:ind w:left="708" w:right="616" w:firstLine="1"/>
        <w:jc w:val="both"/>
        <w:rPr>
          <w:rFonts w:ascii="Verdana" w:hAnsi="Verdana"/>
          <w:sz w:val="21"/>
          <w:szCs w:val="21"/>
        </w:rPr>
      </w:pPr>
      <w:r w:rsidRPr="00C71D70">
        <w:rPr>
          <w:rFonts w:ascii="Verdana" w:hAnsi="Verdana"/>
          <w:sz w:val="21"/>
          <w:szCs w:val="21"/>
        </w:rPr>
        <w:t xml:space="preserve">En la subasta inversa esta disposición es aplicable sobre el precio obtenido al final de </w:t>
      </w:r>
      <w:proofErr w:type="gramStart"/>
      <w:r w:rsidRPr="00C71D70">
        <w:rPr>
          <w:rFonts w:ascii="Verdana" w:hAnsi="Verdana"/>
          <w:sz w:val="21"/>
          <w:szCs w:val="21"/>
        </w:rPr>
        <w:t>la misma</w:t>
      </w:r>
      <w:proofErr w:type="gramEnd"/>
      <w:r w:rsidRPr="00C71D70">
        <w:rPr>
          <w:rFonts w:ascii="Verdana" w:hAnsi="Verdana"/>
          <w:sz w:val="21"/>
          <w:szCs w:val="21"/>
        </w:rPr>
        <w:t>”.</w:t>
      </w:r>
    </w:p>
    <w:p w14:paraId="52AF7B87" w14:textId="77777777" w:rsidR="00FF1BEC" w:rsidRPr="00AC1339" w:rsidRDefault="00FF1BEC" w:rsidP="00FF1BEC">
      <w:pPr>
        <w:spacing w:after="120" w:line="276" w:lineRule="auto"/>
        <w:ind w:firstLine="708"/>
        <w:jc w:val="both"/>
        <w:rPr>
          <w:rFonts w:ascii="Verdana" w:eastAsia="Calibri" w:hAnsi="Verdana" w:cs="Arial"/>
          <w:lang w:val="es-ES"/>
        </w:rPr>
      </w:pPr>
      <w:r w:rsidRPr="00AC1339">
        <w:rPr>
          <w:rFonts w:ascii="Verdana" w:eastAsia="Calibri" w:hAnsi="Verdana" w:cs="Arial"/>
          <w:lang w:val="es-MX"/>
        </w:rPr>
        <w:t xml:space="preserve">Así pues, el artículo 2.2.1.1.2.2.4 ibidem, establece lo que debe hacer la entidad cuando el precio de una oferta parece artificialmente bajo, esto es: i) solicitar explicación al oferente, </w:t>
      </w:r>
      <w:proofErr w:type="spellStart"/>
      <w:r w:rsidRPr="00AC1339">
        <w:rPr>
          <w:rFonts w:ascii="Verdana" w:eastAsia="Calibri" w:hAnsi="Verdana" w:cs="Arial"/>
          <w:lang w:val="es-MX"/>
        </w:rPr>
        <w:t>ii</w:t>
      </w:r>
      <w:proofErr w:type="spellEnd"/>
      <w:r w:rsidRPr="00AC1339">
        <w:rPr>
          <w:rFonts w:ascii="Verdana" w:eastAsia="Calibri" w:hAnsi="Verdana" w:cs="Arial"/>
          <w:lang w:val="es-MX"/>
        </w:rPr>
        <w:t xml:space="preserve">) analizar las explicaciones del oferente, </w:t>
      </w:r>
      <w:proofErr w:type="spellStart"/>
      <w:r w:rsidRPr="00AC1339">
        <w:rPr>
          <w:rFonts w:ascii="Verdana" w:eastAsia="Calibri" w:hAnsi="Verdana" w:cs="Arial"/>
          <w:lang w:val="es-MX"/>
        </w:rPr>
        <w:t>iii</w:t>
      </w:r>
      <w:proofErr w:type="spellEnd"/>
      <w:r w:rsidRPr="00AC1339">
        <w:rPr>
          <w:rFonts w:ascii="Verdana" w:eastAsia="Calibri" w:hAnsi="Verdana" w:cs="Arial"/>
          <w:lang w:val="es-MX"/>
        </w:rPr>
        <w:t xml:space="preserve">) el responsable de la evaluación de las ofertas debe recomendar rechazar o continuar la evaluación de la oferta, y </w:t>
      </w:r>
      <w:proofErr w:type="spellStart"/>
      <w:r w:rsidRPr="00AC1339">
        <w:rPr>
          <w:rFonts w:ascii="Verdana" w:eastAsia="Calibri" w:hAnsi="Verdana" w:cs="Arial"/>
          <w:lang w:val="es-MX"/>
        </w:rPr>
        <w:t>iv</w:t>
      </w:r>
      <w:proofErr w:type="spellEnd"/>
      <w:r w:rsidRPr="00AC1339">
        <w:rPr>
          <w:rFonts w:ascii="Verdana" w:eastAsia="Calibri" w:hAnsi="Verdana" w:cs="Arial"/>
          <w:lang w:val="es-MX"/>
        </w:rPr>
        <w:t>) para la subasta inversa, lo anterior se debe hacer al finalizar el evento.</w:t>
      </w:r>
    </w:p>
    <w:p w14:paraId="3122D1AC" w14:textId="77777777" w:rsidR="00FF1BEC" w:rsidRPr="00AC1339" w:rsidRDefault="00FF1BEC" w:rsidP="00FF1BEC">
      <w:pPr>
        <w:spacing w:before="120" w:line="276" w:lineRule="auto"/>
        <w:ind w:firstLine="708"/>
        <w:jc w:val="both"/>
        <w:rPr>
          <w:rFonts w:ascii="Verdana" w:eastAsia="Calibri" w:hAnsi="Verdana" w:cs="Arial"/>
        </w:rPr>
      </w:pPr>
      <w:r w:rsidRPr="00AC1339">
        <w:rPr>
          <w:rFonts w:ascii="Verdana" w:eastAsia="Calibri" w:hAnsi="Verdana" w:cs="Arial"/>
          <w:lang w:val="es-ES"/>
        </w:rPr>
        <w:t>Sin embargo, debe precisarse que el análisis de los precios de una oferta se hace en la fase de evaluación del procedimiento</w:t>
      </w:r>
      <w:r>
        <w:rPr>
          <w:rFonts w:ascii="Verdana" w:eastAsia="Calibri" w:hAnsi="Verdana" w:cs="Arial"/>
          <w:lang w:val="es-ES"/>
        </w:rPr>
        <w:t xml:space="preserve"> de selección</w:t>
      </w:r>
      <w:r w:rsidRPr="00AC1339">
        <w:rPr>
          <w:rFonts w:ascii="Verdana" w:eastAsia="Calibri" w:hAnsi="Verdana" w:cs="Arial"/>
          <w:lang w:val="es-ES"/>
        </w:rPr>
        <w:t>, que es la oportunidad para verificar, a través del comité evaluador</w:t>
      </w:r>
      <w:r w:rsidRPr="00AC1339">
        <w:rPr>
          <w:rFonts w:ascii="Verdana" w:eastAsia="Aptos" w:hAnsi="Verdana" w:cs="Times New Roman"/>
          <w:kern w:val="2"/>
          <w:vertAlign w:val="superscript"/>
          <w:lang w:val="es-MX"/>
          <w14:ligatures w14:val="standardContextual"/>
        </w:rPr>
        <w:footnoteReference w:id="4"/>
      </w:r>
      <w:r>
        <w:rPr>
          <w:rFonts w:ascii="Verdana" w:eastAsia="Calibri" w:hAnsi="Verdana" w:cs="Arial"/>
          <w:lang w:val="es-MX"/>
        </w:rPr>
        <w:t xml:space="preserve"> si se cumplen o no</w:t>
      </w:r>
      <w:r w:rsidRPr="00AC1339">
        <w:rPr>
          <w:rFonts w:ascii="Verdana" w:eastAsia="Calibri" w:hAnsi="Verdana" w:cs="Arial"/>
          <w:lang w:val="es-MX"/>
        </w:rPr>
        <w:t xml:space="preserve"> las reglas </w:t>
      </w:r>
      <w:r>
        <w:rPr>
          <w:rFonts w:ascii="Verdana" w:eastAsia="Calibri" w:hAnsi="Verdana" w:cs="Arial"/>
          <w:lang w:val="es-MX"/>
        </w:rPr>
        <w:t>de</w:t>
      </w:r>
      <w:r w:rsidRPr="00AC1339">
        <w:rPr>
          <w:rFonts w:ascii="Verdana" w:eastAsia="Calibri" w:hAnsi="Verdana" w:cs="Arial"/>
          <w:lang w:val="es-MX"/>
        </w:rPr>
        <w:t xml:space="preserve"> los pliegos de condiciones.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1FD26EFB" w14:textId="77777777" w:rsidR="00FF1BEC" w:rsidRPr="00AC1339" w:rsidRDefault="00FF1BEC" w:rsidP="00FF1BEC">
      <w:pPr>
        <w:spacing w:after="120" w:line="276" w:lineRule="auto"/>
        <w:ind w:firstLine="708"/>
        <w:jc w:val="both"/>
        <w:rPr>
          <w:rFonts w:ascii="Verdana" w:eastAsia="Calibri" w:hAnsi="Verdana" w:cs="Arial"/>
          <w:highlight w:val="yellow"/>
          <w:lang w:val="es-ES"/>
        </w:rPr>
      </w:pPr>
      <w:r w:rsidRPr="00AC1339">
        <w:rPr>
          <w:rFonts w:ascii="Verdana" w:eastAsia="Calibri" w:hAnsi="Verdana" w:cs="Arial"/>
          <w:lang w:val="es-ES"/>
        </w:rPr>
        <w:t>En ese sentid</w:t>
      </w:r>
      <w:r>
        <w:rPr>
          <w:rFonts w:ascii="Verdana" w:eastAsia="Calibri" w:hAnsi="Verdana" w:cs="Arial"/>
          <w:lang w:val="es-ES"/>
        </w:rPr>
        <w:t xml:space="preserve">o, </w:t>
      </w:r>
      <w:r w:rsidRPr="00AC1339">
        <w:rPr>
          <w:rFonts w:ascii="Verdana" w:eastAsia="Calibri" w:hAnsi="Verdana" w:cs="Arial"/>
          <w:lang w:val="es-ES"/>
        </w:rPr>
        <w:t>en la evaluación</w:t>
      </w:r>
      <w:r>
        <w:rPr>
          <w:rFonts w:ascii="Verdana" w:eastAsia="Calibri" w:hAnsi="Verdana" w:cs="Arial"/>
          <w:lang w:val="es-ES"/>
        </w:rPr>
        <w:t xml:space="preserve"> que se realiza antes de la adjudicación del contrato</w:t>
      </w:r>
      <w:r w:rsidRPr="00AC1339">
        <w:rPr>
          <w:rFonts w:ascii="Verdana" w:eastAsia="Calibri" w:hAnsi="Verdana" w:cs="Arial"/>
          <w:lang w:val="es-ES"/>
        </w:rPr>
        <w:t xml:space="preserve">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se pretende contratar. En ese caso, la entidad podrá identificar las ofertas con precios que parecen artificialmente bajos, y seguir el procedimiento del Decreto 1082 de 2015. Concluido dicho análisis, es posible que a partir de las explicaciones ofrecidas por el proponente se determine que el valor responde a circunstancias objetivas que le permiten cumplir el contrato, sin que con ello </w:t>
      </w:r>
      <w:r w:rsidRPr="00AC1339">
        <w:rPr>
          <w:rFonts w:ascii="Verdana" w:eastAsia="Calibri" w:hAnsi="Verdana" w:cs="Arial"/>
          <w:lang w:val="es-ES"/>
        </w:rPr>
        <w:lastRenderedPageBreak/>
        <w:t>termine la evaluación, porque el Decreto 1082 de 2015 señala que la entidad puede continuar el análisis en esta fase de evaluación.</w:t>
      </w:r>
    </w:p>
    <w:p w14:paraId="66F84F33" w14:textId="77777777" w:rsidR="00FF1BEC" w:rsidRDefault="00FF1BEC" w:rsidP="00FF1BEC">
      <w:pPr>
        <w:spacing w:after="120" w:line="276" w:lineRule="auto"/>
        <w:ind w:firstLine="708"/>
        <w:jc w:val="both"/>
        <w:rPr>
          <w:rFonts w:ascii="Verdana" w:eastAsia="Times New Roman" w:hAnsi="Verdana" w:cs="Arial"/>
          <w:lang w:val="es-ES"/>
        </w:rPr>
      </w:pPr>
      <w:r w:rsidRPr="00AC1339">
        <w:rPr>
          <w:rFonts w:ascii="Verdana" w:eastAsia="Times New Roman" w:hAnsi="Verdana" w:cs="Arial"/>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de ofertas artificialmente bajas, sino que también se relaciona a modo de sugerencia dos metodologías que podrían aplicar las entidades para identificarlas y manejarlas. Estas son: i) la comparación absoluta y; </w:t>
      </w:r>
      <w:proofErr w:type="spellStart"/>
      <w:r w:rsidRPr="00AC1339">
        <w:rPr>
          <w:rFonts w:ascii="Verdana" w:eastAsia="Times New Roman" w:hAnsi="Verdana" w:cs="Arial"/>
          <w:lang w:val="es-ES"/>
        </w:rPr>
        <w:t>ii</w:t>
      </w:r>
      <w:proofErr w:type="spellEnd"/>
      <w:r w:rsidRPr="00AC1339">
        <w:rPr>
          <w:rFonts w:ascii="Verdana" w:eastAsia="Times New Roman" w:hAnsi="Verdana" w:cs="Arial"/>
          <w:lang w:val="es-ES"/>
        </w:rPr>
        <w:t>) la comparación relativa.</w:t>
      </w:r>
    </w:p>
    <w:p w14:paraId="5F034452" w14:textId="77777777" w:rsidR="00FF1BEC" w:rsidRDefault="00FF1BEC" w:rsidP="00FF1BEC">
      <w:pPr>
        <w:spacing w:after="120" w:line="276" w:lineRule="auto"/>
        <w:ind w:firstLine="708"/>
        <w:jc w:val="both"/>
        <w:rPr>
          <w:rFonts w:ascii="Verdana" w:eastAsia="Times New Roman" w:hAnsi="Verdana" w:cs="Arial"/>
          <w:lang w:val="es-ES"/>
        </w:rPr>
      </w:pPr>
      <w:r>
        <w:rPr>
          <w:rFonts w:ascii="Verdana" w:eastAsia="Times New Roman" w:hAnsi="Verdana" w:cs="Arial"/>
          <w:lang w:val="es-ES"/>
        </w:rPr>
        <w:t>Adicionalmente, la Guía aclara el manejo que debe darse a las ofertas que parecen artificialmente bajas:</w:t>
      </w:r>
    </w:p>
    <w:p w14:paraId="1B60F41A" w14:textId="77777777" w:rsidR="00FF1BEC" w:rsidRPr="00887912" w:rsidRDefault="00FF1BEC" w:rsidP="00FF1BEC">
      <w:pPr>
        <w:spacing w:after="120" w:line="276" w:lineRule="auto"/>
        <w:ind w:left="709" w:right="616"/>
        <w:jc w:val="both"/>
        <w:rPr>
          <w:rFonts w:ascii="Verdana" w:hAnsi="Verdana"/>
          <w:sz w:val="21"/>
          <w:szCs w:val="21"/>
        </w:rPr>
      </w:pPr>
      <w:r w:rsidRPr="00887912">
        <w:rPr>
          <w:rFonts w:ascii="Verdana" w:hAnsi="Verdana"/>
          <w:sz w:val="21"/>
          <w:szCs w:val="21"/>
        </w:rPr>
        <w:t>•Requerir al oferente con relación a los precios ofrecidos que parecen bajos para que sustente las razones del valor ofrecido.</w:t>
      </w:r>
    </w:p>
    <w:p w14:paraId="71815C03" w14:textId="77777777" w:rsidR="00FF1BEC" w:rsidRPr="00887912" w:rsidRDefault="00FF1BEC" w:rsidP="00FF1BEC">
      <w:pPr>
        <w:spacing w:after="120" w:line="276" w:lineRule="auto"/>
        <w:ind w:left="709" w:right="616"/>
        <w:jc w:val="both"/>
        <w:rPr>
          <w:rFonts w:ascii="Verdana" w:hAnsi="Verdana"/>
          <w:sz w:val="21"/>
          <w:szCs w:val="21"/>
        </w:rPr>
      </w:pPr>
      <w:r w:rsidRPr="00887912">
        <w:rPr>
          <w:rFonts w:ascii="Verdana" w:hAnsi="Verdana"/>
          <w:sz w:val="21"/>
          <w:szCs w:val="21"/>
        </w:rPr>
        <w:t xml:space="preserve"> •Analizar las explicaciones del oferente, para revisar si estas sustentan los valores ofrecidos y si estos son suficientes para ejecutar el contrato de acuerdo con los Documentos del Proceso. </w:t>
      </w:r>
    </w:p>
    <w:p w14:paraId="0AB3E5BD" w14:textId="77777777" w:rsidR="00FF1BEC" w:rsidRPr="00887912" w:rsidRDefault="00FF1BEC" w:rsidP="00FF1BEC">
      <w:pPr>
        <w:spacing w:after="120" w:line="276" w:lineRule="auto"/>
        <w:ind w:left="709" w:right="616"/>
        <w:jc w:val="both"/>
        <w:rPr>
          <w:rFonts w:ascii="Verdana" w:hAnsi="Verdana"/>
          <w:sz w:val="21"/>
          <w:szCs w:val="21"/>
        </w:rPr>
      </w:pPr>
      <w:r w:rsidRPr="00887912">
        <w:rPr>
          <w:rFonts w:ascii="Verdana" w:hAnsi="Verdana"/>
          <w:sz w:val="21"/>
          <w:szCs w:val="21"/>
        </w:rPr>
        <w:t>•Decidir si continúa con la evaluación de la oferta porque la explicación demuestra la habilidad del proponente para cumplir adecuadamente con el contrato con los precios ofrecidos o, si rechaza la oferta porque la explicación no sustenta los valores ofrecidos.</w:t>
      </w:r>
    </w:p>
    <w:p w14:paraId="328146DF" w14:textId="77777777" w:rsidR="00FF1BEC" w:rsidRPr="00887912" w:rsidRDefault="00FF1BEC" w:rsidP="00FF1BEC">
      <w:pPr>
        <w:spacing w:after="120" w:line="276" w:lineRule="auto"/>
        <w:ind w:left="709" w:right="616"/>
        <w:jc w:val="both"/>
        <w:rPr>
          <w:rFonts w:ascii="Verdana" w:hAnsi="Verdana"/>
          <w:sz w:val="21"/>
          <w:szCs w:val="21"/>
        </w:rPr>
      </w:pPr>
      <w:r w:rsidRPr="00887912">
        <w:rPr>
          <w:rFonts w:ascii="Verdana" w:hAnsi="Verdana"/>
          <w:sz w:val="21"/>
          <w:szCs w:val="21"/>
        </w:rPr>
        <w:t xml:space="preserve"> •En la subasta inversa, lo anterior deberá realizarse al finalizar el evento de subasta, de acuerdo con el precio ofrecido al final de esta. </w:t>
      </w:r>
    </w:p>
    <w:p w14:paraId="2488B03B" w14:textId="77777777" w:rsidR="00FF1BEC" w:rsidRPr="00887912" w:rsidRDefault="00FF1BEC" w:rsidP="00FF1BEC">
      <w:pPr>
        <w:spacing w:after="120" w:line="276" w:lineRule="auto"/>
        <w:ind w:left="709" w:right="616"/>
        <w:jc w:val="both"/>
        <w:rPr>
          <w:rFonts w:ascii="Verdana" w:eastAsia="Times New Roman" w:hAnsi="Verdana" w:cs="Arial"/>
          <w:sz w:val="21"/>
          <w:szCs w:val="21"/>
          <w:lang w:val="es-ES"/>
        </w:rPr>
      </w:pPr>
      <w:r w:rsidRPr="00887912">
        <w:rPr>
          <w:rFonts w:ascii="Verdana" w:hAnsi="Verdana"/>
          <w:sz w:val="21"/>
          <w:szCs w:val="21"/>
        </w:rPr>
        <w:t>El análisis de precios de una oferta se hace en la fase de evaluación del proceso de selección, donde se tiene la oportunidad para verificar, por medio del comité evaluador, las reglas diseñadas en la estructuración del proceso y plasmadas en los pliegos de condiciones, con el fin de comprobar si las propuestas presentadas cumplen o no, calificar a los oferentes o rechazarlos para establecer un orden de elegibilidad.</w:t>
      </w:r>
    </w:p>
    <w:p w14:paraId="2ADD8B65" w14:textId="77777777" w:rsidR="00FF1BEC" w:rsidRPr="00AC1339" w:rsidRDefault="00FF1BEC" w:rsidP="00FF1BEC">
      <w:pPr>
        <w:spacing w:after="120" w:line="276" w:lineRule="auto"/>
        <w:jc w:val="both"/>
        <w:rPr>
          <w:rFonts w:ascii="Verdana" w:eastAsia="Calibri" w:hAnsi="Verdana" w:cs="Arial"/>
        </w:rPr>
      </w:pPr>
      <w:r w:rsidRPr="00AC1339">
        <w:rPr>
          <w:rFonts w:ascii="Verdana" w:eastAsia="Calibri" w:hAnsi="Verdana" w:cs="Arial"/>
          <w:lang w:val="es-ES"/>
        </w:rPr>
        <w:tab/>
      </w:r>
      <w:r w:rsidRPr="00AC1339">
        <w:rPr>
          <w:rFonts w:ascii="Verdana" w:eastAsia="Calibri" w:hAnsi="Verdana" w:cs="Arial"/>
        </w:rPr>
        <w:t xml:space="preserve">Finalmente, debe advertirse que el análisis requerido para resolver problemas específicos en torno a la verificación de ofertas que puedan resultar artificialmente bajas debe ser realizado por las Entidades. De esta manera, las afirmaciones aquí realizadas no pueden ser interpretadas como juicios de valor sobre circunstancias concretas relacionadas con los hechos que motivan la </w:t>
      </w:r>
      <w:r w:rsidRPr="00AC1339">
        <w:rPr>
          <w:rFonts w:ascii="Verdana" w:eastAsia="Calibri" w:hAnsi="Verdana" w:cs="Arial"/>
        </w:rPr>
        <w:lastRenderedPageBreak/>
        <w:t xml:space="preserve">consulta. Por lo anterior, previo concepto de sus asesores, la solución de situaciones particulares corresponde a los interesados de adoptar la decisión y, en caso de conflicto, a las autoridades judiciales, fiscales y disciplinarias.  </w:t>
      </w:r>
    </w:p>
    <w:p w14:paraId="103971DE" w14:textId="77777777" w:rsidR="00FF1BEC" w:rsidRPr="00E61635" w:rsidRDefault="00FF1BEC" w:rsidP="00FF1BEC">
      <w:pPr>
        <w:widowControl w:val="0"/>
        <w:autoSpaceDE w:val="0"/>
        <w:autoSpaceDN w:val="0"/>
        <w:spacing w:after="0"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en la fase de evaluación analizar los precios de las ofertas recibidas.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6D212C4" w14:textId="77777777" w:rsidR="00FF1BEC" w:rsidRDefault="00FF1BEC" w:rsidP="00FF1BEC">
      <w:pPr>
        <w:widowControl w:val="0"/>
        <w:autoSpaceDE w:val="0"/>
        <w:autoSpaceDN w:val="0"/>
        <w:spacing w:after="0" w:line="276" w:lineRule="auto"/>
        <w:jc w:val="both"/>
        <w:rPr>
          <w:rFonts w:ascii="Verdana" w:hAnsi="Verdana" w:cs="Arial"/>
        </w:rPr>
      </w:pPr>
    </w:p>
    <w:p w14:paraId="442696C2" w14:textId="77777777" w:rsidR="00FF1BEC" w:rsidRDefault="00FF1BEC" w:rsidP="00FF1BE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17727B1A" w14:textId="77777777" w:rsidR="00FF1BEC" w:rsidRDefault="00FF1BEC" w:rsidP="00FF1BEC">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F1BEC" w14:paraId="529F9DB7" w14:textId="77777777" w:rsidTr="00CC0E50">
        <w:trPr>
          <w:trHeight w:val="870"/>
        </w:trPr>
        <w:tc>
          <w:tcPr>
            <w:tcW w:w="8647" w:type="dxa"/>
            <w:tcBorders>
              <w:top w:val="dotted" w:sz="4" w:space="0" w:color="auto"/>
              <w:left w:val="dotted" w:sz="4" w:space="0" w:color="auto"/>
              <w:bottom w:val="dotted" w:sz="4" w:space="0" w:color="auto"/>
              <w:right w:val="dotted" w:sz="4" w:space="0" w:color="auto"/>
            </w:tcBorders>
            <w:hideMark/>
          </w:tcPr>
          <w:p w14:paraId="1DE95A22" w14:textId="77777777" w:rsidR="00FF1BEC" w:rsidRPr="00AC1339" w:rsidRDefault="00FF1BEC" w:rsidP="00CC0E50">
            <w:pPr>
              <w:widowControl w:val="0"/>
              <w:numPr>
                <w:ilvl w:val="0"/>
                <w:numId w:val="17"/>
              </w:numPr>
              <w:autoSpaceDE w:val="0"/>
              <w:autoSpaceDN w:val="0"/>
              <w:spacing w:after="120" w:line="276" w:lineRule="auto"/>
              <w:contextualSpacing/>
              <w:jc w:val="both"/>
              <w:rPr>
                <w:rFonts w:ascii="Verdana" w:eastAsia="Aptos" w:hAnsi="Verdana" w:cs="Arial"/>
              </w:rPr>
            </w:pPr>
            <w:r w:rsidRPr="00AC1339">
              <w:rPr>
                <w:rFonts w:ascii="Verdana" w:eastAsia="Aptos" w:hAnsi="Verdana" w:cs="Arial"/>
              </w:rPr>
              <w:t>Ley 80 de 1993. Artículo 26</w:t>
            </w:r>
          </w:p>
          <w:p w14:paraId="1C337AFC" w14:textId="77777777" w:rsidR="00FF1BEC" w:rsidRPr="00AC1339" w:rsidRDefault="00FF1BEC" w:rsidP="00CC0E50">
            <w:pPr>
              <w:widowControl w:val="0"/>
              <w:numPr>
                <w:ilvl w:val="0"/>
                <w:numId w:val="17"/>
              </w:numPr>
              <w:autoSpaceDE w:val="0"/>
              <w:autoSpaceDN w:val="0"/>
              <w:spacing w:after="120" w:line="276" w:lineRule="auto"/>
              <w:contextualSpacing/>
              <w:jc w:val="both"/>
              <w:rPr>
                <w:rFonts w:ascii="Verdana" w:eastAsia="Aptos" w:hAnsi="Verdana" w:cs="Arial"/>
              </w:rPr>
            </w:pPr>
            <w:r w:rsidRPr="00AC1339">
              <w:rPr>
                <w:rFonts w:ascii="Verdana" w:eastAsia="Aptos" w:hAnsi="Verdana" w:cs="Arial"/>
              </w:rPr>
              <w:t>Ley 1150 de 2007. Artículo 5</w:t>
            </w:r>
          </w:p>
          <w:p w14:paraId="7E01C499" w14:textId="77777777" w:rsidR="00FF1BEC" w:rsidRPr="00AC1339" w:rsidRDefault="00FF1BEC" w:rsidP="00CC0E50">
            <w:pPr>
              <w:widowControl w:val="0"/>
              <w:numPr>
                <w:ilvl w:val="0"/>
                <w:numId w:val="17"/>
              </w:numPr>
              <w:autoSpaceDE w:val="0"/>
              <w:autoSpaceDN w:val="0"/>
              <w:spacing w:line="276" w:lineRule="auto"/>
              <w:contextualSpacing/>
              <w:jc w:val="both"/>
              <w:rPr>
                <w:rFonts w:ascii="Verdana" w:eastAsia="Aptos" w:hAnsi="Verdana" w:cs="Arial"/>
              </w:rPr>
            </w:pPr>
            <w:r w:rsidRPr="00AC1339">
              <w:rPr>
                <w:rFonts w:ascii="Verdana" w:eastAsia="Calibri" w:hAnsi="Verdana" w:cs="Arial"/>
                <w:lang w:val="es-ES"/>
              </w:rPr>
              <w:t>Decreto 1082. Artículos 2.2.1.1.1.6.1, 2.2.1.1.2.2.3 y</w:t>
            </w:r>
            <w:r w:rsidRPr="00AC1339">
              <w:rPr>
                <w:rFonts w:ascii="Verdana" w:eastAsia="Calibri" w:hAnsi="Verdana" w:cs="Times New Roman"/>
                <w:lang w:val="es-ES"/>
              </w:rPr>
              <w:t xml:space="preserve"> 2.2.1.1.2.2.4 </w:t>
            </w:r>
          </w:p>
          <w:p w14:paraId="24E0247C" w14:textId="77777777" w:rsidR="00FF1BEC" w:rsidRPr="00AC1339" w:rsidRDefault="00FF1BEC" w:rsidP="00CC0E50">
            <w:pPr>
              <w:numPr>
                <w:ilvl w:val="0"/>
                <w:numId w:val="17"/>
              </w:numPr>
              <w:contextualSpacing/>
              <w:rPr>
                <w:rFonts w:ascii="Verdana" w:eastAsia="Aptos" w:hAnsi="Verdana" w:cs="Arial"/>
              </w:rPr>
            </w:pPr>
            <w:r w:rsidRPr="00AC1339">
              <w:rPr>
                <w:rFonts w:ascii="Verdana" w:eastAsia="Aptos" w:hAnsi="Verdana" w:cs="Arial"/>
              </w:rPr>
              <w:t xml:space="preserve">Consejo de Estado. Sección Tercera. Sentencia del 4 de junio de 2008. </w:t>
            </w:r>
            <w:proofErr w:type="spellStart"/>
            <w:r w:rsidRPr="00AC1339">
              <w:rPr>
                <w:rFonts w:ascii="Verdana" w:eastAsia="Aptos" w:hAnsi="Verdana" w:cs="Arial"/>
              </w:rPr>
              <w:t>Exp</w:t>
            </w:r>
            <w:proofErr w:type="spellEnd"/>
            <w:r w:rsidRPr="00AC1339">
              <w:rPr>
                <w:rFonts w:ascii="Verdana" w:eastAsia="Aptos" w:hAnsi="Verdana" w:cs="Arial"/>
              </w:rPr>
              <w:t>. No. 17.783. C.P. Myriam Guerrero de Escobar.</w:t>
            </w:r>
          </w:p>
          <w:p w14:paraId="45E4691C" w14:textId="77777777" w:rsidR="00FF1BEC" w:rsidRPr="00AC1339" w:rsidRDefault="00FF1BEC" w:rsidP="00CC0E50">
            <w:pPr>
              <w:widowControl w:val="0"/>
              <w:numPr>
                <w:ilvl w:val="0"/>
                <w:numId w:val="17"/>
              </w:numPr>
              <w:autoSpaceDE w:val="0"/>
              <w:autoSpaceDN w:val="0"/>
              <w:spacing w:line="276" w:lineRule="auto"/>
              <w:contextualSpacing/>
              <w:jc w:val="both"/>
              <w:rPr>
                <w:rFonts w:ascii="Verdana" w:eastAsia="Aptos" w:hAnsi="Verdana" w:cs="Arial"/>
              </w:rPr>
            </w:pPr>
            <w:r w:rsidRPr="00AC1339">
              <w:rPr>
                <w:rFonts w:ascii="Verdana" w:eastAsia="Calibri" w:hAnsi="Verdana" w:cs="Arial"/>
                <w:lang w:val="es-ES"/>
              </w:rPr>
              <w:t>Decreto 1860 de 2021. Artículo 5</w:t>
            </w:r>
          </w:p>
          <w:p w14:paraId="66A13C9F" w14:textId="77777777" w:rsidR="00FF1BEC" w:rsidRPr="006A640E" w:rsidRDefault="00FF1BEC" w:rsidP="00CC0E50">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AC1339">
              <w:rPr>
                <w:rFonts w:ascii="Verdana" w:eastAsia="Aptos" w:hAnsi="Verdana" w:cs="Arial"/>
              </w:rPr>
              <w:t xml:space="preserve">ANCP-CCE. Guía para el manejo de ofertas artificialmente bajas en Procesos de Contratación, disponible </w:t>
            </w:r>
            <w:hyperlink r:id="rId12" w:history="1">
              <w:r w:rsidRPr="00AC1339">
                <w:rPr>
                  <w:rFonts w:ascii="Verdana" w:eastAsia="Aptos" w:hAnsi="Verdana" w:cs="Arial"/>
                  <w:color w:val="0000FF"/>
                  <w:u w:val="single"/>
                </w:rPr>
                <w:t>aquí</w:t>
              </w:r>
            </w:hyperlink>
          </w:p>
        </w:tc>
      </w:tr>
    </w:tbl>
    <w:p w14:paraId="50725C48" w14:textId="77777777" w:rsidR="00FF1BEC" w:rsidRDefault="00FF1BEC" w:rsidP="00FF1BEC">
      <w:pPr>
        <w:widowControl w:val="0"/>
        <w:autoSpaceDE w:val="0"/>
        <w:autoSpaceDN w:val="0"/>
        <w:spacing w:after="0" w:line="276" w:lineRule="auto"/>
        <w:jc w:val="both"/>
        <w:rPr>
          <w:rFonts w:ascii="Verdana" w:hAnsi="Verdana" w:cs="Arial"/>
        </w:rPr>
      </w:pPr>
    </w:p>
    <w:p w14:paraId="4E4B1816" w14:textId="77777777" w:rsidR="00FF1BEC" w:rsidRDefault="00FF1BEC" w:rsidP="00FF1BE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31E7ED58" w14:textId="77777777" w:rsidR="00FF1BEC" w:rsidRDefault="00FF1BEC" w:rsidP="00FF1BEC">
      <w:pPr>
        <w:widowControl w:val="0"/>
        <w:autoSpaceDE w:val="0"/>
        <w:autoSpaceDN w:val="0"/>
        <w:spacing w:after="0" w:line="276" w:lineRule="auto"/>
        <w:jc w:val="both"/>
        <w:rPr>
          <w:rFonts w:ascii="Verdana" w:hAnsi="Verdana" w:cs="Arial"/>
        </w:rPr>
      </w:pPr>
    </w:p>
    <w:p w14:paraId="29890B48" w14:textId="77777777" w:rsidR="00FF1BEC" w:rsidRPr="00FE3C84" w:rsidRDefault="00FF1BEC" w:rsidP="00FF1BEC">
      <w:pPr>
        <w:widowControl w:val="0"/>
        <w:autoSpaceDE w:val="0"/>
        <w:autoSpaceDN w:val="0"/>
        <w:spacing w:after="0" w:line="276" w:lineRule="auto"/>
        <w:jc w:val="both"/>
        <w:rPr>
          <w:rStyle w:val="normaltextrun"/>
          <w:rFonts w:ascii="Verdana" w:hAnsi="Verdana"/>
          <w:color w:val="FF0000"/>
          <w:shd w:val="clear" w:color="auto" w:fill="FFFFFF"/>
          <w:lang w:val="es-ES"/>
        </w:rPr>
      </w:pPr>
      <w:r w:rsidRPr="00AC1339">
        <w:rPr>
          <w:rFonts w:ascii="Verdana" w:eastAsia="Aptos" w:hAnsi="Verdana" w:cs="Arial"/>
          <w:shd w:val="clear" w:color="auto" w:fill="FFFFFF"/>
          <w:lang w:val="es-ES"/>
        </w:rPr>
        <w:t xml:space="preserve">Sobre el alcance de las ofertas artificialmente bajas en los procesos de contratación, esta Subdirección se manifestó en los conceptos C–163 del 31 de marzo de 2020, C–200 del 14 de abril de 2020, C–767 del 7 de enero de 2021, C-205 del 7 de mayo de 2021, C-299 del 14 de mayo de 2022, C-484 de 2022, C-952 del 20 de enero de 2023, C-860 del 27 de diciembre de 2024, C-329 del 25 de abril de 2025, C-573 del 16 de junio de 2025, </w:t>
      </w:r>
      <w:r>
        <w:rPr>
          <w:rFonts w:ascii="Verdana" w:eastAsia="Aptos" w:hAnsi="Verdana" w:cs="Arial"/>
          <w:shd w:val="clear" w:color="auto" w:fill="FFFFFF"/>
          <w:lang w:val="es-ES"/>
        </w:rPr>
        <w:t xml:space="preserve">C-769 de 25 de </w:t>
      </w:r>
      <w:proofErr w:type="spellStart"/>
      <w:r>
        <w:rPr>
          <w:rFonts w:ascii="Verdana" w:eastAsia="Aptos" w:hAnsi="Verdana" w:cs="Arial"/>
          <w:shd w:val="clear" w:color="auto" w:fill="FFFFFF"/>
          <w:lang w:val="es-ES"/>
        </w:rPr>
        <w:t>ulio</w:t>
      </w:r>
      <w:proofErr w:type="spellEnd"/>
      <w:r>
        <w:rPr>
          <w:rFonts w:ascii="Verdana" w:eastAsia="Aptos" w:hAnsi="Verdana" w:cs="Arial"/>
          <w:shd w:val="clear" w:color="auto" w:fill="FFFFFF"/>
          <w:lang w:val="es-ES"/>
        </w:rPr>
        <w:t xml:space="preserve"> de 2025, </w:t>
      </w:r>
      <w:r w:rsidRPr="00AC1339">
        <w:rPr>
          <w:rFonts w:ascii="Verdana" w:eastAsia="Aptos" w:hAnsi="Verdana" w:cs="Arial"/>
          <w:shd w:val="clear" w:color="auto" w:fill="FFFFFF"/>
          <w:lang w:val="es-ES"/>
        </w:rPr>
        <w:t xml:space="preserve">entre </w:t>
      </w:r>
      <w:proofErr w:type="spellStart"/>
      <w:r w:rsidRPr="00AC1339">
        <w:rPr>
          <w:rFonts w:ascii="Verdana" w:eastAsia="Aptos" w:hAnsi="Verdana" w:cs="Arial"/>
          <w:shd w:val="clear" w:color="auto" w:fill="FFFFFF"/>
          <w:lang w:val="es-ES"/>
        </w:rPr>
        <w:t>otros</w:t>
      </w:r>
      <w:r>
        <w:rPr>
          <w:rStyle w:val="normaltextrun"/>
          <w:rFonts w:ascii="Verdana" w:hAnsi="Verdana" w:cs="Arial"/>
          <w:shd w:val="clear" w:color="auto" w:fill="FFFFFF"/>
          <w:lang w:val="es-ES"/>
        </w:rPr>
        <w:t>Es</w:t>
      </w:r>
      <w:proofErr w:type="spellEnd"/>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3"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0982997C" w14:textId="77777777" w:rsidR="00FF1BEC" w:rsidRDefault="00FF1BEC" w:rsidP="00FF1BEC">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246D2BB" w14:textId="77777777" w:rsidR="00FF1BEC" w:rsidRPr="005D0607" w:rsidRDefault="00FF1BEC" w:rsidP="00FF1BEC">
      <w:pPr>
        <w:shd w:val="clear" w:color="auto" w:fill="FFFFFF"/>
        <w:spacing w:after="0" w:line="276" w:lineRule="auto"/>
        <w:jc w:val="both"/>
        <w:textAlignment w:val="baseline"/>
        <w:rPr>
          <w:rFonts w:ascii="Verdana" w:hAnsi="Verdana"/>
          <w:color w:val="467886"/>
          <w:u w:val="single"/>
          <w:bdr w:val="none" w:sz="0" w:space="0" w:color="auto" w:frame="1"/>
        </w:rPr>
      </w:pPr>
      <w:r>
        <w:rPr>
          <w:rFonts w:ascii="Verdana" w:hAnsi="Verdana"/>
          <w:color w:val="000000"/>
          <w:bdr w:val="none" w:sz="0" w:space="0" w:color="auto" w:frame="1"/>
        </w:rPr>
        <w:t>Le contamos que ya se encuentra disponible la </w:t>
      </w:r>
      <w:r>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Pr>
          <w:rFonts w:ascii="Verdana" w:hAnsi="Verdana"/>
          <w:color w:val="000000"/>
          <w:bdr w:val="none" w:sz="0" w:space="0" w:color="auto" w:frame="1"/>
        </w:rPr>
        <w:t>Wayúu</w:t>
      </w:r>
      <w:proofErr w:type="spellEnd"/>
      <w:r>
        <w:rPr>
          <w:rFonts w:ascii="Verdana" w:hAnsi="Verdana"/>
          <w:color w:val="000000"/>
          <w:bdr w:val="none" w:sz="0" w:space="0" w:color="auto" w:frame="1"/>
        </w:rPr>
        <w:t xml:space="preserve">. </w:t>
      </w:r>
      <w:r w:rsidRPr="00B778BC">
        <w:rPr>
          <w:rFonts w:ascii="Verdana" w:hAnsi="Verdana"/>
          <w:color w:val="000000"/>
          <w:bdr w:val="none" w:sz="0" w:space="0" w:color="auto" w:frame="1"/>
        </w:rPr>
        <w:t>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B778BC">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sidRPr="00B778BC">
        <w:rPr>
          <w:rFonts w:ascii="Verdana" w:hAnsi="Verdana"/>
          <w:color w:val="467886"/>
          <w:u w:val="single"/>
          <w:bdr w:val="none" w:sz="0" w:space="0" w:color="auto" w:frame="1"/>
        </w:rPr>
        <w:t>"</w:t>
      </w:r>
    </w:p>
    <w:p w14:paraId="220F41FA" w14:textId="77777777" w:rsidR="00FF1BEC" w:rsidRDefault="00FF1BEC" w:rsidP="00FF1BEC">
      <w:pPr>
        <w:spacing w:after="0" w:line="276" w:lineRule="auto"/>
        <w:jc w:val="both"/>
        <w:rPr>
          <w:rFonts w:ascii="Verdana" w:hAnsi="Verdana"/>
        </w:rPr>
      </w:pPr>
    </w:p>
    <w:p w14:paraId="3E62D8FB" w14:textId="77777777" w:rsidR="00FF1BEC" w:rsidRDefault="00FF1BEC" w:rsidP="00FF1BEC">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712AE1C2" w14:textId="77777777" w:rsidR="00FF1BEC" w:rsidRDefault="00FF1BEC" w:rsidP="00FF1BEC">
      <w:pPr>
        <w:spacing w:after="0" w:line="276" w:lineRule="auto"/>
        <w:jc w:val="both"/>
        <w:rPr>
          <w:rFonts w:ascii="Verdana" w:hAnsi="Verdana"/>
        </w:rPr>
      </w:pPr>
    </w:p>
    <w:p w14:paraId="1523C1BF" w14:textId="77777777" w:rsidR="00FF1BEC" w:rsidRDefault="00FF1BEC" w:rsidP="00FF1BEC">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17CC7004" w14:textId="77777777" w:rsidR="00FF1BEC" w:rsidRDefault="00FF1BEC" w:rsidP="00FF1BEC">
      <w:pPr>
        <w:spacing w:after="0" w:line="276" w:lineRule="auto"/>
        <w:jc w:val="both"/>
        <w:rPr>
          <w:rFonts w:ascii="Verdana" w:hAnsi="Verdana"/>
        </w:rPr>
      </w:pPr>
      <w:r>
        <w:rPr>
          <w:rFonts w:ascii="Verdana" w:hAnsi="Verdana"/>
        </w:rPr>
        <w:t xml:space="preserve">Facebook: </w:t>
      </w:r>
      <w:proofErr w:type="spellStart"/>
      <w:r>
        <w:rPr>
          <w:rStyle w:val="Hipervnculo"/>
          <w:rFonts w:ascii="Verdana" w:hAnsi="Verdana"/>
          <w:color w:val="4472C4" w:themeColor="accent1"/>
        </w:rPr>
        <w:t>ColombiaCompraEficiente</w:t>
      </w:r>
      <w:proofErr w:type="spellEnd"/>
    </w:p>
    <w:p w14:paraId="18F202B3" w14:textId="77777777" w:rsidR="00FF1BEC" w:rsidRDefault="00FF1BEC" w:rsidP="00FF1BEC">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175E5E2D" w14:textId="77777777" w:rsidR="00FF1BEC" w:rsidRDefault="00FF1BEC" w:rsidP="00FF1BEC">
      <w:pPr>
        <w:widowControl w:val="0"/>
        <w:autoSpaceDE w:val="0"/>
        <w:autoSpaceDN w:val="0"/>
        <w:spacing w:after="0" w:line="276" w:lineRule="auto"/>
        <w:jc w:val="both"/>
        <w:rPr>
          <w:rFonts w:ascii="Verdana" w:hAnsi="Verdana" w:cs="Arial"/>
        </w:rPr>
      </w:pPr>
    </w:p>
    <w:p w14:paraId="1A4FB353" w14:textId="77777777" w:rsidR="00FF1BEC" w:rsidRDefault="00FF1BEC" w:rsidP="00FF1BEC">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7E9F3BDC" w14:textId="77777777" w:rsidR="00FF1BEC" w:rsidRDefault="00FF1BEC" w:rsidP="00FF1BEC">
      <w:pPr>
        <w:widowControl w:val="0"/>
        <w:autoSpaceDE w:val="0"/>
        <w:autoSpaceDN w:val="0"/>
        <w:spacing w:after="0" w:line="276" w:lineRule="auto"/>
        <w:jc w:val="both"/>
        <w:rPr>
          <w:rFonts w:ascii="Verdana" w:hAnsi="Verdana" w:cs="Arial"/>
        </w:rPr>
      </w:pPr>
    </w:p>
    <w:p w14:paraId="3DC8566A" w14:textId="77777777" w:rsidR="00FF1BEC" w:rsidRDefault="00FF1BEC" w:rsidP="00FF1BEC">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49A80523" w14:textId="24FEC2EA" w:rsidR="00FF1BEC" w:rsidRDefault="006949EF" w:rsidP="00FF1BEC">
      <w:pPr>
        <w:spacing w:line="276" w:lineRule="auto"/>
        <w:jc w:val="center"/>
        <w:rPr>
          <w:rFonts w:ascii="Verdana" w:hAnsi="Verdana" w:cs="Arial"/>
          <w:color w:val="000000"/>
          <w:lang w:val="es-ES_tradnl" w:eastAsia="es-CO"/>
        </w:rPr>
      </w:pPr>
      <w:r>
        <w:rPr>
          <w:noProof/>
        </w:rPr>
        <w:drawing>
          <wp:inline distT="0" distB="0" distL="0" distR="0" wp14:anchorId="5C8860A6" wp14:editId="76F0B1BE">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F1BEC" w14:paraId="624AA57E" w14:textId="77777777" w:rsidTr="00CC0E50">
        <w:trPr>
          <w:trHeight w:val="315"/>
        </w:trPr>
        <w:tc>
          <w:tcPr>
            <w:tcW w:w="893" w:type="dxa"/>
            <w:vAlign w:val="center"/>
            <w:hideMark/>
          </w:tcPr>
          <w:p w14:paraId="4DD9E761" w14:textId="77777777" w:rsidR="00FF1BEC" w:rsidRDefault="00FF1BEC" w:rsidP="00CC0E50">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B8E6202" w14:textId="77777777" w:rsidR="00FF1BEC" w:rsidRDefault="00FF1BEC" w:rsidP="00CC0E50">
            <w:pPr>
              <w:spacing w:after="255"/>
              <w:contextualSpacing/>
              <w:rPr>
                <w:rFonts w:ascii="Verdana" w:eastAsia="Arial" w:hAnsi="Verdana" w:cs="Arial"/>
                <w:sz w:val="16"/>
                <w:szCs w:val="16"/>
              </w:rPr>
            </w:pPr>
            <w:r>
              <w:rPr>
                <w:rStyle w:val="normaltextrun"/>
                <w:rFonts w:ascii="Verdana" w:hAnsi="Verdana"/>
                <w:sz w:val="16"/>
                <w:szCs w:val="16"/>
              </w:rPr>
              <w:t xml:space="preserve">Catalina Cubides </w:t>
            </w:r>
            <w:proofErr w:type="spellStart"/>
            <w:r>
              <w:rPr>
                <w:rStyle w:val="normaltextrun"/>
                <w:rFonts w:ascii="Verdana" w:hAnsi="Verdana"/>
                <w:sz w:val="16"/>
                <w:szCs w:val="16"/>
              </w:rPr>
              <w:t>Estupiñan</w:t>
            </w:r>
            <w:proofErr w:type="spellEnd"/>
          </w:p>
          <w:p w14:paraId="6052C489" w14:textId="77777777" w:rsidR="00FF1BEC" w:rsidRDefault="00FF1BEC" w:rsidP="00CC0E50">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FF1BEC" w14:paraId="001C914A" w14:textId="77777777" w:rsidTr="00CC0E50">
        <w:trPr>
          <w:trHeight w:val="330"/>
        </w:trPr>
        <w:tc>
          <w:tcPr>
            <w:tcW w:w="893" w:type="dxa"/>
            <w:vAlign w:val="center"/>
            <w:hideMark/>
          </w:tcPr>
          <w:p w14:paraId="64BBB7ED" w14:textId="77777777" w:rsidR="00FF1BEC" w:rsidRDefault="00FF1BEC" w:rsidP="00CC0E50">
            <w:pPr>
              <w:spacing w:after="255"/>
              <w:contextualSpacing/>
              <w:rPr>
                <w:rFonts w:ascii="Verdana" w:hAnsi="Verdana" w:cs="Arial"/>
                <w:sz w:val="16"/>
                <w:szCs w:val="16"/>
                <w:lang w:val="es-ES" w:eastAsia="es-ES"/>
              </w:rPr>
            </w:pPr>
            <w:r>
              <w:rPr>
                <w:rFonts w:ascii="Verdana" w:hAnsi="Verdana" w:cs="Arial"/>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08BE12F" w14:textId="77777777" w:rsidR="00FF1BEC" w:rsidRDefault="00FF1BEC" w:rsidP="00CC0E50">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 xml:space="preserve">Juan Carlos González Vásquez </w:t>
            </w:r>
          </w:p>
          <w:p w14:paraId="614A72A2" w14:textId="77777777" w:rsidR="00FF1BEC" w:rsidRDefault="00FF1BEC" w:rsidP="00CC0E50">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FF1BEC" w14:paraId="4380AFD8" w14:textId="77777777" w:rsidTr="00CC0E50">
        <w:trPr>
          <w:trHeight w:val="300"/>
        </w:trPr>
        <w:tc>
          <w:tcPr>
            <w:tcW w:w="893" w:type="dxa"/>
            <w:vAlign w:val="center"/>
            <w:hideMark/>
          </w:tcPr>
          <w:p w14:paraId="62FE6E97" w14:textId="77777777" w:rsidR="00FF1BEC" w:rsidRDefault="00FF1BEC" w:rsidP="00CC0E50">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5E5853A" w14:textId="77777777" w:rsidR="00FF1BEC" w:rsidRDefault="00FF1BEC" w:rsidP="00CC0E50">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6134D949" w14:textId="77777777" w:rsidR="00FF1BEC" w:rsidRDefault="00FF1BEC" w:rsidP="00CC0E50">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w:t>
            </w:r>
          </w:p>
        </w:tc>
      </w:tr>
    </w:tbl>
    <w:p w14:paraId="3AE6C1A5" w14:textId="77777777" w:rsidR="00FF1BEC" w:rsidRPr="001249F1" w:rsidRDefault="00FF1BEC" w:rsidP="00FF1BEC"/>
    <w:p w14:paraId="419F980E" w14:textId="77777777" w:rsidR="00FF1BEC" w:rsidRPr="0044528D" w:rsidRDefault="00FF1BEC" w:rsidP="00FF1BEC">
      <w:pPr>
        <w:spacing w:after="0"/>
        <w:rPr>
          <w:rFonts w:ascii="Verdana" w:eastAsia="Times New Roman" w:hAnsi="Verdana" w:cs="Segoe UI"/>
          <w:b/>
          <w:bCs/>
          <w:color w:val="46589C"/>
          <w:lang w:val="es-ES" w:eastAsia="es-CO"/>
        </w:rPr>
      </w:pPr>
    </w:p>
    <w:bookmarkEnd w:id="0"/>
    <w:p w14:paraId="5FCADBF9" w14:textId="77777777" w:rsidR="00E245AB" w:rsidRPr="0044528D" w:rsidRDefault="00E245AB" w:rsidP="00E245AB">
      <w:pPr>
        <w:spacing w:after="0"/>
        <w:rPr>
          <w:rFonts w:ascii="Verdana" w:hAnsi="Verdana"/>
        </w:rPr>
      </w:pPr>
    </w:p>
    <w:sectPr w:rsidR="00E245AB"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C8621" w14:textId="77777777" w:rsidR="00C06881" w:rsidRDefault="00C06881" w:rsidP="004A1847">
      <w:pPr>
        <w:spacing w:after="0" w:line="240" w:lineRule="auto"/>
      </w:pPr>
      <w:r>
        <w:separator/>
      </w:r>
    </w:p>
  </w:endnote>
  <w:endnote w:type="continuationSeparator" w:id="0">
    <w:p w14:paraId="5154E2D2" w14:textId="77777777" w:rsidR="00C06881" w:rsidRDefault="00C06881" w:rsidP="004A1847">
      <w:pPr>
        <w:spacing w:after="0" w:line="240" w:lineRule="auto"/>
      </w:pPr>
      <w:r>
        <w:continuationSeparator/>
      </w:r>
    </w:p>
  </w:endnote>
  <w:endnote w:type="continuationNotice" w:id="1">
    <w:p w14:paraId="33163CD1" w14:textId="77777777" w:rsidR="00C06881" w:rsidRDefault="00C068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ADD9C" w14:textId="77777777" w:rsidR="00C06881" w:rsidRDefault="00C06881" w:rsidP="004A1847">
      <w:pPr>
        <w:spacing w:after="0" w:line="240" w:lineRule="auto"/>
      </w:pPr>
      <w:r>
        <w:separator/>
      </w:r>
    </w:p>
  </w:footnote>
  <w:footnote w:type="continuationSeparator" w:id="0">
    <w:p w14:paraId="5F709B8A" w14:textId="77777777" w:rsidR="00C06881" w:rsidRDefault="00C06881" w:rsidP="004A1847">
      <w:pPr>
        <w:spacing w:after="0" w:line="240" w:lineRule="auto"/>
      </w:pPr>
      <w:r>
        <w:continuationSeparator/>
      </w:r>
    </w:p>
  </w:footnote>
  <w:footnote w:type="continuationNotice" w:id="1">
    <w:p w14:paraId="27400043" w14:textId="77777777" w:rsidR="00C06881" w:rsidRDefault="00C06881">
      <w:pPr>
        <w:spacing w:after="0" w:line="240" w:lineRule="auto"/>
      </w:pPr>
    </w:p>
  </w:footnote>
  <w:footnote w:id="2">
    <w:p w14:paraId="34E08C98" w14:textId="77777777" w:rsidR="00FF1BEC" w:rsidRPr="00267157" w:rsidRDefault="00FF1BEC" w:rsidP="00FF1BEC">
      <w:pPr>
        <w:pStyle w:val="Textonotapie"/>
        <w:ind w:firstLine="709"/>
        <w:jc w:val="both"/>
        <w:rPr>
          <w:rFonts w:ascii="Verdana" w:hAnsi="Verdana" w:cs="Arial"/>
          <w:sz w:val="16"/>
          <w:szCs w:val="16"/>
        </w:rPr>
      </w:pPr>
      <w:r w:rsidRPr="00B85E3D">
        <w:rPr>
          <w:rStyle w:val="Refdenotaalpie"/>
          <w:rFonts w:ascii="Verdana" w:hAnsi="Verdana" w:cs="Arial"/>
          <w:sz w:val="18"/>
          <w:szCs w:val="18"/>
        </w:rPr>
        <w:footnoteRef/>
      </w:r>
      <w:r w:rsidRPr="00B85E3D">
        <w:rPr>
          <w:rFonts w:ascii="Verdana" w:hAnsi="Verdana" w:cs="Arial"/>
          <w:sz w:val="18"/>
          <w:szCs w:val="18"/>
        </w:rPr>
        <w:t xml:space="preserve"> </w:t>
      </w:r>
      <w:r w:rsidRPr="00267157">
        <w:rPr>
          <w:rFonts w:ascii="Verdana" w:hAnsi="Verdana" w:cs="Arial"/>
          <w:sz w:val="16"/>
          <w:szCs w:val="16"/>
        </w:rPr>
        <w:t xml:space="preserve">Decreto 1082 de 2015: </w:t>
      </w:r>
      <w:r w:rsidRPr="00267157">
        <w:rPr>
          <w:rFonts w:ascii="Verdana" w:eastAsia="Times New Roman" w:hAnsi="Verdana" w:cs="Arial"/>
          <w:sz w:val="16"/>
          <w:szCs w:val="16"/>
          <w:lang w:val="es-CO"/>
        </w:rPr>
        <w:t>“</w:t>
      </w:r>
      <w:r w:rsidRPr="00267157">
        <w:rPr>
          <w:rFonts w:ascii="Verdana" w:hAnsi="Verdana" w:cs="Arial"/>
          <w:sz w:val="16"/>
          <w:szCs w:val="16"/>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257E7A36" w14:textId="77777777" w:rsidR="00FF1BEC" w:rsidRPr="00267157" w:rsidRDefault="00FF1BEC" w:rsidP="00FF1BEC">
      <w:pPr>
        <w:pStyle w:val="Textonotapie"/>
        <w:ind w:firstLine="709"/>
        <w:jc w:val="both"/>
        <w:rPr>
          <w:rFonts w:ascii="Verdana" w:hAnsi="Verdana" w:cs="Arial"/>
          <w:sz w:val="16"/>
          <w:szCs w:val="16"/>
        </w:rPr>
      </w:pPr>
      <w:r w:rsidRPr="00267157">
        <w:rPr>
          <w:rFonts w:ascii="Verdana" w:hAnsi="Verdana" w:cs="Arial"/>
          <w:sz w:val="16"/>
          <w:szCs w:val="16"/>
        </w:rPr>
        <w:t>Los miembros del comité evaluador están sujetos al régimen de inhabilidades e incompatibilidades y conflicto de interés previstos en la Constitución y la ley.</w:t>
      </w:r>
    </w:p>
    <w:p w14:paraId="00233F0A" w14:textId="77777777" w:rsidR="00FF1BEC" w:rsidRPr="00267157" w:rsidRDefault="00FF1BEC" w:rsidP="00FF1BEC">
      <w:pPr>
        <w:pStyle w:val="Textonotapie"/>
        <w:ind w:firstLine="709"/>
        <w:jc w:val="both"/>
        <w:rPr>
          <w:rFonts w:ascii="Verdana" w:hAnsi="Verdana" w:cs="Arial"/>
          <w:sz w:val="16"/>
          <w:szCs w:val="16"/>
        </w:rPr>
      </w:pPr>
      <w:r w:rsidRPr="00267157">
        <w:rPr>
          <w:rFonts w:ascii="Verdana" w:hAnsi="Verdana" w:cs="Arial"/>
          <w:sz w:val="16"/>
          <w:szCs w:val="16"/>
        </w:rPr>
        <w:t>La verificación y la evaluación de las ofertas para la mínima cuantía será adelantada por quien sea designado por el ordenador del gasto sin que se requiera un comité plural”.</w:t>
      </w:r>
    </w:p>
    <w:p w14:paraId="633618CE" w14:textId="77777777" w:rsidR="00FF1BEC" w:rsidRPr="00B85E3D" w:rsidRDefault="00FF1BEC" w:rsidP="00FF1BEC">
      <w:pPr>
        <w:pStyle w:val="Textonotapie"/>
        <w:ind w:firstLine="709"/>
        <w:jc w:val="both"/>
        <w:rPr>
          <w:rFonts w:ascii="Verdana" w:hAnsi="Verdana" w:cs="Arial"/>
          <w:sz w:val="18"/>
          <w:szCs w:val="18"/>
          <w:lang w:val="es-ES"/>
        </w:rPr>
      </w:pPr>
    </w:p>
  </w:footnote>
  <w:footnote w:id="3">
    <w:p w14:paraId="2D627D31" w14:textId="77777777" w:rsidR="00FF1BEC" w:rsidRPr="00B05F58" w:rsidRDefault="00FF1BEC" w:rsidP="00FF1BEC">
      <w:pPr>
        <w:spacing w:after="0" w:line="240" w:lineRule="auto"/>
        <w:ind w:firstLine="709"/>
        <w:jc w:val="both"/>
        <w:rPr>
          <w:rFonts w:ascii="Verdana" w:hAnsi="Verdana"/>
          <w:sz w:val="18"/>
          <w:szCs w:val="18"/>
        </w:rPr>
      </w:pPr>
      <w:r w:rsidRPr="00B05F58">
        <w:rPr>
          <w:rStyle w:val="Refdenotaalpie"/>
          <w:rFonts w:ascii="Verdana" w:hAnsi="Verdana"/>
          <w:sz w:val="18"/>
          <w:szCs w:val="18"/>
        </w:rPr>
        <w:footnoteRef/>
      </w:r>
      <w:r w:rsidRPr="00B05F58">
        <w:rPr>
          <w:rFonts w:ascii="Verdana" w:hAnsi="Verdana"/>
          <w:sz w:val="18"/>
          <w:szCs w:val="18"/>
        </w:rPr>
        <w:t xml:space="preserve"> Ley 80 de 1993: “Artículo 26. Del Principio de Responsabilidad. En virtud de este principio:</w:t>
      </w:r>
    </w:p>
    <w:p w14:paraId="3669874F" w14:textId="77777777" w:rsidR="00FF1BEC" w:rsidRPr="00B05F58" w:rsidRDefault="00FF1BEC" w:rsidP="00FF1BEC">
      <w:pPr>
        <w:spacing w:after="0" w:line="240" w:lineRule="auto"/>
        <w:ind w:firstLine="709"/>
        <w:jc w:val="both"/>
        <w:rPr>
          <w:rFonts w:ascii="Verdana" w:hAnsi="Verdana"/>
          <w:sz w:val="18"/>
          <w:szCs w:val="18"/>
        </w:rPr>
      </w:pPr>
      <w:r w:rsidRPr="00B05F58">
        <w:rPr>
          <w:rFonts w:ascii="Verdana" w:hAnsi="Verdana"/>
          <w:sz w:val="18"/>
          <w:szCs w:val="18"/>
        </w:rPr>
        <w:t>[…]</w:t>
      </w:r>
    </w:p>
    <w:p w14:paraId="0978B89F" w14:textId="77777777" w:rsidR="00FF1BEC" w:rsidRPr="00B05F58" w:rsidRDefault="00FF1BEC" w:rsidP="00FF1BEC">
      <w:pPr>
        <w:spacing w:after="0" w:line="240" w:lineRule="auto"/>
        <w:ind w:firstLine="709"/>
        <w:jc w:val="both"/>
        <w:rPr>
          <w:rFonts w:ascii="Verdana" w:hAnsi="Verdana"/>
          <w:sz w:val="18"/>
          <w:szCs w:val="18"/>
        </w:rPr>
      </w:pPr>
      <w:r w:rsidRPr="00B05F58">
        <w:rPr>
          <w:rFonts w:ascii="Verdana" w:hAnsi="Verdana"/>
          <w:sz w:val="18"/>
          <w:szCs w:val="18"/>
        </w:rPr>
        <w:t>6o. Los contratistas responderán cuando formulen propuestas en las que se fijen condiciones económicas y de contratación artificialmente bajas con el propósito de obtener la adjudicación del contrato”.</w:t>
      </w:r>
    </w:p>
    <w:p w14:paraId="774F53D8" w14:textId="77777777" w:rsidR="00FF1BEC" w:rsidRPr="00B05F58" w:rsidRDefault="00FF1BEC" w:rsidP="00FF1BEC">
      <w:pPr>
        <w:pStyle w:val="Textonotapie"/>
        <w:ind w:firstLine="709"/>
        <w:jc w:val="both"/>
        <w:rPr>
          <w:rFonts w:ascii="Verdana" w:hAnsi="Verdana"/>
          <w:sz w:val="18"/>
          <w:szCs w:val="18"/>
        </w:rPr>
      </w:pPr>
    </w:p>
  </w:footnote>
  <w:footnote w:id="4">
    <w:p w14:paraId="39508C7E" w14:textId="77777777" w:rsidR="00FF1BEC" w:rsidRPr="00267157" w:rsidRDefault="00FF1BEC" w:rsidP="00FF1BEC">
      <w:pPr>
        <w:pStyle w:val="Textonotapie"/>
        <w:ind w:firstLine="709"/>
        <w:jc w:val="both"/>
        <w:rPr>
          <w:rFonts w:ascii="Verdana" w:hAnsi="Verdana" w:cs="Arial"/>
          <w:sz w:val="16"/>
          <w:szCs w:val="16"/>
        </w:rPr>
      </w:pPr>
      <w:r w:rsidRPr="00B85E3D">
        <w:rPr>
          <w:rStyle w:val="Refdenotaalpie"/>
          <w:rFonts w:ascii="Verdana" w:hAnsi="Verdana" w:cs="Arial"/>
          <w:sz w:val="18"/>
          <w:szCs w:val="18"/>
        </w:rPr>
        <w:footnoteRef/>
      </w:r>
      <w:r w:rsidRPr="00B85E3D">
        <w:rPr>
          <w:rFonts w:ascii="Verdana" w:hAnsi="Verdana" w:cs="Arial"/>
          <w:sz w:val="18"/>
          <w:szCs w:val="18"/>
        </w:rPr>
        <w:t xml:space="preserve"> </w:t>
      </w:r>
      <w:r w:rsidRPr="00267157">
        <w:rPr>
          <w:rFonts w:ascii="Verdana" w:hAnsi="Verdana" w:cs="Arial"/>
          <w:sz w:val="16"/>
          <w:szCs w:val="16"/>
        </w:rPr>
        <w:t xml:space="preserve">Decreto 1082 de 2015: </w:t>
      </w:r>
      <w:r w:rsidRPr="00267157">
        <w:rPr>
          <w:rFonts w:ascii="Verdana" w:eastAsia="Times New Roman" w:hAnsi="Verdana" w:cs="Arial"/>
          <w:sz w:val="16"/>
          <w:szCs w:val="16"/>
          <w:lang w:val="es-CO"/>
        </w:rPr>
        <w:t>“</w:t>
      </w:r>
      <w:r w:rsidRPr="00267157">
        <w:rPr>
          <w:rFonts w:ascii="Verdana" w:hAnsi="Verdana" w:cs="Arial"/>
          <w:sz w:val="16"/>
          <w:szCs w:val="16"/>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622A7D89" w14:textId="77777777" w:rsidR="00FF1BEC" w:rsidRPr="00267157" w:rsidRDefault="00FF1BEC" w:rsidP="00FF1BEC">
      <w:pPr>
        <w:pStyle w:val="Textonotapie"/>
        <w:ind w:firstLine="709"/>
        <w:jc w:val="both"/>
        <w:rPr>
          <w:rFonts w:ascii="Verdana" w:hAnsi="Verdana" w:cs="Arial"/>
          <w:sz w:val="16"/>
          <w:szCs w:val="16"/>
        </w:rPr>
      </w:pPr>
      <w:r w:rsidRPr="00267157">
        <w:rPr>
          <w:rFonts w:ascii="Verdana" w:hAnsi="Verdana" w:cs="Arial"/>
          <w:sz w:val="16"/>
          <w:szCs w:val="16"/>
        </w:rPr>
        <w:t>Los miembros del comité evaluador están sujetos al régimen de inhabilidades e incompatibilidades y conflicto de interés previstos en la Constitución y la ley.</w:t>
      </w:r>
    </w:p>
    <w:p w14:paraId="131EE0B7" w14:textId="77777777" w:rsidR="00FF1BEC" w:rsidRPr="00267157" w:rsidRDefault="00FF1BEC" w:rsidP="00FF1BEC">
      <w:pPr>
        <w:pStyle w:val="Textonotapie"/>
        <w:ind w:firstLine="709"/>
        <w:jc w:val="both"/>
        <w:rPr>
          <w:rFonts w:ascii="Verdana" w:hAnsi="Verdana" w:cs="Arial"/>
          <w:sz w:val="16"/>
          <w:szCs w:val="16"/>
        </w:rPr>
      </w:pPr>
      <w:r w:rsidRPr="00267157">
        <w:rPr>
          <w:rFonts w:ascii="Verdana" w:hAnsi="Verdana" w:cs="Arial"/>
          <w:sz w:val="16"/>
          <w:szCs w:val="16"/>
        </w:rPr>
        <w:t>La verificación y la evaluación de las ofertas para la mínima cuantía será adelantada por quien sea designado por el ordenador del gasto sin que se requiera un comité plural”.</w:t>
      </w:r>
    </w:p>
    <w:p w14:paraId="229F8E32" w14:textId="77777777" w:rsidR="00FF1BEC" w:rsidRPr="00B85E3D" w:rsidRDefault="00FF1BEC" w:rsidP="00FF1BEC">
      <w:pPr>
        <w:pStyle w:val="Textonotapie"/>
        <w:ind w:firstLine="709"/>
        <w:jc w:val="both"/>
        <w:rPr>
          <w:rFonts w:ascii="Verdana" w:hAnsi="Verdana"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5745680">
    <w:abstractNumId w:val="7"/>
  </w:num>
  <w:num w:numId="2" w16cid:durableId="1426880070">
    <w:abstractNumId w:val="2"/>
  </w:num>
  <w:num w:numId="3" w16cid:durableId="681973314">
    <w:abstractNumId w:val="5"/>
  </w:num>
  <w:num w:numId="4" w16cid:durableId="10902762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2432906">
    <w:abstractNumId w:val="2"/>
  </w:num>
  <w:num w:numId="6" w16cid:durableId="1916162194">
    <w:abstractNumId w:val="13"/>
  </w:num>
  <w:num w:numId="7" w16cid:durableId="1484857333">
    <w:abstractNumId w:val="6"/>
  </w:num>
  <w:num w:numId="8" w16cid:durableId="1021080126">
    <w:abstractNumId w:val="12"/>
  </w:num>
  <w:num w:numId="9" w16cid:durableId="979576053">
    <w:abstractNumId w:val="8"/>
  </w:num>
  <w:num w:numId="10" w16cid:durableId="1334188361">
    <w:abstractNumId w:val="11"/>
  </w:num>
  <w:num w:numId="11" w16cid:durableId="566186204">
    <w:abstractNumId w:val="9"/>
  </w:num>
  <w:num w:numId="12" w16cid:durableId="69619709">
    <w:abstractNumId w:val="1"/>
  </w:num>
  <w:num w:numId="13" w16cid:durableId="555626941">
    <w:abstractNumId w:val="4"/>
  </w:num>
  <w:num w:numId="14" w16cid:durableId="270481926">
    <w:abstractNumId w:val="14"/>
  </w:num>
  <w:num w:numId="15" w16cid:durableId="1389525671">
    <w:abstractNumId w:val="10"/>
  </w:num>
  <w:num w:numId="16" w16cid:durableId="39774605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89804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3C55"/>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10E1"/>
    <w:rsid w:val="00374F5E"/>
    <w:rsid w:val="00377E3E"/>
    <w:rsid w:val="003A779E"/>
    <w:rsid w:val="003D0F4D"/>
    <w:rsid w:val="003D5B0D"/>
    <w:rsid w:val="003E0499"/>
    <w:rsid w:val="003F3941"/>
    <w:rsid w:val="00406575"/>
    <w:rsid w:val="00414C74"/>
    <w:rsid w:val="00416EA2"/>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65D70"/>
    <w:rsid w:val="006900D9"/>
    <w:rsid w:val="006949EF"/>
    <w:rsid w:val="00706C16"/>
    <w:rsid w:val="00756841"/>
    <w:rsid w:val="00761EAF"/>
    <w:rsid w:val="007649AB"/>
    <w:rsid w:val="00770F84"/>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261DE"/>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7F72"/>
    <w:rsid w:val="00C04FB3"/>
    <w:rsid w:val="00C06881"/>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65D43"/>
    <w:rsid w:val="00E73AE9"/>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A6AEA"/>
    <w:rsid w:val="00FB5DD1"/>
    <w:rsid w:val="00FC2B5D"/>
    <w:rsid w:val="00FF1449"/>
    <w:rsid w:val="00FF1BEC"/>
    <w:rsid w:val="165E9519"/>
    <w:rsid w:val="382536D9"/>
    <w:rsid w:val="6EFDAB80"/>
    <w:rsid w:val="798D707B"/>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F1BEC"/>
    <w:rPr>
      <w:rFonts w:ascii="Geomanist Light" w:hAnsi="Geomanist Light"/>
      <w:lang w:val="es-ES"/>
    </w:rPr>
  </w:style>
  <w:style w:type="paragraph" w:customStyle="1" w:styleId="Appelnotedebasde">
    <w:name w:val="Appel note de bas de..."/>
    <w:basedOn w:val="Normal"/>
    <w:link w:val="Refdenotaalpie"/>
    <w:uiPriority w:val="99"/>
    <w:rsid w:val="00FF1BEC"/>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chrome-extension://efaidnbmnnnibpcajpcglclefindmkaj/https:/www.colombiacompra.gov.co/wp-content/uploads/2025/04/guia_para_el_manejo_de_ofertas_artifialmente_bajas.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ubenlassoburbano@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tmp"/><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5112D4-B40C-4E98-8E7E-352B14D85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3231</Words>
  <Characters>17773</Characters>
  <Application>Microsoft Office Word</Application>
  <DocSecurity>0</DocSecurity>
  <Lines>148</Lines>
  <Paragraphs>41</Paragraphs>
  <ScaleCrop>false</ScaleCrop>
  <Company/>
  <LinksUpToDate>false</LinksUpToDate>
  <CharactersWithSpaces>20963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2025-09-09T22:42:00Z</dcterms:created>
  <dcterms:modified xsi:type="dcterms:W3CDTF">2025-09-09T22:42:00Z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