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A78002" w14:textId="6D3F0C9C" w:rsidR="00492583" w:rsidRDefault="00492583" w:rsidP="00492583">
      <w:pPr>
        <w:jc w:val="both"/>
        <w:rPr>
          <w:rFonts w:ascii="Verdana" w:hAnsi="Verdana"/>
          <w:b/>
          <w:bCs/>
        </w:rPr>
      </w:pPr>
      <w:bookmarkStart w:id="0" w:name="_Hlk202875225"/>
      <w:bookmarkStart w:id="1" w:name="_Hlk203032812"/>
      <w:bookmarkStart w:id="2" w:name="_Hlk204367265"/>
      <w:bookmarkStart w:id="3" w:name="_Hlk143780582"/>
      <w:r>
        <w:rPr>
          <w:rFonts w:ascii="Verdana" w:hAnsi="Verdana"/>
          <w:b/>
          <w:bCs/>
        </w:rPr>
        <w:t>ESAL</w:t>
      </w:r>
      <w:r w:rsidR="00E23E11">
        <w:rPr>
          <w:rFonts w:ascii="Verdana" w:hAnsi="Verdana"/>
          <w:b/>
          <w:bCs/>
        </w:rPr>
        <w:t xml:space="preserve"> </w:t>
      </w:r>
      <w:r>
        <w:rPr>
          <w:rFonts w:ascii="Verdana" w:hAnsi="Verdana"/>
          <w:b/>
          <w:bCs/>
        </w:rPr>
        <w:t>–</w:t>
      </w:r>
      <w:r>
        <w:rPr>
          <w:rFonts w:ascii="Verdana" w:hAnsi="Verdana"/>
          <w:b/>
          <w:bCs/>
          <w:spacing w:val="37"/>
        </w:rPr>
        <w:t xml:space="preserve"> </w:t>
      </w:r>
      <w:proofErr w:type="spellStart"/>
      <w:r>
        <w:rPr>
          <w:rFonts w:ascii="Verdana" w:hAnsi="Verdana"/>
          <w:b/>
          <w:bCs/>
        </w:rPr>
        <w:t>Mipymes</w:t>
      </w:r>
      <w:proofErr w:type="spellEnd"/>
      <w:r>
        <w:rPr>
          <w:rFonts w:ascii="Verdana" w:hAnsi="Verdana"/>
          <w:b/>
          <w:bCs/>
          <w:spacing w:val="37"/>
        </w:rPr>
        <w:t xml:space="preserve"> </w:t>
      </w:r>
      <w:r>
        <w:rPr>
          <w:rFonts w:ascii="Verdana" w:hAnsi="Verdana"/>
          <w:b/>
          <w:bCs/>
        </w:rPr>
        <w:t>–</w:t>
      </w:r>
      <w:r>
        <w:rPr>
          <w:rFonts w:ascii="Verdana" w:hAnsi="Verdana"/>
          <w:b/>
          <w:bCs/>
          <w:spacing w:val="37"/>
        </w:rPr>
        <w:t xml:space="preserve"> </w:t>
      </w:r>
      <w:r>
        <w:rPr>
          <w:rFonts w:ascii="Verdana" w:hAnsi="Verdana"/>
          <w:b/>
          <w:bCs/>
        </w:rPr>
        <w:t>Distinción</w:t>
      </w:r>
    </w:p>
    <w:p w14:paraId="58E6D578" w14:textId="77777777" w:rsidR="00492583" w:rsidRDefault="00492583" w:rsidP="00492583">
      <w:pPr>
        <w:spacing w:before="120" w:after="0" w:line="240" w:lineRule="auto"/>
        <w:jc w:val="both"/>
        <w:rPr>
          <w:rFonts w:ascii="Verdana" w:eastAsia="Calibri" w:hAnsi="Verdana" w:cs="Arial"/>
          <w:sz w:val="20"/>
          <w:szCs w:val="20"/>
          <w:lang w:val="es-ES" w:eastAsia="es-ES"/>
        </w:rPr>
      </w:pPr>
      <w:r>
        <w:rPr>
          <w:rFonts w:ascii="Verdana" w:eastAsia="Calibri" w:hAnsi="Verdana" w:cs="Arial"/>
          <w:sz w:val="20"/>
          <w:szCs w:val="20"/>
          <w:lang w:val="es-ES" w:eastAsia="es-ES"/>
        </w:rPr>
        <w:t>De conformidad con lo anterior, una “asociación o corporación” constituidas en los términos del Código Civil, no puede asimilarse o identificarse con una “sociedad comercial”, como uniformemente lo considera la doctrina y la jurisprudencia civil y comercial. Lo anterior, en la medida en que las sociedades comerciales se crean con la finalidad de que sus socios repartan las utilidades obtenidas en desarrollo de la empresa o actividad social. Por el contrario, las corporaciones, fundaciones o asociaciones destinan su patrimonio a la consecución de un interés general y no perciben lucro, pues los excedentes monetarios que se presenten deben ser reinvertidos en la ESAL y no es viable repartirlos entre los asociados.</w:t>
      </w:r>
    </w:p>
    <w:p w14:paraId="2A984977" w14:textId="77777777" w:rsidR="00492583" w:rsidRDefault="00492583" w:rsidP="00492583">
      <w:pPr>
        <w:spacing w:before="120" w:after="0" w:line="240" w:lineRule="auto"/>
        <w:jc w:val="both"/>
        <w:rPr>
          <w:rFonts w:ascii="Verdana" w:eastAsia="Calibri" w:hAnsi="Verdana" w:cs="Arial"/>
          <w:sz w:val="20"/>
          <w:szCs w:val="20"/>
          <w:lang w:val="es-ES" w:eastAsia="es-ES"/>
        </w:rPr>
      </w:pPr>
    </w:p>
    <w:p w14:paraId="2F473126" w14:textId="169BA667" w:rsidR="00492583" w:rsidRDefault="00492583" w:rsidP="00492583">
      <w:pPr>
        <w:jc w:val="both"/>
        <w:rPr>
          <w:rFonts w:ascii="Verdana" w:hAnsi="Verdana"/>
          <w:b/>
          <w:bCs/>
        </w:rPr>
      </w:pPr>
      <w:r>
        <w:rPr>
          <w:rFonts w:ascii="Verdana" w:hAnsi="Verdana"/>
          <w:b/>
          <w:bCs/>
        </w:rPr>
        <w:t>ENTIDADES</w:t>
      </w:r>
      <w:r>
        <w:rPr>
          <w:rFonts w:ascii="Verdana" w:hAnsi="Verdana"/>
          <w:b/>
          <w:bCs/>
          <w:spacing w:val="14"/>
        </w:rPr>
        <w:t xml:space="preserve"> </w:t>
      </w:r>
      <w:r>
        <w:rPr>
          <w:rFonts w:ascii="Verdana" w:hAnsi="Verdana"/>
          <w:b/>
          <w:bCs/>
        </w:rPr>
        <w:t>DE ECONOMÍA SOLIDARIA</w:t>
      </w:r>
      <w:r>
        <w:rPr>
          <w:rFonts w:ascii="Verdana" w:hAnsi="Verdana"/>
          <w:b/>
          <w:bCs/>
        </w:rPr>
        <w:tab/>
        <w:t>–</w:t>
      </w:r>
      <w:r w:rsidR="00AD2044">
        <w:rPr>
          <w:rFonts w:ascii="Verdana" w:hAnsi="Verdana"/>
          <w:b/>
          <w:bCs/>
        </w:rPr>
        <w:t xml:space="preserve"> </w:t>
      </w:r>
      <w:r>
        <w:rPr>
          <w:rFonts w:ascii="Verdana" w:hAnsi="Verdana"/>
          <w:b/>
          <w:bCs/>
        </w:rPr>
        <w:t xml:space="preserve">Asimilación a </w:t>
      </w:r>
      <w:proofErr w:type="spellStart"/>
      <w:r>
        <w:rPr>
          <w:rFonts w:ascii="Verdana" w:hAnsi="Verdana"/>
          <w:b/>
          <w:bCs/>
        </w:rPr>
        <w:t>Mipymes</w:t>
      </w:r>
      <w:proofErr w:type="spellEnd"/>
      <w:r>
        <w:rPr>
          <w:rFonts w:ascii="Verdana" w:hAnsi="Verdana"/>
          <w:b/>
          <w:bCs/>
        </w:rPr>
        <w:t xml:space="preserve"> – Cooperativas</w:t>
      </w:r>
      <w:r>
        <w:rPr>
          <w:rFonts w:ascii="Verdana" w:hAnsi="Verdana"/>
          <w:b/>
          <w:bCs/>
          <w:spacing w:val="-10"/>
        </w:rPr>
        <w:t xml:space="preserve"> </w:t>
      </w:r>
      <w:r>
        <w:rPr>
          <w:rFonts w:ascii="Verdana" w:hAnsi="Verdana"/>
          <w:b/>
          <w:bCs/>
        </w:rPr>
        <w:t>–</w:t>
      </w:r>
      <w:r>
        <w:rPr>
          <w:rFonts w:ascii="Verdana" w:hAnsi="Verdana"/>
          <w:b/>
          <w:bCs/>
          <w:spacing w:val="-11"/>
        </w:rPr>
        <w:t xml:space="preserve"> </w:t>
      </w:r>
      <w:r>
        <w:rPr>
          <w:rFonts w:ascii="Verdana" w:hAnsi="Verdana"/>
          <w:b/>
          <w:bCs/>
        </w:rPr>
        <w:t>Asociaciones</w:t>
      </w:r>
      <w:r>
        <w:rPr>
          <w:rFonts w:ascii="Verdana" w:hAnsi="Verdana"/>
          <w:b/>
          <w:bCs/>
          <w:spacing w:val="-8"/>
        </w:rPr>
        <w:t xml:space="preserve"> </w:t>
      </w:r>
      <w:r>
        <w:rPr>
          <w:rFonts w:ascii="Verdana" w:hAnsi="Verdana"/>
          <w:b/>
          <w:bCs/>
        </w:rPr>
        <w:t>mutualistas</w:t>
      </w:r>
      <w:r>
        <w:rPr>
          <w:rFonts w:ascii="Verdana" w:hAnsi="Verdana"/>
          <w:b/>
          <w:bCs/>
          <w:spacing w:val="-10"/>
        </w:rPr>
        <w:t xml:space="preserve"> </w:t>
      </w:r>
      <w:r>
        <w:rPr>
          <w:rFonts w:ascii="Verdana" w:hAnsi="Verdana"/>
          <w:b/>
          <w:bCs/>
        </w:rPr>
        <w:t>–</w:t>
      </w:r>
      <w:r>
        <w:rPr>
          <w:rFonts w:ascii="Verdana" w:hAnsi="Verdana"/>
          <w:b/>
          <w:bCs/>
          <w:spacing w:val="-11"/>
        </w:rPr>
        <w:t xml:space="preserve"> </w:t>
      </w:r>
      <w:r>
        <w:rPr>
          <w:rFonts w:ascii="Verdana" w:hAnsi="Verdana"/>
          <w:b/>
          <w:bCs/>
        </w:rPr>
        <w:t>Demás</w:t>
      </w:r>
      <w:r>
        <w:rPr>
          <w:rFonts w:ascii="Verdana" w:hAnsi="Verdana"/>
          <w:b/>
          <w:bCs/>
          <w:spacing w:val="-11"/>
        </w:rPr>
        <w:t xml:space="preserve"> </w:t>
      </w:r>
      <w:r>
        <w:rPr>
          <w:rFonts w:ascii="Verdana" w:hAnsi="Verdana"/>
          <w:b/>
          <w:bCs/>
        </w:rPr>
        <w:t>entidades</w:t>
      </w:r>
      <w:r>
        <w:rPr>
          <w:rFonts w:ascii="Verdana" w:hAnsi="Verdana"/>
          <w:b/>
          <w:bCs/>
          <w:spacing w:val="-9"/>
        </w:rPr>
        <w:t xml:space="preserve"> </w:t>
      </w:r>
      <w:r>
        <w:rPr>
          <w:rFonts w:ascii="Verdana" w:hAnsi="Verdana"/>
          <w:b/>
          <w:bCs/>
        </w:rPr>
        <w:t>de</w:t>
      </w:r>
      <w:r>
        <w:rPr>
          <w:rFonts w:ascii="Verdana" w:hAnsi="Verdana"/>
          <w:b/>
          <w:bCs/>
          <w:spacing w:val="-58"/>
        </w:rPr>
        <w:t xml:space="preserve"> </w:t>
      </w:r>
      <w:r>
        <w:rPr>
          <w:rFonts w:ascii="Verdana" w:hAnsi="Verdana"/>
          <w:b/>
          <w:bCs/>
        </w:rPr>
        <w:t xml:space="preserve">economía solidaria </w:t>
      </w:r>
    </w:p>
    <w:p w14:paraId="59354D41" w14:textId="77777777" w:rsidR="00492583" w:rsidRDefault="00492583" w:rsidP="00492583">
      <w:pPr>
        <w:spacing w:after="120" w:line="240" w:lineRule="auto"/>
        <w:jc w:val="both"/>
        <w:rPr>
          <w:rFonts w:ascii="Verdana" w:eastAsia="Calibri" w:hAnsi="Verdana" w:cs="Arial"/>
          <w:color w:val="000000" w:themeColor="text1"/>
          <w:sz w:val="20"/>
          <w:szCs w:val="20"/>
          <w:lang w:val="es-ES"/>
        </w:rPr>
      </w:pPr>
      <w:r>
        <w:rPr>
          <w:rFonts w:ascii="Verdana" w:hAnsi="Verdana" w:cs="Arial"/>
          <w:sz w:val="20"/>
          <w:szCs w:val="20"/>
          <w:lang w:val="es-ES"/>
        </w:rPr>
        <w:t xml:space="preserve">Aunque no es posible que las ESAL sean equiparadas a las </w:t>
      </w:r>
      <w:proofErr w:type="spellStart"/>
      <w:r>
        <w:rPr>
          <w:rFonts w:ascii="Verdana" w:hAnsi="Verdana" w:cs="Arial"/>
          <w:sz w:val="20"/>
          <w:szCs w:val="20"/>
          <w:lang w:val="es-ES"/>
        </w:rPr>
        <w:t>Mipyme</w:t>
      </w:r>
      <w:proofErr w:type="spellEnd"/>
      <w:r>
        <w:rPr>
          <w:rFonts w:ascii="Verdana" w:hAnsi="Verdana" w:cs="Arial"/>
          <w:sz w:val="20"/>
          <w:szCs w:val="20"/>
          <w:lang w:val="es-ES"/>
        </w:rPr>
        <w:t xml:space="preserve"> en la normativa del sistema de compras públicas, es necesario aclarar que la Ley determinó un matiz para esta regla. </w:t>
      </w:r>
      <w:r>
        <w:rPr>
          <w:rFonts w:ascii="Verdana" w:eastAsia="Calibri" w:hAnsi="Verdana" w:cs="Arial"/>
          <w:color w:val="000000" w:themeColor="text1"/>
          <w:sz w:val="20"/>
          <w:szCs w:val="20"/>
          <w:lang w:val="es-ES"/>
        </w:rPr>
        <w:t>El artículo 23 de la Ley 2069 de 2020 asimila las cooperativas y las demás entidades de economía solidaria -que incluye a las asociaciones mutualistas</w:t>
      </w:r>
      <w:r>
        <w:rPr>
          <w:rFonts w:ascii="Verdana" w:eastAsia="Calibri" w:hAnsi="Verdana" w:cs="Arial"/>
          <w:i/>
          <w:iCs/>
          <w:color w:val="000000" w:themeColor="text1"/>
          <w:sz w:val="20"/>
          <w:szCs w:val="20"/>
          <w:lang w:val="es-ES"/>
        </w:rPr>
        <w:t>-</w:t>
      </w:r>
      <w:r>
        <w:rPr>
          <w:rFonts w:ascii="Verdana" w:eastAsia="Calibri" w:hAnsi="Verdana" w:cs="Arial"/>
          <w:color w:val="000000" w:themeColor="text1"/>
          <w:sz w:val="20"/>
          <w:szCs w:val="20"/>
          <w:lang w:val="es-ES"/>
        </w:rPr>
        <w:t xml:space="preserve"> a </w:t>
      </w:r>
      <w:r>
        <w:rPr>
          <w:rFonts w:ascii="Verdana" w:eastAsia="Calibri" w:hAnsi="Verdana" w:cs="Arial"/>
          <w:i/>
          <w:iCs/>
          <w:color w:val="000000" w:themeColor="text1"/>
          <w:sz w:val="20"/>
          <w:szCs w:val="20"/>
          <w:lang w:val="es-ES"/>
        </w:rPr>
        <w:t xml:space="preserve">empresas, específicamente a </w:t>
      </w:r>
      <w:proofErr w:type="spellStart"/>
      <w:r>
        <w:rPr>
          <w:rFonts w:ascii="Verdana" w:eastAsia="Calibri" w:hAnsi="Verdana" w:cs="Arial"/>
          <w:i/>
          <w:iCs/>
          <w:color w:val="000000" w:themeColor="text1"/>
          <w:sz w:val="20"/>
          <w:szCs w:val="20"/>
          <w:lang w:val="es-ES"/>
        </w:rPr>
        <w:t>Mipymes</w:t>
      </w:r>
      <w:proofErr w:type="spellEnd"/>
      <w:r>
        <w:rPr>
          <w:rFonts w:ascii="Verdana" w:eastAsia="Calibri" w:hAnsi="Verdana" w:cs="Arial"/>
          <w:color w:val="000000" w:themeColor="text1"/>
          <w:sz w:val="20"/>
          <w:szCs w:val="20"/>
          <w:lang w:val="es-ES"/>
        </w:rPr>
        <w:t xml:space="preserve">, de conformidad con el artículo 2 de la Ley 590 de 2000 y el Decreto 957 de 2019, los cuales desarrollan las categorías de micro, pequeña y mediana en función del tamaño empresarial. El principal efecto de esta norma es que las medidas contempladas en la Ley 2069 de 2020 para promover la participación de la </w:t>
      </w:r>
      <w:proofErr w:type="spellStart"/>
      <w:r>
        <w:rPr>
          <w:rFonts w:ascii="Verdana" w:eastAsia="Calibri" w:hAnsi="Verdana" w:cs="Arial"/>
          <w:color w:val="000000" w:themeColor="text1"/>
          <w:sz w:val="20"/>
          <w:szCs w:val="20"/>
          <w:lang w:val="es-ES"/>
        </w:rPr>
        <w:t>Mipymes</w:t>
      </w:r>
      <w:proofErr w:type="spellEnd"/>
      <w:r>
        <w:rPr>
          <w:rFonts w:ascii="Verdana" w:eastAsia="Calibri" w:hAnsi="Verdana" w:cs="Arial"/>
          <w:color w:val="000000" w:themeColor="text1"/>
          <w:sz w:val="20"/>
          <w:szCs w:val="20"/>
          <w:lang w:val="es-ES"/>
        </w:rPr>
        <w:t xml:space="preserve"> sean aplicables a las cooperativas, las asociaciones mutualistas y a las demás entidades de economía solidaria.</w:t>
      </w:r>
    </w:p>
    <w:p w14:paraId="6CE19745" w14:textId="77777777" w:rsidR="00492583" w:rsidRDefault="00492583" w:rsidP="00492583">
      <w:pPr>
        <w:spacing w:after="0" w:line="276" w:lineRule="auto"/>
        <w:rPr>
          <w:rFonts w:ascii="Verdana" w:eastAsia="Geomanist Light" w:hAnsi="Verdana" w:cs="Arial"/>
          <w:color w:val="000000" w:themeColor="text1"/>
          <w:lang w:val="es-MX"/>
        </w:rPr>
      </w:pPr>
    </w:p>
    <w:p w14:paraId="79699C8E" w14:textId="38223D3F" w:rsidR="00492583" w:rsidRPr="00492583" w:rsidRDefault="00492583" w:rsidP="00492583">
      <w:pPr>
        <w:spacing w:after="0" w:line="276" w:lineRule="auto"/>
        <w:jc w:val="both"/>
        <w:rPr>
          <w:rFonts w:ascii="Verdana" w:eastAsia="Calibri" w:hAnsi="Verdana" w:cs="Arial"/>
          <w:b/>
          <w:bCs/>
          <w:lang w:eastAsia="es-ES"/>
        </w:rPr>
      </w:pPr>
      <w:r w:rsidRPr="00492583">
        <w:rPr>
          <w:rFonts w:ascii="Verdana" w:eastAsia="Calibri" w:hAnsi="Verdana" w:cs="Arial"/>
          <w:b/>
          <w:bCs/>
          <w:lang w:eastAsia="es-ES"/>
        </w:rPr>
        <w:t xml:space="preserve">CONVOCATORIAS LIMITADAS A MIPYMES </w:t>
      </w:r>
      <w:r w:rsidR="00AD2044" w:rsidRPr="00AD2044">
        <w:rPr>
          <w:rFonts w:ascii="Verdana" w:eastAsia="Calibri" w:hAnsi="Verdana" w:cs="Arial"/>
          <w:b/>
          <w:bCs/>
          <w:lang w:val="es-ES" w:eastAsia="es-ES"/>
        </w:rPr>
        <w:t>–</w:t>
      </w:r>
      <w:r w:rsidRPr="00492583">
        <w:rPr>
          <w:rFonts w:ascii="Verdana" w:eastAsia="Calibri" w:hAnsi="Verdana" w:cs="Arial"/>
          <w:b/>
          <w:bCs/>
          <w:lang w:eastAsia="es-ES"/>
        </w:rPr>
        <w:t xml:space="preserve"> MiPymes – Entidades Sin Ánimo de Lucro </w:t>
      </w:r>
    </w:p>
    <w:p w14:paraId="3DB638C1" w14:textId="77777777" w:rsidR="00492583" w:rsidRDefault="00492583" w:rsidP="00492583">
      <w:pPr>
        <w:spacing w:after="0" w:line="276" w:lineRule="auto"/>
        <w:rPr>
          <w:rFonts w:ascii="Verdana" w:eastAsia="Calibri" w:hAnsi="Verdana" w:cs="Arial"/>
          <w:lang w:eastAsia="es-ES"/>
        </w:rPr>
      </w:pPr>
    </w:p>
    <w:p w14:paraId="6D9A763A" w14:textId="1267948C" w:rsidR="00492583" w:rsidRPr="00492583" w:rsidRDefault="00492583" w:rsidP="00492583">
      <w:pPr>
        <w:spacing w:after="0" w:line="240" w:lineRule="auto"/>
        <w:jc w:val="both"/>
        <w:rPr>
          <w:rFonts w:ascii="Verdana" w:hAnsi="Verdana" w:cs="Arial"/>
          <w:sz w:val="20"/>
          <w:szCs w:val="20"/>
          <w:lang w:val="es-ES"/>
        </w:rPr>
      </w:pPr>
      <w:r>
        <w:rPr>
          <w:rFonts w:ascii="Verdana" w:hAnsi="Verdana" w:cs="Arial"/>
          <w:sz w:val="20"/>
          <w:szCs w:val="20"/>
          <w:lang w:val="es-ES"/>
        </w:rPr>
        <w:t>E</w:t>
      </w:r>
      <w:r w:rsidRPr="00492583">
        <w:rPr>
          <w:rFonts w:ascii="Verdana" w:hAnsi="Verdana" w:cs="Arial"/>
          <w:sz w:val="20"/>
          <w:szCs w:val="20"/>
          <w:lang w:val="es-ES"/>
        </w:rPr>
        <w:t xml:space="preserve">sta Agencia ha sostenido de forma reiterada la tesis consistente en que las ESAL no pueden, por regla general, acceder a los beneficios a favor de las </w:t>
      </w:r>
      <w:proofErr w:type="spellStart"/>
      <w:r w:rsidRPr="00492583">
        <w:rPr>
          <w:rFonts w:ascii="Verdana" w:hAnsi="Verdana" w:cs="Arial"/>
          <w:sz w:val="20"/>
          <w:szCs w:val="20"/>
          <w:lang w:val="es-ES"/>
        </w:rPr>
        <w:t>Mipymes</w:t>
      </w:r>
      <w:proofErr w:type="spellEnd"/>
      <w:r w:rsidRPr="00492583">
        <w:rPr>
          <w:rFonts w:ascii="Verdana" w:hAnsi="Verdana" w:cs="Arial"/>
          <w:sz w:val="20"/>
          <w:szCs w:val="20"/>
          <w:lang w:val="es-ES"/>
        </w:rPr>
        <w:t xml:space="preserve"> ni participar en los procesos contractuales limitados a estas. Este argumento, considerando que: </w:t>
      </w:r>
      <w:r w:rsidRPr="00492583">
        <w:rPr>
          <w:rFonts w:ascii="Verdana" w:hAnsi="Verdana" w:cs="Arial"/>
          <w:sz w:val="20"/>
          <w:szCs w:val="20"/>
          <w:lang w:val="es-ES_tradnl"/>
        </w:rPr>
        <w:t>“</w:t>
      </w:r>
      <w:r w:rsidRPr="00492583">
        <w:rPr>
          <w:rFonts w:ascii="Verdana" w:hAnsi="Verdana" w:cs="Arial"/>
          <w:sz w:val="20"/>
          <w:szCs w:val="20"/>
        </w:rPr>
        <w:t xml:space="preserve">en virtud del artículo 43 de la Ley 1450 de 2011, que modificó el artículo 2 de la Ley 590 de 2000, […] puede decirse que solo podrán ser </w:t>
      </w:r>
      <w:proofErr w:type="spellStart"/>
      <w:r w:rsidRPr="00492583">
        <w:rPr>
          <w:rFonts w:ascii="Verdana" w:hAnsi="Verdana" w:cs="Arial"/>
          <w:sz w:val="20"/>
          <w:szCs w:val="20"/>
        </w:rPr>
        <w:t>Mipymes</w:t>
      </w:r>
      <w:proofErr w:type="spellEnd"/>
      <w:r w:rsidRPr="00492583">
        <w:rPr>
          <w:rFonts w:ascii="Verdana" w:hAnsi="Verdana" w:cs="Arial"/>
          <w:sz w:val="20"/>
          <w:szCs w:val="20"/>
        </w:rPr>
        <w:t xml:space="preserve"> las empresas, entendidas estas como las unidades de explotación económica que buscan el reparto de utilidades entre los miembros de la empresa. De esta forma, en razón a que las ESAL no persiguen el reparto de utilidades entre sus miembros, sino que su objeto está destinado a realizar una actividad de interés general sin esperar a cambio un reparto de ganancia en proporción a sus utilidades, lo cierto es que estas no podrán participar en los procesos de contratación limitado a </w:t>
      </w:r>
      <w:proofErr w:type="spellStart"/>
      <w:r w:rsidRPr="00492583">
        <w:rPr>
          <w:rFonts w:ascii="Verdana" w:hAnsi="Verdana" w:cs="Arial"/>
          <w:sz w:val="20"/>
          <w:szCs w:val="20"/>
        </w:rPr>
        <w:t>mipymes</w:t>
      </w:r>
      <w:proofErr w:type="spellEnd"/>
      <w:r w:rsidRPr="00492583">
        <w:rPr>
          <w:rFonts w:ascii="Verdana" w:hAnsi="Verdana" w:cs="Arial"/>
          <w:sz w:val="20"/>
          <w:szCs w:val="20"/>
        </w:rPr>
        <w:t xml:space="preserve">. Lo anterior teniendo en cuenta que </w:t>
      </w:r>
      <w:r w:rsidRPr="00492583">
        <w:rPr>
          <w:rFonts w:ascii="Verdana" w:hAnsi="Verdana" w:cs="Arial"/>
          <w:i/>
          <w:iCs/>
          <w:sz w:val="20"/>
          <w:szCs w:val="20"/>
        </w:rPr>
        <w:t xml:space="preserve">no responden al concepto de empresa que involucra dicha categoría con ánimo de lucro, por lo que no resulta jurídicamente válido aplicar a las ESAL las normas dirigidas a las </w:t>
      </w:r>
      <w:proofErr w:type="spellStart"/>
      <w:r w:rsidRPr="00492583">
        <w:rPr>
          <w:rFonts w:ascii="Verdana" w:hAnsi="Verdana" w:cs="Arial"/>
          <w:i/>
          <w:iCs/>
          <w:sz w:val="20"/>
          <w:szCs w:val="20"/>
        </w:rPr>
        <w:t>Mipymes</w:t>
      </w:r>
      <w:proofErr w:type="spellEnd"/>
      <w:r w:rsidRPr="00492583">
        <w:rPr>
          <w:rFonts w:ascii="Verdana" w:hAnsi="Verdana" w:cs="Arial"/>
          <w:sz w:val="20"/>
          <w:szCs w:val="20"/>
        </w:rPr>
        <w:t xml:space="preserve">”. </w:t>
      </w:r>
    </w:p>
    <w:p w14:paraId="59B676D8" w14:textId="77777777" w:rsidR="00492583" w:rsidRPr="00492583" w:rsidRDefault="00492583" w:rsidP="00492583">
      <w:pPr>
        <w:spacing w:after="0" w:line="240" w:lineRule="auto"/>
        <w:ind w:left="709" w:right="709"/>
        <w:jc w:val="both"/>
        <w:rPr>
          <w:rFonts w:ascii="Verdana" w:hAnsi="Verdana" w:cs="Arial"/>
          <w:sz w:val="20"/>
          <w:szCs w:val="20"/>
        </w:rPr>
      </w:pPr>
    </w:p>
    <w:p w14:paraId="47FA2C56" w14:textId="77777777" w:rsidR="00492583" w:rsidRPr="00492583" w:rsidRDefault="00492583" w:rsidP="00492583">
      <w:pPr>
        <w:spacing w:after="0" w:line="240" w:lineRule="auto"/>
        <w:jc w:val="both"/>
        <w:rPr>
          <w:rFonts w:ascii="Verdana" w:hAnsi="Verdana" w:cs="Arial"/>
          <w:sz w:val="20"/>
          <w:szCs w:val="20"/>
          <w:lang w:val="es-ES"/>
        </w:rPr>
      </w:pPr>
      <w:r w:rsidRPr="00492583">
        <w:rPr>
          <w:rFonts w:ascii="Verdana" w:hAnsi="Verdana" w:cs="Arial"/>
          <w:sz w:val="20"/>
          <w:szCs w:val="20"/>
          <w:lang w:val="es-ES"/>
        </w:rPr>
        <w:lastRenderedPageBreak/>
        <w:t xml:space="preserve">Según esta postura, y en virtud de lo señalado en el artículo 43 de la Ley 1450 de 2011, que modificó el artículo 2 de la Ley 590 de 2000, solo podrán ser consideradas </w:t>
      </w:r>
      <w:proofErr w:type="spellStart"/>
      <w:r w:rsidRPr="00492583">
        <w:rPr>
          <w:rFonts w:ascii="Verdana" w:hAnsi="Verdana" w:cs="Arial"/>
          <w:sz w:val="20"/>
          <w:szCs w:val="20"/>
          <w:lang w:val="es-ES"/>
        </w:rPr>
        <w:t>Mipymes</w:t>
      </w:r>
      <w:proofErr w:type="spellEnd"/>
      <w:r w:rsidRPr="00492583">
        <w:rPr>
          <w:rFonts w:ascii="Verdana" w:hAnsi="Verdana" w:cs="Arial"/>
          <w:sz w:val="20"/>
          <w:szCs w:val="20"/>
          <w:lang w:val="es-ES"/>
        </w:rPr>
        <w:t xml:space="preserve"> las empresas, pues son unidades de explotación económica que buscan el reparto de utilidades entre los miembros de la empresa, sin perjuicio de las precisiones que se realizarán más adelante en relación con el artículo 23 de la Ley 2069 de 2020. </w:t>
      </w:r>
    </w:p>
    <w:p w14:paraId="6D8B1ABD" w14:textId="77777777" w:rsidR="00492583" w:rsidRDefault="00492583" w:rsidP="00492583">
      <w:pPr>
        <w:spacing w:after="0" w:line="276" w:lineRule="auto"/>
        <w:rPr>
          <w:rFonts w:ascii="Verdana" w:eastAsia="Calibri" w:hAnsi="Verdana" w:cs="Arial"/>
          <w:lang w:eastAsia="es-ES"/>
        </w:rPr>
      </w:pPr>
    </w:p>
    <w:p w14:paraId="2575180C" w14:textId="0D3DA353" w:rsidR="00492583" w:rsidRPr="00492583" w:rsidRDefault="00492583" w:rsidP="00492583">
      <w:pPr>
        <w:spacing w:after="0" w:line="276" w:lineRule="auto"/>
        <w:rPr>
          <w:rFonts w:ascii="Verdana" w:eastAsia="Geomanist Light" w:hAnsi="Verdana" w:cs="Arial"/>
          <w:b/>
          <w:bCs/>
          <w:color w:val="000000" w:themeColor="text1"/>
          <w:lang w:val="es-MX"/>
        </w:rPr>
      </w:pPr>
      <w:r w:rsidRPr="00492583">
        <w:rPr>
          <w:rFonts w:ascii="Verdana" w:eastAsia="Calibri" w:hAnsi="Verdana" w:cs="Arial"/>
          <w:b/>
          <w:bCs/>
          <w:lang w:eastAsia="es-ES"/>
        </w:rPr>
        <w:t xml:space="preserve"> ESAL – MiPymes </w:t>
      </w:r>
      <w:r w:rsidR="00AD2044" w:rsidRPr="00AD2044">
        <w:rPr>
          <w:rFonts w:ascii="Verdana" w:eastAsia="Calibri" w:hAnsi="Verdana" w:cs="Arial"/>
          <w:b/>
          <w:bCs/>
          <w:lang w:val="es-ES" w:eastAsia="es-ES"/>
        </w:rPr>
        <w:t>–</w:t>
      </w:r>
      <w:r w:rsidRPr="00492583">
        <w:rPr>
          <w:rFonts w:ascii="Verdana" w:eastAsia="Calibri" w:hAnsi="Verdana" w:cs="Arial"/>
          <w:b/>
          <w:bCs/>
          <w:lang w:eastAsia="es-ES"/>
        </w:rPr>
        <w:t xml:space="preserve"> Cooperativas</w:t>
      </w:r>
    </w:p>
    <w:p w14:paraId="18284014" w14:textId="77777777" w:rsidR="00492583" w:rsidRDefault="00492583" w:rsidP="00492583">
      <w:pPr>
        <w:spacing w:after="0" w:line="276" w:lineRule="auto"/>
        <w:rPr>
          <w:rFonts w:ascii="Verdana" w:eastAsia="Geomanist Light" w:hAnsi="Verdana" w:cs="Arial"/>
          <w:color w:val="000000" w:themeColor="text1"/>
          <w:lang w:val="es-MX"/>
        </w:rPr>
      </w:pPr>
    </w:p>
    <w:p w14:paraId="5B2F1030" w14:textId="76B57628" w:rsidR="00492583" w:rsidRPr="00492583" w:rsidRDefault="00492583" w:rsidP="00492583">
      <w:pPr>
        <w:spacing w:after="0" w:line="240" w:lineRule="auto"/>
        <w:jc w:val="both"/>
        <w:rPr>
          <w:rFonts w:ascii="Verdana" w:eastAsia="Geomanist Light" w:hAnsi="Verdana" w:cs="Arial"/>
          <w:color w:val="000000" w:themeColor="text1"/>
          <w:sz w:val="20"/>
          <w:szCs w:val="20"/>
          <w:lang w:val="es-MX"/>
        </w:rPr>
      </w:pPr>
      <w:r w:rsidRPr="00492583">
        <w:rPr>
          <w:rFonts w:ascii="Verdana" w:eastAsia="Geomanist Light" w:hAnsi="Verdana" w:cs="Arial"/>
          <w:color w:val="000000" w:themeColor="text1"/>
          <w:sz w:val="20"/>
          <w:szCs w:val="20"/>
          <w:lang w:val="es-MX"/>
        </w:rPr>
        <w:t>De esta manera, los incentivos referidos en la Ley 2069 de 2020 y la posibilidad de solicitar la limitación de las convocatorias a MiPymes no son extensibles a todas las ESAL, sino únicamente a aquellas que corresponden al concepto de cooperativas y demás entes considerados de economía solidaria, en los términos del artículo 6 de la Ley 454 de 1998 –norma a la que remite el artículo 23 de la Ley de Emprendimiento–. En tal sentido, debe analizarse si la ESAL cumple con las características establecidas en dicho artículo, para considerarla una organización de economía solidaria. Solo las que cumplan estos requisitos podrán ser asimiladas a las MiPymes y acceder a los requisitos diferenciales de la Ley 2069 de 2020, así como participar en las convocatorias limitadas a estas, y les permite incluso manifestar su interés de participar en el proceso de selección en los términos señalados en el numeral 3 del artículo 2.2.1.2.1.5.2. del Decreto 1082 de 2015.</w:t>
      </w:r>
    </w:p>
    <w:p w14:paraId="378CE1DF" w14:textId="77777777" w:rsidR="00492583" w:rsidRDefault="00492583" w:rsidP="00492583">
      <w:pPr>
        <w:spacing w:after="0" w:line="276" w:lineRule="auto"/>
        <w:rPr>
          <w:rFonts w:ascii="Verdana" w:eastAsia="Geomanist Light" w:hAnsi="Verdana" w:cs="Arial"/>
          <w:color w:val="000000" w:themeColor="text1"/>
          <w:lang w:val="es-MX"/>
        </w:rPr>
      </w:pPr>
    </w:p>
    <w:p w14:paraId="32C1F916" w14:textId="77777777" w:rsidR="00492583" w:rsidRDefault="00492583" w:rsidP="00492583">
      <w:pPr>
        <w:spacing w:after="0" w:line="276" w:lineRule="auto"/>
        <w:rPr>
          <w:rFonts w:ascii="Verdana" w:eastAsia="Geomanist Light" w:hAnsi="Verdana" w:cs="Arial"/>
          <w:color w:val="000000" w:themeColor="text1"/>
          <w:lang w:val="es-MX"/>
        </w:rPr>
      </w:pPr>
    </w:p>
    <w:p w14:paraId="567D88FF" w14:textId="77777777" w:rsidR="00492583" w:rsidRDefault="00492583" w:rsidP="00492583">
      <w:pPr>
        <w:spacing w:after="0" w:line="276" w:lineRule="auto"/>
        <w:rPr>
          <w:rFonts w:ascii="Verdana" w:eastAsia="Geomanist Light" w:hAnsi="Verdana" w:cs="Arial"/>
          <w:color w:val="000000" w:themeColor="text1"/>
          <w:lang w:val="es-MX"/>
        </w:rPr>
      </w:pPr>
    </w:p>
    <w:p w14:paraId="28FD8DD5" w14:textId="77777777" w:rsidR="00492583" w:rsidRDefault="00492583" w:rsidP="00492583">
      <w:pPr>
        <w:spacing w:after="0" w:line="276" w:lineRule="auto"/>
        <w:rPr>
          <w:rFonts w:ascii="Verdana" w:eastAsia="Geomanist Light" w:hAnsi="Verdana" w:cs="Arial"/>
          <w:color w:val="000000" w:themeColor="text1"/>
          <w:lang w:val="es-MX"/>
        </w:rPr>
      </w:pPr>
    </w:p>
    <w:p w14:paraId="24AC291F" w14:textId="77777777" w:rsidR="00FA5394" w:rsidRDefault="00FA5394" w:rsidP="00867B6A">
      <w:pPr>
        <w:spacing w:after="0" w:line="240" w:lineRule="auto"/>
        <w:jc w:val="both"/>
        <w:rPr>
          <w:rFonts w:ascii="Verdana" w:hAnsi="Verdana"/>
        </w:rPr>
      </w:pPr>
    </w:p>
    <w:p w14:paraId="5771708F" w14:textId="77777777" w:rsidR="00492583" w:rsidRDefault="00492583" w:rsidP="00867B6A">
      <w:pPr>
        <w:spacing w:after="0" w:line="240" w:lineRule="auto"/>
        <w:jc w:val="both"/>
        <w:rPr>
          <w:rFonts w:ascii="Verdana" w:hAnsi="Verdana"/>
        </w:rPr>
      </w:pPr>
    </w:p>
    <w:p w14:paraId="050970A3" w14:textId="77777777" w:rsidR="00492583" w:rsidRDefault="00492583" w:rsidP="00867B6A">
      <w:pPr>
        <w:spacing w:after="0" w:line="240" w:lineRule="auto"/>
        <w:jc w:val="both"/>
        <w:rPr>
          <w:rFonts w:ascii="Verdana" w:hAnsi="Verdana"/>
        </w:rPr>
      </w:pPr>
    </w:p>
    <w:p w14:paraId="756054C6" w14:textId="77777777" w:rsidR="00492583" w:rsidRDefault="00492583" w:rsidP="00867B6A">
      <w:pPr>
        <w:spacing w:after="0" w:line="240" w:lineRule="auto"/>
        <w:jc w:val="both"/>
        <w:rPr>
          <w:rFonts w:ascii="Verdana" w:hAnsi="Verdana"/>
        </w:rPr>
      </w:pPr>
    </w:p>
    <w:p w14:paraId="3F959322" w14:textId="77777777" w:rsidR="00492583" w:rsidRDefault="00492583" w:rsidP="00867B6A">
      <w:pPr>
        <w:spacing w:after="0" w:line="240" w:lineRule="auto"/>
        <w:jc w:val="both"/>
        <w:rPr>
          <w:rFonts w:ascii="Verdana" w:hAnsi="Verdana"/>
        </w:rPr>
      </w:pPr>
    </w:p>
    <w:p w14:paraId="21F818EA" w14:textId="77777777" w:rsidR="00492583" w:rsidRDefault="00492583" w:rsidP="00867B6A">
      <w:pPr>
        <w:spacing w:after="0" w:line="240" w:lineRule="auto"/>
        <w:jc w:val="both"/>
        <w:rPr>
          <w:rFonts w:ascii="Verdana" w:hAnsi="Verdana"/>
        </w:rPr>
      </w:pPr>
    </w:p>
    <w:p w14:paraId="5233BA46" w14:textId="77777777" w:rsidR="00492583" w:rsidRDefault="00492583" w:rsidP="00867B6A">
      <w:pPr>
        <w:spacing w:after="0" w:line="240" w:lineRule="auto"/>
        <w:jc w:val="both"/>
        <w:rPr>
          <w:rFonts w:ascii="Verdana" w:hAnsi="Verdana"/>
        </w:rPr>
      </w:pPr>
    </w:p>
    <w:p w14:paraId="6E5BC058" w14:textId="77777777" w:rsidR="00492583" w:rsidRDefault="00492583" w:rsidP="00867B6A">
      <w:pPr>
        <w:spacing w:after="0" w:line="240" w:lineRule="auto"/>
        <w:jc w:val="both"/>
        <w:rPr>
          <w:rFonts w:ascii="Verdana" w:hAnsi="Verdana"/>
        </w:rPr>
      </w:pPr>
    </w:p>
    <w:p w14:paraId="7561A91E" w14:textId="77777777" w:rsidR="00492583" w:rsidRDefault="00492583" w:rsidP="00867B6A">
      <w:pPr>
        <w:spacing w:after="0" w:line="240" w:lineRule="auto"/>
        <w:jc w:val="both"/>
        <w:rPr>
          <w:rFonts w:ascii="Verdana" w:hAnsi="Verdana"/>
        </w:rPr>
      </w:pPr>
    </w:p>
    <w:p w14:paraId="60575231" w14:textId="77777777" w:rsidR="00492583" w:rsidRDefault="00492583" w:rsidP="00867B6A">
      <w:pPr>
        <w:spacing w:after="0" w:line="240" w:lineRule="auto"/>
        <w:jc w:val="both"/>
        <w:rPr>
          <w:rFonts w:ascii="Verdana" w:hAnsi="Verdana"/>
        </w:rPr>
      </w:pPr>
    </w:p>
    <w:p w14:paraId="3ECB86DB" w14:textId="77777777" w:rsidR="00492583" w:rsidRDefault="00492583" w:rsidP="00867B6A">
      <w:pPr>
        <w:spacing w:after="0" w:line="240" w:lineRule="auto"/>
        <w:jc w:val="both"/>
        <w:rPr>
          <w:rFonts w:ascii="Verdana" w:hAnsi="Verdana"/>
        </w:rPr>
      </w:pPr>
    </w:p>
    <w:p w14:paraId="4D703CF9" w14:textId="77777777" w:rsidR="00492583" w:rsidRDefault="00492583" w:rsidP="00867B6A">
      <w:pPr>
        <w:spacing w:after="0" w:line="240" w:lineRule="auto"/>
        <w:jc w:val="both"/>
        <w:rPr>
          <w:rFonts w:ascii="Verdana" w:hAnsi="Verdana"/>
        </w:rPr>
      </w:pPr>
    </w:p>
    <w:p w14:paraId="5E5717FE" w14:textId="77777777" w:rsidR="00492583" w:rsidRDefault="00492583" w:rsidP="00867B6A">
      <w:pPr>
        <w:spacing w:after="0" w:line="240" w:lineRule="auto"/>
        <w:jc w:val="both"/>
        <w:rPr>
          <w:rFonts w:ascii="Verdana" w:hAnsi="Verdana"/>
        </w:rPr>
      </w:pPr>
    </w:p>
    <w:p w14:paraId="0683EEA0" w14:textId="77777777" w:rsidR="00492583" w:rsidRDefault="00492583" w:rsidP="00867B6A">
      <w:pPr>
        <w:spacing w:after="0" w:line="240" w:lineRule="auto"/>
        <w:jc w:val="both"/>
        <w:rPr>
          <w:rFonts w:ascii="Verdana" w:hAnsi="Verdana"/>
        </w:rPr>
      </w:pPr>
    </w:p>
    <w:p w14:paraId="0518F23C" w14:textId="77777777" w:rsidR="00FA5394" w:rsidRDefault="00FA5394" w:rsidP="00867B6A">
      <w:pPr>
        <w:spacing w:after="0" w:line="240" w:lineRule="auto"/>
        <w:jc w:val="both"/>
        <w:rPr>
          <w:rFonts w:ascii="Verdana" w:hAnsi="Verdana"/>
        </w:rPr>
      </w:pPr>
    </w:p>
    <w:p w14:paraId="22E924D4" w14:textId="77777777" w:rsidR="00FA5394" w:rsidRDefault="00FA5394" w:rsidP="00867B6A">
      <w:pPr>
        <w:spacing w:after="0" w:line="240" w:lineRule="auto"/>
        <w:jc w:val="both"/>
        <w:rPr>
          <w:rFonts w:ascii="Verdana" w:hAnsi="Verdana"/>
        </w:rPr>
      </w:pPr>
    </w:p>
    <w:p w14:paraId="7C05A96C" w14:textId="77777777" w:rsidR="00FA5394" w:rsidRDefault="00FA5394" w:rsidP="00867B6A">
      <w:pPr>
        <w:spacing w:after="0" w:line="240" w:lineRule="auto"/>
        <w:jc w:val="both"/>
        <w:rPr>
          <w:rFonts w:ascii="Verdana" w:hAnsi="Verdana"/>
        </w:rPr>
      </w:pPr>
    </w:p>
    <w:p w14:paraId="6B7E85BF" w14:textId="77777777" w:rsidR="00FA5394" w:rsidRDefault="00FA5394" w:rsidP="00867B6A">
      <w:pPr>
        <w:spacing w:after="0" w:line="240" w:lineRule="auto"/>
        <w:jc w:val="both"/>
        <w:rPr>
          <w:rFonts w:ascii="Verdana" w:hAnsi="Verdana"/>
        </w:rPr>
      </w:pPr>
    </w:p>
    <w:p w14:paraId="2F63DC6D" w14:textId="77777777" w:rsidR="00FA5394" w:rsidRDefault="00FA5394" w:rsidP="00867B6A">
      <w:pPr>
        <w:spacing w:after="0" w:line="240" w:lineRule="auto"/>
        <w:jc w:val="both"/>
        <w:rPr>
          <w:rFonts w:ascii="Verdana" w:hAnsi="Verdana"/>
        </w:rPr>
      </w:pPr>
    </w:p>
    <w:p w14:paraId="59384F61" w14:textId="77777777" w:rsidR="00FA5394" w:rsidRDefault="00FA5394" w:rsidP="00867B6A">
      <w:pPr>
        <w:spacing w:after="0" w:line="240" w:lineRule="auto"/>
        <w:jc w:val="both"/>
        <w:rPr>
          <w:rFonts w:ascii="Verdana" w:hAnsi="Verdana"/>
        </w:rPr>
      </w:pPr>
    </w:p>
    <w:p w14:paraId="0E3606A7" w14:textId="7330511A" w:rsidR="006D783D" w:rsidRDefault="006D783D" w:rsidP="006D783D">
      <w:pPr>
        <w:spacing w:after="0" w:line="240" w:lineRule="auto"/>
        <w:jc w:val="both"/>
        <w:rPr>
          <w:rFonts w:ascii="Verdana" w:hAnsi="Verdana"/>
        </w:rPr>
      </w:pPr>
      <w:bookmarkStart w:id="4" w:name="_Hlk197462763"/>
      <w:bookmarkStart w:id="5" w:name="_Hlk197529996"/>
      <w:r w:rsidRPr="00713B63">
        <w:rPr>
          <w:rFonts w:ascii="Verdana" w:eastAsia="Geomanist Light" w:hAnsi="Verdana" w:cs="Arial"/>
          <w:color w:val="000000" w:themeColor="text1"/>
        </w:rPr>
        <w:lastRenderedPageBreak/>
        <w:t>Bogotá D.C.,</w:t>
      </w:r>
      <w:r w:rsidR="00C51F76">
        <w:rPr>
          <w:rFonts w:ascii="Verdana" w:eastAsia="Geomanist Light" w:hAnsi="Verdana" w:cs="Arial"/>
          <w:color w:val="000000" w:themeColor="text1"/>
        </w:rPr>
        <w:t xml:space="preserve"> 5 de septiembre de 2025</w:t>
      </w:r>
    </w:p>
    <w:p w14:paraId="49A9FBD9" w14:textId="57150BEF" w:rsidR="006D783D" w:rsidRDefault="00AD2044" w:rsidP="006D783D">
      <w:pPr>
        <w:spacing w:after="0" w:line="240" w:lineRule="auto"/>
        <w:jc w:val="both"/>
        <w:rPr>
          <w:rFonts w:ascii="Verdana" w:hAnsi="Verdana"/>
        </w:rPr>
      </w:pPr>
      <w:r w:rsidRPr="00AE4DAC">
        <w:rPr>
          <w:rFonts w:ascii="Verdana" w:hAnsi="Verdana"/>
          <w:noProof/>
        </w:rPr>
        <w:drawing>
          <wp:anchor distT="0" distB="0" distL="114300" distR="114300" simplePos="0" relativeHeight="251657216" behindDoc="0" locked="0" layoutInCell="1" allowOverlap="1" wp14:anchorId="1F978C7A" wp14:editId="6FCB3745">
            <wp:simplePos x="0" y="0"/>
            <wp:positionH relativeFrom="column">
              <wp:posOffset>2894965</wp:posOffset>
            </wp:positionH>
            <wp:positionV relativeFrom="paragraph">
              <wp:posOffset>170815</wp:posOffset>
            </wp:positionV>
            <wp:extent cx="2710815" cy="1013460"/>
            <wp:effectExtent l="0" t="0" r="0" b="0"/>
            <wp:wrapSquare wrapText="bothSides"/>
            <wp:docPr id="3447537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10815" cy="1013460"/>
                    </a:xfrm>
                    <a:prstGeom prst="rect">
                      <a:avLst/>
                    </a:prstGeom>
                    <a:noFill/>
                    <a:ln>
                      <a:noFill/>
                    </a:ln>
                  </pic:spPr>
                </pic:pic>
              </a:graphicData>
            </a:graphic>
            <wp14:sizeRelH relativeFrom="margin">
              <wp14:pctWidth>0</wp14:pctWidth>
            </wp14:sizeRelH>
          </wp:anchor>
        </w:drawing>
      </w:r>
    </w:p>
    <w:p w14:paraId="2B6D4513" w14:textId="0191F29C" w:rsidR="00AE4DAC" w:rsidRDefault="00AE4DAC" w:rsidP="00AE4DAC">
      <w:pPr>
        <w:spacing w:after="0" w:line="240" w:lineRule="auto"/>
        <w:jc w:val="right"/>
        <w:rPr>
          <w:rFonts w:ascii="Verdana" w:hAnsi="Verdana"/>
        </w:rPr>
      </w:pPr>
    </w:p>
    <w:p w14:paraId="192FA31A" w14:textId="77777777" w:rsidR="006D783D" w:rsidRPr="008E4F36" w:rsidRDefault="006D783D" w:rsidP="006D783D">
      <w:pPr>
        <w:spacing w:after="0" w:line="240" w:lineRule="auto"/>
        <w:jc w:val="right"/>
        <w:rPr>
          <w:rFonts w:ascii="Verdana" w:eastAsia="Calibri" w:hAnsi="Verdana" w:cs="Arial"/>
          <w:lang w:eastAsia="es-ES"/>
        </w:rPr>
      </w:pPr>
    </w:p>
    <w:p w14:paraId="5390EC2B" w14:textId="77777777" w:rsidR="006D783D" w:rsidRPr="008E4F36" w:rsidRDefault="006D783D" w:rsidP="006D783D">
      <w:pPr>
        <w:spacing w:after="0" w:line="240" w:lineRule="auto"/>
        <w:jc w:val="both"/>
        <w:rPr>
          <w:rFonts w:ascii="Verdana" w:eastAsia="Calibri" w:hAnsi="Verdana" w:cs="Arial"/>
          <w:lang w:eastAsia="es-ES"/>
        </w:rPr>
      </w:pPr>
      <w:r w:rsidRPr="008E4F36">
        <w:rPr>
          <w:rFonts w:ascii="Verdana" w:eastAsia="Calibri" w:hAnsi="Verdana" w:cs="Arial"/>
          <w:lang w:eastAsia="es-ES"/>
        </w:rPr>
        <w:t>Señor</w:t>
      </w:r>
      <w:r>
        <w:rPr>
          <w:rFonts w:ascii="Verdana" w:eastAsia="Calibri" w:hAnsi="Verdana" w:cs="Arial"/>
          <w:lang w:eastAsia="es-ES"/>
        </w:rPr>
        <w:t xml:space="preserve">a </w:t>
      </w:r>
    </w:p>
    <w:p w14:paraId="79C111A6" w14:textId="77777777" w:rsidR="006D783D" w:rsidRDefault="006D783D" w:rsidP="006D783D">
      <w:pPr>
        <w:spacing w:after="0" w:line="240" w:lineRule="auto"/>
        <w:jc w:val="both"/>
        <w:rPr>
          <w:rFonts w:ascii="Verdana" w:eastAsia="Calibri" w:hAnsi="Verdana" w:cs="Arial"/>
          <w:b/>
          <w:lang w:eastAsia="es-ES_tradnl"/>
        </w:rPr>
      </w:pPr>
      <w:r>
        <w:rPr>
          <w:rFonts w:ascii="Verdana" w:eastAsia="Calibri" w:hAnsi="Verdana" w:cs="Arial"/>
          <w:b/>
          <w:lang w:eastAsia="es-ES_tradnl"/>
        </w:rPr>
        <w:t xml:space="preserve">Gloria Nancy Daza Mendoza </w:t>
      </w:r>
    </w:p>
    <w:p w14:paraId="7ECEF9F2" w14:textId="77777777" w:rsidR="006D783D" w:rsidRPr="007E2521" w:rsidRDefault="006D783D" w:rsidP="006D783D">
      <w:pPr>
        <w:spacing w:after="0" w:line="240" w:lineRule="auto"/>
        <w:jc w:val="both"/>
        <w:rPr>
          <w:rFonts w:ascii="Verdana" w:hAnsi="Verdana"/>
          <w:b/>
          <w:bCs/>
        </w:rPr>
      </w:pPr>
      <w:hyperlink r:id="rId12" w:history="1">
        <w:r w:rsidRPr="007E2521">
          <w:rPr>
            <w:rStyle w:val="Hipervnculo"/>
            <w:rFonts w:ascii="Verdana" w:hAnsi="Verdana"/>
          </w:rPr>
          <w:t>FUNDASANJUANBOSCO@GMAIL.COM</w:t>
        </w:r>
      </w:hyperlink>
      <w:r w:rsidRPr="007E2521">
        <w:rPr>
          <w:rFonts w:ascii="Verdana" w:hAnsi="Verdana"/>
        </w:rPr>
        <w:t xml:space="preserve"> </w:t>
      </w:r>
    </w:p>
    <w:p w14:paraId="6557C7CD" w14:textId="77777777" w:rsidR="006D783D" w:rsidRPr="00C81A55" w:rsidRDefault="006D783D" w:rsidP="006D783D">
      <w:pPr>
        <w:spacing w:after="0" w:line="240" w:lineRule="auto"/>
        <w:jc w:val="both"/>
        <w:rPr>
          <w:rFonts w:ascii="Verdana" w:hAnsi="Verdana"/>
        </w:rPr>
      </w:pPr>
      <w:r w:rsidRPr="00C81A55">
        <w:rPr>
          <w:rFonts w:ascii="Verdana" w:hAnsi="Verdana"/>
        </w:rPr>
        <w:t>Arauca</w:t>
      </w:r>
      <w:r>
        <w:rPr>
          <w:rFonts w:ascii="Verdana" w:hAnsi="Verdana"/>
        </w:rPr>
        <w:t>,</w:t>
      </w:r>
      <w:r w:rsidRPr="00C81A55">
        <w:rPr>
          <w:rFonts w:ascii="Verdana" w:hAnsi="Verdana"/>
        </w:rPr>
        <w:t xml:space="preserve"> Arauca </w:t>
      </w:r>
    </w:p>
    <w:p w14:paraId="7398EC4B" w14:textId="77777777" w:rsidR="006D783D" w:rsidRDefault="006D783D" w:rsidP="006D783D">
      <w:pPr>
        <w:spacing w:after="0" w:line="240" w:lineRule="auto"/>
        <w:jc w:val="both"/>
        <w:rPr>
          <w:rFonts w:ascii="Verdana" w:hAnsi="Verdana"/>
          <w:lang w:val="it-CH"/>
        </w:rPr>
      </w:pPr>
    </w:p>
    <w:p w14:paraId="4CADFDDE" w14:textId="77777777" w:rsidR="006D783D" w:rsidRPr="005B4C57" w:rsidRDefault="006D783D" w:rsidP="006D783D">
      <w:pPr>
        <w:spacing w:after="0" w:line="240" w:lineRule="auto"/>
        <w:jc w:val="both"/>
        <w:rPr>
          <w:rFonts w:ascii="Verdana" w:eastAsia="Calibri" w:hAnsi="Verdana" w:cs="Arial"/>
          <w:b/>
          <w:bCs/>
          <w:color w:val="000000"/>
          <w:lang w:val="it-CH"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6D783D" w:rsidRPr="002842E0" w14:paraId="77447DC2" w14:textId="77777777" w:rsidTr="005D4BC5">
        <w:trPr>
          <w:trHeight w:val="162"/>
        </w:trPr>
        <w:tc>
          <w:tcPr>
            <w:tcW w:w="3119" w:type="dxa"/>
          </w:tcPr>
          <w:p w14:paraId="49F11AF8" w14:textId="77777777" w:rsidR="006D783D" w:rsidRPr="005B4C57" w:rsidRDefault="006D783D" w:rsidP="005D4BC5">
            <w:pPr>
              <w:jc w:val="both"/>
              <w:rPr>
                <w:rFonts w:ascii="Verdana" w:eastAsia="Calibri" w:hAnsi="Verdana" w:cs="Arial"/>
                <w:b/>
                <w:bCs/>
                <w:color w:val="7030A0"/>
                <w:lang w:val="it-CH" w:eastAsia="es-ES_tradnl"/>
              </w:rPr>
            </w:pPr>
          </w:p>
        </w:tc>
        <w:tc>
          <w:tcPr>
            <w:tcW w:w="5670" w:type="dxa"/>
          </w:tcPr>
          <w:p w14:paraId="41A47675" w14:textId="77777777" w:rsidR="006D783D" w:rsidRPr="00801462" w:rsidRDefault="006D783D" w:rsidP="005D4BC5">
            <w:pPr>
              <w:jc w:val="both"/>
              <w:rPr>
                <w:rFonts w:ascii="Verdana" w:eastAsia="Calibri" w:hAnsi="Verdana" w:cs="Arial"/>
                <w:b/>
                <w:bCs/>
                <w:lang w:eastAsia="es-ES"/>
              </w:rPr>
            </w:pPr>
            <w:r w:rsidRPr="00801462">
              <w:rPr>
                <w:rFonts w:ascii="Verdana" w:eastAsia="Calibri" w:hAnsi="Verdana" w:cs="Arial"/>
                <w:b/>
                <w:bCs/>
                <w:lang w:eastAsia="es-ES"/>
              </w:rPr>
              <w:t xml:space="preserve">Concepto C- </w:t>
            </w:r>
            <w:r>
              <w:rPr>
                <w:rFonts w:ascii="Verdana" w:eastAsia="Calibri" w:hAnsi="Verdana" w:cs="Arial"/>
                <w:b/>
                <w:bCs/>
                <w:lang w:eastAsia="es-ES"/>
              </w:rPr>
              <w:t>1044</w:t>
            </w:r>
            <w:r w:rsidRPr="00801462">
              <w:rPr>
                <w:rFonts w:ascii="Verdana" w:eastAsia="Calibri" w:hAnsi="Verdana" w:cs="Arial"/>
                <w:b/>
                <w:bCs/>
                <w:lang w:eastAsia="es-ES"/>
              </w:rPr>
              <w:t xml:space="preserve"> de 2025</w:t>
            </w:r>
          </w:p>
          <w:p w14:paraId="5D614297" w14:textId="77777777" w:rsidR="006D783D" w:rsidRPr="00801462" w:rsidRDefault="006D783D" w:rsidP="005D4BC5">
            <w:pPr>
              <w:jc w:val="both"/>
              <w:rPr>
                <w:rFonts w:ascii="Verdana" w:eastAsia="Calibri" w:hAnsi="Verdana" w:cs="Arial"/>
                <w:b/>
                <w:bCs/>
                <w:color w:val="7030A0"/>
                <w:lang w:eastAsia="es-ES"/>
              </w:rPr>
            </w:pPr>
          </w:p>
        </w:tc>
      </w:tr>
      <w:tr w:rsidR="006D783D" w:rsidRPr="002842E0" w14:paraId="39B7678F" w14:textId="77777777" w:rsidTr="005D4BC5">
        <w:trPr>
          <w:trHeight w:val="884"/>
        </w:trPr>
        <w:tc>
          <w:tcPr>
            <w:tcW w:w="3119" w:type="dxa"/>
          </w:tcPr>
          <w:p w14:paraId="199972B1" w14:textId="77777777" w:rsidR="006D783D" w:rsidRPr="00801462" w:rsidRDefault="006D783D" w:rsidP="005D4BC5">
            <w:pPr>
              <w:jc w:val="both"/>
              <w:rPr>
                <w:rFonts w:ascii="Verdana" w:eastAsia="Calibri" w:hAnsi="Verdana" w:cs="Arial"/>
                <w:color w:val="000000"/>
                <w:lang w:eastAsia="es-ES_tradnl"/>
              </w:rPr>
            </w:pPr>
            <w:r w:rsidRPr="00801462">
              <w:rPr>
                <w:rFonts w:ascii="Verdana" w:eastAsia="Calibri" w:hAnsi="Verdana" w:cs="Arial"/>
                <w:b/>
                <w:color w:val="000000"/>
                <w:lang w:eastAsia="es-ES_tradnl"/>
              </w:rPr>
              <w:t>Temas:</w:t>
            </w:r>
            <w:r w:rsidRPr="00801462">
              <w:rPr>
                <w:rFonts w:ascii="Verdana" w:eastAsia="Calibri" w:hAnsi="Verdana" w:cs="Arial"/>
                <w:color w:val="000000"/>
                <w:lang w:eastAsia="es-ES_tradnl"/>
              </w:rPr>
              <w:t xml:space="preserve">                   </w:t>
            </w:r>
          </w:p>
        </w:tc>
        <w:tc>
          <w:tcPr>
            <w:tcW w:w="5670" w:type="dxa"/>
          </w:tcPr>
          <w:p w14:paraId="2ED1A37A" w14:textId="1838544F" w:rsidR="006D783D" w:rsidRPr="00A10C01" w:rsidRDefault="006D783D" w:rsidP="005D4BC5">
            <w:pPr>
              <w:spacing w:line="276" w:lineRule="auto"/>
              <w:jc w:val="both"/>
              <w:rPr>
                <w:rFonts w:ascii="Verdana" w:eastAsia="Calibri" w:hAnsi="Verdana" w:cs="Arial"/>
                <w:b/>
                <w:lang w:eastAsia="es-ES"/>
              </w:rPr>
            </w:pPr>
            <w:r w:rsidRPr="00A10C01">
              <w:rPr>
                <w:rFonts w:ascii="Verdana" w:eastAsia="Calibri" w:hAnsi="Verdana" w:cs="Arial"/>
                <w:lang w:eastAsia="es-ES"/>
              </w:rPr>
              <w:t>ESAL</w:t>
            </w:r>
            <w:r w:rsidR="00291A84">
              <w:rPr>
                <w:rFonts w:ascii="Verdana" w:eastAsia="Calibri" w:hAnsi="Verdana" w:cs="Arial"/>
                <w:lang w:eastAsia="es-ES"/>
              </w:rPr>
              <w:t xml:space="preserve"> </w:t>
            </w:r>
            <w:r w:rsidRPr="00A10C01">
              <w:rPr>
                <w:rFonts w:ascii="Verdana" w:eastAsia="Calibri" w:hAnsi="Verdana" w:cs="Arial"/>
                <w:lang w:eastAsia="es-ES"/>
              </w:rPr>
              <w:t>– MiPymes – Distinción /   ENTIDADES DE ECONOMÍA SOLIDARIA</w:t>
            </w:r>
            <w:r>
              <w:rPr>
                <w:rFonts w:ascii="Verdana" w:eastAsia="Calibri" w:hAnsi="Verdana" w:cs="Arial"/>
                <w:lang w:eastAsia="es-ES"/>
              </w:rPr>
              <w:t xml:space="preserve"> </w:t>
            </w:r>
            <w:r w:rsidRPr="00A10C01">
              <w:rPr>
                <w:rFonts w:ascii="Verdana" w:eastAsia="Calibri" w:hAnsi="Verdana" w:cs="Arial"/>
                <w:lang w:eastAsia="es-ES"/>
              </w:rPr>
              <w:t>–</w:t>
            </w:r>
            <w:r>
              <w:rPr>
                <w:rFonts w:ascii="Verdana" w:eastAsia="Calibri" w:hAnsi="Verdana" w:cs="Arial"/>
                <w:lang w:eastAsia="es-ES"/>
              </w:rPr>
              <w:t xml:space="preserve"> </w:t>
            </w:r>
            <w:r w:rsidRPr="00A10C01">
              <w:rPr>
                <w:rFonts w:ascii="Verdana" w:eastAsia="Calibri" w:hAnsi="Verdana" w:cs="Arial"/>
                <w:lang w:eastAsia="es-ES"/>
              </w:rPr>
              <w:t>Asimilación a Mi</w:t>
            </w:r>
            <w:r>
              <w:rPr>
                <w:rFonts w:ascii="Verdana" w:eastAsia="Calibri" w:hAnsi="Verdana" w:cs="Arial"/>
                <w:lang w:eastAsia="es-ES"/>
              </w:rPr>
              <w:t>P</w:t>
            </w:r>
            <w:r w:rsidRPr="00A10C01">
              <w:rPr>
                <w:rFonts w:ascii="Verdana" w:eastAsia="Calibri" w:hAnsi="Verdana" w:cs="Arial"/>
                <w:lang w:eastAsia="es-ES"/>
              </w:rPr>
              <w:t xml:space="preserve">ymes – Cooperativas – Asociaciones mutualistas – Demás entidades de economía solidaria </w:t>
            </w:r>
            <w:r>
              <w:rPr>
                <w:rFonts w:ascii="Verdana" w:eastAsia="Calibri" w:hAnsi="Verdana" w:cs="Arial"/>
                <w:lang w:eastAsia="es-ES"/>
              </w:rPr>
              <w:t xml:space="preserve">/ </w:t>
            </w:r>
            <w:r w:rsidRPr="00A10C01">
              <w:rPr>
                <w:rFonts w:ascii="Verdana" w:eastAsia="Calibri" w:hAnsi="Verdana" w:cs="Arial"/>
                <w:lang w:eastAsia="es-ES"/>
              </w:rPr>
              <w:t xml:space="preserve">CONVOCATORIAS LIMITADAS A MIPYMES </w:t>
            </w:r>
            <w:r w:rsidR="00291A84" w:rsidRPr="00291A84">
              <w:rPr>
                <w:rFonts w:ascii="Verdana" w:eastAsia="Calibri" w:hAnsi="Verdana" w:cs="Arial"/>
                <w:b/>
                <w:bCs/>
                <w:lang w:val="es-ES" w:eastAsia="es-ES"/>
              </w:rPr>
              <w:t>–</w:t>
            </w:r>
            <w:r>
              <w:rPr>
                <w:rFonts w:ascii="Verdana" w:eastAsia="Calibri" w:hAnsi="Verdana" w:cs="Arial"/>
                <w:lang w:eastAsia="es-ES"/>
              </w:rPr>
              <w:t xml:space="preserve"> </w:t>
            </w:r>
            <w:r w:rsidRPr="00A10C01">
              <w:rPr>
                <w:rFonts w:ascii="Verdana" w:eastAsia="Calibri" w:hAnsi="Verdana" w:cs="Arial"/>
                <w:lang w:eastAsia="es-ES"/>
              </w:rPr>
              <w:t>MiPymes – Entidades Sin Ánimo de Lucro /</w:t>
            </w:r>
            <w:r>
              <w:rPr>
                <w:rFonts w:ascii="Verdana" w:eastAsia="Calibri" w:hAnsi="Verdana" w:cs="Arial"/>
                <w:lang w:eastAsia="es-ES"/>
              </w:rPr>
              <w:t xml:space="preserve"> </w:t>
            </w:r>
            <w:r w:rsidRPr="00A10C01">
              <w:rPr>
                <w:rFonts w:ascii="Verdana" w:eastAsia="Calibri" w:hAnsi="Verdana" w:cs="Arial"/>
                <w:lang w:eastAsia="es-ES"/>
              </w:rPr>
              <w:t xml:space="preserve">ESAL – MiPymes </w:t>
            </w:r>
            <w:r w:rsidR="00291A84" w:rsidRPr="00291A84">
              <w:rPr>
                <w:rFonts w:ascii="Verdana" w:eastAsia="Calibri" w:hAnsi="Verdana" w:cs="Arial"/>
                <w:b/>
                <w:bCs/>
                <w:lang w:val="es-ES" w:eastAsia="es-ES"/>
              </w:rPr>
              <w:t>–</w:t>
            </w:r>
            <w:r w:rsidRPr="00A10C01">
              <w:rPr>
                <w:rFonts w:ascii="Verdana" w:eastAsia="Calibri" w:hAnsi="Verdana" w:cs="Arial"/>
                <w:lang w:eastAsia="es-ES"/>
              </w:rPr>
              <w:t xml:space="preserve"> </w:t>
            </w:r>
            <w:r>
              <w:rPr>
                <w:rFonts w:ascii="Verdana" w:eastAsia="Calibri" w:hAnsi="Verdana" w:cs="Arial"/>
                <w:lang w:eastAsia="es-ES"/>
              </w:rPr>
              <w:t xml:space="preserve">Cooperativas </w:t>
            </w:r>
          </w:p>
          <w:p w14:paraId="3B795B7C" w14:textId="77777777" w:rsidR="006D783D" w:rsidRPr="00A10C01" w:rsidRDefault="006D783D" w:rsidP="005D4BC5">
            <w:pPr>
              <w:jc w:val="both"/>
              <w:rPr>
                <w:rFonts w:ascii="Verdana" w:eastAsia="Calibri" w:hAnsi="Verdana" w:cs="Arial"/>
                <w:lang w:eastAsia="es-ES"/>
              </w:rPr>
            </w:pPr>
          </w:p>
        </w:tc>
      </w:tr>
      <w:tr w:rsidR="006D783D" w:rsidRPr="002842E0" w14:paraId="605FAC9C" w14:textId="77777777" w:rsidTr="005D4BC5">
        <w:tc>
          <w:tcPr>
            <w:tcW w:w="3119" w:type="dxa"/>
          </w:tcPr>
          <w:p w14:paraId="4C0CA5AD" w14:textId="77777777" w:rsidR="006D783D" w:rsidRPr="00801462" w:rsidRDefault="006D783D" w:rsidP="005D4BC5">
            <w:pPr>
              <w:jc w:val="both"/>
              <w:rPr>
                <w:rFonts w:ascii="Verdana" w:eastAsia="Calibri" w:hAnsi="Verdana" w:cs="Arial"/>
                <w:b/>
                <w:lang w:eastAsia="es-ES_tradnl"/>
              </w:rPr>
            </w:pPr>
            <w:r w:rsidRPr="00801462">
              <w:rPr>
                <w:rFonts w:ascii="Verdana" w:eastAsia="Calibri" w:hAnsi="Verdana" w:cs="Arial"/>
                <w:b/>
                <w:lang w:eastAsia="es-ES_tradnl"/>
              </w:rPr>
              <w:t>Radicación:</w:t>
            </w:r>
            <w:r w:rsidRPr="00801462">
              <w:rPr>
                <w:rFonts w:ascii="Verdana" w:eastAsia="Calibri" w:hAnsi="Verdana" w:cs="Arial"/>
                <w:lang w:eastAsia="es-ES_tradnl"/>
              </w:rPr>
              <w:t xml:space="preserve">               </w:t>
            </w:r>
          </w:p>
        </w:tc>
        <w:tc>
          <w:tcPr>
            <w:tcW w:w="5670" w:type="dxa"/>
          </w:tcPr>
          <w:p w14:paraId="1C3CB7B0" w14:textId="77777777" w:rsidR="006D783D" w:rsidRPr="00801462" w:rsidRDefault="006D783D" w:rsidP="005D4BC5">
            <w:pPr>
              <w:jc w:val="both"/>
              <w:rPr>
                <w:rFonts w:ascii="Verdana" w:eastAsia="Calibri" w:hAnsi="Verdana" w:cs="Arial"/>
                <w:lang w:eastAsia="es-ES_tradnl"/>
              </w:rPr>
            </w:pPr>
            <w:r w:rsidRPr="00801462">
              <w:rPr>
                <w:rFonts w:ascii="Verdana" w:eastAsia="Calibri" w:hAnsi="Verdana" w:cs="Arial"/>
                <w:lang w:eastAsia="es-ES_tradnl"/>
              </w:rPr>
              <w:t xml:space="preserve">Respuesta a consulta con radicado </w:t>
            </w:r>
            <w:r>
              <w:rPr>
                <w:rFonts w:ascii="Verdana" w:eastAsia="Calibri" w:hAnsi="Verdana" w:cs="Arial"/>
                <w:lang w:eastAsia="es-ES_tradnl"/>
              </w:rPr>
              <w:t xml:space="preserve">No. </w:t>
            </w:r>
            <w:r w:rsidRPr="00D92DEE">
              <w:rPr>
                <w:rFonts w:ascii="Verdana" w:eastAsia="Calibri" w:hAnsi="Verdana" w:cs="Arial"/>
                <w:lang w:eastAsia="es-ES_tradnl"/>
              </w:rPr>
              <w:t>1_2025_07_29_007791</w:t>
            </w:r>
          </w:p>
        </w:tc>
      </w:tr>
    </w:tbl>
    <w:p w14:paraId="516DB610" w14:textId="77777777" w:rsidR="006D783D" w:rsidRDefault="006D783D" w:rsidP="006D783D">
      <w:pPr>
        <w:spacing w:after="0" w:line="276" w:lineRule="auto"/>
        <w:jc w:val="both"/>
        <w:rPr>
          <w:rFonts w:ascii="Verdana" w:eastAsia="Calibri" w:hAnsi="Verdana" w:cs="Arial"/>
          <w:lang w:eastAsia="es-ES_tradnl"/>
        </w:rPr>
      </w:pPr>
    </w:p>
    <w:p w14:paraId="78EE5209" w14:textId="77777777" w:rsidR="006D783D" w:rsidRPr="008E4F36" w:rsidRDefault="006D783D" w:rsidP="006D783D">
      <w:pPr>
        <w:spacing w:after="0" w:line="276" w:lineRule="auto"/>
        <w:jc w:val="both"/>
        <w:rPr>
          <w:rFonts w:ascii="Verdana" w:eastAsia="Calibri" w:hAnsi="Verdana" w:cs="Arial"/>
          <w:lang w:eastAsia="es-ES"/>
        </w:rPr>
      </w:pPr>
      <w:r w:rsidRPr="008E4F36">
        <w:rPr>
          <w:rFonts w:ascii="Verdana" w:eastAsia="Calibri" w:hAnsi="Verdana" w:cs="Arial"/>
          <w:lang w:eastAsia="es-ES"/>
        </w:rPr>
        <w:t>Estimad</w:t>
      </w:r>
      <w:r>
        <w:rPr>
          <w:rFonts w:ascii="Verdana" w:eastAsia="Calibri" w:hAnsi="Verdana" w:cs="Arial"/>
          <w:lang w:eastAsia="es-ES"/>
        </w:rPr>
        <w:t xml:space="preserve">a </w:t>
      </w:r>
      <w:r w:rsidRPr="008E4F36">
        <w:rPr>
          <w:rFonts w:ascii="Verdana" w:eastAsia="Calibri" w:hAnsi="Verdana" w:cs="Arial"/>
          <w:lang w:eastAsia="es-ES"/>
        </w:rPr>
        <w:t>señor</w:t>
      </w:r>
      <w:r>
        <w:rPr>
          <w:rFonts w:ascii="Verdana" w:eastAsia="Calibri" w:hAnsi="Verdana" w:cs="Arial"/>
          <w:lang w:eastAsia="es-ES"/>
        </w:rPr>
        <w:t>a Daza Mendoza</w:t>
      </w:r>
      <w:r w:rsidRPr="008E4F36">
        <w:rPr>
          <w:rFonts w:ascii="Verdana" w:eastAsia="Calibri" w:hAnsi="Verdana" w:cs="Arial"/>
          <w:lang w:eastAsia="es-ES"/>
        </w:rPr>
        <w:t xml:space="preserve">: </w:t>
      </w:r>
    </w:p>
    <w:p w14:paraId="69CE1562" w14:textId="77777777" w:rsidR="006D783D" w:rsidRDefault="006D783D" w:rsidP="006D783D">
      <w:pPr>
        <w:tabs>
          <w:tab w:val="left" w:pos="3768"/>
        </w:tabs>
        <w:spacing w:after="0" w:line="240" w:lineRule="auto"/>
        <w:jc w:val="both"/>
        <w:rPr>
          <w:rFonts w:ascii="Verdana" w:eastAsia="Calibri" w:hAnsi="Verdana" w:cs="Arial"/>
          <w:lang w:eastAsia="es-ES"/>
        </w:rPr>
      </w:pPr>
    </w:p>
    <w:p w14:paraId="22174305" w14:textId="77777777" w:rsidR="006D783D" w:rsidRPr="008E4F36" w:rsidRDefault="006D783D" w:rsidP="006D783D">
      <w:pPr>
        <w:tabs>
          <w:tab w:val="left" w:pos="3768"/>
        </w:tabs>
        <w:spacing w:after="0" w:line="276" w:lineRule="auto"/>
        <w:jc w:val="both"/>
        <w:rPr>
          <w:rFonts w:ascii="Verdana" w:eastAsia="Calibri" w:hAnsi="Verdana" w:cs="Arial"/>
          <w:lang w:eastAsia="es-ES"/>
        </w:rPr>
      </w:pPr>
      <w:r w:rsidRPr="008E4F36">
        <w:rPr>
          <w:rFonts w:ascii="Verdana" w:eastAsia="Calibri" w:hAnsi="Verdana" w:cs="Arial"/>
          <w:color w:val="000000" w:themeColor="text1"/>
          <w:lang w:eastAsia="es-ES"/>
        </w:rPr>
        <w:t>En ejercicio de la competencia otorgada por los artículos 3, numeral 5º, y 11, numeral 8º, del Decreto Ley 4170 de 2011,</w:t>
      </w:r>
      <w:r w:rsidRPr="008E4F36">
        <w:rPr>
          <w:rFonts w:ascii="Verdana" w:eastAsia="Arial MT" w:hAnsi="Verdana" w:cs="Arial MT"/>
          <w:lang w:eastAsia="es-ES"/>
        </w:rPr>
        <w:t xml:space="preserve"> </w:t>
      </w:r>
      <w:r w:rsidRPr="008E4F36">
        <w:rPr>
          <w:rFonts w:ascii="Verdana" w:hAnsi="Verdana" w:cs="Arial"/>
        </w:rPr>
        <w:t xml:space="preserve">así como lo establecido en </w:t>
      </w:r>
      <w:r>
        <w:rPr>
          <w:rFonts w:ascii="Verdana" w:hAnsi="Verdana" w:cs="Arial"/>
        </w:rPr>
        <w:t xml:space="preserve">la </w:t>
      </w:r>
      <w:r w:rsidRPr="00713B63">
        <w:rPr>
          <w:rFonts w:ascii="Verdana" w:hAnsi="Verdana" w:cs="Arial"/>
        </w:rPr>
        <w:t>Resolución 469 de 2025 expedida por esta Entidad</w:t>
      </w:r>
      <w:r w:rsidRPr="008E4F36">
        <w:rPr>
          <w:rFonts w:ascii="Verdana" w:hAnsi="Verdana" w:cs="Arial"/>
        </w:rPr>
        <w:t xml:space="preserve">, </w:t>
      </w:r>
      <w:r w:rsidRPr="008E4F36">
        <w:rPr>
          <w:rFonts w:ascii="Verdana" w:eastAsia="Calibri" w:hAnsi="Verdana" w:cs="Arial"/>
          <w:color w:val="000000" w:themeColor="text1"/>
          <w:lang w:eastAsia="es-ES"/>
        </w:rPr>
        <w:t xml:space="preserve">la Agencia Nacional de Contratación </w:t>
      </w:r>
      <w:r w:rsidRPr="008E4F36">
        <w:rPr>
          <w:rFonts w:ascii="Verdana" w:eastAsia="Calibri" w:hAnsi="Verdana" w:cs="Arial"/>
          <w:lang w:eastAsia="es-ES"/>
        </w:rPr>
        <w:t xml:space="preserve">Pública – Colombia Compra Eficiente– responde su solicitud de consulta de fecha </w:t>
      </w:r>
      <w:r>
        <w:rPr>
          <w:rFonts w:ascii="Verdana" w:eastAsia="Calibri" w:hAnsi="Verdana" w:cs="Arial"/>
          <w:lang w:eastAsia="es-ES"/>
        </w:rPr>
        <w:t xml:space="preserve">29 </w:t>
      </w:r>
      <w:r w:rsidRPr="008E4F36">
        <w:rPr>
          <w:rFonts w:ascii="Verdana" w:eastAsia="Calibri" w:hAnsi="Verdana" w:cs="Arial"/>
          <w:lang w:eastAsia="es-ES"/>
        </w:rPr>
        <w:t>de ju</w:t>
      </w:r>
      <w:r>
        <w:rPr>
          <w:rFonts w:ascii="Verdana" w:eastAsia="Calibri" w:hAnsi="Verdana" w:cs="Arial"/>
          <w:lang w:eastAsia="es-ES"/>
        </w:rPr>
        <w:t>l</w:t>
      </w:r>
      <w:r w:rsidRPr="008E4F36">
        <w:rPr>
          <w:rFonts w:ascii="Verdana" w:eastAsia="Calibri" w:hAnsi="Verdana" w:cs="Arial"/>
          <w:lang w:eastAsia="es-ES"/>
        </w:rPr>
        <w:t xml:space="preserve">io de 2025, en la cual manifiesta lo siguiente: </w:t>
      </w:r>
    </w:p>
    <w:p w14:paraId="7172D84D" w14:textId="77777777" w:rsidR="006D783D" w:rsidRPr="008E4F36" w:rsidRDefault="006D783D" w:rsidP="006D783D">
      <w:pPr>
        <w:pStyle w:val="Prrafodelista"/>
        <w:tabs>
          <w:tab w:val="left" w:pos="142"/>
          <w:tab w:val="left" w:pos="284"/>
        </w:tabs>
        <w:spacing w:after="0" w:line="276" w:lineRule="auto"/>
        <w:ind w:left="142"/>
        <w:contextualSpacing w:val="0"/>
        <w:jc w:val="both"/>
        <w:rPr>
          <w:rFonts w:ascii="Verdana" w:eastAsia="Century Gothic" w:hAnsi="Verdana" w:cs="Century Gothic"/>
          <w:b/>
          <w:bCs/>
          <w:i/>
          <w:iCs/>
          <w:sz w:val="20"/>
          <w:szCs w:val="20"/>
        </w:rPr>
      </w:pPr>
    </w:p>
    <w:p w14:paraId="5DE0F8BC" w14:textId="77777777" w:rsidR="006D783D" w:rsidRPr="00617A31" w:rsidRDefault="006D783D" w:rsidP="006D783D">
      <w:pPr>
        <w:spacing w:after="0" w:line="240" w:lineRule="auto"/>
        <w:ind w:left="709" w:right="709"/>
        <w:jc w:val="both"/>
        <w:rPr>
          <w:rFonts w:ascii="Verdana" w:eastAsia="Century Gothic" w:hAnsi="Verdana" w:cs="Century Gothic"/>
          <w:sz w:val="20"/>
          <w:szCs w:val="20"/>
        </w:rPr>
      </w:pPr>
      <w:bookmarkStart w:id="6" w:name="_Hlk192699624"/>
      <w:bookmarkStart w:id="7" w:name="_Hlk199394899"/>
      <w:r>
        <w:rPr>
          <w:rFonts w:ascii="Verdana" w:eastAsia="Century Gothic" w:hAnsi="Verdana" w:cs="Century Gothic"/>
          <w:sz w:val="20"/>
          <w:szCs w:val="20"/>
        </w:rPr>
        <w:t>“</w:t>
      </w:r>
      <w:bookmarkEnd w:id="6"/>
      <w:bookmarkEnd w:id="7"/>
      <w:r w:rsidRPr="00ED1193">
        <w:rPr>
          <w:rFonts w:ascii="Verdana" w:eastAsia="Century Gothic" w:hAnsi="Verdana" w:cs="Century Gothic"/>
          <w:sz w:val="20"/>
          <w:szCs w:val="20"/>
        </w:rPr>
        <w:t>Una fundación sin ánimo de lucro - ESAL, clasificada como pequeña empresa y perteneciente al Grupo II de las NIIF, con cámara de comercio y RUP ¿puede participar en procesos de contratación estatal de mínimas cuantías limitados a MIPYMES? ¿Existe alguna excepción normativa que le permita participar en este tipo de procesos? o cómo podrían vincularse a dichos procesos y qué normas, decretos, leyes lo sustentan</w:t>
      </w:r>
      <w:r>
        <w:rPr>
          <w:rFonts w:ascii="Verdana" w:eastAsia="Century Gothic" w:hAnsi="Verdana" w:cs="Century Gothic"/>
          <w:sz w:val="20"/>
          <w:szCs w:val="20"/>
        </w:rPr>
        <w:t>”.</w:t>
      </w:r>
    </w:p>
    <w:p w14:paraId="1AB31A64" w14:textId="77777777" w:rsidR="006D783D" w:rsidRPr="008E4F36" w:rsidRDefault="006D783D" w:rsidP="006D783D">
      <w:pPr>
        <w:spacing w:after="0" w:line="240" w:lineRule="auto"/>
        <w:ind w:left="709" w:right="709"/>
        <w:jc w:val="both"/>
        <w:rPr>
          <w:rFonts w:ascii="Verdana" w:hAnsi="Verdana"/>
          <w:sz w:val="20"/>
          <w:szCs w:val="20"/>
        </w:rPr>
      </w:pPr>
    </w:p>
    <w:p w14:paraId="64083CDA" w14:textId="77777777" w:rsidR="006D783D" w:rsidRDefault="006D783D" w:rsidP="006D783D">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w:t>
      </w:r>
      <w:r w:rsidRPr="008E4F36">
        <w:rPr>
          <w:rFonts w:ascii="Verdana" w:eastAsia="Calibri" w:hAnsi="Verdana" w:cs="Arial"/>
          <w:color w:val="000000"/>
          <w:lang w:eastAsia="es-ES"/>
        </w:rPr>
        <w:lastRenderedPageBreak/>
        <w:t xml:space="preserve">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2B135ED3" w14:textId="77777777" w:rsidR="006D783D" w:rsidRPr="00054383" w:rsidRDefault="006D783D" w:rsidP="006D783D">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w:t>
      </w:r>
      <w:r w:rsidRPr="002975A0">
        <w:rPr>
          <w:rFonts w:ascii="Verdana" w:eastAsia="Calibri" w:hAnsi="Verdana" w:cs="Arial"/>
          <w:color w:val="000000"/>
          <w:lang w:eastAsia="es-ES"/>
        </w:rPr>
        <w:t xml:space="preserve">con </w:t>
      </w:r>
      <w:r>
        <w:rPr>
          <w:rFonts w:ascii="Verdana" w:eastAsia="Calibri" w:hAnsi="Verdana" w:cs="Arial"/>
          <w:color w:val="000000"/>
          <w:lang w:eastAsia="es-ES"/>
        </w:rPr>
        <w:t xml:space="preserve">el </w:t>
      </w:r>
      <w:r w:rsidRPr="002975A0">
        <w:rPr>
          <w:rFonts w:ascii="Verdana" w:eastAsia="Calibri" w:hAnsi="Verdana" w:cs="Arial"/>
          <w:color w:val="000000"/>
          <w:lang w:eastAsia="es-ES"/>
        </w:rPr>
        <w:t>problema jurídico de su consulta.</w:t>
      </w:r>
      <w:r w:rsidRPr="008E4F36">
        <w:rPr>
          <w:rFonts w:ascii="Verdana" w:eastAsia="Calibri" w:hAnsi="Verdana" w:cs="Arial"/>
          <w:color w:val="000000"/>
          <w:lang w:eastAsia="es-ES"/>
        </w:rPr>
        <w:t xml:space="preserve">  </w:t>
      </w:r>
    </w:p>
    <w:p w14:paraId="21298026" w14:textId="77777777" w:rsidR="006D783D" w:rsidRPr="008E4F36" w:rsidRDefault="006D783D" w:rsidP="006D783D">
      <w:pPr>
        <w:spacing w:after="0"/>
        <w:ind w:firstLine="709"/>
        <w:jc w:val="both"/>
        <w:rPr>
          <w:rFonts w:ascii="Verdana" w:eastAsia="Calibri" w:hAnsi="Verdana" w:cs="Arial"/>
          <w:color w:val="000000"/>
          <w:lang w:eastAsia="es-ES"/>
        </w:rPr>
      </w:pPr>
    </w:p>
    <w:p w14:paraId="5025EDD2" w14:textId="77777777" w:rsidR="006D783D" w:rsidRDefault="006D783D" w:rsidP="006D783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E4F36">
        <w:rPr>
          <w:rFonts w:ascii="Verdana" w:eastAsia="Century Gothic" w:hAnsi="Verdana" w:cs="Century Gothic"/>
          <w:b/>
          <w:bCs/>
        </w:rPr>
        <w:t>Problema planteado:</w:t>
      </w:r>
    </w:p>
    <w:p w14:paraId="5A217E15" w14:textId="77777777" w:rsidR="006D783D" w:rsidRDefault="006D783D" w:rsidP="006D783D">
      <w:pPr>
        <w:spacing w:after="0" w:line="276" w:lineRule="auto"/>
        <w:jc w:val="both"/>
        <w:rPr>
          <w:rFonts w:ascii="Verdana" w:eastAsia="Calibri" w:hAnsi="Verdana" w:cs="Arial"/>
          <w:color w:val="000000"/>
          <w:highlight w:val="yellow"/>
          <w:lang w:eastAsia="es-ES"/>
        </w:rPr>
      </w:pPr>
    </w:p>
    <w:p w14:paraId="51EEE1F1" w14:textId="77777777" w:rsidR="006D783D" w:rsidRPr="00EA5150" w:rsidRDefault="006D783D" w:rsidP="006D783D">
      <w:pPr>
        <w:spacing w:after="0" w:line="276" w:lineRule="auto"/>
        <w:jc w:val="both"/>
        <w:rPr>
          <w:rFonts w:ascii="Verdana" w:eastAsia="Century Gothic" w:hAnsi="Verdana" w:cs="Century Gothic"/>
        </w:rPr>
      </w:pPr>
      <w:r w:rsidRPr="00EA5150">
        <w:rPr>
          <w:rFonts w:ascii="Verdana" w:eastAsia="Calibri" w:hAnsi="Verdana" w:cs="Arial"/>
          <w:color w:val="000000"/>
          <w:lang w:eastAsia="es-ES"/>
        </w:rPr>
        <w:t>De acuerdo con el contenido de su solicitud, esta Agencia resolverá el siguiente problema jurídico</w:t>
      </w:r>
      <w:r w:rsidRPr="00E61997">
        <w:rPr>
          <w:rFonts w:ascii="Verdana" w:eastAsia="Calibri" w:hAnsi="Verdana" w:cs="Arial"/>
          <w:color w:val="000000"/>
          <w:lang w:eastAsia="es-ES"/>
        </w:rPr>
        <w:t xml:space="preserve">: </w:t>
      </w:r>
      <w:r w:rsidRPr="00E61997">
        <w:rPr>
          <w:rFonts w:ascii="Verdana" w:eastAsia="Century Gothic" w:hAnsi="Verdana" w:cs="Century Gothic"/>
        </w:rPr>
        <w:t>¿Las entidades sin ánimo de lucro puede</w:t>
      </w:r>
      <w:r>
        <w:rPr>
          <w:rFonts w:ascii="Verdana" w:eastAsia="Century Gothic" w:hAnsi="Verdana" w:cs="Century Gothic"/>
        </w:rPr>
        <w:t>n</w:t>
      </w:r>
      <w:r w:rsidRPr="00E61997">
        <w:rPr>
          <w:rFonts w:ascii="Verdana" w:eastAsia="Century Gothic" w:hAnsi="Verdana" w:cs="Century Gothic"/>
        </w:rPr>
        <w:t xml:space="preserve"> participar en </w:t>
      </w:r>
      <w:r>
        <w:rPr>
          <w:rFonts w:ascii="Verdana" w:eastAsia="Century Gothic" w:hAnsi="Verdana" w:cs="Century Gothic"/>
        </w:rPr>
        <w:t xml:space="preserve">un </w:t>
      </w:r>
      <w:r w:rsidRPr="00E61997">
        <w:rPr>
          <w:rFonts w:ascii="Verdana" w:eastAsia="Century Gothic" w:hAnsi="Verdana" w:cs="Century Gothic"/>
        </w:rPr>
        <w:t>proceso de mínima</w:t>
      </w:r>
      <w:r>
        <w:rPr>
          <w:rFonts w:ascii="Verdana" w:eastAsia="Century Gothic" w:hAnsi="Verdana" w:cs="Century Gothic"/>
        </w:rPr>
        <w:t xml:space="preserve"> </w:t>
      </w:r>
      <w:r w:rsidRPr="00E61997">
        <w:rPr>
          <w:rFonts w:ascii="Verdana" w:eastAsia="Century Gothic" w:hAnsi="Verdana" w:cs="Century Gothic"/>
        </w:rPr>
        <w:t xml:space="preserve">cuantía limitado </w:t>
      </w:r>
      <w:r w:rsidRPr="00EA5150">
        <w:rPr>
          <w:rFonts w:ascii="Verdana" w:eastAsia="Century Gothic" w:hAnsi="Verdana" w:cs="Century Gothic"/>
        </w:rPr>
        <w:t xml:space="preserve">a </w:t>
      </w:r>
      <w:proofErr w:type="spellStart"/>
      <w:r w:rsidRPr="00EA5150">
        <w:rPr>
          <w:rFonts w:ascii="Verdana" w:eastAsia="Century Gothic" w:hAnsi="Verdana" w:cs="Century Gothic"/>
        </w:rPr>
        <w:t>Mipymes</w:t>
      </w:r>
      <w:proofErr w:type="spellEnd"/>
      <w:r w:rsidRPr="00EA5150">
        <w:rPr>
          <w:rFonts w:ascii="Verdana" w:eastAsia="Century Gothic" w:hAnsi="Verdana" w:cs="Century Gothic"/>
        </w:rPr>
        <w:t>?</w:t>
      </w:r>
      <w:r w:rsidRPr="00810A46">
        <w:rPr>
          <w:rFonts w:ascii="Verdana" w:eastAsia="Century Gothic" w:hAnsi="Verdana" w:cs="Century Gothic"/>
        </w:rPr>
        <w:t xml:space="preserve"> </w:t>
      </w:r>
    </w:p>
    <w:p w14:paraId="545EAD1F" w14:textId="77777777" w:rsidR="006D783D" w:rsidRPr="00EA5150" w:rsidRDefault="006D783D" w:rsidP="006D783D">
      <w:pPr>
        <w:spacing w:after="0" w:line="276" w:lineRule="auto"/>
        <w:jc w:val="both"/>
        <w:rPr>
          <w:rFonts w:ascii="Verdana" w:eastAsia="Calibri" w:hAnsi="Verdana" w:cs="Times New Roman"/>
          <w:i/>
          <w:iCs/>
        </w:rPr>
      </w:pPr>
    </w:p>
    <w:p w14:paraId="4F245E8B" w14:textId="77777777" w:rsidR="006D783D" w:rsidRPr="008E4F36" w:rsidRDefault="006D783D" w:rsidP="006D783D">
      <w:pPr>
        <w:spacing w:after="0" w:line="276" w:lineRule="auto"/>
        <w:jc w:val="both"/>
        <w:rPr>
          <w:rFonts w:ascii="Verdana" w:eastAsia="Century Gothic" w:hAnsi="Verdana" w:cs="Century Gothic"/>
          <w:b/>
          <w:bCs/>
        </w:rPr>
      </w:pPr>
      <w:r w:rsidRPr="008E4F36">
        <w:rPr>
          <w:rFonts w:ascii="Verdana" w:eastAsia="Century Gothic" w:hAnsi="Verdana" w:cs="Century Gothic"/>
          <w:b/>
          <w:bCs/>
        </w:rPr>
        <w:t>2. Respuesta:</w:t>
      </w:r>
    </w:p>
    <w:p w14:paraId="414BE3FF" w14:textId="77777777" w:rsidR="006D783D" w:rsidRPr="008E4F36" w:rsidRDefault="006D783D" w:rsidP="006D783D">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6D783D" w:rsidRPr="008E4F36" w14:paraId="446F5011" w14:textId="77777777" w:rsidTr="005D4BC5">
        <w:tc>
          <w:tcPr>
            <w:tcW w:w="8828" w:type="dxa"/>
          </w:tcPr>
          <w:p w14:paraId="17767DE3" w14:textId="77777777" w:rsidR="006D783D" w:rsidRDefault="006D783D" w:rsidP="005D4BC5">
            <w:pPr>
              <w:spacing w:after="120" w:line="276" w:lineRule="auto"/>
              <w:ind w:firstLine="743"/>
              <w:jc w:val="both"/>
              <w:rPr>
                <w:rFonts w:ascii="Verdana" w:hAnsi="Verdana" w:cs="Arial"/>
                <w:lang w:val="es-ES"/>
              </w:rPr>
            </w:pPr>
            <w:r w:rsidRPr="3A5322BA">
              <w:rPr>
                <w:rFonts w:ascii="Verdana" w:hAnsi="Verdana" w:cs="Arial"/>
                <w:color w:val="000000" w:themeColor="text1"/>
                <w:lang w:val="es-ES"/>
              </w:rPr>
              <w:t xml:space="preserve"> </w:t>
            </w:r>
            <w:r w:rsidRPr="00995CAD">
              <w:rPr>
                <w:rFonts w:ascii="Verdana" w:hAnsi="Verdana"/>
              </w:rPr>
              <w:t>De acuerdo con el artículo 43 de la Ley 1450 de 2011</w:t>
            </w:r>
            <w:r>
              <w:rPr>
                <w:rFonts w:ascii="Verdana" w:hAnsi="Verdana"/>
              </w:rPr>
              <w:t xml:space="preserve"> </w:t>
            </w:r>
            <w:r w:rsidRPr="00995CAD">
              <w:rPr>
                <w:rFonts w:ascii="Verdana" w:hAnsi="Verdana"/>
              </w:rPr>
              <w:t xml:space="preserve">solo podrán ser consideradas </w:t>
            </w:r>
            <w:proofErr w:type="spellStart"/>
            <w:r w:rsidRPr="00995CAD">
              <w:rPr>
                <w:rFonts w:ascii="Verdana" w:hAnsi="Verdana"/>
              </w:rPr>
              <w:t>Mipymes</w:t>
            </w:r>
            <w:proofErr w:type="spellEnd"/>
            <w:r w:rsidRPr="00995CAD">
              <w:rPr>
                <w:rFonts w:ascii="Verdana" w:hAnsi="Verdana"/>
              </w:rPr>
              <w:t xml:space="preserve"> aquellas unidades de explotación económica</w:t>
            </w:r>
            <w:r>
              <w:rPr>
                <w:rFonts w:ascii="Verdana" w:hAnsi="Verdana"/>
              </w:rPr>
              <w:t xml:space="preserve"> que</w:t>
            </w:r>
            <w:r w:rsidRPr="00995CAD">
              <w:rPr>
                <w:rFonts w:ascii="Verdana" w:hAnsi="Verdana"/>
              </w:rPr>
              <w:t xml:space="preserve"> busquen el reparto de utilidades entre sus miembros</w:t>
            </w:r>
            <w:r>
              <w:rPr>
                <w:rFonts w:ascii="Verdana" w:hAnsi="Verdana"/>
              </w:rPr>
              <w:t xml:space="preserve">. Dado que las </w:t>
            </w:r>
            <w:r w:rsidRPr="0040650F">
              <w:rPr>
                <w:rFonts w:ascii="Verdana" w:hAnsi="Verdana" w:cs="Arial"/>
                <w:lang w:val="es-ES"/>
              </w:rPr>
              <w:t>ESAL no persiguen</w:t>
            </w:r>
            <w:r>
              <w:rPr>
                <w:rFonts w:ascii="Verdana" w:hAnsi="Verdana" w:cs="Arial"/>
                <w:lang w:val="es-ES"/>
              </w:rPr>
              <w:t xml:space="preserve"> este fin</w:t>
            </w:r>
            <w:r w:rsidRPr="0040650F">
              <w:rPr>
                <w:rFonts w:ascii="Verdana" w:hAnsi="Verdana" w:cs="Arial"/>
                <w:lang w:val="es-ES"/>
              </w:rPr>
              <w:t xml:space="preserve">, en el entendido en que no tienen ánimo de lucro, y que su objeto está destinado a realizar actividades de interés general sin esperar a cambio un reparto de ganancia en proporción a sus utilidades, lo cierto es que no pueden </w:t>
            </w:r>
            <w:r w:rsidRPr="00967EED">
              <w:rPr>
                <w:rFonts w:ascii="Verdana" w:hAnsi="Verdana" w:cs="Arial"/>
              </w:rPr>
              <w:t>participar en los procesos de contratación limitado</w:t>
            </w:r>
            <w:r>
              <w:rPr>
                <w:rFonts w:ascii="Verdana" w:hAnsi="Verdana" w:cs="Arial"/>
              </w:rPr>
              <w:t>s</w:t>
            </w:r>
            <w:r w:rsidRPr="00967EED">
              <w:rPr>
                <w:rFonts w:ascii="Verdana" w:hAnsi="Verdana" w:cs="Arial"/>
              </w:rPr>
              <w:t xml:space="preserve"> a </w:t>
            </w:r>
            <w:r>
              <w:rPr>
                <w:rFonts w:ascii="Verdana" w:hAnsi="Verdana" w:cs="Arial"/>
              </w:rPr>
              <w:t>M</w:t>
            </w:r>
            <w:r w:rsidRPr="00967EED">
              <w:rPr>
                <w:rFonts w:ascii="Verdana" w:hAnsi="Verdana" w:cs="Arial"/>
              </w:rPr>
              <w:t>iPymes</w:t>
            </w:r>
            <w:r>
              <w:rPr>
                <w:rFonts w:ascii="Verdana" w:hAnsi="Verdana" w:cs="Arial"/>
              </w:rPr>
              <w:t>, de que trata el artículo 34 de la Ley 2069 de 2020</w:t>
            </w:r>
            <w:r>
              <w:rPr>
                <w:rFonts w:ascii="Verdana" w:hAnsi="Verdana" w:cs="Arial"/>
                <w:lang w:val="es-ES"/>
              </w:rPr>
              <w:t>.</w:t>
            </w:r>
            <w:r w:rsidRPr="0097051B">
              <w:rPr>
                <w:rFonts w:ascii="Verdana" w:hAnsi="Verdana" w:cs="Arial"/>
                <w:lang w:val="es-ES"/>
              </w:rPr>
              <w:t xml:space="preserve"> </w:t>
            </w:r>
          </w:p>
          <w:p w14:paraId="37C8358C" w14:textId="77777777" w:rsidR="006D783D" w:rsidRPr="0026565A" w:rsidRDefault="006D783D" w:rsidP="005D4BC5">
            <w:pPr>
              <w:spacing w:after="120" w:line="276" w:lineRule="auto"/>
              <w:ind w:firstLine="744"/>
              <w:jc w:val="both"/>
              <w:rPr>
                <w:rFonts w:ascii="Verdana" w:hAnsi="Verdana" w:cs="Arial"/>
                <w:lang w:val="es-ES"/>
              </w:rPr>
            </w:pPr>
            <w:r w:rsidRPr="0040650F">
              <w:rPr>
                <w:rFonts w:ascii="Verdana" w:hAnsi="Verdana" w:cs="Arial"/>
                <w:lang w:val="es-ES"/>
              </w:rPr>
              <w:t>Esto no significa que las ESAL no</w:t>
            </w:r>
            <w:r>
              <w:rPr>
                <w:rFonts w:ascii="Verdana" w:hAnsi="Verdana" w:cs="Arial"/>
                <w:lang w:val="es-ES"/>
              </w:rPr>
              <w:t xml:space="preserve"> sean personas jurídicas o no tengan capacidad de contratar con las entidades estatales. Por el contrato, </w:t>
            </w:r>
            <w:r w:rsidRPr="00362CA6">
              <w:rPr>
                <w:rFonts w:ascii="Verdana" w:hAnsi="Verdana" w:cs="Arial"/>
                <w:lang w:val="es-ES"/>
              </w:rPr>
              <w:t>el Decreto 092 de 2017 reguló su régimen especial de contratación</w:t>
            </w:r>
            <w:r>
              <w:rPr>
                <w:rFonts w:ascii="Verdana" w:hAnsi="Verdana" w:cs="Arial"/>
                <w:lang w:val="es-ES"/>
              </w:rPr>
              <w:t xml:space="preserve"> y nada impide que</w:t>
            </w:r>
            <w:r w:rsidRPr="0040650F">
              <w:rPr>
                <w:rFonts w:ascii="Verdana" w:hAnsi="Verdana" w:cs="Arial"/>
                <w:lang w:val="es-ES"/>
              </w:rPr>
              <w:t xml:space="preserve"> puedan participar en términos de igualdad con los demás oferentes, en los </w:t>
            </w:r>
            <w:r w:rsidRPr="0040650F">
              <w:rPr>
                <w:rFonts w:ascii="Verdana" w:hAnsi="Verdana" w:cs="Arial"/>
                <w:lang w:val="es-ES"/>
              </w:rPr>
              <w:lastRenderedPageBreak/>
              <w:t xml:space="preserve">procesos contractuales </w:t>
            </w:r>
            <w:r>
              <w:rPr>
                <w:rFonts w:ascii="Verdana" w:hAnsi="Verdana" w:cs="Arial"/>
                <w:lang w:val="es-ES"/>
              </w:rPr>
              <w:t xml:space="preserve">del </w:t>
            </w:r>
            <w:r w:rsidRPr="0040650F">
              <w:rPr>
                <w:rFonts w:ascii="Verdana" w:hAnsi="Verdana" w:cs="Arial"/>
                <w:lang w:val="es-ES"/>
              </w:rPr>
              <w:t>Estatuto General de Contratación de la Administración Pública</w:t>
            </w:r>
            <w:r>
              <w:rPr>
                <w:rFonts w:ascii="Verdana" w:hAnsi="Verdana" w:cs="Arial"/>
                <w:lang w:val="es-ES"/>
              </w:rPr>
              <w:t>.</w:t>
            </w:r>
          </w:p>
          <w:p w14:paraId="16BB0BA9" w14:textId="77777777" w:rsidR="006D783D" w:rsidRDefault="006D783D" w:rsidP="005D4BC5">
            <w:pPr>
              <w:spacing w:after="120" w:line="276" w:lineRule="auto"/>
              <w:ind w:firstLine="708"/>
              <w:jc w:val="both"/>
              <w:rPr>
                <w:rFonts w:ascii="Verdana" w:eastAsia="Calibri" w:hAnsi="Verdana" w:cs="Arial"/>
                <w:color w:val="000000" w:themeColor="text1"/>
              </w:rPr>
            </w:pPr>
            <w:r>
              <w:rPr>
                <w:rFonts w:ascii="Verdana" w:hAnsi="Verdana" w:cs="Arial"/>
                <w:lang w:val="es-ES"/>
              </w:rPr>
              <w:t xml:space="preserve">Aunque, por regla general, no es posible que las ESAL sean equiparadas a las MiPymes en la normativa del sistema de compras públicas, es necesario aclarar que la Ley determinó un matiz para esta regla. </w:t>
            </w:r>
            <w:r>
              <w:rPr>
                <w:rFonts w:ascii="Verdana" w:eastAsia="Calibri" w:hAnsi="Verdana" w:cs="Arial"/>
                <w:color w:val="000000" w:themeColor="text1"/>
                <w:lang w:val="es-ES"/>
              </w:rPr>
              <w:t>E</w:t>
            </w:r>
            <w:r w:rsidRPr="00362CA6">
              <w:rPr>
                <w:rFonts w:ascii="Verdana" w:eastAsia="Calibri" w:hAnsi="Verdana" w:cs="Arial"/>
                <w:color w:val="000000" w:themeColor="text1"/>
                <w:lang w:val="es-ES"/>
              </w:rPr>
              <w:t>l artículo 23 de la Ley 2069 de 2020</w:t>
            </w:r>
            <w:r>
              <w:rPr>
                <w:rFonts w:ascii="Verdana" w:eastAsia="Calibri" w:hAnsi="Verdana" w:cs="Arial"/>
                <w:color w:val="000000" w:themeColor="text1"/>
                <w:lang w:val="es-ES"/>
              </w:rPr>
              <w:t xml:space="preserve"> </w:t>
            </w:r>
            <w:r w:rsidRPr="00362CA6">
              <w:rPr>
                <w:rFonts w:ascii="Verdana" w:eastAsia="Calibri" w:hAnsi="Verdana" w:cs="Arial"/>
                <w:color w:val="000000" w:themeColor="text1"/>
                <w:lang w:val="es-ES"/>
              </w:rPr>
              <w:t xml:space="preserve">asimila las cooperativas y las </w:t>
            </w:r>
            <w:r w:rsidRPr="00756D53">
              <w:rPr>
                <w:rFonts w:ascii="Verdana" w:eastAsia="Calibri" w:hAnsi="Verdana" w:cs="Arial"/>
                <w:color w:val="000000" w:themeColor="text1"/>
                <w:lang w:val="es-ES"/>
              </w:rPr>
              <w:t>demás entidades de economía solidaria -que incluy</w:t>
            </w:r>
            <w:r>
              <w:rPr>
                <w:rFonts w:ascii="Verdana" w:eastAsia="Calibri" w:hAnsi="Verdana" w:cs="Arial"/>
                <w:color w:val="000000" w:themeColor="text1"/>
                <w:lang w:val="es-ES"/>
              </w:rPr>
              <w:t>en</w:t>
            </w:r>
            <w:r w:rsidRPr="00756D53">
              <w:rPr>
                <w:rFonts w:ascii="Verdana" w:eastAsia="Calibri" w:hAnsi="Verdana" w:cs="Arial"/>
                <w:color w:val="000000" w:themeColor="text1"/>
                <w:lang w:val="es-ES"/>
              </w:rPr>
              <w:t xml:space="preserve"> a las asociaciones mutual</w:t>
            </w:r>
            <w:r>
              <w:rPr>
                <w:rFonts w:ascii="Verdana" w:eastAsia="Calibri" w:hAnsi="Verdana" w:cs="Arial"/>
                <w:color w:val="000000" w:themeColor="text1"/>
                <w:lang w:val="es-ES"/>
              </w:rPr>
              <w:t>istas</w:t>
            </w:r>
            <w:r>
              <w:rPr>
                <w:rFonts w:ascii="Verdana" w:eastAsia="Calibri" w:hAnsi="Verdana" w:cs="Arial"/>
                <w:i/>
                <w:iCs/>
                <w:color w:val="000000" w:themeColor="text1"/>
                <w:lang w:val="es-ES"/>
              </w:rPr>
              <w:t>-</w:t>
            </w:r>
            <w:r w:rsidRPr="00362CA6">
              <w:rPr>
                <w:rFonts w:ascii="Verdana" w:eastAsia="Calibri" w:hAnsi="Verdana" w:cs="Arial"/>
                <w:color w:val="000000" w:themeColor="text1"/>
                <w:lang w:val="es-ES"/>
              </w:rPr>
              <w:t xml:space="preserve"> a </w:t>
            </w:r>
            <w:r w:rsidRPr="00B21D8B">
              <w:rPr>
                <w:rFonts w:ascii="Verdana" w:eastAsia="Calibri" w:hAnsi="Verdana" w:cs="Arial"/>
                <w:i/>
                <w:iCs/>
                <w:color w:val="000000" w:themeColor="text1"/>
                <w:lang w:val="es-ES"/>
              </w:rPr>
              <w:t>empresas, específicamente a MiPymes</w:t>
            </w:r>
            <w:r>
              <w:rPr>
                <w:rFonts w:ascii="Verdana" w:eastAsia="Calibri" w:hAnsi="Verdana" w:cs="Arial"/>
                <w:i/>
                <w:iCs/>
                <w:color w:val="000000" w:themeColor="text1"/>
                <w:lang w:val="es-ES"/>
              </w:rPr>
              <w:t xml:space="preserve">. </w:t>
            </w:r>
            <w:r>
              <w:rPr>
                <w:rFonts w:ascii="Verdana" w:eastAsia="Calibri" w:hAnsi="Verdana" w:cs="Arial"/>
                <w:color w:val="000000" w:themeColor="text1"/>
                <w:lang w:val="es-ES"/>
              </w:rPr>
              <w:t xml:space="preserve">De manera concordante, el parágrafo del </w:t>
            </w:r>
            <w:r w:rsidRPr="00F554AA">
              <w:rPr>
                <w:rFonts w:ascii="Verdana" w:eastAsia="Calibri" w:hAnsi="Verdana" w:cs="Arial"/>
                <w:color w:val="000000" w:themeColor="text1"/>
                <w:lang w:val="es-ES"/>
              </w:rPr>
              <w:t>Artículo 2.2.1.2.4.2.2</w:t>
            </w:r>
            <w:r>
              <w:rPr>
                <w:rFonts w:ascii="Verdana" w:eastAsia="Calibri" w:hAnsi="Verdana" w:cs="Arial"/>
                <w:color w:val="000000" w:themeColor="text1"/>
                <w:lang w:val="es-ES"/>
              </w:rPr>
              <w:t xml:space="preserve">, modificado por el artículo 5º del Decreto 1860 de 2021 determina que estas </w:t>
            </w:r>
            <w:r w:rsidRPr="00EC0AE8">
              <w:rPr>
                <w:rFonts w:ascii="Verdana" w:eastAsia="Calibri" w:hAnsi="Verdana" w:cs="Arial"/>
                <w:color w:val="000000" w:themeColor="text1"/>
              </w:rPr>
              <w:t>cooperativas y demás entidades de economía solidaria</w:t>
            </w:r>
            <w:r>
              <w:rPr>
                <w:rFonts w:ascii="Verdana" w:eastAsia="Calibri" w:hAnsi="Verdana" w:cs="Arial"/>
                <w:color w:val="000000" w:themeColor="text1"/>
              </w:rPr>
              <w:t xml:space="preserve"> </w:t>
            </w:r>
            <w:r w:rsidRPr="00EC0AE8">
              <w:rPr>
                <w:rFonts w:ascii="Verdana" w:eastAsia="Calibri" w:hAnsi="Verdana" w:cs="Arial"/>
                <w:color w:val="000000" w:themeColor="text1"/>
              </w:rPr>
              <w:t>podrán solicitar y participar en las convocatorias limitadas en las mismas</w:t>
            </w:r>
            <w:r>
              <w:rPr>
                <w:rFonts w:ascii="Verdana" w:eastAsia="Calibri" w:hAnsi="Verdana" w:cs="Arial"/>
                <w:color w:val="000000" w:themeColor="text1"/>
              </w:rPr>
              <w:t xml:space="preserve">. </w:t>
            </w:r>
          </w:p>
          <w:p w14:paraId="20BB1708" w14:textId="77777777" w:rsidR="006D783D" w:rsidRPr="009172F1" w:rsidRDefault="006D783D" w:rsidP="005D4BC5">
            <w:pPr>
              <w:tabs>
                <w:tab w:val="left" w:pos="426"/>
              </w:tabs>
              <w:spacing w:before="120" w:line="276" w:lineRule="auto"/>
              <w:ind w:firstLine="709"/>
              <w:jc w:val="both"/>
              <w:rPr>
                <w:rFonts w:ascii="Verdana" w:hAnsi="Verdana" w:cs="Arial"/>
                <w:color w:val="000000" w:themeColor="text1"/>
                <w:lang w:val="es-ES"/>
              </w:rPr>
            </w:pPr>
            <w:r>
              <w:rPr>
                <w:rFonts w:ascii="Verdana" w:hAnsi="Verdana" w:cs="Arial"/>
                <w:color w:val="000000" w:themeColor="text1"/>
                <w:lang w:val="es-ES"/>
              </w:rPr>
              <w:t xml:space="preserve">De esta manera, los incentivos referidos en la Ley 2069 de 2020 y la posibilidad de solicitar la limitación de las convocatorias a MiPymes no son extensibles a todas las ESAL, sino únicamente a aquellas que corresponden al concepto de </w:t>
            </w:r>
            <w:r w:rsidRPr="00362CA6">
              <w:rPr>
                <w:rFonts w:ascii="Verdana" w:eastAsia="Calibri" w:hAnsi="Verdana" w:cs="Arial"/>
                <w:color w:val="000000" w:themeColor="text1"/>
                <w:lang w:val="es-ES"/>
              </w:rPr>
              <w:t>cooperativas y</w:t>
            </w:r>
            <w:r>
              <w:rPr>
                <w:rFonts w:ascii="Verdana" w:eastAsia="Calibri" w:hAnsi="Verdana" w:cs="Arial"/>
                <w:color w:val="000000" w:themeColor="text1"/>
                <w:lang w:val="es-ES"/>
              </w:rPr>
              <w:t xml:space="preserve"> demás entes considerados de </w:t>
            </w:r>
            <w:r w:rsidRPr="00362CA6">
              <w:rPr>
                <w:rFonts w:ascii="Verdana" w:eastAsia="Calibri" w:hAnsi="Verdana" w:cs="Arial"/>
                <w:color w:val="000000" w:themeColor="text1"/>
                <w:lang w:val="es-ES"/>
              </w:rPr>
              <w:t>economía solidaria</w:t>
            </w:r>
            <w:r>
              <w:rPr>
                <w:rFonts w:ascii="Verdana" w:eastAsia="Calibri" w:hAnsi="Verdana" w:cs="Arial"/>
                <w:color w:val="000000" w:themeColor="text1"/>
                <w:lang w:val="es-ES"/>
              </w:rPr>
              <w:t xml:space="preserve"> </w:t>
            </w:r>
            <w:r>
              <w:rPr>
                <w:rFonts w:ascii="Verdana" w:eastAsia="Geomanist Light" w:hAnsi="Verdana" w:cs="Arial"/>
                <w:lang w:val="es-ES"/>
              </w:rPr>
              <w:t>en los términos del artículo 6 de la Ley 454 de 1998 –norma a la que remite el artículo 23 de la Ley de Emprendimiento–.</w:t>
            </w:r>
            <w:r w:rsidRPr="00D32D23">
              <w:rPr>
                <w:rFonts w:ascii="Verdana" w:eastAsia="Calibri" w:hAnsi="Verdana" w:cs="Arial"/>
                <w:color w:val="000000" w:themeColor="text1"/>
                <w:lang w:val="es-ES"/>
              </w:rPr>
              <w:t xml:space="preserve"> </w:t>
            </w:r>
            <w:r>
              <w:rPr>
                <w:rFonts w:ascii="Verdana" w:eastAsia="Geomanist Light" w:hAnsi="Verdana" w:cs="Arial"/>
                <w:lang w:val="es-ES"/>
              </w:rPr>
              <w:t xml:space="preserve">En tal sentido, debe analizarse si la ESAL cumple con las características establecidas en dicho artículo, para considerarla una organización de economía solidaria. </w:t>
            </w:r>
            <w:r>
              <w:rPr>
                <w:rFonts w:ascii="Verdana" w:eastAsia="Calibri" w:hAnsi="Verdana" w:cs="Arial"/>
                <w:color w:val="000000" w:themeColor="text1"/>
                <w:lang w:val="es-ES"/>
              </w:rPr>
              <w:t xml:space="preserve">Solo las que cumplan estos requisitos podrán ser asimiladas a las MiPymes y acceder a los requisitos diferenciales de la Ley 2069 de 2020, así como </w:t>
            </w:r>
            <w:r w:rsidRPr="00D32D23">
              <w:rPr>
                <w:rFonts w:ascii="Verdana" w:eastAsia="Calibri" w:hAnsi="Verdana" w:cs="Arial"/>
                <w:color w:val="000000" w:themeColor="text1"/>
                <w:lang w:val="es-ES"/>
              </w:rPr>
              <w:t xml:space="preserve">participar en las convocatorias limitadas a estas, </w:t>
            </w:r>
            <w:r>
              <w:rPr>
                <w:rFonts w:ascii="Verdana" w:eastAsia="Calibri" w:hAnsi="Verdana" w:cs="Arial"/>
                <w:color w:val="000000" w:themeColor="text1"/>
                <w:lang w:val="es-ES"/>
              </w:rPr>
              <w:t xml:space="preserve">y les permite </w:t>
            </w:r>
            <w:r w:rsidRPr="00D32D23">
              <w:rPr>
                <w:rFonts w:ascii="Verdana" w:eastAsia="Calibri" w:hAnsi="Verdana" w:cs="Arial"/>
                <w:color w:val="000000" w:themeColor="text1"/>
                <w:lang w:val="es-ES"/>
              </w:rPr>
              <w:t>incluso manifestar su interés de participar en el proceso de selección</w:t>
            </w:r>
            <w:r>
              <w:rPr>
                <w:rFonts w:ascii="Verdana" w:eastAsia="Calibri" w:hAnsi="Verdana" w:cs="Arial"/>
                <w:color w:val="000000" w:themeColor="text1"/>
                <w:lang w:val="es-ES"/>
              </w:rPr>
              <w:t xml:space="preserve"> en los términos señalados en el numeral 3 del artículo </w:t>
            </w:r>
            <w:r w:rsidRPr="00434E0B">
              <w:rPr>
                <w:rFonts w:ascii="Verdana" w:eastAsia="Calibri" w:hAnsi="Verdana" w:cs="Arial"/>
                <w:color w:val="000000" w:themeColor="text1"/>
              </w:rPr>
              <w:t>2.2.1.2.1.5.2</w:t>
            </w:r>
            <w:r w:rsidRPr="00434E0B">
              <w:rPr>
                <w:rFonts w:ascii="Verdana" w:eastAsia="Calibri" w:hAnsi="Verdana" w:cs="Arial"/>
                <w:b/>
                <w:bCs/>
                <w:color w:val="000000" w:themeColor="text1"/>
              </w:rPr>
              <w:t>.</w:t>
            </w:r>
            <w:r w:rsidRPr="00D32D23">
              <w:rPr>
                <w:rFonts w:ascii="Verdana" w:eastAsia="Calibri" w:hAnsi="Verdana" w:cs="Arial"/>
                <w:color w:val="000000" w:themeColor="text1"/>
                <w:lang w:val="es-ES"/>
              </w:rPr>
              <w:t xml:space="preserve"> </w:t>
            </w:r>
            <w:r>
              <w:rPr>
                <w:rFonts w:ascii="Verdana" w:eastAsia="Calibri" w:hAnsi="Verdana" w:cs="Arial"/>
                <w:color w:val="000000" w:themeColor="text1"/>
                <w:lang w:val="es-ES"/>
              </w:rPr>
              <w:t>del Decreto 1082 de 2015.</w:t>
            </w:r>
          </w:p>
        </w:tc>
      </w:tr>
    </w:tbl>
    <w:p w14:paraId="7D5F84EC" w14:textId="77777777" w:rsidR="006D783D" w:rsidRDefault="006D783D" w:rsidP="006D783D">
      <w:pPr>
        <w:tabs>
          <w:tab w:val="left" w:pos="142"/>
          <w:tab w:val="left" w:pos="284"/>
        </w:tabs>
        <w:spacing w:after="0" w:line="276" w:lineRule="auto"/>
        <w:jc w:val="both"/>
        <w:rPr>
          <w:rFonts w:ascii="Verdana" w:eastAsia="Century Gothic" w:hAnsi="Verdana" w:cs="Century Gothic"/>
          <w:b/>
          <w:bCs/>
        </w:rPr>
      </w:pPr>
    </w:p>
    <w:p w14:paraId="547B4F63" w14:textId="77777777" w:rsidR="006D783D" w:rsidRPr="008E4F36" w:rsidRDefault="006D783D" w:rsidP="006D783D">
      <w:pPr>
        <w:tabs>
          <w:tab w:val="left" w:pos="142"/>
          <w:tab w:val="left" w:pos="284"/>
        </w:tabs>
        <w:spacing w:after="0" w:line="276" w:lineRule="auto"/>
        <w:jc w:val="both"/>
        <w:rPr>
          <w:rFonts w:ascii="Verdana" w:eastAsia="Century Gothic" w:hAnsi="Verdana" w:cs="Century Gothic"/>
          <w:b/>
          <w:bCs/>
        </w:rPr>
      </w:pPr>
      <w:r w:rsidRPr="008E4F36">
        <w:rPr>
          <w:rFonts w:ascii="Verdana" w:eastAsia="Century Gothic" w:hAnsi="Verdana" w:cs="Century Gothic"/>
          <w:b/>
          <w:bCs/>
        </w:rPr>
        <w:t>3. Razones de la respuesta:</w:t>
      </w:r>
    </w:p>
    <w:p w14:paraId="19A17A56" w14:textId="77777777" w:rsidR="006D783D" w:rsidRDefault="006D783D" w:rsidP="006D783D">
      <w:pPr>
        <w:pStyle w:val="Prrafodelista"/>
        <w:tabs>
          <w:tab w:val="left" w:pos="142"/>
          <w:tab w:val="left" w:pos="284"/>
        </w:tabs>
        <w:spacing w:after="0" w:line="276" w:lineRule="auto"/>
        <w:ind w:left="0"/>
        <w:contextualSpacing w:val="0"/>
        <w:jc w:val="both"/>
        <w:rPr>
          <w:rFonts w:ascii="Verdana" w:eastAsia="Calibri" w:hAnsi="Verdana" w:cs="Arial"/>
        </w:rPr>
      </w:pPr>
    </w:p>
    <w:p w14:paraId="62DEE1E6" w14:textId="77777777" w:rsidR="006D783D" w:rsidRDefault="006D783D" w:rsidP="006D783D">
      <w:pPr>
        <w:pStyle w:val="Prrafodelista"/>
        <w:tabs>
          <w:tab w:val="left" w:pos="142"/>
          <w:tab w:val="left" w:pos="284"/>
        </w:tabs>
        <w:spacing w:after="0" w:line="276" w:lineRule="auto"/>
        <w:ind w:left="0"/>
        <w:contextualSpacing w:val="0"/>
        <w:jc w:val="both"/>
        <w:rPr>
          <w:rFonts w:ascii="Verdana" w:eastAsia="Calibri" w:hAnsi="Verdana" w:cs="Arial"/>
        </w:rPr>
      </w:pPr>
      <w:r w:rsidRPr="008E4F36">
        <w:rPr>
          <w:rFonts w:ascii="Verdana" w:eastAsia="Calibri" w:hAnsi="Verdana" w:cs="Arial"/>
        </w:rPr>
        <w:t xml:space="preserve">Lo anterior se sustenta en las siguientes consideraciones: </w:t>
      </w:r>
    </w:p>
    <w:p w14:paraId="1B8D1849" w14:textId="77777777" w:rsidR="006D783D" w:rsidRDefault="006D783D" w:rsidP="006D783D">
      <w:pPr>
        <w:spacing w:after="0" w:line="240" w:lineRule="auto"/>
        <w:jc w:val="both"/>
        <w:rPr>
          <w:rFonts w:ascii="Verdana" w:hAnsi="Verdana" w:cs="Arial"/>
          <w:bCs/>
          <w:lang w:val="es-ES_tradnl" w:eastAsia="es-ES" w:bidi="es-ES"/>
        </w:rPr>
      </w:pPr>
    </w:p>
    <w:p w14:paraId="0EE9794C" w14:textId="77777777" w:rsidR="006D783D" w:rsidRPr="007F5F87" w:rsidRDefault="006D783D" w:rsidP="006D783D">
      <w:pPr>
        <w:spacing w:after="120" w:line="276" w:lineRule="auto"/>
        <w:jc w:val="both"/>
        <w:rPr>
          <w:rFonts w:ascii="Verdana" w:eastAsia="Calibri" w:hAnsi="Verdana" w:cs="Arial"/>
          <w:lang w:val="es-ES_tradnl" w:eastAsia="es-ES_tradnl"/>
        </w:rPr>
      </w:pPr>
      <w:r w:rsidRPr="007F5F87">
        <w:rPr>
          <w:rFonts w:ascii="Verdana" w:eastAsia="Calibri" w:hAnsi="Verdana" w:cs="Arial"/>
          <w:lang w:val="es-ES_tradnl" w:eastAsia="es-ES_tradnl"/>
        </w:rPr>
        <w:t>i.</w:t>
      </w:r>
      <w:r>
        <w:rPr>
          <w:rFonts w:ascii="Verdana" w:eastAsia="Calibri" w:hAnsi="Verdana" w:cs="Arial"/>
          <w:lang w:val="es-ES_tradnl" w:eastAsia="es-ES_tradnl"/>
        </w:rPr>
        <w:t xml:space="preserve"> </w:t>
      </w:r>
      <w:r w:rsidRPr="007F5F87">
        <w:rPr>
          <w:rFonts w:ascii="Verdana" w:eastAsia="Calibri" w:hAnsi="Verdana" w:cs="Arial"/>
          <w:lang w:val="es-ES_tradnl" w:eastAsia="es-ES_tradnl"/>
        </w:rPr>
        <w:t xml:space="preserve">En aras de responder el problema jurídico planteado, es necesario diferenciar la naturaleza jurídica de las entidades sin ánimo de lucro -en adelante ESAL- de las sociedades comerciales. En Colombia, la empresa se forma a través de un contrato de sociedad por medio del cual dos o más personas se obligan a hacer un aporte en dinero, en trabajo o en otros bienes apreciables en dinero con el fin de repartirse entre sí las utilidades obtenidas en la empresa, según el artículo 98 del Código de Comercio. En ese sentido, serán sociedades comerciales </w:t>
      </w:r>
      <w:r w:rsidRPr="007F5F87">
        <w:rPr>
          <w:rFonts w:ascii="Verdana" w:eastAsia="Calibri" w:hAnsi="Verdana" w:cs="Arial"/>
          <w:lang w:val="es-ES_tradnl" w:eastAsia="es-ES_tradnl"/>
        </w:rPr>
        <w:lastRenderedPageBreak/>
        <w:t xml:space="preserve">aquellas que ejecuten actos o empresas mercantiles, en los términos señalados en el artículo 100 </w:t>
      </w:r>
      <w:r w:rsidRPr="007F5F87">
        <w:rPr>
          <w:rFonts w:ascii="Verdana" w:eastAsia="Calibri" w:hAnsi="Verdana" w:cs="Arial"/>
          <w:i/>
          <w:iCs/>
          <w:lang w:val="es-ES_tradnl" w:eastAsia="es-ES_tradnl"/>
        </w:rPr>
        <w:t>ibidem</w:t>
      </w:r>
      <w:r w:rsidRPr="00E67771">
        <w:rPr>
          <w:vertAlign w:val="superscript"/>
        </w:rPr>
        <w:footnoteReference w:id="1"/>
      </w:r>
      <w:r w:rsidRPr="007F5F87">
        <w:rPr>
          <w:rFonts w:ascii="Verdana" w:eastAsia="Calibri" w:hAnsi="Verdana" w:cs="Arial"/>
          <w:lang w:val="es-ES_tradnl" w:eastAsia="es-ES_tradnl"/>
        </w:rPr>
        <w:t>.</w:t>
      </w:r>
    </w:p>
    <w:p w14:paraId="2DDF04BE" w14:textId="77777777" w:rsidR="006D783D" w:rsidRDefault="006D783D" w:rsidP="006D783D">
      <w:pPr>
        <w:spacing w:after="120" w:line="276" w:lineRule="auto"/>
        <w:ind w:firstLine="709"/>
        <w:jc w:val="both"/>
        <w:rPr>
          <w:rFonts w:ascii="Verdana" w:eastAsia="Calibri" w:hAnsi="Verdana" w:cs="Arial"/>
          <w:lang w:val="es-ES" w:eastAsia="es-ES"/>
        </w:rPr>
      </w:pPr>
      <w:r w:rsidRPr="6AB4E263">
        <w:rPr>
          <w:rFonts w:ascii="Verdana" w:eastAsia="Calibri" w:hAnsi="Verdana" w:cs="Arial"/>
          <w:lang w:val="es-ES" w:eastAsia="es-ES"/>
        </w:rPr>
        <w:t xml:space="preserve">El Libro Segundo del Código de Comercio no incluye a las ESAL - como las corporaciones, asociaciones o fundaciones – en la enumeración de las sociedades comerciales. A juicio de esta Agencia, la razón de la exclusión radica en que las ESAL no tienen fines comerciales, es decir, carecen de ánimo de lucro, y por eso no forman un tipo o clase de sociedad comercial. </w:t>
      </w:r>
    </w:p>
    <w:p w14:paraId="5FC5C656" w14:textId="77777777" w:rsidR="006D783D" w:rsidRPr="00E67771" w:rsidRDefault="006D783D" w:rsidP="006D783D">
      <w:pPr>
        <w:spacing w:after="120" w:line="276" w:lineRule="auto"/>
        <w:ind w:firstLine="709"/>
        <w:jc w:val="both"/>
        <w:rPr>
          <w:rFonts w:ascii="Verdana" w:eastAsia="Calibri" w:hAnsi="Verdana" w:cs="Arial"/>
          <w:lang w:val="es-ES_tradnl" w:eastAsia="es-ES_tradnl"/>
        </w:rPr>
      </w:pPr>
      <w:r>
        <w:rPr>
          <w:rFonts w:ascii="Verdana" w:eastAsia="Calibri" w:hAnsi="Verdana" w:cs="Arial"/>
          <w:lang w:val="es-ES_tradnl" w:eastAsia="es-ES_tradnl"/>
        </w:rPr>
        <w:t>A lo anterior se suma que e</w:t>
      </w:r>
      <w:r w:rsidRPr="00E67771">
        <w:rPr>
          <w:rFonts w:ascii="Verdana" w:eastAsia="Calibri" w:hAnsi="Verdana" w:cs="Arial"/>
          <w:lang w:val="es-ES_tradnl" w:eastAsia="es-ES_tradnl"/>
        </w:rPr>
        <w:t xml:space="preserve">ste tipo de corporaciones o asociaciones </w:t>
      </w:r>
      <w:r>
        <w:rPr>
          <w:rFonts w:ascii="Verdana" w:eastAsia="Calibri" w:hAnsi="Verdana" w:cs="Arial"/>
          <w:lang w:val="es-ES_tradnl" w:eastAsia="es-ES_tradnl"/>
        </w:rPr>
        <w:t>se encuentran reguladas en</w:t>
      </w:r>
      <w:r w:rsidRPr="00E67771">
        <w:rPr>
          <w:rFonts w:ascii="Verdana" w:eastAsia="Calibri" w:hAnsi="Verdana" w:cs="Arial"/>
          <w:lang w:val="es-ES_tradnl" w:eastAsia="es-ES_tradnl"/>
        </w:rPr>
        <w:t xml:space="preserve"> el Código Civil –entre otras normas</w:t>
      </w:r>
      <w:r>
        <w:rPr>
          <w:rFonts w:ascii="Verdana" w:eastAsia="Calibri" w:hAnsi="Verdana" w:cs="Arial"/>
          <w:lang w:val="es-ES_tradnl" w:eastAsia="es-ES_tradnl"/>
        </w:rPr>
        <w:t xml:space="preserve"> concordantes</w:t>
      </w:r>
      <w:r w:rsidRPr="00E67771">
        <w:rPr>
          <w:rFonts w:ascii="Verdana" w:eastAsia="Calibri" w:hAnsi="Verdana" w:cs="Arial"/>
          <w:lang w:val="es-ES_tradnl" w:eastAsia="es-ES_tradnl"/>
        </w:rPr>
        <w:t>–, de lo que se sigue que no constituyen formas de sociedad comercial</w:t>
      </w:r>
      <w:r>
        <w:rPr>
          <w:rFonts w:ascii="Verdana" w:eastAsia="Calibri" w:hAnsi="Verdana" w:cs="Arial"/>
          <w:lang w:val="es-ES_tradnl" w:eastAsia="es-ES_tradnl"/>
        </w:rPr>
        <w:t>,</w:t>
      </w:r>
      <w:r w:rsidRPr="00E67771">
        <w:rPr>
          <w:rFonts w:ascii="Verdana" w:eastAsia="Calibri" w:hAnsi="Verdana" w:cs="Arial"/>
          <w:lang w:val="es-ES_tradnl" w:eastAsia="es-ES_tradnl"/>
        </w:rPr>
        <w:t xml:space="preserve"> sino formas de organización civil con fines esencialmente altruistas o de interés general, que se conforman entre personas que tienen como finalidad contribuir con su esfuerzo, y hasta con sus bienes, </w:t>
      </w:r>
      <w:r>
        <w:rPr>
          <w:rFonts w:ascii="Verdana" w:eastAsia="Calibri" w:hAnsi="Verdana" w:cs="Arial"/>
          <w:lang w:val="es-ES_tradnl" w:eastAsia="es-ES_tradnl"/>
        </w:rPr>
        <w:t>para</w:t>
      </w:r>
      <w:r w:rsidRPr="00E67771">
        <w:rPr>
          <w:rFonts w:ascii="Verdana" w:eastAsia="Calibri" w:hAnsi="Verdana" w:cs="Arial"/>
          <w:lang w:val="es-ES_tradnl" w:eastAsia="es-ES_tradnl"/>
        </w:rPr>
        <w:t xml:space="preserve"> ayudar a la comunidad</w:t>
      </w:r>
      <w:r w:rsidRPr="00E67771">
        <w:rPr>
          <w:rStyle w:val="Refdenotaalpie"/>
          <w:rFonts w:ascii="Verdana" w:eastAsia="Calibri" w:hAnsi="Verdana" w:cs="Arial"/>
          <w:lang w:val="es-ES_tradnl" w:eastAsia="es-ES_tradnl"/>
        </w:rPr>
        <w:footnoteReference w:id="2"/>
      </w:r>
      <w:r w:rsidRPr="00E67771">
        <w:rPr>
          <w:rFonts w:ascii="Verdana" w:eastAsia="Calibri" w:hAnsi="Verdana" w:cs="Arial"/>
          <w:lang w:val="es-ES_tradnl" w:eastAsia="es-ES_tradnl"/>
        </w:rPr>
        <w:t>. La ausencia de ánimo de lucro es, entonces, la característica determinante de estas corporaciones u organizaciones, lo que explica su nombre y la</w:t>
      </w:r>
      <w:r>
        <w:rPr>
          <w:rFonts w:ascii="Verdana" w:eastAsia="Calibri" w:hAnsi="Verdana" w:cs="Arial"/>
          <w:lang w:val="es-ES_tradnl" w:eastAsia="es-ES_tradnl"/>
        </w:rPr>
        <w:t>s</w:t>
      </w:r>
      <w:r w:rsidRPr="00E67771">
        <w:rPr>
          <w:rFonts w:ascii="Verdana" w:eastAsia="Calibri" w:hAnsi="Verdana" w:cs="Arial"/>
          <w:lang w:val="es-ES_tradnl" w:eastAsia="es-ES_tradnl"/>
        </w:rPr>
        <w:t xml:space="preserve"> diferencias </w:t>
      </w:r>
      <w:r>
        <w:rPr>
          <w:rFonts w:ascii="Verdana" w:eastAsia="Calibri" w:hAnsi="Verdana" w:cs="Arial"/>
          <w:lang w:val="es-ES_tradnl" w:eastAsia="es-ES_tradnl"/>
        </w:rPr>
        <w:t xml:space="preserve">de manera </w:t>
      </w:r>
      <w:r w:rsidRPr="00E67771">
        <w:rPr>
          <w:rFonts w:ascii="Verdana" w:eastAsia="Calibri" w:hAnsi="Verdana" w:cs="Arial"/>
          <w:lang w:val="es-ES_tradnl" w:eastAsia="es-ES_tradnl"/>
        </w:rPr>
        <w:t xml:space="preserve">fundamental </w:t>
      </w:r>
      <w:r>
        <w:rPr>
          <w:rFonts w:ascii="Verdana" w:eastAsia="Calibri" w:hAnsi="Verdana" w:cs="Arial"/>
          <w:lang w:val="es-ES_tradnl" w:eastAsia="es-ES_tradnl"/>
        </w:rPr>
        <w:t>de</w:t>
      </w:r>
      <w:r w:rsidRPr="00E67771">
        <w:rPr>
          <w:rFonts w:ascii="Verdana" w:eastAsia="Calibri" w:hAnsi="Verdana" w:cs="Arial"/>
          <w:lang w:val="es-ES_tradnl" w:eastAsia="es-ES_tradnl"/>
        </w:rPr>
        <w:t xml:space="preserve"> las sociedades comerciales.</w:t>
      </w:r>
    </w:p>
    <w:p w14:paraId="4156BEDD" w14:textId="77777777" w:rsidR="006D783D" w:rsidRDefault="006D783D" w:rsidP="006D783D">
      <w:pPr>
        <w:spacing w:after="120" w:line="276" w:lineRule="auto"/>
        <w:ind w:firstLine="709"/>
        <w:jc w:val="both"/>
        <w:rPr>
          <w:rFonts w:ascii="Verdana" w:eastAsia="Calibri" w:hAnsi="Verdana" w:cs="Arial"/>
          <w:lang w:val="es-ES" w:eastAsia="es-ES"/>
        </w:rPr>
      </w:pPr>
      <w:r w:rsidRPr="00E67771">
        <w:rPr>
          <w:rFonts w:ascii="Verdana" w:eastAsia="Calibri" w:hAnsi="Verdana" w:cs="Arial"/>
          <w:lang w:val="es-ES" w:eastAsia="es-ES"/>
        </w:rPr>
        <w:t xml:space="preserve">Que una ESAL no sea una forma de sociedad comercial se infiere </w:t>
      </w:r>
      <w:r>
        <w:rPr>
          <w:rFonts w:ascii="Verdana" w:eastAsia="Calibri" w:hAnsi="Verdana" w:cs="Arial"/>
          <w:lang w:val="es-ES" w:eastAsia="es-ES"/>
        </w:rPr>
        <w:t xml:space="preserve">también </w:t>
      </w:r>
      <w:r w:rsidRPr="00E67771">
        <w:rPr>
          <w:rFonts w:ascii="Verdana" w:eastAsia="Calibri" w:hAnsi="Verdana" w:cs="Arial"/>
          <w:lang w:val="es-ES" w:eastAsia="es-ES"/>
        </w:rPr>
        <w:t xml:space="preserve">de los requisitos </w:t>
      </w:r>
      <w:r>
        <w:rPr>
          <w:rFonts w:ascii="Verdana" w:eastAsia="Calibri" w:hAnsi="Verdana" w:cs="Arial"/>
          <w:lang w:val="es-ES" w:eastAsia="es-ES"/>
        </w:rPr>
        <w:t xml:space="preserve">y finalidad </w:t>
      </w:r>
      <w:r w:rsidRPr="00E67771">
        <w:rPr>
          <w:rFonts w:ascii="Verdana" w:eastAsia="Calibri" w:hAnsi="Verdana" w:cs="Arial"/>
          <w:lang w:val="es-ES" w:eastAsia="es-ES"/>
        </w:rPr>
        <w:t>que exige el artículo 98 del Código de Comercio</w:t>
      </w:r>
      <w:r>
        <w:rPr>
          <w:rFonts w:ascii="Verdana" w:eastAsia="Calibri" w:hAnsi="Verdana" w:cs="Arial"/>
          <w:lang w:val="es-ES" w:eastAsia="es-ES"/>
        </w:rPr>
        <w:t xml:space="preserve"> en relación con el contrato de sociedad.</w:t>
      </w:r>
      <w:r w:rsidRPr="00E67771">
        <w:rPr>
          <w:rFonts w:ascii="Verdana" w:eastAsia="Calibri" w:hAnsi="Verdana" w:cs="Arial"/>
          <w:lang w:val="es-ES" w:eastAsia="es-ES"/>
        </w:rPr>
        <w:t xml:space="preserve"> En efecto, la norma en comento dispone: “[p]</w:t>
      </w:r>
      <w:proofErr w:type="spellStart"/>
      <w:r w:rsidRPr="00E67771">
        <w:rPr>
          <w:rFonts w:ascii="Verdana" w:eastAsia="Calibri" w:hAnsi="Verdana" w:cs="Arial"/>
          <w:lang w:val="es-ES" w:eastAsia="es-ES"/>
        </w:rPr>
        <w:t>or</w:t>
      </w:r>
      <w:proofErr w:type="spellEnd"/>
      <w:r w:rsidRPr="00E67771">
        <w:rPr>
          <w:rFonts w:ascii="Verdana" w:eastAsia="Calibri" w:hAnsi="Verdana" w:cs="Arial"/>
          <w:lang w:val="es-ES" w:eastAsia="es-ES"/>
        </w:rPr>
        <w:t xml:space="preserve"> el contrato de sociedad dos o más personas se obligan a hacer un aporte en dinero, en trabajo o en otros bienes apreciables en dinero, </w:t>
      </w:r>
      <w:r w:rsidRPr="00E67771">
        <w:rPr>
          <w:rFonts w:ascii="Verdana" w:eastAsia="Calibri" w:hAnsi="Verdana" w:cs="Arial"/>
          <w:i/>
          <w:iCs/>
          <w:lang w:val="es-ES" w:eastAsia="es-ES"/>
        </w:rPr>
        <w:t>con el fin de repartirse entre sí las utilidades obtenidas en la empresa o actividad socia</w:t>
      </w:r>
      <w:r w:rsidRPr="00E67771">
        <w:rPr>
          <w:rFonts w:ascii="Verdana" w:eastAsia="Calibri" w:hAnsi="Verdana" w:cs="Arial"/>
          <w:lang w:val="es-ES" w:eastAsia="es-ES"/>
        </w:rPr>
        <w:t xml:space="preserve">l” [Énfasis fuera de texto]. </w:t>
      </w:r>
    </w:p>
    <w:p w14:paraId="37E4F429" w14:textId="77777777" w:rsidR="006D783D" w:rsidRPr="00E67771" w:rsidRDefault="006D783D" w:rsidP="006D783D">
      <w:pPr>
        <w:spacing w:after="120" w:line="276" w:lineRule="auto"/>
        <w:ind w:firstLine="709"/>
        <w:jc w:val="both"/>
        <w:rPr>
          <w:rFonts w:ascii="Verdana" w:eastAsia="Calibri" w:hAnsi="Verdana" w:cs="Arial"/>
          <w:lang w:val="es-ES_tradnl" w:eastAsia="es-ES_tradnl"/>
        </w:rPr>
      </w:pPr>
      <w:r w:rsidRPr="00E67771">
        <w:rPr>
          <w:rFonts w:ascii="Verdana" w:eastAsia="Calibri" w:hAnsi="Verdana" w:cs="Arial"/>
          <w:lang w:val="es-ES_tradnl" w:eastAsia="es-ES_tradnl"/>
        </w:rPr>
        <w:t xml:space="preserve">Así pues, </w:t>
      </w:r>
      <w:r>
        <w:rPr>
          <w:rFonts w:ascii="Verdana" w:eastAsia="Calibri" w:hAnsi="Verdana" w:cs="Arial"/>
          <w:lang w:val="es-ES_tradnl" w:eastAsia="es-ES_tradnl"/>
        </w:rPr>
        <w:t xml:space="preserve">en </w:t>
      </w:r>
      <w:r w:rsidRPr="00E67771">
        <w:rPr>
          <w:rFonts w:ascii="Verdana" w:eastAsia="Calibri" w:hAnsi="Verdana" w:cs="Arial"/>
          <w:lang w:val="es-ES_tradnl" w:eastAsia="es-ES_tradnl"/>
        </w:rPr>
        <w:t xml:space="preserve">las ESAL no </w:t>
      </w:r>
      <w:r>
        <w:rPr>
          <w:rFonts w:ascii="Verdana" w:eastAsia="Calibri" w:hAnsi="Verdana" w:cs="Arial"/>
          <w:lang w:val="es-ES_tradnl" w:eastAsia="es-ES_tradnl"/>
        </w:rPr>
        <w:t xml:space="preserve">es admisible </w:t>
      </w:r>
      <w:r w:rsidRPr="00E67771">
        <w:rPr>
          <w:rFonts w:ascii="Verdana" w:eastAsia="Calibri" w:hAnsi="Verdana" w:cs="Arial"/>
          <w:lang w:val="es-ES_tradnl" w:eastAsia="es-ES_tradnl"/>
        </w:rPr>
        <w:t>el reparto de utilidades, ni durante la existencia de la organización ni cuando se extinga</w:t>
      </w:r>
      <w:r>
        <w:rPr>
          <w:rFonts w:ascii="Verdana" w:eastAsia="Calibri" w:hAnsi="Verdana" w:cs="Arial"/>
          <w:lang w:val="es-ES_tradnl" w:eastAsia="es-ES_tradnl"/>
        </w:rPr>
        <w:t xml:space="preserve">. </w:t>
      </w:r>
      <w:r w:rsidRPr="003505EE">
        <w:rPr>
          <w:rFonts w:ascii="Verdana" w:eastAsia="Calibri" w:hAnsi="Verdana" w:cs="Arial"/>
          <w:lang w:val="es-ES_tradnl" w:eastAsia="es-ES_tradnl"/>
        </w:rPr>
        <w:t>E</w:t>
      </w:r>
      <w:r>
        <w:rPr>
          <w:rFonts w:ascii="Verdana" w:eastAsia="Calibri" w:hAnsi="Verdana" w:cs="Arial"/>
          <w:lang w:val="es-ES_tradnl" w:eastAsia="es-ES_tradnl"/>
        </w:rPr>
        <w:t>n e</w:t>
      </w:r>
      <w:r w:rsidRPr="003505EE">
        <w:rPr>
          <w:rFonts w:ascii="Verdana" w:eastAsia="Calibri" w:hAnsi="Verdana" w:cs="Arial"/>
          <w:lang w:val="es-ES_tradnl" w:eastAsia="es-ES_tradnl"/>
        </w:rPr>
        <w:t xml:space="preserve">ste </w:t>
      </w:r>
      <w:r w:rsidRPr="00E67771">
        <w:rPr>
          <w:rFonts w:ascii="Verdana" w:eastAsia="Calibri" w:hAnsi="Verdana" w:cs="Arial"/>
          <w:lang w:val="es-ES_tradnl" w:eastAsia="es-ES_tradnl"/>
        </w:rPr>
        <w:t>aspecto, se insiste, radica la diferencia más apreciable entre</w:t>
      </w:r>
      <w:r>
        <w:rPr>
          <w:rFonts w:ascii="Verdana" w:eastAsia="Calibri" w:hAnsi="Verdana" w:cs="Arial"/>
          <w:lang w:val="es-ES_tradnl" w:eastAsia="es-ES_tradnl"/>
        </w:rPr>
        <w:t xml:space="preserve"> estas corporaciones y las sociedades </w:t>
      </w:r>
      <w:r>
        <w:rPr>
          <w:rFonts w:ascii="Verdana" w:eastAsia="Calibri" w:hAnsi="Verdana" w:cs="Arial"/>
          <w:lang w:val="es-ES_tradnl" w:eastAsia="es-ES_tradnl"/>
        </w:rPr>
        <w:lastRenderedPageBreak/>
        <w:t>comerciales, p</w:t>
      </w:r>
      <w:r w:rsidRPr="00E67771">
        <w:rPr>
          <w:rFonts w:ascii="Verdana" w:eastAsia="Calibri" w:hAnsi="Verdana" w:cs="Arial"/>
          <w:lang w:val="es-ES_tradnl" w:eastAsia="es-ES_tradnl"/>
        </w:rPr>
        <w:t>ese a que ambas se crean con libertad y al amparo del derecho fundamental de asociación previsto en el artículo 38 de la Constitución Política y otras normas contenidas en tratados internacionales suscritos por Colombia.</w:t>
      </w:r>
    </w:p>
    <w:p w14:paraId="6577947F" w14:textId="77777777" w:rsidR="006D783D" w:rsidRPr="00A303E8" w:rsidRDefault="006D783D" w:rsidP="006D783D">
      <w:pPr>
        <w:spacing w:after="120" w:line="276" w:lineRule="auto"/>
        <w:ind w:firstLine="709"/>
        <w:jc w:val="both"/>
        <w:rPr>
          <w:rFonts w:ascii="Verdana" w:eastAsia="Calibri" w:hAnsi="Verdana" w:cs="Arial"/>
          <w:lang w:val="es-ES" w:eastAsia="es-ES"/>
        </w:rPr>
      </w:pPr>
      <w:r w:rsidRPr="00E67771">
        <w:rPr>
          <w:rFonts w:ascii="Verdana" w:eastAsia="Calibri" w:hAnsi="Verdana" w:cs="Arial"/>
          <w:lang w:val="es-ES" w:eastAsia="es-ES"/>
        </w:rPr>
        <w:t>De conformidad con lo anterior, una “asociación o corporación” constituidas en los términos del Código Civil, no puede asimilarse o identificarse con una “sociedad comercial”, como uniformemente lo considera la doctrina y la jurisprudencia civil y comercial</w:t>
      </w:r>
      <w:r w:rsidRPr="60F29CF2">
        <w:rPr>
          <w:rFonts w:ascii="Verdana" w:eastAsia="Calibri" w:hAnsi="Verdana" w:cs="Arial"/>
          <w:lang w:val="es-ES" w:eastAsia="es-ES"/>
        </w:rPr>
        <w:t xml:space="preserve">. Lo anterior, </w:t>
      </w:r>
      <w:r w:rsidRPr="00A303E8">
        <w:rPr>
          <w:rFonts w:ascii="Verdana" w:eastAsia="Calibri" w:hAnsi="Verdana" w:cs="Arial"/>
          <w:lang w:val="es-ES" w:eastAsia="es-ES"/>
        </w:rPr>
        <w:t xml:space="preserve">en la medida en que </w:t>
      </w:r>
      <w:r>
        <w:rPr>
          <w:rFonts w:ascii="Verdana" w:eastAsia="Calibri" w:hAnsi="Verdana" w:cs="Arial"/>
          <w:lang w:val="es-ES" w:eastAsia="es-ES"/>
        </w:rPr>
        <w:t xml:space="preserve">las sociedades comerciales se </w:t>
      </w:r>
      <w:r w:rsidRPr="00A303E8">
        <w:rPr>
          <w:rFonts w:ascii="Verdana" w:eastAsia="Calibri" w:hAnsi="Verdana" w:cs="Arial"/>
          <w:lang w:val="es-ES" w:eastAsia="es-ES"/>
        </w:rPr>
        <w:t>crea</w:t>
      </w:r>
      <w:r>
        <w:rPr>
          <w:rFonts w:ascii="Verdana" w:eastAsia="Calibri" w:hAnsi="Verdana" w:cs="Arial"/>
          <w:lang w:val="es-ES" w:eastAsia="es-ES"/>
        </w:rPr>
        <w:t>n</w:t>
      </w:r>
      <w:r w:rsidRPr="00A303E8">
        <w:rPr>
          <w:rFonts w:ascii="Verdana" w:eastAsia="Calibri" w:hAnsi="Verdana" w:cs="Arial"/>
          <w:lang w:val="es-ES" w:eastAsia="es-ES"/>
        </w:rPr>
        <w:t xml:space="preserve"> con la finalidad de que sus socios repartan las utilidades obtenidas en desarrollo de la empresa o actividad social. Por el contrario, las </w:t>
      </w:r>
      <w:r>
        <w:rPr>
          <w:rFonts w:ascii="Verdana" w:eastAsia="Calibri" w:hAnsi="Verdana" w:cs="Arial"/>
          <w:lang w:val="es-ES" w:eastAsia="es-ES"/>
        </w:rPr>
        <w:t xml:space="preserve">corporaciones, fundaciones </w:t>
      </w:r>
      <w:r w:rsidRPr="00A303E8">
        <w:rPr>
          <w:rFonts w:ascii="Verdana" w:eastAsia="Calibri" w:hAnsi="Verdana" w:cs="Arial"/>
          <w:lang w:val="es-ES" w:eastAsia="es-ES"/>
        </w:rPr>
        <w:t>o asociaciones destinan su patrimonio a la consecución de un interés genera</w:t>
      </w:r>
      <w:r>
        <w:rPr>
          <w:rFonts w:ascii="Verdana" w:eastAsia="Calibri" w:hAnsi="Verdana" w:cs="Arial"/>
          <w:lang w:val="es-ES" w:eastAsia="es-ES"/>
        </w:rPr>
        <w:t xml:space="preserve">l y no </w:t>
      </w:r>
      <w:r w:rsidRPr="00A303E8">
        <w:rPr>
          <w:rFonts w:ascii="Verdana" w:eastAsia="Calibri" w:hAnsi="Verdana" w:cs="Arial"/>
          <w:lang w:val="es-ES" w:eastAsia="es-ES"/>
        </w:rPr>
        <w:t>percibe</w:t>
      </w:r>
      <w:r>
        <w:rPr>
          <w:rFonts w:ascii="Verdana" w:eastAsia="Calibri" w:hAnsi="Verdana" w:cs="Arial"/>
          <w:lang w:val="es-ES" w:eastAsia="es-ES"/>
        </w:rPr>
        <w:t>n</w:t>
      </w:r>
      <w:r w:rsidRPr="00A303E8">
        <w:rPr>
          <w:rFonts w:ascii="Verdana" w:eastAsia="Calibri" w:hAnsi="Verdana" w:cs="Arial"/>
          <w:lang w:val="es-ES" w:eastAsia="es-ES"/>
        </w:rPr>
        <w:t xml:space="preserve"> lucro</w:t>
      </w:r>
      <w:r>
        <w:rPr>
          <w:rFonts w:ascii="Verdana" w:eastAsia="Calibri" w:hAnsi="Verdana" w:cs="Arial"/>
          <w:lang w:val="es-ES" w:eastAsia="es-ES"/>
        </w:rPr>
        <w:t xml:space="preserve">, pues los </w:t>
      </w:r>
      <w:r w:rsidRPr="00A303E8">
        <w:rPr>
          <w:rFonts w:ascii="Verdana" w:eastAsia="Calibri" w:hAnsi="Verdana" w:cs="Arial"/>
          <w:lang w:val="es-ES" w:eastAsia="es-ES"/>
        </w:rPr>
        <w:t xml:space="preserve">excedentes monetarios que se presenten </w:t>
      </w:r>
      <w:r>
        <w:rPr>
          <w:rFonts w:ascii="Verdana" w:eastAsia="Calibri" w:hAnsi="Verdana" w:cs="Arial"/>
          <w:lang w:val="es-ES" w:eastAsia="es-ES"/>
        </w:rPr>
        <w:t>deben ser reinvertidos en la ESAL y no es viable</w:t>
      </w:r>
      <w:r w:rsidRPr="00A303E8">
        <w:rPr>
          <w:rFonts w:ascii="Verdana" w:eastAsia="Calibri" w:hAnsi="Verdana" w:cs="Arial"/>
          <w:lang w:val="es-ES" w:eastAsia="es-ES"/>
        </w:rPr>
        <w:t xml:space="preserve"> </w:t>
      </w:r>
      <w:r>
        <w:rPr>
          <w:rFonts w:ascii="Verdana" w:eastAsia="Calibri" w:hAnsi="Verdana" w:cs="Arial"/>
          <w:lang w:val="es-ES" w:eastAsia="es-ES"/>
        </w:rPr>
        <w:t xml:space="preserve">repartirlos </w:t>
      </w:r>
      <w:r w:rsidRPr="00A303E8">
        <w:rPr>
          <w:rFonts w:ascii="Verdana" w:eastAsia="Calibri" w:hAnsi="Verdana" w:cs="Arial"/>
          <w:lang w:val="es-ES" w:eastAsia="es-ES"/>
        </w:rPr>
        <w:t>entre los asociados.</w:t>
      </w:r>
    </w:p>
    <w:p w14:paraId="3788B08B" w14:textId="77777777" w:rsidR="006D783D" w:rsidRPr="00A303E8" w:rsidRDefault="006D783D" w:rsidP="006D783D">
      <w:pPr>
        <w:spacing w:after="120" w:line="276" w:lineRule="auto"/>
        <w:ind w:firstLine="709"/>
        <w:jc w:val="both"/>
        <w:rPr>
          <w:rFonts w:ascii="Verdana" w:eastAsia="Calibri" w:hAnsi="Verdana" w:cs="Arial"/>
          <w:lang w:val="es-ES_tradnl" w:eastAsia="es-ES_tradnl"/>
        </w:rPr>
      </w:pPr>
      <w:r>
        <w:rPr>
          <w:rFonts w:ascii="Verdana" w:eastAsia="Calibri" w:hAnsi="Verdana" w:cs="Arial"/>
          <w:lang w:val="es-ES_tradnl" w:eastAsia="es-ES_tradnl"/>
        </w:rPr>
        <w:t>L</w:t>
      </w:r>
      <w:r w:rsidRPr="00A303E8">
        <w:rPr>
          <w:rFonts w:ascii="Verdana" w:eastAsia="Calibri" w:hAnsi="Verdana" w:cs="Arial"/>
          <w:lang w:val="es-ES_tradnl" w:eastAsia="es-ES_tradnl"/>
        </w:rPr>
        <w:t xml:space="preserve">a Corte Constitucional, en la sentencia C-287 de 2012, reiteró que la diferencia existente entre las sociedades comerciales y las </w:t>
      </w:r>
      <w:r>
        <w:rPr>
          <w:rFonts w:ascii="Verdana" w:eastAsia="Calibri" w:hAnsi="Verdana" w:cs="Arial"/>
          <w:lang w:val="es-ES_tradnl" w:eastAsia="es-ES_tradnl"/>
        </w:rPr>
        <w:t xml:space="preserve">ESAL </w:t>
      </w:r>
      <w:r w:rsidRPr="00A303E8">
        <w:rPr>
          <w:rFonts w:ascii="Verdana" w:eastAsia="Calibri" w:hAnsi="Verdana" w:cs="Arial"/>
          <w:lang w:val="es-ES_tradnl" w:eastAsia="es-ES_tradnl"/>
        </w:rPr>
        <w:t>es que estas últimas no reparten sus utilidades entre los socios:</w:t>
      </w:r>
    </w:p>
    <w:p w14:paraId="11E98743" w14:textId="77777777" w:rsidR="006D783D" w:rsidRDefault="006D783D" w:rsidP="006D783D">
      <w:pPr>
        <w:spacing w:after="0" w:line="276" w:lineRule="auto"/>
        <w:ind w:left="709" w:right="709"/>
        <w:jc w:val="both"/>
        <w:rPr>
          <w:rFonts w:ascii="Verdana" w:eastAsia="Calibri" w:hAnsi="Verdana" w:cs="Arial"/>
          <w:sz w:val="20"/>
          <w:szCs w:val="20"/>
          <w:lang w:val="es-ES" w:eastAsia="es-ES"/>
        </w:rPr>
      </w:pPr>
    </w:p>
    <w:p w14:paraId="46F6C2BF" w14:textId="77777777" w:rsidR="006D783D" w:rsidRPr="00A303E8" w:rsidRDefault="006D783D" w:rsidP="006D783D">
      <w:pPr>
        <w:spacing w:after="0" w:line="240" w:lineRule="auto"/>
        <w:ind w:left="709" w:right="709"/>
        <w:jc w:val="both"/>
        <w:rPr>
          <w:rFonts w:ascii="Verdana" w:eastAsia="Calibri" w:hAnsi="Verdana" w:cs="Arial"/>
          <w:sz w:val="20"/>
          <w:szCs w:val="20"/>
          <w:lang w:val="es-ES" w:eastAsia="es-ES"/>
        </w:rPr>
      </w:pPr>
      <w:r w:rsidRPr="00A303E8">
        <w:rPr>
          <w:rFonts w:ascii="Verdana" w:eastAsia="Calibri" w:hAnsi="Verdana" w:cs="Arial"/>
          <w:sz w:val="20"/>
          <w:szCs w:val="20"/>
          <w:lang w:val="es-ES" w:eastAsia="es-ES"/>
        </w:rPr>
        <w:t xml:space="preserve">“Sin embargo, el hecho que no persigan una finalidad lucrativa no significa que no desarrollen actividades que generen utilidades, lo que pasa es que, a diferencia de las sociedades, el lucro o ganancia obtenida no se reparte entre sus </w:t>
      </w:r>
      <w:proofErr w:type="gramStart"/>
      <w:r w:rsidRPr="00A303E8">
        <w:rPr>
          <w:rFonts w:ascii="Verdana" w:eastAsia="Calibri" w:hAnsi="Verdana" w:cs="Arial"/>
          <w:sz w:val="20"/>
          <w:szCs w:val="20"/>
          <w:lang w:val="es-ES" w:eastAsia="es-ES"/>
        </w:rPr>
        <w:t>miembros</w:t>
      </w:r>
      <w:proofErr w:type="gramEnd"/>
      <w:r w:rsidRPr="00A303E8">
        <w:rPr>
          <w:rFonts w:ascii="Verdana" w:eastAsia="Calibri" w:hAnsi="Verdana" w:cs="Arial"/>
          <w:sz w:val="20"/>
          <w:szCs w:val="20"/>
          <w:lang w:val="es-ES" w:eastAsia="es-ES"/>
        </w:rPr>
        <w:t xml:space="preserve"> sino que se integra al patrimonio de la asociación para la obtención del fin deseado. Así, el elemento característico de las corporaciones o asociaciones sin ánimo de lucro radica, precisamente, en la determinación de sus miembros de desarrollar una actividad de interés general sin esperar a cambio repartición de utilidades en proporción a su aporte, ni la recuperación </w:t>
      </w:r>
      <w:proofErr w:type="gramStart"/>
      <w:r w:rsidRPr="00A303E8">
        <w:rPr>
          <w:rFonts w:ascii="Verdana" w:eastAsia="Calibri" w:hAnsi="Verdana" w:cs="Arial"/>
          <w:sz w:val="20"/>
          <w:szCs w:val="20"/>
          <w:lang w:val="es-ES" w:eastAsia="es-ES"/>
        </w:rPr>
        <w:t>del mismo</w:t>
      </w:r>
      <w:proofErr w:type="gramEnd"/>
      <w:r w:rsidRPr="00A303E8">
        <w:rPr>
          <w:rFonts w:ascii="Verdana" w:eastAsia="Calibri" w:hAnsi="Verdana" w:cs="Arial"/>
          <w:sz w:val="20"/>
          <w:szCs w:val="20"/>
          <w:lang w:val="es-ES" w:eastAsia="es-ES"/>
        </w:rPr>
        <w:t xml:space="preserve"> en el momento de su disolución o liquidación”</w:t>
      </w:r>
      <w:r w:rsidRPr="00997992">
        <w:rPr>
          <w:rStyle w:val="Refdenotaalpie"/>
          <w:rFonts w:ascii="Verdana" w:eastAsia="Calibri" w:hAnsi="Verdana" w:cs="Arial"/>
          <w:lang w:val="es-ES_tradnl" w:eastAsia="es-ES_tradnl"/>
        </w:rPr>
        <w:t xml:space="preserve"> </w:t>
      </w:r>
      <w:r w:rsidRPr="00A303E8">
        <w:rPr>
          <w:rStyle w:val="Refdenotaalpie"/>
          <w:rFonts w:ascii="Verdana" w:eastAsia="Calibri" w:hAnsi="Verdana" w:cs="Arial"/>
          <w:lang w:val="es-ES_tradnl" w:eastAsia="es-ES_tradnl"/>
        </w:rPr>
        <w:footnoteReference w:id="3"/>
      </w:r>
      <w:r w:rsidRPr="00A303E8">
        <w:rPr>
          <w:rFonts w:ascii="Verdana" w:eastAsia="Calibri" w:hAnsi="Verdana" w:cs="Arial"/>
          <w:sz w:val="20"/>
          <w:szCs w:val="20"/>
          <w:lang w:val="es-ES" w:eastAsia="es-ES"/>
        </w:rPr>
        <w:t>.</w:t>
      </w:r>
    </w:p>
    <w:p w14:paraId="0399F614" w14:textId="77777777" w:rsidR="006D783D" w:rsidRPr="00A303E8" w:rsidRDefault="006D783D" w:rsidP="006D783D">
      <w:pPr>
        <w:spacing w:after="0" w:line="276" w:lineRule="auto"/>
        <w:ind w:firstLine="709"/>
        <w:jc w:val="both"/>
        <w:rPr>
          <w:rFonts w:ascii="Verdana" w:eastAsia="Calibri" w:hAnsi="Verdana" w:cs="Arial"/>
          <w:lang w:val="es-ES_tradnl" w:eastAsia="es-ES_tradnl"/>
        </w:rPr>
      </w:pPr>
    </w:p>
    <w:p w14:paraId="448204D4" w14:textId="77777777" w:rsidR="006D783D" w:rsidRDefault="006D783D" w:rsidP="006D783D">
      <w:pPr>
        <w:widowControl w:val="0"/>
        <w:autoSpaceDE w:val="0"/>
        <w:autoSpaceDN w:val="0"/>
        <w:spacing w:after="120" w:line="276" w:lineRule="auto"/>
        <w:ind w:firstLine="709"/>
        <w:jc w:val="both"/>
        <w:rPr>
          <w:rFonts w:ascii="Verdana" w:eastAsia="Calibri" w:hAnsi="Verdana" w:cs="Arial"/>
          <w:lang w:val="es-ES_tradnl" w:eastAsia="es-ES_tradnl"/>
        </w:rPr>
      </w:pPr>
      <w:r w:rsidRPr="00A303E8">
        <w:rPr>
          <w:rFonts w:ascii="Verdana" w:eastAsia="Calibri" w:hAnsi="Verdana" w:cs="Arial"/>
          <w:lang w:val="es-ES_tradnl" w:eastAsia="es-ES_tradnl"/>
        </w:rPr>
        <w:t>En ese mismo sentido, la Cámara de Comercio de Bogotá, en el “Documento ABC Entidades sin Ánimo de Lucro”, ha definido las ESAL como “las personas jurídicas que se constituyen por la voluntad de asociación o creación de otras personas (naturales o jurídicas) para realizar actividades en beneficio de los asociados o de terceras personas o de la comunidad en general y no persiguen el reparto de utilidades entre sus miembros</w:t>
      </w:r>
      <w:r w:rsidRPr="00A303E8">
        <w:rPr>
          <w:rStyle w:val="Refdenotaalpie"/>
          <w:rFonts w:ascii="Verdana" w:eastAsia="Calibri" w:hAnsi="Verdana" w:cs="Arial"/>
          <w:lang w:val="es-ES_tradnl" w:eastAsia="es-ES_tradnl"/>
        </w:rPr>
        <w:footnoteReference w:id="4"/>
      </w:r>
      <w:r w:rsidRPr="00A303E8">
        <w:rPr>
          <w:rFonts w:ascii="Verdana" w:eastAsia="Calibri" w:hAnsi="Verdana" w:cs="Arial"/>
          <w:lang w:val="es-ES_tradnl" w:eastAsia="es-ES_tradnl"/>
        </w:rPr>
        <w:t xml:space="preserve">”. Las ESAL, no tienen la </w:t>
      </w:r>
      <w:r w:rsidRPr="00A303E8">
        <w:rPr>
          <w:rFonts w:ascii="Verdana" w:eastAsia="Calibri" w:hAnsi="Verdana" w:cs="Arial"/>
          <w:lang w:val="es-ES_tradnl" w:eastAsia="es-ES_tradnl"/>
        </w:rPr>
        <w:lastRenderedPageBreak/>
        <w:t>naturaleza jurídica de empresa sino, de asociaciones que buscan la realización de un fin común y objetivos carentes de un contenido esencialmente patrimonial –fin de lucro y reparto de las utilidades–.</w:t>
      </w:r>
    </w:p>
    <w:p w14:paraId="4B000F42" w14:textId="77777777" w:rsidR="006D783D" w:rsidRDefault="006D783D" w:rsidP="006D783D">
      <w:pPr>
        <w:spacing w:after="120" w:line="276" w:lineRule="auto"/>
        <w:jc w:val="both"/>
        <w:rPr>
          <w:rFonts w:ascii="Verdana" w:eastAsia="Times New Roman" w:hAnsi="Verdana" w:cs="Arial"/>
          <w:lang w:eastAsia="es-MX"/>
        </w:rPr>
      </w:pPr>
      <w:proofErr w:type="spellStart"/>
      <w:r>
        <w:rPr>
          <w:rFonts w:ascii="Verdana" w:eastAsia="Calibri" w:hAnsi="Verdana" w:cs="Arial"/>
          <w:lang w:val="es-ES"/>
        </w:rPr>
        <w:t>ii</w:t>
      </w:r>
      <w:proofErr w:type="spellEnd"/>
      <w:r>
        <w:rPr>
          <w:rFonts w:ascii="Verdana" w:eastAsia="Calibri" w:hAnsi="Verdana" w:cs="Arial"/>
          <w:lang w:val="es-ES"/>
        </w:rPr>
        <w:t xml:space="preserve">. </w:t>
      </w:r>
      <w:r w:rsidRPr="00995CAD">
        <w:rPr>
          <w:rFonts w:ascii="Verdana" w:eastAsia="Calibri" w:hAnsi="Verdana" w:cs="Arial"/>
          <w:lang w:val="es-ES"/>
        </w:rPr>
        <w:t>L</w:t>
      </w:r>
      <w:r w:rsidRPr="00995CAD">
        <w:rPr>
          <w:rFonts w:ascii="Verdana" w:eastAsia="Arial" w:hAnsi="Verdana" w:cs="Arial"/>
          <w:lang w:val="es-ES" w:eastAsia="es-CO"/>
        </w:rPr>
        <w:t>a Ley 2069 d</w:t>
      </w:r>
      <w:r w:rsidRPr="00995CAD">
        <w:rPr>
          <w:rFonts w:ascii="Verdana" w:eastAsia="Arial" w:hAnsi="Verdana" w:cs="Arial"/>
          <w:lang w:eastAsia="es-CO"/>
        </w:rPr>
        <w:t>el 31 de diciembre de 2020,</w:t>
      </w:r>
      <w:r w:rsidRPr="00995CAD">
        <w:rPr>
          <w:rFonts w:ascii="Verdana" w:eastAsia="Arial" w:hAnsi="Verdana" w:cs="Arial"/>
          <w:lang w:val="es-ES" w:eastAsia="es-CO"/>
        </w:rPr>
        <w:t xml:space="preserve"> “Por medio de la cual se impulsa el emprendimiento en Colombia”, establece un marco regulatorio que propicia el emprendimiento, el crecimiento, la consolidación y la sostenibilidad de las empresas, con el fin de aumentar el bienestar social y generar equidad. E</w:t>
      </w:r>
      <w:r w:rsidRPr="00995CAD">
        <w:rPr>
          <w:rFonts w:ascii="Verdana" w:eastAsia="Arial" w:hAnsi="Verdana" w:cs="Arial"/>
          <w:bCs/>
          <w:lang w:val="es-ES" w:eastAsia="es-CO"/>
        </w:rPr>
        <w:t xml:space="preserve">l “Capítulo III – Compras públicas” </w:t>
      </w:r>
      <w:r w:rsidRPr="00995CAD">
        <w:rPr>
          <w:rFonts w:ascii="Verdana" w:eastAsia="Times New Roman" w:hAnsi="Verdana" w:cs="Arial"/>
          <w:lang w:eastAsia="es-MX"/>
        </w:rPr>
        <w:t>contiene normas que modifican</w:t>
      </w:r>
      <w:r w:rsidRPr="00995CAD">
        <w:rPr>
          <w:rFonts w:ascii="Verdana" w:eastAsia="Times New Roman" w:hAnsi="Verdana" w:cs="Arial"/>
          <w:spacing w:val="1"/>
          <w:lang w:eastAsia="es-MX"/>
        </w:rPr>
        <w:t xml:space="preserve"> </w:t>
      </w:r>
      <w:r w:rsidRPr="00995CAD">
        <w:rPr>
          <w:rFonts w:ascii="Verdana" w:eastAsia="Times New Roman" w:hAnsi="Verdana" w:cs="Arial"/>
          <w:lang w:eastAsia="es-MX"/>
        </w:rPr>
        <w:t>algunos</w:t>
      </w:r>
      <w:r w:rsidRPr="00995CAD">
        <w:rPr>
          <w:rFonts w:ascii="Verdana" w:eastAsia="Times New Roman" w:hAnsi="Verdana" w:cs="Arial"/>
          <w:spacing w:val="1"/>
          <w:lang w:eastAsia="es-MX"/>
        </w:rPr>
        <w:t xml:space="preserve"> </w:t>
      </w:r>
      <w:r w:rsidRPr="00995CAD">
        <w:rPr>
          <w:rFonts w:ascii="Verdana" w:eastAsia="Times New Roman" w:hAnsi="Verdana" w:cs="Arial"/>
          <w:lang w:eastAsia="es-MX"/>
        </w:rPr>
        <w:t>aspectos</w:t>
      </w:r>
      <w:r w:rsidRPr="00995CAD">
        <w:rPr>
          <w:rFonts w:ascii="Verdana" w:eastAsia="Times New Roman" w:hAnsi="Verdana" w:cs="Arial"/>
          <w:spacing w:val="1"/>
          <w:lang w:eastAsia="es-MX"/>
        </w:rPr>
        <w:t xml:space="preserve"> </w:t>
      </w:r>
      <w:r w:rsidRPr="00995CAD">
        <w:rPr>
          <w:rFonts w:ascii="Verdana" w:eastAsia="Times New Roman" w:hAnsi="Verdana" w:cs="Arial"/>
          <w:lang w:eastAsia="es-MX"/>
        </w:rPr>
        <w:t>de</w:t>
      </w:r>
      <w:r w:rsidRPr="00995CAD">
        <w:rPr>
          <w:rFonts w:ascii="Verdana" w:eastAsia="Times New Roman" w:hAnsi="Verdana" w:cs="Arial"/>
          <w:spacing w:val="1"/>
          <w:lang w:eastAsia="es-MX"/>
        </w:rPr>
        <w:t xml:space="preserve"> </w:t>
      </w:r>
      <w:r w:rsidRPr="00995CAD">
        <w:rPr>
          <w:rFonts w:ascii="Verdana" w:eastAsia="Times New Roman" w:hAnsi="Verdana" w:cs="Arial"/>
          <w:lang w:eastAsia="es-MX"/>
        </w:rPr>
        <w:t>la</w:t>
      </w:r>
      <w:r w:rsidRPr="00995CAD">
        <w:rPr>
          <w:rFonts w:ascii="Verdana" w:eastAsia="Times New Roman" w:hAnsi="Verdana" w:cs="Arial"/>
          <w:spacing w:val="1"/>
          <w:lang w:eastAsia="es-MX"/>
        </w:rPr>
        <w:t xml:space="preserve"> </w:t>
      </w:r>
      <w:r w:rsidRPr="00995CAD">
        <w:rPr>
          <w:rFonts w:ascii="Verdana" w:eastAsia="Times New Roman" w:hAnsi="Verdana" w:cs="Arial"/>
          <w:lang w:eastAsia="es-MX"/>
        </w:rPr>
        <w:t>contratación</w:t>
      </w:r>
      <w:r w:rsidRPr="00995CAD">
        <w:rPr>
          <w:rFonts w:ascii="Verdana" w:eastAsia="Times New Roman" w:hAnsi="Verdana" w:cs="Arial"/>
          <w:spacing w:val="1"/>
          <w:lang w:eastAsia="es-MX"/>
        </w:rPr>
        <w:t xml:space="preserve"> </w:t>
      </w:r>
      <w:r w:rsidRPr="00995CAD">
        <w:rPr>
          <w:rFonts w:ascii="Verdana" w:eastAsia="Times New Roman" w:hAnsi="Verdana" w:cs="Arial"/>
          <w:lang w:eastAsia="es-MX"/>
        </w:rPr>
        <w:t>estatal</w:t>
      </w:r>
      <w:r w:rsidRPr="00995CAD">
        <w:rPr>
          <w:rFonts w:ascii="Verdana" w:eastAsia="Times New Roman" w:hAnsi="Verdana" w:cs="Arial"/>
          <w:spacing w:val="1"/>
          <w:lang w:eastAsia="es-MX"/>
        </w:rPr>
        <w:t xml:space="preserve"> </w:t>
      </w:r>
      <w:r w:rsidRPr="00995CAD">
        <w:rPr>
          <w:rFonts w:ascii="Verdana" w:eastAsia="Times New Roman" w:hAnsi="Verdana" w:cs="Arial"/>
          <w:lang w:eastAsia="es-MX"/>
        </w:rPr>
        <w:t>para</w:t>
      </w:r>
      <w:r w:rsidRPr="00995CAD">
        <w:rPr>
          <w:rFonts w:ascii="Verdana" w:eastAsia="Times New Roman" w:hAnsi="Verdana" w:cs="Arial"/>
          <w:spacing w:val="1"/>
          <w:lang w:eastAsia="es-MX"/>
        </w:rPr>
        <w:t xml:space="preserve"> </w:t>
      </w:r>
      <w:r w:rsidRPr="00995CAD">
        <w:rPr>
          <w:rFonts w:ascii="Verdana" w:eastAsia="Times New Roman" w:hAnsi="Verdana" w:cs="Arial"/>
          <w:lang w:eastAsia="es-MX"/>
        </w:rPr>
        <w:t>promover</w:t>
      </w:r>
      <w:r w:rsidRPr="00995CAD">
        <w:rPr>
          <w:rFonts w:ascii="Verdana" w:eastAsia="Times New Roman" w:hAnsi="Verdana" w:cs="Arial"/>
          <w:spacing w:val="1"/>
          <w:lang w:eastAsia="es-MX"/>
        </w:rPr>
        <w:t xml:space="preserve"> </w:t>
      </w:r>
      <w:r w:rsidRPr="00995CAD">
        <w:rPr>
          <w:rFonts w:ascii="Verdana" w:eastAsia="Times New Roman" w:hAnsi="Verdana" w:cs="Arial"/>
          <w:lang w:eastAsia="es-MX"/>
        </w:rPr>
        <w:t>el</w:t>
      </w:r>
      <w:r w:rsidRPr="00995CAD">
        <w:rPr>
          <w:rFonts w:ascii="Verdana" w:eastAsia="Times New Roman" w:hAnsi="Verdana" w:cs="Arial"/>
          <w:spacing w:val="1"/>
          <w:lang w:eastAsia="es-MX"/>
        </w:rPr>
        <w:t xml:space="preserve"> </w:t>
      </w:r>
      <w:r w:rsidRPr="00995CAD">
        <w:rPr>
          <w:rFonts w:ascii="Verdana" w:eastAsia="Times New Roman" w:hAnsi="Verdana" w:cs="Arial"/>
          <w:lang w:eastAsia="es-MX"/>
        </w:rPr>
        <w:t xml:space="preserve">emprendimiento. </w:t>
      </w:r>
      <w:r w:rsidRPr="00A303E8">
        <w:rPr>
          <w:rFonts w:ascii="Verdana" w:eastAsia="Calibri" w:hAnsi="Verdana" w:cs="Arial"/>
          <w:bCs/>
          <w:lang w:eastAsia="es-ES_tradnl"/>
        </w:rPr>
        <w:t xml:space="preserve">Dentro del referido capítulo se encuentran </w:t>
      </w:r>
      <w:r>
        <w:rPr>
          <w:rFonts w:ascii="Verdana" w:eastAsia="Calibri" w:hAnsi="Verdana" w:cs="Arial"/>
          <w:bCs/>
          <w:lang w:eastAsia="es-ES_tradnl"/>
        </w:rPr>
        <w:t>el artículo 34, en el cual se establecen unos</w:t>
      </w:r>
      <w:r>
        <w:rPr>
          <w:rFonts w:ascii="Verdana" w:eastAsia="Times New Roman" w:hAnsi="Verdana" w:cs="Arial"/>
          <w:lang w:eastAsia="es-MX"/>
        </w:rPr>
        <w:t xml:space="preserve"> parámetros para la limitación de convocatorias a </w:t>
      </w:r>
      <w:proofErr w:type="spellStart"/>
      <w:r>
        <w:rPr>
          <w:rFonts w:ascii="Verdana" w:eastAsia="Times New Roman" w:hAnsi="Verdana" w:cs="Arial"/>
          <w:lang w:eastAsia="es-MX"/>
        </w:rPr>
        <w:t>Mipymes</w:t>
      </w:r>
      <w:proofErr w:type="spellEnd"/>
      <w:r>
        <w:rPr>
          <w:rFonts w:ascii="Verdana" w:eastAsia="Times New Roman" w:hAnsi="Verdana" w:cs="Arial"/>
          <w:lang w:eastAsia="es-MX"/>
        </w:rPr>
        <w:t xml:space="preserve">, </w:t>
      </w:r>
      <w:r w:rsidRPr="00362CA6">
        <w:rPr>
          <w:rFonts w:ascii="Verdana" w:eastAsia="Times New Roman" w:hAnsi="Verdana" w:cs="Arial"/>
          <w:lang w:eastAsia="es-MX"/>
        </w:rPr>
        <w:t xml:space="preserve">con el fin de incentivar su participación en el Sistema de Compras y Contratación Pública. </w:t>
      </w:r>
    </w:p>
    <w:p w14:paraId="5C563370" w14:textId="77777777" w:rsidR="006D783D" w:rsidRPr="00DE2C4A" w:rsidRDefault="006D783D" w:rsidP="006D783D">
      <w:pPr>
        <w:spacing w:after="120" w:line="276" w:lineRule="auto"/>
        <w:ind w:firstLine="709"/>
        <w:jc w:val="both"/>
        <w:rPr>
          <w:rFonts w:ascii="Verdana" w:eastAsia="Times New Roman" w:hAnsi="Verdana" w:cs="Arial"/>
          <w:lang w:eastAsia="es-MX"/>
        </w:rPr>
      </w:pPr>
      <w:r>
        <w:rPr>
          <w:rFonts w:ascii="Verdana" w:eastAsia="Times New Roman" w:hAnsi="Verdana" w:cs="Arial"/>
          <w:lang w:eastAsia="es-MX"/>
        </w:rPr>
        <w:t xml:space="preserve">Así las cosas, para dar respuesta al problema jurídico planteado es necesario analizar si las ESAL pueden ser beneficiarias de las convocatorias limitadas a favor de </w:t>
      </w:r>
      <w:proofErr w:type="spellStart"/>
      <w:r>
        <w:rPr>
          <w:rFonts w:ascii="Verdana" w:eastAsia="Times New Roman" w:hAnsi="Verdana" w:cs="Arial"/>
          <w:lang w:eastAsia="es-MX"/>
        </w:rPr>
        <w:t>Mipymes</w:t>
      </w:r>
      <w:proofErr w:type="spellEnd"/>
      <w:r>
        <w:rPr>
          <w:rFonts w:ascii="Verdana" w:eastAsia="Times New Roman" w:hAnsi="Verdana" w:cs="Arial"/>
          <w:lang w:eastAsia="es-MX"/>
        </w:rPr>
        <w:t xml:space="preserve">. </w:t>
      </w:r>
      <w:r w:rsidRPr="60F29CF2">
        <w:rPr>
          <w:rFonts w:ascii="Verdana" w:hAnsi="Verdana" w:cs="Arial"/>
          <w:lang w:val="es-ES"/>
        </w:rPr>
        <w:t xml:space="preserve">En primer lugar, respecto a la asimilación de las ESAL con las </w:t>
      </w:r>
      <w:proofErr w:type="spellStart"/>
      <w:r w:rsidRPr="60F29CF2">
        <w:rPr>
          <w:rFonts w:ascii="Verdana" w:hAnsi="Verdana" w:cs="Arial"/>
          <w:lang w:val="es-ES"/>
        </w:rPr>
        <w:t>Mipymes</w:t>
      </w:r>
      <w:proofErr w:type="spellEnd"/>
      <w:r w:rsidRPr="60F29CF2">
        <w:rPr>
          <w:rFonts w:ascii="Verdana" w:hAnsi="Verdana" w:cs="Arial"/>
          <w:lang w:val="es-ES"/>
        </w:rPr>
        <w:t xml:space="preserve">, resulta indispensable señalar que el artículo 2 de la Ley 590 de 2000, modificado por el artículo 43 de la Ley 1450 de 2011, define la </w:t>
      </w:r>
      <w:r w:rsidRPr="60F29CF2">
        <w:rPr>
          <w:rFonts w:ascii="Verdana" w:hAnsi="Verdana" w:cs="Arial"/>
          <w:i/>
          <w:iCs/>
          <w:lang w:val="es-ES"/>
        </w:rPr>
        <w:t>empresa</w:t>
      </w:r>
      <w:r w:rsidRPr="60F29CF2">
        <w:rPr>
          <w:rFonts w:ascii="Verdana" w:hAnsi="Verdana" w:cs="Arial"/>
          <w:lang w:val="es-ES"/>
        </w:rPr>
        <w:t xml:space="preserve"> como toda unidad de explotación económica que realiza una persona natural o jurídica en actividades agropecuarias, industriales, comerciales o de servicios</w:t>
      </w:r>
      <w:r w:rsidRPr="60F29CF2">
        <w:rPr>
          <w:rFonts w:ascii="Verdana" w:hAnsi="Verdana" w:cs="Arial"/>
          <w:vertAlign w:val="superscript"/>
          <w:lang w:val="es-ES"/>
        </w:rPr>
        <w:footnoteReference w:id="5"/>
      </w:r>
      <w:r w:rsidRPr="60F29CF2">
        <w:rPr>
          <w:rFonts w:ascii="Verdana" w:hAnsi="Verdana" w:cs="Arial"/>
          <w:lang w:val="es-ES"/>
        </w:rPr>
        <w:t>. Además, establece que estas se clasifican en micro, pequeña, mediana y gran empresa, de acuerdo con los criterios del número de trabajadores totales, el valor de ventas brutales anuales y el valor de activos totales.</w:t>
      </w:r>
      <w:r w:rsidRPr="60F29CF2">
        <w:rPr>
          <w:rFonts w:ascii="Verdana" w:eastAsia="Arial" w:hAnsi="Verdana" w:cs="Arial"/>
          <w:lang w:val="es-ES"/>
        </w:rPr>
        <w:t xml:space="preserve"> Ahora bien, el artículo 2.2.1.13.2.2. del Decreto 1074 de 2015, adicionado por el Decreto 957 de 2019, establece que: </w:t>
      </w:r>
    </w:p>
    <w:p w14:paraId="72002F12" w14:textId="77777777" w:rsidR="006D783D" w:rsidRPr="00362CA6" w:rsidRDefault="006D783D" w:rsidP="006D783D">
      <w:pPr>
        <w:spacing w:after="120" w:line="276" w:lineRule="auto"/>
        <w:ind w:firstLine="708"/>
        <w:jc w:val="both"/>
        <w:rPr>
          <w:rFonts w:ascii="Verdana" w:hAnsi="Verdana" w:cs="Arial"/>
          <w:lang w:val="es-ES_tradnl"/>
        </w:rPr>
      </w:pPr>
      <w:r>
        <w:rPr>
          <w:rFonts w:ascii="Verdana" w:hAnsi="Verdana" w:cs="Arial"/>
          <w:lang w:val="es-ES_tradnl"/>
        </w:rPr>
        <w:t xml:space="preserve">1. </w:t>
      </w:r>
      <w:r w:rsidRPr="00362CA6">
        <w:rPr>
          <w:rFonts w:ascii="Verdana" w:hAnsi="Verdana" w:cs="Arial"/>
          <w:lang w:val="es-ES_tradnl"/>
        </w:rPr>
        <w:t xml:space="preserve">La </w:t>
      </w:r>
      <w:r w:rsidRPr="00123A43">
        <w:rPr>
          <w:rFonts w:ascii="Verdana" w:hAnsi="Verdana" w:cs="Arial"/>
          <w:i/>
          <w:iCs/>
          <w:lang w:val="es-ES_tradnl"/>
        </w:rPr>
        <w:t>microempresa</w:t>
      </w:r>
      <w:r w:rsidRPr="00362CA6">
        <w:rPr>
          <w:rFonts w:ascii="Verdana" w:hAnsi="Verdana" w:cs="Arial"/>
          <w:lang w:val="es-ES_tradnl"/>
        </w:rPr>
        <w:t xml:space="preserve"> en el sector manufacturero, es “aquella cuyos ingresos por actividades ordinarias anuales sean inferiores o iguales a veintitrés </w:t>
      </w:r>
      <w:r w:rsidRPr="00362CA6">
        <w:rPr>
          <w:rFonts w:ascii="Verdana" w:hAnsi="Verdana" w:cs="Arial"/>
          <w:lang w:val="es-ES_tradnl"/>
        </w:rPr>
        <w:lastRenderedPageBreak/>
        <w:t>mil quinientos sesenta y tres Unidades de Valor Tributario (23.563 UVT)”, en el sector servicios, la que sus “ingresos por actividades ordinarias anuales sean inferiores o iguales a treinta y dos mil novecientos ochenta y ocho Unidades de Valor Tributario (32.988 UVT)”, y en el sector comercio, la que sus “ingresos por actividades ordinarias anuales sean inferiores o iguales a cuarenta y cuatro mil setecientos sesenta y nueve Unidades de Valor Tributario (44.769 UVT)</w:t>
      </w:r>
    </w:p>
    <w:p w14:paraId="0C1AA826" w14:textId="77777777" w:rsidR="006D783D" w:rsidRPr="00362CA6" w:rsidRDefault="006D783D" w:rsidP="006D783D">
      <w:pPr>
        <w:spacing w:after="120" w:line="276" w:lineRule="auto"/>
        <w:ind w:firstLine="708"/>
        <w:jc w:val="both"/>
        <w:rPr>
          <w:rFonts w:ascii="Verdana" w:hAnsi="Verdana" w:cs="Arial"/>
          <w:lang w:val="es-ES"/>
        </w:rPr>
      </w:pPr>
      <w:r>
        <w:rPr>
          <w:rFonts w:ascii="Verdana" w:hAnsi="Verdana" w:cs="Arial"/>
          <w:lang w:val="es-ES"/>
        </w:rPr>
        <w:t>2.</w:t>
      </w:r>
      <w:r w:rsidRPr="00362CA6">
        <w:rPr>
          <w:rFonts w:ascii="Verdana" w:hAnsi="Verdana" w:cs="Arial"/>
          <w:lang w:val="es-ES"/>
        </w:rPr>
        <w:t xml:space="preserve"> La </w:t>
      </w:r>
      <w:r w:rsidRPr="00123A43">
        <w:rPr>
          <w:rFonts w:ascii="Verdana" w:hAnsi="Verdana" w:cs="Arial"/>
          <w:i/>
          <w:iCs/>
          <w:lang w:val="es-ES"/>
        </w:rPr>
        <w:t>pequeña empresa</w:t>
      </w:r>
      <w:r w:rsidRPr="00362CA6">
        <w:rPr>
          <w:rFonts w:ascii="Verdana" w:hAnsi="Verdana" w:cs="Arial"/>
          <w:lang w:val="es-ES"/>
        </w:rPr>
        <w:t xml:space="preserve"> en el sector manufacturero, es aquella “cuyos ingresos por actividades ordinarias anuales sean superiores a veintitrés mil quinientos sesenta y tres Unidades de Valor Tributario (23.563 UVT) e inferiores o iguales a doscientos cuatro mil novecientos  noventa y cinco Unidades de Valor Tributario (204.995 UVT)”; en el sector servicios, la que sus “ingresos por actividades ordinarias anuales sean superiores a treinta y dos mil novecientos ochenta y ocho Unidades de Valor Tributario (32.988 UVT) e inferiores o iguales a ciento treinta y un mil novecientos cincuenta y uno Unidades de Valor Tributario (131. 951 UVT)”; y en el sector comercio, la que sus “ingresos por actividades ordinarias anuales sean superiores a cuarenta y cuatro mil setecientos sesenta y nueve Unidades de Valor Tributario (44.769 UVT) e inferiores o iguales a cuatrocientos treinta y un mil ciento noventa y seis Unidades de Valor Tributario (431.196 UVT)”.</w:t>
      </w:r>
    </w:p>
    <w:p w14:paraId="75B16EC7" w14:textId="77777777" w:rsidR="006D783D" w:rsidRPr="00362CA6" w:rsidRDefault="006D783D" w:rsidP="006D783D">
      <w:pPr>
        <w:spacing w:after="120" w:line="276" w:lineRule="auto"/>
        <w:ind w:firstLine="709"/>
        <w:jc w:val="both"/>
        <w:rPr>
          <w:rFonts w:ascii="Verdana" w:eastAsia="Arial" w:hAnsi="Verdana" w:cs="Arial"/>
          <w:lang w:val="es-ES"/>
        </w:rPr>
      </w:pPr>
      <w:r>
        <w:rPr>
          <w:rFonts w:ascii="Verdana" w:eastAsia="Arial" w:hAnsi="Verdana" w:cs="Arial"/>
          <w:lang w:val="es-ES"/>
        </w:rPr>
        <w:t>3.</w:t>
      </w:r>
      <w:r w:rsidRPr="00362CA6">
        <w:rPr>
          <w:rFonts w:ascii="Verdana" w:eastAsia="Arial" w:hAnsi="Verdana" w:cs="Arial"/>
          <w:lang w:val="es-ES"/>
        </w:rPr>
        <w:t xml:space="preserve"> La </w:t>
      </w:r>
      <w:r w:rsidRPr="00362CA6">
        <w:rPr>
          <w:rFonts w:ascii="Verdana" w:eastAsia="Arial" w:hAnsi="Verdana" w:cs="Arial"/>
          <w:i/>
          <w:iCs/>
          <w:lang w:val="es-ES"/>
        </w:rPr>
        <w:t>mediana empresa</w:t>
      </w:r>
      <w:r w:rsidRPr="00362CA6">
        <w:rPr>
          <w:rFonts w:ascii="Verdana" w:eastAsia="Arial" w:hAnsi="Verdana" w:cs="Arial"/>
          <w:lang w:val="es-ES"/>
        </w:rPr>
        <w:t xml:space="preserve">, en el sector manufacturero, es aquella “cuyos ingresos por actividades ordinarias anuales sean superiores a doscientos cuatro mil novecientos noventa y cinco Unidades de Valor Tributario (204.995 UVT) e inferiores o iguales a un millón setecientos treinta y seis mil quinientos sesenta y cinco Unidades de Valor Tributario (1'736.565 UVT)”; en el sector servicios, la que sus “ingresos por actividades ordinarias anuales sean superiores a ciento treinta y un mil novecientos cincuenta y un Unidades de Valor Tributario (131.951 UVT) e inferiores o iguales a cuatrocientos ochenta y tres mil treinta y cuatro Unidades de Valor Tributario (483.034 UVT)”, y en el sector comercio, la que sus “ingresos por actividades ordinarias anuales sean superiores a cuatrocientos treinta y un mil ciento noventa y seis Unidades de Valor Tributario (431.196 UVT) e inferiores o iguales a dos millones ciento sesenta mil seiscientos noventa y dos Unidades de Valor Tributario (2'160 .692 UVT)”.  </w:t>
      </w:r>
    </w:p>
    <w:p w14:paraId="32F3B23E" w14:textId="77777777" w:rsidR="006D783D" w:rsidRDefault="006D783D" w:rsidP="006D783D">
      <w:pPr>
        <w:spacing w:after="120" w:line="276" w:lineRule="auto"/>
        <w:ind w:firstLine="709"/>
        <w:jc w:val="both"/>
        <w:rPr>
          <w:rFonts w:ascii="Verdana" w:hAnsi="Verdana" w:cs="Arial"/>
          <w:lang w:val="es-ES"/>
        </w:rPr>
      </w:pPr>
      <w:r>
        <w:rPr>
          <w:rFonts w:ascii="Verdana" w:hAnsi="Verdana" w:cs="Arial"/>
          <w:lang w:val="es-ES"/>
        </w:rPr>
        <w:t>Con base en lo anterior</w:t>
      </w:r>
      <w:r w:rsidRPr="60F29CF2">
        <w:rPr>
          <w:rFonts w:ascii="Verdana" w:hAnsi="Verdana" w:cs="Arial"/>
          <w:lang w:val="es-ES"/>
        </w:rPr>
        <w:t>, esta Agencia ha sostenido de forma reiterada la tesis consistente en que las ESAL no pueden</w:t>
      </w:r>
      <w:r>
        <w:rPr>
          <w:rFonts w:ascii="Verdana" w:hAnsi="Verdana" w:cs="Arial"/>
          <w:lang w:val="es-ES"/>
        </w:rPr>
        <w:t>, por regla general,</w:t>
      </w:r>
      <w:r w:rsidRPr="60F29CF2">
        <w:rPr>
          <w:rFonts w:ascii="Verdana" w:hAnsi="Verdana" w:cs="Arial"/>
          <w:lang w:val="es-ES"/>
        </w:rPr>
        <w:t xml:space="preserve"> acceder a los beneficios a favor de las </w:t>
      </w:r>
      <w:proofErr w:type="spellStart"/>
      <w:r w:rsidRPr="60F29CF2">
        <w:rPr>
          <w:rFonts w:ascii="Verdana" w:hAnsi="Verdana" w:cs="Arial"/>
          <w:lang w:val="es-ES"/>
        </w:rPr>
        <w:t>Mipymes</w:t>
      </w:r>
      <w:proofErr w:type="spellEnd"/>
      <w:r w:rsidRPr="60F29CF2">
        <w:rPr>
          <w:rFonts w:ascii="Verdana" w:hAnsi="Verdana" w:cs="Arial"/>
          <w:lang w:val="es-ES"/>
        </w:rPr>
        <w:t xml:space="preserve"> ni participar en los procesos contractuales limitados a estas. Este argumento, considerando que: </w:t>
      </w:r>
    </w:p>
    <w:p w14:paraId="4A09C85E" w14:textId="77777777" w:rsidR="006D783D" w:rsidRPr="000C3249" w:rsidRDefault="006D783D" w:rsidP="006D783D">
      <w:pPr>
        <w:spacing w:after="0" w:line="276" w:lineRule="auto"/>
        <w:ind w:left="709" w:right="709"/>
        <w:jc w:val="both"/>
        <w:rPr>
          <w:rFonts w:ascii="Verdana" w:hAnsi="Verdana" w:cs="Arial"/>
          <w:lang w:val="es-ES_tradnl"/>
        </w:rPr>
      </w:pPr>
    </w:p>
    <w:p w14:paraId="7458A1CD" w14:textId="77777777" w:rsidR="006D783D" w:rsidRDefault="006D783D" w:rsidP="006D783D">
      <w:pPr>
        <w:spacing w:after="0" w:line="240" w:lineRule="auto"/>
        <w:ind w:left="709" w:right="709"/>
        <w:jc w:val="both"/>
        <w:rPr>
          <w:rFonts w:ascii="Verdana" w:hAnsi="Verdana" w:cs="Arial"/>
          <w:sz w:val="20"/>
          <w:szCs w:val="20"/>
        </w:rPr>
      </w:pPr>
      <w:r w:rsidRPr="000C3249">
        <w:rPr>
          <w:rFonts w:ascii="Verdana" w:hAnsi="Verdana" w:cs="Arial"/>
          <w:sz w:val="20"/>
          <w:szCs w:val="20"/>
          <w:lang w:val="es-ES_tradnl"/>
        </w:rPr>
        <w:t>“</w:t>
      </w:r>
      <w:r w:rsidRPr="000C3249">
        <w:rPr>
          <w:rFonts w:ascii="Verdana" w:hAnsi="Verdana" w:cs="Arial"/>
          <w:sz w:val="20"/>
          <w:szCs w:val="20"/>
        </w:rPr>
        <w:t xml:space="preserve">en virtud del artículo 43 de la Ley 1450 de 2011, que modificó el artículo 2 de la Ley 590 de 2000, […] puede decirse que solo podrán ser </w:t>
      </w:r>
      <w:proofErr w:type="spellStart"/>
      <w:r w:rsidRPr="000C3249">
        <w:rPr>
          <w:rFonts w:ascii="Verdana" w:hAnsi="Verdana" w:cs="Arial"/>
          <w:sz w:val="20"/>
          <w:szCs w:val="20"/>
        </w:rPr>
        <w:t>Mipymes</w:t>
      </w:r>
      <w:proofErr w:type="spellEnd"/>
      <w:r w:rsidRPr="000C3249">
        <w:rPr>
          <w:rFonts w:ascii="Verdana" w:hAnsi="Verdana" w:cs="Arial"/>
          <w:sz w:val="20"/>
          <w:szCs w:val="20"/>
        </w:rPr>
        <w:t xml:space="preserve"> las empresas, entendidas estas como las unidades de explotación económica que buscan el reparto de utilidades entre los miembros de la empresa. De esta forma, en razón a que las ESAL no persiguen el reparto de utilidades entre sus miembros, sino que su objeto está destinado a realizar una actividad de interés general sin esperar a cambio un reparto de ganancia en proporción a sus utilidades, lo cierto es que estas no podrán participar en los procesos de contratación limitado a </w:t>
      </w:r>
      <w:proofErr w:type="spellStart"/>
      <w:r w:rsidRPr="000C3249">
        <w:rPr>
          <w:rFonts w:ascii="Verdana" w:hAnsi="Verdana" w:cs="Arial"/>
          <w:sz w:val="20"/>
          <w:szCs w:val="20"/>
        </w:rPr>
        <w:t>mipymes</w:t>
      </w:r>
      <w:proofErr w:type="spellEnd"/>
      <w:r w:rsidRPr="000C3249">
        <w:rPr>
          <w:rFonts w:ascii="Verdana" w:hAnsi="Verdana" w:cs="Arial"/>
          <w:sz w:val="20"/>
          <w:szCs w:val="20"/>
        </w:rPr>
        <w:t xml:space="preserve">. Lo anterior teniendo en cuenta que </w:t>
      </w:r>
      <w:r w:rsidRPr="000C3249">
        <w:rPr>
          <w:rFonts w:ascii="Verdana" w:hAnsi="Verdana" w:cs="Arial"/>
          <w:i/>
          <w:iCs/>
          <w:sz w:val="20"/>
          <w:szCs w:val="20"/>
        </w:rPr>
        <w:t xml:space="preserve">no responden al concepto de empresa que involucra dicha categoría con ánimo de lucro, por lo que no resulta jurídicamente válido aplicar a las ESAL las normas dirigidas a las </w:t>
      </w:r>
      <w:proofErr w:type="spellStart"/>
      <w:r w:rsidRPr="000C3249">
        <w:rPr>
          <w:rFonts w:ascii="Verdana" w:hAnsi="Verdana" w:cs="Arial"/>
          <w:i/>
          <w:iCs/>
          <w:sz w:val="20"/>
          <w:szCs w:val="20"/>
        </w:rPr>
        <w:t>Mipymes</w:t>
      </w:r>
      <w:proofErr w:type="spellEnd"/>
      <w:r w:rsidRPr="000C3249">
        <w:rPr>
          <w:rFonts w:ascii="Verdana" w:hAnsi="Verdana" w:cs="Arial"/>
          <w:sz w:val="20"/>
          <w:szCs w:val="20"/>
        </w:rPr>
        <w:t>”</w:t>
      </w:r>
      <w:r w:rsidRPr="000C3249">
        <w:rPr>
          <w:rFonts w:ascii="Verdana" w:hAnsi="Verdana" w:cs="Arial"/>
          <w:sz w:val="20"/>
          <w:szCs w:val="20"/>
          <w:vertAlign w:val="superscript"/>
        </w:rPr>
        <w:footnoteReference w:id="6"/>
      </w:r>
      <w:r w:rsidRPr="000C3249">
        <w:rPr>
          <w:rFonts w:ascii="Verdana" w:hAnsi="Verdana" w:cs="Arial"/>
          <w:sz w:val="20"/>
          <w:szCs w:val="20"/>
        </w:rPr>
        <w:t xml:space="preserve">. </w:t>
      </w:r>
    </w:p>
    <w:p w14:paraId="074425A5" w14:textId="77777777" w:rsidR="006D783D" w:rsidRPr="00357F20" w:rsidRDefault="006D783D" w:rsidP="006D783D">
      <w:pPr>
        <w:spacing w:after="0" w:line="276" w:lineRule="auto"/>
        <w:ind w:left="709" w:right="709"/>
        <w:jc w:val="both"/>
        <w:rPr>
          <w:rFonts w:ascii="Verdana" w:hAnsi="Verdana" w:cs="Arial"/>
        </w:rPr>
      </w:pPr>
    </w:p>
    <w:p w14:paraId="5C64DB45" w14:textId="77777777" w:rsidR="006D783D" w:rsidRDefault="006D783D" w:rsidP="006D783D">
      <w:pPr>
        <w:spacing w:after="120" w:line="276" w:lineRule="auto"/>
        <w:ind w:firstLine="709"/>
        <w:jc w:val="both"/>
        <w:rPr>
          <w:rFonts w:ascii="Verdana" w:hAnsi="Verdana" w:cs="Arial"/>
          <w:lang w:val="es-ES"/>
        </w:rPr>
      </w:pPr>
      <w:r>
        <w:rPr>
          <w:rFonts w:ascii="Verdana" w:hAnsi="Verdana" w:cs="Arial"/>
          <w:lang w:val="es-ES"/>
        </w:rPr>
        <w:t>Según esta</w:t>
      </w:r>
      <w:r w:rsidRPr="00362CA6">
        <w:rPr>
          <w:rFonts w:ascii="Verdana" w:hAnsi="Verdana" w:cs="Arial"/>
          <w:lang w:val="es-ES"/>
        </w:rPr>
        <w:t xml:space="preserve"> postura,</w:t>
      </w:r>
      <w:r>
        <w:rPr>
          <w:rFonts w:ascii="Verdana" w:hAnsi="Verdana" w:cs="Arial"/>
          <w:lang w:val="es-ES"/>
        </w:rPr>
        <w:t xml:space="preserve"> y</w:t>
      </w:r>
      <w:r w:rsidRPr="00362CA6">
        <w:rPr>
          <w:rFonts w:ascii="Verdana" w:hAnsi="Verdana" w:cs="Arial"/>
          <w:lang w:val="es-ES"/>
        </w:rPr>
        <w:t xml:space="preserve"> en virtud de</w:t>
      </w:r>
      <w:r>
        <w:rPr>
          <w:rFonts w:ascii="Verdana" w:hAnsi="Verdana" w:cs="Arial"/>
          <w:lang w:val="es-ES"/>
        </w:rPr>
        <w:t xml:space="preserve"> lo señalado en el</w:t>
      </w:r>
      <w:r w:rsidRPr="00362CA6">
        <w:rPr>
          <w:rFonts w:ascii="Verdana" w:hAnsi="Verdana" w:cs="Arial"/>
          <w:lang w:val="es-ES"/>
        </w:rPr>
        <w:t xml:space="preserve"> artículo 43 de la Ley 1450 de 2011, que modificó el artículo 2 de la Ley 590 de 2000, solo podrán ser </w:t>
      </w:r>
      <w:r>
        <w:rPr>
          <w:rFonts w:ascii="Verdana" w:hAnsi="Verdana" w:cs="Arial"/>
          <w:lang w:val="es-ES"/>
        </w:rPr>
        <w:t xml:space="preserve">consideradas </w:t>
      </w:r>
      <w:proofErr w:type="spellStart"/>
      <w:r w:rsidRPr="00362CA6">
        <w:rPr>
          <w:rFonts w:ascii="Verdana" w:hAnsi="Verdana" w:cs="Arial"/>
          <w:lang w:val="es-ES"/>
        </w:rPr>
        <w:t>Mipymes</w:t>
      </w:r>
      <w:proofErr w:type="spellEnd"/>
      <w:r w:rsidRPr="00362CA6">
        <w:rPr>
          <w:rFonts w:ascii="Verdana" w:hAnsi="Verdana" w:cs="Arial"/>
          <w:lang w:val="es-ES"/>
        </w:rPr>
        <w:t xml:space="preserve"> las empresas, </w:t>
      </w:r>
      <w:r>
        <w:rPr>
          <w:rFonts w:ascii="Verdana" w:hAnsi="Verdana" w:cs="Arial"/>
          <w:lang w:val="es-ES"/>
        </w:rPr>
        <w:t xml:space="preserve">pues son </w:t>
      </w:r>
      <w:r w:rsidRPr="00362CA6">
        <w:rPr>
          <w:rFonts w:ascii="Verdana" w:hAnsi="Verdana" w:cs="Arial"/>
          <w:lang w:val="es-ES"/>
        </w:rPr>
        <w:t xml:space="preserve">unidades de explotación económica que buscan el reparto de utilidades entre los miembros de la empresa, sin perjuicio de las precisiones que se realizarán más adelante en relación con el artículo 23 de la Ley 2069 de 2020. </w:t>
      </w:r>
    </w:p>
    <w:p w14:paraId="243CC5FA" w14:textId="77777777" w:rsidR="006D783D" w:rsidRPr="00362CA6" w:rsidRDefault="006D783D" w:rsidP="006D783D">
      <w:pPr>
        <w:spacing w:after="120" w:line="276" w:lineRule="auto"/>
        <w:ind w:firstLine="709"/>
        <w:jc w:val="both"/>
        <w:rPr>
          <w:rFonts w:ascii="Verdana" w:hAnsi="Verdana" w:cs="Arial"/>
          <w:lang w:val="es-ES"/>
        </w:rPr>
      </w:pPr>
      <w:r>
        <w:rPr>
          <w:rFonts w:ascii="Verdana" w:hAnsi="Verdana" w:cs="Arial"/>
          <w:lang w:val="es-ES"/>
        </w:rPr>
        <w:t xml:space="preserve">De esta forma, </w:t>
      </w:r>
      <w:r w:rsidRPr="0040650F">
        <w:rPr>
          <w:rFonts w:ascii="Verdana" w:hAnsi="Verdana" w:cs="Arial"/>
          <w:lang w:val="es-ES"/>
        </w:rPr>
        <w:t>es claro que solo pueden ser consideradas MiPymes las empresas, entendidas estas como las unidades de explotación económica</w:t>
      </w:r>
      <w:r>
        <w:rPr>
          <w:rFonts w:ascii="Verdana" w:hAnsi="Verdana" w:cs="Arial"/>
          <w:lang w:val="es-ES"/>
        </w:rPr>
        <w:t>,</w:t>
      </w:r>
      <w:r w:rsidRPr="0040650F">
        <w:rPr>
          <w:rFonts w:ascii="Verdana" w:hAnsi="Verdana" w:cs="Arial"/>
          <w:lang w:val="es-ES"/>
        </w:rPr>
        <w:t xml:space="preserve"> que buscan el reparto de utilidades entre los miembros de la empresa. </w:t>
      </w:r>
      <w:r>
        <w:rPr>
          <w:rFonts w:ascii="Verdana" w:hAnsi="Verdana" w:cs="Arial"/>
          <w:lang w:val="es-ES"/>
        </w:rPr>
        <w:t>E</w:t>
      </w:r>
      <w:r w:rsidRPr="0040650F">
        <w:rPr>
          <w:rFonts w:ascii="Verdana" w:hAnsi="Verdana" w:cs="Arial"/>
          <w:lang w:val="es-ES"/>
        </w:rPr>
        <w:t xml:space="preserve">n razón a que las ESAL no persiguen el reparto de utilidades entre sus miembros, en el entendido en que no tienen ánimo de lucro, y que su objeto está destinado a realizar actividades de interés general sin esperar a cambio un reparto de ganancia en proporción a sus utilidades, lo cierto es que no pueden acceder a los incentivos </w:t>
      </w:r>
      <w:r w:rsidRPr="00967EED">
        <w:rPr>
          <w:rFonts w:ascii="Verdana" w:hAnsi="Verdana" w:cs="Arial"/>
        </w:rPr>
        <w:t>n</w:t>
      </w:r>
      <w:r>
        <w:rPr>
          <w:rFonts w:ascii="Verdana" w:hAnsi="Verdana" w:cs="Arial"/>
        </w:rPr>
        <w:t>i</w:t>
      </w:r>
      <w:r w:rsidRPr="00967EED">
        <w:rPr>
          <w:rFonts w:ascii="Verdana" w:hAnsi="Verdana" w:cs="Arial"/>
        </w:rPr>
        <w:t xml:space="preserve"> participar en los procesos de contratación limitado</w:t>
      </w:r>
      <w:r>
        <w:rPr>
          <w:rFonts w:ascii="Verdana" w:hAnsi="Verdana" w:cs="Arial"/>
        </w:rPr>
        <w:t>s</w:t>
      </w:r>
      <w:r w:rsidRPr="00967EED">
        <w:rPr>
          <w:rFonts w:ascii="Verdana" w:hAnsi="Verdana" w:cs="Arial"/>
        </w:rPr>
        <w:t xml:space="preserve"> a </w:t>
      </w:r>
      <w:r>
        <w:rPr>
          <w:rFonts w:ascii="Verdana" w:hAnsi="Verdana" w:cs="Arial"/>
        </w:rPr>
        <w:t>M</w:t>
      </w:r>
      <w:r w:rsidRPr="00967EED">
        <w:rPr>
          <w:rFonts w:ascii="Verdana" w:hAnsi="Verdana" w:cs="Arial"/>
        </w:rPr>
        <w:t>iPymes</w:t>
      </w:r>
      <w:r>
        <w:rPr>
          <w:rFonts w:ascii="Verdana" w:hAnsi="Verdana" w:cs="Arial"/>
          <w:lang w:val="es-ES"/>
        </w:rPr>
        <w:t>.</w:t>
      </w:r>
      <w:r w:rsidRPr="0097051B">
        <w:rPr>
          <w:rFonts w:ascii="Verdana" w:hAnsi="Verdana" w:cs="Arial"/>
          <w:lang w:val="es-ES"/>
        </w:rPr>
        <w:t xml:space="preserve"> </w:t>
      </w:r>
      <w:r w:rsidRPr="0040650F">
        <w:rPr>
          <w:rFonts w:ascii="Verdana" w:hAnsi="Verdana" w:cs="Arial"/>
          <w:lang w:val="es-ES"/>
        </w:rPr>
        <w:t>Esto no significa que las ESAL no</w:t>
      </w:r>
      <w:r>
        <w:rPr>
          <w:rFonts w:ascii="Verdana" w:hAnsi="Verdana" w:cs="Arial"/>
          <w:lang w:val="es-ES"/>
        </w:rPr>
        <w:t xml:space="preserve"> sean personas jurídicas o no tengan capacidad de contratar con las entidades estatales. Por el contrario, </w:t>
      </w:r>
      <w:r w:rsidRPr="00362CA6">
        <w:rPr>
          <w:rFonts w:ascii="Verdana" w:hAnsi="Verdana" w:cs="Arial"/>
          <w:lang w:val="es-ES"/>
        </w:rPr>
        <w:t>el Decreto 092 de 2017 reguló su régimen especial de contratación</w:t>
      </w:r>
      <w:r>
        <w:rPr>
          <w:rFonts w:ascii="Verdana" w:hAnsi="Verdana" w:cs="Arial"/>
          <w:lang w:val="es-ES"/>
        </w:rPr>
        <w:t xml:space="preserve"> y nada impide que</w:t>
      </w:r>
      <w:r w:rsidRPr="0040650F">
        <w:rPr>
          <w:rFonts w:ascii="Verdana" w:hAnsi="Verdana" w:cs="Arial"/>
          <w:lang w:val="es-ES"/>
        </w:rPr>
        <w:t xml:space="preserve"> puedan participar en términos de igualdad con los demás oferentes, en los procesos contractuales </w:t>
      </w:r>
      <w:r>
        <w:rPr>
          <w:rFonts w:ascii="Verdana" w:hAnsi="Verdana" w:cs="Arial"/>
          <w:lang w:val="es-ES"/>
        </w:rPr>
        <w:t xml:space="preserve">del </w:t>
      </w:r>
      <w:r w:rsidRPr="0040650F">
        <w:rPr>
          <w:rFonts w:ascii="Verdana" w:hAnsi="Verdana" w:cs="Arial"/>
          <w:lang w:val="es-ES"/>
        </w:rPr>
        <w:t xml:space="preserve">Estatuto General de Contratación de la Administración Pública, salvo aquellos </w:t>
      </w:r>
      <w:r w:rsidRPr="0040650F">
        <w:rPr>
          <w:rFonts w:ascii="Verdana" w:hAnsi="Verdana" w:cs="Arial"/>
          <w:lang w:val="es-ES"/>
        </w:rPr>
        <w:lastRenderedPageBreak/>
        <w:t xml:space="preserve">procesos contractuales limitados a </w:t>
      </w:r>
      <w:proofErr w:type="spellStart"/>
      <w:r w:rsidRPr="0040650F">
        <w:rPr>
          <w:rFonts w:ascii="Verdana" w:hAnsi="Verdana" w:cs="Arial"/>
          <w:lang w:val="es-ES"/>
        </w:rPr>
        <w:t>Mipymes</w:t>
      </w:r>
      <w:proofErr w:type="spellEnd"/>
      <w:r w:rsidRPr="0040650F">
        <w:rPr>
          <w:rFonts w:ascii="Verdana" w:hAnsi="Verdana" w:cs="Arial"/>
          <w:lang w:val="es-ES"/>
        </w:rPr>
        <w:t xml:space="preserve"> de conformidad con los artículos 2.2.1.2.4.2.2</w:t>
      </w:r>
      <w:r>
        <w:rPr>
          <w:rStyle w:val="Refdenotaalpie"/>
          <w:rFonts w:ascii="Verdana" w:eastAsia="Calibri" w:hAnsi="Verdana" w:cs="Arial"/>
          <w:color w:val="000000" w:themeColor="text1"/>
          <w:lang w:val="es-ES"/>
        </w:rPr>
        <w:footnoteReference w:id="7"/>
      </w:r>
      <w:r w:rsidRPr="0040650F">
        <w:rPr>
          <w:rFonts w:ascii="Verdana" w:hAnsi="Verdana" w:cs="Arial"/>
          <w:lang w:val="es-ES"/>
        </w:rPr>
        <w:t xml:space="preserve"> y 2.2.1.2.4.2.3</w:t>
      </w:r>
      <w:r>
        <w:rPr>
          <w:rStyle w:val="Refdenotaalpie"/>
          <w:rFonts w:ascii="Verdana" w:hAnsi="Verdana" w:cs="Arial"/>
          <w:lang w:val="es-ES"/>
        </w:rPr>
        <w:footnoteReference w:id="8"/>
      </w:r>
      <w:r w:rsidRPr="0040650F">
        <w:rPr>
          <w:rFonts w:ascii="Verdana" w:hAnsi="Verdana" w:cs="Arial"/>
          <w:lang w:val="es-ES"/>
        </w:rPr>
        <w:t xml:space="preserve"> del Decreto 1082 de 2015.</w:t>
      </w:r>
    </w:p>
    <w:p w14:paraId="4A83CE7A" w14:textId="77777777" w:rsidR="006D783D" w:rsidRDefault="006D783D" w:rsidP="006D783D">
      <w:pPr>
        <w:spacing w:after="120" w:line="276" w:lineRule="auto"/>
        <w:ind w:firstLine="709"/>
        <w:jc w:val="both"/>
        <w:rPr>
          <w:rFonts w:ascii="Verdana" w:eastAsia="Calibri" w:hAnsi="Verdana" w:cs="Arial"/>
          <w:color w:val="000000" w:themeColor="text1"/>
          <w:lang w:val="es-ES"/>
        </w:rPr>
      </w:pPr>
      <w:r>
        <w:rPr>
          <w:rFonts w:ascii="Verdana" w:hAnsi="Verdana" w:cs="Arial"/>
          <w:lang w:val="es-ES"/>
        </w:rPr>
        <w:t xml:space="preserve">Aunque no es posible que las ESAL sean equiparadas a las MiPymes en la normativa del sistema de compras públicas, es necesario aclarar que la Ley determinó un matiz para esta regla. </w:t>
      </w:r>
      <w:r>
        <w:rPr>
          <w:rFonts w:ascii="Verdana" w:eastAsia="Calibri" w:hAnsi="Verdana" w:cs="Arial"/>
          <w:color w:val="000000" w:themeColor="text1"/>
          <w:lang w:val="es-ES"/>
        </w:rPr>
        <w:t>E</w:t>
      </w:r>
      <w:r w:rsidRPr="00362CA6">
        <w:rPr>
          <w:rFonts w:ascii="Verdana" w:eastAsia="Calibri" w:hAnsi="Verdana" w:cs="Arial"/>
          <w:color w:val="000000" w:themeColor="text1"/>
          <w:lang w:val="es-ES"/>
        </w:rPr>
        <w:t>l artículo 23 de la Ley 2069 de 2020</w:t>
      </w:r>
      <w:r>
        <w:rPr>
          <w:rFonts w:ascii="Verdana" w:eastAsia="Calibri" w:hAnsi="Verdana" w:cs="Arial"/>
          <w:color w:val="000000" w:themeColor="text1"/>
          <w:lang w:val="es-ES"/>
        </w:rPr>
        <w:t xml:space="preserve"> </w:t>
      </w:r>
      <w:r w:rsidRPr="00362CA6">
        <w:rPr>
          <w:rFonts w:ascii="Verdana" w:eastAsia="Calibri" w:hAnsi="Verdana" w:cs="Arial"/>
          <w:color w:val="000000" w:themeColor="text1"/>
          <w:lang w:val="es-ES"/>
        </w:rPr>
        <w:t xml:space="preserve">asimila las cooperativas y las </w:t>
      </w:r>
      <w:r w:rsidRPr="00756D53">
        <w:rPr>
          <w:rFonts w:ascii="Verdana" w:eastAsia="Calibri" w:hAnsi="Verdana" w:cs="Arial"/>
          <w:color w:val="000000" w:themeColor="text1"/>
          <w:lang w:val="es-ES"/>
        </w:rPr>
        <w:t>demás entidades de economía solidaria -que incluy</w:t>
      </w:r>
      <w:r>
        <w:rPr>
          <w:rFonts w:ascii="Verdana" w:eastAsia="Calibri" w:hAnsi="Verdana" w:cs="Arial"/>
          <w:color w:val="000000" w:themeColor="text1"/>
          <w:lang w:val="es-ES"/>
        </w:rPr>
        <w:t>e</w:t>
      </w:r>
      <w:r w:rsidRPr="00756D53">
        <w:rPr>
          <w:rFonts w:ascii="Verdana" w:eastAsia="Calibri" w:hAnsi="Verdana" w:cs="Arial"/>
          <w:color w:val="000000" w:themeColor="text1"/>
          <w:lang w:val="es-ES"/>
        </w:rPr>
        <w:t xml:space="preserve"> a las asociaciones mutual</w:t>
      </w:r>
      <w:r>
        <w:rPr>
          <w:rFonts w:ascii="Verdana" w:eastAsia="Calibri" w:hAnsi="Verdana" w:cs="Arial"/>
          <w:color w:val="000000" w:themeColor="text1"/>
          <w:lang w:val="es-ES"/>
        </w:rPr>
        <w:t>istas</w:t>
      </w:r>
      <w:r>
        <w:rPr>
          <w:rFonts w:ascii="Verdana" w:eastAsia="Calibri" w:hAnsi="Verdana" w:cs="Arial"/>
          <w:i/>
          <w:iCs/>
          <w:color w:val="000000" w:themeColor="text1"/>
          <w:lang w:val="es-ES"/>
        </w:rPr>
        <w:t>-</w:t>
      </w:r>
      <w:r w:rsidRPr="00362CA6">
        <w:rPr>
          <w:rFonts w:ascii="Verdana" w:eastAsia="Calibri" w:hAnsi="Verdana" w:cs="Arial"/>
          <w:color w:val="000000" w:themeColor="text1"/>
          <w:lang w:val="es-ES"/>
        </w:rPr>
        <w:t xml:space="preserve"> a </w:t>
      </w:r>
      <w:r w:rsidRPr="00B21D8B">
        <w:rPr>
          <w:rFonts w:ascii="Verdana" w:eastAsia="Calibri" w:hAnsi="Verdana" w:cs="Arial"/>
          <w:i/>
          <w:iCs/>
          <w:color w:val="000000" w:themeColor="text1"/>
          <w:lang w:val="es-ES"/>
        </w:rPr>
        <w:t>empresas, específicamente a MiPymes</w:t>
      </w:r>
      <w:r w:rsidRPr="00362CA6">
        <w:rPr>
          <w:rFonts w:ascii="Verdana" w:eastAsia="Calibri" w:hAnsi="Verdana" w:cs="Arial"/>
          <w:color w:val="000000" w:themeColor="text1"/>
          <w:lang w:val="es-ES"/>
        </w:rPr>
        <w:t xml:space="preserve">, de conformidad con el artículo 2 de la Ley 590 de 2000 y el Decreto 957 de 2019, los cuales desarrollan las categorías </w:t>
      </w:r>
      <w:r>
        <w:rPr>
          <w:rFonts w:ascii="Verdana" w:eastAsia="Calibri" w:hAnsi="Verdana" w:cs="Arial"/>
          <w:color w:val="000000" w:themeColor="text1"/>
          <w:lang w:val="es-ES"/>
        </w:rPr>
        <w:t xml:space="preserve">de </w:t>
      </w:r>
      <w:r w:rsidRPr="00362CA6">
        <w:rPr>
          <w:rFonts w:ascii="Verdana" w:eastAsia="Calibri" w:hAnsi="Verdana" w:cs="Arial"/>
          <w:color w:val="000000" w:themeColor="text1"/>
          <w:lang w:val="es-ES"/>
        </w:rPr>
        <w:t>micro, pequeña y mediana en función del tamaño empresarial</w:t>
      </w:r>
      <w:r w:rsidRPr="00362CA6">
        <w:rPr>
          <w:rFonts w:ascii="Verdana" w:hAnsi="Verdana" w:cs="Arial"/>
          <w:color w:val="000000" w:themeColor="text1"/>
          <w:vertAlign w:val="superscript"/>
          <w:lang w:val="es-ES"/>
        </w:rPr>
        <w:footnoteReference w:id="9"/>
      </w:r>
      <w:r w:rsidRPr="00362CA6">
        <w:rPr>
          <w:rFonts w:ascii="Verdana" w:eastAsia="Calibri" w:hAnsi="Verdana" w:cs="Arial"/>
          <w:color w:val="000000" w:themeColor="text1"/>
          <w:lang w:val="es-ES"/>
        </w:rPr>
        <w:t>. El principal efecto de esta norma es que</w:t>
      </w:r>
      <w:r>
        <w:rPr>
          <w:rFonts w:ascii="Verdana" w:eastAsia="Calibri" w:hAnsi="Verdana" w:cs="Arial"/>
          <w:color w:val="000000" w:themeColor="text1"/>
          <w:lang w:val="es-ES"/>
        </w:rPr>
        <w:t xml:space="preserve"> las medidas contempladas en la Ley 2069 de 2020 para promover la participación de la </w:t>
      </w:r>
      <w:proofErr w:type="spellStart"/>
      <w:r>
        <w:rPr>
          <w:rFonts w:ascii="Verdana" w:eastAsia="Calibri" w:hAnsi="Verdana" w:cs="Arial"/>
          <w:color w:val="000000" w:themeColor="text1"/>
          <w:lang w:val="es-ES"/>
        </w:rPr>
        <w:t>Mipymes</w:t>
      </w:r>
      <w:proofErr w:type="spellEnd"/>
      <w:r>
        <w:rPr>
          <w:rFonts w:ascii="Verdana" w:eastAsia="Calibri" w:hAnsi="Verdana" w:cs="Arial"/>
          <w:color w:val="000000" w:themeColor="text1"/>
          <w:lang w:val="es-ES"/>
        </w:rPr>
        <w:t xml:space="preserve"> sean aplicables a </w:t>
      </w:r>
      <w:r w:rsidRPr="00362CA6">
        <w:rPr>
          <w:rFonts w:ascii="Verdana" w:eastAsia="Calibri" w:hAnsi="Verdana" w:cs="Arial"/>
          <w:color w:val="000000" w:themeColor="text1"/>
          <w:lang w:val="es-ES"/>
        </w:rPr>
        <w:t>las cooperativas, las asociaciones mutualistas y a las demás entidades de economía solidaria.</w:t>
      </w:r>
    </w:p>
    <w:p w14:paraId="3D95032D" w14:textId="77777777" w:rsidR="006D783D" w:rsidRDefault="006D783D" w:rsidP="006D783D">
      <w:pPr>
        <w:spacing w:after="120" w:line="276" w:lineRule="auto"/>
        <w:ind w:firstLine="708"/>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De manera concordante con lo anterior, el parágrafo del </w:t>
      </w:r>
      <w:r w:rsidRPr="00F554AA">
        <w:rPr>
          <w:rFonts w:ascii="Verdana" w:eastAsia="Calibri" w:hAnsi="Verdana" w:cs="Arial"/>
          <w:color w:val="000000" w:themeColor="text1"/>
          <w:lang w:val="es-ES"/>
        </w:rPr>
        <w:t>Artículo 2.2.1.2.4.2.2</w:t>
      </w:r>
      <w:r>
        <w:rPr>
          <w:rFonts w:ascii="Verdana" w:eastAsia="Calibri" w:hAnsi="Verdana" w:cs="Arial"/>
          <w:color w:val="000000" w:themeColor="text1"/>
          <w:lang w:val="es-ES"/>
        </w:rPr>
        <w:t xml:space="preserve">, modificado por el artículo 5º del Decreto 1860 de 2021, se refirió a dicha asimilación en el caso específico de la limitación de convocatorias a </w:t>
      </w:r>
      <w:proofErr w:type="spellStart"/>
      <w:r>
        <w:rPr>
          <w:rFonts w:ascii="Verdana" w:eastAsia="Calibri" w:hAnsi="Verdana" w:cs="Arial"/>
          <w:color w:val="000000" w:themeColor="text1"/>
          <w:lang w:val="es-ES"/>
        </w:rPr>
        <w:t>Mipymes</w:t>
      </w:r>
      <w:proofErr w:type="spellEnd"/>
      <w:r>
        <w:rPr>
          <w:rFonts w:ascii="Verdana" w:eastAsia="Calibri" w:hAnsi="Verdana" w:cs="Arial"/>
          <w:color w:val="000000" w:themeColor="text1"/>
          <w:lang w:val="es-ES"/>
        </w:rPr>
        <w:t>. Esta norma determina que “</w:t>
      </w:r>
      <w:r w:rsidRPr="00EC0AE8">
        <w:rPr>
          <w:rFonts w:ascii="Verdana" w:eastAsia="Calibri" w:hAnsi="Verdana" w:cs="Arial"/>
          <w:color w:val="000000" w:themeColor="text1"/>
        </w:rPr>
        <w:t xml:space="preserve">Las cooperativas y demás entidades de economía solidaria, siempre que tengan la calidad de </w:t>
      </w:r>
      <w:proofErr w:type="spellStart"/>
      <w:r w:rsidRPr="00EC0AE8">
        <w:rPr>
          <w:rFonts w:ascii="Verdana" w:eastAsia="Calibri" w:hAnsi="Verdana" w:cs="Arial"/>
          <w:color w:val="000000" w:themeColor="text1"/>
        </w:rPr>
        <w:t>Mipyme</w:t>
      </w:r>
      <w:proofErr w:type="spellEnd"/>
      <w:r w:rsidRPr="00EC0AE8">
        <w:rPr>
          <w:rFonts w:ascii="Verdana" w:eastAsia="Calibri" w:hAnsi="Verdana" w:cs="Arial"/>
          <w:color w:val="000000" w:themeColor="text1"/>
        </w:rPr>
        <w:t xml:space="preserve">, podrán solicitar y participar en las convocatorias limitadas en las mismas condiciones dispuestas </w:t>
      </w:r>
      <w:r w:rsidRPr="00EC0AE8">
        <w:rPr>
          <w:rFonts w:ascii="Verdana" w:eastAsia="Calibri" w:hAnsi="Verdana" w:cs="Arial"/>
          <w:color w:val="000000" w:themeColor="text1"/>
        </w:rPr>
        <w:lastRenderedPageBreak/>
        <w:t>en el presente artículo”</w:t>
      </w:r>
      <w:r>
        <w:rPr>
          <w:rFonts w:ascii="Verdana" w:eastAsia="Calibri" w:hAnsi="Verdana" w:cs="Arial"/>
          <w:color w:val="000000" w:themeColor="text1"/>
        </w:rPr>
        <w:t xml:space="preserve">. En virtud de lo anterior, las cooperativas y demás entidades de la economía solidaria se encuentran facultadas para presentar solicitudes para la limitación de los procesos, siempre que cumplan con las condiciones de tamaño empresarial dispuestas para la categorización de las </w:t>
      </w:r>
      <w:proofErr w:type="spellStart"/>
      <w:r>
        <w:rPr>
          <w:rFonts w:ascii="Verdana" w:eastAsia="Calibri" w:hAnsi="Verdana" w:cs="Arial"/>
          <w:color w:val="000000" w:themeColor="text1"/>
        </w:rPr>
        <w:t>Mipyme</w:t>
      </w:r>
      <w:proofErr w:type="spellEnd"/>
      <w:r>
        <w:rPr>
          <w:rFonts w:ascii="Verdana" w:eastAsia="Calibri" w:hAnsi="Verdana" w:cs="Arial"/>
          <w:color w:val="000000" w:themeColor="text1"/>
        </w:rPr>
        <w:t>.</w:t>
      </w:r>
    </w:p>
    <w:p w14:paraId="18A79B8F" w14:textId="77777777" w:rsidR="006D783D" w:rsidRPr="00362CA6" w:rsidRDefault="006D783D" w:rsidP="006D783D">
      <w:pPr>
        <w:spacing w:after="120" w:line="276" w:lineRule="auto"/>
        <w:ind w:firstLine="708"/>
        <w:jc w:val="both"/>
        <w:rPr>
          <w:rFonts w:ascii="Verdana" w:eastAsia="Calibri" w:hAnsi="Verdana" w:cs="Arial"/>
          <w:color w:val="000000" w:themeColor="text1"/>
          <w:lang w:val="es-ES"/>
        </w:rPr>
      </w:pPr>
      <w:r w:rsidRPr="00362CA6">
        <w:rPr>
          <w:rFonts w:ascii="Verdana" w:eastAsia="Calibri" w:hAnsi="Verdana" w:cs="Arial"/>
          <w:color w:val="000000" w:themeColor="text1"/>
          <w:lang w:val="es-ES"/>
        </w:rPr>
        <w:t xml:space="preserve">Es necesario mencionar que la asimilación dispuesta por el artículo </w:t>
      </w:r>
      <w:r w:rsidRPr="00EC0AE8">
        <w:rPr>
          <w:rFonts w:ascii="Verdana" w:eastAsia="Calibri" w:hAnsi="Verdana" w:cs="Arial"/>
          <w:color w:val="000000" w:themeColor="text1"/>
          <w:lang w:val="es-ES"/>
        </w:rPr>
        <w:t>23 de la Ley 2069 de 2020 y el artículo 2.2.1.2.4.2.</w:t>
      </w:r>
      <w:r w:rsidRPr="00F554AA">
        <w:rPr>
          <w:rFonts w:ascii="Verdana" w:eastAsia="Calibri" w:hAnsi="Verdana" w:cs="Arial"/>
          <w:color w:val="000000" w:themeColor="text1"/>
          <w:lang w:val="es-ES"/>
        </w:rPr>
        <w:t>2</w:t>
      </w:r>
      <w:r>
        <w:rPr>
          <w:rFonts w:ascii="Verdana" w:eastAsia="Calibri" w:hAnsi="Verdana" w:cs="Arial"/>
          <w:color w:val="000000" w:themeColor="text1"/>
          <w:lang w:val="es-ES"/>
        </w:rPr>
        <w:t xml:space="preserve"> del Decreto 1082 de 2015, </w:t>
      </w:r>
      <w:r w:rsidRPr="00362CA6">
        <w:rPr>
          <w:rFonts w:ascii="Verdana" w:eastAsia="Calibri" w:hAnsi="Verdana" w:cs="Arial"/>
          <w:color w:val="000000" w:themeColor="text1"/>
          <w:lang w:val="es-ES"/>
        </w:rPr>
        <w:t xml:space="preserve">no implica una alteración sustantiva de la naturaleza jurídica de las cooperativas y las empresas de economía solidaria, concebidas por la ley como entidades sin ánimo de lucro, </w:t>
      </w:r>
      <w:r>
        <w:rPr>
          <w:rFonts w:ascii="Verdana" w:eastAsia="Calibri" w:hAnsi="Verdana" w:cs="Arial"/>
          <w:color w:val="000000" w:themeColor="text1"/>
          <w:lang w:val="es-ES"/>
        </w:rPr>
        <w:t xml:space="preserve">pues su equiparación con las MiPymes se limita </w:t>
      </w:r>
      <w:r w:rsidRPr="00362CA6">
        <w:rPr>
          <w:rFonts w:ascii="Verdana" w:eastAsia="Calibri" w:hAnsi="Verdana" w:cs="Arial"/>
          <w:color w:val="000000" w:themeColor="text1"/>
          <w:lang w:val="es-ES"/>
        </w:rPr>
        <w:t>a la aplicación de las materias reguladas por la Ley 2069 de 2020</w:t>
      </w:r>
      <w:r>
        <w:rPr>
          <w:rFonts w:ascii="Verdana" w:eastAsia="Calibri" w:hAnsi="Verdana" w:cs="Arial"/>
          <w:color w:val="000000" w:themeColor="text1"/>
          <w:lang w:val="es-ES"/>
        </w:rPr>
        <w:t xml:space="preserve"> y no se extiende a otros supuestos</w:t>
      </w:r>
      <w:r w:rsidRPr="00362CA6">
        <w:rPr>
          <w:rFonts w:ascii="Verdana" w:eastAsia="Calibri" w:hAnsi="Verdana" w:cs="Arial"/>
          <w:color w:val="000000" w:themeColor="text1"/>
          <w:lang w:val="es-ES"/>
        </w:rPr>
        <w:t xml:space="preserve">. En ese sentido, el mandato de considerar este tipo de entidades como empresas y clasificarlas como MiPymes es una acción </w:t>
      </w:r>
      <w:r>
        <w:rPr>
          <w:rFonts w:ascii="Verdana" w:eastAsia="Calibri" w:hAnsi="Verdana" w:cs="Arial"/>
          <w:color w:val="000000" w:themeColor="text1"/>
          <w:lang w:val="es-ES"/>
        </w:rPr>
        <w:t xml:space="preserve">que busca </w:t>
      </w:r>
      <w:r w:rsidRPr="00362CA6">
        <w:rPr>
          <w:rFonts w:ascii="Verdana" w:eastAsia="Calibri" w:hAnsi="Verdana" w:cs="Arial"/>
          <w:color w:val="000000" w:themeColor="text1"/>
          <w:lang w:val="es-ES"/>
        </w:rPr>
        <w:t xml:space="preserve">vincularlas como proveedoras del mercado de compra pública dentro del ámbito de explotación económica que la ley ha concedido a estas entidades del sector solidario. </w:t>
      </w:r>
    </w:p>
    <w:p w14:paraId="710777FD" w14:textId="77777777" w:rsidR="006D783D" w:rsidRPr="00362CA6" w:rsidRDefault="006D783D" w:rsidP="006D783D">
      <w:pPr>
        <w:spacing w:after="120" w:line="276" w:lineRule="auto"/>
        <w:jc w:val="both"/>
        <w:rPr>
          <w:rFonts w:ascii="Verdana" w:hAnsi="Verdana" w:cs="Arial"/>
          <w:color w:val="000000" w:themeColor="text1"/>
          <w:lang w:val="es-ES"/>
        </w:rPr>
      </w:pPr>
      <w:r w:rsidRPr="00362CA6">
        <w:rPr>
          <w:rFonts w:ascii="Verdana" w:eastAsia="Calibri" w:hAnsi="Verdana" w:cs="Arial"/>
          <w:color w:val="000000" w:themeColor="text1"/>
          <w:lang w:val="es-ES_tradnl"/>
        </w:rPr>
        <w:tab/>
      </w:r>
      <w:r w:rsidRPr="00362CA6">
        <w:rPr>
          <w:rFonts w:ascii="Verdana" w:eastAsia="Calibri" w:hAnsi="Verdana" w:cs="Arial"/>
          <w:color w:val="000000" w:themeColor="text1"/>
          <w:lang w:val="es-ES"/>
        </w:rPr>
        <w:t>A pesar de que las cooperativas, las asociaciones mutuales y, en general, las empresas de economía solidaria tienen, por disposición de la ley, la naturaleza de ESAL, se distinguen de la generalidad de las entidades sin ánimo de lucro</w:t>
      </w:r>
      <w:r w:rsidRPr="00362CA6">
        <w:rPr>
          <w:rFonts w:ascii="Verdana" w:hAnsi="Verdana" w:cs="Arial"/>
          <w:color w:val="000000" w:themeColor="text1"/>
          <w:lang w:val="es-ES"/>
        </w:rPr>
        <w:t xml:space="preserve">. Esto en la medida en que, al estar enmarcadas dentro de la economía solidaria, el ordenamiento jurídico les permite cierto margen de explotación económica concebido para la satisfacción de necesidades de sus asociados y el desarrollo de obras de servicio comunitario. </w:t>
      </w:r>
    </w:p>
    <w:p w14:paraId="46932A35" w14:textId="77777777" w:rsidR="006D783D" w:rsidRDefault="006D783D" w:rsidP="006D783D">
      <w:pPr>
        <w:spacing w:after="120" w:line="276" w:lineRule="auto"/>
        <w:ind w:firstLine="708"/>
        <w:jc w:val="both"/>
        <w:rPr>
          <w:rFonts w:ascii="Verdana" w:hAnsi="Verdana" w:cs="Arial"/>
          <w:color w:val="000000" w:themeColor="text1"/>
          <w:lang w:val="es-ES"/>
        </w:rPr>
      </w:pPr>
      <w:r w:rsidRPr="00362CA6">
        <w:rPr>
          <w:rFonts w:ascii="Verdana" w:hAnsi="Verdana" w:cs="Arial"/>
          <w:color w:val="000000" w:themeColor="text1"/>
          <w:lang w:val="es-ES"/>
        </w:rPr>
        <w:t xml:space="preserve">En ese sentido, tal como se deprende del inciso primero y del numeral 1 del artículo 6 de la Ley 454 de 1998, las entidades de economía solidaria se caracterizan porque sus trabajadores y/o usuarios son simultáneamente sus aportantes y gestores, siendo además creadas con el </w:t>
      </w:r>
      <w:r w:rsidRPr="008208AD">
        <w:rPr>
          <w:rFonts w:ascii="Verdana" w:hAnsi="Verdana" w:cs="Arial"/>
          <w:i/>
          <w:iCs/>
          <w:color w:val="000000" w:themeColor="text1"/>
          <w:lang w:val="es-ES"/>
        </w:rPr>
        <w:t>objeto de producir, distribuir y consumir conjuntamente bienes y servicios para satisfacer las necesidades de sus miembros</w:t>
      </w:r>
      <w:r w:rsidRPr="00362CA6">
        <w:rPr>
          <w:rFonts w:ascii="Verdana" w:hAnsi="Verdana" w:cs="Arial"/>
          <w:color w:val="000000" w:themeColor="text1"/>
          <w:lang w:val="es-ES"/>
        </w:rPr>
        <w:t xml:space="preserve"> y desarrollar obras de servicio a la comunidad en general, para lo cual deben estar constituidas como </w:t>
      </w:r>
      <w:r w:rsidRPr="008208AD">
        <w:rPr>
          <w:rFonts w:ascii="Verdana" w:hAnsi="Verdana" w:cs="Arial"/>
          <w:i/>
          <w:iCs/>
          <w:color w:val="000000" w:themeColor="text1"/>
          <w:lang w:val="es-ES"/>
        </w:rPr>
        <w:t>empresas</w:t>
      </w:r>
      <w:r w:rsidRPr="00362CA6">
        <w:rPr>
          <w:rFonts w:ascii="Verdana" w:hAnsi="Verdana" w:cs="Arial"/>
          <w:color w:val="000000" w:themeColor="text1"/>
          <w:lang w:val="es-ES"/>
        </w:rPr>
        <w:t xml:space="preserve">. En el marco de las actividades económicas tendientes a la producción y distribución de bienes o prestación de servicios por parte de entidades de economía solidaria, la ley admite que estas provean esos bienes o presten tales servicios a Entidades Estatales. </w:t>
      </w:r>
    </w:p>
    <w:p w14:paraId="16C7127E" w14:textId="77777777" w:rsidR="006D783D" w:rsidRPr="00C552A6" w:rsidRDefault="006D783D" w:rsidP="006D783D">
      <w:pPr>
        <w:spacing w:after="120" w:line="276" w:lineRule="auto"/>
        <w:ind w:firstLine="708"/>
        <w:jc w:val="both"/>
        <w:rPr>
          <w:rFonts w:ascii="Verdana" w:hAnsi="Verdana" w:cs="Arial"/>
          <w:color w:val="000000" w:themeColor="text1"/>
          <w:lang w:val="es-ES"/>
        </w:rPr>
      </w:pPr>
      <w:r>
        <w:rPr>
          <w:rFonts w:ascii="Verdana" w:hAnsi="Verdana" w:cs="Arial"/>
          <w:color w:val="000000" w:themeColor="text1"/>
          <w:lang w:val="es-ES"/>
        </w:rPr>
        <w:t xml:space="preserve">De esta manera, los incentivos referidos en la Ley 2069 de 2020 y la posibilidad de solicitar la limitación de las convocatorias a MiPymes no son extensibles a todas las ESAL, sino únicamente a aquellas que corresponden al </w:t>
      </w:r>
      <w:r>
        <w:rPr>
          <w:rFonts w:ascii="Verdana" w:hAnsi="Verdana" w:cs="Arial"/>
          <w:color w:val="000000" w:themeColor="text1"/>
          <w:lang w:val="es-ES"/>
        </w:rPr>
        <w:lastRenderedPageBreak/>
        <w:t xml:space="preserve">concepto de </w:t>
      </w:r>
      <w:r w:rsidRPr="00362CA6">
        <w:rPr>
          <w:rFonts w:ascii="Verdana" w:eastAsia="Calibri" w:hAnsi="Verdana" w:cs="Arial"/>
          <w:color w:val="000000" w:themeColor="text1"/>
          <w:lang w:val="es-ES"/>
        </w:rPr>
        <w:t>cooperativas y</w:t>
      </w:r>
      <w:r>
        <w:rPr>
          <w:rFonts w:ascii="Verdana" w:eastAsia="Calibri" w:hAnsi="Verdana" w:cs="Arial"/>
          <w:color w:val="000000" w:themeColor="text1"/>
          <w:lang w:val="es-ES"/>
        </w:rPr>
        <w:t xml:space="preserve"> demás entes considerados de </w:t>
      </w:r>
      <w:r w:rsidRPr="00362CA6">
        <w:rPr>
          <w:rFonts w:ascii="Verdana" w:eastAsia="Calibri" w:hAnsi="Verdana" w:cs="Arial"/>
          <w:color w:val="000000" w:themeColor="text1"/>
          <w:lang w:val="es-ES"/>
        </w:rPr>
        <w:t>economía solidaria</w:t>
      </w:r>
      <w:r>
        <w:rPr>
          <w:rFonts w:ascii="Verdana" w:eastAsia="Calibri" w:hAnsi="Verdana" w:cs="Arial"/>
          <w:color w:val="000000" w:themeColor="text1"/>
          <w:lang w:val="es-ES"/>
        </w:rPr>
        <w:t xml:space="preserve">, </w:t>
      </w:r>
      <w:r>
        <w:rPr>
          <w:rFonts w:ascii="Verdana" w:eastAsia="Geomanist Light" w:hAnsi="Verdana" w:cs="Arial"/>
          <w:lang w:val="es-ES"/>
        </w:rPr>
        <w:t>en los términos del artículo 6 de la Ley 454 de 1998 –norma a la que remite el artículo 23 de la Ley de Emprendimiento–.</w:t>
      </w:r>
      <w:r w:rsidRPr="00D32D23">
        <w:rPr>
          <w:rFonts w:ascii="Verdana" w:eastAsia="Calibri" w:hAnsi="Verdana" w:cs="Arial"/>
          <w:color w:val="000000" w:themeColor="text1"/>
          <w:lang w:val="es-ES"/>
        </w:rPr>
        <w:t xml:space="preserve"> </w:t>
      </w:r>
      <w:r>
        <w:rPr>
          <w:rFonts w:ascii="Verdana" w:eastAsia="Geomanist Light" w:hAnsi="Verdana" w:cs="Arial"/>
          <w:lang w:val="es-ES"/>
        </w:rPr>
        <w:t xml:space="preserve">En tal sentido, debe analizarse si la ESAL cumple con las características establecidas en dicho artículo, para considerarla una organización de economía solidaria. </w:t>
      </w:r>
      <w:r>
        <w:rPr>
          <w:rFonts w:ascii="Verdana" w:eastAsia="Calibri" w:hAnsi="Verdana" w:cs="Arial"/>
          <w:color w:val="000000" w:themeColor="text1"/>
          <w:lang w:val="es-ES"/>
        </w:rPr>
        <w:t xml:space="preserve">Solo las que cumplan estos requisitos podrán ser asimiladas a las MiPymes y acceder a los requisitos diferenciales de la Ley 2069 de 2020, así como </w:t>
      </w:r>
      <w:r w:rsidRPr="00D32D23">
        <w:rPr>
          <w:rFonts w:ascii="Verdana" w:eastAsia="Calibri" w:hAnsi="Verdana" w:cs="Arial"/>
          <w:color w:val="000000" w:themeColor="text1"/>
          <w:lang w:val="es-ES"/>
        </w:rPr>
        <w:t xml:space="preserve">participar en las convocatorias limitadas a estas, </w:t>
      </w:r>
      <w:r>
        <w:rPr>
          <w:rFonts w:ascii="Verdana" w:eastAsia="Calibri" w:hAnsi="Verdana" w:cs="Arial"/>
          <w:color w:val="000000" w:themeColor="text1"/>
          <w:lang w:val="es-ES"/>
        </w:rPr>
        <w:t xml:space="preserve">y les permite </w:t>
      </w:r>
      <w:r w:rsidRPr="00D32D23">
        <w:rPr>
          <w:rFonts w:ascii="Verdana" w:eastAsia="Calibri" w:hAnsi="Verdana" w:cs="Arial"/>
          <w:color w:val="000000" w:themeColor="text1"/>
          <w:lang w:val="es-ES"/>
        </w:rPr>
        <w:t>incluso manifestar su interés de participar en el proceso de selección</w:t>
      </w:r>
      <w:r>
        <w:rPr>
          <w:rFonts w:ascii="Verdana" w:eastAsia="Calibri" w:hAnsi="Verdana" w:cs="Arial"/>
          <w:color w:val="000000" w:themeColor="text1"/>
          <w:lang w:val="es-ES"/>
        </w:rPr>
        <w:t xml:space="preserve"> en los términos señalados en el numeral 3 del artículo </w:t>
      </w:r>
      <w:r w:rsidRPr="00434E0B">
        <w:rPr>
          <w:rFonts w:ascii="Verdana" w:eastAsia="Calibri" w:hAnsi="Verdana" w:cs="Arial"/>
          <w:color w:val="000000" w:themeColor="text1"/>
        </w:rPr>
        <w:t>2.2.1.2.1.5.2</w:t>
      </w:r>
      <w:r w:rsidRPr="00434E0B">
        <w:rPr>
          <w:rFonts w:ascii="Verdana" w:eastAsia="Calibri" w:hAnsi="Verdana" w:cs="Arial"/>
          <w:b/>
          <w:bCs/>
          <w:color w:val="000000" w:themeColor="text1"/>
        </w:rPr>
        <w:t>.</w:t>
      </w:r>
      <w:r w:rsidRPr="00D32D23">
        <w:rPr>
          <w:rFonts w:ascii="Verdana" w:eastAsia="Calibri" w:hAnsi="Verdana" w:cs="Arial"/>
          <w:color w:val="000000" w:themeColor="text1"/>
          <w:lang w:val="es-ES"/>
        </w:rPr>
        <w:t xml:space="preserve"> </w:t>
      </w:r>
      <w:r>
        <w:rPr>
          <w:rFonts w:ascii="Verdana" w:eastAsia="Calibri" w:hAnsi="Verdana" w:cs="Arial"/>
          <w:color w:val="000000" w:themeColor="text1"/>
          <w:lang w:val="es-ES"/>
        </w:rPr>
        <w:t>del Decreto 1082 de 2015.</w:t>
      </w:r>
    </w:p>
    <w:p w14:paraId="6E1D1A14" w14:textId="77777777" w:rsidR="006D783D" w:rsidRPr="001F283D" w:rsidRDefault="006D783D" w:rsidP="006D783D">
      <w:pPr>
        <w:tabs>
          <w:tab w:val="left" w:pos="142"/>
          <w:tab w:val="left" w:pos="284"/>
        </w:tabs>
        <w:spacing w:after="0" w:line="276" w:lineRule="auto"/>
        <w:rPr>
          <w:rFonts w:ascii="Verdana" w:eastAsia="Century Gothic" w:hAnsi="Verdana" w:cs="Century Gothic"/>
          <w:b/>
          <w:bCs/>
        </w:rPr>
      </w:pPr>
      <w:bookmarkStart w:id="9" w:name="_Hlk204854194"/>
      <w:r>
        <w:rPr>
          <w:rFonts w:ascii="Verdana" w:eastAsia="Century Gothic" w:hAnsi="Verdana" w:cs="Century Gothic"/>
          <w:b/>
          <w:bCs/>
        </w:rPr>
        <w:t xml:space="preserve">4. </w:t>
      </w:r>
      <w:r w:rsidRPr="001F283D">
        <w:rPr>
          <w:rFonts w:ascii="Verdana" w:eastAsia="Century Gothic" w:hAnsi="Verdana" w:cs="Century Gothic"/>
          <w:b/>
          <w:bCs/>
        </w:rPr>
        <w:t>Referencias normativas:</w:t>
      </w:r>
    </w:p>
    <w:bookmarkEnd w:id="9"/>
    <w:p w14:paraId="6D7E54D8" w14:textId="77777777" w:rsidR="006D783D" w:rsidRPr="00593A5F" w:rsidRDefault="006D783D" w:rsidP="006D783D">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D783D" w:rsidRPr="002407CE" w14:paraId="40B00307" w14:textId="77777777" w:rsidTr="005D4BC5">
        <w:trPr>
          <w:trHeight w:val="870"/>
          <w:jc w:val="center"/>
        </w:trPr>
        <w:tc>
          <w:tcPr>
            <w:tcW w:w="8647" w:type="dxa"/>
          </w:tcPr>
          <w:p w14:paraId="2289CBBF" w14:textId="77777777" w:rsidR="006D783D" w:rsidRPr="00770E9C" w:rsidRDefault="006D783D" w:rsidP="005D4BC5">
            <w:pPr>
              <w:widowControl w:val="0"/>
              <w:numPr>
                <w:ilvl w:val="0"/>
                <w:numId w:val="17"/>
              </w:numPr>
              <w:autoSpaceDE w:val="0"/>
              <w:autoSpaceDN w:val="0"/>
              <w:ind w:left="459" w:hanging="283"/>
              <w:jc w:val="both"/>
              <w:rPr>
                <w:rFonts w:ascii="Verdana" w:hAnsi="Verdana" w:cs="Arial"/>
              </w:rPr>
            </w:pPr>
            <w:r>
              <w:rPr>
                <w:rFonts w:ascii="Verdana" w:hAnsi="Verdana" w:cs="Arial"/>
              </w:rPr>
              <w:t>Constitución Política de Colombia. Artículo 38.</w:t>
            </w:r>
          </w:p>
          <w:p w14:paraId="1B5A19CF" w14:textId="77777777" w:rsidR="006D783D" w:rsidRPr="00770E9C" w:rsidRDefault="006D783D" w:rsidP="005D4BC5">
            <w:pPr>
              <w:widowControl w:val="0"/>
              <w:numPr>
                <w:ilvl w:val="0"/>
                <w:numId w:val="17"/>
              </w:numPr>
              <w:autoSpaceDE w:val="0"/>
              <w:autoSpaceDN w:val="0"/>
              <w:ind w:left="459" w:hanging="283"/>
              <w:jc w:val="both"/>
              <w:rPr>
                <w:rFonts w:ascii="Verdana" w:hAnsi="Verdana" w:cs="Arial"/>
              </w:rPr>
            </w:pPr>
            <w:r w:rsidRPr="00995CAD">
              <w:rPr>
                <w:rFonts w:ascii="Verdana" w:hAnsi="Verdana" w:cs="Arial"/>
              </w:rPr>
              <w:t>Ley 2069 de 2020</w:t>
            </w:r>
            <w:r>
              <w:rPr>
                <w:rFonts w:ascii="Verdana" w:hAnsi="Verdana" w:cs="Arial"/>
              </w:rPr>
              <w:t>. A</w:t>
            </w:r>
            <w:r w:rsidRPr="00995CAD">
              <w:rPr>
                <w:rFonts w:ascii="Verdana" w:hAnsi="Verdana" w:cs="Arial"/>
              </w:rPr>
              <w:t>rtículo</w:t>
            </w:r>
            <w:r>
              <w:rPr>
                <w:rFonts w:ascii="Verdana" w:hAnsi="Verdana" w:cs="Arial"/>
              </w:rPr>
              <w:t>s:</w:t>
            </w:r>
            <w:r w:rsidRPr="00995CAD">
              <w:rPr>
                <w:rFonts w:ascii="Verdana" w:hAnsi="Verdana" w:cs="Arial"/>
              </w:rPr>
              <w:t xml:space="preserve"> 23, </w:t>
            </w:r>
            <w:r>
              <w:rPr>
                <w:rFonts w:ascii="Verdana" w:hAnsi="Verdana" w:cs="Arial"/>
              </w:rPr>
              <w:t>31 y 32</w:t>
            </w:r>
            <w:r w:rsidRPr="00995CAD">
              <w:rPr>
                <w:rFonts w:ascii="Verdana" w:hAnsi="Verdana" w:cs="Arial"/>
              </w:rPr>
              <w:t>.</w:t>
            </w:r>
          </w:p>
          <w:p w14:paraId="6A9CCF3F" w14:textId="77777777" w:rsidR="006D783D" w:rsidRPr="00770E9C" w:rsidRDefault="006D783D" w:rsidP="005D4BC5">
            <w:pPr>
              <w:widowControl w:val="0"/>
              <w:numPr>
                <w:ilvl w:val="0"/>
                <w:numId w:val="17"/>
              </w:numPr>
              <w:autoSpaceDE w:val="0"/>
              <w:autoSpaceDN w:val="0"/>
              <w:ind w:left="459" w:hanging="283"/>
              <w:jc w:val="both"/>
              <w:rPr>
                <w:rFonts w:ascii="Verdana" w:hAnsi="Verdana" w:cs="Arial"/>
              </w:rPr>
            </w:pPr>
            <w:r w:rsidRPr="00995CAD">
              <w:rPr>
                <w:rFonts w:ascii="Verdana" w:hAnsi="Verdana" w:cs="Arial"/>
              </w:rPr>
              <w:t>Ley 590 de 2000</w:t>
            </w:r>
            <w:r>
              <w:rPr>
                <w:rFonts w:ascii="Verdana" w:hAnsi="Verdana" w:cs="Arial"/>
              </w:rPr>
              <w:t>. A</w:t>
            </w:r>
            <w:r w:rsidRPr="00995CAD">
              <w:rPr>
                <w:rFonts w:ascii="Verdana" w:hAnsi="Verdana" w:cs="Arial"/>
              </w:rPr>
              <w:t>rtículo 2.</w:t>
            </w:r>
          </w:p>
          <w:p w14:paraId="1CC794CE" w14:textId="77777777" w:rsidR="006D783D" w:rsidRPr="00770E9C" w:rsidRDefault="006D783D" w:rsidP="005D4BC5">
            <w:pPr>
              <w:widowControl w:val="0"/>
              <w:numPr>
                <w:ilvl w:val="0"/>
                <w:numId w:val="17"/>
              </w:numPr>
              <w:autoSpaceDE w:val="0"/>
              <w:autoSpaceDN w:val="0"/>
              <w:ind w:left="459" w:hanging="283"/>
              <w:jc w:val="both"/>
              <w:rPr>
                <w:rFonts w:ascii="Verdana" w:hAnsi="Verdana" w:cs="Arial"/>
              </w:rPr>
            </w:pPr>
            <w:r w:rsidRPr="00995CAD">
              <w:rPr>
                <w:rFonts w:ascii="Verdana" w:hAnsi="Verdana" w:cs="Arial"/>
              </w:rPr>
              <w:t>Ley 1450 de 2011</w:t>
            </w:r>
            <w:r>
              <w:rPr>
                <w:rFonts w:ascii="Verdana" w:hAnsi="Verdana" w:cs="Arial"/>
              </w:rPr>
              <w:t>.</w:t>
            </w:r>
            <w:r w:rsidRPr="00995CAD">
              <w:rPr>
                <w:rFonts w:ascii="Verdana" w:hAnsi="Verdana" w:cs="Arial"/>
              </w:rPr>
              <w:t xml:space="preserve"> </w:t>
            </w:r>
            <w:r>
              <w:rPr>
                <w:rFonts w:ascii="Verdana" w:hAnsi="Verdana" w:cs="Arial"/>
              </w:rPr>
              <w:t>A</w:t>
            </w:r>
            <w:r w:rsidRPr="00995CAD">
              <w:rPr>
                <w:rFonts w:ascii="Verdana" w:hAnsi="Verdana" w:cs="Arial"/>
              </w:rPr>
              <w:t>rtículo 43.</w:t>
            </w:r>
          </w:p>
          <w:p w14:paraId="2FA47269" w14:textId="77777777" w:rsidR="006D783D" w:rsidRPr="00770E9C" w:rsidRDefault="006D783D" w:rsidP="005D4BC5">
            <w:pPr>
              <w:widowControl w:val="0"/>
              <w:numPr>
                <w:ilvl w:val="0"/>
                <w:numId w:val="17"/>
              </w:numPr>
              <w:autoSpaceDE w:val="0"/>
              <w:autoSpaceDN w:val="0"/>
              <w:ind w:left="459" w:hanging="283"/>
              <w:jc w:val="both"/>
              <w:rPr>
                <w:rFonts w:ascii="Verdana" w:hAnsi="Verdana" w:cs="Arial"/>
              </w:rPr>
            </w:pPr>
            <w:r w:rsidRPr="00995CAD">
              <w:rPr>
                <w:rFonts w:ascii="Verdana" w:hAnsi="Verdana" w:cs="Arial"/>
              </w:rPr>
              <w:t>Decreto 1074 de 2015</w:t>
            </w:r>
            <w:r>
              <w:rPr>
                <w:rFonts w:ascii="Verdana" w:hAnsi="Verdana" w:cs="Arial"/>
              </w:rPr>
              <w:t>. A</w:t>
            </w:r>
            <w:r w:rsidRPr="00995CAD">
              <w:rPr>
                <w:rFonts w:ascii="Verdana" w:hAnsi="Verdana" w:cs="Arial"/>
              </w:rPr>
              <w:t>rtículo.</w:t>
            </w:r>
            <w:r w:rsidRPr="60F29CF2">
              <w:rPr>
                <w:rFonts w:ascii="Verdana" w:eastAsia="Arial" w:hAnsi="Verdana" w:cs="Arial"/>
                <w:lang w:val="es-ES"/>
              </w:rPr>
              <w:t xml:space="preserve"> 2.2.1.13.2.2.</w:t>
            </w:r>
          </w:p>
          <w:p w14:paraId="52C5FC3C" w14:textId="77777777" w:rsidR="006D783D" w:rsidRPr="00770E9C" w:rsidRDefault="006D783D" w:rsidP="005D4BC5">
            <w:pPr>
              <w:widowControl w:val="0"/>
              <w:numPr>
                <w:ilvl w:val="0"/>
                <w:numId w:val="17"/>
              </w:numPr>
              <w:autoSpaceDE w:val="0"/>
              <w:autoSpaceDN w:val="0"/>
              <w:ind w:left="459" w:hanging="283"/>
              <w:jc w:val="both"/>
              <w:rPr>
                <w:rFonts w:ascii="Verdana" w:hAnsi="Verdana" w:cs="Arial"/>
              </w:rPr>
            </w:pPr>
            <w:r w:rsidRPr="00995CAD">
              <w:rPr>
                <w:rFonts w:ascii="Verdana" w:hAnsi="Verdana" w:cs="Arial"/>
              </w:rPr>
              <w:t>Decreto 957 de 2019.</w:t>
            </w:r>
          </w:p>
          <w:p w14:paraId="106A7EB0" w14:textId="77777777" w:rsidR="006D783D" w:rsidRPr="00770E9C" w:rsidRDefault="006D783D" w:rsidP="005D4BC5">
            <w:pPr>
              <w:widowControl w:val="0"/>
              <w:numPr>
                <w:ilvl w:val="0"/>
                <w:numId w:val="17"/>
              </w:numPr>
              <w:autoSpaceDE w:val="0"/>
              <w:autoSpaceDN w:val="0"/>
              <w:ind w:left="459" w:hanging="283"/>
              <w:jc w:val="both"/>
              <w:rPr>
                <w:rFonts w:ascii="Verdana" w:hAnsi="Verdana" w:cs="Arial"/>
              </w:rPr>
            </w:pPr>
            <w:r w:rsidRPr="00995CAD">
              <w:rPr>
                <w:rFonts w:ascii="Verdana" w:hAnsi="Verdana" w:cs="Arial"/>
              </w:rPr>
              <w:t>Decreto 1082 de 2015</w:t>
            </w:r>
            <w:r>
              <w:rPr>
                <w:rFonts w:ascii="Verdana" w:hAnsi="Verdana" w:cs="Arial"/>
              </w:rPr>
              <w:t>.</w:t>
            </w:r>
            <w:r w:rsidRPr="00995CAD">
              <w:rPr>
                <w:rFonts w:ascii="Verdana" w:hAnsi="Verdana" w:cs="Arial"/>
              </w:rPr>
              <w:t xml:space="preserve"> </w:t>
            </w:r>
            <w:r>
              <w:rPr>
                <w:rFonts w:ascii="Verdana" w:hAnsi="Verdana" w:cs="Arial"/>
              </w:rPr>
              <w:t>A</w:t>
            </w:r>
            <w:r w:rsidRPr="00995CAD">
              <w:rPr>
                <w:rFonts w:ascii="Verdana" w:hAnsi="Verdana" w:cs="Arial"/>
              </w:rPr>
              <w:t xml:space="preserve">rtículos </w:t>
            </w:r>
            <w:r w:rsidRPr="00434E0B">
              <w:rPr>
                <w:rFonts w:ascii="Verdana" w:eastAsia="Calibri" w:hAnsi="Verdana" w:cs="Arial"/>
                <w:color w:val="000000" w:themeColor="text1"/>
              </w:rPr>
              <w:t>2.2.1.2.1.5.2</w:t>
            </w:r>
            <w:r>
              <w:rPr>
                <w:rFonts w:ascii="Verdana" w:eastAsia="Calibri" w:hAnsi="Verdana" w:cs="Arial"/>
                <w:color w:val="000000" w:themeColor="text1"/>
              </w:rPr>
              <w:t xml:space="preserve">, </w:t>
            </w:r>
            <w:r w:rsidRPr="00995CAD">
              <w:rPr>
                <w:rFonts w:ascii="Verdana" w:hAnsi="Verdana" w:cs="Arial"/>
              </w:rPr>
              <w:t>2.2.1.2.4.2.2</w:t>
            </w:r>
            <w:r>
              <w:rPr>
                <w:rFonts w:ascii="Verdana" w:hAnsi="Verdana" w:cs="Arial"/>
              </w:rPr>
              <w:t xml:space="preserve"> y</w:t>
            </w:r>
            <w:r w:rsidRPr="00995CAD">
              <w:rPr>
                <w:rFonts w:ascii="Verdana" w:hAnsi="Verdana" w:cs="Arial"/>
              </w:rPr>
              <w:t xml:space="preserve"> 2.2.1.2.4.2.3</w:t>
            </w:r>
            <w:r>
              <w:rPr>
                <w:rFonts w:ascii="Verdana" w:hAnsi="Verdana" w:cs="Arial"/>
              </w:rPr>
              <w:t>.</w:t>
            </w:r>
          </w:p>
          <w:p w14:paraId="608AE733" w14:textId="77777777" w:rsidR="006D783D" w:rsidRPr="00770E9C" w:rsidRDefault="006D783D" w:rsidP="005D4BC5">
            <w:pPr>
              <w:widowControl w:val="0"/>
              <w:numPr>
                <w:ilvl w:val="0"/>
                <w:numId w:val="17"/>
              </w:numPr>
              <w:autoSpaceDE w:val="0"/>
              <w:autoSpaceDN w:val="0"/>
              <w:ind w:left="459" w:hanging="283"/>
              <w:jc w:val="both"/>
              <w:rPr>
                <w:rFonts w:ascii="Verdana" w:hAnsi="Verdana" w:cs="Arial"/>
              </w:rPr>
            </w:pPr>
            <w:r w:rsidRPr="00995CAD">
              <w:rPr>
                <w:rFonts w:ascii="Verdana" w:hAnsi="Verdana" w:cs="Arial"/>
              </w:rPr>
              <w:t>Decreto 1860 de 2021</w:t>
            </w:r>
            <w:r>
              <w:rPr>
                <w:rFonts w:ascii="Verdana" w:hAnsi="Verdana" w:cs="Arial"/>
              </w:rPr>
              <w:t>.</w:t>
            </w:r>
            <w:r w:rsidRPr="00995CAD">
              <w:rPr>
                <w:rFonts w:ascii="Verdana" w:hAnsi="Verdana" w:cs="Arial"/>
              </w:rPr>
              <w:t xml:space="preserve"> </w:t>
            </w:r>
            <w:r>
              <w:rPr>
                <w:rFonts w:ascii="Verdana" w:hAnsi="Verdana" w:cs="Arial"/>
              </w:rPr>
              <w:t>A</w:t>
            </w:r>
            <w:r w:rsidRPr="00995CAD">
              <w:rPr>
                <w:rFonts w:ascii="Verdana" w:hAnsi="Verdana" w:cs="Arial"/>
              </w:rPr>
              <w:t>rtículo 3</w:t>
            </w:r>
            <w:r>
              <w:rPr>
                <w:rFonts w:ascii="Verdana" w:hAnsi="Verdana" w:cs="Arial"/>
              </w:rPr>
              <w:t xml:space="preserve"> y 5</w:t>
            </w:r>
            <w:r w:rsidRPr="00995CAD">
              <w:rPr>
                <w:rFonts w:ascii="Verdana" w:hAnsi="Verdana" w:cs="Arial"/>
              </w:rPr>
              <w:t>.</w:t>
            </w:r>
          </w:p>
          <w:p w14:paraId="4BD47162" w14:textId="77777777" w:rsidR="006D783D" w:rsidRPr="00770E9C" w:rsidRDefault="006D783D" w:rsidP="005D4BC5">
            <w:pPr>
              <w:widowControl w:val="0"/>
              <w:numPr>
                <w:ilvl w:val="0"/>
                <w:numId w:val="17"/>
              </w:numPr>
              <w:autoSpaceDE w:val="0"/>
              <w:autoSpaceDN w:val="0"/>
              <w:ind w:left="459" w:hanging="283"/>
              <w:jc w:val="both"/>
              <w:rPr>
                <w:rFonts w:ascii="Verdana" w:hAnsi="Verdana" w:cs="Arial"/>
              </w:rPr>
            </w:pPr>
            <w:r w:rsidRPr="00995CAD">
              <w:rPr>
                <w:rFonts w:ascii="Verdana" w:hAnsi="Verdana" w:cs="Arial"/>
              </w:rPr>
              <w:t>Ley 454 de 1998</w:t>
            </w:r>
            <w:r>
              <w:rPr>
                <w:rFonts w:ascii="Verdana" w:hAnsi="Verdana" w:cs="Arial"/>
              </w:rPr>
              <w:t>.</w:t>
            </w:r>
            <w:r w:rsidRPr="00995CAD">
              <w:rPr>
                <w:rFonts w:ascii="Verdana" w:hAnsi="Verdana" w:cs="Arial"/>
              </w:rPr>
              <w:t xml:space="preserve"> </w:t>
            </w:r>
            <w:r>
              <w:rPr>
                <w:rFonts w:ascii="Verdana" w:hAnsi="Verdana" w:cs="Arial"/>
              </w:rPr>
              <w:t>A</w:t>
            </w:r>
            <w:r w:rsidRPr="00995CAD">
              <w:rPr>
                <w:rFonts w:ascii="Verdana" w:hAnsi="Verdana" w:cs="Arial"/>
              </w:rPr>
              <w:t>rtículos 2 y 6.</w:t>
            </w:r>
          </w:p>
          <w:p w14:paraId="300E9EFC" w14:textId="77777777" w:rsidR="006D783D" w:rsidRPr="00FA5394" w:rsidRDefault="006D783D" w:rsidP="005D4BC5">
            <w:pPr>
              <w:widowControl w:val="0"/>
              <w:numPr>
                <w:ilvl w:val="0"/>
                <w:numId w:val="17"/>
              </w:numPr>
              <w:autoSpaceDE w:val="0"/>
              <w:autoSpaceDN w:val="0"/>
              <w:ind w:left="459" w:hanging="283"/>
              <w:jc w:val="both"/>
              <w:rPr>
                <w:rFonts w:ascii="Verdana" w:hAnsi="Verdana" w:cs="Arial"/>
              </w:rPr>
            </w:pPr>
            <w:r w:rsidRPr="00995CAD">
              <w:rPr>
                <w:rFonts w:ascii="Verdana" w:hAnsi="Verdana" w:cs="Arial"/>
              </w:rPr>
              <w:t>Ley 79 de 1988</w:t>
            </w:r>
            <w:r>
              <w:rPr>
                <w:rFonts w:ascii="Verdana" w:hAnsi="Verdana" w:cs="Arial"/>
              </w:rPr>
              <w:t>. A</w:t>
            </w:r>
            <w:r w:rsidRPr="00995CAD">
              <w:rPr>
                <w:rFonts w:ascii="Verdana" w:hAnsi="Verdana" w:cs="Arial"/>
              </w:rPr>
              <w:t>rtículo 4.</w:t>
            </w:r>
          </w:p>
          <w:p w14:paraId="3BF5EFFB" w14:textId="77777777" w:rsidR="006D783D" w:rsidRPr="00770E9C" w:rsidRDefault="006D783D" w:rsidP="005D4BC5">
            <w:pPr>
              <w:pStyle w:val="NormalWeb"/>
              <w:numPr>
                <w:ilvl w:val="0"/>
                <w:numId w:val="17"/>
              </w:numPr>
              <w:spacing w:before="0" w:beforeAutospacing="0" w:after="0" w:afterAutospacing="0"/>
              <w:ind w:left="459" w:hanging="283"/>
              <w:jc w:val="both"/>
              <w:rPr>
                <w:rFonts w:ascii="Verdana" w:hAnsi="Verdana" w:cs="Arial"/>
                <w:color w:val="000000" w:themeColor="text1"/>
                <w:sz w:val="22"/>
                <w:szCs w:val="22"/>
              </w:rPr>
            </w:pPr>
            <w:r w:rsidRPr="00C552A6">
              <w:rPr>
                <w:rFonts w:ascii="Verdana" w:eastAsia="Calibri" w:hAnsi="Verdana" w:cs="Arial"/>
                <w:sz w:val="22"/>
                <w:szCs w:val="22"/>
                <w:lang w:val="es-ES_tradnl" w:eastAsia="es-ES_tradnl"/>
              </w:rPr>
              <w:t>Código de Comercio. Artículos: 98 y 100.</w:t>
            </w:r>
          </w:p>
          <w:p w14:paraId="65044021" w14:textId="77777777" w:rsidR="006D783D" w:rsidRPr="00770E9C" w:rsidRDefault="006D783D" w:rsidP="005D4BC5">
            <w:pPr>
              <w:pStyle w:val="NormalWeb"/>
              <w:numPr>
                <w:ilvl w:val="0"/>
                <w:numId w:val="17"/>
              </w:numPr>
              <w:spacing w:before="0" w:beforeAutospacing="0" w:after="0" w:afterAutospacing="0"/>
              <w:ind w:left="459" w:hanging="283"/>
              <w:jc w:val="both"/>
              <w:rPr>
                <w:rFonts w:ascii="Verdana" w:hAnsi="Verdana" w:cs="Arial"/>
                <w:color w:val="000000" w:themeColor="text1"/>
                <w:sz w:val="22"/>
                <w:szCs w:val="22"/>
              </w:rPr>
            </w:pPr>
            <w:r w:rsidRPr="00600C3F">
              <w:rPr>
                <w:rFonts w:ascii="Verdana" w:hAnsi="Verdana" w:cs="Arial"/>
                <w:color w:val="000000" w:themeColor="text1"/>
                <w:sz w:val="22"/>
                <w:szCs w:val="22"/>
              </w:rPr>
              <w:t>Corte Constitucional. Sentencia C-287 de 2012. M.P. María Victoria Calle.</w:t>
            </w:r>
          </w:p>
          <w:p w14:paraId="6F1D2AEC" w14:textId="77777777" w:rsidR="006D783D" w:rsidRPr="00770E9C" w:rsidRDefault="006D783D" w:rsidP="005D4BC5">
            <w:pPr>
              <w:pStyle w:val="NormalWeb"/>
              <w:numPr>
                <w:ilvl w:val="0"/>
                <w:numId w:val="17"/>
              </w:numPr>
              <w:spacing w:before="0" w:beforeAutospacing="0" w:after="0" w:afterAutospacing="0"/>
              <w:ind w:left="459" w:hanging="283"/>
              <w:jc w:val="both"/>
              <w:rPr>
                <w:rFonts w:ascii="Verdana" w:hAnsi="Verdana" w:cs="Arial"/>
                <w:color w:val="000000" w:themeColor="text1"/>
                <w:sz w:val="22"/>
                <w:szCs w:val="22"/>
              </w:rPr>
            </w:pPr>
            <w:r w:rsidRPr="00600C3F">
              <w:rPr>
                <w:rFonts w:ascii="Verdana" w:hAnsi="Verdana" w:cs="Arial"/>
                <w:color w:val="000000" w:themeColor="text1"/>
                <w:sz w:val="22"/>
                <w:szCs w:val="22"/>
              </w:rPr>
              <w:t xml:space="preserve">Cámara de Comercio de Bogotá, “ABC DE ESALES”. Bogotá. 2013. Disponible en este </w:t>
            </w:r>
            <w:proofErr w:type="gramStart"/>
            <w:r w:rsidRPr="00600C3F">
              <w:rPr>
                <w:rFonts w:ascii="Verdana" w:hAnsi="Verdana" w:cs="Arial"/>
                <w:color w:val="000000" w:themeColor="text1"/>
                <w:sz w:val="22"/>
                <w:szCs w:val="22"/>
              </w:rPr>
              <w:t>link</w:t>
            </w:r>
            <w:proofErr w:type="gramEnd"/>
            <w:r w:rsidRPr="00600C3F">
              <w:rPr>
                <w:rFonts w:ascii="Verdana" w:hAnsi="Verdana" w:cs="Arial"/>
                <w:color w:val="000000" w:themeColor="text1"/>
                <w:sz w:val="22"/>
                <w:szCs w:val="22"/>
              </w:rPr>
              <w:t xml:space="preserve">: </w:t>
            </w:r>
            <w:hyperlink r:id="rId13" w:history="1">
              <w:r w:rsidRPr="00A7115F">
                <w:rPr>
                  <w:rStyle w:val="Hipervnculo"/>
                  <w:rFonts w:ascii="Verdana" w:hAnsi="Verdana" w:cs="Arial"/>
                  <w:sz w:val="22"/>
                  <w:szCs w:val="22"/>
                </w:rPr>
                <w:t>https://bibliotecadigital.ccb.org.co/bitstream/handle/11520/8346/el%20abc%20de%20esales%202013%20completo.pdf?sequence=1&amp;isAllowed=y</w:t>
              </w:r>
            </w:hyperlink>
            <w:r w:rsidRPr="00600C3F">
              <w:rPr>
                <w:rFonts w:ascii="Verdana" w:hAnsi="Verdana" w:cs="Arial"/>
                <w:color w:val="000000" w:themeColor="text1"/>
                <w:sz w:val="22"/>
                <w:szCs w:val="22"/>
              </w:rPr>
              <w:t>.</w:t>
            </w:r>
            <w:r>
              <w:rPr>
                <w:rFonts w:ascii="Verdana" w:hAnsi="Verdana" w:cs="Arial"/>
                <w:color w:val="000000" w:themeColor="text1"/>
                <w:sz w:val="22"/>
                <w:szCs w:val="22"/>
              </w:rPr>
              <w:t xml:space="preserve"> </w:t>
            </w:r>
          </w:p>
          <w:p w14:paraId="4D048004" w14:textId="77777777" w:rsidR="006D783D" w:rsidRPr="00A57FA0" w:rsidRDefault="006D783D" w:rsidP="005D4BC5">
            <w:pPr>
              <w:pStyle w:val="NormalWeb"/>
              <w:numPr>
                <w:ilvl w:val="0"/>
                <w:numId w:val="17"/>
              </w:numPr>
              <w:spacing w:before="0" w:beforeAutospacing="0" w:after="0" w:afterAutospacing="0"/>
              <w:ind w:left="459" w:hanging="283"/>
              <w:jc w:val="both"/>
              <w:rPr>
                <w:rFonts w:ascii="Verdana" w:hAnsi="Verdana" w:cs="Arial"/>
                <w:color w:val="000000" w:themeColor="text1"/>
                <w:sz w:val="22"/>
                <w:szCs w:val="22"/>
              </w:rPr>
            </w:pPr>
            <w:r>
              <w:rPr>
                <w:rFonts w:ascii="Verdana" w:hAnsi="Verdana" w:cs="Arial"/>
                <w:color w:val="000000" w:themeColor="text1"/>
                <w:sz w:val="22"/>
                <w:szCs w:val="22"/>
              </w:rPr>
              <w:t xml:space="preserve">Manual básico sobre entidades sin ánimo de lucro – ESAL-. En </w:t>
            </w:r>
            <w:hyperlink r:id="rId14" w:history="1">
              <w:r w:rsidRPr="00600C3F">
                <w:rPr>
                  <w:rStyle w:val="Hipervnculo"/>
                  <w:rFonts w:ascii="Verdana" w:hAnsi="Verdana" w:cs="Arial"/>
                  <w:sz w:val="22"/>
                  <w:szCs w:val="22"/>
                </w:rPr>
                <w:t>Manual básico sobre entidades sin ánimo de lucro - ESAL</w:t>
              </w:r>
            </w:hyperlink>
          </w:p>
        </w:tc>
      </w:tr>
    </w:tbl>
    <w:p w14:paraId="3B70FAC3" w14:textId="77777777" w:rsidR="006D783D" w:rsidRPr="00277E26" w:rsidRDefault="006D783D" w:rsidP="006D783D">
      <w:pPr>
        <w:widowControl w:val="0"/>
        <w:autoSpaceDE w:val="0"/>
        <w:autoSpaceDN w:val="0"/>
        <w:spacing w:after="0" w:line="276" w:lineRule="auto"/>
        <w:jc w:val="both"/>
        <w:rPr>
          <w:rFonts w:ascii="Verdana" w:hAnsi="Verdana" w:cs="Arial"/>
        </w:rPr>
      </w:pPr>
    </w:p>
    <w:p w14:paraId="7850CECC" w14:textId="77777777" w:rsidR="006D783D" w:rsidRPr="001F283D" w:rsidRDefault="006D783D" w:rsidP="006D783D">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 xml:space="preserve">5. </w:t>
      </w:r>
      <w:r w:rsidRPr="001F283D">
        <w:rPr>
          <w:rFonts w:ascii="Verdana" w:eastAsia="Century Gothic" w:hAnsi="Verdana" w:cs="Century Gothic"/>
          <w:b/>
          <w:bCs/>
        </w:rPr>
        <w:t>Doctrina de la Agencia Nacional de Contratación Pública:</w:t>
      </w:r>
    </w:p>
    <w:p w14:paraId="4F1A5EA5" w14:textId="77777777" w:rsidR="006D783D" w:rsidRDefault="006D783D" w:rsidP="006D783D">
      <w:pPr>
        <w:widowControl w:val="0"/>
        <w:autoSpaceDE w:val="0"/>
        <w:autoSpaceDN w:val="0"/>
        <w:spacing w:after="0" w:line="240" w:lineRule="auto"/>
        <w:jc w:val="both"/>
        <w:rPr>
          <w:rStyle w:val="normaltextrun"/>
          <w:rFonts w:ascii="Verdana" w:hAnsi="Verdana" w:cs="Arial"/>
          <w:highlight w:val="yellow"/>
          <w:shd w:val="clear" w:color="auto" w:fill="FFFFFF"/>
          <w:lang w:val="es-ES"/>
        </w:rPr>
      </w:pPr>
    </w:p>
    <w:p w14:paraId="41ADC791" w14:textId="77777777" w:rsidR="006D783D" w:rsidRPr="001A687D" w:rsidRDefault="006D783D" w:rsidP="006D783D">
      <w:pPr>
        <w:widowControl w:val="0"/>
        <w:autoSpaceDE w:val="0"/>
        <w:autoSpaceDN w:val="0"/>
        <w:spacing w:after="120" w:line="276" w:lineRule="auto"/>
        <w:jc w:val="both"/>
        <w:rPr>
          <w:rFonts w:ascii="Verdana" w:hAnsi="Verdana" w:cs="Arial"/>
          <w:shd w:val="clear" w:color="auto" w:fill="FFFFFF"/>
        </w:rPr>
      </w:pPr>
      <w:r w:rsidRPr="000E7148">
        <w:rPr>
          <w:rFonts w:ascii="Verdana" w:eastAsia="Calibri" w:hAnsi="Verdana" w:cs="Arial"/>
          <w:color w:val="000000" w:themeColor="text1"/>
          <w:lang w:eastAsia="es-ES_tradnl"/>
        </w:rPr>
        <w:t xml:space="preserve">La Agencia Nacional de Contratación Pública – Colombia Compra Eficiente </w:t>
      </w:r>
      <w:r>
        <w:rPr>
          <w:rFonts w:ascii="Verdana" w:eastAsia="Arial" w:hAnsi="Verdana" w:cs="Arial"/>
          <w:lang w:val="es-MX" w:eastAsia="es-ES_tradnl"/>
        </w:rPr>
        <w:t xml:space="preserve">se ha referido a </w:t>
      </w:r>
      <w:r w:rsidRPr="002834E3">
        <w:rPr>
          <w:rFonts w:ascii="Verdana" w:eastAsia="Calibri" w:hAnsi="Verdana" w:cs="Arial"/>
          <w:shd w:val="clear" w:color="auto" w:fill="FFFFFF"/>
        </w:rPr>
        <w:t xml:space="preserve">la participación de las ESAL en procesos contractuales limitados a </w:t>
      </w:r>
      <w:proofErr w:type="spellStart"/>
      <w:r w:rsidRPr="002834E3">
        <w:rPr>
          <w:rFonts w:ascii="Verdana" w:eastAsia="Calibri" w:hAnsi="Verdana" w:cs="Arial"/>
          <w:shd w:val="clear" w:color="auto" w:fill="FFFFFF"/>
        </w:rPr>
        <w:t>Mi</w:t>
      </w:r>
      <w:r>
        <w:rPr>
          <w:rFonts w:ascii="Verdana" w:eastAsia="Calibri" w:hAnsi="Verdana" w:cs="Arial"/>
          <w:shd w:val="clear" w:color="auto" w:fill="FFFFFF"/>
        </w:rPr>
        <w:t>p</w:t>
      </w:r>
      <w:r w:rsidRPr="002834E3">
        <w:rPr>
          <w:rFonts w:ascii="Verdana" w:eastAsia="Calibri" w:hAnsi="Verdana" w:cs="Arial"/>
          <w:shd w:val="clear" w:color="auto" w:fill="FFFFFF"/>
        </w:rPr>
        <w:t>ymes</w:t>
      </w:r>
      <w:proofErr w:type="spellEnd"/>
      <w:r>
        <w:rPr>
          <w:rFonts w:ascii="Verdana" w:eastAsia="Calibri" w:hAnsi="Verdana" w:cs="Arial"/>
          <w:shd w:val="clear" w:color="auto" w:fill="FFFFFF"/>
        </w:rPr>
        <w:t xml:space="preserve"> </w:t>
      </w:r>
      <w:r>
        <w:rPr>
          <w:rFonts w:ascii="Verdana" w:eastAsia="Arial" w:hAnsi="Verdana" w:cs="Arial"/>
          <w:lang w:val="es-MX" w:eastAsia="es-ES_tradnl"/>
        </w:rPr>
        <w:t xml:space="preserve">en </w:t>
      </w:r>
      <w:r w:rsidRPr="009643AE">
        <w:rPr>
          <w:rFonts w:ascii="Verdana" w:eastAsia="Arial" w:hAnsi="Verdana" w:cs="Arial"/>
          <w:lang w:val="es-MX" w:eastAsia="es-ES_tradnl"/>
        </w:rPr>
        <w:t xml:space="preserve">los conceptos </w:t>
      </w:r>
      <w:r w:rsidRPr="002834E3">
        <w:rPr>
          <w:rFonts w:ascii="Verdana" w:eastAsia="Calibri" w:hAnsi="Verdana" w:cs="Arial"/>
          <w:shd w:val="clear" w:color="auto" w:fill="FFFFFF"/>
        </w:rPr>
        <w:t xml:space="preserve">del C-474 del 26 de julio de 2022, C-020 del 14 de febrero de 2023, C-587 del 21 de septiembre de 2022, C-094 del 16 de junio de </w:t>
      </w:r>
      <w:r w:rsidRPr="002834E3">
        <w:rPr>
          <w:rFonts w:ascii="Verdana" w:eastAsia="Calibri" w:hAnsi="Verdana" w:cs="Arial"/>
          <w:shd w:val="clear" w:color="auto" w:fill="FFFFFF"/>
        </w:rPr>
        <w:lastRenderedPageBreak/>
        <w:t>2024, C-997 del 30 de diciembre de 2024, C-1017 del 30 de diciembre de 2024</w:t>
      </w:r>
      <w:r w:rsidRPr="002834E3">
        <w:rPr>
          <w:rFonts w:ascii="Verdana" w:eastAsia="Calibri" w:hAnsi="Verdana" w:cs="Arial"/>
          <w:shd w:val="clear" w:color="auto" w:fill="FFFFFF"/>
          <w:lang w:val="es-ES"/>
        </w:rPr>
        <w:t>,</w:t>
      </w:r>
      <w:r>
        <w:rPr>
          <w:rFonts w:ascii="Verdana" w:eastAsia="Calibri" w:hAnsi="Verdana" w:cs="Arial"/>
          <w:shd w:val="clear" w:color="auto" w:fill="FFFFFF"/>
          <w:lang w:val="es-ES"/>
        </w:rPr>
        <w:t xml:space="preserve"> C-081 del 19 de febrero de 2025, C-257 del 1 de abril de 2025, C-236 del 2 de abril de 2025, C-306 del 16 de abril de 2025, C-483 del 20 de mayo de 2025</w:t>
      </w:r>
      <w:r>
        <w:rPr>
          <w:rFonts w:ascii="Verdana" w:hAnsi="Verdana" w:cs="Arial"/>
          <w:shd w:val="clear" w:color="auto" w:fill="FFFFFF"/>
          <w:lang w:val="es-ES"/>
        </w:rPr>
        <w:t xml:space="preserve">, -C-704 del 7 de julio de 2025, C-855 del 1 de agosto de 2025, </w:t>
      </w:r>
      <w:r w:rsidRPr="00FB34BB">
        <w:rPr>
          <w:rFonts w:ascii="Verdana" w:hAnsi="Verdana" w:cs="Arial"/>
          <w:shd w:val="clear" w:color="auto" w:fill="FFFFFF"/>
          <w:lang w:val="es-ES"/>
        </w:rPr>
        <w:t>entre otros.</w:t>
      </w:r>
      <w:r>
        <w:rPr>
          <w:rFonts w:ascii="Verdana" w:hAnsi="Verdana" w:cs="Arial"/>
          <w:shd w:val="clear" w:color="auto" w:fill="FFFFFF"/>
          <w:lang w:val="es-ES"/>
        </w:rPr>
        <w:t xml:space="preserve"> </w:t>
      </w:r>
      <w:r>
        <w:rPr>
          <w:rFonts w:ascii="Verdana" w:hAnsi="Verdana" w:cs="Arial"/>
          <w:shd w:val="clear" w:color="auto" w:fill="FFFFFF"/>
        </w:rPr>
        <w:t xml:space="preserve">Estos </w:t>
      </w:r>
      <w:r w:rsidRPr="0087042A">
        <w:rPr>
          <w:rFonts w:ascii="Verdana" w:hAnsi="Verdana"/>
        </w:rPr>
        <w:t>se encuentran disponibles para consulta en el Sistema de relatoría de la Agencia, al cual se puede acceder a través del siguiente enlace:</w:t>
      </w:r>
      <w:r w:rsidRPr="0087042A">
        <w:rPr>
          <w:rFonts w:ascii="Verdana" w:hAnsi="Verdana" w:cs="Arial"/>
          <w:shd w:val="clear" w:color="auto" w:fill="FFFFFF"/>
        </w:rPr>
        <w:t xml:space="preserve"> </w:t>
      </w:r>
      <w:hyperlink r:id="rId15" w:history="1">
        <w:r w:rsidRPr="00A7115F">
          <w:rPr>
            <w:rStyle w:val="Hipervnculo"/>
            <w:rFonts w:ascii="Verdana" w:hAnsi="Verdana" w:cs="Arial"/>
            <w:shd w:val="clear" w:color="auto" w:fill="FFFFFF"/>
          </w:rPr>
          <w:t>https://relatoria.colombiacompra.gov.co/busqueda/conceptos</w:t>
        </w:r>
      </w:hyperlink>
      <w:r w:rsidRPr="0087042A">
        <w:rPr>
          <w:rFonts w:ascii="Verdana" w:hAnsi="Verdana" w:cs="Arial"/>
          <w:shd w:val="clear" w:color="auto" w:fill="FFFFFF"/>
        </w:rPr>
        <w:t>.</w:t>
      </w:r>
      <w:r w:rsidRPr="00AB70DD">
        <w:rPr>
          <w:rFonts w:ascii="Verdana" w:hAnsi="Verdana" w:cs="Arial"/>
          <w:color w:val="FF0000"/>
          <w:shd w:val="clear" w:color="auto" w:fill="FFFFFF"/>
        </w:rPr>
        <w:t xml:space="preserve"> </w:t>
      </w:r>
      <w:r w:rsidRPr="00AB70DD">
        <w:rPr>
          <w:rFonts w:ascii="Verdana" w:hAnsi="Verdana" w:cs="Arial"/>
          <w:color w:val="000000" w:themeColor="text1"/>
          <w:shd w:val="clear" w:color="auto" w:fill="FFFFFF"/>
        </w:rPr>
        <w:t>  </w:t>
      </w:r>
    </w:p>
    <w:p w14:paraId="42CDE788" w14:textId="77777777" w:rsidR="006D783D" w:rsidRPr="00FB6C33" w:rsidRDefault="006D783D" w:rsidP="006D783D">
      <w:pPr>
        <w:spacing w:before="120" w:after="0" w:line="276" w:lineRule="auto"/>
        <w:jc w:val="both"/>
        <w:rPr>
          <w:rFonts w:ascii="Verdana" w:hAnsi="Verdana"/>
        </w:rPr>
      </w:pPr>
      <w:r w:rsidRPr="00FB6C33">
        <w:rPr>
          <w:rFonts w:ascii="Verdana" w:hAnsi="Verdana"/>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70382EC9" w14:textId="77777777" w:rsidR="006D783D" w:rsidRPr="008E4F36" w:rsidRDefault="006D783D" w:rsidP="006D783D">
      <w:pPr>
        <w:spacing w:after="0" w:line="276" w:lineRule="auto"/>
        <w:jc w:val="both"/>
        <w:rPr>
          <w:rFonts w:ascii="Verdana" w:eastAsia="Calibri" w:hAnsi="Verdana" w:cs="Times New Roman"/>
        </w:rPr>
      </w:pPr>
    </w:p>
    <w:p w14:paraId="3667C1D1" w14:textId="77777777" w:rsidR="006D783D" w:rsidRDefault="006D783D" w:rsidP="006D783D">
      <w:pPr>
        <w:spacing w:after="0" w:line="276" w:lineRule="auto"/>
        <w:jc w:val="both"/>
        <w:rPr>
          <w:rFonts w:ascii="Verdana" w:eastAsia="Calibri" w:hAnsi="Verdana" w:cs="Times New Roman"/>
        </w:rPr>
      </w:pPr>
      <w:r w:rsidRPr="008E4F36">
        <w:rPr>
          <w:rFonts w:ascii="Verdana" w:eastAsia="Calibri" w:hAnsi="Verdana" w:cs="Times New Roman"/>
        </w:rPr>
        <w:t>Atentamente,</w:t>
      </w:r>
    </w:p>
    <w:p w14:paraId="45833EE0" w14:textId="72C4F58F" w:rsidR="006D783D" w:rsidRPr="00713B63" w:rsidRDefault="00F63FAE" w:rsidP="006D783D">
      <w:pPr>
        <w:spacing w:line="276" w:lineRule="auto"/>
        <w:jc w:val="center"/>
        <w:rPr>
          <w:rFonts w:ascii="Verdana" w:hAnsi="Verdana" w:cs="Arial"/>
          <w:color w:val="000000"/>
          <w:lang w:eastAsia="es-CO"/>
        </w:rPr>
      </w:pPr>
      <w:r>
        <w:rPr>
          <w:noProof/>
        </w:rPr>
        <w:drawing>
          <wp:inline distT="0" distB="0" distL="0" distR="0" wp14:anchorId="090D6065" wp14:editId="6137B677">
            <wp:extent cx="3771900" cy="1400175"/>
            <wp:effectExtent l="0" t="0" r="0" b="9525"/>
            <wp:docPr id="792888524"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888524" name="Imagen 2" descr="Texto&#10;&#10;Descripción generada automáticamente"/>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D783D" w:rsidRPr="00713B63" w14:paraId="225A8602" w14:textId="77777777" w:rsidTr="005D4BC5">
        <w:trPr>
          <w:trHeight w:val="315"/>
        </w:trPr>
        <w:tc>
          <w:tcPr>
            <w:tcW w:w="893" w:type="dxa"/>
            <w:vAlign w:val="center"/>
            <w:hideMark/>
          </w:tcPr>
          <w:p w14:paraId="570FE9F2" w14:textId="77777777" w:rsidR="006D783D" w:rsidRPr="00713B63" w:rsidRDefault="006D783D" w:rsidP="005D4BC5">
            <w:pPr>
              <w:contextualSpacing/>
              <w:rPr>
                <w:rFonts w:ascii="Verdana" w:hAnsi="Verdana" w:cs="Arial"/>
                <w:sz w:val="16"/>
                <w:szCs w:val="16"/>
                <w:lang w:eastAsia="es-ES"/>
              </w:rPr>
            </w:pPr>
            <w:r w:rsidRPr="00713B63">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188EC933" w14:textId="77777777" w:rsidR="006D783D" w:rsidRPr="00713B63" w:rsidRDefault="006D783D" w:rsidP="005D4BC5">
            <w:pPr>
              <w:contextualSpacing/>
              <w:rPr>
                <w:rFonts w:ascii="Verdana" w:hAnsi="Verdana"/>
                <w:sz w:val="16"/>
                <w:szCs w:val="16"/>
              </w:rPr>
            </w:pPr>
            <w:r w:rsidRPr="00713B63">
              <w:rPr>
                <w:rFonts w:ascii="Verdana" w:hAnsi="Verdana"/>
                <w:sz w:val="16"/>
                <w:szCs w:val="16"/>
              </w:rPr>
              <w:t>Tatiana Baquero Iguarán</w:t>
            </w:r>
          </w:p>
          <w:p w14:paraId="38C96CAA" w14:textId="77777777" w:rsidR="006D783D" w:rsidRPr="00713B63" w:rsidRDefault="006D783D" w:rsidP="005D4BC5">
            <w:pPr>
              <w:contextualSpacing/>
              <w:rPr>
                <w:rFonts w:ascii="Verdana" w:eastAsia="Arial" w:hAnsi="Verdana" w:cs="Arial"/>
                <w:sz w:val="16"/>
                <w:szCs w:val="16"/>
              </w:rPr>
            </w:pPr>
            <w:r w:rsidRPr="00713B63">
              <w:rPr>
                <w:rFonts w:ascii="Verdana" w:hAnsi="Verdana"/>
                <w:sz w:val="16"/>
                <w:szCs w:val="16"/>
              </w:rPr>
              <w:t>Contratista de la Subdirección de Gestión Contractual</w:t>
            </w:r>
          </w:p>
        </w:tc>
      </w:tr>
      <w:tr w:rsidR="006D783D" w:rsidRPr="00713B63" w14:paraId="6C83CD9F" w14:textId="77777777" w:rsidTr="005D4BC5">
        <w:trPr>
          <w:trHeight w:val="330"/>
        </w:trPr>
        <w:tc>
          <w:tcPr>
            <w:tcW w:w="893" w:type="dxa"/>
            <w:vAlign w:val="center"/>
            <w:hideMark/>
          </w:tcPr>
          <w:p w14:paraId="05D3C2D0" w14:textId="77777777" w:rsidR="006D783D" w:rsidRPr="00713B63" w:rsidRDefault="006D783D" w:rsidP="005D4BC5">
            <w:pPr>
              <w:contextualSpacing/>
              <w:rPr>
                <w:rFonts w:ascii="Verdana" w:hAnsi="Verdana" w:cs="Arial"/>
                <w:sz w:val="16"/>
                <w:szCs w:val="16"/>
                <w:lang w:eastAsia="es-ES"/>
              </w:rPr>
            </w:pPr>
            <w:r w:rsidRPr="00713B63">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7E54F00" w14:textId="77777777" w:rsidR="006D783D" w:rsidRPr="00713B63" w:rsidRDefault="006D783D" w:rsidP="005D4BC5">
            <w:pPr>
              <w:textAlignment w:val="baseline"/>
              <w:rPr>
                <w:rFonts w:ascii="Verdana" w:eastAsia="Times New Roman" w:hAnsi="Verdana" w:cs="Arial"/>
                <w:sz w:val="16"/>
                <w:szCs w:val="16"/>
                <w:lang w:val="es-ES_tradnl"/>
              </w:rPr>
            </w:pPr>
            <w:r w:rsidRPr="00713B63">
              <w:rPr>
                <w:rFonts w:ascii="Verdana" w:eastAsia="Times New Roman" w:hAnsi="Verdana" w:cs="Arial"/>
                <w:sz w:val="16"/>
                <w:szCs w:val="16"/>
                <w:lang w:val="es-ES_tradnl"/>
              </w:rPr>
              <w:t>Alejandro Sarmiento Cantillo</w:t>
            </w:r>
          </w:p>
          <w:p w14:paraId="231477A3" w14:textId="77777777" w:rsidR="006D783D" w:rsidRPr="00713B63" w:rsidRDefault="006D783D" w:rsidP="005D4BC5">
            <w:pPr>
              <w:contextualSpacing/>
              <w:textAlignment w:val="baseline"/>
              <w:rPr>
                <w:rFonts w:ascii="Verdana" w:eastAsia="Times New Roman" w:hAnsi="Verdana" w:cs="Segoe UI"/>
                <w:sz w:val="16"/>
                <w:szCs w:val="16"/>
                <w:lang w:eastAsia="es-ES_tradnl"/>
              </w:rPr>
            </w:pPr>
            <w:r w:rsidRPr="00713B63">
              <w:rPr>
                <w:rFonts w:ascii="Verdana" w:hAnsi="Verdana" w:cs="Arial"/>
                <w:sz w:val="16"/>
                <w:szCs w:val="16"/>
                <w:lang w:val="es-ES_tradnl"/>
              </w:rPr>
              <w:t>Gestor T1 ‒ 15 de la Subdirección de Gestión Contractual</w:t>
            </w:r>
          </w:p>
          <w:p w14:paraId="633E6A60" w14:textId="77777777" w:rsidR="006D783D" w:rsidRPr="00713B63" w:rsidRDefault="006D783D" w:rsidP="005D4BC5">
            <w:pPr>
              <w:contextualSpacing/>
              <w:textAlignment w:val="baseline"/>
              <w:rPr>
                <w:rFonts w:ascii="Verdana" w:eastAsia="Times New Roman" w:hAnsi="Verdana" w:cs="Segoe UI"/>
                <w:sz w:val="16"/>
                <w:szCs w:val="16"/>
                <w:lang w:eastAsia="es-ES_tradnl"/>
              </w:rPr>
            </w:pPr>
          </w:p>
        </w:tc>
      </w:tr>
      <w:tr w:rsidR="006D783D" w:rsidRPr="00713B63" w14:paraId="294C776C" w14:textId="77777777" w:rsidTr="005D4BC5">
        <w:trPr>
          <w:trHeight w:val="300"/>
        </w:trPr>
        <w:tc>
          <w:tcPr>
            <w:tcW w:w="893" w:type="dxa"/>
            <w:vAlign w:val="center"/>
          </w:tcPr>
          <w:p w14:paraId="17744A6B" w14:textId="77777777" w:rsidR="006D783D" w:rsidRPr="00713B63" w:rsidRDefault="006D783D" w:rsidP="005D4BC5">
            <w:pPr>
              <w:contextualSpacing/>
              <w:rPr>
                <w:rFonts w:ascii="Verdana" w:hAnsi="Verdana" w:cs="Arial"/>
                <w:sz w:val="16"/>
                <w:szCs w:val="16"/>
                <w:lang w:eastAsia="es-ES"/>
              </w:rPr>
            </w:pPr>
            <w:r w:rsidRPr="00713B63">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357B5DF" w14:textId="77777777" w:rsidR="006D783D" w:rsidRPr="00713B63" w:rsidRDefault="006D783D" w:rsidP="005D4BC5">
            <w:pPr>
              <w:contextualSpacing/>
              <w:rPr>
                <w:rFonts w:ascii="Verdana" w:eastAsia="Calibri" w:hAnsi="Verdana" w:cs="Arial"/>
                <w:sz w:val="16"/>
                <w:szCs w:val="16"/>
                <w:lang w:eastAsia="es-ES"/>
              </w:rPr>
            </w:pPr>
            <w:r w:rsidRPr="00713B63">
              <w:rPr>
                <w:rFonts w:ascii="Verdana" w:eastAsia="Calibri" w:hAnsi="Verdana" w:cs="Arial"/>
                <w:sz w:val="16"/>
                <w:szCs w:val="16"/>
                <w:lang w:eastAsia="es-ES"/>
              </w:rPr>
              <w:t xml:space="preserve">Carolina Quintero </w:t>
            </w:r>
            <w:proofErr w:type="spellStart"/>
            <w:r w:rsidRPr="00713B63">
              <w:rPr>
                <w:rFonts w:ascii="Verdana" w:eastAsia="Calibri" w:hAnsi="Verdana" w:cs="Arial"/>
                <w:sz w:val="16"/>
                <w:szCs w:val="16"/>
                <w:lang w:eastAsia="es-ES"/>
              </w:rPr>
              <w:t>Gacharná</w:t>
            </w:r>
            <w:proofErr w:type="spellEnd"/>
          </w:p>
          <w:p w14:paraId="36E92565" w14:textId="77777777" w:rsidR="006D783D" w:rsidRPr="00713B63" w:rsidRDefault="006D783D" w:rsidP="005D4BC5">
            <w:pPr>
              <w:contextualSpacing/>
              <w:rPr>
                <w:rFonts w:ascii="Verdana" w:eastAsia="Calibri" w:hAnsi="Verdana" w:cs="Arial"/>
                <w:sz w:val="16"/>
                <w:szCs w:val="16"/>
                <w:lang w:eastAsia="es-ES"/>
              </w:rPr>
            </w:pPr>
            <w:r w:rsidRPr="00713B63">
              <w:rPr>
                <w:rFonts w:ascii="Verdana" w:eastAsia="Calibri" w:hAnsi="Verdana" w:cs="Arial"/>
                <w:sz w:val="16"/>
                <w:szCs w:val="16"/>
                <w:lang w:eastAsia="es-ES"/>
              </w:rPr>
              <w:t>Subdirectora de Gestión Contractual ANCP – CCE</w:t>
            </w:r>
          </w:p>
        </w:tc>
      </w:tr>
    </w:tbl>
    <w:p w14:paraId="758E3B01" w14:textId="77777777" w:rsidR="006D783D" w:rsidRDefault="006D783D" w:rsidP="006D783D">
      <w:pPr>
        <w:spacing w:after="0" w:line="240" w:lineRule="auto"/>
        <w:rPr>
          <w:rFonts w:ascii="Verdana" w:eastAsia="Geomanist Light" w:hAnsi="Verdana" w:cs="Arial"/>
          <w:color w:val="000000" w:themeColor="text1"/>
        </w:rPr>
      </w:pPr>
    </w:p>
    <w:p w14:paraId="6C7A8E38" w14:textId="77777777" w:rsidR="006D783D" w:rsidRPr="00867B6A" w:rsidRDefault="006D783D" w:rsidP="006D783D">
      <w:pPr>
        <w:rPr>
          <w:lang w:val="es-ES"/>
        </w:rPr>
      </w:pPr>
    </w:p>
    <w:p w14:paraId="34AEFA19" w14:textId="77777777" w:rsidR="006D783D" w:rsidRPr="008A601C" w:rsidRDefault="006D783D" w:rsidP="006D783D"/>
    <w:p w14:paraId="7EA95E9B" w14:textId="77777777" w:rsidR="006D783D" w:rsidRDefault="006D783D" w:rsidP="00867B6A">
      <w:pPr>
        <w:spacing w:after="0" w:line="240" w:lineRule="auto"/>
        <w:jc w:val="both"/>
        <w:rPr>
          <w:rFonts w:ascii="Verdana" w:hAnsi="Verdana"/>
        </w:rPr>
      </w:pPr>
    </w:p>
    <w:bookmarkEnd w:id="4"/>
    <w:bookmarkEnd w:id="5"/>
    <w:bookmarkEnd w:id="0"/>
    <w:bookmarkEnd w:id="1"/>
    <w:bookmarkEnd w:id="2"/>
    <w:bookmarkEnd w:id="3"/>
    <w:sectPr w:rsidR="006D783D"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DE098" w14:textId="77777777" w:rsidR="00C86581" w:rsidRDefault="00C86581" w:rsidP="004A1847">
      <w:pPr>
        <w:spacing w:after="0" w:line="240" w:lineRule="auto"/>
      </w:pPr>
      <w:r>
        <w:separator/>
      </w:r>
    </w:p>
  </w:endnote>
  <w:endnote w:type="continuationSeparator" w:id="0">
    <w:p w14:paraId="141B2369" w14:textId="77777777" w:rsidR="00C86581" w:rsidRDefault="00C86581"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7A6955" w14:textId="77777777" w:rsidR="00C86581" w:rsidRDefault="00C86581" w:rsidP="004A1847">
      <w:pPr>
        <w:spacing w:after="0" w:line="240" w:lineRule="auto"/>
      </w:pPr>
      <w:r>
        <w:separator/>
      </w:r>
    </w:p>
  </w:footnote>
  <w:footnote w:type="continuationSeparator" w:id="0">
    <w:p w14:paraId="14952E46" w14:textId="77777777" w:rsidR="00C86581" w:rsidRDefault="00C86581" w:rsidP="004A1847">
      <w:pPr>
        <w:spacing w:after="0" w:line="240" w:lineRule="auto"/>
      </w:pPr>
      <w:r>
        <w:continuationSeparator/>
      </w:r>
    </w:p>
  </w:footnote>
  <w:footnote w:id="1">
    <w:p w14:paraId="7D360901" w14:textId="77777777" w:rsidR="006D783D" w:rsidRPr="00997992" w:rsidRDefault="006D783D" w:rsidP="006D783D">
      <w:pPr>
        <w:pStyle w:val="Textonotapie"/>
        <w:ind w:firstLine="708"/>
        <w:contextualSpacing/>
        <w:jc w:val="both"/>
        <w:rPr>
          <w:rFonts w:ascii="Verdana" w:hAnsi="Verdana" w:cs="Arial"/>
          <w:sz w:val="14"/>
          <w:szCs w:val="14"/>
        </w:rPr>
      </w:pPr>
      <w:r w:rsidRPr="00997992">
        <w:rPr>
          <w:rStyle w:val="Refdenotaalpie"/>
          <w:rFonts w:ascii="Verdana" w:hAnsi="Verdana" w:cs="Arial"/>
          <w:sz w:val="14"/>
          <w:szCs w:val="14"/>
        </w:rPr>
        <w:footnoteRef/>
      </w:r>
      <w:r w:rsidRPr="00997992">
        <w:rPr>
          <w:rFonts w:ascii="Verdana" w:hAnsi="Verdana" w:cs="Arial"/>
          <w:sz w:val="14"/>
          <w:szCs w:val="14"/>
        </w:rPr>
        <w:t xml:space="preserve"> “Artículo 100: Asimilación a sociedades comerciales - legislación mercantil. Se tendrán como comerciales, para todos los efectos legales las sociedades que se formen para la ejecución de actos o empresas mercantiles. Si la empresa social comprende actos mercantiles y actos que no tengan esa calidad, la sociedad será comercial. Las sociedades que no contemplen en su objeto social actos mercantiles serán civiles. </w:t>
      </w:r>
    </w:p>
    <w:p w14:paraId="1D047310" w14:textId="77777777" w:rsidR="006D783D" w:rsidRPr="00997992" w:rsidRDefault="006D783D" w:rsidP="006D783D">
      <w:pPr>
        <w:pStyle w:val="Textonotapie"/>
        <w:ind w:firstLine="709"/>
        <w:contextualSpacing/>
        <w:jc w:val="both"/>
        <w:rPr>
          <w:rFonts w:ascii="Verdana" w:hAnsi="Verdana" w:cs="Arial"/>
          <w:sz w:val="14"/>
          <w:szCs w:val="14"/>
        </w:rPr>
      </w:pPr>
      <w:r w:rsidRPr="00997992">
        <w:rPr>
          <w:rFonts w:ascii="Verdana" w:hAnsi="Verdana" w:cs="Arial"/>
          <w:sz w:val="14"/>
          <w:szCs w:val="14"/>
        </w:rPr>
        <w:t>Sin embargo, cualquiera que sea su objeto, las sociedades comerciales y civiles estarán sujetas, para todos los efectos, a la legislación mercantil”.</w:t>
      </w:r>
    </w:p>
    <w:p w14:paraId="4EBEDE7D" w14:textId="77777777" w:rsidR="006D783D" w:rsidRPr="00997992" w:rsidRDefault="006D783D" w:rsidP="006D783D">
      <w:pPr>
        <w:pStyle w:val="Textonotapie"/>
        <w:contextualSpacing/>
        <w:jc w:val="both"/>
        <w:rPr>
          <w:rFonts w:ascii="Verdana" w:hAnsi="Verdana" w:cs="Arial"/>
          <w:sz w:val="14"/>
          <w:szCs w:val="14"/>
          <w:lang w:val="es-CO"/>
        </w:rPr>
      </w:pPr>
    </w:p>
  </w:footnote>
  <w:footnote w:id="2">
    <w:p w14:paraId="0B6A4BA9" w14:textId="77777777" w:rsidR="006D783D" w:rsidRPr="00997992" w:rsidRDefault="006D783D" w:rsidP="006D783D">
      <w:pPr>
        <w:pStyle w:val="Textonotapie"/>
        <w:ind w:firstLine="708"/>
        <w:contextualSpacing/>
        <w:jc w:val="both"/>
        <w:rPr>
          <w:rFonts w:ascii="Verdana" w:hAnsi="Verdana" w:cs="Arial"/>
          <w:sz w:val="14"/>
          <w:szCs w:val="14"/>
        </w:rPr>
      </w:pPr>
      <w:r w:rsidRPr="00997992">
        <w:rPr>
          <w:rStyle w:val="Refdenotaalpie"/>
          <w:rFonts w:ascii="Verdana" w:hAnsi="Verdana" w:cs="Arial"/>
          <w:sz w:val="14"/>
          <w:szCs w:val="14"/>
        </w:rPr>
        <w:footnoteRef/>
      </w:r>
      <w:r w:rsidRPr="00997992">
        <w:rPr>
          <w:rFonts w:ascii="Verdana" w:hAnsi="Verdana" w:cs="Arial"/>
          <w:sz w:val="14"/>
          <w:szCs w:val="14"/>
        </w:rPr>
        <w:t xml:space="preserve"> TORRENTE BAYONA, César y BUSTAMANTE, Luis Eduardo. Las entidades sin ánimo de lucro (3ª Ed.). Editado por la Cámara de Comercio de Bogotá. Bogotá. 2000, p. 33. Allí se lee: “Las entidades sin ánimo de lucro son personas jurídicas, capaces de ejercer derechos y contraer obligaciones y de ser representadas judicial y extrajudicialmente, con sujeción a las disposiciones legales y a sus propios estatutos. Nacen por voluntad de los asociados en virtud del derecho constitucional de asociación, o por la libertad de disposición de los bienes de los particulares, para la realización de fines altruistas o de beneficio comunitario; de lo que se infiere que no contemplan dentro de su objeto principal el desarrollo de actividades mercantiles. </w:t>
      </w:r>
    </w:p>
    <w:p w14:paraId="07E55B9A" w14:textId="77777777" w:rsidR="006D783D" w:rsidRPr="00997992" w:rsidRDefault="006D783D" w:rsidP="006D783D">
      <w:pPr>
        <w:pStyle w:val="Textonotapie"/>
        <w:contextualSpacing/>
        <w:jc w:val="both"/>
        <w:rPr>
          <w:rFonts w:ascii="Verdana" w:hAnsi="Verdana" w:cs="Arial"/>
          <w:sz w:val="14"/>
          <w:szCs w:val="14"/>
          <w:lang w:val="es-CO"/>
        </w:rPr>
      </w:pPr>
      <w:r w:rsidRPr="00997992">
        <w:rPr>
          <w:rFonts w:ascii="Verdana" w:hAnsi="Verdana" w:cs="Arial"/>
          <w:sz w:val="14"/>
          <w:szCs w:val="14"/>
        </w:rPr>
        <w:t>La ausencia de lucro es una de sus características fundamentales, lo cual significa que no existe el reparto de utilidades o remanentes generados en el desarrollo de sus objetivos, ni es viable el reembolso de los bienes o dineros aportados a la entidad […]”.</w:t>
      </w:r>
    </w:p>
  </w:footnote>
  <w:footnote w:id="3">
    <w:p w14:paraId="04F7E82F" w14:textId="77777777" w:rsidR="006D783D" w:rsidRDefault="006D783D" w:rsidP="006D783D">
      <w:pPr>
        <w:pStyle w:val="Textonotapie"/>
        <w:ind w:firstLine="708"/>
        <w:contextualSpacing/>
        <w:jc w:val="both"/>
        <w:rPr>
          <w:rStyle w:val="eop"/>
          <w:rFonts w:ascii="Verdana" w:hAnsi="Verdana" w:cs="Arial"/>
          <w:color w:val="000000"/>
          <w:sz w:val="14"/>
          <w:szCs w:val="14"/>
          <w:shd w:val="clear" w:color="auto" w:fill="FFFFFF"/>
        </w:rPr>
      </w:pPr>
      <w:r w:rsidRPr="00997992">
        <w:rPr>
          <w:rStyle w:val="Refdenotaalpie"/>
          <w:rFonts w:ascii="Verdana" w:hAnsi="Verdana" w:cs="Arial"/>
          <w:sz w:val="14"/>
          <w:szCs w:val="14"/>
        </w:rPr>
        <w:footnoteRef/>
      </w:r>
      <w:r w:rsidRPr="00997992">
        <w:rPr>
          <w:rFonts w:ascii="Verdana" w:hAnsi="Verdana" w:cs="Arial"/>
          <w:sz w:val="14"/>
          <w:szCs w:val="14"/>
        </w:rPr>
        <w:t xml:space="preserve"> </w:t>
      </w:r>
      <w:r w:rsidRPr="00997992">
        <w:rPr>
          <w:rStyle w:val="normaltextrun"/>
          <w:rFonts w:ascii="Verdana" w:hAnsi="Verdana" w:cs="Arial"/>
          <w:color w:val="000000"/>
          <w:sz w:val="14"/>
          <w:szCs w:val="14"/>
          <w:shd w:val="clear" w:color="auto" w:fill="FFFFFF"/>
          <w:lang w:val="pt-BR"/>
        </w:rPr>
        <w:t xml:space="preserve">Corte Constitucional. Sentencia C-287 de 2012. </w:t>
      </w:r>
      <w:r w:rsidRPr="00997992">
        <w:rPr>
          <w:rStyle w:val="normaltextrun"/>
          <w:rFonts w:ascii="Verdana" w:hAnsi="Verdana" w:cs="Arial"/>
          <w:color w:val="000000"/>
          <w:sz w:val="14"/>
          <w:szCs w:val="14"/>
          <w:shd w:val="clear" w:color="auto" w:fill="FFFFFF"/>
          <w:lang w:val="es-ES"/>
        </w:rPr>
        <w:t>M.P. María Victoria Calle.</w:t>
      </w:r>
      <w:r w:rsidRPr="00997992">
        <w:rPr>
          <w:rStyle w:val="eop"/>
          <w:rFonts w:ascii="Verdana" w:hAnsi="Verdana" w:cs="Arial"/>
          <w:color w:val="000000"/>
          <w:sz w:val="14"/>
          <w:szCs w:val="14"/>
          <w:shd w:val="clear" w:color="auto" w:fill="FFFFFF"/>
        </w:rPr>
        <w:t> </w:t>
      </w:r>
    </w:p>
    <w:p w14:paraId="35930042" w14:textId="77777777" w:rsidR="006D783D" w:rsidRPr="00997992" w:rsidRDefault="006D783D" w:rsidP="006D783D">
      <w:pPr>
        <w:pStyle w:val="Textonotapie"/>
        <w:ind w:firstLine="708"/>
        <w:contextualSpacing/>
        <w:jc w:val="both"/>
        <w:rPr>
          <w:rFonts w:ascii="Verdana" w:hAnsi="Verdana" w:cs="Arial"/>
          <w:color w:val="000000"/>
          <w:sz w:val="14"/>
          <w:szCs w:val="14"/>
          <w:shd w:val="clear" w:color="auto" w:fill="FFFFFF"/>
        </w:rPr>
      </w:pPr>
    </w:p>
  </w:footnote>
  <w:footnote w:id="4">
    <w:p w14:paraId="637DABC2" w14:textId="77777777" w:rsidR="006D783D" w:rsidRPr="00997992" w:rsidRDefault="006D783D" w:rsidP="006D783D">
      <w:pPr>
        <w:pStyle w:val="Textonotapie"/>
        <w:ind w:firstLine="708"/>
        <w:contextualSpacing/>
        <w:jc w:val="both"/>
        <w:rPr>
          <w:rFonts w:ascii="Verdana" w:hAnsi="Verdana" w:cs="Arial"/>
          <w:sz w:val="14"/>
          <w:szCs w:val="14"/>
        </w:rPr>
      </w:pPr>
      <w:r w:rsidRPr="00997992">
        <w:rPr>
          <w:rStyle w:val="Refdenotaalpie"/>
          <w:rFonts w:ascii="Verdana" w:hAnsi="Verdana" w:cs="Arial"/>
          <w:sz w:val="14"/>
          <w:szCs w:val="14"/>
        </w:rPr>
        <w:footnoteRef/>
      </w:r>
      <w:r w:rsidRPr="00997992">
        <w:rPr>
          <w:rFonts w:ascii="Verdana" w:hAnsi="Verdana" w:cs="Arial"/>
          <w:sz w:val="14"/>
          <w:szCs w:val="14"/>
        </w:rPr>
        <w:t xml:space="preserve"> Cámara de Comercio de Bogotá, “ABC DE ESALES”. Bogotá. 2013. Disponible en este link: </w:t>
      </w:r>
      <w:hyperlink r:id="rId1" w:history="1">
        <w:r w:rsidRPr="00997992">
          <w:rPr>
            <w:rStyle w:val="Hipervnculo"/>
            <w:rFonts w:ascii="Verdana" w:hAnsi="Verdana" w:cs="Arial"/>
            <w:sz w:val="14"/>
            <w:szCs w:val="14"/>
          </w:rPr>
          <w:t>https://bibliotecadigital.ccb.org.co/bitstream/handle/11520/8346/el%20abc%20de%20esales%202013%20completo.pdf?sequence=1&amp;isAllowed=y</w:t>
        </w:r>
      </w:hyperlink>
      <w:r w:rsidRPr="00997992">
        <w:rPr>
          <w:rFonts w:ascii="Verdana" w:hAnsi="Verdana" w:cs="Arial"/>
          <w:sz w:val="14"/>
          <w:szCs w:val="14"/>
        </w:rPr>
        <w:t xml:space="preserve">. </w:t>
      </w:r>
      <w:r>
        <w:rPr>
          <w:rFonts w:ascii="Verdana" w:hAnsi="Verdana" w:cs="Arial"/>
          <w:sz w:val="14"/>
          <w:szCs w:val="14"/>
        </w:rPr>
        <w:t xml:space="preserve">También se puede consultar el Manual básico sobre entidades sin ánimo de lucro – ESAL en </w:t>
      </w:r>
      <w:hyperlink r:id="rId2" w:history="1">
        <w:r w:rsidRPr="004B42D5">
          <w:rPr>
            <w:rStyle w:val="Hipervnculo"/>
            <w:rFonts w:ascii="Verdana" w:hAnsi="Verdana" w:cs="Arial"/>
            <w:sz w:val="14"/>
            <w:szCs w:val="14"/>
            <w:lang w:val="es-CO"/>
          </w:rPr>
          <w:t>Manual básico sobre entidades sin ánimo de lucro - ESAL</w:t>
        </w:r>
      </w:hyperlink>
      <w:r>
        <w:rPr>
          <w:rFonts w:ascii="Verdana" w:hAnsi="Verdana" w:cs="Arial"/>
          <w:sz w:val="14"/>
          <w:szCs w:val="14"/>
        </w:rPr>
        <w:t xml:space="preserve">. </w:t>
      </w:r>
    </w:p>
  </w:footnote>
  <w:footnote w:id="5">
    <w:p w14:paraId="67330BC3" w14:textId="77777777" w:rsidR="006D783D" w:rsidRPr="00351F46" w:rsidRDefault="006D783D" w:rsidP="006D783D">
      <w:pPr>
        <w:pStyle w:val="Textonotapie"/>
        <w:ind w:firstLine="708"/>
        <w:contextualSpacing/>
        <w:jc w:val="both"/>
        <w:rPr>
          <w:rFonts w:ascii="Verdana" w:hAnsi="Verdana" w:cs="Arial"/>
          <w:sz w:val="14"/>
          <w:szCs w:val="14"/>
        </w:rPr>
      </w:pPr>
      <w:r w:rsidRPr="00351F46">
        <w:rPr>
          <w:rStyle w:val="Refdenotaalpie"/>
          <w:rFonts w:ascii="Verdana" w:hAnsi="Verdana" w:cs="Arial"/>
          <w:sz w:val="14"/>
          <w:szCs w:val="14"/>
        </w:rPr>
        <w:footnoteRef/>
      </w:r>
      <w:r w:rsidRPr="00351F46">
        <w:rPr>
          <w:rFonts w:ascii="Verdana" w:hAnsi="Verdana" w:cs="Arial"/>
          <w:sz w:val="14"/>
          <w:szCs w:val="14"/>
        </w:rPr>
        <w:t xml:space="preserve"> Ley 1450 de 2011. “Artículo 43. Definiciones de tamaño empresarial. El artículo 2° de la Ley 590 de 2000, quedará así: </w:t>
      </w:r>
    </w:p>
    <w:p w14:paraId="2C573353" w14:textId="77777777" w:rsidR="006D783D" w:rsidRPr="00351F46" w:rsidRDefault="006D783D" w:rsidP="006D783D">
      <w:pPr>
        <w:pStyle w:val="Textonotapie"/>
        <w:ind w:firstLine="708"/>
        <w:contextualSpacing/>
        <w:jc w:val="both"/>
        <w:rPr>
          <w:rFonts w:ascii="Verdana" w:hAnsi="Verdana" w:cs="Arial"/>
          <w:sz w:val="14"/>
          <w:szCs w:val="14"/>
        </w:rPr>
      </w:pPr>
      <w:r w:rsidRPr="00351F46">
        <w:rPr>
          <w:rFonts w:ascii="Verdana" w:hAnsi="Verdana" w:cs="Arial"/>
          <w:sz w:val="14"/>
          <w:szCs w:val="14"/>
        </w:rPr>
        <w:t xml:space="preserve">"Artículo 2°. Definiciones de tamaño empresarial. Para todos los efectos, se entiende por empresa, toda unidad de explotación económica, realizada por persona natural o jurídica, en actividades agropecuarias, industriales, comerciales o de servicios, en el área rural o urbana. Para la clasificación por tamaño empresarial, entiéndase micro, pequeña, mediana y gran empresa, se podrá utilizar uno o varios de los siguientes criterios: </w:t>
      </w:r>
    </w:p>
    <w:p w14:paraId="2858B7D1" w14:textId="77777777" w:rsidR="006D783D" w:rsidRPr="00351F46" w:rsidRDefault="006D783D" w:rsidP="006D783D">
      <w:pPr>
        <w:pStyle w:val="Textonotapie"/>
        <w:ind w:firstLine="708"/>
        <w:contextualSpacing/>
        <w:jc w:val="both"/>
        <w:rPr>
          <w:rFonts w:ascii="Verdana" w:hAnsi="Verdana" w:cs="Arial"/>
          <w:sz w:val="14"/>
          <w:szCs w:val="14"/>
        </w:rPr>
      </w:pPr>
      <w:r w:rsidRPr="00351F46">
        <w:rPr>
          <w:rFonts w:ascii="Verdana" w:hAnsi="Verdana" w:cs="Arial"/>
          <w:sz w:val="14"/>
          <w:szCs w:val="14"/>
        </w:rPr>
        <w:t xml:space="preserve">1. Número de trabajadores totales. </w:t>
      </w:r>
    </w:p>
    <w:p w14:paraId="6E909D65" w14:textId="77777777" w:rsidR="006D783D" w:rsidRPr="00351F46" w:rsidRDefault="006D783D" w:rsidP="006D783D">
      <w:pPr>
        <w:pStyle w:val="Textonotapie"/>
        <w:contextualSpacing/>
        <w:jc w:val="both"/>
        <w:rPr>
          <w:rFonts w:ascii="Verdana" w:hAnsi="Verdana" w:cs="Arial"/>
          <w:sz w:val="14"/>
          <w:szCs w:val="14"/>
        </w:rPr>
      </w:pPr>
      <w:r w:rsidRPr="00351F46">
        <w:rPr>
          <w:rFonts w:ascii="Verdana" w:hAnsi="Verdana" w:cs="Arial"/>
          <w:sz w:val="14"/>
          <w:szCs w:val="14"/>
        </w:rPr>
        <w:t xml:space="preserve"> </w:t>
      </w:r>
      <w:r w:rsidRPr="00351F46">
        <w:rPr>
          <w:rFonts w:ascii="Verdana" w:hAnsi="Verdana" w:cs="Arial"/>
          <w:sz w:val="14"/>
          <w:szCs w:val="14"/>
        </w:rPr>
        <w:tab/>
        <w:t xml:space="preserve">2. Valor de ventas brutas anuales. </w:t>
      </w:r>
    </w:p>
    <w:p w14:paraId="3CF32F0B" w14:textId="77777777" w:rsidR="006D783D" w:rsidRPr="00351F46" w:rsidRDefault="006D783D" w:rsidP="006D783D">
      <w:pPr>
        <w:pStyle w:val="Textonotapie"/>
        <w:ind w:firstLine="708"/>
        <w:contextualSpacing/>
        <w:jc w:val="both"/>
        <w:rPr>
          <w:rFonts w:ascii="Verdana" w:hAnsi="Verdana" w:cs="Arial"/>
          <w:sz w:val="14"/>
          <w:szCs w:val="14"/>
        </w:rPr>
      </w:pPr>
      <w:r w:rsidRPr="00351F46">
        <w:rPr>
          <w:rFonts w:ascii="Verdana" w:hAnsi="Verdana" w:cs="Arial"/>
          <w:sz w:val="14"/>
          <w:szCs w:val="14"/>
        </w:rPr>
        <w:t xml:space="preserve">3. Valor activos totales. </w:t>
      </w:r>
    </w:p>
    <w:p w14:paraId="58607C81" w14:textId="77777777" w:rsidR="006D783D" w:rsidRPr="00351F46" w:rsidRDefault="006D783D" w:rsidP="006D783D">
      <w:pPr>
        <w:pStyle w:val="Textonotapie"/>
        <w:ind w:firstLine="708"/>
        <w:contextualSpacing/>
        <w:jc w:val="both"/>
        <w:rPr>
          <w:rFonts w:ascii="Verdana" w:hAnsi="Verdana" w:cs="Arial"/>
          <w:sz w:val="14"/>
          <w:szCs w:val="14"/>
        </w:rPr>
      </w:pPr>
      <w:r w:rsidRPr="00351F46">
        <w:rPr>
          <w:rFonts w:ascii="Verdana" w:hAnsi="Verdana" w:cs="Arial"/>
          <w:sz w:val="14"/>
          <w:szCs w:val="14"/>
        </w:rPr>
        <w:t xml:space="preserve">Para efectos de los beneficios otorgados por el Gobierno nacional a las micro, pequeñas y medianas empresas el criterio determinante será el valor de ventas brutas anuales. </w:t>
      </w:r>
    </w:p>
    <w:p w14:paraId="089553F5" w14:textId="77777777" w:rsidR="006D783D" w:rsidRPr="00351F46" w:rsidRDefault="006D783D" w:rsidP="006D783D">
      <w:pPr>
        <w:pStyle w:val="Textonotapie"/>
        <w:ind w:firstLine="708"/>
        <w:contextualSpacing/>
        <w:jc w:val="both"/>
        <w:rPr>
          <w:rFonts w:ascii="Verdana" w:hAnsi="Verdana" w:cs="Arial"/>
          <w:sz w:val="14"/>
          <w:szCs w:val="14"/>
        </w:rPr>
      </w:pPr>
      <w:r w:rsidRPr="00351F46">
        <w:rPr>
          <w:rFonts w:ascii="Verdana" w:hAnsi="Verdana" w:cs="Arial"/>
          <w:sz w:val="14"/>
          <w:szCs w:val="14"/>
        </w:rPr>
        <w:t xml:space="preserve">Parágrafo 1°. El Gobierno Nacional reglamentará los rangos que aplicarán para los tres criterios e incluirá especificidades sectoriales en los casos que considere necesario. </w:t>
      </w:r>
    </w:p>
    <w:p w14:paraId="63C2917A" w14:textId="77777777" w:rsidR="006D783D" w:rsidRPr="00351F46" w:rsidRDefault="006D783D" w:rsidP="006D783D">
      <w:pPr>
        <w:pStyle w:val="Textonotapie"/>
        <w:ind w:firstLine="708"/>
        <w:contextualSpacing/>
        <w:jc w:val="both"/>
        <w:rPr>
          <w:rFonts w:ascii="Verdana" w:hAnsi="Verdana" w:cs="Arial"/>
          <w:sz w:val="14"/>
          <w:szCs w:val="14"/>
        </w:rPr>
      </w:pPr>
      <w:r w:rsidRPr="00351F46">
        <w:rPr>
          <w:rFonts w:ascii="Verdana" w:hAnsi="Verdana" w:cs="Arial"/>
          <w:sz w:val="14"/>
          <w:szCs w:val="14"/>
        </w:rPr>
        <w:t>Parágrafo 2°. Las definiciones contenidas en el artículo 2° de la Ley 590 de 2000 continuarán vigentes hasta tanto entren a regir las normas reglamentarias que profiera el Gobierno Nacional en desarrollo de lo previsto en el presente artículo”.</w:t>
      </w:r>
    </w:p>
    <w:p w14:paraId="3A53ED5B" w14:textId="77777777" w:rsidR="006D783D" w:rsidRPr="00EE6E04" w:rsidRDefault="006D783D" w:rsidP="006D783D">
      <w:pPr>
        <w:pStyle w:val="Textonotapie"/>
        <w:ind w:firstLine="708"/>
        <w:contextualSpacing/>
        <w:jc w:val="both"/>
        <w:rPr>
          <w:rFonts w:ascii="Verdana" w:hAnsi="Verdana" w:cs="Arial"/>
          <w:sz w:val="15"/>
          <w:szCs w:val="15"/>
          <w:lang w:val="es-CO"/>
        </w:rPr>
      </w:pPr>
    </w:p>
  </w:footnote>
  <w:footnote w:id="6">
    <w:p w14:paraId="40C59573" w14:textId="77777777" w:rsidR="006D783D" w:rsidRPr="00351F46" w:rsidRDefault="006D783D" w:rsidP="006D783D">
      <w:pPr>
        <w:pStyle w:val="Textonotapie"/>
        <w:ind w:firstLine="708"/>
        <w:contextualSpacing/>
        <w:jc w:val="both"/>
        <w:rPr>
          <w:rFonts w:ascii="Verdana" w:hAnsi="Verdana" w:cs="Arial"/>
          <w:sz w:val="14"/>
          <w:szCs w:val="14"/>
        </w:rPr>
      </w:pPr>
      <w:r w:rsidRPr="00351F46">
        <w:rPr>
          <w:rStyle w:val="Refdenotaalpie"/>
          <w:rFonts w:ascii="Verdana" w:hAnsi="Verdana" w:cs="Arial"/>
          <w:sz w:val="14"/>
          <w:szCs w:val="14"/>
        </w:rPr>
        <w:footnoteRef/>
      </w:r>
      <w:r w:rsidRPr="00351F46">
        <w:rPr>
          <w:rFonts w:ascii="Verdana" w:hAnsi="Verdana" w:cs="Arial"/>
          <w:sz w:val="14"/>
          <w:szCs w:val="14"/>
        </w:rPr>
        <w:t xml:space="preserve"> Agencia Nacional de Contratación – Colombia Compra Eficiente. Concepto 997 del 30 de diciembre de 2024. </w:t>
      </w:r>
    </w:p>
    <w:p w14:paraId="77032B00" w14:textId="77777777" w:rsidR="006D783D" w:rsidRPr="00351F46" w:rsidRDefault="006D783D" w:rsidP="006D783D">
      <w:pPr>
        <w:pStyle w:val="Textonotapie"/>
        <w:ind w:firstLine="708"/>
        <w:contextualSpacing/>
        <w:jc w:val="both"/>
        <w:rPr>
          <w:rFonts w:ascii="Verdana" w:hAnsi="Verdana" w:cs="Arial"/>
          <w:sz w:val="14"/>
          <w:szCs w:val="14"/>
          <w:lang w:val="es-CO"/>
        </w:rPr>
      </w:pPr>
    </w:p>
  </w:footnote>
  <w:footnote w:id="7">
    <w:p w14:paraId="4F95911D" w14:textId="77777777" w:rsidR="006D783D" w:rsidRDefault="006D783D" w:rsidP="006D783D">
      <w:pPr>
        <w:pStyle w:val="Textonotapie"/>
        <w:jc w:val="both"/>
        <w:rPr>
          <w:rFonts w:ascii="Verdana" w:hAnsi="Verdana"/>
          <w:sz w:val="14"/>
          <w:szCs w:val="14"/>
        </w:rPr>
      </w:pPr>
    </w:p>
    <w:p w14:paraId="37ECF7F4" w14:textId="77777777" w:rsidR="006D783D" w:rsidRPr="00351F46" w:rsidRDefault="006D783D" w:rsidP="006D783D">
      <w:pPr>
        <w:pStyle w:val="Textonotapie"/>
        <w:ind w:firstLine="709"/>
        <w:jc w:val="both"/>
        <w:rPr>
          <w:rFonts w:ascii="Verdana" w:hAnsi="Verdana"/>
          <w:sz w:val="14"/>
          <w:szCs w:val="14"/>
        </w:rPr>
      </w:pPr>
      <w:r w:rsidRPr="00351F46">
        <w:rPr>
          <w:rStyle w:val="Refdenotaalpie"/>
          <w:rFonts w:ascii="Verdana" w:hAnsi="Verdana"/>
          <w:sz w:val="14"/>
          <w:szCs w:val="14"/>
        </w:rPr>
        <w:footnoteRef/>
      </w:r>
      <w:r>
        <w:rPr>
          <w:rFonts w:ascii="Verdana" w:hAnsi="Verdana"/>
          <w:sz w:val="14"/>
          <w:szCs w:val="14"/>
        </w:rPr>
        <w:t xml:space="preserve"> </w:t>
      </w:r>
      <w:r w:rsidRPr="00787201">
        <w:rPr>
          <w:rFonts w:ascii="Verdana" w:hAnsi="Verdana"/>
          <w:b/>
          <w:bCs/>
          <w:sz w:val="14"/>
          <w:szCs w:val="14"/>
        </w:rPr>
        <w:t xml:space="preserve">ARTÍCULO 2.2.1.2.4.2.2. Convocatorias Limitadas a </w:t>
      </w:r>
      <w:r w:rsidRPr="00787201">
        <w:rPr>
          <w:rFonts w:ascii="Verdana" w:hAnsi="Verdana"/>
          <w:b/>
          <w:bCs/>
          <w:sz w:val="14"/>
          <w:szCs w:val="14"/>
        </w:rPr>
        <w:t>Mipyme</w:t>
      </w:r>
      <w:r w:rsidRPr="00351F46">
        <w:rPr>
          <w:rFonts w:ascii="Verdana" w:hAnsi="Verdana"/>
          <w:sz w:val="14"/>
          <w:szCs w:val="14"/>
        </w:rPr>
        <w:t>.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 colombianas con mínimo un (1) año de existencia, cuando concurran los siguientes requisitos:</w:t>
      </w:r>
    </w:p>
    <w:p w14:paraId="18F10D21" w14:textId="77777777" w:rsidR="006D783D" w:rsidRPr="00351F46" w:rsidRDefault="006D783D" w:rsidP="006D783D">
      <w:pPr>
        <w:pStyle w:val="Textonotapie"/>
        <w:ind w:firstLine="709"/>
        <w:jc w:val="both"/>
        <w:rPr>
          <w:rFonts w:ascii="Verdana" w:hAnsi="Verdana"/>
          <w:sz w:val="14"/>
          <w:szCs w:val="14"/>
        </w:rPr>
      </w:pPr>
      <w:r w:rsidRPr="00351F46">
        <w:rPr>
          <w:rFonts w:ascii="Verdana" w:hAnsi="Verdana"/>
          <w:sz w:val="14"/>
          <w:szCs w:val="14"/>
        </w:rPr>
        <w:t>1. El valor del Proceso de Contratación sea menor a ciento veinticinco mil dólares de los Estados Unidos de América (US$125.000), liquidados con la tasa de cambio que para el efecto determina cada dos años el Ministerio de Comercio, Industria y Turismo.</w:t>
      </w:r>
    </w:p>
    <w:p w14:paraId="72917B62" w14:textId="77777777" w:rsidR="006D783D" w:rsidRPr="00351F46" w:rsidRDefault="006D783D" w:rsidP="006D783D">
      <w:pPr>
        <w:pStyle w:val="Textonotapie"/>
        <w:ind w:firstLine="709"/>
        <w:jc w:val="both"/>
        <w:rPr>
          <w:rFonts w:ascii="Verdana" w:hAnsi="Verdana"/>
          <w:sz w:val="14"/>
          <w:szCs w:val="14"/>
        </w:rPr>
      </w:pPr>
      <w:r w:rsidRPr="00351F46">
        <w:rPr>
          <w:rFonts w:ascii="Verdana" w:hAnsi="Verdana"/>
          <w:sz w:val="14"/>
          <w:szCs w:val="14"/>
        </w:rPr>
        <w:t>2. Se hayan recibido solicitudes de por lo menos dos (2) Mipyme colombianas para limitar la convocatoria a Mipyme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w:t>
      </w:r>
    </w:p>
    <w:p w14:paraId="52375AFB" w14:textId="77777777" w:rsidR="006D783D" w:rsidRPr="00351F46" w:rsidRDefault="006D783D" w:rsidP="006D783D">
      <w:pPr>
        <w:pStyle w:val="Textonotapie"/>
        <w:ind w:firstLine="709"/>
        <w:jc w:val="both"/>
        <w:rPr>
          <w:rFonts w:ascii="Verdana" w:hAnsi="Verdana"/>
          <w:sz w:val="14"/>
          <w:szCs w:val="14"/>
        </w:rPr>
      </w:pPr>
      <w:r w:rsidRPr="00351F46">
        <w:rPr>
          <w:rFonts w:ascii="Verdana" w:hAnsi="Verdana"/>
          <w:sz w:val="14"/>
          <w:szCs w:val="14"/>
        </w:rPr>
        <w:t>Tratándose de personas jurídicas, las solicitudes solo las podrán realizar Mipyme, cuyo objeto social les permita ejecutar el contrato relacionado con el proceso contractual.</w:t>
      </w:r>
    </w:p>
    <w:p w14:paraId="30AA3D1B" w14:textId="77777777" w:rsidR="006D783D" w:rsidRDefault="006D783D" w:rsidP="006D783D">
      <w:pPr>
        <w:pStyle w:val="Textonotapie"/>
        <w:ind w:firstLine="709"/>
        <w:jc w:val="both"/>
        <w:rPr>
          <w:rFonts w:ascii="Verdana" w:hAnsi="Verdana"/>
          <w:sz w:val="14"/>
          <w:szCs w:val="14"/>
        </w:rPr>
      </w:pPr>
      <w:r w:rsidRPr="00351F46">
        <w:rPr>
          <w:rFonts w:ascii="Verdana" w:hAnsi="Verdana"/>
          <w:sz w:val="14"/>
          <w:szCs w:val="14"/>
        </w:rPr>
        <w:t>Parágrafo. Las cooperativas y demás entidades de economía solidaria, siempre que tengan la calidad de Mipyme, podrán solicitar y participar en las convocatorias limitadas en las mismas condiciones dispuestas en el presente artículo”.</w:t>
      </w:r>
    </w:p>
    <w:p w14:paraId="0DF6FA32" w14:textId="77777777" w:rsidR="006D783D" w:rsidRPr="00351F46" w:rsidRDefault="006D783D" w:rsidP="006D783D">
      <w:pPr>
        <w:pStyle w:val="Textonotapie"/>
        <w:ind w:firstLine="709"/>
        <w:jc w:val="both"/>
        <w:rPr>
          <w:lang w:val="es-CO"/>
        </w:rPr>
      </w:pPr>
    </w:p>
  </w:footnote>
  <w:footnote w:id="8">
    <w:p w14:paraId="56E90B48" w14:textId="77777777" w:rsidR="006D783D" w:rsidRDefault="006D783D" w:rsidP="006D783D">
      <w:pPr>
        <w:pStyle w:val="Textonotapie"/>
        <w:ind w:firstLine="709"/>
        <w:jc w:val="both"/>
        <w:rPr>
          <w:rFonts w:ascii="Verdana" w:hAnsi="Verdana"/>
          <w:sz w:val="14"/>
          <w:szCs w:val="14"/>
          <w:lang w:val="es-CO"/>
        </w:rPr>
      </w:pPr>
      <w:r w:rsidRPr="00926B25">
        <w:rPr>
          <w:rStyle w:val="Refdenotaalpie"/>
          <w:rFonts w:ascii="Verdana" w:hAnsi="Verdana"/>
          <w:sz w:val="14"/>
          <w:szCs w:val="14"/>
        </w:rPr>
        <w:footnoteRef/>
      </w:r>
      <w:r w:rsidRPr="00926B25">
        <w:rPr>
          <w:rFonts w:ascii="Verdana" w:hAnsi="Verdana"/>
          <w:sz w:val="14"/>
          <w:szCs w:val="14"/>
        </w:rPr>
        <w:t xml:space="preserve"> </w:t>
      </w:r>
      <w:r w:rsidRPr="00926B25">
        <w:rPr>
          <w:rFonts w:ascii="Verdana" w:hAnsi="Verdana"/>
          <w:b/>
          <w:bCs/>
          <w:sz w:val="14"/>
          <w:szCs w:val="14"/>
          <w:lang w:val="es-CO"/>
        </w:rPr>
        <w:t>ARTÍCULO</w:t>
      </w:r>
      <w:bookmarkStart w:id="8" w:name="2.2.1.2.4.2.3"/>
      <w:bookmarkEnd w:id="8"/>
      <w:r w:rsidRPr="00926B25">
        <w:rPr>
          <w:rFonts w:ascii="Verdana" w:hAnsi="Verdana"/>
          <w:b/>
          <w:bCs/>
          <w:sz w:val="14"/>
          <w:szCs w:val="14"/>
          <w:lang w:val="es-CO"/>
        </w:rPr>
        <w:t> 2.2.1.2.4.2.3. Limitaciones territoriales.</w:t>
      </w:r>
      <w:r w:rsidRPr="00926B25">
        <w:rPr>
          <w:rFonts w:ascii="Verdana" w:hAnsi="Verdana"/>
          <w:sz w:val="14"/>
          <w:szCs w:val="14"/>
          <w:lang w:val="es-CO"/>
        </w:rPr>
        <w:t> De conformidad con el parágrafo </w:t>
      </w:r>
      <w:hyperlink r:id="rId3" w:anchor="12.p1" w:history="1">
        <w:r w:rsidRPr="00926B25">
          <w:rPr>
            <w:rStyle w:val="Hipervnculo"/>
            <w:rFonts w:ascii="Verdana" w:hAnsi="Verdana"/>
            <w:color w:val="auto"/>
            <w:sz w:val="14"/>
            <w:szCs w:val="14"/>
            <w:lang w:val="es-CO"/>
          </w:rPr>
          <w:t>1 </w:t>
        </w:r>
      </w:hyperlink>
      <w:r w:rsidRPr="00926B25">
        <w:rPr>
          <w:rFonts w:ascii="Verdana" w:hAnsi="Verdana"/>
          <w:sz w:val="14"/>
          <w:szCs w:val="14"/>
          <w:lang w:val="es-CO"/>
        </w:rPr>
        <w:t>del artículo </w:t>
      </w:r>
      <w:hyperlink r:id="rId4" w:anchor="12" w:history="1">
        <w:r w:rsidRPr="00926B25">
          <w:rPr>
            <w:rStyle w:val="Hipervnculo"/>
            <w:rFonts w:ascii="Verdana" w:hAnsi="Verdana"/>
            <w:color w:val="auto"/>
            <w:sz w:val="14"/>
            <w:szCs w:val="14"/>
            <w:lang w:val="es-CO"/>
          </w:rPr>
          <w:t>12 </w:t>
        </w:r>
      </w:hyperlink>
      <w:r w:rsidRPr="00926B25">
        <w:rPr>
          <w:rFonts w:ascii="Verdana" w:hAnsi="Verdana"/>
          <w:sz w:val="14"/>
          <w:szCs w:val="14"/>
          <w:lang w:val="es-CO"/>
        </w:rPr>
        <w:t xml:space="preserve">de la Ley 1150 de 2007, las Entidades Estatales, independientemente de su régimen de contratación, los patrimonios autónomos constituidos por Entidades Estatales y los particulares que ejecuten recursos públicos, pueden realizar convocatorias limitadas a </w:t>
      </w:r>
      <w:r w:rsidRPr="00926B25">
        <w:rPr>
          <w:rFonts w:ascii="Verdana" w:hAnsi="Verdana"/>
          <w:sz w:val="14"/>
          <w:szCs w:val="14"/>
          <w:lang w:val="es-CO"/>
        </w:rPr>
        <w:t>Mipyme colombianas que tengan domicilio en los departamentos o municipios en donde se va a ejecutar el contrato. Cada Mipyme deberá acreditar su domicilio con los documentos a los que se refiere el siguiente artículo.</w:t>
      </w:r>
    </w:p>
    <w:p w14:paraId="4562AF0F" w14:textId="77777777" w:rsidR="006D783D" w:rsidRPr="00926B25" w:rsidRDefault="006D783D" w:rsidP="006D783D">
      <w:pPr>
        <w:pStyle w:val="Textonotapie"/>
        <w:ind w:firstLine="709"/>
        <w:jc w:val="both"/>
        <w:rPr>
          <w:rFonts w:ascii="Verdana" w:hAnsi="Verdana"/>
          <w:sz w:val="14"/>
          <w:szCs w:val="14"/>
          <w:lang w:val="es-ES"/>
        </w:rPr>
      </w:pPr>
    </w:p>
  </w:footnote>
  <w:footnote w:id="9">
    <w:p w14:paraId="75E2AD7C" w14:textId="77777777" w:rsidR="006D783D" w:rsidRPr="00351F46" w:rsidRDefault="006D783D" w:rsidP="006D783D">
      <w:pPr>
        <w:pStyle w:val="Textonotapie"/>
        <w:ind w:firstLine="708"/>
        <w:contextualSpacing/>
        <w:jc w:val="both"/>
        <w:rPr>
          <w:rFonts w:ascii="Verdana" w:hAnsi="Verdana" w:cs="Arial"/>
          <w:sz w:val="14"/>
          <w:szCs w:val="14"/>
          <w:lang w:val="es-CO"/>
        </w:rPr>
      </w:pPr>
      <w:r w:rsidRPr="00351F46">
        <w:rPr>
          <w:rStyle w:val="Refdenotaalpie"/>
          <w:rFonts w:ascii="Verdana" w:hAnsi="Verdana" w:cs="Arial"/>
          <w:sz w:val="14"/>
          <w:szCs w:val="14"/>
        </w:rPr>
        <w:footnoteRef/>
      </w:r>
      <w:r w:rsidRPr="00351F46">
        <w:rPr>
          <w:rFonts w:ascii="Verdana" w:hAnsi="Verdana" w:cs="Arial"/>
          <w:sz w:val="14"/>
          <w:szCs w:val="14"/>
        </w:rPr>
        <w:t xml:space="preserve"> “Artículo 23. De conformidad con lo establecido por los artículos 4° de la Ley 79 de 1988 y 6° de la Ley 454 de 1988, las cooperativas y demás entidades de la economía solidaria son empresas. En tal virtud, para los efectos de la presente ley, las entidades de economía solidaria serán clasificadas como </w:t>
      </w:r>
      <w:r w:rsidRPr="00351F46">
        <w:rPr>
          <w:rFonts w:ascii="Verdana" w:hAnsi="Verdana" w:cs="Arial"/>
          <w:sz w:val="14"/>
          <w:szCs w:val="14"/>
        </w:rPr>
        <w:t>Mipymes en los términos establecidos por el artículo 2° de la Ley 590 de 2000 y por el Decreto 957 de 2019 o las normas que los modifiquen, deroguen o adicionen, sin perjuicio de la normatividad específica aplicable a sus diferentes figuras jurídicas, ni del marco de competencias institucionales de Gobierno para su fomento, fortalecimiento, inspección, control y vigilancia”.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CE77270"/>
    <w:multiLevelType w:val="hybridMultilevel"/>
    <w:tmpl w:val="8F8C636C"/>
    <w:lvl w:ilvl="0" w:tplc="CF766880">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 w:numId="18" w16cid:durableId="67889595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8529C"/>
    <w:rsid w:val="000A2A08"/>
    <w:rsid w:val="000A683E"/>
    <w:rsid w:val="000B19B9"/>
    <w:rsid w:val="000B2E89"/>
    <w:rsid w:val="000B4438"/>
    <w:rsid w:val="000D0334"/>
    <w:rsid w:val="000F6486"/>
    <w:rsid w:val="00123A43"/>
    <w:rsid w:val="00125105"/>
    <w:rsid w:val="00126F0D"/>
    <w:rsid w:val="00127233"/>
    <w:rsid w:val="00134A02"/>
    <w:rsid w:val="00150E61"/>
    <w:rsid w:val="001511A0"/>
    <w:rsid w:val="00153296"/>
    <w:rsid w:val="001A068F"/>
    <w:rsid w:val="001A687D"/>
    <w:rsid w:val="001E4177"/>
    <w:rsid w:val="001F7DC6"/>
    <w:rsid w:val="002321C7"/>
    <w:rsid w:val="002421BB"/>
    <w:rsid w:val="0025796E"/>
    <w:rsid w:val="002707A2"/>
    <w:rsid w:val="002865F3"/>
    <w:rsid w:val="00291A84"/>
    <w:rsid w:val="002951A0"/>
    <w:rsid w:val="002962BC"/>
    <w:rsid w:val="002A093D"/>
    <w:rsid w:val="002A0DD0"/>
    <w:rsid w:val="002A3D5F"/>
    <w:rsid w:val="002A49AC"/>
    <w:rsid w:val="002A64FD"/>
    <w:rsid w:val="002C7A84"/>
    <w:rsid w:val="002D72DF"/>
    <w:rsid w:val="002E4FD9"/>
    <w:rsid w:val="00312D7C"/>
    <w:rsid w:val="00322A85"/>
    <w:rsid w:val="00324168"/>
    <w:rsid w:val="003448F4"/>
    <w:rsid w:val="00374F5E"/>
    <w:rsid w:val="00377E3E"/>
    <w:rsid w:val="003A779E"/>
    <w:rsid w:val="003D0F4D"/>
    <w:rsid w:val="003D5B0D"/>
    <w:rsid w:val="003E0499"/>
    <w:rsid w:val="003F3941"/>
    <w:rsid w:val="00406575"/>
    <w:rsid w:val="0040668E"/>
    <w:rsid w:val="00414C74"/>
    <w:rsid w:val="0042722E"/>
    <w:rsid w:val="00434E0B"/>
    <w:rsid w:val="00442574"/>
    <w:rsid w:val="0044528D"/>
    <w:rsid w:val="00492583"/>
    <w:rsid w:val="004A1847"/>
    <w:rsid w:val="004A305D"/>
    <w:rsid w:val="004C5C1E"/>
    <w:rsid w:val="004F21C4"/>
    <w:rsid w:val="004F685F"/>
    <w:rsid w:val="00510569"/>
    <w:rsid w:val="005414F1"/>
    <w:rsid w:val="00552003"/>
    <w:rsid w:val="005566E8"/>
    <w:rsid w:val="00574867"/>
    <w:rsid w:val="00591460"/>
    <w:rsid w:val="005916D8"/>
    <w:rsid w:val="005B3816"/>
    <w:rsid w:val="005B59DB"/>
    <w:rsid w:val="005C3777"/>
    <w:rsid w:val="005C5CDC"/>
    <w:rsid w:val="005D476C"/>
    <w:rsid w:val="006219F8"/>
    <w:rsid w:val="00642148"/>
    <w:rsid w:val="00665D70"/>
    <w:rsid w:val="006900D9"/>
    <w:rsid w:val="006A3E14"/>
    <w:rsid w:val="006A44DA"/>
    <w:rsid w:val="006D783D"/>
    <w:rsid w:val="00706C16"/>
    <w:rsid w:val="00736C9D"/>
    <w:rsid w:val="00756841"/>
    <w:rsid w:val="007649AB"/>
    <w:rsid w:val="00770E9C"/>
    <w:rsid w:val="00771D0C"/>
    <w:rsid w:val="007833AC"/>
    <w:rsid w:val="00787201"/>
    <w:rsid w:val="007B268C"/>
    <w:rsid w:val="007B3965"/>
    <w:rsid w:val="007B7171"/>
    <w:rsid w:val="007C0C0F"/>
    <w:rsid w:val="007C3DC2"/>
    <w:rsid w:val="007D2DF0"/>
    <w:rsid w:val="007E2521"/>
    <w:rsid w:val="007E48B3"/>
    <w:rsid w:val="007E5497"/>
    <w:rsid w:val="007F5F87"/>
    <w:rsid w:val="00806F5F"/>
    <w:rsid w:val="00820278"/>
    <w:rsid w:val="0083428F"/>
    <w:rsid w:val="00867B6A"/>
    <w:rsid w:val="00867F95"/>
    <w:rsid w:val="008843B6"/>
    <w:rsid w:val="008864D1"/>
    <w:rsid w:val="00891928"/>
    <w:rsid w:val="008A446D"/>
    <w:rsid w:val="008B4306"/>
    <w:rsid w:val="008B5E08"/>
    <w:rsid w:val="008D180B"/>
    <w:rsid w:val="008F0EA7"/>
    <w:rsid w:val="00923EEF"/>
    <w:rsid w:val="00926B25"/>
    <w:rsid w:val="009419F9"/>
    <w:rsid w:val="0095685E"/>
    <w:rsid w:val="00961B09"/>
    <w:rsid w:val="00965334"/>
    <w:rsid w:val="00965701"/>
    <w:rsid w:val="0097093E"/>
    <w:rsid w:val="00986AC5"/>
    <w:rsid w:val="009A0DFA"/>
    <w:rsid w:val="009B2D26"/>
    <w:rsid w:val="009C4F09"/>
    <w:rsid w:val="009C71FA"/>
    <w:rsid w:val="009C72E7"/>
    <w:rsid w:val="009D3058"/>
    <w:rsid w:val="009F3A13"/>
    <w:rsid w:val="00A122D3"/>
    <w:rsid w:val="00A17F13"/>
    <w:rsid w:val="00A20739"/>
    <w:rsid w:val="00A33C78"/>
    <w:rsid w:val="00AA3AE7"/>
    <w:rsid w:val="00AB0ADB"/>
    <w:rsid w:val="00AC0C1D"/>
    <w:rsid w:val="00AD2044"/>
    <w:rsid w:val="00AE4DAC"/>
    <w:rsid w:val="00B01B1A"/>
    <w:rsid w:val="00B234F7"/>
    <w:rsid w:val="00B66319"/>
    <w:rsid w:val="00B72CD3"/>
    <w:rsid w:val="00B72FFF"/>
    <w:rsid w:val="00BC3D36"/>
    <w:rsid w:val="00BD7F72"/>
    <w:rsid w:val="00C04FB3"/>
    <w:rsid w:val="00C330EB"/>
    <w:rsid w:val="00C41061"/>
    <w:rsid w:val="00C51F76"/>
    <w:rsid w:val="00C552A6"/>
    <w:rsid w:val="00C754BE"/>
    <w:rsid w:val="00C76B1C"/>
    <w:rsid w:val="00C86581"/>
    <w:rsid w:val="00CB6357"/>
    <w:rsid w:val="00CC1B26"/>
    <w:rsid w:val="00D423A2"/>
    <w:rsid w:val="00D520D8"/>
    <w:rsid w:val="00D63AC2"/>
    <w:rsid w:val="00D7383B"/>
    <w:rsid w:val="00D92DEE"/>
    <w:rsid w:val="00DA231B"/>
    <w:rsid w:val="00DA4F5C"/>
    <w:rsid w:val="00DC39FC"/>
    <w:rsid w:val="00DC5712"/>
    <w:rsid w:val="00DC6BE4"/>
    <w:rsid w:val="00DD6C0C"/>
    <w:rsid w:val="00DF5254"/>
    <w:rsid w:val="00E16408"/>
    <w:rsid w:val="00E20894"/>
    <w:rsid w:val="00E23E11"/>
    <w:rsid w:val="00E245AB"/>
    <w:rsid w:val="00E2764C"/>
    <w:rsid w:val="00E27F2E"/>
    <w:rsid w:val="00E3589A"/>
    <w:rsid w:val="00E50AFE"/>
    <w:rsid w:val="00E61997"/>
    <w:rsid w:val="00E75C92"/>
    <w:rsid w:val="00E771DC"/>
    <w:rsid w:val="00E8772A"/>
    <w:rsid w:val="00E90F6B"/>
    <w:rsid w:val="00E92C27"/>
    <w:rsid w:val="00EA0E3D"/>
    <w:rsid w:val="00EA3930"/>
    <w:rsid w:val="00EC38A7"/>
    <w:rsid w:val="00ED08F7"/>
    <w:rsid w:val="00ED1193"/>
    <w:rsid w:val="00ED7384"/>
    <w:rsid w:val="00EE1AA8"/>
    <w:rsid w:val="00F24A8F"/>
    <w:rsid w:val="00F31EDC"/>
    <w:rsid w:val="00F462B3"/>
    <w:rsid w:val="00F5664F"/>
    <w:rsid w:val="00F603B4"/>
    <w:rsid w:val="00F63FAE"/>
    <w:rsid w:val="00F666C4"/>
    <w:rsid w:val="00F755EF"/>
    <w:rsid w:val="00F76AFC"/>
    <w:rsid w:val="00FA47C0"/>
    <w:rsid w:val="00FA5394"/>
    <w:rsid w:val="00FB5DD1"/>
    <w:rsid w:val="00FB6D13"/>
    <w:rsid w:val="00FC2B5D"/>
    <w:rsid w:val="00FF1449"/>
    <w:rsid w:val="165E9519"/>
    <w:rsid w:val="382536D9"/>
    <w:rsid w:val="40D66C34"/>
    <w:rsid w:val="6AB4E263"/>
    <w:rsid w:val="6EFDAB80"/>
    <w:rsid w:val="7B19739A"/>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867B6A"/>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67B6A"/>
    <w:rPr>
      <w:rFonts w:ascii="Geomanist Light" w:hAnsi="Geomanist Light"/>
      <w:lang w:val="es-ES"/>
    </w:rPr>
  </w:style>
  <w:style w:type="character" w:customStyle="1" w:styleId="NormalWebCar">
    <w:name w:val="Normal (Web) Car"/>
    <w:link w:val="NormalWeb"/>
    <w:uiPriority w:val="99"/>
    <w:locked/>
    <w:rsid w:val="00867B6A"/>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ibliotecadigital.ccb.org.co/bitstream/handle/11520/8346/el%20abc%20de%20esales%202013%20completo.pdf?sequence=1&amp;isAllowed=y"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UNDASANJUANBOSCO@GMAIL.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https://relatoria.colombiacompra.gov.co/busqueda/conceptos"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ibliotecadigital.ccb.org.co/server/api/core/bitstreams/56eea614-11b5-49ad-a103-656fabc70bb7/conten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funcionpublica.gov.co/eva/gestornormativo/norma.php?i=25678" TargetMode="External"/><Relationship Id="rId2" Type="http://schemas.openxmlformats.org/officeDocument/2006/relationships/hyperlink" Target="https://bibliotecadigital.ccb.org.co/server/api/core/bitstreams/56eea614-11b5-49ad-a103-656fabc70bb7/content" TargetMode="External"/><Relationship Id="rId1" Type="http://schemas.openxmlformats.org/officeDocument/2006/relationships/hyperlink" Target="https://bibliotecadigital.ccb.org.co/bitstream/handle/11520/8346/el%20abc%20de%20esales%202013%20completo.pdf?sequence=1&amp;isAllowed=y" TargetMode="External"/><Relationship Id="rId4" Type="http://schemas.openxmlformats.org/officeDocument/2006/relationships/hyperlink" Target="https://www.funcionpublica.gov.co/eva/gestornormativo/norma.php?i=25678"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0F9164-423B-4B53-8978-C5D594984246}">
  <ds:schemaRefs>
    <ds:schemaRef ds:uri="http://schemas.openxmlformats.org/officeDocument/2006/bibliography"/>
  </ds:schemaRefs>
</ds:datastoreItem>
</file>

<file path=customXml/itemProps2.xml><?xml version="1.0" encoding="utf-8"?>
<ds:datastoreItem xmlns:ds="http://schemas.openxmlformats.org/officeDocument/2006/customXml" ds:itemID="{163618BE-28CB-4D69-955E-CDA788483BED}">
  <ds:schemaRefs>
    <ds:schemaRef ds:uri="http://purl.org/dc/terms/"/>
    <ds:schemaRef ds:uri="9d85dbaf-23eb-4e57-a637-93dcacc8b1a1"/>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a6cb9e4b-f1d1-4245-83ec-6cad768d538a"/>
    <ds:schemaRef ds:uri="http://purl.org/dc/dcmitype/"/>
  </ds:schemaRefs>
</ds:datastoreItem>
</file>

<file path=customXml/itemProps3.xml><?xml version="1.0" encoding="utf-8"?>
<ds:datastoreItem xmlns:ds="http://schemas.openxmlformats.org/officeDocument/2006/customXml" ds:itemID="{12E86BE6-CB7D-42CE-9F4B-4DB17D8154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4461</Words>
  <Characters>24540</Characters>
  <Application>Microsoft Office Word</Application>
  <DocSecurity>0</DocSecurity>
  <Lines>204</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2025-09-09T15:42:00Z</dcterms:created>
  <dcterms:modified xsi:type="dcterms:W3CDTF">2025-09-09T15:42:00Z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