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0DED0" w14:textId="77777777" w:rsidR="00153367" w:rsidRPr="00153367" w:rsidRDefault="00153367" w:rsidP="00153367">
      <w:pPr>
        <w:spacing w:after="0" w:line="240" w:lineRule="auto"/>
        <w:jc w:val="both"/>
        <w:rPr>
          <w:rFonts w:ascii="Verdana" w:eastAsia="Times New Roman" w:hAnsi="Verdana" w:cs="Arial"/>
          <w:color w:val="000000"/>
          <w14:ligatures w14:val="none"/>
        </w:rPr>
      </w:pPr>
      <w:r w:rsidRPr="00153367">
        <w:rPr>
          <w:rFonts w:ascii="Verdana" w:eastAsia="Times New Roman" w:hAnsi="Verdana" w:cs="Arial"/>
          <w:b/>
          <w:bCs/>
          <w:color w:val="000000"/>
          <w14:ligatures w14:val="none"/>
        </w:rPr>
        <w:t>CONTRATO DE PRESTACIÓN DE SERVICIOS – Definición</w:t>
      </w:r>
    </w:p>
    <w:p w14:paraId="2580AEB3" w14:textId="77777777" w:rsidR="00153367" w:rsidRPr="00153367" w:rsidRDefault="00153367" w:rsidP="00153367">
      <w:pPr>
        <w:spacing w:after="0" w:line="240" w:lineRule="auto"/>
        <w:rPr>
          <w:rFonts w:ascii="Verdana" w:eastAsia="Times New Roman" w:hAnsi="Verdana" w:cs="Arial"/>
          <w:color w:val="000000"/>
          <w14:ligatures w14:val="none"/>
        </w:rPr>
      </w:pPr>
      <w:r w:rsidRPr="00153367">
        <w:rPr>
          <w:rFonts w:ascii="Verdana" w:eastAsia="Times New Roman" w:hAnsi="Verdana" w:cs="Arial"/>
          <w:b/>
          <w:bCs/>
          <w:color w:val="000000"/>
          <w14:ligatures w14:val="none"/>
        </w:rPr>
        <w:t> </w:t>
      </w:r>
    </w:p>
    <w:p w14:paraId="54BADA66"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artículo 32, de la Ley 80 de 1993, el cual establece:</w:t>
      </w:r>
    </w:p>
    <w:p w14:paraId="1F595EF0"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w:t>
      </w:r>
    </w:p>
    <w:p w14:paraId="429BD589"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La celebración de dicho contrato se debe efectuar a través de la modalidad de la contratación directa. Así lo prevé el literal h numeral 4 del artículo 2, de la Ley 1150 de 2007, […]</w:t>
      </w:r>
    </w:p>
    <w:p w14:paraId="6F5BB305" w14:textId="77777777" w:rsidR="00153367" w:rsidRPr="00153367" w:rsidRDefault="00153367" w:rsidP="00153367">
      <w:pPr>
        <w:spacing w:after="0" w:line="240" w:lineRule="auto"/>
        <w:rPr>
          <w:rFonts w:ascii="Verdana" w:eastAsia="Times New Roman" w:hAnsi="Verdana" w:cs="Arial"/>
          <w:color w:val="000000"/>
          <w14:ligatures w14:val="none"/>
        </w:rPr>
      </w:pPr>
    </w:p>
    <w:p w14:paraId="2BEFC73F" w14:textId="77777777" w:rsidR="00153367" w:rsidRPr="00153367" w:rsidRDefault="00153367" w:rsidP="00153367">
      <w:pPr>
        <w:spacing w:after="0" w:line="240" w:lineRule="auto"/>
        <w:jc w:val="both"/>
        <w:rPr>
          <w:rFonts w:ascii="Verdana" w:eastAsia="Times New Roman" w:hAnsi="Verdana" w:cs="Arial"/>
          <w:b/>
          <w:bCs/>
          <w:color w:val="000000"/>
          <w14:ligatures w14:val="none"/>
        </w:rPr>
      </w:pPr>
      <w:r w:rsidRPr="00153367">
        <w:rPr>
          <w:rFonts w:ascii="Verdana" w:eastAsia="Times New Roman" w:hAnsi="Verdana" w:cs="Arial"/>
          <w:b/>
          <w:bCs/>
          <w:color w:val="000000"/>
          <w14:ligatures w14:val="none"/>
        </w:rPr>
        <w:t xml:space="preserve">CONTRATO DE PRESTACIÓN DE SERVICIOS – </w:t>
      </w:r>
      <w:r w:rsidRPr="00153367">
        <w:rPr>
          <w:rFonts w:ascii="Verdana" w:eastAsia="Times New Roman" w:hAnsi="Verdana" w:cs="Arial"/>
          <w:b/>
          <w:bCs/>
          <w14:ligatures w14:val="none"/>
        </w:rPr>
        <w:t>Generalidades</w:t>
      </w:r>
    </w:p>
    <w:p w14:paraId="28BB7C40" w14:textId="77777777" w:rsidR="00153367" w:rsidRPr="00153367" w:rsidRDefault="00153367" w:rsidP="00153367">
      <w:pPr>
        <w:spacing w:after="0" w:line="240" w:lineRule="auto"/>
        <w:jc w:val="both"/>
        <w:rPr>
          <w:rFonts w:ascii="Verdana" w:eastAsia="Times New Roman" w:hAnsi="Verdana" w:cs="Arial"/>
          <w:b/>
          <w:bCs/>
          <w:color w:val="000000"/>
          <w14:ligatures w14:val="none"/>
        </w:rPr>
      </w:pPr>
    </w:p>
    <w:p w14:paraId="3B9A7E37" w14:textId="77777777" w:rsidR="00153367" w:rsidRPr="00153367" w:rsidRDefault="00153367" w:rsidP="00153367">
      <w:pPr>
        <w:spacing w:after="0" w:line="240" w:lineRule="auto"/>
        <w:jc w:val="both"/>
        <w:rPr>
          <w:rFonts w:ascii="Verdana" w:eastAsia="Times New Roman" w:hAnsi="Verdana" w:cs="Arial"/>
          <w:color w:val="000000"/>
          <w14:ligatures w14:val="none"/>
        </w:rPr>
      </w:pPr>
      <w:r w:rsidRPr="00153367">
        <w:rPr>
          <w:rFonts w:ascii="Verdana" w:eastAsia="Times New Roman" w:hAnsi="Verdana" w:cs="Arial"/>
          <w:color w:val="000000"/>
          <w:sz w:val="20"/>
          <w:szCs w:val="20"/>
          <w14:ligatures w14:val="none"/>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153367">
        <w:rPr>
          <w:rFonts w:ascii="Verdana" w:eastAsia="Times New Roman" w:hAnsi="Verdana" w:cs="Arial"/>
          <w:color w:val="000000"/>
          <w:sz w:val="20"/>
          <w:szCs w:val="20"/>
          <w14:ligatures w14:val="none"/>
        </w:rPr>
        <w:t>ii</w:t>
      </w:r>
      <w:proofErr w:type="spellEnd"/>
      <w:r w:rsidRPr="00153367">
        <w:rPr>
          <w:rFonts w:ascii="Verdana" w:eastAsia="Times New Roman" w:hAnsi="Verdana" w:cs="Arial"/>
          <w:color w:val="000000"/>
          <w:sz w:val="20"/>
          <w:szCs w:val="20"/>
          <w14:ligatures w14:val="none"/>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153367">
        <w:rPr>
          <w:rFonts w:ascii="Verdana" w:eastAsia="Times New Roman" w:hAnsi="Verdana" w:cs="Arial"/>
          <w:color w:val="000000"/>
          <w:sz w:val="20"/>
          <w:szCs w:val="20"/>
          <w14:ligatures w14:val="none"/>
        </w:rPr>
        <w:t>iii</w:t>
      </w:r>
      <w:proofErr w:type="spellEnd"/>
      <w:r w:rsidRPr="00153367">
        <w:rPr>
          <w:rFonts w:ascii="Verdana" w:eastAsia="Times New Roman" w:hAnsi="Verdana" w:cs="Arial"/>
          <w:color w:val="000000"/>
          <w:sz w:val="20"/>
          <w:szCs w:val="20"/>
          <w14:ligatures w14:val="none"/>
        </w:rPr>
        <w:t>)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53367">
        <w:rPr>
          <w:rFonts w:ascii="Verdana" w:eastAsia="Times New Roman" w:hAnsi="Verdana" w:cs="Arial"/>
          <w:i/>
          <w:iCs/>
          <w:color w:val="000000"/>
          <w:sz w:val="20"/>
          <w:szCs w:val="20"/>
          <w14:ligatures w14:val="none"/>
        </w:rPr>
        <w:t>subordinación y dependencia</w:t>
      </w:r>
      <w:r w:rsidRPr="00153367">
        <w:rPr>
          <w:rFonts w:ascii="Verdana" w:eastAsia="Times New Roman" w:hAnsi="Verdana" w:cs="Arial"/>
          <w:color w:val="000000"/>
          <w:sz w:val="20"/>
          <w:szCs w:val="20"/>
          <w14:ligatures w14:val="none"/>
        </w:rPr>
        <w:t xml:space="preserve"> que es uno de los elementos constitutivos del vínculo laboral; </w:t>
      </w:r>
      <w:proofErr w:type="spellStart"/>
      <w:r w:rsidRPr="00153367">
        <w:rPr>
          <w:rFonts w:ascii="Verdana" w:eastAsia="Times New Roman" w:hAnsi="Verdana" w:cs="Arial"/>
          <w:color w:val="000000"/>
          <w:sz w:val="20"/>
          <w:szCs w:val="20"/>
          <w14:ligatures w14:val="none"/>
        </w:rPr>
        <w:t>iv</w:t>
      </w:r>
      <w:proofErr w:type="spellEnd"/>
      <w:r w:rsidRPr="00153367">
        <w:rPr>
          <w:rFonts w:ascii="Verdana" w:eastAsia="Times New Roman" w:hAnsi="Verdana" w:cs="Arial"/>
          <w:color w:val="000000"/>
          <w:sz w:val="20"/>
          <w:szCs w:val="20"/>
          <w14:ligatures w14:val="none"/>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153367">
        <w:rPr>
          <w:rFonts w:ascii="Verdana" w:eastAsia="Times New Roman" w:hAnsi="Verdana" w:cs="Arial"/>
          <w:color w:val="000000"/>
          <w:sz w:val="20"/>
          <w:szCs w:val="20"/>
          <w14:ligatures w14:val="none"/>
        </w:rPr>
        <w:t>vii</w:t>
      </w:r>
      <w:proofErr w:type="spellEnd"/>
      <w:r w:rsidRPr="00153367">
        <w:rPr>
          <w:rFonts w:ascii="Verdana" w:eastAsia="Times New Roman" w:hAnsi="Verdana" w:cs="Arial"/>
          <w:color w:val="000000"/>
          <w:sz w:val="20"/>
          <w:szCs w:val="20"/>
          <w14:ligatures w14:val="none"/>
        </w:rPr>
        <w:t xml:space="preserve">) para su celebración no se requiere la expedición del acto administrativo de justificación de la contratación directa; </w:t>
      </w:r>
      <w:proofErr w:type="spellStart"/>
      <w:r w:rsidRPr="00153367">
        <w:rPr>
          <w:rFonts w:ascii="Verdana" w:eastAsia="Times New Roman" w:hAnsi="Verdana" w:cs="Arial"/>
          <w:color w:val="000000"/>
          <w:sz w:val="20"/>
          <w:szCs w:val="20"/>
          <w14:ligatures w14:val="none"/>
        </w:rPr>
        <w:t>viii</w:t>
      </w:r>
      <w:proofErr w:type="spellEnd"/>
      <w:r w:rsidRPr="00153367">
        <w:rPr>
          <w:rFonts w:ascii="Verdana" w:eastAsia="Times New Roman" w:hAnsi="Verdana" w:cs="Arial"/>
          <w:color w:val="000000"/>
          <w:sz w:val="20"/>
          <w:szCs w:val="20"/>
          <w14:ligatures w14:val="none"/>
        </w:rPr>
        <w:t xml:space="preserve">) admite el pacto de cláusulas excepcionales; </w:t>
      </w:r>
      <w:proofErr w:type="spellStart"/>
      <w:r w:rsidRPr="00153367">
        <w:rPr>
          <w:rFonts w:ascii="Verdana" w:eastAsia="Times New Roman" w:hAnsi="Verdana" w:cs="Arial"/>
          <w:color w:val="000000"/>
          <w:sz w:val="20"/>
          <w:szCs w:val="20"/>
          <w14:ligatures w14:val="none"/>
        </w:rPr>
        <w:t>ix</w:t>
      </w:r>
      <w:proofErr w:type="spellEnd"/>
      <w:r w:rsidRPr="00153367">
        <w:rPr>
          <w:rFonts w:ascii="Verdana" w:eastAsia="Times New Roman" w:hAnsi="Verdana" w:cs="Arial"/>
          <w:color w:val="000000"/>
          <w:sz w:val="20"/>
          <w:szCs w:val="20"/>
          <w14:ligatures w14:val="none"/>
        </w:rPr>
        <w:t>) en algunos casos no es obligatoria la liquidación; x) para su celebración no se requiere inscripción en el Registro Único de Proponentes (RUP); xi) en él no son necesarias las garantías</w:t>
      </w:r>
      <w:r w:rsidRPr="00153367">
        <w:rPr>
          <w:rFonts w:ascii="Verdana" w:eastAsia="Times New Roman" w:hAnsi="Verdana" w:cs="Arial"/>
          <w:color w:val="000000"/>
          <w14:ligatures w14:val="none"/>
        </w:rPr>
        <w:t>.</w:t>
      </w:r>
    </w:p>
    <w:p w14:paraId="30E8CB17" w14:textId="77777777" w:rsidR="00153367" w:rsidRPr="00153367" w:rsidRDefault="00153367" w:rsidP="00153367">
      <w:pPr>
        <w:spacing w:after="0" w:line="240" w:lineRule="auto"/>
        <w:rPr>
          <w:rFonts w:ascii="Verdana" w:eastAsia="Times New Roman" w:hAnsi="Verdana" w:cs="Arial"/>
          <w:color w:val="000000"/>
          <w14:ligatures w14:val="none"/>
        </w:rPr>
      </w:pPr>
    </w:p>
    <w:p w14:paraId="6DC3F34A" w14:textId="77777777" w:rsidR="00153367" w:rsidRPr="00153367" w:rsidRDefault="00153367" w:rsidP="00153367">
      <w:pPr>
        <w:spacing w:after="0" w:line="240" w:lineRule="auto"/>
        <w:jc w:val="both"/>
        <w:rPr>
          <w:rFonts w:ascii="Verdana" w:eastAsia="Times New Roman" w:hAnsi="Verdana" w:cs="Arial"/>
          <w:b/>
          <w:bCs/>
          <w:color w:val="000000"/>
          <w14:ligatures w14:val="none"/>
        </w:rPr>
      </w:pPr>
      <w:r w:rsidRPr="00153367">
        <w:rPr>
          <w:rFonts w:ascii="Verdana" w:eastAsia="Times New Roman" w:hAnsi="Verdana" w:cs="Arial"/>
          <w:b/>
          <w:bCs/>
          <w:color w:val="000000"/>
          <w14:ligatures w14:val="none"/>
        </w:rPr>
        <w:t xml:space="preserve">CONTRATO DE PRESTACIÓN DE SERVICIOS </w:t>
      </w:r>
      <w:r w:rsidRPr="00153367">
        <w:rPr>
          <w:rFonts w:ascii="Verdana" w:eastAsia="Times New Roman" w:hAnsi="Verdana" w:cs="Arial"/>
          <w:b/>
          <w:bCs/>
          <w14:ligatures w14:val="none"/>
        </w:rPr>
        <w:t>– Incapacidades – Estabilidad laboral reforzada</w:t>
      </w:r>
    </w:p>
    <w:p w14:paraId="11595818" w14:textId="77777777" w:rsidR="00153367" w:rsidRPr="00153367" w:rsidRDefault="00153367" w:rsidP="00153367">
      <w:pPr>
        <w:spacing w:after="0" w:line="240" w:lineRule="auto"/>
        <w:rPr>
          <w:rFonts w:ascii="Verdana" w:eastAsia="Times New Roman" w:hAnsi="Verdana" w:cs="Arial"/>
          <w:color w:val="000000"/>
          <w14:ligatures w14:val="none"/>
        </w:rPr>
      </w:pPr>
    </w:p>
    <w:p w14:paraId="2B954E16"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En ese sentido, cuando el contratista se encuentra inmerso en una incapacidad, deberá tramitarla ante su entidad prestadora de salud- EPS, debido a que es este quien tiene la obligación de afiliarse al sistema de salud. Téngase presente que, al no existir relación laboral, el contratante no tiene la obligación de gestionar ni validar las incapacidades; este proceso es responsabilidad exclusiva de la entidad prestadora del contratista.</w:t>
      </w:r>
    </w:p>
    <w:p w14:paraId="19E172C4"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p>
    <w:p w14:paraId="78FC9BB2"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 xml:space="preserve">Por otro lado, es menester señalar que las partes del contrato son autónomas en suspender la ejecución de este, siempre y cuando exista una causal que lo justifique, lo anterior, teniendo en cuenta la remisión que incorporan los artículos 13 y 40 de la Ley 80 de 1993. De tal manera que, la suspensión del contrato está encaminada a solucionar los obstáculos que pudieren </w:t>
      </w:r>
      <w:r w:rsidRPr="00153367">
        <w:rPr>
          <w:rFonts w:ascii="Verdana" w:eastAsia="Times New Roman" w:hAnsi="Verdana" w:cs="Arial"/>
          <w:color w:val="000000"/>
          <w:sz w:val="20"/>
          <w:szCs w:val="20"/>
          <w14:ligatures w14:val="none"/>
        </w:rPr>
        <w:lastRenderedPageBreak/>
        <w:t xml:space="preserve">presentarse en la ejecución, deben corresponder a casos de fuerza mayor, caso fortuito o por motivos de interés público, y tienen efectos directos en el plazo y obligaciones del contrato. </w:t>
      </w:r>
    </w:p>
    <w:p w14:paraId="0DEDFB58"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p>
    <w:p w14:paraId="7DD02639"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 xml:space="preserve">Debe tenerse claridad respecto a que la suspensión del contrato no es indefinida y para suspenderse debe entenderse ha iniciado, pues procede su reiniciación una vez se logre vencer el impedimento que logró su plena ejecución. La decisión de suspender el contrato ha de ser a través de un escrito, donde se exprese en forma clara la razón que justifica la misma y la fijación de la fecha de reinicio o la condición para tal efecto. </w:t>
      </w:r>
      <w:proofErr w:type="gramStart"/>
      <w:r w:rsidRPr="00153367">
        <w:rPr>
          <w:rFonts w:ascii="Verdana" w:eastAsia="Times New Roman" w:hAnsi="Verdana" w:cs="Arial"/>
          <w:color w:val="000000"/>
          <w:sz w:val="20"/>
          <w:szCs w:val="20"/>
          <w14:ligatures w14:val="none"/>
        </w:rPr>
        <w:t>Igualmente</w:t>
      </w:r>
      <w:proofErr w:type="gramEnd"/>
      <w:r w:rsidRPr="00153367">
        <w:rPr>
          <w:rFonts w:ascii="Verdana" w:eastAsia="Times New Roman" w:hAnsi="Verdana" w:cs="Arial"/>
          <w:color w:val="000000"/>
          <w:sz w:val="20"/>
          <w:szCs w:val="20"/>
          <w14:ligatures w14:val="none"/>
        </w:rPr>
        <w:t xml:space="preserve"> la suspensión no puede ser una decisión unilateral, de cualquiera de las partes, ya sea de la entidad pública o del contratista, en otras palabras, esta decisión de suspender la ejecución del contrato debe ser de común acuerdo.</w:t>
      </w:r>
    </w:p>
    <w:p w14:paraId="35574EF2" w14:textId="77777777" w:rsidR="00153367" w:rsidRPr="00153367" w:rsidRDefault="00153367" w:rsidP="00153367">
      <w:pPr>
        <w:spacing w:after="0" w:line="240" w:lineRule="auto"/>
        <w:rPr>
          <w:rFonts w:ascii="Verdana" w:eastAsia="Times New Roman" w:hAnsi="Verdana" w:cs="Arial"/>
          <w:color w:val="000000"/>
          <w14:ligatures w14:val="none"/>
        </w:rPr>
      </w:pPr>
      <w:r w:rsidRPr="00153367">
        <w:rPr>
          <w:rFonts w:ascii="Verdana" w:eastAsia="Times New Roman" w:hAnsi="Verdana" w:cs="Arial"/>
          <w:color w:val="000000"/>
          <w14:ligatures w14:val="none"/>
        </w:rPr>
        <w:t>(…)</w:t>
      </w:r>
    </w:p>
    <w:p w14:paraId="717C65AA" w14:textId="77777777" w:rsidR="00153367" w:rsidRPr="00153367" w:rsidRDefault="00153367" w:rsidP="00153367">
      <w:pPr>
        <w:spacing w:after="0" w:line="240" w:lineRule="auto"/>
        <w:jc w:val="both"/>
        <w:rPr>
          <w:rFonts w:ascii="Verdana" w:eastAsia="Times New Roman" w:hAnsi="Verdana" w:cs="Arial"/>
          <w:color w:val="000000"/>
          <w:sz w:val="20"/>
          <w:szCs w:val="20"/>
          <w14:ligatures w14:val="none"/>
        </w:rPr>
      </w:pPr>
      <w:r w:rsidRPr="00153367">
        <w:rPr>
          <w:rFonts w:ascii="Verdana" w:eastAsia="Times New Roman" w:hAnsi="Verdana" w:cs="Arial"/>
          <w:color w:val="000000"/>
          <w:sz w:val="20"/>
          <w:szCs w:val="20"/>
          <w14:ligatures w14:val="none"/>
        </w:rPr>
        <w:t xml:space="preserve">De tal manera que, en ejercicio de esta autonomía las partes podrían acordar, por ejemplo, bien que el contratista continúe ejecutando el contrato, siempre que su incapacidad lo permita –lo cual dependerá de la naturaleza de las obligaciones a su cargo– o bien suspender el contrato de prestación de servicios, mientras cesa la incapacidad. No </w:t>
      </w:r>
      <w:proofErr w:type="gramStart"/>
      <w:r w:rsidRPr="00153367">
        <w:rPr>
          <w:rFonts w:ascii="Verdana" w:eastAsia="Times New Roman" w:hAnsi="Verdana" w:cs="Arial"/>
          <w:color w:val="000000"/>
          <w:sz w:val="20"/>
          <w:szCs w:val="20"/>
          <w14:ligatures w14:val="none"/>
        </w:rPr>
        <w:t>obstante</w:t>
      </w:r>
      <w:proofErr w:type="gramEnd"/>
      <w:r w:rsidRPr="00153367">
        <w:rPr>
          <w:rFonts w:ascii="Verdana" w:eastAsia="Times New Roman" w:hAnsi="Verdana" w:cs="Arial"/>
          <w:color w:val="000000"/>
          <w:sz w:val="20"/>
          <w:szCs w:val="20"/>
          <w14:ligatures w14:val="none"/>
        </w:rPr>
        <w:t xml:space="preserve"> lo anterior, debe tener presente la entidad contratante los derechos fundamentales del contratista, en aras de garantizar la estabilidad reforzada de personas en situación de debilidad manifiesta por razones de salud, lo cual goza de protección constitucional.</w:t>
      </w:r>
    </w:p>
    <w:p w14:paraId="4C551D19" w14:textId="77777777" w:rsidR="00153367" w:rsidRPr="00153367" w:rsidRDefault="00153367" w:rsidP="00153367">
      <w:pPr>
        <w:spacing w:after="0" w:line="240" w:lineRule="auto"/>
        <w:rPr>
          <w:rFonts w:ascii="Verdana" w:eastAsia="Times New Roman" w:hAnsi="Verdana" w:cs="Arial"/>
          <w:color w:val="000000"/>
          <w14:ligatures w14:val="none"/>
        </w:rPr>
      </w:pPr>
    </w:p>
    <w:p w14:paraId="784A291C" w14:textId="77777777" w:rsidR="00153367" w:rsidRPr="00153367" w:rsidRDefault="00153367" w:rsidP="00153367">
      <w:pPr>
        <w:spacing w:after="0" w:line="240" w:lineRule="auto"/>
        <w:rPr>
          <w:rFonts w:ascii="Verdana" w:eastAsia="Times New Roman" w:hAnsi="Verdana" w:cs="Arial"/>
          <w:color w:val="000000"/>
          <w14:ligatures w14:val="none"/>
        </w:rPr>
      </w:pPr>
    </w:p>
    <w:p w14:paraId="50181FFE" w14:textId="77777777" w:rsidR="00153367" w:rsidRPr="00153367" w:rsidRDefault="00153367" w:rsidP="00153367">
      <w:pPr>
        <w:spacing w:after="0" w:line="240" w:lineRule="auto"/>
        <w:rPr>
          <w:rFonts w:ascii="Verdana" w:eastAsia="Times New Roman" w:hAnsi="Verdana" w:cs="Arial"/>
          <w:color w:val="000000"/>
          <w14:ligatures w14:val="none"/>
        </w:rPr>
      </w:pPr>
    </w:p>
    <w:p w14:paraId="489020D3" w14:textId="77777777" w:rsidR="00153367" w:rsidRPr="00153367" w:rsidRDefault="00153367" w:rsidP="00153367">
      <w:pPr>
        <w:spacing w:after="0" w:line="240" w:lineRule="auto"/>
        <w:rPr>
          <w:rFonts w:ascii="Verdana" w:eastAsia="Times New Roman" w:hAnsi="Verdana" w:cs="Arial"/>
          <w:color w:val="000000"/>
          <w14:ligatures w14:val="none"/>
        </w:rPr>
      </w:pPr>
    </w:p>
    <w:p w14:paraId="5C48186A" w14:textId="77777777" w:rsidR="00153367" w:rsidRPr="00153367" w:rsidRDefault="00153367" w:rsidP="00153367">
      <w:pPr>
        <w:spacing w:after="0" w:line="240" w:lineRule="auto"/>
        <w:rPr>
          <w:rFonts w:ascii="Verdana" w:eastAsia="Times New Roman" w:hAnsi="Verdana" w:cs="Arial"/>
          <w:color w:val="000000"/>
          <w14:ligatures w14:val="none"/>
        </w:rPr>
      </w:pPr>
    </w:p>
    <w:p w14:paraId="54DD8B93" w14:textId="77777777" w:rsidR="00153367" w:rsidRPr="00153367" w:rsidRDefault="00153367" w:rsidP="00153367">
      <w:pPr>
        <w:spacing w:after="0" w:line="240" w:lineRule="auto"/>
        <w:rPr>
          <w:rFonts w:ascii="Verdana" w:eastAsia="Times New Roman" w:hAnsi="Verdana" w:cs="Arial"/>
          <w:color w:val="000000"/>
          <w14:ligatures w14:val="none"/>
        </w:rPr>
      </w:pPr>
    </w:p>
    <w:p w14:paraId="524063E9" w14:textId="77777777" w:rsidR="00153367" w:rsidRPr="00153367" w:rsidRDefault="00153367" w:rsidP="00153367">
      <w:pPr>
        <w:spacing w:after="0" w:line="240" w:lineRule="auto"/>
        <w:rPr>
          <w:rFonts w:ascii="Verdana" w:eastAsia="Times New Roman" w:hAnsi="Verdana" w:cs="Arial"/>
          <w:color w:val="000000"/>
          <w14:ligatures w14:val="none"/>
        </w:rPr>
      </w:pPr>
    </w:p>
    <w:p w14:paraId="0B45D5DD" w14:textId="77777777" w:rsidR="00153367" w:rsidRPr="00153367" w:rsidRDefault="00153367" w:rsidP="00153367">
      <w:pPr>
        <w:spacing w:after="0" w:line="240" w:lineRule="auto"/>
        <w:rPr>
          <w:rFonts w:ascii="Verdana" w:eastAsia="Times New Roman" w:hAnsi="Verdana" w:cs="Arial"/>
          <w:color w:val="000000"/>
          <w14:ligatures w14:val="none"/>
        </w:rPr>
      </w:pPr>
    </w:p>
    <w:p w14:paraId="112A2833" w14:textId="77777777" w:rsidR="00153367" w:rsidRPr="00153367" w:rsidRDefault="00153367" w:rsidP="00153367">
      <w:pPr>
        <w:spacing w:after="0" w:line="240" w:lineRule="auto"/>
        <w:rPr>
          <w:rFonts w:ascii="Verdana" w:eastAsia="Times New Roman" w:hAnsi="Verdana" w:cs="Arial"/>
          <w:color w:val="000000"/>
          <w14:ligatures w14:val="none"/>
        </w:rPr>
      </w:pPr>
    </w:p>
    <w:p w14:paraId="1954E6C0" w14:textId="77777777" w:rsidR="00153367" w:rsidRPr="00153367" w:rsidRDefault="00153367" w:rsidP="00153367">
      <w:pPr>
        <w:spacing w:after="0" w:line="240" w:lineRule="auto"/>
        <w:rPr>
          <w:rFonts w:ascii="Verdana" w:eastAsia="Times New Roman" w:hAnsi="Verdana" w:cs="Arial"/>
          <w:color w:val="000000"/>
          <w14:ligatures w14:val="none"/>
        </w:rPr>
      </w:pPr>
    </w:p>
    <w:p w14:paraId="69250C65" w14:textId="77777777" w:rsidR="00153367" w:rsidRPr="00153367" w:rsidRDefault="00153367" w:rsidP="00153367">
      <w:pPr>
        <w:spacing w:after="0" w:line="240" w:lineRule="auto"/>
        <w:rPr>
          <w:rFonts w:ascii="Verdana" w:eastAsia="Times New Roman" w:hAnsi="Verdana" w:cs="Arial"/>
          <w:color w:val="000000"/>
          <w14:ligatures w14:val="none"/>
        </w:rPr>
      </w:pPr>
    </w:p>
    <w:p w14:paraId="4D5964D1" w14:textId="77777777" w:rsidR="00153367" w:rsidRPr="00153367" w:rsidRDefault="00153367" w:rsidP="00153367">
      <w:pPr>
        <w:spacing w:after="0" w:line="240" w:lineRule="auto"/>
        <w:rPr>
          <w:rFonts w:ascii="Verdana" w:eastAsia="Times New Roman" w:hAnsi="Verdana" w:cs="Arial"/>
          <w:color w:val="000000"/>
          <w14:ligatures w14:val="none"/>
        </w:rPr>
      </w:pPr>
    </w:p>
    <w:p w14:paraId="797D95DE" w14:textId="77777777" w:rsidR="00153367" w:rsidRPr="00153367" w:rsidRDefault="00153367" w:rsidP="00153367">
      <w:pPr>
        <w:spacing w:after="0" w:line="240" w:lineRule="auto"/>
        <w:rPr>
          <w:rFonts w:ascii="Verdana" w:eastAsia="Times New Roman" w:hAnsi="Verdana" w:cs="Arial"/>
          <w:color w:val="000000"/>
          <w14:ligatures w14:val="none"/>
        </w:rPr>
      </w:pPr>
    </w:p>
    <w:p w14:paraId="61EB4DB9" w14:textId="77777777" w:rsidR="00153367" w:rsidRDefault="00153367" w:rsidP="00153367">
      <w:pPr>
        <w:spacing w:after="0" w:line="240" w:lineRule="auto"/>
        <w:rPr>
          <w:rFonts w:ascii="Verdana" w:eastAsia="Times New Roman" w:hAnsi="Verdana" w:cs="Arial"/>
          <w:color w:val="000000"/>
          <w14:ligatures w14:val="none"/>
        </w:rPr>
      </w:pPr>
    </w:p>
    <w:p w14:paraId="0544D22C" w14:textId="77777777" w:rsidR="00546C9D" w:rsidRDefault="00546C9D" w:rsidP="00153367">
      <w:pPr>
        <w:spacing w:after="0" w:line="240" w:lineRule="auto"/>
        <w:rPr>
          <w:rFonts w:ascii="Verdana" w:eastAsia="Times New Roman" w:hAnsi="Verdana" w:cs="Arial"/>
          <w:color w:val="000000"/>
          <w14:ligatures w14:val="none"/>
        </w:rPr>
      </w:pPr>
    </w:p>
    <w:p w14:paraId="6E69C0A2" w14:textId="77777777" w:rsidR="00546C9D" w:rsidRDefault="00546C9D" w:rsidP="00153367">
      <w:pPr>
        <w:spacing w:after="0" w:line="240" w:lineRule="auto"/>
        <w:rPr>
          <w:rFonts w:ascii="Verdana" w:eastAsia="Times New Roman" w:hAnsi="Verdana" w:cs="Arial"/>
          <w:color w:val="000000"/>
          <w14:ligatures w14:val="none"/>
        </w:rPr>
      </w:pPr>
    </w:p>
    <w:p w14:paraId="7F878852" w14:textId="77777777" w:rsidR="00546C9D" w:rsidRDefault="00546C9D" w:rsidP="00153367">
      <w:pPr>
        <w:spacing w:after="0" w:line="240" w:lineRule="auto"/>
        <w:rPr>
          <w:rFonts w:ascii="Verdana" w:eastAsia="Times New Roman" w:hAnsi="Verdana" w:cs="Arial"/>
          <w:color w:val="000000"/>
          <w14:ligatures w14:val="none"/>
        </w:rPr>
      </w:pPr>
    </w:p>
    <w:p w14:paraId="5CFBCFBE" w14:textId="77777777" w:rsidR="00546C9D" w:rsidRDefault="00546C9D" w:rsidP="00153367">
      <w:pPr>
        <w:spacing w:after="0" w:line="240" w:lineRule="auto"/>
        <w:rPr>
          <w:rFonts w:ascii="Verdana" w:eastAsia="Times New Roman" w:hAnsi="Verdana" w:cs="Arial"/>
          <w:color w:val="000000"/>
          <w14:ligatures w14:val="none"/>
        </w:rPr>
      </w:pPr>
    </w:p>
    <w:p w14:paraId="75416853" w14:textId="77777777" w:rsidR="00546C9D" w:rsidRDefault="00546C9D" w:rsidP="00153367">
      <w:pPr>
        <w:spacing w:after="0" w:line="240" w:lineRule="auto"/>
        <w:rPr>
          <w:rFonts w:ascii="Verdana" w:eastAsia="Times New Roman" w:hAnsi="Verdana" w:cs="Arial"/>
          <w:color w:val="000000"/>
          <w14:ligatures w14:val="none"/>
        </w:rPr>
      </w:pPr>
    </w:p>
    <w:p w14:paraId="2CBEA55C" w14:textId="77777777" w:rsidR="00546C9D" w:rsidRDefault="00546C9D" w:rsidP="00153367">
      <w:pPr>
        <w:spacing w:after="0" w:line="240" w:lineRule="auto"/>
        <w:rPr>
          <w:rFonts w:ascii="Verdana" w:eastAsia="Times New Roman" w:hAnsi="Verdana" w:cs="Arial"/>
          <w:color w:val="000000"/>
          <w14:ligatures w14:val="none"/>
        </w:rPr>
      </w:pPr>
    </w:p>
    <w:p w14:paraId="63B048EF" w14:textId="77777777" w:rsidR="00546C9D" w:rsidRDefault="00546C9D" w:rsidP="00153367">
      <w:pPr>
        <w:spacing w:after="0" w:line="240" w:lineRule="auto"/>
        <w:rPr>
          <w:rFonts w:ascii="Verdana" w:eastAsia="Times New Roman" w:hAnsi="Verdana" w:cs="Arial"/>
          <w:color w:val="000000"/>
          <w14:ligatures w14:val="none"/>
        </w:rPr>
      </w:pPr>
    </w:p>
    <w:p w14:paraId="59EDDAEB" w14:textId="77777777" w:rsidR="00546C9D" w:rsidRPr="00153367" w:rsidRDefault="00546C9D" w:rsidP="00153367">
      <w:pPr>
        <w:spacing w:after="0" w:line="240" w:lineRule="auto"/>
        <w:rPr>
          <w:rFonts w:ascii="Verdana" w:eastAsia="Times New Roman" w:hAnsi="Verdana" w:cs="Arial"/>
          <w:color w:val="000000"/>
          <w14:ligatures w14:val="none"/>
        </w:rPr>
      </w:pPr>
    </w:p>
    <w:p w14:paraId="1B119796" w14:textId="77777777" w:rsidR="00153367" w:rsidRPr="00153367" w:rsidRDefault="00153367" w:rsidP="00153367">
      <w:pPr>
        <w:spacing w:after="0" w:line="240" w:lineRule="auto"/>
        <w:rPr>
          <w:rFonts w:ascii="Verdana" w:eastAsia="Times New Roman" w:hAnsi="Verdana" w:cs="Arial"/>
          <w:color w:val="000000"/>
          <w14:ligatures w14:val="none"/>
        </w:rPr>
      </w:pPr>
    </w:p>
    <w:p w14:paraId="0CF1261E" w14:textId="77777777" w:rsidR="00153367" w:rsidRPr="00153367" w:rsidRDefault="00153367" w:rsidP="00153367">
      <w:pPr>
        <w:spacing w:after="0" w:line="240" w:lineRule="auto"/>
        <w:rPr>
          <w:rFonts w:ascii="Verdana" w:eastAsia="Times New Roman" w:hAnsi="Verdana" w:cs="Arial"/>
          <w:color w:val="000000"/>
          <w14:ligatures w14:val="none"/>
        </w:rPr>
      </w:pPr>
    </w:p>
    <w:p w14:paraId="1A501176" w14:textId="77777777" w:rsidR="00153367" w:rsidRPr="00153367" w:rsidRDefault="00153367" w:rsidP="00153367">
      <w:pPr>
        <w:spacing w:after="0" w:line="240" w:lineRule="auto"/>
        <w:rPr>
          <w:rFonts w:ascii="Verdana" w:eastAsia="Times New Roman" w:hAnsi="Verdana" w:cs="Arial"/>
          <w:color w:val="000000"/>
          <w14:ligatures w14:val="none"/>
        </w:rPr>
      </w:pPr>
    </w:p>
    <w:p w14:paraId="0CBA9710" w14:textId="77777777" w:rsidR="00153367" w:rsidRPr="00153367" w:rsidRDefault="00153367" w:rsidP="00153367">
      <w:pPr>
        <w:spacing w:after="0" w:line="240" w:lineRule="auto"/>
        <w:rPr>
          <w:rFonts w:ascii="Verdana" w:eastAsia="Times New Roman" w:hAnsi="Verdana" w:cs="Arial"/>
          <w:color w:val="000000"/>
          <w14:ligatures w14:val="none"/>
        </w:rPr>
      </w:pPr>
    </w:p>
    <w:p w14:paraId="6D420751" w14:textId="77777777" w:rsidR="00153367" w:rsidRPr="00153367" w:rsidRDefault="00153367" w:rsidP="00153367">
      <w:pPr>
        <w:spacing w:after="0" w:line="240" w:lineRule="auto"/>
        <w:rPr>
          <w:rFonts w:ascii="Verdana" w:eastAsia="Times New Roman" w:hAnsi="Verdana" w:cs="Arial"/>
          <w:color w:val="000000"/>
          <w14:ligatures w14:val="none"/>
        </w:rPr>
      </w:pPr>
    </w:p>
    <w:p w14:paraId="3F52812B" w14:textId="07DAFC4A" w:rsidR="00546C9D" w:rsidRDefault="00153367" w:rsidP="00153367">
      <w:pPr>
        <w:spacing w:after="0" w:line="240" w:lineRule="auto"/>
        <w:rPr>
          <w:rFonts w:ascii="Verdana" w:eastAsia="Times New Roman" w:hAnsi="Verdana" w:cs="Arial"/>
          <w:color w:val="201F1E"/>
          <w14:ligatures w14:val="none"/>
        </w:rPr>
      </w:pPr>
      <w:r w:rsidRPr="00153367">
        <w:rPr>
          <w:rFonts w:ascii="Verdana" w:eastAsia="Times New Roman" w:hAnsi="Verdana" w:cs="Arial"/>
          <w:color w:val="000000"/>
          <w14:ligatures w14:val="none"/>
        </w:rPr>
        <w:lastRenderedPageBreak/>
        <w:t>Bogotá D.C., </w:t>
      </w:r>
      <w:r w:rsidR="00546C9D">
        <w:rPr>
          <w:rFonts w:ascii="Verdana" w:eastAsia="Times New Roman" w:hAnsi="Verdana" w:cs="Arial"/>
          <w:color w:val="201F1E"/>
          <w14:ligatures w14:val="none"/>
        </w:rPr>
        <w:t>28 de agosto de 2025</w:t>
      </w:r>
    </w:p>
    <w:p w14:paraId="65742DB2" w14:textId="1D173E8F" w:rsidR="00546C9D" w:rsidRDefault="00546C9D" w:rsidP="00153367">
      <w:pPr>
        <w:spacing w:after="0" w:line="240" w:lineRule="auto"/>
        <w:rPr>
          <w:rFonts w:ascii="Verdana" w:eastAsia="Times New Roman" w:hAnsi="Verdana" w:cs="Arial"/>
          <w:color w:val="201F1E"/>
          <w14:ligatures w14:val="none"/>
        </w:rPr>
      </w:pPr>
    </w:p>
    <w:p w14:paraId="5C1A0C9F" w14:textId="6A090C26" w:rsidR="00546C9D" w:rsidRPr="00153367" w:rsidRDefault="00546C9D" w:rsidP="00546C9D">
      <w:pPr>
        <w:spacing w:after="0" w:line="240" w:lineRule="auto"/>
        <w:jc w:val="right"/>
        <w:rPr>
          <w:rFonts w:ascii="Verdana" w:eastAsia="Times New Roman" w:hAnsi="Verdana" w:cs="Arial"/>
          <w:color w:val="201F1E"/>
          <w14:ligatures w14:val="none"/>
        </w:rPr>
      </w:pPr>
    </w:p>
    <w:p w14:paraId="6F0B0D34" w14:textId="7A854BDD" w:rsidR="00153367" w:rsidRPr="00153367" w:rsidRDefault="00153367" w:rsidP="00153367">
      <w:pPr>
        <w:spacing w:after="0" w:line="240" w:lineRule="auto"/>
        <w:jc w:val="both"/>
        <w:rPr>
          <w:rFonts w:ascii="Verdana" w:eastAsia="Times New Roman" w:hAnsi="Verdana" w:cs="Arial"/>
          <w:lang w:eastAsia="es-ES"/>
          <w14:ligatures w14:val="none"/>
        </w:rPr>
      </w:pPr>
      <w:bookmarkStart w:id="0" w:name="_Hlk175917643"/>
    </w:p>
    <w:p w14:paraId="1606648D" w14:textId="66BC66ED" w:rsidR="00153367" w:rsidRPr="00153367" w:rsidRDefault="0011125E" w:rsidP="00153367">
      <w:pPr>
        <w:spacing w:after="0" w:line="240" w:lineRule="auto"/>
        <w:jc w:val="both"/>
        <w:rPr>
          <w:rFonts w:ascii="Verdana" w:eastAsia="Times New Roman" w:hAnsi="Verdana" w:cs="Arial"/>
          <w:lang w:eastAsia="es-ES"/>
          <w14:ligatures w14:val="none"/>
        </w:rPr>
      </w:pPr>
      <w:r w:rsidRPr="00546C9D">
        <w:rPr>
          <w:rFonts w:ascii="Verdana" w:eastAsia="Times New Roman" w:hAnsi="Verdana" w:cs="Arial"/>
          <w:noProof/>
          <w:color w:val="201F1E"/>
          <w14:ligatures w14:val="none"/>
        </w:rPr>
        <w:drawing>
          <wp:anchor distT="0" distB="0" distL="114300" distR="114300" simplePos="0" relativeHeight="251660288" behindDoc="0" locked="0" layoutInCell="1" allowOverlap="1" wp14:anchorId="5FDBA0AD" wp14:editId="0270FF7C">
            <wp:simplePos x="0" y="0"/>
            <wp:positionH relativeFrom="margin">
              <wp:align>right</wp:align>
            </wp:positionH>
            <wp:positionV relativeFrom="paragraph">
              <wp:posOffset>18277</wp:posOffset>
            </wp:positionV>
            <wp:extent cx="3043555" cy="795020"/>
            <wp:effectExtent l="0" t="0" r="4445" b="5080"/>
            <wp:wrapSquare wrapText="bothSides"/>
            <wp:docPr id="100593198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3198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045722" cy="795696"/>
                    </a:xfrm>
                    <a:prstGeom prst="rect">
                      <a:avLst/>
                    </a:prstGeom>
                  </pic:spPr>
                </pic:pic>
              </a:graphicData>
            </a:graphic>
            <wp14:sizeRelH relativeFrom="margin">
              <wp14:pctWidth>0</wp14:pctWidth>
            </wp14:sizeRelH>
            <wp14:sizeRelV relativeFrom="margin">
              <wp14:pctHeight>0</wp14:pctHeight>
            </wp14:sizeRelV>
          </wp:anchor>
        </w:drawing>
      </w:r>
    </w:p>
    <w:p w14:paraId="0E4C34FD" w14:textId="77777777" w:rsidR="00153367" w:rsidRPr="00153367" w:rsidRDefault="00153367" w:rsidP="00153367">
      <w:pPr>
        <w:spacing w:after="0" w:line="240" w:lineRule="auto"/>
        <w:jc w:val="both"/>
        <w:rPr>
          <w:rFonts w:ascii="Verdana" w:eastAsia="Times New Roman" w:hAnsi="Verdana" w:cs="Arial"/>
          <w:lang w:eastAsia="es-ES"/>
          <w14:ligatures w14:val="none"/>
        </w:rPr>
      </w:pPr>
      <w:r w:rsidRPr="00153367">
        <w:rPr>
          <w:rFonts w:ascii="Verdana" w:eastAsia="Times New Roman" w:hAnsi="Verdana" w:cs="Arial"/>
          <w:lang w:eastAsia="es-ES"/>
          <w14:ligatures w14:val="none"/>
        </w:rPr>
        <w:t>Señor</w:t>
      </w:r>
    </w:p>
    <w:p w14:paraId="1C99977E" w14:textId="77777777" w:rsidR="00153367" w:rsidRPr="00153367" w:rsidRDefault="00153367" w:rsidP="00153367">
      <w:pPr>
        <w:spacing w:after="0" w:line="240" w:lineRule="auto"/>
        <w:rPr>
          <w:rFonts w:ascii="Verdana" w:eastAsia="Times New Roman" w:hAnsi="Verdana" w:cs="Arial"/>
          <w:b/>
          <w:bCs/>
          <w:lang w:eastAsia="es-ES"/>
          <w14:ligatures w14:val="none"/>
        </w:rPr>
      </w:pPr>
      <w:r w:rsidRPr="00153367">
        <w:rPr>
          <w:rFonts w:ascii="Verdana" w:eastAsia="Times New Roman" w:hAnsi="Verdana" w:cs="Arial"/>
          <w:b/>
          <w:bCs/>
          <w:lang w:eastAsia="es-ES"/>
          <w14:ligatures w14:val="none"/>
        </w:rPr>
        <w:t>Anónimo</w:t>
      </w:r>
    </w:p>
    <w:p w14:paraId="4B557E7C" w14:textId="77777777" w:rsidR="00153367" w:rsidRPr="00153367" w:rsidRDefault="00153367" w:rsidP="00153367">
      <w:pPr>
        <w:spacing w:after="0" w:line="240" w:lineRule="auto"/>
        <w:rPr>
          <w:rFonts w:ascii="Verdana" w:eastAsia="Times New Roman" w:hAnsi="Verdana" w:cs="Arial"/>
          <w:lang w:eastAsia="es-ES"/>
          <w14:ligatures w14:val="none"/>
        </w:rPr>
      </w:pPr>
      <w:r w:rsidRPr="00153367">
        <w:rPr>
          <w:rFonts w:ascii="Verdana" w:eastAsia="Times New Roman" w:hAnsi="Verdana" w:cs="Arial"/>
          <w:lang w:eastAsia="es-ES"/>
          <w14:ligatures w14:val="none"/>
        </w:rPr>
        <w:t>rafaelmartineznor@hotmail.com</w:t>
      </w:r>
    </w:p>
    <w:p w14:paraId="29E2405A" w14:textId="77777777" w:rsidR="00153367" w:rsidRPr="00153367" w:rsidRDefault="00153367" w:rsidP="00153367">
      <w:pPr>
        <w:spacing w:after="0" w:line="240" w:lineRule="auto"/>
        <w:rPr>
          <w:rFonts w:ascii="Verdana" w:eastAsia="Times New Roman" w:hAnsi="Verdana" w:cs="Arial"/>
          <w:b/>
          <w:bCs/>
          <w:color w:val="000000"/>
          <w:lang w:eastAsia="es-ES_tradnl"/>
          <w14:ligatures w14:val="none"/>
        </w:rPr>
      </w:pPr>
      <w:r w:rsidRPr="00153367">
        <w:rPr>
          <w:rFonts w:ascii="Verdana" w:eastAsia="Times New Roman" w:hAnsi="Verdana" w:cs="Arial"/>
          <w:lang w:eastAsia="es-ES"/>
          <w14:ligatures w14:val="none"/>
        </w:rPr>
        <w:t>Ciudad</w:t>
      </w:r>
    </w:p>
    <w:p w14:paraId="67CB8659" w14:textId="77777777" w:rsidR="00153367" w:rsidRPr="00153367" w:rsidRDefault="00153367" w:rsidP="00153367">
      <w:pPr>
        <w:spacing w:after="0" w:line="240" w:lineRule="auto"/>
        <w:ind w:right="-1368"/>
        <w:jc w:val="right"/>
        <w:rPr>
          <w:rFonts w:ascii="Verdana" w:eastAsia="Times New Roman" w:hAnsi="Verdana" w:cs="Arial"/>
          <w:b/>
          <w:bCs/>
          <w:color w:val="000000"/>
          <w:lang w:eastAsia="es-ES_tradnl"/>
          <w14:ligatures w14:val="none"/>
        </w:rPr>
      </w:pPr>
    </w:p>
    <w:p w14:paraId="05EDF361" w14:textId="77777777" w:rsidR="00153367" w:rsidRPr="00153367" w:rsidRDefault="00153367" w:rsidP="00153367">
      <w:pPr>
        <w:spacing w:after="0" w:line="240" w:lineRule="auto"/>
        <w:rPr>
          <w:rFonts w:ascii="Verdana" w:eastAsia="Times New Roman" w:hAnsi="Verdana" w:cs="Arial"/>
          <w:b/>
          <w:bCs/>
          <w:color w:val="000000"/>
          <w:lang w:eastAsia="es-ES_tradnl"/>
          <w14:ligatures w14:val="none"/>
        </w:rPr>
      </w:pPr>
    </w:p>
    <w:tbl>
      <w:tblPr>
        <w:tblStyle w:val="Tablaconcuadrcula1"/>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237"/>
      </w:tblGrid>
      <w:tr w:rsidR="00153367" w:rsidRPr="00153367" w14:paraId="1D059BD8" w14:textId="77777777" w:rsidTr="0011125E">
        <w:trPr>
          <w:trHeight w:val="884"/>
        </w:trPr>
        <w:tc>
          <w:tcPr>
            <w:tcW w:w="2268" w:type="dxa"/>
          </w:tcPr>
          <w:p w14:paraId="149E8B0F" w14:textId="77777777" w:rsidR="00153367" w:rsidRPr="00153367" w:rsidRDefault="00153367" w:rsidP="00153367">
            <w:pPr>
              <w:jc w:val="both"/>
              <w:rPr>
                <w:rFonts w:ascii="Verdana" w:hAnsi="Verdana" w:cs="Arial"/>
                <w:b/>
                <w:bCs/>
                <w:color w:val="7030A0"/>
                <w:lang w:eastAsia="es-ES_tradnl"/>
              </w:rPr>
            </w:pPr>
          </w:p>
        </w:tc>
        <w:tc>
          <w:tcPr>
            <w:tcW w:w="6237" w:type="dxa"/>
          </w:tcPr>
          <w:p w14:paraId="2149887B" w14:textId="77777777" w:rsidR="00153367" w:rsidRPr="00153367" w:rsidRDefault="00153367" w:rsidP="00153367">
            <w:pPr>
              <w:jc w:val="both"/>
              <w:rPr>
                <w:rFonts w:ascii="Verdana" w:hAnsi="Verdana" w:cs="Arial"/>
                <w:b/>
                <w:bCs/>
                <w:color w:val="7030A0"/>
                <w:lang w:eastAsia="es-ES"/>
              </w:rPr>
            </w:pPr>
            <w:r w:rsidRPr="00153367">
              <w:rPr>
                <w:rFonts w:ascii="Verdana" w:hAnsi="Verdana" w:cs="Arial"/>
                <w:b/>
                <w:bCs/>
                <w:lang w:eastAsia="es-ES"/>
              </w:rPr>
              <w:t>Concepto C- 1049</w:t>
            </w:r>
            <w:r w:rsidRPr="00153367">
              <w:rPr>
                <w:rFonts w:ascii="Verdana" w:hAnsi="Verdana" w:cs="Arial"/>
                <w:b/>
                <w:bCs/>
                <w:color w:val="7030A0"/>
                <w:lang w:eastAsia="es-ES"/>
              </w:rPr>
              <w:t xml:space="preserve"> </w:t>
            </w:r>
            <w:r w:rsidRPr="00153367">
              <w:rPr>
                <w:rFonts w:ascii="Verdana" w:hAnsi="Verdana" w:cs="Arial"/>
                <w:b/>
                <w:bCs/>
                <w:lang w:eastAsia="es-ES"/>
              </w:rPr>
              <w:t>de 2025</w:t>
            </w:r>
          </w:p>
        </w:tc>
      </w:tr>
      <w:tr w:rsidR="00153367" w:rsidRPr="00153367" w14:paraId="5A5A041F" w14:textId="77777777" w:rsidTr="0011125E">
        <w:trPr>
          <w:trHeight w:val="884"/>
        </w:trPr>
        <w:tc>
          <w:tcPr>
            <w:tcW w:w="2268" w:type="dxa"/>
          </w:tcPr>
          <w:p w14:paraId="7B387A0B" w14:textId="77777777" w:rsidR="00153367" w:rsidRPr="00153367" w:rsidRDefault="00153367" w:rsidP="00153367">
            <w:pPr>
              <w:jc w:val="both"/>
              <w:rPr>
                <w:rFonts w:ascii="Verdana" w:hAnsi="Verdana" w:cs="Arial"/>
                <w:color w:val="000000"/>
                <w:lang w:eastAsia="es-ES_tradnl"/>
              </w:rPr>
            </w:pPr>
            <w:r w:rsidRPr="00153367">
              <w:rPr>
                <w:rFonts w:ascii="Verdana" w:hAnsi="Verdana" w:cs="Arial"/>
                <w:b/>
                <w:color w:val="000000"/>
                <w:lang w:eastAsia="es-ES_tradnl"/>
              </w:rPr>
              <w:t>Temas:</w:t>
            </w:r>
            <w:r w:rsidRPr="00153367">
              <w:rPr>
                <w:rFonts w:ascii="Verdana" w:hAnsi="Verdana" w:cs="Arial"/>
                <w:color w:val="000000"/>
                <w:lang w:eastAsia="es-ES_tradnl"/>
              </w:rPr>
              <w:t xml:space="preserve">                   </w:t>
            </w:r>
          </w:p>
        </w:tc>
        <w:tc>
          <w:tcPr>
            <w:tcW w:w="6237" w:type="dxa"/>
          </w:tcPr>
          <w:p w14:paraId="40AEEA43" w14:textId="77777777" w:rsidR="00153367" w:rsidRPr="00153367" w:rsidRDefault="00153367" w:rsidP="00153367">
            <w:pPr>
              <w:spacing w:line="276" w:lineRule="auto"/>
              <w:jc w:val="both"/>
              <w:rPr>
                <w:rFonts w:ascii="Verdana" w:hAnsi="Verdana" w:cs="Arial"/>
                <w:noProof/>
              </w:rPr>
            </w:pPr>
            <w:r w:rsidRPr="00153367">
              <w:rPr>
                <w:rFonts w:ascii="Verdana" w:hAnsi="Verdana" w:cs="Arial"/>
              </w:rPr>
              <w:t>CONTRATO DE PRESTACIÓN DE SERVICIOS – Definición / CONTRATO DE PRESTACIÓN DE SERVICIOS – Generalidades / CONTRATO DE PRESTACIÓN DE SERVICIOS – Incapacidades – Estabilidad laboral reforzada</w:t>
            </w:r>
          </w:p>
          <w:p w14:paraId="115DE655" w14:textId="77777777" w:rsidR="00153367" w:rsidRPr="00153367" w:rsidRDefault="00153367" w:rsidP="00153367">
            <w:pPr>
              <w:spacing w:line="276" w:lineRule="auto"/>
              <w:jc w:val="both"/>
              <w:rPr>
                <w:rFonts w:ascii="Verdana" w:hAnsi="Verdana" w:cs="Arial"/>
                <w:lang w:eastAsia="es-ES"/>
              </w:rPr>
            </w:pPr>
          </w:p>
        </w:tc>
      </w:tr>
      <w:tr w:rsidR="00153367" w:rsidRPr="00153367" w14:paraId="18645B7B" w14:textId="77777777" w:rsidTr="0011125E">
        <w:tc>
          <w:tcPr>
            <w:tcW w:w="2268" w:type="dxa"/>
          </w:tcPr>
          <w:p w14:paraId="4A5D10C6" w14:textId="77777777" w:rsidR="00153367" w:rsidRPr="00153367" w:rsidRDefault="00153367" w:rsidP="00153367">
            <w:pPr>
              <w:jc w:val="both"/>
              <w:rPr>
                <w:rFonts w:ascii="Verdana" w:hAnsi="Verdana" w:cs="Arial"/>
                <w:b/>
                <w:color w:val="7030A0"/>
                <w:lang w:eastAsia="es-ES_tradnl"/>
              </w:rPr>
            </w:pPr>
            <w:r w:rsidRPr="00153367">
              <w:rPr>
                <w:rFonts w:ascii="Verdana" w:hAnsi="Verdana" w:cs="Arial"/>
                <w:b/>
                <w:lang w:eastAsia="es-ES_tradnl"/>
              </w:rPr>
              <w:t xml:space="preserve">Radicación:               </w:t>
            </w:r>
          </w:p>
        </w:tc>
        <w:tc>
          <w:tcPr>
            <w:tcW w:w="6237" w:type="dxa"/>
          </w:tcPr>
          <w:p w14:paraId="6F594AE7" w14:textId="77777777" w:rsidR="00153367" w:rsidRPr="00153367" w:rsidRDefault="00153367" w:rsidP="00153367">
            <w:pPr>
              <w:jc w:val="both"/>
              <w:rPr>
                <w:rFonts w:ascii="Verdana" w:hAnsi="Verdana" w:cs="Arial"/>
                <w:color w:val="7030A0"/>
                <w:lang w:eastAsia="es-ES_tradnl"/>
              </w:rPr>
            </w:pPr>
            <w:r w:rsidRPr="00153367">
              <w:rPr>
                <w:rFonts w:ascii="Verdana" w:hAnsi="Verdana" w:cs="Arial"/>
                <w:lang w:eastAsia="es-ES_tradnl"/>
              </w:rPr>
              <w:t xml:space="preserve">Respuesta a consulta con radicado No. </w:t>
            </w:r>
            <w:r w:rsidRPr="00153367">
              <w:rPr>
                <w:rFonts w:ascii="Verdana" w:hAnsi="Verdana" w:cs="Calibri"/>
                <w:color w:val="000000"/>
              </w:rPr>
              <w:t>1_2025_07_29_007848</w:t>
            </w:r>
          </w:p>
          <w:p w14:paraId="4F9B6AFD" w14:textId="77777777" w:rsidR="00153367" w:rsidRPr="00153367" w:rsidRDefault="00153367" w:rsidP="00153367">
            <w:pPr>
              <w:jc w:val="both"/>
              <w:rPr>
                <w:rFonts w:ascii="Verdana" w:hAnsi="Verdana" w:cs="Arial"/>
                <w:color w:val="7030A0"/>
                <w:lang w:eastAsia="es-ES_tradnl"/>
              </w:rPr>
            </w:pPr>
          </w:p>
        </w:tc>
      </w:tr>
    </w:tbl>
    <w:p w14:paraId="5D1642EA" w14:textId="77777777" w:rsidR="00153367" w:rsidRPr="00153367" w:rsidRDefault="00153367" w:rsidP="00153367">
      <w:pPr>
        <w:spacing w:after="0" w:line="240" w:lineRule="auto"/>
        <w:jc w:val="both"/>
        <w:rPr>
          <w:rFonts w:ascii="Verdana" w:eastAsia="Times New Roman" w:hAnsi="Verdana" w:cs="Arial"/>
          <w:color w:val="000000"/>
          <w:lang w:eastAsia="es-ES_tradnl"/>
          <w14:ligatures w14:val="none"/>
        </w:rPr>
      </w:pPr>
    </w:p>
    <w:p w14:paraId="3A1204EB" w14:textId="77777777" w:rsidR="00153367" w:rsidRPr="00153367" w:rsidRDefault="00153367" w:rsidP="00153367">
      <w:pPr>
        <w:spacing w:after="0" w:line="276" w:lineRule="auto"/>
        <w:jc w:val="both"/>
        <w:rPr>
          <w:rFonts w:ascii="Verdana" w:eastAsia="Times New Roman" w:hAnsi="Verdana" w:cs="Arial"/>
          <w:color w:val="000000"/>
          <w:lang w:eastAsia="es-ES"/>
          <w14:ligatures w14:val="none"/>
        </w:rPr>
      </w:pPr>
      <w:r w:rsidRPr="00153367">
        <w:rPr>
          <w:rFonts w:ascii="Verdana" w:eastAsia="Times New Roman" w:hAnsi="Verdana" w:cs="Arial"/>
          <w:color w:val="000000"/>
          <w:lang w:eastAsia="es-ES"/>
          <w14:ligatures w14:val="none"/>
        </w:rPr>
        <w:t xml:space="preserve">Estimado </w:t>
      </w:r>
      <w:r w:rsidRPr="00153367">
        <w:rPr>
          <w:rFonts w:ascii="Verdana" w:eastAsia="Times New Roman" w:hAnsi="Verdana" w:cs="Arial"/>
          <w:lang w:eastAsia="es-ES"/>
          <w14:ligatures w14:val="none"/>
        </w:rPr>
        <w:t xml:space="preserve">señor: </w:t>
      </w:r>
    </w:p>
    <w:p w14:paraId="60537327" w14:textId="77777777" w:rsidR="00153367" w:rsidRPr="00153367" w:rsidRDefault="00153367" w:rsidP="00153367">
      <w:pPr>
        <w:tabs>
          <w:tab w:val="left" w:pos="3768"/>
        </w:tabs>
        <w:spacing w:after="0" w:line="276" w:lineRule="auto"/>
        <w:jc w:val="both"/>
        <w:rPr>
          <w:rFonts w:ascii="Verdana" w:eastAsia="Times New Roman" w:hAnsi="Verdana" w:cs="Arial"/>
          <w:color w:val="000000"/>
          <w:lang w:eastAsia="es-ES"/>
          <w14:ligatures w14:val="none"/>
        </w:rPr>
      </w:pPr>
      <w:r w:rsidRPr="00153367">
        <w:rPr>
          <w:rFonts w:ascii="Verdana" w:eastAsia="Times New Roman" w:hAnsi="Verdana" w:cs="Arial"/>
          <w:color w:val="000000"/>
          <w:lang w:eastAsia="es-ES"/>
          <w14:ligatures w14:val="none"/>
        </w:rPr>
        <w:tab/>
      </w:r>
    </w:p>
    <w:p w14:paraId="7C757974" w14:textId="77777777" w:rsidR="00153367" w:rsidRPr="00153367" w:rsidRDefault="00153367" w:rsidP="00153367">
      <w:pPr>
        <w:spacing w:after="0" w:line="276" w:lineRule="auto"/>
        <w:jc w:val="both"/>
        <w:rPr>
          <w:rFonts w:ascii="Verdana" w:eastAsia="Times New Roman" w:hAnsi="Verdana" w:cs="Arial"/>
          <w:lang w:eastAsia="es-ES"/>
          <w14:ligatures w14:val="none"/>
        </w:rPr>
      </w:pPr>
      <w:r w:rsidRPr="00153367">
        <w:rPr>
          <w:rFonts w:ascii="Verdana" w:eastAsia="Times New Roman" w:hAnsi="Verdana" w:cs="Arial"/>
          <w:color w:val="000000"/>
          <w:lang w:eastAsia="es-ES"/>
          <w14:ligatures w14:val="none"/>
        </w:rPr>
        <w:t>En ejercicio de la competencia otorgada por los artículos 3, numeral 5º, y 11, numeral 8º, del Decreto Ley 4170 de 2011,</w:t>
      </w:r>
      <w:r w:rsidRPr="00153367">
        <w:rPr>
          <w:rFonts w:ascii="Verdana" w:eastAsia="Times New Roman" w:hAnsi="Verdana" w:cs="Arial MT"/>
          <w:lang w:eastAsia="es-ES"/>
          <w14:ligatures w14:val="none"/>
        </w:rPr>
        <w:t xml:space="preserve"> </w:t>
      </w:r>
      <w:r w:rsidRPr="00153367">
        <w:rPr>
          <w:rFonts w:ascii="Verdana" w:eastAsia="Times New Roman" w:hAnsi="Verdana" w:cs="Arial"/>
          <w14:ligatures w14:val="none"/>
        </w:rPr>
        <w:t xml:space="preserve">así como lo establecido en el artículo 4 de la Resolución 1707 de 2018 expedida por esta Entidad, </w:t>
      </w:r>
      <w:r w:rsidRPr="00153367">
        <w:rPr>
          <w:rFonts w:ascii="Verdana" w:eastAsia="Times New Roman" w:hAnsi="Verdana" w:cs="Arial"/>
          <w:color w:val="000000"/>
          <w:lang w:eastAsia="es-ES"/>
          <w14:ligatures w14:val="none"/>
        </w:rPr>
        <w:t xml:space="preserve">la Agencia Nacional de Contratación Pública – Colombia Compra Eficiente– responde su solicitud de </w:t>
      </w:r>
      <w:r w:rsidRPr="00153367">
        <w:rPr>
          <w:rFonts w:ascii="Verdana" w:eastAsia="Times New Roman" w:hAnsi="Verdana" w:cs="Arial"/>
          <w:lang w:eastAsia="es-ES"/>
          <w14:ligatures w14:val="none"/>
        </w:rPr>
        <w:t xml:space="preserve">consulta de fecha 29 de julio de 2025, remitida por el Departamento Administrativo de la Función Pública mediante oficio remisorio No. 20252040356161, en la cual manifiesta lo siguiente: </w:t>
      </w:r>
    </w:p>
    <w:p w14:paraId="41C1529F" w14:textId="77777777" w:rsidR="00153367" w:rsidRPr="00153367" w:rsidRDefault="00153367" w:rsidP="00153367">
      <w:pPr>
        <w:spacing w:after="0" w:line="276" w:lineRule="auto"/>
        <w:jc w:val="both"/>
        <w:rPr>
          <w:rFonts w:ascii="Verdana" w:eastAsia="Times New Roman" w:hAnsi="Verdana" w:cs="Arial"/>
          <w:color w:val="7030A0"/>
          <w:lang w:eastAsia="es-ES"/>
          <w14:ligatures w14:val="none"/>
        </w:rPr>
      </w:pPr>
    </w:p>
    <w:p w14:paraId="308B84CA"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153367">
        <w:rPr>
          <w:rFonts w:ascii="Verdana" w:eastAsia="Times New Roman" w:hAnsi="Verdana" w:cs="Arial"/>
          <w:i/>
          <w:iCs/>
          <w:sz w:val="21"/>
          <w:szCs w:val="21"/>
          <w:shd w:val="clear" w:color="auto" w:fill="FFFFFF"/>
          <w14:ligatures w14:val="none"/>
        </w:rPr>
        <w:t>“En desarrollo de la ejecución de un contrato de prestación de servicios profesionales suscrito entre una entidad pública y un contratista, se ha presentado el escenario en el cual el contratista ha sido objeto de incapacidad médica. No obstante, dicha incapacidad no compromete o afecta directamente el cumplimiento de las funciones contratadas, las cuales son eminentemente de carácter intelectual, remoto o no presencial.</w:t>
      </w:r>
    </w:p>
    <w:p w14:paraId="737209DA"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p>
    <w:p w14:paraId="78F0F38B"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153367">
        <w:rPr>
          <w:rFonts w:ascii="Verdana" w:eastAsia="Times New Roman" w:hAnsi="Verdana" w:cs="Arial"/>
          <w:i/>
          <w:iCs/>
          <w:sz w:val="21"/>
          <w:szCs w:val="21"/>
          <w:shd w:val="clear" w:color="auto" w:fill="FFFFFF"/>
          <w14:ligatures w14:val="none"/>
        </w:rPr>
        <w:lastRenderedPageBreak/>
        <w:t>Ante este contexto, se plantea la inquietud jurídica sobre si, aun cuando no exista una afectación sustancial de las obligaciones contractuales, la entidad contratante se encuentra en la obligación de suspender el contrato de prestación de servicios previa solicitud del contratista, con fundamento únicamente en la existencia de una incapacidad médica, o si, por el contrario, la continuidad de la ejecución contractual puede mantenerse cuando se verifica que las funciones encomendadas pueden seguirse desarrollando conforme al objeto pactado.</w:t>
      </w:r>
    </w:p>
    <w:p w14:paraId="4EBC055F"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p>
    <w:p w14:paraId="1E26DA51"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153367">
        <w:rPr>
          <w:rFonts w:ascii="Verdana" w:eastAsia="Times New Roman" w:hAnsi="Verdana" w:cs="Arial"/>
          <w:i/>
          <w:iCs/>
          <w:sz w:val="21"/>
          <w:szCs w:val="21"/>
          <w:shd w:val="clear" w:color="auto" w:fill="FFFFFF"/>
          <w14:ligatures w14:val="none"/>
        </w:rPr>
        <w:t>Por lo anterior, se solicita de manera respetuosa la emisión de concepto jurídico sobre lo siguiente:</w:t>
      </w:r>
    </w:p>
    <w:p w14:paraId="53920FDE"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p>
    <w:p w14:paraId="2577AB90" w14:textId="77777777" w:rsidR="00153367" w:rsidRPr="00153367" w:rsidRDefault="00153367" w:rsidP="00153367">
      <w:pPr>
        <w:spacing w:after="0" w:line="240" w:lineRule="auto"/>
        <w:ind w:left="720" w:right="709"/>
        <w:contextualSpacing/>
        <w:jc w:val="both"/>
        <w:textAlignment w:val="baseline"/>
        <w:rPr>
          <w:rFonts w:ascii="Verdana" w:eastAsia="Times New Roman" w:hAnsi="Verdana" w:cs="Arial"/>
          <w:i/>
          <w:iCs/>
          <w:sz w:val="21"/>
          <w:szCs w:val="21"/>
          <w:shd w:val="clear" w:color="auto" w:fill="FFFFFF"/>
          <w14:ligatures w14:val="none"/>
        </w:rPr>
      </w:pPr>
      <w:r w:rsidRPr="00153367">
        <w:rPr>
          <w:rFonts w:ascii="Verdana" w:eastAsia="Times New Roman" w:hAnsi="Verdana" w:cs="Arial"/>
          <w:i/>
          <w:iCs/>
          <w:sz w:val="21"/>
          <w:szCs w:val="21"/>
          <w:shd w:val="clear" w:color="auto" w:fill="FFFFFF"/>
          <w14:ligatures w14:val="none"/>
        </w:rPr>
        <w:t xml:space="preserve">¿Debe una entidad contratante suspender un contrato de prestación de servicios profesionales cuando el contratista se encuentra incapacitado, aun cuando dicha incapacidad no impida el cumplimiento de las obligaciones y funciones estipuladas en el contrato?” (Sic).” </w:t>
      </w:r>
    </w:p>
    <w:p w14:paraId="7AFD8D13" w14:textId="77777777" w:rsidR="00153367" w:rsidRPr="00153367" w:rsidRDefault="00153367" w:rsidP="00153367">
      <w:pPr>
        <w:spacing w:after="0" w:line="240" w:lineRule="auto"/>
        <w:ind w:left="709" w:right="709"/>
        <w:jc w:val="both"/>
        <w:textAlignment w:val="baseline"/>
        <w:rPr>
          <w:rFonts w:ascii="Verdana" w:eastAsia="Times New Roman" w:hAnsi="Verdana" w:cs="Arial"/>
          <w:sz w:val="20"/>
          <w:szCs w:val="20"/>
          <w:shd w:val="clear" w:color="auto" w:fill="FFFFFF"/>
          <w14:ligatures w14:val="none"/>
        </w:rPr>
      </w:pPr>
    </w:p>
    <w:p w14:paraId="6C1A02F7" w14:textId="77777777" w:rsidR="00153367" w:rsidRPr="00153367" w:rsidRDefault="00153367" w:rsidP="00153367">
      <w:pPr>
        <w:spacing w:after="120" w:line="276" w:lineRule="auto"/>
        <w:ind w:firstLine="709"/>
        <w:jc w:val="both"/>
        <w:rPr>
          <w:rFonts w:ascii="Verdana" w:eastAsia="Times New Roman" w:hAnsi="Verdana" w:cs="Arial"/>
          <w:color w:val="000000"/>
          <w:szCs w:val="24"/>
          <w:lang w:eastAsia="es-ES_tradnl"/>
          <w14:ligatures w14:val="none"/>
        </w:rPr>
      </w:pPr>
      <w:r w:rsidRPr="00153367">
        <w:rPr>
          <w:rFonts w:ascii="Verdana" w:eastAsia="Times New Roman" w:hAnsi="Verdana" w:cs="Arial"/>
          <w:color w:val="000000"/>
          <w:lang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53367">
        <w:rPr>
          <w:rFonts w:ascii="Verdana" w:eastAsia="Times New Roman" w:hAnsi="Verdana" w:cs="Arial"/>
          <w:color w:val="000000"/>
          <w:szCs w:val="24"/>
          <w:lang w:eastAsia="es-ES_tradnl"/>
          <w14:ligatures w14:val="none"/>
        </w:rPr>
        <w:tab/>
      </w:r>
    </w:p>
    <w:p w14:paraId="3CF0C1AE" w14:textId="77777777" w:rsidR="00153367" w:rsidRPr="00153367" w:rsidRDefault="00153367" w:rsidP="00153367">
      <w:pPr>
        <w:spacing w:after="0" w:line="276" w:lineRule="auto"/>
        <w:ind w:firstLine="709"/>
        <w:jc w:val="both"/>
        <w:rPr>
          <w:rFonts w:ascii="Verdana" w:eastAsia="Times New Roman" w:hAnsi="Verdana" w:cs="Arial"/>
          <w:lang w:eastAsia="es-ES"/>
          <w14:ligatures w14:val="none"/>
        </w:rPr>
      </w:pPr>
      <w:r w:rsidRPr="00153367">
        <w:rPr>
          <w:rFonts w:ascii="Verdana" w:eastAsia="Times New Roman" w:hAnsi="Verdana" w:cs="Arial"/>
          <w:lang w:eastAsia="es-ES"/>
          <w14:ligatures w14:val="none"/>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desarrollando unas consideraciones sobre las normas generales relacionadas con el problema jurídico de su consulta. </w:t>
      </w:r>
    </w:p>
    <w:p w14:paraId="7B43051A" w14:textId="77777777" w:rsidR="00153367" w:rsidRPr="00153367" w:rsidRDefault="00153367" w:rsidP="00153367">
      <w:pPr>
        <w:spacing w:after="0" w:line="276" w:lineRule="auto"/>
        <w:ind w:firstLine="709"/>
        <w:jc w:val="both"/>
        <w:rPr>
          <w:rFonts w:ascii="Verdana" w:eastAsia="Times New Roman" w:hAnsi="Verdana" w:cs="Arial"/>
          <w:color w:val="000000"/>
          <w:lang w:eastAsia="es-ES"/>
          <w14:ligatures w14:val="none"/>
        </w:rPr>
      </w:pPr>
    </w:p>
    <w:p w14:paraId="5527AEEE" w14:textId="77777777" w:rsidR="00153367" w:rsidRPr="00153367" w:rsidRDefault="00153367" w:rsidP="00153367">
      <w:pPr>
        <w:numPr>
          <w:ilvl w:val="0"/>
          <w:numId w:val="3"/>
        </w:numPr>
        <w:tabs>
          <w:tab w:val="left" w:pos="142"/>
          <w:tab w:val="left" w:pos="284"/>
        </w:tabs>
        <w:spacing w:after="0" w:line="276" w:lineRule="auto"/>
        <w:contextualSpacing/>
        <w:jc w:val="both"/>
        <w:rPr>
          <w:rFonts w:ascii="Verdana" w:eastAsia="Times New Roman" w:hAnsi="Verdana" w:cs="Century Gothic"/>
          <w:b/>
          <w:bCs/>
          <w14:ligatures w14:val="none"/>
        </w:rPr>
      </w:pPr>
      <w:r w:rsidRPr="00153367">
        <w:rPr>
          <w:rFonts w:ascii="Verdana" w:eastAsia="Times New Roman" w:hAnsi="Verdana" w:cs="Century Gothic"/>
          <w:b/>
          <w:bCs/>
          <w14:ligatures w14:val="none"/>
        </w:rPr>
        <w:t>Problema planteado:</w:t>
      </w:r>
    </w:p>
    <w:p w14:paraId="6E6EBD4B" w14:textId="77777777" w:rsidR="00153367" w:rsidRPr="00153367" w:rsidRDefault="00153367" w:rsidP="00153367">
      <w:pPr>
        <w:tabs>
          <w:tab w:val="left" w:pos="426"/>
        </w:tabs>
        <w:spacing w:after="0" w:line="276" w:lineRule="auto"/>
        <w:jc w:val="both"/>
        <w:rPr>
          <w:rFonts w:ascii="Verdana" w:eastAsia="Times New Roman" w:hAnsi="Verdana" w:cs="Century Gothic"/>
          <w14:ligatures w14:val="none"/>
        </w:rPr>
      </w:pPr>
    </w:p>
    <w:p w14:paraId="2960E879" w14:textId="77777777" w:rsidR="00153367" w:rsidRPr="00153367" w:rsidRDefault="00153367" w:rsidP="00153367">
      <w:pPr>
        <w:spacing w:after="0" w:line="276" w:lineRule="auto"/>
        <w:jc w:val="both"/>
        <w:rPr>
          <w:rFonts w:ascii="Verdana" w:eastAsia="Times New Roman" w:hAnsi="Verdana" w:cs="Century Gothic"/>
          <w:i/>
          <w:iCs/>
          <w14:ligatures w14:val="none"/>
        </w:rPr>
      </w:pPr>
      <w:r w:rsidRPr="00153367">
        <w:rPr>
          <w:rFonts w:ascii="Verdana" w:eastAsia="Times New Roman" w:hAnsi="Verdana" w:cs="Century Gothic"/>
          <w14:ligatures w14:val="none"/>
        </w:rPr>
        <w:t>De acuerdo con el contenido de su solicitud, esta Agencia resolverá el siguiente problema jurídico:</w:t>
      </w:r>
      <w:r w:rsidRPr="00153367">
        <w:rPr>
          <w:rFonts w:ascii="Verdana" w:eastAsia="Times New Roman" w:hAnsi="Verdana" w:cs="Century Gothic"/>
          <w:i/>
          <w:iCs/>
          <w14:ligatures w14:val="none"/>
        </w:rPr>
        <w:t xml:space="preserve"> ¿</w:t>
      </w:r>
      <w:r w:rsidRPr="00153367">
        <w:rPr>
          <w:rFonts w:ascii="Verdana" w:eastAsia="Times New Roman" w:hAnsi="Verdana" w:cs="Century Gothic"/>
          <w14:ligatures w14:val="none"/>
        </w:rPr>
        <w:t>Qué lineamientos jurídicos debe seguir la entidad estatal en el caso en que en un contrato de prestación de servicios se presente una incapacidad por parte del contratista?</w:t>
      </w:r>
    </w:p>
    <w:p w14:paraId="05C3381C" w14:textId="77777777" w:rsidR="00153367" w:rsidRPr="00153367" w:rsidRDefault="00153367" w:rsidP="00153367">
      <w:pPr>
        <w:spacing w:after="0" w:line="276" w:lineRule="auto"/>
        <w:jc w:val="both"/>
        <w:rPr>
          <w:rFonts w:ascii="Verdana" w:eastAsia="Times New Roman" w:hAnsi="Verdana" w:cs="Arial"/>
          <w:color w:val="7030A0"/>
          <w14:ligatures w14:val="none"/>
        </w:rPr>
      </w:pPr>
    </w:p>
    <w:p w14:paraId="2D4C4EF5" w14:textId="77777777" w:rsidR="00153367" w:rsidRPr="00153367" w:rsidRDefault="00153367" w:rsidP="00153367">
      <w:pPr>
        <w:numPr>
          <w:ilvl w:val="0"/>
          <w:numId w:val="3"/>
        </w:numPr>
        <w:tabs>
          <w:tab w:val="left" w:pos="142"/>
          <w:tab w:val="left" w:pos="284"/>
        </w:tabs>
        <w:spacing w:after="0" w:line="276" w:lineRule="auto"/>
        <w:jc w:val="both"/>
        <w:rPr>
          <w:rFonts w:ascii="Verdana" w:eastAsia="Times New Roman" w:hAnsi="Verdana" w:cs="Century Gothic"/>
          <w:b/>
          <w:bCs/>
          <w14:ligatures w14:val="none"/>
        </w:rPr>
      </w:pPr>
      <w:r w:rsidRPr="00153367">
        <w:rPr>
          <w:rFonts w:ascii="Verdana" w:eastAsia="Times New Roman" w:hAnsi="Verdana" w:cs="Century Gothic"/>
          <w:b/>
          <w:bCs/>
          <w14:ligatures w14:val="none"/>
        </w:rPr>
        <w:t>Respuesta:</w:t>
      </w:r>
    </w:p>
    <w:p w14:paraId="637DDD1A" w14:textId="77777777" w:rsidR="00153367" w:rsidRPr="00153367" w:rsidRDefault="00153367" w:rsidP="00153367">
      <w:pPr>
        <w:tabs>
          <w:tab w:val="left" w:pos="142"/>
          <w:tab w:val="left" w:pos="284"/>
        </w:tabs>
        <w:spacing w:after="0" w:line="276" w:lineRule="auto"/>
        <w:jc w:val="both"/>
        <w:rPr>
          <w:rFonts w:ascii="Verdana" w:eastAsia="Times New Roman" w:hAnsi="Verdana" w:cs="Century Gothic"/>
          <w:b/>
          <w:bCs/>
          <w14:ligatures w14:val="none"/>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53367" w:rsidRPr="00153367" w14:paraId="0D028458" w14:textId="77777777" w:rsidTr="005E5D32">
        <w:tc>
          <w:tcPr>
            <w:tcW w:w="8828" w:type="dxa"/>
          </w:tcPr>
          <w:p w14:paraId="6E980EF3" w14:textId="77777777" w:rsidR="00153367" w:rsidRPr="00153367" w:rsidRDefault="00153367" w:rsidP="00153367">
            <w:pPr>
              <w:spacing w:line="276" w:lineRule="auto"/>
              <w:jc w:val="both"/>
              <w:rPr>
                <w:rFonts w:ascii="Verdana" w:hAnsi="Verdana" w:cs="Arial"/>
                <w:color w:val="000000"/>
                <w:sz w:val="21"/>
                <w:szCs w:val="21"/>
              </w:rPr>
            </w:pPr>
            <w:r w:rsidRPr="00153367">
              <w:rPr>
                <w:rFonts w:ascii="Verdana" w:hAnsi="Verdana" w:cs="Century Gothic"/>
              </w:rPr>
              <w:t>Frente al interrogante planteado, es menester señalar que el contrato de prestación de servicios es un contrato típico, el cual busca desarrollar actividades relacionadas con la administración o funcionamiento de la entidad, en la cual no existe personal de planta que pueda ejecutar la actividad, o el existente resulta insuficiente. En este</w:t>
            </w:r>
            <w:r w:rsidRPr="00153367">
              <w:rPr>
                <w:rFonts w:ascii="Verdana" w:hAnsi="Verdana" w:cs="Arial"/>
                <w:color w:val="000000"/>
                <w:sz w:val="21"/>
                <w:szCs w:val="21"/>
              </w:rPr>
              <w:t xml:space="preserve"> no se configuran los elementos del contrato laboral</w:t>
            </w:r>
            <w:r w:rsidRPr="00153367">
              <w:rPr>
                <w:rFonts w:ascii="Verdana" w:hAnsi="Verdana" w:cs="Arial"/>
                <w:color w:val="000000"/>
                <w:sz w:val="21"/>
                <w:szCs w:val="21"/>
                <w:vertAlign w:val="superscript"/>
              </w:rPr>
              <w:footnoteReference w:id="1"/>
            </w:r>
            <w:r w:rsidRPr="00153367">
              <w:rPr>
                <w:rFonts w:ascii="Verdana" w:hAnsi="Verdana" w:cs="Arial"/>
                <w:color w:val="000000"/>
                <w:sz w:val="21"/>
                <w:szCs w:val="21"/>
              </w:rPr>
              <w:t>, es decir, no se cumple un horario, no existe subordinación y no existe salario como retribución de la actividad desarrollada.</w:t>
            </w:r>
          </w:p>
          <w:p w14:paraId="5A827EAE" w14:textId="77777777" w:rsidR="00153367" w:rsidRPr="00153367" w:rsidRDefault="00153367" w:rsidP="00153367">
            <w:pPr>
              <w:widowControl w:val="0"/>
              <w:autoSpaceDE w:val="0"/>
              <w:autoSpaceDN w:val="0"/>
              <w:spacing w:line="276" w:lineRule="auto"/>
              <w:ind w:right="304"/>
              <w:jc w:val="both"/>
              <w:rPr>
                <w:rFonts w:ascii="Verdana" w:hAnsi="Verdana" w:cs="Arial"/>
              </w:rPr>
            </w:pPr>
          </w:p>
          <w:p w14:paraId="5B42C388" w14:textId="77777777" w:rsidR="00153367" w:rsidRPr="00153367" w:rsidRDefault="00153367" w:rsidP="00153367">
            <w:pPr>
              <w:spacing w:line="276" w:lineRule="auto"/>
              <w:jc w:val="both"/>
              <w:rPr>
                <w:rFonts w:ascii="Verdana" w:hAnsi="Verdana" w:cs="Arial"/>
              </w:rPr>
            </w:pPr>
            <w:r w:rsidRPr="00153367">
              <w:rPr>
                <w:rFonts w:ascii="Verdana" w:hAnsi="Verdana" w:cs="Arial"/>
              </w:rPr>
              <w:t>En el contrato de prestación de servicios, las obligaciones se ejecutan conforme lo pactado en el contrato, de forma autónoma e independiente, y dentro de las mismas se encuentra la relacionada con asumir el pago de aportes al sistema integral de seguridad social.</w:t>
            </w:r>
          </w:p>
          <w:p w14:paraId="2B542EF2" w14:textId="77777777" w:rsidR="00153367" w:rsidRPr="00153367" w:rsidRDefault="00153367" w:rsidP="00153367">
            <w:pPr>
              <w:widowControl w:val="0"/>
              <w:autoSpaceDE w:val="0"/>
              <w:autoSpaceDN w:val="0"/>
              <w:spacing w:line="276" w:lineRule="auto"/>
              <w:ind w:right="304"/>
              <w:jc w:val="both"/>
              <w:rPr>
                <w:rFonts w:ascii="Verdana" w:hAnsi="Verdana" w:cs="Arial"/>
              </w:rPr>
            </w:pPr>
          </w:p>
          <w:p w14:paraId="5799BB07" w14:textId="77777777" w:rsidR="00153367" w:rsidRPr="00153367" w:rsidRDefault="00153367" w:rsidP="00153367">
            <w:pPr>
              <w:spacing w:line="276" w:lineRule="auto"/>
              <w:jc w:val="both"/>
              <w:rPr>
                <w:rFonts w:ascii="Verdana" w:hAnsi="Verdana" w:cs="Arial"/>
              </w:rPr>
            </w:pPr>
            <w:r w:rsidRPr="00153367">
              <w:rPr>
                <w:rFonts w:ascii="Verdana" w:hAnsi="Verdana" w:cs="Arial"/>
              </w:rPr>
              <w:t xml:space="preserve">En ese sentido, cuando el contratista se encuentra inmerso en una incapacidad, deberá tramitarla ante su entidad prestadora de salud- EPS, debido a que es este quien tiene la obligación de afiliarse como </w:t>
            </w:r>
            <w:proofErr w:type="gramStart"/>
            <w:r w:rsidRPr="00153367">
              <w:rPr>
                <w:rFonts w:ascii="Verdana" w:hAnsi="Verdana" w:cs="Arial"/>
              </w:rPr>
              <w:t>cotizante  independiente</w:t>
            </w:r>
            <w:proofErr w:type="gramEnd"/>
            <w:r w:rsidRPr="00153367">
              <w:rPr>
                <w:rFonts w:ascii="Verdana" w:hAnsi="Verdana" w:cs="Arial"/>
              </w:rPr>
              <w:t xml:space="preserve"> al sistema de salud. Al no existir relación laboral, el contratante no tiene la obligación de gestionar ni validar las incapacidades; pues este proceso es responsabilidad exclusiva de la entidad prestadora del contratista.</w:t>
            </w:r>
          </w:p>
          <w:p w14:paraId="3FA8CF77" w14:textId="77777777" w:rsidR="00153367" w:rsidRPr="00153367" w:rsidRDefault="00153367" w:rsidP="00153367">
            <w:pPr>
              <w:widowControl w:val="0"/>
              <w:autoSpaceDE w:val="0"/>
              <w:autoSpaceDN w:val="0"/>
              <w:spacing w:line="276" w:lineRule="auto"/>
              <w:ind w:right="304"/>
              <w:jc w:val="both"/>
              <w:rPr>
                <w:rFonts w:ascii="Verdana" w:hAnsi="Verdana" w:cs="Arial"/>
              </w:rPr>
            </w:pPr>
          </w:p>
          <w:p w14:paraId="4A2BCC7D" w14:textId="77777777" w:rsidR="00153367" w:rsidRPr="00153367" w:rsidRDefault="00153367" w:rsidP="00153367">
            <w:pPr>
              <w:spacing w:line="276" w:lineRule="auto"/>
              <w:jc w:val="both"/>
              <w:rPr>
                <w:rFonts w:ascii="Verdana" w:hAnsi="Verdana" w:cs="Arial"/>
              </w:rPr>
            </w:pPr>
            <w:r w:rsidRPr="00153367">
              <w:rPr>
                <w:rFonts w:ascii="Verdana" w:hAnsi="Verdana" w:cs="Arial"/>
              </w:rPr>
              <w:t xml:space="preserve">Por otro lado, es menester señalar que las partes del contrato son autónomas en suspender la ejecución de éste, siempre y cuando exista una causal que lo justifique, lo anterior, teniendo en cuenta la remisión que incorporan los artículos 13 y 40 de la Ley 80 de 1993. De tal manera que, la suspensión del contrato está encaminada a solucionar los obstáculos que pudieren presentarse en la ejecución y deben corresponder a casos de fuerza mayor, caso fortuito o por motivos de interés público, y tienen efectos directos en el plazo y obligaciones del contrato. </w:t>
            </w:r>
          </w:p>
          <w:p w14:paraId="0D50C376" w14:textId="77777777" w:rsidR="00153367" w:rsidRPr="00153367" w:rsidRDefault="00153367" w:rsidP="00153367">
            <w:pPr>
              <w:widowControl w:val="0"/>
              <w:autoSpaceDE w:val="0"/>
              <w:autoSpaceDN w:val="0"/>
              <w:spacing w:line="276" w:lineRule="auto"/>
              <w:ind w:right="304"/>
              <w:rPr>
                <w:rFonts w:ascii="Verdana" w:hAnsi="Verdana" w:cs="Arial"/>
              </w:rPr>
            </w:pPr>
          </w:p>
          <w:p w14:paraId="6E67367E" w14:textId="77777777" w:rsidR="00153367" w:rsidRPr="00153367" w:rsidRDefault="00153367" w:rsidP="00153367">
            <w:pPr>
              <w:spacing w:line="276" w:lineRule="auto"/>
              <w:jc w:val="both"/>
              <w:rPr>
                <w:rFonts w:ascii="Verdana" w:hAnsi="Verdana" w:cs="Arial"/>
              </w:rPr>
            </w:pPr>
            <w:r w:rsidRPr="00153367">
              <w:rPr>
                <w:rFonts w:ascii="Verdana" w:hAnsi="Verdana" w:cs="Arial"/>
              </w:rPr>
              <w:t xml:space="preserve">Debe tenerse en cuenta que la suspensión del contrato no es indefinida y para suspenderse debe entenderse que se encuentra en ejecución del plazo contractual, pues procede su reiniciación una vez se logre vencer </w:t>
            </w:r>
            <w:proofErr w:type="spellStart"/>
            <w:proofErr w:type="gramStart"/>
            <w:r w:rsidRPr="00153367">
              <w:rPr>
                <w:rFonts w:ascii="Verdana" w:hAnsi="Verdana" w:cs="Arial"/>
              </w:rPr>
              <w:t>el la</w:t>
            </w:r>
            <w:proofErr w:type="spellEnd"/>
            <w:r w:rsidRPr="00153367">
              <w:rPr>
                <w:rFonts w:ascii="Verdana" w:hAnsi="Verdana" w:cs="Arial"/>
              </w:rPr>
              <w:t xml:space="preserve"> contingencia</w:t>
            </w:r>
            <w:proofErr w:type="gramEnd"/>
            <w:r w:rsidRPr="00153367">
              <w:rPr>
                <w:rFonts w:ascii="Verdana" w:hAnsi="Verdana" w:cs="Arial"/>
              </w:rPr>
              <w:t xml:space="preserve"> que dio lugar a la suspensión. La decisión de suspender el contrato debe constar por escrito, donde se exprese en forma clara la razón </w:t>
            </w:r>
            <w:r w:rsidRPr="00153367">
              <w:rPr>
                <w:rFonts w:ascii="Verdana" w:hAnsi="Verdana" w:cs="Arial"/>
              </w:rPr>
              <w:lastRenderedPageBreak/>
              <w:t xml:space="preserve">que justifica la misma y la fijación de la fecha de reinicio o la condición para tal efecto. </w:t>
            </w:r>
            <w:proofErr w:type="gramStart"/>
            <w:r w:rsidRPr="00153367">
              <w:rPr>
                <w:rFonts w:ascii="Verdana" w:hAnsi="Verdana" w:cs="Arial"/>
              </w:rPr>
              <w:t>Igualmente</w:t>
            </w:r>
            <w:proofErr w:type="gramEnd"/>
            <w:r w:rsidRPr="00153367">
              <w:rPr>
                <w:rFonts w:ascii="Verdana" w:hAnsi="Verdana" w:cs="Arial"/>
              </w:rPr>
              <w:t xml:space="preserve"> la suspensión no puede ser una decisión unilateral, de cualquiera de las partes, ya sea de la entidad pública o del contratista, en otras palabras, esta decisión de suspender la ejecución del contrato debe ser de común acuerdo.</w:t>
            </w:r>
          </w:p>
          <w:p w14:paraId="08A27B8F" w14:textId="77777777" w:rsidR="00153367" w:rsidRPr="00153367" w:rsidRDefault="00153367" w:rsidP="00153367">
            <w:pPr>
              <w:widowControl w:val="0"/>
              <w:autoSpaceDE w:val="0"/>
              <w:autoSpaceDN w:val="0"/>
              <w:spacing w:line="276" w:lineRule="auto"/>
              <w:ind w:right="304"/>
              <w:jc w:val="both"/>
              <w:rPr>
                <w:rFonts w:ascii="Verdana" w:hAnsi="Verdana" w:cs="Arial"/>
              </w:rPr>
            </w:pPr>
          </w:p>
          <w:p w14:paraId="5C6AD31F" w14:textId="77777777" w:rsidR="00153367" w:rsidRPr="00153367" w:rsidRDefault="00153367" w:rsidP="00153367">
            <w:pPr>
              <w:spacing w:line="276" w:lineRule="auto"/>
              <w:jc w:val="both"/>
              <w:rPr>
                <w:rFonts w:ascii="Verdana" w:hAnsi="Verdana" w:cs="Arial"/>
              </w:rPr>
            </w:pPr>
            <w:r w:rsidRPr="00153367">
              <w:rPr>
                <w:rFonts w:ascii="Verdana" w:hAnsi="Verdana" w:cs="Arial"/>
              </w:rPr>
              <w:t>Ahora bien, para suspender el contrato en virtud de una incapacidad médica, deberán las partes señalar los motivos, debido a que el contrato de prestación de servicios no está sujeto a un horario fijo ni a una subordinación directa, la incapacidad del contratista no implica una suspensión automática del contrato en los términos en que se aplicaría en un contrato laboral. Lo anterior, partiendo de que el contratista no requiere estar físicamente presente en la oficina ni cumplir con un horario específico, ya que el cumplimiento de las obligaciones contractuales depende en cada caso particular a los resultados previstos al momento de su suscripción. En este sentido, el cumplimiento del contrato se evalúa en función de los resultados acordados, y no por la presencialidad física o a la disponibilidad horaria.</w:t>
            </w:r>
          </w:p>
          <w:p w14:paraId="0932329E" w14:textId="77777777" w:rsidR="00153367" w:rsidRPr="00153367" w:rsidRDefault="00153367" w:rsidP="00153367">
            <w:pPr>
              <w:widowControl w:val="0"/>
              <w:autoSpaceDE w:val="0"/>
              <w:autoSpaceDN w:val="0"/>
              <w:spacing w:line="276" w:lineRule="auto"/>
              <w:ind w:right="304"/>
              <w:jc w:val="both"/>
              <w:rPr>
                <w:rFonts w:ascii="Arial" w:hAnsi="Arial" w:cs="Arial"/>
              </w:rPr>
            </w:pPr>
          </w:p>
          <w:p w14:paraId="65CC8F85" w14:textId="77777777" w:rsidR="00153367" w:rsidRPr="00153367" w:rsidRDefault="00153367" w:rsidP="00153367">
            <w:pPr>
              <w:spacing w:line="276" w:lineRule="auto"/>
              <w:jc w:val="both"/>
              <w:rPr>
                <w:rFonts w:ascii="Verdana" w:hAnsi="Verdana" w:cs="Arial"/>
                <w:bCs/>
                <w:color w:val="000000"/>
              </w:rPr>
            </w:pPr>
            <w:r w:rsidRPr="00153367">
              <w:rPr>
                <w:rFonts w:ascii="Verdana" w:hAnsi="Verdana" w:cs="Arial"/>
                <w:bCs/>
                <w:color w:val="000000"/>
              </w:rPr>
              <w:t xml:space="preserve">En todo caso, son las entidades contratantes y sus contratistas los que deberán establecer de conformidad con el alcance del objeto contratado la procedencia de la suspensión. Lo anterior ya </w:t>
            </w:r>
            <w:r w:rsidRPr="00153367">
              <w:rPr>
                <w:rFonts w:ascii="Verdana" w:hAnsi="Verdana" w:cs="Arial"/>
              </w:rPr>
              <w:t>que</w:t>
            </w:r>
            <w:r w:rsidRPr="00153367">
              <w:rPr>
                <w:rFonts w:ascii="Verdana" w:hAnsi="Verdana" w:cs="Arial"/>
                <w:bCs/>
                <w:color w:val="000000"/>
              </w:rPr>
              <w:t xml:space="preserve"> no existe un tratamiento normativo de esta situación en el Estatuto General de Contratación de la Administración Pública ni en su reglamentación. </w:t>
            </w:r>
          </w:p>
          <w:p w14:paraId="73AABD07" w14:textId="77777777" w:rsidR="00153367" w:rsidRPr="00153367" w:rsidRDefault="00153367" w:rsidP="00153367">
            <w:pPr>
              <w:widowControl w:val="0"/>
              <w:autoSpaceDE w:val="0"/>
              <w:autoSpaceDN w:val="0"/>
              <w:spacing w:line="276" w:lineRule="auto"/>
              <w:ind w:right="304"/>
              <w:jc w:val="both"/>
              <w:rPr>
                <w:rFonts w:ascii="Verdana" w:hAnsi="Verdana" w:cs="Arial"/>
                <w:bCs/>
                <w:color w:val="000000"/>
              </w:rPr>
            </w:pPr>
          </w:p>
          <w:p w14:paraId="78229BF8" w14:textId="77777777" w:rsidR="00153367" w:rsidRPr="00153367" w:rsidRDefault="00153367" w:rsidP="00153367">
            <w:pPr>
              <w:spacing w:line="276" w:lineRule="auto"/>
              <w:jc w:val="both"/>
              <w:rPr>
                <w:rFonts w:ascii="Verdana" w:hAnsi="Verdana" w:cs="Arial"/>
                <w:bCs/>
                <w:color w:val="000000"/>
              </w:rPr>
            </w:pPr>
            <w:r w:rsidRPr="00153367">
              <w:rPr>
                <w:rFonts w:ascii="Verdana" w:hAnsi="Verdana" w:cs="Arial"/>
                <w:bCs/>
                <w:color w:val="000000"/>
              </w:rPr>
              <w:t xml:space="preserve">En tal sentido, esta Agencia considera que las partes del contrato cuentan con autonomía de la voluntad para acordar lo que </w:t>
            </w:r>
            <w:r w:rsidRPr="00153367">
              <w:rPr>
                <w:rFonts w:ascii="Verdana" w:hAnsi="Verdana" w:cs="Arial"/>
              </w:rPr>
              <w:t>resulte</w:t>
            </w:r>
            <w:r w:rsidRPr="00153367">
              <w:rPr>
                <w:rFonts w:ascii="Verdana" w:hAnsi="Verdana" w:cs="Arial"/>
                <w:bCs/>
                <w:color w:val="000000"/>
              </w:rPr>
              <w:t xml:space="preserve"> adecuado para los fines que deben satisfacerse con la contratación. Lo anterior, amparado en el segundo inciso del artículo 40 de la Ley 80 de 1993 que establece que </w:t>
            </w:r>
            <w:r w:rsidRPr="00153367">
              <w:rPr>
                <w:rFonts w:ascii="Verdana" w:hAnsi="Verdana" w:cs="Arial"/>
                <w:b/>
                <w:color w:val="000000"/>
              </w:rPr>
              <w:t>“Las entidades podrán celebrar los contratos y acuerdos que permitan la autonomía de la voluntad y requieran el cumplimiento de los fines estatales”.</w:t>
            </w:r>
            <w:r w:rsidRPr="00153367">
              <w:rPr>
                <w:rFonts w:ascii="Verdana" w:hAnsi="Verdana" w:cs="Arial"/>
                <w:bCs/>
                <w:color w:val="000000"/>
              </w:rPr>
              <w:t xml:space="preserve"> </w:t>
            </w:r>
          </w:p>
          <w:p w14:paraId="62C65E9F" w14:textId="77777777" w:rsidR="00153367" w:rsidRPr="00153367" w:rsidRDefault="00153367" w:rsidP="00153367">
            <w:pPr>
              <w:widowControl w:val="0"/>
              <w:autoSpaceDE w:val="0"/>
              <w:autoSpaceDN w:val="0"/>
              <w:spacing w:line="276" w:lineRule="auto"/>
              <w:ind w:right="304"/>
              <w:jc w:val="both"/>
              <w:rPr>
                <w:rFonts w:ascii="Verdana" w:hAnsi="Verdana" w:cs="Arial"/>
                <w:bCs/>
                <w:color w:val="000000"/>
              </w:rPr>
            </w:pPr>
          </w:p>
          <w:p w14:paraId="6F28D865" w14:textId="77777777" w:rsidR="00153367" w:rsidRPr="00153367" w:rsidRDefault="00153367" w:rsidP="00153367">
            <w:pPr>
              <w:spacing w:line="276" w:lineRule="auto"/>
              <w:jc w:val="both"/>
              <w:rPr>
                <w:rFonts w:ascii="Verdana" w:hAnsi="Verdana" w:cs="Arial"/>
                <w:color w:val="000000"/>
              </w:rPr>
            </w:pPr>
            <w:r w:rsidRPr="00153367">
              <w:rPr>
                <w:rFonts w:ascii="Verdana" w:hAnsi="Verdana" w:cs="Arial"/>
                <w:color w:val="000000"/>
              </w:rPr>
              <w:t xml:space="preserve">De tal manera que, en ejercicio de esta autonomía las partes podrían acordar, por ejemplo, bien que el contratista continúe ejecutando el contrato, siempre que su incapacidad lo permita –lo cual dependerá de la naturaleza de las obligaciones a su cargo– o bien suspender el contrato de prestación de servicios, mientras cesa la incapacidad. </w:t>
            </w:r>
          </w:p>
        </w:tc>
      </w:tr>
    </w:tbl>
    <w:p w14:paraId="349BDBF1" w14:textId="77777777" w:rsidR="00153367" w:rsidRPr="00153367" w:rsidRDefault="00153367" w:rsidP="00153367">
      <w:pPr>
        <w:tabs>
          <w:tab w:val="left" w:pos="142"/>
          <w:tab w:val="left" w:pos="284"/>
        </w:tabs>
        <w:spacing w:after="0" w:line="276" w:lineRule="auto"/>
        <w:jc w:val="both"/>
        <w:rPr>
          <w:rFonts w:ascii="Verdana" w:eastAsia="Times New Roman" w:hAnsi="Verdana" w:cs="Century Gothic"/>
          <w:b/>
          <w:bCs/>
          <w14:ligatures w14:val="none"/>
        </w:rPr>
      </w:pPr>
    </w:p>
    <w:p w14:paraId="5A517A53" w14:textId="77777777" w:rsidR="00153367" w:rsidRPr="00153367" w:rsidRDefault="00153367" w:rsidP="00153367">
      <w:pPr>
        <w:tabs>
          <w:tab w:val="left" w:pos="142"/>
          <w:tab w:val="left" w:pos="284"/>
        </w:tabs>
        <w:spacing w:after="0" w:line="276" w:lineRule="auto"/>
        <w:jc w:val="both"/>
        <w:rPr>
          <w:rFonts w:ascii="Verdana" w:eastAsia="Times New Roman" w:hAnsi="Verdana" w:cs="Century Gothic"/>
          <w:b/>
          <w:bCs/>
          <w14:ligatures w14:val="none"/>
        </w:rPr>
      </w:pPr>
      <w:r w:rsidRPr="00153367">
        <w:rPr>
          <w:rFonts w:ascii="Verdana" w:eastAsia="Times New Roman" w:hAnsi="Verdana" w:cs="Century Gothic"/>
          <w:b/>
          <w:bCs/>
          <w14:ligatures w14:val="none"/>
        </w:rPr>
        <w:t>3.Razones de la respuesta:</w:t>
      </w:r>
    </w:p>
    <w:p w14:paraId="02CEB0D3" w14:textId="77777777" w:rsidR="00153367" w:rsidRPr="00153367" w:rsidRDefault="00153367" w:rsidP="00153367">
      <w:pPr>
        <w:spacing w:after="0" w:line="276" w:lineRule="auto"/>
        <w:jc w:val="both"/>
        <w:rPr>
          <w:rFonts w:ascii="Verdana" w:eastAsia="Times New Roman" w:hAnsi="Verdana" w:cs="Arial"/>
          <w14:ligatures w14:val="none"/>
        </w:rPr>
      </w:pPr>
    </w:p>
    <w:p w14:paraId="4E624CFE" w14:textId="77777777" w:rsidR="00153367" w:rsidRPr="00153367" w:rsidRDefault="00153367" w:rsidP="00153367">
      <w:pPr>
        <w:spacing w:after="0" w:line="276" w:lineRule="auto"/>
        <w:jc w:val="both"/>
        <w:rPr>
          <w:rFonts w:ascii="Verdana" w:eastAsia="Times New Roman" w:hAnsi="Verdana" w:cs="Arial"/>
          <w14:ligatures w14:val="none"/>
        </w:rPr>
      </w:pPr>
      <w:r w:rsidRPr="00153367">
        <w:rPr>
          <w:rFonts w:ascii="Verdana" w:eastAsia="Times New Roman" w:hAnsi="Verdana" w:cs="Arial"/>
          <w14:ligatures w14:val="none"/>
        </w:rPr>
        <w:t xml:space="preserve">Lo anterior se sustenta en las siguientes consideraciones: </w:t>
      </w:r>
    </w:p>
    <w:p w14:paraId="2C308AE9" w14:textId="77777777" w:rsidR="00153367" w:rsidRPr="00153367" w:rsidRDefault="00153367" w:rsidP="00153367">
      <w:pPr>
        <w:spacing w:after="0" w:line="240" w:lineRule="auto"/>
        <w:jc w:val="both"/>
        <w:rPr>
          <w:rFonts w:ascii="Verdana" w:eastAsia="Times New Roman" w:hAnsi="Verdana" w:cs="Arial"/>
          <w:color w:val="000000"/>
          <w14:ligatures w14:val="none"/>
        </w:rPr>
      </w:pPr>
    </w:p>
    <w:p w14:paraId="5D4DE6EF" w14:textId="77777777" w:rsidR="00153367" w:rsidRPr="00153367" w:rsidRDefault="00153367" w:rsidP="00153367">
      <w:pPr>
        <w:numPr>
          <w:ilvl w:val="0"/>
          <w:numId w:val="5"/>
        </w:numPr>
        <w:spacing w:after="0" w:line="276" w:lineRule="auto"/>
        <w:contextualSpacing/>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 xml:space="preserve">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numeral 3 del </w:t>
      </w:r>
      <w:bookmarkStart w:id="1" w:name="_Hlk176814493"/>
      <w:r w:rsidRPr="00153367">
        <w:rPr>
          <w:rFonts w:ascii="Verdana" w:eastAsia="Times New Roman" w:hAnsi="Verdana" w:cs="Arial"/>
          <w:color w:val="000000"/>
          <w14:ligatures w14:val="none"/>
        </w:rPr>
        <w:t xml:space="preserve">artículo 32, de la </w:t>
      </w:r>
      <w:bookmarkStart w:id="2" w:name="_Hlk176438300"/>
      <w:r w:rsidRPr="00153367">
        <w:rPr>
          <w:rFonts w:ascii="Verdana" w:eastAsia="Times New Roman" w:hAnsi="Verdana" w:cs="Arial"/>
          <w:color w:val="000000"/>
          <w14:ligatures w14:val="none"/>
        </w:rPr>
        <w:t>Ley 80 de 1993</w:t>
      </w:r>
      <w:bookmarkEnd w:id="1"/>
      <w:bookmarkEnd w:id="2"/>
      <w:r w:rsidRPr="00153367">
        <w:rPr>
          <w:rFonts w:ascii="Verdana" w:eastAsia="Times New Roman" w:hAnsi="Verdana" w:cs="Arial"/>
          <w:color w:val="000000"/>
          <w14:ligatures w14:val="none"/>
        </w:rPr>
        <w:t>, el cual establece:</w:t>
      </w:r>
    </w:p>
    <w:p w14:paraId="10A133F2" w14:textId="77777777" w:rsidR="00153367" w:rsidRPr="00153367" w:rsidRDefault="00153367" w:rsidP="00153367">
      <w:pPr>
        <w:spacing w:after="0" w:line="240" w:lineRule="auto"/>
        <w:jc w:val="both"/>
        <w:rPr>
          <w:rFonts w:ascii="Verdana" w:eastAsia="Times New Roman" w:hAnsi="Verdana" w:cs="Arial"/>
          <w:color w:val="000000"/>
          <w14:ligatures w14:val="none"/>
        </w:rPr>
      </w:pPr>
    </w:p>
    <w:p w14:paraId="13528B95" w14:textId="77777777" w:rsidR="00153367" w:rsidRPr="00153367" w:rsidRDefault="00153367" w:rsidP="00153367">
      <w:pPr>
        <w:spacing w:after="0" w:line="240" w:lineRule="auto"/>
        <w:ind w:left="709" w:right="709"/>
        <w:jc w:val="both"/>
        <w:rPr>
          <w:rFonts w:ascii="Verdana" w:eastAsia="Times New Roman" w:hAnsi="Verdana" w:cs="Arial"/>
          <w:color w:val="000000"/>
          <w:sz w:val="21"/>
          <w:szCs w:val="21"/>
          <w14:ligatures w14:val="none"/>
        </w:rPr>
      </w:pPr>
      <w:r w:rsidRPr="00153367">
        <w:rPr>
          <w:rFonts w:ascii="Verdana" w:eastAsia="Times New Roman" w:hAnsi="Verdana" w:cs="Arial"/>
          <w:color w:val="000000"/>
          <w:sz w:val="21"/>
          <w:szCs w:val="21"/>
          <w14:ligatures w14:val="none"/>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60C17D3D" w14:textId="77777777" w:rsidR="00153367" w:rsidRPr="00153367" w:rsidRDefault="00153367" w:rsidP="00153367">
      <w:pPr>
        <w:spacing w:after="0" w:line="240" w:lineRule="auto"/>
        <w:ind w:left="709" w:right="709"/>
        <w:jc w:val="both"/>
        <w:rPr>
          <w:rFonts w:ascii="Verdana" w:eastAsia="Times New Roman" w:hAnsi="Verdana" w:cs="Arial"/>
          <w:color w:val="000000"/>
          <w:sz w:val="21"/>
          <w:szCs w:val="21"/>
          <w14:ligatures w14:val="none"/>
        </w:rPr>
      </w:pPr>
    </w:p>
    <w:p w14:paraId="79EE6A25" w14:textId="77777777" w:rsidR="00153367" w:rsidRPr="00153367" w:rsidRDefault="00153367" w:rsidP="00153367">
      <w:pPr>
        <w:spacing w:after="0" w:line="240" w:lineRule="auto"/>
        <w:ind w:left="709" w:right="709"/>
        <w:jc w:val="both"/>
        <w:rPr>
          <w:rFonts w:ascii="Verdana" w:eastAsia="Times New Roman" w:hAnsi="Verdana" w:cs="Arial"/>
          <w:color w:val="000000"/>
          <w:sz w:val="21"/>
          <w:szCs w:val="21"/>
          <w14:ligatures w14:val="none"/>
        </w:rPr>
      </w:pPr>
      <w:r w:rsidRPr="00153367">
        <w:rPr>
          <w:rFonts w:ascii="Verdana" w:eastAsia="Times New Roman" w:hAnsi="Verdana" w:cs="Arial"/>
          <w:color w:val="000000"/>
          <w:sz w:val="21"/>
          <w:szCs w:val="21"/>
          <w14:ligatures w14:val="none"/>
        </w:rPr>
        <w:t>En ningún caso estos contratos generan relación laboral ni prestaciones sociales y se celebrarán por el término estrictamente indispensable”.</w:t>
      </w:r>
    </w:p>
    <w:p w14:paraId="4A6AF73D" w14:textId="77777777" w:rsidR="00153367" w:rsidRPr="00153367" w:rsidRDefault="00153367" w:rsidP="00153367">
      <w:pPr>
        <w:tabs>
          <w:tab w:val="left" w:pos="284"/>
        </w:tabs>
        <w:spacing w:after="0" w:line="240" w:lineRule="auto"/>
        <w:contextualSpacing/>
        <w:jc w:val="both"/>
        <w:rPr>
          <w:rFonts w:ascii="Verdana" w:eastAsia="Times New Roman" w:hAnsi="Verdana" w:cs="Arial"/>
          <w:b/>
          <w:color w:val="000000"/>
          <w14:ligatures w14:val="none"/>
        </w:rPr>
      </w:pPr>
    </w:p>
    <w:p w14:paraId="049BCB49" w14:textId="77777777" w:rsidR="00153367" w:rsidRPr="00153367" w:rsidRDefault="00153367" w:rsidP="00153367">
      <w:pPr>
        <w:numPr>
          <w:ilvl w:val="0"/>
          <w:numId w:val="5"/>
        </w:numPr>
        <w:spacing w:after="0" w:line="276" w:lineRule="auto"/>
        <w:contextualSpacing/>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 xml:space="preserve">La celebración de dicho contrato se debe efectuar a través de la modalidad de la contratación directa. Así lo prevé el literal </w:t>
      </w:r>
      <w:bookmarkStart w:id="3" w:name="_Hlk176814508"/>
      <w:r w:rsidRPr="00153367">
        <w:rPr>
          <w:rFonts w:ascii="Verdana" w:eastAsia="Times New Roman" w:hAnsi="Verdana" w:cs="Arial"/>
          <w:color w:val="000000"/>
          <w14:ligatures w14:val="none"/>
        </w:rPr>
        <w:t xml:space="preserve">h numeral 4 del artículo 2, de </w:t>
      </w:r>
      <w:bookmarkStart w:id="4" w:name="_Hlk176438313"/>
      <w:r w:rsidRPr="00153367">
        <w:rPr>
          <w:rFonts w:ascii="Verdana" w:eastAsia="Times New Roman" w:hAnsi="Verdana" w:cs="Arial"/>
          <w:color w:val="000000"/>
          <w14:ligatures w14:val="none"/>
        </w:rPr>
        <w:t>la Ley 1150 de 2007</w:t>
      </w:r>
      <w:bookmarkEnd w:id="3"/>
      <w:bookmarkEnd w:id="4"/>
      <w:r w:rsidRPr="00153367">
        <w:rPr>
          <w:rFonts w:ascii="Verdana" w:eastAsia="Times New Roman" w:hAnsi="Verdana" w:cs="Arial"/>
          <w:color w:val="000000"/>
          <w14:ligatures w14:val="none"/>
        </w:rPr>
        <w:t>, que dispone:</w:t>
      </w:r>
    </w:p>
    <w:p w14:paraId="67D2671D" w14:textId="77777777" w:rsidR="00153367" w:rsidRPr="00153367" w:rsidRDefault="00153367" w:rsidP="00153367">
      <w:pPr>
        <w:spacing w:after="0" w:line="276" w:lineRule="auto"/>
        <w:ind w:firstLine="709"/>
        <w:jc w:val="both"/>
        <w:rPr>
          <w:rFonts w:ascii="Verdana" w:eastAsia="Times New Roman" w:hAnsi="Verdana" w:cs="Arial"/>
          <w:color w:val="000000"/>
          <w14:ligatures w14:val="none"/>
        </w:rPr>
      </w:pPr>
    </w:p>
    <w:p w14:paraId="0DCABB33" w14:textId="77777777" w:rsidR="00153367" w:rsidRPr="00153367" w:rsidRDefault="00153367" w:rsidP="00153367">
      <w:pPr>
        <w:spacing w:after="0" w:line="240" w:lineRule="auto"/>
        <w:ind w:left="709" w:right="709"/>
        <w:jc w:val="both"/>
        <w:rPr>
          <w:rFonts w:ascii="Verdana" w:eastAsia="Times New Roman" w:hAnsi="Verdana" w:cs="Arial"/>
          <w:i/>
          <w:iCs/>
          <w:color w:val="000000"/>
          <w:sz w:val="20"/>
          <w:szCs w:val="20"/>
          <w14:ligatures w14:val="none"/>
        </w:rPr>
      </w:pPr>
      <w:r w:rsidRPr="00153367">
        <w:rPr>
          <w:rFonts w:ascii="Verdana" w:eastAsia="Times New Roman" w:hAnsi="Verdana" w:cs="Arial"/>
          <w:i/>
          <w:iCs/>
          <w:color w:val="000000"/>
          <w:sz w:val="20"/>
          <w:szCs w:val="20"/>
          <w14:ligatures w14:val="none"/>
        </w:rPr>
        <w:t>“[…] Contratación directa. La modalidad de selección de contratación directa solamente procederá en los siguientes casos:</w:t>
      </w:r>
    </w:p>
    <w:p w14:paraId="357C4A13" w14:textId="77777777" w:rsidR="00153367" w:rsidRPr="00153367" w:rsidRDefault="00153367" w:rsidP="00153367">
      <w:pPr>
        <w:spacing w:after="0" w:line="240" w:lineRule="auto"/>
        <w:ind w:left="709" w:right="709"/>
        <w:jc w:val="both"/>
        <w:rPr>
          <w:rFonts w:ascii="Verdana" w:eastAsia="Times New Roman" w:hAnsi="Verdana" w:cs="Arial"/>
          <w:i/>
          <w:iCs/>
          <w:color w:val="000000"/>
          <w:sz w:val="20"/>
          <w:szCs w:val="20"/>
          <w14:ligatures w14:val="none"/>
        </w:rPr>
      </w:pPr>
    </w:p>
    <w:p w14:paraId="7C329DBB" w14:textId="77777777" w:rsidR="00153367" w:rsidRPr="00153367" w:rsidRDefault="00153367" w:rsidP="00153367">
      <w:pPr>
        <w:spacing w:after="0" w:line="240" w:lineRule="auto"/>
        <w:ind w:left="709" w:right="709"/>
        <w:jc w:val="both"/>
        <w:rPr>
          <w:rFonts w:ascii="Verdana" w:eastAsia="Times New Roman" w:hAnsi="Verdana" w:cs="Arial"/>
          <w:i/>
          <w:iCs/>
          <w:color w:val="000000"/>
          <w:sz w:val="20"/>
          <w:szCs w:val="20"/>
          <w14:ligatures w14:val="none"/>
        </w:rPr>
      </w:pPr>
      <w:r w:rsidRPr="00153367">
        <w:rPr>
          <w:rFonts w:ascii="Verdana" w:eastAsia="Times New Roman" w:hAnsi="Verdana" w:cs="Arial"/>
          <w:i/>
          <w:iCs/>
          <w:color w:val="000000"/>
          <w:sz w:val="20"/>
          <w:szCs w:val="20"/>
          <w14:ligatures w14:val="none"/>
        </w:rPr>
        <w:t>[…]</w:t>
      </w:r>
    </w:p>
    <w:p w14:paraId="3CD9FF2D" w14:textId="77777777" w:rsidR="00153367" w:rsidRPr="00153367" w:rsidRDefault="00153367" w:rsidP="00153367">
      <w:pPr>
        <w:spacing w:after="0" w:line="240" w:lineRule="auto"/>
        <w:ind w:left="709" w:right="709"/>
        <w:jc w:val="both"/>
        <w:rPr>
          <w:rFonts w:ascii="Verdana" w:eastAsia="Times New Roman" w:hAnsi="Verdana" w:cs="Arial"/>
          <w:i/>
          <w:iCs/>
          <w:color w:val="000000"/>
          <w:sz w:val="20"/>
          <w:szCs w:val="20"/>
          <w14:ligatures w14:val="none"/>
        </w:rPr>
      </w:pPr>
    </w:p>
    <w:p w14:paraId="121F3F16" w14:textId="77777777" w:rsidR="00153367" w:rsidRPr="00153367" w:rsidRDefault="00153367" w:rsidP="00153367">
      <w:pPr>
        <w:spacing w:after="0" w:line="240" w:lineRule="auto"/>
        <w:ind w:left="709" w:right="709"/>
        <w:jc w:val="both"/>
        <w:rPr>
          <w:rFonts w:ascii="Verdana" w:eastAsia="Times New Roman" w:hAnsi="Verdana" w:cs="Arial"/>
          <w:i/>
          <w:iCs/>
          <w:color w:val="000000"/>
          <w:sz w:val="20"/>
          <w:szCs w:val="20"/>
          <w14:ligatures w14:val="none"/>
        </w:rPr>
      </w:pPr>
      <w:r w:rsidRPr="00153367">
        <w:rPr>
          <w:rFonts w:ascii="Verdana" w:eastAsia="Times New Roman" w:hAnsi="Verdana" w:cs="Arial"/>
          <w:i/>
          <w:iCs/>
          <w:color w:val="000000"/>
          <w:sz w:val="20"/>
          <w:szCs w:val="20"/>
          <w14:ligatures w14:val="none"/>
        </w:rPr>
        <w:t>h) Para la prestación de servicios profesionales y de apoyo a la gestión, o para la ejecución de trabajos artísticos que sólo puedan encomendarse a determinadas personas naturales”.</w:t>
      </w:r>
    </w:p>
    <w:p w14:paraId="53C3EB62" w14:textId="77777777" w:rsidR="00153367" w:rsidRPr="00153367" w:rsidRDefault="00153367" w:rsidP="00153367">
      <w:pPr>
        <w:spacing w:after="0" w:line="240" w:lineRule="auto"/>
        <w:ind w:right="709"/>
        <w:jc w:val="both"/>
        <w:rPr>
          <w:rFonts w:ascii="Verdana" w:eastAsia="Times New Roman" w:hAnsi="Verdana" w:cs="Arial"/>
          <w:color w:val="000000"/>
          <w14:ligatures w14:val="none"/>
        </w:rPr>
      </w:pPr>
    </w:p>
    <w:p w14:paraId="1E29F7E1" w14:textId="77777777" w:rsidR="00153367" w:rsidRPr="00153367" w:rsidRDefault="00153367" w:rsidP="00153367">
      <w:pPr>
        <w:numPr>
          <w:ilvl w:val="0"/>
          <w:numId w:val="5"/>
        </w:numPr>
        <w:spacing w:after="0" w:line="276" w:lineRule="auto"/>
        <w:contextualSpacing/>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B172E15"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i) Solo puede celebrarse para realizar “actividades relacionadas con la administración o funcionamiento de la entidad”, es decir, que hagan parte de su giro ordinario o quehacer cotidiano.</w:t>
      </w:r>
    </w:p>
    <w:p w14:paraId="534FB012"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proofErr w:type="spellStart"/>
      <w:r w:rsidRPr="00153367">
        <w:rPr>
          <w:rFonts w:ascii="Verdana" w:eastAsia="Times New Roman" w:hAnsi="Verdana" w:cs="Arial"/>
          <w:color w:val="000000"/>
          <w14:ligatures w14:val="none"/>
        </w:rPr>
        <w:t>ii</w:t>
      </w:r>
      <w:proofErr w:type="spellEnd"/>
      <w:r w:rsidRPr="00153367">
        <w:rPr>
          <w:rFonts w:ascii="Verdana" w:eastAsia="Times New Roman" w:hAnsi="Verdana" w:cs="Arial"/>
          <w:color w:val="000000"/>
          <w14:ligatures w14:val="none"/>
        </w:rPr>
        <w:t xml:space="preserve">) Admite que se suscriba tanto con personas naturales como con personas jurídicas. Y requiere que la entidad estatal justifique en los estudios previos </w:t>
      </w:r>
      <w:r w:rsidRPr="00153367">
        <w:rPr>
          <w:rFonts w:ascii="Verdana" w:eastAsia="Times New Roman" w:hAnsi="Verdana" w:cs="Arial"/>
          <w:color w:val="000000"/>
          <w14:ligatures w14:val="none"/>
        </w:rPr>
        <w:lastRenderedPageBreak/>
        <w:t>que las actividades que buscan encomendarse a aquella “no puedan realizarse con personal de planta o requieran conocimientos especializados”.</w:t>
      </w:r>
      <w:r w:rsidRPr="00153367">
        <w:rPr>
          <w:rFonts w:ascii="Verdana" w:eastAsia="Times New Roman" w:hAnsi="Verdana" w:cs="Arial"/>
          <w:color w:val="000000"/>
          <w:vertAlign w:val="superscript"/>
          <w14:ligatures w14:val="none"/>
        </w:rPr>
        <w:footnoteReference w:id="2"/>
      </w:r>
      <w:r w:rsidRPr="00153367">
        <w:rPr>
          <w:rFonts w:ascii="Verdana" w:eastAsia="Times New Roman" w:hAnsi="Verdana" w:cs="Arial"/>
          <w:color w:val="000000"/>
          <w14:ligatures w14:val="none"/>
        </w:rPr>
        <w:t xml:space="preserve"> </w:t>
      </w:r>
    </w:p>
    <w:p w14:paraId="33229794"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proofErr w:type="spellStart"/>
      <w:r w:rsidRPr="00153367">
        <w:rPr>
          <w:rFonts w:ascii="Verdana" w:eastAsia="Times New Roman" w:hAnsi="Verdana" w:cs="Arial"/>
          <w:color w:val="000000"/>
          <w14:ligatures w14:val="none"/>
        </w:rPr>
        <w:t>iii</w:t>
      </w:r>
      <w:proofErr w:type="spellEnd"/>
      <w:r w:rsidRPr="00153367">
        <w:rPr>
          <w:rFonts w:ascii="Verdana" w:eastAsia="Times New Roman" w:hAnsi="Verdana" w:cs="Arial"/>
          <w:color w:val="000000"/>
          <w14:ligatures w14:val="none"/>
        </w:rPr>
        <w:t>) Si bien se celebran para obtener la prestación personal de un servicio, se diferencian del contrato de trabajo</w:t>
      </w:r>
      <w:r w:rsidRPr="00153367">
        <w:rPr>
          <w:rFonts w:ascii="Verdana" w:eastAsia="Times New Roman" w:hAnsi="Verdana" w:cs="Arial"/>
          <w:vertAlign w:val="superscript"/>
          <w14:ligatures w14:val="none"/>
        </w:rPr>
        <w:footnoteReference w:id="3"/>
      </w:r>
      <w:r w:rsidRPr="00153367">
        <w:rPr>
          <w:rFonts w:ascii="Verdana" w:eastAsia="Times New Roman" w:hAnsi="Verdana" w:cs="Arial"/>
          <w:color w:val="000000"/>
          <w14:ligatures w14:val="none"/>
        </w:rPr>
        <w:t xml:space="preserve"> en que quien celebra el contrato de prestación de servicios debe mantener autonomía e independencia en la ejecución de la labor, lo que significa que no puede existir la </w:t>
      </w:r>
      <w:r w:rsidRPr="00153367">
        <w:rPr>
          <w:rFonts w:ascii="Verdana" w:eastAsia="Times New Roman" w:hAnsi="Verdana" w:cs="Arial"/>
          <w:i/>
          <w:color w:val="000000"/>
          <w14:ligatures w14:val="none"/>
        </w:rPr>
        <w:t>subordinación y dependencia</w:t>
      </w:r>
      <w:r w:rsidRPr="00153367">
        <w:rPr>
          <w:rFonts w:ascii="Verdana" w:eastAsia="Times New Roman" w:hAnsi="Verdana" w:cs="Arial"/>
          <w:color w:val="000000"/>
          <w14:ligatures w14:val="none"/>
        </w:rPr>
        <w:t xml:space="preserve">, que es uno de los elementos constitutivos del vínculo laboral. </w:t>
      </w:r>
    </w:p>
    <w:p w14:paraId="511DD7F7"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 xml:space="preserve">Por ello el </w:t>
      </w:r>
      <w:bookmarkStart w:id="7" w:name="_Hlk176814532"/>
      <w:r w:rsidRPr="00153367">
        <w:rPr>
          <w:rFonts w:ascii="Verdana" w:eastAsia="Times New Roman" w:hAnsi="Verdana" w:cs="Arial"/>
          <w:color w:val="000000"/>
          <w14:ligatures w14:val="none"/>
        </w:rPr>
        <w:t xml:space="preserve">numeral 3º del artículo 32, de la Ley 80 de 1993 </w:t>
      </w:r>
      <w:bookmarkEnd w:id="7"/>
      <w:r w:rsidRPr="00153367">
        <w:rPr>
          <w:rFonts w:ascii="Verdana" w:eastAsia="Times New Roman" w:hAnsi="Verdana" w:cs="Arial"/>
          <w:color w:val="000000"/>
          <w14:ligatures w14:val="none"/>
        </w:rPr>
        <w:t xml:space="preserve">establece que “En ningún caso estos contratos generan relación laboral ni prestaciones sociales”, inciso que debe interpretarse en el sentido de que los contratos de prestación de servicios profesionales </w:t>
      </w:r>
      <w:r w:rsidRPr="00153367">
        <w:rPr>
          <w:rFonts w:ascii="Verdana" w:eastAsia="Times New Roman" w:hAnsi="Verdana" w:cs="Arial"/>
          <w:i/>
          <w:color w:val="000000"/>
          <w14:ligatures w14:val="none"/>
        </w:rPr>
        <w:t>no pueden</w:t>
      </w:r>
      <w:r w:rsidRPr="00153367">
        <w:rPr>
          <w:rFonts w:ascii="Verdana" w:eastAsia="Times New Roman" w:hAnsi="Verdana" w:cs="Arial"/>
          <w:color w:val="000000"/>
          <w14:ligatures w14:val="none"/>
        </w:rPr>
        <w:t xml:space="preserve"> generar relación laboral, ni dar lugar a que las entidades estatales paguen por su cuenta los aportes al Sistema de Seguridad Social Integral del contratista. </w:t>
      </w:r>
    </w:p>
    <w:p w14:paraId="00F2F859" w14:textId="77777777" w:rsidR="00153367" w:rsidRPr="00153367" w:rsidRDefault="00153367" w:rsidP="00153367">
      <w:pPr>
        <w:spacing w:after="120" w:line="276" w:lineRule="auto"/>
        <w:ind w:left="709"/>
        <w:jc w:val="both"/>
        <w:rPr>
          <w:rFonts w:ascii="Verdana" w:eastAsia="Times New Roman" w:hAnsi="Verdana" w:cs="Arial"/>
          <w:color w:val="000000"/>
          <w:sz w:val="21"/>
          <w:szCs w:val="21"/>
          <w14:ligatures w14:val="none"/>
        </w:rPr>
      </w:pPr>
      <w:proofErr w:type="spellStart"/>
      <w:r w:rsidRPr="00153367">
        <w:rPr>
          <w:rFonts w:ascii="Verdana" w:eastAsia="Times New Roman" w:hAnsi="Verdana" w:cs="Arial"/>
          <w:color w:val="000000"/>
          <w14:ligatures w14:val="none"/>
        </w:rPr>
        <w:t>iv</w:t>
      </w:r>
      <w:proofErr w:type="spellEnd"/>
      <w:r w:rsidRPr="00153367">
        <w:rPr>
          <w:rFonts w:ascii="Verdana" w:eastAsia="Times New Roman" w:hAnsi="Verdana" w:cs="Arial"/>
          <w:color w:val="000000"/>
          <w14:ligatures w14:val="none"/>
        </w:rPr>
        <w:t xml:space="preserve">)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w:t>
      </w:r>
      <w:r w:rsidRPr="00153367">
        <w:rPr>
          <w:rFonts w:ascii="Verdana" w:eastAsia="Times New Roman" w:hAnsi="Verdana" w:cs="Arial"/>
          <w:color w:val="000000"/>
          <w14:ligatures w14:val="none"/>
        </w:rPr>
        <w:lastRenderedPageBreak/>
        <w:t>respectiva planta y previstos sus emolumentos en el presupuesto correspondiente”</w:t>
      </w:r>
      <w:r w:rsidRPr="00153367">
        <w:rPr>
          <w:rFonts w:ascii="Verdana" w:eastAsia="Times New Roman" w:hAnsi="Verdana" w:cs="Arial"/>
          <w:vertAlign w:val="superscript"/>
          <w14:ligatures w14:val="none"/>
        </w:rPr>
        <w:footnoteReference w:id="4"/>
      </w:r>
      <w:r w:rsidRPr="00153367">
        <w:rPr>
          <w:rFonts w:ascii="Verdana" w:eastAsia="Times New Roman" w:hAnsi="Verdana" w:cs="Arial"/>
          <w:color w:val="000000"/>
          <w:sz w:val="21"/>
          <w:szCs w:val="21"/>
          <w14:ligatures w14:val="none"/>
        </w:rPr>
        <w:t>.</w:t>
      </w:r>
    </w:p>
    <w:p w14:paraId="042E2B1A" w14:textId="77777777" w:rsidR="00153367" w:rsidRPr="00153367" w:rsidRDefault="00153367" w:rsidP="00153367">
      <w:pPr>
        <w:spacing w:after="0" w:line="276" w:lineRule="auto"/>
        <w:ind w:left="709" w:right="49"/>
        <w:jc w:val="both"/>
        <w:rPr>
          <w:rFonts w:ascii="Verdana" w:eastAsia="Times New Roman" w:hAnsi="Verdana" w:cs="Arial"/>
          <w:color w:val="000000"/>
          <w:sz w:val="21"/>
          <w:szCs w:val="21"/>
          <w14:ligatures w14:val="none"/>
        </w:rPr>
      </w:pPr>
      <w:r w:rsidRPr="00153367">
        <w:rPr>
          <w:rFonts w:ascii="Verdana" w:eastAsia="Times New Roman" w:hAnsi="Verdana" w:cs="Arial"/>
          <w:color w:val="000000"/>
          <w14:ligatures w14:val="none"/>
        </w:rPr>
        <w:t xml:space="preserve">v) Los contratos de prestación de servicios constituyen un </w:t>
      </w:r>
      <w:r w:rsidRPr="00153367">
        <w:rPr>
          <w:rFonts w:ascii="Verdana" w:eastAsia="Times New Roman" w:hAnsi="Verdana" w:cs="Arial"/>
          <w:i/>
          <w:color w:val="000000"/>
          <w14:ligatures w14:val="none"/>
        </w:rPr>
        <w:t>género</w:t>
      </w:r>
      <w:r w:rsidRPr="00153367">
        <w:rPr>
          <w:rFonts w:ascii="Verdana" w:eastAsia="Times New Roman" w:hAnsi="Verdana" w:cs="Arial"/>
          <w:color w:val="000000"/>
          <w14:ligatures w14:val="none"/>
        </w:rPr>
        <w:t xml:space="preserve"> que incluye, como </w:t>
      </w:r>
      <w:r w:rsidRPr="00153367">
        <w:rPr>
          <w:rFonts w:ascii="Verdana" w:eastAsia="Times New Roman" w:hAnsi="Verdana" w:cs="Arial"/>
          <w:i/>
          <w:color w:val="000000"/>
          <w14:ligatures w14:val="none"/>
        </w:rPr>
        <w:t>especies</w:t>
      </w:r>
      <w:r w:rsidRPr="00153367">
        <w:rPr>
          <w:rFonts w:ascii="Verdana" w:eastAsia="Times New Roman" w:hAnsi="Verdana" w:cs="Arial"/>
          <w:color w:val="000000"/>
          <w14:ligatures w14:val="none"/>
        </w:rPr>
        <w:t>, los contratos de prestación de servicios profesionales, los contratos de prestación de servicios de apoyo a la gestión y los contratos de prestación de servicios artísticos que solo pueden encomendarse a determinadas personas naturales</w:t>
      </w:r>
      <w:r w:rsidRPr="00153367">
        <w:rPr>
          <w:rFonts w:ascii="Verdana" w:eastAsia="Times New Roman" w:hAnsi="Verdana" w:cs="Arial"/>
          <w:vertAlign w:val="superscript"/>
          <w14:ligatures w14:val="none"/>
        </w:rPr>
        <w:footnoteReference w:id="5"/>
      </w:r>
      <w:r w:rsidRPr="00153367">
        <w:rPr>
          <w:rFonts w:ascii="Verdana" w:eastAsia="Times New Roman" w:hAnsi="Verdana" w:cs="Arial"/>
          <w:color w:val="000000"/>
          <w14:ligatures w14:val="none"/>
        </w:rPr>
        <w:t>.</w:t>
      </w:r>
    </w:p>
    <w:p w14:paraId="7A3843D5" w14:textId="77777777" w:rsidR="00153367" w:rsidRPr="00153367" w:rsidRDefault="00153367" w:rsidP="00153367">
      <w:pPr>
        <w:spacing w:after="0" w:line="276" w:lineRule="auto"/>
        <w:ind w:left="709"/>
        <w:jc w:val="both"/>
        <w:rPr>
          <w:rFonts w:ascii="Verdana" w:eastAsia="Times New Roman" w:hAnsi="Verdana" w:cs="Arial"/>
          <w:color w:val="000000"/>
          <w14:ligatures w14:val="none"/>
        </w:rPr>
      </w:pPr>
    </w:p>
    <w:p w14:paraId="5B8F4157" w14:textId="77777777" w:rsidR="00153367" w:rsidRPr="00153367" w:rsidRDefault="00153367" w:rsidP="00153367">
      <w:pPr>
        <w:spacing w:after="0" w:line="276" w:lineRule="auto"/>
        <w:ind w:left="709"/>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vi) Su celebración debe realizarse a través de la modalidad de contratación directa, independientemente de la cuantía y del tipo de servicio, siempre que este no ingrese dentro del objeto del contrato de consultoría.</w:t>
      </w:r>
    </w:p>
    <w:p w14:paraId="21CA840B" w14:textId="77777777" w:rsidR="00153367" w:rsidRPr="00153367" w:rsidRDefault="00153367" w:rsidP="00153367">
      <w:pPr>
        <w:spacing w:after="0" w:line="276" w:lineRule="auto"/>
        <w:ind w:left="709"/>
        <w:jc w:val="both"/>
        <w:rPr>
          <w:rFonts w:ascii="Verdana" w:eastAsia="Times New Roman" w:hAnsi="Verdana" w:cs="Arial"/>
          <w:color w:val="000000"/>
          <w14:ligatures w14:val="none"/>
        </w:rPr>
      </w:pPr>
    </w:p>
    <w:p w14:paraId="713860E0" w14:textId="77777777" w:rsidR="00153367" w:rsidRPr="00153367" w:rsidRDefault="00153367" w:rsidP="00153367">
      <w:pPr>
        <w:spacing w:after="0" w:line="276" w:lineRule="auto"/>
        <w:ind w:left="709"/>
        <w:jc w:val="both"/>
        <w:rPr>
          <w:rFonts w:ascii="Verdana" w:eastAsia="Times New Roman" w:hAnsi="Verdana" w:cs="Arial"/>
          <w:color w:val="000000"/>
          <w14:ligatures w14:val="none"/>
        </w:rPr>
      </w:pPr>
      <w:proofErr w:type="spellStart"/>
      <w:r w:rsidRPr="00153367">
        <w:rPr>
          <w:rFonts w:ascii="Verdana" w:eastAsia="Times New Roman" w:hAnsi="Verdana" w:cs="Arial"/>
          <w:color w:val="000000"/>
          <w14:ligatures w14:val="none"/>
        </w:rPr>
        <w:t>vii</w:t>
      </w:r>
      <w:proofErr w:type="spellEnd"/>
      <w:r w:rsidRPr="00153367">
        <w:rPr>
          <w:rFonts w:ascii="Verdana" w:eastAsia="Times New Roman" w:hAnsi="Verdana" w:cs="Arial"/>
          <w:color w:val="000000"/>
          <w14:ligatures w14:val="none"/>
        </w:rPr>
        <w:t>) Para su celebración no se requiere en algunos casos la expedición del acto administrativo de justificación de la contratación directa</w:t>
      </w:r>
      <w:r w:rsidRPr="00153367">
        <w:rPr>
          <w:rFonts w:ascii="Verdana" w:eastAsia="Times New Roman" w:hAnsi="Verdana" w:cs="Arial"/>
          <w:vertAlign w:val="superscript"/>
          <w14:ligatures w14:val="none"/>
        </w:rPr>
        <w:footnoteReference w:id="6"/>
      </w:r>
      <w:r w:rsidRPr="00153367">
        <w:rPr>
          <w:rFonts w:ascii="Verdana" w:eastAsia="Times New Roman" w:hAnsi="Verdana" w:cs="Arial"/>
          <w:color w:val="000000"/>
          <w14:ligatures w14:val="none"/>
        </w:rPr>
        <w:t xml:space="preserve">. </w:t>
      </w:r>
    </w:p>
    <w:p w14:paraId="1AE96B23"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proofErr w:type="spellStart"/>
      <w:r w:rsidRPr="00153367">
        <w:rPr>
          <w:rFonts w:ascii="Verdana" w:eastAsia="Times New Roman" w:hAnsi="Verdana" w:cs="Arial"/>
          <w:color w:val="000000"/>
          <w14:ligatures w14:val="none"/>
        </w:rPr>
        <w:t>viii</w:t>
      </w:r>
      <w:proofErr w:type="spellEnd"/>
      <w:r w:rsidRPr="00153367">
        <w:rPr>
          <w:rFonts w:ascii="Verdana" w:eastAsia="Times New Roman" w:hAnsi="Verdana" w:cs="Arial"/>
          <w:color w:val="000000"/>
          <w14:ligatures w14:val="none"/>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153367">
        <w:rPr>
          <w:rFonts w:ascii="Verdana" w:eastAsia="Times New Roman" w:hAnsi="Verdana" w:cs="Arial"/>
          <w:vertAlign w:val="superscript"/>
          <w14:ligatures w14:val="none"/>
        </w:rPr>
        <w:footnoteReference w:id="7"/>
      </w:r>
      <w:r w:rsidRPr="00153367">
        <w:rPr>
          <w:rFonts w:ascii="Verdana" w:eastAsia="Times New Roman" w:hAnsi="Verdana" w:cs="Arial"/>
          <w:color w:val="000000"/>
          <w14:ligatures w14:val="none"/>
        </w:rPr>
        <w:t>.</w:t>
      </w:r>
    </w:p>
    <w:p w14:paraId="07BFD7A3"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proofErr w:type="spellStart"/>
      <w:r w:rsidRPr="00153367">
        <w:rPr>
          <w:rFonts w:ascii="Verdana" w:eastAsia="Times New Roman" w:hAnsi="Verdana" w:cs="Arial"/>
          <w:color w:val="000000"/>
          <w14:ligatures w14:val="none"/>
        </w:rPr>
        <w:lastRenderedPageBreak/>
        <w:t>ix</w:t>
      </w:r>
      <w:proofErr w:type="spellEnd"/>
      <w:r w:rsidRPr="00153367">
        <w:rPr>
          <w:rFonts w:ascii="Verdana" w:eastAsia="Times New Roman" w:hAnsi="Verdana" w:cs="Arial"/>
          <w:color w:val="000000"/>
          <w14:ligatures w14:val="none"/>
        </w:rPr>
        <w:t xml:space="preserve">) En algunos casos no es obligatoria la liquidación, pues así lo estableció el </w:t>
      </w:r>
      <w:bookmarkStart w:id="10" w:name="_Hlk176814631"/>
      <w:r w:rsidRPr="00153367">
        <w:rPr>
          <w:rFonts w:ascii="Verdana" w:eastAsia="Times New Roman" w:hAnsi="Verdana" w:cs="Arial"/>
          <w:color w:val="000000"/>
          <w14:ligatures w14:val="none"/>
        </w:rPr>
        <w:t>artículo 217 del Decreto 019 de 2012</w:t>
      </w:r>
      <w:bookmarkEnd w:id="10"/>
      <w:r w:rsidRPr="00153367">
        <w:rPr>
          <w:rFonts w:ascii="Verdana" w:eastAsia="Times New Roman" w:hAnsi="Verdana" w:cs="Arial"/>
          <w:color w:val="000000"/>
          <w14:ligatures w14:val="none"/>
        </w:rPr>
        <w:t>, que modificó el artículo 60 de la Ley 80 de 1993</w:t>
      </w:r>
      <w:r w:rsidRPr="00153367">
        <w:rPr>
          <w:rFonts w:ascii="Verdana" w:eastAsia="Times New Roman" w:hAnsi="Verdana" w:cs="Arial"/>
          <w:vertAlign w:val="superscript"/>
          <w14:ligatures w14:val="none"/>
        </w:rPr>
        <w:footnoteReference w:id="8"/>
      </w:r>
      <w:r w:rsidRPr="00153367">
        <w:rPr>
          <w:rFonts w:ascii="Verdana" w:eastAsia="Times New Roman" w:hAnsi="Verdana" w:cs="Arial"/>
          <w:color w:val="000000"/>
          <w14:ligatures w14:val="none"/>
        </w:rPr>
        <w:t>, refiriéndose a los contratos de prestación de servicios profesionales y de apoyo a la gestión.</w:t>
      </w:r>
    </w:p>
    <w:p w14:paraId="65C04B59"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x) Para su celebración no se requiere inscripción en el Registro Único de Proponentes (RUP), según lo prevé el artículo 6 de la Ley 1150 de 2007</w:t>
      </w:r>
      <w:r w:rsidRPr="00153367">
        <w:rPr>
          <w:rFonts w:ascii="Verdana" w:eastAsia="Times New Roman" w:hAnsi="Verdana" w:cs="Arial"/>
          <w:vertAlign w:val="superscript"/>
          <w14:ligatures w14:val="none"/>
        </w:rPr>
        <w:footnoteReference w:id="9"/>
      </w:r>
      <w:r w:rsidRPr="00153367">
        <w:rPr>
          <w:rFonts w:ascii="Verdana" w:eastAsia="Times New Roman" w:hAnsi="Verdana" w:cs="Arial"/>
          <w:color w:val="000000"/>
          <w14:ligatures w14:val="none"/>
        </w:rPr>
        <w:t>.</w:t>
      </w:r>
    </w:p>
    <w:p w14:paraId="1D178BF2" w14:textId="77777777" w:rsidR="00153367" w:rsidRPr="00153367" w:rsidRDefault="00153367" w:rsidP="00153367">
      <w:pPr>
        <w:spacing w:before="120" w:after="120" w:line="276" w:lineRule="auto"/>
        <w:ind w:left="709"/>
        <w:jc w:val="both"/>
        <w:rPr>
          <w:rFonts w:ascii="Verdana" w:eastAsia="Times New Roman" w:hAnsi="Verdana" w:cs="Arial"/>
          <w:color w:val="000000"/>
          <w14:ligatures w14:val="none"/>
        </w:rPr>
      </w:pPr>
      <w:r w:rsidRPr="00153367">
        <w:rPr>
          <w:rFonts w:ascii="Verdana" w:eastAsia="Times New Roman" w:hAnsi="Verdana" w:cs="Arial"/>
          <w:color w:val="000000"/>
          <w14:ligatures w14:val="none"/>
        </w:rPr>
        <w:t>xi) En ellos no son necesarias las garantías</w:t>
      </w:r>
      <w:r w:rsidRPr="00153367">
        <w:rPr>
          <w:rFonts w:ascii="Verdana" w:eastAsia="Times New Roman" w:hAnsi="Verdana" w:cs="Arial"/>
          <w:vertAlign w:val="superscript"/>
          <w14:ligatures w14:val="none"/>
        </w:rPr>
        <w:footnoteReference w:id="10"/>
      </w:r>
      <w:r w:rsidRPr="00153367">
        <w:rPr>
          <w:rFonts w:ascii="Verdana" w:eastAsia="Times New Roman" w:hAnsi="Verdana" w:cs="Arial"/>
          <w:color w:val="000000"/>
          <w14:ligatures w14:val="none"/>
        </w:rPr>
        <w:t>.</w:t>
      </w:r>
    </w:p>
    <w:p w14:paraId="2B608AFF" w14:textId="77777777" w:rsidR="00153367" w:rsidRPr="00153367" w:rsidRDefault="00153367" w:rsidP="00153367">
      <w:pPr>
        <w:numPr>
          <w:ilvl w:val="0"/>
          <w:numId w:val="5"/>
        </w:numPr>
        <w:spacing w:before="120" w:after="120" w:line="276" w:lineRule="auto"/>
        <w:contextualSpacing/>
        <w:jc w:val="both"/>
        <w:rPr>
          <w:rFonts w:ascii="Verdana" w:eastAsia="Times New Roman" w:hAnsi="Verdana" w:cs="Arial"/>
          <w:color w:val="000000"/>
          <w:lang w:eastAsia="es-ES_tradnl"/>
          <w14:ligatures w14:val="none"/>
        </w:rPr>
      </w:pPr>
      <w:r w:rsidRPr="00153367">
        <w:rPr>
          <w:rFonts w:ascii="Verdana" w:eastAsia="Times New Roman" w:hAnsi="Verdana" w:cs="Arial"/>
          <w:color w:val="000000"/>
          <w:lang w:eastAsia="es-ES_tradnl"/>
          <w14:ligatures w14:val="none"/>
        </w:rPr>
        <w:t>Vale mencionar, como ya se dijo que, 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subordinación y dependencia, que es uno de los elementos constitutivos del vínculo laboral.</w:t>
      </w:r>
    </w:p>
    <w:p w14:paraId="31C12870" w14:textId="77777777" w:rsidR="00153367" w:rsidRPr="00153367" w:rsidRDefault="00153367" w:rsidP="00153367">
      <w:pPr>
        <w:spacing w:before="120" w:after="120" w:line="276" w:lineRule="auto"/>
        <w:ind w:left="720"/>
        <w:contextualSpacing/>
        <w:jc w:val="both"/>
        <w:rPr>
          <w:rFonts w:ascii="Verdana" w:eastAsia="Times New Roman" w:hAnsi="Verdana" w:cs="Arial"/>
          <w:color w:val="000000"/>
          <w:lang w:eastAsia="es-ES_tradnl"/>
          <w14:ligatures w14:val="none"/>
        </w:rPr>
      </w:pPr>
    </w:p>
    <w:p w14:paraId="5A391552" w14:textId="77777777" w:rsidR="00153367" w:rsidRPr="00153367" w:rsidRDefault="00153367" w:rsidP="00153367">
      <w:pPr>
        <w:numPr>
          <w:ilvl w:val="0"/>
          <w:numId w:val="5"/>
        </w:numPr>
        <w:spacing w:before="120" w:after="120" w:line="276" w:lineRule="auto"/>
        <w:contextualSpacing/>
        <w:jc w:val="both"/>
        <w:rPr>
          <w:rFonts w:ascii="Verdana" w:eastAsia="Times New Roman" w:hAnsi="Verdana" w:cs="Arial"/>
          <w:color w:val="000000"/>
          <w:lang w:eastAsia="es-ES_tradnl"/>
          <w14:ligatures w14:val="none"/>
        </w:rPr>
      </w:pPr>
      <w:r w:rsidRPr="00153367">
        <w:rPr>
          <w:rFonts w:ascii="Verdana" w:eastAsia="Times New Roman" w:hAnsi="Verdana" w:cs="Arial"/>
          <w:color w:val="000000"/>
          <w:lang w:eastAsia="es-ES_tradnl"/>
          <w14:ligatures w14:val="none"/>
        </w:rPr>
        <w:t xml:space="preserve">Por ello el numeral 3 del artículo 32 de la Ley 80 de 1993 establece que “En ningún caso estos contratos generan relación laboral ni prestaciones sociales”, </w:t>
      </w:r>
      <w:r w:rsidRPr="00153367">
        <w:rPr>
          <w:rFonts w:ascii="Verdana" w:eastAsia="Times New Roman" w:hAnsi="Verdana" w:cs="Arial"/>
          <w:color w:val="000000"/>
          <w:lang w:eastAsia="es-ES_tradnl"/>
          <w14:ligatures w14:val="none"/>
        </w:rPr>
        <w:lastRenderedPageBreak/>
        <w:t>inciso que más que un enunciado que aluda al “ser” se refiere al “deber ser”, pues debe interpretarse en el sentido de que los contratos de prestación de servicios profesionales no pueden generar relación laboral, ni dar lugar a que las entidades estatales paguen por su cuenta los aportes al Sistema de Seguridad Social Integral del contratista.</w:t>
      </w:r>
    </w:p>
    <w:p w14:paraId="5AF3D350" w14:textId="77777777" w:rsidR="00153367" w:rsidRPr="00153367" w:rsidRDefault="00153367" w:rsidP="00153367">
      <w:pPr>
        <w:spacing w:before="120" w:after="120" w:line="276" w:lineRule="auto"/>
        <w:ind w:left="720"/>
        <w:contextualSpacing/>
        <w:jc w:val="both"/>
        <w:rPr>
          <w:rFonts w:ascii="Verdana" w:eastAsia="Times New Roman" w:hAnsi="Verdana" w:cs="Arial"/>
          <w:color w:val="000000"/>
          <w:lang w:eastAsia="es-ES_tradnl"/>
          <w14:ligatures w14:val="none"/>
        </w:rPr>
      </w:pPr>
    </w:p>
    <w:p w14:paraId="56FE8CD0" w14:textId="77777777" w:rsidR="00153367" w:rsidRPr="00153367" w:rsidRDefault="00153367" w:rsidP="00153367">
      <w:pPr>
        <w:numPr>
          <w:ilvl w:val="0"/>
          <w:numId w:val="5"/>
        </w:numPr>
        <w:spacing w:before="120" w:after="120" w:line="276" w:lineRule="auto"/>
        <w:contextualSpacing/>
        <w:jc w:val="both"/>
        <w:rPr>
          <w:rFonts w:ascii="Verdana" w:eastAsia="Times New Roman" w:hAnsi="Verdana" w:cs="Arial"/>
          <w:color w:val="000000"/>
          <w:lang w:eastAsia="es-ES_tradnl"/>
          <w14:ligatures w14:val="none"/>
        </w:rPr>
      </w:pPr>
      <w:r w:rsidRPr="00153367">
        <w:rPr>
          <w:rFonts w:ascii="Verdana" w:eastAsia="Times New Roman" w:hAnsi="Verdana" w:cs="Arial"/>
          <w:color w:val="000000"/>
          <w:lang w:eastAsia="es-ES_tradnl"/>
          <w14:ligatures w14:val="none"/>
        </w:rPr>
        <w:t xml:space="preserve">Lo anterior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w:t>
      </w:r>
    </w:p>
    <w:p w14:paraId="7E6CDEDA" w14:textId="77777777" w:rsidR="00153367" w:rsidRPr="00153367" w:rsidRDefault="00153367" w:rsidP="00153367">
      <w:pPr>
        <w:spacing w:before="120" w:after="120" w:line="276" w:lineRule="auto"/>
        <w:ind w:left="720"/>
        <w:contextualSpacing/>
        <w:jc w:val="both"/>
        <w:rPr>
          <w:rFonts w:ascii="Verdana" w:eastAsia="Times New Roman" w:hAnsi="Verdana" w:cs="Arial"/>
          <w:color w:val="000000"/>
          <w:lang w:eastAsia="es-ES_tradnl"/>
          <w14:ligatures w14:val="none"/>
        </w:rPr>
      </w:pPr>
    </w:p>
    <w:p w14:paraId="31AE427D" w14:textId="77777777" w:rsidR="00153367" w:rsidRPr="00153367" w:rsidRDefault="00153367" w:rsidP="00153367">
      <w:pPr>
        <w:numPr>
          <w:ilvl w:val="0"/>
          <w:numId w:val="5"/>
        </w:numPr>
        <w:spacing w:before="120" w:after="120" w:line="276" w:lineRule="auto"/>
        <w:contextualSpacing/>
        <w:jc w:val="both"/>
        <w:rPr>
          <w:rFonts w:ascii="Verdana" w:eastAsia="Times New Roman" w:hAnsi="Verdana" w:cs="Arial"/>
          <w:color w:val="000000"/>
          <w:lang w:eastAsia="es-ES_tradnl"/>
          <w14:ligatures w14:val="none"/>
        </w:rPr>
      </w:pPr>
      <w:r w:rsidRPr="00153367">
        <w:rPr>
          <w:rFonts w:ascii="Verdana" w:eastAsia="Times New Roman" w:hAnsi="Verdana" w:cs="Arial"/>
          <w:color w:val="000000"/>
          <w:lang w:eastAsia="es-ES_tradnl"/>
          <w14:ligatures w14:val="none"/>
        </w:rPr>
        <w:t>Ahora bien, a pesar de este mandato deontológico, es posible que en la práctica surja la relación laboral, pues, como se sabe, el contrato de trabajo es un contrato realidad,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p>
    <w:p w14:paraId="05398177" w14:textId="77777777" w:rsidR="00153367" w:rsidRPr="00153367" w:rsidRDefault="00153367" w:rsidP="00153367">
      <w:pPr>
        <w:spacing w:before="120" w:after="120" w:line="276" w:lineRule="auto"/>
        <w:ind w:left="720"/>
        <w:contextualSpacing/>
        <w:jc w:val="both"/>
        <w:rPr>
          <w:rFonts w:ascii="Verdana" w:eastAsia="Times New Roman" w:hAnsi="Verdana" w:cs="Arial"/>
          <w:color w:val="000000"/>
          <w:lang w:eastAsia="es-ES_tradnl"/>
          <w14:ligatures w14:val="none"/>
        </w:rPr>
      </w:pPr>
    </w:p>
    <w:p w14:paraId="0A2873B9" w14:textId="77777777" w:rsidR="00153367" w:rsidRPr="00153367" w:rsidRDefault="00153367" w:rsidP="00153367">
      <w:pPr>
        <w:numPr>
          <w:ilvl w:val="0"/>
          <w:numId w:val="5"/>
        </w:numPr>
        <w:spacing w:after="0" w:line="276" w:lineRule="auto"/>
        <w:contextualSpacing/>
        <w:jc w:val="both"/>
        <w:rPr>
          <w:rFonts w:ascii="Verdana" w:eastAsia="Times New Roman" w:hAnsi="Verdana" w:cs="Times New Roman"/>
          <w:lang w:eastAsia="es-MX"/>
          <w14:ligatures w14:val="none"/>
        </w:rPr>
      </w:pPr>
      <w:r w:rsidRPr="00153367">
        <w:rPr>
          <w:rFonts w:ascii="Verdana" w:eastAsia="Times New Roman" w:hAnsi="Verdana" w:cs="Arial"/>
          <w:color w:val="000000"/>
          <w:lang w:eastAsia="es-ES"/>
          <w14:ligatures w14:val="none"/>
        </w:rPr>
        <w:t xml:space="preserve">Por </w:t>
      </w:r>
      <w:bookmarkStart w:id="11" w:name="_Hlk135923867"/>
      <w:r w:rsidRPr="00153367">
        <w:rPr>
          <w:rFonts w:ascii="Verdana" w:eastAsia="Times New Roman" w:hAnsi="Verdana" w:cs="Arial"/>
          <w:color w:val="000000"/>
          <w:lang w:eastAsia="es-ES"/>
          <w14:ligatures w14:val="none"/>
        </w:rPr>
        <w:t xml:space="preserve">otro lado,  de acuerdo a la situación fáctica que se le presente a una entidad dependiendo del estado de salud del contratista, es dable traer a colación lo referente a la </w:t>
      </w:r>
      <w:r w:rsidRPr="00153367">
        <w:rPr>
          <w:rFonts w:ascii="Verdana" w:eastAsia="Times New Roman" w:hAnsi="Verdana" w:cs="Arial"/>
          <w:color w:val="000000"/>
          <w14:ligatures w14:val="none"/>
        </w:rPr>
        <w:t>estabilidad ocupacional reforzada de personas en situación de debilidad manifiesta por razones de salud</w:t>
      </w:r>
      <w:bookmarkEnd w:id="11"/>
      <w:r w:rsidRPr="00153367">
        <w:rPr>
          <w:rFonts w:ascii="Verdana" w:eastAsia="Times New Roman" w:hAnsi="Verdana" w:cs="Arial"/>
          <w:color w:val="000000"/>
          <w14:ligatures w14:val="none"/>
        </w:rPr>
        <w:t xml:space="preserve">, que </w:t>
      </w:r>
      <w:r w:rsidRPr="00153367">
        <w:rPr>
          <w:rFonts w:ascii="Verdana" w:eastAsia="Times New Roman" w:hAnsi="Verdana" w:cs="Arial"/>
          <w14:ligatures w14:val="none"/>
        </w:rPr>
        <w:t xml:space="preserve">con la expedición de la Constitución Política de 1991, el Estado colombiano reconoció su deber de brindar una protección reforzada a todas las personas que se hallen en circunstancias de debilidad manifiesta y, en particular, a las personas en situación de debilidad manifiesta por razones de salud. </w:t>
      </w:r>
    </w:p>
    <w:p w14:paraId="4CEC2A3E" w14:textId="77777777" w:rsidR="00153367" w:rsidRPr="00153367" w:rsidRDefault="00153367" w:rsidP="00153367">
      <w:pPr>
        <w:spacing w:before="100" w:beforeAutospacing="1" w:after="100" w:afterAutospacing="1" w:line="240" w:lineRule="auto"/>
        <w:ind w:left="720"/>
        <w:contextualSpacing/>
        <w:jc w:val="both"/>
        <w:rPr>
          <w:rFonts w:ascii="Verdana" w:eastAsia="Times New Roman" w:hAnsi="Verdana" w:cs="Times New Roman"/>
          <w:lang w:eastAsia="es-MX"/>
          <w14:ligatures w14:val="none"/>
        </w:rPr>
      </w:pPr>
    </w:p>
    <w:p w14:paraId="1B1D628B" w14:textId="77777777" w:rsidR="00153367" w:rsidRPr="00153367" w:rsidRDefault="00153367" w:rsidP="00153367">
      <w:pPr>
        <w:numPr>
          <w:ilvl w:val="0"/>
          <w:numId w:val="5"/>
        </w:numPr>
        <w:spacing w:before="100" w:beforeAutospacing="1" w:after="100" w:afterAutospacing="1" w:line="276" w:lineRule="auto"/>
        <w:contextualSpacing/>
        <w:jc w:val="both"/>
        <w:rPr>
          <w:rFonts w:ascii="Verdana" w:eastAsia="Times New Roman" w:hAnsi="Verdana" w:cs="Times New Roman"/>
          <w:lang w:eastAsia="es-MX"/>
          <w14:ligatures w14:val="none"/>
        </w:rPr>
      </w:pPr>
      <w:r w:rsidRPr="00153367">
        <w:rPr>
          <w:rFonts w:ascii="Verdana" w:eastAsia="Times New Roman" w:hAnsi="Verdana" w:cs="Times New Roman"/>
          <w:lang w:eastAsia="es-MX"/>
          <w14:ligatures w14:val="none"/>
        </w:rPr>
        <w:t xml:space="preserve">En ese orden de ideas, en sentencia de unificación 049 del 2 de febrero de 2017, magistrada ponente: María Victoria Calle Correa, en Sala Plena de la Corte Constitucional, se unificó su jurisprudencia sobre la protección de estabilidad laboral reforzada que deben tener las personas en condición de debilidad manifiesta por cuestiones de salud en los contratos de prestación de servicios, con fundamento en el principio de solidaridad que supone asumir como propias causas en principio ajenas, cuando el titular de ellas no puede </w:t>
      </w:r>
      <w:r w:rsidRPr="00153367">
        <w:rPr>
          <w:rFonts w:ascii="Verdana" w:eastAsia="Times New Roman" w:hAnsi="Verdana" w:cs="Times New Roman"/>
          <w:lang w:eastAsia="es-MX"/>
          <w14:ligatures w14:val="none"/>
        </w:rPr>
        <w:lastRenderedPageBreak/>
        <w:t>por razones objetivas ejercer su defensa y la protección individualmente de forma integral y en el mandato de no discriminación que prohíbe establecer tratamientos diferenciales injustificados entre dos personas o situaciones de hecho; y como en principio todas las personas se presumen iguales ante el derecho y en los derechos, cuando se pretende defender un trato distinto entre estas deben existir razones, constitucionalmente válidas, que lo justifiquen.</w:t>
      </w:r>
    </w:p>
    <w:p w14:paraId="515A360D" w14:textId="77777777" w:rsidR="00153367" w:rsidRPr="00153367" w:rsidRDefault="00153367" w:rsidP="00153367">
      <w:pPr>
        <w:spacing w:before="100" w:beforeAutospacing="1" w:after="100" w:afterAutospacing="1" w:line="276" w:lineRule="auto"/>
        <w:ind w:left="720"/>
        <w:contextualSpacing/>
        <w:jc w:val="both"/>
        <w:rPr>
          <w:rFonts w:ascii="Verdana" w:eastAsia="Times New Roman" w:hAnsi="Verdana" w:cs="Times New Roman"/>
          <w:lang w:eastAsia="es-MX"/>
          <w14:ligatures w14:val="none"/>
        </w:rPr>
      </w:pPr>
    </w:p>
    <w:p w14:paraId="0CD87C79" w14:textId="77777777" w:rsidR="00153367" w:rsidRPr="00153367" w:rsidRDefault="00153367" w:rsidP="00153367">
      <w:pPr>
        <w:numPr>
          <w:ilvl w:val="0"/>
          <w:numId w:val="5"/>
        </w:numPr>
        <w:spacing w:after="0" w:line="276" w:lineRule="auto"/>
        <w:contextualSpacing/>
        <w:jc w:val="both"/>
        <w:rPr>
          <w:rFonts w:ascii="Verdana" w:eastAsia="Times New Roman" w:hAnsi="Verdana" w:cs="Times New Roman"/>
          <w:lang w:eastAsia="es-MX"/>
          <w14:ligatures w14:val="none"/>
        </w:rPr>
      </w:pPr>
      <w:r w:rsidRPr="00153367">
        <w:rPr>
          <w:rFonts w:ascii="Verdana" w:eastAsia="Times New Roman" w:hAnsi="Verdana" w:cs="Times New Roman"/>
          <w:lang w:eastAsia="es-MX"/>
          <w14:ligatures w14:val="none"/>
        </w:rPr>
        <w:t xml:space="preserve">Ahora bien, en lo que respecta al tema de consulta, la </w:t>
      </w:r>
      <w:r w:rsidRPr="00153367">
        <w:rPr>
          <w:rFonts w:ascii="Verdana" w:eastAsia="Times New Roman" w:hAnsi="Verdana" w:cs="Arial"/>
          <w:lang w:eastAsia="es-MX"/>
          <w14:ligatures w14:val="none"/>
        </w:rPr>
        <w:t>estabilidad ocupacional reforzada de personas en situación de debilidad manifiesta por razones de salud</w:t>
      </w:r>
      <w:r w:rsidRPr="00153367">
        <w:rPr>
          <w:rFonts w:ascii="Verdana" w:eastAsia="Times New Roman" w:hAnsi="Verdana" w:cs="Times New Roman"/>
          <w:lang w:eastAsia="es-MX"/>
          <w14:ligatures w14:val="none"/>
        </w:rPr>
        <w:t xml:space="preserve">, encuentra sustento en la Ley 361 de 1997, </w:t>
      </w:r>
      <w:r w:rsidRPr="00153367">
        <w:rPr>
          <w:rFonts w:ascii="Verdana" w:eastAsia="Times New Roman" w:hAnsi="Verdana" w:cs="Arial"/>
          <w:i/>
          <w:iCs/>
          <w:lang w:eastAsia="es-MX"/>
          <w14:ligatures w14:val="none"/>
        </w:rPr>
        <w:t xml:space="preserve">“Por la cual se establecen mecanismos de integración social de las personas en situación de discapacidad y se dictan otras disposiciones”, </w:t>
      </w:r>
      <w:r w:rsidRPr="00153367">
        <w:rPr>
          <w:rFonts w:ascii="Verdana" w:eastAsia="Times New Roman" w:hAnsi="Verdana" w:cs="Times New Roman"/>
          <w:lang w:eastAsia="es-MX"/>
          <w14:ligatures w14:val="none"/>
        </w:rPr>
        <w:t xml:space="preserve">especialmente en su artículo 26 que dispuso que en ningún caso la discapacidad de una persona podrá́ ser un motivo para terminar su contrato, en los siguientes términos: </w:t>
      </w:r>
    </w:p>
    <w:p w14:paraId="682BE913" w14:textId="77777777" w:rsidR="00153367" w:rsidRPr="00153367" w:rsidRDefault="00153367" w:rsidP="00153367">
      <w:pPr>
        <w:spacing w:after="0" w:line="240" w:lineRule="auto"/>
        <w:ind w:left="720"/>
        <w:jc w:val="both"/>
        <w:rPr>
          <w:rFonts w:ascii="Verdana" w:eastAsia="Times New Roman" w:hAnsi="Verdana" w:cs="Times New Roman"/>
          <w:lang w:eastAsia="es-MX"/>
          <w14:ligatures w14:val="none"/>
        </w:rPr>
      </w:pPr>
    </w:p>
    <w:p w14:paraId="779963CD" w14:textId="77777777" w:rsidR="00153367" w:rsidRPr="00153367" w:rsidRDefault="00153367" w:rsidP="00153367">
      <w:pPr>
        <w:spacing w:after="0" w:line="240" w:lineRule="auto"/>
        <w:ind w:left="709" w:right="709"/>
        <w:jc w:val="both"/>
        <w:rPr>
          <w:rFonts w:ascii="Verdana" w:eastAsia="Times New Roman" w:hAnsi="Verdana" w:cs="Times New Roman"/>
          <w:sz w:val="21"/>
          <w:szCs w:val="21"/>
          <w:lang w:eastAsia="es-MX"/>
          <w14:ligatures w14:val="none"/>
        </w:rPr>
      </w:pPr>
      <w:r w:rsidRPr="00153367">
        <w:rPr>
          <w:rFonts w:ascii="Verdana" w:eastAsia="Times New Roman" w:hAnsi="Verdana" w:cs="Times New Roman"/>
          <w:sz w:val="21"/>
          <w:szCs w:val="21"/>
          <w:lang w:eastAsia="es-MX"/>
          <w14:ligatures w14:val="none"/>
        </w:rPr>
        <w:t xml:space="preserve">“Artículo 26. No discriminación a persona en situación de discapacidad. En ningún caso la discapacidad de una persona podrá́ ser motivo para obstaculizar una vinculación laboral, a menos que dicha discapacidad sea claramente demostrada como incompatible e insuperable en el cargo que se va a desempeñar. Así mismo, ninguna persona en situación de discapacidad podrá́ ser despedida o su contrato terminado por razón de su discapacidad, salvo que medie autorización de la oficina de Trabajo. </w:t>
      </w:r>
    </w:p>
    <w:p w14:paraId="5296B0DF" w14:textId="77777777" w:rsidR="00153367" w:rsidRPr="00153367" w:rsidRDefault="00153367" w:rsidP="00153367">
      <w:pPr>
        <w:spacing w:before="100" w:beforeAutospacing="1" w:after="100" w:afterAutospacing="1" w:line="240" w:lineRule="auto"/>
        <w:ind w:left="709" w:right="709"/>
        <w:jc w:val="both"/>
        <w:rPr>
          <w:rFonts w:ascii="Verdana" w:eastAsia="Times New Roman" w:hAnsi="Verdana" w:cs="Times New Roman"/>
          <w:sz w:val="21"/>
          <w:szCs w:val="21"/>
          <w:lang w:eastAsia="es-MX"/>
          <w14:ligatures w14:val="none"/>
        </w:rPr>
      </w:pPr>
      <w:r w:rsidRPr="00153367">
        <w:rPr>
          <w:rFonts w:ascii="Verdana" w:eastAsia="Times New Roman" w:hAnsi="Verdana" w:cs="Times New Roman"/>
          <w:sz w:val="21"/>
          <w:szCs w:val="21"/>
          <w:lang w:eastAsia="es-MX"/>
          <w14:ligatures w14:val="none"/>
        </w:rPr>
        <w:t xml:space="preserve">No obstante, quienes fueren despedidos o su contrato terminado por razón de su discapacidad, sin el cumplimiento del requisito previsto en el inciso anterior, tendrán derecho a una indemnización equivalente a ciento ochenta días del salario, sin perjuicio de las demás prestaciones e indemnizaciones a que hubiere lugar de acuerdo con el Código Sustantivo del Trabajo y demás normas que lo modifiquen, adicionen, complementen o aclaren.” </w:t>
      </w:r>
    </w:p>
    <w:p w14:paraId="7A0C4F86" w14:textId="77777777" w:rsidR="00153367" w:rsidRPr="00153367" w:rsidRDefault="00153367" w:rsidP="00153367">
      <w:pPr>
        <w:numPr>
          <w:ilvl w:val="0"/>
          <w:numId w:val="7"/>
        </w:numPr>
        <w:spacing w:after="0" w:line="276" w:lineRule="auto"/>
        <w:contextualSpacing/>
        <w:jc w:val="both"/>
        <w:rPr>
          <w:rFonts w:ascii="Verdana" w:eastAsia="Times New Roman" w:hAnsi="Verdana" w:cs="Arial"/>
          <w:lang w:eastAsia="es-MX"/>
          <w14:ligatures w14:val="none"/>
        </w:rPr>
      </w:pPr>
      <w:r w:rsidRPr="00153367">
        <w:rPr>
          <w:rFonts w:ascii="Verdana" w:eastAsia="Times New Roman" w:hAnsi="Verdana" w:cs="Arial"/>
          <w:lang w:eastAsia="es-MX"/>
          <w14:ligatures w14:val="none"/>
        </w:rPr>
        <w:t xml:space="preserve">La aplicación de la norma ibidem en los contratos prestación de servicios tiene origen </w:t>
      </w:r>
      <w:r w:rsidRPr="00153367">
        <w:rPr>
          <w:rFonts w:ascii="Verdana" w:eastAsia="Times New Roman" w:hAnsi="Verdana" w:cs="Times New Roman"/>
          <w:lang w:eastAsia="es-MX"/>
          <w14:ligatures w14:val="none"/>
        </w:rPr>
        <w:t>jurisprudencial</w:t>
      </w:r>
      <w:r w:rsidRPr="00153367">
        <w:rPr>
          <w:rFonts w:ascii="Verdana" w:eastAsia="Times New Roman" w:hAnsi="Verdana" w:cs="Arial"/>
          <w:lang w:eastAsia="es-MX"/>
          <w14:ligatures w14:val="none"/>
        </w:rPr>
        <w:t>, a través de sentencias de la Corte Constitucional como la sentencia de Tutela 1210 del 5 de diciembre de 2008, magistrada ponente Clara Inés Vargas Hernández, que previó la posibilidad de que se prediquen ciertas garantías de la relación laboral a los contratos de prestación de servicios tales como, el principio de estabilidad laboral</w:t>
      </w:r>
      <w:r w:rsidRPr="00153367">
        <w:rPr>
          <w:rFonts w:ascii="Verdana" w:eastAsia="Times New Roman" w:hAnsi="Verdana" w:cs="Arial"/>
          <w:vertAlign w:val="superscript"/>
          <w:lang w:eastAsia="es-MX"/>
          <w14:ligatures w14:val="none"/>
        </w:rPr>
        <w:footnoteReference w:id="11"/>
      </w:r>
      <w:r w:rsidRPr="00153367">
        <w:rPr>
          <w:rFonts w:ascii="Verdana" w:eastAsia="Times New Roman" w:hAnsi="Verdana" w:cs="Arial"/>
          <w:lang w:eastAsia="es-MX"/>
          <w14:ligatures w14:val="none"/>
        </w:rPr>
        <w:t>.</w:t>
      </w:r>
    </w:p>
    <w:p w14:paraId="4553B2D4" w14:textId="77777777" w:rsidR="00153367" w:rsidRPr="00153367" w:rsidRDefault="00153367" w:rsidP="00153367">
      <w:pPr>
        <w:numPr>
          <w:ilvl w:val="0"/>
          <w:numId w:val="7"/>
        </w:numPr>
        <w:spacing w:after="0" w:line="276" w:lineRule="auto"/>
        <w:contextualSpacing/>
        <w:jc w:val="both"/>
        <w:rPr>
          <w:rFonts w:ascii="Verdana" w:eastAsia="Times New Roman" w:hAnsi="Verdana" w:cs="Arial"/>
          <w:lang w:eastAsia="es-MX"/>
          <w14:ligatures w14:val="none"/>
        </w:rPr>
      </w:pPr>
      <w:r w:rsidRPr="00153367">
        <w:rPr>
          <w:rFonts w:ascii="Verdana" w:eastAsia="Times New Roman" w:hAnsi="Verdana" w:cs="Arial"/>
          <w:lang w:eastAsia="es-MX"/>
          <w14:ligatures w14:val="none"/>
        </w:rPr>
        <w:lastRenderedPageBreak/>
        <w:t>Así mismo, en la sentencia T-040 de 2016, Magistrado ponente Alejandro Linares Cantillo, protegió́ el derecho a la estabilidad laboral reforzada a una persona que se le terminó el contrato de prestación de servicios, mientras estaba afectado en su estado de salud por encontrarse en una situación de debilidad manifiesta</w:t>
      </w:r>
      <w:r w:rsidRPr="00153367">
        <w:rPr>
          <w:rFonts w:ascii="Verdana" w:eastAsia="Times New Roman" w:hAnsi="Verdana" w:cs="Arial"/>
          <w:vertAlign w:val="superscript"/>
          <w:lang w:eastAsia="es-MX"/>
          <w14:ligatures w14:val="none"/>
        </w:rPr>
        <w:footnoteReference w:id="12"/>
      </w:r>
      <w:r w:rsidRPr="00153367">
        <w:rPr>
          <w:rFonts w:ascii="Verdana" w:eastAsia="Times New Roman" w:hAnsi="Verdana" w:cs="Arial"/>
          <w:lang w:eastAsia="es-MX"/>
          <w14:ligatures w14:val="none"/>
        </w:rPr>
        <w:t xml:space="preserve">. De igual manera, en sentencia de unificación SU-380 del 3 de noviembre de 2021 la Corte Constitucional dispuso que: </w:t>
      </w:r>
    </w:p>
    <w:p w14:paraId="37003F44" w14:textId="77777777" w:rsidR="00153367" w:rsidRPr="00153367" w:rsidRDefault="00153367" w:rsidP="00153367">
      <w:pPr>
        <w:spacing w:after="0" w:line="276" w:lineRule="auto"/>
        <w:ind w:left="720"/>
        <w:contextualSpacing/>
        <w:jc w:val="both"/>
        <w:rPr>
          <w:rFonts w:ascii="Verdana" w:eastAsia="Times New Roman" w:hAnsi="Verdana" w:cs="Arial"/>
          <w:lang w:eastAsia="es-MX"/>
          <w14:ligatures w14:val="none"/>
        </w:rPr>
      </w:pPr>
    </w:p>
    <w:p w14:paraId="1F87DBC9" w14:textId="77777777" w:rsidR="00153367" w:rsidRPr="00153367" w:rsidRDefault="00153367" w:rsidP="00153367">
      <w:pPr>
        <w:spacing w:after="0" w:line="240" w:lineRule="auto"/>
        <w:ind w:left="709" w:right="709"/>
        <w:jc w:val="both"/>
        <w:rPr>
          <w:rFonts w:ascii="Verdana" w:eastAsia="Times New Roman" w:hAnsi="Verdana" w:cs="Times New Roman"/>
          <w:sz w:val="21"/>
          <w:szCs w:val="21"/>
          <w:lang w:eastAsia="es-MX"/>
          <w14:ligatures w14:val="none"/>
        </w:rPr>
      </w:pPr>
      <w:r w:rsidRPr="00153367">
        <w:rPr>
          <w:rFonts w:ascii="Verdana" w:eastAsia="Times New Roman" w:hAnsi="Verdana" w:cs="Times New Roman"/>
          <w:sz w:val="21"/>
          <w:szCs w:val="21"/>
          <w:lang w:eastAsia="es-MX"/>
          <w14:ligatures w14:val="none"/>
        </w:rPr>
        <w:t>“(i) la estabilidad laboral reforzada tiene fundamento constitucional en los mandatos de no discriminación, solidaridad social, integración de las personas en situación de discapacidad y estabilidad en el empleo; (</w:t>
      </w:r>
      <w:proofErr w:type="spellStart"/>
      <w:r w:rsidRPr="00153367">
        <w:rPr>
          <w:rFonts w:ascii="Verdana" w:eastAsia="Times New Roman" w:hAnsi="Verdana" w:cs="Times New Roman"/>
          <w:sz w:val="21"/>
          <w:szCs w:val="21"/>
          <w:lang w:eastAsia="es-MX"/>
          <w14:ligatures w14:val="none"/>
        </w:rPr>
        <w:t>ii</w:t>
      </w:r>
      <w:proofErr w:type="spellEnd"/>
      <w:r w:rsidRPr="00153367">
        <w:rPr>
          <w:rFonts w:ascii="Verdana" w:eastAsia="Times New Roman" w:hAnsi="Verdana" w:cs="Times New Roman"/>
          <w:sz w:val="21"/>
          <w:szCs w:val="21"/>
          <w:lang w:eastAsia="es-MX"/>
          <w14:ligatures w14:val="none"/>
        </w:rPr>
        <w:t>) este derecho cobija tanto a personas con una discapacidad calificada por los órganos competentes, como a aquellas que enfrentan una situación de debilidad manifiesta por razones de salud que repercuta intensamente en el desempeño de sus funciones; (</w:t>
      </w:r>
      <w:proofErr w:type="spellStart"/>
      <w:r w:rsidRPr="00153367">
        <w:rPr>
          <w:rFonts w:ascii="Verdana" w:eastAsia="Times New Roman" w:hAnsi="Verdana" w:cs="Times New Roman"/>
          <w:sz w:val="21"/>
          <w:szCs w:val="21"/>
          <w:lang w:eastAsia="es-MX"/>
          <w14:ligatures w14:val="none"/>
        </w:rPr>
        <w:t>iii</w:t>
      </w:r>
      <w:proofErr w:type="spellEnd"/>
      <w:r w:rsidRPr="00153367">
        <w:rPr>
          <w:rFonts w:ascii="Verdana" w:eastAsia="Times New Roman" w:hAnsi="Verdana" w:cs="Times New Roman"/>
          <w:sz w:val="21"/>
          <w:szCs w:val="21"/>
          <w:lang w:eastAsia="es-MX"/>
          <w14:ligatures w14:val="none"/>
        </w:rPr>
        <w:t>) la violación de la estabilidad laboral reforzada incluye (a) la presunción de un móvil discriminatorio siempre que el despido se dé sin autorización de la Oficina o inspección del trabajo; (b) una valoración razonada de los distintos elementos a partir de los cuales es posible inferir el conocimiento del empleador y que, en principio, operan para comprobar la presunción de despido injusto y, excepcionalmente, permiten desvirtuarla; (c) en el segundo evento, corresponde al empleador asumir la carga de demostrar la existencia de una causa justa para la terminación del vínculo. Por último, (</w:t>
      </w:r>
      <w:proofErr w:type="spellStart"/>
      <w:r w:rsidRPr="00153367">
        <w:rPr>
          <w:rFonts w:ascii="Verdana" w:eastAsia="Times New Roman" w:hAnsi="Verdana" w:cs="Times New Roman"/>
          <w:sz w:val="21"/>
          <w:szCs w:val="21"/>
          <w:lang w:eastAsia="es-MX"/>
          <w14:ligatures w14:val="none"/>
        </w:rPr>
        <w:t>iv</w:t>
      </w:r>
      <w:proofErr w:type="spellEnd"/>
      <w:r w:rsidRPr="00153367">
        <w:rPr>
          <w:rFonts w:ascii="Verdana" w:eastAsia="Times New Roman" w:hAnsi="Verdana" w:cs="Times New Roman"/>
          <w:sz w:val="21"/>
          <w:szCs w:val="21"/>
          <w:lang w:eastAsia="es-MX"/>
          <w14:ligatures w14:val="none"/>
        </w:rPr>
        <w:t>) el despido en estas circunstancias es ineficaz y tiene como consecuencia, (a) la ineficacia de la desvinculación, (b) el pago de una indemnización equivalente a 180 días de salario y (c) el pago de los salarios, prestaciones y emolumentos dejados de percibir.”</w:t>
      </w:r>
    </w:p>
    <w:p w14:paraId="3A077DD2" w14:textId="77777777" w:rsidR="00153367" w:rsidRPr="00153367" w:rsidRDefault="00153367" w:rsidP="00153367">
      <w:pPr>
        <w:spacing w:after="0" w:line="240" w:lineRule="auto"/>
        <w:ind w:left="709" w:right="709"/>
        <w:jc w:val="both"/>
        <w:rPr>
          <w:rFonts w:ascii="Verdana" w:eastAsia="Times New Roman" w:hAnsi="Verdana" w:cs="Times New Roman"/>
          <w:sz w:val="21"/>
          <w:szCs w:val="21"/>
          <w:lang w:eastAsia="es-MX"/>
          <w14:ligatures w14:val="none"/>
        </w:rPr>
      </w:pPr>
    </w:p>
    <w:p w14:paraId="4C72A5EC" w14:textId="77777777" w:rsidR="00153367" w:rsidRPr="00153367" w:rsidRDefault="00153367" w:rsidP="00153367">
      <w:pPr>
        <w:numPr>
          <w:ilvl w:val="0"/>
          <w:numId w:val="7"/>
        </w:numPr>
        <w:spacing w:after="0" w:line="276" w:lineRule="auto"/>
        <w:jc w:val="both"/>
        <w:rPr>
          <w:rFonts w:ascii="Verdana" w:eastAsia="Times New Roman" w:hAnsi="Verdana" w:cs="Arial"/>
          <w:lang w:eastAsia="es-MX"/>
          <w14:ligatures w14:val="none"/>
        </w:rPr>
      </w:pPr>
      <w:r w:rsidRPr="00153367">
        <w:rPr>
          <w:rFonts w:ascii="Verdana" w:eastAsia="Times New Roman" w:hAnsi="Verdana" w:cs="Arial"/>
          <w:lang w:eastAsia="es-MX"/>
          <w14:ligatures w14:val="none"/>
        </w:rPr>
        <w:t xml:space="preserve">De esta manera, nuestro ordenamiento jurídico actual contempla que a una persona en debilidad manifiesta por razones de salud no se le podrá́ terminar su contrato de prestación de servicios por razón de su discapacidad o enfermedad, salvo que medie autorización de la oficina de Trabajo, teniendo </w:t>
      </w:r>
      <w:r w:rsidRPr="00153367">
        <w:rPr>
          <w:rFonts w:ascii="Verdana" w:eastAsia="Times New Roman" w:hAnsi="Verdana" w:cs="Arial"/>
          <w:lang w:eastAsia="es-MX"/>
          <w14:ligatures w14:val="none"/>
        </w:rPr>
        <w:lastRenderedPageBreak/>
        <w:t>en cuenta que en dichos casos la presunción de discriminación debe ser desvirtuada por la entidad contratante.</w:t>
      </w:r>
    </w:p>
    <w:p w14:paraId="65543742" w14:textId="77777777" w:rsidR="00153367" w:rsidRPr="00153367" w:rsidRDefault="00153367" w:rsidP="00153367">
      <w:pPr>
        <w:spacing w:after="0" w:line="276" w:lineRule="auto"/>
        <w:ind w:left="720"/>
        <w:jc w:val="both"/>
        <w:rPr>
          <w:rFonts w:ascii="Verdana" w:eastAsia="Times New Roman" w:hAnsi="Verdana" w:cs="Arial"/>
          <w:lang w:eastAsia="es-MX"/>
          <w14:ligatures w14:val="none"/>
        </w:rPr>
      </w:pPr>
    </w:p>
    <w:p w14:paraId="6AD8C7B9" w14:textId="77777777" w:rsidR="00153367" w:rsidRPr="00153367" w:rsidRDefault="00153367" w:rsidP="00153367">
      <w:pPr>
        <w:numPr>
          <w:ilvl w:val="0"/>
          <w:numId w:val="7"/>
        </w:numPr>
        <w:spacing w:after="0" w:line="276" w:lineRule="auto"/>
        <w:jc w:val="both"/>
        <w:rPr>
          <w:rFonts w:ascii="Verdana" w:eastAsia="Times New Roman" w:hAnsi="Verdana" w:cs="Arial"/>
          <w:lang w:eastAsia="es-MX"/>
          <w14:ligatures w14:val="none"/>
        </w:rPr>
      </w:pPr>
      <w:r w:rsidRPr="00153367">
        <w:rPr>
          <w:rFonts w:ascii="Verdana" w:eastAsia="Times New Roman" w:hAnsi="Verdana" w:cs="Arial"/>
          <w:lang w:eastAsia="es-MX"/>
          <w14:ligatures w14:val="none"/>
        </w:rPr>
        <w:t xml:space="preserve">En conclusión, esta Agencia ratifica lo señalado en Concepto C-135 de 2023, en donde se indica que “si la Entidad Estatal contratante conoce de la situación de debilidad manifiesta del contratista por razones de su salud y subsiste la causa del contrato, es decir la necesidad que originó la celebración del contrato prestación de servicios sigue existiendo para la Entidad Estatal, no podrá́ dar por terminado el vínculo contractual, sin que medie permiso del inspector del trabajo, aun cuando se haya configurado su terminación por cumplimiento de plazo contractual. </w:t>
      </w:r>
    </w:p>
    <w:p w14:paraId="197301DD" w14:textId="77777777" w:rsidR="00153367" w:rsidRPr="00153367" w:rsidRDefault="00153367" w:rsidP="00153367">
      <w:pPr>
        <w:spacing w:after="0" w:line="276" w:lineRule="auto"/>
        <w:ind w:left="720"/>
        <w:jc w:val="both"/>
        <w:rPr>
          <w:rFonts w:ascii="Verdana" w:eastAsia="Times New Roman" w:hAnsi="Verdana" w:cs="Arial"/>
          <w:lang w:eastAsia="es-MX"/>
          <w14:ligatures w14:val="none"/>
        </w:rPr>
      </w:pPr>
    </w:p>
    <w:p w14:paraId="6C1B4649" w14:textId="77777777" w:rsidR="00153367" w:rsidRPr="00153367" w:rsidRDefault="00153367" w:rsidP="00153367">
      <w:pPr>
        <w:spacing w:after="0" w:line="276" w:lineRule="auto"/>
        <w:ind w:left="720"/>
        <w:jc w:val="both"/>
        <w:rPr>
          <w:rFonts w:ascii="Verdana" w:eastAsia="Times New Roman" w:hAnsi="Verdana" w:cs="Arial"/>
          <w:lang w:eastAsia="es-MX"/>
          <w14:ligatures w14:val="none"/>
        </w:rPr>
      </w:pPr>
      <w:r w:rsidRPr="00153367">
        <w:rPr>
          <w:rFonts w:ascii="Verdana" w:eastAsia="Times New Roman" w:hAnsi="Verdana" w:cs="Arial"/>
          <w:lang w:eastAsia="es-MX"/>
          <w14:ligatures w14:val="none"/>
        </w:rPr>
        <w:t xml:space="preserve">El no acatamiento de dichas directrices puede dar a lugar a que un juez ordene, previo estudio de las particularidades del caso en concreto, la procedencia de cada una de las siguientes medidas de protección: i) La renovación de la relación contractual; </w:t>
      </w:r>
      <w:proofErr w:type="spellStart"/>
      <w:r w:rsidRPr="00153367">
        <w:rPr>
          <w:rFonts w:ascii="Verdana" w:eastAsia="Times New Roman" w:hAnsi="Verdana" w:cs="Arial"/>
          <w:lang w:eastAsia="es-MX"/>
          <w14:ligatures w14:val="none"/>
        </w:rPr>
        <w:t>ii</w:t>
      </w:r>
      <w:proofErr w:type="spellEnd"/>
      <w:r w:rsidRPr="00153367">
        <w:rPr>
          <w:rFonts w:ascii="Verdana" w:eastAsia="Times New Roman" w:hAnsi="Verdana" w:cs="Arial"/>
          <w:lang w:eastAsia="es-MX"/>
          <w14:ligatures w14:val="none"/>
        </w:rPr>
        <w:t xml:space="preserve">) El pago de los honorarios dejados de percibir desde la fecha de no renovación del contrato, hasta la renovación de este; y, </w:t>
      </w:r>
      <w:proofErr w:type="spellStart"/>
      <w:r w:rsidRPr="00153367">
        <w:rPr>
          <w:rFonts w:ascii="Verdana" w:eastAsia="Times New Roman" w:hAnsi="Verdana" w:cs="Arial"/>
          <w:lang w:eastAsia="es-MX"/>
          <w14:ligatures w14:val="none"/>
        </w:rPr>
        <w:t>iii</w:t>
      </w:r>
      <w:proofErr w:type="spellEnd"/>
      <w:r w:rsidRPr="00153367">
        <w:rPr>
          <w:rFonts w:ascii="Verdana" w:eastAsia="Times New Roman" w:hAnsi="Verdana" w:cs="Arial"/>
          <w:lang w:eastAsia="es-MX"/>
          <w14:ligatures w14:val="none"/>
        </w:rPr>
        <w:t>) El pago por concepto de la indemnización por despido previsto en el artículo 26 de la Ley 361 de 1997”.</w:t>
      </w:r>
    </w:p>
    <w:p w14:paraId="6D6457E7" w14:textId="77777777" w:rsidR="00153367" w:rsidRPr="00153367" w:rsidRDefault="00153367" w:rsidP="00153367">
      <w:pPr>
        <w:spacing w:after="0" w:line="276" w:lineRule="auto"/>
        <w:ind w:left="720"/>
        <w:jc w:val="both"/>
        <w:rPr>
          <w:rFonts w:ascii="Verdana" w:eastAsia="Times New Roman" w:hAnsi="Verdana" w:cs="Arial"/>
          <w:lang w:eastAsia="es-MX"/>
          <w14:ligatures w14:val="none"/>
        </w:rPr>
      </w:pPr>
    </w:p>
    <w:p w14:paraId="3D8D1CA6" w14:textId="77777777" w:rsidR="00153367" w:rsidRPr="00153367" w:rsidRDefault="00153367" w:rsidP="00153367">
      <w:pPr>
        <w:tabs>
          <w:tab w:val="left" w:pos="142"/>
          <w:tab w:val="left" w:pos="284"/>
        </w:tabs>
        <w:spacing w:after="0" w:line="276" w:lineRule="auto"/>
        <w:jc w:val="both"/>
        <w:rPr>
          <w:rFonts w:ascii="Verdana" w:eastAsia="Times New Roman" w:hAnsi="Verdana" w:cs="Century Gothic"/>
          <w:b/>
          <w:bCs/>
          <w14:ligatures w14:val="none"/>
        </w:rPr>
      </w:pPr>
      <w:r w:rsidRPr="00153367">
        <w:rPr>
          <w:rFonts w:ascii="Verdana" w:eastAsia="Times New Roman" w:hAnsi="Verdana" w:cs="Century Gothic"/>
          <w:b/>
          <w:bCs/>
          <w14:ligatures w14:val="none"/>
        </w:rPr>
        <w:t>4. Referencias normativas, jurisprudenciales y otras fuentes:</w:t>
      </w:r>
    </w:p>
    <w:p w14:paraId="6990DD26"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53367" w:rsidRPr="00153367" w14:paraId="030C194B" w14:textId="77777777" w:rsidTr="005E5D32">
        <w:trPr>
          <w:trHeight w:val="870"/>
        </w:trPr>
        <w:tc>
          <w:tcPr>
            <w:tcW w:w="8647" w:type="dxa"/>
          </w:tcPr>
          <w:p w14:paraId="7580FAA1" w14:textId="77777777" w:rsidR="00153367" w:rsidRPr="00153367" w:rsidRDefault="00153367" w:rsidP="00153367">
            <w:pPr>
              <w:numPr>
                <w:ilvl w:val="0"/>
                <w:numId w:val="4"/>
              </w:numPr>
              <w:spacing w:line="278" w:lineRule="auto"/>
              <w:contextualSpacing/>
              <w:rPr>
                <w:rFonts w:ascii="Verdana" w:hAnsi="Verdana"/>
              </w:rPr>
            </w:pPr>
            <w:r w:rsidRPr="00153367">
              <w:rPr>
                <w:rFonts w:ascii="Verdana" w:hAnsi="Verdana" w:cs="Arial"/>
                <w:color w:val="000000"/>
              </w:rPr>
              <w:t>Artículo 32, de la Ley 80 de 1993</w:t>
            </w:r>
          </w:p>
          <w:p w14:paraId="701BEE0B" w14:textId="77777777" w:rsidR="00153367" w:rsidRPr="00153367" w:rsidRDefault="00153367" w:rsidP="00153367">
            <w:pPr>
              <w:numPr>
                <w:ilvl w:val="0"/>
                <w:numId w:val="4"/>
              </w:numPr>
              <w:spacing w:line="278" w:lineRule="auto"/>
              <w:contextualSpacing/>
              <w:rPr>
                <w:rFonts w:ascii="Verdana" w:hAnsi="Verdana"/>
              </w:rPr>
            </w:pPr>
            <w:r w:rsidRPr="00153367">
              <w:rPr>
                <w:rFonts w:ascii="Verdana" w:hAnsi="Verdana" w:cs="Arial"/>
                <w:color w:val="000000"/>
              </w:rPr>
              <w:t>Numeral 4 del artículo 2, de la Ley 1150 de 2007</w:t>
            </w:r>
          </w:p>
          <w:p w14:paraId="7A880A10" w14:textId="77777777" w:rsidR="00153367" w:rsidRPr="00153367" w:rsidRDefault="00153367" w:rsidP="00153367">
            <w:pPr>
              <w:numPr>
                <w:ilvl w:val="0"/>
                <w:numId w:val="4"/>
              </w:numPr>
              <w:spacing w:line="278" w:lineRule="auto"/>
              <w:contextualSpacing/>
              <w:rPr>
                <w:rFonts w:ascii="Verdana" w:hAnsi="Verdana"/>
              </w:rPr>
            </w:pPr>
            <w:r w:rsidRPr="00153367">
              <w:rPr>
                <w:rFonts w:ascii="Verdana" w:hAnsi="Verdana" w:cs="Arial"/>
                <w:color w:val="000000"/>
              </w:rPr>
              <w:t>Artículo 22 y 23 del Código Sustantivo del Trabajo</w:t>
            </w:r>
          </w:p>
          <w:p w14:paraId="4FF70192" w14:textId="77777777" w:rsidR="00153367" w:rsidRPr="00153367" w:rsidRDefault="00153367" w:rsidP="00153367">
            <w:pPr>
              <w:numPr>
                <w:ilvl w:val="0"/>
                <w:numId w:val="4"/>
              </w:numPr>
              <w:spacing w:line="278" w:lineRule="auto"/>
              <w:contextualSpacing/>
              <w:rPr>
                <w:rFonts w:ascii="Verdana" w:hAnsi="Verdana"/>
              </w:rPr>
            </w:pPr>
            <w:r w:rsidRPr="00153367">
              <w:rPr>
                <w:rFonts w:ascii="Verdana" w:hAnsi="Verdana" w:cs="Arial"/>
                <w:color w:val="000000"/>
              </w:rPr>
              <w:t xml:space="preserve">Artículo 26 de la </w:t>
            </w:r>
            <w:r w:rsidRPr="00153367">
              <w:rPr>
                <w:rFonts w:ascii="Verdana" w:hAnsi="Verdana"/>
              </w:rPr>
              <w:t>Ley 361 de 1997</w:t>
            </w:r>
          </w:p>
          <w:p w14:paraId="52041E52" w14:textId="77777777" w:rsidR="00153367" w:rsidRPr="00153367" w:rsidRDefault="00153367" w:rsidP="00153367">
            <w:pPr>
              <w:numPr>
                <w:ilvl w:val="0"/>
                <w:numId w:val="4"/>
              </w:numPr>
              <w:spacing w:line="278" w:lineRule="auto"/>
              <w:contextualSpacing/>
              <w:rPr>
                <w:rFonts w:ascii="Verdana" w:hAnsi="Verdana"/>
              </w:rPr>
            </w:pPr>
            <w:r w:rsidRPr="00153367">
              <w:rPr>
                <w:rFonts w:ascii="Verdana" w:hAnsi="Verdana" w:cs="Arial"/>
              </w:rPr>
              <w:t>Corte Constitucional, sentencia de unificación SU-380 del 3 de noviembre de 2021.</w:t>
            </w:r>
          </w:p>
        </w:tc>
      </w:tr>
    </w:tbl>
    <w:p w14:paraId="0232FC23"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p>
    <w:p w14:paraId="78FF6C6F" w14:textId="77777777" w:rsidR="00153367" w:rsidRPr="00153367" w:rsidRDefault="00153367" w:rsidP="00153367">
      <w:pPr>
        <w:tabs>
          <w:tab w:val="left" w:pos="142"/>
          <w:tab w:val="left" w:pos="284"/>
        </w:tabs>
        <w:spacing w:after="0" w:line="276" w:lineRule="auto"/>
        <w:jc w:val="both"/>
        <w:rPr>
          <w:rFonts w:ascii="Verdana" w:eastAsia="Times New Roman" w:hAnsi="Verdana" w:cs="Century Gothic"/>
          <w:b/>
          <w:bCs/>
          <w14:ligatures w14:val="none"/>
        </w:rPr>
      </w:pPr>
      <w:r w:rsidRPr="00153367">
        <w:rPr>
          <w:rFonts w:ascii="Verdana" w:eastAsia="Times New Roman" w:hAnsi="Verdana" w:cs="Century Gothic"/>
          <w:b/>
          <w:bCs/>
          <w14:ligatures w14:val="none"/>
        </w:rPr>
        <w:t>5. Doctrina de la Agencia Nacional de Contratación Pública:</w:t>
      </w:r>
    </w:p>
    <w:p w14:paraId="79EFC51E"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p>
    <w:p w14:paraId="7E6A10B2" w14:textId="77777777" w:rsidR="00153367" w:rsidRPr="00153367" w:rsidRDefault="00153367" w:rsidP="00153367">
      <w:pPr>
        <w:spacing w:after="0" w:line="276" w:lineRule="auto"/>
        <w:jc w:val="both"/>
        <w:rPr>
          <w:rFonts w:ascii="Verdana" w:eastAsia="Times New Roman" w:hAnsi="Verdana" w:cs="Arial"/>
          <w14:ligatures w14:val="none"/>
        </w:rPr>
      </w:pPr>
      <w:r w:rsidRPr="00153367">
        <w:rPr>
          <w:rFonts w:ascii="Verdana" w:eastAsia="Times New Roman" w:hAnsi="Verdana" w:cs="Arial"/>
          <w:color w:val="000000"/>
          <w14:ligatures w14:val="none"/>
        </w:rPr>
        <w:t>La Agencia Nacional de Contratación Pública – Colombia Compra Eficiente se pronunció sobre</w:t>
      </w:r>
      <w:r w:rsidRPr="00153367">
        <w:rPr>
          <w:rFonts w:ascii="Verdana" w:eastAsia="Times New Roman" w:hAnsi="Verdana" w:cs="Arial"/>
          <w14:ligatures w14:val="none"/>
        </w:rPr>
        <w:t xml:space="preserve"> los contratos prestación de servicios en los conceptos 4201912000006026 de 1° de octubre de 2019, C–047 del 18 de febrero de 2020</w:t>
      </w:r>
      <w:r w:rsidRPr="00153367">
        <w:rPr>
          <w:rFonts w:ascii="Verdana" w:eastAsia="Times New Roman" w:hAnsi="Verdana" w:cs="Arial"/>
          <w:noProof/>
          <w14:ligatures w14:val="none"/>
        </w:rPr>
        <w:t xml:space="preserve">, </w:t>
      </w:r>
      <w:r w:rsidRPr="00153367">
        <w:rPr>
          <w:rFonts w:ascii="Verdana" w:eastAsia="Times New Roman" w:hAnsi="Verdana" w:cs="Arial"/>
          <w14:ligatures w14:val="none"/>
        </w:rPr>
        <w:t>C–071 del 4 de marzo de 2020,</w:t>
      </w:r>
      <w:r w:rsidRPr="00153367">
        <w:rPr>
          <w:rFonts w:ascii="Verdana" w:eastAsia="Times New Roman" w:hAnsi="Verdana" w:cs="Arial"/>
          <w:noProof/>
          <w14:ligatures w14:val="none"/>
        </w:rPr>
        <w:t xml:space="preserve"> </w:t>
      </w:r>
      <w:r w:rsidRPr="00153367">
        <w:rPr>
          <w:rFonts w:ascii="Verdana" w:eastAsia="Times New Roman" w:hAnsi="Verdana" w:cs="Arial"/>
          <w14:ligatures w14:val="none"/>
        </w:rPr>
        <w:t xml:space="preserve">C–188 del 13 de abril de 2020, C–005, 006, 018 y 138 del 11 de mayo de 2020, </w:t>
      </w:r>
      <w:r w:rsidRPr="00153367">
        <w:rPr>
          <w:rFonts w:ascii="Verdana" w:eastAsia="Times New Roman" w:hAnsi="Verdana" w:cs="Arial"/>
          <w:noProof/>
          <w14:ligatures w14:val="none"/>
        </w:rPr>
        <w:t>C</w:t>
      </w:r>
      <w:r w:rsidRPr="00153367">
        <w:rPr>
          <w:rFonts w:ascii="Verdana" w:eastAsia="Times New Roman" w:hAnsi="Verdana" w:cs="Arial"/>
          <w14:ligatures w14:val="none"/>
        </w:rPr>
        <w:t>–</w:t>
      </w:r>
      <w:r w:rsidRPr="00153367">
        <w:rPr>
          <w:rFonts w:ascii="Verdana" w:eastAsia="Times New Roman" w:hAnsi="Verdana" w:cs="Arial"/>
          <w:noProof/>
          <w14:ligatures w14:val="none"/>
        </w:rPr>
        <w:t>053, 175, 255, 282, 293 y 320 del 12 de mayo de 2020, C</w:t>
      </w:r>
      <w:r w:rsidRPr="00153367">
        <w:rPr>
          <w:rFonts w:ascii="Verdana" w:eastAsia="Times New Roman" w:hAnsi="Verdana" w:cs="Arial"/>
          <w14:ligatures w14:val="none"/>
        </w:rPr>
        <w:t>–</w:t>
      </w:r>
      <w:r w:rsidRPr="00153367">
        <w:rPr>
          <w:rFonts w:ascii="Verdana" w:eastAsia="Times New Roman" w:hAnsi="Verdana" w:cs="Arial"/>
          <w:noProof/>
          <w14:ligatures w14:val="none"/>
        </w:rPr>
        <w:t>288 del 27 de mayo de 2020, C</w:t>
      </w:r>
      <w:r w:rsidRPr="00153367">
        <w:rPr>
          <w:rFonts w:ascii="Verdana" w:eastAsia="Times New Roman" w:hAnsi="Verdana" w:cs="Arial"/>
          <w14:ligatures w14:val="none"/>
        </w:rPr>
        <w:t>–</w:t>
      </w:r>
      <w:r w:rsidRPr="00153367">
        <w:rPr>
          <w:rFonts w:ascii="Verdana" w:eastAsia="Times New Roman" w:hAnsi="Verdana" w:cs="Arial"/>
          <w:noProof/>
          <w14:ligatures w14:val="none"/>
        </w:rPr>
        <w:t>345 del 23 de junio de 2020, C</w:t>
      </w:r>
      <w:r w:rsidRPr="00153367">
        <w:rPr>
          <w:rFonts w:ascii="Verdana" w:eastAsia="Times New Roman" w:hAnsi="Verdana" w:cs="Arial"/>
          <w14:ligatures w14:val="none"/>
        </w:rPr>
        <w:t>–</w:t>
      </w:r>
      <w:r w:rsidRPr="00153367">
        <w:rPr>
          <w:rFonts w:ascii="Verdana" w:eastAsia="Times New Roman" w:hAnsi="Verdana" w:cs="Arial"/>
          <w:noProof/>
          <w14:ligatures w14:val="none"/>
        </w:rPr>
        <w:t>484 del 6 de agosto de 2020, C</w:t>
      </w:r>
      <w:r w:rsidRPr="00153367">
        <w:rPr>
          <w:rFonts w:ascii="Verdana" w:eastAsia="Times New Roman" w:hAnsi="Verdana" w:cs="Arial"/>
          <w14:ligatures w14:val="none"/>
        </w:rPr>
        <w:t>–</w:t>
      </w:r>
      <w:r w:rsidRPr="00153367">
        <w:rPr>
          <w:rFonts w:ascii="Verdana" w:eastAsia="Times New Roman" w:hAnsi="Verdana" w:cs="Arial"/>
          <w:noProof/>
          <w14:ligatures w14:val="none"/>
        </w:rPr>
        <w:t xml:space="preserve">608 del 1 de octubre de 2020, C-145 del 8 de abril del 2021, C-491 del 14 de septiembre de 2021, C-517 del 30 de septiembre de 2021, C – 654 de </w:t>
      </w:r>
      <w:r w:rsidRPr="00153367">
        <w:rPr>
          <w:rFonts w:ascii="Verdana" w:eastAsia="Times New Roman" w:hAnsi="Verdana" w:cs="Arial"/>
          <w:noProof/>
          <w14:ligatures w14:val="none"/>
        </w:rPr>
        <w:lastRenderedPageBreak/>
        <w:t>22 de noveimbre de</w:t>
      </w:r>
      <w:r w:rsidRPr="00153367">
        <w:rPr>
          <w:rFonts w:ascii="Verdana" w:eastAsia="Times New Roman" w:hAnsi="Verdana" w:cs="Arial"/>
          <w14:ligatures w14:val="none"/>
        </w:rPr>
        <w:t xml:space="preserve">, C-181 del 7 de abril de 2022, C-773 del 17 de noviembre de 2022, C- 953 del 25 de enero de 2023 y C-966 del 1 de febrero de 2023. Por su parte, </w:t>
      </w:r>
      <w:r w:rsidRPr="00153367">
        <w:rPr>
          <w:rFonts w:ascii="Verdana" w:eastAsia="Yu Gothic UI Semibold" w:hAnsi="Verdana" w:cs="Arial"/>
          <w14:ligatures w14:val="none"/>
        </w:rPr>
        <w:t xml:space="preserve">sobre la estabilidad ocupacional reforzada esta Agencia ha emitido los siguientes conceptos: 2201913000006142 del 22 de agosto de 2019, </w:t>
      </w:r>
      <w:r w:rsidRPr="00153367">
        <w:rPr>
          <w:rFonts w:ascii="Verdana" w:eastAsia="Times New Roman" w:hAnsi="Verdana" w:cs="Arial"/>
          <w14:ligatures w14:val="none"/>
        </w:rPr>
        <w:t xml:space="preserve">2201913000009150 del 11 de diciembre de 2019, 2201913000009571 del 24 de diciembre de 2019, </w:t>
      </w:r>
      <w:r w:rsidRPr="00153367">
        <w:rPr>
          <w:rFonts w:ascii="Verdana" w:eastAsia="Yu Gothic UI Semibold" w:hAnsi="Verdana" w:cs="Arial"/>
          <w:shd w:val="clear" w:color="auto" w:fill="FFFFFF"/>
          <w14:ligatures w14:val="none"/>
        </w:rPr>
        <w:t>C-712 del 7 de diciembre de 2022, C-789 del 22 de noviembre de 2022, C-920 del 14 de febrero de 2023, C-031 del 17 de marzo de 2023</w:t>
      </w:r>
      <w:r w:rsidRPr="00153367">
        <w:rPr>
          <w:rFonts w:ascii="Verdana" w:eastAsia="Times New Roman" w:hAnsi="Verdana" w:cs="Arial"/>
          <w14:ligatures w14:val="none"/>
        </w:rPr>
        <w:t xml:space="preserve"> y C-414 del 11 de septiembre de 2024, entre otros. Estos y otros se encuentran disponibles para consulta en el Sistema de relatoría de la Agencia, al cual puede accederse a través del siguiente enlace: </w:t>
      </w:r>
      <w:hyperlink r:id="rId11" w:history="1">
        <w:r w:rsidRPr="00153367">
          <w:rPr>
            <w:rFonts w:ascii="Verdana" w:eastAsia="Times New Roman" w:hAnsi="Verdana" w:cs="Arial"/>
            <w:color w:val="467886"/>
            <w:u w:val="single"/>
            <w14:ligatures w14:val="none"/>
          </w:rPr>
          <w:t>https://relatoria.colombiacompra.gov.co/busqueda/conceptos</w:t>
        </w:r>
      </w:hyperlink>
    </w:p>
    <w:p w14:paraId="460F8628" w14:textId="77777777" w:rsidR="00153367" w:rsidRPr="00153367" w:rsidRDefault="00153367" w:rsidP="00153367">
      <w:pPr>
        <w:spacing w:after="0" w:line="276" w:lineRule="auto"/>
        <w:jc w:val="both"/>
        <w:rPr>
          <w:rFonts w:ascii="Verdana" w:eastAsia="Times New Roman" w:hAnsi="Verdana" w:cs="Arial"/>
          <w14:ligatures w14:val="none"/>
        </w:rPr>
      </w:pPr>
    </w:p>
    <w:p w14:paraId="5C9A925B" w14:textId="77777777" w:rsidR="00153367" w:rsidRPr="00153367" w:rsidRDefault="00153367" w:rsidP="00153367">
      <w:pPr>
        <w:spacing w:after="0" w:line="276" w:lineRule="auto"/>
        <w:jc w:val="both"/>
        <w:rPr>
          <w:rFonts w:ascii="Verdana" w:eastAsia="Times New Roman" w:hAnsi="Verdana" w:cs="Arial"/>
          <w:u w:val="single"/>
          <w14:ligatures w14:val="none"/>
        </w:rPr>
      </w:pPr>
      <w:r w:rsidRPr="00153367">
        <w:rPr>
          <w:rFonts w:ascii="Verdana" w:eastAsia="Times New Roman" w:hAnsi="Verdana" w:cs="Arial"/>
          <w14:ligatures w14:val="none"/>
        </w:rPr>
        <w:t>Te informamos que ya se encuentra disponible la </w:t>
      </w:r>
      <w:r w:rsidRPr="00153367">
        <w:rPr>
          <w:rFonts w:ascii="Verdana" w:eastAsia="Times New Roman" w:hAnsi="Verdana" w:cs="Arial"/>
          <w:b/>
          <w:bCs/>
          <w14:ligatures w14:val="none"/>
        </w:rPr>
        <w:t>Guía de lineamientos de transparencia y selección objetiva para el departamento de La Guajira – Objetivo sexto constitucional de la Sentencia T-302 del 2017. </w:t>
      </w:r>
      <w:r w:rsidRPr="00153367">
        <w:rPr>
          <w:rFonts w:ascii="Verdana" w:eastAsia="Times New Roman" w:hAnsi="Verdana" w:cs="Arial"/>
          <w14:ligatures w14:val="none"/>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53367">
        <w:rPr>
          <w:rFonts w:ascii="Verdana" w:eastAsia="Times New Roman" w:hAnsi="Verdana" w:cs="Arial"/>
          <w14:ligatures w14:val="none"/>
        </w:rPr>
        <w:t>Wayúu</w:t>
      </w:r>
      <w:proofErr w:type="spellEnd"/>
      <w:r w:rsidRPr="00153367">
        <w:rPr>
          <w:rFonts w:ascii="Verdana" w:eastAsia="Times New Roman" w:hAnsi="Verdana" w:cs="Arial"/>
          <w14:ligatures w14:val="none"/>
        </w:rPr>
        <w:t>. Puede consultar la guía en el siguiente enlace: </w:t>
      </w:r>
      <w:hyperlink r:id="rId12" w:tgtFrame="_blank" w:tooltip="Dirección URL original: https://www.colombiacompra.gov.co/wp-content/uploads/2025/05/GUIA-DE-LINEAMIENTOS-DE-TRANSPARENCIA-Y-SELECCION-OBJETIVA-1.0.pdf. Haga clic o pulse si confía en este vínculo." w:history="1">
        <w:r w:rsidRPr="00153367">
          <w:rPr>
            <w:rFonts w:ascii="Verdana" w:eastAsia="Times New Roman" w:hAnsi="Verdana" w:cs="Arial"/>
            <w:color w:val="467886"/>
            <w:u w:val="single"/>
            <w14:ligatures w14:val="none"/>
          </w:rPr>
          <w:t>Guía de lineamientos de transparencia y selección objetiva para el departamento de La Guajira – Objetivo sexto constitucional de la Sentencia T-302 del 2017</w:t>
        </w:r>
      </w:hyperlink>
      <w:r w:rsidRPr="00153367">
        <w:rPr>
          <w:rFonts w:ascii="Verdana" w:eastAsia="Times New Roman" w:hAnsi="Verdana" w:cs="Arial"/>
          <w:u w:val="single"/>
          <w14:ligatures w14:val="none"/>
        </w:rPr>
        <w:t>".</w:t>
      </w:r>
    </w:p>
    <w:p w14:paraId="30EDA77E" w14:textId="77777777" w:rsidR="00153367" w:rsidRPr="00153367" w:rsidRDefault="00153367" w:rsidP="00153367">
      <w:pPr>
        <w:spacing w:after="0" w:line="276" w:lineRule="auto"/>
        <w:jc w:val="both"/>
        <w:rPr>
          <w:rFonts w:ascii="Verdana" w:eastAsia="Times New Roman" w:hAnsi="Verdana" w:cs="Arial"/>
          <w14:ligatures w14:val="none"/>
        </w:rPr>
      </w:pPr>
    </w:p>
    <w:p w14:paraId="283F5EF9" w14:textId="77777777" w:rsidR="00153367" w:rsidRPr="00153367" w:rsidRDefault="00153367" w:rsidP="00153367">
      <w:pPr>
        <w:spacing w:after="0" w:line="240" w:lineRule="auto"/>
        <w:jc w:val="both"/>
        <w:rPr>
          <w:rFonts w:ascii="Verdana" w:eastAsia="Times New Roman" w:hAnsi="Verdana" w:cs="Arial"/>
          <w14:ligatures w14:val="none"/>
        </w:rPr>
      </w:pPr>
      <w:r w:rsidRPr="00153367">
        <w:rPr>
          <w:rFonts w:ascii="Verdana" w:eastAsia="Times New Roman" w:hAnsi="Verdana" w:cs="Arial"/>
          <w14:ligatures w14:val="none"/>
        </w:rPr>
        <w:t xml:space="preserve">Por último, lo invitamos a seguirnos en las redes sociales en las cuales se difunde información institucional: </w:t>
      </w:r>
    </w:p>
    <w:p w14:paraId="222B33E6" w14:textId="77777777" w:rsidR="00153367" w:rsidRPr="00153367" w:rsidRDefault="00153367" w:rsidP="00153367">
      <w:pPr>
        <w:spacing w:after="0" w:line="240" w:lineRule="auto"/>
        <w:jc w:val="both"/>
        <w:rPr>
          <w:rFonts w:ascii="Verdana" w:eastAsia="Times New Roman" w:hAnsi="Verdana" w:cs="Arial"/>
          <w14:ligatures w14:val="none"/>
        </w:rPr>
      </w:pPr>
    </w:p>
    <w:p w14:paraId="6E72D64B" w14:textId="77777777" w:rsidR="00153367" w:rsidRPr="00153367" w:rsidRDefault="00153367" w:rsidP="00153367">
      <w:pPr>
        <w:spacing w:after="0" w:line="240" w:lineRule="auto"/>
        <w:jc w:val="both"/>
        <w:rPr>
          <w:rFonts w:ascii="Verdana" w:eastAsia="Times New Roman" w:hAnsi="Verdana" w:cs="Arial"/>
          <w14:ligatures w14:val="none"/>
        </w:rPr>
      </w:pPr>
      <w:r w:rsidRPr="00153367">
        <w:rPr>
          <w:rFonts w:ascii="Verdana" w:eastAsia="Times New Roman" w:hAnsi="Verdana" w:cs="Arial"/>
          <w14:ligatures w14:val="none"/>
        </w:rPr>
        <w:t xml:space="preserve">Twitter: </w:t>
      </w:r>
      <w:r w:rsidRPr="00153367">
        <w:rPr>
          <w:rFonts w:ascii="Verdana" w:eastAsia="Times New Roman" w:hAnsi="Verdana" w:cs="Arial"/>
          <w:color w:val="4472C4"/>
          <w:u w:val="single"/>
          <w14:ligatures w14:val="none"/>
        </w:rPr>
        <w:t>@colombiacompra</w:t>
      </w:r>
      <w:r w:rsidRPr="00153367">
        <w:rPr>
          <w:rFonts w:ascii="Verdana" w:eastAsia="Times New Roman" w:hAnsi="Verdana" w:cs="Arial"/>
          <w:color w:val="4472C4"/>
          <w14:ligatures w14:val="none"/>
        </w:rPr>
        <w:t xml:space="preserve"> </w:t>
      </w:r>
    </w:p>
    <w:p w14:paraId="4693EFFC" w14:textId="77777777" w:rsidR="00153367" w:rsidRPr="00153367" w:rsidRDefault="00153367" w:rsidP="00153367">
      <w:pPr>
        <w:spacing w:after="0" w:line="240" w:lineRule="auto"/>
        <w:jc w:val="both"/>
        <w:rPr>
          <w:rFonts w:ascii="Verdana" w:eastAsia="Times New Roman" w:hAnsi="Verdana" w:cs="Arial"/>
          <w14:ligatures w14:val="none"/>
        </w:rPr>
      </w:pPr>
      <w:r w:rsidRPr="00153367">
        <w:rPr>
          <w:rFonts w:ascii="Verdana" w:eastAsia="Times New Roman" w:hAnsi="Verdana" w:cs="Arial"/>
          <w14:ligatures w14:val="none"/>
        </w:rPr>
        <w:t xml:space="preserve">Facebook: </w:t>
      </w:r>
      <w:proofErr w:type="spellStart"/>
      <w:r w:rsidRPr="00153367">
        <w:rPr>
          <w:rFonts w:ascii="Verdana" w:eastAsia="Times New Roman" w:hAnsi="Verdana" w:cs="Arial"/>
          <w:color w:val="4472C4"/>
          <w:u w:val="single"/>
          <w14:ligatures w14:val="none"/>
        </w:rPr>
        <w:t>ColombiaCompraEficiente</w:t>
      </w:r>
      <w:proofErr w:type="spellEnd"/>
    </w:p>
    <w:p w14:paraId="346A7063" w14:textId="77777777" w:rsidR="00153367" w:rsidRPr="00153367" w:rsidRDefault="00153367" w:rsidP="00153367">
      <w:pPr>
        <w:spacing w:after="0" w:line="240" w:lineRule="auto"/>
        <w:jc w:val="both"/>
        <w:rPr>
          <w:rFonts w:ascii="Verdana" w:eastAsia="Times New Roman" w:hAnsi="Verdana" w:cs="Arial"/>
          <w14:ligatures w14:val="none"/>
        </w:rPr>
      </w:pPr>
      <w:r w:rsidRPr="00153367">
        <w:rPr>
          <w:rFonts w:ascii="Verdana" w:eastAsia="Times New Roman" w:hAnsi="Verdana" w:cs="Arial"/>
          <w14:ligatures w14:val="none"/>
        </w:rPr>
        <w:t xml:space="preserve">LinkedIn: </w:t>
      </w:r>
      <w:r w:rsidRPr="00153367">
        <w:rPr>
          <w:rFonts w:ascii="Verdana" w:eastAsia="Times New Roman" w:hAnsi="Verdana" w:cs="Arial"/>
          <w:color w:val="4472C4"/>
          <w:u w:val="single"/>
          <w14:ligatures w14:val="none"/>
        </w:rPr>
        <w:t>Agencia Nacional de Contratación Pública - Colombia Compra Eficiente</w:t>
      </w:r>
      <w:r w:rsidRPr="00153367">
        <w:rPr>
          <w:rFonts w:ascii="Verdana" w:eastAsia="Times New Roman" w:hAnsi="Verdana" w:cs="Arial"/>
          <w:color w:val="4472C4"/>
          <w14:ligatures w14:val="none"/>
        </w:rPr>
        <w:t xml:space="preserve"> </w:t>
      </w:r>
      <w:r w:rsidRPr="00153367">
        <w:rPr>
          <w:rFonts w:ascii="Verdana" w:eastAsia="Times New Roman" w:hAnsi="Verdana" w:cs="Arial"/>
          <w14:ligatures w14:val="none"/>
        </w:rPr>
        <w:t xml:space="preserve">Instagram: </w:t>
      </w:r>
      <w:r w:rsidRPr="00153367">
        <w:rPr>
          <w:rFonts w:ascii="Verdana" w:eastAsia="Times New Roman" w:hAnsi="Verdana" w:cs="Arial"/>
          <w:color w:val="4472C4"/>
          <w:u w:val="single"/>
          <w14:ligatures w14:val="none"/>
        </w:rPr>
        <w:t>@colombiacompraeficiente_cce</w:t>
      </w:r>
    </w:p>
    <w:p w14:paraId="726657A2"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p>
    <w:p w14:paraId="5B3CE19A"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r w:rsidRPr="00153367">
        <w:rPr>
          <w:rFonts w:ascii="Verdana" w:eastAsia="Times New Roman" w:hAnsi="Verdana" w:cs="Arial"/>
          <w14:ligatures w14:val="none"/>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9A7C59C" w14:textId="77777777" w:rsidR="00153367" w:rsidRPr="00153367" w:rsidRDefault="00153367" w:rsidP="00153367">
      <w:pPr>
        <w:widowControl w:val="0"/>
        <w:autoSpaceDE w:val="0"/>
        <w:autoSpaceDN w:val="0"/>
        <w:spacing w:after="0" w:line="276" w:lineRule="auto"/>
        <w:jc w:val="both"/>
        <w:rPr>
          <w:rFonts w:ascii="Verdana" w:eastAsia="Times New Roman" w:hAnsi="Verdana" w:cs="Arial"/>
          <w14:ligatures w14:val="none"/>
        </w:rPr>
      </w:pPr>
    </w:p>
    <w:p w14:paraId="4454C465" w14:textId="77777777" w:rsidR="00153367" w:rsidRPr="00153367" w:rsidRDefault="00153367" w:rsidP="00153367">
      <w:pPr>
        <w:spacing w:after="0" w:line="240" w:lineRule="auto"/>
        <w:rPr>
          <w:rFonts w:ascii="Verdana" w:eastAsia="Times New Roman" w:hAnsi="Verdana" w:cs="Arial"/>
          <w:lang w:eastAsia="es-CO"/>
          <w14:ligatures w14:val="none"/>
        </w:rPr>
      </w:pPr>
      <w:r w:rsidRPr="00153367">
        <w:rPr>
          <w:rFonts w:ascii="Verdana" w:eastAsia="Times New Roman" w:hAnsi="Verdana" w:cs="Arial"/>
          <w:lang w:eastAsia="es-CO"/>
          <w14:ligatures w14:val="none"/>
        </w:rPr>
        <w:t xml:space="preserve">Atentamente, </w:t>
      </w:r>
    </w:p>
    <w:p w14:paraId="02FF1E8D" w14:textId="77777777" w:rsidR="00153367" w:rsidRPr="00153367" w:rsidRDefault="00153367" w:rsidP="00153367">
      <w:pPr>
        <w:spacing w:line="276" w:lineRule="auto"/>
        <w:jc w:val="center"/>
        <w:rPr>
          <w:rFonts w:ascii="Verdana" w:eastAsia="Times New Roman" w:hAnsi="Verdana" w:cs="Arial"/>
          <w:sz w:val="16"/>
          <w:szCs w:val="16"/>
          <w:lang w:eastAsia="es-CO"/>
          <w14:ligatures w14:val="none"/>
        </w:rPr>
      </w:pPr>
    </w:p>
    <w:p w14:paraId="1043C21F" w14:textId="35DDF48C" w:rsidR="00153367" w:rsidRPr="00153367" w:rsidRDefault="008B08B8" w:rsidP="00153367">
      <w:pPr>
        <w:spacing w:line="276" w:lineRule="auto"/>
        <w:jc w:val="center"/>
        <w:rPr>
          <w:rFonts w:ascii="Verdana" w:eastAsia="Times New Roman" w:hAnsi="Verdana" w:cs="Arial"/>
          <w:sz w:val="16"/>
          <w:szCs w:val="16"/>
          <w:lang w:eastAsia="es-CO"/>
          <w14:ligatures w14:val="none"/>
        </w:rPr>
      </w:pPr>
      <w:r>
        <w:rPr>
          <w:noProof/>
        </w:rPr>
        <w:lastRenderedPageBreak/>
        <w:drawing>
          <wp:inline distT="0" distB="0" distL="0" distR="0" wp14:anchorId="1EFB7867" wp14:editId="3046BD38">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1"/>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53367" w:rsidRPr="00153367" w14:paraId="6E4205CC" w14:textId="77777777" w:rsidTr="005E5D32">
        <w:trPr>
          <w:trHeight w:val="315"/>
        </w:trPr>
        <w:tc>
          <w:tcPr>
            <w:tcW w:w="893" w:type="dxa"/>
            <w:vAlign w:val="center"/>
            <w:hideMark/>
          </w:tcPr>
          <w:p w14:paraId="127AC9E7"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Elaboró:</w:t>
            </w:r>
          </w:p>
        </w:tc>
        <w:tc>
          <w:tcPr>
            <w:tcW w:w="5628" w:type="dxa"/>
            <w:tcBorders>
              <w:top w:val="nil"/>
              <w:left w:val="nil"/>
              <w:bottom w:val="dotted" w:sz="4" w:space="0" w:color="7F7F7F"/>
              <w:right w:val="nil"/>
            </w:tcBorders>
            <w:vAlign w:val="center"/>
            <w:hideMark/>
          </w:tcPr>
          <w:p w14:paraId="0BA05499"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Ximena Ríos López</w:t>
            </w:r>
          </w:p>
          <w:p w14:paraId="20DA3578"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Gestor T1-11 de la Subdirección de Gestión Contractual</w:t>
            </w:r>
          </w:p>
        </w:tc>
      </w:tr>
      <w:tr w:rsidR="00153367" w:rsidRPr="00153367" w14:paraId="69376458" w14:textId="77777777" w:rsidTr="005E5D32">
        <w:trPr>
          <w:trHeight w:val="330"/>
        </w:trPr>
        <w:tc>
          <w:tcPr>
            <w:tcW w:w="893" w:type="dxa"/>
            <w:vAlign w:val="center"/>
            <w:hideMark/>
          </w:tcPr>
          <w:p w14:paraId="75E54EB4"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Revisó:</w:t>
            </w:r>
          </w:p>
        </w:tc>
        <w:tc>
          <w:tcPr>
            <w:tcW w:w="5628" w:type="dxa"/>
            <w:tcBorders>
              <w:top w:val="dotted" w:sz="4" w:space="0" w:color="7F7F7F"/>
              <w:left w:val="nil"/>
              <w:bottom w:val="dotted" w:sz="4" w:space="0" w:color="7F7F7F"/>
              <w:right w:val="nil"/>
            </w:tcBorders>
            <w:vAlign w:val="center"/>
            <w:hideMark/>
          </w:tcPr>
          <w:p w14:paraId="7909494C" w14:textId="77777777" w:rsidR="00153367" w:rsidRPr="00153367" w:rsidRDefault="00153367" w:rsidP="00153367">
            <w:pPr>
              <w:contextualSpacing/>
              <w:textAlignment w:val="baseline"/>
              <w:rPr>
                <w:rFonts w:ascii="Verdana" w:hAnsi="Verdana" w:cs="Arial"/>
                <w:sz w:val="16"/>
                <w:szCs w:val="16"/>
                <w:lang w:eastAsia="es-CO"/>
              </w:rPr>
            </w:pPr>
            <w:r w:rsidRPr="00153367">
              <w:rPr>
                <w:rFonts w:ascii="Verdana" w:hAnsi="Verdana" w:cs="Arial"/>
                <w:sz w:val="16"/>
                <w:szCs w:val="16"/>
                <w:lang w:eastAsia="es-CO"/>
              </w:rPr>
              <w:t>Juan Carlos González</w:t>
            </w:r>
          </w:p>
          <w:p w14:paraId="744DD6D3" w14:textId="77777777" w:rsidR="00153367" w:rsidRPr="00153367" w:rsidRDefault="00153367" w:rsidP="00153367">
            <w:pPr>
              <w:contextualSpacing/>
              <w:textAlignment w:val="baseline"/>
              <w:rPr>
                <w:rFonts w:ascii="Verdana" w:hAnsi="Verdana" w:cs="Arial"/>
                <w:sz w:val="16"/>
                <w:szCs w:val="16"/>
                <w:lang w:eastAsia="es-CO"/>
              </w:rPr>
            </w:pPr>
            <w:r w:rsidRPr="00153367">
              <w:rPr>
                <w:rFonts w:ascii="Verdana" w:hAnsi="Verdana" w:cs="Arial"/>
                <w:sz w:val="16"/>
                <w:szCs w:val="16"/>
                <w:lang w:eastAsia="es-CO"/>
              </w:rPr>
              <w:t>Contratista de la Subdirección de Gestión Contractual </w:t>
            </w:r>
          </w:p>
        </w:tc>
      </w:tr>
      <w:tr w:rsidR="00153367" w:rsidRPr="00153367" w14:paraId="77E3ABAA" w14:textId="77777777" w:rsidTr="005E5D32">
        <w:trPr>
          <w:trHeight w:val="300"/>
        </w:trPr>
        <w:tc>
          <w:tcPr>
            <w:tcW w:w="893" w:type="dxa"/>
            <w:vAlign w:val="center"/>
          </w:tcPr>
          <w:p w14:paraId="0D118260"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Aprobó:</w:t>
            </w:r>
          </w:p>
        </w:tc>
        <w:tc>
          <w:tcPr>
            <w:tcW w:w="5628" w:type="dxa"/>
            <w:tcBorders>
              <w:top w:val="dotted" w:sz="4" w:space="0" w:color="7F7F7F"/>
              <w:left w:val="nil"/>
              <w:bottom w:val="dotted" w:sz="4" w:space="0" w:color="7F7F7F"/>
              <w:right w:val="nil"/>
            </w:tcBorders>
            <w:vAlign w:val="center"/>
          </w:tcPr>
          <w:p w14:paraId="73C360C2"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 xml:space="preserve">Carolina Quintero </w:t>
            </w:r>
            <w:proofErr w:type="spellStart"/>
            <w:r w:rsidRPr="00153367">
              <w:rPr>
                <w:rFonts w:ascii="Verdana" w:hAnsi="Verdana" w:cs="Arial"/>
                <w:sz w:val="16"/>
                <w:szCs w:val="16"/>
                <w:lang w:eastAsia="es-CO"/>
              </w:rPr>
              <w:t>Gacharná</w:t>
            </w:r>
            <w:proofErr w:type="spellEnd"/>
          </w:p>
          <w:p w14:paraId="2963E20C" w14:textId="77777777" w:rsidR="00153367" w:rsidRPr="00153367" w:rsidRDefault="00153367" w:rsidP="00153367">
            <w:pPr>
              <w:contextualSpacing/>
              <w:rPr>
                <w:rFonts w:ascii="Verdana" w:hAnsi="Verdana" w:cs="Arial"/>
                <w:sz w:val="16"/>
                <w:szCs w:val="16"/>
                <w:lang w:eastAsia="es-CO"/>
              </w:rPr>
            </w:pPr>
            <w:r w:rsidRPr="00153367">
              <w:rPr>
                <w:rFonts w:ascii="Verdana" w:hAnsi="Verdana" w:cs="Arial"/>
                <w:sz w:val="16"/>
                <w:szCs w:val="16"/>
                <w:lang w:eastAsia="es-CO"/>
              </w:rPr>
              <w:t>Subdirectora de Gestión Contractual ANCP – CCE</w:t>
            </w:r>
          </w:p>
        </w:tc>
      </w:tr>
      <w:bookmarkEnd w:id="0"/>
    </w:tbl>
    <w:p w14:paraId="743D99A2" w14:textId="77777777" w:rsidR="00153367" w:rsidRPr="00153367" w:rsidRDefault="00153367" w:rsidP="00153367">
      <w:pPr>
        <w:rPr>
          <w:rFonts w:ascii="Calibri" w:eastAsia="Times New Roman" w:hAnsi="Calibri" w:cs="Times New Roman"/>
          <w14:ligatures w14:val="none"/>
        </w:rPr>
      </w:pPr>
    </w:p>
    <w:p w14:paraId="7A3BC5DF" w14:textId="77777777" w:rsidR="00153367" w:rsidRPr="00153367" w:rsidRDefault="00153367" w:rsidP="00153367">
      <w:pPr>
        <w:rPr>
          <w:rFonts w:ascii="Aptos" w:eastAsia="Aptos" w:hAnsi="Aptos" w:cs="Times New Roman"/>
        </w:rPr>
      </w:pPr>
    </w:p>
    <w:p w14:paraId="6222FD1D" w14:textId="77777777" w:rsidR="00153367" w:rsidRPr="00153367" w:rsidRDefault="00153367" w:rsidP="00153367">
      <w:pPr>
        <w:rPr>
          <w:rFonts w:ascii="Calibri" w:eastAsia="Calibri" w:hAnsi="Calibri" w:cs="Times New Roman"/>
          <w14:ligatures w14:val="none"/>
        </w:rPr>
      </w:pPr>
    </w:p>
    <w:p w14:paraId="4AEB0AF9" w14:textId="77777777" w:rsidR="000F5A42" w:rsidRPr="00153367" w:rsidRDefault="000F5A42" w:rsidP="00153367"/>
    <w:sectPr w:rsidR="000F5A42" w:rsidRPr="00153367" w:rsidSect="0040181A">
      <w:headerReference w:type="default" r:id="rId14"/>
      <w:footerReference w:type="default" r:id="rId15"/>
      <w:pgSz w:w="12240" w:h="15840" w:code="1"/>
      <w:pgMar w:top="1418" w:right="1418" w:bottom="1418" w:left="1418" w:header="85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E241" w14:textId="77777777" w:rsidR="00272F9A" w:rsidRDefault="00272F9A" w:rsidP="0040181A">
      <w:pPr>
        <w:spacing w:after="0" w:line="240" w:lineRule="auto"/>
      </w:pPr>
      <w:r>
        <w:separator/>
      </w:r>
    </w:p>
  </w:endnote>
  <w:endnote w:type="continuationSeparator" w:id="0">
    <w:p w14:paraId="2B790358" w14:textId="77777777" w:rsidR="00272F9A" w:rsidRDefault="00272F9A" w:rsidP="00401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3135" w14:textId="77777777" w:rsidR="00C14838" w:rsidRDefault="00C14838" w:rsidP="007D04B2">
    <w:pPr>
      <w:spacing w:after="0"/>
      <w:rPr>
        <w:rFonts w:ascii="Verdana" w:hAnsi="Verdana"/>
        <w:b/>
        <w:bCs/>
        <w:sz w:val="20"/>
        <w:szCs w:val="20"/>
      </w:rPr>
    </w:pPr>
  </w:p>
  <w:p w14:paraId="39F772EE" w14:textId="77777777" w:rsidR="00C14838" w:rsidRPr="00174B77" w:rsidRDefault="00C14838" w:rsidP="007D04B2">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D11A4A">
      <w:rPr>
        <w:rFonts w:ascii="Verdana" w:eastAsia="Times New Roman" w:hAnsi="Verdana" w:cs="Times New Roman"/>
        <w:b/>
        <w:bCs/>
        <w:sz w:val="16"/>
        <w:szCs w:val="16"/>
        <w:lang w:val="es-ES"/>
      </w:rPr>
      <w:t xml:space="preserve">pág. </w:t>
    </w:r>
    <w:r w:rsidRPr="00D11A4A">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D11A4A">
      <w:rPr>
        <w:rFonts w:ascii="Verdana" w:eastAsia="Times New Roman" w:hAnsi="Verdana"/>
        <w:b/>
        <w:bCs/>
        <w:sz w:val="16"/>
        <w:szCs w:val="16"/>
      </w:rPr>
      <w:fldChar w:fldCharType="separate"/>
    </w:r>
    <w:r w:rsidRPr="00D11A4A">
      <w:rPr>
        <w:rFonts w:ascii="Verdana" w:eastAsia="Times New Roman" w:hAnsi="Verdana"/>
        <w:b/>
        <w:bCs/>
        <w:sz w:val="16"/>
        <w:szCs w:val="16"/>
      </w:rPr>
      <w:t>1</w:t>
    </w:r>
    <w:r w:rsidRPr="00D11A4A">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500E289" w14:textId="77777777" w:rsidR="00C14838" w:rsidRDefault="00C14838" w:rsidP="007D04B2">
    <w:pPr>
      <w:spacing w:after="0"/>
      <w:jc w:val="both"/>
      <w:rPr>
        <w:rFonts w:ascii="Verdana" w:hAnsi="Verdana"/>
        <w:sz w:val="18"/>
        <w:szCs w:val="18"/>
      </w:rPr>
    </w:pPr>
    <w:r w:rsidRPr="00E41027">
      <w:rPr>
        <w:rFonts w:ascii="Verdana" w:hAnsi="Verdana"/>
        <w:sz w:val="18"/>
        <w:szCs w:val="18"/>
      </w:rPr>
      <w:t>Dirección: Carrera 7 # 26 – 20 - Bogotá, Colombia</w:t>
    </w:r>
  </w:p>
  <w:p w14:paraId="6DFF85F2" w14:textId="77777777" w:rsidR="00C14838" w:rsidRPr="00E41027" w:rsidRDefault="00C14838" w:rsidP="007D04B2">
    <w:pPr>
      <w:spacing w:after="0"/>
      <w:jc w:val="both"/>
      <w:rPr>
        <w:rFonts w:ascii="Verdana" w:hAnsi="Verdana"/>
        <w:sz w:val="18"/>
        <w:szCs w:val="18"/>
      </w:rPr>
    </w:pPr>
    <w:r w:rsidRPr="00E41027">
      <w:rPr>
        <w:rFonts w:ascii="Verdana" w:hAnsi="Verdana"/>
        <w:sz w:val="18"/>
        <w:szCs w:val="18"/>
      </w:rPr>
      <w:t>Mesa de servicio: (+57) 601 7456788</w:t>
    </w:r>
  </w:p>
  <w:p w14:paraId="7EC28F7E" w14:textId="77777777" w:rsidR="00C14838" w:rsidRDefault="00C14838" w:rsidP="007D04B2">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0907DB46" w14:textId="77777777" w:rsidR="00C14838" w:rsidRPr="007D04B2" w:rsidRDefault="00C14838" w:rsidP="007D04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4C24E" w14:textId="77777777" w:rsidR="00272F9A" w:rsidRDefault="00272F9A" w:rsidP="0040181A">
      <w:pPr>
        <w:spacing w:after="0" w:line="240" w:lineRule="auto"/>
      </w:pPr>
      <w:r>
        <w:separator/>
      </w:r>
    </w:p>
  </w:footnote>
  <w:footnote w:type="continuationSeparator" w:id="0">
    <w:p w14:paraId="4A25E31E" w14:textId="77777777" w:rsidR="00272F9A" w:rsidRDefault="00272F9A" w:rsidP="0040181A">
      <w:pPr>
        <w:spacing w:after="0" w:line="240" w:lineRule="auto"/>
      </w:pPr>
      <w:r>
        <w:continuationSeparator/>
      </w:r>
    </w:p>
  </w:footnote>
  <w:footnote w:id="1">
    <w:p w14:paraId="21164D26" w14:textId="77777777" w:rsidR="00153367" w:rsidRPr="009954EB" w:rsidRDefault="00153367" w:rsidP="00153367">
      <w:pPr>
        <w:pStyle w:val="Textonotapie"/>
        <w:ind w:firstLine="708"/>
        <w:rPr>
          <w:rFonts w:ascii="Verdana" w:hAnsi="Verdana"/>
          <w:sz w:val="16"/>
          <w:szCs w:val="16"/>
          <w:lang w:val="es-CO"/>
        </w:rPr>
      </w:pPr>
      <w:r w:rsidRPr="009954EB">
        <w:rPr>
          <w:rFonts w:ascii="Verdana" w:hAnsi="Verdana"/>
          <w:sz w:val="16"/>
          <w:szCs w:val="16"/>
          <w:vertAlign w:val="superscript"/>
          <w:lang w:val="es-CO"/>
        </w:rPr>
        <w:footnoteRef/>
      </w:r>
      <w:r w:rsidRPr="009954EB">
        <w:rPr>
          <w:rFonts w:ascii="Verdana" w:hAnsi="Verdana"/>
          <w:sz w:val="16"/>
          <w:szCs w:val="16"/>
          <w:lang w:val="es-CO"/>
        </w:rPr>
        <w:t xml:space="preserve"> Artículo 23 del CST</w:t>
      </w:r>
      <w:r>
        <w:rPr>
          <w:rFonts w:ascii="Verdana" w:hAnsi="Verdana"/>
          <w:sz w:val="16"/>
          <w:szCs w:val="16"/>
          <w:lang w:val="es-CO"/>
        </w:rPr>
        <w:t>.</w:t>
      </w:r>
    </w:p>
  </w:footnote>
  <w:footnote w:id="2">
    <w:p w14:paraId="6F9A80F8" w14:textId="77777777" w:rsidR="00153367" w:rsidRPr="009954EB" w:rsidRDefault="00153367" w:rsidP="00153367">
      <w:pPr>
        <w:pStyle w:val="Textonotapie"/>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sz w:val="16"/>
          <w:szCs w:val="16"/>
          <w:lang w:val="es-CO"/>
        </w:rPr>
        <w:t xml:space="preserve"> </w:t>
      </w:r>
      <w:bookmarkStart w:id="5" w:name="_Hlk176814547"/>
      <w:r w:rsidRPr="009954EB">
        <w:rPr>
          <w:rFonts w:ascii="Verdana" w:hAnsi="Verdana" w:cs="Arial"/>
          <w:sz w:val="16"/>
          <w:szCs w:val="16"/>
          <w:lang w:val="es-CO"/>
        </w:rPr>
        <w:t>Decreto 1068 de 2015: “</w:t>
      </w:r>
      <w:r w:rsidRPr="009954EB">
        <w:rPr>
          <w:rFonts w:ascii="Verdana" w:hAnsi="Verdana" w:cs="Arial"/>
          <w:color w:val="000000"/>
          <w:sz w:val="16"/>
          <w:szCs w:val="16"/>
          <w:lang w:val="es-CO"/>
        </w:rPr>
        <w:t>Artículo 2.8.4.4.5</w:t>
      </w:r>
      <w:bookmarkEnd w:id="5"/>
      <w:r w:rsidRPr="009954EB">
        <w:rPr>
          <w:rFonts w:ascii="Verdana" w:hAnsi="Verdana" w:cs="Arial"/>
          <w:color w:val="000000"/>
          <w:sz w:val="16"/>
          <w:szCs w:val="16"/>
          <w:lang w:val="es-CO"/>
        </w:rPr>
        <w:t xml:space="preserve">.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552A5F4" w14:textId="77777777" w:rsidR="00153367" w:rsidRPr="009954EB" w:rsidRDefault="00153367" w:rsidP="00153367">
      <w:pPr>
        <w:pStyle w:val="Textonotapie"/>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1EB53EDC" w14:textId="77777777" w:rsidR="00153367" w:rsidRPr="009954EB" w:rsidRDefault="00153367" w:rsidP="00153367">
      <w:pPr>
        <w:pStyle w:val="Textonotapie"/>
        <w:ind w:firstLine="708"/>
        <w:jc w:val="both"/>
        <w:rPr>
          <w:rFonts w:ascii="Verdana" w:hAnsi="Verdana" w:cs="Arial"/>
          <w:color w:val="000000"/>
          <w:sz w:val="16"/>
          <w:szCs w:val="16"/>
          <w:lang w:val="es-CO"/>
        </w:rPr>
      </w:pPr>
      <w:r w:rsidRPr="009954EB">
        <w:rPr>
          <w:rFonts w:ascii="Verdana" w:hAnsi="Verdana" w:cs="Arial"/>
          <w:color w:val="000000"/>
          <w:sz w:val="16"/>
          <w:szCs w:val="16"/>
          <w:lang w:val="es-CO"/>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2A3940C2" w14:textId="77777777" w:rsidR="00153367" w:rsidRPr="009954EB" w:rsidRDefault="00153367" w:rsidP="00153367">
      <w:pPr>
        <w:pStyle w:val="Textonotapie"/>
        <w:ind w:firstLine="708"/>
        <w:jc w:val="both"/>
        <w:rPr>
          <w:rFonts w:ascii="Verdana" w:hAnsi="Verdana"/>
          <w:sz w:val="16"/>
          <w:szCs w:val="16"/>
          <w:lang w:val="es-CO"/>
        </w:rPr>
      </w:pPr>
    </w:p>
  </w:footnote>
  <w:footnote w:id="3">
    <w:p w14:paraId="71762D36"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El </w:t>
      </w:r>
      <w:bookmarkStart w:id="6" w:name="_Hlk176814562"/>
      <w:r w:rsidRPr="009954EB">
        <w:rPr>
          <w:rFonts w:ascii="Verdana" w:hAnsi="Verdana" w:cs="Arial"/>
          <w:color w:val="000000"/>
          <w:sz w:val="16"/>
          <w:szCs w:val="16"/>
          <w:lang w:val="es-CO"/>
        </w:rPr>
        <w:t xml:space="preserve">artículo 22 del Código Sustantivo del Trabajo </w:t>
      </w:r>
      <w:bookmarkEnd w:id="6"/>
      <w:r w:rsidRPr="009954EB">
        <w:rPr>
          <w:rFonts w:ascii="Verdana" w:hAnsi="Verdana" w:cs="Arial"/>
          <w:color w:val="000000"/>
          <w:sz w:val="16"/>
          <w:szCs w:val="16"/>
          <w:lang w:val="es-CO"/>
        </w:rPr>
        <w:t>establece: “1. Contrato de trabajo es aquel por el cual una persona natural se obliga a prestar un servicio personal a otra persona, natural o jurídica, bajo la continuada dependencia o subordinación de la segunda y mediante remuneración.</w:t>
      </w:r>
    </w:p>
    <w:p w14:paraId="5DB16F8B"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2. Quien presta el servicio se denomina trabajador, quien lo recibe y remunera, empleador, y la remuneración, cualquiera que sea su forma, salario”.</w:t>
      </w:r>
    </w:p>
    <w:p w14:paraId="7B111C4E" w14:textId="77777777" w:rsidR="00153367" w:rsidRPr="009954EB" w:rsidRDefault="00153367" w:rsidP="00153367">
      <w:pPr>
        <w:pStyle w:val="Textonotapie"/>
        <w:snapToGrid w:val="0"/>
        <w:ind w:firstLine="709"/>
        <w:jc w:val="both"/>
        <w:rPr>
          <w:rFonts w:ascii="Verdana" w:hAnsi="Verdana"/>
          <w:sz w:val="16"/>
          <w:szCs w:val="16"/>
          <w:lang w:val="es-CO"/>
        </w:rPr>
      </w:pPr>
    </w:p>
  </w:footnote>
  <w:footnote w:id="4">
    <w:p w14:paraId="5A77E35B"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Corte Constitucional Sentencia C-154 de 1997, Magistrado Ponente Dr. Hernando Herrera Vergara</w:t>
      </w:r>
    </w:p>
    <w:p w14:paraId="445A0030" w14:textId="77777777" w:rsidR="00153367" w:rsidRPr="009954EB" w:rsidRDefault="00153367" w:rsidP="00153367">
      <w:pPr>
        <w:pStyle w:val="Textonotapie"/>
        <w:snapToGrid w:val="0"/>
        <w:ind w:firstLine="709"/>
        <w:jc w:val="both"/>
        <w:rPr>
          <w:rFonts w:ascii="Verdana" w:hAnsi="Verdana"/>
          <w:sz w:val="16"/>
          <w:szCs w:val="16"/>
          <w:lang w:val="es-CO"/>
        </w:rPr>
      </w:pPr>
    </w:p>
  </w:footnote>
  <w:footnote w:id="5">
    <w:p w14:paraId="4BC5FB04"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w:t>
      </w:r>
      <w:bookmarkStart w:id="8" w:name="_Hlk176814586"/>
      <w:r w:rsidRPr="009954EB">
        <w:rPr>
          <w:rFonts w:ascii="Verdana" w:hAnsi="Verdana" w:cs="Arial"/>
          <w:color w:val="000000"/>
          <w:sz w:val="16"/>
          <w:szCs w:val="16"/>
          <w:lang w:val="es-CO"/>
        </w:rPr>
        <w:t xml:space="preserve">El Decreto 1082 de 2015 lo establece así: “Artículo 2.2.1.2.1.4.9. </w:t>
      </w:r>
      <w:bookmarkEnd w:id="8"/>
      <w:r w:rsidRPr="009954EB">
        <w:rPr>
          <w:rFonts w:ascii="Verdana" w:hAnsi="Verdana" w:cs="Arial"/>
          <w:color w:val="000000"/>
          <w:sz w:val="16"/>
          <w:szCs w:val="16"/>
          <w:lang w:val="es-CO"/>
        </w:rPr>
        <w:t>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53BB088"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DF01058" w14:textId="77777777" w:rsidR="00153367" w:rsidRPr="009954EB" w:rsidRDefault="00153367" w:rsidP="00153367">
      <w:pPr>
        <w:pStyle w:val="Textonotapie"/>
        <w:snapToGrid w:val="0"/>
        <w:ind w:firstLine="709"/>
        <w:jc w:val="both"/>
        <w:rPr>
          <w:rFonts w:ascii="Verdana" w:hAnsi="Verdana"/>
          <w:sz w:val="16"/>
          <w:szCs w:val="16"/>
          <w:lang w:val="es-CO"/>
        </w:rPr>
      </w:pPr>
      <w:r w:rsidRPr="009954EB">
        <w:rPr>
          <w:rFonts w:ascii="Verdana" w:hAnsi="Verdana" w:cs="Arial"/>
          <w:color w:val="000000"/>
          <w:sz w:val="16"/>
          <w:szCs w:val="16"/>
          <w:lang w:val="es-CO"/>
        </w:rPr>
        <w:t>La Entidad Estatal, para la contratación de trabajos artísticos que solamente puedan en­comendarse a determinadas personas naturales, debe justificar esta situación en los estudios y documentos previos”.</w:t>
      </w:r>
    </w:p>
  </w:footnote>
  <w:footnote w:id="6">
    <w:p w14:paraId="5DAFEFFC"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p>
    <w:p w14:paraId="41968597"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Así lo prevé el </w:t>
      </w:r>
      <w:bookmarkStart w:id="9" w:name="_Hlk176814610"/>
      <w:r w:rsidRPr="009954EB">
        <w:rPr>
          <w:rFonts w:ascii="Verdana" w:hAnsi="Verdana" w:cs="Arial"/>
          <w:color w:val="000000"/>
          <w:sz w:val="16"/>
          <w:szCs w:val="16"/>
          <w:lang w:val="es-CO"/>
        </w:rPr>
        <w:t>artículo 2.2.1.2.1.4.1. del Decreto 1082 de 2015</w:t>
      </w:r>
      <w:bookmarkEnd w:id="9"/>
      <w:r w:rsidRPr="009954EB">
        <w:rPr>
          <w:rFonts w:ascii="Verdana" w:hAnsi="Verdana" w:cs="Arial"/>
          <w:color w:val="000000"/>
          <w:sz w:val="16"/>
          <w:szCs w:val="16"/>
          <w:lang w:val="es-CO"/>
        </w:rPr>
        <w:t>: “La Entidad Estatal debe señalar en un acto administrativo la justificación para contratar bajo la modalidad de contratación directa, el cual debe contener:</w:t>
      </w:r>
    </w:p>
    <w:p w14:paraId="468FD30A"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1. La causal que invoca para contratar directamente.</w:t>
      </w:r>
    </w:p>
    <w:p w14:paraId="169FF0AA"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2. El objeto del contrato.</w:t>
      </w:r>
    </w:p>
    <w:p w14:paraId="10E06EEB"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3. El presupuesto para la contratación y las condiciones que exigirá al contratista.</w:t>
      </w:r>
    </w:p>
    <w:p w14:paraId="0D0BF9F4"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4. El lugar en el cual los interesados pueden consultar los estudios y documentos previos.</w:t>
      </w:r>
    </w:p>
    <w:p w14:paraId="1F80AB2F" w14:textId="77777777" w:rsidR="00153367" w:rsidRPr="009954EB" w:rsidRDefault="00153367" w:rsidP="00153367">
      <w:pPr>
        <w:pStyle w:val="Textonotapie"/>
        <w:snapToGrid w:val="0"/>
        <w:ind w:firstLine="709"/>
        <w:jc w:val="both"/>
        <w:rPr>
          <w:rFonts w:ascii="Verdana" w:hAnsi="Verdana"/>
          <w:sz w:val="16"/>
          <w:szCs w:val="16"/>
          <w:lang w:val="es-CO"/>
        </w:rPr>
      </w:pPr>
      <w:r w:rsidRPr="009954EB">
        <w:rPr>
          <w:rFonts w:ascii="Verdana" w:hAnsi="Verdana" w:cs="Arial"/>
          <w:color w:val="000000"/>
          <w:sz w:val="16"/>
          <w:szCs w:val="16"/>
          <w:lang w:val="es-CO"/>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2633DDA0"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p>
    <w:p w14:paraId="2ECA1BC4"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Esta norma expresa: “Para el cumplimiento de los fines de la contratación, las entidades estatales al celebrar un contrato:</w:t>
      </w:r>
    </w:p>
    <w:p w14:paraId="1A980379"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w:t>
      </w:r>
    </w:p>
    <w:p w14:paraId="54CA078E"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6590C12E"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Las entidades estatales podrán pactar estas cláusulas en los contratos de suministro y de prestación de servicios.</w:t>
      </w:r>
    </w:p>
    <w:p w14:paraId="7D4FDF71" w14:textId="77777777" w:rsidR="00153367" w:rsidRPr="009954EB" w:rsidRDefault="00153367" w:rsidP="00153367">
      <w:pPr>
        <w:pStyle w:val="Textonotapie"/>
        <w:snapToGrid w:val="0"/>
        <w:ind w:firstLine="709"/>
        <w:jc w:val="both"/>
        <w:rPr>
          <w:rFonts w:ascii="Verdana" w:hAnsi="Verdana"/>
          <w:sz w:val="16"/>
          <w:szCs w:val="16"/>
          <w:lang w:val="es-CO"/>
        </w:rPr>
      </w:pPr>
      <w:r w:rsidRPr="009954EB">
        <w:rPr>
          <w:rFonts w:ascii="Verdana" w:hAnsi="Verdana" w:cs="Arial"/>
          <w:color w:val="000000"/>
          <w:sz w:val="16"/>
          <w:szCs w:val="16"/>
          <w:lang w:val="es-CO"/>
        </w:rPr>
        <w:t>[…]”.</w:t>
      </w:r>
    </w:p>
  </w:footnote>
  <w:footnote w:id="8">
    <w:p w14:paraId="7C3BFB2B" w14:textId="77777777" w:rsidR="00153367" w:rsidRDefault="00153367" w:rsidP="00153367">
      <w:pPr>
        <w:pStyle w:val="Textonotapie"/>
        <w:snapToGrid w:val="0"/>
        <w:ind w:firstLine="709"/>
        <w:jc w:val="both"/>
        <w:rPr>
          <w:rFonts w:ascii="Verdana" w:hAnsi="Verdana" w:cs="Arial"/>
          <w:color w:val="000000"/>
          <w:sz w:val="16"/>
          <w:szCs w:val="16"/>
          <w:lang w:val="es-CO"/>
        </w:rPr>
      </w:pPr>
    </w:p>
    <w:p w14:paraId="241F8A0C"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La norma dispone: “La liquidación a que se refiere el presente artículo no será obligatoria en los contratos de prestación de servicios profesionales y de apoyo a la gestión”.</w:t>
      </w:r>
    </w:p>
    <w:p w14:paraId="68FFB7B6" w14:textId="77777777" w:rsidR="00153367" w:rsidRPr="009954EB" w:rsidRDefault="00153367" w:rsidP="00153367">
      <w:pPr>
        <w:pStyle w:val="Textonotapie"/>
        <w:snapToGrid w:val="0"/>
        <w:ind w:firstLine="709"/>
        <w:jc w:val="both"/>
        <w:rPr>
          <w:rFonts w:ascii="Verdana" w:hAnsi="Verdana"/>
          <w:sz w:val="16"/>
          <w:szCs w:val="16"/>
          <w:lang w:val="es-CO"/>
        </w:rPr>
      </w:pPr>
    </w:p>
  </w:footnote>
  <w:footnote w:id="9">
    <w:p w14:paraId="3537BAA7"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60063F9"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8080FFD"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color w:val="000000"/>
          <w:sz w:val="16"/>
          <w:szCs w:val="16"/>
          <w:lang w:val="es-CO"/>
        </w:rPr>
        <w:t>[…]”.</w:t>
      </w:r>
    </w:p>
    <w:p w14:paraId="785A3027" w14:textId="77777777" w:rsidR="00153367" w:rsidRPr="009954EB" w:rsidRDefault="00153367" w:rsidP="00153367">
      <w:pPr>
        <w:pStyle w:val="Textonotapie"/>
        <w:snapToGrid w:val="0"/>
        <w:ind w:firstLine="709"/>
        <w:jc w:val="both"/>
        <w:rPr>
          <w:rFonts w:ascii="Verdana" w:hAnsi="Verdana"/>
          <w:sz w:val="16"/>
          <w:szCs w:val="16"/>
          <w:lang w:val="es-CO"/>
        </w:rPr>
      </w:pPr>
    </w:p>
  </w:footnote>
  <w:footnote w:id="10">
    <w:p w14:paraId="36F640CE" w14:textId="77777777" w:rsidR="00153367" w:rsidRPr="009954EB" w:rsidRDefault="00153367" w:rsidP="00153367">
      <w:pPr>
        <w:pStyle w:val="Textonotapie"/>
        <w:snapToGrid w:val="0"/>
        <w:ind w:firstLine="709"/>
        <w:jc w:val="both"/>
        <w:rPr>
          <w:rFonts w:ascii="Verdana" w:hAnsi="Verdana" w:cs="Arial"/>
          <w:color w:val="000000"/>
          <w:sz w:val="16"/>
          <w:szCs w:val="16"/>
          <w:lang w:val="es-CO"/>
        </w:rPr>
      </w:pPr>
      <w:r w:rsidRPr="009954EB">
        <w:rPr>
          <w:rFonts w:ascii="Verdana" w:hAnsi="Verdana" w:cs="Arial"/>
          <w:sz w:val="16"/>
          <w:szCs w:val="16"/>
          <w:vertAlign w:val="superscript"/>
          <w:lang w:val="es-CO"/>
        </w:rPr>
        <w:footnoteRef/>
      </w:r>
      <w:r w:rsidRPr="009954EB">
        <w:rPr>
          <w:rFonts w:ascii="Verdana" w:hAnsi="Verdana" w:cs="Arial"/>
          <w:color w:val="000000"/>
          <w:sz w:val="16"/>
          <w:szCs w:val="16"/>
          <w:lang w:val="es-CO"/>
        </w:rPr>
        <w:t xml:space="preserve"> 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020E366" w14:textId="77777777" w:rsidR="00153367" w:rsidRPr="009954EB" w:rsidRDefault="00153367" w:rsidP="00153367">
      <w:pPr>
        <w:pStyle w:val="Textonotapie"/>
        <w:snapToGrid w:val="0"/>
        <w:ind w:firstLine="709"/>
        <w:jc w:val="both"/>
        <w:rPr>
          <w:rFonts w:ascii="Verdana" w:hAnsi="Verdana"/>
          <w:sz w:val="16"/>
          <w:szCs w:val="16"/>
          <w:lang w:val="es-CO"/>
        </w:rPr>
      </w:pPr>
    </w:p>
  </w:footnote>
  <w:footnote w:id="11">
    <w:p w14:paraId="28C07B40" w14:textId="77777777" w:rsidR="00153367" w:rsidRPr="009954EB" w:rsidRDefault="00153367" w:rsidP="00153367">
      <w:pPr>
        <w:pStyle w:val="Textonotapie"/>
        <w:ind w:firstLine="708"/>
        <w:jc w:val="both"/>
        <w:rPr>
          <w:rFonts w:ascii="Verdana" w:hAnsi="Verdana"/>
          <w:sz w:val="16"/>
          <w:szCs w:val="16"/>
          <w:lang w:val="es-CO"/>
        </w:rPr>
      </w:pPr>
      <w:r w:rsidRPr="009954EB">
        <w:rPr>
          <w:rFonts w:ascii="Verdana" w:hAnsi="Verdana"/>
          <w:sz w:val="16"/>
          <w:szCs w:val="16"/>
          <w:vertAlign w:val="superscript"/>
          <w:lang w:val="es-CO"/>
        </w:rPr>
        <w:footnoteRef/>
      </w:r>
      <w:r w:rsidRPr="009954EB">
        <w:rPr>
          <w:rFonts w:ascii="Verdana" w:hAnsi="Verdana"/>
          <w:sz w:val="16"/>
          <w:szCs w:val="16"/>
          <w:lang w:val="es-CO"/>
        </w:rPr>
        <w:t xml:space="preserve"> Corte Constitucional. Sentencia T-1210 del 2008 “Desde este panorama, puede concluirse que, aun en el seno del contrato de prestación de servicios, puede predicarse ciertas garantías de la que gozan las relaciones laborales, al cobrar importancia los principios de estabilidad laboral a ciertos sujetos y de primacía de la realidad sobre las formalidades establecidas por las partes del contrato laboral, y en los eventos en que se pueda advertir la desnaturalización del contrato de prestación de servicios”. </w:t>
      </w:r>
    </w:p>
    <w:p w14:paraId="7B450CC1" w14:textId="77777777" w:rsidR="00153367" w:rsidRPr="009954EB" w:rsidRDefault="00153367" w:rsidP="00153367">
      <w:pPr>
        <w:pStyle w:val="Textonotapie"/>
        <w:jc w:val="both"/>
        <w:rPr>
          <w:rFonts w:ascii="Verdana" w:hAnsi="Verdana"/>
          <w:sz w:val="16"/>
          <w:szCs w:val="16"/>
          <w:lang w:val="es-CO"/>
        </w:rPr>
      </w:pPr>
    </w:p>
    <w:p w14:paraId="23074565" w14:textId="77777777" w:rsidR="00153367" w:rsidRPr="009954EB" w:rsidRDefault="00153367" w:rsidP="00153367">
      <w:pPr>
        <w:pStyle w:val="Textonotapie"/>
        <w:jc w:val="both"/>
        <w:rPr>
          <w:rFonts w:ascii="Verdana" w:hAnsi="Verdana"/>
          <w:sz w:val="16"/>
          <w:szCs w:val="16"/>
          <w:lang w:val="es-CO"/>
        </w:rPr>
      </w:pPr>
    </w:p>
  </w:footnote>
  <w:footnote w:id="12">
    <w:p w14:paraId="68FE0224" w14:textId="77777777" w:rsidR="00153367" w:rsidRPr="009954EB" w:rsidRDefault="00153367" w:rsidP="00153367">
      <w:pPr>
        <w:pStyle w:val="Textonotapie"/>
        <w:ind w:firstLine="708"/>
        <w:jc w:val="both"/>
        <w:rPr>
          <w:rFonts w:ascii="Verdana" w:hAnsi="Verdana"/>
          <w:sz w:val="16"/>
          <w:szCs w:val="16"/>
          <w:lang w:val="es-CO"/>
        </w:rPr>
      </w:pPr>
      <w:r w:rsidRPr="009954EB">
        <w:rPr>
          <w:rFonts w:ascii="Verdana" w:hAnsi="Verdana"/>
          <w:sz w:val="16"/>
          <w:szCs w:val="16"/>
          <w:vertAlign w:val="superscript"/>
          <w:lang w:val="es-CO"/>
        </w:rPr>
        <w:footnoteRef/>
      </w:r>
      <w:r w:rsidRPr="009954EB">
        <w:rPr>
          <w:rFonts w:ascii="Verdana" w:hAnsi="Verdana"/>
          <w:sz w:val="16"/>
          <w:szCs w:val="16"/>
          <w:lang w:val="es-CO"/>
        </w:rPr>
        <w:t xml:space="preserve"> “En efecto, la Corte Constitucional definió́ </w:t>
      </w:r>
      <w:proofErr w:type="gramStart"/>
      <w:r w:rsidRPr="009954EB">
        <w:rPr>
          <w:rFonts w:ascii="Verdana" w:hAnsi="Verdana"/>
          <w:sz w:val="16"/>
          <w:szCs w:val="16"/>
          <w:lang w:val="es-CO"/>
        </w:rPr>
        <w:t>que</w:t>
      </w:r>
      <w:proofErr w:type="gramEnd"/>
      <w:r w:rsidRPr="009954EB">
        <w:rPr>
          <w:rFonts w:ascii="Verdana" w:hAnsi="Verdana"/>
          <w:sz w:val="16"/>
          <w:szCs w:val="16"/>
          <w:lang w:val="es-CO"/>
        </w:rPr>
        <w:t xml:space="preserve"> sin importar el tipo de relación laboral y la naturaleza de la discapacidad, todo trabajador en esta situación tiene derecho a que se le garantice la estabilidad laboral reforzada por estar en una condición de debilidad manifiesta. Por tanto, el empleador podrá́ únicamente mediante autorización del inspector de trabajo y por una justa causa objetiva desvincular al trabajador que presente una disminución física o psíquica en su organismo.</w:t>
      </w:r>
      <w:r w:rsidRPr="009954EB">
        <w:rPr>
          <w:rFonts w:ascii="Verdana" w:hAnsi="Verdana"/>
          <w:sz w:val="16"/>
          <w:szCs w:val="16"/>
          <w:lang w:val="es-CO"/>
        </w:rPr>
        <w:br/>
        <w:t xml:space="preserve">“(...) </w:t>
      </w:r>
    </w:p>
    <w:p w14:paraId="73A4FFBC" w14:textId="77777777" w:rsidR="00153367" w:rsidRPr="009954EB" w:rsidRDefault="00153367" w:rsidP="00153367">
      <w:pPr>
        <w:pStyle w:val="Textonotapie"/>
        <w:jc w:val="both"/>
        <w:rPr>
          <w:rFonts w:ascii="Verdana" w:hAnsi="Verdana"/>
          <w:sz w:val="16"/>
          <w:szCs w:val="16"/>
          <w:lang w:val="es-CO"/>
        </w:rPr>
      </w:pPr>
      <w:r w:rsidRPr="009954EB">
        <w:rPr>
          <w:rFonts w:ascii="Verdana" w:hAnsi="Verdana"/>
          <w:sz w:val="16"/>
          <w:szCs w:val="16"/>
          <w:lang w:val="es-CO"/>
        </w:rPr>
        <w:t>“Ahora bien, la relevancia que tiene el determinar o no la existencia de un contrato realidad tiene como consecuencia las órdenes a impartir en el caso concreto, (i) si se declara el contrato realidad y se configura un despido en razón de la discapacidad, se deberá́ ordenar el reintegro y se condenará al pago de la indemnización de 180 días de salario; y (</w:t>
      </w:r>
      <w:proofErr w:type="spellStart"/>
      <w:r w:rsidRPr="009954EB">
        <w:rPr>
          <w:rFonts w:ascii="Verdana" w:hAnsi="Verdana"/>
          <w:sz w:val="16"/>
          <w:szCs w:val="16"/>
          <w:lang w:val="es-CO"/>
        </w:rPr>
        <w:t>ii</w:t>
      </w:r>
      <w:proofErr w:type="spellEnd"/>
      <w:r w:rsidRPr="009954EB">
        <w:rPr>
          <w:rFonts w:ascii="Verdana" w:hAnsi="Verdana"/>
          <w:sz w:val="16"/>
          <w:szCs w:val="16"/>
          <w:lang w:val="es-CO"/>
        </w:rPr>
        <w:t xml:space="preserve">) si no se demuestra la existencia de un contrato laboral, es necesario probar que: (a) la situación de debilidad manifiesta del accionante requiere la actuación urgente del juez de tutela con el fin de evitar la ocurrencia de un perjuicio irremediable y (b) que sea evidente que la no renovación del contrato fue consecuencia del estado de salud del contratista; cumplidos los requisitos, el juez de tutela proferirá́ las ordenes que considere necesarias para superar la vulneración”. </w:t>
      </w:r>
    </w:p>
    <w:p w14:paraId="1BF3B547" w14:textId="77777777" w:rsidR="00153367" w:rsidRPr="009954EB" w:rsidRDefault="00153367" w:rsidP="00153367">
      <w:pPr>
        <w:pStyle w:val="Textonotapie"/>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F911" w14:textId="77777777" w:rsidR="00C14838" w:rsidRDefault="00C14838" w:rsidP="00AB7B5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CDAF5DA" wp14:editId="67166F67">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2BCBFFF" wp14:editId="7E1E83F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C6FC8BC" w14:textId="77777777" w:rsidR="00C14838" w:rsidRDefault="00C14838" w:rsidP="00AB7B56">
    <w:pPr>
      <w:pStyle w:val="Encabezado"/>
    </w:pPr>
  </w:p>
  <w:p w14:paraId="377499AE" w14:textId="77777777" w:rsidR="00C14838" w:rsidRPr="00AB7B56" w:rsidRDefault="00C14838" w:rsidP="00AB7B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376"/>
      </v:shape>
    </w:pic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300B609C"/>
    <w:multiLevelType w:val="multilevel"/>
    <w:tmpl w:val="FFFFFFFF"/>
    <w:lvl w:ilvl="0">
      <w:start w:val="3"/>
      <w:numFmt w:val="decimal"/>
      <w:lvlText w:val="%1"/>
      <w:lvlJc w:val="left"/>
      <w:pPr>
        <w:ind w:left="405" w:hanging="405"/>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2" w15:restartNumberingAfterBreak="0">
    <w:nsid w:val="39D726F5"/>
    <w:multiLevelType w:val="hybridMultilevel"/>
    <w:tmpl w:val="FC3AC1C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53234AA"/>
    <w:multiLevelType w:val="hybridMultilevel"/>
    <w:tmpl w:val="6010CB72"/>
    <w:lvl w:ilvl="0" w:tplc="D4AA1A76">
      <w:start w:val="1"/>
      <w:numFmt w:val="upp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5D6710E3"/>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6" w15:restartNumberingAfterBreak="0">
    <w:nsid w:val="6FD3394C"/>
    <w:multiLevelType w:val="hybridMultilevel"/>
    <w:tmpl w:val="FFFFFFFF"/>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533737983">
    <w:abstractNumId w:val="5"/>
  </w:num>
  <w:num w:numId="2" w16cid:durableId="712775026">
    <w:abstractNumId w:val="3"/>
  </w:num>
  <w:num w:numId="3" w16cid:durableId="30689115">
    <w:abstractNumId w:val="0"/>
  </w:num>
  <w:num w:numId="4" w16cid:durableId="577639815">
    <w:abstractNumId w:val="2"/>
  </w:num>
  <w:num w:numId="5" w16cid:durableId="193731864">
    <w:abstractNumId w:val="4"/>
  </w:num>
  <w:num w:numId="6" w16cid:durableId="1780877275">
    <w:abstractNumId w:val="1"/>
  </w:num>
  <w:num w:numId="7" w16cid:durableId="21101525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81A"/>
    <w:rsid w:val="00007CFC"/>
    <w:rsid w:val="00055687"/>
    <w:rsid w:val="00074993"/>
    <w:rsid w:val="00087A48"/>
    <w:rsid w:val="000C087C"/>
    <w:rsid w:val="000C4DE3"/>
    <w:rsid w:val="000E1E79"/>
    <w:rsid w:val="000F5A42"/>
    <w:rsid w:val="0011125E"/>
    <w:rsid w:val="00153367"/>
    <w:rsid w:val="001E5F3F"/>
    <w:rsid w:val="00232FE9"/>
    <w:rsid w:val="00272F9A"/>
    <w:rsid w:val="002D7806"/>
    <w:rsid w:val="002E1E3D"/>
    <w:rsid w:val="00301B95"/>
    <w:rsid w:val="00346F3D"/>
    <w:rsid w:val="003D39B0"/>
    <w:rsid w:val="0040181A"/>
    <w:rsid w:val="004577CE"/>
    <w:rsid w:val="004703E2"/>
    <w:rsid w:val="004D1395"/>
    <w:rsid w:val="005004B3"/>
    <w:rsid w:val="00546C9D"/>
    <w:rsid w:val="00547EBA"/>
    <w:rsid w:val="006045A4"/>
    <w:rsid w:val="00605A43"/>
    <w:rsid w:val="006360AA"/>
    <w:rsid w:val="006E3C72"/>
    <w:rsid w:val="006F273B"/>
    <w:rsid w:val="0072293E"/>
    <w:rsid w:val="00733503"/>
    <w:rsid w:val="00737EC2"/>
    <w:rsid w:val="00745DFC"/>
    <w:rsid w:val="00754F32"/>
    <w:rsid w:val="00795FDA"/>
    <w:rsid w:val="007C18F4"/>
    <w:rsid w:val="00804528"/>
    <w:rsid w:val="00841870"/>
    <w:rsid w:val="00876420"/>
    <w:rsid w:val="008A14D6"/>
    <w:rsid w:val="008B08B8"/>
    <w:rsid w:val="00940167"/>
    <w:rsid w:val="00990E9B"/>
    <w:rsid w:val="009954EB"/>
    <w:rsid w:val="009F151F"/>
    <w:rsid w:val="00A0121F"/>
    <w:rsid w:val="00A12218"/>
    <w:rsid w:val="00A90678"/>
    <w:rsid w:val="00AC5157"/>
    <w:rsid w:val="00B227F1"/>
    <w:rsid w:val="00B2788B"/>
    <w:rsid w:val="00B6082F"/>
    <w:rsid w:val="00B6559E"/>
    <w:rsid w:val="00B65F0F"/>
    <w:rsid w:val="00B8138A"/>
    <w:rsid w:val="00BA5928"/>
    <w:rsid w:val="00BB6FD3"/>
    <w:rsid w:val="00BC7E93"/>
    <w:rsid w:val="00C14838"/>
    <w:rsid w:val="00D076EA"/>
    <w:rsid w:val="00D11A4A"/>
    <w:rsid w:val="00D32AB5"/>
    <w:rsid w:val="00D34FFC"/>
    <w:rsid w:val="00D81EE5"/>
    <w:rsid w:val="00E21417"/>
    <w:rsid w:val="00E93CD7"/>
    <w:rsid w:val="00EB1069"/>
    <w:rsid w:val="00ED7343"/>
    <w:rsid w:val="00EE74F7"/>
    <w:rsid w:val="00F666B4"/>
    <w:rsid w:val="00F8357E"/>
    <w:rsid w:val="00FB540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B375D46"/>
  <w15:chartTrackingRefBased/>
  <w15:docId w15:val="{040FCEF1-9FCC-44CA-A7CF-E8A2BA903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81A"/>
    <w:rPr>
      <w:kern w:val="0"/>
    </w:rPr>
  </w:style>
  <w:style w:type="paragraph" w:styleId="Ttulo1">
    <w:name w:val="heading 1"/>
    <w:basedOn w:val="Normal"/>
    <w:next w:val="Normal"/>
    <w:link w:val="Ttulo1Car"/>
    <w:uiPriority w:val="9"/>
    <w:qFormat/>
    <w:rsid w:val="00401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01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018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018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018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018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018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018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018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018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018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018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018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018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018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018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018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0181A"/>
    <w:rPr>
      <w:rFonts w:eastAsiaTheme="majorEastAsia" w:cstheme="majorBidi"/>
      <w:color w:val="272727" w:themeColor="text1" w:themeTint="D8"/>
    </w:rPr>
  </w:style>
  <w:style w:type="paragraph" w:styleId="Ttulo">
    <w:name w:val="Title"/>
    <w:basedOn w:val="Normal"/>
    <w:next w:val="Normal"/>
    <w:link w:val="TtuloCar"/>
    <w:uiPriority w:val="10"/>
    <w:qFormat/>
    <w:rsid w:val="00401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018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018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018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0181A"/>
    <w:pPr>
      <w:spacing w:before="160"/>
      <w:jc w:val="center"/>
    </w:pPr>
    <w:rPr>
      <w:i/>
      <w:iCs/>
      <w:color w:val="404040" w:themeColor="text1" w:themeTint="BF"/>
    </w:rPr>
  </w:style>
  <w:style w:type="character" w:customStyle="1" w:styleId="CitaCar">
    <w:name w:val="Cita Car"/>
    <w:basedOn w:val="Fuentedeprrafopredeter"/>
    <w:link w:val="Cita"/>
    <w:uiPriority w:val="29"/>
    <w:rsid w:val="0040181A"/>
    <w:rPr>
      <w:i/>
      <w:iCs/>
      <w:color w:val="404040" w:themeColor="text1" w:themeTint="BF"/>
    </w:rPr>
  </w:style>
  <w:style w:type="paragraph" w:styleId="Prrafodelista">
    <w:name w:val="List Paragraph"/>
    <w:basedOn w:val="Normal"/>
    <w:uiPriority w:val="34"/>
    <w:qFormat/>
    <w:rsid w:val="0040181A"/>
    <w:pPr>
      <w:ind w:left="720"/>
      <w:contextualSpacing/>
    </w:pPr>
  </w:style>
  <w:style w:type="character" w:styleId="nfasisintenso">
    <w:name w:val="Intense Emphasis"/>
    <w:basedOn w:val="Fuentedeprrafopredeter"/>
    <w:uiPriority w:val="21"/>
    <w:qFormat/>
    <w:rsid w:val="0040181A"/>
    <w:rPr>
      <w:i/>
      <w:iCs/>
      <w:color w:val="0F4761" w:themeColor="accent1" w:themeShade="BF"/>
    </w:rPr>
  </w:style>
  <w:style w:type="paragraph" w:styleId="Citadestacada">
    <w:name w:val="Intense Quote"/>
    <w:basedOn w:val="Normal"/>
    <w:next w:val="Normal"/>
    <w:link w:val="CitadestacadaCar"/>
    <w:uiPriority w:val="30"/>
    <w:qFormat/>
    <w:rsid w:val="00401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0181A"/>
    <w:rPr>
      <w:i/>
      <w:iCs/>
      <w:color w:val="0F4761" w:themeColor="accent1" w:themeShade="BF"/>
    </w:rPr>
  </w:style>
  <w:style w:type="character" w:styleId="Referenciaintensa">
    <w:name w:val="Intense Reference"/>
    <w:basedOn w:val="Fuentedeprrafopredeter"/>
    <w:uiPriority w:val="32"/>
    <w:qFormat/>
    <w:rsid w:val="0040181A"/>
    <w:rPr>
      <w:b/>
      <w:bCs/>
      <w:smallCaps/>
      <w:color w:val="0F4761" w:themeColor="accent1" w:themeShade="BF"/>
      <w:spacing w:val="5"/>
    </w:rPr>
  </w:style>
  <w:style w:type="paragraph" w:styleId="Encabezado">
    <w:name w:val="header"/>
    <w:basedOn w:val="Normal"/>
    <w:link w:val="EncabezadoCar"/>
    <w:uiPriority w:val="99"/>
    <w:unhideWhenUsed/>
    <w:rsid w:val="004018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181A"/>
    <w:rPr>
      <w:kern w:val="0"/>
    </w:rPr>
  </w:style>
  <w:style w:type="paragraph" w:styleId="Piedepgina">
    <w:name w:val="footer"/>
    <w:basedOn w:val="Normal"/>
    <w:link w:val="PiedepginaCar"/>
    <w:uiPriority w:val="99"/>
    <w:unhideWhenUsed/>
    <w:rsid w:val="004018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0181A"/>
    <w:rPr>
      <w:kern w:val="0"/>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0181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0181A"/>
    <w:pPr>
      <w:spacing w:after="0" w:line="240" w:lineRule="auto"/>
    </w:pPr>
    <w:rPr>
      <w:kern w:val="2"/>
      <w:sz w:val="20"/>
      <w:szCs w:val="20"/>
      <w:lang w:val="es-MX"/>
    </w:rPr>
  </w:style>
  <w:style w:type="character" w:customStyle="1" w:styleId="TextonotapieCar1">
    <w:name w:val="Texto nota pie Car1"/>
    <w:basedOn w:val="Fuentedeprrafopredeter"/>
    <w:uiPriority w:val="99"/>
    <w:semiHidden/>
    <w:rsid w:val="0040181A"/>
    <w:rPr>
      <w:kern w:val="0"/>
      <w:sz w:val="20"/>
      <w:szCs w:val="20"/>
    </w:rPr>
  </w:style>
  <w:style w:type="character" w:customStyle="1" w:styleId="normaltextrun">
    <w:name w:val="normaltextrun"/>
    <w:basedOn w:val="Fuentedeprrafopredeter"/>
    <w:rsid w:val="0040181A"/>
  </w:style>
  <w:style w:type="character" w:styleId="Hipervnculo">
    <w:name w:val="Hyperlink"/>
    <w:basedOn w:val="Fuentedeprrafopredeter"/>
    <w:uiPriority w:val="99"/>
    <w:unhideWhenUsed/>
    <w:rsid w:val="0040181A"/>
    <w:rPr>
      <w:color w:val="467886" w:themeColor="hyperlink"/>
      <w:u w:val="single"/>
    </w:rPr>
  </w:style>
  <w:style w:type="paragraph" w:customStyle="1" w:styleId="paragraph">
    <w:name w:val="paragraph"/>
    <w:basedOn w:val="Normal"/>
    <w:rsid w:val="0040181A"/>
    <w:pPr>
      <w:spacing w:before="100" w:beforeAutospacing="1" w:after="100" w:afterAutospacing="1" w:line="240" w:lineRule="auto"/>
    </w:pPr>
    <w:rPr>
      <w:rFonts w:ascii="Times New Roman" w:eastAsia="Times New Roman" w:hAnsi="Times New Roman" w:cs="Times New Roman"/>
      <w:sz w:val="24"/>
      <w:szCs w:val="24"/>
      <w:lang w:eastAsia="es-ES_tradnl"/>
      <w14:ligatures w14:val="none"/>
    </w:rPr>
  </w:style>
  <w:style w:type="table" w:styleId="Tablaconcuadrcula">
    <w:name w:val="Table Grid"/>
    <w:basedOn w:val="Tablanormal"/>
    <w:uiPriority w:val="39"/>
    <w:qFormat/>
    <w:rsid w:val="004018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40181A"/>
    <w:rPr>
      <w:color w:val="605E5C"/>
      <w:shd w:val="clear" w:color="auto" w:fill="E1DFDD"/>
    </w:rPr>
  </w:style>
  <w:style w:type="table" w:customStyle="1" w:styleId="Tablaconcuadrcula1">
    <w:name w:val="Tabla con cuadrícula1"/>
    <w:basedOn w:val="Tablanormal"/>
    <w:next w:val="Tablaconcuadrcula"/>
    <w:uiPriority w:val="39"/>
    <w:qFormat/>
    <w:rsid w:val="00D11A4A"/>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611222">
      <w:bodyDiv w:val="1"/>
      <w:marLeft w:val="0"/>
      <w:marRight w:val="0"/>
      <w:marTop w:val="0"/>
      <w:marBottom w:val="0"/>
      <w:divBdr>
        <w:top w:val="none" w:sz="0" w:space="0" w:color="auto"/>
        <w:left w:val="none" w:sz="0" w:space="0" w:color="auto"/>
        <w:bottom w:val="none" w:sz="0" w:space="0" w:color="auto"/>
        <w:right w:val="none" w:sz="0" w:space="0" w:color="auto"/>
      </w:divBdr>
    </w:div>
    <w:div w:id="1257863249">
      <w:bodyDiv w:val="1"/>
      <w:marLeft w:val="0"/>
      <w:marRight w:val="0"/>
      <w:marTop w:val="0"/>
      <w:marBottom w:val="0"/>
      <w:divBdr>
        <w:top w:val="none" w:sz="0" w:space="0" w:color="auto"/>
        <w:left w:val="none" w:sz="0" w:space="0" w:color="auto"/>
        <w:bottom w:val="none" w:sz="0" w:space="0" w:color="auto"/>
        <w:right w:val="none" w:sz="0" w:space="0" w:color="auto"/>
      </w:divBdr>
      <w:divsChild>
        <w:div w:id="2055422977">
          <w:marLeft w:val="0"/>
          <w:marRight w:val="0"/>
          <w:marTop w:val="0"/>
          <w:marBottom w:val="0"/>
          <w:divBdr>
            <w:top w:val="none" w:sz="0" w:space="0" w:color="auto"/>
            <w:left w:val="none" w:sz="0" w:space="0" w:color="auto"/>
            <w:bottom w:val="none" w:sz="0" w:space="0" w:color="auto"/>
            <w:right w:val="none" w:sz="0" w:space="0" w:color="auto"/>
          </w:divBdr>
        </w:div>
      </w:divsChild>
    </w:div>
    <w:div w:id="1971664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34C1B4-63C1-472A-9857-E1A22B0C7F61}">
  <ds:schemaRef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a6cb9e4b-f1d1-4245-83ec-6cad768d538a"/>
    <ds:schemaRef ds:uri="http://www.w3.org/XML/1998/namespace"/>
    <ds:schemaRef ds:uri="http://purl.org/dc/dcmitype/"/>
  </ds:schemaRefs>
</ds:datastoreItem>
</file>

<file path=customXml/itemProps2.xml><?xml version="1.0" encoding="utf-8"?>
<ds:datastoreItem xmlns:ds="http://schemas.openxmlformats.org/officeDocument/2006/customXml" ds:itemID="{8D8C4102-AB6A-4E1E-9B21-3BBC2CFB0EB4}">
  <ds:schemaRefs>
    <ds:schemaRef ds:uri="http://schemas.microsoft.com/sharepoint/v3/contenttype/forms"/>
  </ds:schemaRefs>
</ds:datastoreItem>
</file>

<file path=customXml/itemProps3.xml><?xml version="1.0" encoding="utf-8"?>
<ds:datastoreItem xmlns:ds="http://schemas.openxmlformats.org/officeDocument/2006/customXml" ds:itemID="{7FF96BA4-1A7D-4BE7-87C8-58D867C3E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16</Pages>
  <Words>4887</Words>
  <Characters>26880</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Sergio Andrés Rivera Cano</cp:lastModifiedBy>
  <cp:revision>2</cp:revision>
  <dcterms:created xsi:type="dcterms:W3CDTF">2025-08-29T14:08:00Z</dcterms:created>
  <dcterms:modified xsi:type="dcterms:W3CDTF">2025-08-29T14:08:00Z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