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249A3"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lang w:val="es-ES"/>
        </w:rPr>
        <w:t>LEY DE GARANTÍAS ELECTORALES – Definición – Finalidad </w:t>
      </w:r>
      <w:r>
        <w:rPr>
          <w:rStyle w:val="eop"/>
          <w:rFonts w:ascii="Arial" w:hAnsi="Arial" w:cs="Arial"/>
          <w:sz w:val="22"/>
          <w:szCs w:val="22"/>
        </w:rPr>
        <w:t> </w:t>
      </w:r>
    </w:p>
    <w:p w14:paraId="403FC6E2"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1"/>
          <w:szCs w:val="21"/>
        </w:rPr>
        <w:t> </w:t>
      </w:r>
    </w:p>
    <w:p w14:paraId="69BDAFAE"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1"/>
          <w:szCs w:val="21"/>
          <w:lang w:val="es-ES"/>
        </w:rPr>
        <w:t xml:space="preserve">[…] </w:t>
      </w:r>
      <w:r>
        <w:rPr>
          <w:rStyle w:val="normaltextrun"/>
          <w:rFonts w:ascii="Arial" w:hAnsi="Arial" w:cs="Arial"/>
          <w:sz w:val="21"/>
          <w:szCs w:val="21"/>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Pr>
          <w:rStyle w:val="normaltextrun"/>
          <w:rFonts w:ascii="Arial" w:hAnsi="Arial" w:cs="Arial"/>
          <w:sz w:val="21"/>
          <w:szCs w:val="21"/>
          <w:lang w:val="es-ES"/>
        </w:rPr>
        <w:t xml:space="preserve"> […]</w:t>
      </w:r>
      <w:r>
        <w:rPr>
          <w:rStyle w:val="eop"/>
          <w:rFonts w:ascii="Arial" w:hAnsi="Arial" w:cs="Arial"/>
          <w:sz w:val="21"/>
          <w:szCs w:val="21"/>
        </w:rPr>
        <w:t> </w:t>
      </w:r>
    </w:p>
    <w:p w14:paraId="2D098F69"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1"/>
          <w:szCs w:val="21"/>
        </w:rPr>
        <w:t> </w:t>
      </w:r>
    </w:p>
    <w:p w14:paraId="62CF89E2"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1"/>
          <w:szCs w:val="21"/>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Pr>
          <w:rStyle w:val="eop"/>
          <w:rFonts w:ascii="Arial" w:hAnsi="Arial" w:cs="Arial"/>
          <w:sz w:val="21"/>
          <w:szCs w:val="21"/>
        </w:rPr>
        <w:t> </w:t>
      </w:r>
    </w:p>
    <w:p w14:paraId="4EE97BAB"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1"/>
          <w:szCs w:val="21"/>
        </w:rPr>
        <w:t> </w:t>
      </w:r>
    </w:p>
    <w:p w14:paraId="6E3A1D6B"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LEY DE GARANTÍAS ELECTORALES ‒ Prohibición por elección de cargos populares – Convenios y contratos interadministrativos – Parágrafo del artículo 38</w:t>
      </w:r>
      <w:r>
        <w:rPr>
          <w:rStyle w:val="eop"/>
          <w:rFonts w:ascii="Arial" w:hAnsi="Arial" w:cs="Arial"/>
          <w:sz w:val="22"/>
          <w:szCs w:val="22"/>
        </w:rPr>
        <w:t> </w:t>
      </w:r>
    </w:p>
    <w:p w14:paraId="46878AF5"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1"/>
          <w:szCs w:val="21"/>
        </w:rPr>
        <w:t> </w:t>
      </w:r>
    </w:p>
    <w:p w14:paraId="58EAA0DC"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1"/>
          <w:szCs w:val="21"/>
        </w:rPr>
        <w:t xml:space="preserve">El parágrafo del artículo 38 de la Ley 996 de 2005 dispone que “[l]os Gobernadores, </w:t>
      </w:r>
      <w:proofErr w:type="gramStart"/>
      <w:r>
        <w:rPr>
          <w:rStyle w:val="normaltextrun"/>
          <w:rFonts w:ascii="Arial" w:hAnsi="Arial" w:cs="Arial"/>
          <w:sz w:val="21"/>
          <w:szCs w:val="21"/>
        </w:rPr>
        <w:t>Alcaldes</w:t>
      </w:r>
      <w:proofErr w:type="gramEnd"/>
      <w:r>
        <w:rPr>
          <w:rStyle w:val="normaltextrun"/>
          <w:rFonts w:ascii="Arial" w:hAnsi="Arial" w:cs="Arial"/>
          <w:sz w:val="21"/>
          <w:szCs w:val="21"/>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Pr>
          <w:rStyle w:val="eop"/>
          <w:rFonts w:ascii="Arial" w:hAnsi="Arial" w:cs="Arial"/>
          <w:sz w:val="21"/>
          <w:szCs w:val="21"/>
        </w:rPr>
        <w:t> </w:t>
      </w:r>
    </w:p>
    <w:p w14:paraId="3C29F92E"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31492AB6"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1"/>
          <w:szCs w:val="21"/>
          <w:lang w:val="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r>
        <w:rPr>
          <w:rStyle w:val="eop"/>
          <w:rFonts w:ascii="Arial" w:hAnsi="Arial" w:cs="Arial"/>
          <w:sz w:val="21"/>
          <w:szCs w:val="21"/>
        </w:rPr>
        <w:t> </w:t>
      </w:r>
    </w:p>
    <w:p w14:paraId="5EF84927"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w:t>
      </w:r>
      <w:r>
        <w:rPr>
          <w:rStyle w:val="eop"/>
          <w:rFonts w:ascii="Arial" w:hAnsi="Arial" w:cs="Arial"/>
        </w:rPr>
        <w:t> </w:t>
      </w:r>
    </w:p>
    <w:p w14:paraId="761B507B"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 </w:t>
      </w:r>
      <w:r>
        <w:rPr>
          <w:rStyle w:val="normaltextrun"/>
          <w:rFonts w:ascii="Arial" w:hAnsi="Arial" w:cs="Arial"/>
          <w:sz w:val="20"/>
          <w:szCs w:val="20"/>
          <w:lang w:val="es-ES"/>
        </w:rPr>
        <w:t>lo que define los contratos o convenios interadministrativos es la naturaleza de las partes, de manera que están determinados por un criterio orgánico, en el sentido de que lo serán aquellos celebrados entre entidades estatales. Además, no existe una diferencia en los conceptos de contrato y convenio, por lo que se asimilaron para la aplicación de la Ley de Garantías Electorales.</w:t>
      </w:r>
      <w:r>
        <w:rPr>
          <w:rStyle w:val="eop"/>
          <w:rFonts w:ascii="Arial" w:hAnsi="Arial" w:cs="Arial"/>
        </w:rPr>
        <w:t> </w:t>
      </w:r>
    </w:p>
    <w:p w14:paraId="10EB6D6E" w14:textId="77777777" w:rsidR="00BD49F2" w:rsidRDefault="00BD49F2" w:rsidP="00BD49F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w:t>
      </w:r>
      <w:r>
        <w:rPr>
          <w:rStyle w:val="eop"/>
          <w:rFonts w:ascii="Arial" w:hAnsi="Arial" w:cs="Arial"/>
          <w:sz w:val="22"/>
          <w:szCs w:val="22"/>
        </w:rPr>
        <w:t> </w:t>
      </w:r>
    </w:p>
    <w:p w14:paraId="32D1DA6C"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r>
        <w:rPr>
          <w:rStyle w:val="normaltextrun"/>
          <w:rFonts w:ascii="Arial" w:hAnsi="Arial" w:cs="Arial"/>
          <w:sz w:val="21"/>
          <w:szCs w:val="21"/>
        </w:rPr>
        <w:t>[…] las restricciones contractuales establecidas en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de las entidades descritas en el parágrafo ibidem,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r>
        <w:rPr>
          <w:rStyle w:val="eop"/>
          <w:rFonts w:ascii="Arial" w:hAnsi="Arial" w:cs="Arial"/>
          <w:sz w:val="21"/>
          <w:szCs w:val="21"/>
        </w:rPr>
        <w:t> </w:t>
      </w:r>
    </w:p>
    <w:p w14:paraId="37B52352"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p>
    <w:p w14:paraId="3B18E292"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p>
    <w:p w14:paraId="44B8D674" w14:textId="77777777" w:rsidR="00BD49F2" w:rsidRPr="00323C6D" w:rsidRDefault="00BD49F2" w:rsidP="00BD49F2">
      <w:pPr>
        <w:pStyle w:val="paragraph"/>
        <w:spacing w:before="0" w:beforeAutospacing="0" w:after="0" w:afterAutospacing="0"/>
        <w:jc w:val="both"/>
        <w:textAlignment w:val="baseline"/>
        <w:rPr>
          <w:rStyle w:val="normaltextrun"/>
          <w:rFonts w:ascii="Arial" w:hAnsi="Arial" w:cs="Arial"/>
          <w:b/>
          <w:bCs/>
          <w:sz w:val="22"/>
          <w:szCs w:val="22"/>
          <w:lang w:val="es-ES"/>
        </w:rPr>
      </w:pPr>
      <w:r w:rsidRPr="00323C6D">
        <w:rPr>
          <w:rStyle w:val="normaltextrun"/>
          <w:rFonts w:ascii="Arial" w:hAnsi="Arial" w:cs="Arial"/>
          <w:b/>
          <w:bCs/>
          <w:sz w:val="22"/>
          <w:szCs w:val="22"/>
          <w:lang w:val="es-ES"/>
        </w:rPr>
        <w:t>CONVENIOS DE ASOCIACIÓN – Contratación con ESAL</w:t>
      </w:r>
    </w:p>
    <w:p w14:paraId="0207EAB3"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p>
    <w:p w14:paraId="04C37E3E" w14:textId="77777777" w:rsidR="00BD49F2" w:rsidRPr="00BC0CBD" w:rsidRDefault="00BD49F2" w:rsidP="00BD49F2">
      <w:pPr>
        <w:pStyle w:val="paragraph"/>
        <w:spacing w:before="0" w:beforeAutospacing="0" w:after="0" w:afterAutospacing="0"/>
        <w:jc w:val="both"/>
        <w:textAlignment w:val="baseline"/>
        <w:rPr>
          <w:rStyle w:val="normaltextrun"/>
          <w:rFonts w:ascii="Arial" w:hAnsi="Arial" w:cs="Arial"/>
          <w:sz w:val="21"/>
          <w:szCs w:val="21"/>
          <w:lang w:val="es-ES"/>
        </w:rPr>
      </w:pPr>
      <w:r>
        <w:rPr>
          <w:rStyle w:val="normaltextrun"/>
          <w:rFonts w:ascii="Arial" w:hAnsi="Arial" w:cs="Arial"/>
          <w:sz w:val="21"/>
          <w:szCs w:val="21"/>
          <w:lang w:val="es-ES"/>
        </w:rPr>
        <w:t xml:space="preserve">[…] </w:t>
      </w:r>
      <w:r w:rsidRPr="00BC0CBD">
        <w:rPr>
          <w:rStyle w:val="normaltextrun"/>
          <w:rFonts w:ascii="Arial" w:hAnsi="Arial" w:cs="Arial"/>
          <w:sz w:val="21"/>
          <w:szCs w:val="21"/>
          <w:lang w:val="es-ES"/>
        </w:rPr>
        <w:t>es pertinente aclarar que la restricción del parágrafo del artículo 38 de la Ley 996 de 2005 no cobija a los contratos y/o convenios de Asociación suscritos con Entidades Privadas. Se reitera que la mencionada restricción de este parágrafo recae sobre la celebrar de convenios y contratos interadministrativos para la ejecución de recursos públicos. Distinto es el evento de la restricción de la prohibición del artículo 33 de la Ley 996 de 2005, la cual prohíbe, como se mencionó con anterioridad, la modalidad de selección de contratación directa y por ende restringe la celebración de los contratos y/o convenios de Asociación suscritos con Entidades Privadas que se adelanten a través de contratación directa. En todo caso, la restricción del artículo 33 de la Ley 996 de 2005 no cobra relevancia para los presentes comicios para cargos de elección popular programadas para el año 2023, por esta razón no estarán prohibidos los contratos y/o convenios de Asociación suscritos con Entidades Privadas.</w:t>
      </w:r>
    </w:p>
    <w:p w14:paraId="5ACEC041"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p>
    <w:p w14:paraId="48B26322"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p>
    <w:p w14:paraId="7E91DE9F"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r w:rsidRPr="00BC0CBD">
        <w:rPr>
          <w:rStyle w:val="normaltextrun"/>
          <w:rFonts w:ascii="Arial" w:hAnsi="Arial" w:cs="Arial"/>
          <w:b/>
          <w:bCs/>
          <w:sz w:val="22"/>
          <w:szCs w:val="22"/>
        </w:rPr>
        <w:t>CONTRATO DE PRESTACIÓN DE SERVICIOS – Restricción – Artículo 33</w:t>
      </w:r>
    </w:p>
    <w:p w14:paraId="3D1680B5"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p>
    <w:p w14:paraId="23547ED7" w14:textId="77777777" w:rsidR="00BD49F2" w:rsidRPr="00BC0CBD" w:rsidRDefault="00BD49F2" w:rsidP="00BD49F2">
      <w:pPr>
        <w:pStyle w:val="paragraph"/>
        <w:spacing w:after="0"/>
        <w:jc w:val="both"/>
        <w:textAlignment w:val="baseline"/>
        <w:rPr>
          <w:rStyle w:val="eop"/>
          <w:rFonts w:ascii="Arial" w:hAnsi="Arial" w:cs="Arial"/>
          <w:sz w:val="21"/>
          <w:szCs w:val="21"/>
        </w:rPr>
      </w:pPr>
      <w:r w:rsidRPr="00BC0CBD">
        <w:rPr>
          <w:rStyle w:val="eop"/>
          <w:rFonts w:ascii="Arial" w:hAnsi="Arial" w:cs="Arial"/>
          <w:sz w:val="21"/>
          <w:szCs w:val="21"/>
        </w:rPr>
        <w:t xml:space="preserve">La celebración de contratos de prestación de servicios profesionales y de apoyo a la gestión se restringe en el evento previsto en el artículo 33 de la Ley 996 de 2005, por ser la contratación directa la modalidad de selección prevista para celebración contratos de prestación de servicios. Distinto ocurre con la restricción del parágrafo del artículo 38 de la Ley 996 de 2005 que, como vimos, prohíbe la celebración de convenios interadministrativos que impliquen la ejecución de recursos públicos dentro de los cuatro (4) meses anteriores a la respectiva jornada de votaciones. </w:t>
      </w:r>
    </w:p>
    <w:p w14:paraId="7B92C4D6"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r w:rsidRPr="00BC0CBD">
        <w:rPr>
          <w:rStyle w:val="eop"/>
          <w:rFonts w:ascii="Arial" w:hAnsi="Arial" w:cs="Arial"/>
          <w:sz w:val="21"/>
          <w:szCs w:val="21"/>
        </w:rPr>
        <w:t>Para efectos de esta prohibición, la del del parágrafo del artículo 38 de la Ley 996 de 2005,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 En esta medida, la restricción del artículo 38 de la Ley 996 de 2005 no aplica a los contratos de prestación de servicios profesionales y de apoyo a la gestión.</w:t>
      </w:r>
    </w:p>
    <w:p w14:paraId="48963190" w14:textId="77777777" w:rsidR="00BD49F2" w:rsidRDefault="00BD49F2" w:rsidP="00BD49F2">
      <w:pPr>
        <w:pStyle w:val="paragraph"/>
        <w:spacing w:before="0" w:beforeAutospacing="0" w:after="0" w:afterAutospacing="0"/>
        <w:jc w:val="both"/>
        <w:textAlignment w:val="baseline"/>
        <w:rPr>
          <w:rStyle w:val="eop"/>
          <w:rFonts w:ascii="Arial" w:hAnsi="Arial" w:cs="Arial"/>
          <w:sz w:val="21"/>
          <w:szCs w:val="21"/>
        </w:rPr>
      </w:pPr>
    </w:p>
    <w:p w14:paraId="7D54A0D3" w14:textId="77777777" w:rsidR="00833452" w:rsidRDefault="00833452" w:rsidP="00526E9D">
      <w:pPr>
        <w:rPr>
          <w:rFonts w:ascii="Geomanist Light" w:eastAsia="Times New Roman" w:hAnsi="Geomanist Light" w:cs="Arial"/>
          <w:b/>
          <w:bCs/>
          <w:lang w:val="es-MX" w:eastAsia="es-CO"/>
        </w:rPr>
      </w:pPr>
    </w:p>
    <w:p w14:paraId="4A6329FD" w14:textId="77777777" w:rsidR="00BD49F2" w:rsidRDefault="00BD49F2" w:rsidP="00526E9D">
      <w:pPr>
        <w:rPr>
          <w:rFonts w:ascii="Geomanist Light" w:eastAsia="Times New Roman" w:hAnsi="Geomanist Light" w:cs="Arial"/>
          <w:b/>
          <w:bCs/>
          <w:lang w:val="es-MX" w:eastAsia="es-CO"/>
        </w:rPr>
      </w:pPr>
    </w:p>
    <w:p w14:paraId="0DE38C42" w14:textId="77777777" w:rsidR="00BD49F2" w:rsidRDefault="00BD49F2" w:rsidP="00526E9D">
      <w:pPr>
        <w:rPr>
          <w:rFonts w:ascii="Geomanist Light" w:eastAsia="Times New Roman" w:hAnsi="Geomanist Light" w:cs="Arial"/>
          <w:b/>
          <w:bCs/>
          <w:lang w:val="es-MX" w:eastAsia="es-CO"/>
        </w:rPr>
      </w:pPr>
    </w:p>
    <w:p w14:paraId="58FC26D9" w14:textId="77777777" w:rsidR="00BD49F2" w:rsidRDefault="00BD49F2" w:rsidP="00526E9D">
      <w:pPr>
        <w:rPr>
          <w:rFonts w:ascii="Geomanist Light" w:eastAsia="Times New Roman" w:hAnsi="Geomanist Light" w:cs="Arial"/>
          <w:b/>
          <w:bCs/>
          <w:lang w:val="es-MX" w:eastAsia="es-CO"/>
        </w:rPr>
      </w:pPr>
    </w:p>
    <w:p w14:paraId="1697D46B" w14:textId="77777777" w:rsidR="00BD49F2" w:rsidRDefault="00BD49F2" w:rsidP="00526E9D">
      <w:pPr>
        <w:rPr>
          <w:rFonts w:ascii="Geomanist Light" w:eastAsia="Times New Roman" w:hAnsi="Geomanist Light" w:cs="Arial"/>
          <w:b/>
          <w:bCs/>
          <w:lang w:val="es-MX" w:eastAsia="es-CO"/>
        </w:rPr>
      </w:pPr>
    </w:p>
    <w:p w14:paraId="3A56DA8E" w14:textId="77777777" w:rsidR="00BD49F2" w:rsidRDefault="00BD49F2" w:rsidP="00526E9D">
      <w:pPr>
        <w:rPr>
          <w:rFonts w:ascii="Geomanist Light" w:eastAsia="Times New Roman" w:hAnsi="Geomanist Light" w:cs="Arial"/>
          <w:b/>
          <w:bCs/>
          <w:lang w:val="es-MX" w:eastAsia="es-CO"/>
        </w:rPr>
      </w:pPr>
    </w:p>
    <w:p w14:paraId="197E1A6E" w14:textId="77777777" w:rsidR="00BD49F2" w:rsidRDefault="00BD49F2" w:rsidP="00526E9D">
      <w:pPr>
        <w:rPr>
          <w:rFonts w:ascii="Geomanist Light" w:eastAsia="Times New Roman" w:hAnsi="Geomanist Light" w:cs="Arial"/>
          <w:b/>
          <w:bCs/>
          <w:lang w:val="es-MX" w:eastAsia="es-CO"/>
        </w:rPr>
      </w:pPr>
    </w:p>
    <w:p w14:paraId="5BF44A04" w14:textId="77777777" w:rsidR="00BD49F2" w:rsidRDefault="00BD49F2" w:rsidP="00526E9D">
      <w:pPr>
        <w:rPr>
          <w:rFonts w:ascii="Geomanist Light" w:eastAsia="Times New Roman" w:hAnsi="Geomanist Light" w:cs="Arial"/>
          <w:b/>
          <w:bCs/>
          <w:lang w:val="es-MX" w:eastAsia="es-CO"/>
        </w:rPr>
      </w:pPr>
    </w:p>
    <w:p w14:paraId="3624807F" w14:textId="06F47D8A" w:rsidR="00C9405D" w:rsidRDefault="00BD49F2" w:rsidP="00BD49F2">
      <w:pPr>
        <w:spacing w:after="0" w:line="240" w:lineRule="auto"/>
        <w:jc w:val="right"/>
        <w:rPr>
          <w:rFonts w:ascii="Geomanist Light" w:hAnsi="Geomanist Light"/>
          <w:b/>
          <w:color w:val="002060"/>
          <w:lang w:val="es-ES"/>
        </w:rPr>
      </w:pPr>
      <w:r w:rsidRPr="00BD49F2">
        <w:rPr>
          <w:rFonts w:ascii="Geomanist Light" w:eastAsia="Geomanist Light" w:hAnsi="Geomanist Light" w:cs="Geomanist Light"/>
          <w:noProof/>
          <w:color w:val="000000" w:themeColor="text1"/>
          <w:lang w:val="es-MX"/>
        </w:rPr>
        <w:drawing>
          <wp:inline distT="0" distB="0" distL="0" distR="0" wp14:anchorId="3CA5158B" wp14:editId="1EC2E207">
            <wp:extent cx="3229708" cy="820420"/>
            <wp:effectExtent l="0" t="0" r="8890" b="0"/>
            <wp:docPr id="2414769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9434" cy="822891"/>
                    </a:xfrm>
                    <a:prstGeom prst="rect">
                      <a:avLst/>
                    </a:prstGeom>
                    <a:noFill/>
                    <a:ln>
                      <a:noFill/>
                    </a:ln>
                  </pic:spPr>
                </pic:pic>
              </a:graphicData>
            </a:graphic>
          </wp:inline>
        </w:drawing>
      </w:r>
      <w:bookmarkStart w:id="0" w:name="_Hlk34951122"/>
    </w:p>
    <w:bookmarkEnd w:id="0"/>
    <w:p w14:paraId="50D5257E" w14:textId="77777777" w:rsidR="00EB0A4D" w:rsidRPr="00EB0A4D" w:rsidRDefault="00EB0A4D" w:rsidP="00EB0A4D">
      <w:pPr>
        <w:spacing w:after="0" w:line="276" w:lineRule="auto"/>
        <w:contextualSpacing/>
        <w:jc w:val="both"/>
        <w:rPr>
          <w:rFonts w:ascii="Arial" w:eastAsia="Calibri" w:hAnsi="Arial" w:cs="Arial"/>
        </w:rPr>
      </w:pPr>
      <w:r w:rsidRPr="00EB0A4D">
        <w:rPr>
          <w:rFonts w:ascii="Arial" w:eastAsia="Calibri" w:hAnsi="Arial" w:cs="Arial"/>
        </w:rPr>
        <w:t>Señor</w:t>
      </w:r>
    </w:p>
    <w:p w14:paraId="1C0C3F32" w14:textId="77777777" w:rsidR="00EB0A4D" w:rsidRPr="00EB0A4D" w:rsidRDefault="00EB0A4D" w:rsidP="00EB0A4D">
      <w:pPr>
        <w:spacing w:after="0" w:line="276" w:lineRule="auto"/>
        <w:contextualSpacing/>
        <w:jc w:val="both"/>
        <w:rPr>
          <w:rFonts w:ascii="Arial" w:eastAsia="Calibri" w:hAnsi="Arial" w:cs="Arial"/>
          <w:b/>
          <w:bCs/>
        </w:rPr>
      </w:pPr>
      <w:r w:rsidRPr="00EB0A4D">
        <w:rPr>
          <w:rFonts w:ascii="Arial" w:eastAsia="Calibri" w:hAnsi="Arial" w:cs="Arial"/>
          <w:b/>
          <w:bCs/>
        </w:rPr>
        <w:t xml:space="preserve">Ricardo Agudelo Sedano </w:t>
      </w:r>
    </w:p>
    <w:p w14:paraId="1CE134A3" w14:textId="77777777" w:rsidR="00EB0A4D" w:rsidRPr="00EB0A4D" w:rsidRDefault="00EB0A4D" w:rsidP="00EB0A4D">
      <w:pPr>
        <w:spacing w:after="0" w:line="276" w:lineRule="auto"/>
        <w:contextualSpacing/>
        <w:jc w:val="both"/>
        <w:rPr>
          <w:rFonts w:ascii="Arial" w:eastAsia="Calibri" w:hAnsi="Arial" w:cs="Arial"/>
        </w:rPr>
      </w:pPr>
      <w:r w:rsidRPr="00EB0A4D">
        <w:rPr>
          <w:rFonts w:ascii="Arial" w:eastAsia="Calibri" w:hAnsi="Arial" w:cs="Arial"/>
        </w:rPr>
        <w:t>Región Administrativa y de Planeación Especial RAP-E</w:t>
      </w:r>
    </w:p>
    <w:p w14:paraId="06AD1208" w14:textId="77777777" w:rsidR="00EB0A4D" w:rsidRPr="00EB0A4D" w:rsidRDefault="00EB0A4D" w:rsidP="00EB0A4D">
      <w:pPr>
        <w:spacing w:after="0" w:line="276" w:lineRule="auto"/>
        <w:contextualSpacing/>
        <w:jc w:val="both"/>
        <w:rPr>
          <w:rFonts w:ascii="Arial" w:eastAsia="Calibri" w:hAnsi="Arial" w:cs="Arial"/>
        </w:rPr>
      </w:pPr>
      <w:r w:rsidRPr="00EB0A4D">
        <w:rPr>
          <w:rFonts w:ascii="Arial" w:eastAsia="Calibri" w:hAnsi="Arial" w:cs="Arial"/>
        </w:rPr>
        <w:t>Bogotá D.C.</w:t>
      </w:r>
    </w:p>
    <w:p w14:paraId="389974F4" w14:textId="77777777" w:rsidR="00EB0A4D" w:rsidRPr="00EB0A4D" w:rsidRDefault="00EB0A4D" w:rsidP="00EB0A4D">
      <w:pPr>
        <w:spacing w:after="0" w:line="240" w:lineRule="auto"/>
        <w:contextualSpacing/>
        <w:jc w:val="both"/>
        <w:rPr>
          <w:rFonts w:ascii="Arial" w:eastAsia="Calibri" w:hAnsi="Arial" w:cs="Arial"/>
        </w:rPr>
      </w:pPr>
    </w:p>
    <w:p w14:paraId="72288962" w14:textId="77777777" w:rsidR="00EB0A4D" w:rsidRPr="00EB0A4D" w:rsidRDefault="00EB0A4D" w:rsidP="00EB0A4D">
      <w:pPr>
        <w:spacing w:after="0" w:line="240" w:lineRule="auto"/>
        <w:contextualSpacing/>
        <w:jc w:val="both"/>
        <w:rPr>
          <w:rFonts w:ascii="Arial" w:eastAsia="Calibri" w:hAnsi="Arial" w:cs="Arial"/>
        </w:rPr>
      </w:pPr>
      <w:r w:rsidRPr="00EB0A4D">
        <w:rPr>
          <w:rFonts w:ascii="Arial" w:eastAsia="Calibri" w:hAnsi="Arial" w:cs="Arial"/>
        </w:rPr>
        <w:t xml:space="preserve">                                            </w:t>
      </w:r>
      <w:r w:rsidRPr="00EB0A4D">
        <w:rPr>
          <w:rFonts w:ascii="Arial" w:eastAsia="Calibri" w:hAnsi="Arial" w:cs="Arial"/>
          <w:b/>
        </w:rPr>
        <w:t>Concepto C–105 de 2023</w:t>
      </w:r>
    </w:p>
    <w:p w14:paraId="182B5F27" w14:textId="77777777" w:rsidR="00EB0A4D" w:rsidRPr="00EB0A4D" w:rsidRDefault="00EB0A4D" w:rsidP="00EB0A4D">
      <w:pPr>
        <w:spacing w:after="0" w:line="240" w:lineRule="auto"/>
        <w:contextualSpacing/>
        <w:jc w:val="both"/>
        <w:rPr>
          <w:rFonts w:ascii="Arial" w:eastAsia="Calibri" w:hAnsi="Arial" w:cs="Arial"/>
          <w:b/>
        </w:rPr>
      </w:pPr>
    </w:p>
    <w:p w14:paraId="52EE1A08" w14:textId="77777777" w:rsidR="00EB0A4D" w:rsidRPr="00EB0A4D" w:rsidRDefault="00EB0A4D" w:rsidP="00EB0A4D">
      <w:pPr>
        <w:spacing w:after="0" w:line="240" w:lineRule="auto"/>
        <w:contextualSpacing/>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B0A4D" w:rsidRPr="00EB0A4D" w14:paraId="4C5E6989" w14:textId="77777777" w:rsidTr="00B21D28">
        <w:trPr>
          <w:trHeight w:val="485"/>
        </w:trPr>
        <w:tc>
          <w:tcPr>
            <w:tcW w:w="2689" w:type="dxa"/>
            <w:hideMark/>
          </w:tcPr>
          <w:p w14:paraId="13698DF5" w14:textId="77777777" w:rsidR="00EB0A4D" w:rsidRPr="00EB0A4D" w:rsidRDefault="00EB0A4D" w:rsidP="00EB0A4D">
            <w:pPr>
              <w:rPr>
                <w:rFonts w:ascii="Arial" w:eastAsia="Calibri" w:hAnsi="Arial" w:cs="Arial"/>
                <w:noProof/>
                <w:lang w:val="es-ES_tradnl"/>
              </w:rPr>
            </w:pPr>
            <w:r w:rsidRPr="00EB0A4D">
              <w:rPr>
                <w:rFonts w:ascii="Arial" w:eastAsia="Calibri" w:hAnsi="Arial" w:cs="Arial"/>
                <w:b/>
                <w:noProof/>
                <w:lang w:val="es-ES_tradnl"/>
              </w:rPr>
              <w:t>Temas:</w:t>
            </w:r>
            <w:r w:rsidRPr="00EB0A4D">
              <w:rPr>
                <w:rFonts w:ascii="Arial" w:eastAsia="Calibri" w:hAnsi="Arial" w:cs="Arial"/>
                <w:noProof/>
                <w:lang w:val="es-ES_tradnl"/>
              </w:rPr>
              <w:t xml:space="preserve">        </w:t>
            </w:r>
          </w:p>
        </w:tc>
        <w:tc>
          <w:tcPr>
            <w:tcW w:w="6237" w:type="dxa"/>
            <w:hideMark/>
          </w:tcPr>
          <w:p w14:paraId="5377BCCE" w14:textId="77777777" w:rsidR="00EB0A4D" w:rsidRPr="00EB0A4D" w:rsidRDefault="00EB0A4D" w:rsidP="00EB0A4D">
            <w:pPr>
              <w:spacing w:line="276" w:lineRule="auto"/>
              <w:jc w:val="both"/>
              <w:rPr>
                <w:rFonts w:ascii="Arial" w:eastAsia="Times New Roman" w:hAnsi="Arial" w:cs="Arial"/>
                <w:lang w:val="es-ES_tradnl" w:eastAsia="es-ES_tradnl"/>
              </w:rPr>
            </w:pPr>
            <w:r w:rsidRPr="00EB0A4D">
              <w:rPr>
                <w:rFonts w:ascii="Arial" w:eastAsia="Times New Roman" w:hAnsi="Arial" w:cs="Arial"/>
                <w:lang w:val="es-ES_tradnl" w:eastAsia="es-ES_tradnl"/>
              </w:rPr>
              <w:t>LEY DE GARANTÍAS ELECTORALES – Definición – Finalidad / LEY DE GARANTÍAS ELECTORALES – Prohibición por elección de cargos populares – Convenios y contratos interadministrativos – Parágrafo del artículo 38 / CONVENIOS DE ASOCIACIÓN – Contratación con ESAL / CONTRATO DE PRESTACIÓN DE SERVICIOS – Restricción – Artículo 33</w:t>
            </w:r>
          </w:p>
          <w:p w14:paraId="33930BA5" w14:textId="77777777" w:rsidR="00EB0A4D" w:rsidRPr="00EB0A4D" w:rsidRDefault="00EB0A4D" w:rsidP="00EB0A4D">
            <w:pPr>
              <w:jc w:val="both"/>
              <w:rPr>
                <w:rFonts w:ascii="Arial" w:eastAsia="Calibri" w:hAnsi="Arial" w:cs="Arial"/>
                <w:b/>
                <w:bCs/>
                <w:lang w:val="es-MX"/>
              </w:rPr>
            </w:pPr>
          </w:p>
          <w:p w14:paraId="2B32867E" w14:textId="77777777" w:rsidR="00EB0A4D" w:rsidRPr="00EB0A4D" w:rsidRDefault="00EB0A4D" w:rsidP="00EB0A4D">
            <w:pPr>
              <w:ind w:right="703"/>
              <w:jc w:val="both"/>
              <w:rPr>
                <w:rFonts w:ascii="Arial" w:eastAsia="Calibri" w:hAnsi="Arial" w:cs="Arial"/>
                <w:bCs/>
                <w:lang w:val="es-MX"/>
              </w:rPr>
            </w:pPr>
          </w:p>
        </w:tc>
      </w:tr>
      <w:tr w:rsidR="00EB0A4D" w:rsidRPr="00EB0A4D" w14:paraId="7BA2A376" w14:textId="77777777" w:rsidTr="00B21D28">
        <w:tc>
          <w:tcPr>
            <w:tcW w:w="2689" w:type="dxa"/>
          </w:tcPr>
          <w:p w14:paraId="5D039DD6" w14:textId="77777777" w:rsidR="00EB0A4D" w:rsidRPr="00EB0A4D" w:rsidRDefault="00EB0A4D" w:rsidP="00EB0A4D">
            <w:pPr>
              <w:rPr>
                <w:rFonts w:ascii="Arial" w:eastAsia="Calibri" w:hAnsi="Arial" w:cs="Arial"/>
                <w:b/>
                <w:noProof/>
                <w:lang w:val="es-ES_tradnl"/>
              </w:rPr>
            </w:pPr>
            <w:r w:rsidRPr="00EB0A4D">
              <w:rPr>
                <w:rFonts w:ascii="Arial" w:eastAsia="Calibri" w:hAnsi="Arial" w:cs="Arial"/>
                <w:b/>
                <w:noProof/>
                <w:lang w:val="es-ES_tradnl"/>
              </w:rPr>
              <w:t>Radicación:</w:t>
            </w:r>
            <w:r w:rsidRPr="00EB0A4D">
              <w:rPr>
                <w:rFonts w:ascii="Arial" w:eastAsia="Calibri" w:hAnsi="Arial" w:cs="Arial"/>
                <w:noProof/>
                <w:lang w:val="es-ES_tradnl"/>
              </w:rPr>
              <w:t xml:space="preserve">                              </w:t>
            </w:r>
          </w:p>
        </w:tc>
        <w:tc>
          <w:tcPr>
            <w:tcW w:w="6237" w:type="dxa"/>
          </w:tcPr>
          <w:p w14:paraId="6ECAF840" w14:textId="77777777" w:rsidR="00EB0A4D" w:rsidRPr="00EB0A4D" w:rsidRDefault="00EB0A4D" w:rsidP="00EB0A4D">
            <w:pPr>
              <w:jc w:val="both"/>
              <w:rPr>
                <w:rFonts w:ascii="Arial" w:eastAsia="Calibri" w:hAnsi="Arial" w:cs="Arial"/>
                <w:noProof/>
                <w:lang w:val="es-ES_tradnl"/>
              </w:rPr>
            </w:pPr>
            <w:r w:rsidRPr="00EB0A4D">
              <w:rPr>
                <w:rFonts w:ascii="Arial" w:eastAsia="Calibri" w:hAnsi="Arial" w:cs="Arial"/>
                <w:noProof/>
                <w:lang w:val="es-ES_tradnl"/>
              </w:rPr>
              <w:t>Respuesta a consulta P20230428003812</w:t>
            </w:r>
            <w:r w:rsidRPr="00EB0A4D">
              <w:rPr>
                <w:rFonts w:ascii="Arial" w:eastAsia="Calibri" w:hAnsi="Arial" w:cs="Arial"/>
                <w:noProof/>
                <w:lang w:val="es-ES_tradnl"/>
              </w:rPr>
              <w:tab/>
            </w:r>
            <w:r w:rsidRPr="00EB0A4D">
              <w:rPr>
                <w:rFonts w:ascii="Arial" w:eastAsia="Calibri" w:hAnsi="Arial" w:cs="Arial"/>
                <w:noProof/>
                <w:lang w:val="es-ES_tradnl"/>
              </w:rPr>
              <w:tab/>
            </w:r>
          </w:p>
        </w:tc>
      </w:tr>
    </w:tbl>
    <w:p w14:paraId="2965DB95" w14:textId="77777777" w:rsidR="00EB0A4D" w:rsidRPr="00EB0A4D" w:rsidRDefault="00EB0A4D" w:rsidP="00EB0A4D">
      <w:pPr>
        <w:spacing w:after="0" w:line="240" w:lineRule="auto"/>
        <w:contextualSpacing/>
        <w:jc w:val="both"/>
        <w:rPr>
          <w:rFonts w:ascii="Arial" w:eastAsia="Calibri" w:hAnsi="Arial" w:cs="Arial"/>
        </w:rPr>
      </w:pPr>
    </w:p>
    <w:p w14:paraId="43A5A464" w14:textId="77777777" w:rsidR="00EB0A4D" w:rsidRPr="00EB0A4D" w:rsidRDefault="00EB0A4D" w:rsidP="00EB0A4D">
      <w:pPr>
        <w:spacing w:after="0" w:line="240" w:lineRule="auto"/>
        <w:contextualSpacing/>
        <w:jc w:val="both"/>
        <w:rPr>
          <w:rFonts w:ascii="Arial" w:eastAsia="Calibri" w:hAnsi="Arial" w:cs="Arial"/>
        </w:rPr>
      </w:pPr>
    </w:p>
    <w:p w14:paraId="44A0722F" w14:textId="77777777" w:rsidR="00EB0A4D" w:rsidRPr="00EB0A4D" w:rsidRDefault="00EB0A4D" w:rsidP="00EB0A4D">
      <w:pPr>
        <w:spacing w:after="0" w:line="276" w:lineRule="auto"/>
        <w:contextualSpacing/>
        <w:jc w:val="both"/>
        <w:rPr>
          <w:rFonts w:ascii="Arial" w:eastAsia="Calibri" w:hAnsi="Arial" w:cs="Arial"/>
        </w:rPr>
      </w:pPr>
      <w:r w:rsidRPr="00EB0A4D">
        <w:rPr>
          <w:rFonts w:ascii="Arial" w:eastAsia="Calibri" w:hAnsi="Arial" w:cs="Arial"/>
        </w:rPr>
        <w:t>Estimado señor Agudelo:</w:t>
      </w:r>
    </w:p>
    <w:p w14:paraId="5A495774" w14:textId="77777777" w:rsidR="00EB0A4D" w:rsidRPr="00EB0A4D" w:rsidRDefault="00EB0A4D" w:rsidP="00EB0A4D">
      <w:pPr>
        <w:spacing w:after="0" w:line="276" w:lineRule="auto"/>
        <w:ind w:firstLine="709"/>
        <w:contextualSpacing/>
        <w:jc w:val="both"/>
        <w:rPr>
          <w:rFonts w:ascii="Arial" w:eastAsia="Calibri" w:hAnsi="Arial" w:cs="Arial"/>
        </w:rPr>
      </w:pPr>
    </w:p>
    <w:p w14:paraId="4AACE9F0" w14:textId="77777777" w:rsidR="00EB0A4D" w:rsidRPr="00EB0A4D" w:rsidRDefault="00EB0A4D" w:rsidP="00EB0A4D">
      <w:pPr>
        <w:spacing w:after="0" w:line="276" w:lineRule="auto"/>
        <w:contextualSpacing/>
        <w:jc w:val="both"/>
        <w:rPr>
          <w:rFonts w:ascii="Arial" w:eastAsia="Calibri" w:hAnsi="Arial" w:cs="Arial"/>
        </w:rPr>
      </w:pPr>
      <w:r w:rsidRPr="00EB0A4D">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su consulta recibida el 28 de abril de 2023.</w:t>
      </w:r>
    </w:p>
    <w:p w14:paraId="66976C22" w14:textId="77777777" w:rsidR="00EB0A4D" w:rsidRPr="00EB0A4D" w:rsidRDefault="00EB0A4D" w:rsidP="00EB0A4D">
      <w:pPr>
        <w:spacing w:after="0" w:line="276" w:lineRule="auto"/>
        <w:contextualSpacing/>
        <w:jc w:val="both"/>
        <w:rPr>
          <w:rFonts w:ascii="Arial" w:eastAsia="Calibri" w:hAnsi="Arial" w:cs="Arial"/>
        </w:rPr>
      </w:pPr>
    </w:p>
    <w:p w14:paraId="5A1C4D49" w14:textId="77777777" w:rsidR="00EB0A4D" w:rsidRPr="00EB0A4D" w:rsidRDefault="00EB0A4D" w:rsidP="00EB0A4D">
      <w:pPr>
        <w:tabs>
          <w:tab w:val="left" w:pos="284"/>
        </w:tabs>
        <w:spacing w:after="0" w:line="276" w:lineRule="auto"/>
        <w:contextualSpacing/>
        <w:jc w:val="both"/>
        <w:rPr>
          <w:rFonts w:ascii="Arial" w:eastAsia="Calibri" w:hAnsi="Arial" w:cs="Arial"/>
          <w:b/>
        </w:rPr>
      </w:pPr>
      <w:r w:rsidRPr="00EB0A4D">
        <w:rPr>
          <w:rFonts w:ascii="Arial" w:eastAsia="Calibri" w:hAnsi="Arial" w:cs="Arial"/>
          <w:b/>
        </w:rPr>
        <w:t xml:space="preserve">1. Problema planteado </w:t>
      </w:r>
    </w:p>
    <w:p w14:paraId="0ACDC9CE" w14:textId="77777777" w:rsidR="00EB0A4D" w:rsidRPr="00EB0A4D" w:rsidRDefault="00EB0A4D" w:rsidP="00EB0A4D">
      <w:pPr>
        <w:tabs>
          <w:tab w:val="left" w:pos="284"/>
        </w:tabs>
        <w:spacing w:after="0" w:line="276" w:lineRule="auto"/>
        <w:ind w:firstLine="709"/>
        <w:contextualSpacing/>
        <w:jc w:val="both"/>
        <w:rPr>
          <w:rFonts w:ascii="Arial" w:eastAsia="Calibri" w:hAnsi="Arial" w:cs="Arial"/>
          <w:b/>
        </w:rPr>
      </w:pPr>
    </w:p>
    <w:p w14:paraId="13C3A6FA" w14:textId="77777777" w:rsidR="00EB0A4D" w:rsidRPr="00EB0A4D" w:rsidRDefault="00EB0A4D" w:rsidP="00EB0A4D">
      <w:pPr>
        <w:spacing w:after="0" w:line="276" w:lineRule="auto"/>
        <w:contextualSpacing/>
        <w:jc w:val="both"/>
        <w:rPr>
          <w:rFonts w:ascii="Arial" w:eastAsia="Calibri" w:hAnsi="Arial" w:cs="Arial"/>
        </w:rPr>
      </w:pPr>
      <w:bookmarkStart w:id="1" w:name="_Hlk58917991"/>
      <w:bookmarkStart w:id="2" w:name="_Hlk56103000"/>
      <w:r w:rsidRPr="00EB0A4D">
        <w:rPr>
          <w:rFonts w:ascii="Arial" w:eastAsia="Calibri" w:hAnsi="Arial" w:cs="Arial"/>
        </w:rPr>
        <w:t xml:space="preserve">En relación con las restricciones de la Ley Garantías, Ley 996 de 2005, usted plantea la siguiente consulta: </w:t>
      </w:r>
      <w:bookmarkStart w:id="3" w:name="_Hlk116284008"/>
    </w:p>
    <w:p w14:paraId="53E96EB4" w14:textId="77777777" w:rsidR="00EB0A4D" w:rsidRPr="00EB0A4D" w:rsidRDefault="00EB0A4D" w:rsidP="00EB0A4D">
      <w:pPr>
        <w:spacing w:after="0" w:line="276" w:lineRule="auto"/>
        <w:contextualSpacing/>
        <w:jc w:val="both"/>
        <w:rPr>
          <w:rFonts w:ascii="Arial" w:eastAsia="Calibri" w:hAnsi="Arial" w:cs="Arial"/>
        </w:rPr>
      </w:pPr>
    </w:p>
    <w:p w14:paraId="3D48DDD6"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bookmarkStart w:id="4" w:name="_Hlk133573383"/>
      <w:r w:rsidRPr="00EB0A4D">
        <w:rPr>
          <w:rFonts w:ascii="Arial" w:eastAsia="Calibri" w:hAnsi="Arial" w:cs="Arial"/>
          <w:sz w:val="21"/>
          <w:szCs w:val="21"/>
          <w:lang w:val="es-MX"/>
        </w:rPr>
        <w:t>“1. ¿Teniendo en cuenta las elecciones programadas para el año 2023 qué restricciones en materia de contratación regirán de conformidad con lo dispuesto en la Ley 996 de 2005?</w:t>
      </w:r>
    </w:p>
    <w:p w14:paraId="2F732A8B"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r w:rsidRPr="00EB0A4D">
        <w:rPr>
          <w:rFonts w:ascii="Arial" w:eastAsia="Calibri" w:hAnsi="Arial" w:cs="Arial"/>
          <w:sz w:val="21"/>
          <w:szCs w:val="21"/>
          <w:lang w:val="es-MX"/>
        </w:rPr>
        <w:lastRenderedPageBreak/>
        <w:t>2. ¿Frente a la aplicación del artículo 38 de la Ley de Garantías Electorales, ruego aclarar si dentro de esta restricción se encuentran cobijados los Contratos y/o Convenios de Asociación suscritos con Entidades Privadas ¿</w:t>
      </w:r>
    </w:p>
    <w:p w14:paraId="7033DB21"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r w:rsidRPr="00EB0A4D">
        <w:rPr>
          <w:rFonts w:ascii="Arial" w:eastAsia="Calibri" w:hAnsi="Arial" w:cs="Arial"/>
          <w:sz w:val="21"/>
          <w:szCs w:val="21"/>
          <w:lang w:val="es-MX"/>
        </w:rPr>
        <w:t>3. ¿Frente a la aplicación del artículo 38 de la Ley de Garantías Electorales, ruego aclarar si dentro de esta restricción se encuentra la celebración de contratos de prestación de servicios profesionales y de apoyo a la gestión?”</w:t>
      </w:r>
    </w:p>
    <w:p w14:paraId="106A6984" w14:textId="77777777" w:rsidR="00EB0A4D" w:rsidRPr="00EB0A4D" w:rsidRDefault="00EB0A4D" w:rsidP="00EB0A4D">
      <w:pPr>
        <w:spacing w:before="120" w:after="0" w:line="276" w:lineRule="auto"/>
        <w:ind w:left="709" w:right="709"/>
        <w:jc w:val="both"/>
        <w:rPr>
          <w:rFonts w:ascii="Arial" w:eastAsia="Calibri" w:hAnsi="Arial" w:cs="Arial"/>
          <w:sz w:val="21"/>
          <w:szCs w:val="21"/>
          <w:lang w:val="es-MX"/>
        </w:rPr>
      </w:pPr>
    </w:p>
    <w:p w14:paraId="5D5EAF6A" w14:textId="77777777" w:rsidR="00EB0A4D" w:rsidRPr="00EB0A4D" w:rsidRDefault="00EB0A4D" w:rsidP="00EB0A4D">
      <w:pPr>
        <w:spacing w:before="120" w:after="0" w:line="276" w:lineRule="auto"/>
        <w:ind w:left="709" w:right="709"/>
        <w:jc w:val="both"/>
        <w:rPr>
          <w:rFonts w:ascii="Arial" w:eastAsia="Calibri" w:hAnsi="Arial" w:cs="Arial"/>
          <w:sz w:val="21"/>
          <w:szCs w:val="21"/>
          <w:lang w:val="es-MX"/>
        </w:rPr>
      </w:pPr>
    </w:p>
    <w:p w14:paraId="147C53C5" w14:textId="77777777" w:rsidR="00EB0A4D" w:rsidRPr="00EB0A4D" w:rsidRDefault="00EB0A4D" w:rsidP="00EB0A4D">
      <w:pPr>
        <w:spacing w:after="0" w:line="276" w:lineRule="auto"/>
        <w:ind w:left="709" w:right="709"/>
        <w:jc w:val="both"/>
        <w:rPr>
          <w:rFonts w:ascii="Arial" w:eastAsia="Calibri" w:hAnsi="Arial" w:cs="Arial"/>
          <w:lang w:val="es-ES"/>
        </w:rPr>
      </w:pPr>
    </w:p>
    <w:bookmarkEnd w:id="1"/>
    <w:bookmarkEnd w:id="2"/>
    <w:bookmarkEnd w:id="3"/>
    <w:bookmarkEnd w:id="4"/>
    <w:p w14:paraId="00A67361" w14:textId="77777777" w:rsidR="00EB0A4D" w:rsidRPr="00EB0A4D" w:rsidRDefault="00EB0A4D" w:rsidP="00EB0A4D">
      <w:pPr>
        <w:tabs>
          <w:tab w:val="left" w:pos="284"/>
        </w:tabs>
        <w:spacing w:after="0" w:line="276" w:lineRule="auto"/>
        <w:contextualSpacing/>
        <w:jc w:val="both"/>
        <w:rPr>
          <w:rFonts w:ascii="Arial" w:eastAsia="Calibri" w:hAnsi="Arial" w:cs="Arial"/>
          <w:b/>
        </w:rPr>
      </w:pPr>
      <w:r w:rsidRPr="00EB0A4D">
        <w:rPr>
          <w:rFonts w:ascii="Arial" w:eastAsia="Calibri" w:hAnsi="Arial" w:cs="Arial"/>
          <w:b/>
        </w:rPr>
        <w:t>2. Consideraciones</w:t>
      </w:r>
    </w:p>
    <w:p w14:paraId="0CA4F64E" w14:textId="77777777" w:rsidR="00EB0A4D" w:rsidRPr="00EB0A4D" w:rsidRDefault="00EB0A4D" w:rsidP="00EB0A4D">
      <w:pPr>
        <w:tabs>
          <w:tab w:val="left" w:pos="284"/>
        </w:tabs>
        <w:spacing w:after="0" w:line="276" w:lineRule="auto"/>
        <w:contextualSpacing/>
        <w:jc w:val="both"/>
        <w:rPr>
          <w:rFonts w:ascii="Arial" w:eastAsia="Calibri" w:hAnsi="Arial" w:cs="Arial"/>
          <w:b/>
        </w:rPr>
      </w:pPr>
    </w:p>
    <w:p w14:paraId="2F89CC4E" w14:textId="77777777" w:rsidR="00EB0A4D" w:rsidRPr="00EB0A4D" w:rsidRDefault="00EB0A4D" w:rsidP="00EB0A4D">
      <w:pPr>
        <w:spacing w:before="120" w:after="120" w:line="276" w:lineRule="auto"/>
        <w:jc w:val="both"/>
        <w:rPr>
          <w:rFonts w:ascii="Arial" w:eastAsia="Calibri" w:hAnsi="Arial" w:cs="Arial"/>
          <w:highlight w:val="yellow"/>
          <w:lang w:val="es-ES_tradnl" w:eastAsia="es-MX"/>
        </w:rPr>
      </w:pPr>
      <w:r w:rsidRPr="00EB0A4D">
        <w:rPr>
          <w:rFonts w:ascii="Arial" w:hAnsi="Arial" w:cs="Arial"/>
          <w:bCs/>
        </w:rPr>
        <w:t>L</w:t>
      </w:r>
      <w:r w:rsidRPr="00EB0A4D">
        <w:rPr>
          <w:rFonts w:ascii="Arial" w:eastAsia="Calibri" w:hAnsi="Arial" w:cs="Arial"/>
          <w:lang w:val="es-ES"/>
        </w:rPr>
        <w:t>a Agencia resolverá la consulta conforme a las normas generales del sistema de compras públicas. Con este objetivo se analizarán los siguientes temas:</w:t>
      </w:r>
      <w:r w:rsidRPr="00EB0A4D">
        <w:rPr>
          <w:rFonts w:ascii="Arial" w:eastAsia="Calibri" w:hAnsi="Arial" w:cs="Arial"/>
          <w:lang w:val="es-ES_tradnl" w:eastAsia="es-MX"/>
        </w:rPr>
        <w:t xml:space="preserve"> i) definición y finalidad de la Ley de Garantías Electorales, ii) </w:t>
      </w:r>
      <w:r w:rsidRPr="00EB0A4D">
        <w:rPr>
          <w:rFonts w:ascii="Arial" w:hAnsi="Arial" w:cs="Arial"/>
          <w:bCs/>
        </w:rPr>
        <w:t>restricciones para elecciones presidenciales</w:t>
      </w:r>
      <w:r w:rsidRPr="00EB0A4D">
        <w:rPr>
          <w:rFonts w:ascii="Arial" w:eastAsia="Calibri" w:hAnsi="Arial" w:cs="Arial"/>
          <w:lang w:val="es-ES_tradnl" w:eastAsia="es-MX"/>
        </w:rPr>
        <w:t xml:space="preserve">, </w:t>
      </w:r>
      <w:proofErr w:type="spellStart"/>
      <w:r w:rsidRPr="00EB0A4D">
        <w:rPr>
          <w:rFonts w:ascii="Arial" w:eastAsia="Calibri" w:hAnsi="Arial" w:cs="Arial"/>
          <w:lang w:val="es-ES_tradnl" w:eastAsia="es-MX"/>
        </w:rPr>
        <w:t>iii</w:t>
      </w:r>
      <w:proofErr w:type="spellEnd"/>
      <w:r w:rsidRPr="00EB0A4D">
        <w:rPr>
          <w:rFonts w:ascii="Arial" w:eastAsia="Calibri" w:hAnsi="Arial" w:cs="Arial"/>
          <w:lang w:val="es-ES_tradnl" w:eastAsia="es-MX"/>
        </w:rPr>
        <w:t xml:space="preserve">) restricciones para la celebración de contratos y convenios interadministrativos en los comicios para cargos de elección popular, iv) los convenios de asociación y restricciones de la Ley de Garantías Electorales y v) contratos de prestación de servicios profesionales y restricciones de la Ley de Garantías Electorales.   </w:t>
      </w:r>
    </w:p>
    <w:p w14:paraId="546F93A1" w14:textId="38EB59CE" w:rsidR="00EB0A4D" w:rsidRPr="00EB0A4D" w:rsidRDefault="00EB0A4D" w:rsidP="00EB0A4D">
      <w:pPr>
        <w:spacing w:after="0" w:line="276" w:lineRule="auto"/>
        <w:ind w:firstLine="709"/>
        <w:jc w:val="both"/>
        <w:rPr>
          <w:rFonts w:ascii="Arial" w:eastAsia="Arial" w:hAnsi="Arial" w:cs="Arial"/>
          <w:lang w:val="es-MX" w:eastAsia="es-ES_tradnl"/>
        </w:rPr>
      </w:pPr>
      <w:r w:rsidRPr="00EB0A4D">
        <w:rPr>
          <w:rFonts w:ascii="Arial" w:eastAsia="Times New Roman" w:hAnsi="Arial" w:cs="Arial"/>
          <w:lang w:eastAsia="es-ES_tradnl"/>
        </w:rPr>
        <w:t xml:space="preserve">La Agencia Nacional de Contratación Pública – Colombia Compra Eficiente </w:t>
      </w:r>
      <w:r w:rsidRPr="00EB0A4D">
        <w:rPr>
          <w:rFonts w:ascii="Arial" w:eastAsia="Arial" w:hAnsi="Arial" w:cs="Arial"/>
          <w:lang w:val="es-MX" w:eastAsia="es-ES_tradnl"/>
        </w:rPr>
        <w:t xml:space="preserve">ha analizado diferentes aspectos de la Ley 996 de 2005 en los conceptos con número de radicado </w:t>
      </w:r>
      <w:r w:rsidRPr="00EB0A4D">
        <w:rPr>
          <w:rFonts w:ascii="Arial" w:eastAsia="Calibri" w:hAnsi="Arial" w:cs="Arial"/>
          <w:bCs/>
        </w:rPr>
        <w:t xml:space="preserve">C-099 del 22 de marzo de 2022, C-102 del 22 de marzo de 2022, C-107 del 18 de marzo de 2022, C-111 del 22 de marzo de 2022. C-115 del 22 de marzo de 2022, C-116 del 18 de marzo de 2022, C-127 del 22 de marzo de </w:t>
      </w:r>
      <w:proofErr w:type="gramStart"/>
      <w:r w:rsidRPr="00EB0A4D">
        <w:rPr>
          <w:rFonts w:ascii="Arial" w:eastAsia="Calibri" w:hAnsi="Arial" w:cs="Arial"/>
          <w:bCs/>
        </w:rPr>
        <w:t>2022</w:t>
      </w:r>
      <w:r w:rsidR="0007143F">
        <w:rPr>
          <w:rFonts w:ascii="Arial" w:eastAsia="Calibri" w:hAnsi="Arial" w:cs="Arial"/>
          <w:bCs/>
        </w:rPr>
        <w:t>,</w:t>
      </w:r>
      <w:r w:rsidRPr="00EB0A4D">
        <w:rPr>
          <w:rFonts w:ascii="Arial" w:eastAsia="Calibri" w:hAnsi="Arial" w:cs="Arial"/>
          <w:bCs/>
        </w:rPr>
        <w:t>C</w:t>
      </w:r>
      <w:proofErr w:type="gramEnd"/>
      <w:r w:rsidRPr="00EB0A4D">
        <w:rPr>
          <w:rFonts w:ascii="Arial" w:eastAsia="Calibri" w:hAnsi="Arial" w:cs="Arial"/>
          <w:bCs/>
        </w:rPr>
        <w:t>-164 del 22 de marzo de 2022</w:t>
      </w:r>
      <w:r w:rsidR="0007143F">
        <w:rPr>
          <w:rFonts w:ascii="Arial" w:eastAsia="Calibri" w:hAnsi="Arial" w:cs="Arial"/>
          <w:bCs/>
        </w:rPr>
        <w:t xml:space="preserve"> y C-075 del </w:t>
      </w:r>
      <w:r w:rsidR="005D75AE">
        <w:rPr>
          <w:rFonts w:ascii="Arial" w:eastAsia="Calibri" w:hAnsi="Arial" w:cs="Arial"/>
          <w:bCs/>
        </w:rPr>
        <w:t>25 de abril de 2023</w:t>
      </w:r>
      <w:r w:rsidRPr="00EB0A4D">
        <w:rPr>
          <w:rFonts w:ascii="Arial" w:eastAsia="Calibri" w:hAnsi="Arial" w:cs="Arial"/>
          <w:bCs/>
          <w:vertAlign w:val="superscript"/>
        </w:rPr>
        <w:footnoteReference w:id="2"/>
      </w:r>
      <w:r w:rsidRPr="00EB0A4D">
        <w:rPr>
          <w:rFonts w:ascii="Arial" w:eastAsia="Calibri" w:hAnsi="Arial" w:cs="Arial"/>
          <w:lang w:val="es-ES_tradnl"/>
        </w:rPr>
        <w:t>.</w:t>
      </w:r>
      <w:r w:rsidRPr="00EB0A4D">
        <w:rPr>
          <w:rFonts w:ascii="Arial" w:eastAsia="Arial" w:hAnsi="Arial" w:cs="Arial"/>
          <w:lang w:val="es-MX" w:eastAsia="es-ES_tradnl"/>
        </w:rPr>
        <w:t xml:space="preserve"> </w:t>
      </w:r>
      <w:r w:rsidRPr="00EB0A4D">
        <w:rPr>
          <w:rFonts w:ascii="Arial" w:eastAsia="Calibri" w:hAnsi="Arial" w:cs="Arial"/>
          <w:lang w:val="es-ES_tradnl" w:eastAsia="es-ES_tradnl"/>
        </w:rPr>
        <w:t>Algunas de las consideraciones de estos conceptos se reiteran y se complementan en lo pertinente, teniendo en cuenta lo consultado.</w:t>
      </w:r>
    </w:p>
    <w:p w14:paraId="577F6E07" w14:textId="77777777" w:rsidR="00EB0A4D" w:rsidRPr="00EB0A4D" w:rsidRDefault="00EB0A4D" w:rsidP="00EB0A4D">
      <w:pPr>
        <w:spacing w:after="0" w:line="276" w:lineRule="auto"/>
        <w:ind w:firstLine="709"/>
        <w:jc w:val="both"/>
        <w:rPr>
          <w:rFonts w:ascii="Arial" w:eastAsia="Times New Roman" w:hAnsi="Arial" w:cs="Arial"/>
          <w:b/>
          <w:bCs/>
          <w:iCs/>
          <w:szCs w:val="24"/>
          <w:lang w:val="es-ES_tradnl" w:eastAsia="es-ES_tradnl"/>
        </w:rPr>
      </w:pPr>
    </w:p>
    <w:p w14:paraId="4EACDF4E" w14:textId="77777777" w:rsidR="00EB0A4D" w:rsidRPr="00EB0A4D" w:rsidRDefault="00EB0A4D" w:rsidP="00EB0A4D">
      <w:pPr>
        <w:spacing w:after="0" w:line="276" w:lineRule="auto"/>
        <w:jc w:val="both"/>
        <w:rPr>
          <w:rFonts w:ascii="Arial" w:eastAsia="Times New Roman" w:hAnsi="Arial" w:cs="Arial"/>
          <w:b/>
          <w:bCs/>
          <w:iCs/>
          <w:szCs w:val="24"/>
          <w:lang w:val="es-ES_tradnl" w:eastAsia="es-ES_tradnl"/>
        </w:rPr>
      </w:pPr>
      <w:r w:rsidRPr="00EB0A4D">
        <w:rPr>
          <w:rFonts w:ascii="Arial" w:eastAsia="Times New Roman" w:hAnsi="Arial" w:cs="Arial"/>
          <w:b/>
          <w:bCs/>
          <w:iCs/>
          <w:szCs w:val="24"/>
          <w:lang w:val="es-ES_tradnl" w:eastAsia="es-ES_tradnl"/>
        </w:rPr>
        <w:t>2.1. Definición y finalidad de la Ley de Garantías Electorales. Reiteración de línea</w:t>
      </w:r>
    </w:p>
    <w:p w14:paraId="58FF883A" w14:textId="77777777" w:rsidR="00EB0A4D" w:rsidRPr="00EB0A4D" w:rsidRDefault="00EB0A4D" w:rsidP="00EB0A4D">
      <w:pPr>
        <w:spacing w:after="0" w:line="240" w:lineRule="auto"/>
        <w:ind w:firstLine="709"/>
        <w:jc w:val="both"/>
        <w:rPr>
          <w:rFonts w:ascii="Arial" w:eastAsia="Times New Roman" w:hAnsi="Arial" w:cs="Arial"/>
          <w:iCs/>
          <w:szCs w:val="24"/>
          <w:lang w:val="es-ES_tradnl" w:eastAsia="es-ES_tradnl"/>
        </w:rPr>
      </w:pPr>
    </w:p>
    <w:p w14:paraId="5E1A118E" w14:textId="77777777" w:rsidR="00EB0A4D" w:rsidRPr="00EB0A4D" w:rsidRDefault="00EB0A4D" w:rsidP="00EB0A4D">
      <w:pPr>
        <w:spacing w:after="0" w:line="276" w:lineRule="auto"/>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cuento a aspectos políticos, consagra restricciones a ciertos empleados del Estado, incluso en época no electoral</w:t>
      </w:r>
      <w:r w:rsidRPr="00EB0A4D">
        <w:rPr>
          <w:rFonts w:ascii="Arial" w:eastAsia="Calibri" w:hAnsi="Arial" w:cs="Arial"/>
          <w:bCs/>
          <w:vertAlign w:val="superscript"/>
          <w:lang w:val="es-MX"/>
        </w:rPr>
        <w:footnoteReference w:id="3"/>
      </w:r>
      <w:r w:rsidRPr="00EB0A4D">
        <w:rPr>
          <w:rFonts w:ascii="Arial" w:eastAsia="Calibri" w:hAnsi="Arial" w:cs="Arial"/>
          <w:bCs/>
          <w:lang w:val="es-MX"/>
        </w:rPr>
        <w:t>.</w:t>
      </w:r>
    </w:p>
    <w:p w14:paraId="2920516C"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lastRenderedPageBreak/>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B0A4D">
        <w:rPr>
          <w:rFonts w:ascii="Arial" w:hAnsi="Arial" w:cs="Arial"/>
          <w:bCs/>
          <w:vertAlign w:val="superscript"/>
          <w:lang w:eastAsia="es-CO"/>
        </w:rPr>
        <w:footnoteReference w:id="4"/>
      </w:r>
      <w:r w:rsidRPr="00EB0A4D">
        <w:rPr>
          <w:rFonts w:ascii="Arial" w:hAnsi="Arial" w:cs="Arial"/>
          <w:bCs/>
          <w:lang w:eastAsia="es-CO"/>
        </w:rPr>
        <w:t>.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 De esta manera, explica que tiene como propósito:</w:t>
      </w:r>
    </w:p>
    <w:p w14:paraId="57E07818" w14:textId="77777777" w:rsidR="00EB0A4D" w:rsidRPr="00EB0A4D" w:rsidRDefault="00EB0A4D" w:rsidP="00EB0A4D">
      <w:pPr>
        <w:spacing w:after="0" w:line="240" w:lineRule="auto"/>
        <w:ind w:left="709" w:right="709"/>
        <w:contextualSpacing/>
        <w:jc w:val="both"/>
        <w:rPr>
          <w:rFonts w:ascii="Arial" w:hAnsi="Arial" w:cs="Arial"/>
          <w:sz w:val="21"/>
          <w:szCs w:val="21"/>
          <w:lang w:val="es-ES" w:eastAsia="es-CO"/>
        </w:rPr>
      </w:pPr>
    </w:p>
    <w:p w14:paraId="596C2515" w14:textId="77777777" w:rsidR="00EB0A4D" w:rsidRPr="00EB0A4D" w:rsidRDefault="00EB0A4D" w:rsidP="00EB0A4D">
      <w:pPr>
        <w:spacing w:after="0" w:line="240" w:lineRule="auto"/>
        <w:ind w:left="709" w:right="709"/>
        <w:contextualSpacing/>
        <w:jc w:val="both"/>
        <w:rPr>
          <w:rFonts w:ascii="Arial" w:hAnsi="Arial" w:cs="Arial"/>
          <w:bCs/>
          <w:sz w:val="21"/>
          <w:szCs w:val="21"/>
          <w:lang w:val="es-MX" w:eastAsia="es-CO"/>
        </w:rPr>
      </w:pPr>
      <w:r w:rsidRPr="00EB0A4D">
        <w:rPr>
          <w:rFonts w:ascii="Arial" w:hAnsi="Arial" w:cs="Arial"/>
          <w:sz w:val="21"/>
          <w:szCs w:val="21"/>
          <w:lang w:val="es-ES" w:eastAsia="es-CO"/>
        </w:rPr>
        <w:t xml:space="preserve">“[…] </w:t>
      </w:r>
      <w:r w:rsidRPr="00EB0A4D">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24D773D7" w14:textId="77777777" w:rsidR="00EB0A4D" w:rsidRPr="00EB0A4D" w:rsidRDefault="00EB0A4D" w:rsidP="00EB0A4D">
      <w:pPr>
        <w:spacing w:before="120" w:after="120" w:line="276" w:lineRule="auto"/>
        <w:ind w:left="709" w:right="709"/>
        <w:jc w:val="both"/>
        <w:rPr>
          <w:rFonts w:ascii="Arial" w:hAnsi="Arial" w:cs="Arial"/>
          <w:bCs/>
          <w:sz w:val="21"/>
          <w:szCs w:val="21"/>
          <w:lang w:val="es-MX" w:eastAsia="es-CO"/>
        </w:rPr>
      </w:pPr>
      <w:r w:rsidRPr="00EB0A4D">
        <w:rPr>
          <w:rFonts w:ascii="Arial" w:hAnsi="Arial" w:cs="Arial"/>
          <w:bCs/>
          <w:sz w:val="21"/>
          <w:szCs w:val="21"/>
          <w:lang w:val="es-MX" w:eastAsia="es-CO"/>
        </w:rPr>
        <w:t xml:space="preserve">[…] </w:t>
      </w:r>
    </w:p>
    <w:p w14:paraId="7883D771" w14:textId="77777777" w:rsidR="00EB0A4D" w:rsidRPr="00EB0A4D" w:rsidRDefault="00EB0A4D" w:rsidP="00EB0A4D">
      <w:pPr>
        <w:spacing w:after="0" w:line="240" w:lineRule="auto"/>
        <w:ind w:left="709" w:right="709"/>
        <w:contextualSpacing/>
        <w:jc w:val="both"/>
        <w:rPr>
          <w:rFonts w:ascii="Arial" w:hAnsi="Arial" w:cs="Arial"/>
          <w:bCs/>
          <w:sz w:val="21"/>
          <w:szCs w:val="21"/>
          <w:lang w:val="es-MX" w:eastAsia="es-CO"/>
        </w:rPr>
      </w:pPr>
      <w:r w:rsidRPr="00EB0A4D">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B0A4D">
        <w:rPr>
          <w:rFonts w:ascii="Arial" w:eastAsia="Calibri" w:hAnsi="Arial" w:cs="Arial"/>
          <w:sz w:val="21"/>
          <w:szCs w:val="21"/>
          <w:vertAlign w:val="superscript"/>
          <w:lang w:val="es-MX"/>
        </w:rPr>
        <w:footnoteReference w:id="5"/>
      </w:r>
      <w:r w:rsidRPr="00EB0A4D">
        <w:rPr>
          <w:rFonts w:ascii="Arial" w:hAnsi="Arial" w:cs="Arial"/>
          <w:bCs/>
          <w:sz w:val="21"/>
          <w:szCs w:val="21"/>
          <w:lang w:val="es-MX" w:eastAsia="es-CO"/>
        </w:rPr>
        <w:t>”.</w:t>
      </w:r>
    </w:p>
    <w:p w14:paraId="74ED102B" w14:textId="77777777" w:rsidR="00EB0A4D" w:rsidRPr="00EB0A4D" w:rsidRDefault="00EB0A4D" w:rsidP="00EB0A4D">
      <w:pPr>
        <w:spacing w:after="0" w:line="276" w:lineRule="auto"/>
        <w:ind w:left="708" w:right="709"/>
        <w:contextualSpacing/>
        <w:jc w:val="both"/>
        <w:rPr>
          <w:rFonts w:ascii="Arial" w:hAnsi="Arial" w:cs="Arial"/>
          <w:bCs/>
          <w:lang w:val="es-MX" w:eastAsia="es-CO"/>
        </w:rPr>
      </w:pPr>
    </w:p>
    <w:p w14:paraId="45924738" w14:textId="77777777" w:rsidR="00EB0A4D" w:rsidRPr="00EB0A4D" w:rsidRDefault="00EB0A4D" w:rsidP="00EB0A4D">
      <w:pPr>
        <w:spacing w:after="0" w:line="276" w:lineRule="auto"/>
        <w:contextualSpacing/>
        <w:jc w:val="both"/>
        <w:rPr>
          <w:rFonts w:ascii="Arial" w:hAnsi="Arial" w:cs="Arial"/>
          <w:bCs/>
          <w:lang w:val="es-MX" w:eastAsia="es-CO"/>
        </w:rPr>
      </w:pPr>
      <w:r w:rsidRPr="00EB0A4D">
        <w:rPr>
          <w:rFonts w:ascii="Arial" w:hAnsi="Arial" w:cs="Arial"/>
          <w:bCs/>
          <w:lang w:val="es-MX" w:eastAsia="es-CO"/>
        </w:rPr>
        <w:tab/>
        <w:t xml:space="preserve">En ese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electorales. Por ello, varias de las disposiciones de la Ley 996 de 2005, al contener normas prohibitivas, no admiten una interpretación amplia, sino que deben interpretarse restrictivamente. En efecto, la Sala de Consulta y Servicio del Consejo de Estado, precisó lo siguiente: </w:t>
      </w:r>
    </w:p>
    <w:p w14:paraId="17C30417" w14:textId="77777777" w:rsidR="00EB0A4D" w:rsidRPr="00EB0A4D" w:rsidRDefault="00EB0A4D" w:rsidP="00EB0A4D">
      <w:pPr>
        <w:spacing w:after="0" w:line="240" w:lineRule="auto"/>
        <w:ind w:left="709" w:right="709"/>
        <w:contextualSpacing/>
        <w:jc w:val="both"/>
        <w:rPr>
          <w:rFonts w:ascii="Arial" w:hAnsi="Arial" w:cs="Arial"/>
          <w:bCs/>
          <w:sz w:val="21"/>
          <w:szCs w:val="21"/>
          <w:lang w:val="es-MX" w:eastAsia="es-CO"/>
        </w:rPr>
      </w:pPr>
    </w:p>
    <w:p w14:paraId="2F80AA8B" w14:textId="77777777" w:rsidR="00EB0A4D" w:rsidRPr="00EB0A4D" w:rsidRDefault="00EB0A4D" w:rsidP="00EB0A4D">
      <w:pPr>
        <w:spacing w:after="0" w:line="240" w:lineRule="auto"/>
        <w:ind w:left="709" w:right="709"/>
        <w:contextualSpacing/>
        <w:jc w:val="both"/>
        <w:rPr>
          <w:rFonts w:ascii="Arial" w:hAnsi="Arial" w:cs="Arial"/>
          <w:bCs/>
          <w:sz w:val="21"/>
          <w:szCs w:val="21"/>
          <w:lang w:val="es-MX" w:eastAsia="es-CO"/>
        </w:rPr>
      </w:pPr>
      <w:r w:rsidRPr="00EB0A4D">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B0A4D">
        <w:rPr>
          <w:rFonts w:ascii="Arial" w:hAnsi="Arial" w:cs="Arial"/>
          <w:bCs/>
          <w:sz w:val="21"/>
          <w:szCs w:val="21"/>
          <w:lang w:val="es-MX" w:eastAsia="es-CO"/>
        </w:rPr>
        <w:t>legis</w:t>
      </w:r>
      <w:proofErr w:type="spellEnd"/>
      <w:r w:rsidRPr="00EB0A4D">
        <w:rPr>
          <w:rFonts w:ascii="Arial" w:hAnsi="Arial" w:cs="Arial"/>
          <w:bCs/>
          <w:sz w:val="21"/>
          <w:szCs w:val="21"/>
          <w:lang w:val="es-MX" w:eastAsia="es-CO"/>
        </w:rPr>
        <w:t xml:space="preserve"> o iuris y la interpretación extensiva. Las </w:t>
      </w:r>
      <w:r w:rsidRPr="00EB0A4D">
        <w:rPr>
          <w:rFonts w:ascii="Arial" w:hAnsi="Arial" w:cs="Arial"/>
          <w:bCs/>
          <w:sz w:val="21"/>
          <w:szCs w:val="21"/>
          <w:lang w:val="es-MX" w:eastAsia="es-CO"/>
        </w:rPr>
        <w:lastRenderedPageBreak/>
        <w:t>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61B5535" w14:textId="77777777" w:rsidR="00EB0A4D" w:rsidRPr="00EB0A4D" w:rsidRDefault="00EB0A4D" w:rsidP="00EB0A4D">
      <w:pPr>
        <w:spacing w:after="0" w:line="240" w:lineRule="auto"/>
        <w:ind w:left="709" w:right="709"/>
        <w:contextualSpacing/>
        <w:jc w:val="both"/>
        <w:rPr>
          <w:rFonts w:ascii="Arial" w:hAnsi="Arial" w:cs="Arial"/>
          <w:bCs/>
          <w:sz w:val="21"/>
          <w:szCs w:val="21"/>
          <w:lang w:val="es-MX" w:eastAsia="es-CO"/>
        </w:rPr>
      </w:pPr>
    </w:p>
    <w:p w14:paraId="11A0D3BC" w14:textId="77777777" w:rsidR="00EB0A4D" w:rsidRPr="00EB0A4D" w:rsidRDefault="00EB0A4D" w:rsidP="00EB0A4D">
      <w:pPr>
        <w:spacing w:after="0" w:line="240" w:lineRule="auto"/>
        <w:ind w:left="709" w:right="709"/>
        <w:contextualSpacing/>
        <w:jc w:val="both"/>
        <w:rPr>
          <w:rFonts w:ascii="Arial" w:hAnsi="Arial" w:cs="Arial"/>
          <w:bCs/>
          <w:sz w:val="21"/>
          <w:szCs w:val="21"/>
          <w:lang w:val="es-MX" w:eastAsia="es-CO"/>
        </w:rPr>
      </w:pPr>
      <w:r w:rsidRPr="00EB0A4D">
        <w:rPr>
          <w:rFonts w:ascii="Arial" w:hAnsi="Arial" w:cs="Arial"/>
          <w:bCs/>
          <w:sz w:val="21"/>
          <w:szCs w:val="21"/>
          <w:lang w:val="es-MX" w:eastAsia="es-CO"/>
        </w:rPr>
        <w:t>La jurisprudencia de la Corte Constitucional</w:t>
      </w:r>
      <w:r w:rsidRPr="00EB0A4D">
        <w:rPr>
          <w:rFonts w:ascii="Arial" w:hAnsi="Arial" w:cs="Arial"/>
          <w:bCs/>
          <w:sz w:val="21"/>
          <w:szCs w:val="21"/>
          <w:vertAlign w:val="superscript"/>
          <w:lang w:val="es-MX" w:eastAsia="es-CO"/>
        </w:rPr>
        <w:footnoteReference w:id="6"/>
      </w:r>
      <w:r w:rsidRPr="00EB0A4D">
        <w:rPr>
          <w:rFonts w:ascii="Arial" w:hAnsi="Arial" w:cs="Arial"/>
          <w:bCs/>
          <w:sz w:val="21"/>
          <w:szCs w:val="21"/>
          <w:lang w:val="es-MX" w:eastAsia="es-CO"/>
        </w:rPr>
        <w:t> y del Consejo de Estado</w:t>
      </w:r>
      <w:r w:rsidRPr="00EB0A4D">
        <w:rPr>
          <w:rFonts w:ascii="Arial" w:hAnsi="Arial" w:cs="Arial"/>
          <w:bCs/>
          <w:sz w:val="21"/>
          <w:szCs w:val="21"/>
          <w:vertAlign w:val="superscript"/>
          <w:lang w:val="es-MX" w:eastAsia="es-CO"/>
        </w:rPr>
        <w:footnoteReference w:id="7"/>
      </w:r>
      <w:r w:rsidRPr="00EB0A4D">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B0A4D">
        <w:rPr>
          <w:rFonts w:ascii="Arial" w:hAnsi="Arial" w:cs="Arial"/>
          <w:bCs/>
          <w:sz w:val="21"/>
          <w:szCs w:val="21"/>
          <w:vertAlign w:val="superscript"/>
          <w:lang w:val="es-MX" w:eastAsia="es-CO"/>
        </w:rPr>
        <w:footnoteReference w:id="8"/>
      </w:r>
      <w:r w:rsidRPr="00EB0A4D">
        <w:rPr>
          <w:rFonts w:ascii="Arial" w:hAnsi="Arial" w:cs="Arial"/>
          <w:bCs/>
          <w:sz w:val="21"/>
          <w:szCs w:val="21"/>
          <w:lang w:val="es-MX" w:eastAsia="es-CO"/>
        </w:rPr>
        <w:t>”.</w:t>
      </w:r>
    </w:p>
    <w:p w14:paraId="61E781FA" w14:textId="77777777" w:rsidR="00EB0A4D" w:rsidRPr="00EB0A4D" w:rsidRDefault="00EB0A4D" w:rsidP="00EB0A4D">
      <w:pPr>
        <w:spacing w:after="0" w:line="276" w:lineRule="auto"/>
        <w:ind w:right="709"/>
        <w:contextualSpacing/>
        <w:jc w:val="both"/>
        <w:rPr>
          <w:rFonts w:ascii="Arial" w:hAnsi="Arial" w:cs="Arial"/>
          <w:bCs/>
          <w:color w:val="FF0000"/>
          <w:lang w:val="es-MX" w:eastAsia="es-CO"/>
        </w:rPr>
      </w:pPr>
    </w:p>
    <w:p w14:paraId="097233E2" w14:textId="77777777" w:rsidR="00EB0A4D" w:rsidRPr="00EB0A4D" w:rsidRDefault="00EB0A4D" w:rsidP="00EB0A4D">
      <w:pPr>
        <w:spacing w:after="0" w:line="276" w:lineRule="auto"/>
        <w:contextualSpacing/>
        <w:jc w:val="both"/>
        <w:rPr>
          <w:rFonts w:ascii="Arial" w:hAnsi="Arial" w:cs="Arial"/>
          <w:bCs/>
          <w:lang w:val="es-MX" w:eastAsia="es-CO"/>
        </w:rPr>
      </w:pPr>
      <w:r w:rsidRPr="00EB0A4D">
        <w:rPr>
          <w:rFonts w:ascii="Arial" w:hAnsi="Arial" w:cs="Arial"/>
          <w:bCs/>
          <w:color w:val="FF0000"/>
          <w:lang w:val="es-MX" w:eastAsia="es-CO"/>
        </w:rPr>
        <w:tab/>
      </w:r>
      <w:r w:rsidRPr="00EB0A4D">
        <w:rPr>
          <w:rFonts w:ascii="Arial" w:hAnsi="Arial" w:cs="Arial"/>
          <w:bCs/>
          <w:lang w:val="es-MX" w:eastAsia="es-CO"/>
        </w:rPr>
        <w:t>De conformidad con lo anterior, 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Específicamente, las restricciones consagradas en la citada ley se dirigen a dos (2) tipo de campañas electorales claramente diferenciadas: las presidenciales y las demás que se adelanten para la elección de los demás cargos de elección popular, tanto a nivel nacional como territorial.</w:t>
      </w:r>
    </w:p>
    <w:p w14:paraId="7D3D1354"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B0A4D">
        <w:rPr>
          <w:rFonts w:ascii="Arial" w:eastAsia="Calibri" w:hAnsi="Arial" w:cs="Arial"/>
          <w:bCs/>
          <w:vertAlign w:val="superscript"/>
        </w:rPr>
        <w:footnoteReference w:id="9"/>
      </w:r>
      <w:r w:rsidRPr="00EB0A4D">
        <w:rPr>
          <w:rFonts w:ascii="Arial" w:eastAsia="Times New Roman" w:hAnsi="Arial" w:cs="Arial"/>
          <w:iCs/>
          <w:szCs w:val="24"/>
          <w:lang w:val="es-ES_tradnl" w:eastAsia="es-ES_tradnl"/>
        </w:rPr>
        <w:t>”</w:t>
      </w:r>
      <w:r w:rsidRPr="00EB0A4D">
        <w:rPr>
          <w:rFonts w:ascii="Arial" w:eastAsia="Calibri" w:hAnsi="Arial" w:cs="Arial"/>
        </w:rPr>
        <w:t>.</w:t>
      </w:r>
    </w:p>
    <w:p w14:paraId="2B1B807E"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 xml:space="preserve">Por otro lado, el parágrafo del artículo 38 de la Ley 996 de 2005 prevé una restricción, aplicable respecto de cualquier tipo de contienda electoral, que prohíbe a los gobernadores, </w:t>
      </w:r>
      <w:r w:rsidRPr="00EB0A4D">
        <w:rPr>
          <w:rFonts w:ascii="Arial" w:eastAsia="Times New Roman" w:hAnsi="Arial" w:cs="Arial"/>
          <w:iCs/>
          <w:szCs w:val="24"/>
          <w:lang w:val="es-ES_tradnl" w:eastAsia="es-ES_tradnl"/>
        </w:rPr>
        <w:lastRenderedPageBreak/>
        <w:t>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B0A4D">
        <w:rPr>
          <w:rFonts w:ascii="Arial" w:eastAsia="Calibri" w:hAnsi="Arial" w:cs="Arial"/>
          <w:bCs/>
          <w:vertAlign w:val="superscript"/>
        </w:rPr>
        <w:t xml:space="preserve"> </w:t>
      </w:r>
      <w:r w:rsidRPr="00EB0A4D">
        <w:rPr>
          <w:rFonts w:ascii="Arial" w:eastAsia="Calibri" w:hAnsi="Arial" w:cs="Arial"/>
          <w:bCs/>
          <w:vertAlign w:val="superscript"/>
        </w:rPr>
        <w:footnoteReference w:id="10"/>
      </w:r>
      <w:r w:rsidRPr="00EB0A4D">
        <w:rPr>
          <w:rFonts w:ascii="Arial" w:eastAsia="Calibri" w:hAnsi="Arial" w:cs="Arial"/>
        </w:rPr>
        <w:t>”.</w:t>
      </w:r>
    </w:p>
    <w:p w14:paraId="591D28BB"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La Sala de Consulta y Servicio Civil del Consejo de Estado ha aclarado la distinción en la aplicación de las prohibiciones de la Ley 996 de 2005, dependiendo del tipo de elección que se trate. Sobre el particular, consideró:</w:t>
      </w:r>
    </w:p>
    <w:p w14:paraId="4EB0684C" w14:textId="77777777" w:rsidR="00EB0A4D" w:rsidRPr="00EB0A4D" w:rsidRDefault="00EB0A4D" w:rsidP="00EB0A4D">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p>
    <w:p w14:paraId="609E07B2" w14:textId="77777777" w:rsidR="00EB0A4D" w:rsidRPr="00EB0A4D" w:rsidRDefault="00EB0A4D" w:rsidP="00EB0A4D">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EB0A4D">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B0A4D">
        <w:rPr>
          <w:rFonts w:ascii="Arial" w:eastAsia="Arial" w:hAnsi="Arial" w:cs="Arial"/>
          <w:sz w:val="21"/>
          <w:szCs w:val="21"/>
          <w:lang w:val="es-ES" w:eastAsia="es-ES" w:bidi="es-ES"/>
        </w:rPr>
        <w:t>se integran parcialmente</w:t>
      </w:r>
      <w:bookmarkEnd w:id="7"/>
      <w:r w:rsidRPr="00EB0A4D">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EB0A4D">
        <w:rPr>
          <w:rFonts w:ascii="Arial" w:eastAsia="Arial" w:hAnsi="Arial" w:cs="Arial"/>
          <w:bCs/>
          <w:i/>
          <w:iCs/>
          <w:sz w:val="21"/>
          <w:szCs w:val="21"/>
          <w:u w:val="single"/>
          <w:lang w:val="es-ES" w:eastAsia="es-ES" w:bidi="es-ES"/>
        </w:rPr>
        <w:t xml:space="preserve">En cambio, para elecciones en general, excluyendo las correspondientes a </w:t>
      </w:r>
      <w:proofErr w:type="gramStart"/>
      <w:r w:rsidRPr="00EB0A4D">
        <w:rPr>
          <w:rFonts w:ascii="Arial" w:eastAsia="Arial" w:hAnsi="Arial" w:cs="Arial"/>
          <w:bCs/>
          <w:i/>
          <w:iCs/>
          <w:sz w:val="21"/>
          <w:szCs w:val="21"/>
          <w:u w:val="single"/>
          <w:lang w:val="es-ES" w:eastAsia="es-ES" w:bidi="es-ES"/>
        </w:rPr>
        <w:t>Presidente</w:t>
      </w:r>
      <w:proofErr w:type="gramEnd"/>
      <w:r w:rsidRPr="00EB0A4D">
        <w:rPr>
          <w:rFonts w:ascii="Arial" w:eastAsia="Arial" w:hAnsi="Arial" w:cs="Arial"/>
          <w:bCs/>
          <w:i/>
          <w:iCs/>
          <w:sz w:val="21"/>
          <w:szCs w:val="21"/>
          <w:u w:val="single"/>
          <w:lang w:val="es-ES" w:eastAsia="es-ES" w:bidi="es-ES"/>
        </w:rPr>
        <w:t xml:space="preserve"> de la República, a las autoridades territoriales allí mencionadas sólo se aplican las restricciones contenidas en el parágrafo del artículo 38</w:t>
      </w:r>
      <w:r w:rsidRPr="00EB0A4D">
        <w:rPr>
          <w:rFonts w:ascii="Arial" w:eastAsia="Arial" w:hAnsi="Arial" w:cs="Arial"/>
          <w:sz w:val="21"/>
          <w:szCs w:val="21"/>
          <w:vertAlign w:val="superscript"/>
          <w:lang w:val="es-ES" w:eastAsia="es-ES" w:bidi="es-ES"/>
        </w:rPr>
        <w:footnoteReference w:id="11"/>
      </w:r>
      <w:r w:rsidRPr="00EB0A4D">
        <w:rPr>
          <w:rFonts w:ascii="Arial" w:eastAsia="Arial" w:hAnsi="Arial" w:cs="Arial"/>
          <w:sz w:val="21"/>
          <w:szCs w:val="21"/>
          <w:lang w:val="es-ES" w:eastAsia="es-ES" w:bidi="es-ES"/>
        </w:rPr>
        <w:t>”. [Énfasis fuera de texto]</w:t>
      </w:r>
    </w:p>
    <w:p w14:paraId="299A1A92" w14:textId="77777777" w:rsidR="00EB0A4D" w:rsidRPr="00EB0A4D" w:rsidRDefault="00EB0A4D" w:rsidP="00EB0A4D">
      <w:pPr>
        <w:spacing w:after="0" w:line="276" w:lineRule="auto"/>
        <w:ind w:firstLine="709"/>
        <w:jc w:val="both"/>
        <w:rPr>
          <w:rFonts w:ascii="Arial" w:eastAsia="Times New Roman" w:hAnsi="Arial" w:cs="Arial"/>
          <w:i/>
          <w:szCs w:val="24"/>
          <w:lang w:val="es-ES_tradnl" w:eastAsia="es-ES_tradnl"/>
        </w:rPr>
      </w:pPr>
    </w:p>
    <w:p w14:paraId="17FA23E4" w14:textId="77777777" w:rsidR="00EB0A4D" w:rsidRPr="00EB0A4D" w:rsidRDefault="00EB0A4D" w:rsidP="00EB0A4D">
      <w:pPr>
        <w:spacing w:after="0" w:line="276" w:lineRule="auto"/>
        <w:ind w:firstLine="709"/>
        <w:jc w:val="both"/>
      </w:pPr>
      <w:r w:rsidRPr="00EB0A4D">
        <w:rPr>
          <w:rFonts w:ascii="Arial" w:eastAsia="Times New Roman" w:hAnsi="Arial" w:cs="Arial"/>
          <w:iCs/>
          <w:szCs w:val="24"/>
          <w:lang w:val="es-ES_tradnl" w:eastAsia="es-ES_tradnl"/>
        </w:rPr>
        <w:t xml:space="preserve">De conformidad con lo anterior, la Ley 996 de 2005 establece dos (2) tipos de restricciones en materia de contratación, las cuales coinciden parcialmente. </w:t>
      </w:r>
      <w:r w:rsidRPr="00EB0A4D">
        <w:rPr>
          <w:rFonts w:ascii="Arial" w:eastAsia="Times New Roman" w:hAnsi="Arial" w:cs="Arial"/>
          <w:i/>
          <w:szCs w:val="24"/>
          <w:u w:val="single"/>
          <w:lang w:val="es-ES_tradnl" w:eastAsia="es-ES_tradnl"/>
        </w:rPr>
        <w:t>En primer lugar</w:t>
      </w:r>
      <w:r w:rsidRPr="00EB0A4D">
        <w:rPr>
          <w:rFonts w:ascii="Arial" w:eastAsia="Times New Roman" w:hAnsi="Arial" w:cs="Arial"/>
          <w:i/>
          <w:szCs w:val="24"/>
          <w:lang w:val="es-ES_tradnl" w:eastAsia="es-ES_tradnl"/>
        </w:rPr>
        <w:t xml:space="preserve">, </w:t>
      </w:r>
      <w:r w:rsidRPr="00EB0A4D">
        <w:rPr>
          <w:rFonts w:ascii="Arial" w:eastAsia="Times New Roman" w:hAnsi="Arial" w:cs="Arial"/>
          <w:iCs/>
          <w:szCs w:val="24"/>
          <w:lang w:val="es-ES_tradnl" w:eastAsia="es-ES_tradnl"/>
        </w:rPr>
        <w:t xml:space="preserve">la del artículo 33, que opera solo respecto de las elecciones presidenciales, en virtud de la cual queda proscrita la contratación directa dentro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a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roofErr w:type="gramStart"/>
      <w:r w:rsidRPr="00EB0A4D">
        <w:rPr>
          <w:rFonts w:ascii="Arial" w:eastAsia="Times New Roman" w:hAnsi="Arial" w:cs="Arial"/>
          <w:iCs/>
          <w:szCs w:val="24"/>
          <w:lang w:val="es-ES_tradnl" w:eastAsia="es-ES_tradnl"/>
        </w:rPr>
        <w:t>Y</w:t>
      </w:r>
      <w:proofErr w:type="gramEnd"/>
      <w:r w:rsidRPr="00EB0A4D">
        <w:rPr>
          <w:rFonts w:ascii="Arial" w:hAnsi="Arial" w:cs="Arial"/>
          <w:i/>
          <w:iCs/>
        </w:rPr>
        <w:t xml:space="preserve"> en </w:t>
      </w:r>
      <w:r w:rsidRPr="00EB0A4D">
        <w:rPr>
          <w:rFonts w:ascii="Arial" w:hAnsi="Arial" w:cs="Arial"/>
          <w:i/>
          <w:iCs/>
          <w:u w:val="single"/>
        </w:rPr>
        <w:t>segundo lugar</w:t>
      </w:r>
      <w:r w:rsidRPr="00EB0A4D">
        <w:rPr>
          <w:rFonts w:ascii="Arial" w:hAnsi="Arial" w:cs="Arial"/>
          <w:i/>
          <w:iCs/>
        </w:rPr>
        <w:t xml:space="preserve">, </w:t>
      </w:r>
      <w:r w:rsidRPr="00EB0A4D">
        <w:rPr>
          <w:rFonts w:ascii="Arial" w:hAnsi="Arial" w:cs="Arial"/>
        </w:rPr>
        <w:t xml:space="preserve">también se encuentra la prohibición de </w:t>
      </w:r>
      <w:r w:rsidRPr="00EB0A4D">
        <w:rPr>
          <w:rFonts w:ascii="Arial" w:hAnsi="Arial" w:cs="Arial"/>
        </w:rPr>
        <w:lastRenderedPageBreak/>
        <w:t xml:space="preserve">contienda electoral, y que </w:t>
      </w:r>
      <w:r w:rsidRPr="00EB0A4D">
        <w:rPr>
          <w:rFonts w:ascii="Arial" w:hAnsi="Arial" w:cs="Arial"/>
          <w:u w:val="single"/>
        </w:rPr>
        <w:t>prohíbe la celebración de convenios interadministrativos</w:t>
      </w:r>
      <w:r w:rsidRPr="00EB0A4D">
        <w:rPr>
          <w:rFonts w:ascii="Arial" w:hAnsi="Arial" w:cs="Arial"/>
        </w:rPr>
        <w:t xml:space="preserve"> que impliquen la ejecución de recursos públicos dentro de los cuatro (4) meses anteriores a la respectiva jornada de votaciones.</w:t>
      </w:r>
    </w:p>
    <w:p w14:paraId="723F94ED" w14:textId="77777777" w:rsidR="00EB0A4D" w:rsidRPr="00EB0A4D" w:rsidRDefault="00EB0A4D" w:rsidP="00EB0A4D">
      <w:pPr>
        <w:spacing w:before="120" w:after="0" w:line="276" w:lineRule="auto"/>
        <w:ind w:firstLine="709"/>
        <w:jc w:val="both"/>
        <w:rPr>
          <w:rFonts w:ascii="Arial" w:eastAsia="Times New Roman" w:hAnsi="Arial" w:cs="Arial"/>
          <w:i/>
          <w:szCs w:val="24"/>
          <w:lang w:val="es-ES_tradnl" w:eastAsia="es-ES_tradnl"/>
        </w:rPr>
      </w:pPr>
      <w:r w:rsidRPr="00EB0A4D">
        <w:rPr>
          <w:rFonts w:ascii="Arial" w:eastAsia="Times New Roman" w:hAnsi="Arial" w:cs="Arial"/>
          <w:iCs/>
          <w:szCs w:val="24"/>
          <w:lang w:val="es-ES_tradnl" w:eastAsia="es-ES_tradnl"/>
        </w:rPr>
        <w:t xml:space="preserve">Ambas restricciones no son excluyentes, lo que permite concluir que en el período preelectoral para elección del </w:t>
      </w:r>
      <w:proofErr w:type="gramStart"/>
      <w:r w:rsidRPr="00EB0A4D">
        <w:rPr>
          <w:rFonts w:ascii="Arial" w:eastAsia="Times New Roman" w:hAnsi="Arial" w:cs="Arial"/>
          <w:iCs/>
          <w:szCs w:val="24"/>
          <w:lang w:val="es-ES_tradnl" w:eastAsia="es-ES_tradnl"/>
        </w:rPr>
        <w:t>Presidente</w:t>
      </w:r>
      <w:proofErr w:type="gramEnd"/>
      <w:r w:rsidRPr="00EB0A4D">
        <w:rPr>
          <w:rFonts w:ascii="Arial" w:eastAsia="Times New Roman" w:hAnsi="Arial" w:cs="Arial"/>
          <w:iCs/>
          <w:szCs w:val="24"/>
          <w:lang w:val="es-ES_tradnl" w:eastAsia="es-ES_tradnl"/>
        </w:rPr>
        <w:t xml:space="preserve"> de la República, a todos los entes del Estado, incluidos los territoriales, aplican las restricciones del artículo 33 de la Ley 996 de 2005 con sus excepciones, así como las del parágrafo del artículo 38 </w:t>
      </w:r>
      <w:r w:rsidRPr="00EB0A4D">
        <w:rPr>
          <w:rFonts w:ascii="Arial" w:eastAsia="Times New Roman" w:hAnsi="Arial" w:cs="Arial"/>
          <w:i/>
          <w:szCs w:val="24"/>
          <w:lang w:val="es-ES_tradnl" w:eastAsia="es-ES_tradnl"/>
        </w:rPr>
        <w:t>ibidem</w:t>
      </w:r>
      <w:r w:rsidRPr="00EB0A4D">
        <w:rPr>
          <w:rFonts w:ascii="Arial" w:eastAsia="Times New Roman" w:hAnsi="Arial" w:cs="Arial"/>
          <w:iCs/>
          <w:szCs w:val="24"/>
          <w:lang w:val="es-ES_tradnl" w:eastAsia="es-ES_tradnl"/>
        </w:rPr>
        <w:t xml:space="preserve">. En cambio, tratándose de elecciones en general, excluyendo las correspondientes al </w:t>
      </w:r>
      <w:proofErr w:type="gramStart"/>
      <w:r w:rsidRPr="00EB0A4D">
        <w:rPr>
          <w:rFonts w:ascii="Arial" w:eastAsia="Times New Roman" w:hAnsi="Arial" w:cs="Arial"/>
          <w:iCs/>
          <w:szCs w:val="24"/>
          <w:lang w:val="es-ES_tradnl" w:eastAsia="es-ES_tradnl"/>
        </w:rPr>
        <w:t>Presidente</w:t>
      </w:r>
      <w:proofErr w:type="gramEnd"/>
      <w:r w:rsidRPr="00EB0A4D">
        <w:rPr>
          <w:rFonts w:ascii="Arial" w:eastAsia="Times New Roman" w:hAnsi="Arial" w:cs="Arial"/>
          <w:iCs/>
          <w:szCs w:val="24"/>
          <w:lang w:val="es-ES_tradnl" w:eastAsia="es-ES_tradnl"/>
        </w:rPr>
        <w:t xml:space="preserve"> de la República, las autoridades allí mencionadas sólo deben aplicar las restricciones contenidas en el parágrafo del artículo 38 </w:t>
      </w:r>
      <w:r w:rsidRPr="00EB0A4D">
        <w:rPr>
          <w:rFonts w:ascii="Arial" w:eastAsia="Times New Roman" w:hAnsi="Arial" w:cs="Arial"/>
          <w:i/>
          <w:szCs w:val="24"/>
          <w:lang w:val="es-ES_tradnl" w:eastAsia="es-ES_tradnl"/>
        </w:rPr>
        <w:t>ibidem</w:t>
      </w:r>
      <w:r w:rsidRPr="00EB0A4D">
        <w:rPr>
          <w:rFonts w:ascii="Arial" w:eastAsia="Times New Roman" w:hAnsi="Arial" w:cs="Arial"/>
          <w:iCs/>
          <w:szCs w:val="24"/>
          <w:lang w:val="es-ES_tradnl" w:eastAsia="es-ES_tradnl"/>
        </w:rPr>
        <w:t>. Restricción en la que enfatizaremos, según el objeto bajo consulta.</w:t>
      </w:r>
    </w:p>
    <w:p w14:paraId="0C4143A8" w14:textId="77777777" w:rsidR="00EB0A4D" w:rsidRPr="00EB0A4D" w:rsidRDefault="00EB0A4D" w:rsidP="00EB0A4D">
      <w:pPr>
        <w:spacing w:after="0" w:line="276" w:lineRule="auto"/>
        <w:jc w:val="both"/>
        <w:rPr>
          <w:rFonts w:ascii="Arial" w:eastAsia="Times New Roman" w:hAnsi="Arial" w:cs="Arial"/>
          <w:iCs/>
          <w:szCs w:val="24"/>
          <w:lang w:val="es-ES_tradnl" w:eastAsia="es-ES_tradnl"/>
        </w:rPr>
      </w:pPr>
    </w:p>
    <w:p w14:paraId="3ECD4BBD" w14:textId="77777777" w:rsidR="00EB0A4D" w:rsidRPr="00EB0A4D" w:rsidRDefault="00EB0A4D" w:rsidP="00EB0A4D">
      <w:pPr>
        <w:spacing w:line="276" w:lineRule="auto"/>
        <w:contextualSpacing/>
        <w:jc w:val="both"/>
        <w:rPr>
          <w:rFonts w:ascii="Arial" w:hAnsi="Arial" w:cs="Arial"/>
          <w:b/>
          <w:lang w:val="es-ES" w:eastAsia="es-CO"/>
        </w:rPr>
      </w:pPr>
      <w:r w:rsidRPr="00EB0A4D">
        <w:rPr>
          <w:rFonts w:ascii="Arial" w:eastAsia="Times New Roman" w:hAnsi="Arial" w:cs="Arial"/>
          <w:b/>
          <w:bCs/>
          <w:iCs/>
          <w:szCs w:val="24"/>
          <w:lang w:val="es-ES_tradnl" w:eastAsia="es-ES_tradnl"/>
        </w:rPr>
        <w:t xml:space="preserve">2.2. </w:t>
      </w:r>
      <w:r w:rsidRPr="00EB0A4D">
        <w:rPr>
          <w:rFonts w:ascii="Arial" w:hAnsi="Arial" w:cs="Arial"/>
          <w:b/>
          <w:bCs/>
          <w:lang w:val="es-MX" w:eastAsia="es-CO"/>
        </w:rPr>
        <w:t>Restricciones en elecciones presidenciales: prohibición del artículo 33 de la Ley 996 de 2005. Reiteración de línea</w:t>
      </w:r>
    </w:p>
    <w:p w14:paraId="64DF64FA" w14:textId="77777777" w:rsidR="00EB0A4D" w:rsidRPr="00EB0A4D" w:rsidRDefault="00EB0A4D" w:rsidP="00EB0A4D">
      <w:pPr>
        <w:spacing w:after="0" w:line="276" w:lineRule="auto"/>
        <w:contextualSpacing/>
        <w:jc w:val="both"/>
        <w:rPr>
          <w:rFonts w:ascii="Arial" w:hAnsi="Arial" w:cs="Arial"/>
          <w:bCs/>
          <w:lang w:val="es-MX" w:eastAsia="x-none"/>
        </w:rPr>
      </w:pPr>
    </w:p>
    <w:p w14:paraId="6931CA6C" w14:textId="77777777" w:rsidR="00EB0A4D" w:rsidRPr="00EB0A4D" w:rsidRDefault="00EB0A4D" w:rsidP="00EB0A4D">
      <w:pPr>
        <w:spacing w:after="0" w:line="276" w:lineRule="auto"/>
        <w:contextualSpacing/>
        <w:jc w:val="both"/>
        <w:rPr>
          <w:rFonts w:ascii="Arial" w:hAnsi="Arial" w:cs="Arial"/>
          <w:bCs/>
          <w:lang w:val="es-MX" w:eastAsia="es-CO"/>
        </w:rPr>
      </w:pPr>
      <w:r w:rsidRPr="00EB0A4D">
        <w:rPr>
          <w:rFonts w:ascii="Arial" w:hAnsi="Arial" w:cs="Arial"/>
          <w:bCs/>
          <w:lang w:val="es-MX" w:eastAsia="x-none"/>
        </w:rPr>
        <w:t xml:space="preserve">El ámbito material de la prohibición contenida </w:t>
      </w:r>
      <w:bookmarkStart w:id="8" w:name="_Hlk75628761"/>
      <w:r w:rsidRPr="00EB0A4D">
        <w:rPr>
          <w:rFonts w:ascii="Arial" w:hAnsi="Arial" w:cs="Arial"/>
          <w:bCs/>
          <w:lang w:val="es-MX" w:eastAsia="x-none"/>
        </w:rPr>
        <w:t xml:space="preserve">en el artículo 33 de la Ley 996 de 2005 </w:t>
      </w:r>
      <w:bookmarkEnd w:id="8"/>
      <w:r w:rsidRPr="00EB0A4D">
        <w:rPr>
          <w:rFonts w:ascii="Arial" w:hAnsi="Arial" w:cs="Arial"/>
          <w:bCs/>
          <w:lang w:val="es-MX" w:eastAsia="x-none"/>
        </w:rPr>
        <w:t xml:space="preserve">está delimitado por la expresión </w:t>
      </w:r>
      <w:r w:rsidRPr="00EB0A4D">
        <w:rPr>
          <w:rFonts w:ascii="Arial" w:eastAsia="Calibri" w:hAnsi="Arial" w:cs="Arial"/>
          <w:bCs/>
          <w:lang w:val="es-MX"/>
        </w:rPr>
        <w:t>“</w:t>
      </w:r>
      <w:r w:rsidRPr="00EB0A4D">
        <w:rPr>
          <w:rFonts w:ascii="Arial" w:hAnsi="Arial" w:cs="Arial"/>
          <w:bCs/>
          <w:lang w:val="es-MX" w:eastAsia="x-none"/>
        </w:rPr>
        <w:t>queda prohibida la contratación directa</w:t>
      </w:r>
      <w:r w:rsidRPr="00EB0A4D">
        <w:rPr>
          <w:rFonts w:ascii="Arial" w:eastAsia="Calibri" w:hAnsi="Arial" w:cs="Arial"/>
          <w:lang w:val="es-MX"/>
        </w:rPr>
        <w:t>”</w:t>
      </w:r>
      <w:r w:rsidRPr="00EB0A4D">
        <w:rPr>
          <w:rFonts w:ascii="Arial" w:hAnsi="Arial" w:cs="Arial"/>
          <w:bCs/>
          <w:lang w:val="es-MX" w:eastAsia="x-none"/>
        </w:rPr>
        <w:t>.</w:t>
      </w:r>
      <w:r w:rsidRPr="00EB0A4D">
        <w:rPr>
          <w:rFonts w:ascii="Arial" w:hAnsi="Arial" w:cs="Arial"/>
          <w:lang w:val="es-MX" w:eastAsia="es-CO"/>
        </w:rPr>
        <w:t xml:space="preserve"> A propósito de esta restricción de la Ley de Garantías Electorales, la Sala de Consulta y Servicio Civil del Consejo de Estado ha considerado que:</w:t>
      </w:r>
    </w:p>
    <w:p w14:paraId="362F77E3" w14:textId="77777777" w:rsidR="00EB0A4D" w:rsidRPr="00EB0A4D" w:rsidRDefault="00EB0A4D" w:rsidP="00EB0A4D">
      <w:pPr>
        <w:spacing w:after="0" w:line="276" w:lineRule="auto"/>
        <w:ind w:left="708" w:right="709"/>
        <w:contextualSpacing/>
        <w:jc w:val="both"/>
        <w:rPr>
          <w:rFonts w:ascii="Arial" w:eastAsia="Calibri" w:hAnsi="Arial" w:cs="Arial"/>
          <w:lang w:val="es-MX"/>
        </w:rPr>
      </w:pPr>
    </w:p>
    <w:p w14:paraId="56171375" w14:textId="77777777" w:rsidR="00EB0A4D" w:rsidRPr="00EB0A4D" w:rsidRDefault="00EB0A4D" w:rsidP="00EB0A4D">
      <w:pPr>
        <w:spacing w:after="0" w:line="240" w:lineRule="auto"/>
        <w:ind w:left="709" w:right="709"/>
        <w:contextualSpacing/>
        <w:jc w:val="both"/>
        <w:rPr>
          <w:rFonts w:ascii="Arial" w:eastAsia="Calibri" w:hAnsi="Arial" w:cs="Arial"/>
          <w:sz w:val="21"/>
          <w:szCs w:val="21"/>
          <w:lang w:val="es-MX"/>
        </w:rPr>
      </w:pPr>
      <w:r w:rsidRPr="00EB0A4D">
        <w:rPr>
          <w:rFonts w:ascii="Arial" w:eastAsia="Calibri"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EB0A4D">
        <w:rPr>
          <w:rFonts w:ascii="Arial" w:hAnsi="Arial" w:cs="Arial"/>
          <w:sz w:val="21"/>
          <w:szCs w:val="21"/>
          <w:vertAlign w:val="superscript"/>
          <w:lang w:val="es-MX" w:eastAsia="es-CO"/>
        </w:rPr>
        <w:footnoteReference w:id="12"/>
      </w:r>
      <w:r w:rsidRPr="00EB0A4D">
        <w:rPr>
          <w:rFonts w:ascii="Arial" w:eastAsia="Calibri" w:hAnsi="Arial" w:cs="Arial"/>
          <w:sz w:val="21"/>
          <w:szCs w:val="21"/>
          <w:lang w:val="es-MX"/>
        </w:rPr>
        <w:t>.</w:t>
      </w:r>
    </w:p>
    <w:p w14:paraId="4E526118" w14:textId="77777777" w:rsidR="00EB0A4D" w:rsidRPr="00EB0A4D" w:rsidRDefault="00EB0A4D" w:rsidP="00EB0A4D">
      <w:pPr>
        <w:spacing w:after="0" w:line="240" w:lineRule="auto"/>
        <w:ind w:left="709" w:right="709"/>
        <w:contextualSpacing/>
        <w:jc w:val="both"/>
        <w:rPr>
          <w:rFonts w:ascii="Arial" w:eastAsia="Calibri" w:hAnsi="Arial" w:cs="Arial"/>
          <w:sz w:val="21"/>
          <w:szCs w:val="21"/>
          <w:lang w:val="es-MX"/>
        </w:rPr>
      </w:pPr>
    </w:p>
    <w:p w14:paraId="4963BDA5" w14:textId="77777777" w:rsidR="00EB0A4D" w:rsidRPr="00EB0A4D" w:rsidRDefault="00EB0A4D" w:rsidP="00EB0A4D">
      <w:pPr>
        <w:spacing w:after="0" w:line="240" w:lineRule="auto"/>
        <w:ind w:left="709" w:right="709"/>
        <w:contextualSpacing/>
        <w:jc w:val="both"/>
        <w:rPr>
          <w:rFonts w:ascii="Arial" w:eastAsia="Calibri" w:hAnsi="Arial" w:cs="Arial"/>
          <w:sz w:val="21"/>
          <w:szCs w:val="21"/>
          <w:lang w:val="es-MX"/>
        </w:rPr>
      </w:pPr>
      <w:r w:rsidRPr="00EB0A4D">
        <w:rPr>
          <w:rFonts w:ascii="Arial" w:eastAsia="Calibri" w:hAnsi="Arial" w:cs="Arial"/>
          <w:sz w:val="21"/>
          <w:szCs w:val="21"/>
          <w:lang w:val="es-MX"/>
        </w:rPr>
        <w:t xml:space="preserve">Esta Sala ha entendido </w:t>
      </w:r>
      <w:proofErr w:type="gramStart"/>
      <w:r w:rsidRPr="00EB0A4D">
        <w:rPr>
          <w:rFonts w:ascii="Arial" w:eastAsia="Calibri" w:hAnsi="Arial" w:cs="Arial"/>
          <w:sz w:val="21"/>
          <w:szCs w:val="21"/>
          <w:lang w:val="es-MX"/>
        </w:rPr>
        <w:t>que</w:t>
      </w:r>
      <w:proofErr w:type="gramEnd"/>
      <w:r w:rsidRPr="00EB0A4D">
        <w:rPr>
          <w:rFonts w:ascii="Arial" w:eastAsia="Calibri" w:hAnsi="Arial" w:cs="Arial"/>
          <w:sz w:val="21"/>
          <w:szCs w:val="21"/>
          <w:lang w:val="es-MX"/>
        </w:rPr>
        <w:t xml:space="preserve"> para los efectos de la ley de garantías, y dada su finalidad, el enunciado ´contratación directa´ es sinónimo </w:t>
      </w:r>
      <w:bookmarkStart w:id="9" w:name="_Hlk75741738"/>
      <w:r w:rsidRPr="00EB0A4D">
        <w:rPr>
          <w:rFonts w:ascii="Arial" w:eastAsia="Calibri" w:hAnsi="Arial" w:cs="Arial"/>
          <w:sz w:val="21"/>
          <w:szCs w:val="21"/>
          <w:lang w:val="es-MX"/>
        </w:rPr>
        <w:t xml:space="preserve">de cualquier sistema que no implique convocatoria pública y posibilidad de pluralidad de oferentes, </w:t>
      </w:r>
      <w:bookmarkEnd w:id="9"/>
      <w:r w:rsidRPr="00EB0A4D">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EB0A4D">
        <w:rPr>
          <w:rFonts w:ascii="Arial" w:hAnsi="Arial" w:cs="Arial"/>
          <w:sz w:val="21"/>
          <w:szCs w:val="21"/>
          <w:vertAlign w:val="superscript"/>
          <w:lang w:val="es-MX"/>
        </w:rPr>
        <w:footnoteReference w:id="13"/>
      </w:r>
      <w:r w:rsidRPr="00EB0A4D">
        <w:rPr>
          <w:rFonts w:ascii="Arial" w:hAnsi="Arial" w:cs="Arial"/>
          <w:sz w:val="21"/>
          <w:szCs w:val="21"/>
          <w:vertAlign w:val="superscript"/>
          <w:lang w:val="es-MX"/>
        </w:rPr>
        <w:t>.</w:t>
      </w:r>
      <w:r w:rsidRPr="00EB0A4D">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EB0A4D">
        <w:rPr>
          <w:rFonts w:ascii="Arial" w:hAnsi="Arial" w:cs="Arial"/>
          <w:sz w:val="21"/>
          <w:szCs w:val="21"/>
          <w:vertAlign w:val="superscript"/>
          <w:lang w:val="es-MX" w:eastAsia="es-CO"/>
        </w:rPr>
        <w:footnoteReference w:id="14"/>
      </w:r>
      <w:r w:rsidRPr="00EB0A4D">
        <w:rPr>
          <w:rFonts w:ascii="Arial" w:eastAsia="Calibri" w:hAnsi="Arial" w:cs="Arial"/>
          <w:sz w:val="21"/>
          <w:szCs w:val="21"/>
          <w:lang w:val="es-MX"/>
        </w:rPr>
        <w:t>”.</w:t>
      </w:r>
    </w:p>
    <w:p w14:paraId="126F3A50" w14:textId="77777777" w:rsidR="00EB0A4D" w:rsidRPr="00EB0A4D" w:rsidRDefault="00EB0A4D" w:rsidP="00EB0A4D">
      <w:pPr>
        <w:shd w:val="clear" w:color="auto" w:fill="FFFFFF"/>
        <w:spacing w:after="0" w:line="276" w:lineRule="auto"/>
        <w:ind w:firstLine="709"/>
        <w:contextualSpacing/>
        <w:jc w:val="both"/>
        <w:rPr>
          <w:rFonts w:ascii="Arial" w:hAnsi="Arial" w:cs="Arial"/>
          <w:lang w:val="es-MX" w:eastAsia="x-none"/>
        </w:rPr>
      </w:pPr>
    </w:p>
    <w:p w14:paraId="501CBA98" w14:textId="77777777" w:rsidR="00EB0A4D" w:rsidRPr="00EB0A4D" w:rsidRDefault="00EB0A4D" w:rsidP="00EB0A4D">
      <w:pPr>
        <w:spacing w:after="120" w:line="276" w:lineRule="auto"/>
        <w:ind w:firstLine="709"/>
        <w:jc w:val="both"/>
        <w:rPr>
          <w:rFonts w:ascii="Arial" w:hAnsi="Arial" w:cs="Arial"/>
          <w:bCs/>
          <w:lang w:val="es-MX" w:eastAsia="x-none"/>
        </w:rPr>
      </w:pPr>
      <w:bookmarkStart w:id="11" w:name="_Hlk94521748"/>
      <w:r w:rsidRPr="00EB0A4D">
        <w:rPr>
          <w:rFonts w:ascii="Arial" w:hAnsi="Arial" w:cs="Arial"/>
          <w:lang w:val="es-MX" w:eastAsia="x-none"/>
        </w:rPr>
        <w:lastRenderedPageBreak/>
        <w:t xml:space="preserve">De conformidad con el citado concepto, </w:t>
      </w:r>
      <w:bookmarkStart w:id="12" w:name="_Hlk78818702"/>
      <w:r w:rsidRPr="00EB0A4D">
        <w:rPr>
          <w:rFonts w:ascii="Arial" w:hAnsi="Arial" w:cs="Arial"/>
          <w:lang w:val="es-MX" w:eastAsia="x-none"/>
        </w:rPr>
        <w:t xml:space="preserve">la prohibición del artículo 33 de la Ley de Garantías Electorales se refiere a </w:t>
      </w:r>
      <w:r w:rsidRPr="00EB0A4D">
        <w:rPr>
          <w:rFonts w:ascii="Arial" w:hAnsi="Arial" w:cs="Arial"/>
          <w:lang w:val="es-MX"/>
        </w:rPr>
        <w:t>“</w:t>
      </w:r>
      <w:r w:rsidRPr="00EB0A4D">
        <w:rPr>
          <w:rFonts w:ascii="Arial" w:hAnsi="Arial" w:cs="Arial"/>
          <w:lang w:val="es-MX" w:eastAsia="x-none"/>
        </w:rPr>
        <w:t>cualquier sistema que no implique convocatoria pública y posibilidad de pluralidad de oferentes</w:t>
      </w:r>
      <w:r w:rsidRPr="00EB0A4D">
        <w:rPr>
          <w:rFonts w:ascii="Arial" w:hAnsi="Arial" w:cs="Arial"/>
          <w:lang w:val="es-MX"/>
        </w:rPr>
        <w:t>”</w:t>
      </w:r>
      <w:r w:rsidRPr="00EB0A4D">
        <w:rPr>
          <w:rFonts w:ascii="Arial" w:hAnsi="Arial" w:cs="Arial"/>
          <w:lang w:val="es-MX"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w:t>
      </w:r>
      <w:bookmarkEnd w:id="11"/>
      <w:bookmarkEnd w:id="12"/>
      <w:r w:rsidRPr="00EB0A4D">
        <w:rPr>
          <w:rFonts w:ascii="Arial" w:hAnsi="Arial" w:cs="Arial"/>
          <w:lang w:val="es-MX" w:eastAsia="x-none"/>
        </w:rPr>
        <w:t>Esta posición es congruente con la expedición de la Ley 1150 de 2007 que, entre otras reformas, introdujo la selección abreviada, rediseñó el concurso de méritos</w:t>
      </w:r>
      <w:r w:rsidRPr="00EB0A4D">
        <w:rPr>
          <w:rFonts w:ascii="Arial" w:hAnsi="Arial" w:cs="Arial"/>
          <w:vertAlign w:val="superscript"/>
          <w:lang w:val="en-GB" w:eastAsia="x-none"/>
        </w:rPr>
        <w:footnoteReference w:id="15"/>
      </w:r>
      <w:r w:rsidRPr="00EB0A4D">
        <w:rPr>
          <w:rFonts w:ascii="Arial" w:hAnsi="Arial" w:cs="Arial"/>
          <w:lang w:val="es-MX" w:eastAsia="x-none"/>
        </w:rPr>
        <w:t xml:space="preserve"> y sistematizó las causales de contratación directa</w:t>
      </w:r>
      <w:r w:rsidRPr="00EB0A4D">
        <w:rPr>
          <w:rFonts w:ascii="Arial" w:hAnsi="Arial" w:cs="Arial"/>
          <w:vertAlign w:val="superscript"/>
          <w:lang w:val="en-GB" w:eastAsia="x-none"/>
        </w:rPr>
        <w:footnoteReference w:id="16"/>
      </w:r>
      <w:r w:rsidRPr="00EB0A4D">
        <w:rPr>
          <w:rFonts w:ascii="Arial" w:hAnsi="Arial" w:cs="Arial"/>
          <w:lang w:val="es-MX" w:eastAsia="x-none"/>
        </w:rPr>
        <w:t xml:space="preserve">, además lo es con la posterior creación de la modalidad de mínima cuantía establecida actualmente en el numeral 5, del artículo 2, de la Ley 1150 de 2007, de acuerdo con las modificaciones realizadas por las leyes posteriores. </w:t>
      </w:r>
    </w:p>
    <w:p w14:paraId="792F4783" w14:textId="77777777" w:rsidR="00EB0A4D" w:rsidRPr="00EB0A4D" w:rsidRDefault="00EB0A4D" w:rsidP="00EB0A4D">
      <w:pPr>
        <w:spacing w:after="120" w:line="276" w:lineRule="auto"/>
        <w:ind w:firstLine="709"/>
        <w:jc w:val="both"/>
        <w:rPr>
          <w:rFonts w:ascii="Arial" w:hAnsi="Arial" w:cs="Arial"/>
          <w:lang w:val="es-MX" w:eastAsia="x-none"/>
        </w:rPr>
      </w:pPr>
      <w:r w:rsidRPr="00EB0A4D">
        <w:rPr>
          <w:rFonts w:ascii="Arial" w:hAnsi="Arial" w:cs="Arial"/>
          <w:lang w:val="es-MX" w:eastAsia="x-none"/>
        </w:rPr>
        <w:t xml:space="preserve">De esta forma, con fundamento en la evolución de la normativa sobre la contratación pública, se ha depurado la noción de </w:t>
      </w:r>
      <w:r w:rsidRPr="00EB0A4D">
        <w:rPr>
          <w:rFonts w:ascii="Arial" w:hAnsi="Arial" w:cs="Arial"/>
          <w:lang w:val="es-MX"/>
        </w:rPr>
        <w:t>“</w:t>
      </w:r>
      <w:r w:rsidRPr="00EB0A4D">
        <w:rPr>
          <w:rFonts w:ascii="Arial" w:hAnsi="Arial" w:cs="Arial"/>
          <w:lang w:val="es-MX" w:eastAsia="x-none"/>
        </w:rPr>
        <w:t>contratación directa</w:t>
      </w:r>
      <w:r w:rsidRPr="00EB0A4D">
        <w:rPr>
          <w:rFonts w:ascii="Arial" w:hAnsi="Arial" w:cs="Arial"/>
          <w:lang w:val="es-MX"/>
        </w:rPr>
        <w:t>”</w:t>
      </w:r>
      <w:r w:rsidRPr="00EB0A4D">
        <w:rPr>
          <w:rFonts w:ascii="Arial" w:hAnsi="Arial" w:cs="Arial"/>
          <w:lang w:val="es-MX"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EB0A4D">
        <w:rPr>
          <w:rFonts w:ascii="Arial" w:hAnsi="Arial" w:cs="Arial"/>
          <w:vertAlign w:val="superscript"/>
          <w:lang w:val="en-GB" w:eastAsia="x-none"/>
        </w:rPr>
        <w:footnoteReference w:id="17"/>
      </w:r>
      <w:r w:rsidRPr="00EB0A4D">
        <w:rPr>
          <w:rFonts w:ascii="Arial" w:hAnsi="Arial" w:cs="Arial"/>
          <w:lang w:val="es-MX" w:eastAsia="x-none"/>
        </w:rPr>
        <w:t>, han establecido sistemas de contratación que implican convocatoria pública y participación de varios oferentes”.</w:t>
      </w:r>
    </w:p>
    <w:p w14:paraId="25D754D1" w14:textId="77777777" w:rsidR="00EB0A4D" w:rsidRPr="00EB0A4D" w:rsidRDefault="00EB0A4D" w:rsidP="00EB0A4D">
      <w:pPr>
        <w:spacing w:after="120" w:line="276" w:lineRule="auto"/>
        <w:ind w:firstLine="709"/>
        <w:jc w:val="both"/>
        <w:rPr>
          <w:rFonts w:ascii="Arial" w:hAnsi="Arial" w:cs="Arial"/>
          <w:bCs/>
          <w:lang w:val="es-MX" w:eastAsia="es-CO"/>
        </w:rPr>
      </w:pPr>
      <w:r w:rsidRPr="00EB0A4D">
        <w:rPr>
          <w:rFonts w:ascii="Arial" w:hAnsi="Arial" w:cs="Arial"/>
          <w:bCs/>
          <w:lang w:val="es-MX" w:eastAsia="x-none"/>
        </w:rPr>
        <w:t>E</w:t>
      </w:r>
      <w:r w:rsidRPr="00EB0A4D">
        <w:rPr>
          <w:rFonts w:ascii="Arial" w:hAnsi="Arial" w:cs="Arial"/>
          <w:lang w:val="es-MX" w:eastAsia="x-none"/>
        </w:rPr>
        <w:t xml:space="preserve">n efecto, vale la pena mencionar que, </w:t>
      </w:r>
      <w:bookmarkStart w:id="13" w:name="_Hlk75636073"/>
      <w:r w:rsidRPr="00EB0A4D">
        <w:rPr>
          <w:rFonts w:ascii="Arial" w:hAnsi="Arial" w:cs="Arial"/>
          <w:lang w:val="es-MX"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13"/>
      <w:r w:rsidRPr="00EB0A4D">
        <w:rPr>
          <w:rFonts w:ascii="Arial" w:hAnsi="Arial" w:cs="Arial"/>
          <w:vertAlign w:val="superscript"/>
          <w:lang w:val="es-MX" w:eastAsia="x-none"/>
        </w:rPr>
        <w:footnoteReference w:id="18"/>
      </w:r>
      <w:r w:rsidRPr="00EB0A4D">
        <w:rPr>
          <w:rFonts w:ascii="Arial" w:hAnsi="Arial" w:cs="Arial"/>
          <w:lang w:val="es-MX" w:eastAsia="x-none"/>
        </w:rPr>
        <w:t xml:space="preserve">. </w:t>
      </w:r>
    </w:p>
    <w:p w14:paraId="50DDA2E0" w14:textId="77777777" w:rsidR="00EB0A4D" w:rsidRPr="00EB0A4D" w:rsidRDefault="00EB0A4D" w:rsidP="00EB0A4D">
      <w:pPr>
        <w:spacing w:after="120" w:line="276" w:lineRule="auto"/>
        <w:ind w:firstLine="709"/>
        <w:jc w:val="both"/>
        <w:rPr>
          <w:rFonts w:ascii="Arial" w:hAnsi="Arial" w:cs="Arial"/>
          <w:bCs/>
          <w:lang w:val="es-MX" w:eastAsia="es-CO"/>
        </w:rPr>
      </w:pPr>
      <w:r w:rsidRPr="00EB0A4D">
        <w:rPr>
          <w:rFonts w:ascii="Arial" w:hAnsi="Arial" w:cs="Arial"/>
          <w:bCs/>
          <w:lang w:val="es-MX" w:eastAsia="es-CO"/>
        </w:rPr>
        <w:t xml:space="preserve">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w:t>
      </w:r>
      <w:r w:rsidRPr="00EB0A4D">
        <w:rPr>
          <w:rFonts w:ascii="Arial" w:hAnsi="Arial" w:cs="Arial"/>
          <w:bCs/>
          <w:lang w:val="es-MX" w:eastAsia="es-CO"/>
        </w:rPr>
        <w:lastRenderedPageBreak/>
        <w:t>expedición de Ley 1150 de 2007, el Consejo de Estado comenzó a delimitar con mayor precisión el término de “contratación directa”.</w:t>
      </w:r>
    </w:p>
    <w:p w14:paraId="61BE5A1E" w14:textId="77777777" w:rsidR="00EB0A4D" w:rsidRPr="00EB0A4D" w:rsidRDefault="00EB0A4D" w:rsidP="00EB0A4D">
      <w:pPr>
        <w:spacing w:after="120" w:line="276" w:lineRule="auto"/>
        <w:ind w:firstLine="709"/>
        <w:jc w:val="both"/>
        <w:rPr>
          <w:rFonts w:ascii="Arial" w:hAnsi="Arial" w:cs="Arial"/>
          <w:bCs/>
          <w:lang w:val="es-MX" w:eastAsia="x-none"/>
        </w:rPr>
      </w:pPr>
      <w:bookmarkStart w:id="14" w:name="_Hlk78818796"/>
      <w:r w:rsidRPr="00EB0A4D">
        <w:rPr>
          <w:rFonts w:ascii="Arial" w:hAnsi="Arial" w:cs="Arial"/>
          <w:bCs/>
          <w:lang w:val="es-MX" w:eastAsia="x-none"/>
        </w:rPr>
        <w:t xml:space="preserve">Así las cosas, </w:t>
      </w:r>
      <w:bookmarkStart w:id="15" w:name="_Hlk99577798"/>
      <w:r w:rsidRPr="00EB0A4D">
        <w:rPr>
          <w:rFonts w:ascii="Arial" w:hAnsi="Arial" w:cs="Arial"/>
          <w:bCs/>
          <w:lang w:val="es-MX" w:eastAsia="x-none"/>
        </w:rPr>
        <w:t>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EB0A4D">
        <w:rPr>
          <w:rFonts w:ascii="Arial" w:hAnsi="Arial" w:cs="Arial"/>
          <w:vertAlign w:val="superscript"/>
          <w:lang w:val="es-MX" w:eastAsia="x-none"/>
        </w:rPr>
        <w:footnoteReference w:id="19"/>
      </w:r>
      <w:r w:rsidRPr="00EB0A4D">
        <w:rPr>
          <w:rFonts w:ascii="Arial" w:hAnsi="Arial" w:cs="Arial"/>
          <w:bCs/>
          <w:lang w:val="es-MX" w:eastAsia="x-none"/>
        </w:rPr>
        <w:t>.</w:t>
      </w:r>
      <w:r w:rsidRPr="00EB0A4D">
        <w:rPr>
          <w:rFonts w:ascii="Arial" w:hAnsi="Arial" w:cs="Arial"/>
          <w:vertAlign w:val="superscript"/>
          <w:lang w:val="es-MX" w:eastAsia="x-none"/>
        </w:rPr>
        <w:t xml:space="preserve"> </w:t>
      </w:r>
    </w:p>
    <w:bookmarkEnd w:id="14"/>
    <w:p w14:paraId="5E941C92" w14:textId="77777777" w:rsidR="00EB0A4D" w:rsidRPr="00EB0A4D" w:rsidRDefault="00EB0A4D" w:rsidP="00EB0A4D">
      <w:pPr>
        <w:spacing w:after="0" w:line="276" w:lineRule="auto"/>
        <w:ind w:firstLine="709"/>
        <w:jc w:val="both"/>
        <w:rPr>
          <w:rFonts w:ascii="Arial" w:hAnsi="Arial" w:cs="Arial"/>
          <w:lang w:val="es-MX" w:eastAsia="x-none"/>
        </w:rPr>
      </w:pPr>
      <w:r w:rsidRPr="00EB0A4D">
        <w:rPr>
          <w:rFonts w:ascii="Arial"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EB0A4D">
        <w:rPr>
          <w:rFonts w:ascii="Arial" w:hAnsi="Arial" w:cs="Arial"/>
          <w:lang w:val="es-MX"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bookmarkEnd w:id="15"/>
    <w:p w14:paraId="7318E78D" w14:textId="77777777" w:rsidR="00EB0A4D" w:rsidRPr="00EB0A4D" w:rsidRDefault="00EB0A4D" w:rsidP="00EB0A4D">
      <w:pPr>
        <w:spacing w:after="0" w:line="276" w:lineRule="auto"/>
        <w:jc w:val="both"/>
        <w:rPr>
          <w:rFonts w:ascii="Arial" w:eastAsia="Times New Roman" w:hAnsi="Arial" w:cs="Arial"/>
          <w:b/>
          <w:bCs/>
          <w:iCs/>
          <w:szCs w:val="24"/>
          <w:lang w:val="es-ES_tradnl" w:eastAsia="es-ES_tradnl"/>
        </w:rPr>
      </w:pPr>
    </w:p>
    <w:p w14:paraId="1D77F640" w14:textId="77777777" w:rsidR="00EB0A4D" w:rsidRPr="00EB0A4D" w:rsidRDefault="00EB0A4D" w:rsidP="00EB0A4D">
      <w:pPr>
        <w:spacing w:after="0" w:line="276" w:lineRule="auto"/>
        <w:jc w:val="both"/>
        <w:rPr>
          <w:rFonts w:ascii="Arial" w:eastAsia="Times New Roman" w:hAnsi="Arial" w:cs="Arial"/>
          <w:b/>
          <w:bCs/>
          <w:iCs/>
          <w:szCs w:val="24"/>
          <w:lang w:val="es-ES_tradnl" w:eastAsia="es-ES_tradnl"/>
        </w:rPr>
      </w:pPr>
      <w:r w:rsidRPr="00EB0A4D">
        <w:rPr>
          <w:rFonts w:ascii="Arial" w:eastAsia="Times New Roman" w:hAnsi="Arial" w:cs="Arial"/>
          <w:b/>
          <w:bCs/>
          <w:iCs/>
          <w:szCs w:val="24"/>
          <w:lang w:val="es-ES_tradnl" w:eastAsia="es-ES_tradnl"/>
        </w:rPr>
        <w:t xml:space="preserve">2.3. Restricciones para la celebración de contratos y convenios interadministrativos en los </w:t>
      </w:r>
      <w:bookmarkStart w:id="16" w:name="_Hlk133573167"/>
      <w:r w:rsidRPr="00EB0A4D">
        <w:rPr>
          <w:rFonts w:ascii="Arial" w:eastAsia="Times New Roman" w:hAnsi="Arial" w:cs="Arial"/>
          <w:b/>
          <w:bCs/>
          <w:iCs/>
          <w:szCs w:val="24"/>
          <w:lang w:val="es-ES_tradnl" w:eastAsia="es-ES_tradnl"/>
        </w:rPr>
        <w:t>comicios para cargos de elección popular</w:t>
      </w:r>
      <w:bookmarkEnd w:id="16"/>
      <w:r w:rsidRPr="00EB0A4D">
        <w:rPr>
          <w:rFonts w:ascii="Arial" w:eastAsia="Times New Roman" w:hAnsi="Arial" w:cs="Arial"/>
          <w:b/>
          <w:bCs/>
          <w:iCs/>
          <w:szCs w:val="24"/>
          <w:lang w:val="es-ES_tradnl" w:eastAsia="es-ES_tradnl"/>
        </w:rPr>
        <w:t xml:space="preserve">. </w:t>
      </w:r>
    </w:p>
    <w:p w14:paraId="1E2EA9A1" w14:textId="77777777" w:rsidR="00EB0A4D" w:rsidRPr="00EB0A4D" w:rsidRDefault="00EB0A4D" w:rsidP="00EB0A4D">
      <w:pPr>
        <w:spacing w:after="0" w:line="276" w:lineRule="auto"/>
        <w:jc w:val="both"/>
        <w:rPr>
          <w:rFonts w:ascii="Arial" w:eastAsia="Times New Roman" w:hAnsi="Arial" w:cs="Arial"/>
          <w:iCs/>
          <w:szCs w:val="24"/>
          <w:lang w:val="es-ES_tradnl" w:eastAsia="es-ES_tradnl"/>
        </w:rPr>
      </w:pPr>
    </w:p>
    <w:p w14:paraId="7F2E37B0" w14:textId="77777777" w:rsidR="00EB0A4D" w:rsidRPr="00EB0A4D" w:rsidRDefault="00EB0A4D" w:rsidP="00EB0A4D">
      <w:pPr>
        <w:spacing w:after="0" w:line="276" w:lineRule="auto"/>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 xml:space="preserve">El parágrafo del artículo 38 de la Ley 996 de 2005 dispone que “[l]os Gobernadores, </w:t>
      </w:r>
      <w:proofErr w:type="gramStart"/>
      <w:r w:rsidRPr="00EB0A4D">
        <w:rPr>
          <w:rFonts w:ascii="Arial" w:eastAsia="Times New Roman" w:hAnsi="Arial" w:cs="Arial"/>
          <w:iCs/>
          <w:szCs w:val="24"/>
          <w:lang w:val="es-ES_tradnl" w:eastAsia="es-ES_tradnl"/>
        </w:rPr>
        <w:t>Alcaldes</w:t>
      </w:r>
      <w:proofErr w:type="gramEnd"/>
      <w:r w:rsidRPr="00EB0A4D">
        <w:rPr>
          <w:rFonts w:ascii="Arial" w:eastAsia="Times New Roman" w:hAnsi="Arial" w:cs="Arial"/>
          <w:iCs/>
          <w:szCs w:val="24"/>
          <w:lang w:val="es-ES_tradnl" w:eastAsia="es-ES_tradnl"/>
        </w:rPr>
        <w:t xml:space="preserve"> Municipales y/o Distritales, Secretarios, Gerentes y directores de Entidades Descentralizadas del orden Municipal, Departamental o Distrital, dentro de los cuatro (4) meses anteriores a las elecciones, no podrán celebrar contratos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EB0A4D">
        <w:rPr>
          <w:rFonts w:ascii="Arial" w:hAnsi="Arial" w:cs="Arial"/>
          <w:bCs/>
          <w:iCs/>
          <w:vertAlign w:val="superscript"/>
          <w:lang w:eastAsia="x-none"/>
        </w:rPr>
        <w:footnoteReference w:id="20"/>
      </w:r>
      <w:r w:rsidRPr="00EB0A4D">
        <w:rPr>
          <w:rFonts w:ascii="Arial" w:hAnsi="Arial" w:cs="Arial"/>
          <w:bCs/>
          <w:iCs/>
          <w:lang w:eastAsia="x-none"/>
        </w:rPr>
        <w:t>.</w:t>
      </w:r>
    </w:p>
    <w:p w14:paraId="2B1B4F9A"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Ahora bien,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w:t>
      </w:r>
      <w:r w:rsidRPr="00EB0A4D">
        <w:rPr>
          <w:rFonts w:ascii="Arial" w:eastAsia="Arial" w:hAnsi="Arial" w:cs="Arial"/>
          <w:vertAlign w:val="superscript"/>
          <w:lang w:val="es-ES" w:eastAsia="es-ES" w:bidi="es-ES"/>
        </w:rPr>
        <w:footnoteReference w:id="21"/>
      </w:r>
      <w:r w:rsidRPr="00EB0A4D">
        <w:rPr>
          <w:rFonts w:ascii="Arial" w:eastAsia="Arial" w:hAnsi="Arial" w:cs="Arial"/>
          <w:lang w:val="es-ES" w:eastAsia="es-ES" w:bidi="es-ES"/>
        </w:rPr>
        <w:t xml:space="preserve">. De acuerdo con lo anterior, el contrato o el convenio interadministrativo es el acuerdo donde concurre la voluntad de dos o más personas jurídicas de derecho público con la finalidad </w:t>
      </w:r>
      <w:r w:rsidRPr="00EB0A4D">
        <w:rPr>
          <w:rFonts w:ascii="Arial" w:eastAsia="Arial" w:hAnsi="Arial" w:cs="Arial"/>
          <w:lang w:val="es-ES" w:eastAsia="es-ES" w:bidi="es-ES"/>
        </w:rPr>
        <w:lastRenderedPageBreak/>
        <w:t>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51C999BE"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 xml:space="preserve">Si bien los contratos o convenios interadministrativos están previstos en la Ley 80 de 1993, en la Ley 1150 de 2007 y el Decreto 1082 de 2015, no quiere decir que solo pueden celebrarse entre entidades estatales que apliquen el régimen de contratación allí previsto, pues una entidad estatal sometida a la Ley 80 de 1993, puede celebrar esta clase de convenios y/o contratos con una entidad estatal de régimen especial y no por ello pierde su calidad de interadministrativo. </w:t>
      </w:r>
    </w:p>
    <w:p w14:paraId="3E1BDCD9"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La Corte Constitucional expresó en la Sentencia C-671 de 2015 que “Lo que hace interadministrativo a un contrato o convenio no es el procedimiento de selección aplicable, sino la calidad de los sujetos contratantes, esto es que las dos partes de la redacción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4DF44DF8" w14:textId="77777777" w:rsidR="00EB0A4D" w:rsidRPr="00EB0A4D" w:rsidRDefault="00EB0A4D" w:rsidP="00EB0A4D">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305FF478" w14:textId="77777777" w:rsidR="00EB0A4D" w:rsidRPr="00EB0A4D" w:rsidRDefault="00EB0A4D" w:rsidP="00EB0A4D">
      <w:pPr>
        <w:spacing w:after="0" w:line="240" w:lineRule="auto"/>
        <w:ind w:left="709" w:right="709"/>
        <w:contextualSpacing/>
        <w:jc w:val="both"/>
        <w:rPr>
          <w:rFonts w:ascii="Arial" w:eastAsia="Calibri" w:hAnsi="Arial" w:cs="Arial"/>
          <w:sz w:val="21"/>
          <w:lang w:val="es-MX"/>
        </w:rPr>
      </w:pPr>
      <w:r w:rsidRPr="00EB0A4D">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w:t>
      </w:r>
      <w:proofErr w:type="spellStart"/>
      <w:r w:rsidRPr="00EB0A4D">
        <w:rPr>
          <w:rFonts w:ascii="Arial" w:eastAsia="Calibri" w:hAnsi="Arial" w:cs="Arial"/>
          <w:sz w:val="21"/>
          <w:lang w:val="es-MX"/>
        </w:rPr>
        <w:t>iii</w:t>
      </w:r>
      <w:proofErr w:type="spellEnd"/>
      <w:r w:rsidRPr="00EB0A4D">
        <w:rPr>
          <w:rFonts w:ascii="Arial" w:eastAsia="Calibri" w:hAnsi="Arial" w:cs="Arial"/>
          <w:sz w:val="21"/>
          <w:lang w:val="es-MX"/>
        </w:rPr>
        <w:t>)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EB0A4D">
        <w:rPr>
          <w:rFonts w:ascii="Arial" w:eastAsia="Calibri" w:hAnsi="Arial" w:cs="Arial"/>
          <w:sz w:val="21"/>
          <w:lang w:val="es-MX"/>
        </w:rPr>
        <w:t>vii</w:t>
      </w:r>
      <w:proofErr w:type="spellEnd"/>
      <w:r w:rsidRPr="00EB0A4D">
        <w:rPr>
          <w:rFonts w:ascii="Arial" w:eastAsia="Calibri" w:hAnsi="Arial" w:cs="Arial"/>
          <w:sz w:val="21"/>
          <w:lang w:val="es-MX"/>
        </w:rPr>
        <w:t>) persiguen  una finalidad común a través de la realización de intereses compartidos entre las entidades vinculadas; (</w:t>
      </w:r>
      <w:proofErr w:type="spellStart"/>
      <w:r w:rsidRPr="00EB0A4D">
        <w:rPr>
          <w:rFonts w:ascii="Arial" w:eastAsia="Calibri" w:hAnsi="Arial" w:cs="Arial"/>
          <w:sz w:val="21"/>
          <w:lang w:val="es-MX"/>
        </w:rPr>
        <w:t>viii</w:t>
      </w:r>
      <w:proofErr w:type="spellEnd"/>
      <w:r w:rsidRPr="00EB0A4D">
        <w:rPr>
          <w:rFonts w:ascii="Arial" w:eastAsia="Calibri" w:hAnsi="Arial" w:cs="Arial"/>
          <w:sz w:val="21"/>
          <w:lang w:val="es-MX"/>
        </w:rPr>
        <w:t>) la acción mediante la cual se deben ventilar las diferencias que sobre el particular surjan es la de controversias contractuales</w:t>
      </w:r>
      <w:r w:rsidRPr="00EB0A4D">
        <w:rPr>
          <w:rFonts w:ascii="Arial" w:eastAsia="Calibri" w:hAnsi="Arial" w:cs="Arial"/>
          <w:sz w:val="21"/>
          <w:vertAlign w:val="superscript"/>
          <w:lang w:val="es-MX"/>
        </w:rPr>
        <w:footnoteReference w:id="22"/>
      </w:r>
      <w:r w:rsidRPr="00EB0A4D">
        <w:rPr>
          <w:rFonts w:ascii="Arial" w:eastAsia="Calibri" w:hAnsi="Arial" w:cs="Arial"/>
          <w:sz w:val="21"/>
          <w:lang w:val="es-MX"/>
        </w:rPr>
        <w:t>”.</w:t>
      </w:r>
    </w:p>
    <w:p w14:paraId="6C325D1C" w14:textId="77777777" w:rsidR="00EB0A4D" w:rsidRPr="00EB0A4D" w:rsidRDefault="00EB0A4D" w:rsidP="00EB0A4D">
      <w:pPr>
        <w:spacing w:after="0" w:line="276" w:lineRule="auto"/>
        <w:ind w:firstLine="709"/>
        <w:jc w:val="both"/>
        <w:rPr>
          <w:rFonts w:ascii="Arial" w:eastAsia="Times New Roman" w:hAnsi="Arial" w:cs="Arial"/>
          <w:iCs/>
          <w:szCs w:val="24"/>
          <w:lang w:val="es-ES_tradnl" w:eastAsia="es-ES_tradnl"/>
        </w:rPr>
      </w:pPr>
    </w:p>
    <w:p w14:paraId="632AD9E1" w14:textId="77777777" w:rsidR="00EB0A4D" w:rsidRPr="00EB0A4D" w:rsidRDefault="00EB0A4D" w:rsidP="00EB0A4D">
      <w:pPr>
        <w:spacing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w:t>
      </w:r>
      <w:r w:rsidRPr="00EB0A4D">
        <w:rPr>
          <w:rFonts w:ascii="Arial" w:eastAsia="Times New Roman" w:hAnsi="Arial" w:cs="Arial"/>
          <w:iCs/>
          <w:szCs w:val="24"/>
          <w:lang w:val="es-ES_tradnl" w:eastAsia="es-ES_tradnl"/>
        </w:rPr>
        <w:lastRenderedPageBreak/>
        <w:t>contratación directa como la modalidad de selección aplicable, por regla general, a la celebración de los contratos interadministrativos.</w:t>
      </w:r>
    </w:p>
    <w:p w14:paraId="7DF57D5A"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celebren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contratación directa, pues, como se indicó, la existencia de un contrato interadministrativo no está determinada por la modalidad de selección, sino entre otras cosas, por la calidad de las partes que lo suscriben, es decir, debe tratarse de entidades estatales.</w:t>
      </w:r>
    </w:p>
    <w:p w14:paraId="4DD6E61F" w14:textId="77777777" w:rsidR="00EB0A4D" w:rsidRPr="00EB0A4D" w:rsidRDefault="00EB0A4D" w:rsidP="00EB0A4D">
      <w:pPr>
        <w:spacing w:before="120" w:after="0" w:line="276" w:lineRule="auto"/>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ab/>
        <w:t xml:space="preserve">Además, es necesario tener en cuenta que para que un contrato o convenio interadministrativo exista, debe cumplir con los siguientes elementos: acuerdo sobre el objeto y la contraprestación, y que se eleve a escrito. Por otra parte, si bien actualmente el Estatuto General de Contratación de la Administración Pública hace referencia de manera expresa al contrato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w:t>
      </w:r>
    </w:p>
    <w:p w14:paraId="484719FD" w14:textId="77777777" w:rsidR="00EB0A4D" w:rsidRPr="00EB0A4D" w:rsidRDefault="00EB0A4D" w:rsidP="00EB0A4D">
      <w:pPr>
        <w:spacing w:before="120" w:after="0" w:line="276" w:lineRule="auto"/>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ab/>
        <w:t>Resulta pertinente destacar que el Decreto 1082 de 2015 dispone que los convenios o contratos interadministrativos, así denominados en su artículo 2.2.1.2.1.4.4, se contratan directamente, por lo que no hay lugar a dudas que representan lo mismo en la medida que concurran entidades estatales en el acuerdo de voluntades. De este modo, es posible concluir que en la contratación estatal no existen mayores diferencias entre el convenio y contrato y, dando aplicación al derecho privado y a la definición contenida en el Código Civil, puede afirmarse que se trata de figuras equivalentes.</w:t>
      </w:r>
    </w:p>
    <w:p w14:paraId="6ABCD9DF"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w:t>
      </w:r>
      <w:r w:rsidRPr="00EB0A4D">
        <w:rPr>
          <w:rFonts w:ascii="Arial" w:eastAsia="Times New Roman" w:hAnsi="Arial" w:cs="Arial"/>
          <w:iCs/>
          <w:szCs w:val="24"/>
          <w:lang w:val="es-ES_tradnl" w:eastAsia="es-ES_tradnl"/>
        </w:rPr>
        <w:lastRenderedPageBreak/>
        <w:t>estatales que los conforman están sujetas tanto a la normativa contractual pública, como a las normas del derecho civil […]</w:t>
      </w:r>
      <w:r w:rsidRPr="00EB0A4D">
        <w:rPr>
          <w:rFonts w:eastAsia="Arial"/>
          <w:vertAlign w:val="superscript"/>
        </w:rPr>
        <w:footnoteReference w:id="23"/>
      </w:r>
      <w:r w:rsidRPr="00EB0A4D">
        <w:rPr>
          <w:rFonts w:ascii="Arial" w:eastAsia="Arial" w:hAnsi="Arial" w:cs="Arial"/>
          <w:lang w:val="es-ES_tradnl" w:eastAsia="es-ES" w:bidi="es-ES"/>
        </w:rPr>
        <w:t>”.</w:t>
      </w:r>
    </w:p>
    <w:p w14:paraId="69FF2D7B"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Sin perjuicio de lo anterior, debe tenerse en cuenta que cierto sector de la doctrina y la jurisprudencia han establecido algunas diferencias o caracterización de los contratos interadministrativos frente a los convenios interadministrativos de que trata el artículo 95 de la Ley 489 de 1998. Por ejemplo, en Sentencia del 14 de junio de 2019, el Consejo de Estado señaló:</w:t>
      </w:r>
    </w:p>
    <w:p w14:paraId="7D80AFFB" w14:textId="77777777" w:rsidR="00EB0A4D" w:rsidRPr="00EB0A4D" w:rsidRDefault="00EB0A4D" w:rsidP="00EB0A4D">
      <w:pPr>
        <w:spacing w:after="0" w:line="240" w:lineRule="auto"/>
        <w:ind w:left="709" w:right="709"/>
        <w:jc w:val="both"/>
        <w:rPr>
          <w:rFonts w:ascii="Arial" w:eastAsia="Calibri" w:hAnsi="Arial" w:cs="Arial"/>
          <w:sz w:val="21"/>
          <w:szCs w:val="21"/>
          <w:lang w:val="es-ES_tradnl"/>
        </w:rPr>
      </w:pPr>
    </w:p>
    <w:p w14:paraId="4CEC2A64" w14:textId="77777777" w:rsidR="00EB0A4D" w:rsidRPr="00EB0A4D" w:rsidRDefault="00EB0A4D" w:rsidP="00EB0A4D">
      <w:pPr>
        <w:spacing w:after="0" w:line="240" w:lineRule="auto"/>
        <w:ind w:left="709" w:right="709"/>
        <w:jc w:val="both"/>
        <w:rPr>
          <w:rFonts w:ascii="Arial" w:eastAsia="Calibri" w:hAnsi="Arial" w:cs="Arial"/>
          <w:sz w:val="21"/>
          <w:szCs w:val="21"/>
          <w:lang w:val="es-ES_tradnl"/>
        </w:rPr>
      </w:pPr>
      <w:r w:rsidRPr="00EB0A4D">
        <w:rPr>
          <w:rFonts w:ascii="Arial" w:eastAsia="Calibri" w:hAnsi="Arial" w:cs="Arial"/>
          <w:sz w:val="21"/>
          <w:szCs w:val="21"/>
          <w:lang w:val="es-ES_tradnl"/>
        </w:rPr>
        <w:t>“La Sala de Consulta y Servicio Civil</w:t>
      </w:r>
      <w:r w:rsidRPr="00EB0A4D">
        <w:rPr>
          <w:rFonts w:ascii="Arial" w:eastAsia="Calibri" w:hAnsi="Arial" w:cs="Arial"/>
          <w:sz w:val="21"/>
          <w:szCs w:val="21"/>
          <w:vertAlign w:val="superscript"/>
          <w:lang w:eastAsia="es-ES_tradnl"/>
        </w:rPr>
        <w:footnoteReference w:id="24"/>
      </w:r>
      <w:r w:rsidRPr="00EB0A4D">
        <w:rPr>
          <w:rFonts w:ascii="Arial" w:eastAsia="Calibri" w:hAnsi="Arial" w:cs="Arial"/>
          <w:sz w:val="21"/>
          <w:szCs w:val="21"/>
          <w:lang w:val="es-ES_tradnl"/>
        </w:rPr>
        <w:t xml:space="preserve"> de esta Corporación se ha referido a los </w:t>
      </w:r>
      <w:r w:rsidRPr="00EB0A4D">
        <w:rPr>
          <w:rFonts w:ascii="Arial" w:eastAsia="Calibri" w:hAnsi="Arial" w:cs="Arial"/>
          <w:i/>
          <w:sz w:val="21"/>
          <w:szCs w:val="21"/>
          <w:lang w:val="es-ES_tradnl"/>
        </w:rPr>
        <w:t>“convenios interadministrativos”</w:t>
      </w:r>
      <w:r w:rsidRPr="00EB0A4D">
        <w:rPr>
          <w:rFonts w:ascii="Arial" w:eastAsia="Calibri" w:hAnsi="Arial" w:cs="Arial"/>
          <w:sz w:val="21"/>
          <w:szCs w:val="21"/>
          <w:lang w:val="es-ES_tradnl"/>
        </w:rPr>
        <w:t xml:space="preserve"> a los cuales alude el artículo 95 de la Ley 489 de 1998, calificándolos de </w:t>
      </w:r>
      <w:r w:rsidRPr="00EB0A4D">
        <w:rPr>
          <w:rFonts w:ascii="Arial" w:eastAsia="Calibri" w:hAnsi="Arial" w:cs="Arial"/>
          <w:i/>
          <w:sz w:val="21"/>
          <w:szCs w:val="21"/>
          <w:lang w:val="es-ES_tradnl"/>
        </w:rPr>
        <w:t xml:space="preserve">“puros” </w:t>
      </w:r>
      <w:r w:rsidRPr="00EB0A4D">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EB0A4D">
        <w:rPr>
          <w:rFonts w:ascii="Arial" w:eastAsia="Calibri" w:hAnsi="Arial" w:cs="Arial"/>
          <w:i/>
          <w:sz w:val="21"/>
          <w:szCs w:val="21"/>
          <w:lang w:val="es-ES_tradnl"/>
        </w:rPr>
        <w:t>“intercambio patrimonial”</w:t>
      </w:r>
      <w:r w:rsidRPr="00EB0A4D">
        <w:rPr>
          <w:rFonts w:ascii="Arial" w:eastAsia="Calibri" w:hAnsi="Arial" w:cs="Arial"/>
          <w:sz w:val="21"/>
          <w:szCs w:val="21"/>
          <w:lang w:val="es-ES_tradnl"/>
        </w:rPr>
        <w:t>. Sin perjuicio de lo anterior, en otra oportunidad, la misma Sala</w:t>
      </w:r>
      <w:r w:rsidRPr="00EB0A4D">
        <w:rPr>
          <w:rFonts w:ascii="Arial" w:eastAsia="Calibri" w:hAnsi="Arial" w:cs="Arial"/>
          <w:sz w:val="21"/>
          <w:szCs w:val="21"/>
          <w:vertAlign w:val="superscript"/>
          <w:lang w:eastAsia="es-ES_tradnl"/>
        </w:rPr>
        <w:footnoteReference w:id="25"/>
      </w:r>
      <w:r w:rsidRPr="00EB0A4D">
        <w:rPr>
          <w:rFonts w:ascii="Arial" w:eastAsia="Calibri" w:hAnsi="Arial" w:cs="Arial"/>
          <w:sz w:val="21"/>
          <w:szCs w:val="21"/>
          <w:lang w:val="es-ES_tradnl"/>
        </w:rPr>
        <w:t xml:space="preserve"> había indicado que, si bien en dichos convenios no se daba un </w:t>
      </w:r>
      <w:r w:rsidRPr="00EB0A4D">
        <w:rPr>
          <w:rFonts w:ascii="Arial" w:eastAsia="Calibri" w:hAnsi="Arial" w:cs="Arial"/>
          <w:i/>
          <w:sz w:val="21"/>
          <w:szCs w:val="21"/>
          <w:lang w:val="es-ES_tradnl"/>
        </w:rPr>
        <w:t>“verdadero intercambio de bienes o servicios (contrato conmutativo)”</w:t>
      </w:r>
      <w:r w:rsidRPr="00EB0A4D">
        <w:rPr>
          <w:rFonts w:ascii="Arial" w:eastAsia="Calibri" w:hAnsi="Arial" w:cs="Arial"/>
          <w:sz w:val="21"/>
          <w:szCs w:val="21"/>
          <w:lang w:val="es-ES_tradnl"/>
        </w:rPr>
        <w:t>, ello no impedía que se conviniera una remuneración a cargo de alguna(s) entidad(es).</w:t>
      </w:r>
    </w:p>
    <w:p w14:paraId="1B23220F" w14:textId="77777777" w:rsidR="00EB0A4D" w:rsidRPr="00EB0A4D" w:rsidRDefault="00EB0A4D" w:rsidP="00EB0A4D">
      <w:pPr>
        <w:widowControl w:val="0"/>
        <w:autoSpaceDE w:val="0"/>
        <w:autoSpaceDN w:val="0"/>
        <w:spacing w:before="120" w:after="0" w:line="240" w:lineRule="auto"/>
        <w:ind w:left="709" w:right="709"/>
        <w:jc w:val="both"/>
        <w:rPr>
          <w:rFonts w:ascii="Arial" w:eastAsia="Arial" w:hAnsi="Arial" w:cs="Arial"/>
          <w:sz w:val="21"/>
          <w:szCs w:val="21"/>
          <w:lang w:val="es-ES_tradnl" w:eastAsia="es-ES" w:bidi="es-ES"/>
        </w:rPr>
      </w:pPr>
      <w:r w:rsidRPr="00EB0A4D">
        <w:rPr>
          <w:rFonts w:ascii="Arial" w:eastAsia="Arial" w:hAnsi="Arial" w:cs="Arial"/>
          <w:sz w:val="21"/>
          <w:szCs w:val="21"/>
          <w:lang w:val="es-ES_tradnl" w:eastAsia="es-ES" w:bidi="es-ES"/>
        </w:rPr>
        <w:t xml:space="preserve">Lo expuesto evidencia que, en general, las interpretaciones en torno a los </w:t>
      </w:r>
      <w:r w:rsidRPr="00EB0A4D">
        <w:rPr>
          <w:rFonts w:ascii="Arial" w:eastAsia="Arial" w:hAnsi="Arial" w:cs="Arial"/>
          <w:i/>
          <w:sz w:val="21"/>
          <w:szCs w:val="21"/>
          <w:lang w:val="es-ES_tradnl" w:eastAsia="es-ES" w:bidi="es-ES"/>
        </w:rPr>
        <w:t>“convenios interadministrativos”</w:t>
      </w:r>
      <w:r w:rsidRPr="00EB0A4D">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EB0A4D">
        <w:rPr>
          <w:rFonts w:ascii="Arial" w:eastAsia="Arial" w:hAnsi="Arial" w:cs="Arial"/>
          <w:sz w:val="21"/>
          <w:szCs w:val="21"/>
          <w:vertAlign w:val="superscript"/>
          <w:lang w:eastAsia="es-ES_tradnl"/>
        </w:rPr>
        <w:footnoteReference w:id="26"/>
      </w:r>
      <w:r w:rsidRPr="00EB0A4D">
        <w:rPr>
          <w:rFonts w:ascii="Arial" w:eastAsia="Arial" w:hAnsi="Arial" w:cs="Arial"/>
          <w:sz w:val="21"/>
          <w:szCs w:val="21"/>
          <w:lang w:val="es-ES_tradnl" w:eastAsia="es-ES" w:bidi="es-ES"/>
        </w:rPr>
        <w:t xml:space="preserve"> </w:t>
      </w:r>
      <w:r w:rsidRPr="00EB0A4D">
        <w:rPr>
          <w:rFonts w:ascii="Arial" w:eastAsia="Arial" w:hAnsi="Arial" w:cs="Arial"/>
          <w:sz w:val="21"/>
          <w:szCs w:val="21"/>
          <w:vertAlign w:val="superscript"/>
          <w:lang w:eastAsia="es-ES_tradnl"/>
        </w:rPr>
        <w:footnoteReference w:id="27"/>
      </w:r>
      <w:r w:rsidRPr="00EB0A4D">
        <w:rPr>
          <w:rFonts w:ascii="Arial" w:eastAsia="Arial" w:hAnsi="Arial" w:cs="Arial"/>
          <w:sz w:val="21"/>
          <w:szCs w:val="21"/>
          <w:lang w:val="es-ES_tradnl" w:eastAsia="es-ES" w:bidi="es-ES"/>
        </w:rPr>
        <w:t>”. [Énfasis propio]</w:t>
      </w:r>
    </w:p>
    <w:p w14:paraId="2DDE6A39" w14:textId="77777777" w:rsidR="00EB0A4D" w:rsidRPr="00EB0A4D" w:rsidRDefault="00EB0A4D" w:rsidP="00EB0A4D">
      <w:pPr>
        <w:spacing w:after="0" w:line="276" w:lineRule="auto"/>
        <w:ind w:firstLine="709"/>
        <w:jc w:val="both"/>
        <w:rPr>
          <w:rFonts w:ascii="Arial" w:eastAsia="Times New Roman" w:hAnsi="Arial" w:cs="Arial"/>
          <w:iCs/>
          <w:szCs w:val="24"/>
          <w:lang w:val="es-ES_tradnl" w:eastAsia="es-ES_tradnl"/>
        </w:rPr>
      </w:pPr>
    </w:p>
    <w:p w14:paraId="489DDF34" w14:textId="77777777" w:rsidR="00EB0A4D" w:rsidRPr="00EB0A4D" w:rsidRDefault="00EB0A4D" w:rsidP="00EB0A4D">
      <w:pPr>
        <w:spacing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En ese orden, debe advertirse que el ordenamiento jurídico en distintas ocasiones utiliza de forma indistinta los conceptos de contrato o convenio para referirse a la misma institución jurídica</w:t>
      </w:r>
      <w:r w:rsidRPr="00EB0A4D">
        <w:rPr>
          <w:rFonts w:eastAsia="Arial"/>
          <w:vertAlign w:val="superscript"/>
        </w:rPr>
        <w:footnoteReference w:id="28"/>
      </w:r>
      <w:r w:rsidRPr="00EB0A4D">
        <w:rPr>
          <w:rFonts w:ascii="Arial" w:eastAsia="Arial" w:hAnsi="Arial" w:cs="Arial"/>
          <w:lang w:val="es-ES_tradnl" w:eastAsia="es-ES" w:bidi="es-ES"/>
        </w:rPr>
        <w:t>. Incluso la Corte Constitucional explica la posibilidad de celebrar convenios interadministrativos de forma directa, con fundamento en la causal establecida en la Ley 1150 de 2007 respecto a los contratos interadministrativos</w:t>
      </w:r>
      <w:r w:rsidRPr="00EB0A4D">
        <w:rPr>
          <w:rFonts w:eastAsia="Arial"/>
          <w:vertAlign w:val="superscript"/>
        </w:rPr>
        <w:footnoteReference w:id="29"/>
      </w:r>
      <w:r w:rsidRPr="00EB0A4D">
        <w:rPr>
          <w:rFonts w:ascii="Arial" w:eastAsia="Arial" w:hAnsi="Arial" w:cs="Arial"/>
          <w:lang w:val="es-ES_tradnl" w:eastAsia="es-ES" w:bidi="es-ES"/>
        </w:rPr>
        <w:t>.</w:t>
      </w:r>
    </w:p>
    <w:p w14:paraId="6B88A734"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lastRenderedPageBreak/>
        <w:t xml:space="preserve">Corolario de lo anterior, se colige que lo que define los contratos o convenios interadministrativos es la naturaleza de las partes, de manera que están determinados por un criterio orgánico, en el sentido de que lo serán aquellos celebrados entre entidades estatales. Además, no existe una diferencia en los conceptos de contrato y convenio, por lo que se asimilaron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 </w:t>
      </w:r>
    </w:p>
    <w:p w14:paraId="74836382" w14:textId="77777777" w:rsidR="00EB0A4D" w:rsidRPr="00182432"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182432">
        <w:rPr>
          <w:rFonts w:ascii="Arial" w:eastAsia="Times New Roman" w:hAnsi="Arial" w:cs="Arial"/>
          <w:iCs/>
          <w:szCs w:val="24"/>
          <w:lang w:val="es-ES_tradnl" w:eastAsia="es-ES_tradnl"/>
        </w:rPr>
        <w:t xml:space="preserve">Ahora bien, debe aclararse que </w:t>
      </w:r>
      <w:r w:rsidRPr="00182432">
        <w:rPr>
          <w:rFonts w:ascii="Arial" w:eastAsia="Times New Roman" w:hAnsi="Arial" w:cs="Arial"/>
          <w:iCs/>
          <w:szCs w:val="24"/>
          <w:u w:val="single"/>
          <w:lang w:val="es-ES_tradnl" w:eastAsia="es-ES_tradnl"/>
        </w:rPr>
        <w:t>para los comicios que se celebrarán este año</w:t>
      </w:r>
      <w:r w:rsidRPr="00182432">
        <w:rPr>
          <w:rFonts w:ascii="Arial" w:eastAsia="Times New Roman" w:hAnsi="Arial" w:cs="Arial"/>
          <w:iCs/>
          <w:szCs w:val="24"/>
          <w:lang w:val="es-ES_tradnl" w:eastAsia="es-ES_tradnl"/>
        </w:rPr>
        <w:t xml:space="preserve">, aplicarán las restricciones contractuales establecidas en el parágrafo del </w:t>
      </w:r>
      <w:r w:rsidRPr="00182432">
        <w:rPr>
          <w:rFonts w:ascii="Arial" w:eastAsia="Times New Roman" w:hAnsi="Arial" w:cs="Arial"/>
          <w:iCs/>
          <w:szCs w:val="24"/>
          <w:u w:val="single"/>
          <w:lang w:val="es-ES_tradnl" w:eastAsia="es-ES_tradnl"/>
        </w:rPr>
        <w:t>artículo 38 de la Ley 996 de 2005</w:t>
      </w:r>
      <w:r w:rsidRPr="00182432">
        <w:rPr>
          <w:rFonts w:ascii="Arial" w:eastAsia="Times New Roman" w:hAnsi="Arial" w:cs="Arial"/>
          <w:iCs/>
          <w:szCs w:val="24"/>
          <w:lang w:val="es-ES_tradnl" w:eastAsia="es-ES_tradnl"/>
        </w:rPr>
        <w:t xml:space="preserve"> que </w:t>
      </w:r>
      <w:r w:rsidRPr="00182432">
        <w:rPr>
          <w:rFonts w:ascii="Arial" w:eastAsia="Times New Roman" w:hAnsi="Arial" w:cs="Arial"/>
          <w:iCs/>
          <w:szCs w:val="24"/>
          <w:u w:val="single"/>
          <w:lang w:val="es-ES_tradnl" w:eastAsia="es-ES_tradnl"/>
        </w:rPr>
        <w:t>prohíbe</w:t>
      </w:r>
      <w:r w:rsidRPr="00182432">
        <w:rPr>
          <w:rFonts w:ascii="Arial" w:eastAsia="Times New Roman" w:hAnsi="Arial" w:cs="Arial"/>
          <w:iCs/>
          <w:szCs w:val="24"/>
          <w:lang w:val="es-ES_tradnl" w:eastAsia="es-ES_tradnl"/>
        </w:rPr>
        <w:t xml:space="preserve"> a los alcaldes, gobernadores, secretarios, gerentes y directores de las entidades del orden municipal, departamental o distrital </w:t>
      </w:r>
      <w:r w:rsidRPr="00182432">
        <w:rPr>
          <w:rFonts w:ascii="Arial" w:eastAsia="Times New Roman" w:hAnsi="Arial" w:cs="Arial"/>
          <w:iCs/>
          <w:szCs w:val="24"/>
          <w:u w:val="single"/>
          <w:lang w:val="es-ES_tradnl" w:eastAsia="es-ES_tradnl"/>
        </w:rPr>
        <w:t>celebrar convenios y contratos interadministrativos para la ejecución de recursos públicos</w:t>
      </w:r>
      <w:r w:rsidRPr="00182432">
        <w:rPr>
          <w:rFonts w:ascii="Arial" w:eastAsia="Times New Roman" w:hAnsi="Arial" w:cs="Arial"/>
          <w:iCs/>
          <w:szCs w:val="24"/>
          <w:lang w:val="es-ES_tradnl" w:eastAsia="es-ES_tradnl"/>
        </w:rPr>
        <w:t xml:space="preserve">. En este sentido, si una o ambas partes de la relación contractual es una de las entidades descritas en el parágrafo </w:t>
      </w:r>
      <w:r w:rsidRPr="00182432">
        <w:rPr>
          <w:rFonts w:ascii="Arial" w:eastAsia="Times New Roman" w:hAnsi="Arial" w:cs="Arial"/>
          <w:i/>
          <w:szCs w:val="24"/>
          <w:lang w:val="es-ES_tradnl" w:eastAsia="es-ES_tradnl"/>
        </w:rPr>
        <w:t xml:space="preserve">ibidem, </w:t>
      </w:r>
      <w:r w:rsidRPr="00182432">
        <w:rPr>
          <w:rFonts w:ascii="Arial" w:eastAsia="Times New Roman" w:hAnsi="Arial" w:cs="Arial"/>
          <w:iCs/>
          <w:szCs w:val="24"/>
          <w:lang w:val="es-ES_tradnl" w:eastAsia="es-ES_tradnl"/>
        </w:rPr>
        <w:t>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14:paraId="6F8D6889"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182432">
        <w:rPr>
          <w:rFonts w:ascii="Arial" w:eastAsia="Times New Roman" w:hAnsi="Arial" w:cs="Arial"/>
          <w:iCs/>
          <w:szCs w:val="24"/>
          <w:lang w:val="es-ES_tradnl" w:eastAsia="es-ES_tradnl"/>
        </w:rPr>
        <w:t>Por otro lado, frente al termino en que inician las restricciones del parágrafo del artículo 38 de la Ley de Garantías, la norma es clara en determinar que las mismas inician “dentro de los cuatro (4) meses anteriores a las elecciones” y, se reitera, la restricción opera frente a la celebración de convenios interadministrativos para la ejecución de recursos públicos.</w:t>
      </w:r>
    </w:p>
    <w:p w14:paraId="1EF048C8"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p>
    <w:p w14:paraId="0324E1A0" w14:textId="77777777" w:rsidR="00EB0A4D" w:rsidRPr="00EB0A4D" w:rsidRDefault="00EB0A4D" w:rsidP="00EB0A4D">
      <w:pPr>
        <w:spacing w:after="0" w:line="276" w:lineRule="auto"/>
        <w:jc w:val="both"/>
        <w:rPr>
          <w:rFonts w:ascii="Arial" w:eastAsia="Arial" w:hAnsi="Arial" w:cs="Arial"/>
          <w:b/>
          <w:bCs/>
          <w:lang w:val="es-ES" w:eastAsia="es-ES" w:bidi="es-ES"/>
        </w:rPr>
      </w:pPr>
      <w:bookmarkStart w:id="17" w:name="_Hlk75784645"/>
      <w:r w:rsidRPr="00EB0A4D">
        <w:rPr>
          <w:rFonts w:ascii="Arial" w:eastAsia="Calibri" w:hAnsi="Arial" w:cs="Arial"/>
          <w:b/>
          <w:bCs/>
          <w:lang w:val="es-MX"/>
        </w:rPr>
        <w:t xml:space="preserve">2.4. </w:t>
      </w:r>
      <w:bookmarkEnd w:id="17"/>
      <w:r w:rsidRPr="00EB0A4D">
        <w:rPr>
          <w:rFonts w:ascii="Arial" w:eastAsia="Arial" w:hAnsi="Arial" w:cs="Arial"/>
          <w:b/>
          <w:bCs/>
          <w:lang w:val="es-ES" w:eastAsia="es-ES" w:bidi="es-ES"/>
        </w:rPr>
        <w:t>Convenios de asociación y restricciones de la Ley de Garantías Electorales</w:t>
      </w:r>
    </w:p>
    <w:p w14:paraId="38F056BF" w14:textId="77777777" w:rsidR="00EB0A4D" w:rsidRPr="00EB0A4D" w:rsidRDefault="00EB0A4D" w:rsidP="00EB0A4D">
      <w:pPr>
        <w:spacing w:after="0" w:line="276" w:lineRule="auto"/>
        <w:jc w:val="both"/>
        <w:rPr>
          <w:rFonts w:ascii="Arial" w:eastAsia="Arial" w:hAnsi="Arial" w:cs="Arial"/>
          <w:b/>
          <w:bCs/>
          <w:lang w:val="es-ES" w:eastAsia="es-ES" w:bidi="es-ES"/>
        </w:rPr>
      </w:pPr>
    </w:p>
    <w:p w14:paraId="773CA9E3" w14:textId="77777777" w:rsidR="00EB0A4D" w:rsidRPr="00EB0A4D" w:rsidRDefault="00EB0A4D" w:rsidP="00EB0A4D">
      <w:pPr>
        <w:spacing w:line="276" w:lineRule="auto"/>
        <w:jc w:val="both"/>
        <w:rPr>
          <w:rFonts w:ascii="Arial" w:eastAsia="Calibri" w:hAnsi="Arial" w:cs="Arial"/>
          <w:bCs/>
          <w:lang w:val="es-ES_tradnl"/>
        </w:rPr>
      </w:pPr>
      <w:r w:rsidRPr="00EB0A4D">
        <w:rPr>
          <w:rFonts w:ascii="Arial" w:eastAsia="Calibri" w:hAnsi="Arial"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EB0A4D">
        <w:rPr>
          <w:rFonts w:ascii="Arial" w:hAnsi="Arial" w:cs="Arial"/>
          <w:vertAlign w:val="superscript"/>
        </w:rPr>
        <w:footnoteReference w:id="30"/>
      </w:r>
      <w:r w:rsidRPr="00EB0A4D">
        <w:rPr>
          <w:rFonts w:ascii="Arial" w:eastAsia="Calibri" w:hAnsi="Arial" w:cs="Arial"/>
          <w:bCs/>
          <w:lang w:val="es-ES_tradnl"/>
        </w:rPr>
        <w:t xml:space="preserve">.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w:t>
      </w:r>
      <w:r w:rsidRPr="00EB0A4D">
        <w:rPr>
          <w:rFonts w:ascii="Arial" w:eastAsia="Calibri" w:hAnsi="Arial" w:cs="Arial"/>
          <w:bCs/>
          <w:lang w:val="es-ES_tradnl"/>
        </w:rPr>
        <w:lastRenderedPageBreak/>
        <w:t>como fin desarrollar conjuntamente actividades relacionadas con los cometidos y funciones legales asignadas a la entidad</w:t>
      </w:r>
      <w:r w:rsidRPr="00EB0A4D">
        <w:rPr>
          <w:rFonts w:ascii="Arial" w:eastAsia="Calibri" w:hAnsi="Arial" w:cs="Arial"/>
          <w:bCs/>
          <w:vertAlign w:val="superscript"/>
          <w:lang w:val="es-ES_tradnl"/>
        </w:rPr>
        <w:footnoteReference w:id="31"/>
      </w:r>
      <w:r w:rsidRPr="00EB0A4D">
        <w:rPr>
          <w:rFonts w:ascii="Arial" w:eastAsia="Calibri" w:hAnsi="Arial" w:cs="Arial"/>
          <w:bCs/>
          <w:lang w:val="es-ES_tradnl"/>
        </w:rPr>
        <w:t>.</w:t>
      </w:r>
    </w:p>
    <w:p w14:paraId="6D4E6BC3" w14:textId="77777777" w:rsidR="00EB0A4D" w:rsidRPr="00EB0A4D" w:rsidRDefault="00EB0A4D" w:rsidP="00EB0A4D">
      <w:pPr>
        <w:spacing w:before="120" w:after="120" w:line="276" w:lineRule="auto"/>
        <w:ind w:firstLine="709"/>
        <w:jc w:val="both"/>
        <w:rPr>
          <w:rFonts w:ascii="Arial" w:eastAsia="Calibri" w:hAnsi="Arial" w:cs="Arial"/>
          <w:bCs/>
          <w:lang w:val="es-ES_tradnl"/>
        </w:rPr>
      </w:pPr>
      <w:bookmarkStart w:id="19" w:name="_Hlk38819155"/>
      <w:bookmarkStart w:id="20" w:name="_Hlk100680299"/>
      <w:r w:rsidRPr="00EB0A4D">
        <w:rPr>
          <w:rFonts w:ascii="Arial" w:eastAsia="Calibri" w:hAnsi="Arial" w:cs="Arial"/>
          <w:bCs/>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19"/>
    </w:p>
    <w:p w14:paraId="7489133E" w14:textId="77777777" w:rsidR="00EB0A4D" w:rsidRDefault="00EB0A4D" w:rsidP="00EB0A4D">
      <w:pPr>
        <w:spacing w:before="120" w:after="120" w:line="276" w:lineRule="auto"/>
        <w:ind w:firstLine="709"/>
        <w:jc w:val="both"/>
        <w:rPr>
          <w:rFonts w:ascii="Arial" w:eastAsia="Calibri" w:hAnsi="Arial" w:cs="Arial"/>
          <w:bCs/>
          <w:lang w:val="es-ES_tradnl"/>
        </w:rPr>
      </w:pPr>
      <w:bookmarkStart w:id="21" w:name="_Hlk95756032"/>
      <w:bookmarkEnd w:id="20"/>
      <w:r w:rsidRPr="00EB0A4D">
        <w:rPr>
          <w:rFonts w:ascii="Arial" w:eastAsia="Calibri" w:hAnsi="Arial" w:cs="Arial"/>
          <w:bCs/>
          <w:lang w:val="es-ES_tradnl"/>
        </w:rPr>
        <w:t xml:space="preserve">Los </w:t>
      </w:r>
      <w:r w:rsidRPr="00EB0A4D">
        <w:rPr>
          <w:rFonts w:ascii="Arial" w:eastAsia="Calibri" w:hAnsi="Arial" w:cs="Arial"/>
          <w:bCs/>
          <w:i/>
          <w:lang w:val="es-ES_tradnl"/>
        </w:rPr>
        <w:t>contratos del artículo 355 de la Constitución Política</w:t>
      </w:r>
      <w:r w:rsidRPr="00EB0A4D">
        <w:rPr>
          <w:rFonts w:ascii="Arial" w:eastAsia="Calibri" w:hAnsi="Arial" w:cs="Arial"/>
          <w:bCs/>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487B380B" w14:textId="77777777" w:rsidR="00AD09FD" w:rsidRDefault="00AD09FD" w:rsidP="00EB0A4D">
      <w:pPr>
        <w:spacing w:before="120" w:after="120" w:line="276" w:lineRule="auto"/>
        <w:ind w:firstLine="709"/>
        <w:jc w:val="both"/>
        <w:rPr>
          <w:rFonts w:ascii="Arial" w:eastAsia="Calibri" w:hAnsi="Arial" w:cs="Arial"/>
          <w:bCs/>
          <w:lang w:val="es-ES_tradnl"/>
        </w:rPr>
      </w:pPr>
    </w:p>
    <w:p w14:paraId="668E7EBA" w14:textId="77777777" w:rsidR="00AD09FD" w:rsidRDefault="00AD09FD" w:rsidP="00EB0A4D">
      <w:pPr>
        <w:spacing w:before="120" w:after="120" w:line="276" w:lineRule="auto"/>
        <w:ind w:firstLine="709"/>
        <w:jc w:val="both"/>
        <w:rPr>
          <w:rFonts w:ascii="Arial" w:eastAsia="Calibri" w:hAnsi="Arial" w:cs="Arial"/>
          <w:bCs/>
          <w:lang w:val="es-ES_tradnl"/>
        </w:rPr>
      </w:pPr>
    </w:p>
    <w:p w14:paraId="5971E5DE" w14:textId="77777777" w:rsidR="00AD09FD" w:rsidRDefault="00AD09FD" w:rsidP="00EB0A4D">
      <w:pPr>
        <w:spacing w:before="120" w:after="120" w:line="276" w:lineRule="auto"/>
        <w:ind w:firstLine="709"/>
        <w:jc w:val="both"/>
        <w:rPr>
          <w:rFonts w:ascii="Arial" w:eastAsia="Calibri" w:hAnsi="Arial" w:cs="Arial"/>
          <w:bCs/>
          <w:lang w:val="es-ES_tradnl"/>
        </w:rPr>
      </w:pPr>
    </w:p>
    <w:p w14:paraId="2979A91F" w14:textId="77777777" w:rsidR="00AD09FD" w:rsidRDefault="00AD09FD" w:rsidP="00EB0A4D">
      <w:pPr>
        <w:spacing w:before="120" w:after="120" w:line="276" w:lineRule="auto"/>
        <w:ind w:firstLine="709"/>
        <w:jc w:val="both"/>
        <w:rPr>
          <w:rFonts w:ascii="Arial" w:eastAsia="Calibri" w:hAnsi="Arial" w:cs="Arial"/>
          <w:bCs/>
          <w:lang w:val="es-ES_tradnl"/>
        </w:rPr>
      </w:pPr>
    </w:p>
    <w:p w14:paraId="3B780DC0" w14:textId="77777777" w:rsidR="00AD09FD" w:rsidRDefault="00AD09FD" w:rsidP="00EB0A4D">
      <w:pPr>
        <w:spacing w:before="120" w:after="120" w:line="276" w:lineRule="auto"/>
        <w:ind w:firstLine="709"/>
        <w:jc w:val="both"/>
        <w:rPr>
          <w:rFonts w:ascii="Arial" w:eastAsia="Calibri" w:hAnsi="Arial" w:cs="Arial"/>
          <w:bCs/>
          <w:lang w:val="es-ES_tradnl"/>
        </w:rPr>
      </w:pPr>
    </w:p>
    <w:p w14:paraId="47B99606" w14:textId="77777777" w:rsidR="00AD09FD" w:rsidRPr="00EB0A4D" w:rsidRDefault="00AD09FD" w:rsidP="00EB0A4D">
      <w:pPr>
        <w:spacing w:before="120" w:after="120" w:line="276" w:lineRule="auto"/>
        <w:ind w:firstLine="709"/>
        <w:jc w:val="both"/>
        <w:rPr>
          <w:rFonts w:ascii="Arial" w:eastAsia="Calibri" w:hAnsi="Arial" w:cs="Arial"/>
          <w:bCs/>
          <w:lang w:val="es-ES_tradnl"/>
        </w:rPr>
      </w:pPr>
    </w:p>
    <w:bookmarkEnd w:id="21"/>
    <w:p w14:paraId="49B43805" w14:textId="77777777" w:rsidR="00EB0A4D" w:rsidRPr="00EB0A4D" w:rsidRDefault="00EB0A4D" w:rsidP="00EB0A4D">
      <w:pPr>
        <w:spacing w:before="120" w:after="120" w:line="276" w:lineRule="auto"/>
        <w:ind w:firstLine="709"/>
        <w:jc w:val="both"/>
        <w:rPr>
          <w:rFonts w:ascii="Arial" w:eastAsia="Calibri" w:hAnsi="Arial" w:cs="Arial"/>
          <w:bCs/>
          <w:lang w:val="es-ES_tradnl"/>
        </w:rPr>
      </w:pPr>
      <w:r w:rsidRPr="00EB0A4D">
        <w:rPr>
          <w:rFonts w:ascii="Arial" w:eastAsia="Calibri" w:hAnsi="Arial" w:cs="Arial"/>
          <w:bCs/>
          <w:lang w:val="es-ES_tradnl"/>
        </w:rPr>
        <w:lastRenderedPageBreak/>
        <w:t xml:space="preserve">De otro lado, los </w:t>
      </w:r>
      <w:r w:rsidRPr="00EB0A4D">
        <w:rPr>
          <w:rFonts w:ascii="Arial" w:eastAsia="Calibri" w:hAnsi="Arial" w:cs="Arial"/>
          <w:bCs/>
          <w:i/>
          <w:lang w:val="es-ES_tradnl"/>
        </w:rPr>
        <w:t>convenios de asociación</w:t>
      </w:r>
      <w:r w:rsidRPr="00EB0A4D">
        <w:rPr>
          <w:rFonts w:ascii="Arial" w:eastAsia="Calibri" w:hAnsi="Arial" w:cs="Arial"/>
          <w:bCs/>
          <w:lang w:val="es-ES_tradnl"/>
        </w:rPr>
        <w:t xml:space="preserve"> “[t]</w:t>
      </w:r>
      <w:proofErr w:type="spellStart"/>
      <w:r w:rsidRPr="00EB0A4D">
        <w:rPr>
          <w:rFonts w:ascii="Arial" w:eastAsia="Calibri" w:hAnsi="Arial" w:cs="Arial"/>
          <w:bCs/>
          <w:lang w:val="es-ES_tradnl"/>
        </w:rPr>
        <w:t>ienen</w:t>
      </w:r>
      <w:proofErr w:type="spellEnd"/>
      <w:r w:rsidRPr="00EB0A4D">
        <w:rPr>
          <w:rFonts w:ascii="Arial" w:eastAsia="Calibri" w:hAnsi="Arial"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B0A4D">
        <w:rPr>
          <w:rFonts w:ascii="Arial" w:hAnsi="Arial" w:cs="Arial"/>
          <w:vertAlign w:val="superscript"/>
        </w:rPr>
        <w:footnoteReference w:id="32"/>
      </w:r>
      <w:r w:rsidRPr="00EB0A4D">
        <w:rPr>
          <w:rFonts w:ascii="Arial" w:eastAsia="Calibri" w:hAnsi="Arial"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por lo que la entidad no instruye al contratista para desarrollar los programas o actividades previstas, sino que se asocia con él para el cumplimiento de objetivos comunes</w:t>
      </w:r>
      <w:r w:rsidRPr="00EB0A4D">
        <w:rPr>
          <w:rFonts w:ascii="Arial" w:hAnsi="Arial" w:cs="Arial"/>
          <w:vertAlign w:val="superscript"/>
        </w:rPr>
        <w:footnoteReference w:id="33"/>
      </w:r>
      <w:r w:rsidRPr="00EB0A4D">
        <w:rPr>
          <w:rFonts w:ascii="Arial" w:eastAsia="Calibri" w:hAnsi="Arial" w:cs="Arial"/>
          <w:bCs/>
          <w:lang w:val="es-ES_tradnl"/>
        </w:rPr>
        <w:t>.</w:t>
      </w:r>
    </w:p>
    <w:p w14:paraId="21D5F375" w14:textId="77777777" w:rsidR="00EB0A4D" w:rsidRPr="00EB0A4D" w:rsidRDefault="00EB0A4D" w:rsidP="00EB0A4D">
      <w:pPr>
        <w:spacing w:before="120" w:after="120" w:line="276" w:lineRule="auto"/>
        <w:ind w:firstLine="709"/>
        <w:jc w:val="both"/>
        <w:rPr>
          <w:rFonts w:ascii="Arial" w:eastAsia="Calibri" w:hAnsi="Arial" w:cs="Arial"/>
          <w:bCs/>
        </w:rPr>
      </w:pPr>
      <w:r w:rsidRPr="00EB0A4D">
        <w:rPr>
          <w:rFonts w:ascii="Arial" w:eastAsia="Calibri" w:hAnsi="Arial" w:cs="Arial"/>
          <w:bCs/>
          <w:lang w:val="es-ES_tradnl"/>
        </w:rPr>
        <w:t>La normativa vigente no impide que varias entidades suscriban conjuntamente el convenio de asociación y tampoco que dos o más ESAL puedan hacerlo, a través de las figuras asociativas autorizadas por la ley, por ejemplo, como unión temporal o como consorcio</w:t>
      </w:r>
      <w:r w:rsidRPr="00EB0A4D">
        <w:rPr>
          <w:rFonts w:ascii="Arial" w:eastAsia="Calibri" w:hAnsi="Arial" w:cs="Arial"/>
          <w:vertAlign w:val="superscript"/>
        </w:rPr>
        <w:footnoteReference w:id="34"/>
      </w:r>
      <w:r w:rsidRPr="00EB0A4D">
        <w:rPr>
          <w:rFonts w:ascii="Arial" w:eastAsia="Calibri" w:hAnsi="Arial" w:cs="Arial"/>
          <w:bCs/>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27E9889A" w14:textId="77777777" w:rsidR="00EB0A4D" w:rsidRPr="00EB0A4D" w:rsidRDefault="00EB0A4D" w:rsidP="00EB0A4D">
      <w:pPr>
        <w:spacing w:before="120" w:after="120" w:line="276" w:lineRule="auto"/>
        <w:ind w:firstLine="709"/>
        <w:jc w:val="both"/>
        <w:rPr>
          <w:rFonts w:ascii="Arial" w:hAnsi="Arial" w:cs="Arial"/>
          <w:color w:val="000000" w:themeColor="text1"/>
        </w:rPr>
      </w:pPr>
      <w:r w:rsidRPr="00EB0A4D">
        <w:rPr>
          <w:rFonts w:ascii="Arial" w:hAnsi="Arial" w:cs="Arial"/>
          <w:color w:val="000000" w:themeColor="text1"/>
        </w:rPr>
        <w:t xml:space="preserve">La noción “seleccionar de forma objetiva”, contenida en la disposición </w:t>
      </w:r>
      <w:r w:rsidRPr="00EB0A4D">
        <w:rPr>
          <w:rFonts w:ascii="Arial" w:hAnsi="Arial" w:cs="Arial"/>
          <w:i/>
          <w:iCs/>
          <w:color w:val="000000" w:themeColor="text1"/>
        </w:rPr>
        <w:t xml:space="preserve">sub examine </w:t>
      </w:r>
      <w:r w:rsidRPr="00EB0A4D">
        <w:rPr>
          <w:rFonts w:ascii="Arial" w:hAnsi="Arial" w:cs="Arial"/>
          <w:color w:val="000000" w:themeColor="text1"/>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w:t>
      </w:r>
      <w:r w:rsidRPr="00EB0A4D">
        <w:rPr>
          <w:rFonts w:ascii="Arial" w:hAnsi="Arial" w:cs="Arial"/>
          <w:color w:val="000000" w:themeColor="text1"/>
        </w:rPr>
        <w:lastRenderedPageBreak/>
        <w:t>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452A3F28" w14:textId="77777777" w:rsidR="00EB0A4D" w:rsidRPr="00EB0A4D" w:rsidRDefault="00EB0A4D" w:rsidP="00EB0A4D">
      <w:pPr>
        <w:spacing w:before="120" w:after="120" w:line="276" w:lineRule="auto"/>
        <w:ind w:firstLine="709"/>
        <w:jc w:val="both"/>
        <w:rPr>
          <w:rFonts w:ascii="Arial" w:hAnsi="Arial" w:cs="Arial"/>
        </w:rPr>
      </w:pPr>
      <w:r w:rsidRPr="00EB0A4D">
        <w:rPr>
          <w:rFonts w:ascii="Arial" w:hAnsi="Arial" w:cs="Aria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 </w:t>
      </w:r>
    </w:p>
    <w:p w14:paraId="00C5B8C1" w14:textId="77777777" w:rsidR="00EB0A4D" w:rsidRPr="00EB0A4D" w:rsidRDefault="00EB0A4D" w:rsidP="00EB0A4D">
      <w:pPr>
        <w:spacing w:after="120" w:line="276" w:lineRule="auto"/>
        <w:ind w:firstLine="709"/>
        <w:jc w:val="both"/>
        <w:rPr>
          <w:rFonts w:ascii="Arial" w:eastAsia="Calibri" w:hAnsi="Arial" w:cs="Arial"/>
        </w:rPr>
      </w:pPr>
      <w:r w:rsidRPr="00EB0A4D">
        <w:rPr>
          <w:rFonts w:ascii="Arial" w:hAnsi="Arial" w:cs="Arial"/>
        </w:rPr>
        <w:t>Ahora bien, e</w:t>
      </w:r>
      <w:r w:rsidRPr="00EB0A4D">
        <w:rPr>
          <w:rFonts w:ascii="Arial" w:eastAsia="Calibri" w:hAnsi="Arial" w:cs="Arial"/>
        </w:rPr>
        <w:t>l Consejo de Estado, en el Auto del 6 de agosto de 2019 de la Sección Tercera, Subsección A –</w:t>
      </w:r>
      <w:proofErr w:type="spellStart"/>
      <w:r w:rsidRPr="00EB0A4D">
        <w:rPr>
          <w:rFonts w:ascii="Arial" w:eastAsia="Calibri" w:hAnsi="Arial" w:cs="Arial"/>
        </w:rPr>
        <w:t>Exp</w:t>
      </w:r>
      <w:proofErr w:type="spellEnd"/>
      <w:r w:rsidRPr="00EB0A4D">
        <w:rPr>
          <w:rFonts w:ascii="Arial" w:eastAsia="Calibri" w:hAnsi="Arial" w:cs="Arial"/>
        </w:rPr>
        <w:t>. 62.003–, estudió la solicitud de suspensión provisional</w:t>
      </w:r>
      <w:r w:rsidRPr="00EB0A4D">
        <w:rPr>
          <w:rFonts w:ascii="Arial" w:eastAsia="Calibri" w:hAnsi="Arial" w:cs="Arial"/>
          <w:vertAlign w:val="superscript"/>
        </w:rPr>
        <w:footnoteReference w:id="35"/>
      </w:r>
      <w:r w:rsidRPr="00EB0A4D">
        <w:rPr>
          <w:rFonts w:ascii="Arial" w:eastAsia="Calibri" w:hAnsi="Arial" w:cs="Arial"/>
        </w:rPr>
        <w:t xml:space="preserve"> del inciso 2 del artículo 1, literales a y c del artículo 2, inciso 5 del artículo 2, inciso 2 del artículo 3, inciso final del artículo 4 y artículo 5 del Decreto 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EB0A4D">
        <w:rPr>
          <w:rFonts w:ascii="Arial" w:eastAsia="Calibri" w:hAnsi="Arial" w:cs="Arial"/>
          <w:i/>
          <w:iCs/>
        </w:rPr>
        <w:t>convenio de asociación</w:t>
      </w:r>
      <w:r w:rsidRPr="00EB0A4D">
        <w:rPr>
          <w:rFonts w:ascii="Arial" w:eastAsia="Calibri" w:hAnsi="Arial" w:cs="Arial"/>
        </w:rPr>
        <w:t xml:space="preserve"> con ESAL de reconocida idoneidad para el cumplimiento de las funciones que la ley les asigna a las entidades públicas, debe aplicarse lo dispuesto en el artículo 5 del Decreto 092 de 2017. </w:t>
      </w:r>
    </w:p>
    <w:p w14:paraId="3C4D61B6" w14:textId="77777777" w:rsidR="00EB0A4D" w:rsidRPr="00EB0A4D" w:rsidRDefault="00EB0A4D" w:rsidP="00EB0A4D">
      <w:pPr>
        <w:spacing w:line="276" w:lineRule="auto"/>
        <w:ind w:firstLine="709"/>
        <w:jc w:val="both"/>
        <w:rPr>
          <w:rFonts w:ascii="Arial" w:hAnsi="Arial" w:cs="Arial"/>
          <w:bCs/>
          <w:color w:val="000000"/>
          <w:lang w:eastAsia="es-CO"/>
        </w:rPr>
      </w:pPr>
      <w:r w:rsidRPr="00EB0A4D">
        <w:rPr>
          <w:rFonts w:ascii="Arial" w:eastAsia="Calibri" w:hAnsi="Arial" w:cs="Arial"/>
          <w:color w:val="000000" w:themeColor="text1"/>
        </w:rPr>
        <w:t xml:space="preserve">En este contexto, para la restricción del artículo 33 de la </w:t>
      </w:r>
      <w:r w:rsidRPr="00EB0A4D">
        <w:rPr>
          <w:rFonts w:ascii="Arial" w:hAnsi="Arial" w:cs="Arial"/>
          <w:bCs/>
          <w:color w:val="000000"/>
          <w:lang w:eastAsia="es-CO"/>
        </w:rPr>
        <w:t xml:space="preserve">Ley 996 de 2005 es necesario considerar que </w:t>
      </w:r>
      <w:r w:rsidRPr="00EB0A4D">
        <w:rPr>
          <w:rFonts w:ascii="Arial" w:eastAsia="Calibri" w:hAnsi="Arial" w:cs="Arial"/>
          <w:lang w:val="es-ES"/>
        </w:rPr>
        <w:t>el Decreto 092 de 2017</w:t>
      </w:r>
      <w:r w:rsidRPr="00EB0A4D">
        <w:rPr>
          <w:rFonts w:ascii="Arial" w:hAnsi="Arial" w:cs="Arial"/>
          <w:bCs/>
          <w:color w:val="000000"/>
          <w:lang w:eastAsia="es-CO"/>
        </w:rPr>
        <w:t xml:space="preserve"> consagra un régimen jurídico que exceptúa la aplicación del Estatuto General de Contratación de la Administración Pública. Pese a lo anterior, la prohibición de contratación directa de la Ley de Garantías es independiente del régimen contractual. 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EB0A4D">
        <w:rPr>
          <w:rFonts w:ascii="Arial" w:hAnsi="Arial" w:cs="Arial"/>
          <w:bCs/>
          <w:i/>
          <w:iCs/>
          <w:color w:val="000000"/>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EB0A4D">
        <w:rPr>
          <w:rFonts w:ascii="Arial" w:hAnsi="Arial" w:cs="Arial"/>
          <w:bCs/>
          <w:color w:val="000000"/>
          <w:lang w:eastAsia="es-CO"/>
        </w:rPr>
        <w:t>”</w:t>
      </w:r>
      <w:r w:rsidRPr="00EB0A4D">
        <w:rPr>
          <w:rFonts w:ascii="Arial" w:hAnsi="Arial" w:cs="Arial"/>
          <w:bCs/>
          <w:color w:val="000000"/>
          <w:vertAlign w:val="superscript"/>
          <w:lang w:eastAsia="es-CO"/>
        </w:rPr>
        <w:footnoteReference w:id="36"/>
      </w:r>
      <w:r w:rsidRPr="00EB0A4D">
        <w:rPr>
          <w:rFonts w:ascii="Arial" w:hAnsi="Arial" w:cs="Arial"/>
          <w:bCs/>
          <w:color w:val="000000"/>
          <w:lang w:eastAsia="es-CO"/>
        </w:rPr>
        <w:t xml:space="preserve"> (Énfasis fuera de texto). </w:t>
      </w:r>
    </w:p>
    <w:p w14:paraId="7FAA534A" w14:textId="77777777" w:rsidR="00EB0A4D" w:rsidRPr="00EB0A4D" w:rsidRDefault="00EB0A4D" w:rsidP="00EB0A4D">
      <w:pPr>
        <w:spacing w:line="276" w:lineRule="auto"/>
        <w:ind w:firstLine="709"/>
        <w:jc w:val="both"/>
        <w:rPr>
          <w:rFonts w:ascii="Arial" w:eastAsia="Calibri" w:hAnsi="Arial" w:cs="Arial"/>
          <w:color w:val="000000" w:themeColor="text1"/>
          <w:lang w:val="es-ES"/>
        </w:rPr>
      </w:pPr>
      <w:bookmarkStart w:id="22" w:name="_Hlk100680351"/>
      <w:r w:rsidRPr="00EB0A4D">
        <w:rPr>
          <w:rFonts w:ascii="Arial" w:hAnsi="Arial" w:cs="Arial"/>
          <w:bCs/>
          <w:color w:val="000000"/>
          <w:lang w:eastAsia="es-CO"/>
        </w:rPr>
        <w:t xml:space="preserve">Por tanto, durante la vigencia de la prohibición del artículo 33 de la Ley 996 de 2005 –sin perjuicio de las excepciones dispuestas en el inciso segundo </w:t>
      </w:r>
      <w:r w:rsidRPr="00EB0A4D">
        <w:rPr>
          <w:rFonts w:ascii="Arial" w:hAnsi="Arial" w:cs="Arial"/>
          <w:bCs/>
          <w:i/>
          <w:iCs/>
          <w:color w:val="000000"/>
          <w:lang w:eastAsia="es-CO"/>
        </w:rPr>
        <w:t>ibidem</w:t>
      </w:r>
      <w:r w:rsidRPr="00EB0A4D">
        <w:rPr>
          <w:rFonts w:ascii="Arial" w:hAnsi="Arial" w:cs="Arial"/>
          <w:bCs/>
          <w:color w:val="000000"/>
          <w:lang w:eastAsia="es-CO"/>
        </w:rPr>
        <w:t xml:space="preserve">– está restringida cualquier modalidad de selección que excluya la pluralidad de oferentes. Respecto al régimen de </w:t>
      </w:r>
      <w:r w:rsidRPr="00EB0A4D">
        <w:rPr>
          <w:rFonts w:ascii="Arial" w:hAnsi="Arial" w:cs="Arial"/>
          <w:bCs/>
          <w:color w:val="000000"/>
          <w:lang w:eastAsia="es-CO"/>
        </w:rPr>
        <w:lastRenderedPageBreak/>
        <w:t xml:space="preserve">contratación de las ESAL, esto es congruente con el numeral 15.4 de </w:t>
      </w:r>
      <w:r w:rsidRPr="00EB0A4D">
        <w:rPr>
          <w:rFonts w:ascii="Arial" w:eastAsia="Arial" w:hAnsi="Arial" w:cs="Arial"/>
          <w:lang w:val="es-ES" w:eastAsia="es-ES" w:bidi="es-ES"/>
        </w:rPr>
        <w:t>la Circular Externa Única de Colombia Compra Eficiente, en el entendido que “</w:t>
      </w:r>
      <w:r w:rsidRPr="00EB0A4D">
        <w:rPr>
          <w:rFonts w:ascii="Arial" w:eastAsia="Arial" w:hAnsi="Arial" w:cs="Arial"/>
          <w:lang w:eastAsia="es-ES" w:bidi="es-ES"/>
        </w:rPr>
        <w:t>Se encuentran restringidas las contrataciones que en el marco del Decreto 092 de 2017 se realicen a través de procesos no competitivos […]”. Por el contrario, “Los procesos competitivos que se adelanten en el marco del Decreto 092 de 2017 no se encuentran restringidos por la Ley de Garantías”.</w:t>
      </w:r>
      <w:bookmarkEnd w:id="22"/>
      <w:r w:rsidRPr="00EB0A4D">
        <w:rPr>
          <w:rFonts w:ascii="Arial" w:hAnsi="Arial" w:cs="Arial"/>
          <w:bCs/>
          <w:color w:val="000000"/>
          <w:lang w:eastAsia="es-CO"/>
        </w:rPr>
        <w:t xml:space="preserve"> </w:t>
      </w:r>
      <w:r w:rsidRPr="00EB0A4D">
        <w:rPr>
          <w:rFonts w:ascii="Arial" w:eastAsia="Calibri" w:hAnsi="Arial" w:cs="Arial"/>
          <w:color w:val="000000" w:themeColor="text1"/>
          <w:u w:val="single"/>
          <w:lang w:val="es-ES"/>
        </w:rPr>
        <w:t xml:space="preserve">De esta manera, respecto a la celebración de convenios con ESAL en vigencia de la restricción del artículo 33 de la Ley de Garantías, se concluye que, esto solo será posible cuando dicho tipo de acuerdos se realicen a través de la modalidad </w:t>
      </w:r>
      <w:r w:rsidRPr="00EB0A4D">
        <w:rPr>
          <w:rFonts w:ascii="Arial" w:eastAsia="Calibri" w:hAnsi="Arial" w:cs="Arial"/>
          <w:i/>
          <w:iCs/>
          <w:color w:val="000000" w:themeColor="text1"/>
          <w:u w:val="single"/>
          <w:lang w:val="es-ES"/>
        </w:rPr>
        <w:t>competitiva</w:t>
      </w:r>
      <w:r w:rsidRPr="00EB0A4D">
        <w:rPr>
          <w:rFonts w:ascii="Arial" w:eastAsia="Calibri" w:hAnsi="Arial" w:cs="Arial"/>
          <w:color w:val="000000" w:themeColor="text1"/>
          <w:u w:val="single"/>
          <w:lang w:val="es-ES"/>
        </w:rPr>
        <w:t xml:space="preserve">, mientras que la celebración de este tipo de convenios en la modalidad </w:t>
      </w:r>
      <w:r w:rsidRPr="00EB0A4D">
        <w:rPr>
          <w:rFonts w:ascii="Arial" w:eastAsia="Calibri" w:hAnsi="Arial" w:cs="Arial"/>
          <w:i/>
          <w:iCs/>
          <w:color w:val="000000" w:themeColor="text1"/>
          <w:u w:val="single"/>
          <w:lang w:val="es-ES"/>
        </w:rPr>
        <w:t>no competitiva</w:t>
      </w:r>
      <w:r w:rsidRPr="00EB0A4D">
        <w:rPr>
          <w:rFonts w:ascii="Arial" w:eastAsia="Calibri" w:hAnsi="Arial" w:cs="Arial"/>
          <w:color w:val="000000" w:themeColor="text1"/>
          <w:u w:val="single"/>
          <w:lang w:val="es-ES"/>
        </w:rPr>
        <w:t xml:space="preserve"> sí estaría prohibida durante el periodo de esta restricción</w:t>
      </w:r>
      <w:r w:rsidRPr="00EB0A4D">
        <w:rPr>
          <w:rFonts w:ascii="Arial" w:eastAsia="Calibri" w:hAnsi="Arial" w:cs="Arial"/>
          <w:color w:val="000000" w:themeColor="text1"/>
          <w:lang w:val="es-ES"/>
        </w:rPr>
        <w:t xml:space="preserve">. </w:t>
      </w:r>
    </w:p>
    <w:p w14:paraId="444A30D3" w14:textId="27E94053" w:rsidR="00EB0A4D" w:rsidRPr="00EB0A4D" w:rsidRDefault="00EB0A4D" w:rsidP="00EB0A4D">
      <w:pPr>
        <w:spacing w:line="276" w:lineRule="auto"/>
        <w:ind w:firstLine="709"/>
        <w:jc w:val="both"/>
        <w:rPr>
          <w:rFonts w:ascii="Arial" w:eastAsia="Calibri" w:hAnsi="Arial" w:cs="Arial"/>
          <w:color w:val="000000" w:themeColor="text1"/>
          <w:lang w:val="es-ES"/>
        </w:rPr>
      </w:pPr>
      <w:r w:rsidRPr="00EB0A4D">
        <w:rPr>
          <w:rFonts w:ascii="Arial" w:eastAsia="Calibri" w:hAnsi="Arial" w:cs="Arial"/>
          <w:color w:val="000000" w:themeColor="text1"/>
          <w:lang w:val="es-ES"/>
        </w:rPr>
        <w:t xml:space="preserve">De acuerdo con lo anterior, y </w:t>
      </w:r>
      <w:r w:rsidR="009E20A1" w:rsidRPr="00EB0A4D">
        <w:rPr>
          <w:rFonts w:ascii="Arial" w:eastAsia="Calibri" w:hAnsi="Arial" w:cs="Arial"/>
          <w:color w:val="000000" w:themeColor="text1"/>
          <w:lang w:val="es-ES"/>
        </w:rPr>
        <w:t>conform</w:t>
      </w:r>
      <w:r w:rsidR="009E20A1">
        <w:rPr>
          <w:rFonts w:ascii="Arial" w:eastAsia="Calibri" w:hAnsi="Arial" w:cs="Arial"/>
          <w:color w:val="000000" w:themeColor="text1"/>
          <w:lang w:val="es-ES"/>
        </w:rPr>
        <w:t>e</w:t>
      </w:r>
      <w:r w:rsidRPr="00EB0A4D">
        <w:rPr>
          <w:rFonts w:ascii="Arial" w:eastAsia="Calibri" w:hAnsi="Arial" w:cs="Arial"/>
          <w:color w:val="000000" w:themeColor="text1"/>
          <w:lang w:val="es-ES"/>
        </w:rPr>
        <w:t xml:space="preserve"> a una de las preguntas planteadas en la consulta, corresponde aclarar que la restricción del parágrafo del artículo 38 de la Ley 996 de 2005 </w:t>
      </w:r>
      <w:r w:rsidRPr="00EB0A4D">
        <w:rPr>
          <w:rFonts w:ascii="Arial" w:eastAsia="Calibri" w:hAnsi="Arial" w:cs="Arial"/>
          <w:color w:val="000000" w:themeColor="text1"/>
          <w:u w:val="single"/>
          <w:lang w:val="es-ES"/>
        </w:rPr>
        <w:t xml:space="preserve">no </w:t>
      </w:r>
      <w:r w:rsidRPr="00EB0A4D">
        <w:rPr>
          <w:rFonts w:ascii="Arial" w:eastAsia="Calibri" w:hAnsi="Arial" w:cs="Arial"/>
          <w:color w:val="000000" w:themeColor="text1"/>
          <w:lang w:val="es-ES"/>
        </w:rPr>
        <w:t xml:space="preserve">cobija a los contratos y/o convenios de Asociación suscritos con Entidades Privadas. Se reitera que la mencionada restricción de este parágrafo recae sobre la celebrar de convenios y contratos interadministrativos para la ejecución de recursos públicos. Distinto es el evento de la restricción de la prohibición del artículo 33 de la Ley 996 de 2005, la cual prohíbe, como se mencionó con anterioridad, la modalidad de selección de contratación directa y por ende restringe la celebración de los contratos y/o convenios de Asociación suscritos con Entidades Privadas que se adelanten a través de contratación directa. En todo caso, la restricción del artículo 33 de la Ley 996 de 2005 no cobra relevancia para los presentes comicios para cargos de elección popular programadas para el año 2023, por esta razón </w:t>
      </w:r>
      <w:r w:rsidRPr="00EB0A4D">
        <w:rPr>
          <w:rFonts w:ascii="Arial" w:eastAsia="Calibri" w:hAnsi="Arial" w:cs="Arial"/>
          <w:color w:val="000000" w:themeColor="text1"/>
          <w:u w:val="single"/>
          <w:lang w:val="es-ES"/>
        </w:rPr>
        <w:t>no estarán</w:t>
      </w:r>
      <w:r w:rsidRPr="00EB0A4D">
        <w:rPr>
          <w:rFonts w:ascii="Arial" w:eastAsia="Calibri" w:hAnsi="Arial" w:cs="Arial"/>
          <w:color w:val="000000" w:themeColor="text1"/>
          <w:lang w:val="es-ES"/>
        </w:rPr>
        <w:t xml:space="preserve"> prohibidos los contratos y/o convenios de Asociación suscritos con Entidades Privadas.</w:t>
      </w:r>
    </w:p>
    <w:p w14:paraId="6D3FDAB4" w14:textId="77777777" w:rsidR="00EB0A4D" w:rsidRPr="00EB0A4D" w:rsidRDefault="00EB0A4D" w:rsidP="00EB0A4D">
      <w:pPr>
        <w:spacing w:after="0" w:line="276" w:lineRule="auto"/>
        <w:jc w:val="both"/>
        <w:rPr>
          <w:rFonts w:ascii="Arial" w:eastAsia="Calibri" w:hAnsi="Arial" w:cs="Arial"/>
          <w:b/>
          <w:bCs/>
          <w:lang w:val="es-MX"/>
        </w:rPr>
      </w:pPr>
      <w:r w:rsidRPr="00EB0A4D">
        <w:rPr>
          <w:rFonts w:ascii="Arial" w:eastAsia="Calibri" w:hAnsi="Arial" w:cs="Arial"/>
          <w:b/>
          <w:bCs/>
          <w:lang w:val="es-MX"/>
        </w:rPr>
        <w:t>2.5 Contratos de prestación de servicios profesionales y restricciones de la Ley de Garantías Electorales</w:t>
      </w:r>
    </w:p>
    <w:p w14:paraId="45B6133E" w14:textId="77777777" w:rsidR="00EB0A4D" w:rsidRPr="00EB0A4D" w:rsidRDefault="00EB0A4D" w:rsidP="00EB0A4D">
      <w:pPr>
        <w:spacing w:after="0" w:line="276" w:lineRule="auto"/>
        <w:jc w:val="both"/>
        <w:rPr>
          <w:rFonts w:ascii="Arial" w:eastAsia="Calibri" w:hAnsi="Arial" w:cs="Arial"/>
          <w:b/>
          <w:bCs/>
          <w:lang w:val="es-MX"/>
        </w:rPr>
      </w:pPr>
    </w:p>
    <w:p w14:paraId="750D0212" w14:textId="77777777" w:rsidR="00EB0A4D" w:rsidRPr="00EB0A4D" w:rsidRDefault="00EB0A4D" w:rsidP="00EB0A4D">
      <w:pPr>
        <w:spacing w:after="0" w:line="276" w:lineRule="auto"/>
        <w:jc w:val="both"/>
        <w:rPr>
          <w:rFonts w:ascii="Arial" w:eastAsia="Calibri" w:hAnsi="Arial" w:cs="Arial"/>
          <w:b/>
          <w:bCs/>
          <w:lang w:val="es-MX"/>
        </w:rPr>
      </w:pPr>
      <w:r w:rsidRPr="00EB0A4D">
        <w:rPr>
          <w:rFonts w:ascii="Arial" w:hAnsi="Arial" w:cs="Arial"/>
          <w:color w:val="000000" w:themeColor="text1"/>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EB0A4D">
        <w:rPr>
          <w:rFonts w:ascii="Arial" w:eastAsia="Calibri" w:hAnsi="Arial" w:cs="Arial"/>
          <w:color w:val="000000" w:themeColor="text1"/>
          <w:lang w:val="es-ES_tradnl"/>
        </w:rPr>
        <w:t xml:space="preserve"> La celebración de dicho contrato debe efectuarse a través de la modalidad de contratación directa.</w:t>
      </w:r>
    </w:p>
    <w:p w14:paraId="0F15507F" w14:textId="77777777" w:rsidR="00EB0A4D" w:rsidRPr="00EB0A4D" w:rsidRDefault="00EB0A4D" w:rsidP="00EB0A4D">
      <w:pPr>
        <w:spacing w:after="0" w:line="276" w:lineRule="auto"/>
        <w:jc w:val="both"/>
        <w:rPr>
          <w:rFonts w:ascii="Arial" w:eastAsia="Calibri" w:hAnsi="Arial" w:cs="Arial"/>
          <w:b/>
          <w:bCs/>
          <w:lang w:val="es-MX"/>
        </w:rPr>
      </w:pPr>
    </w:p>
    <w:p w14:paraId="3FBDD79A" w14:textId="77777777" w:rsidR="00EB0A4D" w:rsidRPr="00EB0A4D" w:rsidRDefault="00EB0A4D" w:rsidP="00EB0A4D">
      <w:pPr>
        <w:spacing w:line="276" w:lineRule="auto"/>
        <w:ind w:firstLine="707"/>
        <w:jc w:val="both"/>
        <w:rPr>
          <w:rFonts w:ascii="Arial" w:eastAsia="Calibri" w:hAnsi="Arial" w:cs="Arial"/>
          <w:color w:val="000000" w:themeColor="text1"/>
          <w:lang w:val="es-ES"/>
        </w:rPr>
      </w:pPr>
      <w:r w:rsidRPr="00EB0A4D">
        <w:rPr>
          <w:rFonts w:ascii="Arial" w:eastAsia="Calibri" w:hAnsi="Arial" w:cs="Arial"/>
          <w:color w:val="000000" w:themeColor="text1"/>
          <w:lang w:val="es-ES"/>
        </w:rPr>
        <w:t xml:space="preserve">Ahora bien, en ocasión de la pregunta sobre “la celebración de contratos de prestación de servicios profesionales y de apoyo a la gestión” y las restricciones de la Ley de Garantías Electorales sobre su posibilidad de celebración. Es menester de esta Agencia aclarar que la celebración de contratos de prestación de servicios profesionales y de apoyo a la gestión se </w:t>
      </w:r>
      <w:r w:rsidRPr="00EB0A4D">
        <w:rPr>
          <w:rFonts w:ascii="Arial" w:eastAsia="Calibri" w:hAnsi="Arial" w:cs="Arial"/>
          <w:color w:val="000000" w:themeColor="text1"/>
          <w:lang w:val="es-ES"/>
        </w:rPr>
        <w:lastRenderedPageBreak/>
        <w:t xml:space="preserve">restringe en el evento previsto en el artículo 33 de la Ley 996 de 2005, por ser la contratación directa la modalidad de selección prevista para la celebración de contratos de prestación de servicios. Distinto ocurre con la restricción del parágrafo del artículo 38 de la Ley 996 de 2005 que, como vimos, prohíbe la celebración de convenios interadministrativos que impliquen la ejecución de recursos públicos dentro de los cuatro (4) meses anteriores a la respectiva jornada de votaciones. </w:t>
      </w:r>
    </w:p>
    <w:p w14:paraId="71050303" w14:textId="77777777" w:rsidR="00EB0A4D" w:rsidRPr="00EB0A4D" w:rsidRDefault="00EB0A4D" w:rsidP="00EB0A4D">
      <w:pPr>
        <w:widowControl w:val="0"/>
        <w:autoSpaceDE w:val="0"/>
        <w:autoSpaceDN w:val="0"/>
        <w:spacing w:after="120" w:line="276" w:lineRule="auto"/>
        <w:ind w:firstLine="707"/>
        <w:jc w:val="both"/>
        <w:rPr>
          <w:rFonts w:ascii="Arial" w:hAnsi="Arial" w:cs="Arial"/>
          <w:color w:val="000000" w:themeColor="text1"/>
          <w:lang w:val="es-ES_tradnl"/>
        </w:rPr>
      </w:pPr>
      <w:r w:rsidRPr="00EB0A4D">
        <w:rPr>
          <w:rFonts w:ascii="Arial" w:eastAsia="Calibri" w:hAnsi="Arial" w:cs="Arial"/>
          <w:bCs/>
          <w:lang w:eastAsia="es-ES" w:bidi="es-ES"/>
        </w:rPr>
        <w:t xml:space="preserve">Para efectos de esta prohibición, la del del parágrafo del artículo 38 de la Ley 996 de 2005, </w:t>
      </w:r>
      <w:r w:rsidRPr="00EB0A4D">
        <w:rPr>
          <w:rFonts w:ascii="Arial" w:eastAsia="Arial" w:hAnsi="Arial" w:cs="Arial"/>
          <w:lang w:val="es-ES" w:eastAsia="es-ES" w:bidi="es-ES"/>
        </w:rPr>
        <w:t>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EB0A4D">
        <w:rPr>
          <w:rFonts w:ascii="Arial" w:eastAsia="Arial" w:hAnsi="Arial" w:cs="Arial"/>
          <w:spacing w:val="-6"/>
          <w:lang w:val="es-ES" w:eastAsia="es-ES" w:bidi="es-ES"/>
        </w:rPr>
        <w:t xml:space="preserve"> </w:t>
      </w:r>
      <w:r w:rsidRPr="00EB0A4D">
        <w:rPr>
          <w:rFonts w:ascii="Arial" w:eastAsia="Arial" w:hAnsi="Arial" w:cs="Arial"/>
          <w:lang w:val="es-ES" w:eastAsia="es-ES" w:bidi="es-ES"/>
        </w:rPr>
        <w:t xml:space="preserve">estatales. </w:t>
      </w:r>
      <w:r w:rsidRPr="00182432">
        <w:rPr>
          <w:rFonts w:ascii="Arial" w:eastAsia="Arial" w:hAnsi="Arial" w:cs="Arial"/>
          <w:u w:val="single"/>
          <w:lang w:val="es-ES" w:eastAsia="es-ES" w:bidi="es-ES"/>
        </w:rPr>
        <w:t xml:space="preserve">En esta medida, la restricción del artículo 38 de la Ley 996 de 2005 no aplica a los </w:t>
      </w:r>
      <w:r w:rsidRPr="00182432">
        <w:rPr>
          <w:rFonts w:ascii="Arial" w:hAnsi="Arial" w:cs="Arial"/>
          <w:color w:val="000000" w:themeColor="text1"/>
          <w:u w:val="single"/>
          <w:lang w:val="es-ES_tradnl"/>
        </w:rPr>
        <w:t>contratos de prestación de servicios profesionales y de apoyo a la gestión.</w:t>
      </w:r>
    </w:p>
    <w:p w14:paraId="685182A6" w14:textId="77777777" w:rsidR="00EB0A4D" w:rsidRPr="00EB0A4D" w:rsidRDefault="00EB0A4D" w:rsidP="00EB0A4D">
      <w:pPr>
        <w:widowControl w:val="0"/>
        <w:autoSpaceDE w:val="0"/>
        <w:autoSpaceDN w:val="0"/>
        <w:spacing w:after="120" w:line="276" w:lineRule="auto"/>
        <w:ind w:firstLine="707"/>
        <w:jc w:val="both"/>
        <w:rPr>
          <w:rFonts w:ascii="Arial" w:hAnsi="Arial" w:cs="Arial"/>
          <w:color w:val="000000" w:themeColor="text1"/>
          <w:lang w:val="es-ES_tradnl"/>
        </w:rPr>
      </w:pPr>
      <w:r w:rsidRPr="00EB0A4D">
        <w:rPr>
          <w:rFonts w:ascii="Arial" w:hAnsi="Arial" w:cs="Arial"/>
          <w:color w:val="000000" w:themeColor="text1"/>
          <w:lang w:val="es-ES_tradnl"/>
        </w:rPr>
        <w:t>Finalmente,</w:t>
      </w:r>
      <w:r w:rsidRPr="00EB0A4D">
        <w:t xml:space="preserve"> </w:t>
      </w:r>
      <w:r w:rsidRPr="00EB0A4D">
        <w:rPr>
          <w:rFonts w:ascii="Arial" w:hAnsi="Arial" w:cs="Arial"/>
          <w:color w:val="000000" w:themeColor="text1"/>
          <w:lang w:val="es-ES_tradnl"/>
        </w:rPr>
        <w:t xml:space="preserve">respecto a la posibilidad o no de celebrar contratos de prestación de servicios,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1A0DFE30" w14:textId="77777777" w:rsidR="00EB0A4D" w:rsidRPr="00EB0A4D" w:rsidRDefault="00EB0A4D" w:rsidP="00EB0A4D">
      <w:pPr>
        <w:spacing w:after="0" w:line="276" w:lineRule="auto"/>
        <w:jc w:val="both"/>
        <w:rPr>
          <w:rFonts w:ascii="Arial" w:eastAsia="Times New Roman" w:hAnsi="Arial" w:cs="Arial"/>
          <w:iCs/>
          <w:szCs w:val="24"/>
          <w:lang w:val="es-ES_tradnl" w:eastAsia="es-ES_tradnl"/>
        </w:rPr>
      </w:pPr>
    </w:p>
    <w:p w14:paraId="25DD2FC9" w14:textId="77777777" w:rsidR="00EB0A4D" w:rsidRPr="00EB0A4D" w:rsidRDefault="00EB0A4D" w:rsidP="00EB0A4D">
      <w:pPr>
        <w:spacing w:after="0" w:line="276" w:lineRule="auto"/>
        <w:contextualSpacing/>
        <w:jc w:val="both"/>
        <w:rPr>
          <w:rFonts w:ascii="Arial" w:eastAsia="Calibri" w:hAnsi="Arial" w:cs="Arial"/>
          <w:b/>
        </w:rPr>
      </w:pPr>
      <w:r w:rsidRPr="00EB0A4D">
        <w:rPr>
          <w:rFonts w:ascii="Arial" w:eastAsia="Calibri" w:hAnsi="Arial" w:cs="Arial"/>
          <w:b/>
        </w:rPr>
        <w:t>3. Respuesta</w:t>
      </w:r>
    </w:p>
    <w:p w14:paraId="317EFC46" w14:textId="77777777" w:rsidR="00EB0A4D" w:rsidRPr="00EB0A4D" w:rsidRDefault="00EB0A4D" w:rsidP="00EB0A4D">
      <w:pPr>
        <w:spacing w:after="0" w:line="276" w:lineRule="auto"/>
        <w:contextualSpacing/>
        <w:jc w:val="both"/>
        <w:rPr>
          <w:rFonts w:ascii="Arial" w:eastAsia="Calibri" w:hAnsi="Arial" w:cs="Arial"/>
          <w:b/>
        </w:rPr>
      </w:pPr>
    </w:p>
    <w:p w14:paraId="6FA0E37E"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bookmarkStart w:id="23" w:name="_Hlk57650395"/>
      <w:r w:rsidRPr="00EB0A4D">
        <w:rPr>
          <w:rFonts w:ascii="Arial" w:eastAsia="Calibri" w:hAnsi="Arial" w:cs="Arial"/>
          <w:sz w:val="21"/>
          <w:szCs w:val="21"/>
          <w:lang w:val="es-MX"/>
        </w:rPr>
        <w:t xml:space="preserve">“1. ¿Teniendo en cuenta las elecciones programadas para el año 2023 qué restricciones en materia de contratación regirán de conformidad con lo dispuesto en la Ley 996 de 2005?” </w:t>
      </w:r>
    </w:p>
    <w:p w14:paraId="0A443F5B"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p>
    <w:p w14:paraId="773F2CCB" w14:textId="77777777" w:rsidR="00EB0A4D" w:rsidRPr="00EB0A4D" w:rsidRDefault="00EB0A4D" w:rsidP="00EB0A4D">
      <w:pPr>
        <w:spacing w:after="120" w:line="276" w:lineRule="auto"/>
        <w:jc w:val="both"/>
        <w:rPr>
          <w:rFonts w:ascii="Arial" w:hAnsi="Arial" w:cs="Arial"/>
          <w:bCs/>
          <w:lang w:val="es-ES_tradnl" w:eastAsia="es-CO" w:bidi="es-ES"/>
        </w:rPr>
      </w:pPr>
      <w:r w:rsidRPr="00EB0A4D">
        <w:rPr>
          <w:rFonts w:ascii="Arial" w:hAnsi="Arial" w:cs="Arial"/>
          <w:bCs/>
          <w:lang w:val="es-MX" w:eastAsia="es-CO"/>
        </w:rPr>
        <w:t xml:space="preserve">Teniendo en cuenta que el parágrafo del artículo 38 de la Ley de Garantías Electorales, establece una restricción en virtud de la cual, durante el periodo de cuatro (4) meses anteriores a cualquier jornada de elecciones, las entidades territoriales no pueden suscribir convenios interadministrativos que impliquen la ejecución de recursos públicos. Para determinar el alcance de la prohibición consagrada por la Ley de Garantías Electorales, conviene precisar la tipología de convenios o contratos interadministrativos. </w:t>
      </w:r>
      <w:r w:rsidRPr="00EB0A4D">
        <w:rPr>
          <w:rFonts w:ascii="Arial" w:hAnsi="Arial" w:cs="Arial"/>
          <w:bCs/>
          <w:lang w:val="es-ES_tradnl" w:eastAsia="es-CO" w:bidi="es-ES"/>
        </w:rPr>
        <w:t xml:space="preserve">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w:t>
      </w:r>
      <w:r w:rsidRPr="00EB0A4D">
        <w:rPr>
          <w:rFonts w:ascii="Arial" w:hAnsi="Arial" w:cs="Arial"/>
          <w:bCs/>
          <w:lang w:val="es-ES_tradnl" w:eastAsia="es-CO" w:bidi="es-ES"/>
        </w:rPr>
        <w:lastRenderedPageBreak/>
        <w:t>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4DA6646D" w14:textId="77777777"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 xml:space="preserve">Ahora bien, debe aclararse que </w:t>
      </w:r>
      <w:r w:rsidRPr="00EB0A4D">
        <w:rPr>
          <w:rFonts w:ascii="Arial" w:eastAsia="Times New Roman" w:hAnsi="Arial" w:cs="Arial"/>
          <w:iCs/>
          <w:szCs w:val="24"/>
          <w:u w:val="single"/>
          <w:lang w:val="es-ES_tradnl" w:eastAsia="es-ES_tradnl"/>
        </w:rPr>
        <w:t>para los comicios que se celebrarán este año</w:t>
      </w:r>
      <w:r w:rsidRPr="00EB0A4D">
        <w:rPr>
          <w:rFonts w:ascii="Arial" w:eastAsia="Times New Roman" w:hAnsi="Arial" w:cs="Arial"/>
          <w:iCs/>
          <w:szCs w:val="24"/>
          <w:lang w:val="es-ES_tradnl" w:eastAsia="es-ES_tradnl"/>
        </w:rPr>
        <w:t xml:space="preserve">, aplicarán las restricciones contractuales establecidas en el parágrafo del </w:t>
      </w:r>
      <w:r w:rsidRPr="00EB0A4D">
        <w:rPr>
          <w:rFonts w:ascii="Arial" w:eastAsia="Times New Roman" w:hAnsi="Arial" w:cs="Arial"/>
          <w:iCs/>
          <w:szCs w:val="24"/>
          <w:u w:val="single"/>
          <w:lang w:val="es-ES_tradnl" w:eastAsia="es-ES_tradnl"/>
        </w:rPr>
        <w:t>artículo 38 de la Ley 996 de 2005</w:t>
      </w:r>
      <w:r w:rsidRPr="00EB0A4D">
        <w:rPr>
          <w:rFonts w:ascii="Arial" w:eastAsia="Times New Roman" w:hAnsi="Arial" w:cs="Arial"/>
          <w:iCs/>
          <w:szCs w:val="24"/>
          <w:lang w:val="es-ES_tradnl" w:eastAsia="es-ES_tradnl"/>
        </w:rPr>
        <w:t xml:space="preserve"> que </w:t>
      </w:r>
      <w:r w:rsidRPr="00EB0A4D">
        <w:rPr>
          <w:rFonts w:ascii="Arial" w:eastAsia="Times New Roman" w:hAnsi="Arial" w:cs="Arial"/>
          <w:iCs/>
          <w:szCs w:val="24"/>
          <w:u w:val="single"/>
          <w:lang w:val="es-ES_tradnl" w:eastAsia="es-ES_tradnl"/>
        </w:rPr>
        <w:t>prohíbe</w:t>
      </w:r>
      <w:r w:rsidRPr="00EB0A4D">
        <w:rPr>
          <w:rFonts w:ascii="Arial" w:eastAsia="Times New Roman" w:hAnsi="Arial" w:cs="Arial"/>
          <w:iCs/>
          <w:szCs w:val="24"/>
          <w:lang w:val="es-ES_tradnl" w:eastAsia="es-ES_tradnl"/>
        </w:rPr>
        <w:t xml:space="preserve"> a los alcaldes, gobernadores, secretarios, gerentes y directores de las entidades del orden municipal, departamental o distrital </w:t>
      </w:r>
      <w:r w:rsidRPr="00EB0A4D">
        <w:rPr>
          <w:rFonts w:ascii="Arial" w:eastAsia="Times New Roman" w:hAnsi="Arial" w:cs="Arial"/>
          <w:iCs/>
          <w:szCs w:val="24"/>
          <w:u w:val="single"/>
          <w:lang w:val="es-ES_tradnl" w:eastAsia="es-ES_tradnl"/>
        </w:rPr>
        <w:t>celebrar convenios y contratos interadministrativos para la ejecución de recursos públicos</w:t>
      </w:r>
      <w:r w:rsidRPr="00EB0A4D">
        <w:rPr>
          <w:rFonts w:ascii="Arial" w:eastAsia="Times New Roman" w:hAnsi="Arial" w:cs="Arial"/>
          <w:iCs/>
          <w:szCs w:val="24"/>
          <w:lang w:val="es-ES_tradnl" w:eastAsia="es-ES_tradnl"/>
        </w:rPr>
        <w:t xml:space="preserve">. En este sentido, si una o ambas partes de la relación contractual es una de las entidades descritas en el parágrafo </w:t>
      </w:r>
      <w:r w:rsidRPr="00EB0A4D">
        <w:rPr>
          <w:rFonts w:ascii="Arial" w:eastAsia="Times New Roman" w:hAnsi="Arial" w:cs="Arial"/>
          <w:i/>
          <w:szCs w:val="24"/>
          <w:lang w:val="es-ES_tradnl" w:eastAsia="es-ES_tradnl"/>
        </w:rPr>
        <w:t xml:space="preserve">ibidem, </w:t>
      </w:r>
      <w:r w:rsidRPr="00EB0A4D">
        <w:rPr>
          <w:rFonts w:ascii="Arial" w:eastAsia="Times New Roman" w:hAnsi="Arial" w:cs="Arial"/>
          <w:iCs/>
          <w:szCs w:val="24"/>
          <w:lang w:val="es-ES_tradnl" w:eastAsia="es-ES_tradnl"/>
        </w:rPr>
        <w:t>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p>
    <w:p w14:paraId="03678D08" w14:textId="0179D080" w:rsidR="00EB0A4D" w:rsidRPr="00EB0A4D" w:rsidRDefault="00EB0A4D" w:rsidP="00EB0A4D">
      <w:pPr>
        <w:spacing w:before="120" w:after="0" w:line="276" w:lineRule="auto"/>
        <w:ind w:firstLine="709"/>
        <w:jc w:val="both"/>
        <w:rPr>
          <w:rFonts w:ascii="Arial" w:eastAsia="Times New Roman" w:hAnsi="Arial" w:cs="Arial"/>
          <w:iCs/>
          <w:szCs w:val="24"/>
          <w:lang w:val="es-ES_tradnl" w:eastAsia="es-ES_tradnl"/>
        </w:rPr>
      </w:pPr>
      <w:r w:rsidRPr="00EB0A4D">
        <w:rPr>
          <w:rFonts w:ascii="Arial" w:eastAsia="Times New Roman" w:hAnsi="Arial" w:cs="Arial"/>
          <w:iCs/>
          <w:szCs w:val="24"/>
          <w:lang w:val="es-ES_tradnl" w:eastAsia="es-ES_tradnl"/>
        </w:rPr>
        <w:t xml:space="preserve">Por otro lado, frente al termino en que inician las restricciones del parágrafo del artículo 38 de la Ley de Garantías, la norma es clara en determinar que las mismas inician “dentro de los cuatro (4) meses anteriores a las elecciones” y, se reitera, la restricción opera frente a la celebración de </w:t>
      </w:r>
      <w:r w:rsidR="005566AA">
        <w:rPr>
          <w:rFonts w:ascii="Arial" w:eastAsia="Times New Roman" w:hAnsi="Arial" w:cs="Arial"/>
          <w:iCs/>
          <w:szCs w:val="24"/>
          <w:lang w:val="es-ES_tradnl" w:eastAsia="es-ES_tradnl"/>
        </w:rPr>
        <w:t xml:space="preserve">contratos y/o </w:t>
      </w:r>
      <w:r w:rsidRPr="00EB0A4D">
        <w:rPr>
          <w:rFonts w:ascii="Arial" w:eastAsia="Times New Roman" w:hAnsi="Arial" w:cs="Arial"/>
          <w:iCs/>
          <w:szCs w:val="24"/>
          <w:lang w:val="es-ES_tradnl" w:eastAsia="es-ES_tradnl"/>
        </w:rPr>
        <w:t>convenios interadministrativos para la ejecución de recursos públicos.</w:t>
      </w:r>
    </w:p>
    <w:p w14:paraId="369A20CE"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p>
    <w:p w14:paraId="51E961D1"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p>
    <w:p w14:paraId="015A66BF"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p>
    <w:p w14:paraId="04245C5F"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r w:rsidRPr="00EB0A4D">
        <w:rPr>
          <w:rFonts w:ascii="Arial" w:eastAsia="Calibri" w:hAnsi="Arial" w:cs="Arial"/>
          <w:sz w:val="21"/>
          <w:szCs w:val="21"/>
          <w:lang w:val="es-MX"/>
        </w:rPr>
        <w:t xml:space="preserve">2. ¿Frente a la aplicación del artículo 38 de la Ley de Garantías Electorales, ruego aclarar si dentro de esta restricción se encuentran cobijados los Contratos y/o Convenios de Asociación suscritos con Entidades Privadas?” </w:t>
      </w:r>
    </w:p>
    <w:p w14:paraId="01F857B9" w14:textId="77777777" w:rsidR="00EB0A4D" w:rsidRPr="00EB0A4D" w:rsidRDefault="00EB0A4D" w:rsidP="00EB0A4D">
      <w:pPr>
        <w:spacing w:before="120" w:after="0" w:line="240" w:lineRule="auto"/>
        <w:ind w:right="709"/>
        <w:contextualSpacing/>
        <w:jc w:val="both"/>
        <w:rPr>
          <w:rFonts w:ascii="Arial" w:eastAsia="Calibri" w:hAnsi="Arial" w:cs="Arial"/>
          <w:sz w:val="21"/>
          <w:szCs w:val="21"/>
          <w:lang w:val="es-MX"/>
        </w:rPr>
      </w:pPr>
    </w:p>
    <w:p w14:paraId="2F49FD74" w14:textId="0B5E5DCF" w:rsidR="00EB0A4D" w:rsidRPr="00EB0A4D" w:rsidRDefault="00EB0A4D" w:rsidP="00EB0A4D">
      <w:pPr>
        <w:spacing w:line="276" w:lineRule="auto"/>
        <w:jc w:val="both"/>
        <w:rPr>
          <w:rFonts w:ascii="Arial" w:eastAsia="Calibri" w:hAnsi="Arial" w:cs="Arial"/>
          <w:color w:val="000000" w:themeColor="text1"/>
          <w:lang w:val="es-ES"/>
        </w:rPr>
      </w:pPr>
      <w:r w:rsidRPr="00EB0A4D">
        <w:rPr>
          <w:rFonts w:ascii="Arial" w:eastAsia="Calibri" w:hAnsi="Arial" w:cs="Arial"/>
          <w:color w:val="000000" w:themeColor="text1"/>
          <w:lang w:val="es-ES"/>
        </w:rPr>
        <w:t xml:space="preserve">Conforme a las anteriores consideraciones, es pertinente aclarar que la restricción del parágrafo del artículo 38 de la Ley 996 de 2005 </w:t>
      </w:r>
      <w:r w:rsidRPr="00EB0A4D">
        <w:rPr>
          <w:rFonts w:ascii="Arial" w:eastAsia="Calibri" w:hAnsi="Arial" w:cs="Arial"/>
          <w:color w:val="000000" w:themeColor="text1"/>
          <w:u w:val="single"/>
          <w:lang w:val="es-ES"/>
        </w:rPr>
        <w:t xml:space="preserve">no </w:t>
      </w:r>
      <w:r w:rsidRPr="00EB0A4D">
        <w:rPr>
          <w:rFonts w:ascii="Arial" w:eastAsia="Calibri" w:hAnsi="Arial" w:cs="Arial"/>
          <w:color w:val="000000" w:themeColor="text1"/>
          <w:lang w:val="es-ES"/>
        </w:rPr>
        <w:t>cobija a los contratos y/o convenios de Asociación suscritos con Entidades Privadas. Se reitera que la mencionada restricción de este parágrafo recae sobre la celebrar de convenios y</w:t>
      </w:r>
      <w:r w:rsidR="008642E3">
        <w:rPr>
          <w:rFonts w:ascii="Arial" w:eastAsia="Calibri" w:hAnsi="Arial" w:cs="Arial"/>
          <w:color w:val="000000" w:themeColor="text1"/>
          <w:lang w:val="es-ES"/>
        </w:rPr>
        <w:t>/o</w:t>
      </w:r>
      <w:r w:rsidRPr="00EB0A4D">
        <w:rPr>
          <w:rFonts w:ascii="Arial" w:eastAsia="Calibri" w:hAnsi="Arial" w:cs="Arial"/>
          <w:color w:val="000000" w:themeColor="text1"/>
          <w:lang w:val="es-ES"/>
        </w:rPr>
        <w:t xml:space="preserve"> contratos interadministrativos para la ejecución de recursos públicos. Distinto es el evento de la restricción de la prohibición del artículo 33 de la Ley 996 de 2005, la cual prohíbe, como se mencionó con anterioridad, la modalidad de selección de contratación directa y por ende restringe la celebración de los contratos y/o convenios de Asociación suscritos con Entidades Privadas que se adelanten a través de contratación directa. En todo caso, la restricción del artículo 33 de la Ley 996 de 2005 no cobra relevancia para los presentes comicios para cargos de elección popular programadas para el año 2023, por esta razón </w:t>
      </w:r>
      <w:r w:rsidRPr="00EB0A4D">
        <w:rPr>
          <w:rFonts w:ascii="Arial" w:eastAsia="Calibri" w:hAnsi="Arial" w:cs="Arial"/>
          <w:color w:val="000000" w:themeColor="text1"/>
          <w:u w:val="single"/>
          <w:lang w:val="es-ES"/>
        </w:rPr>
        <w:t>no estarán</w:t>
      </w:r>
      <w:r w:rsidRPr="00EB0A4D">
        <w:rPr>
          <w:rFonts w:ascii="Arial" w:eastAsia="Calibri" w:hAnsi="Arial" w:cs="Arial"/>
          <w:color w:val="000000" w:themeColor="text1"/>
          <w:lang w:val="es-ES"/>
        </w:rPr>
        <w:t xml:space="preserve"> prohibidos los contratos y/o convenios de Asociación suscritos con Entidades Privadas.</w:t>
      </w:r>
    </w:p>
    <w:p w14:paraId="448D09E9" w14:textId="77777777" w:rsidR="00EB0A4D" w:rsidRPr="00EB0A4D" w:rsidRDefault="00EB0A4D" w:rsidP="00EB0A4D">
      <w:pPr>
        <w:spacing w:before="120" w:after="0" w:line="240" w:lineRule="auto"/>
        <w:ind w:right="709"/>
        <w:contextualSpacing/>
        <w:jc w:val="both"/>
        <w:rPr>
          <w:rFonts w:ascii="Arial" w:eastAsia="Calibri" w:hAnsi="Arial" w:cs="Arial"/>
          <w:sz w:val="21"/>
          <w:szCs w:val="21"/>
          <w:lang w:val="es-MX"/>
        </w:rPr>
      </w:pPr>
    </w:p>
    <w:p w14:paraId="71C20296" w14:textId="77777777" w:rsidR="00EB0A4D" w:rsidRPr="00EB0A4D" w:rsidRDefault="00EB0A4D" w:rsidP="00EB0A4D">
      <w:pPr>
        <w:spacing w:before="120" w:after="0" w:line="240" w:lineRule="auto"/>
        <w:ind w:left="709" w:right="709"/>
        <w:contextualSpacing/>
        <w:jc w:val="both"/>
        <w:rPr>
          <w:rFonts w:ascii="Arial" w:eastAsia="Calibri" w:hAnsi="Arial" w:cs="Arial"/>
          <w:sz w:val="21"/>
          <w:szCs w:val="21"/>
          <w:lang w:val="es-MX"/>
        </w:rPr>
      </w:pPr>
      <w:r w:rsidRPr="00EB0A4D">
        <w:rPr>
          <w:rFonts w:ascii="Arial" w:eastAsia="Calibri" w:hAnsi="Arial" w:cs="Arial"/>
          <w:sz w:val="21"/>
          <w:szCs w:val="21"/>
          <w:lang w:val="es-MX"/>
        </w:rPr>
        <w:lastRenderedPageBreak/>
        <w:t>3. ¿Frente a la aplicación del artículo 38 de la Ley de Garantías Electorales, ruego aclarar si dentro de esta restricción se encuentra la celebración de contratos de prestación de servicios profesionales y de apoyo a la gestión?”</w:t>
      </w:r>
    </w:p>
    <w:p w14:paraId="3AEA379E" w14:textId="77777777" w:rsidR="00EB0A4D" w:rsidRPr="00EB0A4D" w:rsidRDefault="00EB0A4D" w:rsidP="00EB0A4D">
      <w:pPr>
        <w:spacing w:before="120" w:after="0" w:line="240" w:lineRule="auto"/>
        <w:ind w:right="709"/>
        <w:contextualSpacing/>
        <w:jc w:val="both"/>
        <w:rPr>
          <w:rFonts w:ascii="Arial" w:eastAsia="Calibri" w:hAnsi="Arial" w:cs="Arial"/>
          <w:sz w:val="21"/>
          <w:szCs w:val="21"/>
          <w:lang w:val="es-MX"/>
        </w:rPr>
      </w:pPr>
    </w:p>
    <w:p w14:paraId="46647D71" w14:textId="77777777" w:rsidR="00EB0A4D" w:rsidRPr="00EB0A4D" w:rsidRDefault="00EB0A4D" w:rsidP="00EB0A4D">
      <w:pPr>
        <w:spacing w:line="276" w:lineRule="auto"/>
        <w:jc w:val="both"/>
        <w:rPr>
          <w:rFonts w:ascii="Arial" w:eastAsia="Calibri" w:hAnsi="Arial" w:cs="Arial"/>
          <w:color w:val="000000" w:themeColor="text1"/>
          <w:lang w:val="es-ES"/>
        </w:rPr>
      </w:pPr>
      <w:r w:rsidRPr="00EB0A4D">
        <w:rPr>
          <w:rFonts w:ascii="Arial" w:eastAsia="Calibri" w:hAnsi="Arial" w:cs="Arial"/>
          <w:color w:val="000000" w:themeColor="text1"/>
          <w:lang w:val="es-ES"/>
        </w:rPr>
        <w:t xml:space="preserve">La celebración de contratos de prestación de servicios profesionales y de apoyo a la gestión se restringe en el evento previsto en el artículo 33 de la Ley 996 de 2005, por ser la contratación directa la modalidad de selección prevista para celebración contratos de prestación de servicios. Distinto ocurre con la restricción del parágrafo del artículo 38 de la Ley 996 de 2005 que, como vimos, prohíbe la celebración de convenios interadministrativos que impliquen la ejecución de recursos públicos dentro de los cuatro (4) meses anteriores a la respectiva jornada de votaciones. </w:t>
      </w:r>
    </w:p>
    <w:p w14:paraId="182D381D" w14:textId="77777777" w:rsidR="00EB0A4D" w:rsidRPr="00EB0A4D" w:rsidRDefault="00EB0A4D" w:rsidP="00EB0A4D">
      <w:pPr>
        <w:widowControl w:val="0"/>
        <w:autoSpaceDE w:val="0"/>
        <w:autoSpaceDN w:val="0"/>
        <w:spacing w:after="120" w:line="276" w:lineRule="auto"/>
        <w:ind w:firstLine="707"/>
        <w:jc w:val="both"/>
        <w:rPr>
          <w:rFonts w:ascii="Arial" w:hAnsi="Arial" w:cs="Arial"/>
          <w:color w:val="000000" w:themeColor="text1"/>
          <w:lang w:val="es-ES_tradnl"/>
        </w:rPr>
      </w:pPr>
      <w:r w:rsidRPr="00EB0A4D">
        <w:rPr>
          <w:rFonts w:ascii="Arial" w:eastAsia="Calibri" w:hAnsi="Arial" w:cs="Arial"/>
          <w:bCs/>
          <w:lang w:eastAsia="es-ES" w:bidi="es-ES"/>
        </w:rPr>
        <w:t xml:space="preserve">Para efectos de esta prohibición, la del del parágrafo del artículo 38 de la Ley 996 de 2005, </w:t>
      </w:r>
      <w:r w:rsidRPr="00EB0A4D">
        <w:rPr>
          <w:rFonts w:ascii="Arial" w:eastAsia="Arial" w:hAnsi="Arial" w:cs="Arial"/>
          <w:lang w:val="es-ES" w:eastAsia="es-ES" w:bidi="es-ES"/>
        </w:rPr>
        <w:t>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EB0A4D">
        <w:rPr>
          <w:rFonts w:ascii="Arial" w:eastAsia="Arial" w:hAnsi="Arial" w:cs="Arial"/>
          <w:spacing w:val="-6"/>
          <w:lang w:val="es-ES" w:eastAsia="es-ES" w:bidi="es-ES"/>
        </w:rPr>
        <w:t xml:space="preserve"> </w:t>
      </w:r>
      <w:r w:rsidRPr="00EB0A4D">
        <w:rPr>
          <w:rFonts w:ascii="Arial" w:eastAsia="Arial" w:hAnsi="Arial" w:cs="Arial"/>
          <w:lang w:val="es-ES" w:eastAsia="es-ES" w:bidi="es-ES"/>
        </w:rPr>
        <w:t xml:space="preserve">estatales. </w:t>
      </w:r>
      <w:r w:rsidRPr="00182432">
        <w:rPr>
          <w:rFonts w:ascii="Arial" w:eastAsia="Arial" w:hAnsi="Arial" w:cs="Arial"/>
          <w:u w:val="single"/>
          <w:lang w:val="es-ES" w:eastAsia="es-ES" w:bidi="es-ES"/>
        </w:rPr>
        <w:t xml:space="preserve">En esta medida, la restricción del artículo 38 de la Ley 996 de 2005 no aplica a los </w:t>
      </w:r>
      <w:r w:rsidRPr="00182432">
        <w:rPr>
          <w:rFonts w:ascii="Arial" w:hAnsi="Arial" w:cs="Arial"/>
          <w:color w:val="000000" w:themeColor="text1"/>
          <w:u w:val="single"/>
          <w:lang w:val="es-ES_tradnl"/>
        </w:rPr>
        <w:t>contratos de prestación de servicios profesionales y de apoyo a la gestión.</w:t>
      </w:r>
    </w:p>
    <w:p w14:paraId="19CE5EC5" w14:textId="77777777" w:rsidR="00EB0A4D" w:rsidRPr="00EB0A4D" w:rsidRDefault="00EB0A4D" w:rsidP="00EB0A4D">
      <w:pPr>
        <w:spacing w:after="0" w:line="240" w:lineRule="auto"/>
        <w:ind w:left="709" w:right="709"/>
        <w:jc w:val="both"/>
        <w:rPr>
          <w:rFonts w:ascii="Arial" w:eastAsia="Calibri" w:hAnsi="Arial" w:cs="Arial"/>
          <w:lang w:val="es-ES"/>
        </w:rPr>
      </w:pPr>
    </w:p>
    <w:p w14:paraId="1D1661D1" w14:textId="77777777" w:rsidR="00EB0A4D" w:rsidRPr="00EB0A4D" w:rsidRDefault="00EB0A4D" w:rsidP="00EB0A4D">
      <w:pPr>
        <w:spacing w:after="0" w:line="276" w:lineRule="auto"/>
        <w:ind w:firstLine="709"/>
        <w:jc w:val="both"/>
        <w:rPr>
          <w:rFonts w:ascii="Arial" w:eastAsia="Calibri" w:hAnsi="Arial" w:cs="Arial"/>
          <w:lang w:val="es-MX"/>
        </w:rPr>
      </w:pPr>
      <w:r w:rsidRPr="00EB0A4D">
        <w:rPr>
          <w:rFonts w:ascii="Arial" w:eastAsia="Calibri" w:hAnsi="Arial" w:cs="Arial"/>
          <w:bCs/>
          <w:lang w:val="es-MX" w:eastAsia="es-CO"/>
        </w:rPr>
        <w:t>Bajo estas consideraciones, corresponde a cada entidad pública, en ejercicio de su competencia y previa valoración de los elementos fácticos y jurídicos, determinar si es procedente o no la celebración de un determinado contrato durante la vigencia de la Ley de Garantías Electorales. Lo anterior en razón 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EB0A4D">
        <w:rPr>
          <w:rFonts w:ascii="Arial" w:hAnsi="Arial" w:cs="Arial"/>
          <w:bCs/>
          <w:lang w:val="es-ES"/>
        </w:rPr>
        <w:t xml:space="preserve"> </w:t>
      </w:r>
    </w:p>
    <w:p w14:paraId="7EB355E1" w14:textId="77777777" w:rsidR="00EB0A4D" w:rsidRPr="00EB0A4D" w:rsidRDefault="00EB0A4D" w:rsidP="00EB0A4D">
      <w:pPr>
        <w:shd w:val="clear" w:color="auto" w:fill="FFFFFF"/>
        <w:spacing w:after="0" w:line="276" w:lineRule="auto"/>
        <w:jc w:val="both"/>
        <w:rPr>
          <w:rFonts w:ascii="Arial" w:hAnsi="Arial" w:cs="Arial"/>
        </w:rPr>
      </w:pPr>
    </w:p>
    <w:p w14:paraId="40F29977" w14:textId="77777777" w:rsidR="00EB0A4D" w:rsidRPr="00EB0A4D" w:rsidRDefault="00EB0A4D" w:rsidP="00EB0A4D">
      <w:pPr>
        <w:widowControl w:val="0"/>
        <w:autoSpaceDE w:val="0"/>
        <w:autoSpaceDN w:val="0"/>
        <w:spacing w:after="0" w:line="276" w:lineRule="auto"/>
        <w:contextualSpacing/>
        <w:jc w:val="both"/>
        <w:rPr>
          <w:rFonts w:ascii="Arial" w:eastAsia="Times New Roman" w:hAnsi="Arial" w:cs="Arial"/>
          <w:lang w:eastAsia="es-ES_tradnl"/>
        </w:rPr>
      </w:pPr>
      <w:r w:rsidRPr="00EB0A4D">
        <w:rPr>
          <w:rFonts w:ascii="Arial" w:eastAsia="Calibri" w:hAnsi="Arial" w:cs="Arial"/>
        </w:rPr>
        <w:t>Este concepto tiene el alcance previsto en el artículo 28 del Código de Procedimiento Administrativo y de lo Contencioso Administrativo</w:t>
      </w:r>
      <w:r w:rsidRPr="00EB0A4D">
        <w:rPr>
          <w:rFonts w:ascii="Arial" w:eastAsia="Calibri" w:hAnsi="Arial" w:cs="Arial"/>
          <w:noProof/>
          <w:lang w:eastAsia="es-CO"/>
        </w:rPr>
        <mc:AlternateContent>
          <mc:Choice Requires="wps">
            <w:drawing>
              <wp:anchor distT="0" distB="0" distL="114300" distR="114300" simplePos="0" relativeHeight="251658240" behindDoc="0" locked="0" layoutInCell="1" allowOverlap="1" wp14:anchorId="3408F871" wp14:editId="572FC6D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line w14:anchorId="0EA83034" id="Conector recto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EB0A4D">
        <w:rPr>
          <w:rFonts w:ascii="Arial" w:eastAsia="Calibri" w:hAnsi="Arial" w:cs="Arial"/>
        </w:rPr>
        <w:t xml:space="preserve"> y las expresiones utilizadas con mayúscula inicial deben ser entendidas con el significado que les otorga el artículo 2.2.1.1.1.3.1 del Decreto 1082 de 2015.</w:t>
      </w:r>
    </w:p>
    <w:p w14:paraId="35F64678" w14:textId="77777777" w:rsidR="00EB0A4D" w:rsidRPr="00EB0A4D" w:rsidRDefault="00EB0A4D" w:rsidP="00EB0A4D">
      <w:pPr>
        <w:spacing w:after="120" w:line="276" w:lineRule="auto"/>
        <w:jc w:val="both"/>
        <w:rPr>
          <w:rFonts w:ascii="Arial" w:eastAsia="Times New Roman" w:hAnsi="Arial" w:cs="Arial"/>
          <w:lang w:eastAsia="es-ES_tradnl"/>
        </w:rPr>
      </w:pPr>
    </w:p>
    <w:p w14:paraId="43FA3413" w14:textId="77777777" w:rsidR="00EB0A4D" w:rsidRPr="00EB0A4D" w:rsidRDefault="00EB0A4D" w:rsidP="00EB0A4D">
      <w:pPr>
        <w:spacing w:after="200" w:line="276" w:lineRule="auto"/>
        <w:jc w:val="both"/>
        <w:rPr>
          <w:rFonts w:ascii="Arial" w:eastAsia="Times New Roman" w:hAnsi="Arial" w:cs="Arial"/>
          <w:lang w:eastAsia="es-CO"/>
        </w:rPr>
      </w:pPr>
      <w:r w:rsidRPr="00EB0A4D">
        <w:rPr>
          <w:rFonts w:ascii="Arial" w:eastAsia="Times New Roman" w:hAnsi="Arial" w:cs="Arial"/>
          <w:lang w:eastAsia="es-CO"/>
        </w:rPr>
        <w:t>Atentamente,</w:t>
      </w:r>
    </w:p>
    <w:p w14:paraId="70AC8581" w14:textId="3ACE1275" w:rsidR="00EB0A4D" w:rsidRPr="00EB0A4D" w:rsidRDefault="00BD49F2" w:rsidP="00EB0A4D">
      <w:pPr>
        <w:spacing w:after="200" w:line="276" w:lineRule="auto"/>
        <w:jc w:val="center"/>
        <w:rPr>
          <w:rFonts w:ascii="Arial" w:eastAsia="Calibri" w:hAnsi="Arial" w:cs="Arial"/>
          <w:b/>
          <w:bCs/>
          <w:sz w:val="20"/>
          <w:szCs w:val="20"/>
          <w:lang w:val="es-MX"/>
        </w:rPr>
      </w:pPr>
      <w:bookmarkStart w:id="24" w:name="_Hlk130981267"/>
      <w:bookmarkEnd w:id="23"/>
      <w:r w:rsidRPr="00BD49F2">
        <w:rPr>
          <w:rFonts w:ascii="Calibri" w:eastAsia="Calibri" w:hAnsi="Calibri" w:cs="Times New Roman"/>
          <w:noProof/>
          <w:lang w:val="es-ES"/>
        </w:rPr>
        <w:lastRenderedPageBreak/>
        <w:drawing>
          <wp:inline distT="0" distB="0" distL="0" distR="0" wp14:anchorId="6E93BD3B" wp14:editId="34CF7B18">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B0A4D" w:rsidRPr="00EB0A4D" w14:paraId="202052F3" w14:textId="77777777" w:rsidTr="0642704E">
        <w:trPr>
          <w:trHeight w:val="315"/>
        </w:trPr>
        <w:tc>
          <w:tcPr>
            <w:tcW w:w="812" w:type="dxa"/>
            <w:vAlign w:val="center"/>
            <w:hideMark/>
          </w:tcPr>
          <w:bookmarkEnd w:id="24"/>
          <w:p w14:paraId="258AA671"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3200B33" w14:textId="77777777" w:rsidR="00EB0A4D" w:rsidRPr="00EB0A4D" w:rsidRDefault="00EB0A4D" w:rsidP="00EB0A4D">
            <w:pPr>
              <w:rPr>
                <w:rFonts w:ascii="Arial" w:eastAsia="Calibri" w:hAnsi="Arial" w:cs="Arial"/>
                <w:sz w:val="16"/>
                <w:szCs w:val="16"/>
                <w:lang w:val="es-ES_tradnl" w:eastAsia="es-ES"/>
              </w:rPr>
            </w:pPr>
            <w:r w:rsidRPr="00EB0A4D">
              <w:rPr>
                <w:rFonts w:ascii="Arial" w:eastAsia="Calibri" w:hAnsi="Arial" w:cs="Arial"/>
                <w:sz w:val="16"/>
                <w:szCs w:val="16"/>
                <w:lang w:val="es-ES_tradnl" w:eastAsia="es-ES"/>
              </w:rPr>
              <w:t>Gabriel Alejandro Murcia Taboada</w:t>
            </w:r>
          </w:p>
          <w:p w14:paraId="0F5A8EAE"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Calibri" w:hAnsi="Arial" w:cs="Arial"/>
                <w:sz w:val="16"/>
                <w:szCs w:val="16"/>
                <w:lang w:val="es-ES_tradnl" w:eastAsia="es-ES"/>
              </w:rPr>
              <w:t>Contratista de la Subdirección de Gestión Contractual</w:t>
            </w:r>
          </w:p>
        </w:tc>
      </w:tr>
      <w:tr w:rsidR="00EB0A4D" w:rsidRPr="00EB0A4D" w14:paraId="705D6C6A" w14:textId="77777777" w:rsidTr="0642704E">
        <w:trPr>
          <w:trHeight w:val="330"/>
        </w:trPr>
        <w:tc>
          <w:tcPr>
            <w:tcW w:w="812" w:type="dxa"/>
            <w:vAlign w:val="center"/>
            <w:hideMark/>
          </w:tcPr>
          <w:p w14:paraId="131AEE6D"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B397D47" w14:textId="77777777" w:rsidR="00EB0A4D" w:rsidRPr="00EB0A4D" w:rsidRDefault="00EB0A4D" w:rsidP="00EB0A4D">
            <w:pPr>
              <w:rPr>
                <w:rFonts w:ascii="Arial" w:eastAsia="Times New Roman" w:hAnsi="Arial" w:cs="Arial"/>
                <w:color w:val="000000"/>
                <w:sz w:val="16"/>
                <w:szCs w:val="16"/>
                <w:lang w:val="es-ES" w:eastAsia="es-ES"/>
              </w:rPr>
            </w:pPr>
            <w:r w:rsidRPr="00EB0A4D">
              <w:rPr>
                <w:rFonts w:ascii="Arial" w:eastAsia="Times New Roman" w:hAnsi="Arial" w:cs="Arial"/>
                <w:color w:val="000000"/>
                <w:sz w:val="16"/>
                <w:szCs w:val="16"/>
                <w:lang w:val="es-ES" w:eastAsia="es-ES"/>
              </w:rPr>
              <w:t xml:space="preserve">Diana Carolina Armenta Celis </w:t>
            </w:r>
          </w:p>
          <w:p w14:paraId="5FDCAC2E" w14:textId="1B581E40" w:rsidR="00EB0A4D" w:rsidRPr="00EB0A4D" w:rsidRDefault="00EB0A4D" w:rsidP="0642704E">
            <w:pPr>
              <w:rPr>
                <w:rFonts w:ascii="Arial" w:eastAsia="Times New Roman" w:hAnsi="Arial" w:cs="Arial"/>
                <w:color w:val="000000" w:themeColor="text1"/>
                <w:sz w:val="16"/>
                <w:szCs w:val="16"/>
                <w:lang w:val="es-ES" w:eastAsia="es-ES"/>
              </w:rPr>
            </w:pPr>
            <w:r w:rsidRPr="0642704E">
              <w:rPr>
                <w:rFonts w:ascii="Arial" w:eastAsia="Times New Roman" w:hAnsi="Arial" w:cs="Arial"/>
                <w:color w:val="000000" w:themeColor="text1"/>
                <w:sz w:val="16"/>
                <w:szCs w:val="16"/>
                <w:lang w:val="es-ES" w:eastAsia="es-ES"/>
              </w:rPr>
              <w:t xml:space="preserve">Contratista de la Subdirección de Gestión Contractual  </w:t>
            </w:r>
          </w:p>
          <w:p w14:paraId="3BA89297" w14:textId="0CFB1930" w:rsidR="00EB0A4D" w:rsidRPr="00EB0A4D" w:rsidRDefault="205B834B" w:rsidP="0642704E">
            <w:pPr>
              <w:rPr>
                <w:rFonts w:ascii="Arial" w:eastAsia="Times New Roman" w:hAnsi="Arial" w:cs="Arial"/>
                <w:color w:val="000000" w:themeColor="text1"/>
                <w:sz w:val="16"/>
                <w:szCs w:val="16"/>
                <w:lang w:val="es-ES" w:eastAsia="es-ES"/>
              </w:rPr>
            </w:pPr>
            <w:r w:rsidRPr="0642704E">
              <w:rPr>
                <w:rFonts w:ascii="Arial" w:eastAsia="Times New Roman" w:hAnsi="Arial" w:cs="Arial"/>
                <w:color w:val="000000" w:themeColor="text1"/>
                <w:sz w:val="16"/>
                <w:szCs w:val="16"/>
                <w:lang w:val="es-ES" w:eastAsia="es-ES"/>
              </w:rPr>
              <w:t>Gabriel Mendoza</w:t>
            </w:r>
          </w:p>
          <w:p w14:paraId="3787D0AE" w14:textId="66F113F2" w:rsidR="00EB0A4D" w:rsidRPr="00EB0A4D" w:rsidRDefault="205B834B" w:rsidP="00EB0A4D">
            <w:pPr>
              <w:rPr>
                <w:rFonts w:ascii="Arial" w:eastAsia="Times New Roman" w:hAnsi="Arial" w:cs="Arial"/>
                <w:color w:val="000000"/>
                <w:sz w:val="16"/>
                <w:szCs w:val="16"/>
                <w:lang w:val="es-ES" w:eastAsia="es-ES"/>
              </w:rPr>
            </w:pPr>
            <w:r w:rsidRPr="0642704E">
              <w:rPr>
                <w:rFonts w:ascii="Arial" w:eastAsia="Times New Roman" w:hAnsi="Arial" w:cs="Arial"/>
                <w:color w:val="000000" w:themeColor="text1"/>
                <w:sz w:val="16"/>
                <w:szCs w:val="16"/>
                <w:lang w:val="es-ES" w:eastAsia="es-ES"/>
              </w:rPr>
              <w:t>Contratista de la Subdirección de Gestión Contractual</w:t>
            </w:r>
            <w:r w:rsidR="00EB0A4D" w:rsidRPr="0642704E">
              <w:rPr>
                <w:rFonts w:ascii="Arial" w:eastAsia="Times New Roman" w:hAnsi="Arial" w:cs="Arial"/>
                <w:color w:val="000000" w:themeColor="text1"/>
                <w:sz w:val="16"/>
                <w:szCs w:val="16"/>
                <w:lang w:val="es-ES" w:eastAsia="es-ES"/>
              </w:rPr>
              <w:t xml:space="preserve">  </w:t>
            </w:r>
          </w:p>
        </w:tc>
      </w:tr>
      <w:tr w:rsidR="00EB0A4D" w:rsidRPr="00EB0A4D" w14:paraId="1A9CDD66" w14:textId="77777777" w:rsidTr="0642704E">
        <w:trPr>
          <w:trHeight w:val="300"/>
        </w:trPr>
        <w:tc>
          <w:tcPr>
            <w:tcW w:w="812" w:type="dxa"/>
            <w:vAlign w:val="center"/>
            <w:hideMark/>
          </w:tcPr>
          <w:p w14:paraId="4B150A1B"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31815C" w14:textId="77777777" w:rsidR="00EB0A4D" w:rsidRPr="00EB0A4D" w:rsidRDefault="00EB0A4D" w:rsidP="00EB0A4D">
            <w:pPr>
              <w:spacing w:line="276" w:lineRule="auto"/>
              <w:rPr>
                <w:rFonts w:ascii="Arial" w:eastAsia="Calibri" w:hAnsi="Arial" w:cs="Arial"/>
                <w:sz w:val="16"/>
                <w:szCs w:val="16"/>
                <w:lang w:val="es-ES_tradnl" w:eastAsia="es-ES"/>
              </w:rPr>
            </w:pPr>
            <w:r w:rsidRPr="00EB0A4D">
              <w:rPr>
                <w:rFonts w:ascii="Arial" w:eastAsia="Calibri" w:hAnsi="Arial" w:cs="Arial"/>
                <w:sz w:val="16"/>
                <w:szCs w:val="16"/>
                <w:lang w:val="es-ES_tradnl" w:eastAsia="es-ES"/>
              </w:rPr>
              <w:t>Nohelia del Carmen Zawady Palacio</w:t>
            </w:r>
          </w:p>
          <w:p w14:paraId="633C47D7" w14:textId="77777777" w:rsidR="00EB0A4D" w:rsidRPr="00EB0A4D" w:rsidRDefault="00EB0A4D" w:rsidP="00EB0A4D">
            <w:pPr>
              <w:spacing w:line="276" w:lineRule="auto"/>
              <w:rPr>
                <w:rFonts w:ascii="Arial" w:eastAsia="Times New Roman" w:hAnsi="Arial" w:cs="Arial"/>
                <w:sz w:val="16"/>
                <w:szCs w:val="16"/>
                <w:lang w:eastAsia="es-ES"/>
              </w:rPr>
            </w:pPr>
            <w:r w:rsidRPr="00EB0A4D">
              <w:rPr>
                <w:rFonts w:ascii="Arial" w:eastAsia="Calibri" w:hAnsi="Arial" w:cs="Arial"/>
                <w:sz w:val="16"/>
                <w:szCs w:val="16"/>
                <w:lang w:val="es-ES_tradnl" w:eastAsia="es-ES"/>
              </w:rPr>
              <w:t>Subdirectora de Gestión Contractual</w:t>
            </w:r>
          </w:p>
        </w:tc>
      </w:tr>
    </w:tbl>
    <w:p w14:paraId="0F293BF4" w14:textId="0F6FB6C1" w:rsidR="00127233" w:rsidRPr="006219F8" w:rsidRDefault="00127233" w:rsidP="00182432">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9FD0B" w14:textId="77777777" w:rsidR="0076019C" w:rsidRDefault="0076019C" w:rsidP="004A1847">
      <w:pPr>
        <w:spacing w:after="0" w:line="240" w:lineRule="auto"/>
      </w:pPr>
      <w:r>
        <w:separator/>
      </w:r>
    </w:p>
  </w:endnote>
  <w:endnote w:type="continuationSeparator" w:id="0">
    <w:p w14:paraId="02C60B09" w14:textId="77777777" w:rsidR="0076019C" w:rsidRDefault="0076019C" w:rsidP="004A1847">
      <w:pPr>
        <w:spacing w:after="0" w:line="240" w:lineRule="auto"/>
      </w:pPr>
      <w:r>
        <w:continuationSeparator/>
      </w:r>
    </w:p>
  </w:endnote>
  <w:endnote w:type="continuationNotice" w:id="1">
    <w:p w14:paraId="1C36A0BF" w14:textId="77777777" w:rsidR="0076019C" w:rsidRDefault="007601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EB5E1" w14:textId="77777777" w:rsidR="0076019C" w:rsidRDefault="0076019C" w:rsidP="004A1847">
      <w:pPr>
        <w:spacing w:after="0" w:line="240" w:lineRule="auto"/>
      </w:pPr>
      <w:r>
        <w:separator/>
      </w:r>
    </w:p>
  </w:footnote>
  <w:footnote w:type="continuationSeparator" w:id="0">
    <w:p w14:paraId="3E92A54F" w14:textId="77777777" w:rsidR="0076019C" w:rsidRDefault="0076019C" w:rsidP="004A1847">
      <w:pPr>
        <w:spacing w:after="0" w:line="240" w:lineRule="auto"/>
      </w:pPr>
      <w:r>
        <w:continuationSeparator/>
      </w:r>
    </w:p>
  </w:footnote>
  <w:footnote w:type="continuationNotice" w:id="1">
    <w:p w14:paraId="1E9B0C62" w14:textId="77777777" w:rsidR="0076019C" w:rsidRDefault="0076019C">
      <w:pPr>
        <w:spacing w:after="0" w:line="240" w:lineRule="auto"/>
      </w:pPr>
    </w:p>
  </w:footnote>
  <w:footnote w:id="2">
    <w:p w14:paraId="01FDB97F" w14:textId="77777777" w:rsidR="00EB0A4D" w:rsidRPr="00DF3573" w:rsidRDefault="00EB0A4D" w:rsidP="00EB0A4D">
      <w:pPr>
        <w:pStyle w:val="Textonotapie"/>
        <w:ind w:firstLine="708"/>
        <w:jc w:val="both"/>
        <w:rPr>
          <w:rFonts w:ascii="Arial" w:hAnsi="Arial" w:cs="Arial"/>
          <w:sz w:val="12"/>
          <w:szCs w:val="12"/>
          <w:lang w:val="es-CO"/>
        </w:rPr>
      </w:pPr>
      <w:r w:rsidRPr="00DF3573">
        <w:rPr>
          <w:rStyle w:val="Refdenotaalpie"/>
          <w:rFonts w:ascii="Arial" w:hAnsi="Arial" w:cs="Arial"/>
          <w:sz w:val="12"/>
          <w:szCs w:val="12"/>
        </w:rPr>
        <w:footnoteRef/>
      </w:r>
      <w:r w:rsidRPr="00DF3573">
        <w:rPr>
          <w:rFonts w:ascii="Arial" w:hAnsi="Arial" w:cs="Arial"/>
          <w:sz w:val="12"/>
          <w:szCs w:val="12"/>
        </w:rPr>
        <w:t xml:space="preserve"> Colombia Compra Eficiente, también se pronunció sobre la Ley 996 de 2005 en los Conceptos C-074 del 17 de marzo de 2021, C-075 del 16 de marzo de 2021, C-227 de 2021 del 5 de mayo de 2021, C-259 del 2 de junio de 2021, C-296 del 22 de junio de 2021,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y C-098 del 9 de marzo de 2022.</w:t>
      </w:r>
    </w:p>
  </w:footnote>
  <w:footnote w:id="3">
    <w:p w14:paraId="7DC1E06D" w14:textId="77777777" w:rsidR="00EB0A4D" w:rsidRPr="00DF3573" w:rsidRDefault="00EB0A4D" w:rsidP="00EB0A4D">
      <w:pPr>
        <w:pStyle w:val="Textonotapie"/>
        <w:ind w:firstLine="709"/>
        <w:contextualSpacing/>
        <w:jc w:val="both"/>
        <w:rPr>
          <w:rFonts w:ascii="Arial" w:hAnsi="Arial" w:cs="Arial"/>
          <w:sz w:val="12"/>
          <w:szCs w:val="12"/>
        </w:rPr>
      </w:pPr>
    </w:p>
    <w:p w14:paraId="11CBA4A6" w14:textId="77777777" w:rsidR="00EB0A4D" w:rsidRPr="00DF3573" w:rsidRDefault="00EB0A4D" w:rsidP="00EB0A4D">
      <w:pPr>
        <w:pStyle w:val="Textonotapie"/>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C781FD6" w14:textId="77777777" w:rsidR="00EB0A4D" w:rsidRPr="00DF3573" w:rsidRDefault="00EB0A4D" w:rsidP="00EB0A4D">
      <w:pPr>
        <w:pStyle w:val="Textonotapie"/>
        <w:ind w:firstLine="709"/>
        <w:contextualSpacing/>
        <w:jc w:val="both"/>
        <w:rPr>
          <w:rFonts w:ascii="Arial" w:hAnsi="Arial" w:cs="Arial"/>
          <w:sz w:val="12"/>
          <w:szCs w:val="12"/>
        </w:rPr>
      </w:pPr>
    </w:p>
    <w:p w14:paraId="376A430A" w14:textId="77777777" w:rsidR="00EB0A4D" w:rsidRPr="00DF3573" w:rsidRDefault="00EB0A4D" w:rsidP="00EB0A4D">
      <w:pPr>
        <w:pStyle w:val="Textonotapie"/>
        <w:ind w:firstLine="709"/>
        <w:contextualSpacing/>
        <w:jc w:val="both"/>
        <w:rPr>
          <w:rFonts w:ascii="Arial" w:hAnsi="Arial" w:cs="Arial"/>
          <w:sz w:val="12"/>
          <w:szCs w:val="12"/>
        </w:rPr>
      </w:pPr>
      <w:r w:rsidRPr="00DF3573">
        <w:rPr>
          <w:rFonts w:ascii="Arial" w:hAnsi="Arial" w:cs="Arial"/>
          <w:sz w:val="12"/>
          <w:szCs w:val="12"/>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029A9880" w14:textId="77777777" w:rsidR="00EB0A4D" w:rsidRPr="00DF3573" w:rsidRDefault="00EB0A4D" w:rsidP="00EB0A4D">
      <w:pPr>
        <w:pStyle w:val="Textonotapie"/>
        <w:ind w:firstLine="709"/>
        <w:contextualSpacing/>
        <w:jc w:val="both"/>
        <w:rPr>
          <w:rFonts w:ascii="Arial" w:hAnsi="Arial" w:cs="Arial"/>
          <w:sz w:val="12"/>
          <w:szCs w:val="12"/>
        </w:rPr>
      </w:pPr>
    </w:p>
  </w:footnote>
  <w:footnote w:id="4">
    <w:p w14:paraId="7FD90D02" w14:textId="77777777" w:rsidR="00EB0A4D" w:rsidRPr="00DF3573" w:rsidRDefault="00EB0A4D" w:rsidP="00EB0A4D">
      <w:pPr>
        <w:pStyle w:val="Textonotapie"/>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Gaceta del Congreso de la República No. 71 del 2005.</w:t>
      </w:r>
    </w:p>
  </w:footnote>
  <w:footnote w:id="5">
    <w:p w14:paraId="44D513DE" w14:textId="77777777" w:rsidR="00EB0A4D" w:rsidRPr="00DF3573" w:rsidRDefault="00EB0A4D" w:rsidP="00EB0A4D">
      <w:pPr>
        <w:pStyle w:val="Textonotapie"/>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Corte Constitucional, Sentencia C- 1153 de 2005, M.P. Marco Gerardo Monroy Cabra.</w:t>
      </w:r>
    </w:p>
    <w:p w14:paraId="3D680C15" w14:textId="77777777" w:rsidR="00EB0A4D" w:rsidRPr="00DF3573" w:rsidRDefault="00EB0A4D" w:rsidP="00EB0A4D">
      <w:pPr>
        <w:pStyle w:val="Textonotapie"/>
        <w:ind w:firstLine="709"/>
        <w:contextualSpacing/>
        <w:jc w:val="both"/>
        <w:rPr>
          <w:rFonts w:ascii="Arial" w:hAnsi="Arial" w:cs="Arial"/>
          <w:sz w:val="12"/>
          <w:szCs w:val="12"/>
        </w:rPr>
      </w:pPr>
    </w:p>
  </w:footnote>
  <w:footnote w:id="6">
    <w:p w14:paraId="5BA452B3" w14:textId="77777777" w:rsidR="00EB0A4D" w:rsidRPr="00DF3573" w:rsidRDefault="00EB0A4D" w:rsidP="00EB0A4D">
      <w:pPr>
        <w:pStyle w:val="Textonotapie"/>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A058B65" w14:textId="77777777" w:rsidR="00EB0A4D" w:rsidRPr="00DF3573" w:rsidRDefault="00EB0A4D" w:rsidP="00EB0A4D">
      <w:pPr>
        <w:pStyle w:val="Textonotapie"/>
        <w:ind w:firstLine="709"/>
        <w:contextualSpacing/>
        <w:jc w:val="both"/>
        <w:rPr>
          <w:rFonts w:ascii="Arial" w:hAnsi="Arial" w:cs="Arial"/>
          <w:sz w:val="12"/>
          <w:szCs w:val="12"/>
        </w:rPr>
      </w:pPr>
    </w:p>
  </w:footnote>
  <w:footnote w:id="7">
    <w:p w14:paraId="51C190E2" w14:textId="77777777" w:rsidR="00EB0A4D" w:rsidRPr="00DF3573" w:rsidRDefault="00EB0A4D" w:rsidP="00EB0A4D">
      <w:pPr>
        <w:pStyle w:val="Textonotapie"/>
        <w:ind w:firstLine="709"/>
        <w:contextualSpacing/>
        <w:jc w:val="both"/>
        <w:rPr>
          <w:rFonts w:ascii="Arial" w:hAnsi="Arial" w:cs="Arial"/>
          <w:sz w:val="12"/>
          <w:szCs w:val="12"/>
          <w:lang w:val="es-CO"/>
        </w:rPr>
      </w:pPr>
      <w:r w:rsidRPr="00DF3573">
        <w:rPr>
          <w:rStyle w:val="Refdenotaalpie"/>
          <w:rFonts w:ascii="Arial" w:hAnsi="Arial" w:cs="Arial"/>
          <w:sz w:val="12"/>
          <w:szCs w:val="12"/>
        </w:rPr>
        <w:footnoteRef/>
      </w:r>
      <w:r w:rsidRPr="00DF3573">
        <w:rPr>
          <w:rFonts w:ascii="Arial" w:hAnsi="Arial" w:cs="Arial"/>
          <w:sz w:val="12"/>
          <w:szCs w:val="12"/>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09E01D39" w14:textId="77777777" w:rsidR="00EB0A4D" w:rsidRPr="00DF3573" w:rsidRDefault="00EB0A4D" w:rsidP="00EB0A4D">
      <w:pPr>
        <w:pStyle w:val="Textonotapie"/>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Consejo de Estado, Sala de Consulta y Servicio Civil de fecha 24 de julio de 2013, radicado 2166, Consejero Ponente: Álvaro Namén Vargas. </w:t>
      </w:r>
    </w:p>
    <w:p w14:paraId="75CDD57E" w14:textId="77777777" w:rsidR="00EB0A4D" w:rsidRPr="00DF3573" w:rsidRDefault="00EB0A4D" w:rsidP="00EB0A4D">
      <w:pPr>
        <w:pStyle w:val="Textonotapie"/>
        <w:ind w:firstLine="709"/>
        <w:contextualSpacing/>
        <w:jc w:val="both"/>
        <w:rPr>
          <w:rFonts w:ascii="Arial" w:hAnsi="Arial" w:cs="Arial"/>
          <w:sz w:val="12"/>
          <w:szCs w:val="12"/>
        </w:rPr>
      </w:pPr>
      <w:r w:rsidRPr="00DF3573">
        <w:rPr>
          <w:rFonts w:ascii="Arial" w:hAnsi="Arial" w:cs="Arial"/>
          <w:sz w:val="12"/>
          <w:szCs w:val="12"/>
        </w:rPr>
        <w:t xml:space="preserve"> </w:t>
      </w:r>
    </w:p>
  </w:footnote>
  <w:footnote w:id="9">
    <w:p w14:paraId="74842F0B" w14:textId="77777777" w:rsidR="00EB0A4D" w:rsidRPr="00DF3573" w:rsidRDefault="00EB0A4D" w:rsidP="00EB0A4D">
      <w:pPr>
        <w:spacing w:line="240" w:lineRule="auto"/>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w:t>
      </w:r>
      <w:bookmarkStart w:id="5" w:name="33"/>
      <w:r w:rsidRPr="00DF3573">
        <w:rPr>
          <w:rFonts w:ascii="Arial" w:eastAsia="Calibri" w:hAnsi="Arial" w:cs="Arial"/>
          <w:color w:val="000000"/>
          <w:sz w:val="12"/>
          <w:szCs w:val="12"/>
        </w:rPr>
        <w:t>“</w:t>
      </w:r>
      <w:r w:rsidRPr="00DF3573">
        <w:rPr>
          <w:rFonts w:ascii="Arial" w:hAnsi="Arial" w:cs="Arial"/>
          <w:sz w:val="12"/>
          <w:szCs w:val="12"/>
        </w:rPr>
        <w:t>Artículo 33. Restricciones a la contratación pública.</w:t>
      </w:r>
      <w:bookmarkEnd w:id="5"/>
      <w:r w:rsidRPr="00DF3573">
        <w:rPr>
          <w:rFonts w:ascii="Arial" w:hAnsi="Arial" w:cs="Arial"/>
          <w:sz w:val="12"/>
          <w:szCs w:val="12"/>
        </w:rPr>
        <w:t> Durante los cuatro (4) meses anteriores a la elección presidencial y hasta la realización de la elección en la segunda vuelta, si fuere el caso, queda prohibida la contratación directa por parte de todos los entes del Estado.</w:t>
      </w:r>
    </w:p>
    <w:p w14:paraId="0E0DA4F9" w14:textId="77777777" w:rsidR="00EB0A4D" w:rsidRPr="00DF3573" w:rsidRDefault="00EB0A4D" w:rsidP="00EB0A4D">
      <w:pPr>
        <w:spacing w:line="240" w:lineRule="auto"/>
        <w:ind w:firstLine="709"/>
        <w:contextualSpacing/>
        <w:jc w:val="both"/>
        <w:rPr>
          <w:rFonts w:ascii="Arial" w:hAnsi="Arial" w:cs="Arial"/>
          <w:sz w:val="12"/>
          <w:szCs w:val="12"/>
        </w:rPr>
      </w:pPr>
    </w:p>
    <w:p w14:paraId="3C7E8E31" w14:textId="77777777" w:rsidR="00EB0A4D" w:rsidRPr="00DF3573" w:rsidRDefault="00EB0A4D" w:rsidP="00EB0A4D">
      <w:pPr>
        <w:spacing w:after="0" w:line="240" w:lineRule="auto"/>
        <w:ind w:firstLine="709"/>
        <w:contextualSpacing/>
        <w:jc w:val="both"/>
        <w:rPr>
          <w:rFonts w:ascii="Arial" w:hAnsi="Arial" w:cs="Arial"/>
          <w:sz w:val="12"/>
          <w:szCs w:val="12"/>
        </w:rPr>
      </w:pPr>
      <w:r w:rsidRPr="00DF3573">
        <w:rPr>
          <w:rFonts w:ascii="Arial" w:hAnsi="Arial" w:cs="Arial"/>
          <w:sz w:val="12"/>
          <w:szCs w:val="12"/>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w:t>
      </w:r>
    </w:p>
  </w:footnote>
  <w:footnote w:id="10">
    <w:p w14:paraId="5E21CE4F" w14:textId="77777777" w:rsidR="00EB0A4D" w:rsidRPr="00DF3573" w:rsidRDefault="00EB0A4D" w:rsidP="00EB0A4D">
      <w:pPr>
        <w:pStyle w:val="NormalWeb"/>
        <w:spacing w:after="0" w:line="240" w:lineRule="auto"/>
        <w:ind w:firstLine="709"/>
        <w:contextualSpacing/>
        <w:rPr>
          <w:rFonts w:ascii="Arial" w:hAnsi="Arial" w:cs="Arial"/>
          <w:sz w:val="12"/>
          <w:szCs w:val="12"/>
        </w:rPr>
      </w:pPr>
    </w:p>
    <w:p w14:paraId="51F484BD" w14:textId="77777777" w:rsidR="00EB0A4D" w:rsidRPr="00DF3573" w:rsidRDefault="00EB0A4D" w:rsidP="00EB0A4D">
      <w:pPr>
        <w:pStyle w:val="NormalWeb"/>
        <w:spacing w:after="0" w:line="240" w:lineRule="auto"/>
        <w:ind w:firstLine="709"/>
        <w:contextualSpacing/>
        <w:rPr>
          <w:rFonts w:ascii="Arial" w:hAnsi="Arial" w:cs="Arial"/>
          <w:sz w:val="12"/>
          <w:szCs w:val="12"/>
          <w:lang w:val="es-MX"/>
        </w:rPr>
      </w:pPr>
      <w:r w:rsidRPr="00DF3573">
        <w:rPr>
          <w:rStyle w:val="Refdenotaalpie"/>
          <w:rFonts w:ascii="Arial" w:hAnsi="Arial" w:cs="Arial"/>
          <w:sz w:val="12"/>
          <w:szCs w:val="12"/>
        </w:rPr>
        <w:footnoteRef/>
      </w:r>
      <w:r w:rsidRPr="00DF3573">
        <w:rPr>
          <w:rFonts w:ascii="Arial" w:hAnsi="Arial" w:cs="Arial"/>
          <w:sz w:val="12"/>
          <w:szCs w:val="12"/>
        </w:rPr>
        <w:t xml:space="preserve"> </w:t>
      </w:r>
      <w:bookmarkStart w:id="6" w:name="38"/>
      <w:r w:rsidRPr="00DF3573">
        <w:rPr>
          <w:rFonts w:ascii="Arial" w:eastAsia="Calibri" w:hAnsi="Arial" w:cs="Arial"/>
          <w:color w:val="000000"/>
          <w:sz w:val="12"/>
          <w:szCs w:val="12"/>
        </w:rPr>
        <w:t>“</w:t>
      </w:r>
      <w:r w:rsidRPr="00DF3573">
        <w:rPr>
          <w:rFonts w:ascii="Arial" w:hAnsi="Arial" w:cs="Arial"/>
          <w:sz w:val="12"/>
          <w:szCs w:val="12"/>
          <w:lang w:val="es-MX"/>
        </w:rPr>
        <w:t>Artículo 38. Prohibiciones para los servidores públicos. A los empleados del Estado les está prohibido:</w:t>
      </w:r>
      <w:bookmarkEnd w:id="6"/>
    </w:p>
    <w:p w14:paraId="2C9530E9" w14:textId="77777777" w:rsidR="00EB0A4D" w:rsidRPr="00DF3573" w:rsidRDefault="00EB0A4D" w:rsidP="00EB0A4D">
      <w:pPr>
        <w:pStyle w:val="NormalWeb"/>
        <w:spacing w:after="0" w:line="240" w:lineRule="auto"/>
        <w:ind w:firstLine="709"/>
        <w:contextualSpacing/>
        <w:rPr>
          <w:rFonts w:ascii="Arial" w:hAnsi="Arial" w:cs="Arial"/>
          <w:sz w:val="12"/>
          <w:szCs w:val="12"/>
          <w:lang w:val="es-MX"/>
        </w:rPr>
      </w:pPr>
      <w:r w:rsidRPr="00DF3573">
        <w:rPr>
          <w:rFonts w:ascii="Arial" w:hAnsi="Arial" w:cs="Arial"/>
          <w:sz w:val="12"/>
          <w:szCs w:val="12"/>
          <w:lang w:val="es-MX"/>
        </w:rPr>
        <w:t>[…]</w:t>
      </w:r>
    </w:p>
    <w:p w14:paraId="728223D9" w14:textId="77777777" w:rsidR="00EB0A4D" w:rsidRPr="00DF3573" w:rsidRDefault="00EB0A4D" w:rsidP="00EB0A4D">
      <w:pPr>
        <w:pStyle w:val="NormalWeb"/>
        <w:spacing w:after="0" w:line="240" w:lineRule="auto"/>
        <w:ind w:firstLine="709"/>
        <w:contextualSpacing/>
        <w:rPr>
          <w:rFonts w:ascii="Arial" w:eastAsia="Calibri" w:hAnsi="Arial" w:cs="Arial"/>
          <w:color w:val="000000"/>
          <w:sz w:val="12"/>
          <w:szCs w:val="12"/>
        </w:rPr>
      </w:pPr>
      <w:r w:rsidRPr="00DF3573">
        <w:rPr>
          <w:rStyle w:val="baj"/>
          <w:rFonts w:ascii="Arial" w:hAnsi="Arial" w:cs="Arial"/>
          <w:sz w:val="12"/>
          <w:szCs w:val="12"/>
          <w:lang w:val="es-MX"/>
        </w:rPr>
        <w:t>Parágrafo.</w:t>
      </w:r>
      <w:r w:rsidRPr="00DF3573">
        <w:rPr>
          <w:rFonts w:ascii="Arial" w:hAnsi="Arial" w:cs="Arial"/>
          <w:sz w:val="12"/>
          <w:szCs w:val="12"/>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F3573">
        <w:rPr>
          <w:rFonts w:ascii="Arial" w:eastAsia="Calibri" w:hAnsi="Arial" w:cs="Arial"/>
          <w:color w:val="000000"/>
          <w:sz w:val="12"/>
          <w:szCs w:val="12"/>
        </w:rPr>
        <w:t>”.</w:t>
      </w:r>
    </w:p>
    <w:p w14:paraId="05A6276F" w14:textId="77777777" w:rsidR="00EB0A4D" w:rsidRPr="00DF3573" w:rsidRDefault="00EB0A4D" w:rsidP="00EB0A4D">
      <w:pPr>
        <w:pStyle w:val="NormalWeb"/>
        <w:spacing w:after="0" w:line="240" w:lineRule="auto"/>
        <w:ind w:firstLine="709"/>
        <w:contextualSpacing/>
        <w:rPr>
          <w:rFonts w:ascii="Arial" w:hAnsi="Arial" w:cs="Arial"/>
          <w:sz w:val="12"/>
          <w:szCs w:val="12"/>
          <w:lang w:val="es-MX"/>
        </w:rPr>
      </w:pPr>
    </w:p>
  </w:footnote>
  <w:footnote w:id="11">
    <w:p w14:paraId="52437A81" w14:textId="77777777" w:rsidR="00EB0A4D" w:rsidRPr="00DF3573" w:rsidRDefault="00EB0A4D" w:rsidP="00EB0A4D">
      <w:pPr>
        <w:spacing w:line="240" w:lineRule="auto"/>
        <w:ind w:left="100" w:right="244" w:firstLine="709"/>
        <w:contextualSpacing/>
        <w:jc w:val="both"/>
        <w:rPr>
          <w:rFonts w:ascii="Arial" w:hAnsi="Arial" w:cs="Arial"/>
          <w:sz w:val="12"/>
          <w:szCs w:val="12"/>
          <w:lang w:val="es-ES"/>
        </w:rPr>
      </w:pPr>
      <w:r w:rsidRPr="00DF3573">
        <w:rPr>
          <w:rStyle w:val="Refdenotaalpie"/>
          <w:rFonts w:ascii="Arial" w:hAnsi="Arial" w:cs="Arial"/>
          <w:sz w:val="12"/>
          <w:szCs w:val="12"/>
        </w:rPr>
        <w:footnoteRef/>
      </w:r>
      <w:r w:rsidRPr="00DF3573">
        <w:rPr>
          <w:rFonts w:ascii="Arial" w:hAnsi="Arial" w:cs="Arial"/>
          <w:sz w:val="12"/>
          <w:szCs w:val="12"/>
        </w:rPr>
        <w:t xml:space="preserve"> Consejo de Estado. Sala de Consulta y Servicio Civil. Concepto del 17 de febrero de 2015. C.P. William Zambrano Cetina. Radicación No. 11001-03-06-000-2015-00164-00(2269).</w:t>
      </w:r>
    </w:p>
  </w:footnote>
  <w:footnote w:id="12">
    <w:p w14:paraId="01BF9503" w14:textId="77777777" w:rsidR="00EB0A4D" w:rsidRPr="00DF3573" w:rsidRDefault="00EB0A4D" w:rsidP="00EB0A4D">
      <w:pPr>
        <w:pStyle w:val="Textonotapie"/>
        <w:ind w:right="51"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w:t>
      </w:r>
      <w:r w:rsidRPr="00DF3573">
        <w:rPr>
          <w:rFonts w:ascii="Arial" w:hAnsi="Arial" w:cs="Arial"/>
          <w:sz w:val="12"/>
          <w:szCs w:val="12"/>
          <w:lang w:val="es-ES"/>
        </w:rPr>
        <w:t xml:space="preserve">[25] </w:t>
      </w:r>
      <w:r w:rsidRPr="00DF3573">
        <w:rPr>
          <w:rFonts w:ascii="Arial" w:hAnsi="Arial" w:cs="Arial"/>
          <w:sz w:val="12"/>
          <w:szCs w:val="12"/>
        </w:rPr>
        <w:t>Cfr. Consejo de Estado. Sección Tercera. Sentencia de 3 de diciembre de 2007. Radicados: 24.715, 25.206, 25.409, 24.524, 27.834, 25.410, 26.105, 28.244, 31.447 -acumulados-”.</w:t>
      </w:r>
    </w:p>
  </w:footnote>
  <w:footnote w:id="13">
    <w:p w14:paraId="2DC44804" w14:textId="77777777" w:rsidR="00EB0A4D" w:rsidRPr="00DF3573" w:rsidRDefault="00EB0A4D" w:rsidP="00EB0A4D">
      <w:pPr>
        <w:pStyle w:val="Textonotapie"/>
        <w:ind w:right="51" w:firstLine="709"/>
        <w:contextualSpacing/>
        <w:jc w:val="both"/>
        <w:rPr>
          <w:rFonts w:ascii="Arial" w:hAnsi="Arial" w:cs="Arial"/>
          <w:sz w:val="12"/>
          <w:szCs w:val="12"/>
        </w:rPr>
      </w:pPr>
    </w:p>
    <w:p w14:paraId="5E0B9693" w14:textId="77777777" w:rsidR="00EB0A4D" w:rsidRPr="00DF3573" w:rsidRDefault="00EB0A4D" w:rsidP="00EB0A4D">
      <w:pPr>
        <w:pStyle w:val="Textonotapie"/>
        <w:ind w:right="51"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w:t>
      </w:r>
      <w:bookmarkStart w:id="10" w:name="_Hlk74294506"/>
      <w:r w:rsidRPr="00DF3573">
        <w:rPr>
          <w:rFonts w:ascii="Arial" w:hAnsi="Arial" w:cs="Arial"/>
          <w:sz w:val="12"/>
          <w:szCs w:val="12"/>
        </w:rPr>
        <w:t>“</w:t>
      </w:r>
      <w:r w:rsidRPr="00DF3573">
        <w:rPr>
          <w:rFonts w:ascii="Arial" w:hAnsi="Arial" w:cs="Arial"/>
          <w:sz w:val="12"/>
          <w:szCs w:val="12"/>
          <w:lang w:val="es-ES"/>
        </w:rPr>
        <w:t xml:space="preserve">[26] </w:t>
      </w:r>
      <w:bookmarkEnd w:id="10"/>
      <w:r w:rsidRPr="00DF3573">
        <w:rPr>
          <w:rFonts w:ascii="Arial" w:hAnsi="Arial" w:cs="Arial"/>
          <w:sz w:val="12"/>
          <w:szCs w:val="12"/>
        </w:rPr>
        <w:t>Al respecto ver el concepto 1712 de 2 de febrero de 2006. Consejo de Estado Sala de Consulta y Servicio Civil”.</w:t>
      </w:r>
    </w:p>
    <w:p w14:paraId="7D9C5D11" w14:textId="77777777" w:rsidR="00EB0A4D" w:rsidRPr="00DF3573" w:rsidRDefault="00EB0A4D" w:rsidP="00EB0A4D">
      <w:pPr>
        <w:pStyle w:val="Textonotapie"/>
        <w:ind w:right="51" w:firstLine="709"/>
        <w:contextualSpacing/>
        <w:jc w:val="both"/>
        <w:rPr>
          <w:rFonts w:ascii="Arial" w:hAnsi="Arial" w:cs="Arial"/>
          <w:sz w:val="12"/>
          <w:szCs w:val="12"/>
        </w:rPr>
      </w:pPr>
    </w:p>
  </w:footnote>
  <w:footnote w:id="14">
    <w:p w14:paraId="72AB42F1" w14:textId="77777777" w:rsidR="00EB0A4D" w:rsidRPr="00DF3573" w:rsidRDefault="00EB0A4D" w:rsidP="00EB0A4D">
      <w:pPr>
        <w:pStyle w:val="Textonotapie"/>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Consejo de Estado. Sala de Consulta y Servicio Civil. Concepto del 2 de septiembre de 2013. Radicación número: 11001-03-06-000-2013-00412-00 (2168). Consejero Ponente: Álvaro Namén Vargas.</w:t>
      </w:r>
    </w:p>
  </w:footnote>
  <w:footnote w:id="15">
    <w:p w14:paraId="2F341BCD" w14:textId="77777777" w:rsidR="00EB0A4D" w:rsidRPr="00DF3573" w:rsidRDefault="00EB0A4D" w:rsidP="00EB0A4D">
      <w:pPr>
        <w:pStyle w:val="Textonotapie"/>
        <w:ind w:firstLine="709"/>
        <w:contextualSpacing/>
        <w:jc w:val="both"/>
        <w:rPr>
          <w:rFonts w:ascii="Arial" w:hAnsi="Arial" w:cs="Arial"/>
          <w:sz w:val="12"/>
          <w:szCs w:val="12"/>
          <w:lang w:val="es-ES"/>
        </w:rPr>
      </w:pPr>
      <w:r w:rsidRPr="00DF3573">
        <w:rPr>
          <w:rStyle w:val="Refdenotaalpie"/>
          <w:rFonts w:ascii="Arial" w:hAnsi="Arial" w:cs="Arial"/>
          <w:sz w:val="12"/>
          <w:szCs w:val="12"/>
        </w:rPr>
        <w:footnoteRef/>
      </w:r>
      <w:r w:rsidRPr="00DF3573">
        <w:rPr>
          <w:rFonts w:ascii="Arial" w:hAnsi="Arial" w:cs="Arial"/>
          <w:sz w:val="12"/>
          <w:szCs w:val="12"/>
        </w:rPr>
        <w:t xml:space="preserve"> </w:t>
      </w:r>
      <w:r w:rsidRPr="00DF3573">
        <w:rPr>
          <w:rFonts w:ascii="Arial" w:hAnsi="Arial" w:cs="Arial"/>
          <w:sz w:val="12"/>
          <w:szCs w:val="12"/>
          <w:lang w:val="es-ES"/>
        </w:rPr>
        <w:t>Artículo 2.</w:t>
      </w:r>
    </w:p>
    <w:p w14:paraId="7D1B51E0" w14:textId="77777777" w:rsidR="00EB0A4D" w:rsidRPr="00DF3573" w:rsidRDefault="00EB0A4D" w:rsidP="00EB0A4D">
      <w:pPr>
        <w:pStyle w:val="Textonotapie"/>
        <w:ind w:firstLine="709"/>
        <w:contextualSpacing/>
        <w:jc w:val="both"/>
        <w:rPr>
          <w:rFonts w:ascii="Arial" w:hAnsi="Arial" w:cs="Arial"/>
          <w:sz w:val="12"/>
          <w:szCs w:val="12"/>
          <w:lang w:val="es-ES"/>
        </w:rPr>
      </w:pPr>
      <w:r w:rsidRPr="00DF3573">
        <w:rPr>
          <w:rFonts w:ascii="Arial" w:hAnsi="Arial" w:cs="Arial"/>
          <w:sz w:val="12"/>
          <w:szCs w:val="12"/>
          <w:lang w:val="es-ES"/>
        </w:rPr>
        <w:t xml:space="preserve"> </w:t>
      </w:r>
    </w:p>
  </w:footnote>
  <w:footnote w:id="16">
    <w:p w14:paraId="1C20E661" w14:textId="77777777" w:rsidR="00EB0A4D" w:rsidRPr="00DF3573" w:rsidRDefault="00EB0A4D" w:rsidP="00EB0A4D">
      <w:pPr>
        <w:pStyle w:val="Textonotapie"/>
        <w:ind w:firstLine="709"/>
        <w:contextualSpacing/>
        <w:jc w:val="both"/>
        <w:rPr>
          <w:rFonts w:ascii="Arial" w:hAnsi="Arial" w:cs="Arial"/>
          <w:sz w:val="12"/>
          <w:szCs w:val="12"/>
          <w:lang w:val="es-ES"/>
        </w:rPr>
      </w:pPr>
      <w:r w:rsidRPr="00DF3573">
        <w:rPr>
          <w:rStyle w:val="Refdenotaalpie"/>
          <w:rFonts w:ascii="Arial" w:hAnsi="Arial" w:cs="Arial"/>
          <w:sz w:val="12"/>
          <w:szCs w:val="12"/>
        </w:rPr>
        <w:footnoteRef/>
      </w:r>
      <w:r w:rsidRPr="00DF3573">
        <w:rPr>
          <w:rFonts w:ascii="Arial" w:hAnsi="Arial" w:cs="Arial"/>
          <w:sz w:val="12"/>
          <w:szCs w:val="12"/>
        </w:rPr>
        <w:t xml:space="preserve"> </w:t>
      </w:r>
      <w:r w:rsidRPr="00DF3573">
        <w:rPr>
          <w:rFonts w:ascii="Arial" w:hAnsi="Arial" w:cs="Arial"/>
          <w:i/>
          <w:sz w:val="12"/>
          <w:szCs w:val="12"/>
          <w:lang w:val="es-ES"/>
        </w:rPr>
        <w:t>Ídem</w:t>
      </w:r>
      <w:r w:rsidRPr="00DF3573">
        <w:rPr>
          <w:rFonts w:ascii="Arial" w:hAnsi="Arial" w:cs="Arial"/>
          <w:sz w:val="12"/>
          <w:szCs w:val="12"/>
          <w:lang w:val="es-ES"/>
        </w:rPr>
        <w:t>.</w:t>
      </w:r>
    </w:p>
    <w:p w14:paraId="3532CF36" w14:textId="77777777" w:rsidR="00EB0A4D" w:rsidRPr="00DF3573" w:rsidRDefault="00EB0A4D" w:rsidP="00EB0A4D">
      <w:pPr>
        <w:pStyle w:val="Textonotapie"/>
        <w:ind w:firstLine="709"/>
        <w:contextualSpacing/>
        <w:jc w:val="both"/>
        <w:rPr>
          <w:rFonts w:ascii="Arial" w:hAnsi="Arial" w:cs="Arial"/>
          <w:sz w:val="12"/>
          <w:szCs w:val="12"/>
          <w:lang w:val="es-ES"/>
        </w:rPr>
      </w:pPr>
    </w:p>
  </w:footnote>
  <w:footnote w:id="17">
    <w:p w14:paraId="79441864" w14:textId="77777777" w:rsidR="00EB0A4D" w:rsidRPr="00DF3573" w:rsidRDefault="00EB0A4D" w:rsidP="00EB0A4D">
      <w:pPr>
        <w:pStyle w:val="Textonotapie"/>
        <w:ind w:firstLine="709"/>
        <w:contextualSpacing/>
        <w:jc w:val="both"/>
        <w:rPr>
          <w:rFonts w:ascii="Arial" w:hAnsi="Arial" w:cs="Arial"/>
          <w:sz w:val="12"/>
          <w:szCs w:val="12"/>
          <w:lang w:val="es-ES"/>
        </w:rPr>
      </w:pPr>
      <w:r w:rsidRPr="00DF3573">
        <w:rPr>
          <w:rStyle w:val="Refdenotaalpie"/>
          <w:rFonts w:ascii="Arial" w:hAnsi="Arial" w:cs="Arial"/>
          <w:sz w:val="12"/>
          <w:szCs w:val="12"/>
        </w:rPr>
        <w:footnoteRef/>
      </w:r>
      <w:r w:rsidRPr="00DF3573">
        <w:rPr>
          <w:rStyle w:val="Refdenotaalpie"/>
          <w:rFonts w:ascii="Arial" w:hAnsi="Arial" w:cs="Arial"/>
          <w:sz w:val="12"/>
          <w:szCs w:val="12"/>
        </w:rPr>
        <w:t xml:space="preserve"> </w:t>
      </w:r>
      <w:r w:rsidRPr="00DF3573">
        <w:rPr>
          <w:rFonts w:ascii="Arial" w:hAnsi="Arial" w:cs="Arial"/>
          <w:sz w:val="12"/>
          <w:szCs w:val="12"/>
          <w:lang w:val="es-ES"/>
        </w:rPr>
        <w:t>“[…] A este respecto, cabe recordar que el artículo 860 del Código de Comercio regula la licitación en el derecho privado”.</w:t>
      </w:r>
    </w:p>
    <w:p w14:paraId="4468A2FF" w14:textId="77777777" w:rsidR="00EB0A4D" w:rsidRPr="00DF3573" w:rsidRDefault="00EB0A4D" w:rsidP="00EB0A4D">
      <w:pPr>
        <w:pStyle w:val="Textonotapie"/>
        <w:ind w:firstLine="709"/>
        <w:contextualSpacing/>
        <w:jc w:val="both"/>
        <w:rPr>
          <w:rFonts w:ascii="Arial" w:hAnsi="Arial" w:cs="Arial"/>
          <w:sz w:val="12"/>
          <w:szCs w:val="12"/>
          <w:lang w:val="es-ES"/>
        </w:rPr>
      </w:pPr>
      <w:r w:rsidRPr="00DF3573">
        <w:rPr>
          <w:rFonts w:ascii="Arial" w:hAnsi="Arial" w:cs="Arial"/>
          <w:sz w:val="12"/>
          <w:szCs w:val="12"/>
          <w:lang w:val="es-ES"/>
        </w:rPr>
        <w:t xml:space="preserve"> </w:t>
      </w:r>
    </w:p>
  </w:footnote>
  <w:footnote w:id="18">
    <w:p w14:paraId="7D41F569" w14:textId="77777777" w:rsidR="00EB0A4D" w:rsidRPr="00DF3573" w:rsidRDefault="00EB0A4D" w:rsidP="00EB0A4D">
      <w:pPr>
        <w:shd w:val="clear" w:color="auto" w:fill="FFFFFF"/>
        <w:spacing w:line="240" w:lineRule="auto"/>
        <w:ind w:firstLine="709"/>
        <w:contextualSpacing/>
        <w:jc w:val="both"/>
        <w:rPr>
          <w:rFonts w:ascii="Arial" w:hAnsi="Arial" w:cs="Arial"/>
          <w:sz w:val="12"/>
          <w:szCs w:val="12"/>
          <w:lang w:val="es-ES"/>
        </w:rPr>
      </w:pPr>
      <w:r w:rsidRPr="00DF3573">
        <w:rPr>
          <w:rStyle w:val="Refdenotaalpie"/>
          <w:rFonts w:ascii="Arial" w:hAnsi="Arial" w:cs="Arial"/>
          <w:sz w:val="12"/>
          <w:szCs w:val="12"/>
        </w:rPr>
        <w:footnoteRef/>
      </w:r>
      <w:r w:rsidRPr="00DF3573">
        <w:rPr>
          <w:rStyle w:val="Refdenotaalpie"/>
          <w:rFonts w:ascii="Arial" w:hAnsi="Arial" w:cs="Arial"/>
          <w:sz w:val="12"/>
          <w:szCs w:val="12"/>
        </w:rPr>
        <w:t xml:space="preserve"> </w:t>
      </w:r>
      <w:r w:rsidRPr="00DF3573">
        <w:rPr>
          <w:rFonts w:ascii="Arial" w:hAnsi="Arial" w:cs="Arial"/>
          <w:sz w:val="12"/>
          <w:szCs w:val="12"/>
          <w:lang w:val="es-ES"/>
        </w:rPr>
        <w:t>Consejo de Estado. Sala de Consulta y Servicio Civil, Concepto de 8 de mayo de 2018. Radicación Número: 11001-03-06-000-2018-00095-00(2382). Consejero Ponente: Álvaro Namén Vargas.</w:t>
      </w:r>
    </w:p>
  </w:footnote>
  <w:footnote w:id="19">
    <w:p w14:paraId="6670C91C" w14:textId="77777777" w:rsidR="00EB0A4D" w:rsidRPr="00DF3573" w:rsidRDefault="00EB0A4D" w:rsidP="00EB0A4D">
      <w:pPr>
        <w:pStyle w:val="Textonotapie"/>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Consejo de Estado. Sala de Consulta y Servicio Civil. Concepto del 08 de mayo de 2018. Exp. 2.382. C.P. Álvaro Namén Vargas.</w:t>
      </w:r>
    </w:p>
    <w:p w14:paraId="0FE01CB4" w14:textId="77777777" w:rsidR="00EB0A4D" w:rsidRPr="00DF3573" w:rsidRDefault="00EB0A4D" w:rsidP="00EB0A4D">
      <w:pPr>
        <w:pStyle w:val="Textonotapie"/>
        <w:ind w:firstLine="709"/>
        <w:contextualSpacing/>
        <w:jc w:val="both"/>
        <w:rPr>
          <w:rFonts w:ascii="Arial" w:hAnsi="Arial" w:cs="Arial"/>
          <w:sz w:val="12"/>
          <w:szCs w:val="12"/>
        </w:rPr>
      </w:pPr>
    </w:p>
  </w:footnote>
  <w:footnote w:id="20">
    <w:p w14:paraId="23B9DD97" w14:textId="77777777" w:rsidR="00EB0A4D" w:rsidRPr="00DF3573" w:rsidRDefault="00EB0A4D" w:rsidP="00EB0A4D">
      <w:pPr>
        <w:pStyle w:val="Textonotapie"/>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Consejo de Estado. Sala de Consulta y Servicio Civil. Concepto de 20 de febrero de2006. Radicación 11001-03-06-000-2006-00023-00(1724). Consejero Ponente: Flavio Augusto Rodríguez Arce.</w:t>
      </w:r>
    </w:p>
    <w:p w14:paraId="2C76A62D" w14:textId="77777777" w:rsidR="00EB0A4D" w:rsidRPr="00DF3573" w:rsidRDefault="00EB0A4D" w:rsidP="00EB0A4D">
      <w:pPr>
        <w:pStyle w:val="Textonotapie"/>
        <w:ind w:firstLine="709"/>
        <w:contextualSpacing/>
        <w:jc w:val="both"/>
        <w:rPr>
          <w:rFonts w:ascii="Arial" w:hAnsi="Arial" w:cs="Arial"/>
          <w:sz w:val="12"/>
          <w:szCs w:val="12"/>
        </w:rPr>
      </w:pPr>
    </w:p>
  </w:footnote>
  <w:footnote w:id="21">
    <w:p w14:paraId="5ED1C84A" w14:textId="77777777" w:rsidR="00EB0A4D" w:rsidRPr="00DF3573" w:rsidRDefault="00EB0A4D" w:rsidP="00EB0A4D">
      <w:pPr>
        <w:spacing w:line="240" w:lineRule="auto"/>
        <w:ind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0FDA4B6" w14:textId="77777777" w:rsidR="00EB0A4D" w:rsidRPr="00DF3573" w:rsidRDefault="00EB0A4D" w:rsidP="00EB0A4D">
      <w:pPr>
        <w:spacing w:line="240" w:lineRule="auto"/>
        <w:ind w:firstLine="709"/>
        <w:contextualSpacing/>
        <w:jc w:val="both"/>
        <w:rPr>
          <w:rFonts w:ascii="Arial" w:hAnsi="Arial" w:cs="Arial"/>
          <w:sz w:val="12"/>
          <w:szCs w:val="12"/>
        </w:rPr>
      </w:pPr>
    </w:p>
    <w:p w14:paraId="0DA4AE31" w14:textId="77777777" w:rsidR="00EB0A4D" w:rsidRPr="00DF3573" w:rsidRDefault="00EB0A4D" w:rsidP="00EB0A4D">
      <w:pPr>
        <w:spacing w:line="240" w:lineRule="auto"/>
        <w:ind w:firstLine="709"/>
        <w:contextualSpacing/>
        <w:jc w:val="both"/>
        <w:rPr>
          <w:rFonts w:ascii="Arial" w:hAnsi="Arial" w:cs="Arial"/>
          <w:sz w:val="12"/>
          <w:szCs w:val="12"/>
        </w:rPr>
      </w:pPr>
      <w:r w:rsidRPr="00DF3573">
        <w:rPr>
          <w:rFonts w:ascii="Arial" w:hAnsi="Arial" w:cs="Arial"/>
          <w:sz w:val="12"/>
          <w:szCs w:val="12"/>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DF3573">
        <w:rPr>
          <w:rFonts w:ascii="Arial" w:hAnsi="Arial" w:cs="Arial"/>
          <w:spacing w:val="-1"/>
          <w:sz w:val="12"/>
          <w:szCs w:val="12"/>
        </w:rPr>
        <w:t xml:space="preserve"> </w:t>
      </w:r>
      <w:r w:rsidRPr="00DF3573">
        <w:rPr>
          <w:rFonts w:ascii="Arial" w:hAnsi="Arial" w:cs="Arial"/>
          <w:sz w:val="12"/>
          <w:szCs w:val="12"/>
        </w:rPr>
        <w:t>Estatales”.</w:t>
      </w:r>
    </w:p>
    <w:p w14:paraId="01BB39A3" w14:textId="77777777" w:rsidR="00EB0A4D" w:rsidRPr="00DF3573" w:rsidRDefault="00EB0A4D" w:rsidP="00EB0A4D">
      <w:pPr>
        <w:spacing w:line="240" w:lineRule="auto"/>
        <w:ind w:firstLine="709"/>
        <w:contextualSpacing/>
        <w:jc w:val="both"/>
        <w:rPr>
          <w:rFonts w:ascii="Arial" w:hAnsi="Arial" w:cs="Arial"/>
          <w:sz w:val="12"/>
          <w:szCs w:val="12"/>
        </w:rPr>
      </w:pPr>
    </w:p>
  </w:footnote>
  <w:footnote w:id="22">
    <w:p w14:paraId="069EDFA9" w14:textId="77777777" w:rsidR="00EB0A4D" w:rsidRPr="00DF3573" w:rsidRDefault="00EB0A4D" w:rsidP="00EB0A4D">
      <w:pPr>
        <w:spacing w:line="240" w:lineRule="auto"/>
        <w:ind w:right="454" w:firstLine="709"/>
        <w:contextualSpacing/>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position w:val="7"/>
          <w:sz w:val="12"/>
          <w:szCs w:val="12"/>
        </w:rPr>
        <w:t xml:space="preserve"> </w:t>
      </w:r>
      <w:r w:rsidRPr="00DF3573">
        <w:rPr>
          <w:rFonts w:ascii="Arial" w:hAnsi="Arial" w:cs="Arial"/>
          <w:sz w:val="12"/>
          <w:szCs w:val="12"/>
        </w:rPr>
        <w:t>Consejo de Estado. Sección Tercera. Sentencia del 23 de junio de 2010. Radicación No. 66001-23-31-000-1998-00261-01(17.860). Consejero Ponente: Mauricio Fajardo Gómez.</w:t>
      </w:r>
    </w:p>
  </w:footnote>
  <w:footnote w:id="23">
    <w:p w14:paraId="17F707C7" w14:textId="77777777" w:rsidR="00EB0A4D" w:rsidRPr="00DF3573" w:rsidRDefault="00EB0A4D" w:rsidP="00EB0A4D">
      <w:pPr>
        <w:spacing w:after="0" w:line="240" w:lineRule="auto"/>
        <w:ind w:firstLine="709"/>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Consejo de Estado. Sección Tercera. Subsección C. Sentencia del 11 de diciembre de 2019. Exp. 46.986. C.P. Jaime Enrique Rodríguez Navas.</w:t>
      </w:r>
    </w:p>
    <w:p w14:paraId="7AF21C4C" w14:textId="77777777" w:rsidR="00EB0A4D" w:rsidRPr="00DF3573" w:rsidRDefault="00EB0A4D" w:rsidP="00EB0A4D">
      <w:pPr>
        <w:spacing w:after="0" w:line="240" w:lineRule="auto"/>
        <w:ind w:firstLine="709"/>
        <w:jc w:val="both"/>
        <w:rPr>
          <w:rFonts w:ascii="Arial" w:hAnsi="Arial" w:cs="Arial"/>
          <w:sz w:val="12"/>
          <w:szCs w:val="12"/>
        </w:rPr>
      </w:pPr>
    </w:p>
  </w:footnote>
  <w:footnote w:id="24">
    <w:p w14:paraId="35347759" w14:textId="77777777" w:rsidR="00EB0A4D" w:rsidRPr="00DF3573" w:rsidRDefault="00EB0A4D" w:rsidP="00EB0A4D">
      <w:pPr>
        <w:pStyle w:val="Textonotapie"/>
        <w:ind w:firstLine="709"/>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[Referencia propia de la cita] “CE. SCSC. Concepto de 1 de noviembre de 2016 [Rad. 11001-03-06-000-2016-00125-00(2305)]. MP. Germán Alberto Bula Escobar”.</w:t>
      </w:r>
    </w:p>
    <w:p w14:paraId="38D36A93" w14:textId="77777777" w:rsidR="00EB0A4D" w:rsidRPr="00DF3573" w:rsidRDefault="00EB0A4D" w:rsidP="00EB0A4D">
      <w:pPr>
        <w:pStyle w:val="Textonotapie"/>
        <w:ind w:firstLine="709"/>
        <w:jc w:val="both"/>
        <w:rPr>
          <w:rFonts w:ascii="Arial" w:hAnsi="Arial" w:cs="Arial"/>
          <w:sz w:val="12"/>
          <w:szCs w:val="12"/>
        </w:rPr>
      </w:pPr>
    </w:p>
  </w:footnote>
  <w:footnote w:id="25">
    <w:p w14:paraId="21AC49B1" w14:textId="77777777" w:rsidR="00EB0A4D" w:rsidRPr="00DF3573" w:rsidRDefault="00EB0A4D" w:rsidP="00EB0A4D">
      <w:pPr>
        <w:pStyle w:val="Textonotapie"/>
        <w:ind w:firstLine="709"/>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[Referencia propia de la cita] “CE. SCSC. Concepto de 30 de abril de 2008 [Rad. 11001-03-06-000-2008-00013-00(1881)]. MP. Enrique José Arboleda Perdomo. En esta oportunidad, la Sala indicó que el contenido </w:t>
      </w:r>
      <w:r w:rsidRPr="00DF3573">
        <w:rPr>
          <w:rFonts w:ascii="Arial" w:hAnsi="Arial" w:cs="Arial"/>
          <w:i/>
          <w:sz w:val="12"/>
          <w:szCs w:val="12"/>
        </w:rPr>
        <w:t>“obligacional”</w:t>
      </w:r>
      <w:r w:rsidRPr="00DF3573">
        <w:rPr>
          <w:rFonts w:ascii="Arial" w:hAnsi="Arial" w:cs="Arial"/>
          <w:sz w:val="12"/>
          <w:szCs w:val="12"/>
        </w:rPr>
        <w:t xml:space="preserve"> de los convenios se estructura definiendo el resultado querido por las partes y los medios que cada entidad despliega para la obtención del respectivo objeto”.</w:t>
      </w:r>
    </w:p>
  </w:footnote>
  <w:footnote w:id="26">
    <w:p w14:paraId="6993DF4B" w14:textId="77777777" w:rsidR="00EB0A4D" w:rsidRPr="00DF3573" w:rsidRDefault="00EB0A4D" w:rsidP="00EB0A4D">
      <w:pPr>
        <w:pStyle w:val="Textonotapie"/>
        <w:ind w:firstLine="709"/>
        <w:jc w:val="both"/>
        <w:rPr>
          <w:rFonts w:ascii="Arial" w:hAnsi="Arial" w:cs="Arial"/>
          <w:sz w:val="12"/>
          <w:szCs w:val="12"/>
        </w:rPr>
      </w:pPr>
    </w:p>
    <w:p w14:paraId="68EA31D6" w14:textId="77777777" w:rsidR="00EB0A4D" w:rsidRPr="00DF3573" w:rsidRDefault="00EB0A4D" w:rsidP="00EB0A4D">
      <w:pPr>
        <w:pStyle w:val="Textonotapie"/>
        <w:ind w:firstLine="709"/>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[Referencia propia de la cita] “La normativa vigente del EGCAP </w:t>
      </w:r>
      <w:r w:rsidRPr="00DF3573">
        <w:rPr>
          <w:rFonts w:ascii="Arial" w:hAnsi="Arial" w:cs="Arial"/>
          <w:i/>
          <w:sz w:val="12"/>
          <w:szCs w:val="12"/>
        </w:rPr>
        <w:t>[literal c) del numeral 4. del artículo 2 de la Ley 1150/07]</w:t>
      </w:r>
      <w:r w:rsidRPr="00DF3573">
        <w:rPr>
          <w:rFonts w:ascii="Arial" w:hAnsi="Arial" w:cs="Arial"/>
          <w:sz w:val="12"/>
          <w:szCs w:val="12"/>
        </w:rPr>
        <w:t xml:space="preserve"> se refiere a </w:t>
      </w:r>
      <w:r w:rsidRPr="00DF3573">
        <w:rPr>
          <w:rFonts w:ascii="Arial" w:hAnsi="Arial" w:cs="Arial"/>
          <w:i/>
          <w:sz w:val="12"/>
          <w:szCs w:val="12"/>
        </w:rPr>
        <w:t>“contratos interadministrativos”</w:t>
      </w:r>
      <w:r w:rsidRPr="00DF3573">
        <w:rPr>
          <w:rFonts w:ascii="Arial" w:hAnsi="Arial" w:cs="Arial"/>
          <w:sz w:val="12"/>
          <w:szCs w:val="12"/>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7B86C6AA" w14:textId="77777777" w:rsidR="00EB0A4D" w:rsidRPr="00DF3573" w:rsidRDefault="00EB0A4D" w:rsidP="00EB0A4D">
      <w:pPr>
        <w:pStyle w:val="Textonotapie"/>
        <w:ind w:firstLine="709"/>
        <w:jc w:val="both"/>
        <w:rPr>
          <w:rFonts w:ascii="Arial" w:hAnsi="Arial" w:cs="Arial"/>
          <w:sz w:val="12"/>
          <w:szCs w:val="12"/>
        </w:rPr>
      </w:pPr>
    </w:p>
  </w:footnote>
  <w:footnote w:id="27">
    <w:p w14:paraId="7C80657C" w14:textId="77777777" w:rsidR="00EB0A4D" w:rsidRPr="00DF3573" w:rsidRDefault="00EB0A4D" w:rsidP="00EB0A4D">
      <w:pPr>
        <w:pStyle w:val="Textonotapie"/>
        <w:ind w:firstLine="709"/>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64C23E74" w14:textId="77777777" w:rsidR="00EB0A4D" w:rsidRPr="00DF3573" w:rsidRDefault="00EB0A4D" w:rsidP="00EB0A4D">
      <w:pPr>
        <w:pStyle w:val="Textonotapie"/>
        <w:ind w:firstLine="709"/>
        <w:jc w:val="both"/>
        <w:rPr>
          <w:rFonts w:ascii="Arial" w:hAnsi="Arial" w:cs="Arial"/>
          <w:sz w:val="12"/>
          <w:szCs w:val="12"/>
        </w:rPr>
      </w:pPr>
    </w:p>
  </w:footnote>
  <w:footnote w:id="28">
    <w:p w14:paraId="0AE2E473" w14:textId="77777777" w:rsidR="00EB0A4D" w:rsidRPr="00DF3573" w:rsidRDefault="00EB0A4D" w:rsidP="00EB0A4D">
      <w:pPr>
        <w:pStyle w:val="Textonotapie"/>
        <w:ind w:firstLine="709"/>
        <w:jc w:val="both"/>
        <w:rPr>
          <w:rFonts w:ascii="Arial" w:hAnsi="Arial" w:cs="Arial"/>
          <w:sz w:val="12"/>
          <w:szCs w:val="12"/>
        </w:rPr>
      </w:pPr>
      <w:r w:rsidRPr="00DF3573">
        <w:rPr>
          <w:rStyle w:val="Refdenotaalpie"/>
          <w:rFonts w:ascii="Arial" w:hAnsi="Arial" w:cs="Arial"/>
          <w:sz w:val="12"/>
          <w:szCs w:val="12"/>
        </w:rPr>
        <w:footnoteRef/>
      </w:r>
      <w:r w:rsidRPr="00DF3573">
        <w:rPr>
          <w:rFonts w:ascii="Arial" w:hAnsi="Arial" w:cs="Arial"/>
          <w:sz w:val="12"/>
          <w:szCs w:val="12"/>
        </w:rPr>
        <w:t xml:space="preserve"> Es lo que sucede, por ejemplo, con el Decreto 092 de 2017, que en su desarrollo hace referencia tanto a los “contratos” como a los “convenios”. </w:t>
      </w:r>
    </w:p>
    <w:p w14:paraId="3D62D05E" w14:textId="77777777" w:rsidR="00EB0A4D" w:rsidRPr="00DF3573" w:rsidRDefault="00EB0A4D" w:rsidP="00EB0A4D">
      <w:pPr>
        <w:pStyle w:val="Textonotapie"/>
        <w:ind w:firstLine="709"/>
        <w:jc w:val="both"/>
        <w:rPr>
          <w:rFonts w:ascii="Arial" w:hAnsi="Arial" w:cs="Arial"/>
          <w:sz w:val="12"/>
          <w:szCs w:val="12"/>
          <w:lang w:val="es-CO"/>
        </w:rPr>
      </w:pPr>
    </w:p>
  </w:footnote>
  <w:footnote w:id="29">
    <w:p w14:paraId="12E06FA8" w14:textId="77777777" w:rsidR="00EB0A4D" w:rsidRPr="00911970" w:rsidRDefault="00EB0A4D" w:rsidP="00EB0A4D">
      <w:pPr>
        <w:pStyle w:val="Textonotapie"/>
        <w:ind w:firstLine="709"/>
        <w:jc w:val="both"/>
        <w:rPr>
          <w:rFonts w:ascii="Arial" w:hAnsi="Arial" w:cs="Arial"/>
          <w:sz w:val="19"/>
          <w:szCs w:val="19"/>
          <w:lang w:val="es-CO"/>
        </w:rPr>
      </w:pPr>
      <w:r w:rsidRPr="00DF3573">
        <w:rPr>
          <w:rStyle w:val="Refdenotaalpie"/>
          <w:rFonts w:ascii="Arial" w:hAnsi="Arial" w:cs="Arial"/>
          <w:sz w:val="12"/>
          <w:szCs w:val="12"/>
        </w:rPr>
        <w:footnoteRef/>
      </w:r>
      <w:r w:rsidRPr="00DF3573">
        <w:rPr>
          <w:rFonts w:ascii="Arial" w:hAnsi="Arial" w:cs="Arial"/>
          <w:sz w:val="12"/>
          <w:szCs w:val="12"/>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0">
    <w:p w14:paraId="47283AC6" w14:textId="77777777" w:rsidR="00EB0A4D" w:rsidRPr="00CB149C" w:rsidRDefault="00EB0A4D" w:rsidP="00EB0A4D">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Sobre esta norma, consultar los conceptos del 8 de octubre de 2019, con radicado No. 2201913000007532, y del 20 de diciembre de 2019, con radicado No. 4201913000008240.</w:t>
      </w:r>
    </w:p>
  </w:footnote>
  <w:footnote w:id="31">
    <w:p w14:paraId="6D63A75A" w14:textId="77777777" w:rsidR="00EB0A4D" w:rsidRPr="00CB149C" w:rsidRDefault="00EB0A4D" w:rsidP="00EB0A4D">
      <w:pPr>
        <w:pStyle w:val="Textonotapie"/>
        <w:ind w:firstLine="708"/>
        <w:rPr>
          <w:rFonts w:ascii="Arial" w:hAnsi="Arial" w:cs="Arial"/>
          <w:sz w:val="16"/>
          <w:szCs w:val="16"/>
        </w:rPr>
      </w:pPr>
      <w:r w:rsidRPr="00CB149C">
        <w:rPr>
          <w:rStyle w:val="Refdenotaalpie"/>
          <w:sz w:val="16"/>
          <w:szCs w:val="16"/>
        </w:rPr>
        <w:footnoteRef/>
      </w:r>
      <w:r w:rsidRPr="00CB149C">
        <w:rPr>
          <w:sz w:val="16"/>
          <w:szCs w:val="16"/>
        </w:rPr>
        <w:t xml:space="preserve"> </w:t>
      </w:r>
      <w:r w:rsidRPr="00CB149C">
        <w:rPr>
          <w:rFonts w:ascii="Arial" w:hAnsi="Arial" w:cs="Arial"/>
          <w:sz w:val="16"/>
          <w:szCs w:val="16"/>
        </w:rPr>
        <w:t xml:space="preserve">Al respecto, la Ley 489 de 1998 dispone que </w:t>
      </w:r>
      <w:r>
        <w:rPr>
          <w:rFonts w:ascii="Arial" w:hAnsi="Arial" w:cs="Arial"/>
          <w:sz w:val="16"/>
          <w:szCs w:val="16"/>
        </w:rPr>
        <w:t>“</w:t>
      </w:r>
      <w:r w:rsidRPr="00CB149C">
        <w:rPr>
          <w:rFonts w:ascii="Arial" w:hAnsi="Arial" w:cs="Arial"/>
          <w:sz w:val="16"/>
          <w:szCs w:val="16"/>
        </w:rPr>
        <w:t>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3181757" w14:textId="77777777" w:rsidR="00EB0A4D" w:rsidRPr="00CB149C" w:rsidRDefault="00EB0A4D" w:rsidP="00EB0A4D">
      <w:pPr>
        <w:pStyle w:val="Textonotapie"/>
        <w:ind w:firstLine="708"/>
        <w:rPr>
          <w:rFonts w:ascii="Arial" w:hAnsi="Arial" w:cs="Arial"/>
          <w:sz w:val="16"/>
          <w:szCs w:val="16"/>
        </w:rPr>
      </w:pPr>
      <w:r>
        <w:rPr>
          <w:rFonts w:ascii="Arial" w:hAnsi="Arial" w:cs="Arial"/>
          <w:sz w:val="16"/>
          <w:szCs w:val="16"/>
        </w:rPr>
        <w:t>“</w:t>
      </w:r>
      <w:r w:rsidRPr="00CB149C">
        <w:rPr>
          <w:rFonts w:ascii="Arial" w:hAnsi="Arial" w:cs="Arial"/>
          <w:sz w:val="16"/>
          <w:szCs w:val="16"/>
        </w:rPr>
        <w:t xml:space="preserve">Los convenios de asociación a que se refiere el presente artículo </w:t>
      </w:r>
      <w:bookmarkStart w:id="18" w:name="_Hlk36023315"/>
      <w:r w:rsidRPr="00CB149C">
        <w:rPr>
          <w:rFonts w:ascii="Arial" w:hAnsi="Arial" w:cs="Arial"/>
          <w:sz w:val="16"/>
          <w:szCs w:val="16"/>
        </w:rPr>
        <w:t>se celebrarán de conformidad con lo dispuesto en el artículo 355 de la Constitución Política</w:t>
      </w:r>
      <w:bookmarkEnd w:id="18"/>
      <w:r w:rsidRPr="00CB149C">
        <w:rPr>
          <w:rFonts w:ascii="Arial" w:hAnsi="Arial" w:cs="Arial"/>
          <w:sz w:val="16"/>
          <w:szCs w:val="16"/>
        </w:rPr>
        <w:t>, en ellos se determinará con precisión su objeto, término, obligaciones de las partes, aportes, coordinación y todos aquellos aspectos que se consideren pertinentes</w:t>
      </w:r>
      <w:r>
        <w:rPr>
          <w:rFonts w:ascii="Arial" w:hAnsi="Arial" w:cs="Arial"/>
          <w:sz w:val="16"/>
          <w:szCs w:val="16"/>
        </w:rPr>
        <w:t>”</w:t>
      </w:r>
      <w:r w:rsidRPr="00CB149C">
        <w:rPr>
          <w:rFonts w:ascii="Arial" w:hAnsi="Arial" w:cs="Arial"/>
          <w:sz w:val="16"/>
          <w:szCs w:val="16"/>
        </w:rPr>
        <w:t>.</w:t>
      </w:r>
    </w:p>
  </w:footnote>
  <w:footnote w:id="32">
    <w:p w14:paraId="6E4430F4" w14:textId="77777777" w:rsidR="00EB0A4D" w:rsidRPr="00CB149C" w:rsidRDefault="00EB0A4D" w:rsidP="00EB0A4D">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Concepto del 3 de septiembre de 2019, con radicado No. 2201913000006512.</w:t>
      </w:r>
    </w:p>
  </w:footnote>
  <w:footnote w:id="33">
    <w:p w14:paraId="4917045D" w14:textId="77777777" w:rsidR="00EB0A4D" w:rsidRPr="00CB149C" w:rsidRDefault="00EB0A4D" w:rsidP="00EB0A4D">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Sobre la naturaleza de los convenios de asociación, se reitera lo expuesto en el concepto del 19 de noviembre de 2019, con radicado No. 2201913000008611.</w:t>
      </w:r>
    </w:p>
    <w:p w14:paraId="130F4A37" w14:textId="77777777" w:rsidR="00EB0A4D" w:rsidRPr="00CB149C" w:rsidRDefault="00EB0A4D" w:rsidP="00EB0A4D">
      <w:pPr>
        <w:pStyle w:val="Textonotapie"/>
        <w:ind w:firstLine="708"/>
        <w:rPr>
          <w:rFonts w:ascii="Arial" w:hAnsi="Arial" w:cs="Arial"/>
          <w:sz w:val="16"/>
          <w:szCs w:val="16"/>
        </w:rPr>
      </w:pPr>
    </w:p>
  </w:footnote>
  <w:footnote w:id="34">
    <w:p w14:paraId="4C9EDF12" w14:textId="77777777" w:rsidR="00EB0A4D" w:rsidRPr="00CB149C" w:rsidRDefault="00EB0A4D" w:rsidP="00EB0A4D">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El numeral 16.9 de la Circular Externa Única de Colombia Compra Eficiente explica que: </w:t>
      </w:r>
      <w:r>
        <w:rPr>
          <w:rFonts w:ascii="Arial" w:hAnsi="Arial" w:cs="Arial"/>
          <w:sz w:val="16"/>
          <w:szCs w:val="16"/>
        </w:rPr>
        <w:t>“</w:t>
      </w:r>
      <w:r w:rsidRPr="00CB149C">
        <w:rPr>
          <w:rFonts w:ascii="Arial" w:hAnsi="Arial" w:cs="Arial"/>
          <w:sz w:val="16"/>
          <w:szCs w:val="16"/>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r>
        <w:rPr>
          <w:rFonts w:ascii="Arial" w:hAnsi="Arial" w:cs="Arial"/>
          <w:sz w:val="16"/>
          <w:szCs w:val="16"/>
        </w:rPr>
        <w:t>”</w:t>
      </w:r>
      <w:r w:rsidRPr="00CB149C">
        <w:rPr>
          <w:rFonts w:ascii="Arial" w:hAnsi="Arial" w:cs="Arial"/>
          <w:sz w:val="16"/>
          <w:szCs w:val="16"/>
        </w:rPr>
        <w:t>.</w:t>
      </w:r>
    </w:p>
  </w:footnote>
  <w:footnote w:id="35">
    <w:p w14:paraId="05E08D22" w14:textId="77777777" w:rsidR="00EB0A4D" w:rsidRPr="00CB149C" w:rsidRDefault="00EB0A4D" w:rsidP="00EB0A4D">
      <w:pPr>
        <w:pStyle w:val="Textonotapie"/>
        <w:ind w:firstLine="708"/>
        <w:contextualSpacing/>
        <w:rPr>
          <w:rFonts w:ascii="Arial" w:hAnsi="Arial" w:cs="Arial"/>
          <w:color w:val="000000" w:themeColor="text1"/>
          <w:sz w:val="16"/>
          <w:szCs w:val="16"/>
        </w:rPr>
      </w:pPr>
      <w:r w:rsidRPr="00CB149C">
        <w:rPr>
          <w:rStyle w:val="Refdenotaalpie"/>
          <w:rFonts w:ascii="Arial" w:hAnsi="Arial" w:cs="Arial"/>
          <w:color w:val="000000" w:themeColor="text1"/>
          <w:sz w:val="16"/>
          <w:szCs w:val="16"/>
        </w:rPr>
        <w:footnoteRef/>
      </w:r>
      <w:r w:rsidRPr="00CB149C">
        <w:rPr>
          <w:rFonts w:ascii="Arial" w:hAnsi="Arial" w:cs="Arial"/>
          <w:color w:val="000000" w:themeColor="text1"/>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36">
    <w:p w14:paraId="129311CB" w14:textId="77777777" w:rsidR="00EB0A4D" w:rsidRPr="00CB149C" w:rsidRDefault="00EB0A4D" w:rsidP="00EB0A4D">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27 de abril de 2006. Rad:1712.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7143F"/>
    <w:rsid w:val="00083334"/>
    <w:rsid w:val="000956CF"/>
    <w:rsid w:val="000A683E"/>
    <w:rsid w:val="0011595A"/>
    <w:rsid w:val="001220C5"/>
    <w:rsid w:val="001267F7"/>
    <w:rsid w:val="00127233"/>
    <w:rsid w:val="00130999"/>
    <w:rsid w:val="00164D81"/>
    <w:rsid w:val="00182432"/>
    <w:rsid w:val="001A1011"/>
    <w:rsid w:val="001A48D0"/>
    <w:rsid w:val="002653C1"/>
    <w:rsid w:val="0026611D"/>
    <w:rsid w:val="002951A0"/>
    <w:rsid w:val="002A64FD"/>
    <w:rsid w:val="002D104A"/>
    <w:rsid w:val="002F0839"/>
    <w:rsid w:val="00301469"/>
    <w:rsid w:val="00306EE1"/>
    <w:rsid w:val="00310B9B"/>
    <w:rsid w:val="00342860"/>
    <w:rsid w:val="0036461C"/>
    <w:rsid w:val="00367884"/>
    <w:rsid w:val="0039439C"/>
    <w:rsid w:val="003B69E7"/>
    <w:rsid w:val="003C013B"/>
    <w:rsid w:val="003D0F4D"/>
    <w:rsid w:val="003F58A1"/>
    <w:rsid w:val="00410DD6"/>
    <w:rsid w:val="004134C9"/>
    <w:rsid w:val="0043138C"/>
    <w:rsid w:val="00462A59"/>
    <w:rsid w:val="004A1847"/>
    <w:rsid w:val="004B6B0E"/>
    <w:rsid w:val="004D25B3"/>
    <w:rsid w:val="00511405"/>
    <w:rsid w:val="00520D34"/>
    <w:rsid w:val="00526E9D"/>
    <w:rsid w:val="00547856"/>
    <w:rsid w:val="00547A74"/>
    <w:rsid w:val="005566AA"/>
    <w:rsid w:val="005566E8"/>
    <w:rsid w:val="005746AB"/>
    <w:rsid w:val="0059357F"/>
    <w:rsid w:val="005A1130"/>
    <w:rsid w:val="005D65C8"/>
    <w:rsid w:val="005D75AE"/>
    <w:rsid w:val="006219F8"/>
    <w:rsid w:val="00681FDB"/>
    <w:rsid w:val="006A7DAD"/>
    <w:rsid w:val="006D70BA"/>
    <w:rsid w:val="007566FE"/>
    <w:rsid w:val="0076019C"/>
    <w:rsid w:val="0076726F"/>
    <w:rsid w:val="0077144B"/>
    <w:rsid w:val="00793403"/>
    <w:rsid w:val="007C0CDF"/>
    <w:rsid w:val="007E2A2F"/>
    <w:rsid w:val="007F2B7C"/>
    <w:rsid w:val="00811651"/>
    <w:rsid w:val="00820F5B"/>
    <w:rsid w:val="00833452"/>
    <w:rsid w:val="008614E5"/>
    <w:rsid w:val="008642E3"/>
    <w:rsid w:val="008678EB"/>
    <w:rsid w:val="00875894"/>
    <w:rsid w:val="00881C10"/>
    <w:rsid w:val="00890411"/>
    <w:rsid w:val="008D5C70"/>
    <w:rsid w:val="009025AF"/>
    <w:rsid w:val="00904F23"/>
    <w:rsid w:val="00906B3C"/>
    <w:rsid w:val="0095342C"/>
    <w:rsid w:val="009E20A1"/>
    <w:rsid w:val="009F33F2"/>
    <w:rsid w:val="009F6C77"/>
    <w:rsid w:val="00A07532"/>
    <w:rsid w:val="00A1085C"/>
    <w:rsid w:val="00A309E2"/>
    <w:rsid w:val="00A8066E"/>
    <w:rsid w:val="00AA4B8A"/>
    <w:rsid w:val="00AA6BF7"/>
    <w:rsid w:val="00AD09FD"/>
    <w:rsid w:val="00B01ED6"/>
    <w:rsid w:val="00B06D09"/>
    <w:rsid w:val="00B771A9"/>
    <w:rsid w:val="00B809BB"/>
    <w:rsid w:val="00B8248A"/>
    <w:rsid w:val="00BB7726"/>
    <w:rsid w:val="00BD49F2"/>
    <w:rsid w:val="00BD787D"/>
    <w:rsid w:val="00C2329E"/>
    <w:rsid w:val="00C30461"/>
    <w:rsid w:val="00C754BE"/>
    <w:rsid w:val="00C87572"/>
    <w:rsid w:val="00C9405D"/>
    <w:rsid w:val="00CC05CE"/>
    <w:rsid w:val="00CC1B26"/>
    <w:rsid w:val="00CD284F"/>
    <w:rsid w:val="00CF23AA"/>
    <w:rsid w:val="00D01921"/>
    <w:rsid w:val="00D2628E"/>
    <w:rsid w:val="00D752B7"/>
    <w:rsid w:val="00DA1854"/>
    <w:rsid w:val="00DB0887"/>
    <w:rsid w:val="00DF1E43"/>
    <w:rsid w:val="00E031D9"/>
    <w:rsid w:val="00E20894"/>
    <w:rsid w:val="00E26B7C"/>
    <w:rsid w:val="00E74485"/>
    <w:rsid w:val="00EA3003"/>
    <w:rsid w:val="00EB0A4D"/>
    <w:rsid w:val="00EB3C91"/>
    <w:rsid w:val="00EB66DA"/>
    <w:rsid w:val="00F605F2"/>
    <w:rsid w:val="00F76AFC"/>
    <w:rsid w:val="00F8319B"/>
    <w:rsid w:val="00FA5516"/>
    <w:rsid w:val="00FD6F73"/>
    <w:rsid w:val="0642704E"/>
    <w:rsid w:val="1CC63BF5"/>
    <w:rsid w:val="205B834B"/>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EB0A4D"/>
    <w:rPr>
      <w:rFonts w:ascii="Times New Roman" w:hAnsi="Times New Roman" w:cs="Times New Roman"/>
      <w:sz w:val="24"/>
      <w:szCs w:val="24"/>
    </w:rPr>
  </w:style>
  <w:style w:type="table" w:customStyle="1" w:styleId="Tablaconcuadrcula1">
    <w:name w:val="Tabla con cuadrícula1"/>
    <w:basedOn w:val="Tablanormal"/>
    <w:next w:val="Tablaconcuadrcula"/>
    <w:uiPriority w:val="39"/>
    <w:rsid w:val="00EB0A4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B0A4D"/>
    <w:pPr>
      <w:spacing w:line="240" w:lineRule="exact"/>
      <w:jc w:val="both"/>
    </w:pPr>
    <w:rPr>
      <w:vertAlign w:val="superscript"/>
    </w:rPr>
  </w:style>
  <w:style w:type="table" w:customStyle="1" w:styleId="Tablaconcuadrcula11">
    <w:name w:val="Tabla con cuadrícula11"/>
    <w:basedOn w:val="Tablanormal"/>
    <w:next w:val="Tablaconcuadrcula"/>
    <w:uiPriority w:val="39"/>
    <w:rsid w:val="00EB0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EB0A4D"/>
  </w:style>
  <w:style w:type="paragraph" w:customStyle="1" w:styleId="paragraph">
    <w:name w:val="paragraph"/>
    <w:basedOn w:val="Normal"/>
    <w:rsid w:val="00BD49F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BD4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F6242BE-EA63-48AE-B20E-506C29BA323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8800</Words>
  <Characters>48404</Characters>
  <Application>Microsoft Office Word</Application>
  <DocSecurity>0</DocSecurity>
  <Lines>403</Lines>
  <Paragraphs>114</Paragraphs>
  <ScaleCrop>false</ScaleCrop>
  <Company/>
  <LinksUpToDate>false</LinksUpToDate>
  <CharactersWithSpaces>57090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Gabriel Alejandro Murcia Taboada</cp:lastModifiedBy>
  <cp:revision>2</cp:revision>
  <dcterms:created xsi:type="dcterms:W3CDTF">2023-06-30T16:26:00Z</dcterms:created>
  <dcterms:modified xsi:type="dcterms:W3CDTF">2023-06-30T16:26:00Z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