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5B7A" w14:textId="77777777" w:rsidR="00F47E0F" w:rsidRPr="00F47E0F" w:rsidRDefault="00F47E0F" w:rsidP="00F47E0F">
      <w:pPr>
        <w:spacing w:after="0" w:line="240" w:lineRule="auto"/>
        <w:jc w:val="both"/>
        <w:rPr>
          <w:rFonts w:ascii="Verdana" w:eastAsia="Aptos" w:hAnsi="Verdana" w:cs="Times New Roman"/>
          <w:b/>
          <w:bCs/>
          <w:kern w:val="2"/>
          <w14:ligatures w14:val="standardContextual"/>
        </w:rPr>
      </w:pPr>
      <w:r w:rsidRPr="00F47E0F">
        <w:rPr>
          <w:rFonts w:ascii="Verdana" w:eastAsia="Aptos" w:hAnsi="Verdana" w:cs="Times New Roman"/>
          <w:b/>
          <w:bCs/>
          <w:kern w:val="2"/>
          <w14:ligatures w14:val="standardContextual"/>
        </w:rPr>
        <w:t>ENTIDADES CON RÉGIMEN ESPECIAL DE CONTRATACIÓN – Deber de publicidad – SECOP II – Actividad contractual – Recursos públicos</w:t>
      </w:r>
    </w:p>
    <w:p w14:paraId="2F0A112B" w14:textId="77777777" w:rsidR="00F47E0F" w:rsidRPr="00F47E0F" w:rsidRDefault="00F47E0F" w:rsidP="00F47E0F">
      <w:pPr>
        <w:spacing w:after="0" w:line="278" w:lineRule="auto"/>
        <w:jc w:val="both"/>
        <w:rPr>
          <w:rFonts w:ascii="Verdana" w:eastAsia="Aptos" w:hAnsi="Verdana" w:cs="Times New Roman"/>
          <w:b/>
          <w:bCs/>
          <w:kern w:val="2"/>
          <w14:ligatures w14:val="standardContextual"/>
        </w:rPr>
      </w:pPr>
    </w:p>
    <w:p w14:paraId="30415ACA" w14:textId="77777777" w:rsidR="00F47E0F" w:rsidRPr="00F47E0F" w:rsidRDefault="00F47E0F" w:rsidP="00F47E0F">
      <w:pPr>
        <w:spacing w:after="0" w:line="240" w:lineRule="auto"/>
        <w:jc w:val="both"/>
        <w:rPr>
          <w:rFonts w:ascii="Verdana" w:eastAsia="Aptos" w:hAnsi="Verdana" w:cs="Times New Roman"/>
          <w:kern w:val="2"/>
          <w:sz w:val="20"/>
          <w:szCs w:val="20"/>
          <w14:ligatures w14:val="standardContextual"/>
        </w:rPr>
      </w:pPr>
      <w:r w:rsidRPr="00F47E0F">
        <w:rPr>
          <w:rFonts w:ascii="Verdana" w:eastAsia="Aptos" w:hAnsi="Verdana" w:cs="Times New Roman"/>
          <w:kern w:val="2"/>
          <w:sz w:val="20"/>
          <w:szCs w:val="20"/>
          <w14:ligatures w14:val="standardContextual"/>
        </w:rPr>
        <w:t>[…]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 mediante el cual se adiciona el artículo 13 a la Ley 1150 de 2007, asigna a dichas entidades la obligación de publicar los documentos relacionados con su actividad contractual en el SECOP II o la plataforma transaccional que haga sus veces.</w:t>
      </w:r>
    </w:p>
    <w:p w14:paraId="5644CBC0" w14:textId="77777777" w:rsidR="00F47E0F" w:rsidRPr="00F47E0F" w:rsidRDefault="00F47E0F" w:rsidP="00F47E0F">
      <w:pPr>
        <w:spacing w:after="0" w:line="278" w:lineRule="auto"/>
        <w:jc w:val="both"/>
        <w:rPr>
          <w:rFonts w:ascii="Verdana" w:eastAsia="Aptos" w:hAnsi="Verdana" w:cs="Times New Roman"/>
          <w:kern w:val="2"/>
          <w:sz w:val="20"/>
          <w:szCs w:val="20"/>
          <w14:ligatures w14:val="standardContextual"/>
        </w:rPr>
      </w:pPr>
      <w:r w:rsidRPr="00F47E0F">
        <w:rPr>
          <w:rFonts w:ascii="Verdana" w:eastAsia="Aptos" w:hAnsi="Verdana" w:cs="Times New Roman"/>
          <w:kern w:val="2"/>
          <w:sz w:val="20"/>
          <w:szCs w:val="20"/>
          <w14:ligatures w14:val="standardContextual"/>
        </w:rPr>
        <w:t>[…]</w:t>
      </w:r>
    </w:p>
    <w:p w14:paraId="284972D2" w14:textId="77777777" w:rsidR="00F47E0F" w:rsidRPr="00F47E0F" w:rsidRDefault="00F47E0F" w:rsidP="00F47E0F">
      <w:pPr>
        <w:spacing w:after="0" w:line="240" w:lineRule="auto"/>
        <w:jc w:val="both"/>
        <w:rPr>
          <w:rFonts w:ascii="Verdana" w:eastAsia="Aptos" w:hAnsi="Verdana" w:cs="Times New Roman"/>
          <w:kern w:val="2"/>
          <w:sz w:val="20"/>
          <w:szCs w:val="20"/>
          <w14:ligatures w14:val="standardContextual"/>
        </w:rPr>
      </w:pPr>
      <w:r w:rsidRPr="00F47E0F">
        <w:rPr>
          <w:rFonts w:ascii="Verdana" w:eastAsia="Aptos" w:hAnsi="Verdana" w:cs="Times New Roman"/>
          <w:kern w:val="2"/>
          <w:sz w:val="20"/>
          <w:szCs w:val="20"/>
          <w14:ligatures w14:val="standardContextual"/>
        </w:rPr>
        <w:t>[…]debe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con dineros públicos. Así las cosas, la Agencia Nacional de Contratación Pública – Colombia Compra Eficiente considera que la modificación introducida por el artículo 53 de la Ley 2195 de 2022 no afecta la interpretación adoptada hasta el momento, en el sentido de que la publicación de la información oficial de la contratación en el SECOP II debe realizarse si los negocios jurídicos adelantados fueron financiados con recursos públicos.</w:t>
      </w:r>
    </w:p>
    <w:p w14:paraId="24C6B59C" w14:textId="77777777" w:rsidR="00F47E0F" w:rsidRPr="00F47E0F" w:rsidRDefault="00F47E0F" w:rsidP="00F47E0F">
      <w:pPr>
        <w:spacing w:after="0" w:line="240" w:lineRule="auto"/>
        <w:jc w:val="both"/>
        <w:rPr>
          <w:rFonts w:ascii="Verdana" w:eastAsia="Calibri" w:hAnsi="Verdana" w:cs="Arial"/>
          <w:sz w:val="20"/>
          <w:szCs w:val="20"/>
        </w:rPr>
      </w:pPr>
    </w:p>
    <w:p w14:paraId="7631FAE9" w14:textId="77777777" w:rsidR="00F47E0F" w:rsidRPr="002B3F10" w:rsidRDefault="00F47E0F" w:rsidP="00F47E0F">
      <w:pPr>
        <w:spacing w:after="0" w:line="240" w:lineRule="auto"/>
        <w:jc w:val="both"/>
        <w:rPr>
          <w:rFonts w:ascii="Verdana" w:eastAsia="Calibri" w:hAnsi="Verdana" w:cs="Arial"/>
          <w:b/>
          <w:bCs/>
          <w:lang w:val="es-ES"/>
        </w:rPr>
      </w:pPr>
      <w:r w:rsidRPr="002B3F10">
        <w:rPr>
          <w:rFonts w:ascii="Verdana" w:eastAsia="Calibri" w:hAnsi="Verdana" w:cs="Arial"/>
          <w:b/>
          <w:bCs/>
          <w:lang w:val="es-ES"/>
        </w:rPr>
        <w:t>RESERVA DE INFORMACIÓN PÚBLICA – Fundamento – Constitución – Ley – Aplicación – Procesos contractuales</w:t>
      </w:r>
    </w:p>
    <w:p w14:paraId="7673A34B" w14:textId="77777777" w:rsidR="00F47E0F" w:rsidRPr="00F47E0F" w:rsidRDefault="00F47E0F" w:rsidP="00F47E0F">
      <w:pPr>
        <w:spacing w:after="0" w:line="240" w:lineRule="auto"/>
        <w:jc w:val="both"/>
        <w:rPr>
          <w:rFonts w:ascii="Verdana" w:eastAsia="Calibri" w:hAnsi="Verdana" w:cs="Arial"/>
          <w:sz w:val="20"/>
          <w:szCs w:val="20"/>
          <w:lang w:val="es-ES_tradnl"/>
        </w:rPr>
      </w:pPr>
    </w:p>
    <w:p w14:paraId="4D4C6EC1" w14:textId="77777777" w:rsidR="00F47E0F" w:rsidRPr="00F47E0F" w:rsidRDefault="00F47E0F" w:rsidP="00F47E0F">
      <w:pPr>
        <w:spacing w:after="0" w:line="240" w:lineRule="auto"/>
        <w:jc w:val="both"/>
        <w:rPr>
          <w:rFonts w:ascii="Verdana" w:eastAsia="Calibri" w:hAnsi="Verdana" w:cs="Arial"/>
          <w:sz w:val="20"/>
          <w:szCs w:val="20"/>
          <w:lang w:val="es-ES_tradnl"/>
        </w:rPr>
      </w:pPr>
      <w:r w:rsidRPr="00F47E0F">
        <w:rPr>
          <w:rFonts w:ascii="Verdana" w:eastAsia="Calibri" w:hAnsi="Verdana" w:cs="Arial"/>
          <w:sz w:val="20"/>
          <w:szCs w:val="20"/>
          <w:lang w:val="es-ES_tradnl"/>
        </w:rPr>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0841BB5B" w14:textId="77777777" w:rsidR="00F47E0F" w:rsidRPr="00F47E0F" w:rsidRDefault="00F47E0F" w:rsidP="00F47E0F">
      <w:pPr>
        <w:spacing w:after="0" w:line="240" w:lineRule="auto"/>
        <w:jc w:val="both"/>
        <w:rPr>
          <w:rFonts w:ascii="Verdana" w:eastAsia="Calibri" w:hAnsi="Verdana" w:cs="Arial"/>
          <w:sz w:val="20"/>
          <w:szCs w:val="20"/>
          <w:lang w:val="es-ES_tradnl"/>
        </w:rPr>
      </w:pPr>
    </w:p>
    <w:p w14:paraId="5CBD5258" w14:textId="77777777" w:rsidR="00F47E0F" w:rsidRDefault="00F47E0F" w:rsidP="00F47E0F">
      <w:pPr>
        <w:spacing w:after="0" w:line="240" w:lineRule="auto"/>
        <w:jc w:val="both"/>
        <w:rPr>
          <w:rFonts w:ascii="Verdana" w:eastAsia="Calibri" w:hAnsi="Verdana" w:cs="Arial"/>
          <w:sz w:val="20"/>
          <w:szCs w:val="20"/>
          <w:lang w:val="es-ES_tradnl"/>
        </w:rPr>
      </w:pPr>
    </w:p>
    <w:p w14:paraId="14B24805" w14:textId="77777777" w:rsidR="00EC5BB2" w:rsidRDefault="00EC5BB2" w:rsidP="00F47E0F">
      <w:pPr>
        <w:spacing w:after="0" w:line="240" w:lineRule="auto"/>
        <w:jc w:val="both"/>
        <w:rPr>
          <w:rFonts w:ascii="Verdana" w:eastAsia="Calibri" w:hAnsi="Verdana" w:cs="Arial"/>
          <w:sz w:val="20"/>
          <w:szCs w:val="20"/>
          <w:lang w:val="es-ES_tradnl"/>
        </w:rPr>
      </w:pPr>
    </w:p>
    <w:p w14:paraId="05F2D521" w14:textId="77777777" w:rsidR="00EC5BB2" w:rsidRDefault="00EC5BB2" w:rsidP="00F47E0F">
      <w:pPr>
        <w:spacing w:after="0" w:line="240" w:lineRule="auto"/>
        <w:jc w:val="both"/>
        <w:rPr>
          <w:rFonts w:ascii="Verdana" w:eastAsia="Calibri" w:hAnsi="Verdana" w:cs="Arial"/>
          <w:sz w:val="20"/>
          <w:szCs w:val="20"/>
          <w:lang w:val="es-ES_tradnl"/>
        </w:rPr>
      </w:pPr>
    </w:p>
    <w:p w14:paraId="6B1E29DA" w14:textId="77777777" w:rsidR="00EC5BB2" w:rsidRDefault="00EC5BB2" w:rsidP="00F47E0F">
      <w:pPr>
        <w:spacing w:after="0" w:line="240" w:lineRule="auto"/>
        <w:jc w:val="both"/>
        <w:rPr>
          <w:rFonts w:ascii="Verdana" w:eastAsia="Calibri" w:hAnsi="Verdana" w:cs="Arial"/>
          <w:sz w:val="20"/>
          <w:szCs w:val="20"/>
          <w:lang w:val="es-ES_tradnl"/>
        </w:rPr>
      </w:pPr>
    </w:p>
    <w:p w14:paraId="34879327" w14:textId="77777777" w:rsidR="00EC5BB2" w:rsidRPr="00F47E0F" w:rsidRDefault="00EC5BB2" w:rsidP="00F47E0F">
      <w:pPr>
        <w:spacing w:after="0" w:line="240" w:lineRule="auto"/>
        <w:jc w:val="both"/>
        <w:rPr>
          <w:rFonts w:ascii="Verdana" w:eastAsia="Calibri" w:hAnsi="Verdana" w:cs="Arial"/>
          <w:sz w:val="20"/>
          <w:szCs w:val="20"/>
          <w:lang w:val="es-ES_tradnl"/>
        </w:rPr>
      </w:pPr>
    </w:p>
    <w:p w14:paraId="660CF453" w14:textId="7A1EC601" w:rsidR="00F47E0F" w:rsidRDefault="00F47E0F" w:rsidP="00F47E0F">
      <w:pPr>
        <w:spacing w:after="0" w:line="240" w:lineRule="auto"/>
        <w:rPr>
          <w:rFonts w:ascii="Verdana" w:eastAsia="Geomanist Light" w:hAnsi="Verdana" w:cs="Arial"/>
          <w:lang w:val="es-ES"/>
        </w:rPr>
      </w:pPr>
      <w:r w:rsidRPr="5D25815E">
        <w:rPr>
          <w:rFonts w:ascii="Verdana" w:eastAsia="Geomanist Light" w:hAnsi="Verdana" w:cs="Arial"/>
          <w:lang w:val="es-ES"/>
        </w:rPr>
        <w:lastRenderedPageBreak/>
        <w:t xml:space="preserve">Bogotá D.C., </w:t>
      </w:r>
      <w:r w:rsidR="0006019D">
        <w:rPr>
          <w:rFonts w:ascii="Verdana" w:eastAsia="Geomanist Light" w:hAnsi="Verdana" w:cs="Arial"/>
          <w:lang w:val="es-ES"/>
        </w:rPr>
        <w:t>26 de agosto de 2025</w:t>
      </w:r>
    </w:p>
    <w:p w14:paraId="3432EF76" w14:textId="77777777" w:rsidR="0006019D" w:rsidRDefault="0006019D" w:rsidP="00F47E0F">
      <w:pPr>
        <w:spacing w:after="0" w:line="240" w:lineRule="auto"/>
        <w:rPr>
          <w:rFonts w:ascii="Verdana" w:eastAsia="Geomanist Light" w:hAnsi="Verdana" w:cs="Arial"/>
          <w:lang w:val="es-ES"/>
        </w:rPr>
      </w:pPr>
    </w:p>
    <w:p w14:paraId="649823A8" w14:textId="6D41B4B7" w:rsidR="0006019D" w:rsidRDefault="0006019D" w:rsidP="00F47E0F">
      <w:pPr>
        <w:spacing w:after="0" w:line="240" w:lineRule="auto"/>
        <w:rPr>
          <w:rFonts w:ascii="Verdana" w:eastAsia="Geomanist Light" w:hAnsi="Verdana" w:cs="Arial"/>
          <w:lang w:val="es-ES"/>
        </w:rPr>
      </w:pPr>
    </w:p>
    <w:p w14:paraId="0B0C9912" w14:textId="1695DCB1" w:rsidR="0006019D" w:rsidRDefault="0006019D" w:rsidP="0006019D">
      <w:pPr>
        <w:spacing w:after="0" w:line="240" w:lineRule="auto"/>
        <w:jc w:val="right"/>
        <w:rPr>
          <w:rFonts w:ascii="Verdana" w:eastAsia="Geomanist Light" w:hAnsi="Verdana" w:cs="Arial"/>
          <w:lang w:val="es-ES"/>
        </w:rPr>
      </w:pPr>
    </w:p>
    <w:p w14:paraId="59383EE9" w14:textId="07692995" w:rsidR="0006019D" w:rsidRPr="00F47E0F" w:rsidRDefault="0006019D" w:rsidP="00F47E0F">
      <w:pPr>
        <w:spacing w:after="0" w:line="240" w:lineRule="auto"/>
        <w:rPr>
          <w:rFonts w:ascii="Verdana" w:eastAsia="Geomanist Light" w:hAnsi="Verdana" w:cs="Arial"/>
          <w:lang w:val="es-ES"/>
        </w:rPr>
      </w:pPr>
    </w:p>
    <w:p w14:paraId="1A0605BF" w14:textId="4303534B" w:rsidR="00F47E0F" w:rsidRPr="00F47E0F" w:rsidRDefault="00F47E0F" w:rsidP="00F47E0F">
      <w:pPr>
        <w:spacing w:after="0" w:line="240" w:lineRule="auto"/>
        <w:rPr>
          <w:rFonts w:ascii="Verdana" w:eastAsia="Geomanist Light" w:hAnsi="Verdana" w:cs="Arial"/>
          <w:lang w:val="es-ES_tradnl"/>
        </w:rPr>
      </w:pPr>
    </w:p>
    <w:p w14:paraId="741731F2" w14:textId="0CBECB4B" w:rsidR="00F47E0F" w:rsidRPr="00F47E0F" w:rsidRDefault="002B3F10" w:rsidP="00F47E0F">
      <w:pPr>
        <w:spacing w:after="0" w:line="240" w:lineRule="auto"/>
        <w:jc w:val="both"/>
        <w:rPr>
          <w:rFonts w:ascii="Verdana" w:eastAsia="Calibri" w:hAnsi="Verdana" w:cs="Arial"/>
          <w:lang w:val="es-ES"/>
        </w:rPr>
      </w:pPr>
      <w:r w:rsidRPr="0006019D">
        <w:rPr>
          <w:rFonts w:ascii="Verdana" w:eastAsia="Geomanist Light" w:hAnsi="Verdana" w:cs="Arial"/>
          <w:noProof/>
          <w:lang w:val="es-ES"/>
        </w:rPr>
        <w:drawing>
          <wp:anchor distT="0" distB="0" distL="114300" distR="114300" simplePos="0" relativeHeight="251659264" behindDoc="0" locked="0" layoutInCell="1" allowOverlap="1" wp14:anchorId="4196ED90" wp14:editId="35E30D9C">
            <wp:simplePos x="0" y="0"/>
            <wp:positionH relativeFrom="column">
              <wp:posOffset>3213293</wp:posOffset>
            </wp:positionH>
            <wp:positionV relativeFrom="paragraph">
              <wp:posOffset>5024</wp:posOffset>
            </wp:positionV>
            <wp:extent cx="2682240" cy="981075"/>
            <wp:effectExtent l="0" t="0" r="3810" b="9525"/>
            <wp:wrapSquare wrapText="bothSides"/>
            <wp:docPr id="946547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47024" name=""/>
                    <pic:cNvPicPr/>
                  </pic:nvPicPr>
                  <pic:blipFill>
                    <a:blip r:embed="rId10">
                      <a:extLst>
                        <a:ext uri="{28A0092B-C50C-407E-A947-70E740481C1C}">
                          <a14:useLocalDpi xmlns:a14="http://schemas.microsoft.com/office/drawing/2010/main" val="0"/>
                        </a:ext>
                      </a:extLst>
                    </a:blip>
                    <a:stretch>
                      <a:fillRect/>
                    </a:stretch>
                  </pic:blipFill>
                  <pic:spPr>
                    <a:xfrm>
                      <a:off x="0" y="0"/>
                      <a:ext cx="2682240" cy="981075"/>
                    </a:xfrm>
                    <a:prstGeom prst="rect">
                      <a:avLst/>
                    </a:prstGeom>
                  </pic:spPr>
                </pic:pic>
              </a:graphicData>
            </a:graphic>
            <wp14:sizeRelH relativeFrom="margin">
              <wp14:pctWidth>0</wp14:pctWidth>
            </wp14:sizeRelH>
          </wp:anchor>
        </w:drawing>
      </w:r>
    </w:p>
    <w:p w14:paraId="38E40EA5" w14:textId="77777777" w:rsidR="00F47E0F" w:rsidRPr="00F47E0F" w:rsidRDefault="00F47E0F" w:rsidP="00F47E0F">
      <w:pPr>
        <w:spacing w:after="0" w:line="240" w:lineRule="auto"/>
        <w:jc w:val="both"/>
        <w:rPr>
          <w:rFonts w:ascii="Verdana" w:eastAsia="Calibri" w:hAnsi="Verdana" w:cs="Arial"/>
          <w:lang w:val="es-ES" w:eastAsia="es-ES"/>
        </w:rPr>
      </w:pPr>
      <w:r w:rsidRPr="00F47E0F">
        <w:rPr>
          <w:rFonts w:ascii="Verdana" w:eastAsia="Calibri" w:hAnsi="Verdana" w:cs="Arial"/>
          <w:lang w:val="es-ES" w:eastAsia="es-ES"/>
        </w:rPr>
        <w:t>Señor</w:t>
      </w:r>
    </w:p>
    <w:p w14:paraId="2012A1FD" w14:textId="77777777" w:rsidR="00F47E0F" w:rsidRPr="00F47E0F" w:rsidRDefault="00F47E0F" w:rsidP="00F47E0F">
      <w:pPr>
        <w:spacing w:after="0" w:line="240" w:lineRule="auto"/>
        <w:rPr>
          <w:rFonts w:ascii="Verdana" w:eastAsia="Calibri" w:hAnsi="Verdana" w:cs="Arial"/>
          <w:b/>
          <w:lang w:val="es-ES_tradnl" w:eastAsia="es-ES_tradnl"/>
        </w:rPr>
      </w:pPr>
      <w:r w:rsidRPr="00F47E0F">
        <w:rPr>
          <w:rFonts w:ascii="Verdana" w:eastAsia="Calibri" w:hAnsi="Verdana" w:cs="Arial"/>
          <w:b/>
          <w:lang w:val="es-ES_tradnl" w:eastAsia="es-ES_tradnl"/>
        </w:rPr>
        <w:t>John Alexander Carvajal Martínez</w:t>
      </w:r>
    </w:p>
    <w:p w14:paraId="05DD3CC8" w14:textId="77777777" w:rsidR="00F47E0F" w:rsidRPr="00F47E0F" w:rsidRDefault="00F47E0F" w:rsidP="00F47E0F">
      <w:pPr>
        <w:spacing w:after="0" w:line="240" w:lineRule="auto"/>
        <w:rPr>
          <w:rFonts w:ascii="Verdana" w:eastAsia="Calibri" w:hAnsi="Verdana" w:cs="Arial"/>
          <w:lang w:val="es-ES" w:eastAsia="es-ES"/>
        </w:rPr>
      </w:pPr>
      <w:hyperlink r:id="rId11" w:history="1">
        <w:r w:rsidRPr="00F47E0F">
          <w:rPr>
            <w:rFonts w:ascii="Verdana" w:eastAsia="Calibri" w:hAnsi="Verdana" w:cs="Arial"/>
            <w:color w:val="0563C1" w:themeColor="hyperlink"/>
            <w:u w:val="single"/>
            <w:lang w:val="es-ES" w:eastAsia="es-ES"/>
          </w:rPr>
          <w:t>jacmbogado@jacmabogado.com</w:t>
        </w:r>
      </w:hyperlink>
    </w:p>
    <w:p w14:paraId="13717E47" w14:textId="77777777" w:rsidR="00F47E0F" w:rsidRPr="00F47E0F" w:rsidRDefault="00F47E0F" w:rsidP="00F47E0F">
      <w:pPr>
        <w:spacing w:after="0" w:line="240" w:lineRule="auto"/>
        <w:rPr>
          <w:rFonts w:ascii="Verdana" w:eastAsia="Calibri" w:hAnsi="Verdana" w:cs="Arial"/>
          <w:b/>
          <w:bCs/>
          <w:lang w:val="es-ES" w:eastAsia="es-ES"/>
        </w:rPr>
      </w:pPr>
      <w:hyperlink r:id="rId12" w:history="1">
        <w:r w:rsidRPr="00F47E0F">
          <w:rPr>
            <w:rFonts w:ascii="Verdana" w:eastAsia="Calibri" w:hAnsi="Verdana" w:cs="Arial"/>
            <w:color w:val="0563C1" w:themeColor="hyperlink"/>
            <w:u w:val="single"/>
            <w:lang w:val="es-ES" w:eastAsia="es-ES"/>
          </w:rPr>
          <w:t>carolina.gonzalez@jacmabogado.com</w:t>
        </w:r>
      </w:hyperlink>
      <w:r w:rsidRPr="00F47E0F">
        <w:rPr>
          <w:rFonts w:ascii="Verdana" w:eastAsia="Calibri" w:hAnsi="Verdana" w:cs="Arial"/>
          <w:lang w:val="es-ES" w:eastAsia="es-ES"/>
        </w:rPr>
        <w:t xml:space="preserve"> </w:t>
      </w:r>
      <w:r w:rsidRPr="00F47E0F">
        <w:cr/>
      </w:r>
      <w:r w:rsidRPr="00F47E0F">
        <w:rPr>
          <w:rFonts w:ascii="Verdana" w:eastAsia="Calibri" w:hAnsi="Verdana" w:cs="Arial"/>
          <w:lang w:val="es-ES" w:eastAsia="es-ES"/>
        </w:rPr>
        <w:t>Ciudad</w:t>
      </w:r>
    </w:p>
    <w:p w14:paraId="0406376C" w14:textId="77777777" w:rsidR="00F47E0F" w:rsidRPr="00F47E0F" w:rsidRDefault="00F47E0F" w:rsidP="00F47E0F">
      <w:pPr>
        <w:spacing w:after="0" w:line="240" w:lineRule="auto"/>
        <w:rPr>
          <w:rFonts w:ascii="Verdana" w:eastAsia="Calibri" w:hAnsi="Verdana" w:cs="Arial"/>
          <w:b/>
          <w:bCs/>
          <w:lang w:val="es-ES_tradnl" w:eastAsia="es-ES_tradnl"/>
        </w:rPr>
      </w:pPr>
    </w:p>
    <w:p w14:paraId="7D88E49A" w14:textId="77777777" w:rsidR="00F47E0F" w:rsidRPr="00F47E0F" w:rsidRDefault="00F47E0F" w:rsidP="00F47E0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7E0F" w:rsidRPr="00F47E0F" w14:paraId="2B84528D" w14:textId="77777777" w:rsidTr="00FA10B1">
        <w:trPr>
          <w:trHeight w:val="884"/>
        </w:trPr>
        <w:tc>
          <w:tcPr>
            <w:tcW w:w="2689" w:type="dxa"/>
          </w:tcPr>
          <w:p w14:paraId="07B6D4E5" w14:textId="77777777" w:rsidR="00F47E0F" w:rsidRPr="00F47E0F" w:rsidRDefault="00F47E0F" w:rsidP="00F47E0F">
            <w:pPr>
              <w:jc w:val="both"/>
              <w:rPr>
                <w:rFonts w:ascii="Verdana" w:eastAsia="Calibri" w:hAnsi="Verdana" w:cs="Arial"/>
                <w:b/>
                <w:bCs/>
                <w:lang w:val="es-ES_tradnl" w:eastAsia="es-ES_tradnl"/>
              </w:rPr>
            </w:pPr>
          </w:p>
        </w:tc>
        <w:tc>
          <w:tcPr>
            <w:tcW w:w="6100" w:type="dxa"/>
          </w:tcPr>
          <w:p w14:paraId="0C120CDE" w14:textId="77777777" w:rsidR="00F47E0F" w:rsidRPr="00F47E0F" w:rsidRDefault="00F47E0F" w:rsidP="00F47E0F">
            <w:pPr>
              <w:jc w:val="both"/>
              <w:rPr>
                <w:rFonts w:ascii="Verdana" w:eastAsia="Calibri" w:hAnsi="Verdana" w:cs="Arial"/>
                <w:b/>
                <w:bCs/>
                <w:lang w:val="es-ES" w:eastAsia="es-ES"/>
              </w:rPr>
            </w:pPr>
            <w:r w:rsidRPr="00F47E0F">
              <w:rPr>
                <w:rFonts w:ascii="Verdana" w:eastAsia="Calibri" w:hAnsi="Verdana" w:cs="Arial"/>
                <w:b/>
                <w:bCs/>
                <w:lang w:val="es-ES" w:eastAsia="es-ES"/>
              </w:rPr>
              <w:t>Concepto C- 1053 de 2025</w:t>
            </w:r>
          </w:p>
        </w:tc>
      </w:tr>
      <w:tr w:rsidR="00F47E0F" w:rsidRPr="00F47E0F" w14:paraId="22994BF8" w14:textId="77777777" w:rsidTr="00FA10B1">
        <w:trPr>
          <w:trHeight w:val="884"/>
        </w:trPr>
        <w:tc>
          <w:tcPr>
            <w:tcW w:w="2689" w:type="dxa"/>
          </w:tcPr>
          <w:p w14:paraId="0E5FC404" w14:textId="77777777" w:rsidR="00F47E0F" w:rsidRPr="00F47E0F" w:rsidRDefault="00F47E0F" w:rsidP="00F47E0F">
            <w:pPr>
              <w:jc w:val="both"/>
              <w:rPr>
                <w:rFonts w:ascii="Verdana" w:eastAsia="Calibri" w:hAnsi="Verdana" w:cs="Arial"/>
                <w:lang w:val="es-ES_tradnl" w:eastAsia="es-ES_tradnl"/>
              </w:rPr>
            </w:pPr>
            <w:r w:rsidRPr="00F47E0F">
              <w:rPr>
                <w:rFonts w:ascii="Verdana" w:eastAsia="Calibri" w:hAnsi="Verdana" w:cs="Arial"/>
                <w:b/>
                <w:lang w:val="es-ES_tradnl" w:eastAsia="es-ES_tradnl"/>
              </w:rPr>
              <w:t>Temas:</w:t>
            </w:r>
            <w:r w:rsidRPr="00F47E0F">
              <w:rPr>
                <w:rFonts w:ascii="Verdana" w:eastAsia="Calibri" w:hAnsi="Verdana" w:cs="Arial"/>
                <w:lang w:val="es-ES_tradnl" w:eastAsia="es-ES_tradnl"/>
              </w:rPr>
              <w:t xml:space="preserve">                   </w:t>
            </w:r>
          </w:p>
        </w:tc>
        <w:tc>
          <w:tcPr>
            <w:tcW w:w="6100" w:type="dxa"/>
          </w:tcPr>
          <w:p w14:paraId="0AEF8A4C" w14:textId="77777777" w:rsidR="00F47E0F" w:rsidRPr="00F47E0F" w:rsidRDefault="00F47E0F" w:rsidP="00F47E0F">
            <w:pPr>
              <w:jc w:val="both"/>
              <w:rPr>
                <w:rFonts w:ascii="Verdana" w:eastAsia="Calibri" w:hAnsi="Verdana" w:cs="Arial"/>
                <w:highlight w:val="yellow"/>
                <w:lang w:eastAsia="es-ES"/>
              </w:rPr>
            </w:pPr>
            <w:r w:rsidRPr="00F47E0F">
              <w:rPr>
                <w:rFonts w:ascii="Verdana" w:eastAsia="Calibri" w:hAnsi="Verdana" w:cs="Arial"/>
                <w:lang w:val="es-ES" w:eastAsia="es-ES"/>
              </w:rPr>
              <w:t>ENTIDADES CON RÉGIMEN ESPECIAL DE CONTRATACIÓN – Deber de publicidad – SECOP II – Actividad contractual – Recursos públicos / RESERVA DE INFORMACIÓN PÚBLICA – Fundamento – Constitución – Ley – Aplicación – Procesos contractuales</w:t>
            </w:r>
          </w:p>
        </w:tc>
      </w:tr>
      <w:tr w:rsidR="00F47E0F" w:rsidRPr="00F47E0F" w14:paraId="0C057C35" w14:textId="77777777" w:rsidTr="00FA10B1">
        <w:tc>
          <w:tcPr>
            <w:tcW w:w="2689" w:type="dxa"/>
          </w:tcPr>
          <w:p w14:paraId="6E043212" w14:textId="77777777" w:rsidR="00F47E0F" w:rsidRPr="00F47E0F" w:rsidRDefault="00F47E0F" w:rsidP="00F47E0F">
            <w:pPr>
              <w:jc w:val="both"/>
              <w:rPr>
                <w:rFonts w:ascii="Verdana" w:eastAsia="Calibri" w:hAnsi="Verdana" w:cs="Arial"/>
                <w:b/>
                <w:lang w:val="es-ES_tradnl" w:eastAsia="es-ES_tradnl"/>
              </w:rPr>
            </w:pPr>
            <w:r w:rsidRPr="00F47E0F">
              <w:rPr>
                <w:rFonts w:ascii="Verdana" w:eastAsia="Calibri" w:hAnsi="Verdana" w:cs="Arial"/>
                <w:b/>
                <w:lang w:val="es-ES_tradnl" w:eastAsia="es-ES_tradnl"/>
              </w:rPr>
              <w:t>Radicación:</w:t>
            </w:r>
            <w:r w:rsidRPr="00F47E0F">
              <w:rPr>
                <w:rFonts w:ascii="Verdana" w:eastAsia="Calibri" w:hAnsi="Verdana" w:cs="Arial"/>
                <w:lang w:val="es-ES_tradnl" w:eastAsia="es-ES_tradnl"/>
              </w:rPr>
              <w:t xml:space="preserve">               </w:t>
            </w:r>
          </w:p>
        </w:tc>
        <w:tc>
          <w:tcPr>
            <w:tcW w:w="6100" w:type="dxa"/>
          </w:tcPr>
          <w:p w14:paraId="3201D998" w14:textId="77777777" w:rsidR="00F47E0F" w:rsidRPr="00F47E0F" w:rsidRDefault="00F47E0F" w:rsidP="00F47E0F">
            <w:pPr>
              <w:jc w:val="both"/>
              <w:rPr>
                <w:rFonts w:ascii="Verdana" w:eastAsia="Calibri" w:hAnsi="Verdana" w:cs="Arial"/>
                <w:lang w:val="es-ES_tradnl" w:eastAsia="es-ES_tradnl"/>
              </w:rPr>
            </w:pPr>
            <w:r w:rsidRPr="00F47E0F">
              <w:rPr>
                <w:rFonts w:ascii="Verdana" w:eastAsia="Calibri" w:hAnsi="Verdana" w:cs="Arial"/>
                <w:lang w:val="es-ES_tradnl" w:eastAsia="es-ES_tradnl"/>
              </w:rPr>
              <w:t>Respuesta a consulta con radicado No. 1_2025_07_29_007868</w:t>
            </w:r>
          </w:p>
        </w:tc>
      </w:tr>
    </w:tbl>
    <w:p w14:paraId="497AA484" w14:textId="77777777" w:rsidR="00F47E0F" w:rsidRPr="00F47E0F" w:rsidRDefault="00F47E0F" w:rsidP="00F47E0F">
      <w:pPr>
        <w:spacing w:after="0" w:line="240" w:lineRule="auto"/>
        <w:jc w:val="both"/>
        <w:rPr>
          <w:rFonts w:ascii="Verdana" w:eastAsia="Calibri" w:hAnsi="Verdana" w:cs="Arial"/>
          <w:lang w:val="es-ES_tradnl" w:eastAsia="es-ES_tradnl"/>
        </w:rPr>
      </w:pPr>
    </w:p>
    <w:p w14:paraId="01063CB1" w14:textId="77777777" w:rsidR="00F47E0F" w:rsidRPr="00F47E0F" w:rsidRDefault="00F47E0F" w:rsidP="00F47E0F">
      <w:pPr>
        <w:spacing w:after="0" w:line="240" w:lineRule="auto"/>
        <w:jc w:val="both"/>
        <w:rPr>
          <w:rFonts w:ascii="Verdana" w:eastAsia="Calibri" w:hAnsi="Verdana" w:cs="Arial"/>
          <w:lang w:val="es-ES_tradnl" w:eastAsia="es-ES_tradnl"/>
        </w:rPr>
      </w:pPr>
    </w:p>
    <w:p w14:paraId="6752F285" w14:textId="77777777" w:rsidR="00F47E0F" w:rsidRPr="00F47E0F" w:rsidRDefault="00F47E0F" w:rsidP="00F47E0F">
      <w:pPr>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 xml:space="preserve">Estimado señor Carvajal: </w:t>
      </w:r>
    </w:p>
    <w:p w14:paraId="742EB633" w14:textId="77777777" w:rsidR="00F47E0F" w:rsidRPr="00F47E0F" w:rsidRDefault="00F47E0F" w:rsidP="00F47E0F">
      <w:pPr>
        <w:tabs>
          <w:tab w:val="left" w:pos="3768"/>
        </w:tabs>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ab/>
      </w:r>
    </w:p>
    <w:p w14:paraId="3F10BEAF" w14:textId="77777777" w:rsidR="00F47E0F" w:rsidRPr="00F47E0F" w:rsidRDefault="00F47E0F" w:rsidP="00F47E0F">
      <w:pPr>
        <w:spacing w:after="0" w:line="276" w:lineRule="auto"/>
        <w:jc w:val="both"/>
        <w:rPr>
          <w:rFonts w:ascii="Verdana" w:eastAsia="Calibri" w:hAnsi="Verdana" w:cs="Arial"/>
          <w:lang w:val="es-ES" w:eastAsia="es-ES"/>
        </w:rPr>
      </w:pPr>
      <w:r w:rsidRPr="00F47E0F">
        <w:rPr>
          <w:rFonts w:ascii="Verdana" w:eastAsia="Calibri" w:hAnsi="Verdana" w:cs="Arial"/>
          <w:lang w:val="es-ES" w:eastAsia="es-ES"/>
        </w:rPr>
        <w:t>En ejercicio de la competencia otorgada por los artículos 3, numeral 5º, y 11, numeral 8º, del Decreto Ley 4170 de 2011,</w:t>
      </w:r>
      <w:r w:rsidRPr="00F47E0F">
        <w:rPr>
          <w:rFonts w:ascii="Verdana" w:eastAsia="Arial MT" w:hAnsi="Verdana" w:cs="Arial MT"/>
          <w:lang w:val="es-ES" w:eastAsia="es-ES"/>
        </w:rPr>
        <w:t xml:space="preserve"> </w:t>
      </w:r>
      <w:r w:rsidRPr="00F47E0F">
        <w:rPr>
          <w:rFonts w:ascii="Verdana" w:hAnsi="Verdana" w:cs="Arial"/>
        </w:rPr>
        <w:t xml:space="preserve">así como lo establecido en el artículo 4 de la Resolución 1707 de 2018 expedida por esta Entidad, </w:t>
      </w:r>
      <w:r w:rsidRPr="00F47E0F">
        <w:rPr>
          <w:rFonts w:ascii="Verdana" w:eastAsia="Calibri" w:hAnsi="Verdana" w:cs="Arial"/>
          <w:lang w:val="es-ES" w:eastAsia="es-ES"/>
        </w:rPr>
        <w:t xml:space="preserve">la Agencia Nacional de Contratación Pública – Colombia Compra Eficiente– responde su solicitud de consulta de fecha 29 de julio de 2025, en la cual manifiesta lo siguiente: </w:t>
      </w:r>
    </w:p>
    <w:p w14:paraId="007018AB"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bookmarkStart w:id="0" w:name="_Hlk95313578"/>
    </w:p>
    <w:p w14:paraId="676F0A79"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“A.- Plazo de publicación ¿Cuánto tiempo tiene una E.S.E. para publicar en SECOP II un proceso de selección de contratista independiente de su modalidad de selección?</w:t>
      </w:r>
    </w:p>
    <w:p w14:paraId="29F1A032"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B.- Documentos obligatorios ¿Qué documentos deben hacerse públicos en cada etapa (estudios previos, pliegos, evaluaciones, adjudicación, contrato, acta de inicio, etc.)?</w:t>
      </w:r>
    </w:p>
    <w:p w14:paraId="359B741C"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C.- “Crear” vs. “alimentar” el proceso ¿Cuál es la diferencia jurídica entre:</w:t>
      </w:r>
    </w:p>
    <w:p w14:paraId="27C216C3"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lastRenderedPageBreak/>
        <w:t>1. Crear el registro del proceso en la plataforma, y</w:t>
      </w:r>
    </w:p>
    <w:p w14:paraId="5BF00058"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2. ¿Subir o actualizar los documentos que lo soportan?</w:t>
      </w:r>
    </w:p>
    <w:p w14:paraId="214A1114"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3. ¿Cuál es el término de publicación de cada uno de los documentos?</w:t>
      </w:r>
    </w:p>
    <w:p w14:paraId="317DEF54"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 xml:space="preserve">4. ¿Qué documentos no deben publicarse en el SECOP II, por gozar de reserva, (exámenes ocupacionales, cédula de ciudadanía, </w:t>
      </w:r>
      <w:proofErr w:type="spellStart"/>
      <w:r w:rsidRPr="00F47E0F">
        <w:rPr>
          <w:rFonts w:ascii="Verdana" w:eastAsia="Century Gothic" w:hAnsi="Verdana" w:cs="Century Gothic"/>
          <w:sz w:val="20"/>
          <w:szCs w:val="20"/>
          <w:lang w:val="es-ES"/>
        </w:rPr>
        <w:t>etc</w:t>
      </w:r>
      <w:proofErr w:type="spellEnd"/>
      <w:r w:rsidRPr="00F47E0F">
        <w:rPr>
          <w:rFonts w:ascii="Verdana" w:eastAsia="Century Gothic" w:hAnsi="Verdana" w:cs="Century Gothic"/>
          <w:sz w:val="20"/>
          <w:szCs w:val="20"/>
          <w:lang w:val="es-ES"/>
        </w:rPr>
        <w:t>)</w:t>
      </w:r>
    </w:p>
    <w:p w14:paraId="475332CC"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D.- Consecuencias de no cargar documentos Si la entidad solo crea el proceso y no sube oportunamente contrato, acta de inicio y demás soportes:</w:t>
      </w:r>
    </w:p>
    <w:p w14:paraId="5DD0884F"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 ¿Se configura alguna falta disciplinaria o fiscal para los servidores?</w:t>
      </w:r>
    </w:p>
    <w:p w14:paraId="240A347D"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 xml:space="preserve">• ¿Puede declararse la nulidad del proceso o impedirse la ejecución del </w:t>
      </w:r>
    </w:p>
    <w:p w14:paraId="368C6791"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contrato?</w:t>
      </w:r>
    </w:p>
    <w:p w14:paraId="436DFC71" w14:textId="77777777" w:rsidR="00F47E0F" w:rsidRPr="00F47E0F" w:rsidRDefault="00F47E0F" w:rsidP="00F47E0F">
      <w:pPr>
        <w:spacing w:after="0" w:line="240" w:lineRule="auto"/>
        <w:ind w:left="709" w:right="709"/>
        <w:jc w:val="both"/>
        <w:rPr>
          <w:rFonts w:ascii="Verdana" w:eastAsia="Century Gothic" w:hAnsi="Verdana" w:cs="Century Gothic"/>
          <w:sz w:val="20"/>
          <w:szCs w:val="20"/>
          <w:lang w:val="es-ES"/>
        </w:rPr>
      </w:pPr>
      <w:r w:rsidRPr="00F47E0F">
        <w:rPr>
          <w:rFonts w:ascii="Verdana" w:eastAsia="Century Gothic" w:hAnsi="Verdana" w:cs="Century Gothic"/>
          <w:sz w:val="20"/>
          <w:szCs w:val="20"/>
          <w:lang w:val="es-ES"/>
        </w:rPr>
        <w:t>• ¿Existen sanciones institucionales?</w:t>
      </w:r>
    </w:p>
    <w:bookmarkEnd w:id="0"/>
    <w:p w14:paraId="6D7A61ED" w14:textId="77777777" w:rsidR="00F47E0F" w:rsidRPr="00F47E0F" w:rsidRDefault="00F47E0F" w:rsidP="00F47E0F">
      <w:pPr>
        <w:spacing w:after="0" w:line="240" w:lineRule="auto"/>
        <w:ind w:left="709" w:right="709"/>
        <w:jc w:val="both"/>
        <w:rPr>
          <w:rFonts w:ascii="Verdana" w:hAnsi="Verdana" w:cs="Arial"/>
          <w:sz w:val="20"/>
          <w:szCs w:val="20"/>
          <w:shd w:val="clear" w:color="auto" w:fill="FFFFFF"/>
          <w:lang w:val="es-MX"/>
        </w:rPr>
      </w:pPr>
      <w:r w:rsidRPr="00F47E0F">
        <w:rPr>
          <w:rFonts w:ascii="Verdana" w:hAnsi="Verdana" w:cs="Arial"/>
          <w:sz w:val="20"/>
          <w:szCs w:val="20"/>
          <w:shd w:val="clear" w:color="auto" w:fill="FFFFFF"/>
          <w:lang w:val="es-MX"/>
        </w:rPr>
        <w:t>E.-Política reserva de publicación de datos sensibles o que gozan de reserva</w:t>
      </w:r>
    </w:p>
    <w:p w14:paraId="0B0BAA00" w14:textId="77777777" w:rsidR="00F47E0F" w:rsidRPr="00F47E0F" w:rsidRDefault="00F47E0F" w:rsidP="00F47E0F">
      <w:pPr>
        <w:spacing w:after="0" w:line="240" w:lineRule="auto"/>
        <w:ind w:left="709" w:right="709"/>
        <w:jc w:val="both"/>
        <w:rPr>
          <w:rFonts w:ascii="Verdana" w:hAnsi="Verdana" w:cs="Arial"/>
          <w:sz w:val="20"/>
          <w:szCs w:val="20"/>
          <w:shd w:val="clear" w:color="auto" w:fill="FFFFFF"/>
          <w:lang w:val="es-MX"/>
        </w:rPr>
      </w:pPr>
      <w:r w:rsidRPr="00F47E0F">
        <w:rPr>
          <w:rFonts w:ascii="Verdana" w:hAnsi="Verdana" w:cs="Arial"/>
          <w:sz w:val="20"/>
          <w:szCs w:val="20"/>
          <w:shd w:val="clear" w:color="auto" w:fill="FFFFFF"/>
          <w:lang w:val="es-MX"/>
        </w:rPr>
        <w:t>¿</w:t>
      </w:r>
      <w:bookmarkStart w:id="1" w:name="_Hlk206780700"/>
      <w:r w:rsidRPr="00F47E0F">
        <w:rPr>
          <w:rFonts w:ascii="Verdana" w:hAnsi="Verdana" w:cs="Arial"/>
          <w:sz w:val="20"/>
          <w:szCs w:val="20"/>
          <w:shd w:val="clear" w:color="auto" w:fill="FFFFFF"/>
          <w:lang w:val="es-MX"/>
        </w:rPr>
        <w:t>Existe algún documento tipo que contenga algún lineamiento para ser adoptado por las Empresas Sociales del Estado</w:t>
      </w:r>
      <w:bookmarkEnd w:id="1"/>
      <w:r w:rsidRPr="00F47E0F">
        <w:rPr>
          <w:rFonts w:ascii="Verdana" w:hAnsi="Verdana" w:cs="Arial"/>
          <w:sz w:val="20"/>
          <w:szCs w:val="20"/>
          <w:shd w:val="clear" w:color="auto" w:fill="FFFFFF"/>
          <w:lang w:val="es-MX"/>
        </w:rPr>
        <w:t>, en lo que concierne a la excepción de publicación de los documentos que gozan de reserva legal, o que contienen datos sensibles?”.</w:t>
      </w:r>
    </w:p>
    <w:p w14:paraId="598580DD" w14:textId="77777777" w:rsidR="00F47E0F" w:rsidRPr="00F47E0F" w:rsidRDefault="00F47E0F" w:rsidP="00F47E0F">
      <w:pPr>
        <w:spacing w:after="120" w:line="276" w:lineRule="auto"/>
        <w:ind w:firstLine="709"/>
        <w:jc w:val="both"/>
        <w:rPr>
          <w:rFonts w:ascii="Verdana" w:eastAsia="Calibri" w:hAnsi="Verdana" w:cs="Arial"/>
          <w:lang w:val="es-ES" w:eastAsia="es-ES"/>
        </w:rPr>
      </w:pPr>
    </w:p>
    <w:p w14:paraId="71AD8755" w14:textId="77777777" w:rsidR="00F47E0F" w:rsidRPr="00F47E0F" w:rsidRDefault="00F47E0F" w:rsidP="00F47E0F">
      <w:pPr>
        <w:spacing w:after="120" w:line="276" w:lineRule="auto"/>
        <w:ind w:firstLine="709"/>
        <w:jc w:val="both"/>
        <w:rPr>
          <w:rFonts w:ascii="Verdana" w:eastAsia="Calibri" w:hAnsi="Verdana" w:cs="Arial"/>
          <w:szCs w:val="24"/>
          <w:lang w:val="es-ES_tradnl" w:eastAsia="es-ES_tradnl"/>
        </w:rPr>
      </w:pPr>
      <w:r w:rsidRPr="00F47E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47E0F">
        <w:rPr>
          <w:rFonts w:ascii="Verdana" w:eastAsia="Calibri" w:hAnsi="Verdana" w:cs="Arial"/>
          <w:szCs w:val="24"/>
          <w:lang w:val="es-ES_tradnl" w:eastAsia="es-ES_tradnl"/>
        </w:rPr>
        <w:tab/>
      </w:r>
    </w:p>
    <w:p w14:paraId="292DBB0C" w14:textId="77777777" w:rsidR="00F47E0F" w:rsidRPr="00F47E0F" w:rsidRDefault="00F47E0F" w:rsidP="00F47E0F">
      <w:pPr>
        <w:spacing w:after="0" w:line="276" w:lineRule="auto"/>
        <w:ind w:firstLine="709"/>
        <w:jc w:val="both"/>
        <w:rPr>
          <w:rFonts w:ascii="Verdana" w:eastAsia="Calibri" w:hAnsi="Verdana" w:cs="Arial"/>
          <w:lang w:val="es-ES" w:eastAsia="es-ES"/>
        </w:rPr>
      </w:pPr>
      <w:r w:rsidRPr="00F47E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A6D75E1" w14:textId="77777777" w:rsidR="00F47E0F" w:rsidRPr="00F47E0F" w:rsidRDefault="00F47E0F" w:rsidP="00F47E0F">
      <w:pPr>
        <w:spacing w:after="0" w:line="276" w:lineRule="auto"/>
        <w:ind w:firstLine="709"/>
        <w:jc w:val="both"/>
        <w:rPr>
          <w:rFonts w:ascii="Verdana" w:eastAsia="Calibri" w:hAnsi="Verdana" w:cs="Arial"/>
          <w:lang w:val="es-ES" w:eastAsia="es-ES"/>
        </w:rPr>
      </w:pPr>
    </w:p>
    <w:p w14:paraId="34500D42" w14:textId="77777777" w:rsidR="00F47E0F" w:rsidRPr="00F47E0F" w:rsidRDefault="00F47E0F" w:rsidP="00F47E0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F47E0F">
        <w:rPr>
          <w:rFonts w:ascii="Verdana" w:eastAsia="Century Gothic" w:hAnsi="Verdana" w:cs="Century Gothic"/>
          <w:b/>
          <w:bCs/>
          <w:lang w:val="es-ES"/>
        </w:rPr>
        <w:t>Problemas planteados:</w:t>
      </w:r>
    </w:p>
    <w:p w14:paraId="7E19729E" w14:textId="77777777" w:rsidR="00F47E0F" w:rsidRPr="00F47E0F" w:rsidRDefault="00F47E0F" w:rsidP="00F47E0F">
      <w:pPr>
        <w:tabs>
          <w:tab w:val="left" w:pos="426"/>
        </w:tabs>
        <w:spacing w:after="0" w:line="276" w:lineRule="auto"/>
        <w:jc w:val="both"/>
        <w:rPr>
          <w:rFonts w:ascii="Verdana" w:eastAsia="Century Gothic" w:hAnsi="Verdana" w:cs="Century Gothic"/>
          <w:lang w:val="es-ES"/>
        </w:rPr>
      </w:pPr>
    </w:p>
    <w:p w14:paraId="314F08D7" w14:textId="77777777" w:rsidR="00F47E0F" w:rsidRPr="00F47E0F" w:rsidRDefault="00F47E0F" w:rsidP="00F47E0F">
      <w:pPr>
        <w:spacing w:after="0" w:line="276" w:lineRule="auto"/>
        <w:jc w:val="both"/>
        <w:rPr>
          <w:rFonts w:ascii="Verdana" w:eastAsia="Century Gothic" w:hAnsi="Verdana" w:cs="Century Gothic"/>
        </w:rPr>
      </w:pPr>
      <w:r w:rsidRPr="00F47E0F">
        <w:rPr>
          <w:rFonts w:ascii="Verdana" w:eastAsia="Century Gothic" w:hAnsi="Verdana" w:cs="Century Gothic"/>
        </w:rPr>
        <w:lastRenderedPageBreak/>
        <w:t xml:space="preserve">De acuerdo con el contenido de su solicitud, esta Agencia resolverá los siguientes problemas jurídicos: i) ¿Cómo se debe publicar la actividad contractual de las entidades de régimen especial en SECOP II, y cuáles son los documentos y el término para hacerlo?, y </w:t>
      </w:r>
      <w:proofErr w:type="spellStart"/>
      <w:r w:rsidRPr="00F47E0F">
        <w:rPr>
          <w:rFonts w:ascii="Verdana" w:eastAsia="Century Gothic" w:hAnsi="Verdana" w:cs="Century Gothic"/>
        </w:rPr>
        <w:t>ii</w:t>
      </w:r>
      <w:proofErr w:type="spellEnd"/>
      <w:r w:rsidRPr="00F47E0F">
        <w:rPr>
          <w:rFonts w:ascii="Verdana" w:eastAsia="Century Gothic" w:hAnsi="Verdana" w:cs="Century Gothic"/>
        </w:rPr>
        <w:t>) ¿Qué documentos no deben publicarse en el SECOP II por gozar de reserva, y existe algún documento tipo que contenga algún lineamiento para ser adoptado por las Empresas Sociales del Estado?</w:t>
      </w:r>
    </w:p>
    <w:p w14:paraId="4012FA3F" w14:textId="77777777" w:rsidR="00F47E0F" w:rsidRPr="00F47E0F" w:rsidRDefault="00F47E0F" w:rsidP="00F47E0F">
      <w:pPr>
        <w:spacing w:after="0" w:line="276" w:lineRule="auto"/>
        <w:jc w:val="both"/>
        <w:rPr>
          <w:rFonts w:ascii="Verdana" w:eastAsia="Calibri" w:hAnsi="Verdana" w:cs="Arial"/>
          <w:lang w:val="es-ES"/>
        </w:rPr>
      </w:pPr>
    </w:p>
    <w:p w14:paraId="33170A12" w14:textId="77777777" w:rsidR="00F47E0F" w:rsidRPr="00F47E0F" w:rsidRDefault="00F47E0F" w:rsidP="00F47E0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Respuestas:</w:t>
      </w:r>
    </w:p>
    <w:p w14:paraId="15EA1D72" w14:textId="77777777" w:rsidR="00F47E0F" w:rsidRPr="00F47E0F" w:rsidRDefault="00F47E0F" w:rsidP="00F47E0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7E0F" w:rsidRPr="00F47E0F" w14:paraId="78FCC8CC" w14:textId="77777777" w:rsidTr="00FA10B1">
        <w:tc>
          <w:tcPr>
            <w:tcW w:w="8828" w:type="dxa"/>
          </w:tcPr>
          <w:p w14:paraId="51786E23" w14:textId="77777777" w:rsidR="00F47E0F" w:rsidRPr="00F47E0F" w:rsidRDefault="00F47E0F" w:rsidP="00F47E0F">
            <w:pPr>
              <w:spacing w:after="120" w:line="276" w:lineRule="auto"/>
              <w:jc w:val="both"/>
              <w:rPr>
                <w:rFonts w:ascii="Verdana" w:eastAsia="Calibri" w:hAnsi="Verdana" w:cs="Arial"/>
                <w:lang w:val="es-ES"/>
              </w:rPr>
            </w:pPr>
            <w:r w:rsidRPr="00F47E0F">
              <w:rPr>
                <w:rFonts w:ascii="Verdana" w:eastAsia="Calibri" w:hAnsi="Verdana" w:cs="Arial"/>
                <w:lang w:val="es-ES"/>
              </w:rPr>
              <w:t xml:space="preserve">i) De conformidad con el artículo 13 de la Ley 1150 de 2007, modificado por el artículo 53 de la Ley 2195 de 2022, las entidades de régimen especial se encuentran obligadas a realizar la publicación de la actividad contractual que se financie con recursos públicos a través del SECOP II. De otro lado, en virtud de que la obligación de publicidad establecida en dicha norma se prédica únicamente de la actividad contractual financiada con recursos públicos, resulta meramente potestativa o facultativa la decisión de realizar o no la publicación de la actividad contractual financiada con otro tipo de recursos en dicha plataforma. </w:t>
            </w:r>
          </w:p>
          <w:p w14:paraId="142618BF" w14:textId="77777777" w:rsidR="00F47E0F" w:rsidRPr="00F47E0F" w:rsidRDefault="00F47E0F" w:rsidP="00F47E0F">
            <w:pPr>
              <w:spacing w:after="120" w:line="276" w:lineRule="auto"/>
              <w:jc w:val="both"/>
              <w:rPr>
                <w:rFonts w:ascii="Verdana" w:eastAsia="Calibri" w:hAnsi="Verdana" w:cs="Arial"/>
              </w:rPr>
            </w:pPr>
            <w:r w:rsidRPr="00F47E0F">
              <w:rPr>
                <w:rFonts w:ascii="Verdana" w:eastAsia="Calibri" w:hAnsi="Verdana" w:cs="Arial"/>
                <w:lang w:val="es-ES"/>
              </w:rPr>
              <w:t xml:space="preserve">En consecuencia, si la entidad de régimen especial publica en el SECOP II </w:t>
            </w:r>
            <w:r w:rsidRPr="00F47E0F">
              <w:rPr>
                <w:rFonts w:ascii="Verdana" w:eastAsia="Calibri" w:hAnsi="Verdana" w:cs="Arial"/>
              </w:rPr>
              <w:t>tiene dos opciones según lo mencionado por la Circular Externa No. 2 de 2024 de esta Agencia:</w:t>
            </w:r>
          </w:p>
          <w:p w14:paraId="14901DAC" w14:textId="77777777" w:rsidR="00F47E0F" w:rsidRPr="00F47E0F" w:rsidRDefault="00F47E0F" w:rsidP="00F47E0F">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“Contratación Régimen Especial (con ofertas):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w:t>
            </w:r>
          </w:p>
          <w:p w14:paraId="77CF117E" w14:textId="77777777" w:rsidR="00F47E0F" w:rsidRPr="00F47E0F" w:rsidRDefault="00F47E0F" w:rsidP="00F47E0F">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 xml:space="preserve">  </w:t>
            </w:r>
          </w:p>
          <w:p w14:paraId="5DDF0FF3" w14:textId="77777777" w:rsidR="00F47E0F" w:rsidRPr="00F47E0F" w:rsidRDefault="00F47E0F" w:rsidP="00F47E0F">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 xml:space="preserve">Contratación Régimen Especial (sin ofertas): Este módulo permite a </w:t>
            </w:r>
          </w:p>
          <w:p w14:paraId="5173BCCF" w14:textId="77777777" w:rsidR="00F47E0F" w:rsidRPr="00F47E0F" w:rsidRDefault="00F47E0F" w:rsidP="00F47E0F">
            <w:pPr>
              <w:ind w:left="709" w:right="709"/>
              <w:jc w:val="both"/>
              <w:rPr>
                <w:rFonts w:ascii="Verdana" w:eastAsia="Times New Roman" w:hAnsi="Verdana" w:cs="Arial"/>
                <w:i/>
                <w:iCs/>
                <w:sz w:val="21"/>
                <w:szCs w:val="21"/>
                <w:lang w:eastAsia="es-CO"/>
              </w:rPr>
            </w:pPr>
            <w:r w:rsidRPr="00F47E0F">
              <w:rPr>
                <w:rFonts w:ascii="Verdana" w:eastAsia="Times New Roman" w:hAnsi="Verdana" w:cs="Arial"/>
                <w:i/>
                <w:iCs/>
                <w:sz w:val="21"/>
                <w:szCs w:val="21"/>
                <w:lang w:eastAsia="es-CO"/>
              </w:rPr>
              <w:t>las entidades gestionar sus procesos de selección directos. Asimismo, este módulo permite estructurar los procesos de contratación, publicar documentos generados por fuera de la plataforma y realizar la gestión contractual en línea”.</w:t>
            </w:r>
          </w:p>
          <w:p w14:paraId="601F41BD" w14:textId="77777777" w:rsidR="00F47E0F" w:rsidRPr="00F47E0F" w:rsidRDefault="00F47E0F" w:rsidP="00F47E0F">
            <w:pPr>
              <w:ind w:left="709" w:right="709"/>
              <w:jc w:val="both"/>
              <w:rPr>
                <w:rFonts w:ascii="Verdana" w:eastAsia="Times New Roman" w:hAnsi="Verdana" w:cs="Arial"/>
                <w:i/>
                <w:iCs/>
                <w:sz w:val="21"/>
                <w:szCs w:val="21"/>
                <w:lang w:eastAsia="es-CO"/>
              </w:rPr>
            </w:pPr>
          </w:p>
          <w:p w14:paraId="2A29E91F" w14:textId="77777777" w:rsidR="00F47E0F" w:rsidRPr="00F47E0F" w:rsidRDefault="00F47E0F" w:rsidP="00F47E0F">
            <w:pPr>
              <w:tabs>
                <w:tab w:val="left" w:pos="426"/>
              </w:tabs>
              <w:spacing w:after="120" w:line="276" w:lineRule="auto"/>
              <w:jc w:val="both"/>
              <w:rPr>
                <w:rFonts w:ascii="Verdana" w:eastAsia="Arial" w:hAnsi="Verdana" w:cs="Arial"/>
                <w:lang w:val="es-ES" w:eastAsia="es-ES_tradnl"/>
              </w:rPr>
            </w:pPr>
            <w:r w:rsidRPr="00F47E0F">
              <w:rPr>
                <w:rFonts w:ascii="Verdana" w:eastAsia="Calibri" w:hAnsi="Verdana" w:cs="Arial"/>
              </w:rPr>
              <w:t>Respecto de los documentos que se deben publicar y el término para publicar la actividad contractual, e</w:t>
            </w:r>
            <w:proofErr w:type="spellStart"/>
            <w:r w:rsidRPr="00F47E0F">
              <w:rPr>
                <w:rFonts w:ascii="Verdana" w:eastAsia="Calibri" w:hAnsi="Verdana" w:cs="Arial"/>
                <w:lang w:val="es-ES" w:eastAsia="es-ES"/>
              </w:rPr>
              <w:t>sta</w:t>
            </w:r>
            <w:proofErr w:type="spellEnd"/>
            <w:r w:rsidRPr="00F47E0F">
              <w:rPr>
                <w:rFonts w:ascii="Verdana" w:eastAsia="Calibri" w:hAnsi="Verdana" w:cs="Arial"/>
                <w:lang w:val="es-ES" w:eastAsia="es-ES"/>
              </w:rPr>
              <w:t xml:space="preserve"> Agencia considera que, la obligación de publicar en el SECOP II todos los documentos relacionados con la actividad contractual de las entidades con regímenes especiales contenida en el artículo 53 de la </w:t>
            </w:r>
            <w:r w:rsidRPr="00F47E0F">
              <w:rPr>
                <w:rFonts w:ascii="Verdana" w:eastAsia="Calibri" w:hAnsi="Verdana" w:cs="Arial"/>
                <w:lang w:val="es-ES" w:eastAsia="es-ES"/>
              </w:rPr>
              <w:lastRenderedPageBreak/>
              <w:t xml:space="preserve">Ley 2195 de 2022 debe interpretarse de forma sistemática con los preceptos que existen sobre la materia, como, entre otros, el </w:t>
            </w:r>
            <w:r w:rsidRPr="00F47E0F">
              <w:rPr>
                <w:rFonts w:ascii="Verdana" w:eastAsia="Calibri" w:hAnsi="Verdana" w:cs="Arial"/>
                <w:shd w:val="clear" w:color="auto" w:fill="FFFFFF"/>
              </w:rPr>
              <w:t xml:space="preserve">artículo 2.2.1.1.1.7.1 del Decreto 1082 de 2015 que menciona que tienen la obligación de publicar en el SECOP “[…] los Documentos del Proceso y los actos administrativos del Proceso de Contratación, dentro de los tres (3) días </w:t>
            </w:r>
            <w:r w:rsidRPr="00F47E0F">
              <w:rPr>
                <w:rFonts w:ascii="Verdana" w:eastAsia="Calibri" w:hAnsi="Verdana" w:cs="Arial"/>
                <w:lang w:val="es-ES"/>
              </w:rPr>
              <w:t>siguientes</w:t>
            </w:r>
            <w:r w:rsidRPr="00F47E0F">
              <w:rPr>
                <w:rFonts w:ascii="Verdana" w:eastAsia="Calibri" w:hAnsi="Verdana" w:cs="Arial"/>
                <w:shd w:val="clear" w:color="auto" w:fill="FFFFFF"/>
              </w:rPr>
              <w:t xml:space="preserve"> a su expedición […]. </w:t>
            </w:r>
            <w:r w:rsidRPr="00F47E0F">
              <w:rPr>
                <w:rFonts w:ascii="Verdana" w:eastAsia="Arial" w:hAnsi="Verdana" w:cs="Arial"/>
                <w:lang w:val="es-ES" w:eastAsia="es-ES_tradnl"/>
              </w:rPr>
              <w:t xml:space="preserve">La expresión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4E10E99" w14:textId="77777777" w:rsidR="00F47E0F" w:rsidRPr="00F47E0F" w:rsidRDefault="00F47E0F" w:rsidP="00F47E0F">
            <w:pPr>
              <w:widowControl w:val="0"/>
              <w:autoSpaceDE w:val="0"/>
              <w:autoSpaceDN w:val="0"/>
              <w:spacing w:after="120" w:line="276" w:lineRule="auto"/>
              <w:jc w:val="both"/>
              <w:rPr>
                <w:rFonts w:ascii="Verdana" w:eastAsia="Arial" w:hAnsi="Verdana" w:cs="Arial"/>
                <w:lang w:val="es-ES" w:eastAsia="es-ES_tradnl"/>
              </w:rPr>
            </w:pPr>
            <w:r w:rsidRPr="00F47E0F">
              <w:rPr>
                <w:rFonts w:ascii="Verdana" w:eastAsia="Arial" w:hAnsi="Verdana" w:cs="Arial"/>
                <w:lang w:val="es-ES" w:eastAsia="es-ES_tradnl"/>
              </w:rPr>
              <w:t xml:space="preserve">No obstante, para identificar los documentos que deben publicarse, es necesario realizar una interpretación sistemática de las disposiciones del Decreto 1082 del 2015, ya que el anterior no es un listado taxativo, sino enunciativo, porque además de los documentos enlistados, el artículo 2.2.1.1.1.3.1 </w:t>
            </w:r>
            <w:r w:rsidRPr="00F47E0F">
              <w:rPr>
                <w:rFonts w:ascii="Verdana" w:eastAsia="Arial" w:hAnsi="Verdana" w:cs="Arial"/>
                <w:i/>
                <w:iCs/>
                <w:lang w:val="es-ES" w:eastAsia="es-ES_tradnl"/>
              </w:rPr>
              <w:t>Ibidem</w:t>
            </w:r>
            <w:r w:rsidRPr="00F47E0F">
              <w:rPr>
                <w:rFonts w:ascii="Verdana" w:eastAsia="Arial" w:hAnsi="Verdana" w:cs="Arial"/>
                <w:lang w:val="es-ES" w:eastAsia="es-ES_tradnl"/>
              </w:rPr>
              <w:t xml:space="preserve"> recoge en la noción de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“cualquier otro documento expedido por la Entidad Estatal durante el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Este mismo artículo define la expresión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68F9D03B" w14:textId="77777777" w:rsidR="00F47E0F" w:rsidRPr="00F47E0F" w:rsidRDefault="00F47E0F" w:rsidP="00F47E0F">
            <w:pPr>
              <w:widowControl w:val="0"/>
              <w:autoSpaceDE w:val="0"/>
              <w:autoSpaceDN w:val="0"/>
              <w:spacing w:after="120" w:line="276" w:lineRule="auto"/>
              <w:jc w:val="both"/>
              <w:rPr>
                <w:rFonts w:ascii="Verdana" w:eastAsia="Arial" w:hAnsi="Verdana" w:cs="Arial"/>
                <w:lang w:val="es-ES" w:eastAsia="es-ES_tradnl"/>
              </w:rPr>
            </w:pPr>
            <w:r w:rsidRPr="00F47E0F">
              <w:rPr>
                <w:rFonts w:ascii="Verdana" w:eastAsia="Arial" w:hAnsi="Verdana" w:cs="Arial"/>
                <w:lang w:val="es-ES" w:eastAsia="es-ES_tradnl"/>
              </w:rPr>
              <w:t xml:space="preserve">Nótese que la norma hace referencia a los documentos “expedidos por la entidad estatal” durante el proceso de contratación, excluyendo de la noción de </w:t>
            </w:r>
            <w:r w:rsidRPr="00F47E0F">
              <w:rPr>
                <w:rFonts w:ascii="Verdana" w:eastAsia="Arial" w:hAnsi="Verdana" w:cs="Arial"/>
                <w:i/>
                <w:iCs/>
                <w:lang w:val="es-ES" w:eastAsia="es-ES_tradnl"/>
              </w:rPr>
              <w:t>Documentos del Proceso</w:t>
            </w:r>
            <w:r w:rsidRPr="00F47E0F">
              <w:rPr>
                <w:rFonts w:ascii="Verdana" w:eastAsia="Arial" w:hAnsi="Verdana" w:cs="Arial"/>
                <w:lang w:val="es-ES" w:eastAsia="es-ES_tradnl"/>
              </w:rPr>
              <w:t xml:space="preserve"> los expedidos por un sujeto distinto a la entidad, salvo la oferta, la cual se incluye expresamente en el artículo 2.2.1.1.1.3.1. 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F47E0F">
              <w:rPr>
                <w:rFonts w:ascii="Verdana" w:eastAsia="Arial" w:hAnsi="Verdana" w:cs="Arial"/>
                <w:i/>
                <w:iCs/>
                <w:lang w:val="es-ES" w:eastAsia="es-ES_tradnl"/>
              </w:rPr>
              <w:t>Proceso de Contratación</w:t>
            </w:r>
            <w:r w:rsidRPr="00F47E0F">
              <w:rPr>
                <w:rFonts w:ascii="Verdana" w:eastAsia="Arial" w:hAnsi="Verdana" w:cs="Arial"/>
                <w:lang w:val="es-ES" w:eastAsia="es-ES_tradnl"/>
              </w:rPr>
              <w:t xml:space="preserve">. Así,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F47E0F">
              <w:rPr>
                <w:rFonts w:ascii="Verdana" w:eastAsia="Arial" w:hAnsi="Verdana" w:cs="Arial"/>
                <w:lang w:val="es-ES" w:eastAsia="es-ES_tradnl"/>
              </w:rPr>
              <w:t>postcontractual</w:t>
            </w:r>
            <w:proofErr w:type="spellEnd"/>
            <w:r w:rsidRPr="00F47E0F">
              <w:rPr>
                <w:rFonts w:ascii="Verdana" w:eastAsia="Arial" w:hAnsi="Verdana" w:cs="Arial"/>
                <w:lang w:val="es-ES" w:eastAsia="es-ES_tradnl"/>
              </w:rPr>
              <w:t xml:space="preserve"> deberán ser publicados </w:t>
            </w:r>
            <w:r w:rsidRPr="00F47E0F">
              <w:rPr>
                <w:rFonts w:ascii="Verdana" w:eastAsia="Arial" w:hAnsi="Verdana" w:cs="Arial"/>
                <w:lang w:val="es-ES" w:eastAsia="es-ES_tradnl"/>
              </w:rPr>
              <w:lastRenderedPageBreak/>
              <w:t>en SECOP dentro de los tres (3) días siguientes a su expedición, para  cumplir el deber de publicidad regulado por el artículo 2.2.1.1.1.7.1. del Decreto 1082 de 2015.</w:t>
            </w:r>
          </w:p>
          <w:p w14:paraId="52B660AB" w14:textId="77777777" w:rsidR="00F47E0F" w:rsidRPr="00F47E0F" w:rsidRDefault="00F47E0F" w:rsidP="00F47E0F">
            <w:pPr>
              <w:spacing w:after="120" w:line="276" w:lineRule="auto"/>
              <w:jc w:val="both"/>
              <w:rPr>
                <w:rFonts w:ascii="Verdana" w:eastAsia="Calibri" w:hAnsi="Verdana" w:cs="Arial"/>
              </w:rPr>
            </w:pPr>
            <w:r w:rsidRPr="00F47E0F">
              <w:rPr>
                <w:rFonts w:ascii="Verdana" w:eastAsia="Calibri" w:hAnsi="Verdana" w:cs="Arial"/>
              </w:rPr>
              <w:t xml:space="preserve">Finalmente, en virtud de que el SECOP se compone de las plataformas SECOP I y SECOP II, resulta importante señalar que, para cada una de ellas, el procedimiento de publicación podría resultar distinto, habida cuenta que, en el caso de las entidades estatales que aún publiquen su actividad contractual en el SECOP I, esta plataforma funciona como medio de publicidad, sin que exija la publicación inmediata de los documentos precontractuales y contractuales. En ese sentido, La Entidad Estatal podrá publicar tales documentos dentro del término previsto por el artículo citado. No obstante, la plataforma SECOP II es una plataforma esencialmente transaccional, de contratación en línea, donde se gestionan todas las etapas del Proceso de Contratación, lo cual supone que los documentos que se expidan en el marco de cada una de las etapas, deberán publicarse al tiempo en que se realiza la gestión transaccional, lo que ameritaría una publicación inmediata, en la medida en que deben ser puestos en conocimiento de los partícipes del </w:t>
            </w:r>
            <w:r w:rsidRPr="00F47E0F">
              <w:rPr>
                <w:rFonts w:ascii="Verdana" w:eastAsia="Calibri" w:hAnsi="Verdana" w:cs="Arial"/>
                <w:lang w:val="es-ES"/>
              </w:rPr>
              <w:t>Sistema</w:t>
            </w:r>
            <w:r w:rsidRPr="00F47E0F">
              <w:rPr>
                <w:rFonts w:ascii="Verdana" w:eastAsia="Calibri" w:hAnsi="Verdana" w:cs="Arial"/>
              </w:rPr>
              <w:t xml:space="preserve"> de Compra Pública, interesados en consultarlos. </w:t>
            </w:r>
          </w:p>
          <w:p w14:paraId="39A755EA" w14:textId="77777777" w:rsidR="00F47E0F" w:rsidRPr="00F47E0F" w:rsidRDefault="00F47E0F" w:rsidP="00F47E0F">
            <w:pPr>
              <w:spacing w:line="276" w:lineRule="auto"/>
              <w:jc w:val="both"/>
              <w:rPr>
                <w:rFonts w:ascii="Verdana" w:eastAsia="Calibri" w:hAnsi="Verdana" w:cs="Arial"/>
              </w:rPr>
            </w:pPr>
            <w:r w:rsidRPr="00F47E0F">
              <w:rPr>
                <w:rFonts w:ascii="Verdana" w:eastAsia="Calibri" w:hAnsi="Verdana" w:cs="Arial"/>
              </w:rPr>
              <w:t>Por último, al margen de la explicación precedente debe advertirse que el análisis requerido para resolver problemas específicos en torno a la gestión contractual de las entidades públicas o para determinar responsabilidades de los funcionarios públicos debe ser realizado por quienes tengan interés en ello, de acuerdo con lo explicado en la presente respuesta.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6397CB05" w14:textId="77777777" w:rsidR="00F47E0F" w:rsidRPr="00F47E0F" w:rsidRDefault="00F47E0F" w:rsidP="00F47E0F">
            <w:pPr>
              <w:spacing w:line="276" w:lineRule="auto"/>
              <w:jc w:val="both"/>
              <w:rPr>
                <w:rFonts w:ascii="Verdana" w:eastAsia="Calibri" w:hAnsi="Verdana" w:cs="Arial"/>
              </w:rPr>
            </w:pPr>
          </w:p>
          <w:p w14:paraId="515476ED" w14:textId="77777777" w:rsidR="00F47E0F" w:rsidRPr="00F47E0F" w:rsidRDefault="00F47E0F" w:rsidP="00F47E0F">
            <w:pPr>
              <w:spacing w:after="120" w:line="276" w:lineRule="auto"/>
              <w:jc w:val="both"/>
              <w:rPr>
                <w:rFonts w:ascii="Verdana" w:eastAsia="Calibri" w:hAnsi="Verdana" w:cs="Arial"/>
                <w:lang w:val="es-ES_tradnl" w:eastAsia="es-ES"/>
              </w:rPr>
            </w:pPr>
            <w:proofErr w:type="spellStart"/>
            <w:r w:rsidRPr="00F47E0F">
              <w:rPr>
                <w:rFonts w:ascii="Verdana" w:eastAsia="Calibri" w:hAnsi="Verdana" w:cs="Arial"/>
              </w:rPr>
              <w:t>ii</w:t>
            </w:r>
            <w:proofErr w:type="spellEnd"/>
            <w:r w:rsidRPr="00F47E0F">
              <w:rPr>
                <w:rFonts w:ascii="Verdana" w:eastAsia="Calibri" w:hAnsi="Verdana" w:cs="Arial"/>
              </w:rPr>
              <w:t xml:space="preserve">) </w:t>
            </w:r>
            <w:r w:rsidRPr="00F47E0F">
              <w:rPr>
                <w:rFonts w:ascii="Verdana" w:eastAsia="Calibri" w:hAnsi="Verdana" w:cs="Arial"/>
                <w:lang w:val="es-ES_tradnl" w:eastAsia="es-ES"/>
              </w:rPr>
              <w:t xml:space="preserve">Es posible que el constituyente o el legislador establezcan reservas de cierta información pública. En este sentido, en desarrollo de cualquier proceso contractual, independientemente de la modalidad de selección, es posible que los documentos del proceso contengan información sometida a reserva, de acuerdo con las causales establecidas en la Constitución o en la ley, caso en el cual dicha información no debe publicarse en el SECOP, precisamente por tratarse de información reservada. En estos casos, debe procederse conforme </w:t>
            </w:r>
            <w:r w:rsidRPr="00F47E0F">
              <w:rPr>
                <w:rFonts w:ascii="Verdana" w:eastAsia="Calibri" w:hAnsi="Verdana" w:cs="Arial"/>
                <w:lang w:val="es-ES_tradnl" w:eastAsia="es-ES"/>
              </w:rPr>
              <w:lastRenderedPageBreak/>
              <w:t xml:space="preserve">lo establecido en la Ley 1712 de 2014, particularmente, cumpliendo las obligaciones y los deberes establecidos en el título III “Excepciones acceso a la </w:t>
            </w:r>
            <w:r w:rsidRPr="00F47E0F">
              <w:rPr>
                <w:rFonts w:ascii="Verdana" w:eastAsia="Calibri" w:hAnsi="Verdana" w:cs="Arial"/>
                <w:lang w:val="es-ES"/>
              </w:rPr>
              <w:t>información</w:t>
            </w:r>
            <w:r w:rsidRPr="00F47E0F">
              <w:rPr>
                <w:rFonts w:ascii="Verdana" w:eastAsia="Calibri" w:hAnsi="Verdana" w:cs="Arial"/>
                <w:lang w:val="es-ES_tradnl" w:eastAsia="es-ES"/>
              </w:rPr>
              <w:t>”.</w:t>
            </w:r>
          </w:p>
          <w:p w14:paraId="30634275" w14:textId="77777777" w:rsidR="00F47E0F" w:rsidRPr="00F47E0F" w:rsidRDefault="00F47E0F" w:rsidP="00F47E0F">
            <w:pPr>
              <w:spacing w:after="120" w:line="276" w:lineRule="auto"/>
              <w:jc w:val="both"/>
              <w:rPr>
                <w:rFonts w:ascii="Verdana" w:eastAsia="Calibri" w:hAnsi="Verdana" w:cs="Arial"/>
                <w:lang w:val="es-ES_tradnl"/>
              </w:rPr>
            </w:pPr>
            <w:r w:rsidRPr="00F47E0F">
              <w:rPr>
                <w:rFonts w:ascii="Verdana" w:eastAsia="Calibri" w:hAnsi="Verdana" w:cs="Arial"/>
                <w:lang w:val="es-ES_tradnl"/>
              </w:rPr>
              <w:t xml:space="preserve">Por tanto, para determinar los documentos sometidos a reserva, la entidad contratante y los responsables de adelantar la contratación deben verificar las normas que dispongan la reserva de la información y proceder a su </w:t>
            </w:r>
            <w:r w:rsidRPr="00F47E0F">
              <w:rPr>
                <w:rFonts w:ascii="Verdana" w:eastAsia="Calibri" w:hAnsi="Verdana" w:cs="Arial"/>
                <w:lang w:val="es-ES"/>
              </w:rPr>
              <w:t>cumplimiento</w:t>
            </w:r>
            <w:r w:rsidRPr="00F47E0F">
              <w:rPr>
                <w:rFonts w:ascii="Verdana" w:eastAsia="Calibri" w:hAnsi="Verdana" w:cs="Arial"/>
                <w:lang w:val="es-ES_tradnl"/>
              </w:rPr>
              <w:t xml:space="preserve"> en el marco del proceso de selección. Por otra parte, sobre si esta Agencia ha expedido un documento tipo que contenga un lineamiento al respecto, se aclara que los Documentos tipo no tienen el propósito de establecer lineamientos sobre temas de la contratación estatal como reserva de documentos sino que son los documentos adoptados por el Gobierno Nacional que incluyen las condiciones habilitantes, factores técnicos, económicos y otros factores de escogencia de carácter obligatorio para las Entidades Estatales sometidas al régimen general de contratación pública respecto de un tipo de contrato determinado.</w:t>
            </w:r>
          </w:p>
          <w:p w14:paraId="6AF94C9B" w14:textId="15F10883" w:rsidR="00F47E0F" w:rsidRPr="00F47E0F" w:rsidRDefault="00F47E0F" w:rsidP="00F47E0F">
            <w:pPr>
              <w:spacing w:line="276" w:lineRule="auto"/>
              <w:jc w:val="both"/>
              <w:rPr>
                <w:rFonts w:ascii="Verdana" w:eastAsia="Calibri" w:hAnsi="Verdana" w:cs="Arial"/>
                <w:lang w:val="es-ES"/>
              </w:rPr>
            </w:pPr>
            <w:r w:rsidRPr="00F47E0F">
              <w:rPr>
                <w:rFonts w:ascii="Verdana" w:eastAsia="Calibri" w:hAnsi="Verdana" w:cs="Arial"/>
                <w:lang w:val="es-ES"/>
              </w:rPr>
              <w:t xml:space="preserve">Finalmente, respecto de sus preguntas sobre ““Crear” vs. “alimentar” el proceso </w:t>
            </w:r>
            <w:r w:rsidR="3178DE94" w:rsidRPr="66D9BDA2">
              <w:rPr>
                <w:rFonts w:ascii="Verdana" w:eastAsia="Calibri" w:hAnsi="Verdana" w:cs="Arial"/>
                <w:lang w:val="es-ES"/>
              </w:rPr>
              <w:t>¿Cuál es la diferencia jurídica entre: 1?</w:t>
            </w:r>
            <w:r w:rsidRPr="00F47E0F">
              <w:rPr>
                <w:rFonts w:ascii="Verdana" w:eastAsia="Calibri" w:hAnsi="Verdana" w:cs="Arial"/>
                <w:lang w:val="es-ES"/>
              </w:rPr>
              <w:t xml:space="preserve"> Crear el registro del proceso en la plataforma, y 2. ¿Subir o actualizar los documentos que lo soportan?”</w:t>
            </w:r>
            <w:r w:rsidRPr="00F47E0F">
              <w:rPr>
                <w:rFonts w:ascii="Verdana" w:eastAsia="Calibri" w:hAnsi="Verdana" w:cs="Arial"/>
              </w:rPr>
              <w:t>, adjuntamos la respuesta de la Subdirección de Información y Desarrollo Tecnológico</w:t>
            </w:r>
            <w:r w:rsidR="1CD31328" w:rsidRPr="66D9BDA2">
              <w:rPr>
                <w:rFonts w:ascii="Verdana" w:eastAsia="Calibri" w:hAnsi="Verdana" w:cs="Arial"/>
              </w:rPr>
              <w:t xml:space="preserve"> de la Agencia Nacional de Contratación Pública Colombia Compra Eficiente que o</w:t>
            </w:r>
            <w:r w:rsidR="4724A9D3" w:rsidRPr="66D9BDA2">
              <w:rPr>
                <w:rFonts w:ascii="Verdana" w:eastAsia="Calibri" w:hAnsi="Verdana" w:cs="Arial"/>
              </w:rPr>
              <w:t xml:space="preserve">frece </w:t>
            </w:r>
            <w:r w:rsidR="1CD31328" w:rsidRPr="66D9BDA2">
              <w:rPr>
                <w:rFonts w:ascii="Verdana" w:eastAsia="Calibri" w:hAnsi="Verdana" w:cs="Arial"/>
              </w:rPr>
              <w:t>claridad sobre el particular</w:t>
            </w:r>
            <w:r w:rsidRPr="00F47E0F">
              <w:rPr>
                <w:rFonts w:ascii="Verdana" w:eastAsia="Calibri" w:hAnsi="Verdana" w:cs="Arial"/>
              </w:rPr>
              <w:t>.</w:t>
            </w:r>
          </w:p>
        </w:tc>
      </w:tr>
    </w:tbl>
    <w:p w14:paraId="14B028EE" w14:textId="77777777" w:rsidR="00F47E0F" w:rsidRPr="00F47E0F" w:rsidRDefault="00F47E0F" w:rsidP="00F47E0F">
      <w:pPr>
        <w:tabs>
          <w:tab w:val="left" w:pos="142"/>
          <w:tab w:val="left" w:pos="284"/>
        </w:tabs>
        <w:spacing w:after="0" w:line="276" w:lineRule="auto"/>
        <w:jc w:val="both"/>
        <w:rPr>
          <w:rFonts w:ascii="Verdana" w:eastAsia="Century Gothic" w:hAnsi="Verdana" w:cs="Century Gothic"/>
          <w:b/>
          <w:bCs/>
          <w:lang w:val="es-ES"/>
        </w:rPr>
      </w:pPr>
    </w:p>
    <w:p w14:paraId="451EFED0" w14:textId="77777777" w:rsidR="00F47E0F" w:rsidRPr="00F47E0F" w:rsidRDefault="00F47E0F" w:rsidP="00F47E0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Razones de las respuestas:</w:t>
      </w:r>
    </w:p>
    <w:p w14:paraId="51224EEC" w14:textId="77777777" w:rsidR="00F47E0F" w:rsidRPr="00F47E0F" w:rsidRDefault="00F47E0F" w:rsidP="00F47E0F">
      <w:pPr>
        <w:spacing w:after="0" w:line="276" w:lineRule="auto"/>
        <w:jc w:val="both"/>
        <w:rPr>
          <w:rFonts w:ascii="Verdana" w:eastAsia="Calibri" w:hAnsi="Verdana" w:cs="Arial"/>
          <w:lang w:val="es-ES"/>
        </w:rPr>
      </w:pPr>
    </w:p>
    <w:p w14:paraId="2C3A9A03" w14:textId="77777777" w:rsidR="00F47E0F" w:rsidRPr="00F47E0F" w:rsidRDefault="00F47E0F" w:rsidP="00F47E0F">
      <w:pPr>
        <w:spacing w:after="0" w:line="276" w:lineRule="auto"/>
        <w:jc w:val="both"/>
        <w:rPr>
          <w:rFonts w:ascii="Verdana" w:eastAsia="Calibri" w:hAnsi="Verdana" w:cs="Arial"/>
          <w:lang w:val="es-ES"/>
        </w:rPr>
      </w:pPr>
      <w:r w:rsidRPr="00F47E0F">
        <w:rPr>
          <w:rFonts w:ascii="Verdana" w:eastAsia="Calibri" w:hAnsi="Verdana" w:cs="Arial"/>
          <w:lang w:val="es-ES"/>
        </w:rPr>
        <w:t xml:space="preserve">Lo anterior se sustenta en las siguientes consideraciones: </w:t>
      </w:r>
    </w:p>
    <w:p w14:paraId="5F333C9B" w14:textId="77777777" w:rsidR="00F47E0F" w:rsidRPr="00F47E0F" w:rsidRDefault="00F47E0F" w:rsidP="00F47E0F">
      <w:pPr>
        <w:tabs>
          <w:tab w:val="left" w:pos="709"/>
        </w:tabs>
        <w:spacing w:before="120" w:after="120" w:line="276" w:lineRule="auto"/>
        <w:jc w:val="both"/>
        <w:rPr>
          <w:rFonts w:ascii="Verdana" w:eastAsia="Aptos" w:hAnsi="Verdana" w:cs="Arial"/>
          <w:bCs/>
        </w:rPr>
      </w:pPr>
    </w:p>
    <w:p w14:paraId="4BA8E624" w14:textId="77777777" w:rsidR="00F47E0F" w:rsidRPr="00F47E0F" w:rsidRDefault="00F47E0F" w:rsidP="00F47E0F">
      <w:pPr>
        <w:tabs>
          <w:tab w:val="left" w:pos="709"/>
        </w:tabs>
        <w:spacing w:before="120" w:after="120" w:line="276" w:lineRule="auto"/>
        <w:jc w:val="both"/>
        <w:rPr>
          <w:rFonts w:ascii="Verdana" w:eastAsia="Calibri" w:hAnsi="Verdana" w:cs="Arial"/>
          <w:shd w:val="clear" w:color="auto" w:fill="FFFFFF"/>
        </w:rPr>
      </w:pPr>
      <w:r w:rsidRPr="00F47E0F">
        <w:rPr>
          <w:rFonts w:ascii="Verdana" w:eastAsia="Aptos" w:hAnsi="Verdana" w:cs="Arial"/>
          <w:bCs/>
        </w:rPr>
        <w:t xml:space="preserve">Es preciso indicar que </w:t>
      </w:r>
      <w:r w:rsidRPr="00F47E0F">
        <w:rPr>
          <w:rFonts w:ascii="Verdana" w:eastAsia="Calibri" w:hAnsi="Verdana" w:cs="Arial"/>
          <w:shd w:val="clear" w:color="auto" w:fill="FFFFFF"/>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F47E0F">
        <w:rPr>
          <w:rFonts w:ascii="Verdana" w:eastAsia="Calibri" w:hAnsi="Verdana" w:cs="Arial"/>
          <w:i/>
          <w:iCs/>
          <w:u w:val="single"/>
          <w:shd w:val="clear" w:color="auto" w:fill="FFFFFF"/>
        </w:rPr>
        <w:t>realizada con dineros públicos</w:t>
      </w:r>
      <w:r w:rsidRPr="00F47E0F">
        <w:rPr>
          <w:rFonts w:ascii="Verdana" w:eastAsia="Calibri" w:hAnsi="Verdana" w:cs="Arial"/>
          <w:shd w:val="clear" w:color="auto" w:fill="FFFFFF"/>
        </w:rPr>
        <w:t xml:space="preserve">, para lo cual establecerá los patrones a que haya lugar y se </w:t>
      </w:r>
      <w:r w:rsidRPr="00F47E0F">
        <w:rPr>
          <w:rFonts w:ascii="Verdana" w:eastAsia="Calibri" w:hAnsi="Verdana" w:cs="Arial"/>
          <w:shd w:val="clear" w:color="auto" w:fill="FFFFFF"/>
        </w:rPr>
        <w:lastRenderedPageBreak/>
        <w:t>encargará de su difusión a través de canales electrónicos”</w:t>
      </w:r>
      <w:r w:rsidRPr="00F47E0F">
        <w:rPr>
          <w:rFonts w:ascii="Aptos" w:eastAsia="Aptos" w:hAnsi="Aptos" w:cs="Times New Roman"/>
          <w:color w:val="000000"/>
          <w:vertAlign w:val="superscript"/>
          <w:lang w:val="es-ES_tradnl"/>
        </w:rPr>
        <w:footnoteReference w:id="1"/>
      </w:r>
      <w:r w:rsidRPr="00F47E0F">
        <w:rPr>
          <w:rFonts w:ascii="Verdana" w:eastAsia="Calibri" w:hAnsi="Verdana" w:cs="Arial"/>
          <w:color w:val="000000"/>
          <w:lang w:val="es-ES_tradnl"/>
        </w:rPr>
        <w:t>. [Énfasis fuera de texto]</w:t>
      </w:r>
    </w:p>
    <w:p w14:paraId="2991D922" w14:textId="77777777" w:rsidR="00F47E0F" w:rsidRPr="00F47E0F" w:rsidRDefault="00F47E0F" w:rsidP="00F47E0F">
      <w:pPr>
        <w:spacing w:before="120" w:after="120" w:line="276" w:lineRule="auto"/>
        <w:ind w:firstLine="709"/>
        <w:jc w:val="both"/>
        <w:rPr>
          <w:rFonts w:ascii="Verdana" w:eastAsia="Calibri" w:hAnsi="Verdana" w:cs="Arial"/>
          <w:color w:val="000000"/>
          <w:lang w:val="es-ES_tradnl"/>
        </w:rPr>
      </w:pPr>
      <w:r w:rsidRPr="00F47E0F">
        <w:rPr>
          <w:rFonts w:ascii="Verdana" w:eastAsia="Calibri" w:hAnsi="Verdana" w:cs="Arial"/>
          <w:shd w:val="clear" w:color="auto" w:fill="FFFFFF"/>
        </w:rPr>
        <w:t>En ese sentido, la Ley 1712 de 2014 –ley estatutaria que regula la transparencia y el derecho de acceso a la información y a los documentos públicos–; identifica como principios que orientan el derecho de acceso a la información pública, el</w:t>
      </w:r>
      <w:r w:rsidRPr="00F47E0F">
        <w:rPr>
          <w:rFonts w:ascii="Verdana" w:eastAsia="Calibri" w:hAnsi="Verdana" w:cs="Arial"/>
          <w:color w:val="000000"/>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47E0F">
        <w:rPr>
          <w:rFonts w:ascii="Aptos" w:eastAsia="Aptos" w:hAnsi="Aptos" w:cs="Times New Roman"/>
          <w:color w:val="000000"/>
          <w:vertAlign w:val="superscript"/>
          <w:lang w:val="es-ES_tradnl"/>
        </w:rPr>
        <w:footnoteReference w:id="2"/>
      </w:r>
      <w:r w:rsidRPr="00F47E0F">
        <w:rPr>
          <w:rFonts w:ascii="Verdana" w:eastAsia="Calibri" w:hAnsi="Verdana" w:cs="Arial"/>
          <w:color w:val="000000"/>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F47E0F">
        <w:rPr>
          <w:rFonts w:ascii="Aptos" w:eastAsia="Aptos" w:hAnsi="Aptos" w:cs="Times New Roman"/>
          <w:color w:val="000000"/>
          <w:vertAlign w:val="superscript"/>
          <w:lang w:val="es-ES_tradnl"/>
        </w:rPr>
        <w:footnoteReference w:id="3"/>
      </w:r>
      <w:r w:rsidRPr="00F47E0F">
        <w:rPr>
          <w:rFonts w:ascii="Verdana" w:eastAsia="Calibri" w:hAnsi="Verdana" w:cs="Arial"/>
          <w:color w:val="000000"/>
          <w:lang w:val="es-ES_tradnl"/>
        </w:rPr>
        <w:t>, deben publicar la información relativa a su contratación. Esta obligación fue desarrollada por el Decreto Único Reglamentario 1082 de 2015</w:t>
      </w:r>
      <w:r w:rsidRPr="00F47E0F">
        <w:rPr>
          <w:rFonts w:ascii="Aptos" w:eastAsia="Aptos" w:hAnsi="Aptos" w:cs="Times New Roman"/>
          <w:color w:val="000000"/>
          <w:vertAlign w:val="superscript"/>
          <w:lang w:val="es-ES_tradnl"/>
        </w:rPr>
        <w:footnoteReference w:id="4"/>
      </w:r>
      <w:r w:rsidRPr="00F47E0F">
        <w:rPr>
          <w:rFonts w:ascii="Verdana" w:eastAsia="Calibri" w:hAnsi="Verdana" w:cs="Arial"/>
          <w:color w:val="000000"/>
          <w:lang w:val="es-ES_tradnl"/>
        </w:rPr>
        <w:t xml:space="preserve">, </w:t>
      </w:r>
      <w:r w:rsidRPr="00F47E0F">
        <w:rPr>
          <w:rFonts w:ascii="Verdana" w:eastAsia="Calibri" w:hAnsi="Verdana" w:cs="Arial"/>
          <w:color w:val="000000"/>
          <w:lang w:val="es-ES_tradnl"/>
        </w:rPr>
        <w:lastRenderedPageBreak/>
        <w:t>el cual dispuso que la publicación de la información contractual de los sujetos obligados, que contratan con cargo a recursos públicos, debe hacerse en el SECOP.</w:t>
      </w:r>
    </w:p>
    <w:p w14:paraId="5B43AFF6" w14:textId="77777777" w:rsidR="00F47E0F" w:rsidRPr="00F47E0F" w:rsidRDefault="00F47E0F" w:rsidP="00F47E0F">
      <w:pPr>
        <w:spacing w:before="120" w:after="0" w:line="276" w:lineRule="auto"/>
        <w:ind w:firstLine="708"/>
        <w:contextualSpacing/>
        <w:jc w:val="both"/>
        <w:rPr>
          <w:rFonts w:ascii="Verdana" w:eastAsia="Times New Roman" w:hAnsi="Verdana" w:cs="Arial"/>
          <w:color w:val="000000"/>
          <w:szCs w:val="24"/>
          <w:lang w:val="es-ES_tradnl" w:eastAsia="es-ES_tradnl"/>
        </w:rPr>
      </w:pPr>
      <w:r w:rsidRPr="00F47E0F">
        <w:rPr>
          <w:rFonts w:ascii="Verdana" w:eastAsia="Times New Roman" w:hAnsi="Verdana" w:cs="Arial"/>
          <w:color w:val="000000"/>
          <w:szCs w:val="24"/>
          <w:lang w:val="es-ES_tradnl" w:eastAsia="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F47E0F">
        <w:rPr>
          <w:rFonts w:ascii="Verdana" w:eastAsia="Calibri" w:hAnsi="Verdana" w:cs="Arial"/>
          <w:color w:val="000000"/>
          <w:szCs w:val="24"/>
          <w:lang w:val="es-ES_tradnl" w:eastAsia="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47E0F">
        <w:rPr>
          <w:rFonts w:ascii="Aptos" w:eastAsia="Calibri" w:hAnsi="Aptos" w:cs="Times New Roman"/>
          <w:vertAlign w:val="superscript"/>
          <w:lang w:val="es-ES_tradnl" w:eastAsia="es-ES_tradnl"/>
        </w:rPr>
        <w:footnoteReference w:id="5"/>
      </w:r>
      <w:r w:rsidRPr="00F47E0F">
        <w:rPr>
          <w:rFonts w:ascii="Verdana" w:eastAsia="Calibri" w:hAnsi="Verdana" w:cs="Arial"/>
          <w:color w:val="000000"/>
          <w:szCs w:val="24"/>
          <w:lang w:val="es-ES_tradnl" w:eastAsia="es-ES_tradnl"/>
        </w:rPr>
        <w:t>.</w:t>
      </w:r>
    </w:p>
    <w:p w14:paraId="4EC25C90" w14:textId="77777777" w:rsidR="00F47E0F" w:rsidRPr="00F47E0F" w:rsidRDefault="00F47E0F" w:rsidP="00F47E0F">
      <w:pPr>
        <w:tabs>
          <w:tab w:val="left" w:pos="709"/>
        </w:tabs>
        <w:spacing w:before="120" w:after="120" w:line="276" w:lineRule="auto"/>
        <w:jc w:val="both"/>
        <w:rPr>
          <w:rFonts w:ascii="Verdana" w:eastAsia="Calibri" w:hAnsi="Verdana" w:cs="Arial"/>
          <w:shd w:val="clear" w:color="auto" w:fill="FFFFFF"/>
        </w:rPr>
      </w:pPr>
      <w:r w:rsidRPr="00F47E0F">
        <w:rPr>
          <w:rFonts w:ascii="Verdana" w:eastAsia="Calibri" w:hAnsi="Verdana" w:cs="Arial"/>
          <w:shd w:val="clear" w:color="auto" w:fill="FFFFFF"/>
        </w:rPr>
        <w:tab/>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 Sin embargo, en lo referente a las Entidades exceptuadas del EGCAP, es decir aquellas que se rigen por disposiciones especiales y el derecho privado, debe señalarse que en virtud de lo dispuesto en el artículo 53 de la Ley 2195 de 2022</w:t>
      </w:r>
      <w:r w:rsidRPr="00F47E0F">
        <w:rPr>
          <w:rFonts w:ascii="Aptos" w:eastAsia="Aptos" w:hAnsi="Aptos" w:cs="Times New Roman"/>
          <w:shd w:val="clear" w:color="auto" w:fill="FFFFFF"/>
          <w:vertAlign w:val="superscript"/>
        </w:rPr>
        <w:footnoteReference w:id="6"/>
      </w:r>
      <w:r w:rsidRPr="00F47E0F">
        <w:rPr>
          <w:rFonts w:ascii="Verdana" w:eastAsia="Calibri" w:hAnsi="Verdana" w:cs="Arial"/>
          <w:shd w:val="clear" w:color="auto" w:fill="FFFFFF"/>
        </w:rPr>
        <w:t>, mediante el cual se adiciona el artículo 13 a la Ley 1150 de 2007, asigna a dichas entidades la obligación de publicar los documentos relacionados con su actividad contractual en el SECOP II o la plataforma transaccional que haga sus veces.</w:t>
      </w:r>
    </w:p>
    <w:p w14:paraId="1165E53E" w14:textId="77777777" w:rsidR="00F47E0F" w:rsidRPr="00F47E0F" w:rsidRDefault="00F47E0F" w:rsidP="00F47E0F">
      <w:pPr>
        <w:spacing w:after="120" w:line="276" w:lineRule="auto"/>
        <w:ind w:firstLine="709"/>
        <w:jc w:val="both"/>
        <w:rPr>
          <w:rFonts w:ascii="Verdana" w:eastAsia="Calibri" w:hAnsi="Verdana" w:cs="Arial"/>
          <w:bCs/>
          <w:lang w:val="es-MX"/>
        </w:rPr>
      </w:pPr>
      <w:r w:rsidRPr="00F47E0F">
        <w:rPr>
          <w:rFonts w:ascii="Verdana" w:eastAsia="Calibri" w:hAnsi="Verdana" w:cs="Arial"/>
          <w:bCs/>
          <w:lang w:val="es-MX"/>
        </w:rPr>
        <w:lastRenderedPageBreak/>
        <w:t>En ese orden, y atendiendo al objeto de la consulta, debe analizarse el alcance de esta obligación para determinar si esta aplica a toda la actividad contractual desarrollada por este tipo de entidades. De esta forma, se tiene que e</w:t>
      </w:r>
      <w:r w:rsidRPr="00F47E0F">
        <w:rPr>
          <w:rFonts w:ascii="Verdana" w:eastAsia="Calibri" w:hAnsi="Verdana" w:cs="Arial"/>
          <w:lang w:val="es-ES_tradnl" w:eastAsia="es-ES_tradnl"/>
        </w:rPr>
        <w:t>l artículo 53 de la Ley 2195 de 2022 dispone que las entidades con regímenes especiales “deberán publicar los documentos relacionados con su actividad contractual en el Sistema Electrónico para la Contratación Pública (SECOP II) o la plataforma transaccional que haga sus veces”. Como puede observarse, la disposición objeto de estudio no señala de forma expresa si el deber de las entidades exceptuadas de publicar todos los documentos relacionados con su actividad contractual aplica para todos los contratos que se celebren o si, por el contrario, esta obligación sólo se impone respecto de aquellos contratos cuya fuente de financiación proviene de recursos públicos.</w:t>
      </w:r>
    </w:p>
    <w:p w14:paraId="0D1848B4" w14:textId="77777777" w:rsidR="00F47E0F" w:rsidRPr="00F47E0F" w:rsidRDefault="00F47E0F" w:rsidP="00F47E0F">
      <w:pPr>
        <w:tabs>
          <w:tab w:val="left" w:pos="0"/>
        </w:tabs>
        <w:spacing w:before="120" w:after="120" w:line="276" w:lineRule="auto"/>
        <w:jc w:val="both"/>
        <w:rPr>
          <w:rFonts w:ascii="Verdana" w:eastAsia="Calibri" w:hAnsi="Verdana" w:cs="Arial"/>
          <w:lang w:val="es-ES_tradnl" w:eastAsia="es-ES_tradnl"/>
        </w:rPr>
      </w:pPr>
      <w:r w:rsidRPr="00F47E0F">
        <w:rPr>
          <w:rFonts w:ascii="Verdana" w:eastAsia="Calibri" w:hAnsi="Verdana" w:cs="Arial"/>
          <w:lang w:val="es-ES_tradnl" w:eastAsia="es-ES_tradnl"/>
        </w:rPr>
        <w:tab/>
        <w:t xml:space="preserve">De la lectura del artículo antes citado se pueden extraer al menos dos (2) posturas contrapuestas relacionadas con la interpretación que se realice de la norma. En primer lugar, una interpretación </w:t>
      </w:r>
      <w:r w:rsidRPr="00F47E0F">
        <w:rPr>
          <w:rFonts w:ascii="Verdana" w:eastAsia="Calibri" w:hAnsi="Verdana" w:cs="Arial"/>
          <w:i/>
          <w:iCs/>
          <w:lang w:val="es-ES_tradnl" w:eastAsia="es-ES_tradnl"/>
        </w:rPr>
        <w:t xml:space="preserve">exegética </w:t>
      </w:r>
      <w:r w:rsidRPr="00F47E0F">
        <w:rPr>
          <w:rFonts w:ascii="Verdana" w:eastAsia="Calibri" w:hAnsi="Verdana" w:cs="Arial"/>
          <w:lang w:val="es-ES_tradnl"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F47E0F">
        <w:rPr>
          <w:rFonts w:ascii="Verdana" w:eastAsia="Calibri" w:hAnsi="Verdana" w:cs="Arial"/>
          <w:i/>
          <w:iCs/>
          <w:lang w:val="es-ES_tradnl" w:eastAsia="es-ES_tradnl"/>
        </w:rPr>
        <w:t xml:space="preserve">sistemática </w:t>
      </w:r>
      <w:r w:rsidRPr="00F47E0F">
        <w:rPr>
          <w:rFonts w:ascii="Verdana" w:eastAsia="Calibri" w:hAnsi="Verdana" w:cs="Arial"/>
          <w:lang w:val="es-ES_tradnl"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F47E0F">
        <w:rPr>
          <w:rFonts w:ascii="Verdana" w:eastAsia="Calibri" w:hAnsi="Verdana" w:cs="Arial"/>
          <w:i/>
          <w:iCs/>
          <w:lang w:val="es-ES_tradnl" w:eastAsia="es-ES_tradnl"/>
        </w:rPr>
        <w:t xml:space="preserve">dineros públicos, </w:t>
      </w:r>
      <w:r w:rsidRPr="00F47E0F">
        <w:rPr>
          <w:rFonts w:ascii="Verdana" w:eastAsia="Calibri" w:hAnsi="Verdana" w:cs="Arial"/>
          <w:lang w:val="es-ES_tradnl"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77A9D84F" w14:textId="77777777" w:rsidR="00F47E0F" w:rsidRPr="00F47E0F" w:rsidRDefault="00F47E0F" w:rsidP="00F47E0F">
      <w:pPr>
        <w:spacing w:before="120" w:after="120" w:line="276" w:lineRule="auto"/>
        <w:ind w:firstLine="709"/>
        <w:jc w:val="both"/>
        <w:rPr>
          <w:rFonts w:ascii="Verdana" w:eastAsia="Calibri" w:hAnsi="Verdana" w:cs="Arial"/>
          <w:lang w:val="es-ES" w:eastAsia="es-ES"/>
        </w:rPr>
      </w:pPr>
      <w:r w:rsidRPr="00F47E0F">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00F47E0F">
        <w:rPr>
          <w:rFonts w:ascii="Verdana" w:eastAsia="Calibri" w:hAnsi="Verdana" w:cs="Arial"/>
          <w:lang w:val="es-ES" w:eastAsia="es-ES"/>
        </w:rPr>
        <w:t>ii</w:t>
      </w:r>
      <w:proofErr w:type="spellEnd"/>
      <w:r w:rsidRPr="00F47E0F">
        <w:rPr>
          <w:rFonts w:ascii="Verdana" w:eastAsia="Calibri" w:hAnsi="Verdana" w:cs="Arial"/>
          <w:lang w:val="es-ES" w:eastAsia="es-ES"/>
        </w:rPr>
        <w:t xml:space="preserve">) el artículo 3, literal c) de la Ley 1150 de 2007, </w:t>
      </w:r>
      <w:proofErr w:type="spellStart"/>
      <w:r w:rsidRPr="00F47E0F">
        <w:rPr>
          <w:rFonts w:ascii="Verdana" w:eastAsia="Calibri" w:hAnsi="Verdana" w:cs="Arial"/>
          <w:lang w:val="es-ES" w:eastAsia="es-ES"/>
        </w:rPr>
        <w:t>iii</w:t>
      </w:r>
      <w:proofErr w:type="spellEnd"/>
      <w:r w:rsidRPr="00F47E0F">
        <w:rPr>
          <w:rFonts w:ascii="Verdana" w:eastAsia="Calibri" w:hAnsi="Verdana" w:cs="Arial"/>
          <w:lang w:val="es-ES" w:eastAsia="es-ES"/>
        </w:rPr>
        <w:t xml:space="preserve">) los artículos 3, 9, literal e) y 11, literal g), de la Ley 1712 de 2014, y </w:t>
      </w:r>
      <w:proofErr w:type="spellStart"/>
      <w:r w:rsidRPr="00F47E0F">
        <w:rPr>
          <w:rFonts w:ascii="Verdana" w:eastAsia="Calibri" w:hAnsi="Verdana" w:cs="Arial"/>
          <w:lang w:val="es-ES" w:eastAsia="es-ES"/>
        </w:rPr>
        <w:t>iv</w:t>
      </w:r>
      <w:proofErr w:type="spellEnd"/>
      <w:r w:rsidRPr="00F47E0F">
        <w:rPr>
          <w:rFonts w:ascii="Verdana" w:eastAsia="Calibri" w:hAnsi="Verdana" w:cs="Arial"/>
          <w:lang w:val="es-ES" w:eastAsia="es-ES"/>
        </w:rPr>
        <w:t xml:space="preserve">) los </w:t>
      </w:r>
      <w:r w:rsidRPr="00F47E0F">
        <w:rPr>
          <w:rFonts w:ascii="Verdana" w:eastAsia="Calibri" w:hAnsi="Verdana" w:cs="Arial"/>
          <w:lang w:val="es-ES" w:eastAsia="es-ES"/>
        </w:rPr>
        <w:lastRenderedPageBreak/>
        <w:t>artículos 7 al 10 del Decreto 103 de 2015 –compilado en los artículos 2.1.1.1.1. al 2.1.1.6.1. del Decreto 1081 de 2015–.</w:t>
      </w:r>
    </w:p>
    <w:p w14:paraId="49DC545F" w14:textId="77777777" w:rsidR="00F47E0F" w:rsidRPr="00F47E0F" w:rsidRDefault="00F47E0F" w:rsidP="00F47E0F">
      <w:pPr>
        <w:spacing w:before="120" w:after="120" w:line="276" w:lineRule="auto"/>
        <w:ind w:firstLine="709"/>
        <w:jc w:val="both"/>
        <w:rPr>
          <w:rFonts w:ascii="Verdana" w:eastAsia="Calibri" w:hAnsi="Verdana" w:cs="Arial"/>
          <w:shd w:val="clear" w:color="auto" w:fill="FFFFFF"/>
          <w:lang w:val="es-ES"/>
        </w:rPr>
      </w:pPr>
      <w:r w:rsidRPr="00F47E0F">
        <w:rPr>
          <w:rFonts w:ascii="Verdana" w:eastAsia="Calibri" w:hAnsi="Verdana" w:cs="Arial"/>
          <w:noProof/>
          <w:lang w:val="es-ES_tradnl"/>
        </w:rPr>
        <w:t xml:space="preserve">Así las cosas, dado que el artículo 53 de la Ley 2195 de 2022 complementó las disposiciones ya establecidas en la Ley 1150 de 2007, la lectura que se haga de dicho artículo debe efectuarse de forma </w:t>
      </w:r>
      <w:r w:rsidRPr="00F47E0F">
        <w:rPr>
          <w:rFonts w:ascii="Verdana" w:eastAsia="Calibri" w:hAnsi="Verdana" w:cs="Arial"/>
          <w:i/>
          <w:iCs/>
          <w:noProof/>
          <w:lang w:val="es-ES_tradnl"/>
        </w:rPr>
        <w:t xml:space="preserve">sistemática. </w:t>
      </w:r>
      <w:r w:rsidRPr="00F47E0F">
        <w:rPr>
          <w:rFonts w:ascii="Verdana" w:eastAsia="Calibri" w:hAnsi="Verdana" w:cs="Arial"/>
          <w:noProof/>
          <w:lang w:val="es-ES_tradnl"/>
        </w:rPr>
        <w:t xml:space="preserve">En ese sentido, debe señalarse que la </w:t>
      </w:r>
      <w:r w:rsidRPr="00F47E0F">
        <w:rPr>
          <w:rFonts w:ascii="Verdana" w:eastAsia="Calibri" w:hAnsi="Verdana" w:cs="Arial"/>
          <w:lang w:val="es-ES_tradnl" w:eastAsia="es-CO"/>
        </w:rPr>
        <w:t xml:space="preserve">contratación con cargo a recursos públicos es un concepto al que alude expresamente la Ley 1150 de 2007, incluso desde el mismo título, pues este indica que dicha ley es </w:t>
      </w:r>
      <w:r w:rsidRPr="00F47E0F">
        <w:rPr>
          <w:rFonts w:ascii="Verdana" w:eastAsia="Calibri" w:hAnsi="Verdana" w:cs="Arial"/>
          <w:lang w:val="es-ES_tradnl"/>
        </w:rPr>
        <w:t>“</w:t>
      </w:r>
      <w:r w:rsidRPr="00F47E0F">
        <w:rPr>
          <w:rFonts w:ascii="Verdana" w:eastAsia="Calibri" w:hAnsi="Verdana" w:cs="Arial"/>
        </w:rPr>
        <w:t>Por medio de la cual se introducen medidas para la eficiencia y la transparencia en la Ley </w:t>
      </w:r>
      <w:hyperlink r:id="rId13" w:anchor="1" w:history="1">
        <w:r w:rsidRPr="00F47E0F">
          <w:rPr>
            <w:rFonts w:ascii="Verdana" w:eastAsia="Calibri" w:hAnsi="Verdana" w:cs="Arial"/>
          </w:rPr>
          <w:t>80</w:t>
        </w:r>
      </w:hyperlink>
      <w:r w:rsidRPr="00F47E0F">
        <w:rPr>
          <w:rFonts w:ascii="Verdana" w:eastAsia="Calibri" w:hAnsi="Verdana" w:cs="Arial"/>
        </w:rPr>
        <w:t> de 1993 y se dictan otras disposiciones generales sobre la contratación con Recursos Públicos</w:t>
      </w:r>
      <w:r w:rsidRPr="00F47E0F">
        <w:rPr>
          <w:rFonts w:ascii="Verdana" w:eastAsia="Calibri" w:hAnsi="Verdana" w:cs="Arial"/>
          <w:lang w:val="es-ES_tradnl"/>
        </w:rPr>
        <w:t>”</w:t>
      </w:r>
      <w:r w:rsidRPr="00F47E0F">
        <w:rPr>
          <w:rFonts w:ascii="Verdana" w:eastAsia="Calibri" w:hAnsi="Verdana" w:cs="Arial"/>
        </w:rPr>
        <w:t>.</w:t>
      </w:r>
      <w:r w:rsidRPr="00F47E0F">
        <w:rPr>
          <w:rFonts w:ascii="Verdana" w:eastAsia="Calibri" w:hAnsi="Verdana" w:cs="Arial"/>
          <w:lang w:val="es-ES_tradnl" w:eastAsia="es-CO"/>
        </w:rPr>
        <w:t xml:space="preserve"> Asimismo, la terminología contratación con cargo recursos públicos</w:t>
      </w:r>
      <w:r w:rsidRPr="00F47E0F">
        <w:rPr>
          <w:rFonts w:ascii="Verdana" w:eastAsia="Calibri" w:hAnsi="Verdana" w:cs="Arial"/>
          <w:i/>
          <w:iCs/>
          <w:lang w:val="es-ES_tradnl" w:eastAsia="es-CO"/>
        </w:rPr>
        <w:t xml:space="preserve"> </w:t>
      </w:r>
      <w:r w:rsidRPr="00F47E0F">
        <w:rPr>
          <w:rFonts w:ascii="Verdana" w:eastAsia="Calibri" w:hAnsi="Verdana" w:cs="Arial"/>
          <w:lang w:val="es-ES_tradnl" w:eastAsia="es-CO"/>
        </w:rPr>
        <w:t>se encuentra en el artículo primero, al definir el ámbito de aplicación de sus disposiciones</w:t>
      </w:r>
      <w:r w:rsidRPr="00F47E0F">
        <w:rPr>
          <w:rFonts w:ascii="Aptos" w:eastAsia="Aptos" w:hAnsi="Aptos" w:cs="Times New Roman"/>
          <w:vertAlign w:val="superscript"/>
          <w:lang w:val="es-ES_tradnl" w:eastAsia="es-CO"/>
        </w:rPr>
        <w:footnoteReference w:id="7"/>
      </w:r>
      <w:r w:rsidRPr="00F47E0F">
        <w:rPr>
          <w:rFonts w:ascii="Verdana" w:eastAsia="Calibri" w:hAnsi="Verdana" w:cs="Arial"/>
          <w:lang w:val="es-ES_tradnl" w:eastAsia="es-CO"/>
        </w:rPr>
        <w:t xml:space="preserve"> y en el literal c) del artículo 3 –del que surge el deber de publicar en el SECOP–, que expresamente </w:t>
      </w:r>
      <w:r w:rsidRPr="00F47E0F">
        <w:rPr>
          <w:rFonts w:ascii="Verdana" w:eastAsia="Calibri" w:hAnsi="Verdana" w:cs="Arial"/>
          <w:shd w:val="clear" w:color="auto" w:fill="FFFFFF"/>
          <w:lang w:val="es-ES"/>
        </w:rPr>
        <w:t xml:space="preserve">establece que ese aparte del artículo se aplica a la “contratación realizada con dineros públicos”. </w:t>
      </w:r>
      <w:r w:rsidRPr="00F47E0F">
        <w:rPr>
          <w:rFonts w:ascii="Verdana" w:eastAsia="Calibri" w:hAnsi="Verdana"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249D9C27" w14:textId="77777777" w:rsidR="00F47E0F" w:rsidRPr="00F47E0F" w:rsidRDefault="00F47E0F" w:rsidP="00F47E0F">
      <w:pPr>
        <w:spacing w:after="0" w:line="276" w:lineRule="auto"/>
        <w:ind w:firstLine="708"/>
        <w:contextualSpacing/>
        <w:jc w:val="both"/>
        <w:rPr>
          <w:rFonts w:ascii="Verdana" w:eastAsia="Calibri" w:hAnsi="Verdana" w:cs="Arial"/>
        </w:rPr>
      </w:pPr>
      <w:r w:rsidRPr="00F47E0F">
        <w:rPr>
          <w:rFonts w:ascii="Verdana" w:eastAsia="Calibri" w:hAnsi="Verdana" w:cs="Arial"/>
          <w:lang w:val="es-ES_tradnl" w:eastAsia="es-CO"/>
        </w:rPr>
        <w:t xml:space="preserve">Por otro lado, </w:t>
      </w:r>
      <w:r w:rsidRPr="00F47E0F">
        <w:rPr>
          <w:rFonts w:ascii="Verdana" w:eastAsia="Calibri" w:hAnsi="Verdana" w:cs="Arial"/>
        </w:rPr>
        <w:t xml:space="preserve">el Decreto 103 de 2015, mediante el cual se reglamentó la Ley 1712 de 2014, y que fue compilado </w:t>
      </w:r>
      <w:r w:rsidRPr="00F47E0F">
        <w:rPr>
          <w:rFonts w:ascii="Verdana" w:eastAsia="Calibri" w:hAnsi="Verdana" w:cs="Arial"/>
          <w:shd w:val="clear" w:color="auto" w:fill="FFFFFF"/>
        </w:rPr>
        <w:t xml:space="preserve">en los artículos 2.1.1.1.1. al 2.1.1.6.1. del Decreto 1081 de 2015–.  </w:t>
      </w:r>
      <w:r w:rsidRPr="00F47E0F">
        <w:rPr>
          <w:rFonts w:ascii="Verdana" w:eastAsia="Calibri" w:hAnsi="Verdana" w:cs="Arial"/>
        </w:rPr>
        <w:t>señala:</w:t>
      </w:r>
    </w:p>
    <w:p w14:paraId="4D7C3D43" w14:textId="77777777" w:rsidR="00F47E0F" w:rsidRPr="00F47E0F" w:rsidRDefault="00F47E0F" w:rsidP="00F47E0F">
      <w:pPr>
        <w:spacing w:after="0" w:line="276" w:lineRule="auto"/>
        <w:ind w:firstLine="784"/>
        <w:contextualSpacing/>
        <w:jc w:val="both"/>
        <w:rPr>
          <w:rFonts w:ascii="Verdana" w:eastAsia="Calibri" w:hAnsi="Verdana" w:cs="Arial"/>
        </w:rPr>
      </w:pPr>
    </w:p>
    <w:p w14:paraId="32471CEA" w14:textId="77777777" w:rsidR="00F47E0F" w:rsidRPr="00F47E0F" w:rsidRDefault="00F47E0F" w:rsidP="00F47E0F">
      <w:pPr>
        <w:spacing w:after="0" w:line="240" w:lineRule="auto"/>
        <w:ind w:left="709" w:right="709"/>
        <w:jc w:val="both"/>
        <w:rPr>
          <w:rFonts w:ascii="Verdana" w:eastAsia="Times New Roman" w:hAnsi="Verdana" w:cs="Arial"/>
          <w:sz w:val="21"/>
          <w:szCs w:val="21"/>
          <w:lang w:eastAsia="es-CO"/>
        </w:rPr>
      </w:pPr>
      <w:r w:rsidRPr="00F47E0F">
        <w:rPr>
          <w:rFonts w:ascii="Verdana" w:eastAsia="Times New Roman" w:hAnsi="Verdana" w:cs="Arial"/>
          <w:sz w:val="21"/>
          <w:szCs w:val="21"/>
          <w:lang w:eastAsia="es-CO"/>
        </w:rPr>
        <w:t>“Artículo 7°.</w:t>
      </w:r>
      <w:r w:rsidRPr="00F47E0F">
        <w:rPr>
          <w:rFonts w:ascii="Verdana" w:eastAsia="Times New Roman" w:hAnsi="Verdana" w:cs="Arial"/>
          <w:i/>
          <w:iCs/>
          <w:sz w:val="21"/>
          <w:szCs w:val="21"/>
          <w:lang w:eastAsia="es-CO"/>
        </w:rPr>
        <w:t xml:space="preserve"> Publicación de la información contractual. </w:t>
      </w:r>
      <w:r w:rsidRPr="00F47E0F">
        <w:rPr>
          <w:rFonts w:ascii="Verdana" w:eastAsia="Times New Roman" w:hAnsi="Verdana" w:cs="Arial"/>
          <w:sz w:val="21"/>
          <w:szCs w:val="21"/>
          <w:lang w:eastAsia="es-CO"/>
        </w:rPr>
        <w:t xml:space="preserve">De conformidad con el literal (c) del artículo 3° de la Ley 1150 de 2007, el sistema de información del Estado en el cual los sujetos obligados que contratan </w:t>
      </w:r>
      <w:r w:rsidRPr="00F47E0F">
        <w:rPr>
          <w:rFonts w:ascii="Verdana" w:eastAsia="Times New Roman" w:hAnsi="Verdana" w:cs="Arial"/>
          <w:i/>
          <w:iCs/>
          <w:sz w:val="21"/>
          <w:szCs w:val="21"/>
          <w:lang w:eastAsia="es-CO"/>
        </w:rPr>
        <w:t>con cargo a recursos públicos</w:t>
      </w:r>
      <w:r w:rsidRPr="00F47E0F">
        <w:rPr>
          <w:rFonts w:ascii="Verdana" w:eastAsia="Times New Roman" w:hAnsi="Verdana" w:cs="Arial"/>
          <w:sz w:val="21"/>
          <w:szCs w:val="21"/>
          <w:lang w:eastAsia="es-CO"/>
        </w:rPr>
        <w:t xml:space="preserve"> deben cumplir la obligación de publicar la información de su gestión contractual es el Sistema Electrónico para la Contratación Pública (</w:t>
      </w:r>
      <w:proofErr w:type="spellStart"/>
      <w:r w:rsidRPr="00F47E0F">
        <w:rPr>
          <w:rFonts w:ascii="Verdana" w:eastAsia="Times New Roman" w:hAnsi="Verdana" w:cs="Arial"/>
          <w:sz w:val="21"/>
          <w:szCs w:val="21"/>
          <w:lang w:eastAsia="es-CO"/>
        </w:rPr>
        <w:t>Secop</w:t>
      </w:r>
      <w:proofErr w:type="spellEnd"/>
      <w:r w:rsidRPr="00F47E0F">
        <w:rPr>
          <w:rFonts w:ascii="Verdana" w:eastAsia="Times New Roman" w:hAnsi="Verdana" w:cs="Arial"/>
          <w:sz w:val="21"/>
          <w:szCs w:val="21"/>
          <w:lang w:eastAsia="es-CO"/>
        </w:rPr>
        <w:t>). </w:t>
      </w:r>
    </w:p>
    <w:p w14:paraId="6D2D1439" w14:textId="77777777" w:rsidR="00F47E0F" w:rsidRPr="00F47E0F" w:rsidRDefault="00F47E0F" w:rsidP="00F47E0F">
      <w:pPr>
        <w:spacing w:before="120" w:after="0" w:line="240" w:lineRule="auto"/>
        <w:ind w:left="709" w:right="709"/>
        <w:jc w:val="both"/>
        <w:rPr>
          <w:rFonts w:ascii="Verdana" w:eastAsia="Times New Roman" w:hAnsi="Verdana" w:cs="Arial"/>
          <w:sz w:val="21"/>
          <w:szCs w:val="21"/>
          <w:lang w:eastAsia="es-CO"/>
        </w:rPr>
      </w:pPr>
      <w:r w:rsidRPr="00F47E0F">
        <w:rPr>
          <w:rFonts w:ascii="Verdana" w:eastAsia="Times New Roman" w:hAnsi="Verdana" w:cs="Arial"/>
          <w:sz w:val="21"/>
          <w:szCs w:val="21"/>
          <w:lang w:eastAsia="es-CO"/>
        </w:rPr>
        <w:t xml:space="preserve">Los sujetos obligados que contratan </w:t>
      </w:r>
      <w:r w:rsidRPr="00F47E0F">
        <w:rPr>
          <w:rFonts w:ascii="Verdana" w:eastAsia="Times New Roman" w:hAnsi="Verdana" w:cs="Arial"/>
          <w:i/>
          <w:iCs/>
          <w:sz w:val="21"/>
          <w:szCs w:val="21"/>
          <w:lang w:eastAsia="es-CO"/>
        </w:rPr>
        <w:t>con cargo a recursos públicos</w:t>
      </w:r>
      <w:r w:rsidRPr="00F47E0F">
        <w:rPr>
          <w:rFonts w:ascii="Verdana" w:eastAsia="Times New Roman" w:hAnsi="Verdana" w:cs="Arial"/>
          <w:sz w:val="21"/>
          <w:szCs w:val="21"/>
          <w:lang w:eastAsia="es-CO"/>
        </w:rPr>
        <w:t xml:space="preserve"> deben publicar la información de su gestión contractual en el plazo previsto en el artículo 19 del Decreto 1510 de 2013, o el que lo modifique, sustituya o adicione. </w:t>
      </w:r>
    </w:p>
    <w:p w14:paraId="756DB907" w14:textId="77777777" w:rsidR="00F47E0F" w:rsidRPr="00F47E0F" w:rsidRDefault="00F47E0F" w:rsidP="00F47E0F">
      <w:pPr>
        <w:spacing w:before="120" w:after="0" w:line="240" w:lineRule="auto"/>
        <w:ind w:left="709" w:right="709"/>
        <w:jc w:val="both"/>
        <w:rPr>
          <w:rFonts w:ascii="Verdana" w:eastAsia="Times New Roman" w:hAnsi="Verdana" w:cs="Arial"/>
          <w:sz w:val="21"/>
          <w:szCs w:val="21"/>
          <w:lang w:eastAsia="es-CO"/>
        </w:rPr>
      </w:pPr>
      <w:r w:rsidRPr="00F47E0F">
        <w:rPr>
          <w:rFonts w:ascii="Verdana" w:eastAsia="Times New Roman" w:hAnsi="Verdana" w:cs="Arial"/>
          <w:sz w:val="21"/>
          <w:szCs w:val="21"/>
          <w:lang w:eastAsia="es-CO"/>
        </w:rPr>
        <w:lastRenderedPageBreak/>
        <w:t xml:space="preserve">Los sujetos obligados que contratan con recursos públicos y recursos </w:t>
      </w:r>
      <w:proofErr w:type="gramStart"/>
      <w:r w:rsidRPr="00F47E0F">
        <w:rPr>
          <w:rFonts w:ascii="Verdana" w:eastAsia="Times New Roman" w:hAnsi="Verdana" w:cs="Arial"/>
          <w:sz w:val="21"/>
          <w:szCs w:val="21"/>
          <w:lang w:eastAsia="es-CO"/>
        </w:rPr>
        <w:t>privados,</w:t>
      </w:r>
      <w:proofErr w:type="gramEnd"/>
      <w:r w:rsidRPr="00F47E0F">
        <w:rPr>
          <w:rFonts w:ascii="Verdana" w:eastAsia="Times New Roman" w:hAnsi="Verdana" w:cs="Arial"/>
          <w:sz w:val="21"/>
          <w:szCs w:val="21"/>
          <w:lang w:eastAsia="es-CO"/>
        </w:rPr>
        <w:t xml:space="preserve"> deben publicar la información de su gestión contractual con cargo a recursos públicos en el Sistema Electrónico para la Contratación Pública (</w:t>
      </w:r>
      <w:proofErr w:type="spellStart"/>
      <w:r w:rsidRPr="00F47E0F">
        <w:rPr>
          <w:rFonts w:ascii="Verdana" w:eastAsia="Times New Roman" w:hAnsi="Verdana" w:cs="Arial"/>
          <w:sz w:val="21"/>
          <w:szCs w:val="21"/>
          <w:lang w:eastAsia="es-CO"/>
        </w:rPr>
        <w:t>Secop</w:t>
      </w:r>
      <w:proofErr w:type="spellEnd"/>
      <w:r w:rsidRPr="00F47E0F">
        <w:rPr>
          <w:rFonts w:ascii="Verdana" w:eastAsia="Times New Roman" w:hAnsi="Verdana" w:cs="Arial"/>
          <w:sz w:val="21"/>
          <w:szCs w:val="21"/>
          <w:lang w:eastAsia="es-CO"/>
        </w:rPr>
        <w:t>)”. [Énfasis fuera del texto original]</w:t>
      </w:r>
    </w:p>
    <w:p w14:paraId="0D603828" w14:textId="77777777" w:rsidR="00F47E0F" w:rsidRPr="00F47E0F" w:rsidRDefault="00F47E0F" w:rsidP="00F47E0F">
      <w:pPr>
        <w:spacing w:after="0" w:line="276" w:lineRule="auto"/>
        <w:ind w:left="709" w:right="709" w:firstLine="150"/>
        <w:contextualSpacing/>
        <w:jc w:val="both"/>
        <w:rPr>
          <w:rFonts w:ascii="Verdana" w:eastAsia="Times New Roman" w:hAnsi="Verdana" w:cs="Arial"/>
          <w:lang w:eastAsia="es-CO"/>
        </w:rPr>
      </w:pPr>
    </w:p>
    <w:p w14:paraId="3F571EB0" w14:textId="77777777" w:rsidR="00F47E0F" w:rsidRPr="00F47E0F" w:rsidRDefault="00F47E0F" w:rsidP="00F47E0F">
      <w:pPr>
        <w:spacing w:before="120" w:after="120" w:line="276" w:lineRule="auto"/>
        <w:ind w:firstLine="709"/>
        <w:jc w:val="both"/>
        <w:rPr>
          <w:rFonts w:ascii="Verdana" w:eastAsia="Calibri" w:hAnsi="Verdana" w:cs="Arial"/>
          <w:lang w:val="es-ES_tradnl" w:eastAsia="es-ES_tradnl"/>
        </w:rPr>
      </w:pPr>
      <w:bookmarkStart w:id="2" w:name="_Hlk110869205"/>
      <w:r w:rsidRPr="00F47E0F">
        <w:rPr>
          <w:rFonts w:ascii="Verdana" w:eastAsia="Calibri" w:hAnsi="Verdana"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de la Ley 2195 de 2022 –al ampliar la obligación de las entidades con regímenes especiales de publicar su actividad contractual en el SECOP II– se refiere a aquella actividad contractual cuya fuente de financiación </w:t>
      </w:r>
      <w:r w:rsidRPr="00F47E0F">
        <w:rPr>
          <w:rFonts w:ascii="Verdana" w:eastAsia="Calibri" w:hAnsi="Verdana" w:cs="Arial"/>
          <w:shd w:val="clear" w:color="auto" w:fill="FFFFFF"/>
        </w:rPr>
        <w:t>provenga</w:t>
      </w:r>
      <w:r w:rsidRPr="00F47E0F">
        <w:rPr>
          <w:rFonts w:ascii="Verdana" w:eastAsia="Calibri" w:hAnsi="Verdana" w:cs="Arial"/>
          <w:lang w:val="es-ES_tradnl" w:eastAsia="es-ES_tradnl"/>
        </w:rPr>
        <w:t xml:space="preserve"> de recursos públicos. </w:t>
      </w:r>
    </w:p>
    <w:bookmarkEnd w:id="2"/>
    <w:p w14:paraId="0C411CB5" w14:textId="77777777" w:rsidR="00F47E0F" w:rsidRPr="00F47E0F" w:rsidRDefault="00F47E0F" w:rsidP="00F47E0F">
      <w:pPr>
        <w:spacing w:after="120" w:line="276" w:lineRule="auto"/>
        <w:ind w:firstLine="708"/>
        <w:contextualSpacing/>
        <w:jc w:val="both"/>
        <w:rPr>
          <w:rFonts w:ascii="Verdana" w:eastAsia="Calibri" w:hAnsi="Verdana" w:cs="Arial"/>
          <w:lang w:val="es-ES"/>
        </w:rPr>
      </w:pPr>
      <w:r w:rsidRPr="00F47E0F">
        <w:rPr>
          <w:rFonts w:ascii="Verdana" w:eastAsia="Calibri" w:hAnsi="Verdana" w:cs="Arial"/>
          <w:shd w:val="clear" w:color="auto" w:fill="FFFFFF"/>
          <w:lang w:val="es-ES"/>
        </w:rPr>
        <w:t xml:space="preserve">En consonancia con la interpretación antes expuesta, </w:t>
      </w:r>
      <w:r w:rsidRPr="00F47E0F">
        <w:rPr>
          <w:rFonts w:ascii="Verdana" w:eastAsia="Calibri" w:hAnsi="Verdana" w:cs="Arial"/>
          <w:lang w:val="es-ES"/>
        </w:rPr>
        <w:t>la Circular 002 del 23 de agosto de 2024</w:t>
      </w:r>
      <w:r w:rsidRPr="00F47E0F">
        <w:rPr>
          <w:rFonts w:ascii="Aptos" w:eastAsia="Aptos" w:hAnsi="Aptos" w:cs="Times New Roman"/>
          <w:vertAlign w:val="superscript"/>
          <w:lang w:val="es-ES"/>
        </w:rPr>
        <w:footnoteReference w:id="8"/>
      </w:r>
      <w:r w:rsidRPr="00F47E0F">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38F70C45" w14:textId="77777777" w:rsidR="00F47E0F" w:rsidRPr="00F47E0F" w:rsidRDefault="00F47E0F" w:rsidP="00F47E0F">
      <w:pPr>
        <w:spacing w:after="0" w:line="276" w:lineRule="auto"/>
        <w:ind w:left="709" w:right="709"/>
        <w:jc w:val="both"/>
        <w:rPr>
          <w:rFonts w:ascii="Verdana" w:eastAsia="Calibri" w:hAnsi="Verdana" w:cs="Arial"/>
          <w:sz w:val="20"/>
          <w:szCs w:val="20"/>
          <w:lang w:val="es-ES_tradnl" w:eastAsia="es-ES_tradnl"/>
        </w:rPr>
      </w:pPr>
    </w:p>
    <w:p w14:paraId="789E7599" w14:textId="51BB275D" w:rsidR="00F47E0F" w:rsidRPr="00F47E0F" w:rsidRDefault="00F47E0F" w:rsidP="00F47E0F">
      <w:pPr>
        <w:spacing w:after="0" w:line="240" w:lineRule="auto"/>
        <w:ind w:left="709" w:right="709"/>
        <w:jc w:val="both"/>
        <w:rPr>
          <w:rFonts w:ascii="Verdana" w:eastAsia="Calibri" w:hAnsi="Verdana" w:cs="Arial"/>
          <w:sz w:val="20"/>
          <w:szCs w:val="20"/>
          <w:lang w:val="es-ES" w:eastAsia="es-ES"/>
        </w:rPr>
      </w:pPr>
      <w:r w:rsidRPr="00F47E0F">
        <w:rPr>
          <w:rFonts w:ascii="Verdana" w:eastAsia="Calibri" w:hAnsi="Verdana" w:cs="Arial"/>
          <w:sz w:val="20"/>
          <w:szCs w:val="20"/>
          <w:lang w:val="es-ES" w:eastAsia="es-ES"/>
        </w:rPr>
        <w:t>“La obligación de publicar la actividad contractual siempre ha estado encaminada a que se publique aquella información relacionada con la ejecución de los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72127A2C" w14:textId="77777777" w:rsidR="00F47E0F" w:rsidRPr="00F47E0F" w:rsidRDefault="00F47E0F" w:rsidP="00F47E0F">
      <w:pPr>
        <w:spacing w:after="0" w:line="276" w:lineRule="auto"/>
        <w:ind w:firstLine="709"/>
        <w:contextualSpacing/>
        <w:jc w:val="both"/>
        <w:rPr>
          <w:rFonts w:ascii="Verdana" w:eastAsia="Calibri" w:hAnsi="Verdana" w:cs="Arial"/>
          <w:lang w:val="es-ES_tradnl" w:eastAsia="es-ES_tradnl"/>
        </w:rPr>
      </w:pPr>
    </w:p>
    <w:p w14:paraId="49E5D31C" w14:textId="77777777" w:rsidR="00F47E0F" w:rsidRPr="00F47E0F" w:rsidRDefault="00F47E0F" w:rsidP="00F47E0F">
      <w:pPr>
        <w:spacing w:after="120" w:line="276" w:lineRule="auto"/>
        <w:ind w:firstLine="709"/>
        <w:jc w:val="both"/>
        <w:rPr>
          <w:rFonts w:ascii="Verdana" w:eastAsia="Calibri" w:hAnsi="Verdana" w:cs="Arial"/>
          <w:shd w:val="clear" w:color="auto" w:fill="FFFFFF"/>
        </w:rPr>
      </w:pPr>
      <w:r w:rsidRPr="00F47E0F">
        <w:rPr>
          <w:rFonts w:ascii="Verdana" w:eastAsia="Calibri" w:hAnsi="Verdana" w:cs="Arial"/>
          <w:lang w:val="es-ES"/>
        </w:rPr>
        <w:t xml:space="preserve">De conformidad con lo anterior, 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financiada dineros públicos. </w:t>
      </w:r>
      <w:r w:rsidRPr="00F47E0F">
        <w:rPr>
          <w:rFonts w:ascii="Verdana" w:eastAsia="Calibri" w:hAnsi="Verdana" w:cs="Arial"/>
          <w:shd w:val="clear" w:color="auto" w:fill="FFFFFF"/>
        </w:rPr>
        <w:t xml:space="preserve">En consideración a esto, resulta claro que la obligatoriedad de publicar </w:t>
      </w:r>
      <w:r w:rsidRPr="00F47E0F">
        <w:rPr>
          <w:rFonts w:ascii="Verdana" w:eastAsia="Calibri" w:hAnsi="Verdana" w:cs="Arial"/>
          <w:shd w:val="clear" w:color="auto" w:fill="FFFFFF"/>
        </w:rPr>
        <w:lastRenderedPageBreak/>
        <w:t xml:space="preserve">la actividad contractual establecida en el artículo 13 de la Ley 1150 de 2007, adicionado por el artículo 53 de la Ley 2195 de 2022, se refiere a la contratación financiada con recursos públicos, deviniendo en potestativa la publicación de la contratación </w:t>
      </w:r>
      <w:r w:rsidRPr="00F47E0F">
        <w:rPr>
          <w:rFonts w:ascii="Verdana" w:eastAsia="Calibri" w:hAnsi="Verdana" w:cs="Arial"/>
          <w:shd w:val="clear" w:color="auto" w:fill="FFFFFF"/>
          <w:lang w:val="es-ES"/>
        </w:rPr>
        <w:t xml:space="preserve">desarrollada con otro tipo de recursos. </w:t>
      </w:r>
    </w:p>
    <w:p w14:paraId="10E0AD05" w14:textId="77777777" w:rsidR="00F47E0F" w:rsidRPr="00F47E0F" w:rsidRDefault="00F47E0F" w:rsidP="00F47E0F">
      <w:pPr>
        <w:tabs>
          <w:tab w:val="left" w:pos="709"/>
        </w:tabs>
        <w:spacing w:before="120" w:after="120" w:line="276" w:lineRule="auto"/>
        <w:contextualSpacing/>
        <w:jc w:val="both"/>
        <w:rPr>
          <w:rFonts w:ascii="Verdana" w:eastAsia="Aptos" w:hAnsi="Verdana" w:cs="Arial"/>
          <w:shd w:val="clear" w:color="auto" w:fill="FFFFFF"/>
        </w:rPr>
      </w:pPr>
      <w:r w:rsidRPr="00F47E0F">
        <w:rPr>
          <w:rFonts w:ascii="Verdana" w:eastAsia="Aptos" w:hAnsi="Verdana" w:cs="Arial"/>
          <w:shd w:val="clear" w:color="auto" w:fill="FFFFFF"/>
        </w:rPr>
        <w:tab/>
        <w:t xml:space="preserve">En todo caso, corresponde a cada entidad de régimen especial de contratación dar cumplimiento al deber de publicación que les asiste en relación con su actividad contractual en cumplimiento del artículo 53 de la Ley 2195 de 2022. </w:t>
      </w:r>
    </w:p>
    <w:p w14:paraId="165A561C" w14:textId="77777777" w:rsidR="00F47E0F" w:rsidRPr="00F47E0F" w:rsidRDefault="00F47E0F" w:rsidP="00F47E0F">
      <w:pPr>
        <w:spacing w:after="120" w:line="276" w:lineRule="auto"/>
        <w:ind w:firstLine="709"/>
        <w:jc w:val="both"/>
        <w:rPr>
          <w:rFonts w:ascii="Verdana" w:eastAsia="Times New Roman" w:hAnsi="Verdana" w:cs="Arial"/>
          <w:lang w:val="es-ES" w:eastAsia="es-ES_tradnl"/>
        </w:rPr>
      </w:pPr>
      <w:r w:rsidRPr="00F47E0F">
        <w:rPr>
          <w:rFonts w:ascii="Verdana" w:eastAsia="Times New Roman" w:hAnsi="Verdana" w:cs="Arial"/>
          <w:lang w:val="es-ES" w:eastAsia="es-ES_tradnl"/>
        </w:rPr>
        <w:t>Sin perjuicio de lo anterior, no debe perderse de vista que, en virtud del principio de transparencia, específicamente por cuenta de lo dispuesto en el numeral 4 del artículo 24 de la Ley 80 de 1993</w:t>
      </w:r>
      <w:r w:rsidRPr="00F47E0F">
        <w:rPr>
          <w:rFonts w:ascii="Verdana" w:eastAsia="Times New Roman" w:hAnsi="Verdana" w:cs="Arial"/>
          <w:vertAlign w:val="superscript"/>
          <w:lang w:val="es-ES" w:eastAsia="es-ES_tradnl"/>
        </w:rPr>
        <w:footnoteReference w:id="9"/>
      </w:r>
      <w:r w:rsidRPr="00F47E0F">
        <w:rPr>
          <w:rFonts w:ascii="Verdana" w:eastAsia="Times New Roman" w:hAnsi="Verdana" w:cs="Arial"/>
          <w:lang w:val="es-ES" w:eastAsia="es-ES_tradnl"/>
        </w:rPr>
        <w:t>, así como por el principio de máxima publicidad establecido en el artículo 2 de la Ley 1712 de 2014</w:t>
      </w:r>
      <w:r w:rsidRPr="00F47E0F">
        <w:rPr>
          <w:rFonts w:ascii="Verdana" w:eastAsia="Times New Roman" w:hAnsi="Verdana" w:cs="Arial"/>
          <w:vertAlign w:val="superscript"/>
          <w:lang w:val="es-ES" w:eastAsia="es-ES_tradnl"/>
        </w:rPr>
        <w:footnoteReference w:id="10"/>
      </w:r>
      <w:r w:rsidRPr="00F47E0F">
        <w:rPr>
          <w:rFonts w:ascii="Verdana" w:eastAsia="Times New Roman" w:hAnsi="Verdana" w:cs="Arial"/>
          <w:lang w:val="es-ES" w:eastAsia="es-ES_tradnl"/>
        </w:rPr>
        <w:t>, el contenido del expediente en el que reposa la actuación es información pública, independientemente de si se trata de documentos que deban ser publicados en SECOP. Por lo anterior, el contenido del expediente puede ser objeto de solicitud de copias, en ejercicio del derecho de petición, en cualquier momento del proceso de selección, en la medida en que las normas señaladas no imponen ningún condicionamiento, así que podrá solicitarlas cualquier persona, en desarrollo de la vigilancia de la contratación pública, cuestión que podría interesar a cualquier ciudadano</w:t>
      </w:r>
      <w:r w:rsidRPr="00F47E0F">
        <w:rPr>
          <w:rFonts w:ascii="Verdana" w:eastAsia="Times New Roman" w:hAnsi="Verdana" w:cs="Arial"/>
          <w:vertAlign w:val="superscript"/>
          <w:lang w:val="es-ES" w:eastAsia="es-ES_tradnl"/>
        </w:rPr>
        <w:footnoteReference w:id="11"/>
      </w:r>
      <w:r w:rsidRPr="00F47E0F">
        <w:rPr>
          <w:rFonts w:ascii="Verdana" w:eastAsia="Times New Roman" w:hAnsi="Verdana" w:cs="Arial"/>
          <w:lang w:val="es-ES" w:eastAsia="es-ES_tradnl"/>
        </w:rPr>
        <w:t>. Esta posibilidad solo se encuentra limitada respecto de la documentación que tenga la calidad de reservada</w:t>
      </w:r>
      <w:r w:rsidRPr="00F47E0F">
        <w:rPr>
          <w:rFonts w:ascii="Verdana" w:eastAsia="Times New Roman" w:hAnsi="Verdana" w:cs="Arial"/>
          <w:vertAlign w:val="superscript"/>
          <w:lang w:val="es-ES" w:eastAsia="es-ES_tradnl"/>
        </w:rPr>
        <w:footnoteReference w:id="12"/>
      </w:r>
      <w:r w:rsidRPr="00F47E0F">
        <w:rPr>
          <w:rFonts w:ascii="Verdana" w:eastAsia="Times New Roman" w:hAnsi="Verdana" w:cs="Arial"/>
          <w:lang w:val="es-ES" w:eastAsia="es-ES_tradnl"/>
        </w:rPr>
        <w:t xml:space="preserve">, que deberá </w:t>
      </w:r>
      <w:r w:rsidRPr="00F47E0F">
        <w:rPr>
          <w:rFonts w:ascii="Verdana" w:eastAsia="Times New Roman" w:hAnsi="Verdana" w:cs="Arial"/>
          <w:lang w:val="es-ES" w:eastAsia="es-ES_tradnl"/>
        </w:rPr>
        <w:lastRenderedPageBreak/>
        <w:t>someterse al tratamiento establecido en el artículo 36 del CPACA, en lo relativo a la formación de cuadernos separados</w:t>
      </w:r>
      <w:r w:rsidRPr="00F47E0F">
        <w:rPr>
          <w:rFonts w:ascii="Verdana" w:eastAsia="Times New Roman" w:hAnsi="Verdana" w:cs="Arial"/>
          <w:vertAlign w:val="superscript"/>
          <w:lang w:val="es-ES" w:eastAsia="es-ES_tradnl"/>
        </w:rPr>
        <w:footnoteReference w:id="13"/>
      </w:r>
      <w:r w:rsidRPr="00F47E0F">
        <w:rPr>
          <w:rFonts w:ascii="Verdana" w:eastAsia="Times New Roman" w:hAnsi="Verdana" w:cs="Arial"/>
          <w:lang w:val="es-ES" w:eastAsia="es-ES_tradnl"/>
        </w:rPr>
        <w:t>.</w:t>
      </w:r>
    </w:p>
    <w:p w14:paraId="22A639FA" w14:textId="77777777" w:rsidR="00F47E0F" w:rsidRPr="00F47E0F" w:rsidRDefault="00F47E0F" w:rsidP="00F47E0F">
      <w:pPr>
        <w:tabs>
          <w:tab w:val="left" w:pos="426"/>
        </w:tabs>
        <w:spacing w:after="120" w:line="276" w:lineRule="auto"/>
        <w:jc w:val="both"/>
        <w:rPr>
          <w:rFonts w:ascii="Verdana" w:eastAsia="Calibri" w:hAnsi="Verdana" w:cs="Arial"/>
          <w:color w:val="000000"/>
          <w:lang w:val="es-ES_tradnl" w:eastAsia="en-GB"/>
        </w:rPr>
      </w:pPr>
      <w:bookmarkStart w:id="3" w:name="_Hlk150762861"/>
      <w:r w:rsidRPr="00F47E0F">
        <w:rPr>
          <w:rFonts w:ascii="Verdana" w:eastAsia="Calibri" w:hAnsi="Verdana" w:cs="Arial"/>
          <w:szCs w:val="24"/>
          <w:lang w:eastAsia="es-ES_tradnl"/>
        </w:rPr>
        <w:tab/>
      </w:r>
      <w:r w:rsidRPr="00F47E0F">
        <w:rPr>
          <w:rFonts w:ascii="Verdana" w:eastAsia="Calibri" w:hAnsi="Verdana" w:cs="Arial"/>
          <w:szCs w:val="24"/>
          <w:lang w:eastAsia="es-ES_tradnl"/>
        </w:rPr>
        <w:tab/>
      </w:r>
      <w:bookmarkEnd w:id="3"/>
      <w:r w:rsidRPr="00F47E0F">
        <w:rPr>
          <w:rFonts w:ascii="Verdana" w:eastAsia="Calibri" w:hAnsi="Verdana" w:cs="Arial"/>
          <w:lang w:val="es-ES" w:eastAsia="es-ES_tradnl"/>
        </w:rPr>
        <w:t xml:space="preserve">No obstante, lo expresado, vale la pena aclarar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actuar de conformidad con el tratamiento que impongan tales normas, absteniéndose, de ser el caso, de publicar los documentos del proceso, algunos de ellos o algunos apartes de dichos documentos en los que se evidencie este tipo de información. </w:t>
      </w:r>
    </w:p>
    <w:p w14:paraId="5E0B0270" w14:textId="77777777" w:rsidR="00F47E0F" w:rsidRPr="00F47E0F" w:rsidRDefault="00F47E0F" w:rsidP="00F47E0F">
      <w:pPr>
        <w:spacing w:after="12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themeColor="text1"/>
          <w:lang w:val="es-ES" w:eastAsia="en-GB"/>
        </w:rPr>
        <w:t xml:space="preserve">En otras palabras, aunque el artículo 74 de la Constitución establezca que la información pública debe ser dada a conocer a la ciudadanía y así los documentos que hagan parte de la actividad contractual puedan catalogarse, </w:t>
      </w:r>
      <w:r w:rsidRPr="5D25815E">
        <w:rPr>
          <w:rFonts w:ascii="Verdana" w:eastAsia="Calibri" w:hAnsi="Verdana" w:cs="Arial"/>
          <w:i/>
          <w:color w:val="000000" w:themeColor="text1"/>
          <w:lang w:val="es-ES" w:eastAsia="en-GB"/>
        </w:rPr>
        <w:t>prima facie,</w:t>
      </w:r>
      <w:r w:rsidRPr="5D25815E">
        <w:rPr>
          <w:rFonts w:ascii="Verdana" w:eastAsia="Calibri" w:hAnsi="Verdana" w:cs="Arial"/>
          <w:color w:val="000000" w:themeColor="text1"/>
          <w:lang w:val="es-ES" w:eastAsia="en-GB"/>
        </w:rPr>
        <w:t xml:space="preserve"> como información pública, cuando dicha documentación contenga información sometida a alguna reserva, que establezca la Constitución o la ley, operan algunas restricciones a su publicidad. Sin embargo, esto no </w:t>
      </w:r>
      <w:r w:rsidRPr="5D25815E">
        <w:rPr>
          <w:rFonts w:ascii="Verdana" w:eastAsia="Calibri" w:hAnsi="Verdana" w:cs="Arial"/>
          <w:color w:val="000000" w:themeColor="text1"/>
          <w:lang w:val="es-ES" w:eastAsia="en-GB"/>
        </w:rPr>
        <w:lastRenderedPageBreak/>
        <w:t xml:space="preserve">necesariamente convierte el documento completo en reservado, es decir, en un documento que no puede publicarse. </w:t>
      </w:r>
    </w:p>
    <w:p w14:paraId="67695BA0" w14:textId="77777777" w:rsidR="00F47E0F" w:rsidRPr="00F47E0F" w:rsidRDefault="00F47E0F" w:rsidP="00F47E0F">
      <w:pPr>
        <w:spacing w:after="12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lang w:val="es-ES" w:eastAsia="en-GB"/>
        </w:rPr>
        <w:t>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5D25815E">
        <w:rPr>
          <w:rFonts w:ascii="Verdana" w:eastAsia="Calibri" w:hAnsi="Verdana" w:cs="Arial"/>
          <w:color w:val="000000"/>
          <w:vertAlign w:val="superscript"/>
          <w:lang w:val="es-ES" w:eastAsia="en-GB"/>
        </w:rPr>
        <w:footnoteReference w:id="14"/>
      </w:r>
      <w:r w:rsidRPr="5D25815E">
        <w:rPr>
          <w:rFonts w:ascii="Verdana" w:eastAsia="Calibri" w:hAnsi="Verdana" w:cs="Arial"/>
          <w:color w:val="000000"/>
          <w:lang w:val="es-ES" w:eastAsia="en-GB"/>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4FECFA44" w14:textId="77777777" w:rsidR="00F47E0F" w:rsidRPr="00F47E0F" w:rsidRDefault="00F47E0F" w:rsidP="00F47E0F">
      <w:pPr>
        <w:tabs>
          <w:tab w:val="left" w:pos="426"/>
        </w:tabs>
        <w:spacing w:after="120" w:line="276" w:lineRule="auto"/>
        <w:ind w:firstLine="709"/>
        <w:jc w:val="both"/>
        <w:rPr>
          <w:rFonts w:ascii="Verdana" w:eastAsia="Calibri" w:hAnsi="Verdana" w:cs="Arial"/>
          <w:color w:val="000000"/>
          <w:lang w:val="es-ES_tradnl" w:eastAsia="en-GB"/>
        </w:rPr>
      </w:pPr>
      <w:r w:rsidRPr="00F47E0F">
        <w:rPr>
          <w:rFonts w:ascii="Verdana" w:eastAsia="Calibri" w:hAnsi="Verdana" w:cs="Arial"/>
          <w:color w:val="000000"/>
          <w:lang w:val="es-ES_tradnl" w:eastAsia="en-GB"/>
        </w:rPr>
        <w:t>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5149E72E" w14:textId="77777777" w:rsidR="00F47E0F" w:rsidRPr="00F47E0F" w:rsidRDefault="00F47E0F" w:rsidP="00F47E0F">
      <w:pPr>
        <w:tabs>
          <w:tab w:val="left" w:pos="426"/>
        </w:tabs>
        <w:spacing w:after="120" w:line="276" w:lineRule="auto"/>
        <w:ind w:firstLine="709"/>
        <w:jc w:val="both"/>
        <w:rPr>
          <w:rFonts w:ascii="Verdana" w:eastAsia="Calibri" w:hAnsi="Verdana" w:cs="Arial"/>
          <w:color w:val="000000"/>
          <w:lang w:val="es-ES_tradnl" w:eastAsia="en-GB"/>
        </w:rPr>
      </w:pPr>
      <w:r w:rsidRPr="00F47E0F">
        <w:rPr>
          <w:rFonts w:ascii="Verdana" w:eastAsia="Calibri" w:hAnsi="Verdana" w:cs="Arial"/>
          <w:color w:val="000000"/>
          <w:lang w:val="es-ES_tradnl" w:eastAsia="en-GB"/>
        </w:rPr>
        <w:lastRenderedPageBreak/>
        <w:t>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1B36BFCE" w14:textId="77777777" w:rsidR="00F47E0F" w:rsidRPr="00F47E0F" w:rsidRDefault="00F47E0F" w:rsidP="00F47E0F">
      <w:pPr>
        <w:tabs>
          <w:tab w:val="left" w:pos="426"/>
        </w:tabs>
        <w:spacing w:after="0" w:line="276" w:lineRule="auto"/>
        <w:ind w:firstLine="709"/>
        <w:jc w:val="both"/>
        <w:rPr>
          <w:rFonts w:ascii="Verdana" w:eastAsia="Calibri" w:hAnsi="Verdana" w:cs="Arial"/>
          <w:color w:val="000000"/>
          <w:lang w:val="es-ES" w:eastAsia="en-GB"/>
        </w:rPr>
      </w:pPr>
      <w:r w:rsidRPr="5D25815E">
        <w:rPr>
          <w:rFonts w:ascii="Verdana" w:eastAsia="Calibri" w:hAnsi="Verdana" w:cs="Arial"/>
          <w:color w:val="000000" w:themeColor="text1"/>
          <w:lang w:val="es-ES" w:eastAsia="en-GB"/>
        </w:rPr>
        <w:t xml:space="preserve">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En armonía con lo anterior, cabe reiterar lo que se afirmó anteriormente en el sentido de que la creación de reservas de información pública es un asunto reservado al constituyente o al legislador. </w:t>
      </w:r>
    </w:p>
    <w:p w14:paraId="1E69117D" w14:textId="77777777" w:rsidR="00F47E0F" w:rsidRPr="00F47E0F" w:rsidRDefault="00F47E0F" w:rsidP="00F47E0F">
      <w:pPr>
        <w:widowControl w:val="0"/>
        <w:autoSpaceDE w:val="0"/>
        <w:autoSpaceDN w:val="0"/>
        <w:spacing w:after="0" w:line="276" w:lineRule="auto"/>
        <w:jc w:val="both"/>
        <w:rPr>
          <w:rFonts w:ascii="Verdana" w:hAnsi="Verdana" w:cs="Arial"/>
        </w:rPr>
      </w:pPr>
    </w:p>
    <w:p w14:paraId="3FD09F1C" w14:textId="77777777" w:rsidR="00F47E0F" w:rsidRPr="00F47E0F" w:rsidRDefault="00F47E0F" w:rsidP="00F47E0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Referencias normativas, jurisprudenciales y otras fuentes:</w:t>
      </w:r>
    </w:p>
    <w:p w14:paraId="4174BF93" w14:textId="77777777" w:rsidR="00F47E0F" w:rsidRPr="00F47E0F" w:rsidRDefault="00F47E0F" w:rsidP="00F47E0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7E0F" w:rsidRPr="00F47E0F" w14:paraId="61E8AFB5" w14:textId="77777777" w:rsidTr="00FA10B1">
        <w:trPr>
          <w:trHeight w:val="870"/>
        </w:trPr>
        <w:tc>
          <w:tcPr>
            <w:tcW w:w="8647" w:type="dxa"/>
          </w:tcPr>
          <w:p w14:paraId="36E65267"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Ley 80 de 1993. Artículo 24.</w:t>
            </w:r>
          </w:p>
          <w:p w14:paraId="3CF417C1"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Ley 1150 de 2007. Artículo 13, literal c); Artículo 14</w:t>
            </w:r>
          </w:p>
          <w:p w14:paraId="7B4014E3"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Ley 1712 de 2014. Artículo 2; Artículo 9; Artículo 11, literal g)</w:t>
            </w:r>
          </w:p>
          <w:p w14:paraId="646E3722"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Ley 2195 de 2022. Artículo 53</w:t>
            </w:r>
          </w:p>
          <w:p w14:paraId="7345F821"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Decreto 103 de 2015. Artículo 8.</w:t>
            </w:r>
          </w:p>
          <w:p w14:paraId="5E4CEF97"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hAnsi="Verdana" w:cs="Arial"/>
                <w:color w:val="000000" w:themeColor="text1"/>
              </w:rPr>
            </w:pPr>
            <w:r w:rsidRPr="00F47E0F">
              <w:rPr>
                <w:rFonts w:ascii="Verdana" w:hAnsi="Verdana" w:cs="Arial"/>
                <w:color w:val="000000" w:themeColor="text1"/>
              </w:rPr>
              <w:t>Ley 1437 de 2011. Artículo 24.</w:t>
            </w:r>
          </w:p>
          <w:p w14:paraId="48905962"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eastAsia="Aptos" w:hAnsi="Verdana" w:cs="Arial"/>
              </w:rPr>
            </w:pPr>
            <w:r w:rsidRPr="00F47E0F">
              <w:rPr>
                <w:rFonts w:ascii="Verdana" w:hAnsi="Verdana" w:cs="Arial"/>
                <w:color w:val="000000" w:themeColor="text1"/>
              </w:rPr>
              <w:t>Decreto 1082 de 2015. Artículo 2.2.1.1.1.7.1</w:t>
            </w:r>
          </w:p>
          <w:p w14:paraId="64C1E329" w14:textId="77777777" w:rsidR="00F47E0F" w:rsidRPr="00F47E0F" w:rsidRDefault="00F47E0F" w:rsidP="00F47E0F">
            <w:pPr>
              <w:widowControl w:val="0"/>
              <w:numPr>
                <w:ilvl w:val="0"/>
                <w:numId w:val="17"/>
              </w:numPr>
              <w:autoSpaceDE w:val="0"/>
              <w:autoSpaceDN w:val="0"/>
              <w:spacing w:after="120" w:line="276" w:lineRule="auto"/>
              <w:contextualSpacing/>
              <w:jc w:val="both"/>
              <w:rPr>
                <w:rFonts w:ascii="Verdana" w:eastAsia="Aptos" w:hAnsi="Verdana" w:cs="Arial"/>
              </w:rPr>
            </w:pPr>
            <w:r w:rsidRPr="00F47E0F">
              <w:rPr>
                <w:rFonts w:ascii="Verdana" w:eastAsia="Calibri" w:hAnsi="Verdana" w:cs="Arial"/>
                <w:lang w:val="es-ES"/>
              </w:rPr>
              <w:t xml:space="preserve">Circular Externa Única, disponible </w:t>
            </w:r>
            <w:hyperlink r:id="rId14" w:history="1">
              <w:r w:rsidRPr="00F47E0F">
                <w:rPr>
                  <w:rFonts w:ascii="Verdana" w:eastAsia="Calibri" w:hAnsi="Verdana" w:cs="Arial"/>
                  <w:color w:val="467886"/>
                  <w:u w:val="single"/>
                  <w:lang w:val="es-ES"/>
                </w:rPr>
                <w:t>aquí</w:t>
              </w:r>
            </w:hyperlink>
          </w:p>
          <w:p w14:paraId="7D347E92" w14:textId="77777777" w:rsidR="00F47E0F" w:rsidRPr="00F47E0F" w:rsidRDefault="00F47E0F" w:rsidP="00F47E0F">
            <w:pPr>
              <w:widowControl w:val="0"/>
              <w:numPr>
                <w:ilvl w:val="0"/>
                <w:numId w:val="17"/>
              </w:numPr>
              <w:autoSpaceDE w:val="0"/>
              <w:autoSpaceDN w:val="0"/>
              <w:spacing w:after="120" w:line="276" w:lineRule="auto"/>
              <w:jc w:val="both"/>
              <w:rPr>
                <w:rFonts w:ascii="Verdana" w:hAnsi="Verdana" w:cs="Arial"/>
              </w:rPr>
            </w:pPr>
            <w:r w:rsidRPr="00F47E0F">
              <w:rPr>
                <w:rFonts w:ascii="Verdana" w:eastAsia="Calibri" w:hAnsi="Verdana" w:cs="Arial"/>
                <w:lang w:val="es-ES"/>
              </w:rPr>
              <w:t xml:space="preserve">Circular Externa No. 002 del 23 de agosto de 2024, disponible </w:t>
            </w:r>
            <w:hyperlink r:id="rId15" w:history="1">
              <w:r w:rsidRPr="00F47E0F">
                <w:rPr>
                  <w:rFonts w:ascii="Verdana" w:eastAsia="Calibri" w:hAnsi="Verdana" w:cs="Arial"/>
                  <w:color w:val="467886"/>
                  <w:u w:val="single"/>
                  <w:lang w:val="es-ES"/>
                </w:rPr>
                <w:t>aquí</w:t>
              </w:r>
            </w:hyperlink>
          </w:p>
        </w:tc>
      </w:tr>
    </w:tbl>
    <w:p w14:paraId="36A99895" w14:textId="77777777" w:rsidR="00F47E0F" w:rsidRPr="00F47E0F" w:rsidRDefault="00F47E0F" w:rsidP="00F47E0F">
      <w:pPr>
        <w:widowControl w:val="0"/>
        <w:autoSpaceDE w:val="0"/>
        <w:autoSpaceDN w:val="0"/>
        <w:spacing w:after="0" w:line="276" w:lineRule="auto"/>
        <w:jc w:val="both"/>
        <w:rPr>
          <w:rFonts w:ascii="Verdana" w:hAnsi="Verdana" w:cs="Arial"/>
        </w:rPr>
      </w:pPr>
    </w:p>
    <w:p w14:paraId="234F6033" w14:textId="77777777" w:rsidR="00F47E0F" w:rsidRPr="00F47E0F" w:rsidRDefault="00F47E0F" w:rsidP="00F47E0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F47E0F">
        <w:rPr>
          <w:rFonts w:ascii="Verdana" w:eastAsia="Century Gothic" w:hAnsi="Verdana" w:cs="Century Gothic"/>
          <w:b/>
          <w:bCs/>
          <w:lang w:val="es-ES"/>
        </w:rPr>
        <w:t>Doctrina de la Agencia Nacional de Contratación Pública:</w:t>
      </w:r>
    </w:p>
    <w:p w14:paraId="372A56B9" w14:textId="77777777" w:rsidR="00F47E0F" w:rsidRPr="00F47E0F" w:rsidRDefault="00F47E0F" w:rsidP="00F47E0F">
      <w:pPr>
        <w:widowControl w:val="0"/>
        <w:autoSpaceDE w:val="0"/>
        <w:autoSpaceDN w:val="0"/>
        <w:spacing w:after="0" w:line="276" w:lineRule="auto"/>
        <w:jc w:val="both"/>
        <w:rPr>
          <w:rFonts w:ascii="Verdana" w:hAnsi="Verdana" w:cs="Arial"/>
        </w:rPr>
      </w:pPr>
    </w:p>
    <w:p w14:paraId="6E4DDB02" w14:textId="77777777" w:rsidR="00F47E0F" w:rsidRPr="00F47E0F" w:rsidRDefault="00F47E0F" w:rsidP="00F47E0F">
      <w:pPr>
        <w:widowControl w:val="0"/>
        <w:autoSpaceDE w:val="0"/>
        <w:autoSpaceDN w:val="0"/>
        <w:spacing w:after="0" w:line="276" w:lineRule="auto"/>
        <w:jc w:val="both"/>
        <w:rPr>
          <w:rFonts w:ascii="Verdana" w:hAnsi="Verdana" w:cs="Arial"/>
          <w:shd w:val="clear" w:color="auto" w:fill="FFFFFF"/>
          <w:lang w:val="es-ES"/>
        </w:rPr>
      </w:pPr>
      <w:r w:rsidRPr="00F47E0F">
        <w:rPr>
          <w:rFonts w:ascii="Verdana" w:eastAsia="Calibri" w:hAnsi="Verdana" w:cs="Arial"/>
          <w:lang w:eastAsia="es-MX"/>
        </w:rPr>
        <w:t>S</w:t>
      </w:r>
      <w:r w:rsidRPr="00F47E0F">
        <w:rPr>
          <w:rFonts w:ascii="Verdana" w:eastAsia="Calibri" w:hAnsi="Verdana" w:cs="Arial"/>
          <w:lang w:val="es-ES_tradnl" w:eastAsia="es-MX"/>
        </w:rPr>
        <w:t>obre la interpretación del artículo 53 de la Ley 2195 de 2022</w:t>
      </w:r>
      <w:r w:rsidRPr="00F47E0F">
        <w:rPr>
          <w:rFonts w:ascii="Verdana" w:hAnsi="Verdana" w:cs="Arial"/>
          <w:shd w:val="clear" w:color="auto" w:fill="FFFFFF"/>
          <w:lang w:val="es-ES"/>
        </w:rPr>
        <w:t xml:space="preserve"> se pronunció esta Subdirección en los conceptos</w:t>
      </w:r>
      <w:r w:rsidRPr="00F47E0F">
        <w:rPr>
          <w:rFonts w:ascii="Verdana" w:hAnsi="Verdana" w:cs="Calibri"/>
          <w:shd w:val="clear" w:color="auto" w:fill="FFFFFF"/>
        </w:rPr>
        <w:t xml:space="preserve"> </w:t>
      </w:r>
      <w:r w:rsidRPr="00F47E0F">
        <w:rPr>
          <w:rFonts w:ascii="Verdana" w:eastAsia="Calibri" w:hAnsi="Verdana" w:cs="Arial"/>
          <w:lang w:val="es-ES_tradnl" w:eastAsia="es-MX"/>
        </w:rPr>
        <w:t>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C-071 del 28 de marzo de 2023</w:t>
      </w:r>
      <w:r w:rsidRPr="00F47E0F">
        <w:rPr>
          <w:rFonts w:ascii="Verdana" w:eastAsia="Aptos" w:hAnsi="Verdana" w:cs="Arial"/>
          <w:shd w:val="clear" w:color="auto" w:fill="FFFFFF"/>
          <w:lang w:val="es-ES"/>
        </w:rPr>
        <w:t xml:space="preserve">, </w:t>
      </w:r>
      <w:r w:rsidRPr="00F47E0F">
        <w:rPr>
          <w:rFonts w:ascii="Verdana" w:eastAsia="Aptos" w:hAnsi="Verdana" w:cs="Arial"/>
          <w:shd w:val="clear" w:color="auto" w:fill="FFFFFF"/>
          <w:lang w:val="es-ES"/>
        </w:rPr>
        <w:br/>
        <w:t>C-540 del 7 de octubre de 2024, C-710 del 20 de noviembre de 2024, C-058 del 24 de febrero de 2025, C-402 del 7 de mayo de 2025, entre otros</w:t>
      </w:r>
      <w:r w:rsidRPr="00F47E0F">
        <w:rPr>
          <w:rFonts w:ascii="Verdana" w:hAnsi="Verdana" w:cs="Arial"/>
          <w:shd w:val="clear" w:color="auto" w:fill="FFFFFF"/>
          <w:lang w:val="es-ES"/>
        </w:rPr>
        <w:t>. Es</w:t>
      </w:r>
      <w:r w:rsidRPr="00F47E0F">
        <w:rPr>
          <w:rFonts w:ascii="Verdana" w:hAnsi="Verdana"/>
        </w:rPr>
        <w:t>tos y otros conceptos se encuentran disponibles para consulta en el Sistema de relatoría de la Agencia, al cual se puede acceder a través del siguiente enlace:</w:t>
      </w:r>
      <w:r w:rsidRPr="00F47E0F">
        <w:rPr>
          <w:rFonts w:ascii="Verdana" w:hAnsi="Verdana" w:cs="Arial"/>
          <w:shd w:val="clear" w:color="auto" w:fill="FFFFFF"/>
          <w:lang w:val="es-ES"/>
        </w:rPr>
        <w:t xml:space="preserve"> </w:t>
      </w:r>
      <w:hyperlink r:id="rId16" w:history="1">
        <w:r w:rsidRPr="00F47E0F">
          <w:rPr>
            <w:rFonts w:ascii="Verdana" w:hAnsi="Verdana" w:cs="Arial"/>
            <w:u w:val="single"/>
            <w:shd w:val="clear" w:color="auto" w:fill="FFFFFF"/>
            <w:lang w:val="es-ES"/>
          </w:rPr>
          <w:t>https://relatoria.colombiacompra.gov.co/busqueda/conceptos</w:t>
        </w:r>
      </w:hyperlink>
    </w:p>
    <w:p w14:paraId="3BD7D9D5" w14:textId="77777777" w:rsidR="00F47E0F" w:rsidRPr="00F47E0F" w:rsidRDefault="00F47E0F" w:rsidP="00F47E0F">
      <w:pPr>
        <w:widowControl w:val="0"/>
        <w:autoSpaceDE w:val="0"/>
        <w:autoSpaceDN w:val="0"/>
        <w:spacing w:after="0" w:line="276" w:lineRule="auto"/>
        <w:jc w:val="both"/>
        <w:rPr>
          <w:rFonts w:ascii="Verdana" w:hAnsi="Verdana" w:cs="Arial"/>
          <w:shd w:val="clear" w:color="auto" w:fill="FFFFFF"/>
          <w:lang w:val="es-ES"/>
        </w:rPr>
      </w:pPr>
    </w:p>
    <w:p w14:paraId="62CC8ED4" w14:textId="77777777" w:rsidR="00F47E0F" w:rsidRPr="00F47E0F" w:rsidRDefault="00F47E0F" w:rsidP="00F47E0F">
      <w:pPr>
        <w:spacing w:after="0" w:line="276" w:lineRule="auto"/>
        <w:jc w:val="both"/>
        <w:rPr>
          <w:rFonts w:ascii="Verdana" w:hAnsi="Verdana" w:cs="Arial"/>
          <w:shd w:val="clear" w:color="auto" w:fill="FFFFFF"/>
        </w:rPr>
      </w:pPr>
      <w:r w:rsidRPr="00F47E0F">
        <w:rPr>
          <w:rFonts w:ascii="Verdana" w:hAnsi="Verdana" w:cs="Arial"/>
          <w:shd w:val="clear" w:color="auto" w:fill="FFFFFF"/>
        </w:rPr>
        <w:t>Te informamos que ya se encuentra disponible la </w:t>
      </w:r>
      <w:r w:rsidRPr="00F47E0F">
        <w:rPr>
          <w:rFonts w:ascii="Verdana" w:hAnsi="Verdana" w:cs="Arial"/>
          <w:b/>
          <w:bCs/>
          <w:shd w:val="clear" w:color="auto" w:fill="FFFFFF"/>
        </w:rPr>
        <w:t>Cartilla para incentivar y fortalecer el acceso a las compras y contratación pública de los pueblos y comunidades étnicas en Colombia.</w:t>
      </w:r>
      <w:r w:rsidRPr="00F47E0F">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Dirección URL original: https://www.colombiacompra.gov.co/manuales-guias-y-pliegos-tipo/manuales-y-guias/cartilla-para-incentivar-y-fortalecer-el-acceso-las. Haga clic o pulse si confía en este vínculo." w:history="1">
        <w:r w:rsidRPr="00F47E0F">
          <w:rPr>
            <w:rFonts w:ascii="Verdana" w:hAnsi="Verdana" w:cs="Arial"/>
            <w:color w:val="0563C1" w:themeColor="hyperlink"/>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5C903BAC" w14:textId="77777777" w:rsidR="00F47E0F" w:rsidRPr="00F47E0F" w:rsidRDefault="00F47E0F" w:rsidP="00F47E0F">
      <w:pPr>
        <w:spacing w:after="0" w:line="276" w:lineRule="auto"/>
        <w:jc w:val="both"/>
        <w:rPr>
          <w:rFonts w:ascii="Verdana" w:hAnsi="Verdana" w:cs="Arial"/>
          <w:shd w:val="clear" w:color="auto" w:fill="FFFFFF"/>
        </w:rPr>
      </w:pPr>
    </w:p>
    <w:p w14:paraId="244E1B77" w14:textId="77777777" w:rsidR="00F47E0F" w:rsidRPr="00F47E0F" w:rsidRDefault="00F47E0F" w:rsidP="00F47E0F">
      <w:pPr>
        <w:spacing w:after="0" w:line="276" w:lineRule="auto"/>
        <w:jc w:val="both"/>
        <w:rPr>
          <w:rFonts w:ascii="Verdana" w:hAnsi="Verdana" w:cs="Arial"/>
          <w:shd w:val="clear" w:color="auto" w:fill="FFFFFF"/>
        </w:rPr>
      </w:pPr>
      <w:r w:rsidRPr="00F47E0F">
        <w:rPr>
          <w:rFonts w:ascii="Verdana" w:hAnsi="Verdana" w:cs="Arial"/>
          <w:shd w:val="clear" w:color="auto" w:fill="FFFFFF"/>
        </w:rPr>
        <w:t>De otra parte, te informamos que, con el objetivo de garantizar un conocimiento adecuado de las </w:t>
      </w:r>
      <w:r w:rsidRPr="00F47E0F">
        <w:rPr>
          <w:rFonts w:ascii="Verdana" w:hAnsi="Verdana" w:cs="Arial"/>
          <w:b/>
          <w:bCs/>
          <w:shd w:val="clear" w:color="auto" w:fill="FFFFFF"/>
        </w:rPr>
        <w:t>modificaciones y/o actualizaciones realizadas a los Documentos Tipo</w:t>
      </w:r>
      <w:r w:rsidRPr="00F47E0F">
        <w:rPr>
          <w:rFonts w:ascii="Verdana" w:hAnsi="Verdana" w:cs="Arial"/>
          <w:shd w:val="clear" w:color="auto" w:fill="FFFFFF"/>
        </w:rPr>
        <w:t>, hemos programado una serie de </w:t>
      </w:r>
      <w:r w:rsidRPr="00F47E0F">
        <w:rPr>
          <w:rFonts w:ascii="Verdana" w:hAnsi="Verdana" w:cs="Arial"/>
          <w:b/>
          <w:bCs/>
          <w:shd w:val="clear" w:color="auto" w:fill="FFFFFF"/>
        </w:rPr>
        <w:t>capacitaciones </w:t>
      </w:r>
      <w:r w:rsidRPr="00F47E0F">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8" w:tgtFrame="_blank" w:tooltip="Dirección URL original: https://www.colombiacompra.gov.co/ciudadanos/calendario. Haga clic o pulse si confía en este vínculo." w:history="1">
        <w:r w:rsidRPr="00F47E0F">
          <w:rPr>
            <w:rFonts w:ascii="Verdana" w:hAnsi="Verdana" w:cs="Arial"/>
            <w:color w:val="0563C1" w:themeColor="hyperlink"/>
            <w:u w:val="single"/>
            <w:shd w:val="clear" w:color="auto" w:fill="FFFFFF"/>
          </w:rPr>
          <w:t>Calendario | Colombia Compra Eficiente | Agencia Nacional de Contratación Pública</w:t>
        </w:r>
      </w:hyperlink>
    </w:p>
    <w:p w14:paraId="63805FDF" w14:textId="77777777" w:rsidR="00F47E0F" w:rsidRPr="00F47E0F" w:rsidRDefault="00F47E0F" w:rsidP="00F47E0F">
      <w:pPr>
        <w:spacing w:after="0" w:line="276" w:lineRule="auto"/>
        <w:jc w:val="both"/>
        <w:rPr>
          <w:rFonts w:ascii="Verdana" w:hAnsi="Verdana" w:cs="Arial"/>
          <w:shd w:val="clear" w:color="auto" w:fill="FFFFFF"/>
        </w:rPr>
      </w:pPr>
    </w:p>
    <w:p w14:paraId="4EEADE54" w14:textId="77777777" w:rsidR="00F47E0F" w:rsidRPr="00F47E0F" w:rsidRDefault="00F47E0F" w:rsidP="00F47E0F">
      <w:pPr>
        <w:spacing w:after="0" w:line="276" w:lineRule="auto"/>
        <w:jc w:val="both"/>
        <w:rPr>
          <w:rFonts w:ascii="Verdana" w:hAnsi="Verdana" w:cs="Arial"/>
          <w:shd w:val="clear" w:color="auto" w:fill="FFFFFF"/>
        </w:rPr>
      </w:pPr>
      <w:r w:rsidRPr="00F47E0F">
        <w:rPr>
          <w:rFonts w:ascii="Verdana" w:hAnsi="Verdana" w:cs="Arial"/>
          <w:shd w:val="clear" w:color="auto" w:fill="FFFFFF"/>
        </w:rPr>
        <w:t>También, te contamos que ya publicamos </w:t>
      </w:r>
      <w:r w:rsidRPr="00F47E0F">
        <w:rPr>
          <w:rFonts w:ascii="Verdana" w:hAnsi="Verdana" w:cs="Arial"/>
          <w:b/>
          <w:bCs/>
          <w:shd w:val="clear" w:color="auto" w:fill="FFFFFF"/>
        </w:rPr>
        <w:t>la nueva Guía de Contratación Pública Sostenible y Socialmente Responsable</w:t>
      </w:r>
      <w:r w:rsidRPr="00F47E0F">
        <w:rPr>
          <w:rFonts w:ascii="Verdana" w:hAnsi="Verdana" w:cs="Arial"/>
          <w:shd w:val="clear" w:color="auto" w:fill="FFFFFF"/>
        </w:rPr>
        <w:t xml:space="preserve">. Esta guía es un instrumento clave para integrar buenas prácticas en la contratación estatal, promoviendo los </w:t>
      </w:r>
      <w:r w:rsidRPr="00F47E0F">
        <w:rPr>
          <w:rFonts w:ascii="Verdana" w:hAnsi="Verdana" w:cs="Arial"/>
          <w:shd w:val="clear" w:color="auto" w:fill="FFFFFF"/>
        </w:rPr>
        <w:lastRenderedPageBreak/>
        <w:t>Objetivos de Desarrollo Sostenible (ODS) a través de criterios y obligaciones ambientales y sociales en todas las etapas del proceso. Puede consultar la guía en el siguiente enlace: </w:t>
      </w:r>
      <w:hyperlink r:id="rId19" w:tgtFrame="_blank" w:tooltip="Dirección URL original: https://www.colombiacompra.gov.co/manuales-guias-y-pliegos-tipo/manuales-y-guias/guia-de-contratacion-publica-sostenible-y-socialmente. Haga clic o pulse si confía en este vínculo." w:history="1">
        <w:r w:rsidRPr="00F47E0F">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23602112" w14:textId="77777777" w:rsidR="00F47E0F" w:rsidRPr="00F47E0F" w:rsidRDefault="00F47E0F" w:rsidP="00F47E0F">
      <w:pPr>
        <w:spacing w:after="0" w:line="276" w:lineRule="auto"/>
        <w:jc w:val="both"/>
        <w:rPr>
          <w:rFonts w:ascii="Verdana" w:hAnsi="Verdana"/>
        </w:rPr>
      </w:pPr>
    </w:p>
    <w:p w14:paraId="39E1803D" w14:textId="77777777" w:rsidR="00F47E0F" w:rsidRPr="00F47E0F" w:rsidRDefault="00F47E0F" w:rsidP="00F47E0F">
      <w:pPr>
        <w:spacing w:after="0" w:line="276" w:lineRule="auto"/>
        <w:jc w:val="both"/>
        <w:rPr>
          <w:rFonts w:ascii="Verdana" w:hAnsi="Verdana"/>
        </w:rPr>
      </w:pPr>
      <w:r w:rsidRPr="00F47E0F">
        <w:rPr>
          <w:rFonts w:ascii="Verdana" w:hAnsi="Verdana"/>
        </w:rPr>
        <w:t xml:space="preserve">Por último, lo invitamos a seguirnos en las redes sociales en las cuales se difunde información institucional: </w:t>
      </w:r>
    </w:p>
    <w:p w14:paraId="1B016FB1" w14:textId="77777777" w:rsidR="00F47E0F" w:rsidRPr="00F47E0F" w:rsidRDefault="00F47E0F" w:rsidP="00F47E0F">
      <w:pPr>
        <w:spacing w:after="0" w:line="276" w:lineRule="auto"/>
        <w:jc w:val="both"/>
        <w:rPr>
          <w:rFonts w:ascii="Verdana" w:hAnsi="Verdana"/>
        </w:rPr>
      </w:pPr>
    </w:p>
    <w:p w14:paraId="21269060" w14:textId="77777777" w:rsidR="00F47E0F" w:rsidRPr="00F47E0F" w:rsidRDefault="00F47E0F" w:rsidP="00F47E0F">
      <w:pPr>
        <w:spacing w:after="0" w:line="276" w:lineRule="auto"/>
        <w:jc w:val="both"/>
        <w:rPr>
          <w:rFonts w:ascii="Verdana" w:hAnsi="Verdana"/>
        </w:rPr>
      </w:pPr>
      <w:r w:rsidRPr="00F47E0F">
        <w:rPr>
          <w:rFonts w:ascii="Verdana" w:hAnsi="Verdana"/>
        </w:rPr>
        <w:t xml:space="preserve">Twitter: </w:t>
      </w:r>
      <w:r w:rsidRPr="00F47E0F">
        <w:rPr>
          <w:rFonts w:ascii="Verdana" w:hAnsi="Verdana"/>
          <w:u w:val="single"/>
        </w:rPr>
        <w:t>@colombiacompra</w:t>
      </w:r>
      <w:r w:rsidRPr="00F47E0F">
        <w:rPr>
          <w:rFonts w:ascii="Verdana" w:hAnsi="Verdana"/>
        </w:rPr>
        <w:t xml:space="preserve"> </w:t>
      </w:r>
    </w:p>
    <w:p w14:paraId="5F7D79C1" w14:textId="77777777" w:rsidR="00F47E0F" w:rsidRPr="00F47E0F" w:rsidRDefault="00F47E0F" w:rsidP="00F47E0F">
      <w:pPr>
        <w:spacing w:after="0" w:line="276" w:lineRule="auto"/>
        <w:jc w:val="both"/>
        <w:rPr>
          <w:rFonts w:ascii="Verdana" w:hAnsi="Verdana"/>
        </w:rPr>
      </w:pPr>
      <w:r w:rsidRPr="00F47E0F">
        <w:rPr>
          <w:rFonts w:ascii="Verdana" w:hAnsi="Verdana"/>
        </w:rPr>
        <w:t xml:space="preserve">Facebook: </w:t>
      </w:r>
      <w:proofErr w:type="spellStart"/>
      <w:r w:rsidRPr="00F47E0F">
        <w:rPr>
          <w:rFonts w:ascii="Verdana" w:hAnsi="Verdana"/>
          <w:u w:val="single"/>
        </w:rPr>
        <w:t>ColombiaCompraEficiente</w:t>
      </w:r>
      <w:proofErr w:type="spellEnd"/>
    </w:p>
    <w:p w14:paraId="6BB4DADF" w14:textId="77777777" w:rsidR="00F47E0F" w:rsidRPr="00F47E0F" w:rsidRDefault="00F47E0F" w:rsidP="00F47E0F">
      <w:pPr>
        <w:spacing w:after="0" w:line="276" w:lineRule="auto"/>
        <w:jc w:val="both"/>
        <w:rPr>
          <w:rFonts w:ascii="Verdana" w:hAnsi="Verdana"/>
        </w:rPr>
      </w:pPr>
      <w:r w:rsidRPr="00F47E0F">
        <w:rPr>
          <w:rFonts w:ascii="Verdana" w:hAnsi="Verdana"/>
        </w:rPr>
        <w:t xml:space="preserve">LinkedIn: </w:t>
      </w:r>
      <w:r w:rsidRPr="00F47E0F">
        <w:rPr>
          <w:rFonts w:ascii="Verdana" w:hAnsi="Verdana"/>
          <w:u w:val="single"/>
        </w:rPr>
        <w:t>Agencia Nacional de Contratación Pública - Colombia Compra Eficiente</w:t>
      </w:r>
      <w:r w:rsidRPr="00F47E0F">
        <w:rPr>
          <w:rFonts w:ascii="Verdana" w:hAnsi="Verdana"/>
        </w:rPr>
        <w:t xml:space="preserve"> Instagram: </w:t>
      </w:r>
      <w:r w:rsidRPr="00F47E0F">
        <w:rPr>
          <w:rFonts w:ascii="Verdana" w:hAnsi="Verdana"/>
          <w:u w:val="single"/>
        </w:rPr>
        <w:t>@colombiacompraeficiente_cce</w:t>
      </w:r>
    </w:p>
    <w:p w14:paraId="143D7D39" w14:textId="77777777" w:rsidR="00F47E0F" w:rsidRPr="00F47E0F" w:rsidRDefault="00F47E0F" w:rsidP="00F47E0F">
      <w:pPr>
        <w:widowControl w:val="0"/>
        <w:autoSpaceDE w:val="0"/>
        <w:autoSpaceDN w:val="0"/>
        <w:spacing w:after="0" w:line="276" w:lineRule="auto"/>
        <w:jc w:val="both"/>
        <w:rPr>
          <w:rFonts w:ascii="Verdana" w:hAnsi="Verdana" w:cs="Arial"/>
        </w:rPr>
      </w:pPr>
    </w:p>
    <w:p w14:paraId="15F9AFE1" w14:textId="77777777" w:rsidR="00F47E0F" w:rsidRPr="00F47E0F" w:rsidRDefault="00F47E0F" w:rsidP="00F47E0F">
      <w:pPr>
        <w:widowControl w:val="0"/>
        <w:autoSpaceDE w:val="0"/>
        <w:autoSpaceDN w:val="0"/>
        <w:spacing w:after="0" w:line="276" w:lineRule="auto"/>
        <w:jc w:val="both"/>
        <w:rPr>
          <w:rFonts w:ascii="Verdana" w:hAnsi="Verdana" w:cs="Arial"/>
          <w:lang w:val="es-ES_tradnl"/>
        </w:rPr>
      </w:pPr>
      <w:r w:rsidRPr="00F47E0F">
        <w:rPr>
          <w:rFonts w:ascii="Verdana" w:hAnsi="Verdana" w:cs="Arial"/>
        </w:rPr>
        <w:t xml:space="preserve">Este concepto tiene el alcance previsto en el artículo 28 del Código de Procedimiento Administrativo y de lo Contencioso Administrativo </w:t>
      </w:r>
      <w:r w:rsidRPr="00F47E0F">
        <w:rPr>
          <w:rFonts w:ascii="Verdana" w:hAnsi="Verdana" w:cs="Arial"/>
          <w:lang w:val="es-ES_tradnl"/>
        </w:rPr>
        <w:t>y las expresiones aquí utilizadas con mayúscula inicial deben ser entendidas con el significado que les otorga el artículo 2.2.1.1.1.3.1. del Decreto 1082 de 2015.</w:t>
      </w:r>
    </w:p>
    <w:p w14:paraId="26DCF8BF" w14:textId="77777777" w:rsidR="00F47E0F" w:rsidRPr="00F47E0F" w:rsidRDefault="00F47E0F" w:rsidP="00F47E0F">
      <w:pPr>
        <w:widowControl w:val="0"/>
        <w:autoSpaceDE w:val="0"/>
        <w:autoSpaceDN w:val="0"/>
        <w:spacing w:after="0" w:line="276" w:lineRule="auto"/>
        <w:jc w:val="both"/>
        <w:rPr>
          <w:rFonts w:ascii="Verdana" w:hAnsi="Verdana" w:cs="Arial"/>
        </w:rPr>
      </w:pPr>
    </w:p>
    <w:p w14:paraId="063F7F19" w14:textId="77777777" w:rsidR="00F47E0F" w:rsidRPr="00F47E0F" w:rsidRDefault="00F47E0F" w:rsidP="00F47E0F">
      <w:pPr>
        <w:spacing w:after="0" w:line="240" w:lineRule="auto"/>
        <w:rPr>
          <w:rFonts w:ascii="Verdana" w:hAnsi="Verdana" w:cs="Arial"/>
          <w:lang w:eastAsia="es-CO"/>
        </w:rPr>
      </w:pPr>
      <w:r w:rsidRPr="00F47E0F">
        <w:rPr>
          <w:rFonts w:ascii="Verdana" w:eastAsia="Times New Roman" w:hAnsi="Verdana" w:cs="Arial"/>
          <w:lang w:eastAsia="es-CO"/>
        </w:rPr>
        <w:t>Atentamente,</w:t>
      </w:r>
      <w:r w:rsidRPr="00F47E0F">
        <w:rPr>
          <w:rFonts w:ascii="Verdana" w:hAnsi="Verdana" w:cs="Arial"/>
          <w:lang w:eastAsia="es-CO"/>
        </w:rPr>
        <w:t xml:space="preserve"> </w:t>
      </w:r>
    </w:p>
    <w:p w14:paraId="4CFB8F0A" w14:textId="0C381A2B" w:rsidR="00F47E0F" w:rsidRPr="00F47E0F" w:rsidRDefault="0053143B" w:rsidP="00F47E0F">
      <w:pPr>
        <w:spacing w:line="276" w:lineRule="auto"/>
        <w:jc w:val="center"/>
        <w:rPr>
          <w:rFonts w:ascii="Verdana" w:hAnsi="Verdana" w:cs="Arial"/>
          <w:lang w:val="es-ES_tradnl" w:eastAsia="es-CO"/>
        </w:rPr>
      </w:pPr>
      <w:r>
        <w:rPr>
          <w:noProof/>
        </w:rPr>
        <w:drawing>
          <wp:inline distT="0" distB="0" distL="0" distR="0" wp14:anchorId="5F50A6FB" wp14:editId="3422D05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7E0F" w:rsidRPr="00F47E0F" w14:paraId="539CC06A" w14:textId="77777777" w:rsidTr="00FA10B1">
        <w:trPr>
          <w:trHeight w:val="315"/>
        </w:trPr>
        <w:tc>
          <w:tcPr>
            <w:tcW w:w="893" w:type="dxa"/>
            <w:vAlign w:val="center"/>
            <w:hideMark/>
          </w:tcPr>
          <w:p w14:paraId="69AB4BDF" w14:textId="77777777" w:rsidR="00F47E0F" w:rsidRPr="00F47E0F" w:rsidRDefault="00F47E0F" w:rsidP="00F47E0F">
            <w:pPr>
              <w:contextualSpacing/>
              <w:rPr>
                <w:rFonts w:ascii="Verdana" w:hAnsi="Verdana" w:cs="Arial"/>
                <w:sz w:val="16"/>
                <w:szCs w:val="16"/>
                <w:lang w:val="es-ES" w:eastAsia="es-ES"/>
              </w:rPr>
            </w:pPr>
            <w:r w:rsidRPr="00F47E0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B8A90A9" w14:textId="77777777" w:rsidR="00F47E0F" w:rsidRPr="00F47E0F" w:rsidRDefault="00F47E0F" w:rsidP="00F47E0F">
            <w:pPr>
              <w:contextualSpacing/>
            </w:pPr>
            <w:r w:rsidRPr="00F47E0F">
              <w:rPr>
                <w:rFonts w:ascii="Verdana" w:hAnsi="Verdana"/>
                <w:sz w:val="16"/>
                <w:szCs w:val="16"/>
              </w:rPr>
              <w:t>Ximena Ríos López</w:t>
            </w:r>
          </w:p>
          <w:p w14:paraId="3DDC9DC1" w14:textId="77777777" w:rsidR="00F47E0F" w:rsidRPr="00F47E0F" w:rsidRDefault="00F47E0F" w:rsidP="00F47E0F">
            <w:pPr>
              <w:contextualSpacing/>
              <w:rPr>
                <w:rFonts w:ascii="Verdana" w:eastAsia="Arial" w:hAnsi="Verdana" w:cs="Arial"/>
                <w:sz w:val="16"/>
                <w:szCs w:val="16"/>
              </w:rPr>
            </w:pPr>
            <w:r w:rsidRPr="00F47E0F">
              <w:rPr>
                <w:rFonts w:ascii="Verdana" w:eastAsia="Arial" w:hAnsi="Verdana" w:cs="Arial"/>
                <w:sz w:val="16"/>
                <w:szCs w:val="16"/>
              </w:rPr>
              <w:t>Gestor T1-11 de la Subdirección de Gestión Contractual</w:t>
            </w:r>
          </w:p>
        </w:tc>
      </w:tr>
      <w:tr w:rsidR="00F47E0F" w:rsidRPr="00F47E0F" w14:paraId="2D3A3A51" w14:textId="77777777" w:rsidTr="00FA10B1">
        <w:trPr>
          <w:trHeight w:val="330"/>
        </w:trPr>
        <w:tc>
          <w:tcPr>
            <w:tcW w:w="893" w:type="dxa"/>
            <w:vAlign w:val="center"/>
            <w:hideMark/>
          </w:tcPr>
          <w:p w14:paraId="3F8E9167" w14:textId="77777777" w:rsidR="00F47E0F" w:rsidRPr="00F47E0F" w:rsidRDefault="00F47E0F" w:rsidP="00F47E0F">
            <w:pPr>
              <w:contextualSpacing/>
              <w:rPr>
                <w:rFonts w:ascii="Verdana" w:hAnsi="Verdana" w:cs="Arial"/>
                <w:sz w:val="16"/>
                <w:szCs w:val="16"/>
                <w:lang w:val="es-ES" w:eastAsia="es-ES"/>
              </w:rPr>
            </w:pPr>
            <w:r w:rsidRPr="00F47E0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6CEFA9" w14:textId="77777777" w:rsidR="00F47E0F" w:rsidRPr="00F47E0F" w:rsidRDefault="00F47E0F" w:rsidP="00F47E0F">
            <w:pPr>
              <w:contextualSpacing/>
              <w:textAlignment w:val="baseline"/>
              <w:rPr>
                <w:rFonts w:ascii="Verdana" w:eastAsia="Times New Roman" w:hAnsi="Verdana" w:cs="Segoe UI"/>
                <w:sz w:val="16"/>
                <w:szCs w:val="16"/>
                <w:lang w:eastAsia="es-ES_tradnl"/>
              </w:rPr>
            </w:pPr>
            <w:r w:rsidRPr="00F47E0F">
              <w:rPr>
                <w:rFonts w:ascii="Verdana" w:eastAsia="Times New Roman" w:hAnsi="Verdana" w:cs="Arial"/>
                <w:sz w:val="16"/>
                <w:szCs w:val="16"/>
                <w:lang w:val="es-ES" w:eastAsia="es-ES_tradnl"/>
              </w:rPr>
              <w:t>Juan Carlos González</w:t>
            </w:r>
          </w:p>
          <w:p w14:paraId="7D331F07" w14:textId="77777777" w:rsidR="00F47E0F" w:rsidRPr="00F47E0F" w:rsidRDefault="00F47E0F" w:rsidP="00F47E0F">
            <w:pPr>
              <w:contextualSpacing/>
              <w:textAlignment w:val="baseline"/>
              <w:rPr>
                <w:rFonts w:ascii="Verdana" w:eastAsia="Times New Roman" w:hAnsi="Verdana" w:cs="Segoe UI"/>
                <w:sz w:val="16"/>
                <w:szCs w:val="16"/>
                <w:lang w:eastAsia="es-ES_tradnl"/>
              </w:rPr>
            </w:pPr>
            <w:r w:rsidRPr="00F47E0F">
              <w:rPr>
                <w:rFonts w:ascii="Verdana" w:eastAsia="Times New Roman" w:hAnsi="Verdana" w:cs="Arial"/>
                <w:sz w:val="16"/>
                <w:szCs w:val="16"/>
                <w:lang w:val="es-ES" w:eastAsia="es-ES_tradnl"/>
              </w:rPr>
              <w:t>Contratista de la Subdirección de Gestión Contractual</w:t>
            </w:r>
            <w:r w:rsidRPr="00F47E0F">
              <w:rPr>
                <w:rFonts w:ascii="Verdana" w:eastAsia="Times New Roman" w:hAnsi="Verdana" w:cs="Arial"/>
                <w:sz w:val="16"/>
                <w:szCs w:val="16"/>
                <w:lang w:eastAsia="es-ES_tradnl"/>
              </w:rPr>
              <w:t> </w:t>
            </w:r>
          </w:p>
        </w:tc>
      </w:tr>
      <w:tr w:rsidR="00F47E0F" w:rsidRPr="00F47E0F" w14:paraId="5E00F760" w14:textId="77777777" w:rsidTr="00FA10B1">
        <w:trPr>
          <w:trHeight w:val="300"/>
        </w:trPr>
        <w:tc>
          <w:tcPr>
            <w:tcW w:w="893" w:type="dxa"/>
            <w:vAlign w:val="center"/>
          </w:tcPr>
          <w:p w14:paraId="2DDC091F" w14:textId="77777777" w:rsidR="00F47E0F" w:rsidRPr="00F47E0F" w:rsidRDefault="00F47E0F" w:rsidP="00F47E0F">
            <w:pPr>
              <w:contextualSpacing/>
              <w:rPr>
                <w:rFonts w:ascii="Verdana" w:hAnsi="Verdana" w:cs="Arial"/>
                <w:sz w:val="16"/>
                <w:szCs w:val="16"/>
                <w:lang w:val="es-ES" w:eastAsia="es-ES"/>
              </w:rPr>
            </w:pPr>
            <w:r w:rsidRPr="00F47E0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D56BFFA" w14:textId="77777777" w:rsidR="00F47E0F" w:rsidRPr="00F47E0F" w:rsidRDefault="00F47E0F" w:rsidP="00F47E0F">
            <w:pPr>
              <w:contextualSpacing/>
              <w:rPr>
                <w:rFonts w:ascii="Verdana" w:eastAsia="Calibri" w:hAnsi="Verdana" w:cs="Arial"/>
                <w:sz w:val="16"/>
                <w:szCs w:val="16"/>
                <w:lang w:val="pt-BR" w:eastAsia="es-ES"/>
              </w:rPr>
            </w:pPr>
            <w:r w:rsidRPr="00F47E0F">
              <w:rPr>
                <w:rFonts w:ascii="Verdana" w:eastAsia="Calibri" w:hAnsi="Verdana" w:cs="Arial"/>
                <w:sz w:val="16"/>
                <w:szCs w:val="16"/>
                <w:lang w:val="pt-BR" w:eastAsia="es-ES"/>
              </w:rPr>
              <w:t xml:space="preserve">Carolina Quintero </w:t>
            </w:r>
            <w:proofErr w:type="spellStart"/>
            <w:r w:rsidRPr="00F47E0F">
              <w:rPr>
                <w:rFonts w:ascii="Verdana" w:eastAsia="Calibri" w:hAnsi="Verdana" w:cs="Arial"/>
                <w:sz w:val="16"/>
                <w:szCs w:val="16"/>
                <w:lang w:val="pt-BR" w:eastAsia="es-ES"/>
              </w:rPr>
              <w:t>Gacharná</w:t>
            </w:r>
            <w:proofErr w:type="spellEnd"/>
          </w:p>
          <w:p w14:paraId="340FD23B" w14:textId="77777777" w:rsidR="00F47E0F" w:rsidRPr="00F47E0F" w:rsidRDefault="00F47E0F" w:rsidP="00F47E0F">
            <w:pPr>
              <w:contextualSpacing/>
              <w:rPr>
                <w:rFonts w:ascii="Verdana" w:eastAsia="Calibri" w:hAnsi="Verdana" w:cs="Arial"/>
                <w:sz w:val="16"/>
                <w:szCs w:val="16"/>
                <w:lang w:val="pt-BR" w:eastAsia="es-ES"/>
              </w:rPr>
            </w:pPr>
            <w:r w:rsidRPr="00F47E0F">
              <w:rPr>
                <w:rFonts w:ascii="Verdana" w:eastAsia="Calibri" w:hAnsi="Verdana" w:cs="Arial"/>
                <w:sz w:val="16"/>
                <w:szCs w:val="16"/>
                <w:lang w:eastAsia="es-ES"/>
              </w:rPr>
              <w:t>Subdirectora</w:t>
            </w:r>
            <w:r w:rsidRPr="00F47E0F">
              <w:rPr>
                <w:rFonts w:ascii="Verdana" w:eastAsia="Calibri" w:hAnsi="Verdana" w:cs="Arial"/>
                <w:sz w:val="16"/>
                <w:szCs w:val="16"/>
                <w:lang w:val="pt-BR" w:eastAsia="es-ES"/>
              </w:rPr>
              <w:t xml:space="preserve"> de Gestión </w:t>
            </w:r>
            <w:proofErr w:type="spellStart"/>
            <w:r w:rsidRPr="00F47E0F">
              <w:rPr>
                <w:rFonts w:ascii="Verdana" w:eastAsia="Calibri" w:hAnsi="Verdana" w:cs="Arial"/>
                <w:sz w:val="16"/>
                <w:szCs w:val="16"/>
                <w:lang w:val="pt-BR" w:eastAsia="es-ES"/>
              </w:rPr>
              <w:t>Contractual</w:t>
            </w:r>
            <w:proofErr w:type="spellEnd"/>
            <w:r w:rsidRPr="00F47E0F">
              <w:rPr>
                <w:rFonts w:ascii="Verdana" w:eastAsia="Calibri" w:hAnsi="Verdana" w:cs="Arial"/>
                <w:sz w:val="16"/>
                <w:szCs w:val="16"/>
                <w:lang w:val="pt-BR" w:eastAsia="es-ES"/>
              </w:rPr>
              <w:t xml:space="preserve"> ANCP – CCE</w:t>
            </w:r>
          </w:p>
        </w:tc>
      </w:tr>
      <w:tr w:rsidR="00F47E0F" w:rsidRPr="00F47E0F" w14:paraId="27B2896D" w14:textId="77777777" w:rsidTr="00FA10B1">
        <w:trPr>
          <w:trHeight w:val="300"/>
        </w:trPr>
        <w:tc>
          <w:tcPr>
            <w:tcW w:w="893" w:type="dxa"/>
            <w:vAlign w:val="center"/>
          </w:tcPr>
          <w:p w14:paraId="661F04D3" w14:textId="77777777" w:rsidR="00F47E0F" w:rsidRPr="00F47E0F" w:rsidRDefault="00F47E0F" w:rsidP="00F47E0F">
            <w:pPr>
              <w:contextualSpacing/>
              <w:rPr>
                <w:rFonts w:ascii="Verdana" w:hAnsi="Verdana" w:cs="Arial"/>
                <w:sz w:val="16"/>
                <w:szCs w:val="16"/>
                <w:lang w:val="es-ES" w:eastAsia="es-ES"/>
              </w:rPr>
            </w:pPr>
            <w:r w:rsidRPr="00F47E0F">
              <w:rPr>
                <w:rFonts w:ascii="Verdana" w:hAnsi="Verdana" w:cs="Arial"/>
                <w:sz w:val="16"/>
                <w:szCs w:val="16"/>
                <w:lang w:val="es-ES" w:eastAsia="es-ES"/>
              </w:rPr>
              <w:t>Anexo:</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090285" w14:textId="77777777" w:rsidR="00F47E0F" w:rsidRPr="00F47E0F" w:rsidRDefault="00F47E0F" w:rsidP="00F47E0F">
            <w:pPr>
              <w:contextualSpacing/>
              <w:rPr>
                <w:rFonts w:ascii="Verdana" w:eastAsia="Calibri" w:hAnsi="Verdana" w:cs="Arial"/>
                <w:sz w:val="16"/>
                <w:szCs w:val="16"/>
                <w:lang w:val="pt-BR" w:eastAsia="es-ES"/>
              </w:rPr>
            </w:pPr>
            <w:proofErr w:type="spellStart"/>
            <w:r w:rsidRPr="00F47E0F">
              <w:rPr>
                <w:rFonts w:ascii="Verdana" w:eastAsia="Calibri" w:hAnsi="Verdana" w:cs="Arial"/>
                <w:sz w:val="16"/>
                <w:szCs w:val="16"/>
                <w:lang w:val="pt-BR" w:eastAsia="es-ES"/>
              </w:rPr>
              <w:t>Respuesta</w:t>
            </w:r>
            <w:proofErr w:type="spellEnd"/>
            <w:r w:rsidRPr="00F47E0F">
              <w:rPr>
                <w:rFonts w:ascii="Verdana" w:eastAsia="Calibri" w:hAnsi="Verdana" w:cs="Arial"/>
                <w:sz w:val="16"/>
                <w:szCs w:val="16"/>
                <w:lang w:val="pt-BR" w:eastAsia="es-ES"/>
              </w:rPr>
              <w:t xml:space="preserve"> IDT</w:t>
            </w:r>
          </w:p>
        </w:tc>
      </w:tr>
    </w:tbl>
    <w:p w14:paraId="074EDDAA" w14:textId="77777777" w:rsidR="00F47E0F" w:rsidRPr="00F47E0F" w:rsidRDefault="00F47E0F" w:rsidP="00F47E0F">
      <w:pPr>
        <w:spacing w:after="0" w:line="240" w:lineRule="auto"/>
        <w:rPr>
          <w:rFonts w:ascii="Verdana" w:eastAsia="Times New Roman" w:hAnsi="Verdana" w:cs="Arial"/>
          <w:sz w:val="24"/>
          <w:szCs w:val="24"/>
          <w:lang w:eastAsia="es-ES"/>
        </w:rPr>
      </w:pPr>
    </w:p>
    <w:p w14:paraId="779A65AC" w14:textId="77777777" w:rsidR="00F47E0F" w:rsidRPr="00F47E0F" w:rsidRDefault="00F47E0F" w:rsidP="00F47E0F"/>
    <w:p w14:paraId="3900974D" w14:textId="77777777" w:rsidR="003D5B0D" w:rsidRPr="00F47E0F" w:rsidRDefault="003D5B0D" w:rsidP="00F47E0F"/>
    <w:sectPr w:rsidR="003D5B0D" w:rsidRPr="00F47E0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B1145" w14:textId="77777777" w:rsidR="00BB0CF4" w:rsidRDefault="00BB0CF4" w:rsidP="004A1847">
      <w:pPr>
        <w:spacing w:after="0" w:line="240" w:lineRule="auto"/>
      </w:pPr>
      <w:r>
        <w:separator/>
      </w:r>
    </w:p>
  </w:endnote>
  <w:endnote w:type="continuationSeparator" w:id="0">
    <w:p w14:paraId="4B7FF66B" w14:textId="77777777" w:rsidR="00BB0CF4" w:rsidRDefault="00BB0CF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E2B94" w14:textId="77777777" w:rsidR="00BB0CF4" w:rsidRDefault="00BB0CF4" w:rsidP="004A1847">
      <w:pPr>
        <w:spacing w:after="0" w:line="240" w:lineRule="auto"/>
      </w:pPr>
      <w:r>
        <w:separator/>
      </w:r>
    </w:p>
  </w:footnote>
  <w:footnote w:type="continuationSeparator" w:id="0">
    <w:p w14:paraId="0A75D95B" w14:textId="77777777" w:rsidR="00BB0CF4" w:rsidRDefault="00BB0CF4" w:rsidP="004A1847">
      <w:pPr>
        <w:spacing w:after="0" w:line="240" w:lineRule="auto"/>
      </w:pPr>
      <w:r>
        <w:continuationSeparator/>
      </w:r>
    </w:p>
  </w:footnote>
  <w:footnote w:id="1">
    <w:p w14:paraId="43260DE8" w14:textId="77777777" w:rsidR="00F47E0F" w:rsidRDefault="00F47E0F" w:rsidP="00F47E0F">
      <w:pPr>
        <w:pStyle w:val="Textonotapie"/>
        <w:ind w:firstLine="709"/>
        <w:jc w:val="both"/>
        <w:rPr>
          <w:rFonts w:ascii="Verdana" w:hAnsi="Verdana" w:cs="Arial"/>
          <w:color w:val="000000"/>
          <w:sz w:val="16"/>
          <w:szCs w:val="16"/>
        </w:rPr>
      </w:pPr>
    </w:p>
    <w:p w14:paraId="25F056F9" w14:textId="77777777" w:rsidR="00F47E0F" w:rsidRPr="005C10BE" w:rsidRDefault="00F47E0F" w:rsidP="00F47E0F">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0455232"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Lo anterior, sin perjuicio de las publicaciones previstas en el numeral 3 del artículo 30 de la Ley 80 de 1993.</w:t>
      </w:r>
    </w:p>
    <w:p w14:paraId="4E6F036F"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13E386CE"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w:t>
      </w:r>
    </w:p>
    <w:p w14:paraId="1AB73945"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021CDAE5" w14:textId="77777777" w:rsidR="00F47E0F" w:rsidRPr="005C10BE" w:rsidRDefault="00F47E0F" w:rsidP="00F47E0F">
      <w:pPr>
        <w:pStyle w:val="Textonotapie"/>
        <w:ind w:firstLine="709"/>
        <w:jc w:val="both"/>
        <w:rPr>
          <w:rFonts w:ascii="Verdana" w:hAnsi="Verdana" w:cs="Arial"/>
          <w:color w:val="000000"/>
          <w:sz w:val="16"/>
          <w:szCs w:val="16"/>
          <w:lang w:val="es-CO"/>
        </w:rPr>
      </w:pPr>
    </w:p>
  </w:footnote>
  <w:footnote w:id="2">
    <w:p w14:paraId="280639F7" w14:textId="77777777" w:rsidR="00F47E0F" w:rsidRPr="005C10BE" w:rsidRDefault="00F47E0F" w:rsidP="00F47E0F">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1EA8A1C" w14:textId="77777777" w:rsidR="00F47E0F" w:rsidRPr="005C10BE" w:rsidRDefault="00F47E0F" w:rsidP="00F47E0F">
      <w:pPr>
        <w:pStyle w:val="Textonotapie"/>
        <w:ind w:firstLine="709"/>
        <w:jc w:val="both"/>
        <w:rPr>
          <w:rFonts w:ascii="Verdana" w:hAnsi="Verdana" w:cs="Arial"/>
          <w:color w:val="000000"/>
          <w:sz w:val="16"/>
          <w:szCs w:val="16"/>
          <w:lang w:val="es-CO"/>
        </w:rPr>
      </w:pPr>
    </w:p>
  </w:footnote>
  <w:footnote w:id="3">
    <w:p w14:paraId="6DC10253" w14:textId="77777777" w:rsidR="00F47E0F" w:rsidRPr="005C10BE" w:rsidRDefault="00F47E0F" w:rsidP="00F47E0F">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Ley 1712 de 2014: “Artículo 5. Ámbito de aplicación. Las disposiciones de esta ley serán aplicables a las siguientes personas en calidad de sujetos obligados: </w:t>
      </w:r>
    </w:p>
    <w:p w14:paraId="20832629"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hAnsi="Verdana" w:cs="Arial"/>
          <w:color w:val="000000"/>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25BBE0C" w14:textId="77777777" w:rsidR="00F47E0F" w:rsidRPr="005C10BE" w:rsidRDefault="00F47E0F" w:rsidP="00F47E0F">
      <w:pPr>
        <w:pStyle w:val="Textonotapie"/>
        <w:ind w:firstLine="709"/>
        <w:jc w:val="both"/>
        <w:rPr>
          <w:rFonts w:ascii="Verdana" w:hAnsi="Verdana" w:cs="Arial"/>
          <w:color w:val="000000"/>
          <w:sz w:val="16"/>
          <w:szCs w:val="16"/>
          <w:lang w:val="es-CO"/>
        </w:rPr>
      </w:pPr>
    </w:p>
  </w:footnote>
  <w:footnote w:id="4">
    <w:p w14:paraId="7496B350" w14:textId="77777777" w:rsidR="00F47E0F" w:rsidRPr="005C10BE" w:rsidRDefault="00F47E0F" w:rsidP="00F47E0F">
      <w:pPr>
        <w:pStyle w:val="Textonotapie"/>
        <w:ind w:firstLine="709"/>
        <w:jc w:val="both"/>
        <w:rPr>
          <w:rFonts w:ascii="Verdana" w:hAnsi="Verdana" w:cs="Arial"/>
          <w:color w:val="000000"/>
          <w:sz w:val="16"/>
          <w:szCs w:val="16"/>
        </w:rPr>
      </w:pPr>
      <w:r w:rsidRPr="005C10BE">
        <w:rPr>
          <w:rFonts w:ascii="Verdana" w:eastAsia="Times New Roman" w:hAnsi="Verdana" w:cs="Arial"/>
          <w:color w:val="000000"/>
          <w:sz w:val="16"/>
          <w:szCs w:val="16"/>
          <w:vertAlign w:val="superscript"/>
          <w:lang w:val="es-ES" w:eastAsia="es-ES"/>
        </w:rPr>
        <w:footnoteRef/>
      </w:r>
      <w:r w:rsidRPr="005C10BE">
        <w:rPr>
          <w:rFonts w:ascii="Verdana" w:eastAsia="Times New Roman" w:hAnsi="Verdana" w:cs="Arial"/>
          <w:color w:val="000000"/>
          <w:sz w:val="16"/>
          <w:szCs w:val="16"/>
          <w:vertAlign w:val="superscript"/>
          <w:lang w:val="es-ES" w:eastAsia="es-ES"/>
        </w:rPr>
        <w:t xml:space="preserve"> </w:t>
      </w:r>
      <w:r w:rsidRPr="005C10BE">
        <w:rPr>
          <w:rFonts w:ascii="Verdana" w:eastAsia="Times New Roman" w:hAnsi="Verdana" w:cs="Arial"/>
          <w:color w:val="000000"/>
          <w:sz w:val="16"/>
          <w:szCs w:val="16"/>
          <w:lang w:val="es-ES" w:eastAsia="es-ES"/>
        </w:rPr>
        <w:t>“</w:t>
      </w:r>
      <w:r w:rsidRPr="005C10BE">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46A05EA" w14:textId="77777777" w:rsidR="00F47E0F" w:rsidRPr="005C10BE" w:rsidRDefault="00F47E0F" w:rsidP="00F47E0F">
      <w:pPr>
        <w:pStyle w:val="Textonotapie"/>
        <w:ind w:firstLine="709"/>
        <w:jc w:val="both"/>
        <w:rPr>
          <w:rFonts w:ascii="Verdana" w:eastAsia="Times New Roman" w:hAnsi="Verdana" w:cs="Arial"/>
          <w:color w:val="000000"/>
          <w:sz w:val="16"/>
          <w:szCs w:val="16"/>
          <w:lang w:val="es-ES" w:eastAsia="es-ES"/>
        </w:rPr>
      </w:pPr>
      <w:r w:rsidRPr="005C10BE">
        <w:rPr>
          <w:rFonts w:ascii="Verdana" w:hAnsi="Verdana" w:cs="Arial"/>
          <w:color w:val="000000"/>
          <w:sz w:val="16"/>
          <w:szCs w:val="16"/>
        </w:rPr>
        <w:t>[…].</w:t>
      </w:r>
    </w:p>
    <w:p w14:paraId="0271B39C" w14:textId="77777777" w:rsidR="00F47E0F" w:rsidRPr="005C10BE" w:rsidRDefault="00F47E0F" w:rsidP="00F47E0F">
      <w:pPr>
        <w:pStyle w:val="Textonotapie"/>
        <w:ind w:firstLine="709"/>
        <w:jc w:val="both"/>
        <w:rPr>
          <w:rFonts w:ascii="Verdana" w:eastAsia="Times New Roman" w:hAnsi="Verdana" w:cs="Arial"/>
          <w:color w:val="000000"/>
          <w:sz w:val="16"/>
          <w:szCs w:val="16"/>
          <w:lang w:val="es-ES" w:eastAsia="es-ES"/>
        </w:rPr>
      </w:pPr>
      <w:r w:rsidRPr="005C10BE">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F0413BA" w14:textId="77777777" w:rsidR="00F47E0F" w:rsidRPr="005C10BE" w:rsidRDefault="00F47E0F" w:rsidP="00F47E0F">
      <w:pPr>
        <w:pStyle w:val="Textonotapie"/>
        <w:ind w:firstLine="709"/>
        <w:jc w:val="both"/>
        <w:rPr>
          <w:rFonts w:ascii="Verdana" w:eastAsia="Times New Roman" w:hAnsi="Verdana" w:cs="Arial"/>
          <w:color w:val="000000"/>
          <w:sz w:val="16"/>
          <w:szCs w:val="16"/>
          <w:lang w:val="es-ES" w:eastAsia="es-ES"/>
        </w:rPr>
      </w:pPr>
    </w:p>
  </w:footnote>
  <w:footnote w:id="5">
    <w:p w14:paraId="3A75BF48" w14:textId="77777777" w:rsidR="00F47E0F" w:rsidRPr="005C10BE" w:rsidRDefault="00F47E0F" w:rsidP="00F47E0F">
      <w:pPr>
        <w:pStyle w:val="Textonotapie"/>
        <w:ind w:firstLine="709"/>
        <w:jc w:val="both"/>
        <w:rPr>
          <w:rFonts w:ascii="Verdana" w:hAnsi="Verdana" w:cs="Arial"/>
          <w:color w:val="000000"/>
          <w:sz w:val="16"/>
          <w:szCs w:val="16"/>
        </w:rPr>
      </w:pPr>
      <w:r w:rsidRPr="005C10BE">
        <w:rPr>
          <w:rStyle w:val="Refdenotaalpie"/>
          <w:rFonts w:ascii="Verdana" w:hAnsi="Verdana" w:cs="Arial"/>
          <w:color w:val="000000"/>
          <w:sz w:val="16"/>
          <w:szCs w:val="16"/>
        </w:rPr>
        <w:footnoteRef/>
      </w:r>
      <w:r w:rsidRPr="005C10BE">
        <w:rPr>
          <w:rFonts w:ascii="Verdana" w:hAnsi="Verdana" w:cs="Arial"/>
          <w:color w:val="000000"/>
          <w:sz w:val="16"/>
          <w:szCs w:val="16"/>
        </w:rPr>
        <w:t xml:space="preserve"> C</w:t>
      </w:r>
      <w:r w:rsidRPr="005C10BE">
        <w:rPr>
          <w:rFonts w:ascii="Verdana" w:eastAsia="Times New Roman" w:hAnsi="Verdana" w:cs="Arial"/>
          <w:color w:val="000000"/>
          <w:sz w:val="16"/>
          <w:szCs w:val="16"/>
          <w:lang w:val="es-ES" w:eastAsia="es-ES"/>
        </w:rPr>
        <w:t>orte Constitucional. Sentencia C‒274 de 9 de mayo de 2013. M.P. Mar</w:t>
      </w:r>
      <w:r w:rsidRPr="005C10BE">
        <w:rPr>
          <w:rFonts w:ascii="Verdana" w:eastAsia="Times New Roman" w:hAnsi="Verdana" w:cs="Century Gothic"/>
          <w:color w:val="000000"/>
          <w:sz w:val="16"/>
          <w:szCs w:val="16"/>
          <w:lang w:val="es-ES" w:eastAsia="es-ES"/>
        </w:rPr>
        <w:t>í</w:t>
      </w:r>
      <w:r w:rsidRPr="005C10BE">
        <w:rPr>
          <w:rFonts w:ascii="Verdana" w:eastAsia="Times New Roman" w:hAnsi="Verdana" w:cs="Arial"/>
          <w:color w:val="000000"/>
          <w:sz w:val="16"/>
          <w:szCs w:val="16"/>
          <w:lang w:val="es-ES" w:eastAsia="es-ES"/>
        </w:rPr>
        <w:t xml:space="preserve">a Victoria Calle Correa. </w:t>
      </w:r>
    </w:p>
    <w:p w14:paraId="52380F89" w14:textId="77777777" w:rsidR="00F47E0F" w:rsidRPr="005C10BE" w:rsidRDefault="00F47E0F" w:rsidP="00F47E0F">
      <w:pPr>
        <w:pStyle w:val="Textonotapie"/>
        <w:ind w:firstLine="709"/>
        <w:jc w:val="both"/>
        <w:rPr>
          <w:rFonts w:ascii="Verdana" w:hAnsi="Verdana" w:cs="Arial"/>
          <w:color w:val="000000"/>
          <w:sz w:val="16"/>
          <w:szCs w:val="16"/>
          <w:lang w:val="es-CO"/>
        </w:rPr>
      </w:pPr>
    </w:p>
  </w:footnote>
  <w:footnote w:id="6">
    <w:p w14:paraId="4BB8E791" w14:textId="77777777" w:rsidR="00F47E0F" w:rsidRPr="005C10BE" w:rsidRDefault="00F47E0F" w:rsidP="00F47E0F">
      <w:pPr>
        <w:pStyle w:val="Textonotapie"/>
        <w:ind w:firstLine="708"/>
        <w:jc w:val="both"/>
        <w:rPr>
          <w:rFonts w:ascii="Verdana" w:hAnsi="Verdana"/>
          <w:sz w:val="16"/>
          <w:szCs w:val="16"/>
        </w:rPr>
      </w:pPr>
      <w:r w:rsidRPr="005C10BE">
        <w:rPr>
          <w:rStyle w:val="Refdenotaalpie"/>
          <w:rFonts w:ascii="Verdana" w:hAnsi="Verdana"/>
          <w:sz w:val="16"/>
          <w:szCs w:val="16"/>
        </w:rPr>
        <w:footnoteRef/>
      </w:r>
      <w:r w:rsidRPr="005C10BE">
        <w:rPr>
          <w:rFonts w:ascii="Verdana" w:hAnsi="Verdana"/>
          <w:sz w:val="16"/>
          <w:szCs w:val="16"/>
        </w:rPr>
        <w:t xml:space="preserve"> Adiciónese los siguientes incisos al artículo 13 de la Ley 1150 de 2007, el cual quedará así:</w:t>
      </w:r>
    </w:p>
    <w:p w14:paraId="0F9875A1" w14:textId="77777777" w:rsidR="00F47E0F" w:rsidRPr="005C10BE" w:rsidRDefault="00F47E0F" w:rsidP="00F47E0F">
      <w:pPr>
        <w:pStyle w:val="Textonotapie"/>
        <w:ind w:firstLine="708"/>
        <w:jc w:val="both"/>
        <w:rPr>
          <w:rFonts w:ascii="Verdana" w:hAnsi="Verdana"/>
          <w:sz w:val="16"/>
          <w:szCs w:val="16"/>
        </w:rPr>
      </w:pPr>
    </w:p>
    <w:p w14:paraId="66E54DB2" w14:textId="77777777" w:rsidR="00F47E0F" w:rsidRPr="005C10BE" w:rsidRDefault="00F47E0F" w:rsidP="00F47E0F">
      <w:pPr>
        <w:pStyle w:val="Textonotapie"/>
        <w:ind w:firstLine="708"/>
        <w:jc w:val="both"/>
        <w:rPr>
          <w:rFonts w:ascii="Verdana" w:hAnsi="Verdana"/>
          <w:sz w:val="16"/>
          <w:szCs w:val="16"/>
        </w:rPr>
      </w:pPr>
      <w:r w:rsidRPr="005C10BE">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5E285F3" w14:textId="77777777" w:rsidR="00F47E0F" w:rsidRPr="005C10BE" w:rsidRDefault="00F47E0F" w:rsidP="00F47E0F">
      <w:pPr>
        <w:pStyle w:val="Textonotapie"/>
        <w:ind w:firstLine="708"/>
        <w:jc w:val="both"/>
        <w:rPr>
          <w:rFonts w:ascii="Verdana" w:hAnsi="Verdana"/>
          <w:sz w:val="16"/>
          <w:szCs w:val="16"/>
        </w:rPr>
      </w:pPr>
    </w:p>
    <w:p w14:paraId="5E397E69" w14:textId="77777777" w:rsidR="00F47E0F" w:rsidRPr="005C10BE" w:rsidRDefault="00F47E0F" w:rsidP="00F47E0F">
      <w:pPr>
        <w:pStyle w:val="Textonotapie"/>
        <w:ind w:firstLine="708"/>
        <w:jc w:val="both"/>
        <w:rPr>
          <w:rFonts w:ascii="Verdana" w:hAnsi="Verdana"/>
          <w:sz w:val="16"/>
          <w:szCs w:val="16"/>
        </w:rPr>
      </w:pPr>
      <w:r w:rsidRPr="005C10BE">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EB378C1" w14:textId="77777777" w:rsidR="00F47E0F" w:rsidRPr="005C10BE" w:rsidRDefault="00F47E0F" w:rsidP="00F47E0F">
      <w:pPr>
        <w:pStyle w:val="Textonotapie"/>
        <w:ind w:firstLine="708"/>
        <w:jc w:val="both"/>
        <w:rPr>
          <w:rFonts w:ascii="Verdana" w:hAnsi="Verdana"/>
          <w:sz w:val="16"/>
          <w:szCs w:val="16"/>
        </w:rPr>
      </w:pPr>
    </w:p>
    <w:p w14:paraId="262C728F" w14:textId="77777777" w:rsidR="00F47E0F" w:rsidRPr="005C10BE" w:rsidRDefault="00F47E0F" w:rsidP="00F47E0F">
      <w:pPr>
        <w:pStyle w:val="Textonotapie"/>
        <w:ind w:firstLine="708"/>
        <w:jc w:val="both"/>
        <w:rPr>
          <w:rFonts w:ascii="Verdana" w:hAnsi="Verdana"/>
          <w:sz w:val="16"/>
          <w:szCs w:val="16"/>
          <w:lang w:val="es-CO"/>
        </w:rPr>
      </w:pPr>
      <w:r w:rsidRPr="005C10BE">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7">
    <w:p w14:paraId="1233A7C0" w14:textId="77777777" w:rsidR="00F47E0F" w:rsidRPr="005C10BE" w:rsidRDefault="00F47E0F" w:rsidP="00F47E0F">
      <w:pPr>
        <w:pStyle w:val="Textonotapie"/>
        <w:ind w:firstLine="708"/>
        <w:contextualSpacing/>
        <w:jc w:val="both"/>
        <w:rPr>
          <w:rFonts w:ascii="Verdana" w:hAnsi="Verdana" w:cs="Arial"/>
          <w:sz w:val="16"/>
          <w:szCs w:val="16"/>
        </w:rPr>
      </w:pPr>
    </w:p>
    <w:p w14:paraId="62B73562" w14:textId="77777777" w:rsidR="00F47E0F" w:rsidRPr="005C10BE" w:rsidRDefault="00F47E0F" w:rsidP="00F47E0F">
      <w:pPr>
        <w:pStyle w:val="Textonotapie"/>
        <w:ind w:firstLine="708"/>
        <w:contextualSpacing/>
        <w:jc w:val="both"/>
        <w:rPr>
          <w:rFonts w:ascii="Verdana" w:hAnsi="Verdana" w:cs="Arial"/>
          <w:sz w:val="16"/>
          <w:szCs w:val="16"/>
          <w:lang w:val="es-CO"/>
        </w:rPr>
      </w:pPr>
      <w:r w:rsidRPr="005C10BE">
        <w:rPr>
          <w:rStyle w:val="Refdenotaalpie"/>
          <w:rFonts w:ascii="Verdana" w:hAnsi="Verdana" w:cs="Arial"/>
          <w:sz w:val="16"/>
          <w:szCs w:val="16"/>
        </w:rPr>
        <w:footnoteRef/>
      </w:r>
      <w:r w:rsidRPr="005C10BE">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 w:id="8">
    <w:p w14:paraId="2987D921" w14:textId="77777777" w:rsidR="00F47E0F" w:rsidRPr="005C10BE" w:rsidRDefault="00F47E0F" w:rsidP="00F47E0F">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5C10BE">
        <w:rPr>
          <w:rStyle w:val="Refdenotaalpie"/>
          <w:rFonts w:ascii="Verdana" w:hAnsi="Verdana" w:cs="Arial"/>
          <w:sz w:val="16"/>
          <w:szCs w:val="16"/>
        </w:rPr>
        <w:footnoteRef/>
      </w:r>
      <w:r w:rsidRPr="005C10BE">
        <w:rPr>
          <w:rFonts w:ascii="Verdana" w:hAnsi="Verdana" w:cs="Arial"/>
          <w:sz w:val="16"/>
          <w:szCs w:val="16"/>
        </w:rPr>
        <w:t xml:space="preserve"> Disponible en el siguiente enlace: </w:t>
      </w:r>
      <w:hyperlink r:id="rId1" w:history="1">
        <w:r w:rsidRPr="005C10BE">
          <w:rPr>
            <w:rStyle w:val="Hipervnculo"/>
            <w:rFonts w:ascii="Verdana" w:hAnsi="Verdana" w:cs="Arial"/>
            <w:sz w:val="16"/>
            <w:szCs w:val="16"/>
          </w:rPr>
          <w:t>https://www.colombiacompra.gov.co/sites/cce_public/files/cce_circulares/doc-20240823-wa0021.pdf</w:t>
        </w:r>
      </w:hyperlink>
      <w:r w:rsidRPr="005C10BE">
        <w:rPr>
          <w:rFonts w:ascii="Verdana" w:hAnsi="Verdana" w:cs="Arial"/>
          <w:sz w:val="16"/>
          <w:szCs w:val="16"/>
        </w:rPr>
        <w:t xml:space="preserve"> </w:t>
      </w:r>
    </w:p>
    <w:p w14:paraId="5BA18960" w14:textId="77777777" w:rsidR="00F47E0F" w:rsidRPr="005C10BE" w:rsidRDefault="00F47E0F" w:rsidP="00F47E0F">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 w:id="9">
    <w:p w14:paraId="5F1FFF2A"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80 de 1993 “Artículo 24. Del principio de transparencia. En virtud de este principio: </w:t>
      </w:r>
    </w:p>
    <w:p w14:paraId="698CDF8C"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w:t>
      </w:r>
    </w:p>
    <w:p w14:paraId="5C68F046" w14:textId="77777777" w:rsidR="00F47E0F"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4o. Las autoridades expedirán a costa de aquellas personas que demuestren interés legítimo, copias de las actuaciones y propuestas recibidas, respetando la reserva de que gocen legalmente las patentes, procedimientos y privilegios”.</w:t>
      </w:r>
    </w:p>
    <w:p w14:paraId="40D69548" w14:textId="77777777" w:rsidR="00F47E0F" w:rsidRPr="00424097" w:rsidRDefault="00F47E0F" w:rsidP="00F47E0F">
      <w:pPr>
        <w:pStyle w:val="Textonotapie"/>
        <w:ind w:firstLine="708"/>
        <w:contextualSpacing/>
        <w:jc w:val="both"/>
        <w:rPr>
          <w:rFonts w:ascii="Verdana" w:hAnsi="Verdana" w:cs="Arial"/>
          <w:sz w:val="18"/>
          <w:szCs w:val="18"/>
          <w:lang w:val="es-CO"/>
        </w:rPr>
      </w:pPr>
    </w:p>
  </w:footnote>
  <w:footnote w:id="10">
    <w:p w14:paraId="0329BB8F"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1">
    <w:p w14:paraId="730D0C9A"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MATALLANA CAMACHO Ernesto. Manual de Contratación de la Administración Pública. Reforma a la Ley 80 de 1993. Universidad Externado de Colombia, Cuarta edición, 2015, pp 139.</w:t>
      </w:r>
    </w:p>
  </w:footnote>
  <w:footnote w:id="12">
    <w:p w14:paraId="56A95DDE" w14:textId="77777777" w:rsidR="00F47E0F" w:rsidRDefault="00F47E0F" w:rsidP="00F47E0F">
      <w:pPr>
        <w:pStyle w:val="Textonotapie"/>
        <w:ind w:firstLine="708"/>
        <w:contextualSpacing/>
        <w:jc w:val="both"/>
        <w:rPr>
          <w:rFonts w:ascii="Verdana" w:hAnsi="Verdana" w:cs="Arial"/>
          <w:sz w:val="18"/>
          <w:szCs w:val="18"/>
        </w:rPr>
      </w:pPr>
    </w:p>
    <w:p w14:paraId="3A82EA09"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4B5933AF"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1. Los relacionados con la defensa o seguridad nacionales.  </w:t>
      </w:r>
    </w:p>
    <w:p w14:paraId="3820A74D"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2. Las instrucciones en materia diplomática o sobre negociaciones reservadas.  </w:t>
      </w:r>
    </w:p>
    <w:p w14:paraId="57BF0FEF"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7D3314B"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C16F28B"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5. Los datos referentes a la información financiera y comercial, en los términos de la Ley Estatutaria 1266 de 2008.  </w:t>
      </w:r>
    </w:p>
    <w:p w14:paraId="7763B8B3"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6. Los protegidos por el secreto comercial o industrial, así como los planes estratégicos de las empresas públicas de servicios públicos.  </w:t>
      </w:r>
    </w:p>
    <w:p w14:paraId="47B1B50C"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7. Los amparados por el secreto profesional.  </w:t>
      </w:r>
    </w:p>
    <w:p w14:paraId="077B5751"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8. Los datos genéticos humanos.  </w:t>
      </w:r>
    </w:p>
    <w:p w14:paraId="21D17C9E"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3">
    <w:p w14:paraId="7CA68A18" w14:textId="77777777" w:rsidR="00F47E0F" w:rsidRDefault="00F47E0F" w:rsidP="00F47E0F">
      <w:pPr>
        <w:pStyle w:val="Textonotapie"/>
        <w:ind w:firstLine="708"/>
        <w:contextualSpacing/>
        <w:jc w:val="both"/>
        <w:rPr>
          <w:rFonts w:ascii="Verdana" w:hAnsi="Verdana" w:cs="Arial"/>
          <w:sz w:val="18"/>
          <w:szCs w:val="18"/>
        </w:rPr>
      </w:pPr>
    </w:p>
    <w:p w14:paraId="1C0CAC9D" w14:textId="77777777" w:rsidR="00F47E0F" w:rsidRPr="00424097" w:rsidRDefault="00F47E0F" w:rsidP="00F47E0F">
      <w:pPr>
        <w:pStyle w:val="Textonotapie"/>
        <w:ind w:firstLine="708"/>
        <w:contextualSpacing/>
        <w:jc w:val="both"/>
        <w:rPr>
          <w:rFonts w:ascii="Verdana" w:eastAsia="Calibri"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424097">
        <w:rPr>
          <w:rFonts w:ascii="Verdana" w:eastAsia="Calibri" w:hAnsi="Verdana" w:cs="Arial"/>
          <w:sz w:val="18"/>
          <w:szCs w:val="18"/>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4">
    <w:p w14:paraId="2D46BA1C"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Style w:val="Refdenotaalpie"/>
          <w:rFonts w:ascii="Verdana" w:hAnsi="Verdana" w:cs="Arial"/>
          <w:sz w:val="18"/>
          <w:szCs w:val="18"/>
        </w:rPr>
        <w:footnoteRef/>
      </w:r>
      <w:r w:rsidRPr="00424097">
        <w:rPr>
          <w:rFonts w:ascii="Verdana" w:hAnsi="Verdana" w:cs="Arial"/>
          <w:sz w:val="18"/>
          <w:szCs w:val="18"/>
        </w:rPr>
        <w:t xml:space="preserve"> “Artículo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0D5E8B0F" w14:textId="77777777" w:rsidR="00F47E0F" w:rsidRPr="00424097" w:rsidRDefault="00F47E0F" w:rsidP="00F47E0F">
      <w:pPr>
        <w:pStyle w:val="Textonotapie"/>
        <w:ind w:firstLine="708"/>
        <w:contextualSpacing/>
        <w:jc w:val="both"/>
        <w:rPr>
          <w:rFonts w:ascii="Verdana" w:hAnsi="Verdana" w:cs="Arial"/>
          <w:sz w:val="18"/>
          <w:szCs w:val="18"/>
        </w:rPr>
      </w:pPr>
      <w:r w:rsidRPr="00424097">
        <w:rPr>
          <w:rFonts w:ascii="Verdana" w:hAnsi="Verdana" w:cs="Arial"/>
          <w:sz w:val="18"/>
          <w:szCs w:val="18"/>
        </w:rPr>
        <w:t>Ninguna autoridad pública puede negarse a indicar si un documento obra o no en su poder o negar la divulgación de un documento, salvo que el daño causado al interés protegido sea mayor al interés público de obtener acceso a la información.</w:t>
      </w:r>
    </w:p>
    <w:p w14:paraId="7F096B7A" w14:textId="77777777" w:rsidR="00F47E0F" w:rsidRPr="00424097" w:rsidRDefault="00F47E0F" w:rsidP="00F47E0F">
      <w:pPr>
        <w:pStyle w:val="Textonotapie"/>
        <w:ind w:firstLine="708"/>
        <w:contextualSpacing/>
        <w:jc w:val="both"/>
        <w:rPr>
          <w:rFonts w:ascii="Verdana" w:hAnsi="Verdana" w:cs="Arial"/>
          <w:sz w:val="18"/>
          <w:szCs w:val="18"/>
          <w:lang w:val="es-CO"/>
        </w:rPr>
      </w:pPr>
      <w:r w:rsidRPr="00424097">
        <w:rPr>
          <w:rFonts w:ascii="Verdana" w:hAnsi="Verdana" w:cs="Arial"/>
          <w:sz w:val="18"/>
          <w:szCs w:val="18"/>
        </w:rPr>
        <w:t>Las excepciones de acceso a la información contenidas en la presente ley no aplican en casos de violación de derechos humanos o delitos de lesa humanidad, y en todo caso deberán protegerse los derechos de las víctimas de dichas violaciones”.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019D"/>
    <w:rsid w:val="00061B2A"/>
    <w:rsid w:val="00082362"/>
    <w:rsid w:val="000A683E"/>
    <w:rsid w:val="000B19B9"/>
    <w:rsid w:val="000D0334"/>
    <w:rsid w:val="000F6486"/>
    <w:rsid w:val="00125105"/>
    <w:rsid w:val="00127233"/>
    <w:rsid w:val="001442E7"/>
    <w:rsid w:val="001511A0"/>
    <w:rsid w:val="001834AD"/>
    <w:rsid w:val="001E4177"/>
    <w:rsid w:val="001F7DC6"/>
    <w:rsid w:val="0023419B"/>
    <w:rsid w:val="002421BB"/>
    <w:rsid w:val="0025796E"/>
    <w:rsid w:val="002707A2"/>
    <w:rsid w:val="002951A0"/>
    <w:rsid w:val="002962BC"/>
    <w:rsid w:val="002A093D"/>
    <w:rsid w:val="002A0DD0"/>
    <w:rsid w:val="002A49AC"/>
    <w:rsid w:val="002A64FD"/>
    <w:rsid w:val="002B3F10"/>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3143B"/>
    <w:rsid w:val="0055138F"/>
    <w:rsid w:val="005566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B20B2"/>
    <w:rsid w:val="00B01B1A"/>
    <w:rsid w:val="00B66319"/>
    <w:rsid w:val="00B72CD3"/>
    <w:rsid w:val="00B72FFF"/>
    <w:rsid w:val="00BB0CF4"/>
    <w:rsid w:val="00BC3D36"/>
    <w:rsid w:val="00BD7F72"/>
    <w:rsid w:val="00C04FB3"/>
    <w:rsid w:val="00C330EB"/>
    <w:rsid w:val="00C41061"/>
    <w:rsid w:val="00C754BE"/>
    <w:rsid w:val="00C76B1C"/>
    <w:rsid w:val="00CB6357"/>
    <w:rsid w:val="00CC1B26"/>
    <w:rsid w:val="00D423A2"/>
    <w:rsid w:val="00D520D8"/>
    <w:rsid w:val="00D548E6"/>
    <w:rsid w:val="00D63AC2"/>
    <w:rsid w:val="00D7383B"/>
    <w:rsid w:val="00DA231B"/>
    <w:rsid w:val="00DC39FC"/>
    <w:rsid w:val="00DC3D55"/>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C5BB2"/>
    <w:rsid w:val="00ED7384"/>
    <w:rsid w:val="00EE1AA8"/>
    <w:rsid w:val="00EF5A9E"/>
    <w:rsid w:val="00F31EDC"/>
    <w:rsid w:val="00F462B3"/>
    <w:rsid w:val="00F47E0F"/>
    <w:rsid w:val="00F5664F"/>
    <w:rsid w:val="00F666C4"/>
    <w:rsid w:val="00F76AFC"/>
    <w:rsid w:val="00FA47C0"/>
    <w:rsid w:val="00FB5DD1"/>
    <w:rsid w:val="00FC2B5D"/>
    <w:rsid w:val="00FC79E9"/>
    <w:rsid w:val="00FF1449"/>
    <w:rsid w:val="165E9519"/>
    <w:rsid w:val="1900F24B"/>
    <w:rsid w:val="1CD31328"/>
    <w:rsid w:val="3178DE94"/>
    <w:rsid w:val="382536D9"/>
    <w:rsid w:val="4724A9D3"/>
    <w:rsid w:val="5D25815E"/>
    <w:rsid w:val="66D9BDA2"/>
    <w:rsid w:val="6EFDAB80"/>
    <w:rsid w:val="71C35600"/>
    <w:rsid w:val="7B6AA7A6"/>
    <w:rsid w:val="7C183931"/>
    <w:rsid w:val="7ED98C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7E0F"/>
    <w:pPr>
      <w:spacing w:line="240" w:lineRule="exact"/>
    </w:pPr>
    <w:rPr>
      <w:vertAlign w:val="superscript"/>
    </w:rPr>
  </w:style>
  <w:style w:type="paragraph" w:styleId="Textocomentario">
    <w:name w:val="annotation text"/>
    <w:basedOn w:val="Normal"/>
    <w:link w:val="TextocomentarioCar"/>
    <w:uiPriority w:val="99"/>
    <w:semiHidden/>
    <w:unhideWhenUsed/>
    <w:rsid w:val="00FC79E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C79E9"/>
    <w:rPr>
      <w:sz w:val="20"/>
      <w:szCs w:val="20"/>
    </w:rPr>
  </w:style>
  <w:style w:type="character" w:styleId="Refdecomentario">
    <w:name w:val="annotation reference"/>
    <w:basedOn w:val="Fuentedeprrafopredeter"/>
    <w:uiPriority w:val="99"/>
    <w:semiHidden/>
    <w:unhideWhenUsed/>
    <w:rsid w:val="00FC79E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0080_1993.html" TargetMode="External"/><Relationship Id="rId18"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carolina.gonzalez@jacmabogado.com"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mbogado@jacmabogado.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chrome-extension://efaidnbmnnnibpcajpcglclefindmkaj/https:/colombiacompra.gov.co/sites/cce_public/files/cce_circulares/doc-20240823-wa0021.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chrome-extension://efaidnbmnnnibpcajpcglclefindmkaj/https:/www.colombiacompra.gov.co/sites/cce_public/files/cce_circulares/circular_externa_unica_version_3_vf49.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D5D22-677C-4462-AC80-32AB44763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6041</Words>
  <Characters>33226</Characters>
  <Application>Microsoft Office Word</Application>
  <DocSecurity>0</DocSecurity>
  <Lines>276</Lines>
  <Paragraphs>78</Paragraphs>
  <ScaleCrop>false</ScaleCrop>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2025-08-27T15:49:00Z</dcterms:created>
  <dcterms:modified xsi:type="dcterms:W3CDTF">2025-08-27T15:49:00Z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