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C57B19" w14:textId="77777777" w:rsidR="0022452E" w:rsidRPr="00E27FE4" w:rsidRDefault="0022452E" w:rsidP="0022452E">
      <w:pPr>
        <w:spacing w:after="0" w:line="240" w:lineRule="auto"/>
        <w:jc w:val="both"/>
        <w:rPr>
          <w:rFonts w:ascii="Verdana" w:eastAsia="Geomanist Light" w:hAnsi="Verdana" w:cs="Arial"/>
          <w:b/>
          <w:color w:val="000000" w:themeColor="text1"/>
        </w:rPr>
      </w:pPr>
      <w:bookmarkStart w:id="0" w:name="_Hlk143780582"/>
      <w:r w:rsidRPr="00E27FE4">
        <w:rPr>
          <w:rFonts w:ascii="Verdana" w:eastAsia="Geomanist Light" w:hAnsi="Verdana" w:cs="Arial"/>
          <w:b/>
          <w:color w:val="000000" w:themeColor="text1"/>
        </w:rPr>
        <w:t>SISTEMAS DE INFORMACIÓN PARA ENVÍO DE MENSAJES DE DATOS – Ley 527 de 1999 – Ley 1437 de 2011 – SECOP</w:t>
      </w:r>
    </w:p>
    <w:p w14:paraId="49101A5D" w14:textId="77777777" w:rsidR="0022452E" w:rsidRPr="00E27FE4" w:rsidRDefault="0022452E" w:rsidP="0022452E">
      <w:pPr>
        <w:spacing w:after="0" w:line="240" w:lineRule="auto"/>
        <w:jc w:val="both"/>
        <w:rPr>
          <w:rFonts w:ascii="Verdana" w:eastAsia="Geomanist Light" w:hAnsi="Verdana" w:cs="Arial"/>
          <w:b/>
          <w:color w:val="000000" w:themeColor="text1"/>
        </w:rPr>
      </w:pPr>
    </w:p>
    <w:p w14:paraId="09D0490A" w14:textId="77777777" w:rsidR="0022452E" w:rsidRPr="00E27FE4" w:rsidRDefault="0022452E" w:rsidP="0022452E">
      <w:pPr>
        <w:spacing w:after="0" w:line="240" w:lineRule="auto"/>
        <w:jc w:val="both"/>
        <w:rPr>
          <w:rFonts w:ascii="Verdana" w:eastAsia="Calibri" w:hAnsi="Verdana" w:cs="Arial"/>
          <w:sz w:val="20"/>
          <w:szCs w:val="20"/>
        </w:rPr>
      </w:pPr>
      <w:r w:rsidRPr="005B65AE">
        <w:rPr>
          <w:rFonts w:ascii="Verdana" w:eastAsia="Calibri" w:hAnsi="Verdana" w:cs="Arial"/>
          <w:sz w:val="20"/>
          <w:szCs w:val="20"/>
        </w:rPr>
        <w:t>Como se observa, la norma citada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p>
    <w:p w14:paraId="168EC3A6" w14:textId="77777777" w:rsidR="0022452E" w:rsidRPr="005B65AE" w:rsidRDefault="0022452E" w:rsidP="0022452E">
      <w:pPr>
        <w:spacing w:after="0" w:line="240" w:lineRule="auto"/>
        <w:jc w:val="both"/>
        <w:rPr>
          <w:rFonts w:ascii="Verdana" w:eastAsia="Calibri" w:hAnsi="Verdana" w:cs="Arial"/>
          <w:sz w:val="20"/>
          <w:szCs w:val="20"/>
        </w:rPr>
      </w:pPr>
    </w:p>
    <w:p w14:paraId="7DF487ED" w14:textId="77777777" w:rsidR="0022452E" w:rsidRPr="00E27FE4" w:rsidRDefault="0022452E" w:rsidP="0022452E">
      <w:pPr>
        <w:spacing w:after="0" w:line="240" w:lineRule="auto"/>
        <w:jc w:val="both"/>
        <w:rPr>
          <w:rFonts w:ascii="Verdana" w:eastAsia="Calibri" w:hAnsi="Verdana" w:cs="Arial"/>
          <w:sz w:val="20"/>
          <w:szCs w:val="20"/>
        </w:rPr>
      </w:pPr>
      <w:r w:rsidRPr="005B65AE">
        <w:rPr>
          <w:rFonts w:ascii="Verdana" w:eastAsia="Calibri" w:hAnsi="Verdana" w:cs="Arial"/>
          <w:sz w:val="20"/>
          <w:szCs w:val="20"/>
        </w:rPr>
        <w:t xml:space="preserve">Incluso, la Ley 1437 de 2011, “Por la cual se expide el Código de Procedimiento Administrativo y de lo Contencioso Administrativo” continúan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de las autoridades de “Tramitar las peticiones que lleguen vía fax o por medios electrónicos”, previsto en el artículo 7º, numeral 6. </w:t>
      </w:r>
    </w:p>
    <w:p w14:paraId="290F7A06" w14:textId="77777777" w:rsidR="0022452E" w:rsidRPr="00E27FE4" w:rsidRDefault="0022452E" w:rsidP="0022452E">
      <w:pPr>
        <w:spacing w:after="0" w:line="240" w:lineRule="auto"/>
        <w:jc w:val="both"/>
        <w:rPr>
          <w:rFonts w:ascii="Verdana" w:eastAsia="Calibri" w:hAnsi="Verdana" w:cs="Arial"/>
          <w:sz w:val="20"/>
          <w:szCs w:val="20"/>
        </w:rPr>
      </w:pPr>
    </w:p>
    <w:p w14:paraId="51C8F372" w14:textId="77777777" w:rsidR="0022452E" w:rsidRPr="00E27FE4" w:rsidRDefault="0022452E" w:rsidP="0022452E">
      <w:pPr>
        <w:spacing w:after="0" w:line="240" w:lineRule="auto"/>
        <w:jc w:val="both"/>
        <w:rPr>
          <w:rFonts w:ascii="Verdana" w:eastAsia="Calibri" w:hAnsi="Verdana" w:cs="Arial"/>
          <w:sz w:val="20"/>
          <w:szCs w:val="20"/>
        </w:rPr>
      </w:pPr>
      <w:r w:rsidRPr="00E27FE4">
        <w:rPr>
          <w:rFonts w:ascii="Verdana" w:eastAsia="Calibri" w:hAnsi="Verdana" w:cs="Arial"/>
          <w:sz w:val="20"/>
          <w:szCs w:val="20"/>
        </w:rPr>
        <w:t xml:space="preserve">[…] La utilización de los medios electrónicos regulados en la Ley 1437 de 2011 en la contratación estatal es posible, a partir de la remisión del artículo 77 de la Ley 80 de 1993 a las normas del CPACA, que, a su vez, como se indicó, remite a las disposiciones de la Ley 527 de 1999. </w:t>
      </w:r>
    </w:p>
    <w:p w14:paraId="25305041" w14:textId="77777777" w:rsidR="0022452E" w:rsidRPr="00E27FE4" w:rsidRDefault="0022452E" w:rsidP="0022452E">
      <w:pPr>
        <w:spacing w:after="0" w:line="240" w:lineRule="auto"/>
        <w:jc w:val="both"/>
        <w:rPr>
          <w:rFonts w:ascii="Verdana" w:eastAsia="Calibri" w:hAnsi="Verdana" w:cs="Arial"/>
          <w:sz w:val="20"/>
          <w:szCs w:val="20"/>
        </w:rPr>
      </w:pPr>
    </w:p>
    <w:p w14:paraId="4983A069" w14:textId="77777777" w:rsidR="0022452E" w:rsidRPr="00E27FE4" w:rsidRDefault="0022452E" w:rsidP="0022452E">
      <w:pPr>
        <w:spacing w:after="0" w:line="240" w:lineRule="auto"/>
        <w:jc w:val="both"/>
        <w:rPr>
          <w:rFonts w:ascii="Verdana" w:eastAsia="Calibri" w:hAnsi="Verdana" w:cs="Arial"/>
          <w:sz w:val="20"/>
          <w:szCs w:val="20"/>
        </w:rPr>
      </w:pPr>
      <w:r w:rsidRPr="005B65AE">
        <w:rPr>
          <w:rFonts w:ascii="Verdana" w:eastAsia="Calibri" w:hAnsi="Verdana" w:cs="Arial"/>
          <w:sz w:val="20"/>
          <w:szCs w:val="20"/>
        </w:rPr>
        <w:t xml:space="preserve">Concretamente, el precitado artículo 3 de la Ley 1150 de 2007 crea el Sistema Electrónico para la Contratación Pública,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59ADAAF8" w14:textId="77777777" w:rsidR="0022452E" w:rsidRPr="003A0853" w:rsidRDefault="0022452E" w:rsidP="0022452E">
      <w:pPr>
        <w:spacing w:after="0" w:line="240" w:lineRule="auto"/>
        <w:jc w:val="both"/>
        <w:rPr>
          <w:rFonts w:ascii="Verdana" w:eastAsia="Calibri" w:hAnsi="Verdana" w:cs="Arial"/>
          <w:sz w:val="20"/>
          <w:szCs w:val="20"/>
        </w:rPr>
      </w:pPr>
    </w:p>
    <w:p w14:paraId="7684C93A" w14:textId="77777777" w:rsidR="0022452E" w:rsidRPr="00E27FE4" w:rsidRDefault="0022452E" w:rsidP="0022452E">
      <w:pPr>
        <w:spacing w:after="0" w:line="240" w:lineRule="auto"/>
        <w:jc w:val="both"/>
        <w:rPr>
          <w:rFonts w:ascii="Verdana" w:eastAsia="Geomanist Light" w:hAnsi="Verdana" w:cs="Arial"/>
          <w:b/>
          <w:color w:val="000000" w:themeColor="text1"/>
        </w:rPr>
      </w:pPr>
      <w:r w:rsidRPr="00E27FE4">
        <w:rPr>
          <w:rFonts w:ascii="Verdana" w:eastAsia="Geomanist Light" w:hAnsi="Verdana" w:cs="Arial"/>
          <w:b/>
          <w:color w:val="000000" w:themeColor="text1"/>
        </w:rPr>
        <w:t>PLATAFORMA DE PUBLICIDAD CONTRACTUAL – SECOP I No transaccional – SECOP II P</w:t>
      </w:r>
      <w:r w:rsidRPr="003A0853">
        <w:rPr>
          <w:rFonts w:ascii="Verdana" w:eastAsia="Geomanist Light" w:hAnsi="Verdana" w:cs="Arial"/>
          <w:b/>
          <w:color w:val="000000" w:themeColor="text1"/>
        </w:rPr>
        <w:t xml:space="preserve">lataforma transaccional </w:t>
      </w:r>
    </w:p>
    <w:p w14:paraId="5F28ADCE" w14:textId="77777777" w:rsidR="0022452E" w:rsidRPr="00E27FE4" w:rsidRDefault="0022452E" w:rsidP="0022452E">
      <w:pPr>
        <w:spacing w:after="0" w:line="240" w:lineRule="auto"/>
        <w:jc w:val="both"/>
        <w:rPr>
          <w:rFonts w:ascii="Verdana" w:eastAsia="Geomanist Light" w:hAnsi="Verdana" w:cs="Arial"/>
          <w:b/>
          <w:color w:val="000000" w:themeColor="text1"/>
        </w:rPr>
      </w:pPr>
    </w:p>
    <w:p w14:paraId="36A09BDE" w14:textId="77777777" w:rsidR="0022452E" w:rsidRPr="00E27FE4" w:rsidRDefault="0022452E" w:rsidP="0022452E">
      <w:pPr>
        <w:spacing w:after="0" w:line="240" w:lineRule="auto"/>
        <w:jc w:val="both"/>
        <w:rPr>
          <w:rFonts w:ascii="Verdana" w:eastAsia="Calibri" w:hAnsi="Verdana" w:cs="Arial"/>
          <w:bCs/>
          <w:sz w:val="20"/>
          <w:szCs w:val="20"/>
        </w:rPr>
      </w:pPr>
      <w:r w:rsidRPr="00572691">
        <w:rPr>
          <w:rFonts w:ascii="Verdana" w:eastAsia="Calibri" w:hAnsi="Verdana" w:cs="Arial"/>
          <w:sz w:val="20"/>
          <w:szCs w:val="20"/>
        </w:rPr>
        <w:t>El numeral 1.2 de la Circular Externa Única de la Agencia Nacional de Contratación Pública – Colombia Compra Eficiente dispone que el Sistema Electrónico para la Contratación Pública está compuesto por el SECOP I, el SECOP II y la Tienda Virtual del Estado Colombiano. Conforme a lo explicado en el párrafo precedente</w:t>
      </w:r>
      <w:r w:rsidRPr="00572691">
        <w:rPr>
          <w:rFonts w:ascii="Verdana" w:eastAsia="Calibri" w:hAnsi="Verdana" w:cs="Arial"/>
          <w:bCs/>
          <w:sz w:val="20"/>
          <w:szCs w:val="20"/>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w:t>
      </w:r>
      <w:r w:rsidRPr="00572691">
        <w:rPr>
          <w:rFonts w:ascii="Verdana" w:eastAsia="Calibri" w:hAnsi="Verdana" w:cs="Arial"/>
          <w:bCs/>
          <w:sz w:val="20"/>
          <w:szCs w:val="20"/>
        </w:rPr>
        <w:lastRenderedPageBreak/>
        <w:t xml:space="preserve">electrónicos para cargarse posteriormente a la plataforma por quien tenga la función dentro de la entidad. </w:t>
      </w:r>
    </w:p>
    <w:p w14:paraId="4A8859EE" w14:textId="77777777" w:rsidR="0022452E" w:rsidRPr="00572691" w:rsidRDefault="0022452E" w:rsidP="0022452E">
      <w:pPr>
        <w:spacing w:after="0" w:line="240" w:lineRule="auto"/>
        <w:jc w:val="both"/>
        <w:rPr>
          <w:rFonts w:ascii="Verdana" w:eastAsia="Calibri" w:hAnsi="Verdana" w:cs="Arial"/>
          <w:bCs/>
          <w:sz w:val="20"/>
          <w:szCs w:val="20"/>
        </w:rPr>
      </w:pPr>
    </w:p>
    <w:p w14:paraId="6BEEE7D5" w14:textId="77777777" w:rsidR="0022452E" w:rsidRPr="00E27FE4" w:rsidRDefault="0022452E" w:rsidP="0022452E">
      <w:pPr>
        <w:spacing w:after="0" w:line="240" w:lineRule="auto"/>
        <w:jc w:val="both"/>
        <w:rPr>
          <w:rFonts w:ascii="Verdana" w:eastAsia="Calibri" w:hAnsi="Verdana" w:cs="Arial"/>
          <w:sz w:val="20"/>
          <w:szCs w:val="20"/>
        </w:rPr>
      </w:pPr>
      <w:r w:rsidRPr="00572691">
        <w:rPr>
          <w:rFonts w:ascii="Verdana" w:eastAsia="Calibri" w:hAnsi="Verdana" w:cs="Arial"/>
          <w:sz w:val="20"/>
          <w:szCs w:val="20"/>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4740D78E" w14:textId="77777777" w:rsidR="0022452E" w:rsidRPr="00E27FE4" w:rsidRDefault="0022452E" w:rsidP="0022452E">
      <w:pPr>
        <w:spacing w:after="0" w:line="240" w:lineRule="auto"/>
        <w:jc w:val="both"/>
        <w:rPr>
          <w:rFonts w:ascii="Verdana" w:eastAsia="Calibri" w:hAnsi="Verdana" w:cs="Arial"/>
          <w:sz w:val="20"/>
          <w:szCs w:val="20"/>
        </w:rPr>
      </w:pPr>
    </w:p>
    <w:p w14:paraId="1D9A421F" w14:textId="77777777" w:rsidR="0022452E" w:rsidRPr="00E27FE4" w:rsidRDefault="0022452E" w:rsidP="0022452E">
      <w:pPr>
        <w:spacing w:after="0" w:line="240" w:lineRule="auto"/>
        <w:jc w:val="both"/>
        <w:rPr>
          <w:rFonts w:ascii="Verdana" w:eastAsia="Geomanist Light" w:hAnsi="Verdana" w:cs="Arial"/>
          <w:b/>
          <w:color w:val="000000" w:themeColor="text1"/>
        </w:rPr>
      </w:pPr>
      <w:r w:rsidRPr="00E27FE4">
        <w:rPr>
          <w:rFonts w:ascii="Verdana" w:eastAsia="Geomanist Light" w:hAnsi="Verdana" w:cs="Arial"/>
          <w:b/>
          <w:color w:val="000000" w:themeColor="text1"/>
        </w:rPr>
        <w:t>PRINCIPIOS ORIENTADORES ACCESO A LA INFORMACIÓN PÚBLICA – Ley 1712 de 2014 – Calidad de la Información</w:t>
      </w:r>
    </w:p>
    <w:p w14:paraId="41E76971" w14:textId="77777777" w:rsidR="0022452E" w:rsidRPr="00E27FE4" w:rsidRDefault="0022452E" w:rsidP="0022452E">
      <w:pPr>
        <w:spacing w:after="0" w:line="240" w:lineRule="auto"/>
        <w:jc w:val="both"/>
        <w:rPr>
          <w:rFonts w:ascii="Verdana" w:eastAsia="Geomanist Light" w:hAnsi="Verdana" w:cs="Arial"/>
          <w:b/>
          <w:color w:val="000000" w:themeColor="text1"/>
        </w:rPr>
      </w:pPr>
    </w:p>
    <w:p w14:paraId="65C4E725" w14:textId="77777777" w:rsidR="0022452E" w:rsidRPr="00E27FE4" w:rsidRDefault="0022452E" w:rsidP="0022452E">
      <w:pPr>
        <w:spacing w:after="0" w:line="240" w:lineRule="auto"/>
        <w:jc w:val="both"/>
        <w:rPr>
          <w:rFonts w:ascii="Verdana" w:eastAsia="Calibri" w:hAnsi="Verdana" w:cs="Arial"/>
          <w:sz w:val="20"/>
          <w:szCs w:val="20"/>
        </w:rPr>
      </w:pPr>
      <w:r w:rsidRPr="00E27FE4">
        <w:rPr>
          <w:rFonts w:ascii="Verdana" w:eastAsia="Calibri" w:hAnsi="Verdana" w:cs="Arial"/>
          <w:sz w:val="20"/>
          <w:szCs w:val="20"/>
        </w:rPr>
        <w:t xml:space="preserve">[…] </w:t>
      </w:r>
      <w:r w:rsidRPr="00C74877">
        <w:rPr>
          <w:rFonts w:ascii="Verdana" w:eastAsia="Calibri" w:hAnsi="Verdana" w:cs="Arial"/>
          <w:sz w:val="20"/>
          <w:szCs w:val="20"/>
        </w:rPr>
        <w:t>la Ley 1712 de 2014 identifica como principios que orientan el acceso a la información pública el de máxima publicidad, el de transparencia en la información y el de la calidad de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De otro lado, el tercer principio señala que la información pública que generen o difundan los sujetos obligados debe ser veraz, completa, accesible y disponible en formatos reutilizables, conforme a los procedimientos de gestión documental de cada entidad.</w:t>
      </w:r>
    </w:p>
    <w:p w14:paraId="4DE46124" w14:textId="77777777" w:rsidR="0022452E" w:rsidRPr="00C74877" w:rsidRDefault="0022452E" w:rsidP="0022452E">
      <w:pPr>
        <w:spacing w:after="0" w:line="240" w:lineRule="auto"/>
        <w:jc w:val="both"/>
        <w:rPr>
          <w:rFonts w:ascii="Verdana" w:eastAsia="Calibri" w:hAnsi="Verdana" w:cs="Arial"/>
          <w:sz w:val="20"/>
          <w:szCs w:val="20"/>
        </w:rPr>
      </w:pPr>
    </w:p>
    <w:p w14:paraId="4D6F6EBB" w14:textId="77777777" w:rsidR="0022452E" w:rsidRPr="00E27FE4" w:rsidRDefault="0022452E" w:rsidP="0022452E">
      <w:pPr>
        <w:spacing w:after="0" w:line="240" w:lineRule="auto"/>
        <w:jc w:val="both"/>
        <w:rPr>
          <w:rFonts w:ascii="Verdana" w:eastAsia="Calibri" w:hAnsi="Verdana" w:cs="Arial"/>
          <w:sz w:val="20"/>
          <w:szCs w:val="20"/>
        </w:rPr>
      </w:pPr>
      <w:r w:rsidRPr="00C74877">
        <w:rPr>
          <w:rFonts w:ascii="Verdana" w:eastAsia="Calibri" w:hAnsi="Verdana" w:cs="Arial"/>
          <w:sz w:val="20"/>
          <w:szCs w:val="20"/>
        </w:rPr>
        <w:t>En línea con lo anterior, el artículo 6 de la ley establece un conjunto de definiciones para la adecuada interpretación de sus disposiciones de las cuales, vale la pena destacar algunas de ellas, en consideración al contenido de las preguntas expuestas en la presente solicitud. De manera preliminar, el literal g) define la Gestión Documental como “el conjunto de actividades administrativas y técnicas tendientes a la planificación, procesamiento, manejo y organización de la documentación producida y recibida por los sujetos obligados, desde su origen hasta su destino final, con el objeto de facilitar su utilización y conservación” [Énfasis por fuera de texto legal].</w:t>
      </w:r>
    </w:p>
    <w:p w14:paraId="46F7CECE" w14:textId="77777777" w:rsidR="0022452E" w:rsidRPr="00E27FE4" w:rsidRDefault="0022452E" w:rsidP="0022452E">
      <w:pPr>
        <w:spacing w:after="0" w:line="240" w:lineRule="auto"/>
        <w:jc w:val="both"/>
        <w:rPr>
          <w:rFonts w:ascii="Verdana" w:eastAsia="Calibri" w:hAnsi="Verdana" w:cs="Arial"/>
          <w:sz w:val="20"/>
          <w:szCs w:val="20"/>
        </w:rPr>
      </w:pPr>
    </w:p>
    <w:p w14:paraId="2BC58AA1" w14:textId="77777777" w:rsidR="0022452E" w:rsidRPr="00C74877" w:rsidRDefault="0022452E" w:rsidP="0022452E">
      <w:pPr>
        <w:spacing w:after="0" w:line="276" w:lineRule="auto"/>
        <w:jc w:val="both"/>
        <w:rPr>
          <w:rFonts w:ascii="Verdana" w:eastAsia="Calibri" w:hAnsi="Verdana" w:cs="Arial"/>
          <w:b/>
          <w:color w:val="000000" w:themeColor="text1"/>
        </w:rPr>
      </w:pPr>
      <w:r w:rsidRPr="00E27FE4">
        <w:rPr>
          <w:rFonts w:ascii="Verdana" w:eastAsia="Calibri" w:hAnsi="Verdana" w:cs="Arial"/>
          <w:b/>
          <w:color w:val="000000" w:themeColor="text1"/>
        </w:rPr>
        <w:t>CARÁCTER TRANSACCIONAL SECOP II – Diferencia SECOP I</w:t>
      </w:r>
    </w:p>
    <w:p w14:paraId="54641B81" w14:textId="77777777" w:rsidR="0022452E" w:rsidRPr="00E27FE4" w:rsidRDefault="0022452E" w:rsidP="0022452E">
      <w:pPr>
        <w:spacing w:after="0" w:line="240" w:lineRule="auto"/>
        <w:rPr>
          <w:rFonts w:ascii="Verdana" w:eastAsia="Geomanist Light" w:hAnsi="Verdana" w:cs="Arial"/>
          <w:color w:val="000000" w:themeColor="text1"/>
          <w:sz w:val="20"/>
          <w:szCs w:val="20"/>
        </w:rPr>
      </w:pPr>
    </w:p>
    <w:p w14:paraId="1F7FF59D" w14:textId="77777777" w:rsidR="0022452E" w:rsidRPr="00E27FE4" w:rsidRDefault="0022452E" w:rsidP="0022452E">
      <w:pPr>
        <w:spacing w:after="0" w:line="240" w:lineRule="auto"/>
        <w:jc w:val="both"/>
        <w:rPr>
          <w:rFonts w:ascii="Verdana" w:eastAsia="Calibri" w:hAnsi="Verdana" w:cs="Arial"/>
          <w:sz w:val="20"/>
          <w:szCs w:val="20"/>
        </w:rPr>
      </w:pPr>
      <w:r w:rsidRPr="00E27FE4">
        <w:rPr>
          <w:rFonts w:ascii="Verdana" w:eastAsia="Calibri" w:hAnsi="Verdana" w:cs="Arial"/>
          <w:sz w:val="20"/>
          <w:szCs w:val="20"/>
        </w:rPr>
        <w:t xml:space="preserve">[…] </w:t>
      </w:r>
      <w:r w:rsidRPr="00C74877">
        <w:rPr>
          <w:rFonts w:ascii="Verdana" w:eastAsia="Calibri" w:hAnsi="Verdana" w:cs="Arial"/>
          <w:sz w:val="20"/>
          <w:szCs w:val="20"/>
        </w:rPr>
        <w:t xml:space="preserve">si bien los documentos que deben publicarse en el SECOP II corresponden a los mismos que deben publicarse en el SECOP I, esto es, todos los expedidos con ocasión a </w:t>
      </w:r>
      <w:r w:rsidRPr="00C74877">
        <w:rPr>
          <w:rFonts w:ascii="Verdana" w:eastAsia="Calibri" w:hAnsi="Verdana" w:cs="Arial"/>
          <w:sz w:val="20"/>
          <w:szCs w:val="20"/>
        </w:rPr>
        <w:lastRenderedPageBreak/>
        <w:t xml:space="preserve">la gestión contractual con excepción de los expresamente excluidos, la naturaleza transaccional del SECOP II implica que los procesos contractuales no solo deban ser publicados mediante esta plataforma, sino también gestionados a través de ella, al consistir la mayoría de los hitos contractuales en documentos y actuaciones electrónicas generadas en tiempo real, de tal manera que el proceso contractual avanza en la medida en la que se generen y aprueben estos documentos y actuaciones electrónicas en la plataforma. </w:t>
      </w:r>
    </w:p>
    <w:p w14:paraId="0AFE4209" w14:textId="77777777" w:rsidR="0022452E" w:rsidRPr="00C74877" w:rsidRDefault="0022452E" w:rsidP="0022452E">
      <w:pPr>
        <w:spacing w:after="0" w:line="240" w:lineRule="auto"/>
        <w:jc w:val="both"/>
        <w:rPr>
          <w:rFonts w:ascii="Verdana" w:eastAsia="Calibri" w:hAnsi="Verdana" w:cs="Arial"/>
          <w:sz w:val="20"/>
          <w:szCs w:val="20"/>
        </w:rPr>
      </w:pPr>
    </w:p>
    <w:p w14:paraId="5737F702" w14:textId="77777777" w:rsidR="0022452E" w:rsidRPr="00E27FE4" w:rsidRDefault="0022452E" w:rsidP="0022452E">
      <w:pPr>
        <w:spacing w:after="0" w:line="240" w:lineRule="auto"/>
        <w:jc w:val="both"/>
        <w:rPr>
          <w:rFonts w:ascii="Verdana" w:eastAsia="Calibri" w:hAnsi="Verdana" w:cs="Arial"/>
          <w:sz w:val="20"/>
          <w:szCs w:val="20"/>
        </w:rPr>
      </w:pPr>
      <w:r w:rsidRPr="00C74877">
        <w:rPr>
          <w:rFonts w:ascii="Verdana" w:eastAsia="Calibri" w:hAnsi="Verdana" w:cs="Arial"/>
          <w:sz w:val="20"/>
          <w:szCs w:val="20"/>
        </w:rPr>
        <w:t>Esta es una diferencia respecto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puesto que tales documentos son creados o expedidos mediante la propia plataforma, razón por la que una vez estos se aprueban quedan inmediatamente publicados, sin que transcurra el referido término.</w:t>
      </w:r>
    </w:p>
    <w:p w14:paraId="190BFA38" w14:textId="77777777" w:rsidR="0022452E" w:rsidRPr="00E27FE4" w:rsidRDefault="0022452E" w:rsidP="0022452E">
      <w:pPr>
        <w:spacing w:after="0" w:line="240" w:lineRule="auto"/>
        <w:jc w:val="both"/>
        <w:rPr>
          <w:rFonts w:ascii="Verdana" w:eastAsia="Calibri" w:hAnsi="Verdana" w:cs="Arial"/>
          <w:sz w:val="20"/>
          <w:szCs w:val="20"/>
        </w:rPr>
      </w:pPr>
    </w:p>
    <w:p w14:paraId="7B8AFECC" w14:textId="77777777" w:rsidR="0022452E" w:rsidRPr="00E27FE4" w:rsidRDefault="0022452E" w:rsidP="0022452E">
      <w:pPr>
        <w:spacing w:after="0" w:line="276" w:lineRule="auto"/>
        <w:jc w:val="both"/>
        <w:rPr>
          <w:rFonts w:ascii="Verdana" w:eastAsia="Calibri" w:hAnsi="Verdana" w:cs="Arial"/>
          <w:b/>
          <w:color w:val="000000" w:themeColor="text1"/>
        </w:rPr>
      </w:pPr>
      <w:r w:rsidRPr="00E27FE4">
        <w:rPr>
          <w:rFonts w:ascii="Verdana" w:eastAsia="Calibri" w:hAnsi="Verdana" w:cs="Arial"/>
          <w:b/>
          <w:color w:val="000000" w:themeColor="text1"/>
        </w:rPr>
        <w:t>FECHA DE ELABORACIÓN DE DOCUMENTOS CONTRACTUALES – Prevalencia de fecha automática en SECOP II</w:t>
      </w:r>
    </w:p>
    <w:p w14:paraId="1E5DCAC1" w14:textId="77777777" w:rsidR="0022452E" w:rsidRPr="00C74877" w:rsidRDefault="0022452E" w:rsidP="0022452E">
      <w:pPr>
        <w:spacing w:after="0" w:line="240" w:lineRule="auto"/>
        <w:jc w:val="both"/>
        <w:rPr>
          <w:rFonts w:ascii="Verdana" w:eastAsia="Calibri" w:hAnsi="Verdana" w:cs="Arial"/>
          <w:sz w:val="20"/>
          <w:szCs w:val="20"/>
        </w:rPr>
      </w:pPr>
    </w:p>
    <w:p w14:paraId="0F37FE4C" w14:textId="77777777" w:rsidR="0022452E" w:rsidRPr="00E27FE4" w:rsidRDefault="0022452E" w:rsidP="0022452E">
      <w:pPr>
        <w:spacing w:after="0" w:line="240" w:lineRule="auto"/>
        <w:jc w:val="both"/>
        <w:rPr>
          <w:rFonts w:ascii="Verdana" w:eastAsia="Calibri" w:hAnsi="Verdana" w:cs="Arial"/>
          <w:sz w:val="20"/>
          <w:szCs w:val="20"/>
        </w:rPr>
      </w:pPr>
      <w:r w:rsidRPr="00C74877">
        <w:rPr>
          <w:rFonts w:ascii="Verdana" w:eastAsia="Calibri" w:hAnsi="Verdana" w:cs="Arial"/>
          <w:sz w:val="20"/>
          <w:szCs w:val="20"/>
        </w:rPr>
        <w:t>En ese sentido, debe resaltarse que la fecha y hora que otorga la plataforma al momento en que el usuario —sea funcionario de la entidad compradora o representante del proveedor— ejecuta la acción correspondiente, constituye la marca temporal oficial del documento, garantizando su autenticidad, trazabilidad y validez jurídica. Dicho registro no solo reemplaza la necesidad de una fecha manual consignada en un documento físico, sino que además tiene efectos probatorios, al tratarse de un dato generado y conservado dentro de un sistema transaccional que asegura la integridad de la información.</w:t>
      </w:r>
    </w:p>
    <w:p w14:paraId="72235537" w14:textId="77777777" w:rsidR="0022452E" w:rsidRPr="00C74877" w:rsidRDefault="0022452E" w:rsidP="0022452E">
      <w:pPr>
        <w:spacing w:after="0" w:line="240" w:lineRule="auto"/>
        <w:jc w:val="both"/>
        <w:rPr>
          <w:rFonts w:ascii="Verdana" w:eastAsia="Calibri" w:hAnsi="Verdana" w:cs="Arial"/>
          <w:sz w:val="20"/>
          <w:szCs w:val="20"/>
        </w:rPr>
      </w:pPr>
    </w:p>
    <w:p w14:paraId="5089143E" w14:textId="77777777" w:rsidR="0022452E" w:rsidRPr="00E27FE4" w:rsidRDefault="0022452E" w:rsidP="0022452E">
      <w:pPr>
        <w:spacing w:after="0" w:line="240" w:lineRule="auto"/>
        <w:jc w:val="both"/>
        <w:rPr>
          <w:rFonts w:ascii="Verdana" w:eastAsia="Calibri" w:hAnsi="Verdana" w:cs="Arial"/>
          <w:sz w:val="20"/>
          <w:szCs w:val="20"/>
        </w:rPr>
      </w:pPr>
      <w:r w:rsidRPr="00C74877">
        <w:rPr>
          <w:rFonts w:ascii="Verdana" w:eastAsia="Calibri" w:hAnsi="Verdana" w:cs="Arial"/>
          <w:sz w:val="20"/>
          <w:szCs w:val="20"/>
        </w:rPr>
        <w:t>Por lo tanto, en los procesos gestionados a través de SECOP II, la fecha prevalente para efectos contractuales será aquella que registre automáticamente la plataforma en el momento en que se realice la actuación, sin perjuicio de que, para fines de gestión documental y en cumplimiento de la normativa archivística, los documentos que se produzcan en medio físico conserven también la fecha de su elaboración.</w:t>
      </w:r>
    </w:p>
    <w:p w14:paraId="35DA72B4" w14:textId="77777777" w:rsidR="0022452E" w:rsidRPr="00C74877" w:rsidRDefault="0022452E" w:rsidP="0022452E">
      <w:pPr>
        <w:spacing w:after="0" w:line="240" w:lineRule="auto"/>
        <w:jc w:val="both"/>
        <w:rPr>
          <w:rFonts w:ascii="Verdana" w:eastAsia="Calibri" w:hAnsi="Verdana" w:cs="Arial"/>
          <w:sz w:val="20"/>
          <w:szCs w:val="20"/>
        </w:rPr>
      </w:pPr>
    </w:p>
    <w:p w14:paraId="186F379D" w14:textId="77777777" w:rsidR="0022452E" w:rsidRPr="00E27FE4" w:rsidRDefault="0022452E" w:rsidP="0022452E">
      <w:pPr>
        <w:spacing w:after="0" w:line="240" w:lineRule="auto"/>
        <w:jc w:val="both"/>
        <w:rPr>
          <w:rFonts w:ascii="Verdana" w:eastAsia="Calibri" w:hAnsi="Verdana" w:cs="Arial"/>
          <w:bCs/>
          <w:color w:val="000000" w:themeColor="text1"/>
          <w:sz w:val="20"/>
          <w:szCs w:val="20"/>
        </w:rPr>
      </w:pPr>
      <w:r w:rsidRPr="00C74877">
        <w:rPr>
          <w:rFonts w:ascii="Verdana" w:eastAsia="Calibri" w:hAnsi="Verdana" w:cs="Arial"/>
          <w:sz w:val="20"/>
          <w:szCs w:val="20"/>
        </w:rPr>
        <w:t>En ese orden de ideas, el carácter transaccional de SECOP II, como herramienta que permite no solo publicar sino también gestionar y crear Documentos del Proceso de manera electrónica al interior de la plataforma, implica que el deber de publicidad respecto de estas actuaciones se cumpla de manera distinta a como sucede en SECOP I, donde los documentos contractuales se expiden primero en un medio físico que posteriormente es cargado en la plataforma.</w:t>
      </w:r>
    </w:p>
    <w:p w14:paraId="7DB53BCD" w14:textId="77777777" w:rsidR="0022452E" w:rsidRPr="00E27FE4" w:rsidRDefault="0022452E" w:rsidP="0022452E">
      <w:pPr>
        <w:spacing w:after="0" w:line="240" w:lineRule="auto"/>
        <w:jc w:val="both"/>
        <w:rPr>
          <w:rFonts w:ascii="Verdana" w:eastAsia="Calibri" w:hAnsi="Verdana" w:cs="Arial"/>
          <w:bCs/>
          <w:color w:val="000000" w:themeColor="text1"/>
          <w:sz w:val="20"/>
          <w:szCs w:val="20"/>
        </w:rPr>
      </w:pPr>
    </w:p>
    <w:p w14:paraId="2CC42966" w14:textId="77777777" w:rsidR="0022452E" w:rsidRPr="00E27FE4" w:rsidRDefault="0022452E" w:rsidP="0022452E">
      <w:pPr>
        <w:spacing w:after="0" w:line="240" w:lineRule="auto"/>
        <w:jc w:val="both"/>
        <w:rPr>
          <w:rFonts w:ascii="Verdana" w:eastAsia="Calibri" w:hAnsi="Verdana" w:cs="Arial"/>
          <w:sz w:val="20"/>
          <w:szCs w:val="20"/>
        </w:rPr>
      </w:pPr>
      <w:r w:rsidRPr="00E27FE4">
        <w:rPr>
          <w:rFonts w:ascii="Verdana" w:eastAsia="Calibri" w:hAnsi="Verdana" w:cs="Arial"/>
          <w:sz w:val="20"/>
          <w:szCs w:val="20"/>
        </w:rPr>
        <w:t>[…]</w:t>
      </w:r>
    </w:p>
    <w:p w14:paraId="7C7506B1" w14:textId="77777777" w:rsidR="0022452E" w:rsidRPr="00E27FE4" w:rsidRDefault="0022452E" w:rsidP="0022452E">
      <w:pPr>
        <w:spacing w:after="0" w:line="240" w:lineRule="auto"/>
        <w:jc w:val="both"/>
        <w:rPr>
          <w:rFonts w:ascii="Verdana" w:eastAsia="Calibri" w:hAnsi="Verdana" w:cs="Arial"/>
          <w:bCs/>
          <w:color w:val="000000" w:themeColor="text1"/>
          <w:sz w:val="20"/>
          <w:szCs w:val="20"/>
        </w:rPr>
      </w:pPr>
    </w:p>
    <w:p w14:paraId="308EAFEF" w14:textId="77777777" w:rsidR="0022452E" w:rsidRPr="00E27FE4" w:rsidRDefault="0022452E" w:rsidP="0022452E">
      <w:pPr>
        <w:spacing w:after="0" w:line="240" w:lineRule="auto"/>
        <w:jc w:val="both"/>
        <w:rPr>
          <w:rFonts w:ascii="Verdana" w:eastAsia="Calibri" w:hAnsi="Verdana" w:cs="Arial"/>
          <w:sz w:val="20"/>
          <w:szCs w:val="20"/>
        </w:rPr>
      </w:pPr>
      <w:r w:rsidRPr="00E27FE4">
        <w:rPr>
          <w:rFonts w:ascii="Verdana" w:eastAsia="Calibri" w:hAnsi="Verdana" w:cs="Arial"/>
          <w:sz w:val="20"/>
          <w:szCs w:val="20"/>
        </w:rPr>
        <w:t xml:space="preserve">En conclusión, (i) los documentos contractuales constituyen documentos de archivo que, conforme a la normativa archivística, deben contar con fecha de elaboración como atributo esencial de identificación; y (ii) en los procesos gestionados a través del SECOP </w:t>
      </w:r>
      <w:r w:rsidRPr="00E27FE4">
        <w:rPr>
          <w:rFonts w:ascii="Verdana" w:eastAsia="Calibri" w:hAnsi="Verdana" w:cs="Arial"/>
          <w:sz w:val="20"/>
          <w:szCs w:val="20"/>
        </w:rPr>
        <w:lastRenderedPageBreak/>
        <w:t>II, la fecha y hora prevalente será la registrada por la plataforma en el momento de la actuación, por constituir un sello de tiempo electrónico con efectos jurídicos y probatorios, sin perjuicio de la obligación de conservar la fecha en los documentos físicos que hagan parte de la gestión documental de la entidad.</w:t>
      </w:r>
    </w:p>
    <w:p w14:paraId="6D003292" w14:textId="77777777" w:rsidR="0022452E" w:rsidRPr="00E27FE4" w:rsidRDefault="0022452E" w:rsidP="0022452E">
      <w:pPr>
        <w:spacing w:after="0" w:line="240" w:lineRule="auto"/>
        <w:jc w:val="both"/>
        <w:rPr>
          <w:rFonts w:ascii="Verdana" w:eastAsia="Calibri" w:hAnsi="Verdana" w:cs="Arial"/>
          <w:sz w:val="20"/>
          <w:szCs w:val="20"/>
        </w:rPr>
      </w:pPr>
    </w:p>
    <w:p w14:paraId="3BA10792" w14:textId="77777777" w:rsidR="0022452E" w:rsidRPr="00E27FE4" w:rsidRDefault="0022452E" w:rsidP="0022452E">
      <w:pPr>
        <w:spacing w:after="0"/>
        <w:rPr>
          <w:rFonts w:ascii="Verdana" w:hAnsi="Verdana"/>
        </w:rPr>
      </w:pPr>
    </w:p>
    <w:p w14:paraId="2BAC41AF" w14:textId="77777777" w:rsidR="0022452E" w:rsidRPr="00E27FE4" w:rsidRDefault="0022452E" w:rsidP="0022452E">
      <w:pPr>
        <w:spacing w:after="0"/>
        <w:rPr>
          <w:rFonts w:ascii="Verdana" w:hAnsi="Verdana"/>
        </w:rPr>
      </w:pPr>
    </w:p>
    <w:p w14:paraId="0A60A1A8" w14:textId="77777777" w:rsidR="0022452E" w:rsidRPr="00E27FE4" w:rsidRDefault="0022452E" w:rsidP="0022452E">
      <w:pPr>
        <w:spacing w:after="0"/>
        <w:rPr>
          <w:rFonts w:ascii="Verdana" w:hAnsi="Verdana"/>
        </w:rPr>
      </w:pPr>
    </w:p>
    <w:p w14:paraId="38265DA8" w14:textId="77777777" w:rsidR="0022452E" w:rsidRPr="00E27FE4" w:rsidRDefault="0022452E" w:rsidP="0022452E">
      <w:pPr>
        <w:spacing w:after="0"/>
        <w:rPr>
          <w:rFonts w:ascii="Verdana" w:hAnsi="Verdana"/>
        </w:rPr>
      </w:pPr>
    </w:p>
    <w:p w14:paraId="32E3D5A4" w14:textId="77777777" w:rsidR="0022452E" w:rsidRPr="00E27FE4" w:rsidRDefault="0022452E" w:rsidP="0022452E">
      <w:pPr>
        <w:spacing w:after="0"/>
        <w:rPr>
          <w:rFonts w:ascii="Verdana" w:hAnsi="Verdana"/>
        </w:rPr>
      </w:pPr>
    </w:p>
    <w:p w14:paraId="6987C5B9" w14:textId="77777777" w:rsidR="0022452E" w:rsidRPr="00E27FE4" w:rsidRDefault="0022452E" w:rsidP="0022452E">
      <w:pPr>
        <w:spacing w:after="0"/>
        <w:rPr>
          <w:rFonts w:ascii="Verdana" w:hAnsi="Verdana"/>
        </w:rPr>
      </w:pPr>
    </w:p>
    <w:p w14:paraId="18B93F8C" w14:textId="77777777" w:rsidR="0022452E" w:rsidRPr="00E27FE4" w:rsidRDefault="0022452E" w:rsidP="0022452E">
      <w:pPr>
        <w:spacing w:after="0"/>
        <w:rPr>
          <w:rFonts w:ascii="Verdana" w:hAnsi="Verdana"/>
        </w:rPr>
      </w:pPr>
    </w:p>
    <w:p w14:paraId="15C7A292" w14:textId="77777777" w:rsidR="0022452E" w:rsidRPr="00E27FE4" w:rsidRDefault="0022452E" w:rsidP="0022452E">
      <w:pPr>
        <w:spacing w:after="0"/>
        <w:rPr>
          <w:rFonts w:ascii="Verdana" w:hAnsi="Verdana"/>
        </w:rPr>
      </w:pPr>
    </w:p>
    <w:p w14:paraId="26B4842C" w14:textId="77777777" w:rsidR="0022452E" w:rsidRPr="00E27FE4" w:rsidRDefault="0022452E" w:rsidP="0022452E">
      <w:pPr>
        <w:spacing w:after="0"/>
        <w:rPr>
          <w:rFonts w:ascii="Verdana" w:hAnsi="Verdana"/>
        </w:rPr>
      </w:pPr>
    </w:p>
    <w:p w14:paraId="763F4A3F" w14:textId="77777777" w:rsidR="0022452E" w:rsidRPr="00E27FE4" w:rsidRDefault="0022452E" w:rsidP="0022452E">
      <w:pPr>
        <w:spacing w:after="0"/>
        <w:rPr>
          <w:rFonts w:ascii="Verdana" w:hAnsi="Verdana"/>
        </w:rPr>
      </w:pPr>
    </w:p>
    <w:p w14:paraId="751050EA" w14:textId="77777777" w:rsidR="0022452E" w:rsidRPr="00E27FE4" w:rsidRDefault="0022452E" w:rsidP="0022452E">
      <w:pPr>
        <w:spacing w:after="0"/>
        <w:rPr>
          <w:rFonts w:ascii="Verdana" w:hAnsi="Verdana"/>
        </w:rPr>
      </w:pPr>
    </w:p>
    <w:p w14:paraId="0DFD0EEE" w14:textId="77777777" w:rsidR="0022452E" w:rsidRPr="00E27FE4" w:rsidRDefault="0022452E" w:rsidP="0022452E">
      <w:pPr>
        <w:spacing w:after="0"/>
        <w:rPr>
          <w:rFonts w:ascii="Verdana" w:hAnsi="Verdana"/>
        </w:rPr>
      </w:pPr>
    </w:p>
    <w:p w14:paraId="403285EB" w14:textId="77777777" w:rsidR="0022452E" w:rsidRPr="00E27FE4" w:rsidRDefault="0022452E" w:rsidP="0022452E">
      <w:pPr>
        <w:spacing w:after="0"/>
        <w:rPr>
          <w:rFonts w:ascii="Verdana" w:hAnsi="Verdana"/>
        </w:rPr>
      </w:pPr>
    </w:p>
    <w:p w14:paraId="6D4870D2" w14:textId="77777777" w:rsidR="0022452E" w:rsidRPr="00E27FE4" w:rsidRDefault="0022452E" w:rsidP="0022452E">
      <w:pPr>
        <w:spacing w:after="0"/>
        <w:rPr>
          <w:rFonts w:ascii="Verdana" w:hAnsi="Verdana"/>
        </w:rPr>
      </w:pPr>
    </w:p>
    <w:p w14:paraId="0F1D0A13" w14:textId="77777777" w:rsidR="0022452E" w:rsidRPr="00E27FE4" w:rsidRDefault="0022452E" w:rsidP="0022452E">
      <w:pPr>
        <w:spacing w:after="0"/>
        <w:rPr>
          <w:rFonts w:ascii="Verdana" w:hAnsi="Verdana"/>
        </w:rPr>
      </w:pPr>
    </w:p>
    <w:p w14:paraId="68183006" w14:textId="77777777" w:rsidR="0022452E" w:rsidRPr="00E27FE4" w:rsidRDefault="0022452E" w:rsidP="0022452E">
      <w:pPr>
        <w:spacing w:after="0"/>
        <w:rPr>
          <w:rFonts w:ascii="Verdana" w:hAnsi="Verdana"/>
        </w:rPr>
      </w:pPr>
    </w:p>
    <w:bookmarkEnd w:id="0"/>
    <w:p w14:paraId="02F74E12" w14:textId="77777777" w:rsidR="0022452E" w:rsidRPr="00E27FE4" w:rsidRDefault="0022452E" w:rsidP="0022452E">
      <w:pPr>
        <w:spacing w:after="0" w:line="240" w:lineRule="auto"/>
        <w:rPr>
          <w:rFonts w:ascii="Verdana" w:hAnsi="Verdana"/>
        </w:rPr>
      </w:pPr>
    </w:p>
    <w:p w14:paraId="647AADA0" w14:textId="77777777" w:rsidR="0022452E" w:rsidRPr="00E27FE4" w:rsidRDefault="0022452E" w:rsidP="0022452E">
      <w:pPr>
        <w:spacing w:after="0" w:line="240" w:lineRule="auto"/>
        <w:rPr>
          <w:rFonts w:ascii="Verdana" w:hAnsi="Verdana"/>
        </w:rPr>
      </w:pPr>
    </w:p>
    <w:p w14:paraId="5163CFF5" w14:textId="77777777" w:rsidR="0022452E" w:rsidRPr="00E27FE4" w:rsidRDefault="0022452E" w:rsidP="0022452E">
      <w:pPr>
        <w:spacing w:after="0" w:line="240" w:lineRule="auto"/>
        <w:rPr>
          <w:rFonts w:ascii="Verdana" w:hAnsi="Verdana"/>
        </w:rPr>
      </w:pPr>
    </w:p>
    <w:p w14:paraId="7D2DCC02" w14:textId="77777777" w:rsidR="0022452E" w:rsidRPr="00E27FE4" w:rsidRDefault="0022452E" w:rsidP="0022452E">
      <w:pPr>
        <w:spacing w:after="0" w:line="240" w:lineRule="auto"/>
        <w:rPr>
          <w:rFonts w:ascii="Verdana" w:hAnsi="Verdana"/>
        </w:rPr>
      </w:pPr>
    </w:p>
    <w:p w14:paraId="60F8590B" w14:textId="77777777" w:rsidR="0022452E" w:rsidRPr="00E27FE4" w:rsidRDefault="0022452E" w:rsidP="0022452E">
      <w:pPr>
        <w:spacing w:after="0" w:line="240" w:lineRule="auto"/>
        <w:rPr>
          <w:rFonts w:ascii="Verdana" w:hAnsi="Verdana"/>
        </w:rPr>
      </w:pPr>
    </w:p>
    <w:p w14:paraId="327CDFA0" w14:textId="77777777" w:rsidR="0022452E" w:rsidRDefault="0022452E" w:rsidP="0022452E">
      <w:pPr>
        <w:spacing w:after="0" w:line="240" w:lineRule="auto"/>
        <w:rPr>
          <w:rFonts w:ascii="Verdana" w:hAnsi="Verdana"/>
        </w:rPr>
      </w:pPr>
    </w:p>
    <w:p w14:paraId="7B9BD4CA" w14:textId="77777777" w:rsidR="0022452E" w:rsidRDefault="0022452E" w:rsidP="0022452E">
      <w:pPr>
        <w:spacing w:after="0" w:line="240" w:lineRule="auto"/>
        <w:rPr>
          <w:rFonts w:ascii="Verdana" w:hAnsi="Verdana"/>
        </w:rPr>
      </w:pPr>
    </w:p>
    <w:p w14:paraId="243F3728" w14:textId="77777777" w:rsidR="0022452E" w:rsidRDefault="0022452E" w:rsidP="0022452E">
      <w:pPr>
        <w:spacing w:after="0" w:line="240" w:lineRule="auto"/>
        <w:rPr>
          <w:rFonts w:ascii="Verdana" w:hAnsi="Verdana"/>
        </w:rPr>
      </w:pPr>
    </w:p>
    <w:p w14:paraId="2833B10E" w14:textId="77777777" w:rsidR="0022452E" w:rsidRDefault="0022452E" w:rsidP="0022452E">
      <w:pPr>
        <w:spacing w:after="0" w:line="240" w:lineRule="auto"/>
        <w:rPr>
          <w:rFonts w:ascii="Verdana" w:hAnsi="Verdana"/>
        </w:rPr>
      </w:pPr>
    </w:p>
    <w:p w14:paraId="621C306A" w14:textId="77777777" w:rsidR="0022452E" w:rsidRDefault="0022452E" w:rsidP="0022452E">
      <w:pPr>
        <w:spacing w:after="0" w:line="240" w:lineRule="auto"/>
        <w:rPr>
          <w:rFonts w:ascii="Verdana" w:hAnsi="Verdana"/>
        </w:rPr>
      </w:pPr>
    </w:p>
    <w:p w14:paraId="6E7A338A" w14:textId="77777777" w:rsidR="0022452E" w:rsidRDefault="0022452E" w:rsidP="0022452E">
      <w:pPr>
        <w:spacing w:after="0" w:line="240" w:lineRule="auto"/>
        <w:rPr>
          <w:rFonts w:ascii="Verdana" w:hAnsi="Verdana"/>
        </w:rPr>
      </w:pPr>
    </w:p>
    <w:p w14:paraId="61181796" w14:textId="77777777" w:rsidR="0022452E" w:rsidRDefault="0022452E" w:rsidP="0022452E">
      <w:pPr>
        <w:spacing w:after="0" w:line="240" w:lineRule="auto"/>
        <w:rPr>
          <w:rFonts w:ascii="Verdana" w:hAnsi="Verdana"/>
        </w:rPr>
      </w:pPr>
    </w:p>
    <w:p w14:paraId="744DC967" w14:textId="77777777" w:rsidR="0022452E" w:rsidRDefault="0022452E" w:rsidP="0022452E">
      <w:pPr>
        <w:spacing w:after="0" w:line="240" w:lineRule="auto"/>
        <w:rPr>
          <w:rFonts w:ascii="Verdana" w:hAnsi="Verdana"/>
        </w:rPr>
      </w:pPr>
    </w:p>
    <w:p w14:paraId="6734748B" w14:textId="77777777" w:rsidR="0022452E" w:rsidRDefault="0022452E" w:rsidP="0022452E">
      <w:pPr>
        <w:spacing w:after="0" w:line="240" w:lineRule="auto"/>
        <w:rPr>
          <w:rFonts w:ascii="Verdana" w:hAnsi="Verdana"/>
        </w:rPr>
      </w:pPr>
    </w:p>
    <w:p w14:paraId="6267E9B6" w14:textId="77777777" w:rsidR="0022452E" w:rsidRDefault="0022452E" w:rsidP="0022452E">
      <w:pPr>
        <w:spacing w:after="0" w:line="240" w:lineRule="auto"/>
        <w:rPr>
          <w:rFonts w:ascii="Verdana" w:hAnsi="Verdana"/>
        </w:rPr>
      </w:pPr>
    </w:p>
    <w:p w14:paraId="477DD690" w14:textId="77777777" w:rsidR="0022452E" w:rsidRDefault="0022452E" w:rsidP="0022452E">
      <w:pPr>
        <w:spacing w:after="0" w:line="240" w:lineRule="auto"/>
        <w:rPr>
          <w:rFonts w:ascii="Verdana" w:hAnsi="Verdana"/>
        </w:rPr>
      </w:pPr>
    </w:p>
    <w:p w14:paraId="419D3E49" w14:textId="77777777" w:rsidR="0022452E" w:rsidRDefault="0022452E" w:rsidP="0022452E">
      <w:pPr>
        <w:spacing w:after="0" w:line="240" w:lineRule="auto"/>
        <w:rPr>
          <w:rFonts w:ascii="Verdana" w:hAnsi="Verdana"/>
        </w:rPr>
      </w:pPr>
    </w:p>
    <w:p w14:paraId="486B468B" w14:textId="77777777" w:rsidR="0022452E" w:rsidRDefault="0022452E" w:rsidP="0022452E">
      <w:pPr>
        <w:spacing w:after="0" w:line="240" w:lineRule="auto"/>
        <w:rPr>
          <w:rFonts w:ascii="Verdana" w:hAnsi="Verdana"/>
        </w:rPr>
      </w:pPr>
    </w:p>
    <w:p w14:paraId="567E1C09" w14:textId="77777777" w:rsidR="0022452E" w:rsidRDefault="0022452E" w:rsidP="0022452E">
      <w:pPr>
        <w:spacing w:after="0" w:line="240" w:lineRule="auto"/>
        <w:rPr>
          <w:rFonts w:ascii="Verdana" w:hAnsi="Verdana"/>
        </w:rPr>
      </w:pPr>
    </w:p>
    <w:p w14:paraId="3F06616F" w14:textId="77777777" w:rsidR="0022452E" w:rsidRDefault="0022452E" w:rsidP="0022452E">
      <w:pPr>
        <w:spacing w:after="0" w:line="240" w:lineRule="auto"/>
        <w:rPr>
          <w:rFonts w:ascii="Verdana" w:hAnsi="Verdana"/>
        </w:rPr>
      </w:pPr>
    </w:p>
    <w:p w14:paraId="72D4A2D5" w14:textId="77777777" w:rsidR="0022452E" w:rsidRDefault="0022452E" w:rsidP="0022452E">
      <w:pPr>
        <w:spacing w:after="0" w:line="240" w:lineRule="auto"/>
        <w:rPr>
          <w:rFonts w:ascii="Verdana" w:hAnsi="Verdana"/>
        </w:rPr>
      </w:pPr>
    </w:p>
    <w:p w14:paraId="6277B878" w14:textId="1D663E95" w:rsidR="0022452E" w:rsidRPr="00E27FE4" w:rsidRDefault="0022452E" w:rsidP="0022452E">
      <w:pPr>
        <w:spacing w:after="0" w:line="240" w:lineRule="auto"/>
        <w:rPr>
          <w:rFonts w:ascii="Verdana" w:hAnsi="Verdana"/>
        </w:rPr>
      </w:pPr>
      <w:r w:rsidRPr="00E27FE4">
        <w:rPr>
          <w:rFonts w:ascii="Verdana" w:hAnsi="Verdana"/>
        </w:rPr>
        <w:lastRenderedPageBreak/>
        <w:t xml:space="preserve">Bogotá D.C., </w:t>
      </w:r>
      <w:r w:rsidR="000B3D99">
        <w:rPr>
          <w:rFonts w:ascii="Verdana" w:eastAsia="Times New Roman" w:hAnsi="Verdana" w:cs="Arial"/>
          <w:lang w:eastAsia="es-ES_tradnl"/>
        </w:rPr>
        <w:t>10</w:t>
      </w:r>
      <w:r w:rsidRPr="00E27FE4">
        <w:rPr>
          <w:rFonts w:ascii="Verdana" w:eastAsia="Times New Roman" w:hAnsi="Verdana" w:cs="Arial"/>
          <w:lang w:eastAsia="es-ES_tradnl"/>
        </w:rPr>
        <w:t xml:space="preserve"> de </w:t>
      </w:r>
      <w:r w:rsidR="004250F2">
        <w:rPr>
          <w:rFonts w:ascii="Verdana" w:eastAsia="Times New Roman" w:hAnsi="Verdana" w:cs="Arial"/>
          <w:lang w:eastAsia="es-ES_tradnl"/>
        </w:rPr>
        <w:t>septiembre</w:t>
      </w:r>
      <w:r w:rsidRPr="00E27FE4">
        <w:rPr>
          <w:rFonts w:ascii="Verdana" w:eastAsia="Times New Roman" w:hAnsi="Verdana" w:cs="Arial"/>
          <w:lang w:eastAsia="es-ES_tradnl"/>
        </w:rPr>
        <w:t xml:space="preserve"> de </w:t>
      </w:r>
      <w:r w:rsidR="004250F2">
        <w:rPr>
          <w:rFonts w:ascii="Verdana" w:eastAsia="Times New Roman" w:hAnsi="Verdana" w:cs="Arial"/>
          <w:lang w:eastAsia="es-ES_tradnl"/>
        </w:rPr>
        <w:t>2025</w:t>
      </w:r>
      <w:r w:rsidRPr="00E27FE4">
        <w:rPr>
          <w:rFonts w:ascii="Verdana" w:eastAsia="Times New Roman" w:hAnsi="Verdana" w:cs="Arial"/>
          <w:lang w:eastAsia="es-ES_tradnl"/>
        </w:rPr>
        <w:t> </w:t>
      </w:r>
    </w:p>
    <w:p w14:paraId="25ECAD6F" w14:textId="77777777" w:rsidR="0022452E" w:rsidRPr="00E27FE4" w:rsidRDefault="0022452E" w:rsidP="0022452E">
      <w:pPr>
        <w:spacing w:after="0" w:line="240" w:lineRule="auto"/>
        <w:rPr>
          <w:rFonts w:ascii="Verdana" w:eastAsia="Times New Roman" w:hAnsi="Verdana" w:cs="Arial"/>
          <w:lang w:eastAsia="es-ES_tradnl"/>
        </w:rPr>
      </w:pPr>
    </w:p>
    <w:p w14:paraId="03C64D00" w14:textId="47BF0536" w:rsidR="0022452E" w:rsidRPr="00E27FE4" w:rsidRDefault="000B3D99" w:rsidP="0022452E">
      <w:pPr>
        <w:spacing w:after="0" w:line="240" w:lineRule="auto"/>
        <w:jc w:val="right"/>
        <w:rPr>
          <w:rFonts w:ascii="Verdana" w:eastAsia="Times New Roman" w:hAnsi="Verdana" w:cs="Arial"/>
          <w:lang w:eastAsia="es-ES_tradnl"/>
        </w:rPr>
      </w:pPr>
      <w:r w:rsidRPr="000B3D99">
        <w:rPr>
          <w:rFonts w:ascii="Verdana" w:eastAsia="Times New Roman" w:hAnsi="Verdana" w:cs="Arial"/>
          <w:lang w:eastAsia="es-ES_tradnl"/>
        </w:rPr>
        <w:drawing>
          <wp:inline distT="0" distB="0" distL="0" distR="0" wp14:anchorId="0637D651" wp14:editId="27CDC0A2">
            <wp:extent cx="3374614" cy="876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380864" cy="877923"/>
                    </a:xfrm>
                    <a:prstGeom prst="rect">
                      <a:avLst/>
                    </a:prstGeom>
                  </pic:spPr>
                </pic:pic>
              </a:graphicData>
            </a:graphic>
          </wp:inline>
        </w:drawing>
      </w:r>
    </w:p>
    <w:p w14:paraId="6984AC06" w14:textId="77777777" w:rsidR="0022452E" w:rsidRPr="00E27FE4" w:rsidRDefault="0022452E" w:rsidP="0022452E">
      <w:pPr>
        <w:spacing w:after="0" w:line="240" w:lineRule="auto"/>
        <w:jc w:val="both"/>
        <w:rPr>
          <w:rFonts w:ascii="Verdana" w:eastAsia="Calibri" w:hAnsi="Verdana" w:cs="Arial"/>
          <w:lang w:eastAsia="es-ES_tradnl"/>
        </w:rPr>
      </w:pPr>
      <w:r w:rsidRPr="00E27FE4">
        <w:rPr>
          <w:rFonts w:ascii="Verdana" w:eastAsia="Calibri" w:hAnsi="Verdana" w:cs="Arial"/>
          <w:lang w:eastAsia="es-ES_tradnl"/>
        </w:rPr>
        <w:t>Señor</w:t>
      </w:r>
    </w:p>
    <w:p w14:paraId="21C856C5" w14:textId="77777777" w:rsidR="0022452E" w:rsidRPr="00E27FE4" w:rsidRDefault="0022452E" w:rsidP="0022452E">
      <w:pPr>
        <w:spacing w:after="0" w:line="240" w:lineRule="auto"/>
        <w:rPr>
          <w:rFonts w:ascii="Verdana" w:eastAsia="Calibri" w:hAnsi="Verdana" w:cs="Arial"/>
          <w:b/>
          <w:lang w:eastAsia="es-ES_tradnl"/>
        </w:rPr>
      </w:pPr>
      <w:r w:rsidRPr="00E27FE4">
        <w:rPr>
          <w:rFonts w:ascii="Verdana" w:eastAsia="Calibri" w:hAnsi="Verdana" w:cs="Arial"/>
          <w:b/>
          <w:lang w:eastAsia="es-ES_tradnl"/>
        </w:rPr>
        <w:t>Juan Pablo Bustos</w:t>
      </w:r>
    </w:p>
    <w:p w14:paraId="1DB58F52" w14:textId="77777777" w:rsidR="0022452E" w:rsidRPr="00E27FE4" w:rsidRDefault="00097482" w:rsidP="0022452E">
      <w:pPr>
        <w:spacing w:after="0" w:line="240" w:lineRule="auto"/>
        <w:rPr>
          <w:rFonts w:ascii="Verdana" w:eastAsia="Calibri" w:hAnsi="Verdana" w:cs="Arial"/>
          <w:lang w:eastAsia="es-ES_tradnl"/>
        </w:rPr>
      </w:pPr>
      <w:hyperlink r:id="rId8" w:history="1">
        <w:r w:rsidR="0022452E" w:rsidRPr="00E27FE4">
          <w:rPr>
            <w:rStyle w:val="Hipervnculo"/>
            <w:rFonts w:ascii="Verdana" w:eastAsia="Calibri" w:hAnsi="Verdana" w:cs="Arial"/>
            <w:lang w:eastAsia="es-ES_tradnl"/>
          </w:rPr>
          <w:t>jpbustosj@dane.gov.co</w:t>
        </w:r>
      </w:hyperlink>
      <w:r w:rsidR="0022452E" w:rsidRPr="00E27FE4">
        <w:rPr>
          <w:rFonts w:ascii="Verdana" w:eastAsia="Calibri" w:hAnsi="Verdana" w:cs="Arial"/>
          <w:lang w:eastAsia="es-ES_tradnl"/>
        </w:rPr>
        <w:t xml:space="preserve"> </w:t>
      </w:r>
      <w:hyperlink r:id="rId9" w:history="1"/>
    </w:p>
    <w:p w14:paraId="594808C4" w14:textId="77777777" w:rsidR="0022452E" w:rsidRPr="00E27FE4" w:rsidRDefault="0022452E" w:rsidP="0022452E">
      <w:pPr>
        <w:spacing w:after="0" w:line="240" w:lineRule="auto"/>
        <w:rPr>
          <w:rFonts w:ascii="Verdana" w:eastAsia="Calibri" w:hAnsi="Verdana" w:cs="Arial"/>
          <w:lang w:eastAsia="es-ES_tradnl"/>
        </w:rPr>
      </w:pPr>
      <w:r w:rsidRPr="00E27FE4">
        <w:rPr>
          <w:rFonts w:ascii="Verdana" w:eastAsia="Calibri" w:hAnsi="Verdana" w:cs="Arial"/>
          <w:lang w:eastAsia="es-ES_tradnl"/>
        </w:rPr>
        <w:t>Bogotá, D.C.</w:t>
      </w:r>
    </w:p>
    <w:p w14:paraId="3B852816" w14:textId="77777777" w:rsidR="0022452E" w:rsidRPr="00E27FE4" w:rsidRDefault="0022452E" w:rsidP="0022452E">
      <w:pPr>
        <w:spacing w:after="0" w:line="240" w:lineRule="auto"/>
        <w:rPr>
          <w:rFonts w:ascii="Verdana" w:eastAsia="Calibri" w:hAnsi="Verdana" w:cs="Arial"/>
          <w:lang w:eastAsia="es-ES_tradnl"/>
        </w:rPr>
      </w:pPr>
    </w:p>
    <w:p w14:paraId="7E5FA882" w14:textId="77777777" w:rsidR="0022452E" w:rsidRPr="00E27FE4" w:rsidRDefault="0022452E" w:rsidP="0022452E">
      <w:pPr>
        <w:spacing w:after="0" w:line="240" w:lineRule="auto"/>
        <w:rPr>
          <w:rFonts w:ascii="Verdana" w:eastAsia="Calibri" w:hAnsi="Verdana" w:cs="Arial"/>
          <w:lang w:eastAsia="es-ES_tradnl"/>
        </w:rPr>
      </w:pPr>
    </w:p>
    <w:p w14:paraId="36D07F3C" w14:textId="77777777" w:rsidR="0022452E" w:rsidRPr="00E27FE4" w:rsidRDefault="0022452E" w:rsidP="0022452E">
      <w:pPr>
        <w:spacing w:after="0" w:line="240" w:lineRule="auto"/>
        <w:ind w:left="2694"/>
        <w:rPr>
          <w:rFonts w:ascii="Verdana" w:eastAsia="Calibri" w:hAnsi="Verdana" w:cs="Arial"/>
          <w:b/>
          <w:bCs/>
          <w:lang w:eastAsia="es-ES_tradnl"/>
        </w:rPr>
      </w:pPr>
      <w:r w:rsidRPr="00E27FE4">
        <w:rPr>
          <w:rFonts w:ascii="Verdana" w:eastAsia="Calibri" w:hAnsi="Verdana" w:cs="Arial"/>
          <w:b/>
          <w:bCs/>
          <w:lang w:eastAsia="es-ES_tradnl"/>
        </w:rPr>
        <w:t>Concepto C-1055 de 2025</w:t>
      </w:r>
    </w:p>
    <w:p w14:paraId="77ADEBF2" w14:textId="77777777" w:rsidR="0022452E" w:rsidRPr="00E27FE4" w:rsidRDefault="0022452E" w:rsidP="0022452E">
      <w:pPr>
        <w:spacing w:after="0" w:line="240" w:lineRule="auto"/>
        <w:jc w:val="both"/>
        <w:rPr>
          <w:rFonts w:ascii="Verdana" w:eastAsia="Calibri" w:hAnsi="Verdana" w:cs="Arial"/>
          <w:lang w:eastAsia="es-ES_tradnl"/>
        </w:rPr>
      </w:pPr>
    </w:p>
    <w:tbl>
      <w:tblPr>
        <w:tblStyle w:val="Tablaconcuadrcula"/>
        <w:tblW w:w="8784"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47"/>
        <w:gridCol w:w="6237"/>
      </w:tblGrid>
      <w:tr w:rsidR="0022452E" w:rsidRPr="00E27FE4" w14:paraId="0C7D723C" w14:textId="77777777" w:rsidTr="003B7CF0">
        <w:trPr>
          <w:trHeight w:val="952"/>
          <w:jc w:val="right"/>
        </w:trPr>
        <w:tc>
          <w:tcPr>
            <w:tcW w:w="2547" w:type="dxa"/>
          </w:tcPr>
          <w:p w14:paraId="6641AA3C" w14:textId="77777777" w:rsidR="0022452E" w:rsidRPr="00E27FE4" w:rsidRDefault="0022452E" w:rsidP="003B7CF0">
            <w:pPr>
              <w:jc w:val="center"/>
              <w:rPr>
                <w:rFonts w:ascii="Verdana" w:eastAsia="Calibri" w:hAnsi="Verdana" w:cs="Arial"/>
                <w:lang w:eastAsia="es-ES_tradnl"/>
              </w:rPr>
            </w:pPr>
            <w:r w:rsidRPr="00E27FE4">
              <w:rPr>
                <w:rFonts w:ascii="Verdana" w:eastAsia="Calibri" w:hAnsi="Verdana" w:cs="Arial"/>
                <w:b/>
                <w:lang w:eastAsia="es-ES_tradnl"/>
              </w:rPr>
              <w:t>Temas:</w:t>
            </w:r>
          </w:p>
        </w:tc>
        <w:tc>
          <w:tcPr>
            <w:tcW w:w="6237" w:type="dxa"/>
          </w:tcPr>
          <w:p w14:paraId="002C9B70" w14:textId="77777777" w:rsidR="0022452E" w:rsidRDefault="0022452E" w:rsidP="003B7CF0">
            <w:pPr>
              <w:jc w:val="both"/>
              <w:rPr>
                <w:rFonts w:ascii="Verdana" w:eastAsia="Calibri" w:hAnsi="Verdana" w:cs="Arial"/>
                <w:bCs/>
              </w:rPr>
            </w:pPr>
            <w:r w:rsidRPr="00E27FE4">
              <w:rPr>
                <w:rFonts w:ascii="Verdana" w:eastAsia="Calibri" w:hAnsi="Verdana" w:cs="Arial"/>
                <w:bCs/>
              </w:rPr>
              <w:t>SISTEMAS DE INFORMACIÓN PARA ENVÍO DE MENSAJES DE DATOS – Ley 527 de 1999 – Ley 1437 de 2011 – SECOP</w:t>
            </w:r>
            <w:r>
              <w:rPr>
                <w:rFonts w:ascii="Verdana" w:eastAsia="Calibri" w:hAnsi="Verdana" w:cs="Arial"/>
                <w:bCs/>
              </w:rPr>
              <w:t xml:space="preserve"> / </w:t>
            </w:r>
            <w:r w:rsidRPr="00E27FE4">
              <w:rPr>
                <w:rFonts w:ascii="Verdana" w:eastAsia="Calibri" w:hAnsi="Verdana" w:cs="Arial"/>
                <w:bCs/>
              </w:rPr>
              <w:t>PLATAFORMA DE PUBLICIDAD CONTRACTUAL – SECOP I No transaccional – SECOP II Plataforma transaccional</w:t>
            </w:r>
            <w:r>
              <w:rPr>
                <w:rFonts w:ascii="Verdana" w:eastAsia="Calibri" w:hAnsi="Verdana" w:cs="Arial"/>
                <w:bCs/>
              </w:rPr>
              <w:t xml:space="preserve"> / </w:t>
            </w:r>
            <w:r w:rsidRPr="00E27FE4">
              <w:rPr>
                <w:rFonts w:ascii="Verdana" w:eastAsia="Calibri" w:hAnsi="Verdana" w:cs="Arial"/>
                <w:bCs/>
              </w:rPr>
              <w:t>PRINCIPIOS ORIENTADORES ACCESO A LA INFORMACIÓN PÚBLICA – Ley 1712 de 2014 – Calidad de la Información</w:t>
            </w:r>
            <w:r>
              <w:rPr>
                <w:rFonts w:ascii="Verdana" w:eastAsia="Calibri" w:hAnsi="Verdana" w:cs="Arial"/>
                <w:bCs/>
              </w:rPr>
              <w:t xml:space="preserve"> / </w:t>
            </w:r>
            <w:r w:rsidRPr="00E27FE4">
              <w:rPr>
                <w:rFonts w:ascii="Verdana" w:eastAsia="Calibri" w:hAnsi="Verdana" w:cs="Arial"/>
                <w:bCs/>
              </w:rPr>
              <w:t>CARÁCTER TRANSACCIONAL SECOP II – Diferencia SECOP I</w:t>
            </w:r>
            <w:r>
              <w:rPr>
                <w:rFonts w:ascii="Verdana" w:eastAsia="Calibri" w:hAnsi="Verdana" w:cs="Arial"/>
                <w:bCs/>
              </w:rPr>
              <w:t xml:space="preserve"> / </w:t>
            </w:r>
            <w:r w:rsidRPr="00E27FE4">
              <w:rPr>
                <w:rFonts w:ascii="Verdana" w:eastAsia="Calibri" w:hAnsi="Verdana" w:cs="Arial"/>
                <w:bCs/>
              </w:rPr>
              <w:t>FECHA DE ELABORACIÓN DE DOCUMENTOS CONTRACTUALES – Prevalencia de fecha automática en SECOP II</w:t>
            </w:r>
          </w:p>
          <w:p w14:paraId="4A53D0C8" w14:textId="77777777" w:rsidR="0022452E" w:rsidRPr="00E27FE4" w:rsidRDefault="0022452E" w:rsidP="003B7CF0">
            <w:pPr>
              <w:jc w:val="both"/>
              <w:rPr>
                <w:rFonts w:ascii="Verdana" w:eastAsia="Calibri" w:hAnsi="Verdana" w:cs="Arial"/>
                <w:bCs/>
              </w:rPr>
            </w:pPr>
          </w:p>
        </w:tc>
      </w:tr>
      <w:tr w:rsidR="0022452E" w:rsidRPr="00E27FE4" w14:paraId="15A995AC" w14:textId="77777777" w:rsidTr="003B7CF0">
        <w:trPr>
          <w:jc w:val="right"/>
        </w:trPr>
        <w:tc>
          <w:tcPr>
            <w:tcW w:w="2547" w:type="dxa"/>
          </w:tcPr>
          <w:p w14:paraId="43942709" w14:textId="77777777" w:rsidR="0022452E" w:rsidRPr="00E27FE4" w:rsidRDefault="0022452E" w:rsidP="003B7CF0">
            <w:pPr>
              <w:jc w:val="center"/>
              <w:rPr>
                <w:rFonts w:ascii="Verdana" w:eastAsia="Calibri" w:hAnsi="Verdana" w:cs="Arial"/>
                <w:b/>
                <w:lang w:eastAsia="es-ES_tradnl"/>
              </w:rPr>
            </w:pPr>
            <w:r w:rsidRPr="00E27FE4">
              <w:rPr>
                <w:rFonts w:ascii="Verdana" w:eastAsia="Calibri" w:hAnsi="Verdana" w:cs="Arial"/>
                <w:b/>
                <w:lang w:eastAsia="es-ES_tradnl"/>
              </w:rPr>
              <w:t>Radicación:</w:t>
            </w:r>
          </w:p>
        </w:tc>
        <w:tc>
          <w:tcPr>
            <w:tcW w:w="6237" w:type="dxa"/>
          </w:tcPr>
          <w:p w14:paraId="25AA69CD" w14:textId="77777777" w:rsidR="0022452E" w:rsidRPr="00E27FE4" w:rsidRDefault="0022452E" w:rsidP="003B7CF0">
            <w:pPr>
              <w:jc w:val="both"/>
              <w:rPr>
                <w:rFonts w:ascii="Verdana" w:eastAsia="Calibri" w:hAnsi="Verdana" w:cs="Arial"/>
                <w:lang w:eastAsia="es-ES_tradnl"/>
              </w:rPr>
            </w:pPr>
            <w:r w:rsidRPr="00E27FE4">
              <w:rPr>
                <w:rFonts w:ascii="Verdana" w:eastAsia="Calibri" w:hAnsi="Verdana" w:cs="Arial"/>
                <w:lang w:eastAsia="es-ES_tradnl"/>
              </w:rPr>
              <w:t xml:space="preserve">Respuesta a consulta radicado No. </w:t>
            </w:r>
            <w:r w:rsidRPr="00E27FE4">
              <w:rPr>
                <w:rFonts w:ascii="Verdana" w:eastAsia="Times New Roman" w:hAnsi="Verdana" w:cs="Arial"/>
                <w:lang w:eastAsia="es-ES_tradnl"/>
              </w:rPr>
              <w:t>1_2025_07_30_007896</w:t>
            </w:r>
          </w:p>
        </w:tc>
      </w:tr>
    </w:tbl>
    <w:p w14:paraId="25DFA3CE" w14:textId="77777777" w:rsidR="0022452E" w:rsidRPr="00E27FE4" w:rsidRDefault="0022452E" w:rsidP="0022452E">
      <w:pPr>
        <w:spacing w:after="0" w:line="276" w:lineRule="auto"/>
        <w:jc w:val="both"/>
        <w:rPr>
          <w:rFonts w:ascii="Verdana" w:eastAsia="Calibri" w:hAnsi="Verdana" w:cs="Arial"/>
          <w:lang w:eastAsia="es-ES_tradnl"/>
        </w:rPr>
      </w:pPr>
    </w:p>
    <w:p w14:paraId="0F9BD1C8" w14:textId="77777777" w:rsidR="0022452E" w:rsidRPr="00E27FE4" w:rsidRDefault="0022452E" w:rsidP="0022452E">
      <w:pPr>
        <w:spacing w:after="0" w:line="276" w:lineRule="auto"/>
        <w:jc w:val="both"/>
        <w:rPr>
          <w:rFonts w:ascii="Verdana" w:eastAsia="Calibri" w:hAnsi="Verdana" w:cs="Arial"/>
          <w:lang w:eastAsia="es-ES_tradnl"/>
        </w:rPr>
      </w:pPr>
    </w:p>
    <w:p w14:paraId="67CBA51E" w14:textId="77777777" w:rsidR="0022452E" w:rsidRPr="00E27FE4" w:rsidRDefault="0022452E" w:rsidP="0022452E">
      <w:pPr>
        <w:spacing w:after="0" w:line="276" w:lineRule="auto"/>
        <w:jc w:val="both"/>
        <w:rPr>
          <w:rFonts w:ascii="Verdana" w:eastAsia="Calibri" w:hAnsi="Verdana" w:cs="Arial"/>
          <w:bCs/>
          <w:lang w:eastAsia="es-ES_tradnl"/>
        </w:rPr>
      </w:pPr>
      <w:r w:rsidRPr="00E27FE4">
        <w:rPr>
          <w:rFonts w:ascii="Verdana" w:eastAsia="Calibri" w:hAnsi="Verdana" w:cs="Arial"/>
          <w:lang w:eastAsia="es-ES_tradnl"/>
        </w:rPr>
        <w:t>Estimado señor Bustos</w:t>
      </w:r>
      <w:r w:rsidRPr="00E27FE4">
        <w:rPr>
          <w:rFonts w:ascii="Verdana" w:eastAsia="Calibri" w:hAnsi="Verdana" w:cs="Arial"/>
          <w:bCs/>
          <w:lang w:eastAsia="es-ES_tradnl"/>
        </w:rPr>
        <w:t xml:space="preserve">, </w:t>
      </w:r>
    </w:p>
    <w:p w14:paraId="0A8A6A56" w14:textId="77777777" w:rsidR="0022452E" w:rsidRPr="00E27FE4" w:rsidRDefault="0022452E" w:rsidP="0022452E">
      <w:pPr>
        <w:spacing w:after="0" w:line="276" w:lineRule="auto"/>
        <w:jc w:val="both"/>
        <w:rPr>
          <w:rFonts w:ascii="Verdana" w:eastAsia="Calibri" w:hAnsi="Verdana" w:cs="Arial"/>
          <w:lang w:eastAsia="es-ES_tradnl"/>
        </w:rPr>
      </w:pPr>
    </w:p>
    <w:p w14:paraId="7B1E1112" w14:textId="77777777" w:rsidR="0022452E" w:rsidRPr="00E27FE4" w:rsidRDefault="0022452E" w:rsidP="0022452E">
      <w:pPr>
        <w:spacing w:after="0" w:line="276" w:lineRule="auto"/>
        <w:jc w:val="both"/>
        <w:rPr>
          <w:rFonts w:ascii="Verdana" w:eastAsia="Calibri" w:hAnsi="Verdana" w:cs="Arial"/>
          <w:lang w:eastAsia="es-ES_tradnl"/>
        </w:rPr>
      </w:pPr>
      <w:r w:rsidRPr="00E27FE4">
        <w:rPr>
          <w:rFonts w:ascii="Verdana" w:eastAsia="Calibri" w:hAnsi="Verdana" w:cs="Arial"/>
          <w:lang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consulta radicada el 30 de julio de 2025 formulada en los siguientes términos:</w:t>
      </w:r>
    </w:p>
    <w:p w14:paraId="4B81E9B5" w14:textId="77777777" w:rsidR="0022452E" w:rsidRPr="00E27FE4" w:rsidRDefault="0022452E" w:rsidP="0022452E">
      <w:pPr>
        <w:spacing w:after="0" w:line="276" w:lineRule="auto"/>
        <w:jc w:val="both"/>
        <w:rPr>
          <w:rFonts w:ascii="Verdana" w:eastAsia="Calibri" w:hAnsi="Verdana" w:cs="Arial"/>
          <w:lang w:eastAsia="es-ES_tradnl"/>
        </w:rPr>
      </w:pPr>
    </w:p>
    <w:p w14:paraId="51EF9C7F" w14:textId="77777777" w:rsidR="0022452E" w:rsidRPr="00E27FE4" w:rsidRDefault="0022452E" w:rsidP="0022452E">
      <w:pPr>
        <w:spacing w:after="0" w:line="240" w:lineRule="auto"/>
        <w:ind w:left="709" w:right="709"/>
        <w:jc w:val="both"/>
        <w:rPr>
          <w:rFonts w:ascii="Verdana" w:eastAsia="Times New Roman" w:hAnsi="Verdana" w:cs="Arial"/>
          <w:iCs/>
          <w:sz w:val="20"/>
          <w:szCs w:val="20"/>
          <w:lang w:eastAsia="es-ES_tradnl"/>
        </w:rPr>
      </w:pPr>
      <w:r w:rsidRPr="00E27FE4">
        <w:rPr>
          <w:rFonts w:ascii="Verdana" w:eastAsia="Times New Roman" w:hAnsi="Verdana" w:cs="Arial"/>
          <w:iCs/>
          <w:sz w:val="20"/>
          <w:szCs w:val="20"/>
          <w:lang w:eastAsia="es-ES_tradnl"/>
        </w:rPr>
        <w:t>“[…]</w:t>
      </w:r>
    </w:p>
    <w:p w14:paraId="70538282" w14:textId="77777777" w:rsidR="0022452E" w:rsidRPr="00E27FE4" w:rsidRDefault="0022452E" w:rsidP="0022452E">
      <w:pPr>
        <w:spacing w:after="0" w:line="240" w:lineRule="auto"/>
        <w:ind w:left="709" w:right="709"/>
        <w:jc w:val="both"/>
        <w:rPr>
          <w:rFonts w:ascii="Verdana" w:eastAsia="Times New Roman" w:hAnsi="Verdana" w:cs="Arial"/>
          <w:iCs/>
          <w:sz w:val="20"/>
          <w:szCs w:val="20"/>
          <w:lang w:eastAsia="es-ES_tradnl"/>
        </w:rPr>
      </w:pPr>
    </w:p>
    <w:p w14:paraId="4EC2B547" w14:textId="77777777" w:rsidR="0022452E" w:rsidRPr="00E27FE4" w:rsidRDefault="0022452E" w:rsidP="0022452E">
      <w:pPr>
        <w:spacing w:after="0" w:line="240" w:lineRule="auto"/>
        <w:ind w:left="709" w:right="709"/>
        <w:jc w:val="both"/>
        <w:rPr>
          <w:rFonts w:ascii="Verdana" w:eastAsia="Times New Roman" w:hAnsi="Verdana" w:cs="Arial"/>
          <w:iCs/>
          <w:sz w:val="20"/>
          <w:szCs w:val="20"/>
          <w:lang w:eastAsia="es-ES_tradnl"/>
        </w:rPr>
      </w:pPr>
      <w:r w:rsidRPr="00E27FE4">
        <w:rPr>
          <w:rFonts w:ascii="Verdana" w:eastAsia="Times New Roman" w:hAnsi="Verdana" w:cs="Arial"/>
          <w:iCs/>
          <w:sz w:val="20"/>
          <w:szCs w:val="20"/>
          <w:lang w:eastAsia="es-ES_tradnl"/>
        </w:rPr>
        <w:lastRenderedPageBreak/>
        <w:t xml:space="preserve">1. ¿Cuáles documentos del expediente contractual deben contener obligatoriamente fecha de expedición o elaboración? Según el artículo 2.2.1.1.1.3.1 del Decreto 1082 de 2015, el expediente incluye estudios previos, aviso de convocatoria, pliegos, adendas, oferta, informe de evaluación, contrato y otros documentos. Indique cuáles de requieren fecha explícita como requisito formal para su validez. </w:t>
      </w:r>
    </w:p>
    <w:p w14:paraId="1EB14EF8" w14:textId="77777777" w:rsidR="0022452E" w:rsidRPr="00E27FE4" w:rsidRDefault="0022452E" w:rsidP="0022452E">
      <w:pPr>
        <w:spacing w:after="0" w:line="240" w:lineRule="auto"/>
        <w:ind w:left="709" w:right="709"/>
        <w:jc w:val="both"/>
        <w:rPr>
          <w:rFonts w:ascii="Verdana" w:eastAsia="Times New Roman" w:hAnsi="Verdana" w:cs="Arial"/>
          <w:iCs/>
          <w:sz w:val="20"/>
          <w:szCs w:val="20"/>
          <w:lang w:eastAsia="es-ES_tradnl"/>
        </w:rPr>
      </w:pPr>
    </w:p>
    <w:p w14:paraId="132F4255" w14:textId="77777777" w:rsidR="0022452E" w:rsidRPr="00E27FE4" w:rsidRDefault="0022452E" w:rsidP="0022452E">
      <w:pPr>
        <w:spacing w:after="0" w:line="240" w:lineRule="auto"/>
        <w:ind w:left="709" w:right="709"/>
        <w:jc w:val="both"/>
        <w:rPr>
          <w:rFonts w:ascii="Verdana" w:eastAsia="Times New Roman" w:hAnsi="Verdana" w:cs="Arial"/>
          <w:iCs/>
          <w:sz w:val="20"/>
          <w:szCs w:val="20"/>
          <w:lang w:eastAsia="es-ES_tradnl"/>
        </w:rPr>
      </w:pPr>
      <w:r w:rsidRPr="00E27FE4">
        <w:rPr>
          <w:rFonts w:ascii="Verdana" w:eastAsia="Times New Roman" w:hAnsi="Verdana" w:cs="Arial"/>
          <w:iCs/>
          <w:sz w:val="20"/>
          <w:szCs w:val="20"/>
          <w:lang w:eastAsia="es-ES_tradnl"/>
        </w:rPr>
        <w:t xml:space="preserve">2. ¿Cuál es la consecuencia jurídica o administrativa si la fecha de un documento no coincide con la registrada en SECOP II? considerando que esta plataforma es transaccional, registra actuaciones en tiempo real y tiene efectos jurídicos y probatorios </w:t>
      </w:r>
    </w:p>
    <w:p w14:paraId="1710803D" w14:textId="77777777" w:rsidR="0022452E" w:rsidRPr="00E27FE4" w:rsidRDefault="0022452E" w:rsidP="0022452E">
      <w:pPr>
        <w:spacing w:after="0" w:line="240" w:lineRule="auto"/>
        <w:ind w:left="709" w:right="709"/>
        <w:jc w:val="both"/>
        <w:rPr>
          <w:rFonts w:ascii="Verdana" w:eastAsia="Times New Roman" w:hAnsi="Verdana" w:cs="Arial"/>
          <w:iCs/>
          <w:sz w:val="20"/>
          <w:szCs w:val="20"/>
          <w:lang w:eastAsia="es-ES_tradnl"/>
        </w:rPr>
      </w:pPr>
    </w:p>
    <w:p w14:paraId="6F1450F7" w14:textId="77777777" w:rsidR="0022452E" w:rsidRPr="00E27FE4" w:rsidRDefault="0022452E" w:rsidP="0022452E">
      <w:pPr>
        <w:spacing w:after="0" w:line="240" w:lineRule="auto"/>
        <w:ind w:left="709" w:right="709"/>
        <w:jc w:val="both"/>
        <w:rPr>
          <w:rFonts w:ascii="Verdana" w:eastAsia="Times New Roman" w:hAnsi="Verdana" w:cs="Arial"/>
          <w:iCs/>
          <w:sz w:val="20"/>
          <w:szCs w:val="20"/>
          <w:lang w:eastAsia="es-ES_tradnl"/>
        </w:rPr>
      </w:pPr>
      <w:r w:rsidRPr="00E27FE4">
        <w:rPr>
          <w:rFonts w:ascii="Verdana" w:eastAsia="Times New Roman" w:hAnsi="Verdana" w:cs="Arial"/>
          <w:iCs/>
          <w:sz w:val="20"/>
          <w:szCs w:val="20"/>
          <w:lang w:eastAsia="es-ES_tradnl"/>
        </w:rPr>
        <w:t>3. En caso de discrepancia, ¿cuál fecha debe considerarse válida: la del documento físico o digital, o la registrada en SECOP II?” [SIC].</w:t>
      </w:r>
    </w:p>
    <w:p w14:paraId="79730565" w14:textId="77777777" w:rsidR="0022452E" w:rsidRPr="00E27FE4" w:rsidRDefault="0022452E" w:rsidP="0022452E">
      <w:pPr>
        <w:spacing w:after="0" w:line="240" w:lineRule="auto"/>
        <w:ind w:left="709" w:right="709"/>
        <w:jc w:val="both"/>
        <w:rPr>
          <w:rFonts w:ascii="Verdana" w:eastAsia="Times New Roman" w:hAnsi="Verdana" w:cs="Arial"/>
          <w:i/>
          <w:lang w:eastAsia="es-ES_tradnl"/>
        </w:rPr>
      </w:pPr>
    </w:p>
    <w:p w14:paraId="4CA2E2A9" w14:textId="77777777" w:rsidR="0022452E" w:rsidRPr="00E27FE4" w:rsidRDefault="0022452E" w:rsidP="0022452E">
      <w:pPr>
        <w:spacing w:after="120" w:line="276" w:lineRule="auto"/>
        <w:ind w:firstLine="709"/>
        <w:jc w:val="both"/>
        <w:rPr>
          <w:rFonts w:ascii="Verdana" w:eastAsia="Calibri" w:hAnsi="Verdana" w:cs="Arial"/>
          <w:color w:val="000000"/>
          <w:szCs w:val="24"/>
          <w:lang w:eastAsia="es-ES_tradnl"/>
        </w:rPr>
      </w:pPr>
      <w:r w:rsidRPr="00E27FE4">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27FE4">
        <w:rPr>
          <w:rFonts w:ascii="Verdana" w:eastAsia="Calibri" w:hAnsi="Verdana" w:cs="Arial"/>
          <w:color w:val="000000"/>
          <w:szCs w:val="24"/>
          <w:lang w:eastAsia="es-ES_tradnl"/>
        </w:rPr>
        <w:tab/>
      </w:r>
    </w:p>
    <w:p w14:paraId="1FDE47AF" w14:textId="77777777" w:rsidR="0022452E" w:rsidRPr="00E27FE4" w:rsidRDefault="0022452E" w:rsidP="0022452E">
      <w:pPr>
        <w:spacing w:after="0" w:line="276" w:lineRule="auto"/>
        <w:ind w:firstLine="709"/>
        <w:jc w:val="both"/>
        <w:rPr>
          <w:rFonts w:ascii="Verdana" w:eastAsia="Calibri" w:hAnsi="Verdana" w:cs="Arial"/>
          <w:lang w:eastAsia="es-ES"/>
        </w:rPr>
      </w:pPr>
      <w:r w:rsidRPr="00E27FE4">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l</w:t>
      </w:r>
      <w:r>
        <w:rPr>
          <w:rFonts w:ascii="Verdana" w:eastAsia="Calibri" w:hAnsi="Verdana" w:cs="Arial"/>
          <w:lang w:eastAsia="es-ES"/>
        </w:rPr>
        <w:t>os</w:t>
      </w:r>
      <w:r w:rsidRPr="00E27FE4">
        <w:rPr>
          <w:rFonts w:ascii="Verdana" w:eastAsia="Calibri" w:hAnsi="Verdana" w:cs="Arial"/>
          <w:lang w:eastAsia="es-ES"/>
        </w:rPr>
        <w:t xml:space="preserve"> problema</w:t>
      </w:r>
      <w:r>
        <w:rPr>
          <w:rFonts w:ascii="Verdana" w:eastAsia="Calibri" w:hAnsi="Verdana" w:cs="Arial"/>
          <w:lang w:eastAsia="es-ES"/>
        </w:rPr>
        <w:t>s</w:t>
      </w:r>
      <w:r w:rsidRPr="00E27FE4">
        <w:rPr>
          <w:rFonts w:ascii="Verdana" w:eastAsia="Calibri" w:hAnsi="Verdana" w:cs="Arial"/>
          <w:lang w:eastAsia="es-ES"/>
        </w:rPr>
        <w:t xml:space="preserve"> jurídico</w:t>
      </w:r>
      <w:r>
        <w:rPr>
          <w:rFonts w:ascii="Verdana" w:eastAsia="Calibri" w:hAnsi="Verdana" w:cs="Arial"/>
          <w:lang w:eastAsia="es-ES"/>
        </w:rPr>
        <w:t>s</w:t>
      </w:r>
      <w:r w:rsidRPr="00E27FE4">
        <w:rPr>
          <w:rFonts w:ascii="Verdana" w:eastAsia="Calibri" w:hAnsi="Verdana" w:cs="Arial"/>
          <w:lang w:eastAsia="es-ES"/>
        </w:rPr>
        <w:t xml:space="preserve"> de su consulta. </w:t>
      </w:r>
    </w:p>
    <w:p w14:paraId="2D70D9B2" w14:textId="77777777" w:rsidR="0022452E" w:rsidRPr="00E27FE4" w:rsidRDefault="0022452E" w:rsidP="0022452E">
      <w:pPr>
        <w:spacing w:after="0" w:line="276" w:lineRule="auto"/>
        <w:contextualSpacing/>
        <w:jc w:val="both"/>
        <w:rPr>
          <w:rFonts w:ascii="Verdana" w:eastAsia="Times New Roman" w:hAnsi="Verdana" w:cs="Arial"/>
          <w:szCs w:val="24"/>
          <w:lang w:eastAsia="es-ES_tradnl"/>
        </w:rPr>
      </w:pPr>
    </w:p>
    <w:p w14:paraId="5D5C4253" w14:textId="77777777" w:rsidR="0022452E" w:rsidRPr="00E27FE4" w:rsidRDefault="0022452E" w:rsidP="0022452E">
      <w:pPr>
        <w:tabs>
          <w:tab w:val="left" w:pos="0"/>
          <w:tab w:val="left" w:pos="284"/>
        </w:tabs>
        <w:spacing w:after="0" w:line="276" w:lineRule="auto"/>
        <w:contextualSpacing/>
        <w:jc w:val="both"/>
        <w:rPr>
          <w:rFonts w:ascii="Verdana" w:eastAsia="Calibri" w:hAnsi="Verdana" w:cs="Arial"/>
          <w:b/>
        </w:rPr>
      </w:pPr>
      <w:r w:rsidRPr="00E27FE4">
        <w:rPr>
          <w:rFonts w:ascii="Verdana" w:eastAsia="Calibri" w:hAnsi="Verdana" w:cs="Arial"/>
          <w:b/>
        </w:rPr>
        <w:t>1. Problema planteado:</w:t>
      </w:r>
    </w:p>
    <w:p w14:paraId="376960FD" w14:textId="77777777" w:rsidR="0022452E" w:rsidRPr="00E27FE4" w:rsidRDefault="0022452E" w:rsidP="0022452E">
      <w:pPr>
        <w:tabs>
          <w:tab w:val="left" w:pos="0"/>
          <w:tab w:val="left" w:pos="284"/>
        </w:tabs>
        <w:spacing w:after="0" w:line="276" w:lineRule="auto"/>
        <w:contextualSpacing/>
        <w:jc w:val="both"/>
        <w:rPr>
          <w:rFonts w:ascii="Verdana" w:eastAsia="Calibri" w:hAnsi="Verdana" w:cs="Arial"/>
          <w:b/>
        </w:rPr>
      </w:pPr>
    </w:p>
    <w:p w14:paraId="60BAA6E5" w14:textId="77777777" w:rsidR="0022452E" w:rsidRPr="00E27FE4" w:rsidRDefault="0022452E" w:rsidP="0022452E">
      <w:pPr>
        <w:spacing w:after="0" w:line="276" w:lineRule="auto"/>
        <w:jc w:val="both"/>
        <w:rPr>
          <w:rFonts w:ascii="Verdana" w:hAnsi="Verdana"/>
        </w:rPr>
      </w:pPr>
      <w:r w:rsidRPr="00E27FE4">
        <w:rPr>
          <w:rFonts w:ascii="Verdana" w:hAnsi="Verdana"/>
        </w:rPr>
        <w:t xml:space="preserve">De acuerdo con el contenido de su solicitud, esta Agencia resolverá los siguientes interrogantes: </w:t>
      </w:r>
    </w:p>
    <w:p w14:paraId="73A188FD" w14:textId="77777777" w:rsidR="0022452E" w:rsidRPr="00E27FE4" w:rsidRDefault="0022452E" w:rsidP="0022452E">
      <w:pPr>
        <w:spacing w:after="0" w:line="276" w:lineRule="auto"/>
        <w:jc w:val="both"/>
        <w:rPr>
          <w:rFonts w:ascii="Verdana" w:hAnsi="Verdana"/>
        </w:rPr>
      </w:pPr>
    </w:p>
    <w:p w14:paraId="17113E09" w14:textId="77777777" w:rsidR="0022452E" w:rsidRPr="00E27FE4" w:rsidRDefault="0022452E" w:rsidP="0022452E">
      <w:pPr>
        <w:spacing w:after="0" w:line="276" w:lineRule="auto"/>
        <w:jc w:val="both"/>
        <w:rPr>
          <w:rFonts w:ascii="Verdana" w:eastAsia="Century Gothic" w:hAnsi="Verdana" w:cs="Century Gothic"/>
        </w:rPr>
      </w:pPr>
      <w:r w:rsidRPr="00E27FE4">
        <w:rPr>
          <w:rFonts w:ascii="Verdana" w:eastAsia="Century Gothic" w:hAnsi="Verdana" w:cs="Century Gothic"/>
        </w:rPr>
        <w:lastRenderedPageBreak/>
        <w:t>i. ¿De conformidad con el ordenamiento jurídico colombiano, los documentos que integran el expediente contractual de las entidades estatales deben contener obligatoriamente fecha de expedición o elaboración como requisito formal de validez?</w:t>
      </w:r>
    </w:p>
    <w:p w14:paraId="0B8596F2" w14:textId="77777777" w:rsidR="0022452E" w:rsidRPr="00E27FE4" w:rsidRDefault="0022452E" w:rsidP="0022452E">
      <w:pPr>
        <w:spacing w:after="0" w:line="276" w:lineRule="auto"/>
        <w:jc w:val="both"/>
        <w:rPr>
          <w:rFonts w:ascii="Verdana" w:eastAsia="Century Gothic" w:hAnsi="Verdana" w:cs="Century Gothic"/>
        </w:rPr>
      </w:pPr>
    </w:p>
    <w:p w14:paraId="1EFC73D2" w14:textId="77777777" w:rsidR="0022452E" w:rsidRPr="00E27FE4" w:rsidRDefault="0022452E" w:rsidP="0022452E">
      <w:pPr>
        <w:spacing w:after="0" w:line="276" w:lineRule="auto"/>
        <w:jc w:val="both"/>
        <w:rPr>
          <w:rFonts w:ascii="Verdana" w:eastAsia="Century Gothic" w:hAnsi="Verdana" w:cs="Century Gothic"/>
        </w:rPr>
      </w:pPr>
      <w:r w:rsidRPr="00E27FE4">
        <w:rPr>
          <w:rFonts w:ascii="Verdana" w:eastAsia="Century Gothic" w:hAnsi="Verdana" w:cs="Century Gothic"/>
        </w:rPr>
        <w:t>ii. En caso de contradicción o discrepancia entre la información consignada en documentos físicos y aquella registrada electrónicamente en la gestión contractual tramitada mediante el SECOP II, ¿cuál debe considerarse prevalente para efectos jurídicos y probatorios?</w:t>
      </w:r>
    </w:p>
    <w:p w14:paraId="55F3F1B7" w14:textId="77777777" w:rsidR="0022452E" w:rsidRPr="00E27FE4" w:rsidRDefault="0022452E" w:rsidP="0022452E">
      <w:pPr>
        <w:spacing w:after="0" w:line="276" w:lineRule="auto"/>
        <w:jc w:val="both"/>
        <w:rPr>
          <w:rFonts w:ascii="Verdana" w:eastAsia="Calibri" w:hAnsi="Verdana" w:cs="Arial"/>
          <w:lang w:eastAsia="es-ES_tradnl"/>
        </w:rPr>
      </w:pPr>
    </w:p>
    <w:p w14:paraId="0A8CDCB0" w14:textId="77777777" w:rsidR="0022452E" w:rsidRPr="00E27FE4" w:rsidRDefault="0022452E" w:rsidP="0022452E">
      <w:pPr>
        <w:tabs>
          <w:tab w:val="left" w:pos="142"/>
          <w:tab w:val="left" w:pos="284"/>
        </w:tabs>
        <w:spacing w:after="0" w:line="276" w:lineRule="auto"/>
        <w:jc w:val="both"/>
        <w:rPr>
          <w:rFonts w:ascii="Verdana" w:eastAsia="Century Gothic" w:hAnsi="Verdana" w:cs="Century Gothic"/>
          <w:b/>
          <w:bCs/>
        </w:rPr>
      </w:pPr>
      <w:r w:rsidRPr="00E27FE4">
        <w:rPr>
          <w:rFonts w:ascii="Verdana" w:eastAsia="Century Gothic" w:hAnsi="Verdana" w:cs="Century Gothic"/>
          <w:b/>
          <w:bCs/>
        </w:rPr>
        <w:t>2. Respuesta:</w:t>
      </w:r>
    </w:p>
    <w:p w14:paraId="58FB124B" w14:textId="77777777" w:rsidR="0022452E" w:rsidRPr="00E27FE4" w:rsidRDefault="0022452E" w:rsidP="0022452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2452E" w:rsidRPr="00E27FE4" w14:paraId="48B30B24" w14:textId="77777777" w:rsidTr="003B7CF0">
        <w:tc>
          <w:tcPr>
            <w:tcW w:w="8828" w:type="dxa"/>
          </w:tcPr>
          <w:p w14:paraId="32F9B697" w14:textId="77777777" w:rsidR="0022452E" w:rsidRPr="00E27FE4" w:rsidRDefault="0022452E" w:rsidP="003B7CF0">
            <w:pPr>
              <w:spacing w:after="120" w:line="276" w:lineRule="auto"/>
              <w:jc w:val="both"/>
              <w:rPr>
                <w:rFonts w:ascii="Verdana" w:hAnsi="Verdana" w:cs="Arial"/>
              </w:rPr>
            </w:pPr>
            <w:r w:rsidRPr="00E27FE4">
              <w:rPr>
                <w:rFonts w:ascii="Verdana" w:hAnsi="Verdana" w:cs="Arial"/>
              </w:rPr>
              <w:t>i. En relación con la consulta planteada, debe señalarse, en primer lugar, que los documentos contractuales hacen parte del expediente de archivo de las entidades estatales. De acuerdo con la normativa archivística vigente, tales documentos deben contar con atributos de identificación que permitan garantizar su autenticidad y trazabilidad, dentro de los cuales la fecha de elaboración cumple un papel fundamental. Así, la Ley 1712 de 2014 define los documentos de archivo como los registros de información producida o recibida por una entidad en el ejercicio de sus funciones, mientras que la Ley 594 de 2000 y los lineamientos impartidos por el Archivo General de la Nación exigen la incorporación de elementos mínimos de identificación, como la fecha, para asegurar la veracidad, la integridad y la adecuada gestión del ciclo vital documental.</w:t>
            </w:r>
          </w:p>
          <w:p w14:paraId="30DE958C" w14:textId="77777777" w:rsidR="0022452E" w:rsidRPr="00E27FE4" w:rsidRDefault="0022452E" w:rsidP="003B7CF0">
            <w:pPr>
              <w:spacing w:after="120" w:line="276" w:lineRule="auto"/>
              <w:ind w:firstLine="708"/>
              <w:jc w:val="both"/>
              <w:rPr>
                <w:rFonts w:ascii="Verdana" w:hAnsi="Verdana" w:cs="Arial"/>
              </w:rPr>
            </w:pPr>
            <w:r w:rsidRPr="00E27FE4">
              <w:rPr>
                <w:rFonts w:ascii="Verdana" w:hAnsi="Verdana" w:cs="Arial"/>
              </w:rPr>
              <w:t>Ahora bien, resulta necesario diferenciar la forma en que opera la obligación de incorporar y registrar la fecha en el marco de los procesos contractuales gestionados a través del SECOP I y del SECOP II. En el SECOP I, los documentos se elaboran en medio físico o electrónico fuera de la plataforma y, posteriormente, deben ser publicados dentro del término de tres (3) días previsto en el artículo 2.2.1.1.1.7.1 del Decreto 1082 de 2015. En este escenario, la fecha consignada en el documento resulta esencial, en la medida en que permite determinar con claridad el momento de su expedición y el cumplimiento de la obligación de publicidad.</w:t>
            </w:r>
          </w:p>
          <w:p w14:paraId="661BFBC4" w14:textId="77777777" w:rsidR="0022452E" w:rsidRPr="00E27FE4" w:rsidRDefault="0022452E" w:rsidP="003B7CF0">
            <w:pPr>
              <w:spacing w:after="120" w:line="276" w:lineRule="auto"/>
              <w:ind w:firstLine="708"/>
              <w:jc w:val="both"/>
              <w:rPr>
                <w:rFonts w:ascii="Verdana" w:hAnsi="Verdana" w:cs="Arial"/>
              </w:rPr>
            </w:pPr>
            <w:r w:rsidRPr="00E27FE4">
              <w:rPr>
                <w:rFonts w:ascii="Verdana" w:hAnsi="Verdana" w:cs="Arial"/>
              </w:rPr>
              <w:t xml:space="preserve">Por el contrario, en el SECOP II la dinámica es distinta. Esta plataforma no solo cumple funciones de publicación, sino también de gestión y creación de documentos </w:t>
            </w:r>
            <w:r>
              <w:rPr>
                <w:rFonts w:ascii="Verdana" w:hAnsi="Verdana" w:cs="Arial"/>
              </w:rPr>
              <w:t xml:space="preserve">y actuaciones </w:t>
            </w:r>
            <w:r w:rsidRPr="00E27FE4">
              <w:rPr>
                <w:rFonts w:ascii="Verdana" w:hAnsi="Verdana" w:cs="Arial"/>
              </w:rPr>
              <w:t>contractuales</w:t>
            </w:r>
            <w:r>
              <w:rPr>
                <w:rFonts w:ascii="Verdana" w:hAnsi="Verdana" w:cs="Arial"/>
              </w:rPr>
              <w:t xml:space="preserve"> que se realizan en tiempo real</w:t>
            </w:r>
            <w:r w:rsidRPr="00E27FE4">
              <w:rPr>
                <w:rFonts w:ascii="Verdana" w:hAnsi="Verdana" w:cs="Arial"/>
              </w:rPr>
              <w:t xml:space="preserve">. En </w:t>
            </w:r>
            <w:r w:rsidRPr="00E27FE4">
              <w:rPr>
                <w:rFonts w:ascii="Verdana" w:hAnsi="Verdana" w:cs="Arial"/>
              </w:rPr>
              <w:lastRenderedPageBreak/>
              <w:t>consecuencia, la mayoría de las actuaciones contractuales se generan directamente dentro de la plataforma, lo que implica que la publicación sea concomitante a la actuación del usuario. Dicho de otra manera, en SECOP II no es necesario cargar posteriormente un documento ya expedido, sino que este se produce en tiempo real al interior del sistema y queda publicado de inmediato, lo cual refleja su naturaleza transaccional.</w:t>
            </w:r>
          </w:p>
          <w:p w14:paraId="5A967B39" w14:textId="77777777" w:rsidR="0022452E" w:rsidRPr="00E27FE4" w:rsidRDefault="0022452E" w:rsidP="003B7CF0">
            <w:pPr>
              <w:spacing w:after="120" w:line="276" w:lineRule="auto"/>
              <w:ind w:firstLine="708"/>
              <w:jc w:val="both"/>
              <w:rPr>
                <w:rFonts w:ascii="Verdana" w:hAnsi="Verdana" w:cs="Arial"/>
              </w:rPr>
            </w:pPr>
            <w:r w:rsidRPr="00E27FE4">
              <w:rPr>
                <w:rFonts w:ascii="Verdana" w:hAnsi="Verdana" w:cs="Arial"/>
              </w:rPr>
              <w:t>De allí se desprende que la fecha y hora que asigna automáticamente la plataforma en el momento en que el usuario —ya sea funcionario de la entidad estatal o representante del contratista— ejecuta la respectiva acción, constituye la marca temporal oficial del documento. Este sello electrónico garantiza la autenticidad, integridad y trazabilidad de la actuación, y además tiene plenos efectos jurídicos y probatorios, conforme a lo establecido en la Ley 527 de 1999 en materia de mensajes de datos y comercio electrónico.</w:t>
            </w:r>
          </w:p>
          <w:p w14:paraId="5A021E8F" w14:textId="77777777" w:rsidR="0022452E" w:rsidRPr="00E27FE4" w:rsidRDefault="0022452E" w:rsidP="003B7CF0">
            <w:pPr>
              <w:spacing w:line="276" w:lineRule="auto"/>
              <w:ind w:firstLine="708"/>
              <w:jc w:val="both"/>
              <w:rPr>
                <w:rFonts w:ascii="Verdana" w:hAnsi="Verdana" w:cs="Arial"/>
              </w:rPr>
            </w:pPr>
            <w:r w:rsidRPr="00E27FE4">
              <w:rPr>
                <w:rFonts w:ascii="Verdana" w:hAnsi="Verdana" w:cs="Arial"/>
              </w:rPr>
              <w:t>Así, la normativa archivística exige que los documentos públicos cuenten con atributos como la fecha de elaboración</w:t>
            </w:r>
            <w:r>
              <w:rPr>
                <w:rFonts w:ascii="Verdana" w:hAnsi="Verdana" w:cs="Arial"/>
              </w:rPr>
              <w:t>.</w:t>
            </w:r>
            <w:r w:rsidRPr="00E27FE4">
              <w:rPr>
                <w:rFonts w:ascii="Verdana" w:hAnsi="Verdana" w:cs="Arial"/>
              </w:rPr>
              <w:t xml:space="preserve"> </w:t>
            </w:r>
            <w:r>
              <w:rPr>
                <w:rFonts w:ascii="Verdana" w:hAnsi="Verdana" w:cs="Arial"/>
              </w:rPr>
              <w:t>E</w:t>
            </w:r>
            <w:r w:rsidRPr="00E27FE4">
              <w:rPr>
                <w:rFonts w:ascii="Verdana" w:hAnsi="Verdana" w:cs="Arial"/>
              </w:rPr>
              <w:t xml:space="preserve">n el ámbito de SECOP II dicha exigencia se cumple a través del registro electrónico generado por la propia plataforma. Este sello de tiempo electrónico prevalece frente a la fecha que pueda </w:t>
            </w:r>
            <w:r>
              <w:rPr>
                <w:rFonts w:ascii="Verdana" w:hAnsi="Verdana" w:cs="Arial"/>
              </w:rPr>
              <w:t>contener el documento</w:t>
            </w:r>
            <w:r w:rsidRPr="00E27FE4">
              <w:rPr>
                <w:rFonts w:ascii="Verdana" w:hAnsi="Verdana" w:cs="Arial"/>
              </w:rPr>
              <w:t>, sin que ello exonere a las entidades de cumplir con las disposiciones del Archivo General de la Nación en materia de gestión documental y conservación de expedientes en los soportes correspondientes.</w:t>
            </w:r>
          </w:p>
          <w:p w14:paraId="1E5B4086" w14:textId="77777777" w:rsidR="0022452E" w:rsidRPr="00E27FE4" w:rsidRDefault="0022452E" w:rsidP="003B7CF0">
            <w:pPr>
              <w:spacing w:line="276" w:lineRule="auto"/>
              <w:ind w:firstLine="708"/>
              <w:jc w:val="both"/>
              <w:rPr>
                <w:rFonts w:ascii="Verdana" w:hAnsi="Verdana" w:cs="Arial"/>
              </w:rPr>
            </w:pPr>
          </w:p>
          <w:p w14:paraId="2DC70FBA" w14:textId="77777777" w:rsidR="0022452E" w:rsidRPr="00E27FE4" w:rsidRDefault="0022452E" w:rsidP="003B7CF0">
            <w:pPr>
              <w:spacing w:line="276" w:lineRule="auto"/>
              <w:jc w:val="both"/>
              <w:rPr>
                <w:rFonts w:ascii="Verdana" w:hAnsi="Verdana" w:cs="Arial"/>
              </w:rPr>
            </w:pPr>
            <w:r w:rsidRPr="00E27FE4">
              <w:rPr>
                <w:rFonts w:ascii="Verdana" w:hAnsi="Verdana" w:cs="Arial"/>
              </w:rPr>
              <w:t>ii. En ese orden, puede afirmarse que: (i) los documentos contractuales que integran el expediente deben contener fecha de elaboración como atributo esencial para garantizar su autenticidad y su adecuada gestión archivística, y (ii) en el marco de los procesos contractuales gestionados a través del SECOP II, la fecha y hora prevalente será aquella registrada electrónicamente por la plataforma en el momento de la actuación, por tratarse de un sello de tiempo con plena validez jurídica y probatoria.</w:t>
            </w:r>
            <w:r>
              <w:rPr>
                <w:rFonts w:ascii="Verdana" w:hAnsi="Verdana" w:cs="Arial"/>
              </w:rPr>
              <w:t xml:space="preserve"> La fecha que se consigna en la plataformas de SECOP II será la que se tiene en cuenta como fecha en que se surtió la respectiva actuación.  </w:t>
            </w:r>
          </w:p>
        </w:tc>
      </w:tr>
    </w:tbl>
    <w:p w14:paraId="17BF433D" w14:textId="77777777" w:rsidR="0022452E" w:rsidRPr="00E27FE4" w:rsidRDefault="0022452E" w:rsidP="0022452E">
      <w:pPr>
        <w:spacing w:after="0" w:line="276" w:lineRule="auto"/>
        <w:jc w:val="both"/>
        <w:rPr>
          <w:rFonts w:ascii="Verdana" w:eastAsia="Times New Roman" w:hAnsi="Verdana" w:cs="Arial"/>
          <w:lang w:eastAsia="es-ES_tradnl"/>
        </w:rPr>
      </w:pPr>
    </w:p>
    <w:p w14:paraId="1F8348DD" w14:textId="77777777" w:rsidR="0022452E" w:rsidRPr="00E27FE4" w:rsidRDefault="0022452E" w:rsidP="0022452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27FE4">
        <w:rPr>
          <w:rFonts w:ascii="Verdana" w:eastAsia="Century Gothic" w:hAnsi="Verdana" w:cs="Century Gothic"/>
          <w:b/>
          <w:bCs/>
        </w:rPr>
        <w:t>3. Razones de la respuesta:</w:t>
      </w:r>
    </w:p>
    <w:p w14:paraId="0A8F07A0" w14:textId="77777777" w:rsidR="0022452E" w:rsidRPr="00E27FE4" w:rsidRDefault="0022452E" w:rsidP="0022452E">
      <w:pPr>
        <w:spacing w:after="0" w:line="276" w:lineRule="auto"/>
        <w:jc w:val="both"/>
        <w:rPr>
          <w:rFonts w:ascii="Verdana" w:eastAsia="Calibri" w:hAnsi="Verdana" w:cs="Arial"/>
          <w:color w:val="7030A0"/>
        </w:rPr>
      </w:pPr>
    </w:p>
    <w:p w14:paraId="2C244797" w14:textId="77777777" w:rsidR="0022452E" w:rsidRPr="00E27FE4" w:rsidRDefault="0022452E" w:rsidP="0022452E">
      <w:pPr>
        <w:spacing w:after="0" w:line="276" w:lineRule="auto"/>
        <w:jc w:val="both"/>
        <w:rPr>
          <w:rFonts w:ascii="Verdana" w:eastAsia="Calibri" w:hAnsi="Verdana" w:cs="Arial"/>
        </w:rPr>
      </w:pPr>
      <w:r w:rsidRPr="00E27FE4">
        <w:rPr>
          <w:rFonts w:ascii="Verdana" w:eastAsia="Calibri" w:hAnsi="Verdana" w:cs="Arial"/>
        </w:rPr>
        <w:t xml:space="preserve">Lo anterior se sustenta en las siguientes consideraciones: </w:t>
      </w:r>
    </w:p>
    <w:p w14:paraId="06DB23C1" w14:textId="77777777" w:rsidR="0022452E" w:rsidRPr="00E27FE4" w:rsidRDefault="0022452E" w:rsidP="0022452E">
      <w:pPr>
        <w:spacing w:after="0" w:line="276" w:lineRule="auto"/>
        <w:jc w:val="both"/>
        <w:rPr>
          <w:rFonts w:ascii="Verdana" w:eastAsia="Calibri" w:hAnsi="Verdana" w:cs="Arial"/>
        </w:rPr>
      </w:pPr>
    </w:p>
    <w:p w14:paraId="1FF769EC" w14:textId="77777777" w:rsidR="0022452E" w:rsidRPr="00E27FE4" w:rsidRDefault="0022452E" w:rsidP="0022452E">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 xml:space="preserve">Desde </w:t>
      </w:r>
      <w:r w:rsidRPr="00E27FE4">
        <w:rPr>
          <w:rFonts w:ascii="Verdana" w:eastAsia="Calibri" w:hAnsi="Verdana" w:cs="Arial"/>
          <w:color w:val="000000" w:themeColor="text1"/>
        </w:rPr>
        <w:t>hace varios años</w:t>
      </w:r>
      <w:r>
        <w:rPr>
          <w:rFonts w:ascii="Verdana" w:eastAsia="Calibri" w:hAnsi="Verdana" w:cs="Arial"/>
          <w:color w:val="000000" w:themeColor="text1"/>
        </w:rPr>
        <w:t>,</w:t>
      </w:r>
      <w:r w:rsidRPr="00E27FE4">
        <w:rPr>
          <w:rFonts w:ascii="Verdana" w:eastAsia="Calibri" w:hAnsi="Verdana" w:cs="Arial"/>
          <w:color w:val="000000" w:themeColor="text1"/>
        </w:rPr>
        <w:t xml:space="preserve"> el Estado </w:t>
      </w:r>
      <w:r>
        <w:rPr>
          <w:rFonts w:ascii="Verdana" w:eastAsia="Calibri" w:hAnsi="Verdana" w:cs="Arial"/>
          <w:color w:val="000000" w:themeColor="text1"/>
        </w:rPr>
        <w:t>ha venido orientando sus esfuerzos</w:t>
      </w:r>
      <w:r w:rsidRPr="00E27FE4">
        <w:rPr>
          <w:rFonts w:ascii="Verdana" w:eastAsia="Calibri" w:hAnsi="Verdana" w:cs="Arial"/>
          <w:color w:val="000000" w:themeColor="text1"/>
        </w:rPr>
        <w:t xml:space="preserve"> a la eliminación de los trámites innecesarios relacionados con las actuaciones que se adelantan ante las autoridades públicas</w:t>
      </w:r>
      <w:r>
        <w:rPr>
          <w:rFonts w:ascii="Verdana" w:eastAsia="Calibri" w:hAnsi="Verdana" w:cs="Arial"/>
          <w:color w:val="000000" w:themeColor="text1"/>
        </w:rPr>
        <w:t xml:space="preserve">. Esta tendencia </w:t>
      </w:r>
      <w:r w:rsidRPr="00E27FE4">
        <w:rPr>
          <w:rFonts w:ascii="Verdana" w:eastAsia="Calibri" w:hAnsi="Verdana" w:cs="Arial"/>
          <w:color w:val="000000" w:themeColor="text1"/>
        </w:rPr>
        <w:t xml:space="preserve">busca que las personas tengan una mejor calidad de vida, con el fin de optimizar la gestión pública y garantizar a los ciudadanos </w:t>
      </w:r>
      <w:r>
        <w:rPr>
          <w:rFonts w:ascii="Verdana" w:eastAsia="Calibri" w:hAnsi="Verdana" w:cs="Arial"/>
          <w:color w:val="000000" w:themeColor="text1"/>
        </w:rPr>
        <w:t>y garantizar</w:t>
      </w:r>
      <w:r w:rsidRPr="00E27FE4">
        <w:rPr>
          <w:rFonts w:ascii="Verdana" w:eastAsia="Calibri" w:hAnsi="Verdana" w:cs="Arial"/>
          <w:color w:val="000000" w:themeColor="text1"/>
        </w:rPr>
        <w:t xml:space="preserve"> un ejercicio más ágil y menos oneroso de sus derechos ante las autoridades. Anteriormente</w:t>
      </w:r>
      <w:r>
        <w:rPr>
          <w:rFonts w:ascii="Verdana" w:eastAsia="Calibri" w:hAnsi="Verdana" w:cs="Arial"/>
          <w:color w:val="000000" w:themeColor="text1"/>
        </w:rPr>
        <w:t>,</w:t>
      </w:r>
      <w:r w:rsidRPr="00E27FE4">
        <w:rPr>
          <w:rFonts w:ascii="Verdana" w:eastAsia="Calibri" w:hAnsi="Verdana" w:cs="Arial"/>
          <w:color w:val="000000" w:themeColor="text1"/>
        </w:rPr>
        <w:t xml:space="preserve"> las actuaciones oficiales, es decir, las que se realizan ante las entidades públicas, debían surtirse de manera presencial o a través del envío de documentación física, muchas veces cumpliendo con el requisito de la presentación personal. En la actualidad, se </w:t>
      </w:r>
      <w:r>
        <w:rPr>
          <w:rFonts w:ascii="Verdana" w:eastAsia="Calibri" w:hAnsi="Verdana" w:cs="Arial"/>
          <w:color w:val="000000" w:themeColor="text1"/>
        </w:rPr>
        <w:t xml:space="preserve">ha </w:t>
      </w:r>
      <w:r w:rsidRPr="00E27FE4">
        <w:rPr>
          <w:rFonts w:ascii="Verdana" w:eastAsia="Calibri" w:hAnsi="Verdana" w:cs="Arial"/>
          <w:color w:val="000000" w:themeColor="text1"/>
        </w:rPr>
        <w:t>produc</w:t>
      </w:r>
      <w:r>
        <w:rPr>
          <w:rFonts w:ascii="Verdana" w:eastAsia="Calibri" w:hAnsi="Verdana" w:cs="Arial"/>
          <w:color w:val="000000" w:themeColor="text1"/>
        </w:rPr>
        <w:t>ido</w:t>
      </w:r>
      <w:r w:rsidRPr="00E27FE4">
        <w:rPr>
          <w:rFonts w:ascii="Verdana" w:eastAsia="Calibri" w:hAnsi="Verdana" w:cs="Arial"/>
          <w:color w:val="000000" w:themeColor="text1"/>
        </w:rPr>
        <w:t xml:space="preserve"> una inversión en la lógica que rige la relación de los ciudadanos con el Estado: i) en lugar de la presencialidad, se ha comenzado a </w:t>
      </w:r>
      <w:r>
        <w:rPr>
          <w:rFonts w:ascii="Verdana" w:eastAsia="Calibri" w:hAnsi="Verdana" w:cs="Arial"/>
          <w:color w:val="000000" w:themeColor="text1"/>
        </w:rPr>
        <w:t>ceder espacio a</w:t>
      </w:r>
      <w:r w:rsidRPr="00E27FE4">
        <w:rPr>
          <w:rFonts w:ascii="Verdana" w:eastAsia="Calibri" w:hAnsi="Verdana" w:cs="Arial"/>
          <w:color w:val="000000" w:themeColor="text1"/>
        </w:rPr>
        <w:t xml:space="preserve"> la virtualidad y ii) del reconocimiento de validez y autenticidad, exclusivamente, a la documentación física, se ha pasado a admitir dichos atributos respecto de la documentación electrónica.</w:t>
      </w:r>
    </w:p>
    <w:p w14:paraId="71A74F29" w14:textId="77777777" w:rsidR="0022452E" w:rsidRPr="00E27FE4" w:rsidRDefault="0022452E" w:rsidP="0022452E">
      <w:pPr>
        <w:spacing w:after="120" w:line="276" w:lineRule="auto"/>
        <w:ind w:firstLine="708"/>
        <w:jc w:val="both"/>
        <w:rPr>
          <w:rFonts w:ascii="Verdana" w:eastAsia="Calibri" w:hAnsi="Verdana" w:cs="Arial"/>
          <w:color w:val="000000" w:themeColor="text1"/>
        </w:rPr>
      </w:pPr>
      <w:r w:rsidRPr="00E27FE4">
        <w:rPr>
          <w:rFonts w:ascii="Verdana" w:eastAsia="Calibri" w:hAnsi="Verdana" w:cs="Arial"/>
          <w:color w:val="000000" w:themeColor="text1"/>
        </w:rPr>
        <w:t xml:space="preserve">En este cambio de paradigma, </w:t>
      </w:r>
      <w:r>
        <w:rPr>
          <w:rFonts w:ascii="Verdana" w:eastAsia="Calibri" w:hAnsi="Verdana" w:cs="Arial"/>
          <w:color w:val="000000" w:themeColor="text1"/>
        </w:rPr>
        <w:t>el papel</w:t>
      </w:r>
      <w:r w:rsidRPr="00E27FE4">
        <w:rPr>
          <w:rFonts w:ascii="Verdana" w:eastAsia="Calibri" w:hAnsi="Verdana" w:cs="Arial"/>
          <w:color w:val="000000" w:themeColor="text1"/>
        </w:rPr>
        <w:t xml:space="preserve"> de las normas “antitrámites” –como la Ley 962 de 2005, el Decreto Ley 019 de 2012, así como el Decreto 2106 de 2019– ha sido decisiv</w:t>
      </w:r>
      <w:r>
        <w:rPr>
          <w:rFonts w:ascii="Verdana" w:eastAsia="Calibri" w:hAnsi="Verdana" w:cs="Arial"/>
          <w:color w:val="000000" w:themeColor="text1"/>
        </w:rPr>
        <w:t>o</w:t>
      </w:r>
      <w:r w:rsidRPr="00E27FE4">
        <w:rPr>
          <w:rFonts w:ascii="Verdana" w:eastAsia="Calibri" w:hAnsi="Verdana" w:cs="Arial"/>
          <w:color w:val="000000" w:themeColor="text1"/>
        </w:rPr>
        <w:t>. Pero no solo estas disposiciones han permitido o exigido el uso de medios electrónicos en las actuaciones administrativas. También lo han hecho la Ley 527 de 1999, la Ley 1150 de 2007 y la Ley 1437 de 2011.</w:t>
      </w:r>
    </w:p>
    <w:p w14:paraId="3A94BC39" w14:textId="77777777" w:rsidR="0022452E" w:rsidRPr="00E27FE4" w:rsidRDefault="0022452E" w:rsidP="0022452E">
      <w:pPr>
        <w:spacing w:after="120" w:line="276" w:lineRule="auto"/>
        <w:ind w:firstLine="709"/>
        <w:jc w:val="both"/>
        <w:rPr>
          <w:rFonts w:ascii="Verdana" w:eastAsia="Calibri" w:hAnsi="Verdana" w:cs="Arial"/>
          <w:color w:val="000000" w:themeColor="text1"/>
        </w:rPr>
      </w:pPr>
      <w:r w:rsidRPr="00E27FE4">
        <w:rPr>
          <w:rFonts w:ascii="Verdana" w:eastAsia="Calibri" w:hAnsi="Verdana" w:cs="Arial"/>
          <w:color w:val="000000" w:themeColor="text1"/>
        </w:rPr>
        <w:t xml:space="preserve">En efecto, </w:t>
      </w:r>
      <w:bookmarkStart w:id="1" w:name="_Hlk56157243"/>
      <w:r w:rsidRPr="00E27FE4">
        <w:rPr>
          <w:rFonts w:ascii="Verdana" w:eastAsia="Calibri" w:hAnsi="Verdana" w:cs="Arial"/>
          <w:color w:val="000000" w:themeColor="text1"/>
        </w:rPr>
        <w:t xml:space="preserve">el artículo 10 de la Ley 527 de 1999, “Por medio de la cual se define y reglamenta el acceso y uso de los mensajes de datos, del comercio electrónico y de las firmas digitales, y se establecen las entidades de certificación y se dictan otras disposiciones”,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7705B8EF" w14:textId="77777777" w:rsidR="0022452E" w:rsidRPr="00E27FE4" w:rsidRDefault="0022452E" w:rsidP="0022452E">
      <w:pPr>
        <w:spacing w:after="120" w:line="276" w:lineRule="auto"/>
        <w:ind w:firstLine="709"/>
        <w:jc w:val="both"/>
        <w:rPr>
          <w:rFonts w:ascii="Verdana" w:eastAsia="Calibri" w:hAnsi="Verdana" w:cs="Arial"/>
          <w:color w:val="000000" w:themeColor="text1"/>
        </w:rPr>
      </w:pPr>
      <w:r w:rsidRPr="00E27FE4">
        <w:rPr>
          <w:rFonts w:ascii="Verdana" w:eastAsia="Calibri" w:hAnsi="Verdana" w:cs="Arial"/>
          <w:color w:val="000000" w:themeColor="text1"/>
        </w:rPr>
        <w:t xml:space="preserve">De igual manera, el artículo 2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–lit. a)– y “sistema de información” como “todo sistema utilizado para generar, enviar, recibir, archivar o procesar de alguna otra forma mensajes de datos” –lit. f)–. Bajo este entendido, las aplicaciones web, que posibilitan el envío de mensajes de datos escritos o audiovisuales, como </w:t>
      </w:r>
      <w:r w:rsidRPr="00E27FE4">
        <w:rPr>
          <w:rFonts w:ascii="Verdana" w:eastAsia="Calibri" w:hAnsi="Verdana" w:cs="Arial"/>
          <w:i/>
          <w:iCs/>
          <w:color w:val="000000" w:themeColor="text1"/>
        </w:rPr>
        <w:t>Skype</w:t>
      </w:r>
      <w:r w:rsidRPr="00E27FE4">
        <w:rPr>
          <w:rFonts w:ascii="Verdana" w:eastAsia="Calibri" w:hAnsi="Verdana" w:cs="Arial"/>
          <w:color w:val="000000" w:themeColor="text1"/>
        </w:rPr>
        <w:t xml:space="preserve">, </w:t>
      </w:r>
      <w:r w:rsidRPr="00E27FE4">
        <w:rPr>
          <w:rFonts w:ascii="Verdana" w:eastAsia="Calibri" w:hAnsi="Verdana" w:cs="Arial"/>
          <w:i/>
          <w:iCs/>
          <w:color w:val="000000" w:themeColor="text1"/>
        </w:rPr>
        <w:t>Facetime</w:t>
      </w:r>
      <w:r w:rsidRPr="00E27FE4">
        <w:rPr>
          <w:rFonts w:ascii="Verdana" w:eastAsia="Calibri" w:hAnsi="Verdana" w:cs="Arial"/>
          <w:color w:val="000000" w:themeColor="text1"/>
        </w:rPr>
        <w:t xml:space="preserve">, </w:t>
      </w:r>
      <w:r w:rsidRPr="00E27FE4">
        <w:rPr>
          <w:rFonts w:ascii="Verdana" w:eastAsia="Calibri" w:hAnsi="Verdana" w:cs="Arial"/>
          <w:i/>
          <w:iCs/>
          <w:color w:val="000000" w:themeColor="text1"/>
        </w:rPr>
        <w:lastRenderedPageBreak/>
        <w:t>Whatsapp</w:t>
      </w:r>
      <w:r w:rsidRPr="00E27FE4">
        <w:rPr>
          <w:rFonts w:ascii="Verdana" w:eastAsia="Calibri" w:hAnsi="Verdana" w:cs="Arial"/>
          <w:color w:val="000000" w:themeColor="text1"/>
        </w:rPr>
        <w:t xml:space="preserve">, </w:t>
      </w:r>
      <w:r w:rsidRPr="00E27FE4">
        <w:rPr>
          <w:rFonts w:ascii="Verdana" w:eastAsia="Calibri" w:hAnsi="Verdana" w:cs="Arial"/>
          <w:i/>
          <w:iCs/>
          <w:color w:val="000000" w:themeColor="text1"/>
        </w:rPr>
        <w:t>Teams</w:t>
      </w:r>
      <w:r w:rsidRPr="00E27FE4">
        <w:rPr>
          <w:rFonts w:ascii="Verdana" w:eastAsia="Calibri" w:hAnsi="Verdana" w:cs="Arial"/>
          <w:color w:val="000000" w:themeColor="text1"/>
        </w:rPr>
        <w:t>, entre otras, constituyen sistemas de información, permitidos por el legislador en las actuaciones administrativas.</w:t>
      </w:r>
    </w:p>
    <w:p w14:paraId="3194AE0C" w14:textId="77777777" w:rsidR="0022452E" w:rsidRPr="00E27FE4" w:rsidRDefault="0022452E" w:rsidP="0022452E">
      <w:pPr>
        <w:spacing w:before="120" w:after="0" w:line="276" w:lineRule="auto"/>
        <w:ind w:firstLine="709"/>
        <w:jc w:val="both"/>
        <w:rPr>
          <w:rFonts w:ascii="Verdana" w:eastAsia="Calibri" w:hAnsi="Verdana" w:cs="Arial"/>
          <w:color w:val="000000" w:themeColor="text1"/>
        </w:rPr>
      </w:pPr>
      <w:r w:rsidRPr="00E27FE4">
        <w:rPr>
          <w:rFonts w:ascii="Verdana" w:eastAsia="Calibri" w:hAnsi="Verdana" w:cs="Arial"/>
          <w:color w:val="000000" w:themeColor="text1"/>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bookmarkEnd w:id="1"/>
      <w:r w:rsidRPr="00E27FE4">
        <w:rPr>
          <w:rFonts w:ascii="Verdana" w:eastAsia="Calibri" w:hAnsi="Verdana" w:cs="Arial"/>
          <w:color w:val="000000" w:themeColor="text1"/>
        </w:rPr>
        <w:t>. Así se infiere del artículo 3, el cual dispone lo siguiente:</w:t>
      </w:r>
    </w:p>
    <w:p w14:paraId="2FE5DAB3" w14:textId="77777777" w:rsidR="0022452E" w:rsidRPr="00B859B2" w:rsidRDefault="0022452E" w:rsidP="0022452E">
      <w:pPr>
        <w:spacing w:after="0" w:line="276" w:lineRule="auto"/>
        <w:ind w:left="709" w:right="709"/>
        <w:jc w:val="both"/>
        <w:rPr>
          <w:rFonts w:ascii="Verdana" w:eastAsia="Calibri" w:hAnsi="Verdana" w:cs="Arial"/>
          <w:color w:val="000000" w:themeColor="text1"/>
        </w:rPr>
      </w:pPr>
    </w:p>
    <w:p w14:paraId="2003E4CA"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bookmarkStart w:id="2" w:name="_Hlk56071452"/>
      <w:r w:rsidRPr="00B859B2">
        <w:rPr>
          <w:rFonts w:ascii="Verdana" w:eastAsia="Calibri" w:hAnsi="Verdana" w:cs="Arial"/>
          <w:color w:val="000000" w:themeColor="text1"/>
          <w:sz w:val="20"/>
          <w:szCs w:val="20"/>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bookmarkEnd w:id="2"/>
      <w:r w:rsidRPr="00B859B2">
        <w:rPr>
          <w:rFonts w:ascii="Verdana" w:eastAsia="Calibri" w:hAnsi="Verdana" w:cs="Arial"/>
          <w:color w:val="000000" w:themeColor="text1"/>
          <w:sz w:val="20"/>
          <w:szCs w:val="20"/>
        </w:rPr>
        <w:t>.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506CD21A"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p>
    <w:p w14:paraId="79C51C8A"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t>Lo anterior, sin perjuicio de las publicaciones previstas en el numeral 3 del artículo 30 de la Ley 80 de 1993.</w:t>
      </w:r>
    </w:p>
    <w:p w14:paraId="19E4C5F5"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p>
    <w:p w14:paraId="788B0A2A"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t xml:space="preserve">Con el fin de materializar los objetivos a que se refiere el inciso anterior, el Gobierno Nacional desarrollará el </w:t>
      </w:r>
      <w:bookmarkStart w:id="3" w:name="_Hlk55988851"/>
      <w:r w:rsidRPr="00B859B2">
        <w:rPr>
          <w:rFonts w:ascii="Verdana" w:eastAsia="Calibri" w:hAnsi="Verdana" w:cs="Arial"/>
          <w:color w:val="000000" w:themeColor="text1"/>
          <w:sz w:val="20"/>
          <w:szCs w:val="20"/>
        </w:rPr>
        <w:t>Sistema Electrónico para la Contratación Pública</w:t>
      </w:r>
      <w:bookmarkEnd w:id="3"/>
      <w:r w:rsidRPr="00B859B2">
        <w:rPr>
          <w:rFonts w:ascii="Verdana" w:eastAsia="Calibri" w:hAnsi="Verdana" w:cs="Arial"/>
          <w:color w:val="000000" w:themeColor="text1"/>
          <w:sz w:val="20"/>
          <w:szCs w:val="20"/>
        </w:rPr>
        <w:t>, SECOP, el cual:</w:t>
      </w:r>
    </w:p>
    <w:p w14:paraId="0911D603"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p>
    <w:p w14:paraId="0C4BE22C"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t>a) Dispondrá de las funcionalidades tecnológicas para realizar procesos de contratación electrónicos bajo los métodos de selección señalados en el artículo 2o de la presente ley según lo defina el reglamento;</w:t>
      </w:r>
    </w:p>
    <w:p w14:paraId="5630647C"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p>
    <w:p w14:paraId="198BD339"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t>b) Servirá de punto único de ingreso de información y de generación de reportes para las entidades estatales y la ciudadanía;</w:t>
      </w:r>
    </w:p>
    <w:p w14:paraId="2432F3F2"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p>
    <w:p w14:paraId="51C55445"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t>c) Contará con la información oficial de la contratación realizada con dineros públicos, para lo cual establecerá los patrones a que haya lugar y se encargará de su difusión a través de canales electrónicos y;</w:t>
      </w:r>
    </w:p>
    <w:p w14:paraId="1A3EAE3D"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p>
    <w:p w14:paraId="71AF2576"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673D0EC2"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p>
    <w:p w14:paraId="2C6C2216"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lastRenderedPageBreak/>
        <w:t>PARÁGRAFO 1o. En ningún caso la administración del SECOP supondrá la creación de una nueva entidad.</w:t>
      </w:r>
    </w:p>
    <w:p w14:paraId="4B647843" w14:textId="77777777" w:rsidR="0022452E" w:rsidRDefault="0022452E" w:rsidP="0022452E">
      <w:pPr>
        <w:spacing w:after="0" w:line="240" w:lineRule="auto"/>
        <w:ind w:left="709" w:right="709"/>
        <w:jc w:val="both"/>
        <w:rPr>
          <w:rFonts w:ascii="Verdana" w:eastAsia="Calibri" w:hAnsi="Verdana" w:cs="Arial"/>
          <w:color w:val="000000" w:themeColor="text1"/>
          <w:sz w:val="20"/>
          <w:szCs w:val="20"/>
        </w:rPr>
      </w:pPr>
    </w:p>
    <w:p w14:paraId="68668D1C" w14:textId="77777777" w:rsidR="0022452E" w:rsidRPr="00B859B2" w:rsidRDefault="0022452E" w:rsidP="0022452E">
      <w:pPr>
        <w:spacing w:after="0" w:line="240" w:lineRule="auto"/>
        <w:ind w:left="709" w:right="709"/>
        <w:jc w:val="both"/>
        <w:rPr>
          <w:rFonts w:ascii="Verdana" w:eastAsia="Calibri" w:hAnsi="Verdana" w:cs="Arial"/>
          <w:color w:val="000000" w:themeColor="text1"/>
          <w:sz w:val="20"/>
          <w:szCs w:val="20"/>
        </w:rPr>
      </w:pPr>
      <w:r w:rsidRPr="00B859B2">
        <w:rPr>
          <w:rFonts w:ascii="Verdana" w:eastAsia="Calibri" w:hAnsi="Verdana" w:cs="Arial"/>
          <w:color w:val="000000" w:themeColor="text1"/>
          <w:sz w:val="20"/>
          <w:szCs w:val="20"/>
        </w:rPr>
        <w:t>El SECOP será administrado por el organismo que designe el Gobierno Nacional, sin perjuicio de la autonomía que respecto del SICE confiere la Ley 598 de 2000 a la Contraloría General de la República”.</w:t>
      </w:r>
    </w:p>
    <w:p w14:paraId="41406528" w14:textId="77777777" w:rsidR="0022452E" w:rsidRPr="00E27FE4" w:rsidRDefault="0022452E" w:rsidP="0022452E">
      <w:pPr>
        <w:spacing w:after="0" w:line="276" w:lineRule="auto"/>
        <w:ind w:firstLine="709"/>
        <w:jc w:val="both"/>
        <w:rPr>
          <w:rFonts w:ascii="Verdana" w:eastAsia="Calibri" w:hAnsi="Verdana" w:cs="Arial"/>
          <w:color w:val="000000" w:themeColor="text1"/>
          <w:szCs w:val="24"/>
        </w:rPr>
      </w:pPr>
    </w:p>
    <w:p w14:paraId="5E757E48" w14:textId="77777777" w:rsidR="0022452E" w:rsidRPr="00E27FE4" w:rsidRDefault="0022452E" w:rsidP="0022452E">
      <w:pPr>
        <w:spacing w:after="120" w:line="276" w:lineRule="auto"/>
        <w:ind w:firstLine="708"/>
        <w:jc w:val="both"/>
        <w:rPr>
          <w:rFonts w:ascii="Verdana" w:eastAsia="Calibri" w:hAnsi="Verdana" w:cs="Arial"/>
          <w:color w:val="000000" w:themeColor="text1"/>
        </w:rPr>
      </w:pPr>
      <w:bookmarkStart w:id="4" w:name="_Hlk56157422"/>
      <w:bookmarkStart w:id="5" w:name="_Hlk208330772"/>
      <w:r w:rsidRPr="00E27FE4">
        <w:rPr>
          <w:rFonts w:ascii="Verdana" w:eastAsia="Calibri" w:hAnsi="Verdana" w:cs="Arial"/>
          <w:color w:val="000000" w:themeColor="text1"/>
        </w:rPr>
        <w:t>Como se observa, la norma citada introduce en la contratación estatal la regulación contenida en la Ley 527 de 1999, permitiendo que el trámite de los procedimientos contractuales se realice por medios electrónicos</w:t>
      </w:r>
      <w:r>
        <w:rPr>
          <w:rFonts w:ascii="Verdana" w:eastAsia="Calibri" w:hAnsi="Verdana" w:cs="Arial"/>
          <w:color w:val="000000" w:themeColor="text1"/>
        </w:rPr>
        <w:t>. Estos</w:t>
      </w:r>
      <w:r w:rsidRPr="00E27FE4">
        <w:rPr>
          <w:rFonts w:ascii="Verdana" w:eastAsia="Calibri" w:hAnsi="Verdana" w:cs="Arial"/>
          <w:color w:val="000000" w:themeColor="text1"/>
        </w:rPr>
        <w:t xml:space="preserve"> medios </w:t>
      </w:r>
      <w:r>
        <w:rPr>
          <w:rFonts w:ascii="Verdana" w:eastAsia="Calibri" w:hAnsi="Verdana" w:cs="Arial"/>
          <w:color w:val="000000" w:themeColor="text1"/>
        </w:rPr>
        <w:t>incluyen</w:t>
      </w:r>
      <w:r w:rsidRPr="00E27FE4">
        <w:rPr>
          <w:rFonts w:ascii="Verdana" w:eastAsia="Calibri" w:hAnsi="Verdana" w:cs="Arial"/>
          <w:color w:val="000000" w:themeColor="text1"/>
        </w:rPr>
        <w:t>, como se indicó, el uso de sistemas de información para el envío de mensajes de datos</w:t>
      </w:r>
      <w:bookmarkEnd w:id="4"/>
      <w:r w:rsidRPr="00E27FE4">
        <w:rPr>
          <w:rFonts w:ascii="Verdana" w:eastAsia="Calibri" w:hAnsi="Verdana" w:cs="Arial"/>
          <w:color w:val="000000" w:themeColor="text1"/>
        </w:rPr>
        <w:t>.</w:t>
      </w:r>
    </w:p>
    <w:p w14:paraId="5C7A6653" w14:textId="77777777" w:rsidR="0022452E" w:rsidRPr="00E27FE4" w:rsidRDefault="0022452E" w:rsidP="0022452E">
      <w:pPr>
        <w:spacing w:after="120" w:line="276" w:lineRule="auto"/>
        <w:ind w:firstLine="709"/>
        <w:jc w:val="both"/>
        <w:rPr>
          <w:rFonts w:ascii="Verdana" w:eastAsia="Calibri" w:hAnsi="Verdana" w:cs="Arial"/>
          <w:color w:val="000000" w:themeColor="text1"/>
        </w:rPr>
      </w:pPr>
      <w:r w:rsidRPr="00E27FE4">
        <w:rPr>
          <w:rFonts w:ascii="Verdana" w:eastAsia="Calibri" w:hAnsi="Verdana" w:cs="Arial"/>
          <w:color w:val="000000" w:themeColor="text1"/>
        </w:rPr>
        <w:t>Incluso, la Ley 1437 de 2011, “Por la cual se expide el Código de Procedimiento Administrativo y de lo Contencioso Administrativo” continúa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w:t>
      </w:r>
      <w:r>
        <w:rPr>
          <w:rFonts w:ascii="Verdana" w:eastAsia="Calibri" w:hAnsi="Verdana" w:cs="Arial"/>
          <w:color w:val="000000" w:themeColor="text1"/>
        </w:rPr>
        <w:t>. A este</w:t>
      </w:r>
      <w:r w:rsidRPr="00E27FE4">
        <w:rPr>
          <w:rFonts w:ascii="Verdana" w:eastAsia="Calibri" w:hAnsi="Verdana" w:cs="Arial"/>
          <w:color w:val="000000" w:themeColor="text1"/>
        </w:rPr>
        <w:t xml:space="preserve"> derecho le es correlativo el deber de las autoridades de “Tramitar las peticiones que lleguen vía fax o por medios electrónicos”, previsto en el artículo 7º, numeral 6. </w:t>
      </w:r>
    </w:p>
    <w:bookmarkEnd w:id="5"/>
    <w:p w14:paraId="5EB453A5" w14:textId="77777777" w:rsidR="0022452E" w:rsidRPr="00E27FE4" w:rsidRDefault="0022452E" w:rsidP="0022452E">
      <w:pPr>
        <w:spacing w:line="276" w:lineRule="auto"/>
        <w:ind w:firstLine="708"/>
        <w:jc w:val="both"/>
        <w:rPr>
          <w:rFonts w:ascii="Verdana" w:eastAsia="Calibri" w:hAnsi="Verdana" w:cs="Arial"/>
        </w:rPr>
      </w:pPr>
      <w:r w:rsidRPr="00E27FE4">
        <w:rPr>
          <w:rFonts w:ascii="Verdana" w:eastAsia="Calibri" w:hAnsi="Verdana" w:cs="Arial"/>
          <w:color w:val="000000" w:themeColor="text1"/>
        </w:rPr>
        <w:t xml:space="preserve">Asimismo,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iv) la notificación electrónica, v) el acto administrativo electrónico, vi) el archivo electrónico de documentos, vii) el expediente electrónico, viii) la sede electrónica, ix) la recepción de documentos electrónicos por parte de las autoridades, x) la prueba de recepción </w:t>
      </w:r>
      <w:r>
        <w:rPr>
          <w:rFonts w:ascii="Verdana" w:eastAsia="Calibri" w:hAnsi="Verdana" w:cs="Arial"/>
          <w:color w:val="000000" w:themeColor="text1"/>
        </w:rPr>
        <w:t>y</w:t>
      </w:r>
      <w:r w:rsidRPr="00E27FE4">
        <w:rPr>
          <w:rFonts w:ascii="Verdana" w:eastAsia="Calibri" w:hAnsi="Verdana" w:cs="Arial"/>
          <w:color w:val="000000" w:themeColor="text1"/>
        </w:rPr>
        <w:t xml:space="preserve"> envío de mensajes de datos por la autoridad, xi) las sesiones virtuales y xii) los estándares y protocolos. </w:t>
      </w:r>
      <w:r w:rsidRPr="00E27FE4">
        <w:rPr>
          <w:rFonts w:ascii="Verdana" w:eastAsia="Calibri" w:hAnsi="Verdana" w:cs="Arial"/>
        </w:rPr>
        <w:t xml:space="preserve">La utilización de los medios electrónicos regulados en la Ley 1437 de 2011 en la contratación estatal es posible, a partir de la remisión del artículo 77 de la Ley 80 de 1993 a las normas </w:t>
      </w:r>
      <w:r w:rsidRPr="00E27FE4">
        <w:rPr>
          <w:rFonts w:ascii="Verdana" w:eastAsia="Calibri" w:hAnsi="Verdana" w:cs="Arial"/>
        </w:rPr>
        <w:lastRenderedPageBreak/>
        <w:t>del CPACA</w:t>
      </w:r>
      <w:r w:rsidRPr="00E27FE4">
        <w:rPr>
          <w:rStyle w:val="Refdenotaalpie"/>
          <w:rFonts w:ascii="Verdana" w:eastAsia="Calibri" w:hAnsi="Verdana" w:cs="Arial"/>
        </w:rPr>
        <w:footnoteReference w:id="1"/>
      </w:r>
      <w:r w:rsidRPr="00E27FE4">
        <w:rPr>
          <w:rFonts w:ascii="Verdana" w:eastAsia="Calibri" w:hAnsi="Verdana" w:cs="Arial"/>
        </w:rPr>
        <w:t xml:space="preserve">, que, a su vez, como se indicó, remite a las disposiciones de la Ley 527 de 1999. </w:t>
      </w:r>
    </w:p>
    <w:p w14:paraId="46F9C472" w14:textId="77777777" w:rsidR="0022452E" w:rsidRPr="00E27FE4" w:rsidRDefault="0022452E" w:rsidP="0022452E">
      <w:pPr>
        <w:spacing w:after="120" w:line="276" w:lineRule="auto"/>
        <w:ind w:firstLine="708"/>
        <w:jc w:val="both"/>
        <w:rPr>
          <w:rFonts w:ascii="Verdana" w:eastAsia="Calibri" w:hAnsi="Verdana" w:cs="Arial"/>
        </w:rPr>
      </w:pPr>
      <w:r w:rsidRPr="00E27FE4">
        <w:rPr>
          <w:rFonts w:ascii="Verdana" w:eastAsia="Calibri" w:hAnsi="Verdana" w:cs="Arial"/>
        </w:rPr>
        <w:t xml:space="preserve">Concretamente, el precitado artículo 3 de la Ley 1150 de 2007 crea </w:t>
      </w:r>
      <w:bookmarkStart w:id="6" w:name="_Hlk56073112"/>
      <w:r w:rsidRPr="00E27FE4">
        <w:rPr>
          <w:rFonts w:ascii="Verdana" w:eastAsia="Calibri" w:hAnsi="Verdana" w:cs="Arial"/>
        </w:rPr>
        <w:t>el Sistema Electrónico para la Contratación Pública</w:t>
      </w:r>
      <w:bookmarkEnd w:id="6"/>
      <w:r w:rsidRPr="00E27FE4">
        <w:rPr>
          <w:rFonts w:ascii="Verdana" w:eastAsia="Calibri" w:hAnsi="Verdana" w:cs="Arial"/>
        </w:rPr>
        <w:t>, el cual –de conformidad con el artículo 3.8 del Decreto 4170 de 2011– es administrado por esta Agencia. Est</w:t>
      </w:r>
      <w:r>
        <w:rPr>
          <w:rFonts w:ascii="Verdana" w:eastAsia="Calibri" w:hAnsi="Verdana" w:cs="Arial"/>
        </w:rPr>
        <w:t xml:space="preserve">e sistema, integrado por distintas </w:t>
      </w:r>
      <w:r w:rsidRPr="00E27FE4">
        <w:rPr>
          <w:rFonts w:ascii="Verdana" w:eastAsia="Calibri" w:hAnsi="Verdana" w:cs="Arial"/>
        </w:rPr>
        <w:t>plataforma</w:t>
      </w:r>
      <w:r>
        <w:rPr>
          <w:rFonts w:ascii="Verdana" w:eastAsia="Calibri" w:hAnsi="Verdana" w:cs="Arial"/>
        </w:rPr>
        <w:t>s,</w:t>
      </w:r>
      <w:r w:rsidRPr="00E27FE4">
        <w:rPr>
          <w:rFonts w:ascii="Verdana" w:eastAsia="Calibri" w:hAnsi="Verdana" w:cs="Arial"/>
        </w:rPr>
        <w:t xml:space="preserve"> no solo </w:t>
      </w:r>
      <w:r>
        <w:rPr>
          <w:rFonts w:ascii="Verdana" w:eastAsia="Calibri" w:hAnsi="Verdana" w:cs="Arial"/>
        </w:rPr>
        <w:t>funciona como herramienta</w:t>
      </w:r>
      <w:r w:rsidRPr="00E27FE4">
        <w:rPr>
          <w:rFonts w:ascii="Verdana" w:eastAsia="Calibri" w:hAnsi="Verdana" w:cs="Arial"/>
        </w:rPr>
        <w:t xml:space="preserve"> de publicidad de la gestión contractual de las entidades públicas, </w:t>
      </w:r>
      <w:r>
        <w:rPr>
          <w:rFonts w:ascii="Verdana" w:eastAsia="Calibri" w:hAnsi="Verdana" w:cs="Arial"/>
        </w:rPr>
        <w:t>sino también como</w:t>
      </w:r>
      <w:r w:rsidRPr="00E27FE4">
        <w:rPr>
          <w:rFonts w:ascii="Verdana" w:eastAsia="Calibri" w:hAnsi="Verdana" w:cs="Arial"/>
        </w:rPr>
        <w:t xml:space="preserve"> medio transaccional para </w:t>
      </w:r>
      <w:r>
        <w:rPr>
          <w:rFonts w:ascii="Verdana" w:eastAsia="Calibri" w:hAnsi="Verdana" w:cs="Arial"/>
        </w:rPr>
        <w:t xml:space="preserve">gestionar el proceso de contratación, </w:t>
      </w:r>
      <w:r w:rsidRPr="00E27FE4">
        <w:rPr>
          <w:rFonts w:ascii="Verdana" w:eastAsia="Calibri" w:hAnsi="Verdana" w:cs="Arial"/>
        </w:rPr>
        <w:t>la suscripción de contratos electrónicos</w:t>
      </w:r>
      <w:r>
        <w:rPr>
          <w:rFonts w:ascii="Verdana" w:eastAsia="Calibri" w:hAnsi="Verdana" w:cs="Arial"/>
        </w:rPr>
        <w:t xml:space="preserve"> y el seguimiento a la ejecución, entre otros</w:t>
      </w:r>
      <w:r w:rsidRPr="00E27FE4">
        <w:rPr>
          <w:rFonts w:ascii="Verdana" w:eastAsia="Calibri" w:hAnsi="Verdana" w:cs="Arial"/>
        </w:rPr>
        <w:t xml:space="preserve">.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76F22BA4" w14:textId="77777777" w:rsidR="0022452E" w:rsidRPr="00E27FE4" w:rsidRDefault="0022452E" w:rsidP="0022452E">
      <w:pPr>
        <w:spacing w:before="120" w:after="120" w:line="276" w:lineRule="auto"/>
        <w:jc w:val="both"/>
        <w:rPr>
          <w:rFonts w:ascii="Verdana" w:eastAsia="Calibri" w:hAnsi="Verdana" w:cs="Arial"/>
          <w:bCs/>
          <w:color w:val="000000" w:themeColor="text1"/>
        </w:rPr>
      </w:pPr>
      <w:r w:rsidRPr="00E27FE4">
        <w:rPr>
          <w:rFonts w:ascii="Verdana" w:eastAsia="Calibri" w:hAnsi="Verdana" w:cs="Arial"/>
        </w:rPr>
        <w:tab/>
      </w:r>
      <w:r>
        <w:rPr>
          <w:rFonts w:ascii="Verdana" w:eastAsia="Calibri" w:hAnsi="Verdana" w:cs="Arial"/>
        </w:rPr>
        <w:t>Conforme a lo anterior, e</w:t>
      </w:r>
      <w:r w:rsidRPr="00E27FE4">
        <w:rPr>
          <w:rFonts w:ascii="Verdana" w:eastAsia="Calibri" w:hAnsi="Verdana" w:cs="Arial"/>
        </w:rPr>
        <w:t xml:space="preserve">l numeral 1.2 de la Circular Externa Única de la Agencia Nacional de Contratación Pública </w:t>
      </w:r>
      <w:bookmarkStart w:id="7" w:name="_Hlk208326080"/>
      <w:r w:rsidRPr="00E27FE4">
        <w:rPr>
          <w:rFonts w:ascii="Verdana" w:eastAsia="Calibri" w:hAnsi="Verdana" w:cs="Arial"/>
        </w:rPr>
        <w:t xml:space="preserve">– </w:t>
      </w:r>
      <w:bookmarkEnd w:id="7"/>
      <w:r w:rsidRPr="00E27FE4">
        <w:rPr>
          <w:rFonts w:ascii="Verdana" w:eastAsia="Calibri" w:hAnsi="Verdana" w:cs="Arial"/>
        </w:rPr>
        <w:t>Colombia Compra Eficiente dispone que el Sistema Electrónico para la Contratación Pública está compuesto por el SECOP I, el SECOP II y la Tienda Virtual del Estado Colombiano. Conforme a lo explicado en el párrafo precedente</w:t>
      </w:r>
      <w:r w:rsidRPr="00E27FE4">
        <w:rPr>
          <w:rFonts w:ascii="Verdana" w:eastAsia="Calibri" w:hAnsi="Verdana" w:cs="Arial"/>
          <w:bCs/>
          <w:color w:val="000000" w:themeColor="text1"/>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438137CD" w14:textId="77777777" w:rsidR="0022452E" w:rsidRDefault="0022452E" w:rsidP="0022452E">
      <w:pPr>
        <w:spacing w:after="120" w:line="276" w:lineRule="auto"/>
        <w:ind w:firstLine="708"/>
        <w:jc w:val="both"/>
        <w:rPr>
          <w:rFonts w:ascii="Verdana" w:eastAsia="Calibri" w:hAnsi="Verdana" w:cs="Arial"/>
          <w:color w:val="000000" w:themeColor="text1"/>
        </w:rPr>
      </w:pPr>
      <w:r w:rsidRPr="00E27FE4">
        <w:rPr>
          <w:rFonts w:ascii="Verdana" w:eastAsia="Calibri" w:hAnsi="Verdana" w:cs="Arial"/>
          <w:color w:val="000000" w:themeColor="text1"/>
        </w:rPr>
        <w:t xml:space="preserve">En contraste, el SECOP II permite generar contratos en línea y realizar </w:t>
      </w:r>
      <w:r>
        <w:rPr>
          <w:rFonts w:ascii="Verdana" w:eastAsia="Calibri" w:hAnsi="Verdana" w:cs="Arial"/>
          <w:color w:val="000000" w:themeColor="text1"/>
        </w:rPr>
        <w:t>su</w:t>
      </w:r>
      <w:r w:rsidRPr="00E27FE4">
        <w:rPr>
          <w:rFonts w:ascii="Verdana" w:eastAsia="Calibri" w:hAnsi="Verdana" w:cs="Arial"/>
          <w:color w:val="000000" w:themeColor="text1"/>
        </w:rPr>
        <w:t xml:space="preserve"> firma </w:t>
      </w:r>
      <w:r>
        <w:rPr>
          <w:rFonts w:ascii="Verdana" w:eastAsia="Calibri" w:hAnsi="Verdana" w:cs="Arial"/>
          <w:color w:val="000000" w:themeColor="text1"/>
        </w:rPr>
        <w:t>de forma</w:t>
      </w:r>
      <w:r w:rsidRPr="00E27FE4">
        <w:rPr>
          <w:rFonts w:ascii="Verdana" w:eastAsia="Calibri" w:hAnsi="Verdana" w:cs="Arial"/>
          <w:color w:val="000000" w:themeColor="text1"/>
        </w:rPr>
        <w:t xml:space="preserve"> electrónica. </w:t>
      </w:r>
      <w:r>
        <w:rPr>
          <w:rFonts w:ascii="Verdana" w:eastAsia="Calibri" w:hAnsi="Verdana" w:cs="Arial"/>
          <w:color w:val="000000" w:themeColor="text1"/>
        </w:rPr>
        <w:t>Esta plataforma t</w:t>
      </w:r>
      <w:r w:rsidRPr="00E27FE4">
        <w:rPr>
          <w:rFonts w:ascii="Verdana" w:eastAsia="Calibri" w:hAnsi="Verdana" w:cs="Arial"/>
          <w:color w:val="000000" w:themeColor="text1"/>
        </w:rPr>
        <w:t xml:space="preserve">iene funciones que permiten al proveedor presentar </w:t>
      </w:r>
      <w:r>
        <w:rPr>
          <w:rFonts w:ascii="Verdana" w:eastAsia="Calibri" w:hAnsi="Verdana" w:cs="Arial"/>
          <w:color w:val="000000" w:themeColor="text1"/>
        </w:rPr>
        <w:t>ofertas,</w:t>
      </w:r>
      <w:r w:rsidRPr="00E27FE4">
        <w:rPr>
          <w:rFonts w:ascii="Verdana" w:eastAsia="Calibri" w:hAnsi="Verdana" w:cs="Arial"/>
          <w:color w:val="000000" w:themeColor="text1"/>
        </w:rPr>
        <w:t xml:space="preserve"> garantías y facturas; y a la entidad estatal realizar la revisión y aprobación de ambos tipos de documentos en línea. Además, el módulo permite hacer modificaciones contractuales, tanto unilaterales como </w:t>
      </w:r>
      <w:r w:rsidRPr="00E27FE4">
        <w:rPr>
          <w:rFonts w:ascii="Verdana" w:eastAsia="Calibri" w:hAnsi="Verdana" w:cs="Arial"/>
          <w:color w:val="000000" w:themeColor="text1"/>
        </w:rPr>
        <w:lastRenderedPageBreak/>
        <w:t xml:space="preserve">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w:t>
      </w:r>
    </w:p>
    <w:p w14:paraId="4F468BD0" w14:textId="77777777" w:rsidR="0022452E" w:rsidRPr="00E27FE4" w:rsidRDefault="0022452E" w:rsidP="0022452E">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Cabe</w:t>
      </w:r>
      <w:r w:rsidRPr="00E27FE4">
        <w:rPr>
          <w:rFonts w:ascii="Verdana" w:eastAsia="Calibri" w:hAnsi="Verdana" w:cs="Arial"/>
          <w:color w:val="000000" w:themeColor="text1"/>
        </w:rPr>
        <w:t xml:space="preserve"> destacar que la plataforma tiene un módulo de búsqueda pública</w:t>
      </w:r>
      <w:r>
        <w:rPr>
          <w:rFonts w:ascii="Verdana" w:eastAsia="Calibri" w:hAnsi="Verdana" w:cs="Arial"/>
          <w:color w:val="000000" w:themeColor="text1"/>
        </w:rPr>
        <w:t>,</w:t>
      </w:r>
      <w:r w:rsidRPr="00E27FE4">
        <w:rPr>
          <w:rFonts w:ascii="Verdana" w:eastAsia="Calibri" w:hAnsi="Verdana" w:cs="Arial"/>
          <w:color w:val="000000" w:themeColor="text1"/>
        </w:rPr>
        <w:t xml:space="preserve"> que permite a los ciudadanos y </w:t>
      </w:r>
      <w:r>
        <w:rPr>
          <w:rFonts w:ascii="Verdana" w:eastAsia="Calibri" w:hAnsi="Verdana" w:cs="Arial"/>
          <w:color w:val="000000" w:themeColor="text1"/>
        </w:rPr>
        <w:t xml:space="preserve">a los </w:t>
      </w:r>
      <w:r w:rsidRPr="00E27FE4">
        <w:rPr>
          <w:rFonts w:ascii="Verdana" w:eastAsia="Calibri" w:hAnsi="Verdana" w:cs="Arial"/>
          <w:color w:val="000000" w:themeColor="text1"/>
        </w:rPr>
        <w:t>entes de control revisar el avance en tiempo real de cualquier contrato realizado a través del SECOP II, sin necesidad de tener usuarios creados en la plataforma.</w:t>
      </w:r>
    </w:p>
    <w:p w14:paraId="606E8A52" w14:textId="77777777" w:rsidR="0022452E" w:rsidRDefault="0022452E" w:rsidP="0022452E">
      <w:pPr>
        <w:widowControl w:val="0"/>
        <w:tabs>
          <w:tab w:val="left" w:pos="728"/>
        </w:tabs>
        <w:autoSpaceDE w:val="0"/>
        <w:autoSpaceDN w:val="0"/>
        <w:spacing w:after="120" w:line="276" w:lineRule="auto"/>
        <w:jc w:val="both"/>
        <w:rPr>
          <w:rFonts w:ascii="Verdana" w:eastAsia="Arial" w:hAnsi="Verdana" w:cs="Arial"/>
        </w:rPr>
      </w:pPr>
      <w:r w:rsidRPr="00E27FE4">
        <w:rPr>
          <w:rFonts w:ascii="Verdana" w:eastAsia="Arial" w:hAnsi="Verdana" w:cs="Arial"/>
        </w:rPr>
        <w:tab/>
        <w:t xml:space="preserve">Ambas plataformas contribuyen a la </w:t>
      </w:r>
      <w:r>
        <w:rPr>
          <w:rFonts w:ascii="Verdana" w:eastAsia="Arial" w:hAnsi="Verdana" w:cs="Arial"/>
        </w:rPr>
        <w:t>materialización</w:t>
      </w:r>
      <w:r w:rsidRPr="00E27FE4">
        <w:rPr>
          <w:rFonts w:ascii="Verdana" w:eastAsia="Arial" w:hAnsi="Verdana" w:cs="Arial"/>
        </w:rPr>
        <w:t xml:space="preserve"> del principio de publicidad. Dicho principio impone a las autoridades administrativas el deber de dar a conocer sus actos, contratos y decisiones, para que se divulguen y eventualmente se controlen las actuaciones. </w:t>
      </w:r>
      <w:r>
        <w:rPr>
          <w:rFonts w:ascii="Verdana" w:eastAsia="Arial" w:hAnsi="Verdana" w:cs="Arial"/>
        </w:rPr>
        <w:t xml:space="preserve">en ese sentido, resulta importante analizar algunas normas referentes a este deber.  </w:t>
      </w:r>
    </w:p>
    <w:p w14:paraId="0BBD4AE0" w14:textId="77777777" w:rsidR="0022452E" w:rsidRPr="00E27FE4" w:rsidRDefault="0022452E" w:rsidP="0022452E">
      <w:pPr>
        <w:widowControl w:val="0"/>
        <w:tabs>
          <w:tab w:val="left" w:pos="728"/>
        </w:tabs>
        <w:autoSpaceDE w:val="0"/>
        <w:autoSpaceDN w:val="0"/>
        <w:spacing w:after="120" w:line="276" w:lineRule="auto"/>
        <w:jc w:val="both"/>
        <w:rPr>
          <w:rFonts w:ascii="Verdana" w:eastAsia="Arial" w:hAnsi="Verdana" w:cs="Arial"/>
        </w:rPr>
      </w:pPr>
      <w:r>
        <w:rPr>
          <w:rFonts w:ascii="Verdana" w:eastAsia="Arial" w:hAnsi="Verdana" w:cs="Arial"/>
        </w:rPr>
        <w:tab/>
        <w:t>L</w:t>
      </w:r>
      <w:r w:rsidRPr="00E27FE4">
        <w:rPr>
          <w:rFonts w:ascii="Verdana" w:eastAsia="Arial" w:hAnsi="Verdana" w:cs="Arial"/>
        </w:rPr>
        <w:t>a</w:t>
      </w:r>
      <w:bookmarkStart w:id="8" w:name="_Hlk208331000"/>
      <w:r w:rsidRPr="00E27FE4">
        <w:rPr>
          <w:rFonts w:ascii="Verdana" w:eastAsia="Arial" w:hAnsi="Verdana" w:cs="Arial"/>
        </w:rPr>
        <w:t xml:space="preserve"> Ley 1712 de 2014 identifica como principios que orientan el acceso a la información pública el de máxima publicidad, el de transparencia en la información y el de la calidad de la información. El primero establece que toda información en posesión, bajo control o custodia de un sujeto obligado es pública y no podrá ser reservada o limitada sino por disposición constitucional o legal</w:t>
      </w:r>
      <w:r w:rsidRPr="00E27FE4">
        <w:rPr>
          <w:rStyle w:val="Refdenotaalpie"/>
          <w:rFonts w:ascii="Verdana" w:eastAsia="Arial" w:hAnsi="Verdana" w:cs="Arial"/>
        </w:rPr>
        <w:footnoteReference w:id="2"/>
      </w:r>
      <w:r w:rsidRPr="00E27FE4">
        <w:rPr>
          <w:rFonts w:ascii="Verdana" w:eastAsia="Arial" w:hAnsi="Verdana" w:cs="Arial"/>
        </w:rPr>
        <w:t>. Por su parte, el segundo alude al deber de los sujetos de proporcionar y facilitar el acceso a la misma en los términos más amplios posibles, y a través de los medios y procedimientos que establezca la ley</w:t>
      </w:r>
      <w:r w:rsidRPr="00E27FE4">
        <w:rPr>
          <w:rStyle w:val="Refdenotaalpie"/>
          <w:rFonts w:ascii="Verdana" w:eastAsia="Arial" w:hAnsi="Verdana" w:cs="Arial"/>
        </w:rPr>
        <w:footnoteReference w:id="3"/>
      </w:r>
      <w:r w:rsidRPr="00E27FE4">
        <w:rPr>
          <w:rFonts w:ascii="Verdana" w:eastAsia="Arial" w:hAnsi="Verdana" w:cs="Arial"/>
        </w:rPr>
        <w:t xml:space="preserve">. De otro lado, el tercer principio señala que la información pública que generen o difundan los sujetos obligados debe ser veraz, completa, accesible y disponible en formatos reutilizables, </w:t>
      </w:r>
      <w:r w:rsidRPr="00E27FE4">
        <w:rPr>
          <w:rFonts w:ascii="Verdana" w:eastAsia="Arial" w:hAnsi="Verdana" w:cs="Arial"/>
        </w:rPr>
        <w:lastRenderedPageBreak/>
        <w:t>conforme a los procedimientos de gestión documental de cada entidad</w:t>
      </w:r>
      <w:r w:rsidRPr="00E27FE4">
        <w:rPr>
          <w:rStyle w:val="Refdenotaalpie"/>
          <w:rFonts w:ascii="Verdana" w:eastAsia="Arial" w:hAnsi="Verdana" w:cs="Arial"/>
        </w:rPr>
        <w:footnoteReference w:id="4"/>
      </w:r>
      <w:r w:rsidRPr="00E27FE4">
        <w:rPr>
          <w:rFonts w:ascii="Verdana" w:eastAsia="Arial" w:hAnsi="Verdana" w:cs="Arial"/>
        </w:rPr>
        <w:t>.</w:t>
      </w:r>
    </w:p>
    <w:p w14:paraId="77EE3A1B" w14:textId="77777777" w:rsidR="0022452E" w:rsidRPr="00E27FE4" w:rsidRDefault="0022452E" w:rsidP="0022452E">
      <w:pPr>
        <w:widowControl w:val="0"/>
        <w:tabs>
          <w:tab w:val="left" w:pos="728"/>
        </w:tabs>
        <w:autoSpaceDE w:val="0"/>
        <w:autoSpaceDN w:val="0"/>
        <w:spacing w:after="120" w:line="276" w:lineRule="auto"/>
        <w:jc w:val="both"/>
        <w:rPr>
          <w:rFonts w:ascii="Verdana" w:eastAsia="Arial" w:hAnsi="Verdana" w:cs="Arial"/>
        </w:rPr>
      </w:pPr>
      <w:r w:rsidRPr="00E27FE4">
        <w:rPr>
          <w:rFonts w:ascii="Verdana" w:eastAsia="Arial" w:hAnsi="Verdana" w:cs="Arial"/>
        </w:rPr>
        <w:tab/>
        <w:t xml:space="preserve">En línea con lo anterior, el artículo 6 de la </w:t>
      </w:r>
      <w:r>
        <w:rPr>
          <w:rFonts w:ascii="Verdana" w:eastAsia="Arial" w:hAnsi="Verdana" w:cs="Arial"/>
        </w:rPr>
        <w:t>citada L</w:t>
      </w:r>
      <w:r w:rsidRPr="00E27FE4">
        <w:rPr>
          <w:rFonts w:ascii="Verdana" w:eastAsia="Arial" w:hAnsi="Verdana" w:cs="Arial"/>
        </w:rPr>
        <w:t>ey establece un conjunto de definiciones para la adecuada interpretación de sus disposiciones de las cuales vale la pena destacar algunas de ellas, en consideración al contenido de las preguntas expuestas en la presente solicitud. De manera preliminar, el literal g) define la Gestión Documental como “</w:t>
      </w:r>
      <w:r w:rsidRPr="00E27FE4">
        <w:rPr>
          <w:rFonts w:ascii="Verdana" w:eastAsia="Arial" w:hAnsi="Verdana" w:cs="Arial"/>
          <w:i/>
          <w:iCs/>
        </w:rPr>
        <w:t xml:space="preserve">el conjunto de actividades administrativas y técnicas tendientes a la planificación, procesamiento, manejo y </w:t>
      </w:r>
      <w:r w:rsidRPr="00E27FE4">
        <w:rPr>
          <w:rFonts w:ascii="Verdana" w:eastAsia="Arial" w:hAnsi="Verdana" w:cs="Arial"/>
          <w:i/>
          <w:iCs/>
          <w:u w:val="single"/>
        </w:rPr>
        <w:t>organización de la documentación producida</w:t>
      </w:r>
      <w:r w:rsidRPr="00E27FE4">
        <w:rPr>
          <w:rFonts w:ascii="Verdana" w:eastAsia="Arial" w:hAnsi="Verdana" w:cs="Arial"/>
          <w:i/>
          <w:iCs/>
        </w:rPr>
        <w:t xml:space="preserve"> y recibida por los sujetos obligados, </w:t>
      </w:r>
      <w:r w:rsidRPr="00E27FE4">
        <w:rPr>
          <w:rFonts w:ascii="Verdana" w:eastAsia="Arial" w:hAnsi="Verdana" w:cs="Arial"/>
          <w:i/>
          <w:iCs/>
          <w:u w:val="single"/>
        </w:rPr>
        <w:t>desde su origen hasta su destino final</w:t>
      </w:r>
      <w:r w:rsidRPr="00E27FE4">
        <w:rPr>
          <w:rFonts w:ascii="Verdana" w:eastAsia="Arial" w:hAnsi="Verdana" w:cs="Arial"/>
          <w:i/>
          <w:iCs/>
        </w:rPr>
        <w:t>, con el objeto de facilitar su utilización y conservación</w:t>
      </w:r>
      <w:r w:rsidRPr="00E27FE4">
        <w:rPr>
          <w:rFonts w:ascii="Verdana" w:eastAsia="Arial" w:hAnsi="Verdana" w:cs="Arial"/>
        </w:rPr>
        <w:t>” [Énfasis por fuera de texto legal].</w:t>
      </w:r>
    </w:p>
    <w:p w14:paraId="093809A2" w14:textId="77777777" w:rsidR="0022452E" w:rsidRPr="00E27FE4" w:rsidRDefault="0022452E" w:rsidP="0022452E">
      <w:pPr>
        <w:widowControl w:val="0"/>
        <w:tabs>
          <w:tab w:val="left" w:pos="728"/>
        </w:tabs>
        <w:autoSpaceDE w:val="0"/>
        <w:autoSpaceDN w:val="0"/>
        <w:spacing w:after="120" w:line="276" w:lineRule="auto"/>
        <w:jc w:val="both"/>
        <w:rPr>
          <w:rFonts w:ascii="Verdana" w:eastAsia="Arial" w:hAnsi="Verdana" w:cs="Arial"/>
        </w:rPr>
      </w:pPr>
      <w:r w:rsidRPr="00E27FE4">
        <w:rPr>
          <w:rFonts w:ascii="Verdana" w:eastAsia="Arial" w:hAnsi="Verdana" w:cs="Arial"/>
        </w:rPr>
        <w:tab/>
        <w:t>La anterior definición se encuentra en consonancia con l</w:t>
      </w:r>
      <w:r>
        <w:rPr>
          <w:rFonts w:ascii="Verdana" w:eastAsia="Arial" w:hAnsi="Verdana" w:cs="Arial"/>
        </w:rPr>
        <w:t xml:space="preserve">as contenidas </w:t>
      </w:r>
      <w:r w:rsidRPr="00E27FE4">
        <w:rPr>
          <w:rFonts w:ascii="Verdana" w:eastAsia="Arial" w:hAnsi="Verdana" w:cs="Arial"/>
        </w:rPr>
        <w:t>e</w:t>
      </w:r>
      <w:r>
        <w:rPr>
          <w:rFonts w:ascii="Verdana" w:eastAsia="Arial" w:hAnsi="Verdana" w:cs="Arial"/>
        </w:rPr>
        <w:t>n</w:t>
      </w:r>
      <w:r w:rsidRPr="00E27FE4">
        <w:rPr>
          <w:rFonts w:ascii="Verdana" w:eastAsia="Arial" w:hAnsi="Verdana" w:cs="Arial"/>
        </w:rPr>
        <w:t xml:space="preserve"> los literales h)</w:t>
      </w:r>
      <w:r w:rsidRPr="00E27FE4">
        <w:rPr>
          <w:rStyle w:val="Refdenotaalpie"/>
          <w:rFonts w:ascii="Verdana" w:eastAsia="Arial" w:hAnsi="Verdana" w:cs="Arial"/>
        </w:rPr>
        <w:footnoteReference w:id="5"/>
      </w:r>
      <w:r w:rsidRPr="00E27FE4">
        <w:rPr>
          <w:rFonts w:ascii="Verdana" w:eastAsia="Arial" w:hAnsi="Verdana" w:cs="Arial"/>
        </w:rPr>
        <w:t>, i)</w:t>
      </w:r>
      <w:r w:rsidRPr="00E27FE4">
        <w:rPr>
          <w:rStyle w:val="Refdenotaalpie"/>
          <w:rFonts w:ascii="Verdana" w:eastAsia="Arial" w:hAnsi="Verdana" w:cs="Arial"/>
        </w:rPr>
        <w:footnoteReference w:id="6"/>
      </w:r>
      <w:r w:rsidRPr="00E27FE4">
        <w:rPr>
          <w:rFonts w:ascii="Verdana" w:eastAsia="Arial" w:hAnsi="Verdana" w:cs="Arial"/>
        </w:rPr>
        <w:t xml:space="preserve"> y k)</w:t>
      </w:r>
      <w:r w:rsidRPr="00E27FE4">
        <w:rPr>
          <w:rStyle w:val="Refdenotaalpie"/>
          <w:rFonts w:ascii="Verdana" w:eastAsia="Arial" w:hAnsi="Verdana" w:cs="Arial"/>
        </w:rPr>
        <w:footnoteReference w:id="7"/>
      </w:r>
      <w:r w:rsidRPr="00E27FE4">
        <w:rPr>
          <w:rFonts w:ascii="Verdana" w:eastAsia="Arial" w:hAnsi="Verdana" w:cs="Arial"/>
        </w:rPr>
        <w:t xml:space="preserve"> respectivamente, en la medida en que deja clara la intención del legislador de que, la información pública nacional </w:t>
      </w:r>
      <w:r w:rsidRPr="00E27FE4">
        <w:rPr>
          <w:rFonts w:ascii="Verdana" w:eastAsia="Calibri" w:hAnsi="Verdana" w:cs="Arial"/>
        </w:rPr>
        <w:t>–</w:t>
      </w:r>
      <w:r w:rsidRPr="00E27FE4">
        <w:rPr>
          <w:rFonts w:ascii="Verdana" w:eastAsia="Arial" w:hAnsi="Verdana" w:cs="Arial"/>
        </w:rPr>
        <w:t>incluida la relacionada con la gestión contractual</w:t>
      </w:r>
      <w:r w:rsidRPr="00E27FE4">
        <w:rPr>
          <w:rFonts w:ascii="Verdana" w:eastAsia="Calibri" w:hAnsi="Verdana" w:cs="Arial"/>
        </w:rPr>
        <w:t xml:space="preserve">– </w:t>
      </w:r>
      <w:r w:rsidRPr="00E27FE4">
        <w:rPr>
          <w:rFonts w:ascii="Verdana" w:eastAsia="Arial" w:hAnsi="Verdana" w:cs="Arial"/>
        </w:rPr>
        <w:t>deb</w:t>
      </w:r>
      <w:r>
        <w:rPr>
          <w:rFonts w:ascii="Verdana" w:eastAsia="Arial" w:hAnsi="Verdana" w:cs="Arial"/>
        </w:rPr>
        <w:t>a</w:t>
      </w:r>
      <w:r w:rsidRPr="00E27FE4">
        <w:rPr>
          <w:rFonts w:ascii="Verdana" w:eastAsia="Arial" w:hAnsi="Verdana" w:cs="Arial"/>
        </w:rPr>
        <w:t xml:space="preserve"> gestionarse dentro de un marco archivístico que distingue entre documentos de archivo, entendidos como los registros producidos o recibidos por las entidades en el ejercicio de sus funciones, y el archivo como el conjunto organizado de tales documentos que sirven de testimonio e información para la entidad y la ciudadanía. En este contexto, solo los documentos definitivos y no aquellos en construcción adquieren la calidad de información pública, lo cual refuerza la necesidad de que los documentos contractuales, en tanto documentos de archivo, cuenten con elementos de identificación como la fecha de elaboración y se gestionen bajo principios de autenticidad y trazabilidad. Esta exigencia se armoniza con el carácter transaccional de SECOP II, en donde la plataforma garantiza la generación y registro electrónico de la información en tiempo real, asegurando </w:t>
      </w:r>
      <w:r w:rsidRPr="00E27FE4">
        <w:rPr>
          <w:rFonts w:ascii="Verdana" w:eastAsia="Arial" w:hAnsi="Verdana" w:cs="Arial"/>
        </w:rPr>
        <w:lastRenderedPageBreak/>
        <w:t>su valor probatorio y su integración al archivo contractual de la entidad, como se desarrollará más adelante.</w:t>
      </w:r>
      <w:bookmarkEnd w:id="8"/>
      <w:r w:rsidRPr="00E27FE4">
        <w:rPr>
          <w:rFonts w:ascii="Verdana" w:eastAsia="Arial" w:hAnsi="Verdana" w:cs="Arial"/>
        </w:rPr>
        <w:tab/>
        <w:t xml:space="preserve"> </w:t>
      </w:r>
    </w:p>
    <w:p w14:paraId="45D64E03" w14:textId="77777777" w:rsidR="0022452E" w:rsidRPr="00E27FE4" w:rsidRDefault="0022452E" w:rsidP="0022452E">
      <w:pPr>
        <w:widowControl w:val="0"/>
        <w:tabs>
          <w:tab w:val="left" w:pos="728"/>
        </w:tabs>
        <w:autoSpaceDE w:val="0"/>
        <w:autoSpaceDN w:val="0"/>
        <w:spacing w:after="120" w:line="276" w:lineRule="auto"/>
        <w:jc w:val="both"/>
        <w:rPr>
          <w:rFonts w:ascii="Verdana" w:eastAsia="Arial" w:hAnsi="Verdana" w:cs="Arial"/>
        </w:rPr>
      </w:pPr>
      <w:r w:rsidRPr="00E27FE4">
        <w:rPr>
          <w:rFonts w:ascii="Verdana" w:eastAsia="Arial" w:hAnsi="Verdana" w:cs="Arial"/>
        </w:rPr>
        <w:tab/>
      </w:r>
      <w:r>
        <w:rPr>
          <w:rFonts w:ascii="Verdana" w:eastAsia="Arial" w:hAnsi="Verdana" w:cs="Arial"/>
        </w:rPr>
        <w:t>Ahora bien, e</w:t>
      </w:r>
      <w:r w:rsidRPr="00E27FE4">
        <w:rPr>
          <w:rFonts w:ascii="Verdana" w:eastAsia="Arial" w:hAnsi="Verdana" w:cs="Arial"/>
        </w:rPr>
        <w:t>n virtud del literal e) del artículo 9 de la citada Ley 1712 de 2014, los sujetos obligados, que son todas las entidades públicas</w:t>
      </w:r>
      <w:r w:rsidRPr="00E27FE4">
        <w:rPr>
          <w:rFonts w:ascii="Verdana" w:eastAsia="Arial" w:hAnsi="Verdana" w:cs="Arial"/>
          <w:vertAlign w:val="superscript"/>
        </w:rPr>
        <w:footnoteReference w:id="8"/>
      </w:r>
      <w:r w:rsidRPr="00E27FE4">
        <w:rPr>
          <w:rFonts w:ascii="Verdana" w:eastAsia="Arial" w:hAnsi="Verdana" w:cs="Arial"/>
        </w:rPr>
        <w:t>, deben publicar la información relativa a su contratación. Esta obligación fue en principio desarrollada por el Decreto 103 de 2015, compilado en el Decreto 1081 de 2015, el cual dispuso que la publicación de la información contractual de los sujetos obligados, que contratan con cargo a recursos públicos, debe hacerse en el Sistema Electrónico de Contratación Pública –SECOP–</w:t>
      </w:r>
      <w:r w:rsidRPr="00E27FE4">
        <w:rPr>
          <w:rFonts w:ascii="Verdana" w:eastAsia="Arial" w:hAnsi="Verdana" w:cs="Arial"/>
          <w:vertAlign w:val="superscript"/>
        </w:rPr>
        <w:footnoteReference w:id="9"/>
      </w:r>
      <w:r w:rsidRPr="00E27FE4">
        <w:rPr>
          <w:rFonts w:ascii="Verdana" w:eastAsia="Arial" w:hAnsi="Verdana" w:cs="Arial"/>
        </w:rPr>
        <w:t>.</w:t>
      </w:r>
    </w:p>
    <w:p w14:paraId="497BB1D7" w14:textId="77777777" w:rsidR="0022452E" w:rsidRPr="00E27FE4" w:rsidRDefault="0022452E" w:rsidP="0022452E">
      <w:pPr>
        <w:widowControl w:val="0"/>
        <w:tabs>
          <w:tab w:val="left" w:pos="728"/>
        </w:tabs>
        <w:autoSpaceDE w:val="0"/>
        <w:autoSpaceDN w:val="0"/>
        <w:spacing w:after="120" w:line="276" w:lineRule="auto"/>
        <w:jc w:val="both"/>
        <w:rPr>
          <w:rFonts w:ascii="Verdana" w:eastAsia="Arial" w:hAnsi="Verdana" w:cs="Arial"/>
        </w:rPr>
      </w:pPr>
      <w:r w:rsidRPr="00E27FE4">
        <w:rPr>
          <w:rFonts w:ascii="Verdana" w:eastAsia="Arial" w:hAnsi="Verdana" w:cs="Arial"/>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9625C66" w14:textId="77777777" w:rsidR="0022452E" w:rsidRPr="00E27FE4" w:rsidRDefault="0022452E" w:rsidP="0022452E">
      <w:pPr>
        <w:widowControl w:val="0"/>
        <w:tabs>
          <w:tab w:val="left" w:pos="728"/>
        </w:tabs>
        <w:autoSpaceDE w:val="0"/>
        <w:autoSpaceDN w:val="0"/>
        <w:spacing w:after="120" w:line="276" w:lineRule="auto"/>
        <w:jc w:val="both"/>
        <w:rPr>
          <w:rFonts w:ascii="Verdana" w:hAnsi="Verdana" w:cs="Arial"/>
        </w:rPr>
      </w:pPr>
      <w:r w:rsidRPr="00E27FE4">
        <w:rPr>
          <w:rFonts w:ascii="Verdana" w:eastAsia="Arial" w:hAnsi="Verdana" w:cs="Arial"/>
        </w:rPr>
        <w:tab/>
      </w:r>
      <w:r w:rsidRPr="00E27FE4">
        <w:rPr>
          <w:rFonts w:ascii="Verdana" w:hAnsi="Verdana" w:cs="Arial"/>
        </w:rPr>
        <w:t>El deber de publicidad que se desprende del artículo 3 de la Ley 1150 de 2007 está reglamentado por el artículo 2.2.1.1.1.7.1 del Decreto 1082 de 2015, el cual señala los documentos que deben publicarse y nomina al SECOP como medio de publicación</w:t>
      </w:r>
      <w:r w:rsidRPr="00E27FE4">
        <w:rPr>
          <w:rFonts w:ascii="Verdana" w:hAnsi="Verdana" w:cs="Arial"/>
          <w:vertAlign w:val="superscript"/>
        </w:rPr>
        <w:footnoteReference w:id="10"/>
      </w:r>
      <w:r w:rsidRPr="00E27FE4">
        <w:rPr>
          <w:rFonts w:ascii="Verdana" w:hAnsi="Verdana" w:cs="Arial"/>
        </w:rPr>
        <w:t xml:space="preserve">.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w:t>
      </w:r>
      <w:r w:rsidRPr="00E27FE4">
        <w:rPr>
          <w:rFonts w:ascii="Verdana" w:hAnsi="Verdana" w:cs="Arial"/>
        </w:rPr>
        <w:lastRenderedPageBreak/>
        <w:t>entidades cumplan el referido principio.</w:t>
      </w:r>
    </w:p>
    <w:p w14:paraId="3D7F7FFC" w14:textId="77777777" w:rsidR="0022452E" w:rsidRPr="00E27FE4" w:rsidRDefault="0022452E" w:rsidP="0022452E">
      <w:pPr>
        <w:widowControl w:val="0"/>
        <w:tabs>
          <w:tab w:val="left" w:pos="728"/>
        </w:tabs>
        <w:autoSpaceDE w:val="0"/>
        <w:autoSpaceDN w:val="0"/>
        <w:spacing w:after="120" w:line="276" w:lineRule="auto"/>
        <w:jc w:val="both"/>
        <w:rPr>
          <w:rFonts w:ascii="Verdana" w:hAnsi="Verdana" w:cs="Arial"/>
        </w:rPr>
      </w:pPr>
      <w:r w:rsidRPr="00E27FE4">
        <w:rPr>
          <w:rFonts w:ascii="Verdana" w:hAnsi="Verdana" w:cs="Arial"/>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artículo al que se alude en el texto de la consulta,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F5DB299" w14:textId="77777777" w:rsidR="0022452E" w:rsidRPr="00E27FE4" w:rsidRDefault="0022452E" w:rsidP="0022452E">
      <w:pPr>
        <w:widowControl w:val="0"/>
        <w:autoSpaceDE w:val="0"/>
        <w:autoSpaceDN w:val="0"/>
        <w:spacing w:after="120" w:line="276" w:lineRule="auto"/>
        <w:ind w:firstLine="709"/>
        <w:jc w:val="both"/>
        <w:rPr>
          <w:rFonts w:ascii="Verdana" w:eastAsia="Arial" w:hAnsi="Verdana" w:cs="Arial"/>
        </w:rPr>
      </w:pPr>
      <w:r w:rsidRPr="00E27FE4">
        <w:rPr>
          <w:rFonts w:ascii="Verdana" w:eastAsia="Arial" w:hAnsi="Verdana" w:cs="Arial"/>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r w:rsidRPr="00E27FE4">
        <w:rPr>
          <w:rFonts w:ascii="Verdana" w:eastAsia="Arial" w:hAnsi="Verdana" w:cs="Arial"/>
          <w:i/>
          <w:iCs/>
        </w:rPr>
        <w:t>Ibídem</w:t>
      </w:r>
      <w:r w:rsidRPr="00E27FE4">
        <w:rPr>
          <w:rFonts w:ascii="Verdana" w:eastAsia="Arial" w:hAnsi="Verdana" w:cs="Arial"/>
        </w:rPr>
        <w:t xml:space="preserve"> recoge en la noción de </w:t>
      </w:r>
      <w:r w:rsidRPr="00E27FE4">
        <w:rPr>
          <w:rFonts w:ascii="Verdana" w:eastAsia="Arial" w:hAnsi="Verdana" w:cs="Arial"/>
          <w:i/>
          <w:iCs/>
        </w:rPr>
        <w:t>Documentos del Proceso</w:t>
      </w:r>
      <w:r w:rsidRPr="00E27FE4">
        <w:rPr>
          <w:rFonts w:ascii="Verdana" w:eastAsia="Arial" w:hAnsi="Verdana" w:cs="Arial"/>
        </w:rPr>
        <w:t xml:space="preserve"> “cualquier otro documento expedido por la Entidad Estatal durante el </w:t>
      </w:r>
      <w:r w:rsidRPr="00E27FE4">
        <w:rPr>
          <w:rFonts w:ascii="Verdana" w:eastAsia="Arial" w:hAnsi="Verdana" w:cs="Arial"/>
          <w:i/>
          <w:iCs/>
        </w:rPr>
        <w:t>Proceso de Contratación”</w:t>
      </w:r>
      <w:r w:rsidRPr="00E27FE4">
        <w:rPr>
          <w:rFonts w:ascii="Verdana" w:eastAsia="Arial" w:hAnsi="Verdana" w:cs="Arial"/>
        </w:rPr>
        <w:t xml:space="preserve">. Este mismo artículo define la expresión </w:t>
      </w:r>
      <w:r w:rsidRPr="00E27FE4">
        <w:rPr>
          <w:rFonts w:ascii="Verdana" w:eastAsia="Arial" w:hAnsi="Verdana" w:cs="Arial"/>
          <w:i/>
          <w:iCs/>
        </w:rPr>
        <w:t>Proceso de Contratación</w:t>
      </w:r>
      <w:r w:rsidRPr="00E27FE4">
        <w:rPr>
          <w:rFonts w:ascii="Verdana" w:eastAsia="Arial" w:hAnsi="Verdana" w:cs="Arial"/>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p>
    <w:p w14:paraId="28997F6F" w14:textId="77777777" w:rsidR="0022452E" w:rsidRPr="00E27FE4" w:rsidRDefault="0022452E" w:rsidP="0022452E">
      <w:pPr>
        <w:widowControl w:val="0"/>
        <w:autoSpaceDE w:val="0"/>
        <w:autoSpaceDN w:val="0"/>
        <w:spacing w:after="120" w:line="276" w:lineRule="auto"/>
        <w:ind w:firstLine="709"/>
        <w:jc w:val="both"/>
        <w:rPr>
          <w:rFonts w:ascii="Verdana" w:eastAsia="Arial" w:hAnsi="Verdana" w:cs="Arial"/>
        </w:rPr>
      </w:pPr>
      <w:r w:rsidRPr="00E27FE4">
        <w:rPr>
          <w:rFonts w:ascii="Verdana" w:eastAsia="Arial" w:hAnsi="Verdana" w:cs="Arial"/>
        </w:rPr>
        <w:t xml:space="preserve">De lo anterior puede concluirse que, </w:t>
      </w:r>
      <w:bookmarkStart w:id="9" w:name="_Hlk134529941"/>
      <w:r w:rsidRPr="00E27FE4">
        <w:rPr>
          <w:rFonts w:ascii="Verdana" w:eastAsia="Arial" w:hAnsi="Verdana" w:cs="Arial"/>
        </w:rPr>
        <w:t xml:space="preserve">en virtud de lo dispuesto en el artículo 3 de la Ley 1150 de 2007, desarrollado por el artículo 2.2.1.1.1.7.1. del Decreto 1082 de 2015, las entidades están obligadas a publicar en el SECOP todos los documentos relacionados con el </w:t>
      </w:r>
      <w:r w:rsidRPr="00E27FE4">
        <w:rPr>
          <w:rFonts w:ascii="Verdana" w:eastAsia="Arial" w:hAnsi="Verdana" w:cs="Arial"/>
          <w:i/>
          <w:iCs/>
        </w:rPr>
        <w:t>Proceso de Contratación</w:t>
      </w:r>
      <w:r w:rsidRPr="00E27FE4">
        <w:rPr>
          <w:rFonts w:ascii="Verdana" w:eastAsia="Arial" w:hAnsi="Verdana" w:cs="Arial"/>
        </w:rPr>
        <w:t xml:space="preserve"> expedidos durante las etapas precontractual, de ejecución y post-contractual.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23BA95B9" w14:textId="77777777" w:rsidR="0022452E" w:rsidRPr="00E27FE4" w:rsidRDefault="0022452E" w:rsidP="0022452E">
      <w:pPr>
        <w:spacing w:before="120" w:after="120" w:line="276" w:lineRule="auto"/>
        <w:ind w:firstLine="709"/>
        <w:jc w:val="both"/>
        <w:rPr>
          <w:rFonts w:ascii="Verdana" w:eastAsia="Calibri" w:hAnsi="Verdana" w:cs="Arial"/>
        </w:rPr>
      </w:pPr>
      <w:r w:rsidRPr="00E27FE4">
        <w:rPr>
          <w:rFonts w:ascii="Verdana" w:eastAsia="Calibri" w:hAnsi="Verdana" w:cs="Arial"/>
        </w:rPr>
        <w:t xml:space="preserve">Adicionalmente, el deber de publicar la actividad contractual de las entidades estatales no solo está regulado en el artículo 3 de la Ley 1150 de 2007 y en el </w:t>
      </w:r>
      <w:r w:rsidRPr="00E27FE4">
        <w:rPr>
          <w:rFonts w:ascii="Verdana" w:eastAsia="Arial" w:hAnsi="Verdana" w:cs="Arial"/>
        </w:rPr>
        <w:t xml:space="preserve">artículo 2.2.1.1.1.7.1 del Decreto 1082 de 2015, sino también en la Ley 1712 de 2014 y en el Decreto 1081 de 2015. Estas normas no solo refuerzan y </w:t>
      </w:r>
      <w:r w:rsidRPr="00E27FE4">
        <w:rPr>
          <w:rFonts w:ascii="Verdana" w:eastAsia="Arial" w:hAnsi="Verdana" w:cs="Arial"/>
        </w:rPr>
        <w:lastRenderedPageBreak/>
        <w:t xml:space="preserve">complementan al régimen de contratación estatal en cuanto a la publicidad, sino que lo amplía, para incluir la publicación de los “procedimientos” y la información relativa a la “gestión contractual”, sin el condicionamiento de tratarse exclusivamente de los </w:t>
      </w:r>
      <w:r w:rsidRPr="00E27FE4">
        <w:rPr>
          <w:rFonts w:ascii="Verdana" w:eastAsia="Arial" w:hAnsi="Verdana" w:cs="Arial"/>
          <w:i/>
          <w:iCs/>
        </w:rPr>
        <w:t xml:space="preserve">Documentos del Proceso </w:t>
      </w:r>
      <w:r w:rsidRPr="00E27FE4">
        <w:rPr>
          <w:rFonts w:ascii="Verdana" w:eastAsia="Arial" w:hAnsi="Verdana" w:cs="Arial"/>
        </w:rPr>
        <w:t>expedidos por la “entidad estatal”.</w:t>
      </w:r>
    </w:p>
    <w:p w14:paraId="480EB039" w14:textId="77777777" w:rsidR="0022452E" w:rsidRPr="00E27FE4" w:rsidRDefault="0022452E" w:rsidP="0022452E">
      <w:pPr>
        <w:spacing w:after="120" w:line="276" w:lineRule="auto"/>
        <w:ind w:firstLine="708"/>
        <w:jc w:val="both"/>
        <w:rPr>
          <w:rFonts w:ascii="Verdana" w:eastAsia="Calibri" w:hAnsi="Verdana" w:cs="Arial"/>
          <w:bCs/>
          <w:color w:val="000000" w:themeColor="text1"/>
        </w:rPr>
      </w:pPr>
      <w:r w:rsidRPr="00E27FE4">
        <w:rPr>
          <w:rFonts w:ascii="Verdana" w:eastAsia="Calibri" w:hAnsi="Verdana" w:cs="Arial"/>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E27FE4">
        <w:rPr>
          <w:rFonts w:ascii="Verdana" w:eastAsia="Calibri" w:hAnsi="Verdana" w:cs="Arial"/>
          <w:i/>
          <w:iCs/>
        </w:rPr>
        <w:t>Documentos del Proceso</w:t>
      </w:r>
      <w:r w:rsidRPr="00E27FE4">
        <w:rPr>
          <w:rFonts w:ascii="Verdana" w:eastAsia="Calibri" w:hAnsi="Verdana" w:cs="Arial"/>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r w:rsidRPr="00E27FE4">
        <w:rPr>
          <w:rFonts w:ascii="Verdana" w:eastAsia="Calibri" w:hAnsi="Verdana" w:cs="Arial"/>
          <w:bCs/>
          <w:color w:val="000000" w:themeColor="text1"/>
        </w:rPr>
        <w:t xml:space="preserve">  </w:t>
      </w:r>
    </w:p>
    <w:bookmarkEnd w:id="9"/>
    <w:p w14:paraId="768B68A0" w14:textId="77777777" w:rsidR="0022452E" w:rsidRPr="00E27FE4" w:rsidRDefault="0022452E" w:rsidP="0022452E">
      <w:pPr>
        <w:widowControl w:val="0"/>
        <w:autoSpaceDE w:val="0"/>
        <w:autoSpaceDN w:val="0"/>
        <w:spacing w:after="120" w:line="276" w:lineRule="auto"/>
        <w:ind w:firstLine="709"/>
        <w:jc w:val="both"/>
        <w:rPr>
          <w:rFonts w:ascii="Verdana" w:hAnsi="Verdana" w:cs="Arial"/>
        </w:rPr>
      </w:pPr>
      <w:r w:rsidRPr="00E27FE4">
        <w:rPr>
          <w:rFonts w:ascii="Verdana" w:eastAsia="Arial" w:hAnsi="Verdana" w:cs="Arial"/>
        </w:rPr>
        <w:t xml:space="preserve">Conforme a esto, las entidades estarán obligadas a publicar todos los documentos que se produzcan en el marco del </w:t>
      </w:r>
      <w:r w:rsidRPr="00E27FE4">
        <w:rPr>
          <w:rFonts w:ascii="Verdana" w:eastAsia="Arial" w:hAnsi="Verdana" w:cs="Arial"/>
          <w:i/>
          <w:iCs/>
        </w:rPr>
        <w:t>Proceso de Contratación</w:t>
      </w:r>
      <w:r w:rsidRPr="00E27FE4">
        <w:rPr>
          <w:rFonts w:ascii="Verdana" w:eastAsia="Arial" w:hAnsi="Verdana" w:cs="Arial"/>
        </w:rPr>
        <w:t xml:space="preserve">, de conformidad con las normas que regulan la respectiva modalidad de selección. En este sentido, resulta necesario precisar que, en lo que tiene que ver con la modalidad de selección de contratación directa, </w:t>
      </w:r>
      <w:bookmarkStart w:id="10" w:name="_Hlk48034832"/>
      <w:r w:rsidRPr="00E27FE4">
        <w:rPr>
          <w:rFonts w:ascii="Verdana" w:eastAsia="Arial" w:hAnsi="Verdana" w:cs="Arial"/>
        </w:rPr>
        <w:t>en virtud de lo dispuesto en el artículo 2.2.1.2.1.4.3.</w:t>
      </w:r>
      <w:r w:rsidRPr="00E27FE4">
        <w:rPr>
          <w:rFonts w:ascii="Verdana" w:hAnsi="Verdana" w:cs="Arial"/>
          <w:vertAlign w:val="superscript"/>
        </w:rPr>
        <w:footnoteReference w:id="11"/>
      </w:r>
      <w:r w:rsidRPr="00E27FE4">
        <w:rPr>
          <w:rFonts w:ascii="Verdana" w:hAnsi="Verdana" w:cs="Arial"/>
        </w:rPr>
        <w:t>, las entidades no están obligadas a publicar los estudios y documentos previos relacionados con: i) la contratación de empréstitos, ii) los contratos</w:t>
      </w:r>
      <w:r w:rsidRPr="00E27FE4">
        <w:rPr>
          <w:rFonts w:ascii="Verdana" w:hAnsi="Verdana" w:cs="Arial"/>
          <w:b/>
          <w:bCs/>
        </w:rPr>
        <w:t xml:space="preserve"> </w:t>
      </w:r>
      <w:r w:rsidRPr="00E27FE4">
        <w:rPr>
          <w:rFonts w:ascii="Verdana" w:hAnsi="Verdana" w:cs="Arial"/>
        </w:rPr>
        <w:t>interadministrativos que celebre el Ministerio de Hacienda y Crédito Público con el Banco de la República, y iii) los</w:t>
      </w:r>
      <w:bookmarkEnd w:id="10"/>
      <w:r w:rsidRPr="00E27FE4">
        <w:t xml:space="preserve"> </w:t>
      </w:r>
      <w:r w:rsidRPr="00E27FE4">
        <w:rPr>
          <w:rFonts w:ascii="Verdana" w:hAnsi="Verdana" w:cs="Arial"/>
        </w:rPr>
        <w:t>Documentos del Proceso para adquirir bienes y servicios en el Sector Defensa, la Dirección Nacional de Inteligencia y la Unidad Nacional de Protección que requieren reserva</w:t>
      </w:r>
      <w:r w:rsidRPr="00E27FE4">
        <w:rPr>
          <w:rFonts w:ascii="Verdana" w:hAnsi="Verdana" w:cs="Arial"/>
          <w:vertAlign w:val="superscript"/>
        </w:rPr>
        <w:footnoteReference w:id="12"/>
      </w:r>
      <w:r w:rsidRPr="00E27FE4">
        <w:rPr>
          <w:rFonts w:ascii="Verdana" w:hAnsi="Verdana" w:cs="Arial"/>
        </w:rPr>
        <w:t>.</w:t>
      </w:r>
    </w:p>
    <w:p w14:paraId="5D39ADDF" w14:textId="77777777" w:rsidR="0022452E" w:rsidRDefault="0022452E" w:rsidP="0022452E">
      <w:pPr>
        <w:widowControl w:val="0"/>
        <w:autoSpaceDE w:val="0"/>
        <w:autoSpaceDN w:val="0"/>
        <w:spacing w:after="120" w:line="276" w:lineRule="auto"/>
        <w:ind w:firstLine="709"/>
        <w:jc w:val="both"/>
        <w:rPr>
          <w:rFonts w:ascii="Verdana" w:eastAsia="Century Gothic" w:hAnsi="Verdana" w:cs="Century Gothic"/>
        </w:rPr>
      </w:pPr>
      <w:r w:rsidRPr="00B859B2">
        <w:rPr>
          <w:rFonts w:ascii="Verdana" w:hAnsi="Verdana" w:cs="Arial"/>
        </w:rPr>
        <w:t>Respecto al objeto de la consulta</w:t>
      </w:r>
      <w:r w:rsidRPr="00E27FE4">
        <w:rPr>
          <w:rFonts w:ascii="Verdana" w:hAnsi="Verdana" w:cs="Arial"/>
        </w:rPr>
        <w:t xml:space="preserve">, en la que </w:t>
      </w:r>
      <w:r>
        <w:rPr>
          <w:rFonts w:ascii="Verdana" w:hAnsi="Verdana" w:cs="Arial"/>
        </w:rPr>
        <w:t>solicita</w:t>
      </w:r>
      <w:r w:rsidRPr="00E27FE4">
        <w:rPr>
          <w:rFonts w:ascii="Verdana" w:hAnsi="Verdana" w:cs="Arial"/>
        </w:rPr>
        <w:t xml:space="preserve"> que esta Agencia establezca sí, de </w:t>
      </w:r>
      <w:r w:rsidRPr="00E27FE4">
        <w:rPr>
          <w:rFonts w:ascii="Verdana" w:eastAsia="Century Gothic" w:hAnsi="Verdana" w:cs="Century Gothic"/>
        </w:rPr>
        <w:t xml:space="preserve">conformidad con el ordenamiento jurídico colombiano, los documentos que integran el expediente contractual de las entidades estatales </w:t>
      </w:r>
      <w:r w:rsidRPr="00E27FE4">
        <w:rPr>
          <w:rFonts w:ascii="Verdana" w:eastAsia="Century Gothic" w:hAnsi="Verdana" w:cs="Century Gothic"/>
        </w:rPr>
        <w:lastRenderedPageBreak/>
        <w:t>deben contener obligatoriamente fecha de expedición o elaboración como requisito formal de validez</w:t>
      </w:r>
      <w:r w:rsidRPr="00E27FE4">
        <w:rPr>
          <w:rFonts w:ascii="Verdana" w:hAnsi="Verdana" w:cs="Arial"/>
        </w:rPr>
        <w:t xml:space="preserve"> y, en caso de </w:t>
      </w:r>
      <w:r w:rsidRPr="00E27FE4">
        <w:rPr>
          <w:rFonts w:ascii="Verdana" w:eastAsia="Century Gothic" w:hAnsi="Verdana" w:cs="Century Gothic"/>
        </w:rPr>
        <w:t xml:space="preserve">contradicción o discrepancia entre la información consignada en documentos físicos y aquella registrada electrónicamente en la gestión contractual tramitada mediante el SECOP II, cuál debe considerarse prevalente para efectos jurídicos y probatorios, se advierte </w:t>
      </w:r>
      <w:r>
        <w:rPr>
          <w:rFonts w:ascii="Verdana" w:eastAsia="Century Gothic" w:hAnsi="Verdana" w:cs="Century Gothic"/>
        </w:rPr>
        <w:t xml:space="preserve">lo siguiente: </w:t>
      </w:r>
    </w:p>
    <w:p w14:paraId="08D025A6" w14:textId="77777777" w:rsidR="0022452E" w:rsidRPr="00E27FE4" w:rsidRDefault="0022452E" w:rsidP="0022452E">
      <w:pPr>
        <w:widowControl w:val="0"/>
        <w:autoSpaceDE w:val="0"/>
        <w:autoSpaceDN w:val="0"/>
        <w:spacing w:after="120" w:line="276" w:lineRule="auto"/>
        <w:ind w:firstLine="709"/>
        <w:jc w:val="both"/>
        <w:rPr>
          <w:rFonts w:ascii="Verdana" w:hAnsi="Verdana" w:cs="Arial"/>
        </w:rPr>
      </w:pPr>
      <w:bookmarkStart w:id="12" w:name="_Hlk208331224"/>
      <w:r>
        <w:rPr>
          <w:rFonts w:ascii="Verdana" w:hAnsi="Verdana" w:cs="Arial"/>
        </w:rPr>
        <w:t>S</w:t>
      </w:r>
      <w:r w:rsidRPr="00E27FE4">
        <w:rPr>
          <w:rFonts w:ascii="Verdana" w:hAnsi="Verdana" w:cs="Arial"/>
        </w:rPr>
        <w:t>i bien los documentos que deben publicarse en el SECOP II corresponden a los mismos que deben publicarse en el SECOP I, esto es, todos los expedidos con ocasión a la gestión contractual con excepción de los expresamente excluidos, la naturaleza transaccional del SECOP II implica que los procesos contractuales no solo deban ser publicados mediante esta plataforma, sino también gestionados a través de ella</w:t>
      </w:r>
      <w:r>
        <w:rPr>
          <w:rFonts w:ascii="Verdana" w:hAnsi="Verdana" w:cs="Arial"/>
        </w:rPr>
        <w:t>. Esto se debe a que</w:t>
      </w:r>
      <w:r w:rsidRPr="00E27FE4">
        <w:rPr>
          <w:rFonts w:ascii="Verdana" w:hAnsi="Verdana" w:cs="Arial"/>
        </w:rPr>
        <w:t xml:space="preserve"> la mayoría de los hitos contractuales </w:t>
      </w:r>
      <w:r>
        <w:rPr>
          <w:rFonts w:ascii="Verdana" w:hAnsi="Verdana" w:cs="Arial"/>
        </w:rPr>
        <w:t xml:space="preserve">se materializan </w:t>
      </w:r>
      <w:r w:rsidRPr="00E27FE4">
        <w:rPr>
          <w:rFonts w:ascii="Verdana" w:hAnsi="Verdana" w:cs="Arial"/>
        </w:rPr>
        <w:t xml:space="preserve">en documentos y actuaciones electrónicas generadas en tiempo real, de tal manera que el proceso contractual avanza en la medida en la que se generen y aprueben estos documentos y actuaciones electrónicas en la plataforma. </w:t>
      </w:r>
    </w:p>
    <w:p w14:paraId="3440F86B" w14:textId="77777777" w:rsidR="0022452E" w:rsidRPr="00E27FE4" w:rsidRDefault="0022452E" w:rsidP="0022452E">
      <w:pPr>
        <w:widowControl w:val="0"/>
        <w:autoSpaceDE w:val="0"/>
        <w:autoSpaceDN w:val="0"/>
        <w:spacing w:after="120" w:line="276" w:lineRule="auto"/>
        <w:ind w:firstLine="709"/>
        <w:jc w:val="both"/>
        <w:rPr>
          <w:rFonts w:ascii="Verdana" w:hAnsi="Verdana" w:cs="Arial"/>
        </w:rPr>
      </w:pPr>
      <w:r w:rsidRPr="00E27FE4">
        <w:rPr>
          <w:rFonts w:ascii="Verdana" w:hAnsi="Verdana" w:cs="Arial"/>
        </w:rPr>
        <w:t xml:space="preserve">Esta </w:t>
      </w:r>
      <w:r>
        <w:rPr>
          <w:rFonts w:ascii="Verdana" w:hAnsi="Verdana" w:cs="Arial"/>
        </w:rPr>
        <w:t>característica marca</w:t>
      </w:r>
      <w:r w:rsidRPr="00E27FE4">
        <w:rPr>
          <w:rFonts w:ascii="Verdana" w:hAnsi="Verdana" w:cs="Arial"/>
        </w:rPr>
        <w:t xml:space="preserve"> una diferencia</w:t>
      </w:r>
      <w:r>
        <w:rPr>
          <w:rFonts w:ascii="Verdana" w:hAnsi="Verdana" w:cs="Arial"/>
        </w:rPr>
        <w:t xml:space="preserve"> fundamental</w:t>
      </w:r>
      <w:r w:rsidRPr="00E27FE4">
        <w:rPr>
          <w:rFonts w:ascii="Verdana" w:hAnsi="Verdana" w:cs="Arial"/>
        </w:rPr>
        <w:t xml:space="preserve"> respecto de los procesos publicados en el SECOP I, en los que primero se generan los documentos escritos y luego se publican en la plataforma dentro del plazo de tres (3) días previsto en el artículo 2.2.1.1.1.7.1 del Decreto 1082 de 2015. Esto significa que el término de tres (3) días para publicar, en la práctica, no opera en las actuaciones generadas de manera electrónica dentro de los procedimientos gestionados a través de SECOP II, puesto que tales documentos son creados o expedidos mediante la propia plataforma, razón por la que una vez estos se aprueban quedan inmediatamente publicados, sin que transcurra el referido término.</w:t>
      </w:r>
    </w:p>
    <w:p w14:paraId="3B86F3AB" w14:textId="77777777" w:rsidR="0022452E" w:rsidRPr="005416FC" w:rsidRDefault="0022452E" w:rsidP="0022452E">
      <w:pPr>
        <w:widowControl w:val="0"/>
        <w:autoSpaceDE w:val="0"/>
        <w:autoSpaceDN w:val="0"/>
        <w:spacing w:after="120" w:line="276" w:lineRule="auto"/>
        <w:ind w:firstLine="709"/>
        <w:jc w:val="both"/>
        <w:rPr>
          <w:rFonts w:ascii="Verdana" w:hAnsi="Verdana" w:cs="Arial"/>
        </w:rPr>
      </w:pPr>
      <w:r w:rsidRPr="005416FC">
        <w:rPr>
          <w:rFonts w:ascii="Verdana" w:hAnsi="Verdana" w:cs="Arial"/>
        </w:rPr>
        <w:t>En ese sentido, debe resaltarse que la fecha y hora que otorga la plataforma al momento en que el usuario —sea funcionario de la entidad compradora o representante del proveedor— ejecuta la acción correspondiente, constituye la marca temporal oficial del documento, garantizando su autenticidad, trazabilidad y validez jurídica. Dicho registro no solo reemplaza la necesidad de una fecha manual consignada en un documento físico, sino que además tiene efectos probatorios, al tratarse de un dato generado y conservado dentro de un sistema transaccional que asegura la integridad de la información</w:t>
      </w:r>
      <w:r w:rsidRPr="00E27FE4">
        <w:rPr>
          <w:rStyle w:val="Refdenotaalpie"/>
          <w:rFonts w:ascii="Verdana" w:hAnsi="Verdana" w:cs="Arial"/>
        </w:rPr>
        <w:footnoteReference w:id="13"/>
      </w:r>
      <w:r w:rsidRPr="005416FC">
        <w:rPr>
          <w:rFonts w:ascii="Verdana" w:hAnsi="Verdana" w:cs="Arial"/>
        </w:rPr>
        <w:t>.</w:t>
      </w:r>
    </w:p>
    <w:p w14:paraId="433EB5F2" w14:textId="77777777" w:rsidR="0022452E" w:rsidRPr="005416FC" w:rsidRDefault="0022452E" w:rsidP="0022452E">
      <w:pPr>
        <w:widowControl w:val="0"/>
        <w:autoSpaceDE w:val="0"/>
        <w:autoSpaceDN w:val="0"/>
        <w:spacing w:after="120" w:line="276" w:lineRule="auto"/>
        <w:ind w:firstLine="709"/>
        <w:jc w:val="both"/>
        <w:rPr>
          <w:rFonts w:ascii="Verdana" w:hAnsi="Verdana" w:cs="Arial"/>
        </w:rPr>
      </w:pPr>
      <w:r w:rsidRPr="005416FC">
        <w:rPr>
          <w:rFonts w:ascii="Verdana" w:hAnsi="Verdana" w:cs="Arial"/>
        </w:rPr>
        <w:lastRenderedPageBreak/>
        <w:t>Por lo tanto, en los procesos gestionados a través de SECOP II, la fecha prevalente para efectos contractuales será aquella que registre automáticamente la plataforma en el momento en que se realice la actuación, sin perjuicio de que, para fines de gestión documental y en cumplimiento de la normativa archivística, los documentos que se produzcan en medio físico conserven también la fecha de su elaboración.</w:t>
      </w:r>
    </w:p>
    <w:p w14:paraId="57D6E20C" w14:textId="77777777" w:rsidR="0022452E" w:rsidRPr="00E27FE4" w:rsidRDefault="0022452E" w:rsidP="0022452E">
      <w:pPr>
        <w:widowControl w:val="0"/>
        <w:autoSpaceDE w:val="0"/>
        <w:autoSpaceDN w:val="0"/>
        <w:spacing w:after="120" w:line="276" w:lineRule="auto"/>
        <w:ind w:firstLine="709"/>
        <w:jc w:val="both"/>
        <w:rPr>
          <w:rFonts w:ascii="Verdana" w:hAnsi="Verdana" w:cs="Arial"/>
        </w:rPr>
      </w:pPr>
      <w:r w:rsidRPr="00E27FE4">
        <w:rPr>
          <w:rFonts w:ascii="Verdana" w:hAnsi="Verdana" w:cs="Arial"/>
        </w:rPr>
        <w:t>En ese orden de ideas, el carácter transaccional de SECOP II, como herramienta que permite no solo publicar sino también gestionar y crear Documentos del Proceso de manera electrónica al interior de la plataforma</w:t>
      </w:r>
      <w:r>
        <w:rPr>
          <w:rFonts w:ascii="Verdana" w:hAnsi="Verdana" w:cs="Arial"/>
        </w:rPr>
        <w:t xml:space="preserve"> em tiempo real</w:t>
      </w:r>
      <w:r w:rsidRPr="00E27FE4">
        <w:rPr>
          <w:rFonts w:ascii="Verdana" w:hAnsi="Verdana" w:cs="Arial"/>
        </w:rPr>
        <w:t>, implica que el deber de publicidad respecto de estas actuaciones se cumpla de manera distinta a como sucede en SECOP I, donde los documentos contractuales se expiden primero en un medio físico que posteriormente es cargado en la plataforma.</w:t>
      </w:r>
    </w:p>
    <w:bookmarkEnd w:id="12"/>
    <w:p w14:paraId="69AADE18" w14:textId="77777777" w:rsidR="0022452E" w:rsidRPr="00E27FE4" w:rsidRDefault="0022452E" w:rsidP="0022452E">
      <w:pPr>
        <w:widowControl w:val="0"/>
        <w:autoSpaceDE w:val="0"/>
        <w:autoSpaceDN w:val="0"/>
        <w:spacing w:after="120" w:line="276" w:lineRule="auto"/>
        <w:ind w:firstLine="709"/>
        <w:jc w:val="both"/>
        <w:rPr>
          <w:rFonts w:ascii="Verdana" w:hAnsi="Verdana" w:cs="Arial"/>
        </w:rPr>
      </w:pPr>
      <w:r w:rsidRPr="00E27FE4">
        <w:rPr>
          <w:rFonts w:ascii="Verdana" w:eastAsia="Calibri" w:hAnsi="Verdana" w:cs="Arial"/>
          <w:bCs/>
          <w:color w:val="000000" w:themeColor="text1"/>
        </w:rPr>
        <w:t xml:space="preserve">A modo de ejemplo, puede ocurrir que el documento al que se le otorgue el carácter de </w:t>
      </w:r>
      <w:r w:rsidRPr="00E27FE4">
        <w:rPr>
          <w:rFonts w:ascii="Verdana" w:eastAsia="Calibri" w:hAnsi="Verdana" w:cs="Arial"/>
          <w:bCs/>
          <w:i/>
          <w:iCs/>
          <w:color w:val="000000" w:themeColor="text1"/>
        </w:rPr>
        <w:t xml:space="preserve">estudios previos </w:t>
      </w:r>
      <w:r w:rsidRPr="00E27FE4">
        <w:rPr>
          <w:rFonts w:ascii="Verdana" w:eastAsia="Calibri" w:hAnsi="Verdana" w:cs="Arial"/>
          <w:bCs/>
          <w:color w:val="000000" w:themeColor="text1"/>
        </w:rPr>
        <w:t xml:space="preserve">o el </w:t>
      </w:r>
      <w:r w:rsidRPr="00E27FE4">
        <w:rPr>
          <w:rFonts w:ascii="Verdana" w:eastAsia="Calibri" w:hAnsi="Verdana" w:cs="Arial"/>
          <w:bCs/>
          <w:i/>
          <w:iCs/>
          <w:color w:val="000000" w:themeColor="text1"/>
        </w:rPr>
        <w:t xml:space="preserve">aviso de convocatoria </w:t>
      </w:r>
      <w:r w:rsidRPr="00E27FE4">
        <w:rPr>
          <w:rFonts w:ascii="Verdana" w:eastAsia="Calibri" w:hAnsi="Verdana" w:cs="Arial"/>
          <w:bCs/>
          <w:color w:val="000000" w:themeColor="text1"/>
        </w:rPr>
        <w:t xml:space="preserve">o el </w:t>
      </w:r>
      <w:r w:rsidRPr="00E27FE4">
        <w:rPr>
          <w:rFonts w:ascii="Verdana" w:eastAsia="Calibri" w:hAnsi="Verdana" w:cs="Arial"/>
          <w:bCs/>
          <w:i/>
          <w:iCs/>
          <w:color w:val="000000" w:themeColor="text1"/>
        </w:rPr>
        <w:t xml:space="preserve">informe de evaluación </w:t>
      </w:r>
      <w:r w:rsidRPr="00E27FE4">
        <w:rPr>
          <w:rFonts w:ascii="Verdana" w:eastAsia="Calibri" w:hAnsi="Verdana" w:cs="Arial"/>
          <w:bCs/>
          <w:color w:val="000000" w:themeColor="text1"/>
        </w:rPr>
        <w:t xml:space="preserve">tenga discrepancias entre la fecha de elaboración y la fecha en la que efectivamente fue publicado para acceso a los partícipes del sistema de compra pública. En este caso, </w:t>
      </w:r>
      <w:r w:rsidRPr="00E27FE4">
        <w:rPr>
          <w:rFonts w:ascii="Verdana" w:eastAsia="Calibri" w:hAnsi="Verdana" w:cs="Arial"/>
          <w:color w:val="000000" w:themeColor="text1"/>
        </w:rPr>
        <w:t xml:space="preserve">la naturaleza transaccional del SECOP II implica que su publicación es concomitante a la actuación de los usuarios, dado que, una vez publicados dichos documentos en la plataforma, será el sello de tiempo electrónico y producido de forma inmediata el prevalente, más allá del trámite administrativo interno que cada entidad estatal contemple para efectos de determinar cuáles serán los atributos de calidad con los que deberán contar los mismos, de conformidad con lo preceptuado en normas que regulan la materia </w:t>
      </w:r>
      <w:r w:rsidRPr="005416FC">
        <w:rPr>
          <w:rFonts w:ascii="Verdana" w:hAnsi="Verdana" w:cs="Arial"/>
        </w:rPr>
        <w:t>—</w:t>
      </w:r>
      <w:r w:rsidRPr="00E27FE4">
        <w:rPr>
          <w:rFonts w:ascii="Verdana" w:hAnsi="Verdana" w:cs="Arial"/>
        </w:rPr>
        <w:t>Ley 594 de 2000 (Ley General de Archivos), Decreto 1080 de 2015 (Decreto Único Reglamentario del Sector Cultura), y las directrices y acuerdos del Archivo General de la Nación (AGN), como el Acuerdo 04 de 2019 y la Circular 0001 de 2020, que definen políticas y procedimientos como la gestión de documentos electrónicos y la elaboración de las Tablas de Retención Documental (TRD)</w:t>
      </w:r>
      <w:r w:rsidRPr="005416FC">
        <w:rPr>
          <w:rFonts w:ascii="Verdana" w:hAnsi="Verdana" w:cs="Arial"/>
        </w:rPr>
        <w:t>—</w:t>
      </w:r>
      <w:r w:rsidRPr="00E27FE4">
        <w:rPr>
          <w:rFonts w:ascii="Verdana" w:hAnsi="Verdana" w:cs="Arial"/>
        </w:rPr>
        <w:t>.</w:t>
      </w:r>
    </w:p>
    <w:p w14:paraId="5B172299" w14:textId="77777777" w:rsidR="0022452E" w:rsidRPr="00E27FE4" w:rsidRDefault="0022452E" w:rsidP="0022452E">
      <w:pPr>
        <w:widowControl w:val="0"/>
        <w:autoSpaceDE w:val="0"/>
        <w:autoSpaceDN w:val="0"/>
        <w:spacing w:after="0" w:line="276" w:lineRule="auto"/>
        <w:ind w:firstLine="709"/>
        <w:jc w:val="both"/>
        <w:rPr>
          <w:rFonts w:ascii="Verdana" w:hAnsi="Verdana" w:cs="Arial"/>
        </w:rPr>
      </w:pPr>
      <w:r w:rsidRPr="00E27FE4">
        <w:rPr>
          <w:rFonts w:ascii="Verdana" w:hAnsi="Verdana" w:cs="Arial"/>
        </w:rPr>
        <w:t xml:space="preserve">En conclusión, (i) los documentos contractuales constituyen documentos de archivo que, conforme a la normativa archivística, deben contar con fecha de elaboración como atributo esencial de identificación; y (ii) en los procesos </w:t>
      </w:r>
      <w:r w:rsidRPr="00E27FE4">
        <w:rPr>
          <w:rFonts w:ascii="Verdana" w:hAnsi="Verdana" w:cs="Arial"/>
        </w:rPr>
        <w:lastRenderedPageBreak/>
        <w:t>gestionados a través del SECOP II, la fecha y hora prevalente será la registrada por la plataforma en el momento de la actuación, por constituir un sello de tiempo electrónico con efectos jurídicos y probatorios.</w:t>
      </w:r>
    </w:p>
    <w:p w14:paraId="2197264B" w14:textId="77777777" w:rsidR="0022452E" w:rsidRPr="00E27FE4" w:rsidRDefault="0022452E" w:rsidP="0022452E">
      <w:pPr>
        <w:widowControl w:val="0"/>
        <w:autoSpaceDE w:val="0"/>
        <w:autoSpaceDN w:val="0"/>
        <w:spacing w:after="0" w:line="276" w:lineRule="auto"/>
        <w:ind w:firstLine="709"/>
        <w:jc w:val="both"/>
        <w:rPr>
          <w:rFonts w:ascii="Verdana" w:eastAsia="Calibri" w:hAnsi="Verdana" w:cs="Arial"/>
        </w:rPr>
      </w:pPr>
    </w:p>
    <w:p w14:paraId="3EA4D580" w14:textId="77777777" w:rsidR="0022452E" w:rsidRPr="00E27FE4" w:rsidRDefault="0022452E" w:rsidP="0022452E">
      <w:pPr>
        <w:tabs>
          <w:tab w:val="left" w:pos="142"/>
          <w:tab w:val="left" w:pos="284"/>
        </w:tabs>
        <w:spacing w:after="0" w:line="276" w:lineRule="auto"/>
        <w:jc w:val="both"/>
        <w:rPr>
          <w:rFonts w:ascii="Verdana" w:eastAsia="Century Gothic" w:hAnsi="Verdana" w:cs="Century Gothic"/>
          <w:b/>
          <w:bCs/>
        </w:rPr>
      </w:pPr>
      <w:r w:rsidRPr="00E27FE4">
        <w:rPr>
          <w:rFonts w:ascii="Verdana" w:eastAsia="Century Gothic" w:hAnsi="Verdana" w:cs="Century Gothic"/>
          <w:b/>
          <w:bCs/>
        </w:rPr>
        <w:t>4. Referencias normativas, jurisprudenciales y otras fuentes:</w:t>
      </w:r>
    </w:p>
    <w:p w14:paraId="549F6990" w14:textId="77777777" w:rsidR="0022452E" w:rsidRPr="00E27FE4" w:rsidRDefault="0022452E" w:rsidP="0022452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452E" w:rsidRPr="00E27FE4" w14:paraId="7E2EA961" w14:textId="77777777" w:rsidTr="003B7CF0">
        <w:trPr>
          <w:trHeight w:val="204"/>
        </w:trPr>
        <w:tc>
          <w:tcPr>
            <w:tcW w:w="8647" w:type="dxa"/>
          </w:tcPr>
          <w:p w14:paraId="02A19FE5"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hAnsi="Verdana" w:cs="Arial"/>
              </w:rPr>
              <w:t>Ley 80 de 1993, artículo 5, 77</w:t>
            </w:r>
          </w:p>
          <w:p w14:paraId="0D7FBADC"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eastAsia="Calibri" w:hAnsi="Verdana" w:cs="Arial"/>
                <w:color w:val="000000" w:themeColor="text1"/>
              </w:rPr>
              <w:t>Ley 1150 de 2007, artículo 3</w:t>
            </w:r>
          </w:p>
          <w:p w14:paraId="783032E8"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hAnsi="Verdana" w:cs="Arial"/>
              </w:rPr>
              <w:t>Ley 527 de 1999 artículo 2 y 10</w:t>
            </w:r>
          </w:p>
          <w:p w14:paraId="6C1DECD5"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hAnsi="Verdana" w:cs="Arial"/>
              </w:rPr>
              <w:t>Ley 1712 de 2014: artículo 2, 3</w:t>
            </w:r>
            <w:r w:rsidRPr="00E27FE4">
              <w:rPr>
                <w:rFonts w:ascii="Verdana" w:eastAsia="Arial" w:hAnsi="Verdana" w:cs="Arial"/>
              </w:rPr>
              <w:t xml:space="preserve"> literales h), i), k),</w:t>
            </w:r>
            <w:r w:rsidRPr="00E27FE4">
              <w:rPr>
                <w:rFonts w:ascii="Verdana" w:hAnsi="Verdana" w:cs="Arial"/>
              </w:rPr>
              <w:t xml:space="preserve"> literal e) del artículo 9, literal g) del artículo 11</w:t>
            </w:r>
          </w:p>
          <w:p w14:paraId="53139FA3"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eastAsia="Calibri" w:hAnsi="Verdana" w:cs="Arial"/>
                <w:color w:val="000000" w:themeColor="text1"/>
              </w:rPr>
              <w:t>Ley 1437 de 2011 artículo 5, numeral 1, artículo 7, numeral 6, artículo 35, artículos 53 al 64</w:t>
            </w:r>
          </w:p>
          <w:p w14:paraId="32E01E96"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hAnsi="Verdana" w:cs="Arial"/>
              </w:rPr>
              <w:t>Decreto 1082 de 2015, artículos 2.2.1.1.1.7.1, 2.2.1.1.1.3.1, 2.2.1.2.1.4.3, 2.2.1.2.1.4.6.</w:t>
            </w:r>
          </w:p>
          <w:p w14:paraId="5B022952"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hAnsi="Verdana" w:cs="Arial"/>
              </w:rPr>
              <w:t>Decreto 4170 de 2011, artículo 3.8</w:t>
            </w:r>
          </w:p>
          <w:p w14:paraId="7CF81DE8"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hAnsi="Verdana" w:cs="Arial"/>
              </w:rPr>
              <w:t>Decreto 1081 de 2015, Artículo 2.1.1.2.1.7.</w:t>
            </w:r>
          </w:p>
          <w:p w14:paraId="55A0356E" w14:textId="77777777" w:rsidR="0022452E" w:rsidRPr="00E27FE4" w:rsidRDefault="0022452E" w:rsidP="0022452E">
            <w:pPr>
              <w:widowControl w:val="0"/>
              <w:numPr>
                <w:ilvl w:val="0"/>
                <w:numId w:val="1"/>
              </w:numPr>
              <w:autoSpaceDE w:val="0"/>
              <w:autoSpaceDN w:val="0"/>
              <w:spacing w:line="276" w:lineRule="auto"/>
              <w:ind w:left="714" w:hanging="357"/>
              <w:jc w:val="both"/>
              <w:rPr>
                <w:rFonts w:ascii="Verdana" w:hAnsi="Verdana" w:cs="Arial"/>
              </w:rPr>
            </w:pPr>
            <w:r w:rsidRPr="00E27FE4">
              <w:rPr>
                <w:rFonts w:ascii="Verdana" w:hAnsi="Verdana" w:cs="Arial"/>
              </w:rPr>
              <w:t xml:space="preserve">Circular Externa Única de la Agencia Nacional de Contratación Pública – Colombia Compra Eficiente, numeral 1.2, numeral </w:t>
            </w:r>
            <w:r w:rsidRPr="00E27FE4">
              <w:rPr>
                <w:rFonts w:ascii="Verdana" w:eastAsia="Calibri" w:hAnsi="Verdana" w:cs="Arial"/>
              </w:rPr>
              <w:t>2.3.</w:t>
            </w:r>
          </w:p>
        </w:tc>
      </w:tr>
    </w:tbl>
    <w:p w14:paraId="5F24E812" w14:textId="77777777" w:rsidR="0022452E" w:rsidRPr="00E27FE4" w:rsidRDefault="0022452E" w:rsidP="0022452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5E7E1DE" w14:textId="77777777" w:rsidR="0022452E" w:rsidRPr="00E27FE4" w:rsidRDefault="0022452E" w:rsidP="0022452E">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E27FE4">
        <w:rPr>
          <w:rFonts w:ascii="Verdana" w:eastAsia="Century Gothic" w:hAnsi="Verdana" w:cs="Century Gothic"/>
          <w:b/>
          <w:bCs/>
        </w:rPr>
        <w:t>5. Doctrina de la Agencia Nacional de Contratación Pública:</w:t>
      </w:r>
    </w:p>
    <w:p w14:paraId="4BD0C7A2" w14:textId="77777777" w:rsidR="0022452E" w:rsidRPr="00E27FE4" w:rsidRDefault="0022452E" w:rsidP="0022452E">
      <w:pPr>
        <w:spacing w:after="0" w:line="276" w:lineRule="auto"/>
        <w:ind w:firstLine="709"/>
        <w:jc w:val="both"/>
        <w:rPr>
          <w:rFonts w:ascii="Verdana" w:eastAsia="Times New Roman" w:hAnsi="Verdana" w:cs="Arial"/>
          <w:lang w:eastAsia="es-ES_tradnl"/>
        </w:rPr>
      </w:pPr>
    </w:p>
    <w:p w14:paraId="23875E5B" w14:textId="77777777" w:rsidR="0022452E" w:rsidRPr="00E27FE4" w:rsidRDefault="0022452E" w:rsidP="0022452E">
      <w:pPr>
        <w:widowControl w:val="0"/>
        <w:autoSpaceDE w:val="0"/>
        <w:autoSpaceDN w:val="0"/>
        <w:spacing w:after="0" w:line="276" w:lineRule="auto"/>
        <w:jc w:val="both"/>
        <w:rPr>
          <w:rFonts w:ascii="Verdana" w:eastAsia="Calibri" w:hAnsi="Verdana" w:cs="Arial"/>
          <w:lang w:eastAsia="es-ES_tradnl"/>
        </w:rPr>
      </w:pPr>
      <w:r w:rsidRPr="00E27FE4">
        <w:rPr>
          <w:rFonts w:ascii="Verdana" w:eastAsia="Calibri" w:hAnsi="Verdana" w:cs="Arial"/>
          <w:color w:val="000000" w:themeColor="text1"/>
          <w:lang w:eastAsia="es-ES_tradnl"/>
        </w:rPr>
        <w:t>La Agencia Nacional de Contratación Pública – Colombia Compra Eficiente se ha pronunciado sobre los principios de publicidad y de acceso a la información pública en la contratación estatal, así como sobre los fundamentos normativos del deber de publicar la documentación contractual en las plataformas SECOP I y SECOP II, en el Concepto CU-367 del 23 de julio de 2020, el cual fue reiterado –entre otros–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C-379 del 22 de junio de 2022, C-148 del 30 de mayo de 2023, C-185 del 24 de marzo de 2025,</w:t>
      </w:r>
      <w:r w:rsidRPr="00E27FE4">
        <w:rPr>
          <w:rFonts w:ascii="Verdana" w:hAnsi="Verdana" w:cs="Arial"/>
          <w:shd w:val="clear" w:color="auto" w:fill="FFFFFF"/>
        </w:rPr>
        <w:t xml:space="preserve"> </w:t>
      </w:r>
      <w:r>
        <w:rPr>
          <w:rFonts w:ascii="Verdana" w:hAnsi="Verdana" w:cs="Arial"/>
          <w:shd w:val="clear" w:color="auto" w:fill="FFFFFF"/>
        </w:rPr>
        <w:t xml:space="preserve">C-962 del 26 de agosto de 2025, </w:t>
      </w:r>
      <w:r w:rsidRPr="00E27FE4">
        <w:rPr>
          <w:rFonts w:ascii="Verdana" w:hAnsi="Verdana" w:cs="Arial"/>
          <w:shd w:val="clear" w:color="auto" w:fill="FFFFFF"/>
        </w:rPr>
        <w:t>entre otros</w:t>
      </w:r>
      <w:r w:rsidRPr="00E27FE4">
        <w:rPr>
          <w:rFonts w:ascii="Verdana" w:hAnsi="Verdana" w:cs="Arial"/>
        </w:rPr>
        <w:t xml:space="preserve">. </w:t>
      </w:r>
      <w:r w:rsidRPr="00E27FE4">
        <w:rPr>
          <w:rFonts w:ascii="Verdana" w:eastAsia="Calibri" w:hAnsi="Verdana" w:cs="Arial"/>
          <w:lang w:eastAsia="es-ES"/>
        </w:rPr>
        <w:t xml:space="preserve">Estos y otros conceptos </w:t>
      </w:r>
      <w:r w:rsidRPr="00E27FE4">
        <w:rPr>
          <w:rFonts w:ascii="Verdana" w:eastAsia="Calibri" w:hAnsi="Verdana" w:cs="Arial"/>
          <w:lang w:eastAsia="es-ES"/>
        </w:rPr>
        <w:lastRenderedPageBreak/>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r>
        <w:rPr>
          <w:rFonts w:ascii="Verdana" w:eastAsia="Calibri" w:hAnsi="Verdana" w:cs="Arial"/>
          <w:lang w:eastAsia="es-ES"/>
        </w:rPr>
        <w:t xml:space="preserve"> </w:t>
      </w:r>
      <w:hyperlink r:id="rId10" w:history="1">
        <w:r w:rsidRPr="00E27FE4">
          <w:rPr>
            <w:rStyle w:val="Hipervnculo"/>
            <w:rFonts w:ascii="Verdana" w:eastAsia="Calibri" w:hAnsi="Verdana" w:cs="Arial"/>
            <w:lang w:eastAsia="es-ES_tradnl"/>
          </w:rPr>
          <w:t>https://relatoria.colombiacompra.gov.co/</w:t>
        </w:r>
      </w:hyperlink>
      <w:r w:rsidRPr="00E27FE4">
        <w:rPr>
          <w:rFonts w:ascii="Verdana" w:eastAsia="Calibri" w:hAnsi="Verdana" w:cs="Arial"/>
          <w:lang w:eastAsia="es-ES_tradnl"/>
        </w:rPr>
        <w:t> </w:t>
      </w:r>
    </w:p>
    <w:p w14:paraId="1B3B8DFF" w14:textId="77777777" w:rsidR="0022452E" w:rsidRPr="00E27FE4" w:rsidRDefault="0022452E" w:rsidP="0022452E">
      <w:pPr>
        <w:widowControl w:val="0"/>
        <w:autoSpaceDE w:val="0"/>
        <w:autoSpaceDN w:val="0"/>
        <w:spacing w:after="0" w:line="276" w:lineRule="auto"/>
        <w:jc w:val="both"/>
        <w:rPr>
          <w:rFonts w:ascii="Verdana" w:eastAsia="Calibri" w:hAnsi="Verdana" w:cs="Arial"/>
          <w:lang w:eastAsia="es-ES_tradnl"/>
        </w:rPr>
      </w:pPr>
    </w:p>
    <w:p w14:paraId="56C3274F" w14:textId="77777777" w:rsidR="0022452E" w:rsidRPr="00E27FE4" w:rsidRDefault="0022452E" w:rsidP="0022452E">
      <w:pPr>
        <w:widowControl w:val="0"/>
        <w:autoSpaceDE w:val="0"/>
        <w:autoSpaceDN w:val="0"/>
        <w:spacing w:after="0" w:line="276" w:lineRule="auto"/>
        <w:jc w:val="both"/>
        <w:rPr>
          <w:rFonts w:ascii="Verdana" w:eastAsia="Times New Roman" w:hAnsi="Verdana" w:cs="Times New Roman"/>
          <w:color w:val="000000"/>
          <w:bdr w:val="none" w:sz="0" w:space="0" w:color="auto" w:frame="1"/>
          <w:lang w:eastAsia="es-CO"/>
        </w:rPr>
      </w:pPr>
      <w:r w:rsidRPr="00E27FE4">
        <w:rPr>
          <w:rFonts w:ascii="Verdana" w:eastAsia="Times New Roman" w:hAnsi="Verdana" w:cs="Times New Roman"/>
          <w:color w:val="000000"/>
          <w:bdr w:val="none" w:sz="0" w:space="0" w:color="auto" w:frame="1"/>
          <w:lang w:eastAsia="es-CO"/>
        </w:rPr>
        <w:t xml:space="preserve">También le contamos que ya se encuentra disponible la </w:t>
      </w:r>
      <w:r w:rsidRPr="00E27FE4">
        <w:rPr>
          <w:rFonts w:ascii="Verdana" w:eastAsia="Times New Roman" w:hAnsi="Verdana" w:cs="Times New Roman"/>
          <w:b/>
          <w:bCs/>
          <w:color w:val="000000"/>
          <w:bdr w:val="none" w:sz="0" w:space="0" w:color="auto" w:frame="1"/>
          <w:lang w:eastAsia="es-CO"/>
        </w:rPr>
        <w:t xml:space="preserve">Guía de lineamientos de transparencia y selección objetiva para el departamento de La Guajira – Objetivo sexto constitucional de la Sentencia T-302 del 2017. </w:t>
      </w:r>
      <w:r w:rsidRPr="00E27FE4">
        <w:rPr>
          <w:rFonts w:ascii="Verdana" w:eastAsia="Times New Roman" w:hAnsi="Verdana" w:cs="Times New Roman"/>
          <w:color w:val="000000"/>
          <w:bdr w:val="none" w:sz="0" w:space="0" w:color="auto" w:frame="1"/>
          <w:lang w:eastAsia="es-CO"/>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w:t>
      </w:r>
      <w:hyperlink r:id="rId11" w:tgtFrame="_blank" w:tooltip="Dirección URL original: https://www.colombiacompra.gov.co/wp-content/uploads/2025/05/GUIA-DE-LINEAMIENTOS-DE-TRANSPARENCIA-Y-SELECCION-OBJETIVA-1.0.pdf. Haga clic o pulse si confía en este vínculo." w:history="1">
        <w:r w:rsidRPr="00E27FE4">
          <w:rPr>
            <w:rStyle w:val="Hipervnculo"/>
            <w:rFonts w:ascii="Verdana" w:eastAsia="Times New Roman" w:hAnsi="Verdana"/>
            <w:bdr w:val="none" w:sz="0" w:space="0" w:color="auto" w:frame="1"/>
            <w:lang w:eastAsia="es-CO"/>
          </w:rPr>
          <w:t>Guía de lineamientos de transparencia y selección objetiva para el departamento de La Guajira – Objetivo sexto constitucional de la Sentencia T-302 del 2017</w:t>
        </w:r>
      </w:hyperlink>
    </w:p>
    <w:p w14:paraId="17C7D9F8" w14:textId="77777777" w:rsidR="0022452E" w:rsidRPr="00E27FE4" w:rsidRDefault="0022452E" w:rsidP="0022452E">
      <w:pPr>
        <w:widowControl w:val="0"/>
        <w:autoSpaceDE w:val="0"/>
        <w:autoSpaceDN w:val="0"/>
        <w:spacing w:after="0" w:line="276" w:lineRule="auto"/>
        <w:jc w:val="both"/>
        <w:rPr>
          <w:rFonts w:ascii="Verdana" w:hAnsi="Verdana" w:cs="Arial"/>
        </w:rPr>
      </w:pPr>
    </w:p>
    <w:p w14:paraId="6901B185" w14:textId="77777777" w:rsidR="0022452E" w:rsidRPr="00E27FE4" w:rsidRDefault="0022452E" w:rsidP="0022452E">
      <w:pPr>
        <w:spacing w:after="0" w:line="276" w:lineRule="auto"/>
        <w:jc w:val="both"/>
        <w:rPr>
          <w:rFonts w:ascii="Verdana" w:hAnsi="Verdana"/>
        </w:rPr>
      </w:pPr>
      <w:r w:rsidRPr="00E27FE4">
        <w:rPr>
          <w:rFonts w:ascii="Verdana" w:hAnsi="Verdana"/>
        </w:rPr>
        <w:t xml:space="preserve">Por último, lo invitamos a seguirnos en las redes sociales en las cuales se difunde información institucional: </w:t>
      </w:r>
    </w:p>
    <w:p w14:paraId="01041E87" w14:textId="77777777" w:rsidR="0022452E" w:rsidRPr="00E27FE4" w:rsidRDefault="0022452E" w:rsidP="0022452E">
      <w:pPr>
        <w:spacing w:after="0" w:line="276" w:lineRule="auto"/>
        <w:jc w:val="both"/>
        <w:rPr>
          <w:rFonts w:ascii="Verdana" w:hAnsi="Verdana"/>
        </w:rPr>
      </w:pPr>
    </w:p>
    <w:p w14:paraId="1613C10A" w14:textId="77777777" w:rsidR="0022452E" w:rsidRPr="00E27FE4" w:rsidRDefault="0022452E" w:rsidP="0022452E">
      <w:pPr>
        <w:spacing w:after="0" w:line="276" w:lineRule="auto"/>
        <w:jc w:val="both"/>
        <w:rPr>
          <w:rFonts w:ascii="Verdana" w:hAnsi="Verdana"/>
        </w:rPr>
      </w:pPr>
      <w:r w:rsidRPr="00E27FE4">
        <w:rPr>
          <w:rFonts w:ascii="Verdana" w:hAnsi="Verdana"/>
        </w:rPr>
        <w:t xml:space="preserve">Twitter: </w:t>
      </w:r>
      <w:r w:rsidRPr="00E27FE4">
        <w:rPr>
          <w:rStyle w:val="Hipervnculo"/>
          <w:rFonts w:ascii="Verdana" w:hAnsi="Verdana"/>
          <w:color w:val="4472C4" w:themeColor="accent1"/>
        </w:rPr>
        <w:t>@colombiacompra</w:t>
      </w:r>
      <w:r w:rsidRPr="00E27FE4">
        <w:rPr>
          <w:rFonts w:ascii="Verdana" w:hAnsi="Verdana"/>
          <w:color w:val="4472C4" w:themeColor="accent1"/>
        </w:rPr>
        <w:t xml:space="preserve"> </w:t>
      </w:r>
    </w:p>
    <w:p w14:paraId="0EE1659E" w14:textId="77777777" w:rsidR="0022452E" w:rsidRPr="00E27FE4" w:rsidRDefault="0022452E" w:rsidP="0022452E">
      <w:pPr>
        <w:spacing w:after="0" w:line="276" w:lineRule="auto"/>
        <w:jc w:val="both"/>
        <w:rPr>
          <w:rFonts w:ascii="Verdana" w:hAnsi="Verdana"/>
        </w:rPr>
      </w:pPr>
      <w:r w:rsidRPr="00E27FE4">
        <w:rPr>
          <w:rFonts w:ascii="Verdana" w:hAnsi="Verdana"/>
        </w:rPr>
        <w:t xml:space="preserve">Facebook: </w:t>
      </w:r>
      <w:r w:rsidRPr="00E27FE4">
        <w:rPr>
          <w:rStyle w:val="Hipervnculo"/>
          <w:rFonts w:ascii="Verdana" w:hAnsi="Verdana"/>
          <w:color w:val="4472C4" w:themeColor="accent1"/>
        </w:rPr>
        <w:t>ColombiaCompraEficiente</w:t>
      </w:r>
    </w:p>
    <w:p w14:paraId="78041A3A" w14:textId="77777777" w:rsidR="0022452E" w:rsidRPr="00E27FE4" w:rsidRDefault="0022452E" w:rsidP="0022452E">
      <w:pPr>
        <w:spacing w:after="0" w:line="276" w:lineRule="auto"/>
        <w:jc w:val="both"/>
        <w:rPr>
          <w:rFonts w:ascii="Verdana" w:hAnsi="Verdana"/>
        </w:rPr>
      </w:pPr>
      <w:r w:rsidRPr="00E27FE4">
        <w:rPr>
          <w:rFonts w:ascii="Verdana" w:hAnsi="Verdana"/>
        </w:rPr>
        <w:t xml:space="preserve">LinkedIn: </w:t>
      </w:r>
      <w:r w:rsidRPr="00E27FE4">
        <w:rPr>
          <w:rStyle w:val="Hipervnculo"/>
          <w:rFonts w:ascii="Verdana" w:hAnsi="Verdana"/>
          <w:color w:val="4472C4" w:themeColor="accent1"/>
        </w:rPr>
        <w:t>Agencia Nacional de Contratación Pública - Colombia Compra Eficiente</w:t>
      </w:r>
      <w:r w:rsidRPr="00E27FE4">
        <w:rPr>
          <w:rFonts w:ascii="Verdana" w:hAnsi="Verdana"/>
          <w:color w:val="4472C4" w:themeColor="accent1"/>
        </w:rPr>
        <w:t xml:space="preserve"> </w:t>
      </w:r>
      <w:r w:rsidRPr="00E27FE4">
        <w:rPr>
          <w:rFonts w:ascii="Verdana" w:hAnsi="Verdana"/>
        </w:rPr>
        <w:t xml:space="preserve">Instagram: </w:t>
      </w:r>
      <w:r w:rsidRPr="00E27FE4">
        <w:rPr>
          <w:rStyle w:val="Hipervnculo"/>
          <w:rFonts w:ascii="Verdana" w:hAnsi="Verdana"/>
          <w:color w:val="4472C4" w:themeColor="accent1"/>
        </w:rPr>
        <w:t>@colombiacompraeficiente_cce</w:t>
      </w:r>
    </w:p>
    <w:p w14:paraId="506F11A0" w14:textId="77777777" w:rsidR="0022452E" w:rsidRPr="00E27FE4" w:rsidRDefault="0022452E" w:rsidP="0022452E">
      <w:pPr>
        <w:widowControl w:val="0"/>
        <w:autoSpaceDE w:val="0"/>
        <w:autoSpaceDN w:val="0"/>
        <w:spacing w:after="0" w:line="276" w:lineRule="auto"/>
        <w:jc w:val="both"/>
        <w:rPr>
          <w:rFonts w:ascii="Verdana" w:hAnsi="Verdana"/>
        </w:rPr>
      </w:pPr>
    </w:p>
    <w:p w14:paraId="50041498" w14:textId="77777777" w:rsidR="0022452E" w:rsidRPr="00E27FE4" w:rsidRDefault="0022452E" w:rsidP="0022452E">
      <w:pPr>
        <w:widowControl w:val="0"/>
        <w:autoSpaceDE w:val="0"/>
        <w:autoSpaceDN w:val="0"/>
        <w:spacing w:after="0" w:line="276" w:lineRule="auto"/>
        <w:jc w:val="both"/>
        <w:rPr>
          <w:rFonts w:ascii="Verdana" w:hAnsi="Verdana" w:cs="Arial"/>
        </w:rPr>
      </w:pPr>
      <w:r w:rsidRPr="00E27FE4">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796F385" w14:textId="77777777" w:rsidR="0022452E" w:rsidRPr="00E27FE4" w:rsidRDefault="0022452E" w:rsidP="0022452E">
      <w:pPr>
        <w:spacing w:after="0" w:line="276" w:lineRule="auto"/>
        <w:ind w:firstLine="709"/>
        <w:jc w:val="both"/>
        <w:rPr>
          <w:rFonts w:ascii="Verdana" w:eastAsia="Times New Roman" w:hAnsi="Verdana" w:cs="Arial"/>
          <w:lang w:eastAsia="es-ES_tradnl"/>
        </w:rPr>
      </w:pPr>
    </w:p>
    <w:p w14:paraId="0509092A" w14:textId="77777777" w:rsidR="0022452E" w:rsidRPr="00E27FE4" w:rsidRDefault="0022452E" w:rsidP="0022452E">
      <w:pPr>
        <w:spacing w:after="0" w:line="276" w:lineRule="auto"/>
        <w:jc w:val="both"/>
        <w:rPr>
          <w:rFonts w:ascii="Verdana" w:eastAsia="Times New Roman" w:hAnsi="Verdana" w:cs="Arial"/>
          <w:lang w:eastAsia="es-CO"/>
        </w:rPr>
      </w:pPr>
      <w:bookmarkStart w:id="13" w:name="_Hlk117695077"/>
      <w:r w:rsidRPr="00E27FE4">
        <w:rPr>
          <w:rFonts w:ascii="Verdana" w:eastAsia="Times New Roman" w:hAnsi="Verdana" w:cs="Arial"/>
          <w:lang w:eastAsia="es-CO"/>
        </w:rPr>
        <w:t>Atentamente,</w:t>
      </w:r>
      <w:bookmarkEnd w:id="13"/>
    </w:p>
    <w:p w14:paraId="46B14D8D" w14:textId="22979958" w:rsidR="0022452E" w:rsidRPr="00E27FE4" w:rsidRDefault="00FE5B09" w:rsidP="0022452E">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2CE2961E" wp14:editId="0BA5CBE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2"/>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2452E" w:rsidRPr="00E27FE4" w14:paraId="031B7486" w14:textId="77777777" w:rsidTr="003B7CF0">
        <w:trPr>
          <w:trHeight w:val="315"/>
        </w:trPr>
        <w:tc>
          <w:tcPr>
            <w:tcW w:w="893" w:type="dxa"/>
            <w:vAlign w:val="center"/>
            <w:hideMark/>
          </w:tcPr>
          <w:p w14:paraId="1AF8E408" w14:textId="77777777" w:rsidR="0022452E" w:rsidRPr="00E27FE4" w:rsidRDefault="0022452E" w:rsidP="003B7CF0">
            <w:pPr>
              <w:contextualSpacing/>
              <w:rPr>
                <w:rFonts w:ascii="Verdana" w:hAnsi="Verdana" w:cs="Arial"/>
                <w:sz w:val="16"/>
                <w:szCs w:val="16"/>
                <w:lang w:eastAsia="es-ES"/>
              </w:rPr>
            </w:pPr>
            <w:r w:rsidRPr="00E27FE4">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950B729" w14:textId="77777777" w:rsidR="0022452E" w:rsidRPr="00E27FE4" w:rsidRDefault="0022452E" w:rsidP="003B7CF0">
            <w:pPr>
              <w:contextualSpacing/>
              <w:rPr>
                <w:rFonts w:ascii="Verdana" w:hAnsi="Verdana"/>
                <w:sz w:val="16"/>
                <w:szCs w:val="16"/>
              </w:rPr>
            </w:pPr>
            <w:r w:rsidRPr="00E27FE4">
              <w:rPr>
                <w:rFonts w:ascii="Verdana" w:hAnsi="Verdana"/>
                <w:sz w:val="16"/>
                <w:szCs w:val="16"/>
              </w:rPr>
              <w:t>Sergio Enrique Caballero Lesmes</w:t>
            </w:r>
          </w:p>
          <w:p w14:paraId="088F78D7" w14:textId="77777777" w:rsidR="0022452E" w:rsidRPr="00E27FE4" w:rsidRDefault="0022452E" w:rsidP="003B7CF0">
            <w:pPr>
              <w:contextualSpacing/>
              <w:rPr>
                <w:rFonts w:ascii="Verdana" w:eastAsia="Arial" w:hAnsi="Verdana" w:cs="Arial"/>
                <w:sz w:val="16"/>
                <w:szCs w:val="16"/>
              </w:rPr>
            </w:pPr>
            <w:r w:rsidRPr="00E27FE4">
              <w:rPr>
                <w:rFonts w:ascii="Verdana" w:hAnsi="Verdana"/>
                <w:sz w:val="16"/>
                <w:szCs w:val="16"/>
              </w:rPr>
              <w:t>Analista T2-02 de la Subdirección de Gestión Contractual</w:t>
            </w:r>
          </w:p>
        </w:tc>
      </w:tr>
      <w:tr w:rsidR="0022452E" w:rsidRPr="00E27FE4" w14:paraId="40050D79" w14:textId="77777777" w:rsidTr="003B7CF0">
        <w:trPr>
          <w:trHeight w:val="330"/>
        </w:trPr>
        <w:tc>
          <w:tcPr>
            <w:tcW w:w="893" w:type="dxa"/>
            <w:vAlign w:val="center"/>
            <w:hideMark/>
          </w:tcPr>
          <w:p w14:paraId="4F51F6CB" w14:textId="77777777" w:rsidR="0022452E" w:rsidRPr="00E27FE4" w:rsidRDefault="0022452E" w:rsidP="003B7CF0">
            <w:pPr>
              <w:contextualSpacing/>
              <w:rPr>
                <w:rFonts w:ascii="Verdana" w:hAnsi="Verdana" w:cs="Arial"/>
                <w:sz w:val="16"/>
                <w:szCs w:val="16"/>
                <w:lang w:eastAsia="es-ES"/>
              </w:rPr>
            </w:pPr>
            <w:r w:rsidRPr="00E27FE4">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675B9D8" w14:textId="16FAB7C6" w:rsidR="0022452E" w:rsidRPr="00E27FE4" w:rsidRDefault="00097482" w:rsidP="003B7CF0">
            <w:pPr>
              <w:contextualSpacing/>
              <w:rPr>
                <w:rFonts w:ascii="Verdana" w:hAnsi="Verdana"/>
                <w:sz w:val="16"/>
                <w:szCs w:val="16"/>
              </w:rPr>
            </w:pPr>
            <w:r>
              <w:rPr>
                <w:rFonts w:ascii="Verdana" w:hAnsi="Verdana"/>
                <w:sz w:val="16"/>
                <w:szCs w:val="16"/>
              </w:rPr>
              <w:t>Diana Lucía Saavedra Castañeda</w:t>
            </w:r>
          </w:p>
          <w:p w14:paraId="3D6753C2" w14:textId="77777777" w:rsidR="0022452E" w:rsidRPr="00E27FE4" w:rsidRDefault="0022452E" w:rsidP="003B7CF0">
            <w:pPr>
              <w:pStyle w:val="paragraph"/>
              <w:spacing w:before="0" w:beforeAutospacing="0" w:after="0" w:afterAutospacing="0"/>
              <w:contextualSpacing/>
              <w:textAlignment w:val="baseline"/>
              <w:rPr>
                <w:rFonts w:ascii="Verdana" w:hAnsi="Verdana" w:cs="Segoe UI"/>
                <w:sz w:val="16"/>
                <w:szCs w:val="16"/>
              </w:rPr>
            </w:pPr>
            <w:r w:rsidRPr="00E27FE4">
              <w:rPr>
                <w:rStyle w:val="normaltextrun"/>
                <w:rFonts w:ascii="Verdana" w:hAnsi="Verdana" w:cs="Arial"/>
                <w:sz w:val="16"/>
                <w:szCs w:val="16"/>
              </w:rPr>
              <w:t>Contratista de la Subdirección de Gestión Contractual</w:t>
            </w:r>
            <w:r w:rsidRPr="00E27FE4">
              <w:rPr>
                <w:rStyle w:val="eop"/>
                <w:rFonts w:ascii="Verdana" w:eastAsiaTheme="majorEastAsia" w:hAnsi="Verdana"/>
                <w:sz w:val="16"/>
                <w:szCs w:val="16"/>
              </w:rPr>
              <w:t> </w:t>
            </w:r>
          </w:p>
        </w:tc>
      </w:tr>
      <w:tr w:rsidR="0022452E" w:rsidRPr="00E27FE4" w14:paraId="14DD0C0C" w14:textId="77777777" w:rsidTr="003B7CF0">
        <w:trPr>
          <w:trHeight w:val="300"/>
        </w:trPr>
        <w:tc>
          <w:tcPr>
            <w:tcW w:w="893" w:type="dxa"/>
            <w:vAlign w:val="center"/>
          </w:tcPr>
          <w:p w14:paraId="1CE2A630" w14:textId="77777777" w:rsidR="0022452E" w:rsidRPr="00E27FE4" w:rsidRDefault="0022452E" w:rsidP="003B7CF0">
            <w:pPr>
              <w:contextualSpacing/>
              <w:rPr>
                <w:rFonts w:ascii="Verdana" w:hAnsi="Verdana" w:cs="Arial"/>
                <w:sz w:val="16"/>
                <w:szCs w:val="16"/>
                <w:lang w:eastAsia="es-ES"/>
              </w:rPr>
            </w:pPr>
            <w:r w:rsidRPr="00E27FE4">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E0E4100" w14:textId="77777777" w:rsidR="0022452E" w:rsidRPr="00E27FE4" w:rsidRDefault="0022452E" w:rsidP="003B7CF0">
            <w:r w:rsidRPr="00E27FE4">
              <w:rPr>
                <w:rFonts w:ascii="Verdana" w:eastAsia="Calibri" w:hAnsi="Verdana" w:cs="Arial"/>
                <w:sz w:val="16"/>
                <w:szCs w:val="16"/>
                <w:lang w:eastAsia="es-ES"/>
              </w:rPr>
              <w:t>Carolina Quintero Gacharná</w:t>
            </w:r>
          </w:p>
          <w:p w14:paraId="43E0745E" w14:textId="77777777" w:rsidR="0022452E" w:rsidRPr="00E27FE4" w:rsidRDefault="0022452E" w:rsidP="003B7CF0">
            <w:pPr>
              <w:contextualSpacing/>
              <w:rPr>
                <w:rFonts w:ascii="Verdana" w:eastAsia="Calibri" w:hAnsi="Verdana" w:cs="Arial"/>
                <w:sz w:val="16"/>
                <w:szCs w:val="16"/>
                <w:lang w:eastAsia="es-ES"/>
              </w:rPr>
            </w:pPr>
            <w:r w:rsidRPr="00E27FE4">
              <w:rPr>
                <w:rFonts w:ascii="Verdana" w:eastAsia="Calibri" w:hAnsi="Verdana" w:cs="Arial"/>
                <w:sz w:val="16"/>
                <w:szCs w:val="16"/>
                <w:lang w:eastAsia="es-ES"/>
              </w:rPr>
              <w:t xml:space="preserve">Subdirectora de Gestión Contractual ANCP – CCE </w:t>
            </w:r>
          </w:p>
        </w:tc>
      </w:tr>
    </w:tbl>
    <w:p w14:paraId="7F23F049" w14:textId="77777777" w:rsidR="0022452E" w:rsidRPr="00E27FE4" w:rsidRDefault="0022452E" w:rsidP="0022452E"/>
    <w:p w14:paraId="4D446FC4" w14:textId="77777777" w:rsidR="00C24FFE" w:rsidRDefault="00C24FFE"/>
    <w:sectPr w:rsidR="00C24FFE" w:rsidSect="0022452E">
      <w:headerReference w:type="default" r:id="rId13"/>
      <w:footerReference w:type="default" r:id="rId1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E214D" w14:textId="77777777" w:rsidR="0022452E" w:rsidRDefault="0022452E" w:rsidP="0022452E">
      <w:pPr>
        <w:spacing w:after="0" w:line="240" w:lineRule="auto"/>
      </w:pPr>
      <w:r>
        <w:separator/>
      </w:r>
    </w:p>
  </w:endnote>
  <w:endnote w:type="continuationSeparator" w:id="0">
    <w:p w14:paraId="72D5CA79" w14:textId="77777777" w:rsidR="0022452E" w:rsidRDefault="0022452E" w:rsidP="00224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Arial"/>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AF70" w14:textId="77777777" w:rsidR="0022452E" w:rsidRDefault="0022452E">
    <w:pPr>
      <w:pStyle w:val="Piedepgina"/>
    </w:pPr>
  </w:p>
  <w:p w14:paraId="545940D7" w14:textId="77777777" w:rsidR="0022452E" w:rsidRPr="00174B77" w:rsidRDefault="0022452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F195A2F" w14:textId="77777777" w:rsidR="0022452E" w:rsidRDefault="0022452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AA5B45D" w14:textId="77777777" w:rsidR="0022452E" w:rsidRPr="00E41027" w:rsidRDefault="0022452E" w:rsidP="00D520D8">
    <w:pPr>
      <w:spacing w:after="0"/>
      <w:jc w:val="both"/>
      <w:rPr>
        <w:rFonts w:ascii="Verdana" w:hAnsi="Verdana"/>
        <w:sz w:val="18"/>
        <w:szCs w:val="18"/>
      </w:rPr>
    </w:pPr>
    <w:r w:rsidRPr="00E41027">
      <w:rPr>
        <w:rFonts w:ascii="Verdana" w:hAnsi="Verdana"/>
        <w:sz w:val="18"/>
        <w:szCs w:val="18"/>
      </w:rPr>
      <w:t>Mesa de servicio: (+57) 601 7456788</w:t>
    </w:r>
  </w:p>
  <w:p w14:paraId="12050DDC" w14:textId="77777777" w:rsidR="0022452E" w:rsidRDefault="0022452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618E0" w14:textId="77777777" w:rsidR="0022452E" w:rsidRDefault="0022452E" w:rsidP="0022452E">
      <w:pPr>
        <w:spacing w:after="0" w:line="240" w:lineRule="auto"/>
      </w:pPr>
      <w:r>
        <w:separator/>
      </w:r>
    </w:p>
  </w:footnote>
  <w:footnote w:type="continuationSeparator" w:id="0">
    <w:p w14:paraId="4401D51D" w14:textId="77777777" w:rsidR="0022452E" w:rsidRDefault="0022452E" w:rsidP="0022452E">
      <w:pPr>
        <w:spacing w:after="0" w:line="240" w:lineRule="auto"/>
      </w:pPr>
      <w:r>
        <w:continuationSeparator/>
      </w:r>
    </w:p>
  </w:footnote>
  <w:footnote w:id="1">
    <w:p w14:paraId="13661E02" w14:textId="77777777" w:rsidR="0022452E" w:rsidRPr="00E225F9" w:rsidRDefault="0022452E" w:rsidP="0022452E">
      <w:pPr>
        <w:pStyle w:val="Textonotapie"/>
        <w:ind w:firstLine="709"/>
        <w:jc w:val="both"/>
        <w:rPr>
          <w:rFonts w:ascii="Verdana" w:hAnsi="Verdana" w:cs="Arial"/>
          <w:sz w:val="14"/>
          <w:szCs w:val="14"/>
        </w:rPr>
      </w:pPr>
      <w:r w:rsidRPr="00E225F9">
        <w:rPr>
          <w:rStyle w:val="Refdenotaalpie"/>
          <w:rFonts w:ascii="Verdana" w:hAnsi="Verdana" w:cs="Arial"/>
          <w:sz w:val="14"/>
          <w:szCs w:val="14"/>
        </w:rPr>
        <w:footnoteRef/>
      </w:r>
      <w:r w:rsidRPr="00E225F9">
        <w:rPr>
          <w:rFonts w:ascii="Verdana" w:hAnsi="Verdana" w:cs="Arial"/>
          <w:sz w:val="14"/>
          <w:szCs w:val="14"/>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4F99F82F" w14:textId="77777777" w:rsidR="0022452E" w:rsidRPr="00E225F9" w:rsidRDefault="0022452E" w:rsidP="0022452E">
      <w:pPr>
        <w:pStyle w:val="Textonotapie"/>
        <w:ind w:firstLine="709"/>
        <w:jc w:val="both"/>
        <w:rPr>
          <w:rFonts w:ascii="Verdana" w:hAnsi="Verdana" w:cs="Arial"/>
          <w:sz w:val="14"/>
          <w:szCs w:val="14"/>
        </w:rPr>
      </w:pPr>
      <w:r w:rsidRPr="00E225F9">
        <w:rPr>
          <w:rFonts w:ascii="Verdana" w:hAnsi="Verdana" w:cs="Arial"/>
          <w:sz w:val="14"/>
          <w:szCs w:val="14"/>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60D30B86" w14:textId="77777777" w:rsidR="0022452E" w:rsidRPr="00E225F9" w:rsidRDefault="0022452E" w:rsidP="0022452E">
      <w:pPr>
        <w:pStyle w:val="Textonotapie"/>
        <w:ind w:firstLine="709"/>
        <w:jc w:val="both"/>
        <w:rPr>
          <w:rFonts w:ascii="Verdana" w:hAnsi="Verdana" w:cs="Arial"/>
          <w:sz w:val="14"/>
          <w:szCs w:val="14"/>
        </w:rPr>
      </w:pPr>
      <w:r w:rsidRPr="00E225F9">
        <w:rPr>
          <w:rFonts w:ascii="Verdana" w:hAnsi="Verdana" w:cs="Arial"/>
          <w:sz w:val="14"/>
          <w:szCs w:val="14"/>
        </w:rPr>
        <w:t>[…]”.</w:t>
      </w:r>
    </w:p>
  </w:footnote>
  <w:footnote w:id="2">
    <w:p w14:paraId="1B6DF577" w14:textId="77777777" w:rsidR="0022452E" w:rsidRDefault="0022452E" w:rsidP="0022452E">
      <w:pPr>
        <w:pStyle w:val="Textonotapie"/>
        <w:ind w:firstLine="708"/>
        <w:jc w:val="both"/>
        <w:rPr>
          <w:rFonts w:ascii="Verdana" w:hAnsi="Verdana" w:cs="Arial"/>
          <w:color w:val="000000" w:themeColor="text1"/>
          <w:sz w:val="14"/>
          <w:szCs w:val="14"/>
          <w:lang w:val="es-CO"/>
        </w:rPr>
      </w:pPr>
      <w:r w:rsidRPr="00005AC4">
        <w:rPr>
          <w:rStyle w:val="Refdenotaalpie"/>
          <w:rFonts w:ascii="Verdana" w:hAnsi="Verdana" w:cs="Arial"/>
          <w:color w:val="000000" w:themeColor="text1"/>
          <w:sz w:val="14"/>
          <w:szCs w:val="14"/>
        </w:rPr>
        <w:footnoteRef/>
      </w:r>
      <w:r w:rsidRPr="00005AC4">
        <w:rPr>
          <w:rStyle w:val="Refdenotaalpie"/>
          <w:rFonts w:ascii="Verdana" w:hAnsi="Verdana" w:cs="Arial"/>
          <w:color w:val="000000" w:themeColor="text1"/>
          <w:sz w:val="14"/>
          <w:szCs w:val="14"/>
        </w:rPr>
        <w:t xml:space="preserve"> </w:t>
      </w:r>
      <w:r w:rsidRPr="00E225F9">
        <w:rPr>
          <w:rFonts w:ascii="Verdana" w:hAnsi="Verdana" w:cs="Arial"/>
          <w:color w:val="000000" w:themeColor="text1"/>
          <w:sz w:val="14"/>
          <w:szCs w:val="14"/>
        </w:rPr>
        <w:t>Ley 1712 de 2014:</w:t>
      </w:r>
      <w:r>
        <w:rPr>
          <w:rFonts w:ascii="Verdana" w:hAnsi="Verdana" w:cs="Arial"/>
          <w:color w:val="000000" w:themeColor="text1"/>
          <w:sz w:val="14"/>
          <w:szCs w:val="14"/>
        </w:rPr>
        <w:t xml:space="preserve"> “</w:t>
      </w:r>
      <w:r w:rsidRPr="0032124D">
        <w:rPr>
          <w:rFonts w:ascii="Verdana" w:hAnsi="Verdana" w:cs="Arial"/>
          <w:color w:val="000000" w:themeColor="text1"/>
          <w:sz w:val="14"/>
          <w:szCs w:val="14"/>
        </w:rPr>
        <w:t>Artículo 2°.</w:t>
      </w:r>
      <w:r>
        <w:rPr>
          <w:rFonts w:ascii="Verdana" w:hAnsi="Verdana" w:cs="Arial"/>
          <w:color w:val="000000" w:themeColor="text1"/>
          <w:sz w:val="14"/>
          <w:szCs w:val="14"/>
        </w:rPr>
        <w:t xml:space="preserve"> Principio</w:t>
      </w:r>
      <w:r w:rsidRPr="0032124D">
        <w:rPr>
          <w:rFonts w:ascii="Verdana" w:hAnsi="Verdana" w:cs="Arial"/>
          <w:color w:val="000000" w:themeColor="text1"/>
          <w:sz w:val="14"/>
          <w:szCs w:val="14"/>
        </w:rPr>
        <w:t xml:space="preserve"> de máxima publicidad para titular universal. Toda información en posesión, bajo control o custodia de un sujeto obligado es pública y no podrá ser reservada o limitada sino por disposición constitucional o legal, de conformidad con la presente ley</w:t>
      </w:r>
      <w:r>
        <w:rPr>
          <w:rFonts w:ascii="Verdana" w:hAnsi="Verdana" w:cs="Arial"/>
          <w:color w:val="000000" w:themeColor="text1"/>
          <w:sz w:val="14"/>
          <w:szCs w:val="14"/>
        </w:rPr>
        <w:t>.”</w:t>
      </w:r>
    </w:p>
    <w:p w14:paraId="646E8B47" w14:textId="77777777" w:rsidR="0022452E" w:rsidRPr="00EF3349" w:rsidRDefault="0022452E" w:rsidP="0022452E">
      <w:pPr>
        <w:pStyle w:val="Textonotapie"/>
        <w:ind w:firstLine="708"/>
        <w:rPr>
          <w:lang w:val="es-CO"/>
        </w:rPr>
      </w:pPr>
    </w:p>
  </w:footnote>
  <w:footnote w:id="3">
    <w:p w14:paraId="7FE213B5" w14:textId="77777777" w:rsidR="0022452E" w:rsidRPr="0085761A" w:rsidRDefault="0022452E" w:rsidP="0022452E">
      <w:pPr>
        <w:pStyle w:val="Textonotapie"/>
        <w:ind w:firstLine="708"/>
        <w:jc w:val="both"/>
        <w:rPr>
          <w:rFonts w:ascii="Verdana" w:hAnsi="Verdana" w:cs="Arial"/>
          <w:color w:val="000000" w:themeColor="text1"/>
          <w:sz w:val="14"/>
          <w:szCs w:val="14"/>
        </w:rPr>
      </w:pPr>
      <w:r w:rsidRPr="0085761A">
        <w:rPr>
          <w:rStyle w:val="Refdenotaalpie"/>
          <w:rFonts w:ascii="Verdana" w:hAnsi="Verdana" w:cs="Arial"/>
          <w:color w:val="000000" w:themeColor="text1"/>
          <w:sz w:val="14"/>
          <w:szCs w:val="14"/>
        </w:rPr>
        <w:footnoteRef/>
      </w:r>
      <w:r>
        <w:rPr>
          <w:rFonts w:ascii="Verdana" w:hAnsi="Verdana"/>
        </w:rPr>
        <w:t xml:space="preserve"> </w:t>
      </w:r>
      <w:r w:rsidRPr="00E225F9">
        <w:rPr>
          <w:rFonts w:ascii="Verdana" w:hAnsi="Verdana" w:cs="Arial"/>
          <w:color w:val="000000" w:themeColor="text1"/>
          <w:sz w:val="14"/>
          <w:szCs w:val="14"/>
        </w:rPr>
        <w:t>Ley 1712 de 2014:</w:t>
      </w:r>
      <w:r>
        <w:rPr>
          <w:rFonts w:ascii="Verdana" w:hAnsi="Verdana" w:cs="Arial"/>
          <w:color w:val="000000" w:themeColor="text1"/>
          <w:sz w:val="14"/>
          <w:szCs w:val="14"/>
        </w:rPr>
        <w:t xml:space="preserve"> “</w:t>
      </w:r>
      <w:r w:rsidRPr="0085761A">
        <w:rPr>
          <w:rFonts w:ascii="Verdana" w:hAnsi="Verdana" w:cs="Arial"/>
          <w:color w:val="000000" w:themeColor="text1"/>
          <w:sz w:val="14"/>
          <w:szCs w:val="14"/>
        </w:rPr>
        <w:t>Artículo 3°.</w:t>
      </w:r>
      <w:r>
        <w:rPr>
          <w:rFonts w:ascii="Verdana" w:hAnsi="Verdana" w:cs="Arial"/>
          <w:color w:val="000000" w:themeColor="text1"/>
          <w:sz w:val="14"/>
          <w:szCs w:val="14"/>
        </w:rPr>
        <w:t xml:space="preserve"> </w:t>
      </w:r>
      <w:r w:rsidRPr="000963C3">
        <w:rPr>
          <w:rFonts w:ascii="Verdana" w:hAnsi="Verdana" w:cs="Arial"/>
          <w:i/>
          <w:iCs/>
          <w:color w:val="000000" w:themeColor="text1"/>
          <w:sz w:val="14"/>
          <w:szCs w:val="14"/>
        </w:rPr>
        <w:t>Otros principios de la transparencia y acceso a la información pública</w:t>
      </w:r>
      <w:r w:rsidRPr="0085761A">
        <w:rPr>
          <w:rFonts w:ascii="Verdana" w:hAnsi="Verdana" w:cs="Arial"/>
          <w:color w:val="000000" w:themeColor="text1"/>
          <w:sz w:val="14"/>
          <w:szCs w:val="14"/>
        </w:rPr>
        <w:t>. En la interpretación del derecho de acceso a la información se deberá adoptar un criterio de razonabilidad y proporcionalidad, así como aplicar los siguientes principios:   </w:t>
      </w:r>
    </w:p>
    <w:p w14:paraId="1F1AFCB2" w14:textId="77777777" w:rsidR="0022452E" w:rsidRDefault="0022452E" w:rsidP="0022452E">
      <w:pPr>
        <w:pStyle w:val="Textonotapie"/>
        <w:ind w:firstLine="708"/>
        <w:jc w:val="both"/>
        <w:rPr>
          <w:rFonts w:ascii="Verdana" w:hAnsi="Verdana" w:cs="Arial"/>
          <w:color w:val="000000" w:themeColor="text1"/>
          <w:sz w:val="14"/>
          <w:szCs w:val="14"/>
        </w:rPr>
      </w:pPr>
      <w:r w:rsidRPr="0085761A">
        <w:rPr>
          <w:rFonts w:ascii="Verdana" w:hAnsi="Verdana" w:cs="Arial"/>
          <w:i/>
          <w:iCs/>
          <w:color w:val="000000" w:themeColor="text1"/>
          <w:sz w:val="14"/>
          <w:szCs w:val="14"/>
        </w:rPr>
        <w:t>Principio de transparencia</w:t>
      </w:r>
      <w:r w:rsidRPr="0085761A">
        <w:rPr>
          <w:rFonts w:ascii="Verdana" w:hAnsi="Verdana" w:cs="Arial"/>
          <w:color w:val="000000" w:themeColor="text1"/>
          <w:sz w:val="14"/>
          <w:szCs w:val="14"/>
        </w:rPr>
        <w:t>.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w:t>
      </w:r>
      <w:r>
        <w:rPr>
          <w:rFonts w:ascii="Verdana" w:hAnsi="Verdana" w:cs="Arial"/>
          <w:color w:val="000000" w:themeColor="text1"/>
          <w:sz w:val="14"/>
          <w:szCs w:val="14"/>
        </w:rPr>
        <w:t xml:space="preserve"> </w:t>
      </w:r>
      <w:r w:rsidRPr="0085761A">
        <w:rPr>
          <w:rFonts w:ascii="Verdana" w:hAnsi="Verdana" w:cs="Arial"/>
          <w:color w:val="000000" w:themeColor="text1"/>
          <w:sz w:val="14"/>
          <w:szCs w:val="14"/>
        </w:rPr>
        <w:t>requisitos establecidos en esta ley</w:t>
      </w:r>
      <w:r>
        <w:rPr>
          <w:rFonts w:ascii="Verdana" w:hAnsi="Verdana" w:cs="Arial"/>
          <w:color w:val="000000" w:themeColor="text1"/>
          <w:sz w:val="14"/>
          <w:szCs w:val="14"/>
        </w:rPr>
        <w:t>”.</w:t>
      </w:r>
      <w:r w:rsidRPr="0085761A">
        <w:rPr>
          <w:rFonts w:ascii="Verdana" w:hAnsi="Verdana" w:cs="Arial"/>
          <w:color w:val="000000" w:themeColor="text1"/>
          <w:sz w:val="14"/>
          <w:szCs w:val="14"/>
        </w:rPr>
        <w:t> </w:t>
      </w:r>
    </w:p>
    <w:p w14:paraId="695CE88B" w14:textId="77777777" w:rsidR="0022452E" w:rsidRPr="0085761A" w:rsidRDefault="0022452E" w:rsidP="0022452E">
      <w:pPr>
        <w:pStyle w:val="Textonotapie"/>
        <w:ind w:firstLine="708"/>
        <w:jc w:val="both"/>
        <w:rPr>
          <w:lang w:val="es-CO"/>
        </w:rPr>
      </w:pPr>
    </w:p>
  </w:footnote>
  <w:footnote w:id="4">
    <w:p w14:paraId="2C51F8F6" w14:textId="77777777" w:rsidR="0022452E" w:rsidRDefault="0022452E" w:rsidP="0022452E">
      <w:pPr>
        <w:pStyle w:val="Textonotapie"/>
        <w:ind w:firstLine="708"/>
        <w:jc w:val="both"/>
        <w:rPr>
          <w:rFonts w:ascii="Verdana" w:hAnsi="Verdana" w:cs="Arial"/>
          <w:color w:val="000000" w:themeColor="text1"/>
          <w:sz w:val="14"/>
          <w:szCs w:val="14"/>
        </w:rPr>
      </w:pPr>
      <w:r w:rsidRPr="000963C3">
        <w:rPr>
          <w:rStyle w:val="Refdenotaalpie"/>
          <w:rFonts w:ascii="Verdana" w:hAnsi="Verdana" w:cs="Arial"/>
          <w:color w:val="000000" w:themeColor="text1"/>
          <w:sz w:val="14"/>
          <w:szCs w:val="14"/>
        </w:rPr>
        <w:footnoteRef/>
      </w:r>
      <w:r w:rsidRPr="000963C3">
        <w:rPr>
          <w:rStyle w:val="Refdenotaalpie"/>
          <w:rFonts w:ascii="Verdana" w:hAnsi="Verdana" w:cs="Arial"/>
          <w:color w:val="000000" w:themeColor="text1"/>
          <w:sz w:val="14"/>
          <w:szCs w:val="14"/>
        </w:rPr>
        <w:t xml:space="preserve"> </w:t>
      </w:r>
      <w:r w:rsidRPr="00E225F9">
        <w:rPr>
          <w:rFonts w:ascii="Verdana" w:hAnsi="Verdana" w:cs="Arial"/>
          <w:color w:val="000000" w:themeColor="text1"/>
          <w:sz w:val="14"/>
          <w:szCs w:val="14"/>
        </w:rPr>
        <w:t>Ley 1712 de 2014:</w:t>
      </w:r>
      <w:r>
        <w:rPr>
          <w:rFonts w:ascii="Verdana" w:hAnsi="Verdana" w:cs="Arial"/>
          <w:color w:val="000000" w:themeColor="text1"/>
          <w:sz w:val="14"/>
          <w:szCs w:val="14"/>
        </w:rPr>
        <w:t xml:space="preserve"> </w:t>
      </w:r>
      <w:r w:rsidRPr="0085761A">
        <w:rPr>
          <w:rFonts w:ascii="Verdana" w:hAnsi="Verdana" w:cs="Arial"/>
          <w:color w:val="000000" w:themeColor="text1"/>
          <w:sz w:val="14"/>
          <w:szCs w:val="14"/>
        </w:rPr>
        <w:t>Artículo 3°.</w:t>
      </w:r>
      <w:r>
        <w:rPr>
          <w:rFonts w:ascii="Verdana" w:hAnsi="Verdana" w:cs="Arial"/>
          <w:color w:val="000000" w:themeColor="text1"/>
          <w:sz w:val="14"/>
          <w:szCs w:val="14"/>
        </w:rPr>
        <w:t xml:space="preserve"> </w:t>
      </w:r>
    </w:p>
    <w:p w14:paraId="5FC8AE63" w14:textId="77777777" w:rsidR="0022452E" w:rsidRDefault="0022452E" w:rsidP="0022452E">
      <w:pPr>
        <w:pStyle w:val="Textonotapie"/>
        <w:ind w:firstLine="708"/>
        <w:jc w:val="both"/>
        <w:rPr>
          <w:rFonts w:ascii="Verdana" w:hAnsi="Verdana" w:cs="Arial"/>
          <w:color w:val="000000" w:themeColor="text1"/>
          <w:sz w:val="14"/>
          <w:szCs w:val="14"/>
        </w:rPr>
      </w:pPr>
      <w:r>
        <w:rPr>
          <w:rFonts w:ascii="Verdana" w:hAnsi="Verdana" w:cs="Arial"/>
          <w:color w:val="000000" w:themeColor="text1"/>
          <w:sz w:val="14"/>
          <w:szCs w:val="14"/>
        </w:rPr>
        <w:t>[…]</w:t>
      </w:r>
    </w:p>
    <w:p w14:paraId="30D6EE92" w14:textId="77777777" w:rsidR="0022452E" w:rsidRDefault="0022452E" w:rsidP="0022452E">
      <w:pPr>
        <w:pStyle w:val="Textonotapie"/>
        <w:ind w:firstLine="708"/>
        <w:jc w:val="both"/>
        <w:rPr>
          <w:rFonts w:ascii="Verdana" w:hAnsi="Verdana" w:cs="Arial"/>
          <w:color w:val="000000" w:themeColor="text1"/>
          <w:sz w:val="14"/>
          <w:szCs w:val="14"/>
        </w:rPr>
      </w:pPr>
      <w:r w:rsidRPr="000963C3">
        <w:rPr>
          <w:rFonts w:ascii="Verdana" w:hAnsi="Verdana" w:cs="Arial"/>
          <w:i/>
          <w:iCs/>
          <w:color w:val="000000" w:themeColor="text1"/>
          <w:sz w:val="14"/>
          <w:szCs w:val="14"/>
        </w:rPr>
        <w:t>Principio de la calidad de la información</w:t>
      </w:r>
      <w:r w:rsidRPr="000963C3">
        <w:rPr>
          <w:rFonts w:ascii="Verdana" w:hAnsi="Verdana" w:cs="Arial"/>
          <w:color w:val="000000" w:themeColor="text1"/>
          <w:sz w:val="14"/>
          <w:szCs w:val="14"/>
        </w:rPr>
        <w:t>. Toda la información de interés público que sea producida, gestionada y difundida por el sujeto obligado, deberá ser oportuna, objetiva, veraz, completa, reutilizable, procesable y estar disponible en formatos accesibles para los solicitantes e interesados en ella, teniendo en cuenta los procedimientos de gestión documental de la respectiva entidad. </w:t>
      </w:r>
    </w:p>
    <w:p w14:paraId="408B3260" w14:textId="77777777" w:rsidR="0022452E" w:rsidRPr="000963C3" w:rsidRDefault="0022452E" w:rsidP="0022452E">
      <w:pPr>
        <w:pStyle w:val="Textonotapie"/>
        <w:ind w:firstLine="708"/>
        <w:jc w:val="both"/>
        <w:rPr>
          <w:rFonts w:ascii="Verdana" w:hAnsi="Verdana" w:cs="Arial"/>
          <w:color w:val="000000" w:themeColor="text1"/>
          <w:sz w:val="14"/>
          <w:szCs w:val="14"/>
        </w:rPr>
      </w:pPr>
    </w:p>
  </w:footnote>
  <w:footnote w:id="5">
    <w:p w14:paraId="371876D3" w14:textId="77777777" w:rsidR="0022452E" w:rsidRDefault="0022452E" w:rsidP="0022452E">
      <w:pPr>
        <w:pStyle w:val="Textonotapie"/>
        <w:ind w:firstLine="708"/>
        <w:jc w:val="both"/>
        <w:rPr>
          <w:rFonts w:ascii="Verdana" w:hAnsi="Verdana"/>
          <w:sz w:val="14"/>
          <w:szCs w:val="14"/>
        </w:rPr>
      </w:pPr>
      <w:r w:rsidRPr="00F97A64">
        <w:rPr>
          <w:rStyle w:val="Refdenotaalpie"/>
          <w:rFonts w:ascii="Verdana" w:hAnsi="Verdana"/>
          <w:sz w:val="14"/>
          <w:szCs w:val="14"/>
        </w:rPr>
        <w:footnoteRef/>
      </w:r>
      <w:r w:rsidRPr="00F97A64">
        <w:rPr>
          <w:rFonts w:ascii="Verdana" w:hAnsi="Verdana"/>
          <w:sz w:val="14"/>
          <w:szCs w:val="14"/>
        </w:rPr>
        <w:t xml:space="preserve"> </w:t>
      </w:r>
      <w:r w:rsidRPr="00E225F9">
        <w:rPr>
          <w:rFonts w:ascii="Verdana" w:hAnsi="Verdana" w:cs="Arial"/>
          <w:color w:val="000000" w:themeColor="text1"/>
          <w:sz w:val="14"/>
          <w:szCs w:val="14"/>
        </w:rPr>
        <w:t xml:space="preserve">Ley 1712 de 2014: </w:t>
      </w:r>
      <w:r>
        <w:rPr>
          <w:rFonts w:ascii="Verdana" w:hAnsi="Verdana" w:cs="Arial"/>
          <w:color w:val="000000" w:themeColor="text1"/>
          <w:sz w:val="14"/>
          <w:szCs w:val="14"/>
        </w:rPr>
        <w:t>“</w:t>
      </w:r>
      <w:r w:rsidRPr="00F97A64">
        <w:rPr>
          <w:rFonts w:ascii="Verdana" w:hAnsi="Verdana"/>
          <w:sz w:val="14"/>
          <w:szCs w:val="14"/>
        </w:rPr>
        <w:t>h) Documento de archivo. Es el registro de información producida o recibida por una entidad pública o privada en razón de sus actividades o funciones</w:t>
      </w:r>
      <w:r>
        <w:rPr>
          <w:rFonts w:ascii="Verdana" w:hAnsi="Verdana"/>
          <w:sz w:val="14"/>
          <w:szCs w:val="14"/>
        </w:rPr>
        <w:t>”</w:t>
      </w:r>
    </w:p>
    <w:p w14:paraId="40935059" w14:textId="77777777" w:rsidR="0022452E" w:rsidRPr="00F97A64" w:rsidRDefault="0022452E" w:rsidP="0022452E">
      <w:pPr>
        <w:pStyle w:val="Textonotapie"/>
        <w:ind w:firstLine="708"/>
        <w:jc w:val="both"/>
        <w:rPr>
          <w:rFonts w:ascii="Verdana" w:hAnsi="Verdana"/>
          <w:sz w:val="14"/>
          <w:szCs w:val="14"/>
          <w:lang w:val="es-CO"/>
        </w:rPr>
      </w:pPr>
    </w:p>
  </w:footnote>
  <w:footnote w:id="6">
    <w:p w14:paraId="6E7E3C0C" w14:textId="77777777" w:rsidR="0022452E" w:rsidRDefault="0022452E" w:rsidP="0022452E">
      <w:pPr>
        <w:pStyle w:val="Textonotapie"/>
        <w:ind w:firstLine="708"/>
        <w:jc w:val="both"/>
        <w:rPr>
          <w:rFonts w:ascii="Verdana" w:hAnsi="Verdana"/>
          <w:sz w:val="14"/>
          <w:szCs w:val="14"/>
          <w:lang w:val="es-CO"/>
        </w:rPr>
      </w:pPr>
      <w:r w:rsidRPr="00F97A64">
        <w:rPr>
          <w:rStyle w:val="Refdenotaalpie"/>
          <w:rFonts w:ascii="Verdana" w:hAnsi="Verdana"/>
          <w:sz w:val="14"/>
          <w:szCs w:val="14"/>
        </w:rPr>
        <w:footnoteRef/>
      </w:r>
      <w:r w:rsidRPr="00F97A64">
        <w:rPr>
          <w:rFonts w:ascii="Verdana" w:hAnsi="Verdana"/>
          <w:sz w:val="14"/>
          <w:szCs w:val="14"/>
        </w:rPr>
        <w:t xml:space="preserve"> </w:t>
      </w:r>
      <w:r w:rsidRPr="00E225F9">
        <w:rPr>
          <w:rFonts w:ascii="Verdana" w:hAnsi="Verdana" w:cs="Arial"/>
          <w:color w:val="000000" w:themeColor="text1"/>
          <w:sz w:val="14"/>
          <w:szCs w:val="14"/>
        </w:rPr>
        <w:t xml:space="preserve">Ley 1712 de 2014: </w:t>
      </w:r>
      <w:r>
        <w:rPr>
          <w:rFonts w:ascii="Verdana" w:hAnsi="Verdana" w:cs="Arial"/>
          <w:color w:val="000000" w:themeColor="text1"/>
          <w:sz w:val="14"/>
          <w:szCs w:val="14"/>
        </w:rPr>
        <w:t>“</w:t>
      </w:r>
      <w:r w:rsidRPr="00F97A64">
        <w:rPr>
          <w:rFonts w:ascii="Verdana" w:hAnsi="Verdana"/>
          <w:sz w:val="14"/>
          <w:szCs w:val="14"/>
          <w:lang w:val="es-CO"/>
        </w:rPr>
        <w:t>i) Archivo. Es el conjunto de documentos, sea cual fuere su fecha, forma y soporte material, acumulados en un proceso natural por una persona o entidad pública o privada, en el transcurso de su gestión, conservados respetando aquel orden para servir como testimonio e información a la persona o institución que los produce y a los ciudadanos, como fuentes de la historia. También se puede entender como la institución que está al servicio de la gestión administrativa, la información, la investigación y la cultura</w:t>
      </w:r>
      <w:r>
        <w:rPr>
          <w:rFonts w:ascii="Verdana" w:hAnsi="Verdana"/>
          <w:sz w:val="14"/>
          <w:szCs w:val="14"/>
          <w:lang w:val="es-CO"/>
        </w:rPr>
        <w:t>”</w:t>
      </w:r>
    </w:p>
    <w:p w14:paraId="7BD290C4" w14:textId="77777777" w:rsidR="0022452E" w:rsidRPr="00F97A64" w:rsidRDefault="0022452E" w:rsidP="0022452E">
      <w:pPr>
        <w:pStyle w:val="Textonotapie"/>
        <w:ind w:firstLine="708"/>
        <w:jc w:val="both"/>
        <w:rPr>
          <w:rFonts w:ascii="Verdana" w:hAnsi="Verdana"/>
          <w:sz w:val="14"/>
          <w:szCs w:val="14"/>
          <w:lang w:val="es-CO"/>
        </w:rPr>
      </w:pPr>
      <w:r w:rsidRPr="00F97A64">
        <w:rPr>
          <w:rFonts w:ascii="Verdana" w:hAnsi="Verdana"/>
          <w:sz w:val="14"/>
          <w:szCs w:val="14"/>
          <w:lang w:val="es-CO"/>
        </w:rPr>
        <w:t> </w:t>
      </w:r>
    </w:p>
  </w:footnote>
  <w:footnote w:id="7">
    <w:p w14:paraId="5808AB82" w14:textId="77777777" w:rsidR="0022452E" w:rsidRDefault="0022452E" w:rsidP="0022452E">
      <w:pPr>
        <w:pStyle w:val="Textonotapie"/>
        <w:ind w:firstLine="708"/>
        <w:jc w:val="both"/>
        <w:rPr>
          <w:lang w:val="es-CO"/>
        </w:rPr>
      </w:pPr>
      <w:r w:rsidRPr="00F97A64">
        <w:rPr>
          <w:rStyle w:val="Refdenotaalpie"/>
          <w:rFonts w:ascii="Verdana" w:hAnsi="Verdana"/>
          <w:sz w:val="14"/>
          <w:szCs w:val="14"/>
        </w:rPr>
        <w:footnoteRef/>
      </w:r>
      <w:r w:rsidRPr="00F97A64">
        <w:rPr>
          <w:rFonts w:ascii="Verdana" w:hAnsi="Verdana"/>
          <w:sz w:val="14"/>
          <w:szCs w:val="14"/>
        </w:rPr>
        <w:t xml:space="preserve"> </w:t>
      </w:r>
      <w:r w:rsidRPr="00E225F9">
        <w:rPr>
          <w:rFonts w:ascii="Verdana" w:hAnsi="Verdana" w:cs="Arial"/>
          <w:color w:val="000000" w:themeColor="text1"/>
          <w:sz w:val="14"/>
          <w:szCs w:val="14"/>
        </w:rPr>
        <w:t xml:space="preserve">Ley 1712 de 2014: </w:t>
      </w:r>
      <w:r>
        <w:rPr>
          <w:rFonts w:ascii="Verdana" w:hAnsi="Verdana" w:cs="Arial"/>
          <w:color w:val="000000" w:themeColor="text1"/>
          <w:sz w:val="14"/>
          <w:szCs w:val="14"/>
        </w:rPr>
        <w:t>“</w:t>
      </w:r>
      <w:r w:rsidRPr="00F97A64">
        <w:rPr>
          <w:rFonts w:ascii="Verdana" w:hAnsi="Verdana"/>
          <w:sz w:val="14"/>
          <w:szCs w:val="14"/>
          <w:lang w:val="es-CO"/>
        </w:rPr>
        <w:t>k) Documento en construcción. No será considerada información pública aquella información preliminar y no definitiva, propia del proceso deliberatorio de un sujeto obligado en su calidad de tal</w:t>
      </w:r>
      <w:r>
        <w:rPr>
          <w:rFonts w:ascii="Verdana" w:hAnsi="Verdana"/>
          <w:sz w:val="14"/>
          <w:szCs w:val="14"/>
          <w:lang w:val="es-CO"/>
        </w:rPr>
        <w:t>”</w:t>
      </w:r>
    </w:p>
    <w:p w14:paraId="5FA88140" w14:textId="77777777" w:rsidR="0022452E" w:rsidRPr="00F97A64" w:rsidRDefault="0022452E" w:rsidP="0022452E">
      <w:pPr>
        <w:pStyle w:val="Textonotapie"/>
        <w:ind w:firstLine="708"/>
        <w:jc w:val="both"/>
        <w:rPr>
          <w:lang w:val="es-CO"/>
        </w:rPr>
      </w:pPr>
    </w:p>
  </w:footnote>
  <w:footnote w:id="8">
    <w:p w14:paraId="5E736B16" w14:textId="77777777" w:rsidR="0022452E" w:rsidRPr="00E225F9" w:rsidRDefault="0022452E" w:rsidP="0022452E">
      <w:pPr>
        <w:pStyle w:val="Textonotapie"/>
        <w:ind w:right="49" w:firstLine="709"/>
        <w:jc w:val="both"/>
        <w:rPr>
          <w:rFonts w:ascii="Verdana" w:hAnsi="Verdana" w:cs="Arial"/>
          <w:color w:val="000000" w:themeColor="text1"/>
          <w:sz w:val="14"/>
          <w:szCs w:val="14"/>
        </w:rPr>
      </w:pPr>
      <w:r w:rsidRPr="00E225F9">
        <w:rPr>
          <w:rStyle w:val="Refdenotaalpie"/>
          <w:rFonts w:ascii="Verdana" w:hAnsi="Verdana" w:cs="Arial"/>
          <w:color w:val="000000" w:themeColor="text1"/>
          <w:sz w:val="14"/>
          <w:szCs w:val="14"/>
        </w:rPr>
        <w:footnoteRef/>
      </w:r>
      <w:r w:rsidRPr="00E225F9">
        <w:rPr>
          <w:rFonts w:ascii="Verdana" w:hAnsi="Verdana" w:cs="Arial"/>
          <w:color w:val="000000" w:themeColor="text1"/>
          <w:sz w:val="14"/>
          <w:szCs w:val="14"/>
        </w:rPr>
        <w:t xml:space="preserve"> Ley 1712 de 2014: “Artículo 5. Ámbito de aplicación. Las disposiciones de esta ley serán aplicables a las siguientes personas en calidad de sujetos obligados: </w:t>
      </w:r>
    </w:p>
    <w:p w14:paraId="0CE007FB" w14:textId="77777777" w:rsidR="0022452E" w:rsidRPr="00E225F9" w:rsidRDefault="0022452E" w:rsidP="0022452E">
      <w:pPr>
        <w:pStyle w:val="Textonotapie"/>
        <w:ind w:right="49" w:firstLine="709"/>
        <w:jc w:val="both"/>
        <w:rPr>
          <w:rFonts w:ascii="Verdana" w:hAnsi="Verdana" w:cs="Arial"/>
          <w:color w:val="000000" w:themeColor="text1"/>
          <w:sz w:val="14"/>
          <w:szCs w:val="14"/>
        </w:rPr>
      </w:pPr>
      <w:r w:rsidRPr="00E225F9">
        <w:rPr>
          <w:rFonts w:ascii="Verdana" w:hAnsi="Verdana" w:cs="Arial"/>
          <w:color w:val="000000" w:themeColor="text1"/>
          <w:sz w:val="14"/>
          <w:szCs w:val="14"/>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p w14:paraId="099EEB9F" w14:textId="77777777" w:rsidR="0022452E" w:rsidRPr="00E225F9" w:rsidRDefault="0022452E" w:rsidP="0022452E">
      <w:pPr>
        <w:pStyle w:val="Textonotapie"/>
        <w:ind w:right="49" w:firstLine="709"/>
        <w:jc w:val="both"/>
        <w:rPr>
          <w:rFonts w:ascii="Verdana" w:hAnsi="Verdana" w:cs="Arial"/>
          <w:color w:val="000000" w:themeColor="text1"/>
          <w:sz w:val="14"/>
          <w:szCs w:val="14"/>
        </w:rPr>
      </w:pPr>
    </w:p>
  </w:footnote>
  <w:footnote w:id="9">
    <w:p w14:paraId="30C1F885" w14:textId="77777777" w:rsidR="0022452E" w:rsidRPr="00E225F9" w:rsidRDefault="0022452E" w:rsidP="0022452E">
      <w:pPr>
        <w:pStyle w:val="Textonotapie"/>
        <w:ind w:right="49" w:firstLine="709"/>
        <w:jc w:val="both"/>
        <w:rPr>
          <w:rFonts w:ascii="Verdana" w:hAnsi="Verdana" w:cs="Arial"/>
          <w:color w:val="000000" w:themeColor="text1"/>
          <w:sz w:val="14"/>
          <w:szCs w:val="14"/>
        </w:rPr>
      </w:pPr>
      <w:r w:rsidRPr="00E225F9">
        <w:rPr>
          <w:rFonts w:ascii="Verdana" w:hAnsi="Verdana" w:cs="Arial"/>
          <w:color w:val="000000" w:themeColor="text1"/>
          <w:sz w:val="14"/>
          <w:szCs w:val="14"/>
          <w:vertAlign w:val="superscript"/>
          <w:lang w:val="es-ES" w:eastAsia="es-ES"/>
        </w:rPr>
        <w:footnoteRef/>
      </w:r>
      <w:r w:rsidRPr="00E225F9">
        <w:rPr>
          <w:rFonts w:ascii="Verdana" w:hAnsi="Verdana" w:cs="Arial"/>
          <w:color w:val="000000" w:themeColor="text1"/>
          <w:sz w:val="14"/>
          <w:szCs w:val="14"/>
          <w:vertAlign w:val="superscript"/>
          <w:lang w:val="es-ES" w:eastAsia="es-ES"/>
        </w:rPr>
        <w:t xml:space="preserve"> </w:t>
      </w:r>
      <w:r w:rsidRPr="00E225F9">
        <w:rPr>
          <w:rFonts w:ascii="Verdana" w:hAnsi="Verdana" w:cs="Arial"/>
          <w:color w:val="000000" w:themeColor="text1"/>
          <w:sz w:val="14"/>
          <w:szCs w:val="14"/>
          <w:lang w:val="es-ES" w:eastAsia="es-ES"/>
        </w:rPr>
        <w:t>“</w:t>
      </w:r>
      <w:r w:rsidRPr="00E225F9">
        <w:rPr>
          <w:rFonts w:ascii="Verdana" w:hAnsi="Verdana" w:cs="Arial"/>
          <w:color w:val="000000" w:themeColor="text1"/>
          <w:sz w:val="14"/>
          <w:szCs w:val="14"/>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1C67E447" w14:textId="77777777" w:rsidR="0022452E" w:rsidRPr="00E225F9" w:rsidRDefault="0022452E" w:rsidP="0022452E">
      <w:pPr>
        <w:pStyle w:val="Textonotapie"/>
        <w:ind w:right="49" w:firstLine="709"/>
        <w:jc w:val="both"/>
        <w:rPr>
          <w:rFonts w:ascii="Verdana" w:hAnsi="Verdana" w:cs="Arial"/>
          <w:color w:val="000000" w:themeColor="text1"/>
          <w:sz w:val="14"/>
          <w:szCs w:val="14"/>
          <w:lang w:val="es-ES" w:eastAsia="es-ES"/>
        </w:rPr>
      </w:pPr>
      <w:r w:rsidRPr="00E225F9">
        <w:rPr>
          <w:rFonts w:ascii="Verdana" w:hAnsi="Verdana" w:cs="Arial"/>
          <w:color w:val="000000" w:themeColor="text1"/>
          <w:sz w:val="14"/>
          <w:szCs w:val="14"/>
        </w:rPr>
        <w:t>[…].</w:t>
      </w:r>
    </w:p>
    <w:p w14:paraId="58AD4917" w14:textId="77777777" w:rsidR="0022452E" w:rsidRPr="00E225F9" w:rsidRDefault="0022452E" w:rsidP="0022452E">
      <w:pPr>
        <w:pStyle w:val="Textonotapie"/>
        <w:ind w:right="49" w:firstLine="709"/>
        <w:jc w:val="both"/>
        <w:rPr>
          <w:rFonts w:ascii="Verdana" w:hAnsi="Verdana" w:cs="Arial"/>
          <w:color w:val="000000" w:themeColor="text1"/>
          <w:sz w:val="14"/>
          <w:szCs w:val="14"/>
          <w:lang w:val="es-ES" w:eastAsia="es-ES"/>
        </w:rPr>
      </w:pPr>
      <w:r w:rsidRPr="00E225F9">
        <w:rPr>
          <w:rFonts w:ascii="Verdana" w:hAnsi="Verdana" w:cs="Arial"/>
          <w:color w:val="000000" w:themeColor="text1"/>
          <w:sz w:val="14"/>
          <w:szCs w:val="14"/>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AD9D445" w14:textId="77777777" w:rsidR="0022452E" w:rsidRPr="00E225F9" w:rsidRDefault="0022452E" w:rsidP="0022452E">
      <w:pPr>
        <w:pStyle w:val="Textonotapie"/>
        <w:ind w:right="49" w:firstLine="709"/>
        <w:jc w:val="both"/>
        <w:rPr>
          <w:rFonts w:ascii="Verdana" w:hAnsi="Verdana" w:cs="Arial"/>
          <w:color w:val="000000" w:themeColor="text1"/>
          <w:sz w:val="14"/>
          <w:szCs w:val="14"/>
          <w:lang w:val="es-ES" w:eastAsia="es-ES"/>
        </w:rPr>
      </w:pPr>
    </w:p>
  </w:footnote>
  <w:footnote w:id="10">
    <w:p w14:paraId="61B11788" w14:textId="77777777" w:rsidR="0022452E" w:rsidRPr="00E225F9" w:rsidRDefault="0022452E" w:rsidP="0022452E">
      <w:pPr>
        <w:pStyle w:val="Textonotapie"/>
        <w:ind w:right="49" w:firstLine="708"/>
        <w:jc w:val="both"/>
        <w:rPr>
          <w:rFonts w:ascii="Verdana" w:hAnsi="Verdana" w:cs="Arial"/>
          <w:color w:val="000000" w:themeColor="text1"/>
          <w:sz w:val="14"/>
          <w:szCs w:val="14"/>
        </w:rPr>
      </w:pPr>
      <w:r w:rsidRPr="00E225F9">
        <w:rPr>
          <w:rStyle w:val="Refdenotaalpie"/>
          <w:rFonts w:ascii="Verdana" w:hAnsi="Verdana" w:cs="Arial"/>
          <w:color w:val="000000" w:themeColor="text1"/>
          <w:sz w:val="14"/>
          <w:szCs w:val="14"/>
        </w:rPr>
        <w:footnoteRef/>
      </w:r>
      <w:r w:rsidRPr="00E225F9">
        <w:rPr>
          <w:rFonts w:ascii="Verdana" w:hAnsi="Verdana" w:cs="Arial"/>
          <w:color w:val="000000" w:themeColor="text1"/>
          <w:sz w:val="14"/>
          <w:szCs w:val="14"/>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61E0ACA6" w14:textId="77777777" w:rsidR="0022452E" w:rsidRPr="00E225F9" w:rsidRDefault="0022452E" w:rsidP="0022452E">
      <w:pPr>
        <w:pStyle w:val="Textonotapie"/>
        <w:ind w:right="49" w:firstLine="708"/>
        <w:jc w:val="both"/>
        <w:rPr>
          <w:rFonts w:ascii="Verdana" w:hAnsi="Verdana" w:cs="Arial"/>
          <w:color w:val="000000" w:themeColor="text1"/>
          <w:sz w:val="14"/>
          <w:szCs w:val="14"/>
          <w:lang w:val="es-ES"/>
        </w:rPr>
      </w:pPr>
      <w:r w:rsidRPr="00E225F9">
        <w:rPr>
          <w:rFonts w:ascii="Verdana" w:hAnsi="Verdana" w:cs="Arial"/>
          <w:color w:val="000000" w:themeColor="text1"/>
          <w:sz w:val="14"/>
          <w:szCs w:val="14"/>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11">
    <w:p w14:paraId="034C39E5" w14:textId="77777777" w:rsidR="0022452E" w:rsidRPr="00E225F9" w:rsidRDefault="0022452E" w:rsidP="0022452E">
      <w:pPr>
        <w:pStyle w:val="Textonotapie"/>
        <w:ind w:firstLine="708"/>
        <w:jc w:val="both"/>
        <w:rPr>
          <w:rFonts w:ascii="Verdana" w:hAnsi="Verdana" w:cs="Arial"/>
          <w:sz w:val="14"/>
          <w:szCs w:val="14"/>
          <w:lang w:val="es-CO"/>
        </w:rPr>
      </w:pPr>
      <w:r w:rsidRPr="00E225F9">
        <w:rPr>
          <w:rStyle w:val="Refdenotaalpie"/>
          <w:rFonts w:ascii="Verdana" w:hAnsi="Verdana" w:cs="Arial"/>
          <w:sz w:val="14"/>
          <w:szCs w:val="14"/>
        </w:rPr>
        <w:footnoteRef/>
      </w:r>
      <w:r w:rsidRPr="00E225F9">
        <w:rPr>
          <w:rFonts w:ascii="Verdana" w:hAnsi="Verdana" w:cs="Arial"/>
          <w:sz w:val="14"/>
          <w:szCs w:val="14"/>
        </w:rPr>
        <w:t xml:space="preserve"> Decreto 1082 de 2015 “Artículo 2.2.1.2.1.4.3. No publicidad de estudios y documentos previos. Los estudios y documentos previos elaborados para los siguientes Procesos de Contratación no son públicos: a) la contratación de empréstitos; b) los contratos interadministrativos que celebre el Ministerio de Hacienda y Crédito Público con el Banco de la República, y c) los contratos a los que se refiere el 2.2.1.2.1.4.6 del presente decreto”.</w:t>
      </w:r>
    </w:p>
  </w:footnote>
  <w:footnote w:id="12">
    <w:p w14:paraId="1E55B4A6" w14:textId="77777777" w:rsidR="0022452E" w:rsidRPr="00E225F9" w:rsidRDefault="0022452E" w:rsidP="0022452E">
      <w:pPr>
        <w:pStyle w:val="Textonotapie"/>
        <w:rPr>
          <w:rFonts w:ascii="Verdana" w:hAnsi="Verdana" w:cs="Arial"/>
          <w:sz w:val="14"/>
          <w:szCs w:val="14"/>
        </w:rPr>
      </w:pPr>
    </w:p>
    <w:p w14:paraId="59000F75" w14:textId="77777777" w:rsidR="0022452E" w:rsidRPr="00E225F9" w:rsidRDefault="0022452E" w:rsidP="0022452E">
      <w:pPr>
        <w:pStyle w:val="Textonotapie"/>
        <w:ind w:firstLine="708"/>
        <w:jc w:val="both"/>
        <w:rPr>
          <w:rFonts w:ascii="Verdana" w:hAnsi="Verdana" w:cs="Arial"/>
          <w:sz w:val="14"/>
          <w:szCs w:val="14"/>
        </w:rPr>
      </w:pPr>
      <w:r w:rsidRPr="00E225F9">
        <w:rPr>
          <w:rStyle w:val="Refdenotaalpie"/>
          <w:rFonts w:ascii="Verdana" w:hAnsi="Verdana" w:cs="Arial"/>
          <w:sz w:val="14"/>
          <w:szCs w:val="14"/>
        </w:rPr>
        <w:footnoteRef/>
      </w:r>
      <w:r w:rsidRPr="00E225F9">
        <w:rPr>
          <w:rFonts w:ascii="Verdana" w:hAnsi="Verdana" w:cs="Arial"/>
          <w:sz w:val="14"/>
          <w:szCs w:val="14"/>
        </w:rPr>
        <w:t xml:space="preserve"> Decreto 1082 de 2015 “Artículo 2.2.1.2.1.4.6. Contratación de Bienes y Servicios en el Sector Defensa, </w:t>
      </w:r>
      <w:bookmarkStart w:id="11" w:name="_Hlk48034091"/>
      <w:r w:rsidRPr="00E225F9">
        <w:rPr>
          <w:rFonts w:ascii="Verdana" w:hAnsi="Verdana" w:cs="Arial"/>
          <w:sz w:val="14"/>
          <w:szCs w:val="14"/>
        </w:rPr>
        <w:t>la Dirección Nacional de Inteligencia y la Unidad Nacional de Protección</w:t>
      </w:r>
      <w:bookmarkEnd w:id="11"/>
      <w:r w:rsidRPr="00E225F9">
        <w:rPr>
          <w:rFonts w:ascii="Verdana" w:hAnsi="Verdana" w:cs="Arial"/>
          <w:sz w:val="14"/>
          <w:szCs w:val="14"/>
        </w:rPr>
        <w:t xml:space="preserve"> que necesiten reserva para su adquisición. Las Entidades Estatales no están obligadas a publicar los Documentos del Proceso para adquirir bienes y servicios en el Sector Defensa, la Dirección Nacional de Inteligencia y la Unidad Nacional de Protección que requieren reserva. En estos procesos de contratación la adquisición debe hacerse en condiciones de mercado sin que sea necesario recibir varias ofertas”.</w:t>
      </w:r>
    </w:p>
    <w:p w14:paraId="725DF376" w14:textId="77777777" w:rsidR="0022452E" w:rsidRPr="00E225F9" w:rsidRDefault="0022452E" w:rsidP="0022452E">
      <w:pPr>
        <w:pStyle w:val="Textonotapie"/>
        <w:ind w:firstLine="708"/>
        <w:rPr>
          <w:rFonts w:ascii="Verdana" w:hAnsi="Verdana"/>
          <w:sz w:val="14"/>
          <w:szCs w:val="14"/>
          <w:lang w:val="es-CO"/>
        </w:rPr>
      </w:pPr>
      <w:r w:rsidRPr="00E225F9">
        <w:rPr>
          <w:rFonts w:ascii="Verdana" w:hAnsi="Verdana"/>
          <w:sz w:val="14"/>
          <w:szCs w:val="14"/>
        </w:rPr>
        <w:t xml:space="preserve"> </w:t>
      </w:r>
    </w:p>
  </w:footnote>
  <w:footnote w:id="13">
    <w:p w14:paraId="1951EEA7" w14:textId="77777777" w:rsidR="0022452E" w:rsidRPr="00290992" w:rsidRDefault="0022452E" w:rsidP="0022452E">
      <w:pPr>
        <w:pStyle w:val="Textonotapie"/>
        <w:ind w:firstLine="708"/>
        <w:jc w:val="both"/>
        <w:rPr>
          <w:rFonts w:ascii="Verdana" w:hAnsi="Verdana"/>
          <w:sz w:val="14"/>
          <w:szCs w:val="14"/>
        </w:rPr>
      </w:pPr>
      <w:r w:rsidRPr="00290992">
        <w:rPr>
          <w:rStyle w:val="Refdenotaalpie"/>
          <w:rFonts w:ascii="Verdana" w:hAnsi="Verdana"/>
          <w:sz w:val="14"/>
          <w:szCs w:val="14"/>
        </w:rPr>
        <w:footnoteRef/>
      </w:r>
      <w:r w:rsidRPr="00290992">
        <w:rPr>
          <w:rFonts w:ascii="Verdana" w:hAnsi="Verdana"/>
          <w:sz w:val="14"/>
          <w:szCs w:val="14"/>
        </w:rPr>
        <w:t xml:space="preserve"> Agencia Nacional de Contratación Pública – Colombia Compra Eficiente. Circular Externa Única. Numeral 2.3. </w:t>
      </w:r>
      <w:r w:rsidRPr="00290992">
        <w:rPr>
          <w:rFonts w:ascii="Verdana" w:hAnsi="Verdana"/>
          <w:i/>
          <w:iCs/>
          <w:sz w:val="14"/>
          <w:szCs w:val="14"/>
          <w:lang w:val="es-CO"/>
        </w:rPr>
        <w:t>Valor Legal y Probatorio de los Documentos Electrónicos</w:t>
      </w:r>
      <w:r w:rsidRPr="00290992">
        <w:rPr>
          <w:rFonts w:ascii="Verdana" w:hAnsi="Verdana"/>
          <w:sz w:val="14"/>
          <w:szCs w:val="14"/>
          <w:lang w:val="es-CO"/>
        </w:rPr>
        <w:t>: “La normativa colombiana, de forma expresa, permite que "la sustentación de las actuaciones, la expedición de los actos administrativos, los documentos, contratos y en general los actos derivados de la actividad precontractual y contractual” y la "publicación de tales actos" tengan lugar por medios electrónicos en el SECOP. En consecuencia, los documentos electrónicos que conforman el expediente del SECOP II son válidos y tienen valor probatorio, de conformidad con el Código de Procedimiento Administrativo y de lo Contencioso Administrativo, con el Código General del Proceso y con las demás normas complementarias”.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D4F03" w14:textId="77777777" w:rsidR="0022452E" w:rsidRDefault="0022452E">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1575D92" wp14:editId="6FAD98B5">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1C83C74" wp14:editId="29C43324">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60D17D6" w14:textId="77777777" w:rsidR="0022452E" w:rsidRDefault="0022452E">
    <w:pPr>
      <w:pStyle w:val="Encabezado"/>
    </w:pPr>
  </w:p>
  <w:p w14:paraId="3F581607" w14:textId="77777777" w:rsidR="0022452E" w:rsidRDefault="0022452E" w:rsidP="004A305D">
    <w:pPr>
      <w:spacing w:after="0"/>
      <w:rPr>
        <w:rFonts w:ascii="Verdana" w:hAnsi="Verdana"/>
        <w:b/>
        <w:bCs/>
      </w:rPr>
    </w:pPr>
  </w:p>
  <w:p w14:paraId="3151E79B" w14:textId="77777777" w:rsidR="0022452E" w:rsidRPr="00DC39FC" w:rsidRDefault="0022452E" w:rsidP="004A305D">
    <w:pPr>
      <w:spacing w:after="0"/>
      <w:rPr>
        <w:rFonts w:ascii="Verdana" w:hAnsi="Verdana"/>
        <w:b/>
        <w:bCs/>
      </w:rPr>
    </w:pPr>
    <w:r w:rsidRPr="00DC39FC">
      <w:rPr>
        <w:rFonts w:ascii="Verdana" w:hAnsi="Verdana"/>
        <w:b/>
        <w:bCs/>
      </w:rPr>
      <w:t>FORMATO PQRSD</w:t>
    </w:r>
  </w:p>
  <w:p w14:paraId="2E2EEFB7" w14:textId="77777777" w:rsidR="0022452E" w:rsidRPr="004A305D" w:rsidRDefault="0022452E" w:rsidP="00B01B1A">
    <w:pPr>
      <w:spacing w:after="0" w:line="120" w:lineRule="auto"/>
      <w:rPr>
        <w:rFonts w:ascii="Century Gothic" w:eastAsia="Geo" w:hAnsi="Century Gothic" w:cs="Geo"/>
        <w:sz w:val="16"/>
        <w:szCs w:val="16"/>
        <w:lang w:eastAsia="es-CO"/>
      </w:rPr>
    </w:pPr>
  </w:p>
  <w:p w14:paraId="59AF011E" w14:textId="77777777" w:rsidR="0022452E" w:rsidRDefault="0022452E"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D726F5"/>
    <w:multiLevelType w:val="hybridMultilevel"/>
    <w:tmpl w:val="A77E2442"/>
    <w:lvl w:ilvl="0" w:tplc="040A0001">
      <w:start w:val="1"/>
      <w:numFmt w:val="bullet"/>
      <w:lvlText w:val=""/>
      <w:lvlJc w:val="left"/>
      <w:pPr>
        <w:ind w:left="-351" w:hanging="360"/>
      </w:pPr>
      <w:rPr>
        <w:rFonts w:ascii="Symbol" w:hAnsi="Symbol" w:hint="default"/>
      </w:rPr>
    </w:lvl>
    <w:lvl w:ilvl="1" w:tplc="040A0003" w:tentative="1">
      <w:start w:val="1"/>
      <w:numFmt w:val="bullet"/>
      <w:lvlText w:val="o"/>
      <w:lvlJc w:val="left"/>
      <w:pPr>
        <w:ind w:left="369" w:hanging="360"/>
      </w:pPr>
      <w:rPr>
        <w:rFonts w:ascii="Courier New" w:hAnsi="Courier New" w:cs="Courier New" w:hint="default"/>
      </w:rPr>
    </w:lvl>
    <w:lvl w:ilvl="2" w:tplc="040A0005" w:tentative="1">
      <w:start w:val="1"/>
      <w:numFmt w:val="bullet"/>
      <w:lvlText w:val=""/>
      <w:lvlJc w:val="left"/>
      <w:pPr>
        <w:ind w:left="1089" w:hanging="360"/>
      </w:pPr>
      <w:rPr>
        <w:rFonts w:ascii="Wingdings" w:hAnsi="Wingdings" w:hint="default"/>
      </w:rPr>
    </w:lvl>
    <w:lvl w:ilvl="3" w:tplc="040A0001" w:tentative="1">
      <w:start w:val="1"/>
      <w:numFmt w:val="bullet"/>
      <w:lvlText w:val=""/>
      <w:lvlJc w:val="left"/>
      <w:pPr>
        <w:ind w:left="1809" w:hanging="360"/>
      </w:pPr>
      <w:rPr>
        <w:rFonts w:ascii="Symbol" w:hAnsi="Symbol" w:hint="default"/>
      </w:rPr>
    </w:lvl>
    <w:lvl w:ilvl="4" w:tplc="040A0003" w:tentative="1">
      <w:start w:val="1"/>
      <w:numFmt w:val="bullet"/>
      <w:lvlText w:val="o"/>
      <w:lvlJc w:val="left"/>
      <w:pPr>
        <w:ind w:left="2529" w:hanging="360"/>
      </w:pPr>
      <w:rPr>
        <w:rFonts w:ascii="Courier New" w:hAnsi="Courier New" w:cs="Courier New" w:hint="default"/>
      </w:rPr>
    </w:lvl>
    <w:lvl w:ilvl="5" w:tplc="040A0005" w:tentative="1">
      <w:start w:val="1"/>
      <w:numFmt w:val="bullet"/>
      <w:lvlText w:val=""/>
      <w:lvlJc w:val="left"/>
      <w:pPr>
        <w:ind w:left="3249" w:hanging="360"/>
      </w:pPr>
      <w:rPr>
        <w:rFonts w:ascii="Wingdings" w:hAnsi="Wingdings" w:hint="default"/>
      </w:rPr>
    </w:lvl>
    <w:lvl w:ilvl="6" w:tplc="040A0001" w:tentative="1">
      <w:start w:val="1"/>
      <w:numFmt w:val="bullet"/>
      <w:lvlText w:val=""/>
      <w:lvlJc w:val="left"/>
      <w:pPr>
        <w:ind w:left="3969" w:hanging="360"/>
      </w:pPr>
      <w:rPr>
        <w:rFonts w:ascii="Symbol" w:hAnsi="Symbol" w:hint="default"/>
      </w:rPr>
    </w:lvl>
    <w:lvl w:ilvl="7" w:tplc="040A0003" w:tentative="1">
      <w:start w:val="1"/>
      <w:numFmt w:val="bullet"/>
      <w:lvlText w:val="o"/>
      <w:lvlJc w:val="left"/>
      <w:pPr>
        <w:ind w:left="4689" w:hanging="360"/>
      </w:pPr>
      <w:rPr>
        <w:rFonts w:ascii="Courier New" w:hAnsi="Courier New" w:cs="Courier New" w:hint="default"/>
      </w:rPr>
    </w:lvl>
    <w:lvl w:ilvl="8" w:tplc="040A0005" w:tentative="1">
      <w:start w:val="1"/>
      <w:numFmt w:val="bullet"/>
      <w:lvlText w:val=""/>
      <w:lvlJc w:val="left"/>
      <w:pPr>
        <w:ind w:left="5409" w:hanging="360"/>
      </w:pPr>
      <w:rPr>
        <w:rFonts w:ascii="Wingdings" w:hAnsi="Wingdings" w:hint="default"/>
      </w:rPr>
    </w:lvl>
  </w:abstractNum>
  <w:num w:numId="1" w16cid:durableId="6790895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52E"/>
    <w:rsid w:val="00097482"/>
    <w:rsid w:val="000B3D99"/>
    <w:rsid w:val="0022452E"/>
    <w:rsid w:val="004250F2"/>
    <w:rsid w:val="00474DF4"/>
    <w:rsid w:val="00485D25"/>
    <w:rsid w:val="004F471F"/>
    <w:rsid w:val="00BD39E6"/>
    <w:rsid w:val="00C24FFE"/>
    <w:rsid w:val="00FE5B0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D2081"/>
  <w15:chartTrackingRefBased/>
  <w15:docId w15:val="{7F052475-3DC5-4B92-89E3-51E1E1123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52E"/>
    <w:rPr>
      <w:kern w:val="0"/>
      <w14:ligatures w14:val="none"/>
    </w:rPr>
  </w:style>
  <w:style w:type="paragraph" w:styleId="Ttulo1">
    <w:name w:val="heading 1"/>
    <w:basedOn w:val="Normal"/>
    <w:next w:val="Normal"/>
    <w:link w:val="Ttulo1Car"/>
    <w:uiPriority w:val="9"/>
    <w:qFormat/>
    <w:rsid w:val="002245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245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2452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2452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2452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2452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452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452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452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452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2452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2452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2452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2452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2452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452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452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452E"/>
    <w:rPr>
      <w:rFonts w:eastAsiaTheme="majorEastAsia" w:cstheme="majorBidi"/>
      <w:color w:val="272727" w:themeColor="text1" w:themeTint="D8"/>
    </w:rPr>
  </w:style>
  <w:style w:type="paragraph" w:styleId="Ttulo">
    <w:name w:val="Title"/>
    <w:basedOn w:val="Normal"/>
    <w:next w:val="Normal"/>
    <w:link w:val="TtuloCar"/>
    <w:uiPriority w:val="10"/>
    <w:qFormat/>
    <w:rsid w:val="002245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452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452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452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452E"/>
    <w:pPr>
      <w:spacing w:before="160"/>
      <w:jc w:val="center"/>
    </w:pPr>
    <w:rPr>
      <w:i/>
      <w:iCs/>
      <w:color w:val="404040" w:themeColor="text1" w:themeTint="BF"/>
    </w:rPr>
  </w:style>
  <w:style w:type="character" w:customStyle="1" w:styleId="CitaCar">
    <w:name w:val="Cita Car"/>
    <w:basedOn w:val="Fuentedeprrafopredeter"/>
    <w:link w:val="Cita"/>
    <w:uiPriority w:val="29"/>
    <w:rsid w:val="0022452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22452E"/>
    <w:pPr>
      <w:ind w:left="720"/>
      <w:contextualSpacing/>
    </w:pPr>
  </w:style>
  <w:style w:type="character" w:styleId="nfasisintenso">
    <w:name w:val="Intense Emphasis"/>
    <w:basedOn w:val="Fuentedeprrafopredeter"/>
    <w:uiPriority w:val="21"/>
    <w:qFormat/>
    <w:rsid w:val="0022452E"/>
    <w:rPr>
      <w:i/>
      <w:iCs/>
      <w:color w:val="2F5496" w:themeColor="accent1" w:themeShade="BF"/>
    </w:rPr>
  </w:style>
  <w:style w:type="paragraph" w:styleId="Citadestacada">
    <w:name w:val="Intense Quote"/>
    <w:basedOn w:val="Normal"/>
    <w:next w:val="Normal"/>
    <w:link w:val="CitadestacadaCar"/>
    <w:uiPriority w:val="30"/>
    <w:qFormat/>
    <w:rsid w:val="002245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2452E"/>
    <w:rPr>
      <w:i/>
      <w:iCs/>
      <w:color w:val="2F5496" w:themeColor="accent1" w:themeShade="BF"/>
    </w:rPr>
  </w:style>
  <w:style w:type="character" w:styleId="Referenciaintensa">
    <w:name w:val="Intense Reference"/>
    <w:basedOn w:val="Fuentedeprrafopredeter"/>
    <w:uiPriority w:val="32"/>
    <w:qFormat/>
    <w:rsid w:val="0022452E"/>
    <w:rPr>
      <w:b/>
      <w:bCs/>
      <w:smallCaps/>
      <w:color w:val="2F5496" w:themeColor="accent1" w:themeShade="BF"/>
      <w:spacing w:val="5"/>
    </w:rPr>
  </w:style>
  <w:style w:type="paragraph" w:styleId="Encabezado">
    <w:name w:val="header"/>
    <w:basedOn w:val="Normal"/>
    <w:link w:val="EncabezadoCar"/>
    <w:uiPriority w:val="99"/>
    <w:unhideWhenUsed/>
    <w:rsid w:val="0022452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2452E"/>
    <w:rPr>
      <w:kern w:val="0"/>
      <w14:ligatures w14:val="none"/>
    </w:rPr>
  </w:style>
  <w:style w:type="paragraph" w:styleId="Piedepgina">
    <w:name w:val="footer"/>
    <w:basedOn w:val="Normal"/>
    <w:link w:val="PiedepginaCar"/>
    <w:uiPriority w:val="99"/>
    <w:unhideWhenUsed/>
    <w:rsid w:val="0022452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2452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2452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2452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2452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2452E"/>
    <w:rPr>
      <w:vertAlign w:val="superscript"/>
    </w:rPr>
  </w:style>
  <w:style w:type="character" w:customStyle="1" w:styleId="normaltextrun">
    <w:name w:val="normaltextrun"/>
    <w:basedOn w:val="Fuentedeprrafopredeter"/>
    <w:rsid w:val="0022452E"/>
  </w:style>
  <w:style w:type="table" w:styleId="Tablaconcuadrcula">
    <w:name w:val="Table Grid"/>
    <w:basedOn w:val="Tablanormal"/>
    <w:uiPriority w:val="39"/>
    <w:qFormat/>
    <w:rsid w:val="0022452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2452E"/>
    <w:rPr>
      <w:color w:val="0000FF"/>
      <w:u w:val="single"/>
    </w:rPr>
  </w:style>
  <w:style w:type="paragraph" w:customStyle="1" w:styleId="paragraph">
    <w:name w:val="paragraph"/>
    <w:basedOn w:val="Normal"/>
    <w:rsid w:val="0022452E"/>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22452E"/>
  </w:style>
  <w:style w:type="paragraph" w:customStyle="1" w:styleId="Appelnotedebasde">
    <w:name w:val="Appel note de bas de..."/>
    <w:basedOn w:val="Normal"/>
    <w:link w:val="Refdenotaalpie"/>
    <w:uiPriority w:val="99"/>
    <w:rsid w:val="0022452E"/>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24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bustosj@dane.gov.co" TargetMode="External"/><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wp-content%2Fuploads%2F2025%2F05%2FGUIA-DE-LINEAMIENTOS-DE-TRANSPARENCIA-Y-SELECCION-OBJETIVA-1.0.pdf&amp;data=05%7C02%7Csergio.caballero%40colombiacompra.gov.co%7C7cfff6dece924643582c08dd97bfed90%7C7b09041e245149d08cb179d5e3d8c1be%7C0%7C0%7C638833572791012884%7CUnknown%7CTWFpbGZsb3d8eyJFbXB0eU1hcGkiOnRydWUsIlYiOiIwLjAuMDAwMCIsIlAiOiJXaW4zMiIsIkFOIjoiTWFpbCIsIldUIjoyfQ%3D%3D%7C0%7C%7C%7C&amp;sdata=3rYh%2B44qbP5kIeJ6PQ5u9to2xg7sNT2hwwbhprvoBTc%3D&amp;reserved=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relatoria.colombiacompra.gov.co/" TargetMode="Externa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yperlink" Target="mailto:claudia.buitrago@envigado.gov.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B6F279-4A28-4C86-AA28-94F9CBED39C5}"/>
</file>

<file path=customXml/itemProps2.xml><?xml version="1.0" encoding="utf-8"?>
<ds:datastoreItem xmlns:ds="http://schemas.openxmlformats.org/officeDocument/2006/customXml" ds:itemID="{AF0E61CD-FE6A-4FEC-9B6D-BD24E4FAE4C1}"/>
</file>

<file path=customXml/itemProps3.xml><?xml version="1.0" encoding="utf-8"?>
<ds:datastoreItem xmlns:ds="http://schemas.openxmlformats.org/officeDocument/2006/customXml" ds:itemID="{C1A84E02-D1B6-466E-8478-B04A12DE42FB}"/>
</file>

<file path=docProps/app.xml><?xml version="1.0" encoding="utf-8"?>
<Properties xmlns="http://schemas.openxmlformats.org/officeDocument/2006/extended-properties" xmlns:vt="http://schemas.openxmlformats.org/officeDocument/2006/docPropsVTypes">
  <Template>Normal</Template>
  <TotalTime>9</TotalTime>
  <Pages>22</Pages>
  <Words>7274</Words>
  <Characters>40013</Characters>
  <Application>Microsoft Office Word</Application>
  <DocSecurity>0</DocSecurity>
  <Lines>333</Lines>
  <Paragraphs>94</Paragraphs>
  <ScaleCrop>false</ScaleCrop>
  <Company/>
  <LinksUpToDate>false</LinksUpToDate>
  <CharactersWithSpaces>47193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5</cp:revision>
  <dcterms:created xsi:type="dcterms:W3CDTF">2025-09-10T21:28:00Z</dcterms:created>
  <dcterms:modified xsi:type="dcterms:W3CDTF">2025-09-15T22:13:00Z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