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8E681" w14:textId="77777777" w:rsidR="00C06FBA" w:rsidRPr="00E34F50" w:rsidRDefault="00C06FBA" w:rsidP="00C06FBA">
      <w:pPr>
        <w:spacing w:after="0" w:line="240" w:lineRule="auto"/>
        <w:rPr>
          <w:rFonts w:ascii="Verdana" w:eastAsia="Calibri" w:hAnsi="Verdana" w:cs="Arial"/>
          <w:b/>
          <w:bCs/>
          <w:lang w:val="es-ES" w:eastAsia="es-ES"/>
        </w:rPr>
      </w:pPr>
      <w:bookmarkStart w:id="0" w:name="_Hlk186494164"/>
      <w:r w:rsidRPr="00E34F50">
        <w:rPr>
          <w:rFonts w:ascii="Verdana" w:eastAsia="Calibri" w:hAnsi="Verdana" w:cs="Arial"/>
          <w:b/>
          <w:bCs/>
          <w:lang w:val="es-ES" w:eastAsia="es-ES"/>
        </w:rPr>
        <w:t xml:space="preserve">SISTEMA GENERAL DE REGALÍAS – Ley 2056 de 2020 – artículo 37 </w:t>
      </w:r>
    </w:p>
    <w:p w14:paraId="198FAE3E" w14:textId="77777777" w:rsidR="00C06FBA" w:rsidRDefault="00C06FBA" w:rsidP="00C06FBA">
      <w:pPr>
        <w:spacing w:after="0" w:line="240" w:lineRule="auto"/>
        <w:jc w:val="both"/>
        <w:rPr>
          <w:rFonts w:ascii="Verdana" w:hAnsi="Verdana" w:cs="Arial"/>
          <w:noProof/>
          <w:sz w:val="20"/>
          <w:szCs w:val="20"/>
          <w:lang w:val="es-ES_tradnl"/>
        </w:rPr>
      </w:pPr>
    </w:p>
    <w:p w14:paraId="381C5006" w14:textId="77777777" w:rsidR="00C06FBA" w:rsidRPr="00112C88" w:rsidRDefault="00C06FBA" w:rsidP="00C06FBA">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E</w:t>
      </w:r>
      <w:r w:rsidRPr="00112C88">
        <w:rPr>
          <w:rFonts w:ascii="Verdana" w:hAnsi="Verdana" w:cs="Arial"/>
          <w:noProof/>
          <w:sz w:val="20"/>
          <w:szCs w:val="20"/>
          <w:lang w:val="es-ES_tradnl"/>
        </w:rPr>
        <w:t xml:space="preserve">n </w:t>
      </w:r>
      <w:r w:rsidRPr="00112C88">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136C54E" w14:textId="77777777" w:rsidR="00C06FBA" w:rsidRDefault="00C06FBA" w:rsidP="00C06FBA">
      <w:pPr>
        <w:spacing w:after="0" w:line="240" w:lineRule="auto"/>
        <w:jc w:val="both"/>
        <w:rPr>
          <w:rFonts w:ascii="Verdana" w:hAnsi="Verdana" w:cs="Arial"/>
          <w:noProof/>
          <w:sz w:val="20"/>
          <w:szCs w:val="20"/>
        </w:rPr>
      </w:pPr>
    </w:p>
    <w:p w14:paraId="24D76B70" w14:textId="3B2B00C7" w:rsidR="00C06FBA" w:rsidRDefault="00C06FBA" w:rsidP="00E34F50">
      <w:pPr>
        <w:spacing w:after="0" w:line="240" w:lineRule="auto"/>
        <w:jc w:val="both"/>
        <w:rPr>
          <w:rFonts w:ascii="Verdana" w:hAnsi="Verdana" w:cs="Arial"/>
          <w:sz w:val="20"/>
          <w:szCs w:val="20"/>
        </w:rPr>
      </w:pPr>
      <w:r w:rsidRPr="00112C88">
        <w:rPr>
          <w:rFonts w:ascii="Verdana" w:hAnsi="Verdana" w:cs="Arial"/>
          <w:noProof/>
          <w:sz w:val="20"/>
          <w:szCs w:val="20"/>
        </w:rPr>
        <w:t xml:space="preserve">Particularmente, el artículo 37 </w:t>
      </w:r>
      <w:r w:rsidRPr="00112C88">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112C88">
        <w:rPr>
          <w:rFonts w:ascii="Verdana" w:hAnsi="Verdana" w:cs="Arial"/>
          <w:i/>
          <w:iCs/>
          <w:sz w:val="20"/>
          <w:szCs w:val="20"/>
        </w:rPr>
        <w:t>ibidem</w:t>
      </w:r>
      <w:r w:rsidRPr="00112C88">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112C88">
        <w:rPr>
          <w:rFonts w:ascii="Verdana" w:hAnsi="Verdana" w:cs="Arial"/>
          <w:sz w:val="20"/>
          <w:szCs w:val="20"/>
        </w:rPr>
        <w:t>los mismos</w:t>
      </w:r>
      <w:proofErr w:type="gramEnd"/>
      <w:r w:rsidRPr="00112C88">
        <w:rPr>
          <w:rFonts w:ascii="Verdana" w:hAnsi="Verdana" w:cs="Arial"/>
          <w:sz w:val="20"/>
          <w:szCs w:val="20"/>
        </w:rPr>
        <w:t xml:space="preserve">, sin perjuicio de las acciones de control a las que haya lugar. El parágrafo primero del artículo 37 </w:t>
      </w:r>
      <w:r w:rsidRPr="00112C88">
        <w:rPr>
          <w:rFonts w:ascii="Verdana" w:hAnsi="Verdana" w:cs="Arial"/>
          <w:i/>
          <w:iCs/>
          <w:sz w:val="20"/>
          <w:szCs w:val="20"/>
        </w:rPr>
        <w:t>ibidem</w:t>
      </w:r>
      <w:r w:rsidRPr="00112C88">
        <w:rPr>
          <w:rFonts w:ascii="Verdana" w:hAnsi="Verdana" w:cs="Arial"/>
          <w:sz w:val="20"/>
          <w:szCs w:val="20"/>
        </w:rPr>
        <w:t xml:space="preserve"> dispone lo siguiente: “La ejecución de proyectos de que trata este artículo, se adelantará, con estricta sujeción al régimen presupuestal definido en esta ley, </w:t>
      </w:r>
      <w:r w:rsidRPr="00112C88">
        <w:rPr>
          <w:rFonts w:ascii="Verdana" w:hAnsi="Verdana" w:cs="Arial"/>
          <w:i/>
          <w:iCs/>
          <w:sz w:val="20"/>
          <w:szCs w:val="20"/>
          <w:u w:val="single"/>
        </w:rPr>
        <w:t>al de contratación pública</w:t>
      </w:r>
      <w:r w:rsidRPr="00112C88">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0467344F" w14:textId="77777777" w:rsidR="00E34F50" w:rsidRPr="00E34F50" w:rsidRDefault="00E34F50" w:rsidP="00E34F50">
      <w:pPr>
        <w:spacing w:after="0" w:line="240" w:lineRule="auto"/>
        <w:jc w:val="both"/>
        <w:rPr>
          <w:rFonts w:ascii="Verdana" w:hAnsi="Verdana" w:cs="Arial"/>
          <w:sz w:val="20"/>
          <w:szCs w:val="20"/>
        </w:rPr>
      </w:pPr>
    </w:p>
    <w:p w14:paraId="774166B3" w14:textId="77777777" w:rsidR="00C06FBA" w:rsidRPr="00112C88" w:rsidRDefault="00C06FBA" w:rsidP="00C06FBA">
      <w:pPr>
        <w:jc w:val="both"/>
        <w:rPr>
          <w:rFonts w:ascii="Verdana" w:eastAsia="Calibri" w:hAnsi="Verdana" w:cs="Arial"/>
          <w:b/>
          <w:bCs/>
          <w:lang w:val="es-ES" w:eastAsia="es-ES"/>
        </w:rPr>
      </w:pPr>
      <w:r w:rsidRPr="00112C88">
        <w:rPr>
          <w:rFonts w:ascii="Verdana" w:eastAsia="Calibri" w:hAnsi="Verdana" w:cs="Arial"/>
          <w:b/>
          <w:bCs/>
          <w:lang w:val="es-ES" w:eastAsia="es-ES"/>
        </w:rPr>
        <w:t xml:space="preserve">RÉGIMEN CONTRACTUAL – Entidades ejecutoras – Aplicación del Estatuto General de Contratación de la Administración Pública         </w:t>
      </w:r>
    </w:p>
    <w:p w14:paraId="230DD804" w14:textId="77777777" w:rsidR="00C06FBA" w:rsidRPr="00112C88" w:rsidRDefault="00C06FBA" w:rsidP="00C06FBA">
      <w:pPr>
        <w:spacing w:after="0" w:line="240" w:lineRule="auto"/>
        <w:jc w:val="both"/>
        <w:rPr>
          <w:rFonts w:ascii="Verdana" w:hAnsi="Verdana" w:cs="Arial"/>
          <w:sz w:val="20"/>
          <w:szCs w:val="20"/>
          <w:bdr w:val="none" w:sz="0" w:space="0" w:color="auto" w:frame="1"/>
        </w:rPr>
      </w:pPr>
      <w:r w:rsidRPr="00112C88">
        <w:rPr>
          <w:rFonts w:ascii="Verdana" w:hAnsi="Verdana" w:cs="Arial"/>
          <w:sz w:val="20"/>
          <w:szCs w:val="20"/>
        </w:rPr>
        <w:t xml:space="preserve">En caso de que se realicen proyectos de inversión en el marco del Sistema General de Regalías, como también aquellos proyectos especiales referenciados </w:t>
      </w:r>
      <w:r w:rsidRPr="00112C88">
        <w:rPr>
          <w:rFonts w:ascii="Verdana" w:hAnsi="Verdana" w:cs="Arial"/>
          <w:i/>
          <w:iCs/>
          <w:sz w:val="20"/>
          <w:szCs w:val="20"/>
        </w:rPr>
        <w:t>ut supra</w:t>
      </w:r>
      <w:r w:rsidRPr="00112C88">
        <w:rPr>
          <w:rFonts w:ascii="Verdana" w:hAnsi="Verdana" w:cs="Arial"/>
          <w:sz w:val="20"/>
          <w:szCs w:val="20"/>
        </w:rPr>
        <w:t>, los ejecutores designados para desarrollarlos deben sujetarse al Estatuto General de Contratación de la Administración Pública</w:t>
      </w:r>
      <w:r w:rsidRPr="00112C88">
        <w:rPr>
          <w:rFonts w:ascii="Verdana" w:eastAsia="Calibri" w:hAnsi="Verdana" w:cs="Arial"/>
          <w:sz w:val="20"/>
          <w:szCs w:val="20"/>
        </w:rPr>
        <w:t>.</w:t>
      </w:r>
      <w:r w:rsidRPr="00112C88">
        <w:rPr>
          <w:rFonts w:ascii="Verdana" w:hAnsi="Verdana" w:cs="Arial"/>
          <w:sz w:val="20"/>
          <w:szCs w:val="20"/>
        </w:rPr>
        <w:t xml:space="preserve"> </w:t>
      </w:r>
      <w:r w:rsidRPr="00112C88">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6524D603" w14:textId="77777777" w:rsidR="00C06FBA" w:rsidRDefault="00C06FBA" w:rsidP="00C06FBA">
      <w:pPr>
        <w:spacing w:after="0" w:line="240" w:lineRule="auto"/>
        <w:jc w:val="both"/>
        <w:rPr>
          <w:rFonts w:ascii="Verdana" w:eastAsia="Calibri" w:hAnsi="Verdana" w:cs="Arial"/>
          <w:color w:val="000000"/>
          <w:sz w:val="20"/>
          <w:szCs w:val="20"/>
          <w:lang w:val="es-ES" w:eastAsia="es-ES"/>
        </w:rPr>
      </w:pPr>
    </w:p>
    <w:p w14:paraId="513312A5" w14:textId="77777777" w:rsidR="00C06FBA" w:rsidRPr="00112C88" w:rsidRDefault="00C06FBA" w:rsidP="00C06FBA">
      <w:pPr>
        <w:spacing w:after="0" w:line="240" w:lineRule="auto"/>
        <w:jc w:val="both"/>
        <w:rPr>
          <w:rFonts w:ascii="Verdana" w:eastAsia="Calibri" w:hAnsi="Verdana" w:cs="Arial"/>
          <w:color w:val="000000"/>
          <w:sz w:val="20"/>
          <w:szCs w:val="20"/>
          <w:lang w:val="es-ES" w:eastAsia="es-ES"/>
        </w:rPr>
      </w:pPr>
      <w:r w:rsidRPr="00112C88">
        <w:rPr>
          <w:rFonts w:ascii="Verdana" w:eastAsia="Calibri" w:hAnsi="Verdana" w:cs="Arial"/>
          <w:color w:val="000000"/>
          <w:sz w:val="20"/>
          <w:szCs w:val="20"/>
          <w:lang w:val="es-ES" w:eastAsia="es-ES"/>
        </w:rPr>
        <w:t xml:space="preserve">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w:t>
      </w:r>
      <w:r w:rsidRPr="00112C88">
        <w:rPr>
          <w:rFonts w:ascii="Verdana" w:eastAsia="Calibri" w:hAnsi="Verdana" w:cs="Arial"/>
          <w:color w:val="000000"/>
          <w:sz w:val="20"/>
          <w:szCs w:val="20"/>
          <w:lang w:val="es-ES" w:eastAsia="es-ES"/>
        </w:rPr>
        <w:lastRenderedPageBreak/>
        <w:t>prevalece el derecho público, esto es, al EGCAP, sin perjuicio de que en sus demás actividades apliquen el régimen especial que les corresponda.</w:t>
      </w:r>
    </w:p>
    <w:p w14:paraId="2F5F30D0" w14:textId="77777777" w:rsidR="00C06FBA" w:rsidRDefault="00C06FBA" w:rsidP="00C06FBA">
      <w:pPr>
        <w:spacing w:after="0" w:line="240" w:lineRule="auto"/>
        <w:rPr>
          <w:rFonts w:ascii="Verdana" w:eastAsia="Geomanist Light" w:hAnsi="Verdana" w:cs="Arial"/>
          <w:color w:val="000000" w:themeColor="text1"/>
        </w:rPr>
      </w:pPr>
    </w:p>
    <w:p w14:paraId="71E0727A" w14:textId="77777777" w:rsidR="00C06FBA" w:rsidRDefault="00C06FBA" w:rsidP="00C06FBA">
      <w:pPr>
        <w:spacing w:after="0" w:line="240" w:lineRule="auto"/>
        <w:rPr>
          <w:rFonts w:ascii="Verdana" w:eastAsia="Geomanist Light" w:hAnsi="Verdana" w:cs="Arial"/>
          <w:color w:val="000000" w:themeColor="text1"/>
        </w:rPr>
      </w:pPr>
    </w:p>
    <w:p w14:paraId="4A94A722" w14:textId="77777777" w:rsidR="00C06FBA" w:rsidRDefault="00C06FBA" w:rsidP="00C06FBA">
      <w:pPr>
        <w:spacing w:after="0" w:line="240" w:lineRule="auto"/>
        <w:rPr>
          <w:rFonts w:ascii="Verdana" w:eastAsia="Geomanist Light" w:hAnsi="Verdana" w:cs="Arial"/>
          <w:color w:val="000000" w:themeColor="text1"/>
        </w:rPr>
      </w:pPr>
    </w:p>
    <w:p w14:paraId="43DCA416" w14:textId="77777777" w:rsidR="00C06FBA" w:rsidRDefault="00C06FBA" w:rsidP="00C06FBA">
      <w:pPr>
        <w:spacing w:after="0" w:line="240" w:lineRule="auto"/>
        <w:rPr>
          <w:rFonts w:ascii="Verdana" w:eastAsia="Geomanist Light" w:hAnsi="Verdana" w:cs="Arial"/>
          <w:color w:val="000000" w:themeColor="text1"/>
        </w:rPr>
      </w:pPr>
    </w:p>
    <w:p w14:paraId="028FA694" w14:textId="77777777" w:rsidR="00C06FBA" w:rsidRDefault="00C06FBA" w:rsidP="00C06FBA">
      <w:pPr>
        <w:spacing w:after="0" w:line="240" w:lineRule="auto"/>
        <w:rPr>
          <w:rFonts w:ascii="Verdana" w:eastAsia="Geomanist Light" w:hAnsi="Verdana" w:cs="Arial"/>
          <w:color w:val="000000" w:themeColor="text1"/>
        </w:rPr>
      </w:pPr>
    </w:p>
    <w:p w14:paraId="5BF63349" w14:textId="77777777" w:rsidR="00C06FBA" w:rsidRDefault="00C06FBA" w:rsidP="00C06FBA">
      <w:pPr>
        <w:spacing w:after="0" w:line="240" w:lineRule="auto"/>
        <w:rPr>
          <w:rFonts w:ascii="Verdana" w:eastAsia="Geomanist Light" w:hAnsi="Verdana" w:cs="Arial"/>
          <w:color w:val="000000" w:themeColor="text1"/>
        </w:rPr>
      </w:pPr>
    </w:p>
    <w:p w14:paraId="0F1A6838" w14:textId="77777777" w:rsidR="00C06FBA" w:rsidRDefault="00C06FBA" w:rsidP="00C06FBA">
      <w:pPr>
        <w:spacing w:after="0" w:line="240" w:lineRule="auto"/>
        <w:rPr>
          <w:rFonts w:ascii="Verdana" w:eastAsia="Geomanist Light" w:hAnsi="Verdana" w:cs="Arial"/>
          <w:color w:val="000000" w:themeColor="text1"/>
        </w:rPr>
      </w:pPr>
    </w:p>
    <w:p w14:paraId="031CD7A8" w14:textId="77777777" w:rsidR="00C06FBA" w:rsidRDefault="00C06FBA" w:rsidP="00C06FBA">
      <w:pPr>
        <w:spacing w:after="0" w:line="240" w:lineRule="auto"/>
        <w:rPr>
          <w:rFonts w:ascii="Verdana" w:eastAsia="Geomanist Light" w:hAnsi="Verdana" w:cs="Arial"/>
          <w:color w:val="000000" w:themeColor="text1"/>
        </w:rPr>
      </w:pPr>
    </w:p>
    <w:p w14:paraId="0489FB10" w14:textId="77777777" w:rsidR="00C06FBA" w:rsidRDefault="00C06FBA" w:rsidP="00C06FBA">
      <w:pPr>
        <w:spacing w:after="0" w:line="240" w:lineRule="auto"/>
        <w:rPr>
          <w:rFonts w:ascii="Verdana" w:eastAsia="Geomanist Light" w:hAnsi="Verdana" w:cs="Arial"/>
          <w:color w:val="000000" w:themeColor="text1"/>
        </w:rPr>
      </w:pPr>
    </w:p>
    <w:p w14:paraId="3C713CAD" w14:textId="77777777" w:rsidR="00C06FBA" w:rsidRDefault="00C06FBA" w:rsidP="00C06FBA">
      <w:pPr>
        <w:spacing w:after="0" w:line="240" w:lineRule="auto"/>
        <w:rPr>
          <w:rFonts w:ascii="Verdana" w:eastAsia="Geomanist Light" w:hAnsi="Verdana" w:cs="Arial"/>
          <w:color w:val="000000" w:themeColor="text1"/>
        </w:rPr>
      </w:pPr>
    </w:p>
    <w:p w14:paraId="5F319B98" w14:textId="77777777" w:rsidR="00C06FBA" w:rsidRDefault="00C06FBA" w:rsidP="00C06FBA">
      <w:pPr>
        <w:spacing w:after="0" w:line="240" w:lineRule="auto"/>
        <w:rPr>
          <w:rFonts w:ascii="Verdana" w:eastAsia="Geomanist Light" w:hAnsi="Verdana" w:cs="Arial"/>
          <w:color w:val="000000" w:themeColor="text1"/>
        </w:rPr>
      </w:pPr>
    </w:p>
    <w:p w14:paraId="0D2AF036" w14:textId="77777777" w:rsidR="00C06FBA" w:rsidRDefault="00C06FBA" w:rsidP="00C06FBA">
      <w:pPr>
        <w:spacing w:after="0" w:line="240" w:lineRule="auto"/>
        <w:rPr>
          <w:rFonts w:ascii="Verdana" w:eastAsia="Geomanist Light" w:hAnsi="Verdana" w:cs="Arial"/>
          <w:color w:val="000000" w:themeColor="text1"/>
        </w:rPr>
      </w:pPr>
    </w:p>
    <w:p w14:paraId="434E00DD" w14:textId="77777777" w:rsidR="00C06FBA" w:rsidRDefault="00C06FBA" w:rsidP="00C06FBA">
      <w:pPr>
        <w:spacing w:after="0" w:line="240" w:lineRule="auto"/>
        <w:rPr>
          <w:rFonts w:ascii="Verdana" w:eastAsia="Geomanist Light" w:hAnsi="Verdana" w:cs="Arial"/>
          <w:color w:val="000000" w:themeColor="text1"/>
        </w:rPr>
      </w:pPr>
    </w:p>
    <w:p w14:paraId="2283EF6F" w14:textId="77777777" w:rsidR="00C06FBA" w:rsidRDefault="00C06FBA" w:rsidP="00C06FBA">
      <w:pPr>
        <w:spacing w:after="0" w:line="240" w:lineRule="auto"/>
        <w:rPr>
          <w:rFonts w:ascii="Verdana" w:eastAsia="Geomanist Light" w:hAnsi="Verdana" w:cs="Arial"/>
          <w:color w:val="000000" w:themeColor="text1"/>
        </w:rPr>
      </w:pPr>
    </w:p>
    <w:p w14:paraId="3A85444D" w14:textId="77777777" w:rsidR="00C06FBA" w:rsidRDefault="00C06FBA" w:rsidP="00C06FBA">
      <w:pPr>
        <w:spacing w:after="0" w:line="240" w:lineRule="auto"/>
        <w:rPr>
          <w:rFonts w:ascii="Verdana" w:eastAsia="Geomanist Light" w:hAnsi="Verdana" w:cs="Arial"/>
          <w:color w:val="000000" w:themeColor="text1"/>
        </w:rPr>
      </w:pPr>
    </w:p>
    <w:p w14:paraId="259A02AF" w14:textId="77777777" w:rsidR="00C06FBA" w:rsidRDefault="00C06FBA" w:rsidP="00C06FBA">
      <w:pPr>
        <w:spacing w:after="0" w:line="240" w:lineRule="auto"/>
        <w:rPr>
          <w:rFonts w:ascii="Verdana" w:eastAsia="Geomanist Light" w:hAnsi="Verdana" w:cs="Arial"/>
          <w:color w:val="000000" w:themeColor="text1"/>
        </w:rPr>
      </w:pPr>
    </w:p>
    <w:p w14:paraId="2065BCB5" w14:textId="77777777" w:rsidR="00C06FBA" w:rsidRDefault="00C06FBA" w:rsidP="00C06FBA">
      <w:pPr>
        <w:spacing w:after="0" w:line="240" w:lineRule="auto"/>
        <w:rPr>
          <w:rFonts w:ascii="Verdana" w:eastAsia="Geomanist Light" w:hAnsi="Verdana" w:cs="Arial"/>
          <w:color w:val="000000" w:themeColor="text1"/>
        </w:rPr>
      </w:pPr>
    </w:p>
    <w:p w14:paraId="7A052A04" w14:textId="77777777" w:rsidR="00C06FBA" w:rsidRDefault="00C06FBA" w:rsidP="00C06FBA">
      <w:pPr>
        <w:spacing w:after="0" w:line="240" w:lineRule="auto"/>
        <w:rPr>
          <w:rFonts w:ascii="Verdana" w:eastAsia="Geomanist Light" w:hAnsi="Verdana" w:cs="Arial"/>
          <w:color w:val="000000" w:themeColor="text1"/>
        </w:rPr>
      </w:pPr>
    </w:p>
    <w:p w14:paraId="3329D97C" w14:textId="77777777" w:rsidR="00C06FBA" w:rsidRDefault="00C06FBA" w:rsidP="00C06FBA">
      <w:pPr>
        <w:spacing w:after="0" w:line="240" w:lineRule="auto"/>
        <w:rPr>
          <w:rFonts w:ascii="Verdana" w:eastAsia="Geomanist Light" w:hAnsi="Verdana" w:cs="Arial"/>
          <w:color w:val="000000" w:themeColor="text1"/>
        </w:rPr>
      </w:pPr>
    </w:p>
    <w:p w14:paraId="6789319A" w14:textId="77777777" w:rsidR="00C06FBA" w:rsidRDefault="00C06FBA" w:rsidP="00C06FBA">
      <w:pPr>
        <w:spacing w:after="0" w:line="240" w:lineRule="auto"/>
        <w:rPr>
          <w:rFonts w:ascii="Verdana" w:eastAsia="Geomanist Light" w:hAnsi="Verdana" w:cs="Arial"/>
          <w:color w:val="000000" w:themeColor="text1"/>
        </w:rPr>
      </w:pPr>
    </w:p>
    <w:p w14:paraId="1540CCB2" w14:textId="77777777" w:rsidR="00C06FBA" w:rsidRDefault="00C06FBA" w:rsidP="00C06FBA">
      <w:pPr>
        <w:spacing w:after="0" w:line="240" w:lineRule="auto"/>
        <w:rPr>
          <w:rFonts w:ascii="Verdana" w:eastAsia="Geomanist Light" w:hAnsi="Verdana" w:cs="Arial"/>
          <w:color w:val="000000" w:themeColor="text1"/>
        </w:rPr>
      </w:pPr>
    </w:p>
    <w:p w14:paraId="71F983C8" w14:textId="77777777" w:rsidR="00C06FBA" w:rsidRDefault="00C06FBA" w:rsidP="00C06FBA">
      <w:pPr>
        <w:spacing w:after="0" w:line="240" w:lineRule="auto"/>
        <w:rPr>
          <w:rFonts w:ascii="Verdana" w:eastAsia="Geomanist Light" w:hAnsi="Verdana" w:cs="Arial"/>
          <w:color w:val="000000" w:themeColor="text1"/>
        </w:rPr>
      </w:pPr>
    </w:p>
    <w:p w14:paraId="0C417590" w14:textId="77777777" w:rsidR="00C06FBA" w:rsidRDefault="00C06FBA" w:rsidP="00C06FBA">
      <w:pPr>
        <w:spacing w:after="0" w:line="240" w:lineRule="auto"/>
        <w:rPr>
          <w:rFonts w:ascii="Verdana" w:eastAsia="Geomanist Light" w:hAnsi="Verdana" w:cs="Arial"/>
          <w:color w:val="000000" w:themeColor="text1"/>
        </w:rPr>
      </w:pPr>
    </w:p>
    <w:p w14:paraId="4647C9FD" w14:textId="77777777" w:rsidR="00C06FBA" w:rsidRDefault="00C06FBA" w:rsidP="00C06FBA">
      <w:pPr>
        <w:spacing w:after="0" w:line="240" w:lineRule="auto"/>
        <w:rPr>
          <w:rFonts w:ascii="Verdana" w:eastAsia="Geomanist Light" w:hAnsi="Verdana" w:cs="Arial"/>
          <w:color w:val="000000" w:themeColor="text1"/>
        </w:rPr>
      </w:pPr>
    </w:p>
    <w:p w14:paraId="4B1CBCFC" w14:textId="77777777" w:rsidR="00C06FBA" w:rsidRDefault="00C06FBA" w:rsidP="00C06FBA">
      <w:pPr>
        <w:spacing w:after="0" w:line="240" w:lineRule="auto"/>
        <w:rPr>
          <w:rFonts w:ascii="Verdana" w:eastAsia="Geomanist Light" w:hAnsi="Verdana" w:cs="Arial"/>
          <w:color w:val="000000" w:themeColor="text1"/>
        </w:rPr>
      </w:pPr>
    </w:p>
    <w:p w14:paraId="288AF3BA" w14:textId="77777777" w:rsidR="00C06FBA" w:rsidRDefault="00C06FBA" w:rsidP="00C06FBA">
      <w:pPr>
        <w:spacing w:after="0" w:line="240" w:lineRule="auto"/>
        <w:rPr>
          <w:rFonts w:ascii="Verdana" w:eastAsia="Geomanist Light" w:hAnsi="Verdana" w:cs="Arial"/>
          <w:color w:val="000000" w:themeColor="text1"/>
        </w:rPr>
      </w:pPr>
    </w:p>
    <w:p w14:paraId="75B4FAC9" w14:textId="77777777" w:rsidR="00C06FBA" w:rsidRDefault="00C06FBA" w:rsidP="00C06FBA">
      <w:pPr>
        <w:spacing w:after="0" w:line="240" w:lineRule="auto"/>
        <w:rPr>
          <w:rFonts w:ascii="Verdana" w:eastAsia="Geomanist Light" w:hAnsi="Verdana" w:cs="Arial"/>
          <w:color w:val="000000" w:themeColor="text1"/>
        </w:rPr>
      </w:pPr>
    </w:p>
    <w:p w14:paraId="2279EE6A" w14:textId="77777777" w:rsidR="00791354" w:rsidRDefault="00791354" w:rsidP="00915417">
      <w:pPr>
        <w:spacing w:after="0" w:line="240" w:lineRule="auto"/>
        <w:rPr>
          <w:rFonts w:ascii="Verdana" w:eastAsia="Calibri" w:hAnsi="Verdana" w:cs="Arial"/>
          <w:lang w:val="es-ES" w:eastAsia="es-ES"/>
        </w:rPr>
      </w:pPr>
    </w:p>
    <w:p w14:paraId="3B4700E8" w14:textId="77777777" w:rsidR="00791354" w:rsidRDefault="00791354" w:rsidP="00915417">
      <w:pPr>
        <w:spacing w:after="0" w:line="240" w:lineRule="auto"/>
        <w:rPr>
          <w:rFonts w:ascii="Verdana" w:eastAsia="Geomanist Light" w:hAnsi="Verdana" w:cs="Arial"/>
          <w:color w:val="000000" w:themeColor="text1"/>
        </w:rPr>
      </w:pPr>
    </w:p>
    <w:p w14:paraId="2151D653" w14:textId="77777777" w:rsidR="00157EDB" w:rsidRDefault="00157EDB" w:rsidP="00915417">
      <w:pPr>
        <w:spacing w:after="0" w:line="240" w:lineRule="auto"/>
        <w:rPr>
          <w:rFonts w:ascii="Verdana" w:eastAsia="Geomanist Light" w:hAnsi="Verdana" w:cs="Arial"/>
          <w:color w:val="000000" w:themeColor="text1"/>
        </w:rPr>
      </w:pPr>
    </w:p>
    <w:p w14:paraId="702467B7" w14:textId="77777777" w:rsidR="00157EDB" w:rsidRDefault="00157EDB" w:rsidP="00915417">
      <w:pPr>
        <w:spacing w:after="0" w:line="240" w:lineRule="auto"/>
        <w:rPr>
          <w:rFonts w:ascii="Verdana" w:eastAsia="Geomanist Light" w:hAnsi="Verdana" w:cs="Arial"/>
          <w:color w:val="000000" w:themeColor="text1"/>
        </w:rPr>
      </w:pPr>
    </w:p>
    <w:p w14:paraId="3A08F9BD" w14:textId="77777777" w:rsidR="00157EDB" w:rsidRDefault="00157EDB" w:rsidP="00915417">
      <w:pPr>
        <w:spacing w:after="0" w:line="240" w:lineRule="auto"/>
        <w:rPr>
          <w:rFonts w:ascii="Verdana" w:eastAsia="Geomanist Light" w:hAnsi="Verdana" w:cs="Arial"/>
          <w:color w:val="000000" w:themeColor="text1"/>
        </w:rPr>
      </w:pPr>
    </w:p>
    <w:p w14:paraId="0D7A9D4E" w14:textId="77777777" w:rsidR="00157EDB" w:rsidRDefault="00157EDB" w:rsidP="00915417">
      <w:pPr>
        <w:spacing w:after="0" w:line="240" w:lineRule="auto"/>
        <w:rPr>
          <w:rFonts w:ascii="Verdana" w:eastAsia="Geomanist Light" w:hAnsi="Verdana" w:cs="Arial"/>
          <w:color w:val="000000" w:themeColor="text1"/>
        </w:rPr>
      </w:pPr>
    </w:p>
    <w:p w14:paraId="507512E6" w14:textId="77777777" w:rsidR="00157EDB" w:rsidRDefault="00157EDB" w:rsidP="00915417">
      <w:pPr>
        <w:spacing w:after="0" w:line="240" w:lineRule="auto"/>
        <w:rPr>
          <w:rFonts w:ascii="Verdana" w:eastAsia="Geomanist Light" w:hAnsi="Verdana" w:cs="Arial"/>
          <w:color w:val="000000" w:themeColor="text1"/>
        </w:rPr>
      </w:pPr>
    </w:p>
    <w:p w14:paraId="07F2359A" w14:textId="77777777" w:rsidR="00157EDB" w:rsidRDefault="00157EDB" w:rsidP="00915417">
      <w:pPr>
        <w:spacing w:after="0" w:line="240" w:lineRule="auto"/>
        <w:rPr>
          <w:rFonts w:ascii="Verdana" w:eastAsia="Geomanist Light" w:hAnsi="Verdana" w:cs="Arial"/>
          <w:color w:val="000000" w:themeColor="text1"/>
        </w:rPr>
      </w:pPr>
    </w:p>
    <w:p w14:paraId="60B93FFB" w14:textId="77777777" w:rsidR="00157EDB" w:rsidRDefault="00157EDB" w:rsidP="00915417">
      <w:pPr>
        <w:spacing w:after="0" w:line="240" w:lineRule="auto"/>
        <w:rPr>
          <w:rFonts w:ascii="Verdana" w:eastAsia="Geomanist Light" w:hAnsi="Verdana" w:cs="Arial"/>
          <w:color w:val="000000" w:themeColor="text1"/>
        </w:rPr>
      </w:pPr>
    </w:p>
    <w:p w14:paraId="33554392" w14:textId="77777777" w:rsidR="00157EDB" w:rsidRDefault="00157EDB" w:rsidP="00915417">
      <w:pPr>
        <w:spacing w:after="0" w:line="240" w:lineRule="auto"/>
        <w:rPr>
          <w:rFonts w:ascii="Verdana" w:eastAsia="Geomanist Light" w:hAnsi="Verdana" w:cs="Arial"/>
          <w:color w:val="000000" w:themeColor="text1"/>
        </w:rPr>
      </w:pPr>
    </w:p>
    <w:p w14:paraId="5CEA69BC" w14:textId="77777777" w:rsidR="00157EDB" w:rsidRDefault="00157EDB" w:rsidP="00915417">
      <w:pPr>
        <w:spacing w:after="0" w:line="240" w:lineRule="auto"/>
        <w:rPr>
          <w:rFonts w:ascii="Verdana" w:eastAsia="Geomanist Light" w:hAnsi="Verdana" w:cs="Arial"/>
          <w:color w:val="000000" w:themeColor="text1"/>
        </w:rPr>
      </w:pPr>
    </w:p>
    <w:p w14:paraId="6D1510DD" w14:textId="77777777" w:rsidR="00157EDB" w:rsidRDefault="00157EDB" w:rsidP="00915417">
      <w:pPr>
        <w:spacing w:after="0" w:line="240" w:lineRule="auto"/>
        <w:rPr>
          <w:rFonts w:ascii="Verdana" w:eastAsia="Geomanist Light" w:hAnsi="Verdana" w:cs="Arial"/>
          <w:color w:val="000000" w:themeColor="text1"/>
        </w:rPr>
      </w:pPr>
    </w:p>
    <w:p w14:paraId="48EA73F6" w14:textId="77777777" w:rsidR="00E34F50" w:rsidRDefault="00E34F50" w:rsidP="00915417">
      <w:pPr>
        <w:spacing w:after="0" w:line="240" w:lineRule="auto"/>
        <w:rPr>
          <w:rFonts w:ascii="Verdana" w:eastAsia="Geomanist Light" w:hAnsi="Verdana" w:cs="Arial"/>
          <w:color w:val="000000" w:themeColor="text1"/>
        </w:rPr>
      </w:pPr>
    </w:p>
    <w:p w14:paraId="269CCC96" w14:textId="2A2AD998" w:rsidR="00915417" w:rsidRPr="00915417" w:rsidRDefault="00915417" w:rsidP="00915417">
      <w:pPr>
        <w:spacing w:after="0" w:line="240" w:lineRule="auto"/>
        <w:rPr>
          <w:rFonts w:ascii="Verdana" w:eastAsia="Geomanist Light" w:hAnsi="Verdana" w:cs="Arial"/>
          <w:color w:val="201F1E"/>
        </w:rPr>
      </w:pPr>
      <w:r w:rsidRPr="00915417">
        <w:rPr>
          <w:rFonts w:ascii="Verdana" w:eastAsia="Geomanist Light" w:hAnsi="Verdana" w:cs="Arial"/>
          <w:color w:val="000000" w:themeColor="text1"/>
        </w:rPr>
        <w:lastRenderedPageBreak/>
        <w:t>Bogotá D.C., </w:t>
      </w:r>
      <w:r w:rsidR="00157EDB">
        <w:rPr>
          <w:rFonts w:ascii="Verdana" w:eastAsia="Geomanist Light" w:hAnsi="Verdana" w:cs="Arial"/>
          <w:color w:val="201F1E"/>
        </w:rPr>
        <w:t>8 de septiembre de 2025</w:t>
      </w:r>
    </w:p>
    <w:p w14:paraId="68616F94" w14:textId="440E9302" w:rsidR="00915417" w:rsidRPr="00915417" w:rsidRDefault="00915417" w:rsidP="00915417">
      <w:pPr>
        <w:spacing w:after="0" w:line="240" w:lineRule="auto"/>
        <w:jc w:val="both"/>
        <w:rPr>
          <w:rFonts w:ascii="Verdana" w:eastAsia="Calibri" w:hAnsi="Verdana" w:cs="Arial"/>
          <w:color w:val="000000"/>
        </w:rPr>
      </w:pPr>
    </w:p>
    <w:p w14:paraId="7D027FD7" w14:textId="7E2A8818" w:rsidR="00915417" w:rsidRPr="00915417" w:rsidRDefault="00E34F50" w:rsidP="00157EDB">
      <w:pPr>
        <w:spacing w:after="0" w:line="240" w:lineRule="auto"/>
        <w:jc w:val="right"/>
        <w:rPr>
          <w:rFonts w:ascii="Verdana" w:eastAsia="Calibri" w:hAnsi="Verdana" w:cs="Arial"/>
          <w:color w:val="000000"/>
        </w:rPr>
      </w:pPr>
      <w:r w:rsidRPr="00157EDB">
        <w:rPr>
          <w:rFonts w:ascii="Verdana" w:eastAsia="Calibri" w:hAnsi="Verdana" w:cs="Arial"/>
          <w:noProof/>
          <w:color w:val="000000"/>
        </w:rPr>
        <w:drawing>
          <wp:anchor distT="0" distB="0" distL="114300" distR="114300" simplePos="0" relativeHeight="251659264" behindDoc="0" locked="0" layoutInCell="1" allowOverlap="1" wp14:anchorId="1093063B" wp14:editId="3A719CFF">
            <wp:simplePos x="0" y="0"/>
            <wp:positionH relativeFrom="margin">
              <wp:posOffset>3038475</wp:posOffset>
            </wp:positionH>
            <wp:positionV relativeFrom="paragraph">
              <wp:posOffset>171450</wp:posOffset>
            </wp:positionV>
            <wp:extent cx="2563495" cy="853440"/>
            <wp:effectExtent l="0" t="0" r="8255" b="3810"/>
            <wp:wrapSquare wrapText="bothSides"/>
            <wp:docPr id="10628858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3495" cy="853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9B1CB1" w14:textId="77777777" w:rsidR="00157EDB" w:rsidRDefault="00157EDB" w:rsidP="00915417">
      <w:pPr>
        <w:spacing w:after="0" w:line="240" w:lineRule="auto"/>
        <w:jc w:val="both"/>
        <w:rPr>
          <w:rFonts w:ascii="Verdana" w:eastAsia="Calibri" w:hAnsi="Verdana" w:cs="Arial"/>
          <w:lang w:eastAsia="es-ES"/>
        </w:rPr>
      </w:pPr>
    </w:p>
    <w:p w14:paraId="63EF5DB4" w14:textId="04B6A315" w:rsidR="00915417" w:rsidRPr="00915417" w:rsidRDefault="00915417" w:rsidP="00915417">
      <w:pPr>
        <w:spacing w:after="0" w:line="240" w:lineRule="auto"/>
        <w:jc w:val="both"/>
        <w:rPr>
          <w:rFonts w:ascii="Verdana" w:eastAsia="Calibri" w:hAnsi="Verdana" w:cs="Arial"/>
          <w:lang w:eastAsia="es-ES"/>
        </w:rPr>
      </w:pPr>
      <w:r w:rsidRPr="00915417">
        <w:rPr>
          <w:rFonts w:ascii="Verdana" w:eastAsia="Calibri" w:hAnsi="Verdana" w:cs="Arial"/>
          <w:lang w:eastAsia="es-ES"/>
        </w:rPr>
        <w:t>Señora</w:t>
      </w:r>
    </w:p>
    <w:p w14:paraId="70EAB34E" w14:textId="77777777" w:rsidR="00915417" w:rsidRPr="00915417" w:rsidRDefault="00915417" w:rsidP="00915417">
      <w:pPr>
        <w:spacing w:after="0" w:line="240" w:lineRule="auto"/>
        <w:jc w:val="both"/>
        <w:rPr>
          <w:rFonts w:ascii="Verdana" w:eastAsia="Calibri" w:hAnsi="Verdana" w:cs="Arial"/>
          <w:b/>
          <w:bCs/>
          <w:lang w:eastAsia="es-ES"/>
        </w:rPr>
      </w:pPr>
      <w:r w:rsidRPr="00915417">
        <w:rPr>
          <w:rFonts w:ascii="Verdana" w:eastAsia="Calibri" w:hAnsi="Verdana" w:cs="Arial"/>
          <w:b/>
          <w:bCs/>
          <w:lang w:eastAsia="es-ES"/>
        </w:rPr>
        <w:t>Diana Lisette Guzmán Sanabria</w:t>
      </w:r>
    </w:p>
    <w:p w14:paraId="76EDAD45" w14:textId="77777777" w:rsidR="00915417" w:rsidRPr="00915417" w:rsidRDefault="00915417" w:rsidP="00915417">
      <w:pPr>
        <w:spacing w:after="0" w:line="240" w:lineRule="auto"/>
        <w:rPr>
          <w:rFonts w:ascii="Verdana" w:hAnsi="Verdana"/>
        </w:rPr>
      </w:pPr>
      <w:hyperlink r:id="rId12" w:history="1">
        <w:r w:rsidRPr="00915417">
          <w:rPr>
            <w:rFonts w:ascii="Verdana" w:hAnsi="Verdana"/>
            <w:color w:val="0563C1" w:themeColor="hyperlink"/>
            <w:u w:val="single"/>
          </w:rPr>
          <w:t>dianaguzman199209@gmail.com</w:t>
        </w:r>
      </w:hyperlink>
      <w:r w:rsidRPr="00915417">
        <w:rPr>
          <w:rFonts w:ascii="Verdana" w:hAnsi="Verdana"/>
        </w:rPr>
        <w:t xml:space="preserve"> </w:t>
      </w:r>
    </w:p>
    <w:p w14:paraId="171D2CAD" w14:textId="77777777" w:rsidR="00915417" w:rsidRPr="00915417" w:rsidRDefault="00915417" w:rsidP="00915417">
      <w:pPr>
        <w:spacing w:after="0" w:line="240" w:lineRule="auto"/>
        <w:rPr>
          <w:rFonts w:ascii="Verdana" w:hAnsi="Verdana"/>
          <w:lang w:val="pt-BR"/>
        </w:rPr>
      </w:pPr>
      <w:r w:rsidRPr="00915417">
        <w:rPr>
          <w:rFonts w:ascii="Verdana" w:hAnsi="Verdana"/>
          <w:lang w:val="pt-BR"/>
        </w:rPr>
        <w:t xml:space="preserve">Bogotá </w:t>
      </w:r>
    </w:p>
    <w:p w14:paraId="55479F05" w14:textId="77777777" w:rsidR="00915417" w:rsidRPr="00915417" w:rsidRDefault="00915417" w:rsidP="00915417">
      <w:pPr>
        <w:spacing w:after="0" w:line="240" w:lineRule="auto"/>
        <w:rPr>
          <w:rFonts w:ascii="Verdana" w:eastAsia="Calibri" w:hAnsi="Verdana" w:cs="Arial"/>
          <w:lang w:val="pt-BR" w:eastAsia="es-ES"/>
        </w:rPr>
      </w:pPr>
    </w:p>
    <w:p w14:paraId="37AC692B" w14:textId="77777777" w:rsidR="00915417" w:rsidRPr="00915417" w:rsidRDefault="00915417" w:rsidP="00915417">
      <w:pPr>
        <w:spacing w:after="0" w:line="240" w:lineRule="auto"/>
        <w:rPr>
          <w:rFonts w:ascii="Verdana" w:eastAsia="Calibri" w:hAnsi="Verdana" w:cs="Arial"/>
          <w:b/>
          <w:color w:val="000000"/>
          <w:lang w:val="pt-BR" w:eastAsia="es-ES_tradnl"/>
        </w:rPr>
      </w:pPr>
    </w:p>
    <w:p w14:paraId="6C4B751A" w14:textId="77777777" w:rsidR="00915417" w:rsidRPr="00915417" w:rsidRDefault="00915417" w:rsidP="00915417">
      <w:pPr>
        <w:spacing w:after="0" w:line="240" w:lineRule="auto"/>
        <w:jc w:val="center"/>
        <w:rPr>
          <w:rFonts w:ascii="Verdana" w:eastAsia="Calibri" w:hAnsi="Verdana" w:cs="Arial"/>
          <w:b/>
          <w:lang w:val="pt-BR" w:eastAsia="es-ES"/>
        </w:rPr>
      </w:pPr>
      <w:r w:rsidRPr="00915417">
        <w:rPr>
          <w:rFonts w:ascii="Verdana" w:eastAsia="Calibri" w:hAnsi="Verdana" w:cs="Arial"/>
          <w:b/>
          <w:lang w:val="pt-BR" w:eastAsia="es-ES"/>
        </w:rPr>
        <w:t>Concepto C – 1065 de 2025</w:t>
      </w:r>
    </w:p>
    <w:p w14:paraId="25D86886" w14:textId="77777777" w:rsidR="00915417" w:rsidRPr="00915417" w:rsidRDefault="00915417" w:rsidP="00915417">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15417" w:rsidRPr="00915417" w14:paraId="74C7AE2F" w14:textId="77777777" w:rsidTr="00175823">
        <w:trPr>
          <w:trHeight w:val="884"/>
        </w:trPr>
        <w:tc>
          <w:tcPr>
            <w:tcW w:w="2689" w:type="dxa"/>
          </w:tcPr>
          <w:p w14:paraId="7A2E9CBD" w14:textId="77777777" w:rsidR="00915417" w:rsidRPr="00915417" w:rsidRDefault="00915417" w:rsidP="00915417">
            <w:pPr>
              <w:jc w:val="both"/>
              <w:rPr>
                <w:rFonts w:ascii="Verdana" w:eastAsia="Calibri" w:hAnsi="Verdana" w:cs="Arial"/>
                <w:color w:val="000000"/>
                <w:lang w:eastAsia="es-ES_tradnl"/>
              </w:rPr>
            </w:pPr>
            <w:r w:rsidRPr="00915417">
              <w:rPr>
                <w:rFonts w:ascii="Verdana" w:eastAsia="Calibri" w:hAnsi="Verdana" w:cs="Arial"/>
                <w:b/>
                <w:color w:val="000000"/>
                <w:lang w:eastAsia="es-ES_tradnl"/>
              </w:rPr>
              <w:t>Temas:</w:t>
            </w:r>
            <w:r w:rsidRPr="00915417">
              <w:rPr>
                <w:rFonts w:ascii="Verdana" w:eastAsia="Calibri" w:hAnsi="Verdana" w:cs="Arial"/>
                <w:color w:val="000000"/>
                <w:lang w:eastAsia="es-ES_tradnl"/>
              </w:rPr>
              <w:t xml:space="preserve">                   </w:t>
            </w:r>
          </w:p>
        </w:tc>
        <w:tc>
          <w:tcPr>
            <w:tcW w:w="6100" w:type="dxa"/>
          </w:tcPr>
          <w:p w14:paraId="69400A79" w14:textId="77777777" w:rsidR="00915417" w:rsidRPr="00915417" w:rsidRDefault="00915417" w:rsidP="00915417">
            <w:pPr>
              <w:spacing w:line="276" w:lineRule="auto"/>
              <w:jc w:val="both"/>
              <w:rPr>
                <w:rFonts w:ascii="Verdana" w:eastAsia="Calibri" w:hAnsi="Verdana" w:cs="Arial"/>
                <w:lang w:val="es-ES" w:eastAsia="es-ES"/>
              </w:rPr>
            </w:pPr>
            <w:r w:rsidRPr="00915417">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w:t>
            </w:r>
          </w:p>
          <w:p w14:paraId="58DEC20F" w14:textId="77777777" w:rsidR="00915417" w:rsidRPr="00915417" w:rsidRDefault="00915417" w:rsidP="00915417">
            <w:pPr>
              <w:jc w:val="both"/>
              <w:rPr>
                <w:rFonts w:ascii="Verdana" w:eastAsia="Calibri" w:hAnsi="Verdana" w:cs="Arial"/>
                <w:lang w:eastAsia="es-ES"/>
              </w:rPr>
            </w:pPr>
          </w:p>
        </w:tc>
      </w:tr>
      <w:tr w:rsidR="00915417" w:rsidRPr="00915417" w14:paraId="072A44B7" w14:textId="77777777" w:rsidTr="00175823">
        <w:tc>
          <w:tcPr>
            <w:tcW w:w="2689" w:type="dxa"/>
          </w:tcPr>
          <w:p w14:paraId="2B724121" w14:textId="77777777" w:rsidR="00915417" w:rsidRPr="00915417" w:rsidRDefault="00915417" w:rsidP="00915417">
            <w:pPr>
              <w:jc w:val="both"/>
              <w:rPr>
                <w:rFonts w:ascii="Verdana" w:eastAsia="Calibri" w:hAnsi="Verdana" w:cs="Arial"/>
                <w:b/>
                <w:lang w:eastAsia="es-ES_tradnl"/>
              </w:rPr>
            </w:pPr>
            <w:r w:rsidRPr="00915417">
              <w:rPr>
                <w:rFonts w:ascii="Verdana" w:eastAsia="Calibri" w:hAnsi="Verdana" w:cs="Arial"/>
                <w:b/>
                <w:lang w:eastAsia="es-ES_tradnl"/>
              </w:rPr>
              <w:t>Radicación:</w:t>
            </w:r>
            <w:r w:rsidRPr="00915417">
              <w:rPr>
                <w:rFonts w:ascii="Verdana" w:eastAsia="Calibri" w:hAnsi="Verdana" w:cs="Arial"/>
                <w:lang w:eastAsia="es-ES_tradnl"/>
              </w:rPr>
              <w:t xml:space="preserve">               </w:t>
            </w:r>
          </w:p>
        </w:tc>
        <w:tc>
          <w:tcPr>
            <w:tcW w:w="6100" w:type="dxa"/>
          </w:tcPr>
          <w:p w14:paraId="593952CC" w14:textId="77777777" w:rsidR="00915417" w:rsidRPr="00915417" w:rsidRDefault="00915417" w:rsidP="00915417">
            <w:pPr>
              <w:jc w:val="both"/>
              <w:rPr>
                <w:rFonts w:ascii="Verdana" w:eastAsia="Calibri" w:hAnsi="Verdana" w:cs="Arial"/>
                <w:lang w:eastAsia="es-ES_tradnl"/>
              </w:rPr>
            </w:pPr>
            <w:r w:rsidRPr="00915417">
              <w:rPr>
                <w:rFonts w:ascii="Verdana" w:eastAsia="Calibri" w:hAnsi="Verdana" w:cs="Arial"/>
                <w:lang w:eastAsia="es-ES_tradnl"/>
              </w:rPr>
              <w:t>Respuesta a la consulta con radicado No.</w:t>
            </w:r>
            <w:r w:rsidRPr="00915417">
              <w:rPr>
                <w:rFonts w:ascii="Verdana" w:hAnsi="Verdana"/>
              </w:rPr>
              <w:t xml:space="preserve"> 1_2025_08_01_008001</w:t>
            </w:r>
          </w:p>
        </w:tc>
      </w:tr>
    </w:tbl>
    <w:p w14:paraId="7B9AC378" w14:textId="77777777" w:rsidR="00915417" w:rsidRPr="00915417" w:rsidRDefault="00915417" w:rsidP="00915417">
      <w:pPr>
        <w:spacing w:after="0" w:line="240" w:lineRule="auto"/>
        <w:jc w:val="both"/>
        <w:rPr>
          <w:rFonts w:ascii="Verdana" w:eastAsia="Calibri" w:hAnsi="Verdana" w:cs="Arial"/>
          <w:color w:val="000000"/>
          <w:lang w:eastAsia="es-ES_tradnl"/>
        </w:rPr>
      </w:pPr>
    </w:p>
    <w:p w14:paraId="7B49CC20" w14:textId="77777777" w:rsidR="00915417" w:rsidRPr="00915417" w:rsidRDefault="00915417" w:rsidP="00915417">
      <w:pPr>
        <w:spacing w:after="0" w:line="240" w:lineRule="auto"/>
        <w:jc w:val="both"/>
        <w:rPr>
          <w:rFonts w:ascii="Verdana" w:eastAsia="Calibri" w:hAnsi="Verdana" w:cs="Arial"/>
          <w:color w:val="000000"/>
          <w:lang w:eastAsia="es-ES_tradnl"/>
        </w:rPr>
      </w:pPr>
    </w:p>
    <w:p w14:paraId="5928D971" w14:textId="77777777" w:rsidR="00915417" w:rsidRPr="00915417" w:rsidRDefault="00915417" w:rsidP="00915417">
      <w:pPr>
        <w:spacing w:after="0" w:line="276" w:lineRule="auto"/>
        <w:jc w:val="both"/>
        <w:rPr>
          <w:rFonts w:ascii="Verdana" w:eastAsia="Calibri" w:hAnsi="Verdana" w:cs="Arial"/>
          <w:lang w:eastAsia="es-ES"/>
        </w:rPr>
      </w:pPr>
      <w:r w:rsidRPr="00915417">
        <w:rPr>
          <w:rFonts w:ascii="Verdana" w:eastAsia="Calibri" w:hAnsi="Verdana" w:cs="Arial"/>
          <w:lang w:eastAsia="es-ES"/>
        </w:rPr>
        <w:t xml:space="preserve">Estimada señora Guzmán Sanabria: </w:t>
      </w:r>
    </w:p>
    <w:p w14:paraId="0F2A9A99" w14:textId="77777777" w:rsidR="00915417" w:rsidRPr="00915417" w:rsidRDefault="00915417" w:rsidP="00915417">
      <w:pPr>
        <w:tabs>
          <w:tab w:val="left" w:pos="3768"/>
        </w:tabs>
        <w:spacing w:after="0" w:line="276" w:lineRule="auto"/>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ab/>
      </w:r>
    </w:p>
    <w:p w14:paraId="70798B30" w14:textId="77777777" w:rsidR="00915417" w:rsidRPr="00915417" w:rsidRDefault="00915417" w:rsidP="00915417">
      <w:pPr>
        <w:spacing w:after="120" w:line="276" w:lineRule="auto"/>
        <w:jc w:val="both"/>
        <w:rPr>
          <w:rFonts w:ascii="Verdana" w:eastAsia="Calibri" w:hAnsi="Verdana" w:cs="Arial"/>
          <w:i/>
          <w:iCs/>
          <w:lang w:eastAsia="es-ES"/>
        </w:rPr>
      </w:pPr>
      <w:r w:rsidRPr="00915417">
        <w:rPr>
          <w:rFonts w:ascii="Verdana" w:eastAsia="Calibri" w:hAnsi="Verdana" w:cs="Arial"/>
          <w:color w:val="000000" w:themeColor="text1"/>
          <w:lang w:eastAsia="es-ES"/>
        </w:rPr>
        <w:t>En ejercicio de la competencia otorgada por los artículos 3, numeral 5º, y 11, numeral 8º, del Decreto Ley 4170 de 2011,</w:t>
      </w:r>
      <w:r w:rsidRPr="00915417">
        <w:rPr>
          <w:rFonts w:ascii="Verdana" w:eastAsia="Arial MT" w:hAnsi="Verdana" w:cs="Arial MT"/>
          <w:lang w:eastAsia="es-ES"/>
        </w:rPr>
        <w:t xml:space="preserve"> </w:t>
      </w:r>
      <w:r w:rsidRPr="00915417">
        <w:rPr>
          <w:rFonts w:ascii="Verdana" w:hAnsi="Verdana" w:cs="Arial"/>
        </w:rPr>
        <w:t xml:space="preserve">así como lo establecido en la Resolución 469 de 2025 expedida por esta Entidad, </w:t>
      </w:r>
      <w:r w:rsidRPr="00915417">
        <w:rPr>
          <w:rFonts w:ascii="Verdana" w:eastAsia="Calibri" w:hAnsi="Verdana" w:cs="Arial"/>
          <w:color w:val="000000" w:themeColor="text1"/>
          <w:lang w:eastAsia="es-ES"/>
        </w:rPr>
        <w:t>la Agencia Nacional de Contratación Pública – Colombia Compra Eficiente responde su solicitud de concepto del 01 de agosto de 2025,</w:t>
      </w:r>
      <w:r w:rsidRPr="00915417">
        <w:rPr>
          <w:rFonts w:ascii="Verdana" w:eastAsia="Calibri" w:hAnsi="Verdana" w:cs="Arial"/>
          <w:lang w:eastAsia="es-ES"/>
        </w:rPr>
        <w:t xml:space="preserve"> en la cual consulta sobre lo siguiente:</w:t>
      </w:r>
      <w:r w:rsidRPr="00915417">
        <w:rPr>
          <w:rFonts w:ascii="Verdana" w:eastAsia="Calibri" w:hAnsi="Verdana" w:cs="Arial"/>
          <w:i/>
          <w:iCs/>
          <w:lang w:eastAsia="es-ES"/>
        </w:rPr>
        <w:t xml:space="preserve"> </w:t>
      </w:r>
      <w:bookmarkStart w:id="1" w:name="_Hlk95313578"/>
    </w:p>
    <w:p w14:paraId="01DDA5B4" w14:textId="77777777" w:rsidR="00915417" w:rsidRPr="00915417" w:rsidRDefault="00915417" w:rsidP="00915417">
      <w:pPr>
        <w:spacing w:after="0" w:line="276" w:lineRule="auto"/>
        <w:jc w:val="both"/>
        <w:rPr>
          <w:rFonts w:ascii="Verdana" w:eastAsia="Calibri" w:hAnsi="Verdana" w:cs="Arial"/>
          <w:i/>
          <w:iCs/>
          <w:lang w:eastAsia="es-ES"/>
        </w:rPr>
      </w:pPr>
    </w:p>
    <w:p w14:paraId="2F2AA835" w14:textId="77777777" w:rsidR="00915417" w:rsidRPr="00915417" w:rsidRDefault="00915417" w:rsidP="00915417">
      <w:pPr>
        <w:spacing w:after="0" w:line="240" w:lineRule="auto"/>
        <w:ind w:left="709" w:right="618"/>
        <w:jc w:val="both"/>
        <w:rPr>
          <w:rFonts w:ascii="Verdana" w:eastAsia="Arial" w:hAnsi="Verdana" w:cs="Arial"/>
          <w:iCs/>
          <w:color w:val="000000"/>
          <w:sz w:val="20"/>
          <w:szCs w:val="20"/>
        </w:rPr>
      </w:pPr>
      <w:r w:rsidRPr="00915417">
        <w:rPr>
          <w:rFonts w:ascii="Verdana" w:eastAsia="Arial" w:hAnsi="Verdana" w:cs="Arial"/>
          <w:iCs/>
          <w:color w:val="000000"/>
          <w:sz w:val="20"/>
          <w:szCs w:val="20"/>
        </w:rPr>
        <w:t>“</w:t>
      </w:r>
      <w:bookmarkEnd w:id="1"/>
      <w:r w:rsidRPr="00915417">
        <w:rPr>
          <w:rFonts w:ascii="Verdana" w:eastAsia="Arial" w:hAnsi="Verdana" w:cs="Arial"/>
          <w:iCs/>
          <w:color w:val="000000"/>
          <w:sz w:val="20"/>
          <w:szCs w:val="20"/>
        </w:rPr>
        <w:t>Por medio del presente de manera atenta y respetuosa, solicito se me indique qué documentación previa debe exigir una empresa industrial y comercial del estado a un contratista beneficiario de ejecutar un contrato de obra, consultoría, interventoría y prestación de servicios de un proyecto del cual fue designada la entidad como ejecutora de proyectos del sistema general de regalías; para la suscripción del acta de inicio</w:t>
      </w:r>
    </w:p>
    <w:p w14:paraId="1283CD7B" w14:textId="77777777" w:rsidR="00915417" w:rsidRPr="00915417" w:rsidRDefault="00915417" w:rsidP="00915417">
      <w:pPr>
        <w:spacing w:after="0" w:line="240" w:lineRule="auto"/>
        <w:ind w:left="709" w:right="618"/>
        <w:jc w:val="both"/>
        <w:rPr>
          <w:rFonts w:ascii="Verdana" w:eastAsia="Arial" w:hAnsi="Verdana" w:cs="Arial"/>
          <w:iCs/>
          <w:color w:val="000000"/>
          <w:sz w:val="20"/>
          <w:szCs w:val="20"/>
        </w:rPr>
      </w:pPr>
    </w:p>
    <w:p w14:paraId="656E9217" w14:textId="77777777" w:rsidR="00915417" w:rsidRPr="00915417" w:rsidRDefault="00915417" w:rsidP="00915417">
      <w:pPr>
        <w:spacing w:after="0" w:line="240" w:lineRule="auto"/>
        <w:ind w:left="709" w:right="618"/>
        <w:jc w:val="both"/>
        <w:rPr>
          <w:rFonts w:ascii="Verdana" w:eastAsia="Arial" w:hAnsi="Verdana" w:cs="Arial"/>
          <w:iCs/>
          <w:color w:val="000000"/>
          <w:sz w:val="20"/>
          <w:szCs w:val="20"/>
        </w:rPr>
      </w:pPr>
      <w:r w:rsidRPr="00915417">
        <w:rPr>
          <w:rFonts w:ascii="Verdana" w:eastAsia="Arial" w:hAnsi="Verdana" w:cs="Arial"/>
          <w:iCs/>
          <w:color w:val="000000"/>
          <w:sz w:val="20"/>
          <w:szCs w:val="20"/>
        </w:rPr>
        <w:t xml:space="preserve">Ahora bien, se me indique si previa a la suscripción del acta de inicio se deben aportar las hojas de vida de todo el personal propuesto o solo el del personal mínimo requerido; o si es posible en el caso de las obras que inicien con el personal mínimo requerido y dependiendo el cronograma de </w:t>
      </w:r>
      <w:r w:rsidRPr="00915417">
        <w:rPr>
          <w:rFonts w:ascii="Verdana" w:eastAsia="Arial" w:hAnsi="Verdana" w:cs="Arial"/>
          <w:iCs/>
          <w:color w:val="000000"/>
          <w:sz w:val="20"/>
          <w:szCs w:val="20"/>
        </w:rPr>
        <w:lastRenderedPageBreak/>
        <w:t xml:space="preserve">ejecución, se aporte la documentación del resto del personal después de haber suscrito el acta de inicio. </w:t>
      </w:r>
    </w:p>
    <w:p w14:paraId="5DE77537" w14:textId="77777777" w:rsidR="00915417" w:rsidRPr="00915417" w:rsidRDefault="00915417" w:rsidP="00915417">
      <w:pPr>
        <w:spacing w:after="0" w:line="240" w:lineRule="auto"/>
        <w:ind w:left="709" w:right="618"/>
        <w:jc w:val="both"/>
        <w:rPr>
          <w:rFonts w:ascii="Verdana" w:eastAsia="Arial" w:hAnsi="Verdana" w:cs="Arial"/>
          <w:iCs/>
          <w:color w:val="000000"/>
          <w:sz w:val="20"/>
          <w:szCs w:val="20"/>
        </w:rPr>
      </w:pPr>
    </w:p>
    <w:p w14:paraId="1388984C" w14:textId="77777777" w:rsidR="00915417" w:rsidRPr="00915417" w:rsidRDefault="00915417" w:rsidP="00915417">
      <w:pPr>
        <w:spacing w:after="0" w:line="240" w:lineRule="auto"/>
        <w:ind w:left="709" w:right="618"/>
        <w:jc w:val="both"/>
        <w:rPr>
          <w:rFonts w:ascii="Verdana" w:eastAsia="Arial" w:hAnsi="Verdana" w:cs="Arial"/>
          <w:iCs/>
          <w:color w:val="000000"/>
          <w:sz w:val="20"/>
          <w:szCs w:val="20"/>
        </w:rPr>
      </w:pPr>
      <w:r w:rsidRPr="00915417">
        <w:rPr>
          <w:rFonts w:ascii="Verdana" w:eastAsia="Arial" w:hAnsi="Verdana" w:cs="Arial"/>
          <w:iCs/>
          <w:color w:val="000000"/>
          <w:sz w:val="20"/>
          <w:szCs w:val="20"/>
        </w:rPr>
        <w:t>A su vez, se me indique si teniendo en cuenta lo anteriormente mencionado es pertinente al igual solicitar las afiliaciones de salud, pensión y ARL y la certificación del pago de aportes del personal propuesto o el personal mínimo requerido</w:t>
      </w:r>
      <w:r w:rsidRPr="00915417">
        <w:rPr>
          <w:rFonts w:ascii="Verdana" w:hAnsi="Verdana"/>
          <w:iCs/>
          <w:sz w:val="20"/>
          <w:szCs w:val="20"/>
        </w:rPr>
        <w:t>.”</w:t>
      </w:r>
    </w:p>
    <w:p w14:paraId="7A4762DD" w14:textId="77777777" w:rsidR="00915417" w:rsidRPr="00915417" w:rsidRDefault="00915417" w:rsidP="00915417">
      <w:pPr>
        <w:spacing w:after="0" w:line="276" w:lineRule="auto"/>
        <w:ind w:left="709" w:right="618"/>
        <w:jc w:val="both"/>
        <w:rPr>
          <w:rFonts w:ascii="Verdana" w:eastAsia="Calibri" w:hAnsi="Verdana" w:cs="Arial"/>
          <w:i/>
          <w:iCs/>
          <w:lang w:eastAsia="es-ES"/>
        </w:rPr>
      </w:pPr>
    </w:p>
    <w:p w14:paraId="1FA8AE86" w14:textId="77777777" w:rsidR="00915417" w:rsidRPr="00915417" w:rsidRDefault="00915417" w:rsidP="00915417">
      <w:pPr>
        <w:spacing w:after="120" w:line="276" w:lineRule="auto"/>
        <w:ind w:firstLine="709"/>
        <w:jc w:val="both"/>
        <w:rPr>
          <w:rFonts w:ascii="Verdana" w:eastAsia="Calibri" w:hAnsi="Verdana" w:cs="Arial"/>
          <w:color w:val="000000"/>
          <w:lang w:eastAsia="es-ES"/>
        </w:rPr>
      </w:pPr>
      <w:r w:rsidRPr="0091541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15417">
        <w:rPr>
          <w:rFonts w:ascii="Verdana" w:eastAsia="Calibri" w:hAnsi="Verdana" w:cs="Arial"/>
          <w:color w:val="000000"/>
          <w:szCs w:val="24"/>
          <w:lang w:eastAsia="es-ES_tradnl"/>
        </w:rPr>
        <w:tab/>
      </w:r>
    </w:p>
    <w:p w14:paraId="253C166F" w14:textId="77777777" w:rsidR="00915417" w:rsidRPr="00915417" w:rsidRDefault="00915417" w:rsidP="00915417">
      <w:pPr>
        <w:spacing w:after="0" w:line="276" w:lineRule="auto"/>
        <w:ind w:firstLine="709"/>
        <w:jc w:val="both"/>
        <w:rPr>
          <w:rFonts w:ascii="Verdana" w:eastAsia="Calibri" w:hAnsi="Verdana" w:cs="Arial"/>
          <w:color w:val="000000"/>
          <w:lang w:eastAsia="es-ES"/>
        </w:rPr>
      </w:pPr>
      <w:r w:rsidRPr="0091541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915417">
        <w:rPr>
          <w:rFonts w:ascii="Verdana" w:eastAsia="Calibri" w:hAnsi="Verdana" w:cs="Arial"/>
          <w:color w:val="7030A0"/>
          <w:lang w:eastAsia="es-ES"/>
        </w:rPr>
        <w:t xml:space="preserve"> </w:t>
      </w:r>
      <w:r w:rsidRPr="00915417">
        <w:rPr>
          <w:rFonts w:ascii="Verdana" w:eastAsia="Calibri" w:hAnsi="Verdana" w:cs="Arial"/>
          <w:color w:val="000000"/>
          <w:lang w:eastAsia="es-ES"/>
        </w:rPr>
        <w:t>problemas</w:t>
      </w:r>
      <w:r w:rsidRPr="00915417">
        <w:rPr>
          <w:rFonts w:ascii="Verdana" w:eastAsia="Calibri" w:hAnsi="Verdana" w:cs="Arial"/>
          <w:color w:val="7030A0"/>
          <w:lang w:eastAsia="es-ES"/>
        </w:rPr>
        <w:t xml:space="preserve"> </w:t>
      </w:r>
      <w:r w:rsidRPr="00915417">
        <w:rPr>
          <w:rFonts w:ascii="Verdana" w:eastAsia="Calibri" w:hAnsi="Verdana" w:cs="Arial"/>
          <w:color w:val="000000"/>
          <w:lang w:eastAsia="es-ES"/>
        </w:rPr>
        <w:t>jurídicos</w:t>
      </w:r>
      <w:r w:rsidRPr="00915417">
        <w:rPr>
          <w:rFonts w:ascii="Verdana" w:eastAsia="Calibri" w:hAnsi="Verdana" w:cs="Arial"/>
          <w:color w:val="7030A0"/>
          <w:lang w:eastAsia="es-ES"/>
        </w:rPr>
        <w:t xml:space="preserve"> </w:t>
      </w:r>
      <w:r w:rsidRPr="00915417">
        <w:rPr>
          <w:rFonts w:ascii="Verdana" w:eastAsia="Calibri" w:hAnsi="Verdana" w:cs="Arial"/>
          <w:color w:val="000000"/>
          <w:lang w:eastAsia="es-ES"/>
        </w:rPr>
        <w:t xml:space="preserve">de su consulta. </w:t>
      </w:r>
    </w:p>
    <w:p w14:paraId="0D356C4E" w14:textId="77777777" w:rsidR="00915417" w:rsidRPr="00915417" w:rsidRDefault="00915417" w:rsidP="00915417">
      <w:pPr>
        <w:spacing w:after="0" w:line="276" w:lineRule="auto"/>
        <w:ind w:firstLine="709"/>
        <w:jc w:val="both"/>
        <w:rPr>
          <w:rFonts w:ascii="Verdana" w:eastAsia="Calibri" w:hAnsi="Verdana" w:cs="Arial"/>
          <w:color w:val="000000"/>
          <w:lang w:eastAsia="es-ES"/>
        </w:rPr>
      </w:pPr>
    </w:p>
    <w:p w14:paraId="5588A6DB" w14:textId="77777777" w:rsidR="00915417" w:rsidRPr="00915417" w:rsidRDefault="00915417" w:rsidP="00915417">
      <w:pPr>
        <w:numPr>
          <w:ilvl w:val="0"/>
          <w:numId w:val="1"/>
        </w:numPr>
        <w:tabs>
          <w:tab w:val="left" w:pos="142"/>
          <w:tab w:val="left" w:pos="284"/>
        </w:tabs>
        <w:spacing w:after="0" w:line="276" w:lineRule="auto"/>
        <w:jc w:val="both"/>
        <w:rPr>
          <w:rFonts w:ascii="Verdana" w:eastAsia="Century Gothic" w:hAnsi="Verdana" w:cs="Century Gothic"/>
          <w:b/>
          <w:bCs/>
        </w:rPr>
      </w:pPr>
      <w:r w:rsidRPr="00915417">
        <w:rPr>
          <w:rFonts w:ascii="Verdana" w:eastAsia="Century Gothic" w:hAnsi="Verdana" w:cs="Century Gothic"/>
          <w:b/>
          <w:bCs/>
        </w:rPr>
        <w:t>Problemas planteados:</w:t>
      </w:r>
    </w:p>
    <w:p w14:paraId="7675F413" w14:textId="77777777" w:rsidR="00915417" w:rsidRPr="00915417" w:rsidRDefault="00915417" w:rsidP="00915417">
      <w:pPr>
        <w:tabs>
          <w:tab w:val="left" w:pos="426"/>
        </w:tabs>
        <w:spacing w:after="0" w:line="276" w:lineRule="auto"/>
        <w:jc w:val="both"/>
        <w:rPr>
          <w:rFonts w:ascii="Verdana" w:eastAsia="Century Gothic" w:hAnsi="Verdana" w:cs="Century Gothic"/>
        </w:rPr>
      </w:pPr>
    </w:p>
    <w:p w14:paraId="262178E9" w14:textId="77777777" w:rsidR="00915417" w:rsidRPr="00915417" w:rsidRDefault="00915417" w:rsidP="00915417">
      <w:pPr>
        <w:spacing w:after="0" w:line="276" w:lineRule="auto"/>
        <w:jc w:val="both"/>
        <w:rPr>
          <w:rFonts w:ascii="Verdana" w:eastAsia="Century Gothic" w:hAnsi="Verdana" w:cs="Century Gothic"/>
        </w:rPr>
      </w:pPr>
      <w:r w:rsidRPr="00915417">
        <w:rPr>
          <w:rFonts w:ascii="Verdana" w:eastAsia="Century Gothic" w:hAnsi="Verdana" w:cs="Century Gothic"/>
        </w:rPr>
        <w:t>De acuerdo con el contenido de su solicitud, esta Agencia resolverá el siguiente problema jurídico: i) “¿</w:t>
      </w:r>
      <w:r w:rsidRPr="00915417">
        <w:rPr>
          <w:rFonts w:ascii="Verdana" w:eastAsia="Calibri" w:hAnsi="Verdana" w:cs="Times New Roman"/>
        </w:rPr>
        <w:t>Cuál es el régimen contractual aplicable en la ejecución de proyectos cuya fuente de financiación es el Sistema General de Regalías cuando la entidad ejecutora se rige por el derecho privado</w:t>
      </w:r>
      <w:r w:rsidRPr="00915417">
        <w:rPr>
          <w:rFonts w:ascii="Verdana" w:eastAsia="Century Gothic" w:hAnsi="Verdana" w:cs="Century Gothic"/>
        </w:rPr>
        <w:t xml:space="preserve">?” y de acuerdo con lo anterior </w:t>
      </w:r>
      <w:proofErr w:type="spellStart"/>
      <w:r w:rsidRPr="00915417">
        <w:rPr>
          <w:rFonts w:ascii="Verdana" w:eastAsia="Century Gothic" w:hAnsi="Verdana" w:cs="Century Gothic"/>
        </w:rPr>
        <w:t>ii</w:t>
      </w:r>
      <w:proofErr w:type="spellEnd"/>
      <w:r w:rsidRPr="00915417">
        <w:rPr>
          <w:rFonts w:ascii="Verdana" w:eastAsia="Century Gothic" w:hAnsi="Verdana" w:cs="Century Gothic"/>
        </w:rPr>
        <w:t>) ¿Cuáles son los requisitos previos para la ejecución del contrato y la suscripción del acta de inicio?</w:t>
      </w:r>
    </w:p>
    <w:p w14:paraId="6D284DCC" w14:textId="77777777" w:rsidR="00915417" w:rsidRPr="00915417" w:rsidRDefault="00915417" w:rsidP="00915417">
      <w:pPr>
        <w:spacing w:after="0" w:line="276" w:lineRule="auto"/>
        <w:jc w:val="both"/>
        <w:rPr>
          <w:rFonts w:ascii="Verdana" w:eastAsia="Century Gothic" w:hAnsi="Verdana" w:cs="Century Gothic"/>
        </w:rPr>
      </w:pPr>
    </w:p>
    <w:p w14:paraId="3E3D6C11" w14:textId="77777777" w:rsidR="00915417" w:rsidRPr="00915417" w:rsidRDefault="00915417" w:rsidP="00915417">
      <w:pPr>
        <w:numPr>
          <w:ilvl w:val="0"/>
          <w:numId w:val="1"/>
        </w:numPr>
        <w:tabs>
          <w:tab w:val="left" w:pos="142"/>
          <w:tab w:val="left" w:pos="284"/>
        </w:tabs>
        <w:spacing w:after="0" w:line="276" w:lineRule="auto"/>
        <w:jc w:val="both"/>
        <w:rPr>
          <w:rFonts w:ascii="Verdana" w:eastAsia="Century Gothic" w:hAnsi="Verdana" w:cs="Century Gothic"/>
          <w:b/>
          <w:bCs/>
        </w:rPr>
      </w:pPr>
      <w:r w:rsidRPr="00915417">
        <w:rPr>
          <w:rFonts w:ascii="Verdana" w:eastAsia="Century Gothic" w:hAnsi="Verdana" w:cs="Century Gothic"/>
          <w:b/>
          <w:bCs/>
        </w:rPr>
        <w:t>Respuestas:</w:t>
      </w:r>
    </w:p>
    <w:p w14:paraId="5567A3D0" w14:textId="77777777" w:rsidR="00915417" w:rsidRPr="00915417" w:rsidRDefault="00915417" w:rsidP="0091541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5417" w:rsidRPr="00915417" w14:paraId="61D6DEF7" w14:textId="77777777" w:rsidTr="00175823">
        <w:trPr>
          <w:trHeight w:val="693"/>
          <w:jc w:val="center"/>
        </w:trPr>
        <w:tc>
          <w:tcPr>
            <w:tcW w:w="8828" w:type="dxa"/>
          </w:tcPr>
          <w:p w14:paraId="04044206" w14:textId="77777777" w:rsidR="00915417" w:rsidRPr="00915417" w:rsidRDefault="00915417" w:rsidP="00915417">
            <w:pPr>
              <w:spacing w:after="120" w:line="276" w:lineRule="auto"/>
              <w:ind w:firstLine="743"/>
              <w:jc w:val="both"/>
              <w:rPr>
                <w:rFonts w:ascii="Verdana" w:eastAsia="Calibri" w:hAnsi="Verdana" w:cs="Arial"/>
                <w:color w:val="000000"/>
                <w:lang w:val="es-ES" w:eastAsia="es-ES"/>
              </w:rPr>
            </w:pPr>
            <w:bookmarkStart w:id="2" w:name="_Hlk171694685"/>
            <w:r w:rsidRPr="00915417">
              <w:rPr>
                <w:rFonts w:ascii="Verdana" w:eastAsia="Calibri" w:hAnsi="Verdana" w:cs="Arial"/>
                <w:color w:val="000000"/>
                <w:lang w:val="es-ES" w:eastAsia="es-ES"/>
              </w:rPr>
              <w:t xml:space="preserve">i. Conforme a la interpretación general de las normas del sistema de compras públicas, esta Subdirección en </w:t>
            </w:r>
            <w:r w:rsidRPr="00915417">
              <w:rPr>
                <w:rFonts w:ascii="Verdana" w:hAnsi="Verdana" w:cs="Arial"/>
              </w:rPr>
              <w:t>los conceptos C-370 del 2021,</w:t>
            </w:r>
            <w:r w:rsidRPr="00915417">
              <w:rPr>
                <w:rFonts w:ascii="Verdana" w:hAnsi="Verdana" w:cs="Arial"/>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y C-914 del 15 de agosto de 2025, ha mantenido la postura en virtud de la cual </w:t>
            </w:r>
            <w:r w:rsidRPr="00915417">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3265A364" w14:textId="77777777" w:rsidR="00915417" w:rsidRPr="00915417" w:rsidRDefault="00915417" w:rsidP="00915417">
            <w:pPr>
              <w:spacing w:after="120" w:line="276" w:lineRule="auto"/>
              <w:ind w:firstLine="709"/>
              <w:jc w:val="both"/>
              <w:rPr>
                <w:rFonts w:ascii="Verdana" w:eastAsia="Calibri" w:hAnsi="Verdana" w:cs="Arial"/>
                <w:color w:val="000000"/>
                <w:lang w:val="es-ES" w:eastAsia="es-ES"/>
              </w:rPr>
            </w:pPr>
            <w:r w:rsidRPr="00915417">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003A0A8D"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 xml:space="preserve">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4DB360D2" w14:textId="77777777" w:rsidR="00915417" w:rsidRPr="00915417" w:rsidRDefault="00915417" w:rsidP="00915417">
            <w:pPr>
              <w:spacing w:after="120" w:line="276" w:lineRule="auto"/>
              <w:ind w:firstLine="743"/>
              <w:jc w:val="both"/>
              <w:rPr>
                <w:rFonts w:ascii="Verdana" w:eastAsia="Calibri" w:hAnsi="Verdana" w:cs="Arial"/>
                <w:color w:val="000000" w:themeColor="text1"/>
                <w:lang w:eastAsia="es-ES"/>
              </w:rPr>
            </w:pPr>
            <w:proofErr w:type="spellStart"/>
            <w:r w:rsidRPr="00915417">
              <w:rPr>
                <w:rFonts w:ascii="Verdana" w:eastAsia="Calibri" w:hAnsi="Verdana" w:cs="Arial"/>
                <w:color w:val="000000"/>
                <w:lang w:val="es-ES" w:eastAsia="es-ES"/>
              </w:rPr>
              <w:t>ii</w:t>
            </w:r>
            <w:proofErr w:type="spellEnd"/>
            <w:r w:rsidRPr="00915417">
              <w:rPr>
                <w:rFonts w:ascii="Verdana" w:eastAsia="Calibri" w:hAnsi="Verdana" w:cs="Arial"/>
                <w:color w:val="000000"/>
                <w:lang w:val="es-ES" w:eastAsia="es-ES"/>
              </w:rPr>
              <w:t>. D</w:t>
            </w:r>
            <w:proofErr w:type="spellStart"/>
            <w:r w:rsidRPr="00915417">
              <w:rPr>
                <w:rFonts w:ascii="Verdana" w:eastAsia="Calibri" w:hAnsi="Verdana" w:cs="Arial"/>
                <w:color w:val="000000" w:themeColor="text1"/>
                <w:lang w:eastAsia="es-ES"/>
              </w:rPr>
              <w:t>e</w:t>
            </w:r>
            <w:proofErr w:type="spellEnd"/>
            <w:r w:rsidRPr="00915417">
              <w:rPr>
                <w:rFonts w:ascii="Verdana" w:eastAsia="Calibri" w:hAnsi="Verdana" w:cs="Arial"/>
                <w:color w:val="000000" w:themeColor="text1"/>
                <w:lang w:eastAsia="es-ES"/>
              </w:rPr>
              <w:t xml:space="preserve"> acuerdo con lo explicado, se precisa que en estos casos todos los aspectos relacionados con la etapa de ejecución del contrato deberán adelantarse conforme a lo establecido en el EGCAP, así como a lo dispuesto en el pliego de condiciones correspondiente a cada proceso contractual. Esto incluye, entre otros, la suscripción del acta de inicio, la entrega de la </w:t>
            </w:r>
            <w:r w:rsidRPr="00915417">
              <w:rPr>
                <w:rFonts w:ascii="Verdana" w:eastAsia="Calibri" w:hAnsi="Verdana" w:cs="Arial"/>
                <w:color w:val="000000" w:themeColor="text1"/>
                <w:lang w:eastAsia="es-ES"/>
              </w:rPr>
              <w:lastRenderedPageBreak/>
              <w:t xml:space="preserve">documentación requerida, como hojas de vida del personal vinculado y cualquier otro requisito necesario para </w:t>
            </w:r>
            <w:proofErr w:type="gramStart"/>
            <w:r w:rsidRPr="00915417">
              <w:rPr>
                <w:rFonts w:ascii="Verdana" w:eastAsia="Calibri" w:hAnsi="Verdana" w:cs="Arial"/>
                <w:color w:val="000000" w:themeColor="text1"/>
                <w:lang w:eastAsia="es-ES"/>
              </w:rPr>
              <w:t>dar inicio a</w:t>
            </w:r>
            <w:proofErr w:type="gramEnd"/>
            <w:r w:rsidRPr="00915417">
              <w:rPr>
                <w:rFonts w:ascii="Verdana" w:eastAsia="Calibri" w:hAnsi="Verdana" w:cs="Arial"/>
                <w:color w:val="000000" w:themeColor="text1"/>
                <w:lang w:eastAsia="es-ES"/>
              </w:rPr>
              <w:t xml:space="preserve"> la ejecución del contrato.</w:t>
            </w:r>
          </w:p>
          <w:p w14:paraId="75962876" w14:textId="77777777" w:rsidR="00915417" w:rsidRPr="00915417" w:rsidRDefault="00915417" w:rsidP="00915417">
            <w:pPr>
              <w:spacing w:after="120" w:line="276" w:lineRule="auto"/>
              <w:ind w:firstLine="708"/>
              <w:jc w:val="both"/>
              <w:rPr>
                <w:rFonts w:ascii="Verdana" w:eastAsia="Calibri" w:hAnsi="Verdana" w:cs="Arial"/>
                <w:lang w:val="es-ES_tradnl"/>
              </w:rPr>
            </w:pPr>
            <w:r w:rsidRPr="00915417">
              <w:rPr>
                <w:rFonts w:ascii="Verdana" w:eastAsia="Calibri" w:hAnsi="Verdana" w:cs="Arial"/>
                <w:color w:val="000000" w:themeColor="text1"/>
                <w:lang w:eastAsia="es-ES"/>
              </w:rPr>
              <w:t xml:space="preserve">Así, es pertinente precisar que </w:t>
            </w:r>
            <w:r w:rsidRPr="00915417">
              <w:rPr>
                <w:rFonts w:ascii="Verdana" w:hAnsi="Verdana"/>
              </w:rPr>
              <w:t>al tratarse de un contrato estatal, debe cumplir con los requisitos de perfeccionamiento y ejecución establecidos en el artículo 41 de la Ley 80 de 1993. En efecto, conforme lo señala</w:t>
            </w:r>
            <w:r w:rsidRPr="00915417">
              <w:rPr>
                <w:rFonts w:ascii="Verdana" w:eastAsia="Calibri" w:hAnsi="Verdana" w:cs="Arial"/>
                <w:lang w:val="es-ES_tradnl"/>
              </w:rPr>
              <w:t xml:space="preserve"> el primer inciso del artículo 41 de la Ley 80 de 1993 “</w:t>
            </w:r>
            <w:r w:rsidRPr="00915417">
              <w:rPr>
                <w:rFonts w:ascii="Verdana" w:eastAsia="Calibri" w:hAnsi="Verdana" w:cs="Arial"/>
                <w:i/>
                <w:iCs/>
                <w:lang w:val="es-ES_tradnl"/>
              </w:rPr>
              <w:t>Los contratos del Estado se perfeccionan cuando se logre acuerdo sobre el objeto y la contraprestación y éste se eleve a escrito</w:t>
            </w:r>
            <w:r w:rsidRPr="00915417">
              <w:rPr>
                <w:rFonts w:ascii="Verdana" w:eastAsia="Calibri" w:hAnsi="Verdana" w:cs="Arial"/>
                <w:lang w:val="es-ES_tradnl"/>
              </w:rPr>
              <w:t>”, de tal manera que para que el contrato estatal exista, no solo debe haber un acuerdo sobre la obligación principal del negocio –es decir, sobre el “objeto”– y sobre la contraprestación, sino que se debe plasmar por escrito.</w:t>
            </w:r>
          </w:p>
          <w:p w14:paraId="1C9B2CBB"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_tradnl"/>
              </w:rPr>
              <w:t xml:space="preserve">Además, para su ejecución se deberán cumplir los requisitos de ejecución señalados en el inciso segundo del referido artículo 41, es decir, que se deberá contar </w:t>
            </w:r>
            <w:r w:rsidRPr="00915417">
              <w:rPr>
                <w:rFonts w:ascii="Verdana" w:eastAsia="Calibri" w:hAnsi="Verdana" w:cs="Arial"/>
                <w:lang w:val="es-ES"/>
              </w:rPr>
              <w:t>con: (i) la aprobación de las garantías exigidas en el contrato (cuando aplique), (</w:t>
            </w:r>
            <w:proofErr w:type="spellStart"/>
            <w:r w:rsidRPr="00915417">
              <w:rPr>
                <w:rFonts w:ascii="Verdana" w:eastAsia="Calibri" w:hAnsi="Verdana" w:cs="Arial"/>
                <w:lang w:val="es-ES"/>
              </w:rPr>
              <w:t>ii</w:t>
            </w:r>
            <w:proofErr w:type="spellEnd"/>
            <w:r w:rsidRPr="00915417">
              <w:rPr>
                <w:rFonts w:ascii="Verdana" w:eastAsia="Calibri" w:hAnsi="Verdana" w:cs="Arial"/>
                <w:lang w:val="es-ES"/>
              </w:rPr>
              <w:t>) la existencia de la apropiación presupuestal correspondiente y (</w:t>
            </w:r>
            <w:proofErr w:type="spellStart"/>
            <w:r w:rsidRPr="00915417">
              <w:rPr>
                <w:rFonts w:ascii="Verdana" w:eastAsia="Calibri" w:hAnsi="Verdana" w:cs="Arial"/>
                <w:lang w:val="es-ES"/>
              </w:rPr>
              <w:t>iii</w:t>
            </w:r>
            <w:proofErr w:type="spellEnd"/>
            <w:r w:rsidRPr="00915417">
              <w:rPr>
                <w:rFonts w:ascii="Verdana" w:eastAsia="Calibri" w:hAnsi="Verdana" w:cs="Arial"/>
                <w:lang w:val="es-ES"/>
              </w:rPr>
              <w:t>) la acreditación del cumplimiento de las obligaciones con el Sistema de Seguridad Social Integral.</w:t>
            </w:r>
            <w:r w:rsidRPr="00915417">
              <w:rPr>
                <w:rFonts w:ascii="Verdana" w:eastAsia="Calibri" w:hAnsi="Verdana" w:cs="Arial"/>
                <w:lang w:val="es-MX" w:eastAsia="es-ES"/>
              </w:rPr>
              <w:t xml:space="preserve"> Por su parte, el acta de inicio, </w:t>
            </w:r>
            <w:r w:rsidRPr="00915417">
              <w:rPr>
                <w:rFonts w:ascii="Verdana" w:eastAsia="Calibri" w:hAnsi="Verdana" w:cs="Arial"/>
                <w:lang w:val="es-ES" w:eastAsia="es-ES"/>
              </w:rPr>
              <w:t>al no ser un requisito legal de ejecución –pues no se encuentra consagrado en la ley–, constituye un requisito de ejecución convencional, que se pacta en la minuta del contrato o que el contratista acepta, adhiriéndose al clausulado del pliego de condiciones o documento equivalente.</w:t>
            </w:r>
          </w:p>
          <w:p w14:paraId="080FD123"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Así las cosas, previo a la suscripción del acta de inicio, será necesario acreditar el cumplimiento de los requisitos legales exigidos para la ejecución del contrato estatal. Por su parte, todos aquellos aspectos adicionales relacionados con las obligaciones contractuales, como la presentación de las hojas de vida del personal mínimo propuesto o requerido, deberán atenderse conforme a lo establecido en el pliego de condiciones y en el contrato respectivo. En caso de que dichos aspectos hayan sido definidos expresamente como requisitos para la firma del acta de inicio, su cumplimiento deberá ajustarse a lo pactado por las partes.</w:t>
            </w:r>
          </w:p>
        </w:tc>
      </w:tr>
    </w:tbl>
    <w:p w14:paraId="0B348CDD" w14:textId="77777777" w:rsidR="00915417" w:rsidRPr="00915417" w:rsidRDefault="00915417" w:rsidP="00915417">
      <w:pPr>
        <w:tabs>
          <w:tab w:val="left" w:pos="142"/>
          <w:tab w:val="left" w:pos="284"/>
        </w:tabs>
        <w:spacing w:after="0" w:line="276" w:lineRule="auto"/>
        <w:jc w:val="both"/>
        <w:rPr>
          <w:rFonts w:ascii="Verdana" w:eastAsia="Century Gothic" w:hAnsi="Verdana" w:cs="Century Gothic"/>
          <w:b/>
          <w:bCs/>
        </w:rPr>
      </w:pPr>
    </w:p>
    <w:bookmarkEnd w:id="2"/>
    <w:p w14:paraId="7A0CB9AC" w14:textId="77777777" w:rsidR="00915417" w:rsidRPr="00915417" w:rsidRDefault="00915417" w:rsidP="00915417">
      <w:pPr>
        <w:numPr>
          <w:ilvl w:val="0"/>
          <w:numId w:val="1"/>
        </w:numPr>
        <w:tabs>
          <w:tab w:val="left" w:pos="142"/>
          <w:tab w:val="left" w:pos="284"/>
        </w:tabs>
        <w:spacing w:after="0" w:line="276" w:lineRule="auto"/>
        <w:jc w:val="both"/>
        <w:rPr>
          <w:rFonts w:ascii="Verdana" w:eastAsia="Century Gothic" w:hAnsi="Verdana" w:cs="Century Gothic"/>
          <w:b/>
          <w:bCs/>
        </w:rPr>
      </w:pPr>
      <w:r w:rsidRPr="00915417">
        <w:rPr>
          <w:rFonts w:ascii="Verdana" w:eastAsia="Century Gothic" w:hAnsi="Verdana" w:cs="Century Gothic"/>
          <w:b/>
          <w:bCs/>
        </w:rPr>
        <w:t>Razones de las respuestas:</w:t>
      </w:r>
    </w:p>
    <w:p w14:paraId="553BEEF3" w14:textId="77777777" w:rsidR="00915417" w:rsidRPr="00915417" w:rsidRDefault="00915417" w:rsidP="00915417">
      <w:pPr>
        <w:spacing w:after="0" w:line="276" w:lineRule="auto"/>
        <w:jc w:val="both"/>
        <w:rPr>
          <w:rFonts w:ascii="Verdana" w:eastAsia="Calibri" w:hAnsi="Verdana" w:cs="Arial"/>
          <w:color w:val="7030A0"/>
        </w:rPr>
      </w:pPr>
    </w:p>
    <w:p w14:paraId="774AB6AB" w14:textId="77777777" w:rsidR="00915417" w:rsidRPr="00915417" w:rsidRDefault="00915417" w:rsidP="00915417">
      <w:pPr>
        <w:spacing w:after="0" w:line="276" w:lineRule="auto"/>
        <w:jc w:val="both"/>
        <w:rPr>
          <w:rFonts w:ascii="Verdana" w:eastAsia="Calibri" w:hAnsi="Verdana" w:cs="Arial"/>
        </w:rPr>
      </w:pPr>
      <w:r w:rsidRPr="00915417">
        <w:rPr>
          <w:rFonts w:ascii="Verdana" w:eastAsia="Calibri" w:hAnsi="Verdana" w:cs="Arial"/>
        </w:rPr>
        <w:t>Lo anterior se sustenta en las siguientes consideraciones:</w:t>
      </w:r>
    </w:p>
    <w:p w14:paraId="084EA886" w14:textId="77777777" w:rsidR="00915417" w:rsidRPr="00915417" w:rsidRDefault="00915417" w:rsidP="00915417">
      <w:pPr>
        <w:spacing w:after="0" w:line="276" w:lineRule="auto"/>
        <w:jc w:val="both"/>
        <w:rPr>
          <w:rFonts w:ascii="Verdana" w:eastAsia="Calibri" w:hAnsi="Verdana" w:cs="Arial"/>
        </w:rPr>
      </w:pPr>
    </w:p>
    <w:p w14:paraId="4CA3CD75" w14:textId="77777777" w:rsidR="00915417" w:rsidRPr="00915417" w:rsidRDefault="00915417" w:rsidP="00915417">
      <w:pPr>
        <w:spacing w:after="120" w:line="276" w:lineRule="auto"/>
        <w:jc w:val="both"/>
        <w:rPr>
          <w:rFonts w:ascii="Verdana" w:eastAsia="Calibri" w:hAnsi="Verdana" w:cs="Arial"/>
          <w:color w:val="000000"/>
          <w:lang w:val="es-ES" w:eastAsia="es-ES"/>
        </w:rPr>
      </w:pPr>
      <w:r w:rsidRPr="00915417">
        <w:rPr>
          <w:rFonts w:ascii="Verdana" w:eastAsia="Calibri" w:hAnsi="Verdana" w:cs="Arial"/>
          <w:color w:val="000000"/>
          <w:lang w:val="es-ES" w:eastAsia="es-ES"/>
        </w:rPr>
        <w:lastRenderedPageBreak/>
        <w:t xml:space="preserve">i. Conforme a la interpretación general de las normas del sistema de compras públicas, esta Subdirección en </w:t>
      </w:r>
      <w:r w:rsidRPr="00915417">
        <w:rPr>
          <w:rFonts w:ascii="Verdana" w:hAnsi="Verdana" w:cs="Arial"/>
        </w:rPr>
        <w:t>los conceptos C-370 del 2021,</w:t>
      </w:r>
      <w:r w:rsidRPr="00915417">
        <w:rPr>
          <w:rFonts w:ascii="Verdana" w:hAnsi="Verdana" w:cs="Arial"/>
          <w:shd w:val="clear" w:color="auto" w:fill="FFFFFF"/>
        </w:rPr>
        <w:t xml:space="preserve"> C-353 del 2 de junio de 2022, C-918 del 9 de diciembre de 2024, C-504 del 1 de octubre 2024, C-951 del 16 de diciembre de 2024, C-285 del 14 de abril de 2025, C-348 del 25 de abril de 2025, C-370 del 2 de mayo de 202, C-680 del 8 de julio de 2025 y C-914 del 15 de agosto de 2025, ha mantenido la postura en virtud de la cual </w:t>
      </w:r>
      <w:r w:rsidRPr="00915417">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430DE4DC" w14:textId="77777777" w:rsidR="00915417" w:rsidRPr="00915417" w:rsidRDefault="00915417" w:rsidP="00915417">
      <w:pPr>
        <w:spacing w:after="120" w:line="276" w:lineRule="auto"/>
        <w:ind w:firstLine="709"/>
        <w:jc w:val="both"/>
        <w:rPr>
          <w:rFonts w:ascii="Verdana" w:hAnsi="Verdana" w:cs="Arial"/>
          <w:noProof/>
        </w:rPr>
      </w:pPr>
      <w:r w:rsidRPr="00915417">
        <w:rPr>
          <w:rFonts w:ascii="Verdana" w:eastAsia="Calibri" w:hAnsi="Verdana" w:cs="Arial"/>
          <w:color w:val="000000"/>
          <w:lang w:val="es-ES" w:eastAsia="es-ES"/>
        </w:rPr>
        <w:t xml:space="preserve">En efecto, conforme se ha explicado en estos conceptos, </w:t>
      </w:r>
      <w:r w:rsidRPr="00915417">
        <w:rPr>
          <w:rFonts w:ascii="Verdana" w:hAnsi="Verdana" w:cs="Arial"/>
          <w:noProof/>
          <w:lang w:val="es-ES_tradnl"/>
        </w:rPr>
        <w:t xml:space="preserve">en </w:t>
      </w:r>
      <w:r w:rsidRPr="00915417">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0711A038" w14:textId="77777777" w:rsidR="00915417" w:rsidRPr="00915417" w:rsidRDefault="00915417" w:rsidP="00915417">
      <w:pPr>
        <w:spacing w:after="120" w:line="276" w:lineRule="auto"/>
        <w:ind w:firstLine="709"/>
        <w:jc w:val="both"/>
        <w:rPr>
          <w:rFonts w:ascii="Verdana" w:hAnsi="Verdana" w:cs="Arial"/>
        </w:rPr>
      </w:pPr>
      <w:r w:rsidRPr="00915417">
        <w:rPr>
          <w:rFonts w:ascii="Verdana" w:hAnsi="Verdana" w:cs="Arial"/>
          <w:noProof/>
        </w:rPr>
        <w:t xml:space="preserve">Particularmente, el artículo 37 </w:t>
      </w:r>
      <w:r w:rsidRPr="00915417">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915417">
        <w:rPr>
          <w:rFonts w:ascii="Verdana" w:hAnsi="Verdana" w:cs="Arial"/>
          <w:i/>
          <w:iCs/>
        </w:rPr>
        <w:t>ibidem</w:t>
      </w:r>
      <w:r w:rsidRPr="00915417">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w:t>
      </w:r>
      <w:r w:rsidRPr="00915417">
        <w:rPr>
          <w:rFonts w:ascii="Verdana" w:hAnsi="Verdana" w:cs="Arial"/>
        </w:rPr>
        <w:lastRenderedPageBreak/>
        <w:t xml:space="preserve">inversión y decidir, de manera motivada, sobre la continuidad de </w:t>
      </w:r>
      <w:proofErr w:type="gramStart"/>
      <w:r w:rsidRPr="00915417">
        <w:rPr>
          <w:rFonts w:ascii="Verdana" w:hAnsi="Verdana" w:cs="Arial"/>
        </w:rPr>
        <w:t>los mismos</w:t>
      </w:r>
      <w:proofErr w:type="gramEnd"/>
      <w:r w:rsidRPr="00915417">
        <w:rPr>
          <w:rFonts w:ascii="Verdana" w:hAnsi="Verdana" w:cs="Arial"/>
        </w:rPr>
        <w:t xml:space="preserve">, sin perjuicio de las acciones de control a las que haya lugar. </w:t>
      </w:r>
    </w:p>
    <w:p w14:paraId="4A3C4515" w14:textId="77777777" w:rsidR="00915417" w:rsidRPr="00915417" w:rsidRDefault="00915417" w:rsidP="00915417">
      <w:pPr>
        <w:spacing w:after="120" w:line="276" w:lineRule="auto"/>
        <w:ind w:firstLine="709"/>
        <w:jc w:val="both"/>
        <w:rPr>
          <w:rFonts w:ascii="Verdana" w:hAnsi="Verdana" w:cs="Arial"/>
        </w:rPr>
      </w:pPr>
      <w:r w:rsidRPr="00915417">
        <w:rPr>
          <w:rFonts w:ascii="Verdana" w:hAnsi="Verdana" w:cs="Arial"/>
        </w:rPr>
        <w:t xml:space="preserve">El parágrafo primero del artículo 37 </w:t>
      </w:r>
      <w:r w:rsidRPr="00915417">
        <w:rPr>
          <w:rFonts w:ascii="Verdana" w:hAnsi="Verdana" w:cs="Arial"/>
          <w:i/>
          <w:iCs/>
        </w:rPr>
        <w:t>ibidem</w:t>
      </w:r>
      <w:r w:rsidRPr="00915417">
        <w:rPr>
          <w:rFonts w:ascii="Verdana" w:hAnsi="Verdana" w:cs="Arial"/>
        </w:rPr>
        <w:t xml:space="preserve"> dispone lo siguiente: “La ejecución de proyectos de que trata este artículo, se adelantará, con estricta sujeción al régimen presupuestal definido en esta ley, </w:t>
      </w:r>
      <w:r w:rsidRPr="00915417">
        <w:rPr>
          <w:rFonts w:ascii="Verdana" w:hAnsi="Verdana" w:cs="Arial"/>
          <w:i/>
          <w:iCs/>
          <w:u w:val="single"/>
        </w:rPr>
        <w:t>al de contratación pública</w:t>
      </w:r>
      <w:r w:rsidRPr="00915417">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915417">
        <w:rPr>
          <w:rFonts w:ascii="Verdana" w:hAnsi="Verdana" w:cs="Arial"/>
          <w:vertAlign w:val="superscript"/>
        </w:rPr>
        <w:footnoteReference w:id="2"/>
      </w:r>
      <w:r w:rsidRPr="00915417">
        <w:rPr>
          <w:rFonts w:ascii="Verdana" w:hAnsi="Verdana" w:cs="Arial"/>
        </w:rPr>
        <w:t>.</w:t>
      </w:r>
      <w:r w:rsidRPr="00915417">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05330E13" w14:textId="77777777" w:rsidR="00915417" w:rsidRPr="00915417" w:rsidRDefault="00915417" w:rsidP="00915417">
      <w:pPr>
        <w:spacing w:after="120" w:line="276" w:lineRule="auto"/>
        <w:ind w:firstLine="709"/>
        <w:jc w:val="both"/>
        <w:rPr>
          <w:rFonts w:ascii="Verdana" w:hAnsi="Verdana" w:cs="Arial"/>
          <w:bdr w:val="none" w:sz="0" w:space="0" w:color="auto" w:frame="1"/>
        </w:rPr>
      </w:pPr>
      <w:r w:rsidRPr="00915417">
        <w:rPr>
          <w:rFonts w:ascii="Verdana" w:hAnsi="Verdana" w:cs="Arial"/>
        </w:rPr>
        <w:lastRenderedPageBreak/>
        <w:t xml:space="preserve">Por tanto, en caso de que se realicen proyectos de inversión en el marco del Sistema General de Regalías, como también aquellos proyectos especiales referenciados </w:t>
      </w:r>
      <w:r w:rsidRPr="00915417">
        <w:rPr>
          <w:rFonts w:ascii="Verdana" w:hAnsi="Verdana" w:cs="Arial"/>
          <w:i/>
          <w:iCs/>
        </w:rPr>
        <w:t>ut supra</w:t>
      </w:r>
      <w:r w:rsidRPr="00915417">
        <w:rPr>
          <w:rFonts w:ascii="Verdana" w:hAnsi="Verdana" w:cs="Arial"/>
        </w:rPr>
        <w:t>, los ejecutores designados para desarrollarlos deben sujetarse al Estatuto General de Contratación de la Administración Pública</w:t>
      </w:r>
      <w:r w:rsidRPr="00915417">
        <w:rPr>
          <w:rFonts w:ascii="Verdana" w:eastAsia="Calibri" w:hAnsi="Verdana" w:cs="Arial"/>
        </w:rPr>
        <w:t>.</w:t>
      </w:r>
      <w:r w:rsidRPr="00915417">
        <w:rPr>
          <w:rFonts w:ascii="Verdana" w:hAnsi="Verdana" w:cs="Arial"/>
        </w:rPr>
        <w:t xml:space="preserve"> </w:t>
      </w:r>
      <w:r w:rsidRPr="00915417">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12AFA168" w14:textId="77777777" w:rsidR="00915417" w:rsidRPr="00915417" w:rsidRDefault="00915417" w:rsidP="00915417">
      <w:pPr>
        <w:spacing w:after="120" w:line="276" w:lineRule="auto"/>
        <w:ind w:firstLine="709"/>
        <w:jc w:val="both"/>
        <w:rPr>
          <w:rFonts w:ascii="Verdana" w:eastAsia="Calibri" w:hAnsi="Verdana" w:cs="Arial"/>
          <w:iCs/>
          <w:color w:val="000000"/>
          <w:lang w:eastAsia="es-ES"/>
        </w:rPr>
      </w:pPr>
      <w:r w:rsidRPr="00915417">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r w:rsidRPr="00915417">
        <w:rPr>
          <w:rFonts w:ascii="Verdana" w:eastAsia="Calibri" w:hAnsi="Verdana" w:cs="Arial"/>
          <w:iCs/>
          <w:color w:val="000000"/>
          <w:lang w:eastAsia="es-ES"/>
        </w:rPr>
        <w:t>.</w:t>
      </w:r>
    </w:p>
    <w:p w14:paraId="76CFD697" w14:textId="77777777" w:rsidR="00915417" w:rsidRPr="00915417" w:rsidRDefault="00915417" w:rsidP="00915417">
      <w:pPr>
        <w:spacing w:after="0" w:line="276" w:lineRule="auto"/>
        <w:ind w:firstLine="708"/>
        <w:jc w:val="both"/>
        <w:rPr>
          <w:rFonts w:ascii="Verdana" w:eastAsia="Calibri" w:hAnsi="Verdana" w:cs="Arial"/>
          <w:lang w:val="es-ES"/>
        </w:rPr>
      </w:pPr>
      <w:r w:rsidRPr="00915417">
        <w:rPr>
          <w:rFonts w:ascii="Verdana" w:hAnsi="Verdana" w:cs="Arial"/>
          <w:bdr w:val="none" w:sz="0" w:space="0" w:color="auto" w:frame="1"/>
        </w:rPr>
        <w:t xml:space="preserve">La anterior conclusión resulta de especial importancia para efectos de la consulta planteada, puesto que </w:t>
      </w:r>
      <w:r w:rsidRPr="00915417">
        <w:rPr>
          <w:rFonts w:ascii="Verdana" w:hAnsi="Verdana" w:cs="Arial"/>
          <w:bdr w:val="none" w:sz="0" w:space="0" w:color="auto" w:frame="1"/>
          <w:lang w:val="es-ES_tradnl"/>
        </w:rPr>
        <w:t xml:space="preserve">las Empresas Industriales y Comerciales del Estado en ciertos eventos cuentan con un régimen de contratación particular. En efecto, </w:t>
      </w:r>
      <w:r w:rsidRPr="00915417">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915417">
        <w:rPr>
          <w:rFonts w:ascii="Verdana" w:eastAsia="Calibri" w:hAnsi="Verdana" w:cs="Arial"/>
          <w:vertAlign w:val="superscript"/>
          <w:lang w:val="es-ES"/>
        </w:rPr>
        <w:footnoteReference w:id="3"/>
      </w:r>
      <w:r w:rsidRPr="00915417">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1E684775" w14:textId="77777777" w:rsidR="00915417" w:rsidRPr="00915417" w:rsidRDefault="00915417" w:rsidP="00915417">
      <w:pPr>
        <w:spacing w:after="0" w:line="276" w:lineRule="auto"/>
        <w:ind w:firstLine="708"/>
        <w:jc w:val="both"/>
        <w:rPr>
          <w:rFonts w:ascii="Verdana" w:eastAsia="Calibri" w:hAnsi="Verdana" w:cs="Arial"/>
          <w:lang w:val="es-ES"/>
        </w:rPr>
      </w:pPr>
    </w:p>
    <w:p w14:paraId="218A1CDC" w14:textId="77777777" w:rsidR="00915417" w:rsidRPr="00915417" w:rsidRDefault="00915417" w:rsidP="00915417">
      <w:pPr>
        <w:spacing w:after="0" w:line="240" w:lineRule="auto"/>
        <w:ind w:left="709" w:right="709"/>
        <w:contextualSpacing/>
        <w:jc w:val="both"/>
        <w:rPr>
          <w:rFonts w:ascii="Verdana" w:eastAsia="Times New Roman" w:hAnsi="Verdana" w:cs="Arial"/>
          <w:sz w:val="20"/>
          <w:szCs w:val="20"/>
          <w:lang w:eastAsia="es-ES_tradnl"/>
        </w:rPr>
      </w:pPr>
      <w:r w:rsidRPr="00915417">
        <w:rPr>
          <w:rFonts w:ascii="Verdana" w:eastAsia="Times New Roman" w:hAnsi="Verdana" w:cs="Arial"/>
          <w:sz w:val="20"/>
          <w:szCs w:val="20"/>
          <w:lang w:eastAsia="es-ES_tradnl"/>
        </w:rPr>
        <w:t xml:space="preserve">“Artículo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w:t>
      </w:r>
      <w:r w:rsidRPr="00915417">
        <w:rPr>
          <w:rFonts w:ascii="Verdana" w:eastAsia="Times New Roman" w:hAnsi="Verdana" w:cs="Arial"/>
          <w:sz w:val="20"/>
          <w:szCs w:val="20"/>
          <w:lang w:eastAsia="es-ES_tradnl"/>
        </w:rPr>
        <w:lastRenderedPageBreak/>
        <w:t>celebren para el cumplimiento de su objeto se sujetarán a las disposiciones del Estatuto General de Contratación de las entidades estatales”.</w:t>
      </w:r>
    </w:p>
    <w:p w14:paraId="4A81F718" w14:textId="77777777" w:rsidR="00915417" w:rsidRPr="00915417" w:rsidRDefault="00915417" w:rsidP="00915417">
      <w:pPr>
        <w:widowControl w:val="0"/>
        <w:autoSpaceDE w:val="0"/>
        <w:autoSpaceDN w:val="0"/>
        <w:spacing w:after="0" w:line="276" w:lineRule="auto"/>
        <w:rPr>
          <w:rFonts w:ascii="Verdana" w:eastAsia="Verdana" w:hAnsi="Verdana" w:cs="Verdana"/>
          <w:sz w:val="20"/>
        </w:rPr>
      </w:pPr>
    </w:p>
    <w:p w14:paraId="76F11F05" w14:textId="77777777" w:rsidR="00915417" w:rsidRPr="00915417" w:rsidRDefault="00915417" w:rsidP="00915417">
      <w:pPr>
        <w:widowControl w:val="0"/>
        <w:autoSpaceDE w:val="0"/>
        <w:autoSpaceDN w:val="0"/>
        <w:spacing w:after="0" w:line="276" w:lineRule="auto"/>
        <w:ind w:right="49" w:firstLine="708"/>
        <w:jc w:val="both"/>
        <w:rPr>
          <w:rFonts w:ascii="Verdana" w:eastAsia="Verdana" w:hAnsi="Verdana" w:cs="Verdana"/>
          <w:lang w:val="es-ES"/>
        </w:rPr>
      </w:pPr>
      <w:bookmarkStart w:id="3" w:name="_bookmark7"/>
      <w:bookmarkEnd w:id="3"/>
      <w:r w:rsidRPr="00915417">
        <w:rPr>
          <w:rFonts w:ascii="Verdana" w:eastAsia="Verdana" w:hAnsi="Verdana" w:cs="Verdana"/>
          <w:lang w:val="es-ES"/>
        </w:rPr>
        <w:t>No obstante las dificultades hermenéuticas que suscitaba la disposición anterior,</w:t>
      </w:r>
      <w:r w:rsidRPr="00915417">
        <w:rPr>
          <w:rFonts w:ascii="Verdana" w:eastAsia="Verdana" w:hAnsi="Verdana" w:cs="Verdana"/>
          <w:spacing w:val="-8"/>
          <w:lang w:val="es-ES"/>
        </w:rPr>
        <w:t xml:space="preserve"> </w:t>
      </w:r>
      <w:r w:rsidRPr="00915417">
        <w:rPr>
          <w:rFonts w:ascii="Verdana" w:eastAsia="Verdana" w:hAnsi="Verdana" w:cs="Verdana"/>
          <w:lang w:val="es-ES"/>
        </w:rPr>
        <w:t>el</w:t>
      </w:r>
      <w:r w:rsidRPr="00915417">
        <w:rPr>
          <w:rFonts w:ascii="Verdana" w:eastAsia="Verdana" w:hAnsi="Verdana" w:cs="Verdana"/>
          <w:spacing w:val="-8"/>
          <w:lang w:val="es-ES"/>
        </w:rPr>
        <w:t xml:space="preserve"> </w:t>
      </w:r>
      <w:r w:rsidRPr="00915417">
        <w:rPr>
          <w:rFonts w:ascii="Verdana" w:eastAsia="Verdana" w:hAnsi="Verdana" w:cs="Verdana"/>
          <w:lang w:val="es-ES"/>
        </w:rPr>
        <w:t>artículo</w:t>
      </w:r>
      <w:r w:rsidRPr="00915417">
        <w:rPr>
          <w:rFonts w:ascii="Verdana" w:eastAsia="Verdana" w:hAnsi="Verdana" w:cs="Verdana"/>
          <w:spacing w:val="-7"/>
          <w:lang w:val="es-ES"/>
        </w:rPr>
        <w:t xml:space="preserve"> </w:t>
      </w:r>
      <w:r w:rsidRPr="00915417">
        <w:rPr>
          <w:rFonts w:ascii="Verdana" w:eastAsia="Verdana" w:hAnsi="Verdana" w:cs="Verdana"/>
          <w:lang w:val="es-ES"/>
        </w:rPr>
        <w:t>14</w:t>
      </w:r>
      <w:r w:rsidRPr="00915417">
        <w:rPr>
          <w:rFonts w:ascii="Verdana" w:eastAsia="Verdana" w:hAnsi="Verdana" w:cs="Verdana"/>
          <w:spacing w:val="-8"/>
          <w:lang w:val="es-ES"/>
        </w:rPr>
        <w:t xml:space="preserve"> </w:t>
      </w:r>
      <w:r w:rsidRPr="00915417">
        <w:rPr>
          <w:rFonts w:ascii="Verdana" w:eastAsia="Verdana" w:hAnsi="Verdana" w:cs="Verdana"/>
          <w:lang w:val="es-ES"/>
        </w:rPr>
        <w:t>de</w:t>
      </w:r>
      <w:r w:rsidRPr="00915417">
        <w:rPr>
          <w:rFonts w:ascii="Verdana" w:eastAsia="Verdana" w:hAnsi="Verdana" w:cs="Verdana"/>
          <w:spacing w:val="-9"/>
          <w:lang w:val="es-ES"/>
        </w:rPr>
        <w:t xml:space="preserve"> </w:t>
      </w:r>
      <w:r w:rsidRPr="00915417">
        <w:rPr>
          <w:rFonts w:ascii="Verdana" w:eastAsia="Verdana" w:hAnsi="Verdana" w:cs="Verdana"/>
          <w:lang w:val="es-ES"/>
        </w:rPr>
        <w:t>la</w:t>
      </w:r>
      <w:r w:rsidRPr="00915417">
        <w:rPr>
          <w:rFonts w:ascii="Verdana" w:eastAsia="Verdana" w:hAnsi="Verdana" w:cs="Verdana"/>
          <w:spacing w:val="-10"/>
          <w:lang w:val="es-ES"/>
        </w:rPr>
        <w:t xml:space="preserve"> </w:t>
      </w:r>
      <w:r w:rsidRPr="00915417">
        <w:rPr>
          <w:rFonts w:ascii="Verdana" w:eastAsia="Verdana" w:hAnsi="Verdana" w:cs="Verdana"/>
          <w:lang w:val="es-ES"/>
        </w:rPr>
        <w:t>Ley</w:t>
      </w:r>
      <w:r w:rsidRPr="00915417">
        <w:rPr>
          <w:rFonts w:ascii="Verdana" w:eastAsia="Verdana" w:hAnsi="Verdana" w:cs="Verdana"/>
          <w:spacing w:val="-8"/>
          <w:lang w:val="es-ES"/>
        </w:rPr>
        <w:t xml:space="preserve"> </w:t>
      </w:r>
      <w:r w:rsidRPr="00915417">
        <w:rPr>
          <w:rFonts w:ascii="Verdana" w:eastAsia="Verdana" w:hAnsi="Verdana" w:cs="Verdana"/>
          <w:lang w:val="es-ES"/>
        </w:rPr>
        <w:t>1150</w:t>
      </w:r>
      <w:r w:rsidRPr="00915417">
        <w:rPr>
          <w:rFonts w:ascii="Verdana" w:eastAsia="Verdana" w:hAnsi="Verdana" w:cs="Verdana"/>
          <w:spacing w:val="-8"/>
          <w:lang w:val="es-ES"/>
        </w:rPr>
        <w:t xml:space="preserve"> </w:t>
      </w:r>
      <w:r w:rsidRPr="00915417">
        <w:rPr>
          <w:rFonts w:ascii="Verdana" w:eastAsia="Verdana" w:hAnsi="Verdana" w:cs="Verdana"/>
          <w:lang w:val="es-ES"/>
        </w:rPr>
        <w:t>de</w:t>
      </w:r>
      <w:r w:rsidRPr="00915417">
        <w:rPr>
          <w:rFonts w:ascii="Verdana" w:eastAsia="Verdana" w:hAnsi="Verdana" w:cs="Verdana"/>
          <w:spacing w:val="-9"/>
          <w:lang w:val="es-ES"/>
        </w:rPr>
        <w:t xml:space="preserve"> </w:t>
      </w:r>
      <w:r w:rsidRPr="00915417">
        <w:rPr>
          <w:rFonts w:ascii="Verdana" w:eastAsia="Verdana" w:hAnsi="Verdana" w:cs="Verdana"/>
          <w:lang w:val="es-ES"/>
        </w:rPr>
        <w:t>2007 –modificado</w:t>
      </w:r>
      <w:r w:rsidRPr="00915417">
        <w:rPr>
          <w:rFonts w:ascii="Verdana" w:eastAsia="Verdana" w:hAnsi="Verdana" w:cs="Verdana"/>
          <w:spacing w:val="-7"/>
          <w:lang w:val="es-ES"/>
        </w:rPr>
        <w:t xml:space="preserve"> </w:t>
      </w:r>
      <w:r w:rsidRPr="00915417">
        <w:rPr>
          <w:rFonts w:ascii="Verdana" w:eastAsia="Verdana" w:hAnsi="Verdana" w:cs="Verdana"/>
          <w:lang w:val="es-ES"/>
        </w:rPr>
        <w:t>por</w:t>
      </w:r>
      <w:r w:rsidRPr="00915417">
        <w:rPr>
          <w:rFonts w:ascii="Verdana" w:eastAsia="Verdana" w:hAnsi="Verdana" w:cs="Verdana"/>
          <w:spacing w:val="-7"/>
          <w:lang w:val="es-ES"/>
        </w:rPr>
        <w:t xml:space="preserve"> </w:t>
      </w:r>
      <w:r w:rsidRPr="00915417">
        <w:rPr>
          <w:rFonts w:ascii="Verdana" w:eastAsia="Verdana" w:hAnsi="Verdana" w:cs="Verdana"/>
          <w:lang w:val="es-ES"/>
        </w:rPr>
        <w:t>el</w:t>
      </w:r>
      <w:r w:rsidRPr="00915417">
        <w:rPr>
          <w:rFonts w:ascii="Verdana" w:eastAsia="Verdana" w:hAnsi="Verdana" w:cs="Verdana"/>
          <w:spacing w:val="-8"/>
          <w:lang w:val="es-ES"/>
        </w:rPr>
        <w:t xml:space="preserve"> </w:t>
      </w:r>
      <w:r w:rsidRPr="00915417">
        <w:rPr>
          <w:rFonts w:ascii="Verdana" w:eastAsia="Verdana" w:hAnsi="Verdana" w:cs="Verdana"/>
          <w:lang w:val="es-ES"/>
        </w:rPr>
        <w:t>artículo</w:t>
      </w:r>
      <w:r w:rsidRPr="00915417">
        <w:rPr>
          <w:rFonts w:ascii="Verdana" w:eastAsia="Verdana" w:hAnsi="Verdana" w:cs="Verdana"/>
          <w:spacing w:val="-7"/>
          <w:lang w:val="es-ES"/>
        </w:rPr>
        <w:t xml:space="preserve"> </w:t>
      </w:r>
      <w:r w:rsidRPr="00915417">
        <w:rPr>
          <w:rFonts w:ascii="Verdana" w:eastAsia="Verdana" w:hAnsi="Verdana" w:cs="Verdana"/>
          <w:lang w:val="es-ES"/>
        </w:rPr>
        <w:t>93</w:t>
      </w:r>
      <w:r w:rsidRPr="00915417">
        <w:rPr>
          <w:rFonts w:ascii="Verdana" w:eastAsia="Verdana" w:hAnsi="Verdana" w:cs="Verdana"/>
          <w:spacing w:val="-12"/>
          <w:lang w:val="es-ES"/>
        </w:rPr>
        <w:t xml:space="preserve"> </w:t>
      </w:r>
      <w:r w:rsidRPr="00915417">
        <w:rPr>
          <w:rFonts w:ascii="Verdana" w:eastAsia="Verdana" w:hAnsi="Verdana" w:cs="Verdana"/>
          <w:lang w:val="es-ES"/>
        </w:rPr>
        <w:t>de la Ley 1474 de 2011– dispuso un régimen exceptivo de aplicación del derecho privado para la actividad contractual de las Empresas Industriales y Comerciales del Estado que ejercen su actividad en competencia</w:t>
      </w:r>
      <w:r w:rsidRPr="00915417">
        <w:rPr>
          <w:rFonts w:ascii="Verdana" w:eastAsia="Verdana" w:hAnsi="Verdana" w:cs="Verdana"/>
          <w:spacing w:val="-20"/>
          <w:lang w:val="es-ES"/>
        </w:rPr>
        <w:t xml:space="preserve"> </w:t>
      </w:r>
      <w:r w:rsidRPr="00915417">
        <w:rPr>
          <w:rFonts w:ascii="Verdana" w:eastAsia="Verdana" w:hAnsi="Verdana" w:cs="Verdana"/>
          <w:lang w:val="es-ES"/>
        </w:rPr>
        <w:t>con</w:t>
      </w:r>
      <w:r w:rsidRPr="00915417">
        <w:rPr>
          <w:rFonts w:ascii="Verdana" w:eastAsia="Verdana" w:hAnsi="Verdana" w:cs="Verdana"/>
          <w:spacing w:val="-19"/>
          <w:lang w:val="es-ES"/>
        </w:rPr>
        <w:t xml:space="preserve"> </w:t>
      </w:r>
      <w:r w:rsidRPr="00915417">
        <w:rPr>
          <w:rFonts w:ascii="Verdana" w:eastAsia="Verdana" w:hAnsi="Verdana" w:cs="Verdana"/>
          <w:lang w:val="es-ES"/>
        </w:rPr>
        <w:t>el</w:t>
      </w:r>
      <w:r w:rsidRPr="00915417">
        <w:rPr>
          <w:rFonts w:ascii="Verdana" w:eastAsia="Verdana" w:hAnsi="Verdana" w:cs="Verdana"/>
          <w:spacing w:val="-19"/>
          <w:lang w:val="es-ES"/>
        </w:rPr>
        <w:t xml:space="preserve"> </w:t>
      </w:r>
      <w:r w:rsidRPr="00915417">
        <w:rPr>
          <w:rFonts w:ascii="Verdana" w:eastAsia="Verdana" w:hAnsi="Verdana" w:cs="Verdana"/>
          <w:lang w:val="es-ES"/>
        </w:rPr>
        <w:t>sector</w:t>
      </w:r>
      <w:r w:rsidRPr="00915417">
        <w:rPr>
          <w:rFonts w:ascii="Verdana" w:eastAsia="Verdana" w:hAnsi="Verdana" w:cs="Verdana"/>
          <w:spacing w:val="-20"/>
          <w:lang w:val="es-ES"/>
        </w:rPr>
        <w:t xml:space="preserve"> </w:t>
      </w:r>
      <w:r w:rsidRPr="00915417">
        <w:rPr>
          <w:rFonts w:ascii="Verdana" w:eastAsia="Verdana" w:hAnsi="Verdana" w:cs="Verdana"/>
          <w:lang w:val="es-ES"/>
        </w:rPr>
        <w:t>público</w:t>
      </w:r>
      <w:r w:rsidRPr="00915417">
        <w:rPr>
          <w:rFonts w:ascii="Verdana" w:eastAsia="Verdana" w:hAnsi="Verdana" w:cs="Verdana"/>
          <w:spacing w:val="-19"/>
          <w:lang w:val="es-ES"/>
        </w:rPr>
        <w:t xml:space="preserve"> </w:t>
      </w:r>
      <w:r w:rsidRPr="00915417">
        <w:rPr>
          <w:rFonts w:ascii="Verdana" w:eastAsia="Verdana" w:hAnsi="Verdana" w:cs="Verdana"/>
          <w:lang w:val="es-ES"/>
        </w:rPr>
        <w:t>o</w:t>
      </w:r>
      <w:r w:rsidRPr="00915417">
        <w:rPr>
          <w:rFonts w:ascii="Verdana" w:eastAsia="Verdana" w:hAnsi="Verdana" w:cs="Verdana"/>
          <w:spacing w:val="-20"/>
          <w:lang w:val="es-ES"/>
        </w:rPr>
        <w:t xml:space="preserve"> </w:t>
      </w:r>
      <w:r w:rsidRPr="00915417">
        <w:rPr>
          <w:rFonts w:ascii="Verdana" w:eastAsia="Verdana" w:hAnsi="Verdana" w:cs="Verdana"/>
          <w:lang w:val="es-ES"/>
        </w:rPr>
        <w:t>privado,</w:t>
      </w:r>
      <w:r w:rsidRPr="00915417">
        <w:rPr>
          <w:rFonts w:ascii="Verdana" w:eastAsia="Verdana" w:hAnsi="Verdana" w:cs="Verdana"/>
          <w:spacing w:val="-19"/>
          <w:lang w:val="es-ES"/>
        </w:rPr>
        <w:t xml:space="preserve"> </w:t>
      </w:r>
      <w:r w:rsidRPr="00915417">
        <w:rPr>
          <w:rFonts w:ascii="Verdana" w:eastAsia="Verdana" w:hAnsi="Verdana" w:cs="Verdana"/>
          <w:lang w:val="es-ES"/>
        </w:rPr>
        <w:t>o</w:t>
      </w:r>
      <w:r w:rsidRPr="00915417">
        <w:rPr>
          <w:rFonts w:ascii="Verdana" w:eastAsia="Verdana" w:hAnsi="Verdana" w:cs="Verdana"/>
          <w:spacing w:val="-19"/>
          <w:lang w:val="es-ES"/>
        </w:rPr>
        <w:t xml:space="preserve"> </w:t>
      </w:r>
      <w:r w:rsidRPr="00915417">
        <w:rPr>
          <w:rFonts w:ascii="Verdana" w:eastAsia="Verdana" w:hAnsi="Verdana" w:cs="Verdana"/>
          <w:lang w:val="es-ES"/>
        </w:rPr>
        <w:t>en</w:t>
      </w:r>
      <w:r w:rsidRPr="00915417">
        <w:rPr>
          <w:rFonts w:ascii="Verdana" w:eastAsia="Verdana" w:hAnsi="Verdana" w:cs="Verdana"/>
          <w:spacing w:val="-20"/>
          <w:lang w:val="es-ES"/>
        </w:rPr>
        <w:t xml:space="preserve"> </w:t>
      </w:r>
      <w:r w:rsidRPr="00915417">
        <w:rPr>
          <w:rFonts w:ascii="Verdana" w:eastAsia="Verdana" w:hAnsi="Verdana" w:cs="Verdana"/>
          <w:lang w:val="es-ES"/>
        </w:rPr>
        <w:t>mercados</w:t>
      </w:r>
      <w:r w:rsidRPr="00915417">
        <w:rPr>
          <w:rFonts w:ascii="Verdana" w:eastAsia="Verdana" w:hAnsi="Verdana" w:cs="Verdana"/>
          <w:spacing w:val="-19"/>
          <w:lang w:val="es-ES"/>
        </w:rPr>
        <w:t xml:space="preserve"> </w:t>
      </w:r>
      <w:r w:rsidRPr="00915417">
        <w:rPr>
          <w:rFonts w:ascii="Verdana" w:eastAsia="Verdana" w:hAnsi="Verdana" w:cs="Verdana"/>
          <w:lang w:val="es-ES"/>
        </w:rPr>
        <w:t>regulados,</w:t>
      </w:r>
      <w:r w:rsidRPr="00915417">
        <w:rPr>
          <w:rFonts w:ascii="Verdana" w:eastAsia="Verdana" w:hAnsi="Verdana" w:cs="Verdana"/>
          <w:spacing w:val="-19"/>
          <w:lang w:val="es-ES"/>
        </w:rPr>
        <w:t xml:space="preserve"> </w:t>
      </w:r>
      <w:r w:rsidRPr="00915417">
        <w:rPr>
          <w:rFonts w:ascii="Verdana" w:eastAsia="Verdana" w:hAnsi="Verdana" w:cs="Verdana"/>
          <w:lang w:val="es-ES"/>
        </w:rPr>
        <w:t>quedando las otras empresas de esta índole dentro del ámbito de aplicación del Estatuto General de Contratación de la Administración Pública</w:t>
      </w:r>
      <w:r w:rsidRPr="00915417">
        <w:rPr>
          <w:rFonts w:ascii="Verdana" w:eastAsia="Verdana" w:hAnsi="Verdana" w:cs="Verdana"/>
          <w:vertAlign w:val="superscript"/>
          <w:lang w:val="es-ES"/>
        </w:rPr>
        <w:footnoteReference w:id="4"/>
      </w:r>
      <w:r w:rsidRPr="00915417">
        <w:rPr>
          <w:rFonts w:ascii="Verdana" w:eastAsia="Verdana" w:hAnsi="Verdana" w:cs="Verdana"/>
          <w:lang w:val="es-ES"/>
        </w:rPr>
        <w:t>. Así, la norma</w:t>
      </w:r>
      <w:r w:rsidRPr="00915417">
        <w:rPr>
          <w:rFonts w:ascii="Verdana" w:eastAsia="Verdana" w:hAnsi="Verdana" w:cs="Verdana"/>
          <w:spacing w:val="-1"/>
          <w:lang w:val="es-ES"/>
        </w:rPr>
        <w:t xml:space="preserve"> </w:t>
      </w:r>
      <w:r w:rsidRPr="00915417">
        <w:rPr>
          <w:rFonts w:ascii="Verdana" w:eastAsia="Verdana" w:hAnsi="Verdana" w:cs="Verdana"/>
          <w:lang w:val="es-ES"/>
        </w:rPr>
        <w:t>vigente respecto a</w:t>
      </w:r>
      <w:r w:rsidRPr="00915417">
        <w:rPr>
          <w:rFonts w:ascii="Verdana" w:eastAsia="Verdana" w:hAnsi="Verdana" w:cs="Verdana"/>
          <w:spacing w:val="-1"/>
          <w:lang w:val="es-ES"/>
        </w:rPr>
        <w:t xml:space="preserve"> </w:t>
      </w:r>
      <w:r w:rsidRPr="00915417">
        <w:rPr>
          <w:rFonts w:ascii="Verdana" w:eastAsia="Verdana" w:hAnsi="Verdana" w:cs="Verdana"/>
          <w:lang w:val="es-ES"/>
        </w:rPr>
        <w:t>su régimen contractual establece:</w:t>
      </w:r>
    </w:p>
    <w:p w14:paraId="1B3FF1B6" w14:textId="77777777" w:rsidR="00915417" w:rsidRPr="00915417" w:rsidRDefault="00915417" w:rsidP="00915417">
      <w:pPr>
        <w:widowControl w:val="0"/>
        <w:autoSpaceDE w:val="0"/>
        <w:autoSpaceDN w:val="0"/>
        <w:spacing w:after="0" w:line="276" w:lineRule="auto"/>
        <w:ind w:firstLine="709"/>
        <w:jc w:val="both"/>
        <w:rPr>
          <w:rFonts w:ascii="Verdana" w:eastAsia="Arial" w:hAnsi="Verdana" w:cs="Arial"/>
          <w:color w:val="EE0000"/>
          <w:lang w:val="es-ES"/>
        </w:rPr>
      </w:pPr>
    </w:p>
    <w:p w14:paraId="7F28A65C" w14:textId="77777777" w:rsidR="00915417" w:rsidRPr="00915417" w:rsidRDefault="00915417" w:rsidP="00915417">
      <w:pPr>
        <w:spacing w:after="0" w:line="240" w:lineRule="auto"/>
        <w:ind w:left="709" w:right="709"/>
        <w:contextualSpacing/>
        <w:jc w:val="both"/>
        <w:rPr>
          <w:rFonts w:ascii="Verdana" w:eastAsia="Times New Roman" w:hAnsi="Verdana" w:cs="Arial"/>
          <w:sz w:val="20"/>
          <w:szCs w:val="20"/>
          <w:lang w:eastAsia="es-ES_tradnl"/>
        </w:rPr>
      </w:pPr>
      <w:r w:rsidRPr="00915417">
        <w:rPr>
          <w:rFonts w:ascii="Verdana" w:eastAsia="Times New Roman" w:hAnsi="Verdana" w:cs="Arial"/>
          <w:sz w:val="20"/>
          <w:szCs w:val="20"/>
          <w:lang w:eastAsia="es-ES_tradnl"/>
        </w:rPr>
        <w:t>“Artículo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915417">
        <w:rPr>
          <w:rFonts w:ascii="Calibri" w:eastAsia="Times New Roman" w:hAnsi="Calibri" w:cs="Arial"/>
          <w:sz w:val="20"/>
          <w:szCs w:val="20"/>
          <w:vertAlign w:val="superscript"/>
          <w:lang w:eastAsia="es-ES_tradnl"/>
        </w:rPr>
        <w:footnoteReference w:id="5"/>
      </w:r>
      <w:r w:rsidRPr="00915417">
        <w:rPr>
          <w:rFonts w:ascii="Verdana" w:eastAsia="Times New Roman" w:hAnsi="Verdana" w:cs="Arial"/>
          <w:sz w:val="20"/>
          <w:szCs w:val="20"/>
          <w:lang w:eastAsia="es-ES_tradnl"/>
        </w:rPr>
        <w:t>.</w:t>
      </w:r>
    </w:p>
    <w:p w14:paraId="5583100E" w14:textId="77777777" w:rsidR="00915417" w:rsidRPr="00915417" w:rsidRDefault="00915417" w:rsidP="00915417">
      <w:pPr>
        <w:spacing w:after="0"/>
        <w:ind w:left="709" w:right="709"/>
        <w:jc w:val="both"/>
        <w:rPr>
          <w:rFonts w:ascii="Verdana" w:eastAsia="Calibri" w:hAnsi="Verdana" w:cs="Times New Roman"/>
          <w:sz w:val="21"/>
          <w:szCs w:val="21"/>
        </w:rPr>
      </w:pPr>
    </w:p>
    <w:p w14:paraId="200BD403" w14:textId="77777777" w:rsidR="00915417" w:rsidRPr="00915417" w:rsidRDefault="00915417" w:rsidP="00915417">
      <w:pPr>
        <w:widowControl w:val="0"/>
        <w:autoSpaceDE w:val="0"/>
        <w:autoSpaceDN w:val="0"/>
        <w:spacing w:after="120" w:line="276" w:lineRule="auto"/>
        <w:ind w:right="51" w:firstLine="709"/>
        <w:jc w:val="both"/>
        <w:rPr>
          <w:rFonts w:ascii="Verdana" w:eastAsia="Verdana" w:hAnsi="Verdana" w:cs="Verdana"/>
          <w:lang w:val="es-ES"/>
        </w:rPr>
      </w:pPr>
      <w:r w:rsidRPr="00915417">
        <w:rPr>
          <w:rFonts w:ascii="Verdana" w:eastAsia="Verdana" w:hAnsi="Verdana" w:cs="Verdana"/>
          <w:lang w:val="es-ES"/>
        </w:rPr>
        <w:t>En este sentido, el artículo 14 de la Ley 1150 de 2007,</w:t>
      </w:r>
      <w:r w:rsidRPr="00915417">
        <w:rPr>
          <w:rFonts w:ascii="Verdana" w:eastAsia="Verdana" w:hAnsi="Verdana" w:cs="Verdana"/>
          <w:spacing w:val="-11"/>
          <w:lang w:val="es-ES"/>
        </w:rPr>
        <w:t xml:space="preserve"> </w:t>
      </w:r>
      <w:r w:rsidRPr="00915417">
        <w:rPr>
          <w:rFonts w:ascii="Verdana" w:eastAsia="Verdana" w:hAnsi="Verdana" w:cs="Verdana"/>
          <w:lang w:val="es-ES"/>
        </w:rPr>
        <w:t>modificado</w:t>
      </w:r>
      <w:r w:rsidRPr="00915417">
        <w:rPr>
          <w:rFonts w:ascii="Verdana" w:eastAsia="Verdana" w:hAnsi="Verdana" w:cs="Verdana"/>
          <w:spacing w:val="-10"/>
          <w:lang w:val="es-ES"/>
        </w:rPr>
        <w:t xml:space="preserve"> </w:t>
      </w:r>
      <w:r w:rsidRPr="00915417">
        <w:rPr>
          <w:rFonts w:ascii="Verdana" w:eastAsia="Verdana" w:hAnsi="Verdana" w:cs="Verdana"/>
          <w:lang w:val="es-ES"/>
        </w:rPr>
        <w:t>por</w:t>
      </w:r>
      <w:r w:rsidRPr="00915417">
        <w:rPr>
          <w:rFonts w:ascii="Verdana" w:eastAsia="Verdana" w:hAnsi="Verdana" w:cs="Verdana"/>
          <w:spacing w:val="-10"/>
          <w:lang w:val="es-ES"/>
        </w:rPr>
        <w:t xml:space="preserve"> </w:t>
      </w:r>
      <w:r w:rsidRPr="00915417">
        <w:rPr>
          <w:rFonts w:ascii="Verdana" w:eastAsia="Verdana" w:hAnsi="Verdana" w:cs="Verdana"/>
          <w:lang w:val="es-ES"/>
        </w:rPr>
        <w:t>el</w:t>
      </w:r>
      <w:r w:rsidRPr="00915417">
        <w:rPr>
          <w:rFonts w:ascii="Verdana" w:eastAsia="Verdana" w:hAnsi="Verdana" w:cs="Verdana"/>
          <w:spacing w:val="-11"/>
          <w:lang w:val="es-ES"/>
        </w:rPr>
        <w:t xml:space="preserve"> </w:t>
      </w:r>
      <w:r w:rsidRPr="00915417">
        <w:rPr>
          <w:rFonts w:ascii="Verdana" w:eastAsia="Verdana" w:hAnsi="Verdana" w:cs="Verdana"/>
          <w:lang w:val="es-ES"/>
        </w:rPr>
        <w:t>artículo</w:t>
      </w:r>
      <w:r w:rsidRPr="00915417">
        <w:rPr>
          <w:rFonts w:ascii="Verdana" w:eastAsia="Verdana" w:hAnsi="Verdana" w:cs="Verdana"/>
          <w:spacing w:val="-10"/>
          <w:lang w:val="es-ES"/>
        </w:rPr>
        <w:t xml:space="preserve"> </w:t>
      </w:r>
      <w:r w:rsidRPr="00915417">
        <w:rPr>
          <w:rFonts w:ascii="Verdana" w:eastAsia="Verdana" w:hAnsi="Verdana" w:cs="Verdana"/>
          <w:lang w:val="es-ES"/>
        </w:rPr>
        <w:t>93</w:t>
      </w:r>
      <w:r w:rsidRPr="00915417">
        <w:rPr>
          <w:rFonts w:ascii="Verdana" w:eastAsia="Verdana" w:hAnsi="Verdana" w:cs="Verdana"/>
          <w:spacing w:val="-11"/>
          <w:lang w:val="es-ES"/>
        </w:rPr>
        <w:t xml:space="preserve"> </w:t>
      </w:r>
      <w:r w:rsidRPr="00915417">
        <w:rPr>
          <w:rFonts w:ascii="Verdana" w:eastAsia="Verdana" w:hAnsi="Verdana" w:cs="Verdana"/>
          <w:lang w:val="es-ES"/>
        </w:rPr>
        <w:t>de</w:t>
      </w:r>
      <w:r w:rsidRPr="00915417">
        <w:rPr>
          <w:rFonts w:ascii="Verdana" w:eastAsia="Verdana" w:hAnsi="Verdana" w:cs="Verdana"/>
          <w:spacing w:val="-12"/>
          <w:lang w:val="es-ES"/>
        </w:rPr>
        <w:t xml:space="preserve"> </w:t>
      </w:r>
      <w:r w:rsidRPr="00915417">
        <w:rPr>
          <w:rFonts w:ascii="Verdana" w:eastAsia="Verdana" w:hAnsi="Verdana" w:cs="Verdana"/>
          <w:lang w:val="es-ES"/>
        </w:rPr>
        <w:t>la</w:t>
      </w:r>
      <w:r w:rsidRPr="00915417">
        <w:rPr>
          <w:rFonts w:ascii="Verdana" w:eastAsia="Verdana" w:hAnsi="Verdana" w:cs="Verdana"/>
          <w:spacing w:val="-13"/>
          <w:lang w:val="es-ES"/>
        </w:rPr>
        <w:t xml:space="preserve"> </w:t>
      </w:r>
      <w:r w:rsidRPr="00915417">
        <w:rPr>
          <w:rFonts w:ascii="Verdana" w:eastAsia="Verdana" w:hAnsi="Verdana" w:cs="Verdana"/>
          <w:lang w:val="es-ES"/>
        </w:rPr>
        <w:t>Ley</w:t>
      </w:r>
      <w:r w:rsidRPr="00915417">
        <w:rPr>
          <w:rFonts w:ascii="Verdana" w:eastAsia="Verdana" w:hAnsi="Verdana" w:cs="Verdana"/>
          <w:spacing w:val="-11"/>
          <w:lang w:val="es-ES"/>
        </w:rPr>
        <w:t xml:space="preserve"> </w:t>
      </w:r>
      <w:r w:rsidRPr="00915417">
        <w:rPr>
          <w:rFonts w:ascii="Verdana" w:eastAsia="Verdana" w:hAnsi="Verdana" w:cs="Verdana"/>
          <w:lang w:val="es-ES"/>
        </w:rPr>
        <w:t>1474</w:t>
      </w:r>
      <w:r w:rsidRPr="00915417">
        <w:rPr>
          <w:rFonts w:ascii="Verdana" w:eastAsia="Verdana" w:hAnsi="Verdana" w:cs="Verdana"/>
          <w:spacing w:val="-11"/>
          <w:lang w:val="es-ES"/>
        </w:rPr>
        <w:t xml:space="preserve"> </w:t>
      </w:r>
      <w:r w:rsidRPr="00915417">
        <w:rPr>
          <w:rFonts w:ascii="Verdana" w:eastAsia="Verdana" w:hAnsi="Verdana" w:cs="Verdana"/>
          <w:lang w:val="es-ES"/>
        </w:rPr>
        <w:t>de</w:t>
      </w:r>
      <w:r w:rsidRPr="00915417">
        <w:rPr>
          <w:rFonts w:ascii="Verdana" w:eastAsia="Verdana" w:hAnsi="Verdana" w:cs="Verdana"/>
          <w:spacing w:val="-12"/>
          <w:lang w:val="es-ES"/>
        </w:rPr>
        <w:t xml:space="preserve"> </w:t>
      </w:r>
      <w:r w:rsidRPr="00915417">
        <w:rPr>
          <w:rFonts w:ascii="Verdana" w:eastAsia="Verdana" w:hAnsi="Verdana" w:cs="Verdana"/>
          <w:lang w:val="es-ES"/>
        </w:rPr>
        <w:t>2011,</w:t>
      </w:r>
      <w:r w:rsidRPr="00915417">
        <w:rPr>
          <w:rFonts w:ascii="Verdana" w:eastAsia="Verdana" w:hAnsi="Verdana" w:cs="Verdana"/>
          <w:spacing w:val="-11"/>
          <w:lang w:val="es-ES"/>
        </w:rPr>
        <w:t xml:space="preserve"> </w:t>
      </w:r>
      <w:r w:rsidRPr="00915417">
        <w:rPr>
          <w:rFonts w:ascii="Verdana" w:eastAsia="Verdana" w:hAnsi="Verdana" w:cs="Verdana"/>
          <w:lang w:val="es-ES"/>
        </w:rPr>
        <w:t>esclareció</w:t>
      </w:r>
      <w:r w:rsidRPr="00915417">
        <w:rPr>
          <w:rFonts w:ascii="Verdana" w:eastAsia="Verdana" w:hAnsi="Verdana" w:cs="Verdana"/>
          <w:spacing w:val="-10"/>
          <w:lang w:val="es-ES"/>
        </w:rPr>
        <w:t xml:space="preserve"> </w:t>
      </w:r>
      <w:r w:rsidRPr="00915417">
        <w:rPr>
          <w:rFonts w:ascii="Verdana" w:eastAsia="Verdana" w:hAnsi="Verdana" w:cs="Verdana"/>
          <w:lang w:val="es-ES"/>
        </w:rPr>
        <w:t>las</w:t>
      </w:r>
      <w:r w:rsidRPr="00915417">
        <w:rPr>
          <w:rFonts w:ascii="Verdana" w:eastAsia="Verdana" w:hAnsi="Verdana" w:cs="Verdana"/>
          <w:spacing w:val="-11"/>
          <w:lang w:val="es-ES"/>
        </w:rPr>
        <w:t xml:space="preserve"> </w:t>
      </w:r>
      <w:r w:rsidRPr="00915417">
        <w:rPr>
          <w:rFonts w:ascii="Verdana" w:eastAsia="Verdana" w:hAnsi="Verdana" w:cs="Verdana"/>
          <w:lang w:val="es-ES"/>
        </w:rPr>
        <w:t xml:space="preserve">dudas que producía el confuso artículo 93 de la Ley 489 de 1998 a propósito del régimen contractual de estas </w:t>
      </w:r>
      <w:r w:rsidRPr="00915417">
        <w:rPr>
          <w:rFonts w:ascii="Verdana" w:eastAsia="Verdana" w:hAnsi="Verdana" w:cs="Verdana"/>
          <w:lang w:val="es-ES"/>
        </w:rPr>
        <w:lastRenderedPageBreak/>
        <w:t>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915417">
        <w:rPr>
          <w:rFonts w:ascii="Verdana" w:eastAsia="Verdana" w:hAnsi="Verdana" w:cs="Verdana"/>
          <w:spacing w:val="-8"/>
          <w:lang w:val="es-ES"/>
        </w:rPr>
        <w:t xml:space="preserve"> </w:t>
      </w:r>
      <w:r w:rsidRPr="00915417">
        <w:rPr>
          <w:rFonts w:ascii="Verdana" w:eastAsia="Verdana" w:hAnsi="Verdana" w:cs="Verdana"/>
          <w:lang w:val="es-ES"/>
        </w:rPr>
        <w:t>General</w:t>
      </w:r>
      <w:r w:rsidRPr="00915417">
        <w:rPr>
          <w:rFonts w:ascii="Verdana" w:eastAsia="Verdana" w:hAnsi="Verdana" w:cs="Verdana"/>
          <w:spacing w:val="-9"/>
          <w:lang w:val="es-ES"/>
        </w:rPr>
        <w:t xml:space="preserve"> </w:t>
      </w:r>
      <w:r w:rsidRPr="00915417">
        <w:rPr>
          <w:rFonts w:ascii="Verdana" w:eastAsia="Verdana" w:hAnsi="Verdana" w:cs="Verdana"/>
          <w:lang w:val="es-ES"/>
        </w:rPr>
        <w:t>de</w:t>
      </w:r>
      <w:r w:rsidRPr="00915417">
        <w:rPr>
          <w:rFonts w:ascii="Verdana" w:eastAsia="Verdana" w:hAnsi="Verdana" w:cs="Verdana"/>
          <w:spacing w:val="-10"/>
          <w:lang w:val="es-ES"/>
        </w:rPr>
        <w:t xml:space="preserve"> </w:t>
      </w:r>
      <w:r w:rsidRPr="00915417">
        <w:rPr>
          <w:rFonts w:ascii="Verdana" w:eastAsia="Verdana" w:hAnsi="Verdana" w:cs="Verdana"/>
          <w:lang w:val="es-ES"/>
        </w:rPr>
        <w:t>Contratación</w:t>
      </w:r>
      <w:r w:rsidRPr="00915417">
        <w:rPr>
          <w:rFonts w:ascii="Verdana" w:eastAsia="Verdana" w:hAnsi="Verdana" w:cs="Verdana"/>
          <w:spacing w:val="-9"/>
          <w:lang w:val="es-ES"/>
        </w:rPr>
        <w:t xml:space="preserve"> </w:t>
      </w:r>
      <w:r w:rsidRPr="00915417">
        <w:rPr>
          <w:rFonts w:ascii="Verdana" w:eastAsia="Verdana" w:hAnsi="Verdana" w:cs="Verdana"/>
          <w:lang w:val="es-ES"/>
        </w:rPr>
        <w:t>de</w:t>
      </w:r>
      <w:r w:rsidRPr="00915417">
        <w:rPr>
          <w:rFonts w:ascii="Verdana" w:eastAsia="Verdana" w:hAnsi="Verdana" w:cs="Verdana"/>
          <w:spacing w:val="-10"/>
          <w:lang w:val="es-ES"/>
        </w:rPr>
        <w:t xml:space="preserve"> </w:t>
      </w:r>
      <w:r w:rsidRPr="00915417">
        <w:rPr>
          <w:rFonts w:ascii="Verdana" w:eastAsia="Verdana" w:hAnsi="Verdana" w:cs="Verdana"/>
          <w:lang w:val="es-ES"/>
        </w:rPr>
        <w:t>la</w:t>
      </w:r>
      <w:r w:rsidRPr="00915417">
        <w:rPr>
          <w:rFonts w:ascii="Verdana" w:eastAsia="Verdana" w:hAnsi="Verdana" w:cs="Verdana"/>
          <w:spacing w:val="-11"/>
          <w:lang w:val="es-ES"/>
        </w:rPr>
        <w:t xml:space="preserve"> </w:t>
      </w:r>
      <w:r w:rsidRPr="00915417">
        <w:rPr>
          <w:rFonts w:ascii="Verdana" w:eastAsia="Verdana" w:hAnsi="Verdana" w:cs="Verdana"/>
          <w:lang w:val="es-ES"/>
        </w:rPr>
        <w:t>Administración</w:t>
      </w:r>
      <w:r w:rsidRPr="00915417">
        <w:rPr>
          <w:rFonts w:ascii="Verdana" w:eastAsia="Verdana" w:hAnsi="Verdana" w:cs="Verdana"/>
          <w:spacing w:val="-9"/>
          <w:lang w:val="es-ES"/>
        </w:rPr>
        <w:t xml:space="preserve"> </w:t>
      </w:r>
      <w:r w:rsidRPr="00915417">
        <w:rPr>
          <w:rFonts w:ascii="Verdana" w:eastAsia="Verdana" w:hAnsi="Verdana" w:cs="Verdana"/>
          <w:lang w:val="es-ES"/>
        </w:rPr>
        <w:t>Pública,</w:t>
      </w:r>
      <w:r w:rsidRPr="00915417">
        <w:rPr>
          <w:rFonts w:ascii="Verdana" w:eastAsia="Verdana" w:hAnsi="Verdana" w:cs="Verdana"/>
          <w:spacing w:val="-9"/>
          <w:lang w:val="es-ES"/>
        </w:rPr>
        <w:t xml:space="preserve"> </w:t>
      </w:r>
      <w:r w:rsidRPr="00915417">
        <w:rPr>
          <w:rFonts w:ascii="Verdana" w:eastAsia="Verdana" w:hAnsi="Verdana" w:cs="Verdana"/>
          <w:lang w:val="es-ES"/>
        </w:rPr>
        <w:t>excepto</w:t>
      </w:r>
      <w:r w:rsidRPr="00915417">
        <w:rPr>
          <w:rFonts w:ascii="Verdana" w:eastAsia="Verdana" w:hAnsi="Verdana" w:cs="Verdana"/>
          <w:spacing w:val="-8"/>
          <w:lang w:val="es-ES"/>
        </w:rPr>
        <w:t xml:space="preserve"> </w:t>
      </w:r>
      <w:r w:rsidRPr="00915417">
        <w:rPr>
          <w:rFonts w:ascii="Verdana" w:eastAsia="Verdana" w:hAnsi="Verdana" w:cs="Verdana"/>
          <w:lang w:val="es-ES"/>
        </w:rPr>
        <w:t xml:space="preserve">aquellas Empresas Industriales y Comerciales del Estado que: i) desarrollen actividades comerciales en competencia con el sector privado y/o público, nacional o internacional o </w:t>
      </w:r>
      <w:proofErr w:type="spellStart"/>
      <w:r w:rsidRPr="00915417">
        <w:rPr>
          <w:rFonts w:ascii="Verdana" w:eastAsia="Verdana" w:hAnsi="Verdana" w:cs="Verdana"/>
          <w:lang w:val="es-ES"/>
        </w:rPr>
        <w:t>ii</w:t>
      </w:r>
      <w:proofErr w:type="spellEnd"/>
      <w:r w:rsidRPr="00915417">
        <w:rPr>
          <w:rFonts w:ascii="Verdana" w:eastAsia="Verdana" w:hAnsi="Verdana" w:cs="Verdana"/>
          <w:lang w:val="es-ES"/>
        </w:rPr>
        <w:t>) desarrollen actividades en mercados regulados, eventos en los cuales</w:t>
      </w:r>
      <w:r w:rsidRPr="00915417">
        <w:rPr>
          <w:rFonts w:ascii="Verdana" w:eastAsia="Verdana" w:hAnsi="Verdana" w:cs="Verdana"/>
          <w:spacing w:val="-19"/>
          <w:lang w:val="es-ES"/>
        </w:rPr>
        <w:t xml:space="preserve"> </w:t>
      </w:r>
      <w:r w:rsidRPr="00915417">
        <w:rPr>
          <w:rFonts w:ascii="Verdana" w:eastAsia="Verdana" w:hAnsi="Verdana" w:cs="Verdana"/>
          <w:lang w:val="es-ES"/>
        </w:rPr>
        <w:t>ellas</w:t>
      </w:r>
      <w:r w:rsidRPr="00915417">
        <w:rPr>
          <w:rFonts w:ascii="Verdana" w:eastAsia="Verdana" w:hAnsi="Verdana" w:cs="Verdana"/>
          <w:spacing w:val="-19"/>
          <w:lang w:val="es-ES"/>
        </w:rPr>
        <w:t xml:space="preserve"> </w:t>
      </w:r>
      <w:r w:rsidRPr="00915417">
        <w:rPr>
          <w:rFonts w:ascii="Verdana" w:eastAsia="Verdana" w:hAnsi="Verdana" w:cs="Verdana"/>
          <w:lang w:val="es-ES"/>
        </w:rPr>
        <w:t>se</w:t>
      </w:r>
      <w:r w:rsidRPr="00915417">
        <w:rPr>
          <w:rFonts w:ascii="Verdana" w:eastAsia="Verdana" w:hAnsi="Verdana" w:cs="Verdana"/>
          <w:spacing w:val="-20"/>
          <w:lang w:val="es-ES"/>
        </w:rPr>
        <w:t xml:space="preserve"> </w:t>
      </w:r>
      <w:r w:rsidRPr="00915417">
        <w:rPr>
          <w:rFonts w:ascii="Verdana" w:eastAsia="Verdana" w:hAnsi="Verdana" w:cs="Verdana"/>
          <w:lang w:val="es-ES"/>
        </w:rPr>
        <w:t>rigen</w:t>
      </w:r>
      <w:r w:rsidRPr="00915417">
        <w:rPr>
          <w:rFonts w:ascii="Verdana" w:eastAsia="Verdana" w:hAnsi="Verdana" w:cs="Verdana"/>
          <w:spacing w:val="-14"/>
          <w:lang w:val="es-ES"/>
        </w:rPr>
        <w:t xml:space="preserve"> </w:t>
      </w:r>
      <w:r w:rsidRPr="00915417">
        <w:rPr>
          <w:rFonts w:ascii="Verdana" w:eastAsia="Verdana" w:hAnsi="Verdana" w:cs="Verdana"/>
          <w:lang w:val="es-ES"/>
        </w:rPr>
        <w:t>por</w:t>
      </w:r>
      <w:r w:rsidRPr="00915417">
        <w:rPr>
          <w:rFonts w:ascii="Verdana" w:eastAsia="Verdana" w:hAnsi="Verdana" w:cs="Verdana"/>
          <w:spacing w:val="-18"/>
          <w:lang w:val="es-ES"/>
        </w:rPr>
        <w:t xml:space="preserve"> </w:t>
      </w:r>
      <w:r w:rsidRPr="00915417">
        <w:rPr>
          <w:rFonts w:ascii="Verdana" w:eastAsia="Verdana" w:hAnsi="Verdana" w:cs="Verdana"/>
          <w:lang w:val="es-ES"/>
        </w:rPr>
        <w:t>las</w:t>
      </w:r>
      <w:r w:rsidRPr="00915417">
        <w:rPr>
          <w:rFonts w:ascii="Verdana" w:eastAsia="Verdana" w:hAnsi="Verdana" w:cs="Verdana"/>
          <w:spacing w:val="-19"/>
          <w:lang w:val="es-ES"/>
        </w:rPr>
        <w:t xml:space="preserve"> </w:t>
      </w:r>
      <w:r w:rsidRPr="00915417">
        <w:rPr>
          <w:rFonts w:ascii="Verdana" w:eastAsia="Verdana" w:hAnsi="Verdana" w:cs="Verdana"/>
          <w:lang w:val="es-ES"/>
        </w:rPr>
        <w:t>disposiciones</w:t>
      </w:r>
      <w:r w:rsidRPr="00915417">
        <w:rPr>
          <w:rFonts w:ascii="Verdana" w:eastAsia="Verdana" w:hAnsi="Verdana" w:cs="Verdana"/>
          <w:spacing w:val="-19"/>
          <w:lang w:val="es-ES"/>
        </w:rPr>
        <w:t xml:space="preserve"> </w:t>
      </w:r>
      <w:r w:rsidRPr="00915417">
        <w:rPr>
          <w:rFonts w:ascii="Verdana" w:eastAsia="Verdana" w:hAnsi="Verdana" w:cs="Verdana"/>
          <w:lang w:val="es-ES"/>
        </w:rPr>
        <w:t>que</w:t>
      </w:r>
      <w:r w:rsidRPr="00915417">
        <w:rPr>
          <w:rFonts w:ascii="Verdana" w:eastAsia="Verdana" w:hAnsi="Verdana" w:cs="Verdana"/>
          <w:spacing w:val="-15"/>
          <w:lang w:val="es-ES"/>
        </w:rPr>
        <w:t xml:space="preserve"> </w:t>
      </w:r>
      <w:r w:rsidRPr="00915417">
        <w:rPr>
          <w:rFonts w:ascii="Verdana" w:eastAsia="Verdana" w:hAnsi="Verdana" w:cs="Verdana"/>
          <w:lang w:val="es-ES"/>
        </w:rPr>
        <w:t>regulen</w:t>
      </w:r>
      <w:r w:rsidRPr="00915417">
        <w:rPr>
          <w:rFonts w:ascii="Verdana" w:eastAsia="Verdana" w:hAnsi="Verdana" w:cs="Verdana"/>
          <w:spacing w:val="-19"/>
          <w:lang w:val="es-ES"/>
        </w:rPr>
        <w:t xml:space="preserve"> </w:t>
      </w:r>
      <w:r w:rsidRPr="00915417">
        <w:rPr>
          <w:rFonts w:ascii="Verdana" w:eastAsia="Verdana" w:hAnsi="Verdana" w:cs="Verdana"/>
          <w:lang w:val="es-ES"/>
        </w:rPr>
        <w:t>su</w:t>
      </w:r>
      <w:r w:rsidRPr="00915417">
        <w:rPr>
          <w:rFonts w:ascii="Verdana" w:eastAsia="Verdana" w:hAnsi="Verdana" w:cs="Verdana"/>
          <w:spacing w:val="-18"/>
          <w:lang w:val="es-ES"/>
        </w:rPr>
        <w:t xml:space="preserve"> </w:t>
      </w:r>
      <w:r w:rsidRPr="00915417">
        <w:rPr>
          <w:rFonts w:ascii="Verdana" w:eastAsia="Verdana" w:hAnsi="Verdana" w:cs="Verdana"/>
          <w:lang w:val="es-ES"/>
        </w:rPr>
        <w:t>actividad.</w:t>
      </w:r>
    </w:p>
    <w:p w14:paraId="00D1324A" w14:textId="77777777" w:rsidR="00915417" w:rsidRPr="00915417" w:rsidRDefault="00915417" w:rsidP="00915417">
      <w:pPr>
        <w:spacing w:after="120" w:line="276" w:lineRule="auto"/>
        <w:ind w:firstLine="709"/>
        <w:jc w:val="both"/>
        <w:rPr>
          <w:rFonts w:ascii="Verdana" w:hAnsi="Verdana" w:cs="Arial"/>
          <w:lang w:eastAsia="es-MX"/>
        </w:rPr>
      </w:pPr>
      <w:r w:rsidRPr="00915417">
        <w:rPr>
          <w:rFonts w:ascii="Verdana" w:hAnsi="Verdana" w:cs="Arial"/>
          <w:lang w:val="es-ES_tradnl" w:eastAsia="es-MX"/>
        </w:rPr>
        <w:t xml:space="preserve">En este contexto y de acuerdo con la explicación precedente del Sistema General de Regalías, cuando las Entidades Industriales y Comerciales del Estado cuenten con un régimen de contratación especial sometido al derecho privado y sean entidades ejecutoras de recursos de regalías, a juicio de esta Agencia se aplica de manera preferente lo dispuesto en </w:t>
      </w:r>
      <w:r w:rsidRPr="00915417">
        <w:rPr>
          <w:rFonts w:ascii="Verdana" w:hAnsi="Verdana" w:cs="Arial"/>
          <w:lang w:eastAsia="es-MX"/>
        </w:rPr>
        <w:t xml:space="preserve">el parágrafo primero del artículo 37 de la Ley 2056 de 2020, que establece el deber de sujeción a las normas del EGCAP para tales efectos. </w:t>
      </w:r>
    </w:p>
    <w:p w14:paraId="7482E106"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rPr>
        <w:t xml:space="preserve">De acuerdo con esta interpretación, esta Subdirección considera que el </w:t>
      </w:r>
      <w:r w:rsidRPr="00915417">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5BFFA076"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78BBA8DA"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w:t>
      </w:r>
      <w:r w:rsidRPr="00915417">
        <w:rPr>
          <w:rFonts w:ascii="Verdana" w:eastAsia="Calibri" w:hAnsi="Verdana" w:cs="Arial"/>
          <w:color w:val="000000" w:themeColor="text1"/>
          <w:lang w:eastAsia="es-ES"/>
        </w:rPr>
        <w:lastRenderedPageBreak/>
        <w:t>De igual forma, esta remisión expresa al EGCAP establecida en el parágrafo 1 del artículo 37 se contempla en diferentes disposiciones de la Ley 2056 de 2020, como son los artículos 84</w:t>
      </w:r>
      <w:r w:rsidRPr="00915417">
        <w:rPr>
          <w:rFonts w:ascii="Verdana" w:eastAsia="Calibri" w:hAnsi="Verdana" w:cs="Arial"/>
          <w:color w:val="000000" w:themeColor="text1"/>
          <w:vertAlign w:val="superscript"/>
          <w:lang w:eastAsia="es-ES"/>
        </w:rPr>
        <w:footnoteReference w:id="6"/>
      </w:r>
      <w:r w:rsidRPr="00915417">
        <w:rPr>
          <w:rFonts w:ascii="Verdana" w:eastAsia="Calibri" w:hAnsi="Verdana" w:cs="Arial"/>
          <w:color w:val="000000" w:themeColor="text1"/>
          <w:lang w:eastAsia="es-ES"/>
        </w:rPr>
        <w:t>, 85</w:t>
      </w:r>
      <w:r w:rsidRPr="00915417">
        <w:rPr>
          <w:rFonts w:ascii="Verdana" w:eastAsia="Calibri" w:hAnsi="Verdana" w:cs="Arial"/>
          <w:color w:val="000000" w:themeColor="text1"/>
          <w:vertAlign w:val="superscript"/>
          <w:lang w:eastAsia="es-ES"/>
        </w:rPr>
        <w:footnoteReference w:id="7"/>
      </w:r>
      <w:r w:rsidRPr="00915417">
        <w:rPr>
          <w:rFonts w:ascii="Verdana" w:eastAsia="Calibri" w:hAnsi="Verdana" w:cs="Arial"/>
          <w:color w:val="000000" w:themeColor="text1"/>
          <w:lang w:eastAsia="es-ES"/>
        </w:rPr>
        <w:t>, 98</w:t>
      </w:r>
      <w:r w:rsidRPr="00915417">
        <w:rPr>
          <w:rFonts w:ascii="Verdana" w:eastAsia="Calibri" w:hAnsi="Verdana" w:cs="Arial"/>
          <w:color w:val="000000" w:themeColor="text1"/>
          <w:vertAlign w:val="superscript"/>
          <w:lang w:eastAsia="es-ES"/>
        </w:rPr>
        <w:footnoteReference w:id="8"/>
      </w:r>
      <w:r w:rsidRPr="00915417">
        <w:rPr>
          <w:rFonts w:ascii="Verdana" w:eastAsia="Calibri" w:hAnsi="Verdana" w:cs="Arial"/>
          <w:color w:val="000000" w:themeColor="text1"/>
          <w:lang w:eastAsia="es-ES"/>
        </w:rPr>
        <w:t>, 99</w:t>
      </w:r>
      <w:r w:rsidRPr="00915417">
        <w:rPr>
          <w:rFonts w:ascii="Verdana" w:eastAsia="Calibri" w:hAnsi="Verdana" w:cs="Arial"/>
          <w:color w:val="000000" w:themeColor="text1"/>
          <w:vertAlign w:val="superscript"/>
          <w:lang w:eastAsia="es-ES"/>
        </w:rPr>
        <w:footnoteReference w:id="9"/>
      </w:r>
      <w:r w:rsidRPr="00915417">
        <w:rPr>
          <w:rFonts w:ascii="Verdana" w:eastAsia="Calibri" w:hAnsi="Verdana" w:cs="Arial"/>
          <w:color w:val="000000" w:themeColor="text1"/>
          <w:lang w:eastAsia="es-ES"/>
        </w:rPr>
        <w:t>, 108</w:t>
      </w:r>
      <w:r w:rsidRPr="00915417">
        <w:rPr>
          <w:rFonts w:ascii="Verdana" w:eastAsia="Calibri" w:hAnsi="Verdana" w:cs="Arial"/>
          <w:color w:val="000000" w:themeColor="text1"/>
          <w:vertAlign w:val="superscript"/>
          <w:lang w:eastAsia="es-ES"/>
        </w:rPr>
        <w:footnoteReference w:id="10"/>
      </w:r>
      <w:r w:rsidRPr="00915417">
        <w:rPr>
          <w:rFonts w:ascii="Verdana" w:eastAsia="Calibri" w:hAnsi="Verdana" w:cs="Arial"/>
          <w:color w:val="000000" w:themeColor="text1"/>
          <w:lang w:eastAsia="es-ES"/>
        </w:rPr>
        <w:t xml:space="preserve"> y 109</w:t>
      </w:r>
      <w:r w:rsidRPr="00915417">
        <w:rPr>
          <w:rFonts w:ascii="Verdana" w:eastAsia="Calibri" w:hAnsi="Verdana" w:cs="Arial"/>
          <w:color w:val="000000" w:themeColor="text1"/>
          <w:vertAlign w:val="superscript"/>
          <w:lang w:eastAsia="es-ES"/>
        </w:rPr>
        <w:footnoteReference w:id="11"/>
      </w:r>
      <w:r w:rsidRPr="00915417">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5249B92B"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715177C4"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w:t>
      </w:r>
      <w:r w:rsidRPr="00915417">
        <w:rPr>
          <w:rFonts w:ascii="Verdana" w:eastAsia="Calibri" w:hAnsi="Verdana" w:cs="Arial"/>
          <w:color w:val="000000" w:themeColor="text1"/>
          <w:lang w:eastAsia="es-ES"/>
        </w:rPr>
        <w:lastRenderedPageBreak/>
        <w:t xml:space="preserve">remisión expresa al EGCAP. Por tanto, en desarrollo del principio general de interpretación jurídica según el cual </w:t>
      </w:r>
      <w:r w:rsidRPr="00915417">
        <w:rPr>
          <w:rFonts w:ascii="Verdana" w:eastAsia="Calibri" w:hAnsi="Verdana" w:cs="Arial"/>
          <w:i/>
          <w:iCs/>
          <w:color w:val="000000" w:themeColor="text1"/>
          <w:lang w:eastAsia="es-ES"/>
        </w:rPr>
        <w:t>donde la norma no distingue, no le corresponde distinguir al intérprete,</w:t>
      </w:r>
      <w:r w:rsidRPr="00915417">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915417">
        <w:t xml:space="preserve"> </w:t>
      </w:r>
      <w:r w:rsidRPr="00915417">
        <w:rPr>
          <w:rFonts w:ascii="Verdana" w:eastAsia="Calibri" w:hAnsi="Verdana" w:cs="Arial"/>
          <w:color w:val="000000" w:themeColor="text1"/>
          <w:lang w:eastAsia="es-ES"/>
        </w:rPr>
        <w:t xml:space="preserve">la eficiencia, transparencia y responsabilidad en la gestión del gasto público.  </w:t>
      </w:r>
    </w:p>
    <w:p w14:paraId="5D6C8F8A" w14:textId="77777777" w:rsidR="00915417" w:rsidRPr="00915417" w:rsidRDefault="00915417" w:rsidP="00915417">
      <w:pPr>
        <w:spacing w:after="120" w:line="276" w:lineRule="auto"/>
        <w:ind w:firstLine="709"/>
        <w:jc w:val="both"/>
        <w:rPr>
          <w:rFonts w:ascii="Verdana" w:eastAsia="Calibri" w:hAnsi="Verdana" w:cs="Arial"/>
          <w:color w:val="000000" w:themeColor="text1"/>
          <w:lang w:eastAsia="es-ES"/>
        </w:rPr>
      </w:pPr>
      <w:r w:rsidRPr="00915417">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28CB8C5B" w14:textId="77777777" w:rsidR="00915417" w:rsidRPr="00915417" w:rsidRDefault="00915417" w:rsidP="00915417">
      <w:pPr>
        <w:spacing w:after="120" w:line="276" w:lineRule="auto"/>
        <w:jc w:val="both"/>
        <w:rPr>
          <w:rFonts w:ascii="Verdana" w:eastAsia="Calibri" w:hAnsi="Verdana" w:cs="Arial"/>
          <w:color w:val="000000" w:themeColor="text1"/>
          <w:lang w:eastAsia="es-ES"/>
        </w:rPr>
      </w:pPr>
      <w:proofErr w:type="spellStart"/>
      <w:r w:rsidRPr="00915417">
        <w:rPr>
          <w:rFonts w:ascii="Verdana" w:eastAsia="Calibri" w:hAnsi="Verdana" w:cs="Arial"/>
          <w:color w:val="000000" w:themeColor="text1"/>
          <w:lang w:eastAsia="es-ES"/>
        </w:rPr>
        <w:t>ii</w:t>
      </w:r>
      <w:proofErr w:type="spellEnd"/>
      <w:r w:rsidRPr="00915417">
        <w:rPr>
          <w:rFonts w:ascii="Verdana" w:eastAsia="Calibri" w:hAnsi="Verdana" w:cs="Arial"/>
          <w:color w:val="000000" w:themeColor="text1"/>
          <w:lang w:eastAsia="es-ES"/>
        </w:rPr>
        <w:t xml:space="preserve">. Ahora bien, de acuerdo con lo explicado y atendiendo a la consulta planteada, se precisa que en estos casos todos los aspectos relacionados con la etapa de ejecución del contrato deberán adelantarse conforme a lo establecido en el EGCAP, así como a lo dispuesto en el pliego de condiciones correspondiente a cada proceso contractual. Esto incluye, entre otros, la suscripción del acta de inicio, la entrega de la documentación requerida, como hojas de vida del personal vinculado y cualquier otro requisito necesario para </w:t>
      </w:r>
      <w:proofErr w:type="gramStart"/>
      <w:r w:rsidRPr="00915417">
        <w:rPr>
          <w:rFonts w:ascii="Verdana" w:eastAsia="Calibri" w:hAnsi="Verdana" w:cs="Arial"/>
          <w:color w:val="000000" w:themeColor="text1"/>
          <w:lang w:eastAsia="es-ES"/>
        </w:rPr>
        <w:t>dar inicio a</w:t>
      </w:r>
      <w:proofErr w:type="gramEnd"/>
      <w:r w:rsidRPr="00915417">
        <w:rPr>
          <w:rFonts w:ascii="Verdana" w:eastAsia="Calibri" w:hAnsi="Verdana" w:cs="Arial"/>
          <w:color w:val="000000" w:themeColor="text1"/>
          <w:lang w:eastAsia="es-ES"/>
        </w:rPr>
        <w:t xml:space="preserve"> la ejecución del contrato.</w:t>
      </w:r>
    </w:p>
    <w:p w14:paraId="23D45621" w14:textId="77777777" w:rsidR="00915417" w:rsidRPr="00915417" w:rsidRDefault="00915417" w:rsidP="00915417">
      <w:pPr>
        <w:spacing w:after="120" w:line="276" w:lineRule="auto"/>
        <w:ind w:firstLine="708"/>
        <w:jc w:val="both"/>
        <w:rPr>
          <w:rFonts w:ascii="Verdana" w:eastAsia="Calibri" w:hAnsi="Verdana" w:cs="Arial"/>
          <w:lang w:val="es-ES_tradnl"/>
        </w:rPr>
      </w:pPr>
      <w:r w:rsidRPr="00915417">
        <w:rPr>
          <w:rFonts w:ascii="Verdana" w:eastAsia="Calibri" w:hAnsi="Verdana" w:cs="Arial"/>
          <w:color w:val="000000" w:themeColor="text1"/>
          <w:lang w:eastAsia="es-ES"/>
        </w:rPr>
        <w:t xml:space="preserve">Así, es pertinente precisar que </w:t>
      </w:r>
      <w:r w:rsidRPr="00915417">
        <w:rPr>
          <w:rFonts w:ascii="Verdana" w:hAnsi="Verdana"/>
        </w:rPr>
        <w:t>al tratarse de un contrato estatal, debe cumplir con los requisitos de perfeccionamiento y ejecución establecidos en el artículo 41 de la Ley 80 de 1993. En efecto, conforme lo señala</w:t>
      </w:r>
      <w:r w:rsidRPr="00915417">
        <w:rPr>
          <w:rFonts w:ascii="Verdana" w:eastAsia="Calibri" w:hAnsi="Verdana" w:cs="Arial"/>
          <w:lang w:val="es-ES_tradnl"/>
        </w:rPr>
        <w:t xml:space="preserve"> el primer inciso del artículo 41 de la Ley 80 de 1993 “</w:t>
      </w:r>
      <w:r w:rsidRPr="00915417">
        <w:rPr>
          <w:rFonts w:ascii="Verdana" w:eastAsia="Calibri" w:hAnsi="Verdana" w:cs="Arial"/>
          <w:i/>
          <w:iCs/>
          <w:lang w:val="es-ES_tradnl"/>
        </w:rPr>
        <w:t>Los contratos del Estado se perfeccionan cuando se logre acuerdo sobre el objeto y la contraprestación y éste se eleve a escrito</w:t>
      </w:r>
      <w:r w:rsidRPr="00915417">
        <w:rPr>
          <w:rFonts w:ascii="Verdana" w:eastAsia="Calibri" w:hAnsi="Verdana" w:cs="Arial"/>
          <w:lang w:val="es-ES_tradnl"/>
        </w:rPr>
        <w:t>”, de tal manera que para que el contrato estatal exista, no solo debe haber un acuerdo sobre la obligación principal del negocio –es decir, sobre el “objeto”– y sobre la contraprestación, sino que se debe plasmar por escrito.</w:t>
      </w:r>
    </w:p>
    <w:p w14:paraId="23F8E603" w14:textId="77777777" w:rsidR="00915417" w:rsidRPr="00915417" w:rsidRDefault="00915417" w:rsidP="00915417">
      <w:pPr>
        <w:spacing w:after="120" w:line="276" w:lineRule="auto"/>
        <w:ind w:firstLine="708"/>
        <w:jc w:val="both"/>
        <w:rPr>
          <w:rFonts w:ascii="Verdana" w:eastAsia="Calibri" w:hAnsi="Verdana" w:cs="Arial"/>
          <w:color w:val="000000" w:themeColor="text1"/>
          <w:lang w:val="es-ES" w:eastAsia="en-GB"/>
        </w:rPr>
      </w:pPr>
      <w:r w:rsidRPr="00915417">
        <w:rPr>
          <w:rFonts w:ascii="Verdana" w:eastAsia="Calibri" w:hAnsi="Verdana" w:cs="Arial"/>
          <w:color w:val="000000" w:themeColor="text1"/>
          <w:lang w:val="es-ES" w:eastAsia="en-GB"/>
        </w:rPr>
        <w:t xml:space="preserve">Respecto de los requisitos de ejecución de los contratos estatales pueden ser “legales” o “convencionales”. Los primeros son aquellos que se encuentran previstos en la ley y los segundos son estipulados por las partes. En otros términos, los requisitos legales de ejecución son elementos de la naturaleza, </w:t>
      </w:r>
      <w:r w:rsidRPr="00915417">
        <w:rPr>
          <w:rFonts w:ascii="Verdana" w:eastAsia="Calibri" w:hAnsi="Verdana" w:cs="Arial"/>
          <w:color w:val="000000" w:themeColor="text1"/>
          <w:lang w:val="es-ES" w:eastAsia="en-GB"/>
        </w:rPr>
        <w:lastRenderedPageBreak/>
        <w:t xml:space="preserve">mientras que los requisitos convencionales de ejecución son elementos accidentales. Conforme al </w:t>
      </w:r>
      <w:r w:rsidRPr="00915417">
        <w:rPr>
          <w:rFonts w:ascii="Verdana" w:eastAsia="Calibri" w:hAnsi="Verdana" w:cs="Arial"/>
          <w:lang w:val="es-ES_tradnl"/>
        </w:rPr>
        <w:t>inciso segundo del referido artículo 41</w:t>
      </w:r>
      <w:r w:rsidRPr="00915417">
        <w:rPr>
          <w:rFonts w:ascii="Verdana" w:eastAsia="Calibri" w:hAnsi="Verdana" w:cs="Arial"/>
          <w:vertAlign w:val="superscript"/>
          <w:lang w:val="es-ES_tradnl"/>
        </w:rPr>
        <w:footnoteReference w:id="12"/>
      </w:r>
      <w:r w:rsidRPr="00915417">
        <w:rPr>
          <w:rFonts w:ascii="Verdana" w:eastAsia="Calibri" w:hAnsi="Verdana" w:cs="Arial"/>
          <w:lang w:val="es-ES_tradnl"/>
        </w:rPr>
        <w:t xml:space="preserve">, para la ejecución del contrato estatal se deberá contar </w:t>
      </w:r>
      <w:r w:rsidRPr="00915417">
        <w:rPr>
          <w:rFonts w:ascii="Verdana" w:eastAsia="Calibri" w:hAnsi="Verdana" w:cs="Arial"/>
          <w:lang w:val="es-ES"/>
        </w:rPr>
        <w:t>con: (i) la aprobación de las garantías exigidas en el contrato (cuando aplique), (</w:t>
      </w:r>
      <w:proofErr w:type="spellStart"/>
      <w:r w:rsidRPr="00915417">
        <w:rPr>
          <w:rFonts w:ascii="Verdana" w:eastAsia="Calibri" w:hAnsi="Verdana" w:cs="Arial"/>
          <w:lang w:val="es-ES"/>
        </w:rPr>
        <w:t>ii</w:t>
      </w:r>
      <w:proofErr w:type="spellEnd"/>
      <w:r w:rsidRPr="00915417">
        <w:rPr>
          <w:rFonts w:ascii="Verdana" w:eastAsia="Calibri" w:hAnsi="Verdana" w:cs="Arial"/>
          <w:lang w:val="es-ES"/>
        </w:rPr>
        <w:t>) la existencia de la apropiación presupuestal correspondiente y (</w:t>
      </w:r>
      <w:proofErr w:type="spellStart"/>
      <w:r w:rsidRPr="00915417">
        <w:rPr>
          <w:rFonts w:ascii="Verdana" w:eastAsia="Calibri" w:hAnsi="Verdana" w:cs="Arial"/>
          <w:lang w:val="es-ES"/>
        </w:rPr>
        <w:t>iii</w:t>
      </w:r>
      <w:proofErr w:type="spellEnd"/>
      <w:r w:rsidRPr="00915417">
        <w:rPr>
          <w:rFonts w:ascii="Verdana" w:eastAsia="Calibri" w:hAnsi="Verdana" w:cs="Arial"/>
          <w:lang w:val="es-ES"/>
        </w:rPr>
        <w:t>) la acreditación del cumplimiento de las obligaciones con el Sistema de Seguridad Social Integral.</w:t>
      </w:r>
      <w:r w:rsidRPr="00915417">
        <w:rPr>
          <w:rFonts w:ascii="Verdana" w:eastAsia="Calibri" w:hAnsi="Verdana" w:cs="Arial"/>
          <w:lang w:val="es-MX" w:eastAsia="es-ES"/>
        </w:rPr>
        <w:t xml:space="preserve"> Por su parte, el acta de inicio, </w:t>
      </w:r>
      <w:r w:rsidRPr="00915417">
        <w:rPr>
          <w:rFonts w:ascii="Verdana" w:eastAsia="Calibri" w:hAnsi="Verdana" w:cs="Arial"/>
          <w:lang w:val="es-ES" w:eastAsia="es-ES"/>
        </w:rPr>
        <w:t>al no ser un requisito legal de ejecución –pues no se encuentra consagrado en la ley–, constituye un requisito de ejecución convencional, que se pacta en la minuta del contrato o que el contratista acepta, adhiriéndose al clausulado del pliego de condiciones o documento equivalente.</w:t>
      </w:r>
    </w:p>
    <w:p w14:paraId="1E9CD982"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915417">
        <w:rPr>
          <w:rFonts w:ascii="Verdana" w:eastAsia="Calibri" w:hAnsi="Verdana" w:cs="Arial"/>
          <w:lang w:val="es-ES" w:eastAsia="es-ES"/>
        </w:rPr>
        <w:t>que</w:t>
      </w:r>
      <w:proofErr w:type="gramEnd"/>
      <w:r w:rsidRPr="00915417">
        <w:rPr>
          <w:rFonts w:ascii="Verdana" w:eastAsia="Calibri" w:hAnsi="Verdana" w:cs="Arial"/>
          <w:lang w:val="es-ES" w:eastAsia="es-ES"/>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02511098"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 xml:space="preserve">El fundamento legal que habilita a las partes para establecer la suscripción del acta de inicio como un requisito de ejecución convencional se encuentra en el segundo inciso del artículo 40 de la Ley 80 de 1993, el cual indica que “Las entidades podrán celebrar los contratos y acuerdos que permitan la autonomía de la voluntad y requieran el cumplimiento de los fines estatales”. Sin embargo,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EGCAP. En tal sentido, teniendo en cuenta que el artículo 41 de la Ley 80 de 1993 establece que los requisitos legales de ejecución de los contratos estatales son la aprobación de </w:t>
      </w:r>
      <w:r w:rsidRPr="00915417">
        <w:rPr>
          <w:rFonts w:ascii="Verdana" w:eastAsia="Calibri" w:hAnsi="Verdana" w:cs="Arial"/>
          <w:lang w:val="es-ES" w:eastAsia="es-ES"/>
        </w:rPr>
        <w:lastRenderedPageBreak/>
        <w:t xml:space="preserve">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antes señaladas. </w:t>
      </w:r>
    </w:p>
    <w:p w14:paraId="7AF64BD1"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55C77E66"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6148E7FE" w14:textId="77777777" w:rsidR="00915417" w:rsidRPr="00915417" w:rsidRDefault="00915417" w:rsidP="00915417">
      <w:pPr>
        <w:spacing w:after="120" w:line="276" w:lineRule="auto"/>
        <w:ind w:firstLine="708"/>
        <w:jc w:val="both"/>
        <w:rPr>
          <w:rFonts w:ascii="Verdana" w:eastAsia="Calibri" w:hAnsi="Verdana" w:cs="Arial"/>
          <w:lang w:val="es-ES" w:eastAsia="es-ES"/>
        </w:rPr>
      </w:pPr>
      <w:r w:rsidRPr="00915417">
        <w:rPr>
          <w:rFonts w:ascii="Verdana" w:eastAsia="Calibri" w:hAnsi="Verdana" w:cs="Arial"/>
          <w:lang w:val="es-ES" w:eastAsia="es-ES"/>
        </w:rPr>
        <w:t>Así las cosas, previo a la suscripción del acta de inicio, será necesario acreditar el cumplimiento de los requisitos legales exigidos para la ejecución del contrato estatal. Por su parte, todos aquellos aspectos adicionales relacionados con las obligaciones contractuales, como la presentación de las hojas de vida del personal mínimo propuesto o requerido, deberán atenderse conforme a lo establecido en el pliego de condiciones y en el contrato respectivo. En caso de que dichos aspectos hayan sido definidos expresamente como requisitos para la firma del acta de inicio, su cumplimiento deberá ajustarse a lo pactado por las partes.</w:t>
      </w:r>
    </w:p>
    <w:p w14:paraId="44F8EC6A" w14:textId="77777777" w:rsidR="00915417" w:rsidRPr="00915417" w:rsidRDefault="00915417" w:rsidP="00915417">
      <w:pPr>
        <w:spacing w:after="120" w:line="276" w:lineRule="auto"/>
        <w:jc w:val="both"/>
        <w:rPr>
          <w:rFonts w:ascii="Verdana" w:eastAsiaTheme="minorEastAsia" w:hAnsi="Verdana" w:cs="Arial"/>
          <w:spacing w:val="-9"/>
          <w:szCs w:val="24"/>
          <w:lang w:eastAsia="es-CO"/>
        </w:rPr>
      </w:pPr>
      <w:proofErr w:type="spellStart"/>
      <w:r w:rsidRPr="00915417">
        <w:rPr>
          <w:rFonts w:ascii="Verdana" w:eastAsia="Calibri" w:hAnsi="Verdana" w:cs="Arial"/>
          <w:lang w:val="es-ES"/>
        </w:rPr>
        <w:t>iii</w:t>
      </w:r>
      <w:proofErr w:type="spellEnd"/>
      <w:r w:rsidRPr="00915417">
        <w:rPr>
          <w:rFonts w:ascii="Verdana" w:eastAsia="Calibri" w:hAnsi="Verdana" w:cs="Arial"/>
          <w:lang w:val="es-ES"/>
        </w:rPr>
        <w:t xml:space="preserve">. </w:t>
      </w:r>
      <w:r w:rsidRPr="00915417">
        <w:rPr>
          <w:rFonts w:ascii="Verdana" w:hAnsi="Verdana" w:cs="Arial"/>
          <w:lang w:eastAsia="es-ES"/>
        </w:rPr>
        <w:t>Al margen de la postura de la ANCP – CCE en torno a</w:t>
      </w:r>
      <w:r w:rsidRPr="00915417">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8" w:name="_Hlk200718672"/>
      <w:r w:rsidRPr="00915417">
        <w:rPr>
          <w:rFonts w:ascii="Verdana" w:eastAsia="Calibri" w:hAnsi="Verdana" w:cs="Arial"/>
          <w:color w:val="000000"/>
          <w:lang w:val="es-ES" w:eastAsia="es-ES"/>
        </w:rPr>
        <w:t>representan</w:t>
      </w:r>
      <w:r w:rsidRPr="00915417">
        <w:rPr>
          <w:rFonts w:ascii="Verdana" w:hAnsi="Verdana" w:cs="Arial"/>
          <w:lang w:eastAsia="es-ES"/>
        </w:rPr>
        <w:t xml:space="preserve"> una </w:t>
      </w:r>
      <w:r w:rsidRPr="00915417">
        <w:rPr>
          <w:rFonts w:ascii="Verdana" w:eastAsia="Calibri" w:hAnsi="Verdana" w:cs="Arial"/>
          <w:bCs/>
          <w:lang w:val="es-ES_tradnl"/>
        </w:rPr>
        <w:t xml:space="preserve">posición </w:t>
      </w:r>
      <w:r w:rsidRPr="00915417">
        <w:rPr>
          <w:rFonts w:ascii="Verdana" w:eastAsia="Calibri" w:hAnsi="Verdana" w:cs="Arial"/>
          <w:bCs/>
          <w:lang w:val="es-ES_tradnl"/>
        </w:rPr>
        <w:lastRenderedPageBreak/>
        <w:t>hermenéutica respecto a las disposiciones normativas del Sistema de Compras Públicas,</w:t>
      </w:r>
      <w:r w:rsidRPr="00915417">
        <w:rPr>
          <w:rFonts w:ascii="Verdana" w:hAnsi="Verdana" w:cs="Arial"/>
          <w:lang w:eastAsia="es-ES"/>
        </w:rPr>
        <w:t xml:space="preserve"> </w:t>
      </w:r>
      <w:bookmarkStart w:id="9" w:name="_Hlk42100007"/>
      <w:r w:rsidRPr="00915417">
        <w:rPr>
          <w:rFonts w:ascii="Verdana" w:hAnsi="Verdana" w:cs="Arial"/>
          <w:lang w:eastAsia="es-ES"/>
        </w:rPr>
        <w:t xml:space="preserve">que </w:t>
      </w:r>
      <w:r w:rsidRPr="00915417">
        <w:rPr>
          <w:rFonts w:ascii="Verdana" w:eastAsia="Calibri" w:hAnsi="Verdana" w:cs="Arial"/>
          <w:bCs/>
          <w:lang w:val="es-ES_tradnl"/>
        </w:rPr>
        <w:t xml:space="preserve">no tienen efectos vinculantes </w:t>
      </w:r>
      <w:bookmarkEnd w:id="8"/>
      <w:r w:rsidRPr="00915417">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9"/>
      <w:r w:rsidRPr="00915417">
        <w:rPr>
          <w:rFonts w:ascii="Verdana" w:eastAsiaTheme="minorEastAsia" w:hAnsi="Verdana" w:cs="Arial"/>
          <w:szCs w:val="24"/>
          <w:lang w:eastAsia="es-CO"/>
        </w:rPr>
        <w:t xml:space="preserve"> De este modo, las autoridades que ejercen funciones consultivas pueden expresar su</w:t>
      </w:r>
      <w:r w:rsidRPr="00915417">
        <w:rPr>
          <w:rFonts w:ascii="Verdana" w:eastAsiaTheme="minorEastAsia" w:hAnsi="Verdana" w:cs="Arial"/>
          <w:spacing w:val="1"/>
          <w:szCs w:val="24"/>
          <w:lang w:eastAsia="es-CO"/>
        </w:rPr>
        <w:t xml:space="preserve"> </w:t>
      </w:r>
      <w:r w:rsidRPr="00915417">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915417">
        <w:rPr>
          <w:rFonts w:ascii="Verdana" w:eastAsiaTheme="minorEastAsia" w:hAnsi="Verdana" w:cs="Arial"/>
          <w:spacing w:val="1"/>
          <w:szCs w:val="24"/>
          <w:lang w:eastAsia="es-CO"/>
        </w:rPr>
        <w:t xml:space="preserve"> </w:t>
      </w:r>
      <w:r w:rsidRPr="00915417">
        <w:rPr>
          <w:rFonts w:ascii="Verdana" w:eastAsiaTheme="minorEastAsia" w:hAnsi="Verdana" w:cs="Arial"/>
          <w:szCs w:val="24"/>
          <w:lang w:eastAsia="es-CO"/>
        </w:rPr>
        <w:t>virtud</w:t>
      </w:r>
      <w:r w:rsidRPr="00915417">
        <w:rPr>
          <w:rFonts w:ascii="Verdana" w:eastAsiaTheme="minorEastAsia" w:hAnsi="Verdana" w:cs="Arial"/>
          <w:spacing w:val="-10"/>
          <w:szCs w:val="24"/>
          <w:lang w:eastAsia="es-CO"/>
        </w:rPr>
        <w:t xml:space="preserve"> </w:t>
      </w:r>
      <w:r w:rsidRPr="00915417">
        <w:rPr>
          <w:rFonts w:ascii="Verdana" w:eastAsiaTheme="minorEastAsia" w:hAnsi="Verdana" w:cs="Arial"/>
          <w:szCs w:val="24"/>
          <w:lang w:eastAsia="es-CO"/>
        </w:rPr>
        <w:t>de</w:t>
      </w:r>
      <w:r w:rsidRPr="00915417">
        <w:rPr>
          <w:rFonts w:ascii="Verdana" w:eastAsiaTheme="minorEastAsia" w:hAnsi="Verdana" w:cs="Arial"/>
          <w:spacing w:val="-9"/>
          <w:szCs w:val="24"/>
          <w:lang w:eastAsia="es-CO"/>
        </w:rPr>
        <w:t xml:space="preserve"> </w:t>
      </w:r>
      <w:r w:rsidRPr="00915417">
        <w:rPr>
          <w:rFonts w:ascii="Verdana" w:eastAsiaTheme="minorEastAsia" w:hAnsi="Verdana" w:cs="Arial"/>
          <w:szCs w:val="24"/>
          <w:lang w:eastAsia="es-CO"/>
        </w:rPr>
        <w:t>la</w:t>
      </w:r>
      <w:r w:rsidRPr="00915417">
        <w:rPr>
          <w:rFonts w:ascii="Verdana" w:eastAsiaTheme="minorEastAsia" w:hAnsi="Verdana" w:cs="Arial"/>
          <w:spacing w:val="-9"/>
          <w:szCs w:val="24"/>
          <w:lang w:eastAsia="es-CO"/>
        </w:rPr>
        <w:t xml:space="preserve"> </w:t>
      </w:r>
      <w:r w:rsidRPr="00915417">
        <w:rPr>
          <w:rFonts w:ascii="Verdana" w:eastAsiaTheme="minorEastAsia" w:hAnsi="Verdana" w:cs="Arial"/>
          <w:szCs w:val="24"/>
          <w:lang w:eastAsia="es-CO"/>
        </w:rPr>
        <w:t>utilización</w:t>
      </w:r>
      <w:r w:rsidRPr="00915417">
        <w:rPr>
          <w:rFonts w:ascii="Verdana" w:eastAsiaTheme="minorEastAsia" w:hAnsi="Verdana" w:cs="Arial"/>
          <w:spacing w:val="-9"/>
          <w:szCs w:val="24"/>
          <w:lang w:eastAsia="es-CO"/>
        </w:rPr>
        <w:t xml:space="preserve"> </w:t>
      </w:r>
      <w:r w:rsidRPr="00915417">
        <w:rPr>
          <w:rFonts w:ascii="Verdana" w:eastAsiaTheme="minorEastAsia" w:hAnsi="Verdana" w:cs="Arial"/>
          <w:szCs w:val="24"/>
          <w:lang w:eastAsia="es-CO"/>
        </w:rPr>
        <w:t>de</w:t>
      </w:r>
      <w:r w:rsidRPr="00915417">
        <w:rPr>
          <w:rFonts w:ascii="Verdana" w:eastAsiaTheme="minorEastAsia" w:hAnsi="Verdana" w:cs="Arial"/>
          <w:spacing w:val="-9"/>
          <w:szCs w:val="24"/>
          <w:lang w:eastAsia="es-CO"/>
        </w:rPr>
        <w:t xml:space="preserve"> </w:t>
      </w:r>
      <w:r w:rsidRPr="00915417">
        <w:rPr>
          <w:rFonts w:ascii="Verdana" w:eastAsiaTheme="minorEastAsia" w:hAnsi="Verdana" w:cs="Arial"/>
          <w:szCs w:val="24"/>
          <w:lang w:eastAsia="es-CO"/>
        </w:rPr>
        <w:t>conceptos</w:t>
      </w:r>
      <w:r w:rsidRPr="00915417">
        <w:rPr>
          <w:rFonts w:ascii="Verdana" w:eastAsiaTheme="minorEastAsia" w:hAnsi="Verdana" w:cs="Arial"/>
          <w:spacing w:val="-10"/>
          <w:szCs w:val="24"/>
          <w:lang w:eastAsia="es-CO"/>
        </w:rPr>
        <w:t xml:space="preserve"> </w:t>
      </w:r>
      <w:r w:rsidRPr="00915417">
        <w:rPr>
          <w:rFonts w:ascii="Verdana" w:eastAsiaTheme="minorEastAsia" w:hAnsi="Verdana" w:cs="Arial"/>
          <w:szCs w:val="24"/>
          <w:lang w:eastAsia="es-CO"/>
        </w:rPr>
        <w:t>jurídicos</w:t>
      </w:r>
      <w:r w:rsidRPr="00915417">
        <w:rPr>
          <w:rFonts w:ascii="Verdana" w:eastAsiaTheme="minorEastAsia" w:hAnsi="Verdana" w:cs="Arial"/>
          <w:spacing w:val="-9"/>
          <w:szCs w:val="24"/>
          <w:lang w:eastAsia="es-CO"/>
        </w:rPr>
        <w:t xml:space="preserve"> </w:t>
      </w:r>
      <w:r w:rsidRPr="00915417">
        <w:rPr>
          <w:rFonts w:ascii="Verdana" w:eastAsiaTheme="minorEastAsia" w:hAnsi="Verdana" w:cs="Arial"/>
          <w:szCs w:val="24"/>
          <w:lang w:eastAsia="es-CO"/>
        </w:rPr>
        <w:t>indeterminados.</w:t>
      </w:r>
      <w:r w:rsidRPr="00915417">
        <w:rPr>
          <w:rFonts w:ascii="Verdana" w:eastAsiaTheme="minorEastAsia" w:hAnsi="Verdana" w:cs="Arial"/>
          <w:spacing w:val="-9"/>
          <w:szCs w:val="24"/>
          <w:lang w:eastAsia="es-CO"/>
        </w:rPr>
        <w:t xml:space="preserve"> </w:t>
      </w:r>
    </w:p>
    <w:p w14:paraId="1C9282FD" w14:textId="77777777" w:rsidR="00915417" w:rsidRPr="00915417" w:rsidRDefault="00915417" w:rsidP="00915417">
      <w:pPr>
        <w:spacing w:after="120" w:line="276" w:lineRule="auto"/>
        <w:ind w:firstLine="709"/>
        <w:jc w:val="both"/>
        <w:rPr>
          <w:rFonts w:ascii="Verdana" w:hAnsi="Verdana" w:cs="Arial"/>
          <w:lang w:eastAsia="es-ES"/>
        </w:rPr>
      </w:pPr>
      <w:r w:rsidRPr="00915417">
        <w:rPr>
          <w:rFonts w:ascii="Verdana" w:hAnsi="Verdana" w:cs="Arial"/>
          <w:lang w:eastAsia="es-ES"/>
        </w:rPr>
        <w:t xml:space="preserve">Por consiguiente, debe advertirse que el llamado a emitir lineamientos respecto a </w:t>
      </w:r>
      <w:r w:rsidRPr="00915417">
        <w:rPr>
          <w:rFonts w:ascii="Verdana" w:eastAsia="Calibri" w:hAnsi="Verdana" w:cs="Arial"/>
          <w:bCs/>
          <w:color w:val="000000" w:themeColor="text1"/>
        </w:rPr>
        <w:t>los proyectos adelantados con cargo al Sistema General de Regalías</w:t>
      </w:r>
      <w:r w:rsidRPr="00915417">
        <w:rPr>
          <w:rFonts w:ascii="Verdana" w:hAnsi="Verdana" w:cs="Arial"/>
          <w:lang w:eastAsia="es-ES"/>
        </w:rPr>
        <w:t xml:space="preserve"> debe ser realizado por el Departamento Nacional de Planeación</w:t>
      </w:r>
      <w:r w:rsidRPr="00915417">
        <w:rPr>
          <w:rFonts w:ascii="Verdana" w:eastAsia="Calibri" w:hAnsi="Verdana" w:cs="Arial"/>
          <w:color w:val="000000"/>
          <w:lang w:val="es-ES" w:eastAsia="es-ES"/>
        </w:rPr>
        <w:t xml:space="preserve">, el cual tiene a su cargo el deber de </w:t>
      </w:r>
      <w:r w:rsidRPr="00915417">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915417">
        <w:rPr>
          <w:rFonts w:ascii="Verdana" w:eastAsia="Calibri" w:hAnsi="Verdana" w:cs="Arial"/>
          <w:color w:val="000000"/>
          <w:lang w:val="es-ES" w:eastAsia="es-ES"/>
        </w:rPr>
        <w:t xml:space="preserve">conformidad con lo señalado en los numeral 2 y 3 del artículo 8 del Decreto 1893 de 2021. </w:t>
      </w:r>
    </w:p>
    <w:p w14:paraId="3BB7EDA4" w14:textId="77777777" w:rsidR="00915417" w:rsidRPr="00915417" w:rsidRDefault="00915417" w:rsidP="00915417">
      <w:pPr>
        <w:widowControl w:val="0"/>
        <w:autoSpaceDE w:val="0"/>
        <w:autoSpaceDN w:val="0"/>
        <w:spacing w:after="0" w:line="276" w:lineRule="auto"/>
        <w:jc w:val="both"/>
        <w:rPr>
          <w:rFonts w:ascii="Verdana" w:eastAsia="Arial" w:hAnsi="Verdana" w:cs="Arial"/>
          <w:lang w:val="es-ES"/>
        </w:rPr>
      </w:pPr>
    </w:p>
    <w:p w14:paraId="1A247C3B" w14:textId="77777777" w:rsidR="00915417" w:rsidRPr="00915417" w:rsidRDefault="00915417" w:rsidP="00915417">
      <w:pPr>
        <w:numPr>
          <w:ilvl w:val="0"/>
          <w:numId w:val="1"/>
        </w:numPr>
        <w:tabs>
          <w:tab w:val="left" w:pos="142"/>
          <w:tab w:val="left" w:pos="284"/>
        </w:tabs>
        <w:spacing w:after="0" w:line="276" w:lineRule="auto"/>
        <w:jc w:val="both"/>
        <w:rPr>
          <w:rFonts w:ascii="Verdana" w:eastAsia="Century Gothic" w:hAnsi="Verdana" w:cs="Century Gothic"/>
          <w:b/>
          <w:bCs/>
        </w:rPr>
      </w:pPr>
      <w:r w:rsidRPr="00915417">
        <w:rPr>
          <w:rFonts w:ascii="Verdana" w:eastAsia="Century Gothic" w:hAnsi="Verdana" w:cs="Century Gothic"/>
          <w:b/>
          <w:bCs/>
        </w:rPr>
        <w:t>Referencias normativas y jurisprudenciales:</w:t>
      </w:r>
    </w:p>
    <w:p w14:paraId="04BE9A23" w14:textId="77777777" w:rsidR="00915417" w:rsidRPr="00915417" w:rsidRDefault="00915417" w:rsidP="0091541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5417" w:rsidRPr="00915417" w14:paraId="1D2EE390" w14:textId="77777777" w:rsidTr="00175823">
        <w:trPr>
          <w:trHeight w:val="410"/>
          <w:jc w:val="center"/>
        </w:trPr>
        <w:tc>
          <w:tcPr>
            <w:tcW w:w="8647" w:type="dxa"/>
          </w:tcPr>
          <w:p w14:paraId="1F2BD4C2" w14:textId="77777777" w:rsidR="00915417" w:rsidRPr="00915417" w:rsidRDefault="00915417" w:rsidP="00915417">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915417">
              <w:rPr>
                <w:rFonts w:ascii="Verdana" w:hAnsi="Verdana" w:cs="Arial"/>
                <w:lang w:val="es-ES"/>
              </w:rPr>
              <w:t xml:space="preserve">Constitución Política de 1991, artículos 360 y 361. </w:t>
            </w:r>
          </w:p>
          <w:p w14:paraId="6F8DD81C" w14:textId="77777777" w:rsidR="00915417" w:rsidRPr="00915417" w:rsidRDefault="00915417" w:rsidP="00915417">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915417">
              <w:rPr>
                <w:rFonts w:ascii="Verdana" w:hAnsi="Verdana" w:cs="Arial"/>
                <w:lang w:val="es-ES"/>
              </w:rPr>
              <w:t>Ley 80 de 1993, artículos 40 y 41</w:t>
            </w:r>
          </w:p>
          <w:p w14:paraId="2FA8AEDF" w14:textId="77777777" w:rsidR="00915417" w:rsidRPr="00915417" w:rsidRDefault="00915417" w:rsidP="00915417">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915417">
              <w:rPr>
                <w:rFonts w:ascii="Verdana" w:hAnsi="Verdana" w:cs="Arial"/>
              </w:rPr>
              <w:t>Ley 2056 de 2020, artículos 28 a 37, 83, 87, 98, 99, 101, 108 y 109</w:t>
            </w:r>
          </w:p>
          <w:p w14:paraId="75496EDC" w14:textId="77777777" w:rsidR="00915417" w:rsidRPr="00915417" w:rsidRDefault="00915417" w:rsidP="00915417">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915417">
              <w:rPr>
                <w:rFonts w:ascii="Verdana" w:eastAsia="Aptos" w:hAnsi="Verdana" w:cs="Arial"/>
              </w:rPr>
              <w:t>Consejo De Estado. Sección tercera. Sentencia del 7 de marzo de 2025. Radicación No.69.941. C.P: José Roberto Sáchica.</w:t>
            </w:r>
          </w:p>
        </w:tc>
      </w:tr>
    </w:tbl>
    <w:p w14:paraId="2ADCC5AF" w14:textId="77777777" w:rsidR="00915417" w:rsidRPr="00915417" w:rsidRDefault="00915417" w:rsidP="00915417">
      <w:pPr>
        <w:widowControl w:val="0"/>
        <w:autoSpaceDE w:val="0"/>
        <w:autoSpaceDN w:val="0"/>
        <w:spacing w:after="0" w:line="276" w:lineRule="auto"/>
        <w:jc w:val="both"/>
        <w:rPr>
          <w:rFonts w:ascii="Verdana" w:hAnsi="Verdana" w:cs="Arial"/>
        </w:rPr>
      </w:pPr>
    </w:p>
    <w:p w14:paraId="72989127" w14:textId="77777777" w:rsidR="00915417" w:rsidRPr="00915417" w:rsidRDefault="00915417" w:rsidP="00915417">
      <w:pPr>
        <w:numPr>
          <w:ilvl w:val="0"/>
          <w:numId w:val="1"/>
        </w:numPr>
        <w:tabs>
          <w:tab w:val="left" w:pos="142"/>
          <w:tab w:val="left" w:pos="284"/>
        </w:tabs>
        <w:spacing w:after="0" w:line="276" w:lineRule="auto"/>
        <w:jc w:val="both"/>
        <w:rPr>
          <w:rFonts w:ascii="Verdana" w:eastAsia="Century Gothic" w:hAnsi="Verdana" w:cs="Century Gothic"/>
          <w:b/>
          <w:bCs/>
        </w:rPr>
      </w:pPr>
      <w:r w:rsidRPr="00915417">
        <w:rPr>
          <w:rFonts w:ascii="Verdana" w:eastAsia="Century Gothic" w:hAnsi="Verdana" w:cs="Century Gothic"/>
          <w:b/>
          <w:bCs/>
        </w:rPr>
        <w:t>Doctrina de la Agencia Nacional de Contratación Pública:</w:t>
      </w:r>
    </w:p>
    <w:p w14:paraId="6205896A" w14:textId="77777777" w:rsidR="00915417" w:rsidRPr="00915417" w:rsidRDefault="00915417" w:rsidP="00915417">
      <w:pPr>
        <w:widowControl w:val="0"/>
        <w:autoSpaceDE w:val="0"/>
        <w:autoSpaceDN w:val="0"/>
        <w:spacing w:after="0" w:line="276" w:lineRule="auto"/>
        <w:jc w:val="both"/>
        <w:rPr>
          <w:rFonts w:ascii="Verdana" w:hAnsi="Verdana" w:cs="Arial"/>
        </w:rPr>
      </w:pPr>
    </w:p>
    <w:p w14:paraId="09759847" w14:textId="77777777" w:rsidR="00915417" w:rsidRPr="00915417" w:rsidRDefault="00915417" w:rsidP="00915417">
      <w:pPr>
        <w:widowControl w:val="0"/>
        <w:autoSpaceDE w:val="0"/>
        <w:autoSpaceDN w:val="0"/>
        <w:spacing w:after="120" w:line="276" w:lineRule="auto"/>
        <w:jc w:val="both"/>
        <w:rPr>
          <w:rFonts w:ascii="Verdana" w:hAnsi="Verdana" w:cs="Arial"/>
          <w:shd w:val="clear" w:color="auto" w:fill="FFFFFF"/>
        </w:rPr>
      </w:pPr>
      <w:r w:rsidRPr="00915417">
        <w:rPr>
          <w:rFonts w:ascii="Verdana" w:hAnsi="Verdana" w:cs="Arial"/>
          <w:shd w:val="clear" w:color="auto" w:fill="FFFFFF"/>
        </w:rPr>
        <w:t xml:space="preserve">Esta Subdirección se ha pronunciado sobre el régimen de contratación de las entidades ejecutoras cuando ejecutan recursos del SGR en los </w:t>
      </w:r>
      <w:r w:rsidRPr="00915417">
        <w:rPr>
          <w:rFonts w:ascii="Verdana" w:hAnsi="Verdana" w:cs="Arial"/>
        </w:rPr>
        <w:t>C-370 del 2021,</w:t>
      </w:r>
      <w:r w:rsidRPr="00915417">
        <w:rPr>
          <w:rFonts w:ascii="Verdana" w:hAnsi="Verdana" w:cs="Arial"/>
          <w:shd w:val="clear" w:color="auto" w:fill="FFFFFF"/>
        </w:rPr>
        <w:t xml:space="preserve"> C-353 del 2 de junio de 2022, C-918 del 9 de diciembre de 2024, C-951 del 16 de diciembre de 2024, C-285 del 14 de abril de 2025, C-348 del 25 de abril de 2025, C-370 del 2 de mayo de 2025 C-680 del 8 de julio de 2025 y C-914 del </w:t>
      </w:r>
      <w:r w:rsidRPr="00915417">
        <w:rPr>
          <w:rFonts w:ascii="Verdana" w:hAnsi="Verdana" w:cs="Arial"/>
          <w:shd w:val="clear" w:color="auto" w:fill="FFFFFF"/>
        </w:rPr>
        <w:lastRenderedPageBreak/>
        <w:t>15 de agosto de 2025</w:t>
      </w:r>
      <w:r w:rsidRPr="00915417">
        <w:rPr>
          <w:rFonts w:ascii="Verdana" w:eastAsia="Calibri" w:hAnsi="Verdana" w:cs="Times New Roman"/>
        </w:rPr>
        <w:t xml:space="preserve">. </w:t>
      </w:r>
      <w:r w:rsidRPr="00915417">
        <w:rPr>
          <w:rFonts w:ascii="Verdana" w:hAnsi="Verdana" w:cs="Arial"/>
          <w:shd w:val="clear" w:color="auto" w:fill="FFFFFF"/>
        </w:rPr>
        <w:t>Es</w:t>
      </w:r>
      <w:r w:rsidRPr="00915417">
        <w:rPr>
          <w:rFonts w:ascii="Verdana" w:hAnsi="Verdana"/>
        </w:rPr>
        <w:t>tos conceptos se encuentran disponibles para consulta en el Sistema de relatoría de la Agencia, al cual se puede acceder a través del siguiente enlace:</w:t>
      </w:r>
      <w:r w:rsidRPr="00915417">
        <w:rPr>
          <w:rFonts w:ascii="Verdana" w:hAnsi="Verdana" w:cs="Arial"/>
          <w:shd w:val="clear" w:color="auto" w:fill="FFFFFF"/>
        </w:rPr>
        <w:t xml:space="preserve"> </w:t>
      </w:r>
      <w:hyperlink r:id="rId13" w:history="1">
        <w:r w:rsidRPr="00915417">
          <w:rPr>
            <w:rFonts w:ascii="Verdana" w:hAnsi="Verdana" w:cs="Arial"/>
            <w:color w:val="0563C1" w:themeColor="hyperlink"/>
            <w:u w:val="single"/>
            <w:shd w:val="clear" w:color="auto" w:fill="FFFFFF"/>
          </w:rPr>
          <w:t>https://relatoria.colombiacompra.gov.co/busqueda/conceptos</w:t>
        </w:r>
      </w:hyperlink>
      <w:r w:rsidRPr="00915417">
        <w:rPr>
          <w:rFonts w:ascii="Verdana" w:hAnsi="Verdana" w:cs="Arial"/>
          <w:shd w:val="clear" w:color="auto" w:fill="FFFFFF"/>
        </w:rPr>
        <w:t>.</w:t>
      </w:r>
      <w:r w:rsidRPr="00915417">
        <w:rPr>
          <w:rFonts w:ascii="Verdana" w:hAnsi="Verdana" w:cs="Arial"/>
          <w:color w:val="FF0000"/>
          <w:shd w:val="clear" w:color="auto" w:fill="FFFFFF"/>
        </w:rPr>
        <w:t xml:space="preserve"> </w:t>
      </w:r>
      <w:r w:rsidRPr="00915417">
        <w:rPr>
          <w:rFonts w:ascii="Verdana" w:hAnsi="Verdana" w:cs="Arial"/>
          <w:color w:val="000000" w:themeColor="text1"/>
          <w:shd w:val="clear" w:color="auto" w:fill="FFFFFF"/>
        </w:rPr>
        <w:t> </w:t>
      </w:r>
    </w:p>
    <w:p w14:paraId="7F5F9D6D" w14:textId="77777777" w:rsidR="00915417" w:rsidRPr="00915417" w:rsidRDefault="00915417" w:rsidP="00915417">
      <w:pPr>
        <w:widowControl w:val="0"/>
        <w:autoSpaceDE w:val="0"/>
        <w:autoSpaceDN w:val="0"/>
        <w:spacing w:after="0" w:line="276" w:lineRule="auto"/>
        <w:jc w:val="both"/>
        <w:rPr>
          <w:rFonts w:ascii="Verdana" w:hAnsi="Verdana" w:cs="Arial"/>
        </w:rPr>
      </w:pPr>
      <w:r w:rsidRPr="0091541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227634C" w14:textId="77777777" w:rsidR="00915417" w:rsidRPr="00915417" w:rsidRDefault="00915417" w:rsidP="00915417">
      <w:pPr>
        <w:widowControl w:val="0"/>
        <w:autoSpaceDE w:val="0"/>
        <w:autoSpaceDN w:val="0"/>
        <w:spacing w:after="0" w:line="276" w:lineRule="auto"/>
        <w:jc w:val="both"/>
        <w:rPr>
          <w:rFonts w:ascii="Verdana" w:hAnsi="Verdana" w:cs="Arial"/>
        </w:rPr>
      </w:pPr>
    </w:p>
    <w:p w14:paraId="0C192877" w14:textId="77777777" w:rsidR="00915417" w:rsidRPr="00915417" w:rsidRDefault="00915417" w:rsidP="00915417">
      <w:pPr>
        <w:spacing w:after="0" w:line="276" w:lineRule="auto"/>
        <w:rPr>
          <w:rFonts w:ascii="Verdana" w:hAnsi="Verdana" w:cs="Arial"/>
          <w:lang w:eastAsia="es-CO"/>
        </w:rPr>
      </w:pPr>
      <w:r w:rsidRPr="00915417">
        <w:rPr>
          <w:rFonts w:ascii="Verdana" w:eastAsia="Times New Roman" w:hAnsi="Verdana" w:cs="Arial"/>
          <w:lang w:eastAsia="es-CO"/>
        </w:rPr>
        <w:t>Atentamente,</w:t>
      </w:r>
      <w:r w:rsidRPr="00915417">
        <w:rPr>
          <w:rFonts w:ascii="Verdana" w:hAnsi="Verdana" w:cs="Arial"/>
          <w:lang w:eastAsia="es-CO"/>
        </w:rPr>
        <w:t xml:space="preserve"> </w:t>
      </w:r>
    </w:p>
    <w:p w14:paraId="3C320624" w14:textId="13F6C707" w:rsidR="00915417" w:rsidRPr="00915417" w:rsidRDefault="00402A2B" w:rsidP="00915417">
      <w:pPr>
        <w:spacing w:line="276" w:lineRule="auto"/>
        <w:jc w:val="center"/>
        <w:rPr>
          <w:rFonts w:ascii="Verdana" w:hAnsi="Verdana" w:cs="Arial"/>
          <w:color w:val="000000"/>
          <w:lang w:eastAsia="es-CO"/>
        </w:rPr>
      </w:pPr>
      <w:r>
        <w:rPr>
          <w:noProof/>
        </w:rPr>
        <w:drawing>
          <wp:inline distT="0" distB="0" distL="0" distR="0" wp14:anchorId="7D3E1967" wp14:editId="526177A8">
            <wp:extent cx="3462655" cy="1285240"/>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a:picLocks noChangeAspect="1"/>
                    </pic:cNvPicPr>
                  </pic:nvPicPr>
                  <pic:blipFill>
                    <a:blip r:embed="rId14"/>
                    <a:stretch>
                      <a:fillRect/>
                    </a:stretch>
                  </pic:blipFill>
                  <pic:spPr>
                    <a:xfrm>
                      <a:off x="0" y="0"/>
                      <a:ext cx="3462655" cy="128524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5417" w:rsidRPr="00915417" w14:paraId="2C762671" w14:textId="77777777" w:rsidTr="00175823">
        <w:trPr>
          <w:trHeight w:val="315"/>
        </w:trPr>
        <w:tc>
          <w:tcPr>
            <w:tcW w:w="893" w:type="dxa"/>
            <w:vAlign w:val="center"/>
            <w:hideMark/>
          </w:tcPr>
          <w:p w14:paraId="662273A9" w14:textId="77777777" w:rsidR="00915417" w:rsidRPr="00915417" w:rsidRDefault="00915417" w:rsidP="00915417">
            <w:pPr>
              <w:contextualSpacing/>
              <w:rPr>
                <w:rFonts w:ascii="Verdana" w:hAnsi="Verdana" w:cs="Arial"/>
                <w:sz w:val="16"/>
                <w:szCs w:val="16"/>
                <w:lang w:eastAsia="es-ES"/>
              </w:rPr>
            </w:pPr>
            <w:r w:rsidRPr="0091541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2BBF967" w14:textId="77777777" w:rsidR="00915417" w:rsidRPr="00915417" w:rsidRDefault="00915417" w:rsidP="00915417">
            <w:pPr>
              <w:contextualSpacing/>
              <w:rPr>
                <w:rFonts w:ascii="Verdana" w:hAnsi="Verdana"/>
                <w:sz w:val="16"/>
                <w:szCs w:val="16"/>
              </w:rPr>
            </w:pPr>
            <w:r w:rsidRPr="00915417">
              <w:rPr>
                <w:rFonts w:ascii="Verdana" w:hAnsi="Verdana"/>
                <w:sz w:val="16"/>
                <w:szCs w:val="16"/>
              </w:rPr>
              <w:t>Tatiana Baquero Iguarán</w:t>
            </w:r>
          </w:p>
          <w:p w14:paraId="105BCA8C" w14:textId="77777777" w:rsidR="00915417" w:rsidRPr="00915417" w:rsidRDefault="00915417" w:rsidP="00915417">
            <w:pPr>
              <w:contextualSpacing/>
              <w:rPr>
                <w:rFonts w:ascii="Verdana" w:eastAsia="Arial" w:hAnsi="Verdana" w:cs="Arial"/>
                <w:sz w:val="16"/>
                <w:szCs w:val="16"/>
              </w:rPr>
            </w:pPr>
            <w:r w:rsidRPr="00915417">
              <w:rPr>
                <w:rFonts w:ascii="Verdana" w:hAnsi="Verdana"/>
                <w:sz w:val="16"/>
                <w:szCs w:val="16"/>
              </w:rPr>
              <w:t>Contratista de la Subdirección de Gestión Contractual</w:t>
            </w:r>
          </w:p>
        </w:tc>
      </w:tr>
      <w:tr w:rsidR="00915417" w:rsidRPr="00915417" w14:paraId="56626CC3" w14:textId="77777777" w:rsidTr="00175823">
        <w:trPr>
          <w:trHeight w:val="330"/>
        </w:trPr>
        <w:tc>
          <w:tcPr>
            <w:tcW w:w="893" w:type="dxa"/>
            <w:vAlign w:val="center"/>
            <w:hideMark/>
          </w:tcPr>
          <w:p w14:paraId="4BAD7EC3" w14:textId="77777777" w:rsidR="00915417" w:rsidRPr="00915417" w:rsidRDefault="00915417" w:rsidP="00915417">
            <w:pPr>
              <w:contextualSpacing/>
              <w:rPr>
                <w:rFonts w:ascii="Verdana" w:hAnsi="Verdana" w:cs="Arial"/>
                <w:sz w:val="16"/>
                <w:szCs w:val="16"/>
                <w:lang w:eastAsia="es-ES"/>
              </w:rPr>
            </w:pPr>
            <w:r w:rsidRPr="0091541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E4E424" w14:textId="77777777" w:rsidR="00915417" w:rsidRPr="00915417" w:rsidRDefault="00915417" w:rsidP="00915417">
            <w:pPr>
              <w:textAlignment w:val="baseline"/>
              <w:rPr>
                <w:rFonts w:ascii="Verdana" w:eastAsia="Times New Roman" w:hAnsi="Verdana" w:cs="Arial"/>
                <w:sz w:val="16"/>
                <w:szCs w:val="16"/>
                <w:lang w:val="es-MX" w:eastAsia="es-CO"/>
              </w:rPr>
            </w:pPr>
            <w:r w:rsidRPr="00915417">
              <w:rPr>
                <w:rFonts w:ascii="Verdana" w:eastAsia="Times New Roman" w:hAnsi="Verdana" w:cs="Arial"/>
                <w:sz w:val="16"/>
                <w:szCs w:val="16"/>
                <w:lang w:val="es-MX" w:eastAsia="es-CO"/>
              </w:rPr>
              <w:t>Alejandro Raúl Sarmiento Cantillo</w:t>
            </w:r>
          </w:p>
          <w:p w14:paraId="3D112919" w14:textId="77777777" w:rsidR="00915417" w:rsidRPr="00915417" w:rsidRDefault="00915417" w:rsidP="00915417">
            <w:pPr>
              <w:spacing w:before="100" w:beforeAutospacing="1" w:after="100" w:afterAutospacing="1"/>
              <w:contextualSpacing/>
              <w:textAlignment w:val="baseline"/>
              <w:rPr>
                <w:rFonts w:ascii="Verdana" w:eastAsia="Times New Roman" w:hAnsi="Verdana" w:cs="Segoe UI"/>
                <w:sz w:val="16"/>
                <w:szCs w:val="16"/>
                <w:lang w:eastAsia="es-ES_tradnl"/>
              </w:rPr>
            </w:pPr>
            <w:r w:rsidRPr="00915417">
              <w:rPr>
                <w:rFonts w:ascii="Verdana" w:eastAsia="Times New Roman" w:hAnsi="Verdana" w:cs="Arial"/>
                <w:sz w:val="16"/>
                <w:szCs w:val="16"/>
                <w:lang w:val="es-MX" w:eastAsia="es-CO"/>
              </w:rPr>
              <w:t>Gestor T1-15 de la Subdirección de Gestión Contractual</w:t>
            </w:r>
          </w:p>
        </w:tc>
      </w:tr>
      <w:tr w:rsidR="00915417" w:rsidRPr="00915417" w14:paraId="2D0668DF" w14:textId="77777777" w:rsidTr="00175823">
        <w:trPr>
          <w:trHeight w:val="300"/>
        </w:trPr>
        <w:tc>
          <w:tcPr>
            <w:tcW w:w="893" w:type="dxa"/>
            <w:vAlign w:val="center"/>
          </w:tcPr>
          <w:p w14:paraId="18F35606" w14:textId="77777777" w:rsidR="00915417" w:rsidRPr="00915417" w:rsidRDefault="00915417" w:rsidP="00915417">
            <w:pPr>
              <w:contextualSpacing/>
              <w:rPr>
                <w:rFonts w:ascii="Verdana" w:hAnsi="Verdana" w:cs="Arial"/>
                <w:sz w:val="16"/>
                <w:szCs w:val="16"/>
                <w:lang w:eastAsia="es-ES"/>
              </w:rPr>
            </w:pPr>
            <w:r w:rsidRPr="0091541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37EE35" w14:textId="77777777" w:rsidR="00915417" w:rsidRPr="00915417" w:rsidRDefault="00915417" w:rsidP="00915417">
            <w:pPr>
              <w:contextualSpacing/>
              <w:rPr>
                <w:rFonts w:ascii="Verdana" w:eastAsia="Calibri" w:hAnsi="Verdana" w:cs="Arial"/>
                <w:sz w:val="16"/>
                <w:szCs w:val="16"/>
                <w:lang w:eastAsia="es-ES"/>
              </w:rPr>
            </w:pPr>
            <w:r w:rsidRPr="00915417">
              <w:rPr>
                <w:rFonts w:ascii="Verdana" w:eastAsia="Calibri" w:hAnsi="Verdana" w:cs="Arial"/>
                <w:sz w:val="16"/>
                <w:szCs w:val="16"/>
                <w:lang w:eastAsia="es-ES"/>
              </w:rPr>
              <w:t xml:space="preserve">Carolina Quintero </w:t>
            </w:r>
            <w:proofErr w:type="spellStart"/>
            <w:r w:rsidRPr="00915417">
              <w:rPr>
                <w:rFonts w:ascii="Verdana" w:eastAsia="Calibri" w:hAnsi="Verdana" w:cs="Arial"/>
                <w:sz w:val="16"/>
                <w:szCs w:val="16"/>
                <w:lang w:eastAsia="es-ES"/>
              </w:rPr>
              <w:t>Gacharná</w:t>
            </w:r>
            <w:proofErr w:type="spellEnd"/>
          </w:p>
          <w:p w14:paraId="5EBA52C6" w14:textId="77777777" w:rsidR="00915417" w:rsidRPr="00915417" w:rsidRDefault="00915417" w:rsidP="00915417">
            <w:pPr>
              <w:contextualSpacing/>
              <w:rPr>
                <w:rFonts w:ascii="Verdana" w:eastAsia="Calibri" w:hAnsi="Verdana" w:cs="Arial"/>
                <w:sz w:val="16"/>
                <w:szCs w:val="16"/>
                <w:lang w:eastAsia="es-ES"/>
              </w:rPr>
            </w:pPr>
            <w:r w:rsidRPr="00915417">
              <w:rPr>
                <w:rFonts w:ascii="Verdana" w:eastAsia="Calibri" w:hAnsi="Verdana" w:cs="Arial"/>
                <w:sz w:val="16"/>
                <w:szCs w:val="16"/>
                <w:lang w:eastAsia="es-ES"/>
              </w:rPr>
              <w:t>Subdirectora de Gestión Contractual ANCP – CCE</w:t>
            </w:r>
          </w:p>
        </w:tc>
      </w:tr>
    </w:tbl>
    <w:p w14:paraId="69F1FEE9" w14:textId="77777777" w:rsidR="00915417" w:rsidRPr="00915417" w:rsidRDefault="00915417" w:rsidP="00915417">
      <w:pPr>
        <w:spacing w:after="0" w:line="240" w:lineRule="auto"/>
        <w:rPr>
          <w:rFonts w:ascii="Verdana" w:eastAsia="Aptos" w:hAnsi="Verdana" w:cs="Times New Roman"/>
          <w:sz w:val="20"/>
          <w:szCs w:val="20"/>
        </w:rPr>
      </w:pPr>
    </w:p>
    <w:p w14:paraId="03CD30ED" w14:textId="77777777" w:rsidR="00915417" w:rsidRPr="00915417" w:rsidRDefault="00915417" w:rsidP="00915417">
      <w:pPr>
        <w:spacing w:after="0" w:line="240" w:lineRule="auto"/>
        <w:rPr>
          <w:rFonts w:ascii="Verdana" w:eastAsia="Geomanist Light" w:hAnsi="Verdana" w:cs="Arial"/>
          <w:color w:val="000000" w:themeColor="text1"/>
        </w:rPr>
      </w:pPr>
    </w:p>
    <w:bookmarkEnd w:id="0"/>
    <w:p w14:paraId="71DAA65F" w14:textId="77777777" w:rsidR="00915417" w:rsidRPr="00915417" w:rsidRDefault="00915417" w:rsidP="00915417"/>
    <w:p w14:paraId="6C2D8624" w14:textId="77777777" w:rsidR="00915417" w:rsidRPr="00915417" w:rsidRDefault="00915417" w:rsidP="00915417"/>
    <w:p w14:paraId="29800831" w14:textId="77777777" w:rsidR="00915417" w:rsidRPr="00915417" w:rsidRDefault="00915417" w:rsidP="00915417"/>
    <w:p w14:paraId="2E980930" w14:textId="77777777" w:rsidR="001F2DB5" w:rsidRPr="00915417" w:rsidRDefault="001F2DB5" w:rsidP="00915417"/>
    <w:sectPr w:rsidR="001F2DB5" w:rsidRPr="00915417"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F7C08" w14:textId="77777777" w:rsidR="002C1528" w:rsidRPr="009B7987" w:rsidRDefault="002C1528" w:rsidP="00B30448">
      <w:pPr>
        <w:spacing w:after="0" w:line="240" w:lineRule="auto"/>
      </w:pPr>
      <w:r w:rsidRPr="009B7987">
        <w:separator/>
      </w:r>
    </w:p>
  </w:endnote>
  <w:endnote w:type="continuationSeparator" w:id="0">
    <w:p w14:paraId="65AC20AB" w14:textId="77777777" w:rsidR="002C1528" w:rsidRPr="009B7987" w:rsidRDefault="002C1528" w:rsidP="00B30448">
      <w:pPr>
        <w:spacing w:after="0" w:line="240" w:lineRule="auto"/>
      </w:pPr>
      <w:r w:rsidRPr="009B7987">
        <w:continuationSeparator/>
      </w:r>
    </w:p>
  </w:endnote>
  <w:endnote w:type="continuationNotice" w:id="1">
    <w:p w14:paraId="76EF4F24" w14:textId="77777777" w:rsidR="002C1528" w:rsidRPr="009B7987" w:rsidRDefault="002C15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76EA" w14:textId="77777777" w:rsidR="002C1528" w:rsidRPr="009B7987" w:rsidRDefault="002C1528" w:rsidP="00B30448">
      <w:pPr>
        <w:spacing w:after="0" w:line="240" w:lineRule="auto"/>
      </w:pPr>
      <w:r w:rsidRPr="009B7987">
        <w:separator/>
      </w:r>
    </w:p>
  </w:footnote>
  <w:footnote w:type="continuationSeparator" w:id="0">
    <w:p w14:paraId="06EE7BEC" w14:textId="77777777" w:rsidR="002C1528" w:rsidRPr="009B7987" w:rsidRDefault="002C1528" w:rsidP="00B30448">
      <w:pPr>
        <w:spacing w:after="0" w:line="240" w:lineRule="auto"/>
      </w:pPr>
      <w:r w:rsidRPr="009B7987">
        <w:continuationSeparator/>
      </w:r>
    </w:p>
  </w:footnote>
  <w:footnote w:type="continuationNotice" w:id="1">
    <w:p w14:paraId="6432F3E4" w14:textId="77777777" w:rsidR="002C1528" w:rsidRPr="009B7987" w:rsidRDefault="002C1528">
      <w:pPr>
        <w:spacing w:after="0" w:line="240" w:lineRule="auto"/>
      </w:pPr>
    </w:p>
  </w:footnote>
  <w:footnote w:id="2">
    <w:p w14:paraId="7F3DE7E2" w14:textId="77777777" w:rsidR="00915417" w:rsidRPr="00591347" w:rsidRDefault="00915417" w:rsidP="00915417">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04F5D213" w14:textId="77777777" w:rsidR="00915417" w:rsidRPr="00591347" w:rsidRDefault="00915417" w:rsidP="00915417">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6588D7E0" w14:textId="77777777" w:rsidR="00915417" w:rsidRPr="00591347" w:rsidRDefault="00915417" w:rsidP="00915417">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4DCE9653" w14:textId="77777777" w:rsidR="00915417" w:rsidRPr="00591347" w:rsidRDefault="00915417" w:rsidP="00915417">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969C1DA" w14:textId="77777777" w:rsidR="00915417" w:rsidRPr="00591347" w:rsidRDefault="00915417" w:rsidP="00915417">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393E778D" w14:textId="77777777" w:rsidR="00915417" w:rsidRPr="00591347" w:rsidRDefault="00915417" w:rsidP="00915417">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C7D2E45" w14:textId="77777777" w:rsidR="00915417" w:rsidRPr="00591347" w:rsidRDefault="00915417" w:rsidP="00915417">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5964E2EF" w14:textId="77777777" w:rsidR="00915417" w:rsidRDefault="00915417" w:rsidP="00915417">
      <w:pPr>
        <w:spacing w:after="0" w:line="240" w:lineRule="auto"/>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Pr>
          <w:rFonts w:ascii="Verdana" w:hAnsi="Verdana"/>
          <w:spacing w:val="-15"/>
          <w:sz w:val="14"/>
          <w:szCs w:val="14"/>
        </w:rPr>
        <w:t xml:space="preserve"> </w:t>
      </w:r>
      <w:r>
        <w:rPr>
          <w:rFonts w:ascii="Verdana" w:hAnsi="Verdana"/>
          <w:sz w:val="14"/>
          <w:szCs w:val="14"/>
        </w:rPr>
        <w:t>y comerciales estatales y de las sociedades de economía mixta, con excepción de los contratos que a título enunciativo identifica el artículo 32 de esta ley”, o sea, los de obra, consultoría, prestación de servicios,</w:t>
      </w:r>
      <w:r>
        <w:rPr>
          <w:rFonts w:ascii="Verdana" w:hAnsi="Verdana"/>
          <w:spacing w:val="-7"/>
          <w:sz w:val="14"/>
          <w:szCs w:val="14"/>
        </w:rPr>
        <w:t xml:space="preserve"> </w:t>
      </w:r>
      <w:r>
        <w:rPr>
          <w:rFonts w:ascii="Verdana" w:hAnsi="Verdana"/>
          <w:sz w:val="14"/>
          <w:szCs w:val="14"/>
        </w:rPr>
        <w:t>concesión,</w:t>
      </w:r>
      <w:r>
        <w:rPr>
          <w:rFonts w:ascii="Verdana" w:hAnsi="Verdana"/>
          <w:spacing w:val="-7"/>
          <w:sz w:val="14"/>
          <w:szCs w:val="14"/>
        </w:rPr>
        <w:t xml:space="preserve"> </w:t>
      </w:r>
      <w:r>
        <w:rPr>
          <w:rFonts w:ascii="Verdana" w:hAnsi="Verdana"/>
          <w:sz w:val="14"/>
          <w:szCs w:val="14"/>
        </w:rPr>
        <w:t>encargos</w:t>
      </w:r>
      <w:r>
        <w:rPr>
          <w:rFonts w:ascii="Verdana" w:hAnsi="Verdana"/>
          <w:spacing w:val="-7"/>
          <w:sz w:val="14"/>
          <w:szCs w:val="14"/>
        </w:rPr>
        <w:t xml:space="preserve"> </w:t>
      </w:r>
      <w:r>
        <w:rPr>
          <w:rFonts w:ascii="Verdana" w:hAnsi="Verdana"/>
          <w:sz w:val="14"/>
          <w:szCs w:val="14"/>
        </w:rPr>
        <w:t>fiduciarios</w:t>
      </w:r>
      <w:r>
        <w:rPr>
          <w:rFonts w:ascii="Verdana" w:hAnsi="Verdana"/>
          <w:spacing w:val="-7"/>
          <w:sz w:val="14"/>
          <w:szCs w:val="14"/>
        </w:rPr>
        <w:t xml:space="preserve"> </w:t>
      </w:r>
      <w:r>
        <w:rPr>
          <w:rFonts w:ascii="Verdana" w:hAnsi="Verdana"/>
          <w:sz w:val="14"/>
          <w:szCs w:val="14"/>
        </w:rPr>
        <w:t>y</w:t>
      </w:r>
      <w:r>
        <w:rPr>
          <w:rFonts w:ascii="Verdana" w:hAnsi="Verdana"/>
          <w:spacing w:val="-8"/>
          <w:sz w:val="14"/>
          <w:szCs w:val="14"/>
        </w:rPr>
        <w:t xml:space="preserve"> </w:t>
      </w:r>
      <w:r>
        <w:rPr>
          <w:rFonts w:ascii="Verdana" w:hAnsi="Verdana"/>
          <w:sz w:val="14"/>
          <w:szCs w:val="14"/>
        </w:rPr>
        <w:t>fiducia</w:t>
      </w:r>
      <w:r>
        <w:rPr>
          <w:rFonts w:ascii="Verdana" w:hAnsi="Verdana"/>
          <w:spacing w:val="-9"/>
          <w:sz w:val="14"/>
          <w:szCs w:val="14"/>
        </w:rPr>
        <w:t xml:space="preserve"> </w:t>
      </w:r>
      <w:r>
        <w:rPr>
          <w:rFonts w:ascii="Verdana" w:hAnsi="Verdana"/>
          <w:sz w:val="14"/>
          <w:szCs w:val="14"/>
        </w:rPr>
        <w:t>pública,</w:t>
      </w:r>
      <w:r>
        <w:rPr>
          <w:rFonts w:ascii="Verdana" w:hAnsi="Verdana"/>
          <w:spacing w:val="-7"/>
          <w:sz w:val="14"/>
          <w:szCs w:val="14"/>
        </w:rPr>
        <w:t xml:space="preserve"> </w:t>
      </w:r>
      <w:r>
        <w:rPr>
          <w:rFonts w:ascii="Verdana" w:hAnsi="Verdana"/>
          <w:sz w:val="14"/>
          <w:szCs w:val="14"/>
        </w:rPr>
        <w:t>que</w:t>
      </w:r>
      <w:r>
        <w:rPr>
          <w:rFonts w:ascii="Verdana" w:hAnsi="Verdana"/>
          <w:spacing w:val="-13"/>
          <w:sz w:val="14"/>
          <w:szCs w:val="14"/>
        </w:rPr>
        <w:t xml:space="preserve"> </w:t>
      </w:r>
      <w:r>
        <w:rPr>
          <w:rFonts w:ascii="Verdana" w:hAnsi="Verdana"/>
          <w:sz w:val="14"/>
          <w:szCs w:val="14"/>
        </w:rPr>
        <w:t>se</w:t>
      </w:r>
      <w:r>
        <w:rPr>
          <w:rFonts w:ascii="Verdana" w:hAnsi="Verdana"/>
          <w:spacing w:val="-8"/>
          <w:sz w:val="14"/>
          <w:szCs w:val="14"/>
        </w:rPr>
        <w:t xml:space="preserve"> </w:t>
      </w:r>
      <w:r>
        <w:rPr>
          <w:rFonts w:ascii="Verdana" w:hAnsi="Verdana"/>
          <w:sz w:val="14"/>
          <w:szCs w:val="14"/>
        </w:rPr>
        <w:t>regirían</w:t>
      </w:r>
      <w:r>
        <w:rPr>
          <w:rFonts w:ascii="Verdana" w:hAnsi="Verdana"/>
          <w:spacing w:val="-9"/>
          <w:sz w:val="14"/>
          <w:szCs w:val="14"/>
        </w:rPr>
        <w:t xml:space="preserve"> </w:t>
      </w:r>
      <w:r>
        <w:rPr>
          <w:rFonts w:ascii="Verdana" w:hAnsi="Verdana"/>
          <w:sz w:val="14"/>
          <w:szCs w:val="14"/>
        </w:rPr>
        <w:t>por</w:t>
      </w:r>
      <w:r>
        <w:rPr>
          <w:rFonts w:ascii="Verdana" w:hAnsi="Verdana"/>
          <w:spacing w:val="-7"/>
          <w:sz w:val="14"/>
          <w:szCs w:val="14"/>
        </w:rPr>
        <w:t xml:space="preserve"> </w:t>
      </w:r>
      <w:r>
        <w:rPr>
          <w:rFonts w:ascii="Verdana" w:hAnsi="Verdana"/>
          <w:sz w:val="14"/>
          <w:szCs w:val="14"/>
        </w:rPr>
        <w:t>la</w:t>
      </w:r>
      <w:r>
        <w:rPr>
          <w:rFonts w:ascii="Verdana" w:hAnsi="Verdana"/>
          <w:spacing w:val="-9"/>
          <w:sz w:val="14"/>
          <w:szCs w:val="14"/>
        </w:rPr>
        <w:t xml:space="preserve"> </w:t>
      </w:r>
      <w:r>
        <w:rPr>
          <w:rFonts w:ascii="Verdana" w:hAnsi="Verdana"/>
          <w:sz w:val="14"/>
          <w:szCs w:val="14"/>
        </w:rPr>
        <w:t>regla</w:t>
      </w:r>
      <w:r>
        <w:rPr>
          <w:rFonts w:ascii="Verdana" w:hAnsi="Verdana"/>
          <w:spacing w:val="-9"/>
          <w:sz w:val="14"/>
          <w:szCs w:val="14"/>
        </w:rPr>
        <w:t xml:space="preserve"> </w:t>
      </w:r>
      <w:r>
        <w:rPr>
          <w:rFonts w:ascii="Verdana" w:hAnsi="Verdana"/>
          <w:sz w:val="14"/>
          <w:szCs w:val="14"/>
        </w:rPr>
        <w:t>general,</w:t>
      </w:r>
      <w:r>
        <w:rPr>
          <w:rFonts w:ascii="Verdana" w:hAnsi="Verdana"/>
          <w:spacing w:val="-7"/>
          <w:sz w:val="14"/>
          <w:szCs w:val="14"/>
        </w:rPr>
        <w:t xml:space="preserve"> </w:t>
      </w:r>
      <w:r>
        <w:rPr>
          <w:rFonts w:ascii="Verdana" w:hAnsi="Verdana"/>
          <w:sz w:val="14"/>
          <w:szCs w:val="14"/>
        </w:rPr>
        <w:t>salvo</w:t>
      </w:r>
      <w:r>
        <w:rPr>
          <w:rFonts w:ascii="Verdana" w:hAnsi="Verdana"/>
          <w:spacing w:val="-10"/>
          <w:sz w:val="14"/>
          <w:szCs w:val="14"/>
        </w:rPr>
        <w:t xml:space="preserve"> </w:t>
      </w:r>
      <w:r>
        <w:rPr>
          <w:rFonts w:ascii="Verdana" w:hAnsi="Verdana"/>
          <w:sz w:val="14"/>
          <w:szCs w:val="14"/>
        </w:rPr>
        <w:t>los</w:t>
      </w:r>
      <w:r>
        <w:rPr>
          <w:rFonts w:ascii="Verdana" w:hAnsi="Verdana"/>
          <w:spacing w:val="-7"/>
          <w:sz w:val="14"/>
          <w:szCs w:val="14"/>
        </w:rPr>
        <w:t xml:space="preserve"> </w:t>
      </w:r>
      <w:r>
        <w:rPr>
          <w:rFonts w:ascii="Verdana" w:hAnsi="Verdana"/>
          <w:sz w:val="14"/>
          <w:szCs w:val="14"/>
        </w:rPr>
        <w:t>casos de</w:t>
      </w:r>
      <w:r>
        <w:rPr>
          <w:rFonts w:ascii="Verdana" w:hAnsi="Verdana"/>
          <w:spacing w:val="-2"/>
          <w:sz w:val="14"/>
          <w:szCs w:val="14"/>
        </w:rPr>
        <w:t xml:space="preserve"> </w:t>
      </w:r>
      <w:r>
        <w:rPr>
          <w:rFonts w:ascii="Verdana" w:hAnsi="Verdana"/>
          <w:sz w:val="14"/>
          <w:szCs w:val="14"/>
        </w:rPr>
        <w:t>menor cuantía –previstos en el ordinal a), numeral 1 del artículo 24, original, de la Ley 80 de 1993</w:t>
      </w:r>
      <w:r>
        <w:rPr>
          <w:rFonts w:ascii="Verdana" w:hAnsi="Verdana"/>
          <w:spacing w:val="-15"/>
          <w:sz w:val="14"/>
          <w:szCs w:val="14"/>
        </w:rPr>
        <w:t xml:space="preserve"> </w:t>
      </w:r>
      <w:r>
        <w:rPr>
          <w:rFonts w:ascii="Verdana" w:hAnsi="Verdana"/>
          <w:sz w:val="14"/>
          <w:szCs w:val="14"/>
        </w:rPr>
        <w:t>–. Además,</w:t>
      </w:r>
      <w:r>
        <w:rPr>
          <w:rFonts w:ascii="Verdana" w:hAnsi="Verdana"/>
          <w:spacing w:val="-1"/>
          <w:sz w:val="14"/>
          <w:szCs w:val="14"/>
        </w:rPr>
        <w:t xml:space="preserve"> </w:t>
      </w:r>
      <w:r>
        <w:rPr>
          <w:rFonts w:ascii="Verdana" w:hAnsi="Verdana"/>
          <w:sz w:val="14"/>
          <w:szCs w:val="14"/>
        </w:rPr>
        <w:t>en</w:t>
      </w:r>
      <w:r>
        <w:rPr>
          <w:rFonts w:ascii="Verdana" w:hAnsi="Verdana"/>
          <w:spacing w:val="-5"/>
          <w:sz w:val="14"/>
          <w:szCs w:val="14"/>
        </w:rPr>
        <w:t xml:space="preserve"> </w:t>
      </w:r>
      <w:r>
        <w:rPr>
          <w:rFonts w:ascii="Verdana" w:hAnsi="Verdana"/>
          <w:sz w:val="14"/>
          <w:szCs w:val="14"/>
        </w:rPr>
        <w:t>el</w:t>
      </w:r>
      <w:r>
        <w:rPr>
          <w:rFonts w:ascii="Verdana" w:hAnsi="Verdana"/>
          <w:spacing w:val="-2"/>
          <w:sz w:val="14"/>
          <w:szCs w:val="14"/>
        </w:rPr>
        <w:t xml:space="preserve"> </w:t>
      </w:r>
      <w:r>
        <w:rPr>
          <w:rFonts w:ascii="Verdana" w:hAnsi="Verdana"/>
          <w:sz w:val="14"/>
          <w:szCs w:val="14"/>
        </w:rPr>
        <w:t>parágrafo</w:t>
      </w:r>
      <w:r>
        <w:rPr>
          <w:rFonts w:ascii="Verdana" w:hAnsi="Verdana"/>
          <w:spacing w:val="-5"/>
          <w:sz w:val="14"/>
          <w:szCs w:val="14"/>
        </w:rPr>
        <w:t xml:space="preserve"> </w:t>
      </w:r>
      <w:r>
        <w:rPr>
          <w:rFonts w:ascii="Verdana" w:hAnsi="Verdana"/>
          <w:sz w:val="14"/>
          <w:szCs w:val="14"/>
        </w:rPr>
        <w:t>del</w:t>
      </w:r>
      <w:r>
        <w:rPr>
          <w:rFonts w:ascii="Verdana" w:hAnsi="Verdana"/>
          <w:spacing w:val="-2"/>
          <w:sz w:val="14"/>
          <w:szCs w:val="14"/>
        </w:rPr>
        <w:t xml:space="preserve"> </w:t>
      </w:r>
      <w:r>
        <w:rPr>
          <w:rFonts w:ascii="Verdana" w:hAnsi="Verdana"/>
          <w:sz w:val="14"/>
          <w:szCs w:val="14"/>
        </w:rPr>
        <w:t>artículo</w:t>
      </w:r>
      <w:r>
        <w:rPr>
          <w:rFonts w:ascii="Verdana" w:hAnsi="Verdana"/>
          <w:spacing w:val="-5"/>
          <w:sz w:val="14"/>
          <w:szCs w:val="14"/>
        </w:rPr>
        <w:t xml:space="preserve"> </w:t>
      </w:r>
      <w:r>
        <w:rPr>
          <w:rFonts w:ascii="Verdana" w:hAnsi="Verdana"/>
          <w:sz w:val="14"/>
          <w:szCs w:val="14"/>
        </w:rPr>
        <w:t>14</w:t>
      </w:r>
      <w:r>
        <w:rPr>
          <w:rFonts w:ascii="Verdana" w:hAnsi="Verdana"/>
          <w:spacing w:val="-5"/>
          <w:sz w:val="14"/>
          <w:szCs w:val="14"/>
        </w:rPr>
        <w:t xml:space="preserve"> </w:t>
      </w:r>
      <w:r>
        <w:rPr>
          <w:rFonts w:ascii="Verdana" w:hAnsi="Verdana"/>
          <w:sz w:val="14"/>
          <w:szCs w:val="14"/>
        </w:rPr>
        <w:t>de</w:t>
      </w:r>
      <w:r>
        <w:rPr>
          <w:rFonts w:ascii="Verdana" w:hAnsi="Verdana"/>
          <w:spacing w:val="-3"/>
          <w:sz w:val="14"/>
          <w:szCs w:val="14"/>
        </w:rPr>
        <w:t xml:space="preserve"> </w:t>
      </w:r>
      <w:r>
        <w:rPr>
          <w:rFonts w:ascii="Verdana" w:hAnsi="Verdana"/>
          <w:sz w:val="14"/>
          <w:szCs w:val="14"/>
        </w:rPr>
        <w:t>la</w:t>
      </w:r>
      <w:r>
        <w:rPr>
          <w:rFonts w:ascii="Verdana" w:hAnsi="Verdana"/>
          <w:spacing w:val="-4"/>
          <w:sz w:val="14"/>
          <w:szCs w:val="14"/>
        </w:rPr>
        <w:t xml:space="preserve"> </w:t>
      </w:r>
      <w:r>
        <w:rPr>
          <w:rFonts w:ascii="Verdana" w:hAnsi="Verdana"/>
          <w:sz w:val="14"/>
          <w:szCs w:val="14"/>
        </w:rPr>
        <w:t>Ley</w:t>
      </w:r>
      <w:r>
        <w:rPr>
          <w:rFonts w:ascii="Verdana" w:hAnsi="Verdana"/>
          <w:spacing w:val="-3"/>
          <w:sz w:val="14"/>
          <w:szCs w:val="14"/>
        </w:rPr>
        <w:t xml:space="preserve"> </w:t>
      </w:r>
      <w:r>
        <w:rPr>
          <w:rFonts w:ascii="Verdana" w:hAnsi="Verdana"/>
          <w:sz w:val="14"/>
          <w:szCs w:val="14"/>
        </w:rPr>
        <w:t>80</w:t>
      </w:r>
      <w:r>
        <w:rPr>
          <w:rFonts w:ascii="Verdana" w:hAnsi="Verdana"/>
          <w:spacing w:val="-5"/>
          <w:sz w:val="14"/>
          <w:szCs w:val="14"/>
        </w:rPr>
        <w:t xml:space="preserve"> </w:t>
      </w:r>
      <w:r>
        <w:rPr>
          <w:rFonts w:ascii="Verdana" w:hAnsi="Verdana"/>
          <w:sz w:val="14"/>
          <w:szCs w:val="14"/>
        </w:rPr>
        <w:t>de</w:t>
      </w:r>
      <w:r>
        <w:rPr>
          <w:rFonts w:ascii="Verdana" w:hAnsi="Verdana"/>
          <w:spacing w:val="-3"/>
          <w:sz w:val="14"/>
          <w:szCs w:val="14"/>
        </w:rPr>
        <w:t xml:space="preserve"> </w:t>
      </w:r>
      <w:r>
        <w:rPr>
          <w:rFonts w:ascii="Verdana" w:hAnsi="Verdana"/>
          <w:sz w:val="14"/>
          <w:szCs w:val="14"/>
        </w:rPr>
        <w:t>1993,</w:t>
      </w:r>
      <w:r>
        <w:rPr>
          <w:rFonts w:ascii="Verdana" w:hAnsi="Verdana"/>
          <w:spacing w:val="-1"/>
          <w:sz w:val="14"/>
          <w:szCs w:val="14"/>
        </w:rPr>
        <w:t xml:space="preserve"> </w:t>
      </w:r>
      <w:r>
        <w:rPr>
          <w:rFonts w:ascii="Verdana" w:hAnsi="Verdana"/>
          <w:sz w:val="14"/>
          <w:szCs w:val="14"/>
        </w:rPr>
        <w:t>se</w:t>
      </w:r>
      <w:r>
        <w:rPr>
          <w:rFonts w:ascii="Verdana" w:hAnsi="Verdana"/>
          <w:spacing w:val="-3"/>
          <w:sz w:val="14"/>
          <w:szCs w:val="14"/>
        </w:rPr>
        <w:t xml:space="preserve"> </w:t>
      </w:r>
      <w:r>
        <w:rPr>
          <w:rFonts w:ascii="Verdana" w:hAnsi="Verdana"/>
          <w:sz w:val="14"/>
          <w:szCs w:val="14"/>
        </w:rPr>
        <w:t>señaló</w:t>
      </w:r>
      <w:r>
        <w:rPr>
          <w:rFonts w:ascii="Verdana" w:hAnsi="Verdana"/>
          <w:spacing w:val="-5"/>
          <w:sz w:val="14"/>
          <w:szCs w:val="14"/>
        </w:rPr>
        <w:t xml:space="preserve"> </w:t>
      </w:r>
      <w:r>
        <w:rPr>
          <w:rFonts w:ascii="Verdana" w:hAnsi="Verdana"/>
          <w:sz w:val="14"/>
          <w:szCs w:val="14"/>
        </w:rPr>
        <w:t>que</w:t>
      </w:r>
      <w:r>
        <w:rPr>
          <w:rFonts w:ascii="Verdana" w:hAnsi="Verdana"/>
          <w:spacing w:val="-3"/>
          <w:sz w:val="14"/>
          <w:szCs w:val="14"/>
        </w:rPr>
        <w:t xml:space="preserve"> </w:t>
      </w:r>
      <w:r>
        <w:rPr>
          <w:rFonts w:ascii="Verdana" w:hAnsi="Verdana"/>
          <w:sz w:val="14"/>
          <w:szCs w:val="14"/>
        </w:rPr>
        <w:t>“en</w:t>
      </w:r>
      <w:r>
        <w:rPr>
          <w:rFonts w:ascii="Verdana" w:hAnsi="Verdana"/>
          <w:spacing w:val="-5"/>
          <w:sz w:val="14"/>
          <w:szCs w:val="14"/>
        </w:rPr>
        <w:t xml:space="preserve"> </w:t>
      </w:r>
      <w:r>
        <w:rPr>
          <w:rFonts w:ascii="Verdana" w:hAnsi="Verdana"/>
          <w:sz w:val="14"/>
          <w:szCs w:val="14"/>
        </w:rPr>
        <w:t>los</w:t>
      </w:r>
      <w:r>
        <w:rPr>
          <w:rFonts w:ascii="Verdana" w:hAnsi="Verdana"/>
          <w:spacing w:val="-2"/>
          <w:sz w:val="14"/>
          <w:szCs w:val="14"/>
        </w:rPr>
        <w:t xml:space="preserve"> </w:t>
      </w:r>
      <w:r>
        <w:rPr>
          <w:rFonts w:ascii="Verdana" w:hAnsi="Verdana"/>
          <w:sz w:val="14"/>
          <w:szCs w:val="14"/>
        </w:rPr>
        <w:t>contratos</w:t>
      </w:r>
      <w:r>
        <w:rPr>
          <w:rFonts w:ascii="Verdana" w:hAnsi="Verdana"/>
          <w:spacing w:val="-2"/>
          <w:sz w:val="14"/>
          <w:szCs w:val="14"/>
        </w:rPr>
        <w:t xml:space="preserve"> </w:t>
      </w:r>
      <w:r>
        <w:rPr>
          <w:rFonts w:ascii="Verdana" w:hAnsi="Verdana"/>
          <w:sz w:val="14"/>
          <w:szCs w:val="14"/>
        </w:rPr>
        <w:t>que</w:t>
      </w:r>
      <w:r>
        <w:rPr>
          <w:rFonts w:ascii="Verdana" w:hAnsi="Verdana"/>
          <w:spacing w:val="-3"/>
          <w:sz w:val="14"/>
          <w:szCs w:val="14"/>
        </w:rPr>
        <w:t xml:space="preserve"> </w:t>
      </w:r>
      <w:r>
        <w:rPr>
          <w:rFonts w:ascii="Verdana" w:hAnsi="Verdana"/>
          <w:sz w:val="14"/>
          <w:szCs w:val="14"/>
        </w:rPr>
        <w:t>tengan</w:t>
      </w:r>
      <w:r>
        <w:rPr>
          <w:rFonts w:ascii="Verdana" w:hAnsi="Verdana"/>
          <w:spacing w:val="-4"/>
          <w:sz w:val="14"/>
          <w:szCs w:val="14"/>
        </w:rPr>
        <w:t xml:space="preserve"> </w:t>
      </w:r>
      <w:r>
        <w:rPr>
          <w:rFonts w:ascii="Verdana" w:hAnsi="Verdana"/>
          <w:sz w:val="14"/>
          <w:szCs w:val="14"/>
        </w:rPr>
        <w:t>por objeto</w:t>
      </w:r>
      <w:r>
        <w:rPr>
          <w:rFonts w:ascii="Verdana" w:hAnsi="Verdana"/>
          <w:spacing w:val="-1"/>
          <w:sz w:val="14"/>
          <w:szCs w:val="14"/>
        </w:rPr>
        <w:t xml:space="preserve"> </w:t>
      </w:r>
      <w:r>
        <w:rPr>
          <w:rFonts w:ascii="Verdana" w:hAnsi="Verdana"/>
          <w:sz w:val="14"/>
          <w:szCs w:val="14"/>
        </w:rPr>
        <w:t>actividades comerciales o</w:t>
      </w:r>
      <w:r>
        <w:rPr>
          <w:rFonts w:ascii="Verdana" w:hAnsi="Verdana"/>
          <w:spacing w:val="-1"/>
          <w:sz w:val="14"/>
          <w:szCs w:val="14"/>
        </w:rPr>
        <w:t xml:space="preserve"> </w:t>
      </w:r>
      <w:r>
        <w:rPr>
          <w:rFonts w:ascii="Verdana" w:hAnsi="Verdana"/>
          <w:sz w:val="14"/>
          <w:szCs w:val="14"/>
        </w:rPr>
        <w:t>industriales de las entidades</w:t>
      </w:r>
      <w:r>
        <w:rPr>
          <w:rFonts w:ascii="Verdana" w:hAnsi="Verdana"/>
          <w:spacing w:val="-3"/>
          <w:sz w:val="14"/>
          <w:szCs w:val="14"/>
        </w:rPr>
        <w:t xml:space="preserve"> </w:t>
      </w:r>
      <w:r>
        <w:rPr>
          <w:rFonts w:ascii="Verdana" w:hAnsi="Verdana"/>
          <w:sz w:val="14"/>
          <w:szCs w:val="14"/>
        </w:rPr>
        <w:t>estatales que no</w:t>
      </w:r>
      <w:r>
        <w:rPr>
          <w:rFonts w:ascii="Verdana" w:hAnsi="Verdana"/>
          <w:spacing w:val="-1"/>
          <w:sz w:val="14"/>
          <w:szCs w:val="14"/>
        </w:rPr>
        <w:t xml:space="preserve"> </w:t>
      </w:r>
      <w:r>
        <w:rPr>
          <w:rFonts w:ascii="Verdana" w:hAnsi="Verdana"/>
          <w:sz w:val="14"/>
          <w:szCs w:val="14"/>
        </w:rPr>
        <w:t xml:space="preserve">correspondan a las señaladas en el numeral 2º de este artículo (…) se prescindirá de la utilización de las cláusulas o estipulaciones </w:t>
      </w:r>
      <w:r>
        <w:rPr>
          <w:rFonts w:ascii="Verdana" w:hAnsi="Verdana"/>
          <w:spacing w:val="-2"/>
          <w:sz w:val="14"/>
          <w:szCs w:val="14"/>
        </w:rPr>
        <w:t>excepcionales”.</w:t>
      </w:r>
    </w:p>
  </w:footnote>
  <w:footnote w:id="4">
    <w:p w14:paraId="0E62CAD0" w14:textId="77777777" w:rsidR="00915417" w:rsidRDefault="00915417" w:rsidP="00915417">
      <w:pPr>
        <w:tabs>
          <w:tab w:val="left" w:pos="142"/>
          <w:tab w:val="left" w:pos="8789"/>
        </w:tabs>
        <w:spacing w:after="0" w:line="240" w:lineRule="auto"/>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w:t>
      </w:r>
      <w:bookmarkStart w:id="4" w:name="_Hlk199860326"/>
      <w:r>
        <w:rPr>
          <w:rFonts w:ascii="Verdana" w:hAnsi="Verdana"/>
          <w:sz w:val="14"/>
          <w:szCs w:val="14"/>
        </w:rPr>
        <w:t>Sin perjuicio</w:t>
      </w:r>
      <w:r>
        <w:rPr>
          <w:rFonts w:ascii="Verdana" w:hAnsi="Verdana"/>
          <w:spacing w:val="-1"/>
          <w:sz w:val="14"/>
          <w:szCs w:val="14"/>
        </w:rPr>
        <w:t xml:space="preserve"> </w:t>
      </w:r>
      <w:r>
        <w:rPr>
          <w:rFonts w:ascii="Verdana" w:hAnsi="Verdana"/>
          <w:sz w:val="14"/>
          <w:szCs w:val="14"/>
        </w:rPr>
        <w:t>de la regla indicada, es importante</w:t>
      </w:r>
      <w:r>
        <w:rPr>
          <w:rFonts w:ascii="Verdana" w:hAnsi="Verdana"/>
          <w:spacing w:val="-4"/>
          <w:sz w:val="14"/>
          <w:szCs w:val="14"/>
        </w:rPr>
        <w:t xml:space="preserve"> </w:t>
      </w:r>
      <w:r>
        <w:rPr>
          <w:rFonts w:ascii="Verdana" w:hAnsi="Verdana"/>
          <w:sz w:val="14"/>
          <w:szCs w:val="14"/>
        </w:rPr>
        <w:t>señalar que el literal</w:t>
      </w:r>
      <w:r>
        <w:rPr>
          <w:rFonts w:ascii="Verdana" w:hAnsi="Verdana"/>
          <w:spacing w:val="-3"/>
          <w:sz w:val="14"/>
          <w:szCs w:val="14"/>
        </w:rPr>
        <w:t xml:space="preserve"> </w:t>
      </w:r>
      <w:r>
        <w:rPr>
          <w:rFonts w:ascii="Verdana" w:hAnsi="Verdana"/>
          <w:sz w:val="14"/>
          <w:szCs w:val="14"/>
        </w:rPr>
        <w:t>g, numeral 2, artículo</w:t>
      </w:r>
      <w:r>
        <w:rPr>
          <w:rFonts w:ascii="Verdana" w:hAnsi="Verdana"/>
          <w:spacing w:val="-1"/>
          <w:sz w:val="14"/>
          <w:szCs w:val="14"/>
        </w:rPr>
        <w:t xml:space="preserve"> </w:t>
      </w:r>
      <w:r>
        <w:rPr>
          <w:rFonts w:ascii="Verdana" w:hAnsi="Verdana"/>
          <w:sz w:val="14"/>
          <w:szCs w:val="14"/>
        </w:rPr>
        <w:t>2</w:t>
      </w:r>
      <w:r>
        <w:rPr>
          <w:rFonts w:ascii="Verdana" w:hAnsi="Verdana"/>
          <w:spacing w:val="-1"/>
          <w:sz w:val="14"/>
          <w:szCs w:val="14"/>
        </w:rPr>
        <w:t xml:space="preserve"> </w:t>
      </w:r>
      <w:r>
        <w:rPr>
          <w:rFonts w:ascii="Verdana" w:hAnsi="Verdana"/>
          <w:sz w:val="14"/>
          <w:szCs w:val="14"/>
        </w:rPr>
        <w:t>de la Ley 1150 de 2007, prevé como causal de selección abreviada: “Los actos y contratos que tengan por objeto directo</w:t>
      </w:r>
      <w:r>
        <w:rPr>
          <w:rFonts w:ascii="Verdana" w:hAnsi="Verdana"/>
          <w:spacing w:val="-10"/>
          <w:sz w:val="14"/>
          <w:szCs w:val="14"/>
        </w:rPr>
        <w:t xml:space="preserve"> </w:t>
      </w:r>
      <w:r>
        <w:rPr>
          <w:rFonts w:ascii="Verdana" w:hAnsi="Verdana"/>
          <w:sz w:val="14"/>
          <w:szCs w:val="14"/>
        </w:rPr>
        <w:t>las</w:t>
      </w:r>
      <w:r>
        <w:rPr>
          <w:rFonts w:ascii="Verdana" w:hAnsi="Verdana"/>
          <w:spacing w:val="-7"/>
          <w:sz w:val="14"/>
          <w:szCs w:val="14"/>
        </w:rPr>
        <w:t xml:space="preserve"> </w:t>
      </w:r>
      <w:r>
        <w:rPr>
          <w:rFonts w:ascii="Verdana" w:hAnsi="Verdana"/>
          <w:sz w:val="14"/>
          <w:szCs w:val="14"/>
        </w:rPr>
        <w:t>actividades</w:t>
      </w:r>
      <w:r>
        <w:rPr>
          <w:rFonts w:ascii="Verdana" w:hAnsi="Verdana"/>
          <w:spacing w:val="-7"/>
          <w:sz w:val="14"/>
          <w:szCs w:val="14"/>
        </w:rPr>
        <w:t xml:space="preserve"> </w:t>
      </w:r>
      <w:r>
        <w:rPr>
          <w:rFonts w:ascii="Verdana" w:hAnsi="Verdana"/>
          <w:sz w:val="14"/>
          <w:szCs w:val="14"/>
        </w:rPr>
        <w:t>comerciales</w:t>
      </w:r>
      <w:r>
        <w:rPr>
          <w:rFonts w:ascii="Verdana" w:hAnsi="Verdana"/>
          <w:spacing w:val="-7"/>
          <w:sz w:val="14"/>
          <w:szCs w:val="14"/>
        </w:rPr>
        <w:t xml:space="preserve"> </w:t>
      </w:r>
      <w:r>
        <w:rPr>
          <w:rFonts w:ascii="Verdana" w:hAnsi="Verdana"/>
          <w:sz w:val="14"/>
          <w:szCs w:val="14"/>
        </w:rPr>
        <w:t>e</w:t>
      </w:r>
      <w:r>
        <w:rPr>
          <w:rFonts w:ascii="Verdana" w:hAnsi="Verdana"/>
          <w:spacing w:val="-8"/>
          <w:sz w:val="14"/>
          <w:szCs w:val="14"/>
        </w:rPr>
        <w:t xml:space="preserve"> </w:t>
      </w:r>
      <w:r>
        <w:rPr>
          <w:rFonts w:ascii="Verdana" w:hAnsi="Verdana"/>
          <w:sz w:val="14"/>
          <w:szCs w:val="14"/>
        </w:rPr>
        <w:t>industriales</w:t>
      </w:r>
      <w:r>
        <w:rPr>
          <w:rFonts w:ascii="Verdana" w:hAnsi="Verdana"/>
          <w:spacing w:val="-7"/>
          <w:sz w:val="14"/>
          <w:szCs w:val="14"/>
        </w:rPr>
        <w:t xml:space="preserve"> </w:t>
      </w:r>
      <w:r>
        <w:rPr>
          <w:rFonts w:ascii="Verdana" w:hAnsi="Verdana"/>
          <w:sz w:val="14"/>
          <w:szCs w:val="14"/>
        </w:rPr>
        <w:t>propias</w:t>
      </w:r>
      <w:r>
        <w:rPr>
          <w:rFonts w:ascii="Verdana" w:hAnsi="Verdana"/>
          <w:spacing w:val="-7"/>
          <w:sz w:val="14"/>
          <w:szCs w:val="14"/>
        </w:rPr>
        <w:t xml:space="preserve"> </w:t>
      </w:r>
      <w:r>
        <w:rPr>
          <w:rFonts w:ascii="Verdana" w:hAnsi="Verdana"/>
          <w:sz w:val="14"/>
          <w:szCs w:val="14"/>
        </w:rPr>
        <w:t>de</w:t>
      </w:r>
      <w:r>
        <w:rPr>
          <w:rFonts w:ascii="Verdana" w:hAnsi="Verdana"/>
          <w:spacing w:val="-8"/>
          <w:sz w:val="14"/>
          <w:szCs w:val="14"/>
        </w:rPr>
        <w:t xml:space="preserve"> </w:t>
      </w:r>
      <w:r>
        <w:rPr>
          <w:rFonts w:ascii="Verdana" w:hAnsi="Verdana"/>
          <w:sz w:val="14"/>
          <w:szCs w:val="14"/>
        </w:rPr>
        <w:t>las</w:t>
      </w:r>
      <w:r>
        <w:rPr>
          <w:rFonts w:ascii="Verdana" w:hAnsi="Verdana"/>
          <w:spacing w:val="-7"/>
          <w:sz w:val="14"/>
          <w:szCs w:val="14"/>
        </w:rPr>
        <w:t xml:space="preserve"> </w:t>
      </w:r>
      <w:r>
        <w:rPr>
          <w:rFonts w:ascii="Verdana" w:hAnsi="Verdana"/>
          <w:sz w:val="14"/>
          <w:szCs w:val="14"/>
        </w:rPr>
        <w:t>Empresas</w:t>
      </w:r>
      <w:r>
        <w:rPr>
          <w:rFonts w:ascii="Verdana" w:hAnsi="Verdana"/>
          <w:spacing w:val="-7"/>
          <w:sz w:val="14"/>
          <w:szCs w:val="14"/>
        </w:rPr>
        <w:t xml:space="preserve"> </w:t>
      </w:r>
      <w:r>
        <w:rPr>
          <w:rFonts w:ascii="Verdana" w:hAnsi="Verdana"/>
          <w:sz w:val="14"/>
          <w:szCs w:val="14"/>
        </w:rPr>
        <w:t>Industriales</w:t>
      </w:r>
      <w:r>
        <w:rPr>
          <w:rFonts w:ascii="Verdana" w:hAnsi="Verdana"/>
          <w:spacing w:val="-7"/>
          <w:sz w:val="14"/>
          <w:szCs w:val="14"/>
        </w:rPr>
        <w:t xml:space="preserve"> </w:t>
      </w:r>
      <w:r>
        <w:rPr>
          <w:rFonts w:ascii="Verdana" w:hAnsi="Verdana"/>
          <w:sz w:val="14"/>
          <w:szCs w:val="14"/>
        </w:rPr>
        <w:t>y</w:t>
      </w:r>
      <w:r>
        <w:rPr>
          <w:rFonts w:ascii="Verdana" w:hAnsi="Verdana"/>
          <w:spacing w:val="-8"/>
          <w:sz w:val="14"/>
          <w:szCs w:val="14"/>
        </w:rPr>
        <w:t xml:space="preserve"> </w:t>
      </w:r>
      <w:r>
        <w:rPr>
          <w:rFonts w:ascii="Verdana" w:hAnsi="Verdana"/>
          <w:sz w:val="14"/>
          <w:szCs w:val="14"/>
        </w:rPr>
        <w:t>Comerciales</w:t>
      </w:r>
      <w:r>
        <w:rPr>
          <w:rFonts w:ascii="Verdana" w:hAnsi="Verdana"/>
          <w:spacing w:val="-7"/>
          <w:sz w:val="14"/>
          <w:szCs w:val="14"/>
        </w:rPr>
        <w:t xml:space="preserve"> </w:t>
      </w:r>
      <w:r>
        <w:rPr>
          <w:rFonts w:ascii="Verdana" w:hAnsi="Verdana"/>
          <w:sz w:val="14"/>
          <w:szCs w:val="14"/>
        </w:rPr>
        <w:t>Estatales y de las Sociedades de Economía Mixta, con excepción de los contratos que a título enunciativo identifica el artículo</w:t>
      </w:r>
      <w:r>
        <w:rPr>
          <w:rFonts w:ascii="Verdana" w:hAnsi="Verdana"/>
          <w:spacing w:val="-15"/>
          <w:sz w:val="14"/>
          <w:szCs w:val="14"/>
        </w:rPr>
        <w:t xml:space="preserve"> </w:t>
      </w:r>
      <w:r>
        <w:rPr>
          <w:rFonts w:ascii="Verdana" w:hAnsi="Verdana"/>
          <w:sz w:val="14"/>
          <w:szCs w:val="14"/>
        </w:rPr>
        <w:t>32</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la</w:t>
      </w:r>
      <w:r>
        <w:rPr>
          <w:rFonts w:ascii="Verdana" w:hAnsi="Verdana"/>
          <w:spacing w:val="-14"/>
          <w:sz w:val="14"/>
          <w:szCs w:val="14"/>
        </w:rPr>
        <w:t xml:space="preserve"> </w:t>
      </w:r>
      <w:r>
        <w:rPr>
          <w:rFonts w:ascii="Verdana" w:hAnsi="Verdana"/>
          <w:sz w:val="14"/>
          <w:szCs w:val="14"/>
        </w:rPr>
        <w:t>Ley</w:t>
      </w:r>
      <w:r>
        <w:rPr>
          <w:rFonts w:ascii="Verdana" w:hAnsi="Verdana"/>
          <w:spacing w:val="-14"/>
          <w:sz w:val="14"/>
          <w:szCs w:val="14"/>
        </w:rPr>
        <w:t xml:space="preserve"> </w:t>
      </w:r>
      <w:r>
        <w:rPr>
          <w:rFonts w:ascii="Verdana" w:hAnsi="Verdana"/>
          <w:sz w:val="14"/>
          <w:szCs w:val="14"/>
        </w:rPr>
        <w:t>80</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1993</w:t>
      </w:r>
      <w:r>
        <w:rPr>
          <w:rFonts w:ascii="Verdana" w:hAnsi="Verdana"/>
          <w:spacing w:val="-14"/>
          <w:sz w:val="14"/>
          <w:szCs w:val="14"/>
        </w:rPr>
        <w:t xml:space="preserve"> </w:t>
      </w:r>
      <w:r>
        <w:rPr>
          <w:rFonts w:ascii="Verdana" w:hAnsi="Verdana"/>
          <w:sz w:val="14"/>
          <w:szCs w:val="14"/>
        </w:rPr>
        <w:t>[obra,</w:t>
      </w:r>
      <w:r>
        <w:rPr>
          <w:rFonts w:ascii="Verdana" w:hAnsi="Verdana"/>
          <w:spacing w:val="-14"/>
          <w:sz w:val="14"/>
          <w:szCs w:val="14"/>
        </w:rPr>
        <w:t xml:space="preserve"> </w:t>
      </w:r>
      <w:r>
        <w:rPr>
          <w:rFonts w:ascii="Verdana" w:hAnsi="Verdana"/>
          <w:sz w:val="14"/>
          <w:szCs w:val="14"/>
        </w:rPr>
        <w:t>concesión,</w:t>
      </w:r>
      <w:r>
        <w:rPr>
          <w:rFonts w:ascii="Verdana" w:hAnsi="Verdana"/>
          <w:spacing w:val="-14"/>
          <w:sz w:val="14"/>
          <w:szCs w:val="14"/>
        </w:rPr>
        <w:t xml:space="preserve"> </w:t>
      </w:r>
      <w:r>
        <w:rPr>
          <w:rFonts w:ascii="Verdana" w:hAnsi="Verdana"/>
          <w:sz w:val="14"/>
          <w:szCs w:val="14"/>
        </w:rPr>
        <w:t>prestación</w:t>
      </w:r>
      <w:r>
        <w:rPr>
          <w:rFonts w:ascii="Verdana" w:hAnsi="Verdana"/>
          <w:spacing w:val="-14"/>
          <w:sz w:val="14"/>
          <w:szCs w:val="14"/>
        </w:rPr>
        <w:t xml:space="preserve"> </w:t>
      </w:r>
      <w:r>
        <w:rPr>
          <w:rFonts w:ascii="Verdana" w:hAnsi="Verdana"/>
          <w:sz w:val="14"/>
          <w:szCs w:val="14"/>
        </w:rPr>
        <w:t>de</w:t>
      </w:r>
      <w:r>
        <w:rPr>
          <w:rFonts w:ascii="Verdana" w:hAnsi="Verdana"/>
          <w:spacing w:val="-14"/>
          <w:sz w:val="14"/>
          <w:szCs w:val="14"/>
        </w:rPr>
        <w:t xml:space="preserve"> </w:t>
      </w:r>
      <w:r>
        <w:rPr>
          <w:rFonts w:ascii="Verdana" w:hAnsi="Verdana"/>
          <w:sz w:val="14"/>
          <w:szCs w:val="14"/>
        </w:rPr>
        <w:t>servicios,</w:t>
      </w:r>
      <w:r>
        <w:rPr>
          <w:rFonts w:ascii="Verdana" w:hAnsi="Verdana"/>
          <w:spacing w:val="-14"/>
          <w:sz w:val="14"/>
          <w:szCs w:val="14"/>
        </w:rPr>
        <w:t xml:space="preserve"> </w:t>
      </w:r>
      <w:r>
        <w:rPr>
          <w:rFonts w:ascii="Verdana" w:hAnsi="Verdana"/>
          <w:sz w:val="14"/>
          <w:szCs w:val="14"/>
        </w:rPr>
        <w:t>consultoría,</w:t>
      </w:r>
      <w:r>
        <w:rPr>
          <w:rFonts w:ascii="Verdana" w:hAnsi="Verdana"/>
          <w:spacing w:val="-14"/>
          <w:sz w:val="14"/>
          <w:szCs w:val="14"/>
        </w:rPr>
        <w:t xml:space="preserve"> </w:t>
      </w:r>
      <w:r>
        <w:rPr>
          <w:rFonts w:ascii="Verdana" w:hAnsi="Verdana"/>
          <w:sz w:val="14"/>
          <w:szCs w:val="14"/>
        </w:rPr>
        <w:t>fiducia</w:t>
      </w:r>
      <w:r>
        <w:rPr>
          <w:rFonts w:ascii="Verdana" w:hAnsi="Verdana"/>
          <w:spacing w:val="-14"/>
          <w:sz w:val="14"/>
          <w:szCs w:val="14"/>
        </w:rPr>
        <w:t xml:space="preserve"> </w:t>
      </w:r>
      <w:r>
        <w:rPr>
          <w:rFonts w:ascii="Verdana" w:hAnsi="Verdana"/>
          <w:sz w:val="14"/>
          <w:szCs w:val="14"/>
        </w:rPr>
        <w:t>pública]”.</w:t>
      </w:r>
      <w:r>
        <w:rPr>
          <w:rFonts w:ascii="Verdana" w:hAnsi="Verdana"/>
          <w:spacing w:val="-15"/>
          <w:sz w:val="14"/>
          <w:szCs w:val="14"/>
        </w:rPr>
        <w:t xml:space="preserve"> </w:t>
      </w:r>
      <w:r>
        <w:rPr>
          <w:rFonts w:ascii="Verdana" w:hAnsi="Verdana"/>
          <w:sz w:val="14"/>
          <w:szCs w:val="14"/>
        </w:rPr>
        <w:t>g)</w:t>
      </w:r>
      <w:r>
        <w:rPr>
          <w:rFonts w:ascii="Verdana" w:hAnsi="Verdana"/>
          <w:spacing w:val="23"/>
          <w:sz w:val="14"/>
          <w:szCs w:val="14"/>
        </w:rPr>
        <w:t xml:space="preserve"> </w:t>
      </w:r>
      <w:r>
        <w:rPr>
          <w:rFonts w:ascii="Verdana" w:hAnsi="Verdana"/>
          <w:sz w:val="14"/>
          <w:szCs w:val="14"/>
        </w:rPr>
        <w:t>Los actos y contratos que tengan por objeto directo las actividades comerciales e industriales propias de las Empresas Industriales y Comerciales Estatales y de las Sociedades de Economía Mixta, con excepción de los contratos</w:t>
      </w:r>
      <w:r>
        <w:rPr>
          <w:rFonts w:ascii="Verdana" w:hAnsi="Verdana"/>
          <w:spacing w:val="-6"/>
          <w:sz w:val="14"/>
          <w:szCs w:val="14"/>
        </w:rPr>
        <w:t xml:space="preserve"> </w:t>
      </w:r>
      <w:r>
        <w:rPr>
          <w:rFonts w:ascii="Verdana" w:hAnsi="Verdana"/>
          <w:sz w:val="14"/>
          <w:szCs w:val="14"/>
        </w:rPr>
        <w:t>que</w:t>
      </w:r>
      <w:r>
        <w:rPr>
          <w:rFonts w:ascii="Verdana" w:hAnsi="Verdana"/>
          <w:spacing w:val="-7"/>
          <w:sz w:val="14"/>
          <w:szCs w:val="14"/>
        </w:rPr>
        <w:t xml:space="preserve"> </w:t>
      </w:r>
      <w:r>
        <w:rPr>
          <w:rFonts w:ascii="Verdana" w:hAnsi="Verdana"/>
          <w:sz w:val="14"/>
          <w:szCs w:val="14"/>
        </w:rPr>
        <w:t>a</w:t>
      </w:r>
      <w:r>
        <w:rPr>
          <w:rFonts w:ascii="Verdana" w:hAnsi="Verdana"/>
          <w:spacing w:val="-3"/>
          <w:sz w:val="14"/>
          <w:szCs w:val="14"/>
        </w:rPr>
        <w:t xml:space="preserve"> </w:t>
      </w:r>
      <w:r>
        <w:rPr>
          <w:rFonts w:ascii="Verdana" w:hAnsi="Verdana"/>
          <w:sz w:val="14"/>
          <w:szCs w:val="14"/>
        </w:rPr>
        <w:t>título</w:t>
      </w:r>
      <w:r>
        <w:rPr>
          <w:rFonts w:ascii="Verdana" w:hAnsi="Verdana"/>
          <w:spacing w:val="-9"/>
          <w:sz w:val="14"/>
          <w:szCs w:val="14"/>
        </w:rPr>
        <w:t xml:space="preserve"> </w:t>
      </w:r>
      <w:r>
        <w:rPr>
          <w:rFonts w:ascii="Verdana" w:hAnsi="Verdana"/>
          <w:sz w:val="14"/>
          <w:szCs w:val="14"/>
        </w:rPr>
        <w:t>enunciativo</w:t>
      </w:r>
      <w:r>
        <w:rPr>
          <w:rFonts w:ascii="Verdana" w:hAnsi="Verdana"/>
          <w:spacing w:val="-9"/>
          <w:sz w:val="14"/>
          <w:szCs w:val="14"/>
        </w:rPr>
        <w:t xml:space="preserve"> </w:t>
      </w:r>
      <w:r>
        <w:rPr>
          <w:rFonts w:ascii="Verdana" w:hAnsi="Verdana"/>
          <w:sz w:val="14"/>
          <w:szCs w:val="14"/>
        </w:rPr>
        <w:t>identifica</w:t>
      </w:r>
      <w:r>
        <w:rPr>
          <w:rFonts w:ascii="Verdana" w:hAnsi="Verdana"/>
          <w:spacing w:val="-8"/>
          <w:sz w:val="14"/>
          <w:szCs w:val="14"/>
        </w:rPr>
        <w:t xml:space="preserve"> </w:t>
      </w:r>
      <w:r>
        <w:rPr>
          <w:rFonts w:ascii="Verdana" w:hAnsi="Verdana"/>
          <w:sz w:val="14"/>
          <w:szCs w:val="14"/>
        </w:rPr>
        <w:t>el</w:t>
      </w:r>
      <w:r>
        <w:rPr>
          <w:rFonts w:ascii="Verdana" w:hAnsi="Verdana"/>
          <w:spacing w:val="-1"/>
          <w:sz w:val="14"/>
          <w:szCs w:val="14"/>
        </w:rPr>
        <w:t xml:space="preserve"> </w:t>
      </w:r>
      <w:r>
        <w:rPr>
          <w:rFonts w:ascii="Verdana" w:hAnsi="Verdana"/>
          <w:sz w:val="14"/>
          <w:szCs w:val="14"/>
        </w:rPr>
        <w:t>artículo</w:t>
      </w:r>
      <w:r>
        <w:rPr>
          <w:rFonts w:ascii="Verdana" w:hAnsi="Verdana"/>
          <w:spacing w:val="-9"/>
          <w:sz w:val="14"/>
          <w:szCs w:val="14"/>
        </w:rPr>
        <w:t xml:space="preserve"> </w:t>
      </w:r>
      <w:r>
        <w:rPr>
          <w:rFonts w:ascii="Verdana" w:hAnsi="Verdana"/>
          <w:sz w:val="14"/>
          <w:szCs w:val="14"/>
        </w:rPr>
        <w:t>32</w:t>
      </w:r>
      <w:r>
        <w:rPr>
          <w:rFonts w:ascii="Verdana" w:hAnsi="Verdana"/>
          <w:spacing w:val="-4"/>
          <w:sz w:val="14"/>
          <w:szCs w:val="14"/>
        </w:rPr>
        <w:t xml:space="preserve"> </w:t>
      </w:r>
      <w:r>
        <w:rPr>
          <w:rFonts w:ascii="Verdana" w:hAnsi="Verdana"/>
          <w:sz w:val="14"/>
          <w:szCs w:val="14"/>
        </w:rPr>
        <w:t>de</w:t>
      </w:r>
      <w:r>
        <w:rPr>
          <w:rFonts w:ascii="Verdana" w:hAnsi="Verdana"/>
          <w:spacing w:val="-7"/>
          <w:sz w:val="14"/>
          <w:szCs w:val="14"/>
        </w:rPr>
        <w:t xml:space="preserve"> </w:t>
      </w:r>
      <w:r>
        <w:rPr>
          <w:rFonts w:ascii="Verdana" w:hAnsi="Verdana"/>
          <w:sz w:val="14"/>
          <w:szCs w:val="14"/>
        </w:rPr>
        <w:t>la Ley</w:t>
      </w:r>
      <w:r>
        <w:rPr>
          <w:rFonts w:ascii="Verdana" w:hAnsi="Verdana"/>
          <w:spacing w:val="-7"/>
          <w:sz w:val="14"/>
          <w:szCs w:val="14"/>
        </w:rPr>
        <w:t xml:space="preserve"> </w:t>
      </w:r>
      <w:r>
        <w:rPr>
          <w:rFonts w:ascii="Verdana" w:hAnsi="Verdana"/>
          <w:sz w:val="14"/>
          <w:szCs w:val="14"/>
        </w:rPr>
        <w:t>80</w:t>
      </w:r>
      <w:r>
        <w:rPr>
          <w:rFonts w:ascii="Verdana" w:hAnsi="Verdana"/>
          <w:spacing w:val="-4"/>
          <w:sz w:val="14"/>
          <w:szCs w:val="14"/>
        </w:rPr>
        <w:t xml:space="preserve"> </w:t>
      </w:r>
      <w:r>
        <w:rPr>
          <w:rFonts w:ascii="Verdana" w:hAnsi="Verdana"/>
          <w:sz w:val="14"/>
          <w:szCs w:val="14"/>
        </w:rPr>
        <w:t>de</w:t>
      </w:r>
      <w:r>
        <w:rPr>
          <w:rFonts w:ascii="Verdana" w:hAnsi="Verdana"/>
          <w:spacing w:val="-2"/>
          <w:sz w:val="14"/>
          <w:szCs w:val="14"/>
        </w:rPr>
        <w:t xml:space="preserve"> </w:t>
      </w:r>
      <w:r>
        <w:rPr>
          <w:rFonts w:ascii="Verdana" w:hAnsi="Verdana"/>
          <w:sz w:val="14"/>
          <w:szCs w:val="14"/>
        </w:rPr>
        <w:t>1993.</w:t>
      </w:r>
      <w:bookmarkEnd w:id="4"/>
    </w:p>
  </w:footnote>
  <w:footnote w:id="5">
    <w:p w14:paraId="7F0B34D2" w14:textId="77777777" w:rsidR="00915417" w:rsidRDefault="00915417" w:rsidP="00915417">
      <w:pPr>
        <w:pStyle w:val="Textonotapie"/>
        <w:ind w:right="49" w:firstLine="709"/>
        <w:contextualSpacing/>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El artículo</w:t>
      </w:r>
      <w:r>
        <w:rPr>
          <w:rFonts w:ascii="Verdana" w:hAnsi="Verdana"/>
          <w:spacing w:val="-2"/>
          <w:sz w:val="14"/>
          <w:szCs w:val="14"/>
        </w:rPr>
        <w:t xml:space="preserve"> </w:t>
      </w:r>
      <w:r>
        <w:rPr>
          <w:rFonts w:ascii="Verdana" w:hAnsi="Verdana"/>
          <w:sz w:val="14"/>
          <w:szCs w:val="14"/>
        </w:rPr>
        <w:t>14</w:t>
      </w:r>
      <w:r>
        <w:rPr>
          <w:rFonts w:ascii="Verdana" w:hAnsi="Verdana"/>
          <w:spacing w:val="-2"/>
          <w:sz w:val="14"/>
          <w:szCs w:val="14"/>
        </w:rPr>
        <w:t xml:space="preserve"> </w:t>
      </w:r>
      <w:r>
        <w:rPr>
          <w:rFonts w:ascii="Verdana" w:hAnsi="Verdana"/>
          <w:sz w:val="14"/>
          <w:szCs w:val="14"/>
        </w:rPr>
        <w:t>original de la</w:t>
      </w:r>
      <w:r>
        <w:rPr>
          <w:rFonts w:ascii="Verdana" w:hAnsi="Verdana"/>
          <w:spacing w:val="-1"/>
          <w:sz w:val="14"/>
          <w:szCs w:val="14"/>
        </w:rPr>
        <w:t xml:space="preserve"> </w:t>
      </w:r>
      <w:r>
        <w:rPr>
          <w:rFonts w:ascii="Verdana" w:hAnsi="Verdana"/>
          <w:sz w:val="14"/>
          <w:szCs w:val="14"/>
        </w:rPr>
        <w:t>Ley 1150</w:t>
      </w:r>
      <w:r>
        <w:rPr>
          <w:rFonts w:ascii="Verdana" w:hAnsi="Verdana"/>
          <w:spacing w:val="-2"/>
          <w:sz w:val="14"/>
          <w:szCs w:val="14"/>
        </w:rPr>
        <w:t xml:space="preserve"> </w:t>
      </w:r>
      <w:r>
        <w:rPr>
          <w:rFonts w:ascii="Verdana" w:hAnsi="Verdana"/>
          <w:sz w:val="14"/>
          <w:szCs w:val="14"/>
        </w:rPr>
        <w:t>de 2007</w:t>
      </w:r>
      <w:r>
        <w:rPr>
          <w:rFonts w:ascii="Verdana" w:hAnsi="Verdana"/>
          <w:spacing w:val="-2"/>
          <w:sz w:val="14"/>
          <w:szCs w:val="14"/>
        </w:rPr>
        <w:t xml:space="preserve"> </w:t>
      </w:r>
      <w:r>
        <w:rPr>
          <w:rFonts w:ascii="Verdana" w:hAnsi="Verdana"/>
          <w:sz w:val="14"/>
          <w:szCs w:val="14"/>
        </w:rPr>
        <w:t>excluía</w:t>
      </w:r>
      <w:r>
        <w:rPr>
          <w:rFonts w:ascii="Verdana" w:hAnsi="Verdana"/>
          <w:spacing w:val="-1"/>
          <w:sz w:val="14"/>
          <w:szCs w:val="14"/>
        </w:rPr>
        <w:t xml:space="preserve"> </w:t>
      </w:r>
      <w:r>
        <w:rPr>
          <w:rFonts w:ascii="Verdana" w:hAnsi="Verdana"/>
          <w:sz w:val="14"/>
          <w:szCs w:val="14"/>
        </w:rPr>
        <w:t>además aquellas cuya</w:t>
      </w:r>
      <w:r>
        <w:rPr>
          <w:rFonts w:ascii="Verdana" w:hAnsi="Verdana"/>
          <w:spacing w:val="-1"/>
          <w:sz w:val="14"/>
          <w:szCs w:val="14"/>
        </w:rPr>
        <w:t xml:space="preserve"> </w:t>
      </w:r>
      <w:r>
        <w:rPr>
          <w:rFonts w:ascii="Verdana" w:hAnsi="Verdana"/>
          <w:sz w:val="14"/>
          <w:szCs w:val="14"/>
        </w:rPr>
        <w:t>actividad</w:t>
      </w:r>
      <w:r>
        <w:rPr>
          <w:rFonts w:ascii="Verdana" w:hAnsi="Verdana"/>
          <w:spacing w:val="-5"/>
          <w:sz w:val="14"/>
          <w:szCs w:val="14"/>
        </w:rPr>
        <w:t xml:space="preserve"> </w:t>
      </w:r>
      <w:r>
        <w:rPr>
          <w:rFonts w:ascii="Verdana" w:hAnsi="Verdana"/>
          <w:sz w:val="14"/>
          <w:szCs w:val="14"/>
        </w:rPr>
        <w:t>se realizaba en</w:t>
      </w:r>
      <w:r>
        <w:rPr>
          <w:rFonts w:ascii="Verdana" w:hAnsi="Verdana"/>
          <w:spacing w:val="-6"/>
          <w:sz w:val="14"/>
          <w:szCs w:val="14"/>
        </w:rPr>
        <w:t xml:space="preserve"> </w:t>
      </w:r>
      <w:r>
        <w:rPr>
          <w:rFonts w:ascii="Verdana" w:hAnsi="Verdana"/>
          <w:sz w:val="14"/>
          <w:szCs w:val="14"/>
        </w:rPr>
        <w:t>“mercados</w:t>
      </w:r>
      <w:r>
        <w:rPr>
          <w:rFonts w:ascii="Verdana" w:hAnsi="Verdana"/>
          <w:spacing w:val="-3"/>
          <w:sz w:val="14"/>
          <w:szCs w:val="14"/>
        </w:rPr>
        <w:t xml:space="preserve"> </w:t>
      </w:r>
      <w:r>
        <w:rPr>
          <w:rFonts w:ascii="Verdana" w:hAnsi="Verdana"/>
          <w:sz w:val="14"/>
          <w:szCs w:val="14"/>
        </w:rPr>
        <w:t>monopolísticos”,</w:t>
      </w:r>
      <w:r>
        <w:rPr>
          <w:rFonts w:ascii="Verdana" w:hAnsi="Verdana"/>
          <w:spacing w:val="-2"/>
          <w:sz w:val="14"/>
          <w:szCs w:val="14"/>
        </w:rPr>
        <w:t xml:space="preserve"> </w:t>
      </w:r>
      <w:r>
        <w:rPr>
          <w:rFonts w:ascii="Verdana" w:hAnsi="Verdana"/>
          <w:sz w:val="14"/>
          <w:szCs w:val="14"/>
        </w:rPr>
        <w:t>pero,</w:t>
      </w:r>
      <w:r>
        <w:rPr>
          <w:rFonts w:ascii="Verdana" w:hAnsi="Verdana"/>
          <w:spacing w:val="-2"/>
          <w:sz w:val="14"/>
          <w:szCs w:val="14"/>
        </w:rPr>
        <w:t xml:space="preserve"> </w:t>
      </w:r>
      <w:r>
        <w:rPr>
          <w:rFonts w:ascii="Verdana" w:hAnsi="Verdana"/>
          <w:sz w:val="14"/>
          <w:szCs w:val="14"/>
        </w:rPr>
        <w:t>con</w:t>
      </w:r>
      <w:r>
        <w:rPr>
          <w:rFonts w:ascii="Verdana" w:hAnsi="Verdana"/>
          <w:spacing w:val="-5"/>
          <w:sz w:val="14"/>
          <w:szCs w:val="14"/>
        </w:rPr>
        <w:t xml:space="preserve"> </w:t>
      </w:r>
      <w:r>
        <w:rPr>
          <w:rFonts w:ascii="Verdana" w:hAnsi="Verdana"/>
          <w:sz w:val="14"/>
          <w:szCs w:val="14"/>
        </w:rPr>
        <w:t>buen</w:t>
      </w:r>
      <w:r>
        <w:rPr>
          <w:rFonts w:ascii="Verdana" w:hAnsi="Verdana"/>
          <w:spacing w:val="-6"/>
          <w:sz w:val="14"/>
          <w:szCs w:val="14"/>
        </w:rPr>
        <w:t xml:space="preserve"> </w:t>
      </w:r>
      <w:r>
        <w:rPr>
          <w:rFonts w:ascii="Verdana" w:hAnsi="Verdana"/>
          <w:sz w:val="14"/>
          <w:szCs w:val="14"/>
        </w:rPr>
        <w:t>tino,</w:t>
      </w:r>
      <w:r>
        <w:rPr>
          <w:rFonts w:ascii="Verdana" w:hAnsi="Verdana"/>
          <w:spacing w:val="-2"/>
          <w:sz w:val="14"/>
          <w:szCs w:val="14"/>
        </w:rPr>
        <w:t xml:space="preserve"> </w:t>
      </w:r>
      <w:r>
        <w:rPr>
          <w:rFonts w:ascii="Verdana" w:hAnsi="Verdana"/>
          <w:sz w:val="14"/>
          <w:szCs w:val="14"/>
        </w:rPr>
        <w:t>se</w:t>
      </w:r>
      <w:r>
        <w:rPr>
          <w:rFonts w:ascii="Verdana" w:hAnsi="Verdana"/>
          <w:spacing w:val="-4"/>
          <w:sz w:val="14"/>
          <w:szCs w:val="14"/>
        </w:rPr>
        <w:t xml:space="preserve"> </w:t>
      </w:r>
      <w:r>
        <w:rPr>
          <w:rFonts w:ascii="Verdana" w:hAnsi="Verdana"/>
          <w:sz w:val="14"/>
          <w:szCs w:val="14"/>
        </w:rPr>
        <w:t>eliminó</w:t>
      </w:r>
      <w:r>
        <w:rPr>
          <w:rFonts w:ascii="Verdana" w:hAnsi="Verdana"/>
          <w:spacing w:val="-6"/>
          <w:sz w:val="14"/>
          <w:szCs w:val="14"/>
        </w:rPr>
        <w:t xml:space="preserve"> </w:t>
      </w:r>
      <w:r>
        <w:rPr>
          <w:rFonts w:ascii="Verdana" w:hAnsi="Verdana"/>
          <w:sz w:val="14"/>
          <w:szCs w:val="14"/>
        </w:rPr>
        <w:t>en</w:t>
      </w:r>
      <w:r>
        <w:rPr>
          <w:rFonts w:ascii="Verdana" w:hAnsi="Verdana"/>
          <w:spacing w:val="-6"/>
          <w:sz w:val="14"/>
          <w:szCs w:val="14"/>
        </w:rPr>
        <w:t xml:space="preserve"> </w:t>
      </w:r>
      <w:r>
        <w:rPr>
          <w:rFonts w:ascii="Verdana" w:hAnsi="Verdana"/>
          <w:sz w:val="14"/>
          <w:szCs w:val="14"/>
        </w:rPr>
        <w:t>el</w:t>
      </w:r>
      <w:r>
        <w:rPr>
          <w:rFonts w:ascii="Verdana" w:hAnsi="Verdana"/>
          <w:spacing w:val="-3"/>
          <w:sz w:val="14"/>
          <w:szCs w:val="14"/>
        </w:rPr>
        <w:t xml:space="preserve"> </w:t>
      </w:r>
      <w:r>
        <w:rPr>
          <w:rFonts w:ascii="Verdana" w:hAnsi="Verdana"/>
          <w:sz w:val="14"/>
          <w:szCs w:val="14"/>
        </w:rPr>
        <w:t>artículo</w:t>
      </w:r>
      <w:r>
        <w:rPr>
          <w:rFonts w:ascii="Verdana" w:hAnsi="Verdana"/>
          <w:spacing w:val="-6"/>
          <w:sz w:val="14"/>
          <w:szCs w:val="14"/>
        </w:rPr>
        <w:t xml:space="preserve"> </w:t>
      </w:r>
      <w:r>
        <w:rPr>
          <w:rFonts w:ascii="Verdana" w:hAnsi="Verdana"/>
          <w:sz w:val="14"/>
          <w:szCs w:val="14"/>
        </w:rPr>
        <w:t>93</w:t>
      </w:r>
      <w:r>
        <w:rPr>
          <w:rFonts w:ascii="Verdana" w:hAnsi="Verdana"/>
          <w:spacing w:val="-6"/>
          <w:sz w:val="14"/>
          <w:szCs w:val="14"/>
        </w:rPr>
        <w:t xml:space="preserve"> </w:t>
      </w:r>
      <w:r>
        <w:rPr>
          <w:rFonts w:ascii="Verdana" w:hAnsi="Verdana"/>
          <w:sz w:val="14"/>
          <w:szCs w:val="14"/>
        </w:rPr>
        <w:t>de</w:t>
      </w:r>
      <w:r>
        <w:rPr>
          <w:rFonts w:ascii="Verdana" w:hAnsi="Verdana"/>
          <w:spacing w:val="-4"/>
          <w:sz w:val="14"/>
          <w:szCs w:val="14"/>
        </w:rPr>
        <w:t xml:space="preserve"> </w:t>
      </w:r>
      <w:r>
        <w:rPr>
          <w:rFonts w:ascii="Verdana" w:hAnsi="Verdana"/>
          <w:sz w:val="14"/>
          <w:szCs w:val="14"/>
        </w:rPr>
        <w:t>la</w:t>
      </w:r>
      <w:r>
        <w:rPr>
          <w:rFonts w:ascii="Verdana" w:hAnsi="Verdana"/>
          <w:spacing w:val="-5"/>
          <w:sz w:val="14"/>
          <w:szCs w:val="14"/>
        </w:rPr>
        <w:t xml:space="preserve"> </w:t>
      </w:r>
      <w:r>
        <w:rPr>
          <w:rFonts w:ascii="Verdana" w:hAnsi="Verdana"/>
          <w:sz w:val="14"/>
          <w:szCs w:val="14"/>
        </w:rPr>
        <w:t>Ley</w:t>
      </w:r>
      <w:r>
        <w:rPr>
          <w:rFonts w:ascii="Verdana" w:hAnsi="Verdana"/>
          <w:spacing w:val="-4"/>
          <w:sz w:val="14"/>
          <w:szCs w:val="14"/>
        </w:rPr>
        <w:t xml:space="preserve"> </w:t>
      </w:r>
      <w:r>
        <w:rPr>
          <w:rFonts w:ascii="Verdana" w:hAnsi="Verdana"/>
          <w:sz w:val="14"/>
          <w:szCs w:val="14"/>
        </w:rPr>
        <w:t>1474</w:t>
      </w:r>
      <w:r>
        <w:rPr>
          <w:rFonts w:ascii="Verdana" w:hAnsi="Verdana"/>
          <w:spacing w:val="-6"/>
          <w:sz w:val="14"/>
          <w:szCs w:val="14"/>
        </w:rPr>
        <w:t xml:space="preserve"> </w:t>
      </w:r>
      <w:r>
        <w:rPr>
          <w:rFonts w:ascii="Verdana" w:hAnsi="Verdana"/>
          <w:sz w:val="14"/>
          <w:szCs w:val="14"/>
        </w:rPr>
        <w:t>de</w:t>
      </w:r>
      <w:r>
        <w:rPr>
          <w:rFonts w:ascii="Verdana" w:hAnsi="Verdana"/>
          <w:spacing w:val="-4"/>
          <w:sz w:val="14"/>
          <w:szCs w:val="14"/>
        </w:rPr>
        <w:t xml:space="preserve"> </w:t>
      </w:r>
      <w:r>
        <w:rPr>
          <w:rFonts w:ascii="Verdana" w:hAnsi="Verdana"/>
          <w:sz w:val="14"/>
          <w:szCs w:val="14"/>
        </w:rPr>
        <w:t>2011,</w:t>
      </w:r>
      <w:r>
        <w:rPr>
          <w:rFonts w:ascii="Verdana" w:hAnsi="Verdana"/>
          <w:spacing w:val="-2"/>
          <w:sz w:val="14"/>
          <w:szCs w:val="14"/>
        </w:rPr>
        <w:t xml:space="preserve"> </w:t>
      </w:r>
      <w:r>
        <w:rPr>
          <w:rFonts w:ascii="Verdana" w:hAnsi="Verdana"/>
          <w:sz w:val="14"/>
          <w:szCs w:val="14"/>
        </w:rPr>
        <w:t>pues en ese caso no se está en presencia de los fundamentos que soportan la excepción de no aplicar el Estatuto General de Contratación de la Administración Pública, cual es la “competencia y el libre juego del mercado”.</w:t>
      </w:r>
    </w:p>
  </w:footnote>
  <w:footnote w:id="6">
    <w:p w14:paraId="6BF66362" w14:textId="77777777" w:rsidR="00915417" w:rsidRPr="00591347" w:rsidRDefault="00915417" w:rsidP="0091541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664F939F" w14:textId="77777777" w:rsidR="00915417" w:rsidRPr="00591347" w:rsidRDefault="00915417" w:rsidP="0091541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85"/>
      <w:r w:rsidRPr="00591347">
        <w:rPr>
          <w:rFonts w:ascii="Verdana" w:hAnsi="Verdana"/>
          <w:b/>
          <w:bCs/>
          <w:sz w:val="16"/>
          <w:szCs w:val="16"/>
          <w:lang w:val="es-CO"/>
        </w:rPr>
        <w:t xml:space="preserve"> </w:t>
      </w:r>
      <w:r w:rsidRPr="00591347">
        <w:rPr>
          <w:rFonts w:ascii="Verdana" w:hAnsi="Verdana"/>
          <w:sz w:val="16"/>
          <w:szCs w:val="16"/>
          <w:lang w:val="es-CO"/>
        </w:rPr>
        <w:t xml:space="preserve">Artículo 85.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5"/>
      <w:r w:rsidRPr="00591347">
        <w:rPr>
          <w:rFonts w:ascii="Verdana" w:hAnsi="Verdana"/>
          <w:sz w:val="16"/>
          <w:szCs w:val="16"/>
          <w:lang w:val="es-CO"/>
        </w:rPr>
        <w:t> Los actos o contratos que expidan o celebren los ejecutores se regirán po</w:t>
      </w:r>
      <w:r w:rsidRPr="00591347">
        <w:rPr>
          <w:rFonts w:ascii="Verdana" w:hAnsi="Verdana"/>
          <w:color w:val="000000" w:themeColor="text1"/>
          <w:sz w:val="16"/>
          <w:szCs w:val="16"/>
          <w:lang w:val="es-CO"/>
        </w:rPr>
        <w:t xml:space="preserve">r las normas presupuestales contenidas en la presente ley, </w:t>
      </w:r>
      <w:r w:rsidRPr="00591347">
        <w:rPr>
          <w:rFonts w:ascii="Verdana" w:hAnsi="Verdana"/>
          <w:i/>
          <w:iCs/>
          <w:color w:val="000000" w:themeColor="text1"/>
          <w:sz w:val="16"/>
          <w:szCs w:val="16"/>
          <w:lang w:val="es-CO"/>
        </w:rPr>
        <w:t>el Estatuto de Contratación Estatal</w:t>
      </w:r>
      <w:r w:rsidRPr="00591347">
        <w:rPr>
          <w:rFonts w:ascii="Verdana" w:hAnsi="Verdana"/>
          <w:color w:val="000000" w:themeColor="text1"/>
          <w:sz w:val="16"/>
          <w:szCs w:val="16"/>
          <w:lang w:val="es-CO"/>
        </w:rPr>
        <w:t>, los Decretos </w:t>
      </w:r>
      <w:hyperlink r:id="rId5" w:anchor="INICIO" w:history="1">
        <w:r w:rsidRPr="00591347">
          <w:rPr>
            <w:rStyle w:val="Hipervnculo"/>
            <w:rFonts w:ascii="Verdana" w:hAnsi="Verdana"/>
            <w:color w:val="000000" w:themeColor="text1"/>
            <w:sz w:val="16"/>
            <w:szCs w:val="16"/>
            <w:lang w:val="es-CO"/>
          </w:rPr>
          <w:t>1088</w:t>
        </w:r>
      </w:hyperlink>
      <w:r w:rsidRPr="00591347">
        <w:rPr>
          <w:rFonts w:ascii="Verdana" w:hAnsi="Verdana"/>
          <w:color w:val="000000" w:themeColor="text1"/>
          <w:sz w:val="16"/>
          <w:szCs w:val="16"/>
          <w:lang w:val="es-CO"/>
        </w:rPr>
        <w:t> de 1993 y </w:t>
      </w:r>
      <w:hyperlink r:id="rId6" w:anchor="INICIO" w:history="1">
        <w:r w:rsidRPr="00591347">
          <w:rPr>
            <w:rStyle w:val="Hipervnculo"/>
            <w:rFonts w:ascii="Verdana" w:hAnsi="Verdana"/>
            <w:color w:val="000000" w:themeColor="text1"/>
            <w:sz w:val="16"/>
            <w:szCs w:val="16"/>
            <w:lang w:val="es-CO"/>
          </w:rPr>
          <w:t>252</w:t>
        </w:r>
      </w:hyperlink>
      <w:r w:rsidRPr="00591347">
        <w:rPr>
          <w:rFonts w:ascii="Verdana" w:hAnsi="Verdana"/>
          <w:color w:val="000000" w:themeColor="text1"/>
          <w:sz w:val="16"/>
          <w:szCs w:val="16"/>
          <w:lang w:val="es-CO"/>
        </w:rPr>
        <w:t> de 2020, las normas contables que para este efecto defina la Contaduría General de la Nación y las demás disposiciones complementarias</w:t>
      </w:r>
      <w:r w:rsidRPr="00591347">
        <w:rPr>
          <w:rFonts w:ascii="Verdana" w:hAnsi="Verdana"/>
          <w:sz w:val="16"/>
          <w:szCs w:val="16"/>
          <w:lang w:val="es-CO"/>
        </w:rPr>
        <w:t>.</w:t>
      </w:r>
    </w:p>
  </w:footnote>
  <w:footnote w:id="8">
    <w:p w14:paraId="15DF1FB1" w14:textId="77777777" w:rsidR="00915417" w:rsidRPr="00591347" w:rsidRDefault="00915417" w:rsidP="0091541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r w:rsidRPr="00591347">
        <w:rPr>
          <w:rFonts w:ascii="Verdana" w:hAnsi="Verdana"/>
          <w:sz w:val="16"/>
          <w:szCs w:val="16"/>
          <w:lang w:val="es-CO"/>
        </w:rPr>
        <w:t xml:space="preserve">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9">
    <w:p w14:paraId="2BCF967A" w14:textId="77777777" w:rsidR="00915417" w:rsidRPr="00591347" w:rsidRDefault="00915417" w:rsidP="0091541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6"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6"/>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10">
    <w:p w14:paraId="55CCA39B" w14:textId="77777777" w:rsidR="00915417" w:rsidRPr="00591347" w:rsidRDefault="00915417" w:rsidP="00915417">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r w:rsidRPr="00591347">
        <w:rPr>
          <w:rFonts w:ascii="Verdana" w:hAnsi="Verdana"/>
          <w:sz w:val="16"/>
          <w:szCs w:val="16"/>
          <w:lang w:val="es-CO"/>
        </w:rPr>
        <w:t>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11">
    <w:p w14:paraId="26AD509F" w14:textId="77777777" w:rsidR="00915417" w:rsidRPr="00591347" w:rsidRDefault="00915417" w:rsidP="00915417">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7"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7"/>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12">
    <w:p w14:paraId="61FA9909" w14:textId="77777777" w:rsidR="00915417" w:rsidRPr="00FE6A9E" w:rsidRDefault="00915417" w:rsidP="00915417">
      <w:pPr>
        <w:pStyle w:val="Textonotapie"/>
        <w:ind w:firstLine="709"/>
        <w:jc w:val="both"/>
        <w:rPr>
          <w:rFonts w:ascii="Verdana" w:hAnsi="Verdana"/>
          <w:sz w:val="16"/>
          <w:szCs w:val="16"/>
          <w:lang w:val="es-CO"/>
        </w:rPr>
      </w:pPr>
      <w:r w:rsidRPr="00FE6A9E">
        <w:rPr>
          <w:rStyle w:val="Refdenotaalpie"/>
          <w:rFonts w:ascii="Verdana" w:hAnsi="Verdana"/>
          <w:sz w:val="16"/>
          <w:szCs w:val="16"/>
        </w:rPr>
        <w:footnoteRef/>
      </w:r>
      <w:r w:rsidRPr="00FE6A9E">
        <w:rPr>
          <w:rFonts w:ascii="Verdana" w:hAnsi="Verdana"/>
          <w:sz w:val="16"/>
          <w:szCs w:val="16"/>
        </w:rPr>
        <w:t xml:space="preserv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7"/>
  </w:num>
  <w:num w:numId="6" w16cid:durableId="130758360">
    <w:abstractNumId w:val="21"/>
  </w:num>
  <w:num w:numId="7" w16cid:durableId="262541512">
    <w:abstractNumId w:val="33"/>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6"/>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5"/>
  </w:num>
  <w:num w:numId="30" w16cid:durableId="363991975">
    <w:abstractNumId w:val="32"/>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4"/>
  </w:num>
  <w:num w:numId="37" w16cid:durableId="742992957">
    <w:abstractNumId w:val="18"/>
  </w:num>
  <w:num w:numId="38" w16cid:durableId="1317681908">
    <w:abstractNumId w:val="10"/>
  </w:num>
  <w:num w:numId="39" w16cid:durableId="7207917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87A"/>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D9B"/>
    <w:rsid w:val="0007144A"/>
    <w:rsid w:val="000716AB"/>
    <w:rsid w:val="00071AB8"/>
    <w:rsid w:val="0007243A"/>
    <w:rsid w:val="00072AF5"/>
    <w:rsid w:val="000734CB"/>
    <w:rsid w:val="00074660"/>
    <w:rsid w:val="000752FA"/>
    <w:rsid w:val="00075BDC"/>
    <w:rsid w:val="00076211"/>
    <w:rsid w:val="000762C0"/>
    <w:rsid w:val="0007655A"/>
    <w:rsid w:val="00076737"/>
    <w:rsid w:val="00076C2B"/>
    <w:rsid w:val="00076C73"/>
    <w:rsid w:val="00076F81"/>
    <w:rsid w:val="000772B1"/>
    <w:rsid w:val="000779DE"/>
    <w:rsid w:val="000800B6"/>
    <w:rsid w:val="00080D15"/>
    <w:rsid w:val="00081B03"/>
    <w:rsid w:val="00081BAA"/>
    <w:rsid w:val="000847A0"/>
    <w:rsid w:val="00084BFD"/>
    <w:rsid w:val="00085BD2"/>
    <w:rsid w:val="0008651B"/>
    <w:rsid w:val="00087073"/>
    <w:rsid w:val="0008734C"/>
    <w:rsid w:val="0008739A"/>
    <w:rsid w:val="000875BD"/>
    <w:rsid w:val="000878E7"/>
    <w:rsid w:val="00087A3B"/>
    <w:rsid w:val="00087C01"/>
    <w:rsid w:val="000903E4"/>
    <w:rsid w:val="000906E3"/>
    <w:rsid w:val="00091D73"/>
    <w:rsid w:val="0009252F"/>
    <w:rsid w:val="000933B5"/>
    <w:rsid w:val="000933BC"/>
    <w:rsid w:val="00093544"/>
    <w:rsid w:val="00093D95"/>
    <w:rsid w:val="00093F87"/>
    <w:rsid w:val="00094663"/>
    <w:rsid w:val="00095410"/>
    <w:rsid w:val="00095CF4"/>
    <w:rsid w:val="00095E48"/>
    <w:rsid w:val="00096637"/>
    <w:rsid w:val="0009726B"/>
    <w:rsid w:val="00097285"/>
    <w:rsid w:val="0009740F"/>
    <w:rsid w:val="000975EA"/>
    <w:rsid w:val="000A021A"/>
    <w:rsid w:val="000A1828"/>
    <w:rsid w:val="000A1C31"/>
    <w:rsid w:val="000A1D06"/>
    <w:rsid w:val="000A1F38"/>
    <w:rsid w:val="000A2030"/>
    <w:rsid w:val="000A37F5"/>
    <w:rsid w:val="000A413A"/>
    <w:rsid w:val="000A4F1E"/>
    <w:rsid w:val="000A5881"/>
    <w:rsid w:val="000A66A1"/>
    <w:rsid w:val="000A69FB"/>
    <w:rsid w:val="000A776F"/>
    <w:rsid w:val="000A77D4"/>
    <w:rsid w:val="000B0B16"/>
    <w:rsid w:val="000B1087"/>
    <w:rsid w:val="000B146F"/>
    <w:rsid w:val="000B199A"/>
    <w:rsid w:val="000B1FF7"/>
    <w:rsid w:val="000B2529"/>
    <w:rsid w:val="000B2685"/>
    <w:rsid w:val="000B2B7C"/>
    <w:rsid w:val="000B3027"/>
    <w:rsid w:val="000B377E"/>
    <w:rsid w:val="000B381D"/>
    <w:rsid w:val="000B3DD4"/>
    <w:rsid w:val="000B4024"/>
    <w:rsid w:val="000B44BA"/>
    <w:rsid w:val="000B4C9C"/>
    <w:rsid w:val="000B5311"/>
    <w:rsid w:val="000B5313"/>
    <w:rsid w:val="000B5C05"/>
    <w:rsid w:val="000B5C65"/>
    <w:rsid w:val="000B5F1D"/>
    <w:rsid w:val="000B5FB9"/>
    <w:rsid w:val="000B6BE9"/>
    <w:rsid w:val="000C02AD"/>
    <w:rsid w:val="000C060A"/>
    <w:rsid w:val="000C07B0"/>
    <w:rsid w:val="000C09DF"/>
    <w:rsid w:val="000C0AA8"/>
    <w:rsid w:val="000C18BD"/>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208"/>
    <w:rsid w:val="001224BA"/>
    <w:rsid w:val="001238BC"/>
    <w:rsid w:val="00124518"/>
    <w:rsid w:val="001248AB"/>
    <w:rsid w:val="00124981"/>
    <w:rsid w:val="00124B10"/>
    <w:rsid w:val="00124B2E"/>
    <w:rsid w:val="001256A1"/>
    <w:rsid w:val="00125D81"/>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57EDB"/>
    <w:rsid w:val="001610BC"/>
    <w:rsid w:val="00161847"/>
    <w:rsid w:val="00161E13"/>
    <w:rsid w:val="001629D8"/>
    <w:rsid w:val="00162B2A"/>
    <w:rsid w:val="00162B8D"/>
    <w:rsid w:val="00162F9F"/>
    <w:rsid w:val="00163EB1"/>
    <w:rsid w:val="00164803"/>
    <w:rsid w:val="00164AE0"/>
    <w:rsid w:val="001656F6"/>
    <w:rsid w:val="00165BF5"/>
    <w:rsid w:val="00165F2E"/>
    <w:rsid w:val="0016646A"/>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428"/>
    <w:rsid w:val="001947C0"/>
    <w:rsid w:val="001948F5"/>
    <w:rsid w:val="00194958"/>
    <w:rsid w:val="0019566E"/>
    <w:rsid w:val="00196359"/>
    <w:rsid w:val="0019710C"/>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2D3"/>
    <w:rsid w:val="001B53DD"/>
    <w:rsid w:val="001B5565"/>
    <w:rsid w:val="001B5A00"/>
    <w:rsid w:val="001B5F59"/>
    <w:rsid w:val="001B63A7"/>
    <w:rsid w:val="001B6810"/>
    <w:rsid w:val="001B6E89"/>
    <w:rsid w:val="001B7358"/>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582B"/>
    <w:rsid w:val="001C6573"/>
    <w:rsid w:val="001C7B08"/>
    <w:rsid w:val="001C7D03"/>
    <w:rsid w:val="001D00BE"/>
    <w:rsid w:val="001D079B"/>
    <w:rsid w:val="001D0D32"/>
    <w:rsid w:val="001D1363"/>
    <w:rsid w:val="001D17C9"/>
    <w:rsid w:val="001D1AB9"/>
    <w:rsid w:val="001D1EEB"/>
    <w:rsid w:val="001D1F20"/>
    <w:rsid w:val="001D22D5"/>
    <w:rsid w:val="001D3795"/>
    <w:rsid w:val="001D4006"/>
    <w:rsid w:val="001D54BD"/>
    <w:rsid w:val="001D5C72"/>
    <w:rsid w:val="001D616F"/>
    <w:rsid w:val="001D626E"/>
    <w:rsid w:val="001D733B"/>
    <w:rsid w:val="001D73CF"/>
    <w:rsid w:val="001D7536"/>
    <w:rsid w:val="001D7E8C"/>
    <w:rsid w:val="001E04CD"/>
    <w:rsid w:val="001E0902"/>
    <w:rsid w:val="001E1801"/>
    <w:rsid w:val="001E1C73"/>
    <w:rsid w:val="001E1E05"/>
    <w:rsid w:val="001E20B7"/>
    <w:rsid w:val="001E2254"/>
    <w:rsid w:val="001E22D2"/>
    <w:rsid w:val="001E2343"/>
    <w:rsid w:val="001E3A17"/>
    <w:rsid w:val="001E3FCB"/>
    <w:rsid w:val="001E52DF"/>
    <w:rsid w:val="001E5500"/>
    <w:rsid w:val="001E6BCB"/>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B9B"/>
    <w:rsid w:val="0021102F"/>
    <w:rsid w:val="002118D1"/>
    <w:rsid w:val="00211DCE"/>
    <w:rsid w:val="0021229D"/>
    <w:rsid w:val="00212390"/>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49E7"/>
    <w:rsid w:val="00254A7A"/>
    <w:rsid w:val="00254EA4"/>
    <w:rsid w:val="0025509C"/>
    <w:rsid w:val="002552F8"/>
    <w:rsid w:val="0025575F"/>
    <w:rsid w:val="002560FB"/>
    <w:rsid w:val="002571E3"/>
    <w:rsid w:val="002573DA"/>
    <w:rsid w:val="00260496"/>
    <w:rsid w:val="00260542"/>
    <w:rsid w:val="00260BAD"/>
    <w:rsid w:val="002612EA"/>
    <w:rsid w:val="0026224C"/>
    <w:rsid w:val="00264022"/>
    <w:rsid w:val="00264C7C"/>
    <w:rsid w:val="0026650F"/>
    <w:rsid w:val="00266DC3"/>
    <w:rsid w:val="0027029D"/>
    <w:rsid w:val="00270443"/>
    <w:rsid w:val="00270EE2"/>
    <w:rsid w:val="0027138C"/>
    <w:rsid w:val="0027165A"/>
    <w:rsid w:val="00272787"/>
    <w:rsid w:val="00272826"/>
    <w:rsid w:val="00272A7B"/>
    <w:rsid w:val="00272C44"/>
    <w:rsid w:val="00272E8C"/>
    <w:rsid w:val="00272F05"/>
    <w:rsid w:val="00273527"/>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B86"/>
    <w:rsid w:val="00282F1D"/>
    <w:rsid w:val="00283215"/>
    <w:rsid w:val="00283294"/>
    <w:rsid w:val="00283369"/>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528"/>
    <w:rsid w:val="002C1E93"/>
    <w:rsid w:val="002C29EB"/>
    <w:rsid w:val="002C30F0"/>
    <w:rsid w:val="002C3799"/>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3A6"/>
    <w:rsid w:val="002E3DD8"/>
    <w:rsid w:val="002E3ED8"/>
    <w:rsid w:val="002E556D"/>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518"/>
    <w:rsid w:val="00313432"/>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1FA5"/>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787"/>
    <w:rsid w:val="00341941"/>
    <w:rsid w:val="0034207A"/>
    <w:rsid w:val="0034278F"/>
    <w:rsid w:val="0034281F"/>
    <w:rsid w:val="00343B47"/>
    <w:rsid w:val="00343F24"/>
    <w:rsid w:val="0034404F"/>
    <w:rsid w:val="00344ACC"/>
    <w:rsid w:val="00345F01"/>
    <w:rsid w:val="0034654F"/>
    <w:rsid w:val="00346762"/>
    <w:rsid w:val="00346B28"/>
    <w:rsid w:val="003475E1"/>
    <w:rsid w:val="00347685"/>
    <w:rsid w:val="003509A5"/>
    <w:rsid w:val="003515FD"/>
    <w:rsid w:val="003518A4"/>
    <w:rsid w:val="00351E21"/>
    <w:rsid w:val="00352327"/>
    <w:rsid w:val="003526A9"/>
    <w:rsid w:val="00354062"/>
    <w:rsid w:val="00354405"/>
    <w:rsid w:val="00354752"/>
    <w:rsid w:val="00355779"/>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ADC"/>
    <w:rsid w:val="00372B87"/>
    <w:rsid w:val="00372C82"/>
    <w:rsid w:val="00372CFC"/>
    <w:rsid w:val="003733DF"/>
    <w:rsid w:val="00373865"/>
    <w:rsid w:val="003739DA"/>
    <w:rsid w:val="00373CE8"/>
    <w:rsid w:val="00374DB0"/>
    <w:rsid w:val="003751C7"/>
    <w:rsid w:val="00375C84"/>
    <w:rsid w:val="00376524"/>
    <w:rsid w:val="003769DE"/>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5DE"/>
    <w:rsid w:val="003A1D46"/>
    <w:rsid w:val="003A2447"/>
    <w:rsid w:val="003A2B82"/>
    <w:rsid w:val="003A36D3"/>
    <w:rsid w:val="003A3927"/>
    <w:rsid w:val="003A3D2E"/>
    <w:rsid w:val="003A3F75"/>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67C"/>
    <w:rsid w:val="003C0F87"/>
    <w:rsid w:val="003C1113"/>
    <w:rsid w:val="003C141E"/>
    <w:rsid w:val="003C1B83"/>
    <w:rsid w:val="003C210E"/>
    <w:rsid w:val="003C2186"/>
    <w:rsid w:val="003C21B3"/>
    <w:rsid w:val="003C30AD"/>
    <w:rsid w:val="003C3503"/>
    <w:rsid w:val="003C40DE"/>
    <w:rsid w:val="003C4851"/>
    <w:rsid w:val="003C4C96"/>
    <w:rsid w:val="003C55E0"/>
    <w:rsid w:val="003C5E39"/>
    <w:rsid w:val="003C683A"/>
    <w:rsid w:val="003D0079"/>
    <w:rsid w:val="003D017D"/>
    <w:rsid w:val="003D04D6"/>
    <w:rsid w:val="003D10EC"/>
    <w:rsid w:val="003D1901"/>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4AC"/>
    <w:rsid w:val="003E16F2"/>
    <w:rsid w:val="003E2195"/>
    <w:rsid w:val="003E241A"/>
    <w:rsid w:val="003E36A5"/>
    <w:rsid w:val="003E42BC"/>
    <w:rsid w:val="003E4A52"/>
    <w:rsid w:val="003E5CBA"/>
    <w:rsid w:val="003E782F"/>
    <w:rsid w:val="003E78A9"/>
    <w:rsid w:val="003E7912"/>
    <w:rsid w:val="003F04A3"/>
    <w:rsid w:val="003F04E6"/>
    <w:rsid w:val="003F097C"/>
    <w:rsid w:val="003F163F"/>
    <w:rsid w:val="003F2164"/>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A2B"/>
    <w:rsid w:val="00402E56"/>
    <w:rsid w:val="00403634"/>
    <w:rsid w:val="00403A99"/>
    <w:rsid w:val="00404592"/>
    <w:rsid w:val="0040496E"/>
    <w:rsid w:val="00404B58"/>
    <w:rsid w:val="0040544F"/>
    <w:rsid w:val="00405537"/>
    <w:rsid w:val="0040597C"/>
    <w:rsid w:val="0040625C"/>
    <w:rsid w:val="004069D2"/>
    <w:rsid w:val="004076FF"/>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5F29"/>
    <w:rsid w:val="0042605B"/>
    <w:rsid w:val="004261FD"/>
    <w:rsid w:val="00426B69"/>
    <w:rsid w:val="00426F8D"/>
    <w:rsid w:val="00427D1B"/>
    <w:rsid w:val="00427E40"/>
    <w:rsid w:val="004306AB"/>
    <w:rsid w:val="0043159D"/>
    <w:rsid w:val="0043171D"/>
    <w:rsid w:val="0043263C"/>
    <w:rsid w:val="00432AC3"/>
    <w:rsid w:val="00432F78"/>
    <w:rsid w:val="004334A2"/>
    <w:rsid w:val="004335BC"/>
    <w:rsid w:val="00433972"/>
    <w:rsid w:val="004339E6"/>
    <w:rsid w:val="00433DA5"/>
    <w:rsid w:val="00434723"/>
    <w:rsid w:val="00434729"/>
    <w:rsid w:val="00434FEA"/>
    <w:rsid w:val="0043617B"/>
    <w:rsid w:val="00437D17"/>
    <w:rsid w:val="00437D2F"/>
    <w:rsid w:val="0044046D"/>
    <w:rsid w:val="00440DEC"/>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65A"/>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35F"/>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5D73"/>
    <w:rsid w:val="00466078"/>
    <w:rsid w:val="0046626B"/>
    <w:rsid w:val="004676E4"/>
    <w:rsid w:val="00467AFF"/>
    <w:rsid w:val="00470183"/>
    <w:rsid w:val="004708C9"/>
    <w:rsid w:val="00470C48"/>
    <w:rsid w:val="0047139F"/>
    <w:rsid w:val="00471429"/>
    <w:rsid w:val="0047153B"/>
    <w:rsid w:val="004722B1"/>
    <w:rsid w:val="00472312"/>
    <w:rsid w:val="00473A2B"/>
    <w:rsid w:val="00473A47"/>
    <w:rsid w:val="00473A4F"/>
    <w:rsid w:val="00473C0A"/>
    <w:rsid w:val="00473EEF"/>
    <w:rsid w:val="00474415"/>
    <w:rsid w:val="00474BC1"/>
    <w:rsid w:val="00475A46"/>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37F"/>
    <w:rsid w:val="00482CDC"/>
    <w:rsid w:val="00482FB0"/>
    <w:rsid w:val="00483B03"/>
    <w:rsid w:val="0048444C"/>
    <w:rsid w:val="00485058"/>
    <w:rsid w:val="00485702"/>
    <w:rsid w:val="00485C2D"/>
    <w:rsid w:val="004860F7"/>
    <w:rsid w:val="00486177"/>
    <w:rsid w:val="004862C2"/>
    <w:rsid w:val="004867EC"/>
    <w:rsid w:val="00486A37"/>
    <w:rsid w:val="00487662"/>
    <w:rsid w:val="004876C6"/>
    <w:rsid w:val="00487D7B"/>
    <w:rsid w:val="00490F7A"/>
    <w:rsid w:val="00490FD5"/>
    <w:rsid w:val="00491241"/>
    <w:rsid w:val="00491813"/>
    <w:rsid w:val="00492B82"/>
    <w:rsid w:val="00493278"/>
    <w:rsid w:val="00493855"/>
    <w:rsid w:val="004951D8"/>
    <w:rsid w:val="004952C1"/>
    <w:rsid w:val="00497575"/>
    <w:rsid w:val="004A078B"/>
    <w:rsid w:val="004A12C0"/>
    <w:rsid w:val="004A169A"/>
    <w:rsid w:val="004A18C9"/>
    <w:rsid w:val="004A191A"/>
    <w:rsid w:val="004A1A70"/>
    <w:rsid w:val="004A2D5A"/>
    <w:rsid w:val="004A2E84"/>
    <w:rsid w:val="004A3988"/>
    <w:rsid w:val="004A4027"/>
    <w:rsid w:val="004A419E"/>
    <w:rsid w:val="004A43F0"/>
    <w:rsid w:val="004A4688"/>
    <w:rsid w:val="004A4776"/>
    <w:rsid w:val="004A5741"/>
    <w:rsid w:val="004A6463"/>
    <w:rsid w:val="004A6B58"/>
    <w:rsid w:val="004A6BA2"/>
    <w:rsid w:val="004A7D74"/>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E016A"/>
    <w:rsid w:val="004E0461"/>
    <w:rsid w:val="004E12E8"/>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2F69"/>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6B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2B9F"/>
    <w:rsid w:val="00543C9C"/>
    <w:rsid w:val="005442F1"/>
    <w:rsid w:val="00544A24"/>
    <w:rsid w:val="0054583C"/>
    <w:rsid w:val="00546227"/>
    <w:rsid w:val="005468E2"/>
    <w:rsid w:val="00546D83"/>
    <w:rsid w:val="00546FCC"/>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4D6D"/>
    <w:rsid w:val="005551E9"/>
    <w:rsid w:val="0055680D"/>
    <w:rsid w:val="00557670"/>
    <w:rsid w:val="00557C2D"/>
    <w:rsid w:val="00560094"/>
    <w:rsid w:val="0056054A"/>
    <w:rsid w:val="00560C62"/>
    <w:rsid w:val="00562A61"/>
    <w:rsid w:val="00562E78"/>
    <w:rsid w:val="005638A2"/>
    <w:rsid w:val="00564E45"/>
    <w:rsid w:val="005652D5"/>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197"/>
    <w:rsid w:val="00590346"/>
    <w:rsid w:val="0059093F"/>
    <w:rsid w:val="00590BA2"/>
    <w:rsid w:val="00590CA7"/>
    <w:rsid w:val="00590E93"/>
    <w:rsid w:val="005915E1"/>
    <w:rsid w:val="0059177A"/>
    <w:rsid w:val="00591C75"/>
    <w:rsid w:val="00592D10"/>
    <w:rsid w:val="0059388B"/>
    <w:rsid w:val="00593A5F"/>
    <w:rsid w:val="0059404E"/>
    <w:rsid w:val="00594269"/>
    <w:rsid w:val="005950C2"/>
    <w:rsid w:val="00595539"/>
    <w:rsid w:val="00597108"/>
    <w:rsid w:val="005976DB"/>
    <w:rsid w:val="005A1A84"/>
    <w:rsid w:val="005A3E82"/>
    <w:rsid w:val="005A4287"/>
    <w:rsid w:val="005A482E"/>
    <w:rsid w:val="005A4DB0"/>
    <w:rsid w:val="005A5095"/>
    <w:rsid w:val="005A5597"/>
    <w:rsid w:val="005A57BF"/>
    <w:rsid w:val="005A6AC2"/>
    <w:rsid w:val="005A7A65"/>
    <w:rsid w:val="005A7B26"/>
    <w:rsid w:val="005A7B8E"/>
    <w:rsid w:val="005A7C10"/>
    <w:rsid w:val="005B012B"/>
    <w:rsid w:val="005B0C87"/>
    <w:rsid w:val="005B0FE9"/>
    <w:rsid w:val="005B2195"/>
    <w:rsid w:val="005B26C7"/>
    <w:rsid w:val="005B2D1F"/>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624"/>
    <w:rsid w:val="005C5967"/>
    <w:rsid w:val="005C5BED"/>
    <w:rsid w:val="005C5D86"/>
    <w:rsid w:val="005C6167"/>
    <w:rsid w:val="005C6ADB"/>
    <w:rsid w:val="005C6EE2"/>
    <w:rsid w:val="005C74DC"/>
    <w:rsid w:val="005C7A07"/>
    <w:rsid w:val="005C7DDC"/>
    <w:rsid w:val="005C7F7C"/>
    <w:rsid w:val="005D0BAD"/>
    <w:rsid w:val="005D0C0A"/>
    <w:rsid w:val="005D107D"/>
    <w:rsid w:val="005D123A"/>
    <w:rsid w:val="005D2506"/>
    <w:rsid w:val="005D2BB5"/>
    <w:rsid w:val="005D3677"/>
    <w:rsid w:val="005D3A10"/>
    <w:rsid w:val="005D4E4C"/>
    <w:rsid w:val="005D5B5E"/>
    <w:rsid w:val="005D5C85"/>
    <w:rsid w:val="005D5CA0"/>
    <w:rsid w:val="005D5F27"/>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67B"/>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3CC8"/>
    <w:rsid w:val="006040CE"/>
    <w:rsid w:val="0060467D"/>
    <w:rsid w:val="00604DF3"/>
    <w:rsid w:val="0060585E"/>
    <w:rsid w:val="00605B4D"/>
    <w:rsid w:val="00605B9D"/>
    <w:rsid w:val="00606213"/>
    <w:rsid w:val="00606B57"/>
    <w:rsid w:val="00606B85"/>
    <w:rsid w:val="00607390"/>
    <w:rsid w:val="006076D8"/>
    <w:rsid w:val="00607C43"/>
    <w:rsid w:val="00607E6D"/>
    <w:rsid w:val="00610490"/>
    <w:rsid w:val="0061061D"/>
    <w:rsid w:val="00610B97"/>
    <w:rsid w:val="00611708"/>
    <w:rsid w:val="00611816"/>
    <w:rsid w:val="00611A3B"/>
    <w:rsid w:val="006120CA"/>
    <w:rsid w:val="00612389"/>
    <w:rsid w:val="00612570"/>
    <w:rsid w:val="006127BD"/>
    <w:rsid w:val="00612871"/>
    <w:rsid w:val="00612929"/>
    <w:rsid w:val="00612A44"/>
    <w:rsid w:val="00612A8E"/>
    <w:rsid w:val="00613098"/>
    <w:rsid w:val="0061348F"/>
    <w:rsid w:val="006134D9"/>
    <w:rsid w:val="006135DA"/>
    <w:rsid w:val="00613BDC"/>
    <w:rsid w:val="00613F64"/>
    <w:rsid w:val="00614921"/>
    <w:rsid w:val="00615564"/>
    <w:rsid w:val="006155E2"/>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A1C"/>
    <w:rsid w:val="00636F7B"/>
    <w:rsid w:val="00637784"/>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3D6"/>
    <w:rsid w:val="00644BED"/>
    <w:rsid w:val="00644F27"/>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D37"/>
    <w:rsid w:val="00654F06"/>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676"/>
    <w:rsid w:val="00666F2F"/>
    <w:rsid w:val="00667421"/>
    <w:rsid w:val="0066780E"/>
    <w:rsid w:val="00667A31"/>
    <w:rsid w:val="00670702"/>
    <w:rsid w:val="006708EB"/>
    <w:rsid w:val="0067147C"/>
    <w:rsid w:val="0067225F"/>
    <w:rsid w:val="00672895"/>
    <w:rsid w:val="00672A8A"/>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2401"/>
    <w:rsid w:val="00693B7A"/>
    <w:rsid w:val="006940BE"/>
    <w:rsid w:val="006941CC"/>
    <w:rsid w:val="006942BA"/>
    <w:rsid w:val="006945D4"/>
    <w:rsid w:val="00694EC0"/>
    <w:rsid w:val="00695852"/>
    <w:rsid w:val="00695F56"/>
    <w:rsid w:val="0069690E"/>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5408"/>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6C2D"/>
    <w:rsid w:val="006C7535"/>
    <w:rsid w:val="006C76A6"/>
    <w:rsid w:val="006C796D"/>
    <w:rsid w:val="006D0525"/>
    <w:rsid w:val="006D08DC"/>
    <w:rsid w:val="006D09D1"/>
    <w:rsid w:val="006D10C4"/>
    <w:rsid w:val="006D23FF"/>
    <w:rsid w:val="006D2F09"/>
    <w:rsid w:val="006D2FD2"/>
    <w:rsid w:val="006D33E6"/>
    <w:rsid w:val="006D3783"/>
    <w:rsid w:val="006D3DC0"/>
    <w:rsid w:val="006D40C4"/>
    <w:rsid w:val="006D4162"/>
    <w:rsid w:val="006D453E"/>
    <w:rsid w:val="006D5303"/>
    <w:rsid w:val="006D5E84"/>
    <w:rsid w:val="006D7A4C"/>
    <w:rsid w:val="006D7C99"/>
    <w:rsid w:val="006E036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0A79"/>
    <w:rsid w:val="00711E77"/>
    <w:rsid w:val="00712912"/>
    <w:rsid w:val="00713AAC"/>
    <w:rsid w:val="00713C1D"/>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549"/>
    <w:rsid w:val="00733E5A"/>
    <w:rsid w:val="00733F25"/>
    <w:rsid w:val="00736395"/>
    <w:rsid w:val="00736459"/>
    <w:rsid w:val="0073685F"/>
    <w:rsid w:val="00737821"/>
    <w:rsid w:val="0074058F"/>
    <w:rsid w:val="00740E86"/>
    <w:rsid w:val="00741175"/>
    <w:rsid w:val="007419FB"/>
    <w:rsid w:val="0074218C"/>
    <w:rsid w:val="00742606"/>
    <w:rsid w:val="007441FF"/>
    <w:rsid w:val="007448A7"/>
    <w:rsid w:val="00744EE8"/>
    <w:rsid w:val="00744F42"/>
    <w:rsid w:val="007459F5"/>
    <w:rsid w:val="00745D9E"/>
    <w:rsid w:val="007466DC"/>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3A04"/>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6AD5"/>
    <w:rsid w:val="00777AE2"/>
    <w:rsid w:val="00777C71"/>
    <w:rsid w:val="00777D6B"/>
    <w:rsid w:val="00777F20"/>
    <w:rsid w:val="0078080B"/>
    <w:rsid w:val="00781148"/>
    <w:rsid w:val="0078120F"/>
    <w:rsid w:val="00781F98"/>
    <w:rsid w:val="007820DF"/>
    <w:rsid w:val="0078265B"/>
    <w:rsid w:val="00782AFE"/>
    <w:rsid w:val="00782E10"/>
    <w:rsid w:val="00784926"/>
    <w:rsid w:val="00784DB8"/>
    <w:rsid w:val="00784FDD"/>
    <w:rsid w:val="0078508F"/>
    <w:rsid w:val="00786448"/>
    <w:rsid w:val="007875D7"/>
    <w:rsid w:val="007906B2"/>
    <w:rsid w:val="0079134E"/>
    <w:rsid w:val="00791354"/>
    <w:rsid w:val="007925F0"/>
    <w:rsid w:val="0079278E"/>
    <w:rsid w:val="00792DCA"/>
    <w:rsid w:val="00792E3C"/>
    <w:rsid w:val="00792FDF"/>
    <w:rsid w:val="00793040"/>
    <w:rsid w:val="007930C1"/>
    <w:rsid w:val="0079315D"/>
    <w:rsid w:val="00793B45"/>
    <w:rsid w:val="007946EE"/>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7462"/>
    <w:rsid w:val="007B7B52"/>
    <w:rsid w:val="007B7EEE"/>
    <w:rsid w:val="007C02A3"/>
    <w:rsid w:val="007C0C55"/>
    <w:rsid w:val="007C1507"/>
    <w:rsid w:val="007C1857"/>
    <w:rsid w:val="007C207E"/>
    <w:rsid w:val="007C290B"/>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772"/>
    <w:rsid w:val="007D1B24"/>
    <w:rsid w:val="007D267F"/>
    <w:rsid w:val="007D3341"/>
    <w:rsid w:val="007D399C"/>
    <w:rsid w:val="007D3A3E"/>
    <w:rsid w:val="007D400A"/>
    <w:rsid w:val="007D44C1"/>
    <w:rsid w:val="007D4B0E"/>
    <w:rsid w:val="007D4DD2"/>
    <w:rsid w:val="007D558F"/>
    <w:rsid w:val="007D5D0F"/>
    <w:rsid w:val="007D6EA8"/>
    <w:rsid w:val="007D7B3C"/>
    <w:rsid w:val="007E010B"/>
    <w:rsid w:val="007E042B"/>
    <w:rsid w:val="007E05DB"/>
    <w:rsid w:val="007E1247"/>
    <w:rsid w:val="007E1A44"/>
    <w:rsid w:val="007E2419"/>
    <w:rsid w:val="007E2E7D"/>
    <w:rsid w:val="007E3FF5"/>
    <w:rsid w:val="007E4219"/>
    <w:rsid w:val="007E577E"/>
    <w:rsid w:val="007E635E"/>
    <w:rsid w:val="007E6A9C"/>
    <w:rsid w:val="007E6C0C"/>
    <w:rsid w:val="007E7300"/>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272"/>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7D4"/>
    <w:rsid w:val="008279D2"/>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8CA"/>
    <w:rsid w:val="008429CF"/>
    <w:rsid w:val="0084324C"/>
    <w:rsid w:val="00843910"/>
    <w:rsid w:val="00843B9B"/>
    <w:rsid w:val="008451F8"/>
    <w:rsid w:val="008456C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5FA6"/>
    <w:rsid w:val="00856607"/>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2F34"/>
    <w:rsid w:val="00883613"/>
    <w:rsid w:val="0088557F"/>
    <w:rsid w:val="00886393"/>
    <w:rsid w:val="00886579"/>
    <w:rsid w:val="00886F19"/>
    <w:rsid w:val="00887090"/>
    <w:rsid w:val="00887865"/>
    <w:rsid w:val="00887B37"/>
    <w:rsid w:val="00890598"/>
    <w:rsid w:val="0089065A"/>
    <w:rsid w:val="00890DEB"/>
    <w:rsid w:val="0089177A"/>
    <w:rsid w:val="00891AA9"/>
    <w:rsid w:val="00891D7A"/>
    <w:rsid w:val="00891DFC"/>
    <w:rsid w:val="00892791"/>
    <w:rsid w:val="00892B98"/>
    <w:rsid w:val="008945D2"/>
    <w:rsid w:val="008949A3"/>
    <w:rsid w:val="00894CB5"/>
    <w:rsid w:val="008959FC"/>
    <w:rsid w:val="0089605E"/>
    <w:rsid w:val="00896668"/>
    <w:rsid w:val="00896E9A"/>
    <w:rsid w:val="00897619"/>
    <w:rsid w:val="008978D6"/>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385"/>
    <w:rsid w:val="008B05E6"/>
    <w:rsid w:val="008B0E76"/>
    <w:rsid w:val="008B105C"/>
    <w:rsid w:val="008B15CE"/>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D0C"/>
    <w:rsid w:val="008C127A"/>
    <w:rsid w:val="008C179E"/>
    <w:rsid w:val="008C18BD"/>
    <w:rsid w:val="008C1932"/>
    <w:rsid w:val="008C1CC8"/>
    <w:rsid w:val="008C1ECC"/>
    <w:rsid w:val="008C2C41"/>
    <w:rsid w:val="008C2C7F"/>
    <w:rsid w:val="008C2F0D"/>
    <w:rsid w:val="008C346A"/>
    <w:rsid w:val="008C364D"/>
    <w:rsid w:val="008C500C"/>
    <w:rsid w:val="008C5BC0"/>
    <w:rsid w:val="008C5D2A"/>
    <w:rsid w:val="008C62E8"/>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1B7B"/>
    <w:rsid w:val="008E22F8"/>
    <w:rsid w:val="008E23EE"/>
    <w:rsid w:val="008E25D0"/>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66FD"/>
    <w:rsid w:val="009375E5"/>
    <w:rsid w:val="0093785F"/>
    <w:rsid w:val="00937BC5"/>
    <w:rsid w:val="00937D30"/>
    <w:rsid w:val="00941692"/>
    <w:rsid w:val="00941848"/>
    <w:rsid w:val="0094337A"/>
    <w:rsid w:val="009437F2"/>
    <w:rsid w:val="009442E8"/>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2A9"/>
    <w:rsid w:val="00961453"/>
    <w:rsid w:val="009616D4"/>
    <w:rsid w:val="0096182D"/>
    <w:rsid w:val="00962150"/>
    <w:rsid w:val="00962CCD"/>
    <w:rsid w:val="00963847"/>
    <w:rsid w:val="00964036"/>
    <w:rsid w:val="00964166"/>
    <w:rsid w:val="00964429"/>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A66"/>
    <w:rsid w:val="00977C23"/>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9D5"/>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7489"/>
    <w:rsid w:val="009B7987"/>
    <w:rsid w:val="009B7B0A"/>
    <w:rsid w:val="009C0519"/>
    <w:rsid w:val="009C07C9"/>
    <w:rsid w:val="009C08D7"/>
    <w:rsid w:val="009C0B63"/>
    <w:rsid w:val="009C0DC5"/>
    <w:rsid w:val="009C1866"/>
    <w:rsid w:val="009C1FDE"/>
    <w:rsid w:val="009C23FE"/>
    <w:rsid w:val="009C24C8"/>
    <w:rsid w:val="009C274A"/>
    <w:rsid w:val="009C375C"/>
    <w:rsid w:val="009C4E0D"/>
    <w:rsid w:val="009C4F09"/>
    <w:rsid w:val="009C4F1B"/>
    <w:rsid w:val="009C503B"/>
    <w:rsid w:val="009C542B"/>
    <w:rsid w:val="009C5793"/>
    <w:rsid w:val="009C5816"/>
    <w:rsid w:val="009C61EA"/>
    <w:rsid w:val="009C63EC"/>
    <w:rsid w:val="009C6DF1"/>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D766F"/>
    <w:rsid w:val="009E0885"/>
    <w:rsid w:val="009E1CC8"/>
    <w:rsid w:val="009E20F7"/>
    <w:rsid w:val="009E2827"/>
    <w:rsid w:val="009E2863"/>
    <w:rsid w:val="009E30D2"/>
    <w:rsid w:val="009E31B5"/>
    <w:rsid w:val="009E4885"/>
    <w:rsid w:val="009E49C6"/>
    <w:rsid w:val="009E4E65"/>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220A"/>
    <w:rsid w:val="009F3171"/>
    <w:rsid w:val="009F36D6"/>
    <w:rsid w:val="009F3860"/>
    <w:rsid w:val="009F6575"/>
    <w:rsid w:val="009F7ADC"/>
    <w:rsid w:val="00A0002A"/>
    <w:rsid w:val="00A01F3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63D"/>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837"/>
    <w:rsid w:val="00A43A1A"/>
    <w:rsid w:val="00A43D48"/>
    <w:rsid w:val="00A43F3C"/>
    <w:rsid w:val="00A447A5"/>
    <w:rsid w:val="00A44D18"/>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B07"/>
    <w:rsid w:val="00A6025F"/>
    <w:rsid w:val="00A60E9C"/>
    <w:rsid w:val="00A61196"/>
    <w:rsid w:val="00A6131E"/>
    <w:rsid w:val="00A616AF"/>
    <w:rsid w:val="00A61879"/>
    <w:rsid w:val="00A628B4"/>
    <w:rsid w:val="00A62E6A"/>
    <w:rsid w:val="00A63E32"/>
    <w:rsid w:val="00A63E4E"/>
    <w:rsid w:val="00A6444F"/>
    <w:rsid w:val="00A652FF"/>
    <w:rsid w:val="00A65567"/>
    <w:rsid w:val="00A6598D"/>
    <w:rsid w:val="00A65A0D"/>
    <w:rsid w:val="00A65C27"/>
    <w:rsid w:val="00A65F3C"/>
    <w:rsid w:val="00A661FD"/>
    <w:rsid w:val="00A66FB3"/>
    <w:rsid w:val="00A67DF5"/>
    <w:rsid w:val="00A709A3"/>
    <w:rsid w:val="00A71216"/>
    <w:rsid w:val="00A714A3"/>
    <w:rsid w:val="00A71B8B"/>
    <w:rsid w:val="00A74456"/>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4BFF"/>
    <w:rsid w:val="00A95186"/>
    <w:rsid w:val="00A951AD"/>
    <w:rsid w:val="00A952F8"/>
    <w:rsid w:val="00A9561B"/>
    <w:rsid w:val="00A961BD"/>
    <w:rsid w:val="00A9652F"/>
    <w:rsid w:val="00A973B1"/>
    <w:rsid w:val="00AA027E"/>
    <w:rsid w:val="00AA1224"/>
    <w:rsid w:val="00AA14F2"/>
    <w:rsid w:val="00AA17D9"/>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39D"/>
    <w:rsid w:val="00AC09D5"/>
    <w:rsid w:val="00AC0C1D"/>
    <w:rsid w:val="00AC0D8E"/>
    <w:rsid w:val="00AC175B"/>
    <w:rsid w:val="00AC1AA3"/>
    <w:rsid w:val="00AC1F8E"/>
    <w:rsid w:val="00AC22C1"/>
    <w:rsid w:val="00AC374B"/>
    <w:rsid w:val="00AC3798"/>
    <w:rsid w:val="00AC3ED5"/>
    <w:rsid w:val="00AC4CB3"/>
    <w:rsid w:val="00AC4D7C"/>
    <w:rsid w:val="00AC53B0"/>
    <w:rsid w:val="00AC6473"/>
    <w:rsid w:val="00AC6655"/>
    <w:rsid w:val="00AC6EF2"/>
    <w:rsid w:val="00AC71A6"/>
    <w:rsid w:val="00AC741C"/>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666"/>
    <w:rsid w:val="00B169CD"/>
    <w:rsid w:val="00B16C0A"/>
    <w:rsid w:val="00B1785C"/>
    <w:rsid w:val="00B17F60"/>
    <w:rsid w:val="00B2039A"/>
    <w:rsid w:val="00B20AC8"/>
    <w:rsid w:val="00B21063"/>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875"/>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6ED"/>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49BD"/>
    <w:rsid w:val="00B65295"/>
    <w:rsid w:val="00B65D9B"/>
    <w:rsid w:val="00B667E1"/>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6BD5"/>
    <w:rsid w:val="00B90351"/>
    <w:rsid w:val="00B90532"/>
    <w:rsid w:val="00B906F2"/>
    <w:rsid w:val="00B90D9B"/>
    <w:rsid w:val="00B91259"/>
    <w:rsid w:val="00B91AD5"/>
    <w:rsid w:val="00B91B81"/>
    <w:rsid w:val="00B91FF0"/>
    <w:rsid w:val="00B92164"/>
    <w:rsid w:val="00B926A8"/>
    <w:rsid w:val="00B92FFF"/>
    <w:rsid w:val="00B93538"/>
    <w:rsid w:val="00B936F8"/>
    <w:rsid w:val="00B9449F"/>
    <w:rsid w:val="00B9492E"/>
    <w:rsid w:val="00B94B06"/>
    <w:rsid w:val="00B960DB"/>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51C0"/>
    <w:rsid w:val="00BA5413"/>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53CB"/>
    <w:rsid w:val="00BE5888"/>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6FBA"/>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D51"/>
    <w:rsid w:val="00C70DF4"/>
    <w:rsid w:val="00C71252"/>
    <w:rsid w:val="00C7277F"/>
    <w:rsid w:val="00C72960"/>
    <w:rsid w:val="00C73C07"/>
    <w:rsid w:val="00C74930"/>
    <w:rsid w:val="00C74B47"/>
    <w:rsid w:val="00C74D80"/>
    <w:rsid w:val="00C754BD"/>
    <w:rsid w:val="00C75D3A"/>
    <w:rsid w:val="00C769A9"/>
    <w:rsid w:val="00C772BC"/>
    <w:rsid w:val="00C774C9"/>
    <w:rsid w:val="00C77F1B"/>
    <w:rsid w:val="00C80987"/>
    <w:rsid w:val="00C80A3F"/>
    <w:rsid w:val="00C8180E"/>
    <w:rsid w:val="00C818A9"/>
    <w:rsid w:val="00C81F34"/>
    <w:rsid w:val="00C82436"/>
    <w:rsid w:val="00C82933"/>
    <w:rsid w:val="00C82BE2"/>
    <w:rsid w:val="00C835D3"/>
    <w:rsid w:val="00C84BBF"/>
    <w:rsid w:val="00C84BE9"/>
    <w:rsid w:val="00C854B7"/>
    <w:rsid w:val="00C85DEF"/>
    <w:rsid w:val="00C85E1C"/>
    <w:rsid w:val="00C85E40"/>
    <w:rsid w:val="00C86D76"/>
    <w:rsid w:val="00C86DA6"/>
    <w:rsid w:val="00C87A64"/>
    <w:rsid w:val="00C910F8"/>
    <w:rsid w:val="00C91106"/>
    <w:rsid w:val="00C9117B"/>
    <w:rsid w:val="00C91D19"/>
    <w:rsid w:val="00C93B58"/>
    <w:rsid w:val="00C93C2F"/>
    <w:rsid w:val="00C9437C"/>
    <w:rsid w:val="00C946E4"/>
    <w:rsid w:val="00C946FF"/>
    <w:rsid w:val="00C94A14"/>
    <w:rsid w:val="00C94CDA"/>
    <w:rsid w:val="00C95BED"/>
    <w:rsid w:val="00C95EB3"/>
    <w:rsid w:val="00C96725"/>
    <w:rsid w:val="00C96FD9"/>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1344"/>
    <w:rsid w:val="00CE15AE"/>
    <w:rsid w:val="00CE1CFC"/>
    <w:rsid w:val="00CE235A"/>
    <w:rsid w:val="00CE37A3"/>
    <w:rsid w:val="00CE3814"/>
    <w:rsid w:val="00CE3FC0"/>
    <w:rsid w:val="00CE4AC7"/>
    <w:rsid w:val="00CE56B7"/>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DC1"/>
    <w:rsid w:val="00CF2EE2"/>
    <w:rsid w:val="00CF37AD"/>
    <w:rsid w:val="00CF3948"/>
    <w:rsid w:val="00CF3ACF"/>
    <w:rsid w:val="00CF441D"/>
    <w:rsid w:val="00CF4FCF"/>
    <w:rsid w:val="00CF4FD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D00175"/>
    <w:rsid w:val="00D00223"/>
    <w:rsid w:val="00D00312"/>
    <w:rsid w:val="00D0045E"/>
    <w:rsid w:val="00D008D8"/>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BB"/>
    <w:rsid w:val="00D1707A"/>
    <w:rsid w:val="00D17CC2"/>
    <w:rsid w:val="00D20EED"/>
    <w:rsid w:val="00D21435"/>
    <w:rsid w:val="00D2242C"/>
    <w:rsid w:val="00D224FA"/>
    <w:rsid w:val="00D23033"/>
    <w:rsid w:val="00D23D60"/>
    <w:rsid w:val="00D2402F"/>
    <w:rsid w:val="00D245C2"/>
    <w:rsid w:val="00D25660"/>
    <w:rsid w:val="00D2569B"/>
    <w:rsid w:val="00D258EB"/>
    <w:rsid w:val="00D25AEB"/>
    <w:rsid w:val="00D26C14"/>
    <w:rsid w:val="00D271CD"/>
    <w:rsid w:val="00D27BD2"/>
    <w:rsid w:val="00D30480"/>
    <w:rsid w:val="00D3064E"/>
    <w:rsid w:val="00D315CC"/>
    <w:rsid w:val="00D31DDA"/>
    <w:rsid w:val="00D31F05"/>
    <w:rsid w:val="00D32067"/>
    <w:rsid w:val="00D327A3"/>
    <w:rsid w:val="00D33893"/>
    <w:rsid w:val="00D33AE9"/>
    <w:rsid w:val="00D34224"/>
    <w:rsid w:val="00D34927"/>
    <w:rsid w:val="00D34C82"/>
    <w:rsid w:val="00D36550"/>
    <w:rsid w:val="00D36C97"/>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6898"/>
    <w:rsid w:val="00D4714D"/>
    <w:rsid w:val="00D474AB"/>
    <w:rsid w:val="00D4754E"/>
    <w:rsid w:val="00D50460"/>
    <w:rsid w:val="00D50961"/>
    <w:rsid w:val="00D50A02"/>
    <w:rsid w:val="00D512A1"/>
    <w:rsid w:val="00D518D6"/>
    <w:rsid w:val="00D51FDC"/>
    <w:rsid w:val="00D52AB4"/>
    <w:rsid w:val="00D52F26"/>
    <w:rsid w:val="00D531F5"/>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40B"/>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292F"/>
    <w:rsid w:val="00D8321A"/>
    <w:rsid w:val="00D83F57"/>
    <w:rsid w:val="00D84A86"/>
    <w:rsid w:val="00D8507B"/>
    <w:rsid w:val="00D85152"/>
    <w:rsid w:val="00D85D1A"/>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5B"/>
    <w:rsid w:val="00D944D2"/>
    <w:rsid w:val="00D95ECE"/>
    <w:rsid w:val="00D96D4F"/>
    <w:rsid w:val="00DA1806"/>
    <w:rsid w:val="00DA1BD1"/>
    <w:rsid w:val="00DA212B"/>
    <w:rsid w:val="00DA3155"/>
    <w:rsid w:val="00DA3A76"/>
    <w:rsid w:val="00DA5713"/>
    <w:rsid w:val="00DA5B51"/>
    <w:rsid w:val="00DA5F95"/>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3DC3"/>
    <w:rsid w:val="00DB41CB"/>
    <w:rsid w:val="00DB5114"/>
    <w:rsid w:val="00DB681B"/>
    <w:rsid w:val="00DB6D37"/>
    <w:rsid w:val="00DB73C2"/>
    <w:rsid w:val="00DB7E24"/>
    <w:rsid w:val="00DC0445"/>
    <w:rsid w:val="00DC115F"/>
    <w:rsid w:val="00DC17A9"/>
    <w:rsid w:val="00DC2082"/>
    <w:rsid w:val="00DC225F"/>
    <w:rsid w:val="00DC254E"/>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AFB"/>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4DF"/>
    <w:rsid w:val="00E30712"/>
    <w:rsid w:val="00E309B0"/>
    <w:rsid w:val="00E30A3E"/>
    <w:rsid w:val="00E30E67"/>
    <w:rsid w:val="00E32143"/>
    <w:rsid w:val="00E325F3"/>
    <w:rsid w:val="00E326E9"/>
    <w:rsid w:val="00E32AB7"/>
    <w:rsid w:val="00E32B61"/>
    <w:rsid w:val="00E33106"/>
    <w:rsid w:val="00E33585"/>
    <w:rsid w:val="00E345C2"/>
    <w:rsid w:val="00E34D99"/>
    <w:rsid w:val="00E34F50"/>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7A3"/>
    <w:rsid w:val="00E659FD"/>
    <w:rsid w:val="00E65B0C"/>
    <w:rsid w:val="00E66783"/>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4DAE"/>
    <w:rsid w:val="00E750CB"/>
    <w:rsid w:val="00E778DC"/>
    <w:rsid w:val="00E77FD3"/>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1191"/>
    <w:rsid w:val="00E92C96"/>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9B6"/>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8"/>
    <w:rsid w:val="00EA761C"/>
    <w:rsid w:val="00EA7D7F"/>
    <w:rsid w:val="00EB0810"/>
    <w:rsid w:val="00EB0B5F"/>
    <w:rsid w:val="00EB1CF7"/>
    <w:rsid w:val="00EB25C2"/>
    <w:rsid w:val="00EB2B6F"/>
    <w:rsid w:val="00EB2CAD"/>
    <w:rsid w:val="00EB2FA2"/>
    <w:rsid w:val="00EB3272"/>
    <w:rsid w:val="00EB37B2"/>
    <w:rsid w:val="00EB3FF9"/>
    <w:rsid w:val="00EB5047"/>
    <w:rsid w:val="00EB5F0B"/>
    <w:rsid w:val="00EB7352"/>
    <w:rsid w:val="00EB769A"/>
    <w:rsid w:val="00EC08CF"/>
    <w:rsid w:val="00EC11E4"/>
    <w:rsid w:val="00EC14E1"/>
    <w:rsid w:val="00EC183C"/>
    <w:rsid w:val="00EC1AB4"/>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3B56"/>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1A39"/>
    <w:rsid w:val="00F11D2E"/>
    <w:rsid w:val="00F1284F"/>
    <w:rsid w:val="00F13228"/>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096"/>
    <w:rsid w:val="00F5480F"/>
    <w:rsid w:val="00F54AA5"/>
    <w:rsid w:val="00F552F7"/>
    <w:rsid w:val="00F553A7"/>
    <w:rsid w:val="00F554EB"/>
    <w:rsid w:val="00F5562D"/>
    <w:rsid w:val="00F55710"/>
    <w:rsid w:val="00F55BC7"/>
    <w:rsid w:val="00F566EA"/>
    <w:rsid w:val="00F567A4"/>
    <w:rsid w:val="00F578EB"/>
    <w:rsid w:val="00F605BE"/>
    <w:rsid w:val="00F60778"/>
    <w:rsid w:val="00F60AF6"/>
    <w:rsid w:val="00F60DDC"/>
    <w:rsid w:val="00F610A9"/>
    <w:rsid w:val="00F617BE"/>
    <w:rsid w:val="00F6185D"/>
    <w:rsid w:val="00F61C7A"/>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2D8E"/>
    <w:rsid w:val="00FA3520"/>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BDD"/>
    <w:rsid w:val="00FC5C43"/>
    <w:rsid w:val="00FC5F72"/>
    <w:rsid w:val="00FC62B5"/>
    <w:rsid w:val="00FC6D4E"/>
    <w:rsid w:val="00FC7073"/>
    <w:rsid w:val="00FC736F"/>
    <w:rsid w:val="00FD0CDB"/>
    <w:rsid w:val="00FD1FA7"/>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6BC"/>
    <w:rsid w:val="00FE4B6F"/>
    <w:rsid w:val="00FE6788"/>
    <w:rsid w:val="00FE6818"/>
    <w:rsid w:val="00FE6A9E"/>
    <w:rsid w:val="00FE6BFB"/>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anaguzman199209@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6" Type="http://schemas.openxmlformats.org/officeDocument/2006/relationships/hyperlink" Target="http://www.secretariasenado.gov.co/senado/basedoc/decreto_0252_2020.html" TargetMode="External"/><Relationship Id="rId5" Type="http://schemas.openxmlformats.org/officeDocument/2006/relationships/hyperlink" Target="http://www.secretariasenado.gov.co/senado/basedoc/decreto_1088_1993.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purl.org/dc/terms/"/>
    <ds:schemaRef ds:uri="http://schemas.microsoft.com/office/infopath/2007/PartnerControls"/>
    <ds:schemaRef ds:uri="http://schemas.microsoft.com/office/2006/documentManagement/types"/>
    <ds:schemaRef ds:uri="http://www.w3.org/XML/1998/namespace"/>
    <ds:schemaRef ds:uri="http://purl.org/dc/elements/1.1/"/>
    <ds:schemaRef ds:uri="9d85dbaf-23eb-4e57-a637-93dcacc8b1a1"/>
    <ds:schemaRef ds:uri="http://schemas.openxmlformats.org/package/2006/metadata/core-properties"/>
    <ds:schemaRef ds:uri="a6cb9e4b-f1d1-4245-83ec-6cad768d538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5265</Words>
  <Characters>28962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34159</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2025-09-09T16:52:00Z</dcterms:created>
  <dcterms:modified xsi:type="dcterms:W3CDTF">2025-09-09T16:52:00Z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