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7374C2" w:rsidRDefault="009F59C2" w:rsidP="00D66CC3">
      <w:pPr>
        <w:jc w:val="right"/>
        <w:rPr>
          <w:rFonts w:ascii="Arial" w:hAnsi="Arial" w:cs="Arial"/>
          <w:b/>
          <w:color w:val="000000" w:themeColor="text1"/>
          <w:sz w:val="16"/>
          <w:szCs w:val="16"/>
          <w:lang w:val="es-ES_tradnl" w:eastAsia="es-ES"/>
        </w:rPr>
      </w:pPr>
      <w:bookmarkStart w:id="0" w:name="_Hlk28946138"/>
      <w:bookmarkStart w:id="1" w:name="_Hlk29548183"/>
      <w:r w:rsidRPr="00E6228D">
        <w:rPr>
          <w:rFonts w:ascii="Arial" w:hAnsi="Arial" w:cs="Arial"/>
          <w:b/>
          <w:color w:val="000000" w:themeColor="text1"/>
          <w:sz w:val="21"/>
          <w:szCs w:val="21"/>
          <w:lang w:val="es-ES_tradnl" w:eastAsia="es-ES"/>
        </w:rPr>
        <w:tab/>
      </w:r>
      <w:r w:rsidR="0034177C" w:rsidRPr="007374C2">
        <w:rPr>
          <w:rFonts w:ascii="Arial" w:hAnsi="Arial" w:cs="Arial"/>
          <w:b/>
          <w:color w:val="000000" w:themeColor="text1"/>
          <w:sz w:val="16"/>
          <w:szCs w:val="16"/>
          <w:lang w:val="es-ES_tradnl" w:eastAsia="es-ES"/>
        </w:rPr>
        <w:t>CCE-DES-FM-17</w:t>
      </w:r>
    </w:p>
    <w:p w14:paraId="33FF83A2" w14:textId="77777777" w:rsidR="0034177C" w:rsidRPr="007374C2" w:rsidRDefault="0034177C" w:rsidP="00D66CC3">
      <w:pPr>
        <w:jc w:val="both"/>
        <w:rPr>
          <w:rFonts w:ascii="Arial" w:eastAsia="Calibri" w:hAnsi="Arial" w:cs="Arial"/>
          <w:b/>
          <w:color w:val="000000" w:themeColor="text1"/>
          <w:sz w:val="16"/>
          <w:szCs w:val="16"/>
          <w:lang w:val="es-ES_tradnl"/>
        </w:rPr>
      </w:pPr>
    </w:p>
    <w:p w14:paraId="70723DAC" w14:textId="67A74FEF" w:rsidR="00B05A55" w:rsidRPr="00CA1712" w:rsidRDefault="009F0E95" w:rsidP="00D66CC3">
      <w:pPr>
        <w:jc w:val="both"/>
        <w:rPr>
          <w:rFonts w:ascii="Arial" w:eastAsia="Calibri" w:hAnsi="Arial" w:cs="Arial"/>
          <w:b/>
          <w:bCs/>
          <w:color w:val="000000" w:themeColor="text1"/>
          <w:sz w:val="22"/>
          <w:szCs w:val="22"/>
          <w:lang w:val="es-ES_tradnl"/>
        </w:rPr>
      </w:pPr>
      <w:r w:rsidRPr="00CA1712">
        <w:rPr>
          <w:rFonts w:ascii="Arial" w:eastAsia="Calibri" w:hAnsi="Arial" w:cs="Arial"/>
          <w:b/>
          <w:bCs/>
          <w:color w:val="000000" w:themeColor="text1"/>
          <w:sz w:val="22"/>
          <w:szCs w:val="22"/>
          <w:lang w:val="es-ES_tradnl"/>
        </w:rPr>
        <w:t>MÍNIMA CUANTÍA</w:t>
      </w:r>
      <w:r w:rsidR="00AA6009">
        <w:rPr>
          <w:rFonts w:ascii="Arial" w:eastAsia="Calibri" w:hAnsi="Arial" w:cs="Arial"/>
          <w:b/>
          <w:bCs/>
          <w:color w:val="000000" w:themeColor="text1"/>
          <w:sz w:val="22"/>
          <w:szCs w:val="22"/>
          <w:lang w:val="es-ES_tradnl"/>
        </w:rPr>
        <w:t xml:space="preserve"> –</w:t>
      </w:r>
      <w:r w:rsidR="00C3545A">
        <w:rPr>
          <w:rFonts w:ascii="Arial" w:eastAsia="Calibri" w:hAnsi="Arial" w:cs="Arial"/>
          <w:b/>
          <w:bCs/>
          <w:color w:val="000000" w:themeColor="text1"/>
          <w:sz w:val="22"/>
          <w:szCs w:val="22"/>
          <w:lang w:val="es-ES_tradnl"/>
        </w:rPr>
        <w:t xml:space="preserve"> Modalidad de selección </w:t>
      </w:r>
      <w:r w:rsidR="00C3545A">
        <w:rPr>
          <w:rFonts w:ascii="Arial" w:eastAsia="Calibri" w:hAnsi="Arial" w:cs="Arial"/>
          <w:b/>
          <w:color w:val="000000" w:themeColor="text1"/>
          <w:sz w:val="22"/>
        </w:rPr>
        <w:t>–</w:t>
      </w:r>
      <w:bookmarkStart w:id="2" w:name="_GoBack"/>
      <w:bookmarkEnd w:id="2"/>
      <w:r w:rsidR="00AA6009">
        <w:rPr>
          <w:rFonts w:ascii="Arial" w:eastAsia="Calibri" w:hAnsi="Arial" w:cs="Arial"/>
          <w:b/>
          <w:bCs/>
          <w:color w:val="000000" w:themeColor="text1"/>
          <w:sz w:val="22"/>
          <w:szCs w:val="22"/>
          <w:lang w:val="es-ES_tradnl"/>
        </w:rPr>
        <w:t xml:space="preserve"> Concepto –</w:t>
      </w:r>
      <w:r w:rsidR="00B05A55" w:rsidRPr="00CA1712">
        <w:rPr>
          <w:rFonts w:ascii="Arial" w:eastAsia="Calibri" w:hAnsi="Arial" w:cs="Arial"/>
          <w:b/>
          <w:bCs/>
          <w:color w:val="000000" w:themeColor="text1"/>
          <w:sz w:val="22"/>
          <w:szCs w:val="22"/>
          <w:lang w:val="es-ES_tradnl"/>
        </w:rPr>
        <w:t xml:space="preserve"> </w:t>
      </w:r>
      <w:r w:rsidRPr="00CA1712">
        <w:rPr>
          <w:rFonts w:ascii="Arial" w:eastAsia="Calibri" w:hAnsi="Arial" w:cs="Arial"/>
          <w:b/>
          <w:bCs/>
          <w:color w:val="000000" w:themeColor="text1"/>
          <w:sz w:val="22"/>
          <w:szCs w:val="22"/>
          <w:lang w:val="es-ES_tradnl"/>
        </w:rPr>
        <w:t>Regulación</w:t>
      </w:r>
      <w:r w:rsidR="00AA6009">
        <w:rPr>
          <w:rFonts w:ascii="Arial" w:eastAsia="Calibri" w:hAnsi="Arial" w:cs="Arial"/>
          <w:b/>
          <w:bCs/>
          <w:color w:val="000000" w:themeColor="text1"/>
          <w:sz w:val="22"/>
          <w:szCs w:val="22"/>
          <w:lang w:val="es-ES_tradnl"/>
        </w:rPr>
        <w:t xml:space="preserve"> –</w:t>
      </w:r>
      <w:r w:rsidR="00B05A55" w:rsidRPr="00CA1712">
        <w:rPr>
          <w:rFonts w:ascii="Arial" w:eastAsia="Calibri" w:hAnsi="Arial" w:cs="Arial"/>
          <w:b/>
          <w:bCs/>
          <w:color w:val="000000" w:themeColor="text1"/>
          <w:sz w:val="22"/>
          <w:szCs w:val="22"/>
          <w:lang w:val="es-ES_tradnl"/>
        </w:rPr>
        <w:t xml:space="preserve"> </w:t>
      </w:r>
      <w:r w:rsidRPr="00CA1712">
        <w:rPr>
          <w:rFonts w:ascii="Arial" w:eastAsia="Calibri" w:hAnsi="Arial" w:cs="Arial"/>
          <w:b/>
          <w:bCs/>
          <w:color w:val="000000" w:themeColor="text1"/>
          <w:sz w:val="22"/>
          <w:szCs w:val="22"/>
          <w:lang w:val="es-ES_tradnl"/>
        </w:rPr>
        <w:t>Requisitos</w:t>
      </w:r>
    </w:p>
    <w:p w14:paraId="69B4F3B1" w14:textId="77777777" w:rsidR="00B05A55" w:rsidRPr="00E6228D" w:rsidRDefault="00B05A55" w:rsidP="00D66CC3">
      <w:pPr>
        <w:jc w:val="both"/>
        <w:rPr>
          <w:rFonts w:ascii="Arial" w:eastAsia="Calibri" w:hAnsi="Arial" w:cs="Arial"/>
          <w:b/>
          <w:bCs/>
          <w:color w:val="000000" w:themeColor="text1"/>
          <w:sz w:val="20"/>
          <w:szCs w:val="20"/>
          <w:lang w:val="es-ES_tradnl"/>
        </w:rPr>
      </w:pPr>
    </w:p>
    <w:p w14:paraId="5DF5CDCD" w14:textId="47E74909" w:rsidR="00B05A55" w:rsidRPr="00E6228D" w:rsidRDefault="008F5FB7" w:rsidP="008F5FB7">
      <w:pPr>
        <w:jc w:val="both"/>
        <w:rPr>
          <w:rFonts w:ascii="Arial" w:eastAsia="Calibri" w:hAnsi="Arial" w:cs="Arial"/>
          <w:color w:val="000000" w:themeColor="text1"/>
          <w:sz w:val="20"/>
          <w:szCs w:val="20"/>
          <w:lang w:val="es-ES_tradnl"/>
        </w:rPr>
      </w:pPr>
      <w:r w:rsidRPr="00E6228D">
        <w:rPr>
          <w:rFonts w:ascii="Arial" w:eastAsia="Calibri" w:hAnsi="Arial" w:cs="Arial"/>
          <w:color w:val="000000" w:themeColor="text1"/>
          <w:sz w:val="20"/>
          <w:szCs w:val="20"/>
          <w:lang w:val="es-ES_tradnl"/>
        </w:rPr>
        <w:t xml:space="preserve">La mínima cuantía es una modalidad de selección en virtud de la cual la entidad estatal realiza una convocatoria pública para recibir ofertas de bienes o servicios cuyo valor no excede el diez por ciento (10%) de la menor cuantía. Fue creada por el artículo 94 de la Ley 1474 de 2011 – que adicionó el numeral 5º al artículo 2 de la Ley 1150 de 2007–, estableciendo que el factor determinante para llevar a cabo tal procedimiento es la cuantía –calculada como presupuesto oficial a partir del estudio del sector–, «independientemente de su objeto». </w:t>
      </w:r>
      <w:r w:rsidR="00BD5DA2" w:rsidRPr="00E6228D">
        <w:rPr>
          <w:rFonts w:ascii="Arial" w:eastAsia="Calibri" w:hAnsi="Arial" w:cs="Arial"/>
          <w:color w:val="000000" w:themeColor="text1"/>
          <w:sz w:val="20"/>
          <w:szCs w:val="20"/>
          <w:lang w:val="es-ES_tradnl"/>
        </w:rPr>
        <w:t xml:space="preserve">Sus requisitos </w:t>
      </w:r>
      <w:r w:rsidRPr="00E6228D">
        <w:rPr>
          <w:rFonts w:ascii="Arial" w:eastAsia="Calibri" w:hAnsi="Arial" w:cs="Arial"/>
          <w:color w:val="000000" w:themeColor="text1"/>
          <w:sz w:val="20"/>
          <w:szCs w:val="20"/>
          <w:lang w:val="es-ES_tradnl"/>
        </w:rPr>
        <w:t xml:space="preserve">pueden sintetizarse así: i) </w:t>
      </w:r>
      <w:r w:rsidR="00BD5DA2" w:rsidRPr="00E6228D">
        <w:rPr>
          <w:rFonts w:ascii="Arial" w:eastAsia="Calibri" w:hAnsi="Arial" w:cs="Arial"/>
          <w:color w:val="000000" w:themeColor="text1"/>
          <w:sz w:val="20"/>
          <w:szCs w:val="20"/>
          <w:lang w:val="es-ES_tradnl"/>
        </w:rPr>
        <w:t>l</w:t>
      </w:r>
      <w:r w:rsidRPr="00E6228D">
        <w:rPr>
          <w:rFonts w:ascii="Arial" w:eastAsia="Calibri" w:hAnsi="Arial" w:cs="Arial"/>
          <w:color w:val="000000" w:themeColor="text1"/>
          <w:sz w:val="20"/>
          <w:szCs w:val="20"/>
          <w:lang w:val="es-ES_tradnl"/>
        </w:rPr>
        <w:t xml:space="preserve">a entidad estatal debe hacer los estudios previos en los que señale cuál es la necesidad que pretende satisfacer, el objeto del contrato, sus condiciones técnicas, el valor estimado, el plazo de ejecución y el certificado de disponibilidad presupuestal; ii) </w:t>
      </w:r>
      <w:r w:rsidR="00BD5DA2" w:rsidRPr="00E6228D">
        <w:rPr>
          <w:rFonts w:ascii="Arial" w:eastAsia="Calibri" w:hAnsi="Arial" w:cs="Arial"/>
          <w:color w:val="000000" w:themeColor="text1"/>
          <w:sz w:val="20"/>
          <w:szCs w:val="20"/>
          <w:lang w:val="es-ES_tradnl"/>
        </w:rPr>
        <w:t>l</w:t>
      </w:r>
      <w:r w:rsidRPr="00E6228D">
        <w:rPr>
          <w:rFonts w:ascii="Arial" w:eastAsia="Calibri" w:hAnsi="Arial" w:cs="Arial"/>
          <w:color w:val="000000" w:themeColor="text1"/>
          <w:sz w:val="20"/>
          <w:szCs w:val="20"/>
          <w:lang w:val="es-ES_tradnl"/>
        </w:rPr>
        <w:t xml:space="preserve">uego de surtir los trámites previos, la entidad debe publicar en el SECOP una invitación, señalando el objeto, las condiciones técnicas y el valor estimado del contrato, expresando además las razones que justifican el cálculo de la cuantía. Asimismo, puede exigir o no una capacidad financiera mínima. Igualmente, esta Agencia ha recomendado «incluir en la invitación el cronograma, el plazo o condiciones de pago a cargo de la Entidad Estatal, la indicación del requerimiento de garantías (cuya exigencia es discrecional de la Entidad Estatal) y los demás aspectos que considere necesarios para la satisfacción de la necesidad»; iii) </w:t>
      </w:r>
      <w:r w:rsidR="00BD5DA2" w:rsidRPr="00E6228D">
        <w:rPr>
          <w:rFonts w:ascii="Arial" w:eastAsia="Calibri" w:hAnsi="Arial" w:cs="Arial"/>
          <w:color w:val="000000" w:themeColor="text1"/>
          <w:sz w:val="20"/>
          <w:szCs w:val="20"/>
          <w:lang w:val="es-ES_tradnl"/>
        </w:rPr>
        <w:t>l</w:t>
      </w:r>
      <w:r w:rsidRPr="00E6228D">
        <w:rPr>
          <w:rFonts w:ascii="Arial" w:eastAsia="Calibri" w:hAnsi="Arial" w:cs="Arial"/>
          <w:color w:val="000000" w:themeColor="text1"/>
          <w:sz w:val="20"/>
          <w:szCs w:val="20"/>
          <w:lang w:val="es-ES_tradnl"/>
        </w:rPr>
        <w:t xml:space="preserve">a invitación se debe hacer por un término no inferior a un (1) día hábil; iv) </w:t>
      </w:r>
      <w:r w:rsidR="00BD5DA2" w:rsidRPr="00E6228D">
        <w:rPr>
          <w:rFonts w:ascii="Arial" w:eastAsia="Calibri" w:hAnsi="Arial" w:cs="Arial"/>
          <w:color w:val="000000" w:themeColor="text1"/>
          <w:sz w:val="20"/>
          <w:szCs w:val="20"/>
          <w:lang w:val="es-ES_tradnl"/>
        </w:rPr>
        <w:t>l</w:t>
      </w:r>
      <w:r w:rsidRPr="00E6228D">
        <w:rPr>
          <w:rFonts w:ascii="Arial" w:eastAsia="Calibri" w:hAnsi="Arial" w:cs="Arial"/>
          <w:color w:val="000000" w:themeColor="text1"/>
          <w:sz w:val="20"/>
          <w:szCs w:val="20"/>
          <w:lang w:val="es-ES_tradnl"/>
        </w:rPr>
        <w:t xml:space="preserve">as observaciones que realicen los interesados deben responderse por la entidad estatal a más tardar antes del vencimiento del término para presentar las ofertas; v) </w:t>
      </w:r>
      <w:r w:rsidR="00BD5DA2" w:rsidRPr="00E6228D">
        <w:rPr>
          <w:rFonts w:ascii="Arial" w:eastAsia="Calibri" w:hAnsi="Arial" w:cs="Arial"/>
          <w:color w:val="000000" w:themeColor="text1"/>
          <w:sz w:val="20"/>
          <w:szCs w:val="20"/>
          <w:lang w:val="es-ES_tradnl"/>
        </w:rPr>
        <w:t>p</w:t>
      </w:r>
      <w:r w:rsidRPr="00E6228D">
        <w:rPr>
          <w:rFonts w:ascii="Arial" w:eastAsia="Calibri" w:hAnsi="Arial" w:cs="Arial"/>
          <w:color w:val="000000" w:themeColor="text1"/>
          <w:sz w:val="20"/>
          <w:szCs w:val="20"/>
          <w:lang w:val="es-ES_tradnl"/>
        </w:rPr>
        <w:t xml:space="preserve">resentadas las propuestas, la entidad estatal debe revisar las ofertas económicas y verificar que la del menor precio cumpla con los requisitos de participación. Si no los satisface, debe revisar la oferta económica inmediatamente inferior y así sucesivamente. Esto significa que en la mínima cuantía el precio es el único factor de calificación o asignación de puntaje; vi) </w:t>
      </w:r>
      <w:r w:rsidR="00BD5DA2" w:rsidRPr="00E6228D">
        <w:rPr>
          <w:rFonts w:ascii="Arial" w:eastAsia="Calibri" w:hAnsi="Arial" w:cs="Arial"/>
          <w:color w:val="000000" w:themeColor="text1"/>
          <w:sz w:val="20"/>
          <w:szCs w:val="20"/>
          <w:lang w:val="es-ES_tradnl"/>
        </w:rPr>
        <w:t>e</w:t>
      </w:r>
      <w:r w:rsidRPr="00E6228D">
        <w:rPr>
          <w:rFonts w:ascii="Arial" w:eastAsia="Calibri" w:hAnsi="Arial" w:cs="Arial"/>
          <w:color w:val="000000" w:themeColor="text1"/>
          <w:sz w:val="20"/>
          <w:szCs w:val="20"/>
          <w:lang w:val="es-ES_tradnl"/>
        </w:rPr>
        <w:t xml:space="preserve">l informe de evaluación se debe publicar por un (1) día hábil; vii) </w:t>
      </w:r>
      <w:r w:rsidR="00BD5DA2" w:rsidRPr="00E6228D">
        <w:rPr>
          <w:rFonts w:ascii="Arial" w:eastAsia="Calibri" w:hAnsi="Arial" w:cs="Arial"/>
          <w:color w:val="000000" w:themeColor="text1"/>
          <w:sz w:val="20"/>
          <w:szCs w:val="20"/>
          <w:lang w:val="es-ES_tradnl"/>
        </w:rPr>
        <w:t>e</w:t>
      </w:r>
      <w:r w:rsidRPr="00E6228D">
        <w:rPr>
          <w:rFonts w:ascii="Arial" w:eastAsia="Calibri" w:hAnsi="Arial" w:cs="Arial"/>
          <w:color w:val="000000" w:themeColor="text1"/>
          <w:sz w:val="20"/>
          <w:szCs w:val="20"/>
          <w:lang w:val="es-ES_tradnl"/>
        </w:rPr>
        <w:t xml:space="preserve">l contrato se perfecciona con la comunicación de aceptación de la oferta que envía la entidad estatal al proponente que presentó la oferta económica de menor precio, no requiriéndose, entonces, de la suscripción de una minuta. En la comunicación de aceptación de la oferta la entidad estatal le debe informar al proponente ganador quién será el supervisor del contrato; viii) </w:t>
      </w:r>
      <w:r w:rsidR="00BD5DA2" w:rsidRPr="00E6228D">
        <w:rPr>
          <w:rFonts w:ascii="Arial" w:eastAsia="Calibri" w:hAnsi="Arial" w:cs="Arial"/>
          <w:color w:val="000000" w:themeColor="text1"/>
          <w:sz w:val="20"/>
          <w:szCs w:val="20"/>
          <w:lang w:val="es-ES_tradnl"/>
        </w:rPr>
        <w:t>d</w:t>
      </w:r>
      <w:r w:rsidRPr="00E6228D">
        <w:rPr>
          <w:rFonts w:ascii="Arial" w:eastAsia="Calibri" w:hAnsi="Arial" w:cs="Arial"/>
          <w:color w:val="000000" w:themeColor="text1"/>
          <w:sz w:val="20"/>
          <w:szCs w:val="20"/>
          <w:lang w:val="es-ES_tradnl"/>
        </w:rPr>
        <w:t>e existir empate, debe preferirse la oferta que se presentó primero en el tiempo.</w:t>
      </w:r>
    </w:p>
    <w:p w14:paraId="20DE6A2B" w14:textId="0F9BADD8" w:rsidR="00FA039C" w:rsidRPr="00CA1712" w:rsidRDefault="00FA039C" w:rsidP="00D66CC3">
      <w:pPr>
        <w:jc w:val="both"/>
        <w:rPr>
          <w:rFonts w:ascii="Arial" w:eastAsia="Calibri" w:hAnsi="Arial" w:cs="Arial"/>
          <w:color w:val="000000" w:themeColor="text1"/>
          <w:sz w:val="22"/>
          <w:szCs w:val="22"/>
          <w:lang w:val="es-ES_tradnl"/>
        </w:rPr>
      </w:pPr>
    </w:p>
    <w:p w14:paraId="78F6724B" w14:textId="17FFACFC" w:rsidR="007A587B" w:rsidRPr="00CA1712" w:rsidRDefault="00E673D1" w:rsidP="007A587B">
      <w:pPr>
        <w:jc w:val="both"/>
        <w:rPr>
          <w:rFonts w:ascii="Arial" w:eastAsia="Calibri" w:hAnsi="Arial" w:cs="Arial"/>
          <w:b/>
          <w:bCs/>
          <w:color w:val="000000" w:themeColor="text1"/>
          <w:sz w:val="22"/>
          <w:szCs w:val="22"/>
          <w:lang w:val="es-ES_tradnl"/>
        </w:rPr>
      </w:pPr>
      <w:r w:rsidRPr="00CA1712">
        <w:rPr>
          <w:rFonts w:ascii="Arial" w:eastAsia="Calibri" w:hAnsi="Arial" w:cs="Arial"/>
          <w:b/>
          <w:bCs/>
          <w:color w:val="000000" w:themeColor="text1"/>
          <w:sz w:val="22"/>
          <w:szCs w:val="22"/>
          <w:lang w:val="es-ES_tradnl"/>
        </w:rPr>
        <w:t>EXPERIENCIA</w:t>
      </w:r>
      <w:r w:rsidR="007A587B" w:rsidRPr="00CA1712">
        <w:rPr>
          <w:rFonts w:ascii="Arial" w:eastAsia="Calibri" w:hAnsi="Arial" w:cs="Arial"/>
          <w:b/>
          <w:bCs/>
          <w:color w:val="000000" w:themeColor="text1"/>
          <w:sz w:val="22"/>
          <w:szCs w:val="22"/>
          <w:lang w:val="es-ES_tradnl"/>
        </w:rPr>
        <w:t xml:space="preserve"> </w:t>
      </w:r>
      <w:r w:rsidR="00AA6009">
        <w:rPr>
          <w:rFonts w:ascii="Arial" w:eastAsia="Calibri" w:hAnsi="Arial" w:cs="Arial"/>
          <w:b/>
          <w:bCs/>
          <w:color w:val="000000" w:themeColor="text1"/>
          <w:sz w:val="22"/>
          <w:szCs w:val="22"/>
          <w:lang w:val="es-ES_tradnl"/>
        </w:rPr>
        <w:t>–</w:t>
      </w:r>
      <w:r w:rsidR="007A587B" w:rsidRPr="00CA1712">
        <w:rPr>
          <w:rFonts w:ascii="Arial" w:eastAsia="Calibri" w:hAnsi="Arial" w:cs="Arial"/>
          <w:b/>
          <w:bCs/>
          <w:color w:val="000000" w:themeColor="text1"/>
          <w:sz w:val="22"/>
          <w:szCs w:val="22"/>
          <w:lang w:val="es-ES_tradnl"/>
        </w:rPr>
        <w:t xml:space="preserve"> </w:t>
      </w:r>
      <w:r w:rsidRPr="00CA1712">
        <w:rPr>
          <w:rFonts w:ascii="Arial" w:eastAsia="Calibri" w:hAnsi="Arial" w:cs="Arial"/>
          <w:b/>
          <w:bCs/>
          <w:color w:val="000000" w:themeColor="text1"/>
          <w:sz w:val="22"/>
          <w:szCs w:val="22"/>
          <w:lang w:val="es-ES_tradnl"/>
        </w:rPr>
        <w:t>Concepto</w:t>
      </w:r>
      <w:r w:rsidR="00AA6009">
        <w:rPr>
          <w:rFonts w:ascii="Arial" w:eastAsia="Calibri" w:hAnsi="Arial" w:cs="Arial"/>
          <w:b/>
          <w:bCs/>
          <w:color w:val="000000" w:themeColor="text1"/>
          <w:sz w:val="22"/>
          <w:szCs w:val="22"/>
          <w:lang w:val="es-ES_tradnl"/>
        </w:rPr>
        <w:t xml:space="preserve"> –</w:t>
      </w:r>
      <w:r w:rsidR="007A587B" w:rsidRPr="00CA1712">
        <w:rPr>
          <w:rFonts w:ascii="Arial" w:eastAsia="Calibri" w:hAnsi="Arial" w:cs="Arial"/>
          <w:b/>
          <w:bCs/>
          <w:color w:val="000000" w:themeColor="text1"/>
          <w:sz w:val="22"/>
          <w:szCs w:val="22"/>
          <w:lang w:val="es-ES_tradnl"/>
        </w:rPr>
        <w:t xml:space="preserve"> </w:t>
      </w:r>
      <w:r w:rsidRPr="00CA1712">
        <w:rPr>
          <w:rFonts w:ascii="Arial" w:eastAsia="Calibri" w:hAnsi="Arial" w:cs="Arial"/>
          <w:b/>
          <w:bCs/>
          <w:color w:val="000000" w:themeColor="text1"/>
          <w:sz w:val="22"/>
          <w:szCs w:val="22"/>
          <w:lang w:val="es-ES_tradnl"/>
        </w:rPr>
        <w:t>Requisito habilitante</w:t>
      </w:r>
      <w:r w:rsidR="007A587B" w:rsidRPr="00CA1712">
        <w:rPr>
          <w:rFonts w:ascii="Arial" w:eastAsia="Calibri" w:hAnsi="Arial" w:cs="Arial"/>
          <w:b/>
          <w:bCs/>
          <w:color w:val="000000" w:themeColor="text1"/>
          <w:sz w:val="22"/>
          <w:szCs w:val="22"/>
          <w:lang w:val="es-ES_tradnl"/>
        </w:rPr>
        <w:t xml:space="preserve"> </w:t>
      </w:r>
      <w:r w:rsidR="00AA6009">
        <w:rPr>
          <w:rFonts w:ascii="Arial" w:eastAsia="Calibri" w:hAnsi="Arial" w:cs="Arial"/>
          <w:b/>
          <w:bCs/>
          <w:color w:val="000000" w:themeColor="text1"/>
          <w:sz w:val="22"/>
          <w:szCs w:val="22"/>
          <w:lang w:val="es-ES_tradnl"/>
        </w:rPr>
        <w:t>–</w:t>
      </w:r>
      <w:r w:rsidR="007A587B" w:rsidRPr="00CA1712">
        <w:rPr>
          <w:rFonts w:ascii="Arial" w:eastAsia="Calibri" w:hAnsi="Arial" w:cs="Arial"/>
          <w:b/>
          <w:bCs/>
          <w:color w:val="000000" w:themeColor="text1"/>
          <w:sz w:val="22"/>
          <w:szCs w:val="22"/>
          <w:lang w:val="es-ES_tradnl"/>
        </w:rPr>
        <w:t xml:space="preserve"> </w:t>
      </w:r>
      <w:r w:rsidR="004C58FF" w:rsidRPr="00CA1712">
        <w:rPr>
          <w:rFonts w:ascii="Arial" w:eastAsia="Calibri" w:hAnsi="Arial" w:cs="Arial"/>
          <w:b/>
          <w:bCs/>
          <w:color w:val="000000" w:themeColor="text1"/>
          <w:sz w:val="22"/>
          <w:szCs w:val="22"/>
          <w:lang w:val="es-ES_tradnl"/>
        </w:rPr>
        <w:t>Mínima cuantía</w:t>
      </w:r>
    </w:p>
    <w:p w14:paraId="4D323956" w14:textId="77777777" w:rsidR="00FA039C" w:rsidRPr="00E6228D" w:rsidRDefault="00FA039C" w:rsidP="00FA039C">
      <w:pPr>
        <w:jc w:val="both"/>
        <w:rPr>
          <w:rFonts w:ascii="Arial" w:hAnsi="Arial" w:cs="Arial"/>
          <w:color w:val="000000" w:themeColor="text1"/>
          <w:sz w:val="20"/>
          <w:szCs w:val="20"/>
          <w:lang w:val="es-ES_tradnl"/>
        </w:rPr>
      </w:pPr>
    </w:p>
    <w:p w14:paraId="7BAFF7CF" w14:textId="3B1CB4BA" w:rsidR="00BD6A96" w:rsidRPr="00E6228D" w:rsidRDefault="00FE7555" w:rsidP="00FE7555">
      <w:pPr>
        <w:jc w:val="both"/>
        <w:rPr>
          <w:rFonts w:ascii="Arial" w:hAnsi="Arial" w:cs="Arial"/>
          <w:color w:val="000000" w:themeColor="text1"/>
          <w:sz w:val="20"/>
          <w:szCs w:val="20"/>
          <w:lang w:val="es-ES_tradnl"/>
        </w:rPr>
      </w:pPr>
      <w:r w:rsidRPr="00E6228D">
        <w:rPr>
          <w:rFonts w:ascii="Arial" w:hAnsi="Arial" w:cs="Arial"/>
          <w:color w:val="000000" w:themeColor="text1"/>
          <w:sz w:val="20"/>
          <w:szCs w:val="20"/>
          <w:lang w:val="es-ES_tradnl"/>
        </w:rPr>
        <w:t>En la modalidad de selección de mínima cuantía la experiencia se puede establecer como requisito habilitante, de conformidad con el numeral 1 del artículo 2.2.1.2.1.5.2. del Decreto 1082 de 2015, según el cual en la invitación la entidad estatal debe señalar «la experiencia mínima, si se exige esta última», lo que indica que no es obligatorio solicitarla como criterio de participación. Sin embargo, la experiencia no puede incluirse en la invitación del procedimiento de mínima cuantía como factor de calificación, pues el literal c) del numeral 5 del artículo 2 de la Ley 1150 de 2007 establece que el menor precio es el único criterio de evaluación en dicha modalidad, aspecto que ratifica el numeral 6 del artículo 2.2.1.2.1.5.2. del Decreto 1082 de 2015. Por tanto, si en un procedimiento de selección de mínima cuantía la entidad estatal exige en la invitación a los interesados acreditar determinada experiencia en ciertas actividades económicas, tal requisito es habilitante y, por lo tanto, subsanable, de conformidad con lo dispuesto en el artículo 5 de la Ley 1150 de 2007, modificado parcialmente por la Ley 1882 de 2018.</w:t>
      </w:r>
      <w:r w:rsidR="00644BDA" w:rsidRPr="00E6228D">
        <w:rPr>
          <w:rFonts w:ascii="Arial" w:hAnsi="Arial" w:cs="Arial"/>
          <w:color w:val="000000" w:themeColor="text1"/>
          <w:sz w:val="20"/>
          <w:szCs w:val="20"/>
          <w:lang w:val="es-ES_tradnl"/>
        </w:rPr>
        <w:t xml:space="preserve"> </w:t>
      </w:r>
    </w:p>
    <w:p w14:paraId="311ECC88" w14:textId="77777777" w:rsidR="00BD6A96" w:rsidRPr="00E6228D" w:rsidRDefault="00BD6A96" w:rsidP="00D66CC3">
      <w:pPr>
        <w:jc w:val="both"/>
        <w:rPr>
          <w:rFonts w:ascii="Arial" w:hAnsi="Arial" w:cs="Arial"/>
          <w:color w:val="000000" w:themeColor="text1"/>
          <w:sz w:val="20"/>
          <w:szCs w:val="20"/>
          <w:lang w:val="es-ES_tradnl"/>
        </w:rPr>
      </w:pPr>
    </w:p>
    <w:p w14:paraId="69A8A0CF" w14:textId="1D0AFCD7" w:rsidR="007A587B" w:rsidRPr="00CA1712" w:rsidRDefault="004C58FF" w:rsidP="007A587B">
      <w:pPr>
        <w:jc w:val="both"/>
        <w:rPr>
          <w:rFonts w:ascii="Arial" w:eastAsia="Calibri" w:hAnsi="Arial" w:cs="Arial"/>
          <w:b/>
          <w:bCs/>
          <w:color w:val="000000" w:themeColor="text1"/>
          <w:sz w:val="22"/>
          <w:szCs w:val="22"/>
          <w:lang w:val="es-ES_tradnl"/>
        </w:rPr>
      </w:pPr>
      <w:r w:rsidRPr="00CA1712">
        <w:rPr>
          <w:rFonts w:ascii="Arial" w:eastAsia="Calibri" w:hAnsi="Arial" w:cs="Arial"/>
          <w:b/>
          <w:bCs/>
          <w:color w:val="000000" w:themeColor="text1"/>
          <w:sz w:val="22"/>
          <w:szCs w:val="22"/>
          <w:lang w:val="es-ES_tradnl"/>
        </w:rPr>
        <w:t>EXPERIENCIA</w:t>
      </w:r>
      <w:r w:rsidR="007A587B" w:rsidRPr="00CA1712">
        <w:rPr>
          <w:rFonts w:ascii="Arial" w:eastAsia="Calibri" w:hAnsi="Arial" w:cs="Arial"/>
          <w:b/>
          <w:bCs/>
          <w:color w:val="000000" w:themeColor="text1"/>
          <w:sz w:val="22"/>
          <w:szCs w:val="22"/>
          <w:lang w:val="es-ES_tradnl"/>
        </w:rPr>
        <w:t xml:space="preserve"> </w:t>
      </w:r>
      <w:r w:rsidR="00AA6009">
        <w:rPr>
          <w:rFonts w:ascii="Arial" w:eastAsia="Calibri" w:hAnsi="Arial" w:cs="Arial"/>
          <w:b/>
          <w:bCs/>
          <w:color w:val="000000" w:themeColor="text1"/>
          <w:sz w:val="22"/>
          <w:szCs w:val="22"/>
          <w:lang w:val="es-ES_tradnl"/>
        </w:rPr>
        <w:t>–</w:t>
      </w:r>
      <w:r w:rsidR="007A587B" w:rsidRPr="00CA1712">
        <w:rPr>
          <w:rFonts w:ascii="Arial" w:eastAsia="Calibri" w:hAnsi="Arial" w:cs="Arial"/>
          <w:b/>
          <w:bCs/>
          <w:color w:val="000000" w:themeColor="text1"/>
          <w:sz w:val="22"/>
          <w:szCs w:val="22"/>
          <w:lang w:val="es-ES_tradnl"/>
        </w:rPr>
        <w:t xml:space="preserve"> </w:t>
      </w:r>
      <w:r w:rsidRPr="00CA1712">
        <w:rPr>
          <w:rFonts w:ascii="Arial" w:eastAsia="Calibri" w:hAnsi="Arial" w:cs="Arial"/>
          <w:b/>
          <w:bCs/>
          <w:color w:val="000000" w:themeColor="text1"/>
          <w:sz w:val="22"/>
          <w:szCs w:val="22"/>
          <w:lang w:val="es-ES_tradnl"/>
        </w:rPr>
        <w:t>Cámara de Comercio</w:t>
      </w:r>
      <w:r w:rsidR="00AA6009">
        <w:rPr>
          <w:rFonts w:ascii="Arial" w:eastAsia="Calibri" w:hAnsi="Arial" w:cs="Arial"/>
          <w:b/>
          <w:bCs/>
          <w:color w:val="000000" w:themeColor="text1"/>
          <w:sz w:val="22"/>
          <w:szCs w:val="22"/>
          <w:lang w:val="es-ES_tradnl"/>
        </w:rPr>
        <w:t xml:space="preserve"> –</w:t>
      </w:r>
      <w:r w:rsidR="007A587B" w:rsidRPr="00CA1712">
        <w:rPr>
          <w:rFonts w:ascii="Arial" w:eastAsia="Calibri" w:hAnsi="Arial" w:cs="Arial"/>
          <w:b/>
          <w:bCs/>
          <w:color w:val="000000" w:themeColor="text1"/>
          <w:sz w:val="22"/>
          <w:szCs w:val="22"/>
          <w:lang w:val="es-ES_tradnl"/>
        </w:rPr>
        <w:t xml:space="preserve"> </w:t>
      </w:r>
      <w:r w:rsidRPr="00CA1712">
        <w:rPr>
          <w:rFonts w:ascii="Arial" w:eastAsia="Calibri" w:hAnsi="Arial" w:cs="Arial"/>
          <w:b/>
          <w:bCs/>
          <w:color w:val="000000" w:themeColor="text1"/>
          <w:sz w:val="22"/>
          <w:szCs w:val="22"/>
          <w:lang w:val="es-ES_tradnl"/>
        </w:rPr>
        <w:t>Actividades económicas</w:t>
      </w:r>
      <w:r w:rsidR="007A587B" w:rsidRPr="00CA1712">
        <w:rPr>
          <w:rFonts w:ascii="Arial" w:eastAsia="Calibri" w:hAnsi="Arial" w:cs="Arial"/>
          <w:b/>
          <w:bCs/>
          <w:color w:val="000000" w:themeColor="text1"/>
          <w:sz w:val="22"/>
          <w:szCs w:val="22"/>
          <w:lang w:val="es-ES_tradnl"/>
        </w:rPr>
        <w:t xml:space="preserve"> </w:t>
      </w:r>
      <w:r w:rsidR="00AA6009">
        <w:rPr>
          <w:rFonts w:ascii="Arial" w:eastAsia="Calibri" w:hAnsi="Arial" w:cs="Arial"/>
          <w:b/>
          <w:bCs/>
          <w:color w:val="000000" w:themeColor="text1"/>
          <w:sz w:val="22"/>
          <w:szCs w:val="22"/>
          <w:lang w:val="es-ES_tradnl"/>
        </w:rPr>
        <w:t>–</w:t>
      </w:r>
      <w:r w:rsidR="007A587B" w:rsidRPr="00CA1712">
        <w:rPr>
          <w:rFonts w:ascii="Arial" w:eastAsia="Calibri" w:hAnsi="Arial" w:cs="Arial"/>
          <w:b/>
          <w:bCs/>
          <w:color w:val="000000" w:themeColor="text1"/>
          <w:sz w:val="22"/>
          <w:szCs w:val="22"/>
          <w:lang w:val="es-ES_tradnl"/>
        </w:rPr>
        <w:t xml:space="preserve"> </w:t>
      </w:r>
      <w:r w:rsidR="00BE0B4C" w:rsidRPr="00CA1712">
        <w:rPr>
          <w:rFonts w:ascii="Arial" w:eastAsia="Calibri" w:hAnsi="Arial" w:cs="Arial"/>
          <w:b/>
          <w:bCs/>
          <w:color w:val="000000" w:themeColor="text1"/>
          <w:sz w:val="22"/>
          <w:szCs w:val="22"/>
          <w:lang w:val="es-ES_tradnl"/>
        </w:rPr>
        <w:t>Actualización del RUES</w:t>
      </w:r>
    </w:p>
    <w:p w14:paraId="321F0F4F" w14:textId="5FF04B0B" w:rsidR="00A43E49" w:rsidRPr="00E6228D" w:rsidRDefault="00A43E49" w:rsidP="00A43E49">
      <w:pPr>
        <w:jc w:val="both"/>
        <w:rPr>
          <w:rFonts w:ascii="Arial" w:hAnsi="Arial" w:cs="Arial"/>
          <w:color w:val="000000" w:themeColor="text1"/>
          <w:sz w:val="20"/>
          <w:szCs w:val="20"/>
          <w:lang w:val="es-ES_tradnl"/>
        </w:rPr>
      </w:pPr>
      <w:r w:rsidRPr="00E6228D">
        <w:rPr>
          <w:rFonts w:ascii="Arial" w:hAnsi="Arial" w:cs="Arial"/>
          <w:color w:val="000000" w:themeColor="text1"/>
          <w:sz w:val="20"/>
          <w:szCs w:val="20"/>
          <w:lang w:val="es-ES_tradnl"/>
        </w:rPr>
        <w:lastRenderedPageBreak/>
        <w:t>Los comerciantes pueden actualizar en cualquier momento la información del RUES, que integra tanto el Registro Mercantil como el Registro Único de Proponentes. En consecuencia, los interesados en presentar sus propuestas en un procedimiento de mínima cuantía pueden actualizar sus actividades económicas registradas con los códigos CIIU, antes del vencimiento del plazo para allegar sus ofertas. Son las entidades estatales las que deben efectuar la verificación de que la experiencia acreditada por los oferentes en el procedimiento de mínima cuantía –en caso de solicitarse una experiencia mínima– se haya obtenido antes del cierre y que la trayectoria en el ejercicio de las actividades económicas solicitadas sea por el plazo indicado en la invitación. Esto lo podrán hacer solicitando que el proponente presente certificaciones, copias de contratos u otros documentos que permitan constatar la experiencia. La presentación del certificado del RUP por parte del oferente es facultativa en la mínima cuantía, ya que el artículo 6 de la Ley 1150 de 2007 prohíbe que las entidades estatales lo requieran en dicha modalidad de selección y corresponde a ellas «cumplir con la labor de verificación de las condiciones de los proponentes». Además, debe recordarse que, al ser la experiencia exigida en la invitación de mínima cuantía un requisito de participación –que no otorga puntaje–, los defectos o la ausencia de información relativa a dicho requisito</w:t>
      </w:r>
      <w:r w:rsidR="00C00250" w:rsidRPr="00E6228D">
        <w:rPr>
          <w:rFonts w:ascii="Arial" w:hAnsi="Arial" w:cs="Arial"/>
          <w:color w:val="000000" w:themeColor="text1"/>
          <w:sz w:val="20"/>
          <w:szCs w:val="20"/>
          <w:lang w:val="es-ES_tradnl"/>
        </w:rPr>
        <w:t xml:space="preserve">, </w:t>
      </w:r>
      <w:r w:rsidRPr="00E6228D">
        <w:rPr>
          <w:rFonts w:ascii="Arial" w:hAnsi="Arial" w:cs="Arial"/>
          <w:color w:val="000000" w:themeColor="text1"/>
          <w:sz w:val="20"/>
          <w:szCs w:val="20"/>
          <w:lang w:val="es-ES_tradnl"/>
        </w:rPr>
        <w:t>son subsanables, pero el proponente no puede acreditar circunstancias ocurridas con posterioridad al cierre del proceso, o sea que no puede probar experiencia adquirida luego del vencimiento del plazo para presentar las ofertas.</w:t>
      </w:r>
    </w:p>
    <w:p w14:paraId="7D28FC2D" w14:textId="6D924C2E" w:rsidR="00FF0706" w:rsidRPr="00237356" w:rsidRDefault="00FF0706" w:rsidP="00F23E3A">
      <w:pPr>
        <w:spacing w:line="276" w:lineRule="auto"/>
        <w:jc w:val="both"/>
        <w:rPr>
          <w:rFonts w:ascii="Arial" w:hAnsi="Arial" w:cs="Arial"/>
          <w:color w:val="000000" w:themeColor="text1"/>
          <w:sz w:val="20"/>
          <w:szCs w:val="20"/>
          <w:lang w:val="es-ES_tradnl"/>
        </w:rPr>
      </w:pPr>
    </w:p>
    <w:p w14:paraId="20816604" w14:textId="77777777" w:rsidR="00AA6009" w:rsidRPr="00237356" w:rsidRDefault="00AA6009" w:rsidP="00F23E3A">
      <w:pPr>
        <w:spacing w:line="276" w:lineRule="auto"/>
        <w:jc w:val="both"/>
        <w:rPr>
          <w:rFonts w:ascii="Arial" w:hAnsi="Arial" w:cs="Arial"/>
          <w:color w:val="000000" w:themeColor="text1"/>
          <w:sz w:val="20"/>
          <w:szCs w:val="20"/>
          <w:lang w:val="es-ES_tradnl"/>
        </w:rPr>
      </w:pPr>
    </w:p>
    <w:p w14:paraId="336FAD50" w14:textId="77777777" w:rsidR="00EE05B3" w:rsidRPr="00EE05B3" w:rsidRDefault="00EE05B3" w:rsidP="00EE05B3">
      <w:pPr>
        <w:pStyle w:val="Default"/>
        <w:rPr>
          <w:sz w:val="22"/>
          <w:szCs w:val="22"/>
        </w:rPr>
      </w:pPr>
      <w:r w:rsidRPr="00EE05B3">
        <w:rPr>
          <w:sz w:val="22"/>
          <w:szCs w:val="22"/>
        </w:rPr>
        <w:t xml:space="preserve">Bogotá D.C., </w:t>
      </w:r>
      <w:r w:rsidRPr="00EE05B3">
        <w:rPr>
          <w:b/>
          <w:bCs/>
          <w:sz w:val="22"/>
          <w:szCs w:val="22"/>
        </w:rPr>
        <w:t xml:space="preserve">24/02/2020 Hora 18:19:51s </w:t>
      </w:r>
    </w:p>
    <w:p w14:paraId="7E80B7C1" w14:textId="5E58941A" w:rsidR="00A37FB6" w:rsidRPr="00EE05B3" w:rsidRDefault="00EE05B3" w:rsidP="00EE05B3">
      <w:pPr>
        <w:tabs>
          <w:tab w:val="left" w:pos="3374"/>
        </w:tabs>
        <w:spacing w:line="276" w:lineRule="auto"/>
        <w:jc w:val="right"/>
        <w:rPr>
          <w:rFonts w:ascii="Arial" w:eastAsia="Calibri" w:hAnsi="Arial" w:cs="Arial"/>
          <w:color w:val="000000" w:themeColor="text1"/>
          <w:sz w:val="22"/>
          <w:lang w:val="es-ES_tradnl"/>
        </w:rPr>
      </w:pPr>
      <w:r w:rsidRPr="00EE05B3">
        <w:rPr>
          <w:rFonts w:ascii="Arial" w:hAnsi="Arial" w:cs="Arial"/>
          <w:b/>
          <w:bCs/>
          <w:sz w:val="22"/>
          <w:szCs w:val="22"/>
        </w:rPr>
        <w:t>N° Radicado: 2202013000001226</w:t>
      </w:r>
      <w:r w:rsidR="00A37FB6" w:rsidRPr="00EE05B3">
        <w:rPr>
          <w:rFonts w:ascii="Arial" w:eastAsia="Calibri" w:hAnsi="Arial" w:cs="Arial"/>
          <w:color w:val="000000" w:themeColor="text1"/>
          <w:sz w:val="22"/>
          <w:lang w:val="es-ES_tradnl"/>
        </w:rPr>
        <w:tab/>
      </w:r>
    </w:p>
    <w:p w14:paraId="2B166DFC" w14:textId="12F4812A" w:rsidR="00A37FB6" w:rsidRPr="00E6228D" w:rsidRDefault="00A37FB6" w:rsidP="00F23E3A">
      <w:pPr>
        <w:spacing w:line="276" w:lineRule="auto"/>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Señora</w:t>
      </w:r>
    </w:p>
    <w:p w14:paraId="24FC396E" w14:textId="2ECE9B86" w:rsidR="00ED137B" w:rsidRPr="00E6228D" w:rsidRDefault="00E673D1" w:rsidP="00F23E3A">
      <w:pPr>
        <w:spacing w:line="276" w:lineRule="auto"/>
        <w:rPr>
          <w:rFonts w:ascii="Arial" w:eastAsia="Calibri" w:hAnsi="Arial" w:cs="Arial"/>
          <w:b/>
          <w:color w:val="000000" w:themeColor="text1"/>
          <w:sz w:val="22"/>
          <w:lang w:val="es-ES_tradnl"/>
        </w:rPr>
      </w:pPr>
      <w:r w:rsidRPr="00E6228D">
        <w:rPr>
          <w:rFonts w:ascii="Arial" w:eastAsia="Calibri" w:hAnsi="Arial" w:cs="Arial"/>
          <w:b/>
          <w:color w:val="000000" w:themeColor="text1"/>
          <w:sz w:val="22"/>
          <w:lang w:val="es-ES_tradnl"/>
        </w:rPr>
        <w:t>Angélica Serrano</w:t>
      </w:r>
    </w:p>
    <w:p w14:paraId="359C48BE" w14:textId="7007EFE3" w:rsidR="00A37FB6" w:rsidRPr="00E6228D" w:rsidRDefault="00A37FB6" w:rsidP="00F23E3A">
      <w:pPr>
        <w:spacing w:line="276" w:lineRule="auto"/>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Ciudad</w:t>
      </w:r>
    </w:p>
    <w:p w14:paraId="479F6A3A" w14:textId="63A65341" w:rsidR="00A37FB6" w:rsidRPr="00E6228D" w:rsidRDefault="00A37FB6" w:rsidP="00F23E3A">
      <w:pPr>
        <w:spacing w:line="276" w:lineRule="auto"/>
        <w:jc w:val="center"/>
        <w:rPr>
          <w:rFonts w:ascii="Arial" w:eastAsia="Calibri" w:hAnsi="Arial" w:cs="Arial"/>
          <w:b/>
          <w:color w:val="000000" w:themeColor="text1"/>
          <w:sz w:val="22"/>
          <w:lang w:val="es-ES_tradnl"/>
        </w:rPr>
      </w:pPr>
      <w:r w:rsidRPr="00E6228D">
        <w:rPr>
          <w:rFonts w:ascii="Arial" w:eastAsia="Calibri" w:hAnsi="Arial" w:cs="Arial"/>
          <w:b/>
          <w:color w:val="000000" w:themeColor="text1"/>
          <w:sz w:val="22"/>
          <w:lang w:val="es-ES_tradnl"/>
        </w:rPr>
        <w:t xml:space="preserve">Concepto C ─ </w:t>
      </w:r>
      <w:r w:rsidR="003D239D" w:rsidRPr="00E6228D">
        <w:rPr>
          <w:rFonts w:ascii="Arial" w:eastAsia="Calibri" w:hAnsi="Arial" w:cs="Arial"/>
          <w:b/>
          <w:color w:val="000000" w:themeColor="text1"/>
          <w:sz w:val="22"/>
          <w:lang w:val="es-ES_tradnl"/>
        </w:rPr>
        <w:t>107</w:t>
      </w:r>
      <w:r w:rsidRPr="00E6228D">
        <w:rPr>
          <w:rFonts w:ascii="Arial" w:eastAsia="Calibri" w:hAnsi="Arial" w:cs="Arial"/>
          <w:b/>
          <w:color w:val="000000" w:themeColor="text1"/>
          <w:sz w:val="22"/>
          <w:lang w:val="es-ES_tradnl"/>
        </w:rPr>
        <w:t xml:space="preserve"> de 2020</w:t>
      </w:r>
    </w:p>
    <w:p w14:paraId="49BB1EAB" w14:textId="77777777" w:rsidR="00A37FB6" w:rsidRPr="00E6228D" w:rsidRDefault="00A37FB6" w:rsidP="00F23E3A">
      <w:pPr>
        <w:spacing w:line="276" w:lineRule="auto"/>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6228D" w:rsidRPr="00E6228D" w14:paraId="20C2FA60" w14:textId="77777777" w:rsidTr="00F84D74">
        <w:tc>
          <w:tcPr>
            <w:tcW w:w="2689" w:type="dxa"/>
            <w:hideMark/>
          </w:tcPr>
          <w:p w14:paraId="2A9459AB" w14:textId="77777777" w:rsidR="00A37FB6" w:rsidRPr="00E6228D" w:rsidRDefault="00A37FB6" w:rsidP="00F23E3A">
            <w:pPr>
              <w:spacing w:line="276" w:lineRule="auto"/>
              <w:rPr>
                <w:rFonts w:ascii="Arial" w:eastAsia="Calibri" w:hAnsi="Arial" w:cs="Arial"/>
                <w:color w:val="000000" w:themeColor="text1"/>
                <w:sz w:val="22"/>
                <w:lang w:val="es-ES_tradnl"/>
              </w:rPr>
            </w:pPr>
            <w:r w:rsidRPr="00E6228D">
              <w:rPr>
                <w:rFonts w:ascii="Arial" w:eastAsia="Calibri" w:hAnsi="Arial" w:cs="Arial"/>
                <w:b/>
                <w:color w:val="000000" w:themeColor="text1"/>
                <w:sz w:val="22"/>
                <w:lang w:val="es-ES_tradnl"/>
              </w:rPr>
              <w:t>Temas:</w:t>
            </w:r>
            <w:r w:rsidRPr="00E6228D">
              <w:rPr>
                <w:rFonts w:ascii="Arial" w:eastAsia="Calibri" w:hAnsi="Arial" w:cs="Arial"/>
                <w:color w:val="000000" w:themeColor="text1"/>
                <w:sz w:val="22"/>
                <w:lang w:val="es-ES_tradnl"/>
              </w:rPr>
              <w:t xml:space="preserve">           </w:t>
            </w:r>
          </w:p>
          <w:p w14:paraId="1840BCE8" w14:textId="77777777" w:rsidR="00A37FB6" w:rsidRPr="00E6228D" w:rsidRDefault="00A37FB6" w:rsidP="00F23E3A">
            <w:pPr>
              <w:spacing w:line="276" w:lineRule="auto"/>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                           </w:t>
            </w:r>
          </w:p>
        </w:tc>
        <w:tc>
          <w:tcPr>
            <w:tcW w:w="6237" w:type="dxa"/>
            <w:hideMark/>
          </w:tcPr>
          <w:p w14:paraId="069BC436" w14:textId="4D32CE3A" w:rsidR="00A37FB6" w:rsidRPr="00E6228D" w:rsidRDefault="002D0005" w:rsidP="00F23E3A">
            <w:pPr>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MÍNIMA CUANTÍA ― Concepto ― Regulación ― Requisitos </w:t>
            </w:r>
            <w:r w:rsidR="00AA669D" w:rsidRPr="00E6228D">
              <w:rPr>
                <w:rFonts w:ascii="Arial" w:eastAsia="Calibri" w:hAnsi="Arial" w:cs="Arial"/>
                <w:color w:val="000000" w:themeColor="text1"/>
                <w:sz w:val="22"/>
                <w:lang w:val="es-ES_tradnl"/>
              </w:rPr>
              <w:t xml:space="preserve">/ </w:t>
            </w:r>
            <w:r w:rsidRPr="00E6228D">
              <w:rPr>
                <w:rFonts w:ascii="Arial" w:eastAsia="Calibri" w:hAnsi="Arial" w:cs="Arial"/>
                <w:color w:val="000000" w:themeColor="text1"/>
                <w:sz w:val="22"/>
                <w:lang w:val="es-ES_tradnl"/>
              </w:rPr>
              <w:t xml:space="preserve">EXPERIENCIA ― Concepto ― Requisito habilitante ― Mínima cuantía </w:t>
            </w:r>
            <w:r w:rsidR="00AA669D" w:rsidRPr="00E6228D">
              <w:rPr>
                <w:rFonts w:ascii="Arial" w:eastAsia="Calibri" w:hAnsi="Arial" w:cs="Arial"/>
                <w:color w:val="000000" w:themeColor="text1"/>
                <w:sz w:val="22"/>
                <w:lang w:val="es-ES_tradnl"/>
              </w:rPr>
              <w:t xml:space="preserve">/ </w:t>
            </w:r>
            <w:r w:rsidRPr="00E6228D">
              <w:rPr>
                <w:rFonts w:ascii="Arial" w:eastAsia="Calibri" w:hAnsi="Arial" w:cs="Arial"/>
                <w:color w:val="000000" w:themeColor="text1"/>
                <w:sz w:val="22"/>
                <w:lang w:val="es-ES_tradnl"/>
              </w:rPr>
              <w:t>EXPERIENCIA ― Cámara de Comercio ― Actividades económicas ― Actualización del RUES</w:t>
            </w:r>
          </w:p>
        </w:tc>
      </w:tr>
      <w:tr w:rsidR="00A37FB6" w:rsidRPr="00E6228D" w14:paraId="62473A71" w14:textId="77777777" w:rsidTr="00F84D74">
        <w:tc>
          <w:tcPr>
            <w:tcW w:w="2689" w:type="dxa"/>
          </w:tcPr>
          <w:p w14:paraId="730BF589" w14:textId="77777777" w:rsidR="00A37FB6" w:rsidRPr="00E6228D" w:rsidRDefault="00A37FB6" w:rsidP="00F23E3A">
            <w:pPr>
              <w:spacing w:line="276" w:lineRule="auto"/>
              <w:rPr>
                <w:rFonts w:ascii="Arial" w:eastAsia="Calibri" w:hAnsi="Arial" w:cs="Arial"/>
                <w:b/>
                <w:color w:val="000000" w:themeColor="text1"/>
                <w:sz w:val="22"/>
                <w:lang w:val="es-ES_tradnl"/>
              </w:rPr>
            </w:pPr>
            <w:r w:rsidRPr="00E6228D">
              <w:rPr>
                <w:rFonts w:ascii="Arial" w:eastAsia="Calibri" w:hAnsi="Arial" w:cs="Arial"/>
                <w:b/>
                <w:color w:val="000000" w:themeColor="text1"/>
                <w:sz w:val="22"/>
                <w:lang w:val="es-ES_tradnl"/>
              </w:rPr>
              <w:t>Radicación:</w:t>
            </w:r>
            <w:r w:rsidRPr="00E6228D">
              <w:rPr>
                <w:rFonts w:ascii="Arial" w:eastAsia="Calibri" w:hAnsi="Arial" w:cs="Arial"/>
                <w:color w:val="000000" w:themeColor="text1"/>
                <w:sz w:val="22"/>
                <w:lang w:val="es-ES_tradnl"/>
              </w:rPr>
              <w:t xml:space="preserve">                              </w:t>
            </w:r>
          </w:p>
        </w:tc>
        <w:tc>
          <w:tcPr>
            <w:tcW w:w="6237" w:type="dxa"/>
          </w:tcPr>
          <w:p w14:paraId="2CD77F9B" w14:textId="7BF60663" w:rsidR="00A37FB6" w:rsidRPr="00E6228D" w:rsidRDefault="00A37FB6" w:rsidP="00F23E3A">
            <w:pPr>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Respuesta a consulta # </w:t>
            </w:r>
            <w:r w:rsidR="00716151" w:rsidRPr="00E6228D">
              <w:rPr>
                <w:rFonts w:ascii="Arial" w:hAnsi="Arial" w:cs="Arial"/>
                <w:color w:val="000000" w:themeColor="text1"/>
                <w:sz w:val="22"/>
                <w:lang w:val="es-ES_tradnl"/>
              </w:rPr>
              <w:t>4202013000000885</w:t>
            </w:r>
          </w:p>
        </w:tc>
      </w:tr>
    </w:tbl>
    <w:p w14:paraId="6199F8C9" w14:textId="77777777" w:rsidR="00A37FB6" w:rsidRPr="00E6228D" w:rsidRDefault="00A37FB6" w:rsidP="00F23E3A">
      <w:pPr>
        <w:spacing w:line="276" w:lineRule="auto"/>
        <w:jc w:val="both"/>
        <w:rPr>
          <w:rFonts w:ascii="Arial" w:eastAsia="Calibri" w:hAnsi="Arial" w:cs="Arial"/>
          <w:color w:val="000000" w:themeColor="text1"/>
          <w:sz w:val="22"/>
          <w:lang w:val="es-ES_tradnl"/>
        </w:rPr>
      </w:pPr>
    </w:p>
    <w:p w14:paraId="6AEA1AE6" w14:textId="77777777" w:rsidR="00A37FB6" w:rsidRPr="00E6228D" w:rsidRDefault="00A37FB6" w:rsidP="00F23E3A">
      <w:pPr>
        <w:spacing w:line="276" w:lineRule="auto"/>
        <w:rPr>
          <w:rFonts w:ascii="Arial" w:eastAsia="Calibri" w:hAnsi="Arial" w:cs="Arial"/>
          <w:color w:val="000000" w:themeColor="text1"/>
          <w:sz w:val="22"/>
          <w:lang w:val="es-ES_tradnl"/>
        </w:rPr>
      </w:pPr>
    </w:p>
    <w:p w14:paraId="2F0DA2F5" w14:textId="09403DED" w:rsidR="00A37FB6" w:rsidRPr="00E6228D" w:rsidRDefault="006C1C9E" w:rsidP="00F23E3A">
      <w:pPr>
        <w:spacing w:line="276" w:lineRule="auto"/>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Estimad</w:t>
      </w:r>
      <w:r w:rsidR="006E3332" w:rsidRPr="00E6228D">
        <w:rPr>
          <w:rFonts w:ascii="Arial" w:eastAsia="Calibri" w:hAnsi="Arial" w:cs="Arial"/>
          <w:color w:val="000000" w:themeColor="text1"/>
          <w:sz w:val="22"/>
          <w:lang w:val="es-ES_tradnl"/>
        </w:rPr>
        <w:t>a</w:t>
      </w:r>
      <w:r w:rsidRPr="00E6228D">
        <w:rPr>
          <w:rFonts w:ascii="Arial" w:eastAsia="Calibri" w:hAnsi="Arial" w:cs="Arial"/>
          <w:color w:val="000000" w:themeColor="text1"/>
          <w:sz w:val="22"/>
          <w:lang w:val="es-ES_tradnl"/>
        </w:rPr>
        <w:t xml:space="preserve"> señor</w:t>
      </w:r>
      <w:r w:rsidR="006E3332" w:rsidRPr="00E6228D">
        <w:rPr>
          <w:rFonts w:ascii="Arial" w:eastAsia="Calibri" w:hAnsi="Arial" w:cs="Arial"/>
          <w:color w:val="000000" w:themeColor="text1"/>
          <w:sz w:val="22"/>
          <w:lang w:val="es-ES_tradnl"/>
        </w:rPr>
        <w:t>a</w:t>
      </w:r>
      <w:r w:rsidRPr="00E6228D">
        <w:rPr>
          <w:rFonts w:ascii="Arial" w:eastAsia="Calibri" w:hAnsi="Arial" w:cs="Arial"/>
          <w:color w:val="000000" w:themeColor="text1"/>
          <w:sz w:val="22"/>
          <w:lang w:val="es-ES_tradnl"/>
        </w:rPr>
        <w:t xml:space="preserve"> </w:t>
      </w:r>
      <w:r w:rsidR="00F909ED" w:rsidRPr="00E6228D">
        <w:rPr>
          <w:rFonts w:ascii="Arial" w:eastAsia="Calibri" w:hAnsi="Arial" w:cs="Arial"/>
          <w:color w:val="000000" w:themeColor="text1"/>
          <w:sz w:val="22"/>
          <w:lang w:val="es-ES_tradnl"/>
        </w:rPr>
        <w:t>Serrano</w:t>
      </w:r>
      <w:r w:rsidRPr="00E6228D">
        <w:rPr>
          <w:rFonts w:ascii="Arial" w:eastAsia="Calibri" w:hAnsi="Arial" w:cs="Arial"/>
          <w:color w:val="000000" w:themeColor="text1"/>
          <w:sz w:val="22"/>
          <w:lang w:val="es-ES_tradnl"/>
        </w:rPr>
        <w:t>,</w:t>
      </w:r>
    </w:p>
    <w:p w14:paraId="3CAF7803" w14:textId="77777777" w:rsidR="006C1C9E" w:rsidRPr="00E6228D" w:rsidRDefault="006C1C9E" w:rsidP="00F23E3A">
      <w:pPr>
        <w:spacing w:line="276" w:lineRule="auto"/>
        <w:rPr>
          <w:rFonts w:ascii="Arial" w:eastAsia="Calibri" w:hAnsi="Arial" w:cs="Arial"/>
          <w:color w:val="000000" w:themeColor="text1"/>
          <w:sz w:val="22"/>
          <w:lang w:val="es-ES_tradnl"/>
        </w:rPr>
      </w:pPr>
    </w:p>
    <w:p w14:paraId="032894D3" w14:textId="10F57E03" w:rsidR="006D6321" w:rsidRPr="00E6228D" w:rsidRDefault="006C1C9E" w:rsidP="00544348">
      <w:pPr>
        <w:tabs>
          <w:tab w:val="left" w:pos="426"/>
        </w:tabs>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La Agencia Nacional de Contratación Pública ―</w:t>
      </w:r>
      <w:r w:rsidR="00AE70B1" w:rsidRPr="00E6228D">
        <w:rPr>
          <w:rFonts w:ascii="Arial" w:eastAsia="Calibri" w:hAnsi="Arial" w:cs="Arial"/>
          <w:color w:val="000000" w:themeColor="text1"/>
          <w:sz w:val="22"/>
          <w:lang w:val="es-ES_tradnl"/>
        </w:rPr>
        <w:t xml:space="preserve"> </w:t>
      </w:r>
      <w:r w:rsidRPr="00E6228D">
        <w:rPr>
          <w:rFonts w:ascii="Arial" w:eastAsia="Calibri" w:hAnsi="Arial" w:cs="Arial"/>
          <w:color w:val="000000" w:themeColor="text1"/>
          <w:sz w:val="22"/>
          <w:lang w:val="es-ES_tradnl"/>
        </w:rPr>
        <w:t>Colombia Compra Eficiente</w:t>
      </w:r>
      <w:r w:rsidR="00AE70B1" w:rsidRPr="00E6228D">
        <w:rPr>
          <w:rFonts w:ascii="Arial" w:eastAsia="Calibri" w:hAnsi="Arial" w:cs="Arial"/>
          <w:color w:val="000000" w:themeColor="text1"/>
          <w:sz w:val="22"/>
          <w:lang w:val="es-ES_tradnl"/>
        </w:rPr>
        <w:t xml:space="preserve"> </w:t>
      </w:r>
      <w:r w:rsidRPr="00E6228D">
        <w:rPr>
          <w:rFonts w:ascii="Arial" w:eastAsia="Calibri" w:hAnsi="Arial" w:cs="Arial"/>
          <w:color w:val="000000" w:themeColor="text1"/>
          <w:sz w:val="22"/>
          <w:lang w:val="es-ES_tradnl"/>
        </w:rPr>
        <w:t xml:space="preserve">responde su consulta del </w:t>
      </w:r>
      <w:r w:rsidR="00AB136C" w:rsidRPr="00E6228D">
        <w:rPr>
          <w:rFonts w:ascii="Arial" w:eastAsia="Calibri" w:hAnsi="Arial" w:cs="Arial"/>
          <w:color w:val="000000" w:themeColor="text1"/>
          <w:sz w:val="22"/>
          <w:lang w:val="es-ES_tradnl"/>
        </w:rPr>
        <w:t>7</w:t>
      </w:r>
      <w:r w:rsidRPr="00E6228D">
        <w:rPr>
          <w:rFonts w:ascii="Arial" w:eastAsia="Calibri" w:hAnsi="Arial" w:cs="Arial"/>
          <w:color w:val="000000" w:themeColor="text1"/>
          <w:sz w:val="22"/>
          <w:lang w:val="es-ES_tradnl"/>
        </w:rPr>
        <w:t xml:space="preserve"> de </w:t>
      </w:r>
      <w:r w:rsidR="00B46D74" w:rsidRPr="00E6228D">
        <w:rPr>
          <w:rFonts w:ascii="Arial" w:eastAsia="Calibri" w:hAnsi="Arial" w:cs="Arial"/>
          <w:color w:val="000000" w:themeColor="text1"/>
          <w:sz w:val="22"/>
          <w:lang w:val="es-ES_tradnl"/>
        </w:rPr>
        <w:t>febrero</w:t>
      </w:r>
      <w:r w:rsidRPr="00E6228D">
        <w:rPr>
          <w:rFonts w:ascii="Arial" w:eastAsia="Calibri" w:hAnsi="Arial" w:cs="Arial"/>
          <w:color w:val="000000" w:themeColor="text1"/>
          <w:sz w:val="22"/>
          <w:lang w:val="es-ES_tradnl"/>
        </w:rPr>
        <w:t xml:space="preserve"> de 20</w:t>
      </w:r>
      <w:r w:rsidR="00B46D74" w:rsidRPr="00E6228D">
        <w:rPr>
          <w:rFonts w:ascii="Arial" w:eastAsia="Calibri" w:hAnsi="Arial" w:cs="Arial"/>
          <w:color w:val="000000" w:themeColor="text1"/>
          <w:sz w:val="22"/>
          <w:lang w:val="es-ES_tradnl"/>
        </w:rPr>
        <w:t>20</w:t>
      </w:r>
      <w:r w:rsidRPr="00E6228D">
        <w:rPr>
          <w:rFonts w:ascii="Arial" w:eastAsia="Calibri" w:hAnsi="Arial" w:cs="Arial"/>
          <w:color w:val="000000" w:themeColor="text1"/>
          <w:sz w:val="22"/>
          <w:lang w:val="es-ES_tradnl"/>
        </w:rPr>
        <w:t>, en ejercicio de la competencia otorgada por el numeral 8 del artículo 11 y el numeral 5 del artículo 3 del Decreto Ley 4170 de 2011.</w:t>
      </w:r>
    </w:p>
    <w:p w14:paraId="0B363D5C" w14:textId="77777777" w:rsidR="00FE3BCC" w:rsidRPr="00E6228D" w:rsidRDefault="00FE3BCC" w:rsidP="00544348">
      <w:pPr>
        <w:tabs>
          <w:tab w:val="left" w:pos="426"/>
        </w:tabs>
        <w:spacing w:line="276" w:lineRule="auto"/>
        <w:jc w:val="both"/>
        <w:rPr>
          <w:rFonts w:ascii="Arial" w:eastAsia="Calibri" w:hAnsi="Arial" w:cs="Arial"/>
          <w:color w:val="000000" w:themeColor="text1"/>
          <w:sz w:val="22"/>
          <w:lang w:val="es-ES_tradnl"/>
        </w:rPr>
      </w:pPr>
    </w:p>
    <w:p w14:paraId="737E2623" w14:textId="77777777" w:rsidR="00A37FB6" w:rsidRPr="00E6228D" w:rsidRDefault="00A37FB6" w:rsidP="00F23E3A">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_tradnl"/>
        </w:rPr>
      </w:pPr>
      <w:r w:rsidRPr="00E6228D">
        <w:rPr>
          <w:rFonts w:ascii="Arial" w:eastAsia="Calibri" w:hAnsi="Arial" w:cs="Arial"/>
          <w:b/>
          <w:color w:val="000000" w:themeColor="text1"/>
          <w:sz w:val="22"/>
          <w:lang w:val="es-ES_tradnl"/>
        </w:rPr>
        <w:t xml:space="preserve">Problemas planteados </w:t>
      </w:r>
    </w:p>
    <w:p w14:paraId="498A026D" w14:textId="77777777" w:rsidR="00A37FB6" w:rsidRPr="00E6228D" w:rsidRDefault="00A37FB6" w:rsidP="00F23E3A">
      <w:pPr>
        <w:tabs>
          <w:tab w:val="left" w:pos="426"/>
        </w:tabs>
        <w:spacing w:line="276" w:lineRule="auto"/>
        <w:jc w:val="both"/>
        <w:rPr>
          <w:rFonts w:ascii="Arial" w:eastAsia="Calibri" w:hAnsi="Arial" w:cs="Arial"/>
          <w:b/>
          <w:color w:val="000000" w:themeColor="text1"/>
          <w:sz w:val="22"/>
          <w:lang w:val="es-ES_tradnl"/>
        </w:rPr>
      </w:pPr>
    </w:p>
    <w:p w14:paraId="000B4CB2" w14:textId="6AB8F89D" w:rsidR="00F378FF" w:rsidRPr="00E6228D" w:rsidRDefault="00A37FB6" w:rsidP="00F23E3A">
      <w:pPr>
        <w:tabs>
          <w:tab w:val="left" w:pos="426"/>
        </w:tabs>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lastRenderedPageBreak/>
        <w:t xml:space="preserve">Usted </w:t>
      </w:r>
      <w:r w:rsidR="000D6A76" w:rsidRPr="00E6228D">
        <w:rPr>
          <w:rFonts w:ascii="Arial" w:eastAsia="Calibri" w:hAnsi="Arial" w:cs="Arial"/>
          <w:color w:val="000000" w:themeColor="text1"/>
          <w:sz w:val="22"/>
          <w:lang w:val="es-ES_tradnl"/>
        </w:rPr>
        <w:t>realiza las siguientes preguntas: i) «¿puede una entidad</w:t>
      </w:r>
      <w:r w:rsidR="00AB2D94" w:rsidRPr="00E6228D">
        <w:rPr>
          <w:rFonts w:ascii="Arial" w:eastAsia="Calibri" w:hAnsi="Arial" w:cs="Arial"/>
          <w:color w:val="000000" w:themeColor="text1"/>
          <w:sz w:val="22"/>
          <w:lang w:val="es-ES_tradnl"/>
        </w:rPr>
        <w:t xml:space="preserve"> exigir en un proceso de mínima Cuantía (sic) que no se modifique la cámara de comercio en la invitación o estudios previos?», ii) «</w:t>
      </w:r>
      <w:r w:rsidR="0049493D" w:rsidRPr="00E6228D">
        <w:rPr>
          <w:rFonts w:ascii="Arial" w:eastAsia="Calibri" w:hAnsi="Arial" w:cs="Arial"/>
          <w:color w:val="000000" w:themeColor="text1"/>
          <w:sz w:val="22"/>
          <w:lang w:val="es-ES_tradnl"/>
        </w:rPr>
        <w:t>¿puede un proponente modificar sus actividades económicas inscritas en la cámara de comercio antes de presentar la propuesta u otro documento para poder cumplir con las exigencias de un pliego o una invitación antes de la entrega de las propuestas?».</w:t>
      </w:r>
    </w:p>
    <w:p w14:paraId="6A982790" w14:textId="6EBA66EC" w:rsidR="00A37FB6" w:rsidRPr="00E6228D" w:rsidRDefault="00F378FF" w:rsidP="00F23E3A">
      <w:pPr>
        <w:tabs>
          <w:tab w:val="left" w:pos="426"/>
        </w:tabs>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 </w:t>
      </w:r>
    </w:p>
    <w:p w14:paraId="6A32A1B1" w14:textId="33A59142" w:rsidR="00A37FB6" w:rsidRPr="00E6228D" w:rsidRDefault="0010298F" w:rsidP="0010298F">
      <w:pPr>
        <w:tabs>
          <w:tab w:val="left" w:pos="426"/>
        </w:tabs>
        <w:spacing w:line="276" w:lineRule="auto"/>
        <w:jc w:val="both"/>
        <w:rPr>
          <w:rFonts w:ascii="Arial" w:eastAsia="Calibri" w:hAnsi="Arial" w:cs="Arial"/>
          <w:b/>
          <w:color w:val="000000" w:themeColor="text1"/>
          <w:sz w:val="22"/>
          <w:lang w:val="es-ES_tradnl"/>
        </w:rPr>
      </w:pPr>
      <w:r w:rsidRPr="00E6228D">
        <w:rPr>
          <w:rFonts w:ascii="Arial" w:eastAsia="Calibri" w:hAnsi="Arial" w:cs="Arial"/>
          <w:b/>
          <w:color w:val="000000" w:themeColor="text1"/>
          <w:sz w:val="22"/>
          <w:lang w:val="es-ES_tradnl"/>
        </w:rPr>
        <w:t xml:space="preserve">2. </w:t>
      </w:r>
      <w:r w:rsidR="00A37FB6" w:rsidRPr="00E6228D">
        <w:rPr>
          <w:rFonts w:ascii="Arial" w:eastAsia="Calibri" w:hAnsi="Arial" w:cs="Arial"/>
          <w:b/>
          <w:color w:val="000000" w:themeColor="text1"/>
          <w:sz w:val="22"/>
          <w:lang w:val="es-ES_tradnl"/>
        </w:rPr>
        <w:t>Consideraciones</w:t>
      </w:r>
    </w:p>
    <w:bookmarkEnd w:id="0"/>
    <w:bookmarkEnd w:id="1"/>
    <w:p w14:paraId="5D8BAB86" w14:textId="77777777" w:rsidR="00D94962" w:rsidRPr="00E6228D" w:rsidRDefault="00D94962" w:rsidP="00F23E3A">
      <w:pPr>
        <w:spacing w:line="276" w:lineRule="auto"/>
        <w:jc w:val="both"/>
        <w:rPr>
          <w:rFonts w:ascii="Arial" w:hAnsi="Arial" w:cs="Arial"/>
          <w:color w:val="000000" w:themeColor="text1"/>
          <w:sz w:val="22"/>
          <w:lang w:val="es-ES_tradnl"/>
        </w:rPr>
      </w:pPr>
    </w:p>
    <w:p w14:paraId="3CE1C1EB" w14:textId="2EC60BAE" w:rsidR="00F72043" w:rsidRPr="00E6228D" w:rsidRDefault="00F72043" w:rsidP="00F23E3A">
      <w:pPr>
        <w:spacing w:line="276" w:lineRule="auto"/>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Para resolver esta consulta se hará un análisis de los siguientes temas: i) </w:t>
      </w:r>
      <w:r w:rsidR="00420891" w:rsidRPr="00E6228D">
        <w:rPr>
          <w:rFonts w:ascii="Arial" w:hAnsi="Arial" w:cs="Arial"/>
          <w:color w:val="000000" w:themeColor="text1"/>
          <w:sz w:val="22"/>
          <w:lang w:val="es-ES_tradnl"/>
        </w:rPr>
        <w:t xml:space="preserve">la regulación de </w:t>
      </w:r>
      <w:r w:rsidR="00F378FF" w:rsidRPr="00E6228D">
        <w:rPr>
          <w:rFonts w:ascii="Arial" w:hAnsi="Arial" w:cs="Arial"/>
          <w:color w:val="000000" w:themeColor="text1"/>
          <w:sz w:val="22"/>
          <w:lang w:val="es-ES_tradnl"/>
        </w:rPr>
        <w:t>la modalidad de</w:t>
      </w:r>
      <w:r w:rsidR="00420891" w:rsidRPr="00E6228D">
        <w:rPr>
          <w:rFonts w:ascii="Arial" w:hAnsi="Arial" w:cs="Arial"/>
          <w:color w:val="000000" w:themeColor="text1"/>
          <w:sz w:val="22"/>
          <w:lang w:val="es-ES_tradnl"/>
        </w:rPr>
        <w:t xml:space="preserve"> selección de</w:t>
      </w:r>
      <w:r w:rsidR="00F378FF" w:rsidRPr="00E6228D">
        <w:rPr>
          <w:rFonts w:ascii="Arial" w:hAnsi="Arial" w:cs="Arial"/>
          <w:color w:val="000000" w:themeColor="text1"/>
          <w:sz w:val="22"/>
          <w:lang w:val="es-ES_tradnl"/>
        </w:rPr>
        <w:t xml:space="preserve"> mínima cuantía</w:t>
      </w:r>
      <w:r w:rsidR="001E081B" w:rsidRPr="00E6228D">
        <w:rPr>
          <w:rFonts w:ascii="Arial" w:hAnsi="Arial" w:cs="Arial"/>
          <w:color w:val="000000" w:themeColor="text1"/>
          <w:sz w:val="22"/>
          <w:lang w:val="es-ES_tradnl"/>
        </w:rPr>
        <w:t>,</w:t>
      </w:r>
      <w:r w:rsidR="000130B5" w:rsidRPr="00E6228D">
        <w:rPr>
          <w:rFonts w:ascii="Arial" w:hAnsi="Arial" w:cs="Arial"/>
          <w:color w:val="000000" w:themeColor="text1"/>
          <w:sz w:val="22"/>
          <w:lang w:val="es-ES_tradnl"/>
        </w:rPr>
        <w:t xml:space="preserve"> con</w:t>
      </w:r>
      <w:r w:rsidR="001E081B" w:rsidRPr="00E6228D">
        <w:rPr>
          <w:rFonts w:ascii="Arial" w:hAnsi="Arial" w:cs="Arial"/>
          <w:color w:val="000000" w:themeColor="text1"/>
          <w:sz w:val="22"/>
          <w:lang w:val="es-ES_tradnl"/>
        </w:rPr>
        <w:t xml:space="preserve"> la modificación introducida por el artículo 42 de la Ley 1955 de 2019</w:t>
      </w:r>
      <w:r w:rsidR="000130B5" w:rsidRPr="00E6228D">
        <w:rPr>
          <w:rFonts w:ascii="Arial" w:hAnsi="Arial" w:cs="Arial"/>
          <w:color w:val="000000" w:themeColor="text1"/>
          <w:sz w:val="22"/>
          <w:lang w:val="es-ES_tradnl"/>
        </w:rPr>
        <w:t xml:space="preserve"> al artículo 94 de la Ley 1474 de 2011</w:t>
      </w:r>
      <w:r w:rsidR="007357AE" w:rsidRPr="00E6228D">
        <w:rPr>
          <w:rFonts w:ascii="Arial" w:hAnsi="Arial" w:cs="Arial"/>
          <w:color w:val="000000" w:themeColor="text1"/>
          <w:sz w:val="22"/>
          <w:lang w:val="es-ES_tradnl"/>
        </w:rPr>
        <w:t xml:space="preserve">, </w:t>
      </w:r>
      <w:r w:rsidR="00C94E35" w:rsidRPr="00E6228D">
        <w:rPr>
          <w:rFonts w:ascii="Arial" w:hAnsi="Arial" w:cs="Arial"/>
          <w:color w:val="000000" w:themeColor="text1"/>
          <w:sz w:val="22"/>
          <w:lang w:val="es-ES_tradnl"/>
        </w:rPr>
        <w:t xml:space="preserve">ii) </w:t>
      </w:r>
      <w:r w:rsidR="006468FD" w:rsidRPr="00E6228D">
        <w:rPr>
          <w:rFonts w:ascii="Arial" w:hAnsi="Arial" w:cs="Arial"/>
          <w:color w:val="000000" w:themeColor="text1"/>
          <w:sz w:val="22"/>
          <w:lang w:val="es-ES_tradnl"/>
        </w:rPr>
        <w:t>la experiencia como requisito habilitante en la mínima cuantía</w:t>
      </w:r>
      <w:r w:rsidR="00FE3BCC" w:rsidRPr="00E6228D">
        <w:rPr>
          <w:rFonts w:ascii="Arial" w:hAnsi="Arial" w:cs="Arial"/>
          <w:color w:val="000000" w:themeColor="text1"/>
          <w:sz w:val="22"/>
          <w:lang w:val="es-ES_tradnl"/>
        </w:rPr>
        <w:t xml:space="preserve">, </w:t>
      </w:r>
      <w:r w:rsidR="009038D7" w:rsidRPr="00E6228D">
        <w:rPr>
          <w:rFonts w:ascii="Arial" w:hAnsi="Arial" w:cs="Arial"/>
          <w:color w:val="000000" w:themeColor="text1"/>
          <w:sz w:val="22"/>
          <w:lang w:val="es-ES_tradnl"/>
        </w:rPr>
        <w:t>que puede subsanarse y que</w:t>
      </w:r>
      <w:r w:rsidR="004D7FD1" w:rsidRPr="00E6228D">
        <w:rPr>
          <w:rFonts w:ascii="Arial" w:hAnsi="Arial" w:cs="Arial"/>
          <w:color w:val="000000" w:themeColor="text1"/>
          <w:sz w:val="22"/>
          <w:lang w:val="es-ES_tradnl"/>
        </w:rPr>
        <w:t>, en caso de solicitarse en la invitación,</w:t>
      </w:r>
      <w:r w:rsidR="009038D7" w:rsidRPr="00E6228D">
        <w:rPr>
          <w:rFonts w:ascii="Arial" w:hAnsi="Arial" w:cs="Arial"/>
          <w:color w:val="000000" w:themeColor="text1"/>
          <w:sz w:val="22"/>
          <w:lang w:val="es-ES_tradnl"/>
        </w:rPr>
        <w:t xml:space="preserve"> las entidades</w:t>
      </w:r>
      <w:r w:rsidR="004D7FD1" w:rsidRPr="00E6228D">
        <w:rPr>
          <w:rFonts w:ascii="Arial" w:hAnsi="Arial" w:cs="Arial"/>
          <w:color w:val="000000" w:themeColor="text1"/>
          <w:sz w:val="22"/>
          <w:lang w:val="es-ES_tradnl"/>
        </w:rPr>
        <w:t xml:space="preserve"> </w:t>
      </w:r>
      <w:r w:rsidR="009038D7" w:rsidRPr="00E6228D">
        <w:rPr>
          <w:rFonts w:ascii="Arial" w:hAnsi="Arial" w:cs="Arial"/>
          <w:color w:val="000000" w:themeColor="text1"/>
          <w:sz w:val="22"/>
          <w:lang w:val="es-ES_tradnl"/>
        </w:rPr>
        <w:t>deben verificar</w:t>
      </w:r>
      <w:r w:rsidR="008A4057" w:rsidRPr="00E6228D">
        <w:rPr>
          <w:rFonts w:ascii="Arial" w:hAnsi="Arial" w:cs="Arial"/>
          <w:color w:val="000000" w:themeColor="text1"/>
          <w:sz w:val="22"/>
          <w:lang w:val="es-ES_tradnl"/>
        </w:rPr>
        <w:t>la</w:t>
      </w:r>
      <w:r w:rsidR="004D7FD1" w:rsidRPr="00E6228D">
        <w:rPr>
          <w:rFonts w:ascii="Arial" w:hAnsi="Arial" w:cs="Arial"/>
          <w:color w:val="000000" w:themeColor="text1"/>
          <w:sz w:val="22"/>
          <w:lang w:val="es-ES_tradnl"/>
        </w:rPr>
        <w:t xml:space="preserve"> por su</w:t>
      </w:r>
      <w:r w:rsidR="00952DF1" w:rsidRPr="00E6228D">
        <w:rPr>
          <w:rFonts w:ascii="Arial" w:hAnsi="Arial" w:cs="Arial"/>
          <w:color w:val="000000" w:themeColor="text1"/>
          <w:sz w:val="22"/>
          <w:lang w:val="es-ES_tradnl"/>
        </w:rPr>
        <w:t>s medios</w:t>
      </w:r>
      <w:r w:rsidR="009038D7" w:rsidRPr="00E6228D">
        <w:rPr>
          <w:rFonts w:ascii="Arial" w:hAnsi="Arial" w:cs="Arial"/>
          <w:color w:val="000000" w:themeColor="text1"/>
          <w:sz w:val="22"/>
          <w:lang w:val="es-ES_tradnl"/>
        </w:rPr>
        <w:t>, sin que puedan exigir el Registro Único de Proponentes –RUP–</w:t>
      </w:r>
      <w:r w:rsidR="000F0EC8" w:rsidRPr="00E6228D">
        <w:rPr>
          <w:rFonts w:ascii="Arial" w:hAnsi="Arial" w:cs="Arial"/>
          <w:color w:val="000000" w:themeColor="text1"/>
          <w:sz w:val="22"/>
          <w:lang w:val="es-ES_tradnl"/>
        </w:rPr>
        <w:t xml:space="preserve"> y iii) </w:t>
      </w:r>
      <w:r w:rsidR="003F28A8" w:rsidRPr="00E6228D">
        <w:rPr>
          <w:rFonts w:ascii="Arial" w:hAnsi="Arial" w:cs="Arial"/>
          <w:color w:val="000000" w:themeColor="text1"/>
          <w:sz w:val="22"/>
          <w:lang w:val="es-ES_tradnl"/>
        </w:rPr>
        <w:t>la posibilidad de que</w:t>
      </w:r>
      <w:r w:rsidR="009038D7" w:rsidRPr="00E6228D">
        <w:rPr>
          <w:rFonts w:ascii="Arial" w:hAnsi="Arial" w:cs="Arial"/>
          <w:color w:val="000000" w:themeColor="text1"/>
          <w:sz w:val="22"/>
          <w:lang w:val="es-ES_tradnl"/>
        </w:rPr>
        <w:t xml:space="preserve"> el interesado en presentar su propuesta</w:t>
      </w:r>
      <w:r w:rsidR="003F28A8" w:rsidRPr="00E6228D">
        <w:rPr>
          <w:rFonts w:ascii="Arial" w:hAnsi="Arial" w:cs="Arial"/>
          <w:color w:val="000000" w:themeColor="text1"/>
          <w:sz w:val="22"/>
          <w:lang w:val="es-ES_tradnl"/>
        </w:rPr>
        <w:t xml:space="preserve"> en la modalidad de mínima cuantía</w:t>
      </w:r>
      <w:r w:rsidR="009038D7" w:rsidRPr="00E6228D">
        <w:rPr>
          <w:rFonts w:ascii="Arial" w:hAnsi="Arial" w:cs="Arial"/>
          <w:color w:val="000000" w:themeColor="text1"/>
          <w:sz w:val="22"/>
          <w:lang w:val="es-ES_tradnl"/>
        </w:rPr>
        <w:t xml:space="preserve"> actualice la información del Registro Único Empresarial y Social –RUES–.</w:t>
      </w:r>
    </w:p>
    <w:p w14:paraId="3BD93A33" w14:textId="77777777" w:rsidR="00F72043" w:rsidRPr="00E6228D" w:rsidRDefault="00F72043" w:rsidP="00F23E3A">
      <w:pPr>
        <w:spacing w:line="276" w:lineRule="auto"/>
        <w:jc w:val="both"/>
        <w:rPr>
          <w:rFonts w:ascii="Arial" w:hAnsi="Arial" w:cs="Arial"/>
          <w:color w:val="000000" w:themeColor="text1"/>
          <w:sz w:val="22"/>
          <w:lang w:val="es-ES_tradnl"/>
        </w:rPr>
      </w:pPr>
    </w:p>
    <w:p w14:paraId="3984640B" w14:textId="6D99B502" w:rsidR="0096318D" w:rsidRPr="00E6228D" w:rsidRDefault="0096318D" w:rsidP="00F23E3A">
      <w:pPr>
        <w:tabs>
          <w:tab w:val="left" w:pos="426"/>
        </w:tabs>
        <w:spacing w:line="276" w:lineRule="auto"/>
        <w:jc w:val="both"/>
        <w:rPr>
          <w:rFonts w:ascii="Arial" w:eastAsia="Calibri" w:hAnsi="Arial" w:cs="Arial"/>
          <w:b/>
          <w:color w:val="000000" w:themeColor="text1"/>
          <w:sz w:val="22"/>
          <w:lang w:val="es-ES_tradnl"/>
        </w:rPr>
      </w:pPr>
      <w:r w:rsidRPr="00E6228D">
        <w:rPr>
          <w:rFonts w:ascii="Arial" w:eastAsia="Calibri" w:hAnsi="Arial" w:cs="Arial"/>
          <w:b/>
          <w:color w:val="000000" w:themeColor="text1"/>
          <w:sz w:val="22"/>
          <w:lang w:val="es-ES_tradnl"/>
        </w:rPr>
        <w:t>2.</w:t>
      </w:r>
      <w:r w:rsidR="00052E6D" w:rsidRPr="00E6228D">
        <w:rPr>
          <w:rFonts w:ascii="Arial" w:eastAsia="Calibri" w:hAnsi="Arial" w:cs="Arial"/>
          <w:b/>
          <w:color w:val="000000" w:themeColor="text1"/>
          <w:sz w:val="22"/>
          <w:lang w:val="es-ES_tradnl"/>
        </w:rPr>
        <w:t>1</w:t>
      </w:r>
      <w:r w:rsidRPr="00E6228D">
        <w:rPr>
          <w:rFonts w:ascii="Arial" w:eastAsia="Calibri" w:hAnsi="Arial" w:cs="Arial"/>
          <w:b/>
          <w:color w:val="000000" w:themeColor="text1"/>
          <w:sz w:val="22"/>
          <w:lang w:val="es-ES_tradnl"/>
        </w:rPr>
        <w:t xml:space="preserve">. </w:t>
      </w:r>
      <w:r w:rsidR="00323221" w:rsidRPr="00E6228D">
        <w:rPr>
          <w:rFonts w:ascii="Arial" w:eastAsia="Calibri" w:hAnsi="Arial" w:cs="Arial"/>
          <w:b/>
          <w:color w:val="000000" w:themeColor="text1"/>
          <w:sz w:val="22"/>
          <w:lang w:val="es-ES_tradnl"/>
        </w:rPr>
        <w:t>Modalidad de selección de m</w:t>
      </w:r>
      <w:r w:rsidR="00604E4B" w:rsidRPr="00E6228D">
        <w:rPr>
          <w:rFonts w:ascii="Arial" w:eastAsia="Calibri" w:hAnsi="Arial" w:cs="Arial"/>
          <w:b/>
          <w:color w:val="000000" w:themeColor="text1"/>
          <w:sz w:val="22"/>
          <w:lang w:val="es-ES_tradnl"/>
        </w:rPr>
        <w:t>ínima</w:t>
      </w:r>
      <w:r w:rsidR="00710F76" w:rsidRPr="00E6228D">
        <w:rPr>
          <w:rFonts w:ascii="Arial" w:eastAsia="Calibri" w:hAnsi="Arial" w:cs="Arial"/>
          <w:b/>
          <w:color w:val="000000" w:themeColor="text1"/>
          <w:sz w:val="22"/>
          <w:lang w:val="es-ES_tradnl"/>
        </w:rPr>
        <w:t xml:space="preserve"> cuantía</w:t>
      </w:r>
      <w:r w:rsidR="00604E01" w:rsidRPr="00E6228D">
        <w:rPr>
          <w:rFonts w:ascii="Arial" w:eastAsia="Calibri" w:hAnsi="Arial" w:cs="Arial"/>
          <w:b/>
          <w:color w:val="000000" w:themeColor="text1"/>
          <w:sz w:val="22"/>
          <w:lang w:val="es-ES_tradnl"/>
        </w:rPr>
        <w:t xml:space="preserve">. </w:t>
      </w:r>
      <w:r w:rsidR="00643033" w:rsidRPr="00E6228D">
        <w:rPr>
          <w:rFonts w:ascii="Arial" w:eastAsia="Calibri" w:hAnsi="Arial" w:cs="Arial"/>
          <w:b/>
          <w:color w:val="000000" w:themeColor="text1"/>
          <w:sz w:val="22"/>
          <w:lang w:val="es-ES_tradnl"/>
        </w:rPr>
        <w:t>Regulación</w:t>
      </w:r>
      <w:r w:rsidR="00831F66" w:rsidRPr="00E6228D">
        <w:rPr>
          <w:rFonts w:ascii="Arial" w:eastAsia="Calibri" w:hAnsi="Arial" w:cs="Arial"/>
          <w:b/>
          <w:color w:val="000000" w:themeColor="text1"/>
          <w:sz w:val="22"/>
          <w:lang w:val="es-ES_tradnl"/>
        </w:rPr>
        <w:t xml:space="preserve"> </w:t>
      </w:r>
      <w:r w:rsidR="00710F76" w:rsidRPr="00E6228D">
        <w:rPr>
          <w:rFonts w:ascii="Arial" w:eastAsia="Calibri" w:hAnsi="Arial" w:cs="Arial"/>
          <w:b/>
          <w:color w:val="000000" w:themeColor="text1"/>
          <w:sz w:val="22"/>
          <w:lang w:val="es-ES_tradnl"/>
        </w:rPr>
        <w:t xml:space="preserve">y </w:t>
      </w:r>
      <w:r w:rsidR="00643033" w:rsidRPr="00E6228D">
        <w:rPr>
          <w:rFonts w:ascii="Arial" w:eastAsia="Calibri" w:hAnsi="Arial" w:cs="Arial"/>
          <w:b/>
          <w:color w:val="000000" w:themeColor="text1"/>
          <w:sz w:val="22"/>
          <w:lang w:val="es-ES_tradnl"/>
        </w:rPr>
        <w:t>características</w:t>
      </w:r>
      <w:r w:rsidR="00710F76" w:rsidRPr="00E6228D">
        <w:rPr>
          <w:rFonts w:ascii="Arial" w:eastAsia="Calibri" w:hAnsi="Arial" w:cs="Arial"/>
          <w:b/>
          <w:color w:val="000000" w:themeColor="text1"/>
          <w:sz w:val="22"/>
          <w:lang w:val="es-ES_tradnl"/>
        </w:rPr>
        <w:t xml:space="preserve"> del procedimiento</w:t>
      </w:r>
    </w:p>
    <w:p w14:paraId="7CB4E798" w14:textId="2EBAA380" w:rsidR="009256D5" w:rsidRPr="00E6228D" w:rsidRDefault="009256D5" w:rsidP="00F23E3A">
      <w:pPr>
        <w:spacing w:line="276" w:lineRule="auto"/>
        <w:jc w:val="both"/>
        <w:rPr>
          <w:rFonts w:ascii="Arial" w:eastAsia="Calibri" w:hAnsi="Arial" w:cs="Arial"/>
          <w:color w:val="000000" w:themeColor="text1"/>
          <w:sz w:val="22"/>
          <w:lang w:val="es-ES_tradnl"/>
        </w:rPr>
      </w:pPr>
    </w:p>
    <w:p w14:paraId="74A47588" w14:textId="2811FE5F" w:rsidR="00EB49E9" w:rsidRPr="00E6228D" w:rsidRDefault="005B72DC" w:rsidP="00F23E3A">
      <w:pPr>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La mínima cuantía es una modalidad de</w:t>
      </w:r>
      <w:r w:rsidR="00785FD2" w:rsidRPr="00E6228D">
        <w:rPr>
          <w:rFonts w:ascii="Arial" w:eastAsia="Calibri" w:hAnsi="Arial" w:cs="Arial"/>
          <w:color w:val="000000" w:themeColor="text1"/>
          <w:sz w:val="22"/>
          <w:lang w:val="es-ES_tradnl"/>
        </w:rPr>
        <w:t xml:space="preserve"> selección en virtud de la cual la entidad estatal realiza una convocatoria pública para recibir ofertas</w:t>
      </w:r>
      <w:r w:rsidR="00836F38" w:rsidRPr="00E6228D">
        <w:rPr>
          <w:rFonts w:ascii="Arial" w:eastAsia="Calibri" w:hAnsi="Arial" w:cs="Arial"/>
          <w:color w:val="000000" w:themeColor="text1"/>
          <w:sz w:val="22"/>
          <w:lang w:val="es-ES_tradnl"/>
        </w:rPr>
        <w:t xml:space="preserve"> de bienes o servicios cuyo valor no excede el diez por ciento</w:t>
      </w:r>
      <w:r w:rsidR="00E323A4" w:rsidRPr="00E6228D">
        <w:rPr>
          <w:rFonts w:ascii="Arial" w:eastAsia="Calibri" w:hAnsi="Arial" w:cs="Arial"/>
          <w:color w:val="000000" w:themeColor="text1"/>
          <w:sz w:val="22"/>
          <w:lang w:val="es-ES_tradnl"/>
        </w:rPr>
        <w:t xml:space="preserve"> (10%)</w:t>
      </w:r>
      <w:r w:rsidR="00836F38" w:rsidRPr="00E6228D">
        <w:rPr>
          <w:rFonts w:ascii="Arial" w:eastAsia="Calibri" w:hAnsi="Arial" w:cs="Arial"/>
          <w:color w:val="000000" w:themeColor="text1"/>
          <w:sz w:val="22"/>
          <w:lang w:val="es-ES_tradnl"/>
        </w:rPr>
        <w:t xml:space="preserve"> de la menor cuantía</w:t>
      </w:r>
      <w:r w:rsidR="00E323A4" w:rsidRPr="00E6228D">
        <w:rPr>
          <w:rFonts w:ascii="Arial" w:eastAsia="Calibri" w:hAnsi="Arial" w:cs="Arial"/>
          <w:color w:val="000000" w:themeColor="text1"/>
          <w:sz w:val="22"/>
          <w:lang w:val="es-ES_tradnl"/>
        </w:rPr>
        <w:t>. Fue creada por el artículo 94 de la Ley 1474 de 2011</w:t>
      </w:r>
      <w:r w:rsidR="00A13D6C" w:rsidRPr="00E6228D">
        <w:rPr>
          <w:rStyle w:val="Refdenotaalpie"/>
          <w:rFonts w:ascii="Arial" w:eastAsia="Calibri" w:hAnsi="Arial" w:cs="Arial"/>
          <w:color w:val="000000" w:themeColor="text1"/>
          <w:sz w:val="22"/>
          <w:lang w:val="es-ES_tradnl"/>
        </w:rPr>
        <w:footnoteReference w:id="1"/>
      </w:r>
      <w:r w:rsidR="00BD7D11" w:rsidRPr="00E6228D">
        <w:rPr>
          <w:rFonts w:ascii="Arial" w:eastAsia="Calibri" w:hAnsi="Arial" w:cs="Arial"/>
          <w:color w:val="000000" w:themeColor="text1"/>
          <w:sz w:val="22"/>
          <w:lang w:val="es-ES_tradnl"/>
        </w:rPr>
        <w:t xml:space="preserve"> </w:t>
      </w:r>
      <w:r w:rsidR="00F84D74" w:rsidRPr="00E6228D">
        <w:rPr>
          <w:rFonts w:ascii="Arial" w:eastAsia="Calibri" w:hAnsi="Arial" w:cs="Arial"/>
          <w:color w:val="000000" w:themeColor="text1"/>
          <w:sz w:val="22"/>
          <w:lang w:val="es-ES_tradnl"/>
        </w:rPr>
        <w:t xml:space="preserve">–que </w:t>
      </w:r>
      <w:r w:rsidR="00FF2F4B" w:rsidRPr="00E6228D">
        <w:rPr>
          <w:rFonts w:ascii="Arial" w:eastAsia="Calibri" w:hAnsi="Arial" w:cs="Arial"/>
          <w:color w:val="000000" w:themeColor="text1"/>
          <w:sz w:val="22"/>
          <w:lang w:val="es-ES_tradnl"/>
        </w:rPr>
        <w:t>adicionó el numeral 5º al artículo 2 de la Ley 1150 de 2007–</w:t>
      </w:r>
      <w:r w:rsidR="0062239E" w:rsidRPr="00E6228D">
        <w:rPr>
          <w:rFonts w:ascii="Arial" w:eastAsia="Calibri" w:hAnsi="Arial" w:cs="Arial"/>
          <w:color w:val="000000" w:themeColor="text1"/>
          <w:sz w:val="22"/>
          <w:lang w:val="es-ES_tradnl"/>
        </w:rPr>
        <w:t>,</w:t>
      </w:r>
      <w:r w:rsidR="00F8669E" w:rsidRPr="00E6228D">
        <w:rPr>
          <w:rFonts w:ascii="Arial" w:eastAsia="Calibri" w:hAnsi="Arial" w:cs="Arial"/>
          <w:color w:val="000000" w:themeColor="text1"/>
          <w:sz w:val="22"/>
          <w:lang w:val="es-ES_tradnl"/>
        </w:rPr>
        <w:t xml:space="preserve"> </w:t>
      </w:r>
      <w:r w:rsidR="00FF2F4B" w:rsidRPr="00E6228D">
        <w:rPr>
          <w:rFonts w:ascii="Arial" w:eastAsia="Calibri" w:hAnsi="Arial" w:cs="Arial"/>
          <w:color w:val="000000" w:themeColor="text1"/>
          <w:sz w:val="22"/>
          <w:lang w:val="es-ES_tradnl"/>
        </w:rPr>
        <w:lastRenderedPageBreak/>
        <w:t>estableciendo</w:t>
      </w:r>
      <w:r w:rsidR="0062239E" w:rsidRPr="00E6228D">
        <w:rPr>
          <w:rFonts w:ascii="Arial" w:eastAsia="Calibri" w:hAnsi="Arial" w:cs="Arial"/>
          <w:color w:val="000000" w:themeColor="text1"/>
          <w:sz w:val="22"/>
          <w:lang w:val="es-ES_tradnl"/>
        </w:rPr>
        <w:t xml:space="preserve"> que el factor determinante para llevar a cabo tal </w:t>
      </w:r>
      <w:r w:rsidR="00F8669E" w:rsidRPr="00E6228D">
        <w:rPr>
          <w:rFonts w:ascii="Arial" w:eastAsia="Calibri" w:hAnsi="Arial" w:cs="Arial"/>
          <w:color w:val="000000" w:themeColor="text1"/>
          <w:sz w:val="22"/>
          <w:lang w:val="es-ES_tradnl"/>
        </w:rPr>
        <w:t>procedimiento es la cuantía –</w:t>
      </w:r>
      <w:r w:rsidR="00FF2F4B" w:rsidRPr="00E6228D">
        <w:rPr>
          <w:rFonts w:ascii="Arial" w:eastAsia="Calibri" w:hAnsi="Arial" w:cs="Arial"/>
          <w:color w:val="000000" w:themeColor="text1"/>
          <w:sz w:val="22"/>
          <w:lang w:val="es-ES_tradnl"/>
        </w:rPr>
        <w:t>calculada como</w:t>
      </w:r>
      <w:r w:rsidR="00F8669E" w:rsidRPr="00E6228D">
        <w:rPr>
          <w:rFonts w:ascii="Arial" w:eastAsia="Calibri" w:hAnsi="Arial" w:cs="Arial"/>
          <w:color w:val="000000" w:themeColor="text1"/>
          <w:sz w:val="22"/>
          <w:lang w:val="es-ES_tradnl"/>
        </w:rPr>
        <w:t xml:space="preserve"> presupuesto oficial </w:t>
      </w:r>
      <w:r w:rsidR="00FF2F4B" w:rsidRPr="00E6228D">
        <w:rPr>
          <w:rFonts w:ascii="Arial" w:eastAsia="Calibri" w:hAnsi="Arial" w:cs="Arial"/>
          <w:color w:val="000000" w:themeColor="text1"/>
          <w:sz w:val="22"/>
          <w:lang w:val="es-ES_tradnl"/>
        </w:rPr>
        <w:t xml:space="preserve">a partir </w:t>
      </w:r>
      <w:r w:rsidR="00F8669E" w:rsidRPr="00E6228D">
        <w:rPr>
          <w:rFonts w:ascii="Arial" w:eastAsia="Calibri" w:hAnsi="Arial" w:cs="Arial"/>
          <w:color w:val="000000" w:themeColor="text1"/>
          <w:sz w:val="22"/>
          <w:lang w:val="es-ES_tradnl"/>
        </w:rPr>
        <w:t>del estudio del sector–, «independientemente de su objeto»</w:t>
      </w:r>
      <w:r w:rsidR="00C548B1" w:rsidRPr="00E6228D">
        <w:rPr>
          <w:rStyle w:val="Refdenotaalpie"/>
          <w:rFonts w:ascii="Arial" w:eastAsia="Calibri" w:hAnsi="Arial" w:cs="Arial"/>
          <w:color w:val="000000" w:themeColor="text1"/>
          <w:sz w:val="22"/>
          <w:lang w:val="es-ES_tradnl"/>
        </w:rPr>
        <w:footnoteReference w:id="2"/>
      </w:r>
      <w:r w:rsidR="004B4FDA" w:rsidRPr="00E6228D">
        <w:rPr>
          <w:rFonts w:ascii="Arial" w:eastAsia="Calibri" w:hAnsi="Arial" w:cs="Arial"/>
          <w:color w:val="000000" w:themeColor="text1"/>
          <w:sz w:val="22"/>
          <w:lang w:val="es-ES_tradnl"/>
        </w:rPr>
        <w:t xml:space="preserve">. </w:t>
      </w:r>
    </w:p>
    <w:p w14:paraId="0ADC861B" w14:textId="21BA97BF" w:rsidR="0021415B" w:rsidRPr="00E6228D" w:rsidRDefault="004B4FDA"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Dicho de otro modo, la mínima cuantía es un procedimiento de selección</w:t>
      </w:r>
      <w:r w:rsidR="006810C6" w:rsidRPr="00E6228D">
        <w:rPr>
          <w:rFonts w:ascii="Arial" w:eastAsia="Calibri" w:hAnsi="Arial" w:cs="Arial"/>
          <w:color w:val="000000" w:themeColor="text1"/>
          <w:sz w:val="22"/>
          <w:lang w:val="es-ES_tradnl"/>
        </w:rPr>
        <w:t xml:space="preserve"> excepcional</w:t>
      </w:r>
      <w:r w:rsidR="007F1615" w:rsidRPr="00E6228D">
        <w:rPr>
          <w:rStyle w:val="Refdenotaalpie"/>
          <w:rFonts w:ascii="Arial" w:eastAsia="Calibri" w:hAnsi="Arial" w:cs="Arial"/>
          <w:color w:val="000000" w:themeColor="text1"/>
          <w:sz w:val="22"/>
          <w:lang w:val="es-ES_tradnl"/>
        </w:rPr>
        <w:footnoteReference w:id="3"/>
      </w:r>
      <w:r w:rsidR="00A31686" w:rsidRPr="00E6228D">
        <w:rPr>
          <w:rFonts w:ascii="Arial" w:eastAsia="Calibri" w:hAnsi="Arial" w:cs="Arial"/>
          <w:color w:val="000000" w:themeColor="text1"/>
          <w:sz w:val="22"/>
          <w:lang w:val="es-ES_tradnl"/>
        </w:rPr>
        <w:t>,</w:t>
      </w:r>
      <w:r w:rsidR="00471B5B" w:rsidRPr="00E6228D">
        <w:rPr>
          <w:rFonts w:ascii="Arial" w:eastAsia="Calibri" w:hAnsi="Arial" w:cs="Arial"/>
          <w:color w:val="000000" w:themeColor="text1"/>
          <w:sz w:val="22"/>
          <w:lang w:val="es-ES_tradnl"/>
        </w:rPr>
        <w:t xml:space="preserve"> </w:t>
      </w:r>
      <w:r w:rsidR="00A31686" w:rsidRPr="00E6228D">
        <w:rPr>
          <w:rFonts w:ascii="Arial" w:eastAsia="Calibri" w:hAnsi="Arial" w:cs="Arial"/>
          <w:color w:val="000000" w:themeColor="text1"/>
          <w:sz w:val="22"/>
          <w:lang w:val="es-ES_tradnl"/>
        </w:rPr>
        <w:t>porque es una excepción adicional a la regla general constituida por la licitación pública, pero</w:t>
      </w:r>
      <w:r w:rsidR="00D223BF" w:rsidRPr="00E6228D">
        <w:rPr>
          <w:rFonts w:ascii="Arial" w:eastAsia="Calibri" w:hAnsi="Arial" w:cs="Arial"/>
          <w:color w:val="000000" w:themeColor="text1"/>
          <w:sz w:val="22"/>
          <w:lang w:val="es-ES_tradnl"/>
        </w:rPr>
        <w:t xml:space="preserve"> se parece a </w:t>
      </w:r>
      <w:r w:rsidR="00494AF1" w:rsidRPr="00E6228D">
        <w:rPr>
          <w:rFonts w:ascii="Arial" w:eastAsia="Calibri" w:hAnsi="Arial" w:cs="Arial"/>
          <w:color w:val="000000" w:themeColor="text1"/>
          <w:sz w:val="22"/>
          <w:lang w:val="es-ES_tradnl"/>
        </w:rPr>
        <w:t>esta</w:t>
      </w:r>
      <w:r w:rsidR="00D223BF" w:rsidRPr="00E6228D">
        <w:rPr>
          <w:rFonts w:ascii="Arial" w:eastAsia="Calibri" w:hAnsi="Arial" w:cs="Arial"/>
          <w:color w:val="000000" w:themeColor="text1"/>
          <w:sz w:val="22"/>
          <w:lang w:val="es-ES_tradnl"/>
        </w:rPr>
        <w:t xml:space="preserve"> en que también es un llamado general a presentar ofertas, efectuado por la entidad estatal interesada en contratar, aunque </w:t>
      </w:r>
      <w:r w:rsidR="00543803" w:rsidRPr="00E6228D">
        <w:rPr>
          <w:rFonts w:ascii="Arial" w:eastAsia="Calibri" w:hAnsi="Arial" w:cs="Arial"/>
          <w:color w:val="000000" w:themeColor="text1"/>
          <w:sz w:val="22"/>
          <w:lang w:val="es-ES_tradnl"/>
        </w:rPr>
        <w:t>es distinta en otros aspectos, como su conducencia y su procedimiento; lo primero, porque solo procede por razón de una cuantía específica</w:t>
      </w:r>
      <w:r w:rsidR="00FF208F" w:rsidRPr="00E6228D">
        <w:rPr>
          <w:rStyle w:val="Refdenotaalpie"/>
          <w:rFonts w:ascii="Arial" w:eastAsia="Calibri" w:hAnsi="Arial" w:cs="Arial"/>
          <w:color w:val="000000" w:themeColor="text1"/>
          <w:sz w:val="22"/>
          <w:lang w:val="es-ES_tradnl"/>
        </w:rPr>
        <w:footnoteReference w:id="4"/>
      </w:r>
      <w:r w:rsidR="00F84D74" w:rsidRPr="00E6228D">
        <w:rPr>
          <w:rFonts w:ascii="Arial" w:eastAsia="Calibri" w:hAnsi="Arial" w:cs="Arial"/>
          <w:color w:val="000000" w:themeColor="text1"/>
          <w:sz w:val="22"/>
          <w:lang w:val="es-ES_tradnl"/>
        </w:rPr>
        <w:t>, y lo segundo, porque sus requisitos, etapas y términos son peculiares.</w:t>
      </w:r>
      <w:r w:rsidR="00EB49E9" w:rsidRPr="00E6228D">
        <w:rPr>
          <w:rFonts w:ascii="Arial" w:eastAsia="Calibri" w:hAnsi="Arial" w:cs="Arial"/>
          <w:color w:val="000000" w:themeColor="text1"/>
          <w:sz w:val="22"/>
          <w:lang w:val="es-ES_tradnl"/>
        </w:rPr>
        <w:t xml:space="preserve"> En efecto, </w:t>
      </w:r>
      <w:r w:rsidR="00526AA0" w:rsidRPr="00E6228D">
        <w:rPr>
          <w:rFonts w:ascii="Arial" w:eastAsia="Calibri" w:hAnsi="Arial" w:cs="Arial"/>
          <w:color w:val="000000" w:themeColor="text1"/>
          <w:sz w:val="22"/>
          <w:lang w:val="es-ES_tradnl"/>
        </w:rPr>
        <w:t xml:space="preserve">a partir </w:t>
      </w:r>
      <w:r w:rsidR="00EB49E9" w:rsidRPr="00E6228D">
        <w:rPr>
          <w:rFonts w:ascii="Arial" w:eastAsia="Calibri" w:hAnsi="Arial" w:cs="Arial"/>
          <w:color w:val="000000" w:themeColor="text1"/>
          <w:sz w:val="22"/>
          <w:lang w:val="es-ES_tradnl"/>
        </w:rPr>
        <w:t xml:space="preserve">de la mencionada norma legal que consagra la modalidad y prevé sus </w:t>
      </w:r>
      <w:r w:rsidR="00597B75" w:rsidRPr="00E6228D">
        <w:rPr>
          <w:rFonts w:ascii="Arial" w:eastAsia="Calibri" w:hAnsi="Arial" w:cs="Arial"/>
          <w:color w:val="000000" w:themeColor="text1"/>
          <w:sz w:val="22"/>
          <w:lang w:val="es-ES_tradnl"/>
        </w:rPr>
        <w:t>reglas</w:t>
      </w:r>
      <w:r w:rsidR="00EB49E9" w:rsidRPr="00E6228D">
        <w:rPr>
          <w:rFonts w:ascii="Arial" w:eastAsia="Calibri" w:hAnsi="Arial" w:cs="Arial"/>
          <w:color w:val="000000" w:themeColor="text1"/>
          <w:sz w:val="22"/>
          <w:lang w:val="es-ES_tradnl"/>
        </w:rPr>
        <w:t>, así como</w:t>
      </w:r>
      <w:r w:rsidR="00597B75" w:rsidRPr="00E6228D">
        <w:rPr>
          <w:rFonts w:ascii="Arial" w:eastAsia="Calibri" w:hAnsi="Arial" w:cs="Arial"/>
          <w:color w:val="000000" w:themeColor="text1"/>
          <w:sz w:val="22"/>
          <w:lang w:val="es-ES_tradnl"/>
        </w:rPr>
        <w:t xml:space="preserve"> de los artículos </w:t>
      </w:r>
      <w:r w:rsidR="00526AA0" w:rsidRPr="00E6228D">
        <w:rPr>
          <w:rFonts w:ascii="Arial" w:eastAsia="Calibri" w:hAnsi="Arial" w:cs="Arial"/>
          <w:color w:val="000000" w:themeColor="text1"/>
          <w:sz w:val="22"/>
          <w:lang w:val="es-ES_tradnl"/>
        </w:rPr>
        <w:t>2.2.1.2.1.5.1.</w:t>
      </w:r>
      <w:r w:rsidR="00494AF1" w:rsidRPr="00E6228D">
        <w:rPr>
          <w:rFonts w:ascii="Arial" w:eastAsia="Calibri" w:hAnsi="Arial" w:cs="Arial"/>
          <w:color w:val="000000" w:themeColor="text1"/>
          <w:sz w:val="22"/>
          <w:lang w:val="es-ES_tradnl"/>
        </w:rPr>
        <w:t xml:space="preserve"> </w:t>
      </w:r>
      <w:r w:rsidR="00526AA0" w:rsidRPr="00E6228D">
        <w:rPr>
          <w:rFonts w:ascii="Arial" w:eastAsia="Calibri" w:hAnsi="Arial" w:cs="Arial"/>
          <w:color w:val="000000" w:themeColor="text1"/>
          <w:sz w:val="22"/>
          <w:lang w:val="es-ES_tradnl"/>
        </w:rPr>
        <w:t>al 2.2.1.2.1.5.4. del Decreto 1082 de 2015, los requisitos de la mínima cuantía pueden sintetizarse así:</w:t>
      </w:r>
    </w:p>
    <w:p w14:paraId="6FAE20C7" w14:textId="77777777" w:rsidR="00C548B1" w:rsidRPr="00E6228D" w:rsidRDefault="00D57FAA"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i) La entidad estatal debe hacer los estudios previos en los que señale cuál es la necesidad que pretende satisfacer, el objeto del contrato,</w:t>
      </w:r>
      <w:r w:rsidR="0021415B" w:rsidRPr="00E6228D">
        <w:rPr>
          <w:rFonts w:ascii="Arial" w:eastAsia="Calibri" w:hAnsi="Arial" w:cs="Arial"/>
          <w:color w:val="000000" w:themeColor="text1"/>
          <w:sz w:val="22"/>
          <w:lang w:val="es-ES_tradnl"/>
        </w:rPr>
        <w:t xml:space="preserve"> sus condiciones técnicas, el valor estimado, el plazo de ejecución y el certificado de disponibilidad presupuestal.</w:t>
      </w:r>
    </w:p>
    <w:p w14:paraId="491F4230" w14:textId="50AC3F0A" w:rsidR="005B72DC" w:rsidRPr="00E6228D" w:rsidRDefault="00C548B1"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lastRenderedPageBreak/>
        <w:t>ii)</w:t>
      </w:r>
      <w:r w:rsidR="00F97ECF" w:rsidRPr="00E6228D">
        <w:rPr>
          <w:rFonts w:ascii="Arial" w:eastAsia="Calibri" w:hAnsi="Arial" w:cs="Arial"/>
          <w:color w:val="000000" w:themeColor="text1"/>
          <w:sz w:val="22"/>
          <w:lang w:val="es-ES_tradnl"/>
        </w:rPr>
        <w:t xml:space="preserve"> Luego de surtir los trámites previos, la entidad debe publicar</w:t>
      </w:r>
      <w:r w:rsidR="002F0DDD" w:rsidRPr="00E6228D">
        <w:rPr>
          <w:rFonts w:ascii="Arial" w:eastAsia="Calibri" w:hAnsi="Arial" w:cs="Arial"/>
          <w:color w:val="000000" w:themeColor="text1"/>
          <w:sz w:val="22"/>
          <w:lang w:val="es-ES_tradnl"/>
        </w:rPr>
        <w:t xml:space="preserve"> en el SECOP</w:t>
      </w:r>
      <w:r w:rsidR="00F97ECF" w:rsidRPr="00E6228D">
        <w:rPr>
          <w:rFonts w:ascii="Arial" w:eastAsia="Calibri" w:hAnsi="Arial" w:cs="Arial"/>
          <w:color w:val="000000" w:themeColor="text1"/>
          <w:sz w:val="22"/>
          <w:lang w:val="es-ES_tradnl"/>
        </w:rPr>
        <w:t xml:space="preserve"> una invitación,</w:t>
      </w:r>
      <w:r w:rsidR="002F0DDD" w:rsidRPr="00E6228D">
        <w:rPr>
          <w:rFonts w:ascii="Arial" w:eastAsia="Calibri" w:hAnsi="Arial" w:cs="Arial"/>
          <w:color w:val="000000" w:themeColor="text1"/>
          <w:sz w:val="22"/>
          <w:lang w:val="es-ES_tradnl"/>
        </w:rPr>
        <w:t xml:space="preserve"> señalando el objeto, las condiciones técnicas y el valor estimado del contrato,</w:t>
      </w:r>
      <w:r w:rsidR="00F71603" w:rsidRPr="00E6228D">
        <w:rPr>
          <w:rFonts w:ascii="Arial" w:eastAsia="Calibri" w:hAnsi="Arial" w:cs="Arial"/>
          <w:color w:val="000000" w:themeColor="text1"/>
          <w:sz w:val="22"/>
          <w:lang w:val="es-ES_tradnl"/>
        </w:rPr>
        <w:t xml:space="preserve"> </w:t>
      </w:r>
      <w:r w:rsidR="002F0DDD" w:rsidRPr="00E6228D">
        <w:rPr>
          <w:rFonts w:ascii="Arial" w:eastAsia="Calibri" w:hAnsi="Arial" w:cs="Arial"/>
          <w:color w:val="000000" w:themeColor="text1"/>
          <w:sz w:val="22"/>
          <w:lang w:val="es-ES_tradnl"/>
        </w:rPr>
        <w:t>expresando</w:t>
      </w:r>
      <w:r w:rsidR="00F71603" w:rsidRPr="00E6228D">
        <w:rPr>
          <w:rFonts w:ascii="Arial" w:eastAsia="Calibri" w:hAnsi="Arial" w:cs="Arial"/>
          <w:color w:val="000000" w:themeColor="text1"/>
          <w:sz w:val="22"/>
          <w:lang w:val="es-ES_tradnl"/>
        </w:rPr>
        <w:t xml:space="preserve"> además</w:t>
      </w:r>
      <w:r w:rsidR="002F0DDD" w:rsidRPr="00E6228D">
        <w:rPr>
          <w:rFonts w:ascii="Arial" w:eastAsia="Calibri" w:hAnsi="Arial" w:cs="Arial"/>
          <w:color w:val="000000" w:themeColor="text1"/>
          <w:sz w:val="22"/>
          <w:lang w:val="es-ES_tradnl"/>
        </w:rPr>
        <w:t xml:space="preserve"> las razones que justifican el cálculo de la cuantía</w:t>
      </w:r>
      <w:r w:rsidR="00F71603" w:rsidRPr="00E6228D">
        <w:rPr>
          <w:rFonts w:ascii="Arial" w:eastAsia="Calibri" w:hAnsi="Arial" w:cs="Arial"/>
          <w:color w:val="000000" w:themeColor="text1"/>
          <w:sz w:val="22"/>
          <w:lang w:val="es-ES_tradnl"/>
        </w:rPr>
        <w:t xml:space="preserve">. </w:t>
      </w:r>
      <w:r w:rsidR="00A46B01" w:rsidRPr="00E6228D">
        <w:rPr>
          <w:rFonts w:ascii="Arial" w:eastAsia="Calibri" w:hAnsi="Arial" w:cs="Arial"/>
          <w:color w:val="000000" w:themeColor="text1"/>
          <w:sz w:val="22"/>
          <w:lang w:val="es-ES_tradnl"/>
        </w:rPr>
        <w:t>Asimismo</w:t>
      </w:r>
      <w:r w:rsidR="00F71603" w:rsidRPr="00E6228D">
        <w:rPr>
          <w:rFonts w:ascii="Arial" w:eastAsia="Calibri" w:hAnsi="Arial" w:cs="Arial"/>
          <w:color w:val="000000" w:themeColor="text1"/>
          <w:sz w:val="22"/>
          <w:lang w:val="es-ES_tradnl"/>
        </w:rPr>
        <w:t>, puede exigir o no una capacidad financiera mínima.</w:t>
      </w:r>
      <w:r w:rsidR="00AB6CB0" w:rsidRPr="00E6228D">
        <w:rPr>
          <w:rFonts w:ascii="Arial" w:eastAsia="Calibri" w:hAnsi="Arial" w:cs="Arial"/>
          <w:color w:val="000000" w:themeColor="text1"/>
          <w:sz w:val="22"/>
          <w:lang w:val="es-ES_tradnl"/>
        </w:rPr>
        <w:t xml:space="preserve"> Igualmente, esta Agencia ha recomendado «incluir en la invitación el cronograma, el plazo o condiciones de pago a cargo de la Entidad Estatal</w:t>
      </w:r>
      <w:r w:rsidR="005C7856" w:rsidRPr="00E6228D">
        <w:rPr>
          <w:rFonts w:ascii="Arial" w:eastAsia="Calibri" w:hAnsi="Arial" w:cs="Arial"/>
          <w:color w:val="000000" w:themeColor="text1"/>
          <w:sz w:val="22"/>
          <w:lang w:val="es-ES_tradnl"/>
        </w:rPr>
        <w:t>, la indicación del requerimiento de garantías (cuya exigencia es discrecional de la Entidad Estatal</w:t>
      </w:r>
      <w:r w:rsidR="00A46B01" w:rsidRPr="00E6228D">
        <w:rPr>
          <w:rFonts w:ascii="Arial" w:eastAsia="Calibri" w:hAnsi="Arial" w:cs="Arial"/>
          <w:color w:val="000000" w:themeColor="text1"/>
          <w:sz w:val="22"/>
          <w:lang w:val="es-ES_tradnl"/>
        </w:rPr>
        <w:t>)</w:t>
      </w:r>
      <w:r w:rsidR="005C7856" w:rsidRPr="00E6228D">
        <w:rPr>
          <w:rFonts w:ascii="Arial" w:eastAsia="Calibri" w:hAnsi="Arial" w:cs="Arial"/>
          <w:color w:val="000000" w:themeColor="text1"/>
          <w:sz w:val="22"/>
          <w:lang w:val="es-ES_tradnl"/>
        </w:rPr>
        <w:t xml:space="preserve"> y los demás aspectos que considere necesarios para la </w:t>
      </w:r>
      <w:r w:rsidR="009A6D1D" w:rsidRPr="00E6228D">
        <w:rPr>
          <w:rFonts w:ascii="Arial" w:eastAsia="Calibri" w:hAnsi="Arial" w:cs="Arial"/>
          <w:color w:val="000000" w:themeColor="text1"/>
          <w:sz w:val="22"/>
          <w:lang w:val="es-ES_tradnl"/>
        </w:rPr>
        <w:t>satisfacción</w:t>
      </w:r>
      <w:r w:rsidR="005C7856" w:rsidRPr="00E6228D">
        <w:rPr>
          <w:rFonts w:ascii="Arial" w:eastAsia="Calibri" w:hAnsi="Arial" w:cs="Arial"/>
          <w:color w:val="000000" w:themeColor="text1"/>
          <w:sz w:val="22"/>
          <w:lang w:val="es-ES_tradnl"/>
        </w:rPr>
        <w:t xml:space="preserve"> de la necesidad»</w:t>
      </w:r>
      <w:r w:rsidR="005C7856" w:rsidRPr="00E6228D">
        <w:rPr>
          <w:rStyle w:val="Refdenotaalpie"/>
          <w:rFonts w:ascii="Arial" w:eastAsia="Calibri" w:hAnsi="Arial" w:cs="Arial"/>
          <w:color w:val="000000" w:themeColor="text1"/>
          <w:sz w:val="22"/>
          <w:lang w:val="es-ES_tradnl"/>
        </w:rPr>
        <w:footnoteReference w:id="5"/>
      </w:r>
      <w:r w:rsidR="00A46B01" w:rsidRPr="00E6228D">
        <w:rPr>
          <w:rFonts w:ascii="Arial" w:eastAsia="Calibri" w:hAnsi="Arial" w:cs="Arial"/>
          <w:color w:val="000000" w:themeColor="text1"/>
          <w:sz w:val="22"/>
          <w:lang w:val="es-ES_tradnl"/>
        </w:rPr>
        <w:t>.</w:t>
      </w:r>
    </w:p>
    <w:p w14:paraId="5915DAAD" w14:textId="2516B538" w:rsidR="00F71603" w:rsidRPr="00E6228D" w:rsidRDefault="00F71603"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iii)</w:t>
      </w:r>
      <w:r w:rsidR="00FD630C" w:rsidRPr="00E6228D">
        <w:rPr>
          <w:rFonts w:ascii="Arial" w:eastAsia="Calibri" w:hAnsi="Arial" w:cs="Arial"/>
          <w:color w:val="000000" w:themeColor="text1"/>
          <w:sz w:val="22"/>
          <w:lang w:val="es-ES_tradnl"/>
        </w:rPr>
        <w:t xml:space="preserve"> La invitación se debe hacer por un término no inferior a un (1) día hábil.</w:t>
      </w:r>
    </w:p>
    <w:p w14:paraId="7332F464" w14:textId="17BF0D6D" w:rsidR="00FD630C" w:rsidRPr="00E6228D" w:rsidRDefault="00FD630C"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iv) Las observaciones que realicen los interesados deben responderse por la entidad estatal a más tardar antes del vencimiento del término para presentar las ofertas.</w:t>
      </w:r>
    </w:p>
    <w:p w14:paraId="43DE3830" w14:textId="1F327ED0" w:rsidR="00D02290" w:rsidRPr="00E6228D" w:rsidRDefault="0063578A"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v) Presentadas las propuesta</w:t>
      </w:r>
      <w:r w:rsidR="009E6929" w:rsidRPr="00E6228D">
        <w:rPr>
          <w:rFonts w:ascii="Arial" w:eastAsia="Calibri" w:hAnsi="Arial" w:cs="Arial"/>
          <w:color w:val="000000" w:themeColor="text1"/>
          <w:sz w:val="22"/>
          <w:lang w:val="es-ES_tradnl"/>
        </w:rPr>
        <w:t>s</w:t>
      </w:r>
      <w:r w:rsidRPr="00E6228D">
        <w:rPr>
          <w:rFonts w:ascii="Arial" w:eastAsia="Calibri" w:hAnsi="Arial" w:cs="Arial"/>
          <w:color w:val="000000" w:themeColor="text1"/>
          <w:sz w:val="22"/>
          <w:lang w:val="es-ES_tradnl"/>
        </w:rPr>
        <w:t>, la entidad estatal debe revisar las ofertas económicas y verificar que la del menor precio cumpla con los requisitos de participación. Si no los satisface</w:t>
      </w:r>
      <w:r w:rsidR="00E635BC" w:rsidRPr="00E6228D">
        <w:rPr>
          <w:rFonts w:ascii="Arial" w:eastAsia="Calibri" w:hAnsi="Arial" w:cs="Arial"/>
          <w:color w:val="000000" w:themeColor="text1"/>
          <w:sz w:val="22"/>
          <w:lang w:val="es-ES_tradnl"/>
        </w:rPr>
        <w:t xml:space="preserve"> </w:t>
      </w:r>
      <w:r w:rsidRPr="00E6228D">
        <w:rPr>
          <w:rFonts w:ascii="Arial" w:eastAsia="Calibri" w:hAnsi="Arial" w:cs="Arial"/>
          <w:color w:val="000000" w:themeColor="text1"/>
          <w:sz w:val="22"/>
          <w:lang w:val="es-ES_tradnl"/>
        </w:rPr>
        <w:t>debe revisar la oferta económica inmediatamente inferior y así sucesivamente.</w:t>
      </w:r>
      <w:r w:rsidR="009E6929" w:rsidRPr="00E6228D">
        <w:rPr>
          <w:rFonts w:ascii="Arial" w:eastAsia="Calibri" w:hAnsi="Arial" w:cs="Arial"/>
          <w:color w:val="000000" w:themeColor="text1"/>
          <w:sz w:val="22"/>
          <w:lang w:val="es-ES_tradnl"/>
        </w:rPr>
        <w:t xml:space="preserve"> Esto significa que en la mínima cuantía el precio es el único factor de calificación o asignación de puntaje</w:t>
      </w:r>
      <w:r w:rsidR="00B075F3" w:rsidRPr="00E6228D">
        <w:rPr>
          <w:rStyle w:val="Refdenotaalpie"/>
          <w:rFonts w:ascii="Arial" w:eastAsia="Calibri" w:hAnsi="Arial" w:cs="Arial"/>
          <w:color w:val="000000" w:themeColor="text1"/>
          <w:sz w:val="22"/>
          <w:lang w:val="es-ES_tradnl"/>
        </w:rPr>
        <w:footnoteReference w:id="6"/>
      </w:r>
      <w:r w:rsidR="009E6929" w:rsidRPr="00E6228D">
        <w:rPr>
          <w:rFonts w:ascii="Arial" w:eastAsia="Calibri" w:hAnsi="Arial" w:cs="Arial"/>
          <w:color w:val="000000" w:themeColor="text1"/>
          <w:sz w:val="22"/>
          <w:lang w:val="es-ES_tradnl"/>
        </w:rPr>
        <w:t>.</w:t>
      </w:r>
    </w:p>
    <w:p w14:paraId="7FCD045E" w14:textId="115AB736" w:rsidR="00E24E1A" w:rsidRPr="00E6228D" w:rsidRDefault="00E24E1A"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vi) El informe de evaluación se debe publicar por un (1) día hábil.</w:t>
      </w:r>
    </w:p>
    <w:p w14:paraId="60335F1E" w14:textId="498178BA" w:rsidR="00E24E1A" w:rsidRPr="00E6228D" w:rsidRDefault="00E24E1A"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vii) El contrato se perfecciona con la comunicación de aceptación de la oferta que envía la entidad estatal al proponente que presentó la oferta económica de menor precio</w:t>
      </w:r>
      <w:r w:rsidR="00502AA3" w:rsidRPr="00E6228D">
        <w:rPr>
          <w:rFonts w:ascii="Arial" w:eastAsia="Calibri" w:hAnsi="Arial" w:cs="Arial"/>
          <w:color w:val="000000" w:themeColor="text1"/>
          <w:sz w:val="22"/>
          <w:lang w:val="es-ES_tradnl"/>
        </w:rPr>
        <w:t>, no requiriéndose, entonces, de la suscripción de una minuta. En la comunicación de aceptación de la oferta la entidad estatal le debe informar al proponente ganador quién será el supervisor del contrato.</w:t>
      </w:r>
    </w:p>
    <w:p w14:paraId="13382E59" w14:textId="7B077363" w:rsidR="00544348" w:rsidRPr="00E6228D" w:rsidRDefault="00502AA3" w:rsidP="0044133F">
      <w:pPr>
        <w:spacing w:before="120" w:after="120"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viii) De existir empate, debe preferirse la oferta que se presentó primero en el tiempo</w:t>
      </w:r>
      <w:r w:rsidR="002B5441" w:rsidRPr="00E6228D">
        <w:rPr>
          <w:rStyle w:val="Refdenotaalpie"/>
          <w:rFonts w:ascii="Arial" w:eastAsia="Calibri" w:hAnsi="Arial" w:cs="Arial"/>
          <w:color w:val="000000" w:themeColor="text1"/>
          <w:sz w:val="22"/>
          <w:lang w:val="es-ES_tradnl"/>
        </w:rPr>
        <w:footnoteReference w:id="7"/>
      </w:r>
      <w:r w:rsidRPr="00E6228D">
        <w:rPr>
          <w:rFonts w:ascii="Arial" w:eastAsia="Calibri" w:hAnsi="Arial" w:cs="Arial"/>
          <w:color w:val="000000" w:themeColor="text1"/>
          <w:sz w:val="22"/>
          <w:lang w:val="es-ES_tradnl"/>
        </w:rPr>
        <w:t>.</w:t>
      </w:r>
    </w:p>
    <w:p w14:paraId="1AECAD42" w14:textId="5D0F0560" w:rsidR="00AE42D3" w:rsidRPr="00E6228D" w:rsidRDefault="000A3AC6" w:rsidP="006C6AEF">
      <w:pPr>
        <w:spacing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lastRenderedPageBreak/>
        <w:t>A</w:t>
      </w:r>
      <w:r w:rsidR="007C74FF" w:rsidRPr="00E6228D">
        <w:rPr>
          <w:rFonts w:ascii="Arial" w:hAnsi="Arial" w:cs="Arial"/>
          <w:color w:val="000000" w:themeColor="text1"/>
          <w:sz w:val="22"/>
          <w:lang w:val="es-ES_tradnl"/>
        </w:rPr>
        <w:t>ntes de</w:t>
      </w:r>
      <w:r w:rsidR="00AA01A7" w:rsidRPr="00E6228D">
        <w:rPr>
          <w:rFonts w:ascii="Arial" w:hAnsi="Arial" w:cs="Arial"/>
          <w:color w:val="000000" w:themeColor="text1"/>
          <w:sz w:val="22"/>
          <w:lang w:val="es-ES_tradnl"/>
        </w:rPr>
        <w:t xml:space="preserve"> que comenzara a regir</w:t>
      </w:r>
      <w:r w:rsidR="007C74FF" w:rsidRPr="00E6228D">
        <w:rPr>
          <w:rFonts w:ascii="Arial" w:hAnsi="Arial" w:cs="Arial"/>
          <w:color w:val="000000" w:themeColor="text1"/>
          <w:sz w:val="22"/>
          <w:lang w:val="es-ES_tradnl"/>
        </w:rPr>
        <w:t xml:space="preserve"> la Ley 1955 de 2019</w:t>
      </w:r>
      <w:r w:rsidR="00311D93" w:rsidRPr="00E6228D">
        <w:rPr>
          <w:rFonts w:ascii="Arial" w:hAnsi="Arial" w:cs="Arial"/>
          <w:color w:val="000000" w:themeColor="text1"/>
          <w:sz w:val="22"/>
          <w:lang w:val="es-ES_tradnl"/>
        </w:rPr>
        <w:t xml:space="preserve"> –</w:t>
      </w:r>
      <w:r w:rsidR="00AA01A7" w:rsidRPr="00E6228D">
        <w:rPr>
          <w:rFonts w:ascii="Arial" w:hAnsi="Arial" w:cs="Arial"/>
          <w:color w:val="000000" w:themeColor="text1"/>
          <w:sz w:val="22"/>
          <w:lang w:val="es-ES_tradnl"/>
        </w:rPr>
        <w:t xml:space="preserve">en particular su </w:t>
      </w:r>
      <w:r w:rsidR="008529E3" w:rsidRPr="00E6228D">
        <w:rPr>
          <w:rFonts w:ascii="Arial" w:hAnsi="Arial" w:cs="Arial"/>
          <w:color w:val="000000" w:themeColor="text1"/>
          <w:sz w:val="22"/>
          <w:lang w:val="es-ES_tradnl"/>
        </w:rPr>
        <w:t xml:space="preserve">artículo </w:t>
      </w:r>
      <w:r w:rsidR="007C74FF" w:rsidRPr="00E6228D">
        <w:rPr>
          <w:rFonts w:ascii="Arial" w:hAnsi="Arial" w:cs="Arial"/>
          <w:color w:val="000000" w:themeColor="text1"/>
          <w:sz w:val="22"/>
          <w:lang w:val="es-ES_tradnl"/>
        </w:rPr>
        <w:t>42</w:t>
      </w:r>
      <w:r w:rsidR="00311D93" w:rsidRPr="00E6228D">
        <w:rPr>
          <w:rFonts w:ascii="Arial" w:hAnsi="Arial" w:cs="Arial"/>
          <w:color w:val="000000" w:themeColor="text1"/>
          <w:sz w:val="22"/>
          <w:lang w:val="es-ES_tradnl"/>
        </w:rPr>
        <w:t>–</w:t>
      </w:r>
      <w:r w:rsidR="007C74FF" w:rsidRPr="00E6228D">
        <w:rPr>
          <w:rFonts w:ascii="Arial" w:hAnsi="Arial" w:cs="Arial"/>
          <w:color w:val="000000" w:themeColor="text1"/>
          <w:sz w:val="22"/>
          <w:lang w:val="es-ES_tradnl"/>
        </w:rPr>
        <w:t xml:space="preserve">, </w:t>
      </w:r>
      <w:r w:rsidR="00311D93" w:rsidRPr="00E6228D">
        <w:rPr>
          <w:rFonts w:ascii="Arial" w:hAnsi="Arial" w:cs="Arial"/>
          <w:color w:val="000000" w:themeColor="text1"/>
          <w:sz w:val="22"/>
          <w:lang w:val="es-ES_tradnl"/>
        </w:rPr>
        <w:t xml:space="preserve">que </w:t>
      </w:r>
      <w:r w:rsidR="007C74FF" w:rsidRPr="00E6228D">
        <w:rPr>
          <w:rFonts w:ascii="Arial" w:hAnsi="Arial" w:cs="Arial"/>
          <w:color w:val="000000" w:themeColor="text1"/>
          <w:sz w:val="22"/>
          <w:lang w:val="es-ES_tradnl"/>
        </w:rPr>
        <w:t xml:space="preserve">adiciona el </w:t>
      </w:r>
      <w:r w:rsidR="008529E3" w:rsidRPr="00E6228D">
        <w:rPr>
          <w:rFonts w:ascii="Arial" w:hAnsi="Arial" w:cs="Arial"/>
          <w:color w:val="000000" w:themeColor="text1"/>
          <w:sz w:val="22"/>
          <w:lang w:val="es-ES_tradnl"/>
        </w:rPr>
        <w:t>parágrafo</w:t>
      </w:r>
      <w:r w:rsidR="007C74FF" w:rsidRPr="00E6228D">
        <w:rPr>
          <w:rFonts w:ascii="Arial" w:hAnsi="Arial" w:cs="Arial"/>
          <w:color w:val="000000" w:themeColor="text1"/>
          <w:sz w:val="22"/>
          <w:lang w:val="es-ES_tradnl"/>
        </w:rPr>
        <w:t xml:space="preserve"> 3 del </w:t>
      </w:r>
      <w:r w:rsidR="008529E3" w:rsidRPr="00E6228D">
        <w:rPr>
          <w:rFonts w:ascii="Arial" w:hAnsi="Arial" w:cs="Arial"/>
          <w:color w:val="000000" w:themeColor="text1"/>
          <w:sz w:val="22"/>
          <w:lang w:val="es-ES_tradnl"/>
        </w:rPr>
        <w:t>artículo</w:t>
      </w:r>
      <w:r w:rsidR="007C74FF" w:rsidRPr="00E6228D">
        <w:rPr>
          <w:rFonts w:ascii="Arial" w:hAnsi="Arial" w:cs="Arial"/>
          <w:color w:val="000000" w:themeColor="text1"/>
          <w:sz w:val="22"/>
          <w:lang w:val="es-ES_tradnl"/>
        </w:rPr>
        <w:t xml:space="preserve"> 94 de la Ley 1474 de 2011, se </w:t>
      </w:r>
      <w:r w:rsidR="00AE42D3" w:rsidRPr="00E6228D">
        <w:rPr>
          <w:rFonts w:ascii="Arial" w:hAnsi="Arial" w:cs="Arial"/>
          <w:color w:val="000000" w:themeColor="text1"/>
          <w:sz w:val="22"/>
          <w:lang w:val="es-ES_tradnl"/>
        </w:rPr>
        <w:t>interpretaba</w:t>
      </w:r>
      <w:r w:rsidR="007A15D8" w:rsidRPr="00E6228D">
        <w:rPr>
          <w:rFonts w:ascii="Arial" w:hAnsi="Arial" w:cs="Arial"/>
          <w:color w:val="000000" w:themeColor="text1"/>
          <w:sz w:val="22"/>
          <w:lang w:val="es-ES_tradnl"/>
        </w:rPr>
        <w:t xml:space="preserve"> </w:t>
      </w:r>
      <w:r w:rsidR="007C74FF" w:rsidRPr="00E6228D">
        <w:rPr>
          <w:rFonts w:ascii="Arial" w:hAnsi="Arial" w:cs="Arial"/>
          <w:color w:val="000000" w:themeColor="text1"/>
          <w:sz w:val="22"/>
          <w:lang w:val="es-ES_tradnl"/>
        </w:rPr>
        <w:t xml:space="preserve">que la modalidad de </w:t>
      </w:r>
      <w:r w:rsidR="008529E3" w:rsidRPr="00E6228D">
        <w:rPr>
          <w:rFonts w:ascii="Arial" w:hAnsi="Arial" w:cs="Arial"/>
          <w:color w:val="000000" w:themeColor="text1"/>
          <w:sz w:val="22"/>
          <w:lang w:val="es-ES_tradnl"/>
        </w:rPr>
        <w:t>selección</w:t>
      </w:r>
      <w:r w:rsidR="007C74FF" w:rsidRPr="00E6228D">
        <w:rPr>
          <w:rFonts w:ascii="Arial" w:hAnsi="Arial" w:cs="Arial"/>
          <w:color w:val="000000" w:themeColor="text1"/>
          <w:sz w:val="22"/>
          <w:lang w:val="es-ES_tradnl"/>
        </w:rPr>
        <w:t xml:space="preserve"> de </w:t>
      </w:r>
      <w:r w:rsidR="005F088A" w:rsidRPr="00E6228D">
        <w:rPr>
          <w:rFonts w:ascii="Arial" w:hAnsi="Arial" w:cs="Arial"/>
          <w:color w:val="000000" w:themeColor="text1"/>
          <w:sz w:val="22"/>
          <w:lang w:val="es-ES_tradnl"/>
        </w:rPr>
        <w:t>mínima</w:t>
      </w:r>
      <w:r w:rsidR="007C74FF"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007C74FF" w:rsidRPr="00E6228D">
        <w:rPr>
          <w:rFonts w:ascii="Arial" w:hAnsi="Arial" w:cs="Arial"/>
          <w:color w:val="000000" w:themeColor="text1"/>
          <w:sz w:val="22"/>
          <w:lang w:val="es-ES_tradnl"/>
        </w:rPr>
        <w:t xml:space="preserve"> aplicaba en caso de que la </w:t>
      </w:r>
      <w:r w:rsidR="005F088A" w:rsidRPr="00E6228D">
        <w:rPr>
          <w:rFonts w:ascii="Arial" w:hAnsi="Arial" w:cs="Arial"/>
          <w:color w:val="000000" w:themeColor="text1"/>
          <w:sz w:val="22"/>
          <w:lang w:val="es-ES_tradnl"/>
        </w:rPr>
        <w:t>contratación</w:t>
      </w:r>
      <w:r w:rsidR="007C74FF" w:rsidRPr="00E6228D">
        <w:rPr>
          <w:rFonts w:ascii="Arial" w:hAnsi="Arial" w:cs="Arial"/>
          <w:color w:val="000000" w:themeColor="text1"/>
          <w:sz w:val="22"/>
          <w:lang w:val="es-ES_tradnl"/>
        </w:rPr>
        <w:t xml:space="preserve"> no excediera del diez por ciento (10%) de la menor </w:t>
      </w:r>
      <w:r w:rsidR="005F088A" w:rsidRPr="00E6228D">
        <w:rPr>
          <w:rFonts w:ascii="Arial" w:hAnsi="Arial" w:cs="Arial"/>
          <w:color w:val="000000" w:themeColor="text1"/>
          <w:sz w:val="22"/>
          <w:lang w:val="es-ES_tradnl"/>
        </w:rPr>
        <w:t>cuantía</w:t>
      </w:r>
      <w:r w:rsidR="007C74FF" w:rsidRPr="00E6228D">
        <w:rPr>
          <w:rFonts w:ascii="Arial" w:hAnsi="Arial" w:cs="Arial"/>
          <w:color w:val="000000" w:themeColor="text1"/>
          <w:sz w:val="22"/>
          <w:lang w:val="es-ES_tradnl"/>
        </w:rPr>
        <w:t xml:space="preserve"> de la entidad, </w:t>
      </w:r>
      <w:r w:rsidR="007C74FF" w:rsidRPr="00E6228D">
        <w:rPr>
          <w:rFonts w:ascii="Arial" w:hAnsi="Arial" w:cs="Arial"/>
          <w:i/>
          <w:iCs/>
          <w:color w:val="000000" w:themeColor="text1"/>
          <w:sz w:val="22"/>
          <w:lang w:val="es-ES_tradnl"/>
        </w:rPr>
        <w:t>independientemente de su objeto</w:t>
      </w:r>
      <w:r w:rsidR="00AE42D3" w:rsidRPr="00E6228D">
        <w:rPr>
          <w:rFonts w:ascii="Arial" w:hAnsi="Arial" w:cs="Arial"/>
          <w:color w:val="000000" w:themeColor="text1"/>
          <w:sz w:val="22"/>
          <w:lang w:val="es-ES_tradnl"/>
        </w:rPr>
        <w:t>. Por tal razón, la Agencia Nacional de Contratación Pública – Colombia Compra Eficiente</w:t>
      </w:r>
      <w:r w:rsidR="00901850" w:rsidRPr="00E6228D">
        <w:rPr>
          <w:rFonts w:ascii="Arial" w:hAnsi="Arial" w:cs="Arial"/>
          <w:color w:val="000000" w:themeColor="text1"/>
          <w:sz w:val="22"/>
          <w:lang w:val="es-ES_tradnl"/>
        </w:rPr>
        <w:t xml:space="preserve"> elaboró</w:t>
      </w:r>
      <w:r w:rsidR="00595122" w:rsidRPr="00E6228D">
        <w:rPr>
          <w:rFonts w:ascii="Arial" w:hAnsi="Arial" w:cs="Arial"/>
          <w:color w:val="000000" w:themeColor="text1"/>
          <w:sz w:val="22"/>
          <w:lang w:val="es-ES_tradnl"/>
        </w:rPr>
        <w:t xml:space="preserve"> el «Manual para la Operación Secundaria de los Acuerdos Marcos de Precios»</w:t>
      </w:r>
      <w:r w:rsidR="001A4995" w:rsidRPr="00E6228D">
        <w:rPr>
          <w:rFonts w:ascii="Arial" w:hAnsi="Arial" w:cs="Arial"/>
          <w:color w:val="000000" w:themeColor="text1"/>
          <w:sz w:val="22"/>
          <w:lang w:val="es-ES_tradnl"/>
        </w:rPr>
        <w:t>, el cual fue demandado ante el Consejo de Estado</w:t>
      </w:r>
      <w:r w:rsidR="00CB60B1" w:rsidRPr="00E6228D">
        <w:rPr>
          <w:rFonts w:ascii="Arial" w:hAnsi="Arial" w:cs="Arial"/>
          <w:color w:val="000000" w:themeColor="text1"/>
          <w:sz w:val="22"/>
          <w:lang w:val="es-ES_tradnl"/>
        </w:rPr>
        <w:t>, solicitándose a su vez su suspensión provisional, ya que en el acápite VII regulaba la «Concurrencia de la selección abreviada por Acuerdo Marco de Precios y Mínima Cuantía»</w:t>
      </w:r>
      <w:r w:rsidR="007744B6" w:rsidRPr="00E6228D">
        <w:rPr>
          <w:rFonts w:ascii="Arial" w:hAnsi="Arial" w:cs="Arial"/>
          <w:color w:val="000000" w:themeColor="text1"/>
          <w:sz w:val="22"/>
          <w:lang w:val="es-ES_tradnl"/>
        </w:rPr>
        <w:t xml:space="preserve">, </w:t>
      </w:r>
      <w:r w:rsidR="00663062" w:rsidRPr="00E6228D">
        <w:rPr>
          <w:rFonts w:ascii="Arial" w:hAnsi="Arial" w:cs="Arial"/>
          <w:color w:val="000000" w:themeColor="text1"/>
          <w:sz w:val="22"/>
          <w:lang w:val="es-ES_tradnl"/>
        </w:rPr>
        <w:t>contrariando</w:t>
      </w:r>
      <w:r w:rsidR="007744B6" w:rsidRPr="00E6228D">
        <w:rPr>
          <w:rFonts w:ascii="Arial" w:hAnsi="Arial" w:cs="Arial"/>
          <w:color w:val="000000" w:themeColor="text1"/>
          <w:sz w:val="22"/>
          <w:lang w:val="es-ES_tradnl"/>
        </w:rPr>
        <w:t>, según el demandante, el artículo 94 de la Ley 1474 de 2011.</w:t>
      </w:r>
      <w:r w:rsidR="009E05AB" w:rsidRPr="00E6228D">
        <w:rPr>
          <w:rFonts w:ascii="Arial" w:hAnsi="Arial" w:cs="Arial"/>
          <w:color w:val="000000" w:themeColor="text1"/>
          <w:sz w:val="22"/>
          <w:lang w:val="es-ES_tradnl"/>
        </w:rPr>
        <w:t xml:space="preserve"> Dicho Manual establecía al respecto: </w:t>
      </w:r>
    </w:p>
    <w:p w14:paraId="76DC011D" w14:textId="77777777" w:rsidR="00DD1C32" w:rsidRPr="00E6228D" w:rsidRDefault="00DD1C32" w:rsidP="006C6AEF">
      <w:pPr>
        <w:spacing w:line="276" w:lineRule="auto"/>
        <w:ind w:firstLine="709"/>
        <w:jc w:val="both"/>
        <w:rPr>
          <w:rFonts w:ascii="Arial" w:hAnsi="Arial" w:cs="Arial"/>
          <w:color w:val="000000" w:themeColor="text1"/>
          <w:sz w:val="22"/>
          <w:lang w:val="es-ES_tradnl"/>
        </w:rPr>
      </w:pPr>
    </w:p>
    <w:p w14:paraId="26216765" w14:textId="7123BE6D" w:rsidR="009E05AB" w:rsidRPr="00E6228D" w:rsidRDefault="009E05AB" w:rsidP="00DD1C32">
      <w:pPr>
        <w:ind w:left="709" w:right="709"/>
        <w:jc w:val="both"/>
        <w:rPr>
          <w:rFonts w:ascii="Arial" w:hAnsi="Arial" w:cs="Arial"/>
          <w:color w:val="000000" w:themeColor="text1"/>
          <w:sz w:val="21"/>
          <w:szCs w:val="21"/>
          <w:lang w:val="es-ES_tradnl"/>
        </w:rPr>
      </w:pPr>
      <w:r w:rsidRPr="00E6228D">
        <w:rPr>
          <w:rFonts w:ascii="Arial" w:hAnsi="Arial" w:cs="Arial"/>
          <w:color w:val="000000" w:themeColor="text1"/>
          <w:sz w:val="21"/>
          <w:szCs w:val="21"/>
          <w:lang w:val="es-ES_tradnl"/>
        </w:rPr>
        <w:t>[…] Colombia Compra</w:t>
      </w:r>
      <w:r w:rsidR="00F1742F" w:rsidRPr="00E6228D">
        <w:rPr>
          <w:rFonts w:ascii="Arial" w:hAnsi="Arial" w:cs="Arial"/>
          <w:color w:val="000000" w:themeColor="text1"/>
          <w:sz w:val="21"/>
          <w:szCs w:val="21"/>
          <w:lang w:val="es-ES_tradnl"/>
        </w:rPr>
        <w:t xml:space="preserve"> Eficiente considera que el conflicto frente a la aplicación de la modalidad de selección abreviada por la existencia de un Acuerdo Marco de Precios y la modalidad de selección</w:t>
      </w:r>
      <w:r w:rsidR="00FD385C" w:rsidRPr="00E6228D">
        <w:rPr>
          <w:rFonts w:ascii="Arial" w:hAnsi="Arial" w:cs="Arial"/>
          <w:color w:val="000000" w:themeColor="text1"/>
          <w:sz w:val="21"/>
          <w:szCs w:val="21"/>
          <w:lang w:val="es-ES_tradnl"/>
        </w:rPr>
        <w:t xml:space="preserve"> de mínima cuantía, se debe decidir a favor de la adquisición al amparo del Acuerdo Marco de Precios. De esta manera, la Entidad Estatal honra los principios de transparencia, economía y responsabilidad en los términos de los artículos 24, 25 y 26 de la Ley 80 de 1993</w:t>
      </w:r>
      <w:r w:rsidR="00DD1C32" w:rsidRPr="00E6228D">
        <w:rPr>
          <w:rFonts w:ascii="Arial" w:hAnsi="Arial" w:cs="Arial"/>
          <w:color w:val="000000" w:themeColor="text1"/>
          <w:sz w:val="21"/>
          <w:szCs w:val="21"/>
          <w:lang w:val="es-ES_tradnl"/>
        </w:rPr>
        <w:t>.</w:t>
      </w:r>
    </w:p>
    <w:p w14:paraId="034D5669" w14:textId="77777777" w:rsidR="00DD1C32" w:rsidRPr="00E6228D" w:rsidRDefault="00DD1C32" w:rsidP="00DD1C32">
      <w:pPr>
        <w:spacing w:line="276" w:lineRule="auto"/>
        <w:ind w:left="709" w:right="709"/>
        <w:jc w:val="both"/>
        <w:rPr>
          <w:rFonts w:ascii="Arial" w:hAnsi="Arial" w:cs="Arial"/>
          <w:color w:val="000000" w:themeColor="text1"/>
          <w:sz w:val="22"/>
          <w:lang w:val="es-ES_tradnl"/>
        </w:rPr>
      </w:pPr>
    </w:p>
    <w:p w14:paraId="1D66FB07" w14:textId="2F406D96" w:rsidR="006C6AEF" w:rsidRPr="00E6228D" w:rsidRDefault="007C74FF" w:rsidP="006C6AEF">
      <w:pPr>
        <w:spacing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 </w:t>
      </w:r>
      <w:r w:rsidR="00D14E4C" w:rsidRPr="00E6228D">
        <w:rPr>
          <w:rFonts w:ascii="Arial" w:hAnsi="Arial" w:cs="Arial"/>
          <w:color w:val="000000" w:themeColor="text1"/>
          <w:sz w:val="22"/>
          <w:lang w:val="es-ES_tradnl"/>
        </w:rPr>
        <w:t>La Sección Tercera d</w:t>
      </w:r>
      <w:r w:rsidRPr="00E6228D">
        <w:rPr>
          <w:rFonts w:ascii="Arial" w:hAnsi="Arial" w:cs="Arial"/>
          <w:color w:val="000000" w:themeColor="text1"/>
          <w:sz w:val="22"/>
          <w:lang w:val="es-ES_tradnl"/>
        </w:rPr>
        <w:t>el Consejo de Estado</w:t>
      </w:r>
      <w:r w:rsidR="00D14E4C" w:rsidRPr="00E6228D">
        <w:rPr>
          <w:rFonts w:ascii="Arial" w:hAnsi="Arial" w:cs="Arial"/>
          <w:color w:val="000000" w:themeColor="text1"/>
          <w:sz w:val="22"/>
          <w:lang w:val="es-ES_tradnl"/>
        </w:rPr>
        <w:t xml:space="preserve"> decret</w:t>
      </w:r>
      <w:r w:rsidR="00663062" w:rsidRPr="00E6228D">
        <w:rPr>
          <w:rFonts w:ascii="Arial" w:hAnsi="Arial" w:cs="Arial"/>
          <w:color w:val="000000" w:themeColor="text1"/>
          <w:sz w:val="22"/>
          <w:lang w:val="es-ES_tradnl"/>
        </w:rPr>
        <w:t>ó</w:t>
      </w:r>
      <w:r w:rsidR="00D14E4C" w:rsidRPr="00E6228D">
        <w:rPr>
          <w:rFonts w:ascii="Arial" w:hAnsi="Arial" w:cs="Arial"/>
          <w:color w:val="000000" w:themeColor="text1"/>
          <w:sz w:val="22"/>
          <w:lang w:val="es-ES_tradnl"/>
        </w:rPr>
        <w:t xml:space="preserve"> la suspensión provisional </w:t>
      </w:r>
      <w:r w:rsidR="00955483" w:rsidRPr="00E6228D">
        <w:rPr>
          <w:rFonts w:ascii="Arial" w:hAnsi="Arial" w:cs="Arial"/>
          <w:color w:val="000000" w:themeColor="text1"/>
          <w:sz w:val="22"/>
          <w:lang w:val="es-ES_tradnl"/>
        </w:rPr>
        <w:t>del acápite VII</w:t>
      </w:r>
      <w:r w:rsidR="00D14E4C" w:rsidRPr="00E6228D">
        <w:rPr>
          <w:rFonts w:ascii="Arial" w:hAnsi="Arial" w:cs="Arial"/>
          <w:color w:val="000000" w:themeColor="text1"/>
          <w:sz w:val="22"/>
          <w:lang w:val="es-ES_tradnl"/>
        </w:rPr>
        <w:t>,</w:t>
      </w:r>
      <w:r w:rsidRPr="00E6228D">
        <w:rPr>
          <w:rFonts w:ascii="Arial" w:hAnsi="Arial" w:cs="Arial"/>
          <w:color w:val="000000" w:themeColor="text1"/>
          <w:sz w:val="22"/>
          <w:lang w:val="es-ES_tradnl"/>
        </w:rPr>
        <w:t xml:space="preserve"> </w:t>
      </w:r>
      <w:r w:rsidR="00955483" w:rsidRPr="00E6228D">
        <w:rPr>
          <w:rFonts w:ascii="Arial" w:hAnsi="Arial" w:cs="Arial"/>
          <w:color w:val="000000" w:themeColor="text1"/>
          <w:sz w:val="22"/>
          <w:lang w:val="es-ES_tradnl"/>
        </w:rPr>
        <w:t>considerando</w:t>
      </w:r>
      <w:r w:rsidRPr="00E6228D">
        <w:rPr>
          <w:rFonts w:ascii="Arial" w:hAnsi="Arial" w:cs="Arial"/>
          <w:color w:val="000000" w:themeColor="text1"/>
          <w:sz w:val="22"/>
          <w:lang w:val="es-ES_tradnl"/>
        </w:rPr>
        <w:t xml:space="preserve"> que no </w:t>
      </w:r>
      <w:r w:rsidR="00D14E4C" w:rsidRPr="00E6228D">
        <w:rPr>
          <w:rFonts w:ascii="Arial" w:hAnsi="Arial" w:cs="Arial"/>
          <w:color w:val="000000" w:themeColor="text1"/>
          <w:sz w:val="22"/>
          <w:lang w:val="es-ES_tradnl"/>
        </w:rPr>
        <w:t>existe</w:t>
      </w:r>
      <w:r w:rsidRPr="00E6228D">
        <w:rPr>
          <w:rFonts w:ascii="Arial" w:hAnsi="Arial" w:cs="Arial"/>
          <w:color w:val="000000" w:themeColor="text1"/>
          <w:sz w:val="22"/>
          <w:lang w:val="es-ES_tradnl"/>
        </w:rPr>
        <w:t xml:space="preserve"> concurrencia entre la modalidad de </w:t>
      </w:r>
      <w:r w:rsidR="005F088A" w:rsidRPr="00E6228D">
        <w:rPr>
          <w:rFonts w:ascii="Arial" w:hAnsi="Arial" w:cs="Arial"/>
          <w:color w:val="000000" w:themeColor="text1"/>
          <w:sz w:val="22"/>
          <w:lang w:val="es-ES_tradnl"/>
        </w:rPr>
        <w:t>selección</w:t>
      </w:r>
      <w:r w:rsidRPr="00E6228D">
        <w:rPr>
          <w:rFonts w:ascii="Arial" w:hAnsi="Arial" w:cs="Arial"/>
          <w:color w:val="000000" w:themeColor="text1"/>
          <w:sz w:val="22"/>
          <w:lang w:val="es-ES_tradnl"/>
        </w:rPr>
        <w:t xml:space="preserve"> de </w:t>
      </w:r>
      <w:r w:rsidR="005F088A"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y la compra por </w:t>
      </w:r>
      <w:r w:rsidR="005F088A" w:rsidRPr="00E6228D">
        <w:rPr>
          <w:rFonts w:ascii="Arial" w:hAnsi="Arial" w:cs="Arial"/>
          <w:color w:val="000000" w:themeColor="text1"/>
          <w:sz w:val="22"/>
          <w:lang w:val="es-ES_tradnl"/>
        </w:rPr>
        <w:t>catálogo</w:t>
      </w:r>
      <w:r w:rsidRPr="00E6228D">
        <w:rPr>
          <w:rFonts w:ascii="Arial" w:hAnsi="Arial" w:cs="Arial"/>
          <w:color w:val="000000" w:themeColor="text1"/>
          <w:sz w:val="22"/>
          <w:lang w:val="es-ES_tradnl"/>
        </w:rPr>
        <w:t xml:space="preserve"> derivada de </w:t>
      </w:r>
      <w:r w:rsidR="00D14E4C" w:rsidRPr="00E6228D">
        <w:rPr>
          <w:rFonts w:ascii="Arial" w:hAnsi="Arial" w:cs="Arial"/>
          <w:color w:val="000000" w:themeColor="text1"/>
          <w:sz w:val="22"/>
          <w:lang w:val="es-ES_tradnl"/>
        </w:rPr>
        <w:t>a</w:t>
      </w:r>
      <w:r w:rsidRPr="00E6228D">
        <w:rPr>
          <w:rFonts w:ascii="Arial" w:hAnsi="Arial" w:cs="Arial"/>
          <w:color w:val="000000" w:themeColor="text1"/>
          <w:sz w:val="22"/>
          <w:lang w:val="es-ES_tradnl"/>
        </w:rPr>
        <w:t xml:space="preserve">cuerdos </w:t>
      </w:r>
      <w:r w:rsidR="00D14E4C" w:rsidRPr="00E6228D">
        <w:rPr>
          <w:rFonts w:ascii="Arial" w:hAnsi="Arial" w:cs="Arial"/>
          <w:color w:val="000000" w:themeColor="text1"/>
          <w:sz w:val="22"/>
          <w:lang w:val="es-ES_tradnl"/>
        </w:rPr>
        <w:t>m</w:t>
      </w:r>
      <w:r w:rsidRPr="00E6228D">
        <w:rPr>
          <w:rFonts w:ascii="Arial" w:hAnsi="Arial" w:cs="Arial"/>
          <w:color w:val="000000" w:themeColor="text1"/>
          <w:sz w:val="22"/>
          <w:lang w:val="es-ES_tradnl"/>
        </w:rPr>
        <w:t xml:space="preserve">arco de </w:t>
      </w:r>
      <w:r w:rsidR="00D14E4C" w:rsidRPr="00E6228D">
        <w:rPr>
          <w:rFonts w:ascii="Arial" w:hAnsi="Arial" w:cs="Arial"/>
          <w:color w:val="000000" w:themeColor="text1"/>
          <w:sz w:val="22"/>
          <w:lang w:val="es-ES_tradnl"/>
        </w:rPr>
        <w:t>p</w:t>
      </w:r>
      <w:r w:rsidRPr="00E6228D">
        <w:rPr>
          <w:rFonts w:ascii="Arial" w:hAnsi="Arial" w:cs="Arial"/>
          <w:color w:val="000000" w:themeColor="text1"/>
          <w:sz w:val="22"/>
          <w:lang w:val="es-ES_tradnl"/>
        </w:rPr>
        <w:t>recio</w:t>
      </w:r>
      <w:r w:rsidR="00D14E4C" w:rsidRPr="00E6228D">
        <w:rPr>
          <w:rFonts w:ascii="Arial" w:hAnsi="Arial" w:cs="Arial"/>
          <w:color w:val="000000" w:themeColor="text1"/>
          <w:sz w:val="22"/>
          <w:lang w:val="es-ES_tradnl"/>
        </w:rPr>
        <w:t>s</w:t>
      </w:r>
      <w:r w:rsidRPr="00E6228D">
        <w:rPr>
          <w:rFonts w:ascii="Arial" w:hAnsi="Arial" w:cs="Arial"/>
          <w:color w:val="000000" w:themeColor="text1"/>
          <w:sz w:val="22"/>
          <w:lang w:val="es-ES_tradnl"/>
        </w:rPr>
        <w:t xml:space="preserve">. </w:t>
      </w:r>
      <w:r w:rsidR="00D14E4C" w:rsidRPr="00E6228D">
        <w:rPr>
          <w:rFonts w:ascii="Arial" w:hAnsi="Arial" w:cs="Arial"/>
          <w:color w:val="000000" w:themeColor="text1"/>
          <w:sz w:val="22"/>
          <w:lang w:val="es-ES_tradnl"/>
        </w:rPr>
        <w:t>En tal sentido, indica</w:t>
      </w:r>
      <w:r w:rsidRPr="00E6228D">
        <w:rPr>
          <w:rFonts w:ascii="Arial" w:hAnsi="Arial" w:cs="Arial"/>
          <w:color w:val="000000" w:themeColor="text1"/>
          <w:sz w:val="22"/>
          <w:lang w:val="es-ES_tradnl"/>
        </w:rPr>
        <w:t>:</w:t>
      </w:r>
      <w:r w:rsidR="00843CEC"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No existe ninguna concurrencia entre la modalidad de </w:t>
      </w:r>
      <w:r w:rsidR="005F088A" w:rsidRPr="00E6228D">
        <w:rPr>
          <w:rFonts w:ascii="Arial" w:hAnsi="Arial" w:cs="Arial"/>
          <w:color w:val="000000" w:themeColor="text1"/>
          <w:sz w:val="22"/>
          <w:lang w:val="es-ES_tradnl"/>
        </w:rPr>
        <w:t>selección</w:t>
      </w:r>
      <w:r w:rsidRPr="00E6228D">
        <w:rPr>
          <w:rFonts w:ascii="Arial" w:hAnsi="Arial" w:cs="Arial"/>
          <w:color w:val="000000" w:themeColor="text1"/>
          <w:sz w:val="22"/>
          <w:lang w:val="es-ES_tradnl"/>
        </w:rPr>
        <w:t xml:space="preserve"> abreviada y de </w:t>
      </w:r>
      <w:r w:rsidR="005F088A"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pues siempre que i) exista un Acuerdo Marco de Precios para adquirir bienes o servicios de </w:t>
      </w:r>
      <w:r w:rsidR="005F088A" w:rsidRPr="00E6228D">
        <w:rPr>
          <w:rFonts w:ascii="Arial" w:hAnsi="Arial" w:cs="Arial"/>
          <w:color w:val="000000" w:themeColor="text1"/>
          <w:sz w:val="22"/>
          <w:lang w:val="es-ES_tradnl"/>
        </w:rPr>
        <w:t>características</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técnicas</w:t>
      </w:r>
      <w:r w:rsidRPr="00E6228D">
        <w:rPr>
          <w:rFonts w:ascii="Arial" w:hAnsi="Arial" w:cs="Arial"/>
          <w:color w:val="000000" w:themeColor="text1"/>
          <w:sz w:val="22"/>
          <w:lang w:val="es-ES_tradnl"/>
        </w:rPr>
        <w:t xml:space="preserve"> uniformes y ii) el presupuesto del proceso de </w:t>
      </w:r>
      <w:r w:rsidR="005F088A" w:rsidRPr="00E6228D">
        <w:rPr>
          <w:rFonts w:ascii="Arial" w:hAnsi="Arial" w:cs="Arial"/>
          <w:color w:val="000000" w:themeColor="text1"/>
          <w:sz w:val="22"/>
          <w:lang w:val="es-ES_tradnl"/>
        </w:rPr>
        <w:t>contratación</w:t>
      </w:r>
      <w:r w:rsidRPr="00E6228D">
        <w:rPr>
          <w:rFonts w:ascii="Arial" w:hAnsi="Arial" w:cs="Arial"/>
          <w:color w:val="000000" w:themeColor="text1"/>
          <w:sz w:val="22"/>
          <w:lang w:val="es-ES_tradnl"/>
        </w:rPr>
        <w:t xml:space="preserve"> sea equivalente a la </w:t>
      </w:r>
      <w:r w:rsidR="005F088A"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de la entidad, debe acudirse al procedimiento de </w:t>
      </w:r>
      <w:r w:rsidR="005F088A" w:rsidRPr="00E6228D">
        <w:rPr>
          <w:rFonts w:ascii="Arial" w:hAnsi="Arial" w:cs="Arial"/>
          <w:color w:val="000000" w:themeColor="text1"/>
          <w:sz w:val="22"/>
          <w:lang w:val="es-ES_tradnl"/>
        </w:rPr>
        <w:t>selección</w:t>
      </w:r>
      <w:r w:rsidRPr="00E6228D">
        <w:rPr>
          <w:rFonts w:ascii="Arial" w:hAnsi="Arial" w:cs="Arial"/>
          <w:color w:val="000000" w:themeColor="text1"/>
          <w:sz w:val="22"/>
          <w:lang w:val="es-ES_tradnl"/>
        </w:rPr>
        <w:t xml:space="preserve"> de </w:t>
      </w:r>
      <w:r w:rsidR="005F088A"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independientemente del objeto a contratar</w:t>
      </w:r>
      <w:r w:rsidR="00843CEC" w:rsidRPr="00E6228D">
        <w:rPr>
          <w:rFonts w:ascii="Arial" w:hAnsi="Arial" w:cs="Arial"/>
          <w:color w:val="000000" w:themeColor="text1"/>
          <w:sz w:val="22"/>
          <w:lang w:val="es-ES_tradnl"/>
        </w:rPr>
        <w:t>»</w:t>
      </w:r>
      <w:r w:rsidR="00AF25B8" w:rsidRPr="00E6228D">
        <w:rPr>
          <w:rStyle w:val="Refdenotaalpie"/>
          <w:rFonts w:ascii="Arial" w:hAnsi="Arial" w:cs="Arial"/>
          <w:color w:val="000000" w:themeColor="text1"/>
          <w:sz w:val="22"/>
          <w:lang w:val="es-ES_tradnl"/>
        </w:rPr>
        <w:footnoteReference w:id="8"/>
      </w:r>
      <w:r w:rsidRPr="00E6228D">
        <w:rPr>
          <w:rFonts w:ascii="Arial" w:hAnsi="Arial" w:cs="Arial"/>
          <w:color w:val="000000" w:themeColor="text1"/>
          <w:sz w:val="22"/>
          <w:lang w:val="es-ES_tradnl"/>
        </w:rPr>
        <w:t xml:space="preserve">. </w:t>
      </w:r>
    </w:p>
    <w:p w14:paraId="4CCBF44E" w14:textId="77777777" w:rsidR="009C7881" w:rsidRPr="00E6228D" w:rsidRDefault="007C74FF" w:rsidP="0044133F">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lastRenderedPageBreak/>
        <w:t xml:space="preserve">Por </w:t>
      </w:r>
      <w:r w:rsidR="004908F9" w:rsidRPr="00E6228D">
        <w:rPr>
          <w:rFonts w:ascii="Arial" w:hAnsi="Arial" w:cs="Arial"/>
          <w:color w:val="000000" w:themeColor="text1"/>
          <w:sz w:val="22"/>
          <w:lang w:val="es-ES_tradnl"/>
        </w:rPr>
        <w:t>tanto</w:t>
      </w:r>
      <w:r w:rsidRPr="00E6228D">
        <w:rPr>
          <w:rFonts w:ascii="Arial" w:hAnsi="Arial" w:cs="Arial"/>
          <w:color w:val="000000" w:themeColor="text1"/>
          <w:sz w:val="22"/>
          <w:lang w:val="es-ES_tradnl"/>
        </w:rPr>
        <w:t xml:space="preserve">, </w:t>
      </w:r>
      <w:r w:rsidR="00D47D94" w:rsidRPr="00E6228D">
        <w:rPr>
          <w:rFonts w:ascii="Arial" w:hAnsi="Arial" w:cs="Arial"/>
          <w:color w:val="000000" w:themeColor="text1"/>
          <w:sz w:val="22"/>
          <w:lang w:val="es-ES_tradnl"/>
        </w:rPr>
        <w:t xml:space="preserve">en cumplimiento de esta providencia, se empezó a interpretar que </w:t>
      </w:r>
      <w:r w:rsidRPr="00E6228D">
        <w:rPr>
          <w:rFonts w:ascii="Arial" w:hAnsi="Arial" w:cs="Arial"/>
          <w:color w:val="000000" w:themeColor="text1"/>
          <w:sz w:val="22"/>
          <w:lang w:val="es-ES_tradnl"/>
        </w:rPr>
        <w:t xml:space="preserve">cuando el presupuesto del </w:t>
      </w:r>
      <w:r w:rsidR="00D47D94" w:rsidRPr="00E6228D">
        <w:rPr>
          <w:rFonts w:ascii="Arial" w:hAnsi="Arial" w:cs="Arial"/>
          <w:color w:val="000000" w:themeColor="text1"/>
          <w:sz w:val="22"/>
          <w:lang w:val="es-ES_tradnl"/>
        </w:rPr>
        <w:t>p</w:t>
      </w:r>
      <w:r w:rsidRPr="00E6228D">
        <w:rPr>
          <w:rFonts w:ascii="Arial" w:hAnsi="Arial" w:cs="Arial"/>
          <w:color w:val="000000" w:themeColor="text1"/>
          <w:sz w:val="22"/>
          <w:lang w:val="es-ES_tradnl"/>
        </w:rPr>
        <w:t xml:space="preserve">roceso de </w:t>
      </w:r>
      <w:r w:rsidR="00D47D94" w:rsidRPr="00E6228D">
        <w:rPr>
          <w:rFonts w:ascii="Arial" w:hAnsi="Arial" w:cs="Arial"/>
          <w:color w:val="000000" w:themeColor="text1"/>
          <w:sz w:val="22"/>
          <w:lang w:val="es-ES_tradnl"/>
        </w:rPr>
        <w:t>c</w:t>
      </w:r>
      <w:r w:rsidR="005F088A" w:rsidRPr="00E6228D">
        <w:rPr>
          <w:rFonts w:ascii="Arial" w:hAnsi="Arial" w:cs="Arial"/>
          <w:color w:val="000000" w:themeColor="text1"/>
          <w:sz w:val="22"/>
          <w:lang w:val="es-ES_tradnl"/>
        </w:rPr>
        <w:t>ontratación</w:t>
      </w:r>
      <w:r w:rsidR="009C7881" w:rsidRPr="00E6228D">
        <w:rPr>
          <w:rFonts w:ascii="Arial" w:hAnsi="Arial" w:cs="Arial"/>
          <w:color w:val="000000" w:themeColor="text1"/>
          <w:sz w:val="22"/>
          <w:lang w:val="es-ES_tradnl"/>
        </w:rPr>
        <w:t xml:space="preserve"> de bienes y servicios de características técnicas uniformes</w:t>
      </w:r>
      <w:r w:rsidRPr="00E6228D">
        <w:rPr>
          <w:rFonts w:ascii="Arial" w:hAnsi="Arial" w:cs="Arial"/>
          <w:color w:val="000000" w:themeColor="text1"/>
          <w:sz w:val="22"/>
          <w:lang w:val="es-ES_tradnl"/>
        </w:rPr>
        <w:t xml:space="preserve"> </w:t>
      </w:r>
      <w:r w:rsidR="009C7881" w:rsidRPr="00E6228D">
        <w:rPr>
          <w:rFonts w:ascii="Arial" w:hAnsi="Arial" w:cs="Arial"/>
          <w:color w:val="000000" w:themeColor="text1"/>
          <w:sz w:val="22"/>
          <w:lang w:val="es-ES_tradnl"/>
        </w:rPr>
        <w:t>no excedía</w:t>
      </w:r>
      <w:r w:rsidRPr="00E6228D">
        <w:rPr>
          <w:rFonts w:ascii="Arial" w:hAnsi="Arial" w:cs="Arial"/>
          <w:color w:val="000000" w:themeColor="text1"/>
          <w:sz w:val="22"/>
          <w:lang w:val="es-ES_tradnl"/>
        </w:rPr>
        <w:t xml:space="preserve"> la </w:t>
      </w:r>
      <w:r w:rsidR="005F088A"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de la entidad, </w:t>
      </w:r>
      <w:r w:rsidR="005F088A" w:rsidRPr="00E6228D">
        <w:rPr>
          <w:rFonts w:ascii="Arial" w:hAnsi="Arial" w:cs="Arial"/>
          <w:color w:val="000000" w:themeColor="text1"/>
          <w:sz w:val="22"/>
          <w:lang w:val="es-ES_tradnl"/>
        </w:rPr>
        <w:t>debía</w:t>
      </w:r>
      <w:r w:rsidRPr="00E6228D">
        <w:rPr>
          <w:rFonts w:ascii="Arial" w:hAnsi="Arial" w:cs="Arial"/>
          <w:color w:val="000000" w:themeColor="text1"/>
          <w:sz w:val="22"/>
          <w:lang w:val="es-ES_tradnl"/>
        </w:rPr>
        <w:t xml:space="preserve"> acudirse al procedimiento de </w:t>
      </w:r>
      <w:r w:rsidR="005F088A" w:rsidRPr="00E6228D">
        <w:rPr>
          <w:rFonts w:ascii="Arial" w:hAnsi="Arial" w:cs="Arial"/>
          <w:color w:val="000000" w:themeColor="text1"/>
          <w:sz w:val="22"/>
          <w:lang w:val="es-ES_tradnl"/>
        </w:rPr>
        <w:t>selección</w:t>
      </w:r>
      <w:r w:rsidRPr="00E6228D">
        <w:rPr>
          <w:rFonts w:ascii="Arial" w:hAnsi="Arial" w:cs="Arial"/>
          <w:color w:val="000000" w:themeColor="text1"/>
          <w:sz w:val="22"/>
          <w:lang w:val="es-ES_tradnl"/>
        </w:rPr>
        <w:t xml:space="preserve"> de </w:t>
      </w:r>
      <w:r w:rsidR="005F088A"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009C7881"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sin importar que el bien o servicio se encontrara en </w:t>
      </w:r>
      <w:r w:rsidR="005F088A" w:rsidRPr="00E6228D">
        <w:rPr>
          <w:rFonts w:ascii="Arial" w:hAnsi="Arial" w:cs="Arial"/>
          <w:color w:val="000000" w:themeColor="text1"/>
          <w:sz w:val="22"/>
          <w:lang w:val="es-ES_tradnl"/>
        </w:rPr>
        <w:t>algún</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i</w:t>
      </w:r>
      <w:r w:rsidRPr="00E6228D">
        <w:rPr>
          <w:rFonts w:ascii="Arial" w:hAnsi="Arial" w:cs="Arial"/>
          <w:color w:val="000000" w:themeColor="text1"/>
          <w:sz w:val="22"/>
          <w:lang w:val="es-ES_tradnl"/>
        </w:rPr>
        <w:t xml:space="preserve">nstrumento de </w:t>
      </w:r>
      <w:r w:rsidR="005F088A" w:rsidRPr="00E6228D">
        <w:rPr>
          <w:rFonts w:ascii="Arial" w:hAnsi="Arial" w:cs="Arial"/>
          <w:color w:val="000000" w:themeColor="text1"/>
          <w:sz w:val="22"/>
          <w:lang w:val="es-ES_tradnl"/>
        </w:rPr>
        <w:t>agregación</w:t>
      </w:r>
      <w:r w:rsidRPr="00E6228D">
        <w:rPr>
          <w:rFonts w:ascii="Arial" w:hAnsi="Arial" w:cs="Arial"/>
          <w:color w:val="000000" w:themeColor="text1"/>
          <w:sz w:val="22"/>
          <w:lang w:val="es-ES_tradnl"/>
        </w:rPr>
        <w:t xml:space="preserve"> de </w:t>
      </w:r>
      <w:r w:rsidR="005F088A" w:rsidRPr="00E6228D">
        <w:rPr>
          <w:rFonts w:ascii="Arial" w:hAnsi="Arial" w:cs="Arial"/>
          <w:color w:val="000000" w:themeColor="text1"/>
          <w:sz w:val="22"/>
          <w:lang w:val="es-ES_tradnl"/>
        </w:rPr>
        <w:t>d</w:t>
      </w:r>
      <w:r w:rsidRPr="00E6228D">
        <w:rPr>
          <w:rFonts w:ascii="Arial" w:hAnsi="Arial" w:cs="Arial"/>
          <w:color w:val="000000" w:themeColor="text1"/>
          <w:sz w:val="22"/>
          <w:lang w:val="es-ES_tradnl"/>
        </w:rPr>
        <w:t xml:space="preserve">emanda. </w:t>
      </w:r>
    </w:p>
    <w:p w14:paraId="688B55CD" w14:textId="33DBC1A1" w:rsidR="007C74FF" w:rsidRPr="00E6228D" w:rsidRDefault="007C74FF" w:rsidP="006C6AEF">
      <w:pPr>
        <w:spacing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No obstante</w:t>
      </w:r>
      <w:r w:rsidR="006C6AEF"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lo anterior, la Ley 1955 de 2019, en </w:t>
      </w:r>
      <w:r w:rsidR="00817584" w:rsidRPr="00E6228D">
        <w:rPr>
          <w:rFonts w:ascii="Arial" w:hAnsi="Arial" w:cs="Arial"/>
          <w:color w:val="000000" w:themeColor="text1"/>
          <w:sz w:val="22"/>
          <w:lang w:val="es-ES_tradnl"/>
        </w:rPr>
        <w:t>el</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artículo</w:t>
      </w:r>
      <w:r w:rsidRPr="00E6228D">
        <w:rPr>
          <w:rFonts w:ascii="Arial" w:hAnsi="Arial" w:cs="Arial"/>
          <w:color w:val="000000" w:themeColor="text1"/>
          <w:sz w:val="22"/>
          <w:lang w:val="es-ES_tradnl"/>
        </w:rPr>
        <w:t xml:space="preserve"> 42, establece una nueva regla para estos casos</w:t>
      </w:r>
      <w:r w:rsidR="004B19A9" w:rsidRPr="00E6228D">
        <w:rPr>
          <w:rFonts w:ascii="Arial" w:hAnsi="Arial" w:cs="Arial"/>
          <w:color w:val="000000" w:themeColor="text1"/>
          <w:sz w:val="22"/>
          <w:lang w:val="es-ES_tradnl"/>
        </w:rPr>
        <w:t xml:space="preserve">, al </w:t>
      </w:r>
      <w:r w:rsidR="00C6185D" w:rsidRPr="00E6228D">
        <w:rPr>
          <w:rFonts w:ascii="Arial" w:hAnsi="Arial" w:cs="Arial"/>
          <w:color w:val="000000" w:themeColor="text1"/>
          <w:sz w:val="22"/>
          <w:lang w:val="es-ES_tradnl"/>
        </w:rPr>
        <w:t>expresar</w:t>
      </w:r>
      <w:r w:rsidR="004B19A9" w:rsidRPr="00E6228D">
        <w:rPr>
          <w:rFonts w:ascii="Arial" w:hAnsi="Arial" w:cs="Arial"/>
          <w:color w:val="000000" w:themeColor="text1"/>
          <w:sz w:val="22"/>
          <w:lang w:val="es-ES_tradnl"/>
        </w:rPr>
        <w:t>:</w:t>
      </w:r>
      <w:r w:rsidRPr="00E6228D">
        <w:rPr>
          <w:rFonts w:ascii="Arial" w:hAnsi="Arial" w:cs="Arial"/>
          <w:color w:val="000000" w:themeColor="text1"/>
          <w:sz w:val="22"/>
          <w:lang w:val="es-ES_tradnl"/>
        </w:rPr>
        <w:t xml:space="preserve"> </w:t>
      </w:r>
    </w:p>
    <w:p w14:paraId="2AFD3D16" w14:textId="77777777" w:rsidR="004908F9" w:rsidRPr="00E6228D" w:rsidRDefault="004908F9" w:rsidP="000B4EEE">
      <w:pPr>
        <w:spacing w:line="276" w:lineRule="auto"/>
        <w:jc w:val="both"/>
        <w:rPr>
          <w:rFonts w:ascii="Arial" w:hAnsi="Arial" w:cs="Arial"/>
          <w:color w:val="000000" w:themeColor="text1"/>
          <w:sz w:val="22"/>
          <w:lang w:val="es-ES_tradnl"/>
        </w:rPr>
      </w:pPr>
    </w:p>
    <w:p w14:paraId="446797E0" w14:textId="2902E46A" w:rsidR="007C74FF" w:rsidRPr="00E6228D" w:rsidRDefault="005F088A" w:rsidP="00A43778">
      <w:pPr>
        <w:ind w:left="709" w:right="709"/>
        <w:jc w:val="both"/>
        <w:rPr>
          <w:rFonts w:ascii="Arial" w:hAnsi="Arial" w:cs="Arial"/>
          <w:color w:val="000000" w:themeColor="text1"/>
          <w:sz w:val="21"/>
          <w:szCs w:val="21"/>
          <w:lang w:val="es-ES_tradnl"/>
        </w:rPr>
      </w:pPr>
      <w:r w:rsidRPr="00E6228D">
        <w:rPr>
          <w:rFonts w:ascii="Arial" w:hAnsi="Arial" w:cs="Arial"/>
          <w:color w:val="000000" w:themeColor="text1"/>
          <w:sz w:val="21"/>
          <w:szCs w:val="21"/>
          <w:lang w:val="es-ES_tradnl"/>
        </w:rPr>
        <w:t>Adiciónese</w:t>
      </w:r>
      <w:r w:rsidR="007C74FF" w:rsidRPr="00E6228D">
        <w:rPr>
          <w:rFonts w:ascii="Arial" w:hAnsi="Arial" w:cs="Arial"/>
          <w:color w:val="000000" w:themeColor="text1"/>
          <w:sz w:val="21"/>
          <w:szCs w:val="21"/>
          <w:lang w:val="es-ES_tradnl"/>
        </w:rPr>
        <w:t xml:space="preserve"> el </w:t>
      </w:r>
      <w:r w:rsidRPr="00E6228D">
        <w:rPr>
          <w:rFonts w:ascii="Arial" w:hAnsi="Arial" w:cs="Arial"/>
          <w:color w:val="000000" w:themeColor="text1"/>
          <w:sz w:val="21"/>
          <w:szCs w:val="21"/>
          <w:lang w:val="es-ES_tradnl"/>
        </w:rPr>
        <w:t>parágrafo</w:t>
      </w:r>
      <w:r w:rsidR="007C74FF" w:rsidRPr="00E6228D">
        <w:rPr>
          <w:rFonts w:ascii="Arial" w:hAnsi="Arial" w:cs="Arial"/>
          <w:color w:val="000000" w:themeColor="text1"/>
          <w:sz w:val="21"/>
          <w:szCs w:val="21"/>
          <w:lang w:val="es-ES_tradnl"/>
        </w:rPr>
        <w:t xml:space="preserve"> 3 al </w:t>
      </w:r>
      <w:r w:rsidRPr="00E6228D">
        <w:rPr>
          <w:rFonts w:ascii="Arial" w:hAnsi="Arial" w:cs="Arial"/>
          <w:color w:val="000000" w:themeColor="text1"/>
          <w:sz w:val="21"/>
          <w:szCs w:val="21"/>
          <w:lang w:val="es-ES_tradnl"/>
        </w:rPr>
        <w:t>artículo</w:t>
      </w:r>
      <w:r w:rsidR="007C74FF" w:rsidRPr="00E6228D">
        <w:rPr>
          <w:rFonts w:ascii="Arial" w:hAnsi="Arial" w:cs="Arial"/>
          <w:color w:val="000000" w:themeColor="text1"/>
          <w:sz w:val="21"/>
          <w:szCs w:val="21"/>
          <w:lang w:val="es-ES_tradnl"/>
        </w:rPr>
        <w:t xml:space="preserve"> 94 de la Ley 1474 de 2011, </w:t>
      </w:r>
      <w:r w:rsidRPr="00E6228D">
        <w:rPr>
          <w:rFonts w:ascii="Arial" w:hAnsi="Arial" w:cs="Arial"/>
          <w:color w:val="000000" w:themeColor="text1"/>
          <w:sz w:val="21"/>
          <w:szCs w:val="21"/>
          <w:lang w:val="es-ES_tradnl"/>
        </w:rPr>
        <w:t>así</w:t>
      </w:r>
      <w:r w:rsidR="007C74FF" w:rsidRPr="00E6228D">
        <w:rPr>
          <w:rFonts w:ascii="Arial" w:hAnsi="Arial" w:cs="Arial"/>
          <w:color w:val="000000" w:themeColor="text1"/>
          <w:sz w:val="21"/>
          <w:szCs w:val="21"/>
          <w:lang w:val="es-ES_tradnl"/>
        </w:rPr>
        <w:t xml:space="preserve">: </w:t>
      </w:r>
    </w:p>
    <w:p w14:paraId="10326724" w14:textId="77777777" w:rsidR="00A43778" w:rsidRPr="00E6228D" w:rsidRDefault="00A43778" w:rsidP="00A43778">
      <w:pPr>
        <w:ind w:left="709" w:right="709"/>
        <w:jc w:val="both"/>
        <w:rPr>
          <w:rFonts w:ascii="Arial" w:hAnsi="Arial" w:cs="Arial"/>
          <w:color w:val="000000" w:themeColor="text1"/>
          <w:sz w:val="21"/>
          <w:szCs w:val="21"/>
          <w:lang w:val="es-ES_tradnl"/>
        </w:rPr>
      </w:pPr>
    </w:p>
    <w:p w14:paraId="553A569F" w14:textId="7FCF53BD" w:rsidR="007C74FF" w:rsidRPr="00E6228D" w:rsidRDefault="00A43778" w:rsidP="00A43778">
      <w:pPr>
        <w:ind w:left="709" w:right="709"/>
        <w:jc w:val="both"/>
        <w:rPr>
          <w:rFonts w:ascii="Arial" w:hAnsi="Arial" w:cs="Arial"/>
          <w:color w:val="000000" w:themeColor="text1"/>
          <w:sz w:val="21"/>
          <w:szCs w:val="21"/>
          <w:lang w:val="es-ES_tradnl"/>
        </w:rPr>
      </w:pPr>
      <w:r w:rsidRPr="00E6228D">
        <w:rPr>
          <w:rFonts w:ascii="Arial" w:hAnsi="Arial" w:cs="Arial"/>
          <w:color w:val="000000" w:themeColor="text1"/>
          <w:sz w:val="21"/>
          <w:szCs w:val="21"/>
          <w:lang w:val="es-ES_tradnl"/>
        </w:rPr>
        <w:t>«</w:t>
      </w:r>
      <w:r w:rsidR="007C74FF" w:rsidRPr="00E6228D">
        <w:rPr>
          <w:rFonts w:ascii="Arial" w:hAnsi="Arial" w:cs="Arial"/>
          <w:color w:val="000000" w:themeColor="text1"/>
          <w:sz w:val="21"/>
          <w:szCs w:val="21"/>
          <w:lang w:val="es-ES_tradnl"/>
        </w:rPr>
        <w:t xml:space="preserve">En aquellos eventos en que las entidades estatales deban contratar bienes o servicios de </w:t>
      </w:r>
      <w:r w:rsidR="005F088A" w:rsidRPr="00E6228D">
        <w:rPr>
          <w:rFonts w:ascii="Arial" w:hAnsi="Arial" w:cs="Arial"/>
          <w:color w:val="000000" w:themeColor="text1"/>
          <w:sz w:val="21"/>
          <w:szCs w:val="21"/>
          <w:lang w:val="es-ES_tradnl"/>
        </w:rPr>
        <w:t>características</w:t>
      </w:r>
      <w:r w:rsidR="007C74FF" w:rsidRPr="00E6228D">
        <w:rPr>
          <w:rFonts w:ascii="Arial" w:hAnsi="Arial" w:cs="Arial"/>
          <w:color w:val="000000" w:themeColor="text1"/>
          <w:sz w:val="21"/>
          <w:szCs w:val="21"/>
          <w:lang w:val="es-ES_tradnl"/>
        </w:rPr>
        <w:t xml:space="preserve"> </w:t>
      </w:r>
      <w:r w:rsidR="005F088A" w:rsidRPr="00E6228D">
        <w:rPr>
          <w:rFonts w:ascii="Arial" w:hAnsi="Arial" w:cs="Arial"/>
          <w:color w:val="000000" w:themeColor="text1"/>
          <w:sz w:val="21"/>
          <w:szCs w:val="21"/>
          <w:lang w:val="es-ES_tradnl"/>
        </w:rPr>
        <w:t>técnicas</w:t>
      </w:r>
      <w:r w:rsidR="007C74FF" w:rsidRPr="00E6228D">
        <w:rPr>
          <w:rFonts w:ascii="Arial" w:hAnsi="Arial" w:cs="Arial"/>
          <w:color w:val="000000" w:themeColor="text1"/>
          <w:sz w:val="21"/>
          <w:szCs w:val="21"/>
          <w:lang w:val="es-ES_tradnl"/>
        </w:rPr>
        <w:t xml:space="preserve"> uniformes que se encuentren en un acuerdo marco de precios y cuyo valor no exceda del diez por ciento (10%) de la menor </w:t>
      </w:r>
      <w:r w:rsidR="005F088A" w:rsidRPr="00E6228D">
        <w:rPr>
          <w:rFonts w:ascii="Arial" w:hAnsi="Arial" w:cs="Arial"/>
          <w:color w:val="000000" w:themeColor="text1"/>
          <w:sz w:val="21"/>
          <w:szCs w:val="21"/>
          <w:lang w:val="es-ES_tradnl"/>
        </w:rPr>
        <w:t>cuantía</w:t>
      </w:r>
      <w:r w:rsidR="007C74FF" w:rsidRPr="00E6228D">
        <w:rPr>
          <w:rFonts w:ascii="Arial" w:hAnsi="Arial" w:cs="Arial"/>
          <w:color w:val="000000" w:themeColor="text1"/>
          <w:sz w:val="21"/>
          <w:szCs w:val="21"/>
          <w:lang w:val="es-ES_tradnl"/>
        </w:rPr>
        <w:t xml:space="preserve">, las entidades </w:t>
      </w:r>
      <w:r w:rsidR="005F088A" w:rsidRPr="00E6228D">
        <w:rPr>
          <w:rFonts w:ascii="Arial" w:hAnsi="Arial" w:cs="Arial"/>
          <w:color w:val="000000" w:themeColor="text1"/>
          <w:sz w:val="21"/>
          <w:szCs w:val="21"/>
          <w:lang w:val="es-ES_tradnl"/>
        </w:rPr>
        <w:t>deberán</w:t>
      </w:r>
      <w:r w:rsidR="007C74FF" w:rsidRPr="00E6228D">
        <w:rPr>
          <w:rFonts w:ascii="Arial" w:hAnsi="Arial" w:cs="Arial"/>
          <w:color w:val="000000" w:themeColor="text1"/>
          <w:sz w:val="21"/>
          <w:szCs w:val="21"/>
          <w:lang w:val="es-ES_tradnl"/>
        </w:rPr>
        <w:t xml:space="preserve"> realizar la </w:t>
      </w:r>
      <w:r w:rsidR="005F088A" w:rsidRPr="00E6228D">
        <w:rPr>
          <w:rFonts w:ascii="Arial" w:hAnsi="Arial" w:cs="Arial"/>
          <w:color w:val="000000" w:themeColor="text1"/>
          <w:sz w:val="21"/>
          <w:szCs w:val="21"/>
          <w:lang w:val="es-ES_tradnl"/>
        </w:rPr>
        <w:t>adquisición</w:t>
      </w:r>
      <w:r w:rsidR="007C74FF" w:rsidRPr="00E6228D">
        <w:rPr>
          <w:rFonts w:ascii="Arial" w:hAnsi="Arial" w:cs="Arial"/>
          <w:color w:val="000000" w:themeColor="text1"/>
          <w:sz w:val="21"/>
          <w:szCs w:val="21"/>
          <w:lang w:val="es-ES_tradnl"/>
        </w:rPr>
        <w:t xml:space="preserve"> a </w:t>
      </w:r>
      <w:r w:rsidR="005F088A" w:rsidRPr="00E6228D">
        <w:rPr>
          <w:rFonts w:ascii="Arial" w:hAnsi="Arial" w:cs="Arial"/>
          <w:color w:val="000000" w:themeColor="text1"/>
          <w:sz w:val="21"/>
          <w:szCs w:val="21"/>
          <w:lang w:val="es-ES_tradnl"/>
        </w:rPr>
        <w:t>través</w:t>
      </w:r>
      <w:r w:rsidR="007C74FF" w:rsidRPr="00E6228D">
        <w:rPr>
          <w:rFonts w:ascii="Arial" w:hAnsi="Arial" w:cs="Arial"/>
          <w:color w:val="000000" w:themeColor="text1"/>
          <w:sz w:val="21"/>
          <w:szCs w:val="21"/>
          <w:lang w:val="es-ES_tradnl"/>
        </w:rPr>
        <w:t xml:space="preserve"> de la Tienda Virtual del Estado Colombiano, siempre que el bien o servicio esté disponible por ese medio. </w:t>
      </w:r>
    </w:p>
    <w:p w14:paraId="54D6CBDC" w14:textId="77777777" w:rsidR="00A43778" w:rsidRPr="00E6228D" w:rsidRDefault="00A43778" w:rsidP="00A43778">
      <w:pPr>
        <w:ind w:left="709" w:right="709"/>
        <w:jc w:val="both"/>
        <w:rPr>
          <w:rFonts w:ascii="Arial" w:hAnsi="Arial" w:cs="Arial"/>
          <w:color w:val="000000" w:themeColor="text1"/>
          <w:sz w:val="21"/>
          <w:szCs w:val="21"/>
          <w:lang w:val="es-ES_tradnl"/>
        </w:rPr>
      </w:pPr>
    </w:p>
    <w:p w14:paraId="3A1A0155" w14:textId="55E8D3CE" w:rsidR="007C74FF" w:rsidRPr="00E6228D" w:rsidRDefault="00A43778" w:rsidP="00A43778">
      <w:pPr>
        <w:ind w:left="709" w:right="709"/>
        <w:jc w:val="both"/>
        <w:rPr>
          <w:rFonts w:ascii="Arial" w:hAnsi="Arial" w:cs="Arial"/>
          <w:color w:val="000000" w:themeColor="text1"/>
          <w:sz w:val="21"/>
          <w:szCs w:val="21"/>
          <w:lang w:val="es-ES_tradnl"/>
        </w:rPr>
      </w:pPr>
      <w:r w:rsidRPr="00E6228D">
        <w:rPr>
          <w:rFonts w:ascii="Arial" w:hAnsi="Arial" w:cs="Arial"/>
          <w:color w:val="000000" w:themeColor="text1"/>
          <w:sz w:val="21"/>
          <w:szCs w:val="21"/>
          <w:lang w:val="es-ES_tradnl"/>
        </w:rPr>
        <w:t>»</w:t>
      </w:r>
      <w:r w:rsidR="007C74FF" w:rsidRPr="00E6228D">
        <w:rPr>
          <w:rFonts w:ascii="Arial" w:hAnsi="Arial" w:cs="Arial"/>
          <w:color w:val="000000" w:themeColor="text1"/>
          <w:sz w:val="21"/>
          <w:szCs w:val="21"/>
          <w:lang w:val="es-ES_tradnl"/>
        </w:rPr>
        <w:t xml:space="preserve">Las entidades que no se encuentren obligadas a hacer uso del acuerdo marco de precios igualmente </w:t>
      </w:r>
      <w:r w:rsidR="005F088A" w:rsidRPr="00E6228D">
        <w:rPr>
          <w:rFonts w:ascii="Arial" w:hAnsi="Arial" w:cs="Arial"/>
          <w:color w:val="000000" w:themeColor="text1"/>
          <w:sz w:val="21"/>
          <w:szCs w:val="21"/>
          <w:lang w:val="es-ES_tradnl"/>
        </w:rPr>
        <w:t>podrán</w:t>
      </w:r>
      <w:r w:rsidR="007C74FF" w:rsidRPr="00E6228D">
        <w:rPr>
          <w:rFonts w:ascii="Arial" w:hAnsi="Arial" w:cs="Arial"/>
          <w:color w:val="000000" w:themeColor="text1"/>
          <w:sz w:val="21"/>
          <w:szCs w:val="21"/>
          <w:lang w:val="es-ES_tradnl"/>
        </w:rPr>
        <w:t xml:space="preserve"> utilizar esta figura antes que la </w:t>
      </w:r>
      <w:r w:rsidR="005F088A" w:rsidRPr="00E6228D">
        <w:rPr>
          <w:rFonts w:ascii="Arial" w:hAnsi="Arial" w:cs="Arial"/>
          <w:color w:val="000000" w:themeColor="text1"/>
          <w:sz w:val="21"/>
          <w:szCs w:val="21"/>
          <w:lang w:val="es-ES_tradnl"/>
        </w:rPr>
        <w:t>selección</w:t>
      </w:r>
      <w:r w:rsidR="007C74FF" w:rsidRPr="00E6228D">
        <w:rPr>
          <w:rFonts w:ascii="Arial" w:hAnsi="Arial" w:cs="Arial"/>
          <w:color w:val="000000" w:themeColor="text1"/>
          <w:sz w:val="21"/>
          <w:szCs w:val="21"/>
          <w:lang w:val="es-ES_tradnl"/>
        </w:rPr>
        <w:t xml:space="preserve"> por </w:t>
      </w:r>
      <w:r w:rsidR="005F088A" w:rsidRPr="00E6228D">
        <w:rPr>
          <w:rFonts w:ascii="Arial" w:hAnsi="Arial" w:cs="Arial"/>
          <w:color w:val="000000" w:themeColor="text1"/>
          <w:sz w:val="21"/>
          <w:szCs w:val="21"/>
          <w:lang w:val="es-ES_tradnl"/>
        </w:rPr>
        <w:t>mínima</w:t>
      </w:r>
      <w:r w:rsidR="007C74FF" w:rsidRPr="00E6228D">
        <w:rPr>
          <w:rFonts w:ascii="Arial" w:hAnsi="Arial" w:cs="Arial"/>
          <w:color w:val="000000" w:themeColor="text1"/>
          <w:sz w:val="21"/>
          <w:szCs w:val="21"/>
          <w:lang w:val="es-ES_tradnl"/>
        </w:rPr>
        <w:t xml:space="preserve"> </w:t>
      </w:r>
      <w:r w:rsidR="005F088A" w:rsidRPr="00E6228D">
        <w:rPr>
          <w:rFonts w:ascii="Arial" w:hAnsi="Arial" w:cs="Arial"/>
          <w:color w:val="000000" w:themeColor="text1"/>
          <w:sz w:val="21"/>
          <w:szCs w:val="21"/>
          <w:lang w:val="es-ES_tradnl"/>
        </w:rPr>
        <w:t>cuantía</w:t>
      </w:r>
      <w:r w:rsidRPr="00E6228D">
        <w:rPr>
          <w:rFonts w:ascii="Arial" w:hAnsi="Arial" w:cs="Arial"/>
          <w:color w:val="000000" w:themeColor="text1"/>
          <w:sz w:val="21"/>
          <w:szCs w:val="21"/>
          <w:lang w:val="es-ES_tradnl"/>
        </w:rPr>
        <w:t>»</w:t>
      </w:r>
      <w:r w:rsidR="007C74FF" w:rsidRPr="00E6228D">
        <w:rPr>
          <w:rFonts w:ascii="Arial" w:hAnsi="Arial" w:cs="Arial"/>
          <w:color w:val="000000" w:themeColor="text1"/>
          <w:sz w:val="21"/>
          <w:szCs w:val="21"/>
          <w:lang w:val="es-ES_tradnl"/>
        </w:rPr>
        <w:t xml:space="preserve">. </w:t>
      </w:r>
    </w:p>
    <w:p w14:paraId="4CC92F14" w14:textId="0D08FBF8" w:rsidR="007C74FF" w:rsidRPr="00E6228D" w:rsidRDefault="007C74FF" w:rsidP="000B4EEE">
      <w:pPr>
        <w:spacing w:line="276" w:lineRule="auto"/>
        <w:jc w:val="both"/>
        <w:rPr>
          <w:rFonts w:ascii="Arial" w:hAnsi="Arial" w:cs="Arial"/>
          <w:color w:val="000000" w:themeColor="text1"/>
          <w:sz w:val="22"/>
          <w:lang w:val="es-ES_tradnl"/>
        </w:rPr>
      </w:pPr>
    </w:p>
    <w:p w14:paraId="7F725D56" w14:textId="7A804760" w:rsidR="005F088A" w:rsidRPr="00E6228D" w:rsidRDefault="007C74FF" w:rsidP="005F088A">
      <w:pPr>
        <w:spacing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Esta norma afecta la </w:t>
      </w:r>
      <w:r w:rsidR="005F088A" w:rsidRPr="00E6228D">
        <w:rPr>
          <w:rFonts w:ascii="Arial" w:hAnsi="Arial" w:cs="Arial"/>
          <w:color w:val="000000" w:themeColor="text1"/>
          <w:sz w:val="22"/>
          <w:lang w:val="es-ES_tradnl"/>
        </w:rPr>
        <w:t>decisión</w:t>
      </w:r>
      <w:r w:rsidRPr="00E6228D">
        <w:rPr>
          <w:rFonts w:ascii="Arial" w:hAnsi="Arial" w:cs="Arial"/>
          <w:color w:val="000000" w:themeColor="text1"/>
          <w:sz w:val="22"/>
          <w:lang w:val="es-ES_tradnl"/>
        </w:rPr>
        <w:t xml:space="preserve"> del Consejo de Estado, pues establece una nueva regla en los casos de aparente concurrencia entre </w:t>
      </w:r>
      <w:r w:rsidR="00D04D02" w:rsidRPr="00E6228D">
        <w:rPr>
          <w:rFonts w:ascii="Arial" w:hAnsi="Arial" w:cs="Arial"/>
          <w:color w:val="000000" w:themeColor="text1"/>
          <w:sz w:val="22"/>
          <w:lang w:val="es-ES_tradnl"/>
        </w:rPr>
        <w:t>a</w:t>
      </w:r>
      <w:r w:rsidRPr="00E6228D">
        <w:rPr>
          <w:rFonts w:ascii="Arial" w:hAnsi="Arial" w:cs="Arial"/>
          <w:color w:val="000000" w:themeColor="text1"/>
          <w:sz w:val="22"/>
          <w:lang w:val="es-ES_tradnl"/>
        </w:rPr>
        <w:t xml:space="preserve">cuerdos </w:t>
      </w:r>
      <w:r w:rsidR="00D04D02" w:rsidRPr="00E6228D">
        <w:rPr>
          <w:rFonts w:ascii="Arial" w:hAnsi="Arial" w:cs="Arial"/>
          <w:color w:val="000000" w:themeColor="text1"/>
          <w:sz w:val="22"/>
          <w:lang w:val="es-ES_tradnl"/>
        </w:rPr>
        <w:t>m</w:t>
      </w:r>
      <w:r w:rsidRPr="00E6228D">
        <w:rPr>
          <w:rFonts w:ascii="Arial" w:hAnsi="Arial" w:cs="Arial"/>
          <w:color w:val="000000" w:themeColor="text1"/>
          <w:sz w:val="22"/>
          <w:lang w:val="es-ES_tradnl"/>
        </w:rPr>
        <w:t xml:space="preserve">arco de </w:t>
      </w:r>
      <w:r w:rsidR="00D04D02" w:rsidRPr="00E6228D">
        <w:rPr>
          <w:rFonts w:ascii="Arial" w:hAnsi="Arial" w:cs="Arial"/>
          <w:color w:val="000000" w:themeColor="text1"/>
          <w:sz w:val="22"/>
          <w:lang w:val="es-ES_tradnl"/>
        </w:rPr>
        <w:t>p</w:t>
      </w:r>
      <w:r w:rsidRPr="00E6228D">
        <w:rPr>
          <w:rFonts w:ascii="Arial" w:hAnsi="Arial" w:cs="Arial"/>
          <w:color w:val="000000" w:themeColor="text1"/>
          <w:sz w:val="22"/>
          <w:lang w:val="es-ES_tradnl"/>
        </w:rPr>
        <w:t>recio</w:t>
      </w:r>
      <w:r w:rsidR="00D04D02" w:rsidRPr="00E6228D">
        <w:rPr>
          <w:rFonts w:ascii="Arial" w:hAnsi="Arial" w:cs="Arial"/>
          <w:color w:val="000000" w:themeColor="text1"/>
          <w:sz w:val="22"/>
          <w:lang w:val="es-ES_tradnl"/>
        </w:rPr>
        <w:t>s</w:t>
      </w:r>
      <w:r w:rsidRPr="00E6228D">
        <w:rPr>
          <w:rFonts w:ascii="Arial" w:hAnsi="Arial" w:cs="Arial"/>
          <w:color w:val="000000" w:themeColor="text1"/>
          <w:sz w:val="22"/>
          <w:lang w:val="es-ES_tradnl"/>
        </w:rPr>
        <w:t xml:space="preserve"> y </w:t>
      </w:r>
      <w:r w:rsidR="005F088A"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w:t>
      </w:r>
    </w:p>
    <w:p w14:paraId="2F01DB54" w14:textId="3659E7F3" w:rsidR="005F088A" w:rsidRPr="00E6228D" w:rsidRDefault="007C74FF" w:rsidP="0044133F">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A su vez, el </w:t>
      </w:r>
      <w:r w:rsidR="005F088A" w:rsidRPr="00E6228D">
        <w:rPr>
          <w:rFonts w:ascii="Arial" w:hAnsi="Arial" w:cs="Arial"/>
          <w:color w:val="000000" w:themeColor="text1"/>
          <w:sz w:val="22"/>
          <w:lang w:val="es-ES_tradnl"/>
        </w:rPr>
        <w:t>artículo</w:t>
      </w:r>
      <w:r w:rsidRPr="00E6228D">
        <w:rPr>
          <w:rFonts w:ascii="Arial" w:hAnsi="Arial" w:cs="Arial"/>
          <w:color w:val="000000" w:themeColor="text1"/>
          <w:sz w:val="22"/>
          <w:lang w:val="es-ES_tradnl"/>
        </w:rPr>
        <w:t xml:space="preserve"> 42 de la Ley 1955 de 2019</w:t>
      </w:r>
      <w:r w:rsidR="00D04D02"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se complementa con el inciso 4 del </w:t>
      </w:r>
      <w:r w:rsidR="00BE7299" w:rsidRPr="00E6228D">
        <w:rPr>
          <w:rFonts w:ascii="Arial" w:hAnsi="Arial" w:cs="Arial"/>
          <w:color w:val="000000" w:themeColor="text1"/>
          <w:sz w:val="22"/>
          <w:lang w:val="es-ES_tradnl"/>
        </w:rPr>
        <w:t>parágrafo</w:t>
      </w:r>
      <w:r w:rsidRPr="00E6228D">
        <w:rPr>
          <w:rFonts w:ascii="Arial" w:hAnsi="Arial" w:cs="Arial"/>
          <w:color w:val="000000" w:themeColor="text1"/>
          <w:sz w:val="22"/>
          <w:lang w:val="es-ES_tradnl"/>
        </w:rPr>
        <w:t xml:space="preserve"> 5 del </w:t>
      </w:r>
      <w:r w:rsidR="005F088A" w:rsidRPr="00E6228D">
        <w:rPr>
          <w:rFonts w:ascii="Arial" w:hAnsi="Arial" w:cs="Arial"/>
          <w:color w:val="000000" w:themeColor="text1"/>
          <w:sz w:val="22"/>
          <w:lang w:val="es-ES_tradnl"/>
        </w:rPr>
        <w:t>artículo</w:t>
      </w:r>
      <w:r w:rsidRPr="00E6228D">
        <w:rPr>
          <w:rFonts w:ascii="Arial" w:hAnsi="Arial" w:cs="Arial"/>
          <w:color w:val="000000" w:themeColor="text1"/>
          <w:sz w:val="22"/>
          <w:lang w:val="es-ES_tradnl"/>
        </w:rPr>
        <w:t xml:space="preserve"> 2 de la Ley 1150 de 2007, modificado por el </w:t>
      </w:r>
      <w:r w:rsidR="005F088A" w:rsidRPr="00E6228D">
        <w:rPr>
          <w:rFonts w:ascii="Arial" w:hAnsi="Arial" w:cs="Arial"/>
          <w:color w:val="000000" w:themeColor="text1"/>
          <w:sz w:val="22"/>
          <w:lang w:val="es-ES_tradnl"/>
        </w:rPr>
        <w:t>artículo</w:t>
      </w:r>
      <w:r w:rsidRPr="00E6228D">
        <w:rPr>
          <w:rFonts w:ascii="Arial" w:hAnsi="Arial" w:cs="Arial"/>
          <w:color w:val="000000" w:themeColor="text1"/>
          <w:sz w:val="22"/>
          <w:lang w:val="es-ES_tradnl"/>
        </w:rPr>
        <w:t xml:space="preserve"> 41 de la Ley 1955 de 2019, el cual establece</w:t>
      </w:r>
      <w:r w:rsidR="001D07F1" w:rsidRPr="00E6228D">
        <w:rPr>
          <w:rFonts w:ascii="Arial" w:hAnsi="Arial" w:cs="Arial"/>
          <w:color w:val="000000" w:themeColor="text1"/>
          <w:sz w:val="22"/>
          <w:lang w:val="es-ES_tradnl"/>
        </w:rPr>
        <w:t xml:space="preserve"> que «</w:t>
      </w:r>
      <w:r w:rsidRPr="00E6228D">
        <w:rPr>
          <w:rFonts w:ascii="Arial" w:hAnsi="Arial" w:cs="Arial"/>
          <w:color w:val="000000" w:themeColor="text1"/>
          <w:sz w:val="22"/>
          <w:lang w:val="es-ES_tradnl"/>
        </w:rPr>
        <w:t xml:space="preserve">El Gobierno nacional </w:t>
      </w:r>
      <w:r w:rsidR="005F088A" w:rsidRPr="00E6228D">
        <w:rPr>
          <w:rFonts w:ascii="Arial" w:hAnsi="Arial" w:cs="Arial"/>
          <w:color w:val="000000" w:themeColor="text1"/>
          <w:sz w:val="22"/>
          <w:lang w:val="es-ES_tradnl"/>
        </w:rPr>
        <w:t>señalar</w:t>
      </w:r>
      <w:r w:rsidR="003D3DB7" w:rsidRPr="00E6228D">
        <w:rPr>
          <w:rFonts w:ascii="Arial" w:hAnsi="Arial" w:cs="Arial"/>
          <w:color w:val="000000" w:themeColor="text1"/>
          <w:sz w:val="22"/>
          <w:lang w:val="es-ES_tradnl"/>
        </w:rPr>
        <w:t>á</w:t>
      </w:r>
      <w:r w:rsidRPr="00E6228D">
        <w:rPr>
          <w:rFonts w:ascii="Arial" w:hAnsi="Arial" w:cs="Arial"/>
          <w:color w:val="000000" w:themeColor="text1"/>
          <w:sz w:val="22"/>
          <w:lang w:val="es-ES_tradnl"/>
        </w:rPr>
        <w:t xml:space="preserve"> la entidad o entidades que </w:t>
      </w:r>
      <w:r w:rsidR="005F088A" w:rsidRPr="00E6228D">
        <w:rPr>
          <w:rFonts w:ascii="Arial" w:hAnsi="Arial" w:cs="Arial"/>
          <w:color w:val="000000" w:themeColor="text1"/>
          <w:sz w:val="22"/>
          <w:lang w:val="es-ES_tradnl"/>
        </w:rPr>
        <w:t>tendrán</w:t>
      </w:r>
      <w:r w:rsidRPr="00E6228D">
        <w:rPr>
          <w:rFonts w:ascii="Arial" w:hAnsi="Arial" w:cs="Arial"/>
          <w:color w:val="000000" w:themeColor="text1"/>
          <w:sz w:val="22"/>
          <w:lang w:val="es-ES_tradnl"/>
        </w:rPr>
        <w:t xml:space="preserve"> a su cargo el </w:t>
      </w:r>
      <w:r w:rsidR="005F088A" w:rsidRPr="00E6228D">
        <w:rPr>
          <w:rFonts w:ascii="Arial" w:hAnsi="Arial" w:cs="Arial"/>
          <w:color w:val="000000" w:themeColor="text1"/>
          <w:sz w:val="22"/>
          <w:lang w:val="es-ES_tradnl"/>
        </w:rPr>
        <w:t>diseño</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organización</w:t>
      </w:r>
      <w:r w:rsidRPr="00E6228D">
        <w:rPr>
          <w:rFonts w:ascii="Arial" w:hAnsi="Arial" w:cs="Arial"/>
          <w:color w:val="000000" w:themeColor="text1"/>
          <w:sz w:val="22"/>
          <w:lang w:val="es-ES_tradnl"/>
        </w:rPr>
        <w:t xml:space="preserve"> y </w:t>
      </w:r>
      <w:r w:rsidR="005F088A" w:rsidRPr="00E6228D">
        <w:rPr>
          <w:rFonts w:ascii="Arial" w:hAnsi="Arial" w:cs="Arial"/>
          <w:color w:val="000000" w:themeColor="text1"/>
          <w:sz w:val="22"/>
          <w:lang w:val="es-ES_tradnl"/>
        </w:rPr>
        <w:t>celebración</w:t>
      </w:r>
      <w:r w:rsidRPr="00E6228D">
        <w:rPr>
          <w:rFonts w:ascii="Arial" w:hAnsi="Arial" w:cs="Arial"/>
          <w:color w:val="000000" w:themeColor="text1"/>
          <w:sz w:val="22"/>
          <w:lang w:val="es-ES_tradnl"/>
        </w:rPr>
        <w:t xml:space="preserve"> de los acuerdos marco de precios. El reglamento </w:t>
      </w:r>
      <w:r w:rsidR="005F088A" w:rsidRPr="00E6228D">
        <w:rPr>
          <w:rFonts w:ascii="Arial" w:hAnsi="Arial" w:cs="Arial"/>
          <w:color w:val="000000" w:themeColor="text1"/>
          <w:sz w:val="22"/>
          <w:lang w:val="es-ES_tradnl"/>
        </w:rPr>
        <w:t>establecer</w:t>
      </w:r>
      <w:r w:rsidR="003D3DB7" w:rsidRPr="00E6228D">
        <w:rPr>
          <w:rFonts w:ascii="Arial" w:hAnsi="Arial" w:cs="Arial"/>
          <w:color w:val="000000" w:themeColor="text1"/>
          <w:sz w:val="22"/>
          <w:lang w:val="es-ES_tradnl"/>
        </w:rPr>
        <w:t>á</w:t>
      </w:r>
      <w:r w:rsidRPr="00E6228D">
        <w:rPr>
          <w:rFonts w:ascii="Arial" w:hAnsi="Arial" w:cs="Arial"/>
          <w:color w:val="000000" w:themeColor="text1"/>
          <w:sz w:val="22"/>
          <w:lang w:val="es-ES_tradnl"/>
        </w:rPr>
        <w:t xml:space="preserve"> las condiciones bajo las cuales el uso de acuerdos marco de precios, se </w:t>
      </w:r>
      <w:r w:rsidR="005F088A" w:rsidRPr="00E6228D">
        <w:rPr>
          <w:rFonts w:ascii="Arial" w:hAnsi="Arial" w:cs="Arial"/>
          <w:color w:val="000000" w:themeColor="text1"/>
          <w:sz w:val="22"/>
          <w:lang w:val="es-ES_tradnl"/>
        </w:rPr>
        <w:t>har</w:t>
      </w:r>
      <w:r w:rsidR="003D3DB7" w:rsidRPr="00E6228D">
        <w:rPr>
          <w:rFonts w:ascii="Arial" w:hAnsi="Arial" w:cs="Arial"/>
          <w:color w:val="000000" w:themeColor="text1"/>
          <w:sz w:val="22"/>
          <w:lang w:val="es-ES_tradnl"/>
        </w:rPr>
        <w:t>á</w:t>
      </w:r>
      <w:r w:rsidRPr="00E6228D">
        <w:rPr>
          <w:rFonts w:ascii="Arial" w:hAnsi="Arial" w:cs="Arial"/>
          <w:color w:val="000000" w:themeColor="text1"/>
          <w:sz w:val="22"/>
          <w:lang w:val="es-ES_tradnl"/>
        </w:rPr>
        <w:t xml:space="preserve"> obligatorio para todas las entidades sometidas al Estatuto General de </w:t>
      </w:r>
      <w:r w:rsidR="005F088A" w:rsidRPr="00E6228D">
        <w:rPr>
          <w:rFonts w:ascii="Arial" w:hAnsi="Arial" w:cs="Arial"/>
          <w:color w:val="000000" w:themeColor="text1"/>
          <w:sz w:val="22"/>
          <w:lang w:val="es-ES_tradnl"/>
        </w:rPr>
        <w:t>Contratación</w:t>
      </w:r>
      <w:r w:rsidRPr="00E6228D">
        <w:rPr>
          <w:rFonts w:ascii="Arial" w:hAnsi="Arial" w:cs="Arial"/>
          <w:color w:val="000000" w:themeColor="text1"/>
          <w:sz w:val="22"/>
          <w:lang w:val="es-ES_tradnl"/>
        </w:rPr>
        <w:t xml:space="preserve"> de la </w:t>
      </w:r>
      <w:r w:rsidR="005F088A" w:rsidRPr="00E6228D">
        <w:rPr>
          <w:rFonts w:ascii="Arial" w:hAnsi="Arial" w:cs="Arial"/>
          <w:color w:val="000000" w:themeColor="text1"/>
          <w:sz w:val="22"/>
          <w:lang w:val="es-ES_tradnl"/>
        </w:rPr>
        <w:t>Administración</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Pública</w:t>
      </w:r>
      <w:r w:rsidR="001D07F1" w:rsidRPr="00E6228D">
        <w:rPr>
          <w:rFonts w:ascii="Arial" w:hAnsi="Arial" w:cs="Arial"/>
          <w:color w:val="000000" w:themeColor="text1"/>
          <w:sz w:val="22"/>
          <w:lang w:val="es-ES_tradnl"/>
        </w:rPr>
        <w:t>»</w:t>
      </w:r>
      <w:r w:rsidRPr="00E6228D">
        <w:rPr>
          <w:rFonts w:ascii="Arial" w:hAnsi="Arial" w:cs="Arial"/>
          <w:color w:val="000000" w:themeColor="text1"/>
          <w:sz w:val="22"/>
          <w:lang w:val="es-ES_tradnl"/>
        </w:rPr>
        <w:t xml:space="preserve">. </w:t>
      </w:r>
    </w:p>
    <w:p w14:paraId="34B816D3" w14:textId="0E9EDE40" w:rsidR="005F088A" w:rsidRPr="00E6228D" w:rsidRDefault="007C74FF" w:rsidP="0044133F">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De esta forma, </w:t>
      </w:r>
      <w:r w:rsidR="003D3DB7" w:rsidRPr="00E6228D">
        <w:rPr>
          <w:rFonts w:ascii="Arial" w:hAnsi="Arial" w:cs="Arial"/>
          <w:color w:val="000000" w:themeColor="text1"/>
          <w:sz w:val="22"/>
          <w:lang w:val="es-ES_tradnl"/>
        </w:rPr>
        <w:t xml:space="preserve">el artículo 42 de </w:t>
      </w:r>
      <w:r w:rsidRPr="00E6228D">
        <w:rPr>
          <w:rFonts w:ascii="Arial" w:hAnsi="Arial" w:cs="Arial"/>
          <w:color w:val="000000" w:themeColor="text1"/>
          <w:sz w:val="22"/>
          <w:lang w:val="es-ES_tradnl"/>
        </w:rPr>
        <w:t>la Ley 1955 de 2019</w:t>
      </w:r>
      <w:r w:rsidR="003D3DB7"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establece que las entidades estatales obligadas tienen el deber de realizar la </w:t>
      </w:r>
      <w:r w:rsidR="005F088A" w:rsidRPr="00E6228D">
        <w:rPr>
          <w:rFonts w:ascii="Arial" w:hAnsi="Arial" w:cs="Arial"/>
          <w:color w:val="000000" w:themeColor="text1"/>
          <w:sz w:val="22"/>
          <w:lang w:val="es-ES_tradnl"/>
        </w:rPr>
        <w:t>adquisición</w:t>
      </w:r>
      <w:r w:rsidRPr="00E6228D">
        <w:rPr>
          <w:rFonts w:ascii="Arial" w:hAnsi="Arial" w:cs="Arial"/>
          <w:color w:val="000000" w:themeColor="text1"/>
          <w:sz w:val="22"/>
          <w:lang w:val="es-ES_tradnl"/>
        </w:rPr>
        <w:t xml:space="preserve"> de bienes o servicios de </w:t>
      </w:r>
      <w:r w:rsidR="005F088A" w:rsidRPr="00E6228D">
        <w:rPr>
          <w:rFonts w:ascii="Arial" w:hAnsi="Arial" w:cs="Arial"/>
          <w:color w:val="000000" w:themeColor="text1"/>
          <w:sz w:val="22"/>
          <w:lang w:val="es-ES_tradnl"/>
        </w:rPr>
        <w:t>características</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técnicas</w:t>
      </w:r>
      <w:r w:rsidRPr="00E6228D">
        <w:rPr>
          <w:rFonts w:ascii="Arial" w:hAnsi="Arial" w:cs="Arial"/>
          <w:color w:val="000000" w:themeColor="text1"/>
          <w:sz w:val="22"/>
          <w:lang w:val="es-ES_tradnl"/>
        </w:rPr>
        <w:t xml:space="preserve"> uniformes y de </w:t>
      </w:r>
      <w:r w:rsidR="005F088A" w:rsidRPr="00E6228D">
        <w:rPr>
          <w:rFonts w:ascii="Arial" w:hAnsi="Arial" w:cs="Arial"/>
          <w:color w:val="000000" w:themeColor="text1"/>
          <w:sz w:val="22"/>
          <w:lang w:val="es-ES_tradnl"/>
        </w:rPr>
        <w:t>común</w:t>
      </w:r>
      <w:r w:rsidRPr="00E6228D">
        <w:rPr>
          <w:rFonts w:ascii="Arial" w:hAnsi="Arial" w:cs="Arial"/>
          <w:color w:val="000000" w:themeColor="text1"/>
          <w:sz w:val="22"/>
          <w:lang w:val="es-ES_tradnl"/>
        </w:rPr>
        <w:t xml:space="preserve"> </w:t>
      </w:r>
      <w:r w:rsidR="005F088A" w:rsidRPr="00E6228D">
        <w:rPr>
          <w:rFonts w:ascii="Arial" w:hAnsi="Arial" w:cs="Arial"/>
          <w:color w:val="000000" w:themeColor="text1"/>
          <w:sz w:val="22"/>
          <w:lang w:val="es-ES_tradnl"/>
        </w:rPr>
        <w:t>utilización</w:t>
      </w:r>
      <w:r w:rsidR="005157F0"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siempre que esté disponible</w:t>
      </w:r>
      <w:r w:rsidR="005157F0"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a </w:t>
      </w:r>
      <w:r w:rsidR="005F088A" w:rsidRPr="00E6228D">
        <w:rPr>
          <w:rFonts w:ascii="Arial" w:hAnsi="Arial" w:cs="Arial"/>
          <w:color w:val="000000" w:themeColor="text1"/>
          <w:sz w:val="22"/>
          <w:lang w:val="es-ES_tradnl"/>
        </w:rPr>
        <w:t>través</w:t>
      </w:r>
      <w:r w:rsidRPr="00E6228D">
        <w:rPr>
          <w:rFonts w:ascii="Arial" w:hAnsi="Arial" w:cs="Arial"/>
          <w:color w:val="000000" w:themeColor="text1"/>
          <w:sz w:val="22"/>
          <w:lang w:val="es-ES_tradnl"/>
        </w:rPr>
        <w:t xml:space="preserve"> de </w:t>
      </w:r>
      <w:r w:rsidR="005F60CF" w:rsidRPr="00E6228D">
        <w:rPr>
          <w:rFonts w:ascii="Arial" w:hAnsi="Arial" w:cs="Arial"/>
          <w:color w:val="000000" w:themeColor="text1"/>
          <w:sz w:val="22"/>
          <w:lang w:val="es-ES_tradnl"/>
        </w:rPr>
        <w:t>a</w:t>
      </w:r>
      <w:r w:rsidRPr="00E6228D">
        <w:rPr>
          <w:rFonts w:ascii="Arial" w:hAnsi="Arial" w:cs="Arial"/>
          <w:color w:val="000000" w:themeColor="text1"/>
          <w:sz w:val="22"/>
          <w:lang w:val="es-ES_tradnl"/>
        </w:rPr>
        <w:t xml:space="preserve">cuerdo </w:t>
      </w:r>
      <w:r w:rsidR="005F60CF" w:rsidRPr="00E6228D">
        <w:rPr>
          <w:rFonts w:ascii="Arial" w:hAnsi="Arial" w:cs="Arial"/>
          <w:color w:val="000000" w:themeColor="text1"/>
          <w:sz w:val="22"/>
          <w:lang w:val="es-ES_tradnl"/>
        </w:rPr>
        <w:t>m</w:t>
      </w:r>
      <w:r w:rsidRPr="00E6228D">
        <w:rPr>
          <w:rFonts w:ascii="Arial" w:hAnsi="Arial" w:cs="Arial"/>
          <w:color w:val="000000" w:themeColor="text1"/>
          <w:sz w:val="22"/>
          <w:lang w:val="es-ES_tradnl"/>
        </w:rPr>
        <w:t xml:space="preserve">arco de </w:t>
      </w:r>
      <w:r w:rsidR="005F60CF" w:rsidRPr="00E6228D">
        <w:rPr>
          <w:rFonts w:ascii="Arial" w:hAnsi="Arial" w:cs="Arial"/>
          <w:color w:val="000000" w:themeColor="text1"/>
          <w:sz w:val="22"/>
          <w:lang w:val="es-ES_tradnl"/>
        </w:rPr>
        <w:t>p</w:t>
      </w:r>
      <w:r w:rsidRPr="00E6228D">
        <w:rPr>
          <w:rFonts w:ascii="Arial" w:hAnsi="Arial" w:cs="Arial"/>
          <w:color w:val="000000" w:themeColor="text1"/>
          <w:sz w:val="22"/>
          <w:lang w:val="es-ES_tradnl"/>
        </w:rPr>
        <w:t xml:space="preserve">recios, incluso en los procesos de </w:t>
      </w:r>
      <w:r w:rsidR="005F088A" w:rsidRPr="00E6228D">
        <w:rPr>
          <w:rFonts w:ascii="Arial" w:hAnsi="Arial" w:cs="Arial"/>
          <w:color w:val="000000" w:themeColor="text1"/>
          <w:sz w:val="22"/>
          <w:lang w:val="es-ES_tradnl"/>
        </w:rPr>
        <w:t>contratación</w:t>
      </w:r>
      <w:r w:rsidRPr="00E6228D">
        <w:rPr>
          <w:rFonts w:ascii="Arial" w:hAnsi="Arial" w:cs="Arial"/>
          <w:color w:val="000000" w:themeColor="text1"/>
          <w:sz w:val="22"/>
          <w:lang w:val="es-ES_tradnl"/>
        </w:rPr>
        <w:t xml:space="preserve"> cuyo presupuesto no exceda el diez por ciento (10%) de la menor </w:t>
      </w:r>
      <w:r w:rsidR="005F088A" w:rsidRPr="00E6228D">
        <w:rPr>
          <w:rFonts w:ascii="Arial" w:hAnsi="Arial" w:cs="Arial"/>
          <w:color w:val="000000" w:themeColor="text1"/>
          <w:sz w:val="22"/>
          <w:lang w:val="es-ES_tradnl"/>
        </w:rPr>
        <w:t>cuantía</w:t>
      </w:r>
      <w:r w:rsidR="003A32C6" w:rsidRPr="00E6228D">
        <w:rPr>
          <w:rStyle w:val="Refdenotaalpie"/>
          <w:rFonts w:ascii="Arial" w:hAnsi="Arial" w:cs="Arial"/>
          <w:color w:val="000000" w:themeColor="text1"/>
          <w:sz w:val="22"/>
          <w:lang w:val="es-ES_tradnl"/>
        </w:rPr>
        <w:footnoteReference w:id="9"/>
      </w:r>
      <w:r w:rsidRPr="00E6228D">
        <w:rPr>
          <w:rFonts w:ascii="Arial" w:hAnsi="Arial" w:cs="Arial"/>
          <w:color w:val="000000" w:themeColor="text1"/>
          <w:sz w:val="22"/>
          <w:lang w:val="es-ES_tradnl"/>
        </w:rPr>
        <w:t xml:space="preserve">. </w:t>
      </w:r>
    </w:p>
    <w:p w14:paraId="45D9CB23" w14:textId="2A498137" w:rsidR="00F34399" w:rsidRPr="00E6228D" w:rsidRDefault="007C74FF" w:rsidP="0044133F">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lastRenderedPageBreak/>
        <w:t xml:space="preserve">Sin embargo, debe aclararse que hasta una nueva </w:t>
      </w:r>
      <w:r w:rsidR="005F088A" w:rsidRPr="00E6228D">
        <w:rPr>
          <w:rFonts w:ascii="Arial" w:hAnsi="Arial" w:cs="Arial"/>
          <w:color w:val="000000" w:themeColor="text1"/>
          <w:sz w:val="22"/>
          <w:lang w:val="es-ES_tradnl"/>
        </w:rPr>
        <w:t>reglamentación</w:t>
      </w:r>
      <w:r w:rsidRPr="00E6228D">
        <w:rPr>
          <w:rFonts w:ascii="Arial" w:hAnsi="Arial" w:cs="Arial"/>
          <w:color w:val="000000" w:themeColor="text1"/>
          <w:sz w:val="22"/>
          <w:lang w:val="es-ES_tradnl"/>
        </w:rPr>
        <w:t xml:space="preserve"> del Gobierno nacional,</w:t>
      </w:r>
      <w:r w:rsidR="00F34399"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las entidades estatales obligadas a aplicar el </w:t>
      </w:r>
      <w:r w:rsidR="00F34399" w:rsidRPr="00E6228D">
        <w:rPr>
          <w:rFonts w:ascii="Arial" w:hAnsi="Arial" w:cs="Arial"/>
          <w:color w:val="000000" w:themeColor="text1"/>
          <w:sz w:val="22"/>
          <w:lang w:val="es-ES_tradnl"/>
        </w:rPr>
        <w:t>artículo</w:t>
      </w:r>
      <w:r w:rsidRPr="00E6228D">
        <w:rPr>
          <w:rFonts w:ascii="Arial" w:hAnsi="Arial" w:cs="Arial"/>
          <w:color w:val="000000" w:themeColor="text1"/>
          <w:sz w:val="22"/>
          <w:lang w:val="es-ES_tradnl"/>
        </w:rPr>
        <w:t xml:space="preserve"> 42 mencionado </w:t>
      </w:r>
      <w:r w:rsidR="00F34399" w:rsidRPr="00E6228D">
        <w:rPr>
          <w:rFonts w:ascii="Arial" w:hAnsi="Arial" w:cs="Arial"/>
          <w:color w:val="000000" w:themeColor="text1"/>
          <w:sz w:val="22"/>
          <w:lang w:val="es-ES_tradnl"/>
        </w:rPr>
        <w:t>serán</w:t>
      </w:r>
      <w:r w:rsidRPr="00E6228D">
        <w:rPr>
          <w:rFonts w:ascii="Arial" w:hAnsi="Arial" w:cs="Arial"/>
          <w:color w:val="000000" w:themeColor="text1"/>
          <w:sz w:val="22"/>
          <w:lang w:val="es-ES_tradnl"/>
        </w:rPr>
        <w:t xml:space="preserve"> las que establece actualmente el Decreto 1082 de 2015, en su </w:t>
      </w:r>
      <w:r w:rsidR="00F34399" w:rsidRPr="00E6228D">
        <w:rPr>
          <w:rFonts w:ascii="Arial" w:hAnsi="Arial" w:cs="Arial"/>
          <w:color w:val="000000" w:themeColor="text1"/>
          <w:sz w:val="22"/>
          <w:lang w:val="es-ES_tradnl"/>
        </w:rPr>
        <w:t>artículo</w:t>
      </w:r>
      <w:r w:rsidRPr="00E6228D">
        <w:rPr>
          <w:rFonts w:ascii="Arial" w:hAnsi="Arial" w:cs="Arial"/>
          <w:color w:val="000000" w:themeColor="text1"/>
          <w:sz w:val="22"/>
          <w:lang w:val="es-ES_tradnl"/>
        </w:rPr>
        <w:t xml:space="preserve"> 2.2.1.2.1.2.7., es decir, las entidades estatales de la </w:t>
      </w:r>
      <w:r w:rsidR="0066776B" w:rsidRPr="00E6228D">
        <w:rPr>
          <w:rFonts w:ascii="Arial" w:hAnsi="Arial" w:cs="Arial"/>
          <w:color w:val="000000" w:themeColor="text1"/>
          <w:sz w:val="22"/>
          <w:lang w:val="es-ES_tradnl"/>
        </w:rPr>
        <w:t>r</w:t>
      </w:r>
      <w:r w:rsidRPr="00E6228D">
        <w:rPr>
          <w:rFonts w:ascii="Arial" w:hAnsi="Arial" w:cs="Arial"/>
          <w:color w:val="000000" w:themeColor="text1"/>
          <w:sz w:val="22"/>
          <w:lang w:val="es-ES_tradnl"/>
        </w:rPr>
        <w:t xml:space="preserve">ama </w:t>
      </w:r>
      <w:r w:rsidR="0066776B" w:rsidRPr="00E6228D">
        <w:rPr>
          <w:rFonts w:ascii="Arial" w:hAnsi="Arial" w:cs="Arial"/>
          <w:color w:val="000000" w:themeColor="text1"/>
          <w:sz w:val="22"/>
          <w:lang w:val="es-ES_tradnl"/>
        </w:rPr>
        <w:t>e</w:t>
      </w:r>
      <w:r w:rsidRPr="00E6228D">
        <w:rPr>
          <w:rFonts w:ascii="Arial" w:hAnsi="Arial" w:cs="Arial"/>
          <w:color w:val="000000" w:themeColor="text1"/>
          <w:sz w:val="22"/>
          <w:lang w:val="es-ES_tradnl"/>
        </w:rPr>
        <w:t xml:space="preserve">jecutiva del </w:t>
      </w:r>
      <w:r w:rsidR="0066776B" w:rsidRPr="00E6228D">
        <w:rPr>
          <w:rFonts w:ascii="Arial" w:hAnsi="Arial" w:cs="Arial"/>
          <w:color w:val="000000" w:themeColor="text1"/>
          <w:sz w:val="22"/>
          <w:lang w:val="es-ES_tradnl"/>
        </w:rPr>
        <w:t>p</w:t>
      </w:r>
      <w:r w:rsidRPr="00E6228D">
        <w:rPr>
          <w:rFonts w:ascii="Arial" w:hAnsi="Arial" w:cs="Arial"/>
          <w:color w:val="000000" w:themeColor="text1"/>
          <w:sz w:val="22"/>
          <w:lang w:val="es-ES_tradnl"/>
        </w:rPr>
        <w:t xml:space="preserve">oder </w:t>
      </w:r>
      <w:r w:rsidR="0066776B" w:rsidRPr="00E6228D">
        <w:rPr>
          <w:rFonts w:ascii="Arial" w:hAnsi="Arial" w:cs="Arial"/>
          <w:color w:val="000000" w:themeColor="text1"/>
          <w:sz w:val="22"/>
          <w:lang w:val="es-ES_tradnl"/>
        </w:rPr>
        <w:t>p</w:t>
      </w:r>
      <w:r w:rsidR="00F34399" w:rsidRPr="00E6228D">
        <w:rPr>
          <w:rFonts w:ascii="Arial" w:hAnsi="Arial" w:cs="Arial"/>
          <w:color w:val="000000" w:themeColor="text1"/>
          <w:sz w:val="22"/>
          <w:lang w:val="es-ES_tradnl"/>
        </w:rPr>
        <w:t>úblico</w:t>
      </w:r>
      <w:r w:rsidRPr="00E6228D">
        <w:rPr>
          <w:rFonts w:ascii="Arial" w:hAnsi="Arial" w:cs="Arial"/>
          <w:color w:val="000000" w:themeColor="text1"/>
          <w:sz w:val="22"/>
          <w:lang w:val="es-ES_tradnl"/>
        </w:rPr>
        <w:t xml:space="preserve"> del orden nacional, obligadas a aplicar la Ley 80 de 1993 y la Ley 1150 de 2007, o las normas que las modifiquen, aclaren, adicionen o sustituyan</w:t>
      </w:r>
      <w:r w:rsidR="00F34399" w:rsidRPr="00E6228D">
        <w:rPr>
          <w:rFonts w:ascii="Arial" w:hAnsi="Arial" w:cs="Arial"/>
          <w:color w:val="000000" w:themeColor="text1"/>
          <w:sz w:val="22"/>
          <w:lang w:val="es-ES_tradnl"/>
        </w:rPr>
        <w:t>.</w:t>
      </w:r>
    </w:p>
    <w:p w14:paraId="44B81B92" w14:textId="17B19E36" w:rsidR="00F34399" w:rsidRPr="00E6228D" w:rsidRDefault="007C74FF" w:rsidP="00F34399">
      <w:pPr>
        <w:spacing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Ahora bien, en el caso de que el bien o servicio de </w:t>
      </w:r>
      <w:r w:rsidR="00F34399" w:rsidRPr="00E6228D">
        <w:rPr>
          <w:rFonts w:ascii="Arial" w:hAnsi="Arial" w:cs="Arial"/>
          <w:color w:val="000000" w:themeColor="text1"/>
          <w:sz w:val="22"/>
          <w:lang w:val="es-ES_tradnl"/>
        </w:rPr>
        <w:t>características</w:t>
      </w:r>
      <w:r w:rsidRPr="00E6228D">
        <w:rPr>
          <w:rFonts w:ascii="Arial" w:hAnsi="Arial" w:cs="Arial"/>
          <w:color w:val="000000" w:themeColor="text1"/>
          <w:sz w:val="22"/>
          <w:lang w:val="es-ES_tradnl"/>
        </w:rPr>
        <w:t xml:space="preserve"> </w:t>
      </w:r>
      <w:r w:rsidR="00F34399" w:rsidRPr="00E6228D">
        <w:rPr>
          <w:rFonts w:ascii="Arial" w:hAnsi="Arial" w:cs="Arial"/>
          <w:color w:val="000000" w:themeColor="text1"/>
          <w:sz w:val="22"/>
          <w:lang w:val="es-ES_tradnl"/>
        </w:rPr>
        <w:t>técnicas</w:t>
      </w:r>
      <w:r w:rsidRPr="00E6228D">
        <w:rPr>
          <w:rFonts w:ascii="Arial" w:hAnsi="Arial" w:cs="Arial"/>
          <w:color w:val="000000" w:themeColor="text1"/>
          <w:sz w:val="22"/>
          <w:lang w:val="es-ES_tradnl"/>
        </w:rPr>
        <w:t xml:space="preserve"> uniforme y de </w:t>
      </w:r>
      <w:r w:rsidR="00F34399" w:rsidRPr="00E6228D">
        <w:rPr>
          <w:rFonts w:ascii="Arial" w:hAnsi="Arial" w:cs="Arial"/>
          <w:color w:val="000000" w:themeColor="text1"/>
          <w:sz w:val="22"/>
          <w:lang w:val="es-ES_tradnl"/>
        </w:rPr>
        <w:t>común</w:t>
      </w:r>
      <w:r w:rsidRPr="00E6228D">
        <w:rPr>
          <w:rFonts w:ascii="Arial" w:hAnsi="Arial" w:cs="Arial"/>
          <w:color w:val="000000" w:themeColor="text1"/>
          <w:sz w:val="22"/>
          <w:lang w:val="es-ES_tradnl"/>
        </w:rPr>
        <w:t xml:space="preserve"> </w:t>
      </w:r>
      <w:r w:rsidR="00F34399" w:rsidRPr="00E6228D">
        <w:rPr>
          <w:rFonts w:ascii="Arial" w:hAnsi="Arial" w:cs="Arial"/>
          <w:color w:val="000000" w:themeColor="text1"/>
          <w:sz w:val="22"/>
          <w:lang w:val="es-ES_tradnl"/>
        </w:rPr>
        <w:t>utilización</w:t>
      </w:r>
      <w:r w:rsidRPr="00E6228D">
        <w:rPr>
          <w:rFonts w:ascii="Arial" w:hAnsi="Arial" w:cs="Arial"/>
          <w:color w:val="000000" w:themeColor="text1"/>
          <w:sz w:val="22"/>
          <w:lang w:val="es-ES_tradnl"/>
        </w:rPr>
        <w:t xml:space="preserve"> no esté disponible en un </w:t>
      </w:r>
      <w:r w:rsidR="005157F0" w:rsidRPr="00E6228D">
        <w:rPr>
          <w:rFonts w:ascii="Arial" w:hAnsi="Arial" w:cs="Arial"/>
          <w:color w:val="000000" w:themeColor="text1"/>
          <w:sz w:val="22"/>
          <w:lang w:val="es-ES_tradnl"/>
        </w:rPr>
        <w:t>a</w:t>
      </w:r>
      <w:r w:rsidRPr="00E6228D">
        <w:rPr>
          <w:rFonts w:ascii="Arial" w:hAnsi="Arial" w:cs="Arial"/>
          <w:color w:val="000000" w:themeColor="text1"/>
          <w:sz w:val="22"/>
          <w:lang w:val="es-ES_tradnl"/>
        </w:rPr>
        <w:t xml:space="preserve">cuerdo </w:t>
      </w:r>
      <w:r w:rsidR="005157F0" w:rsidRPr="00E6228D">
        <w:rPr>
          <w:rFonts w:ascii="Arial" w:hAnsi="Arial" w:cs="Arial"/>
          <w:color w:val="000000" w:themeColor="text1"/>
          <w:sz w:val="22"/>
          <w:lang w:val="es-ES_tradnl"/>
        </w:rPr>
        <w:t>m</w:t>
      </w:r>
      <w:r w:rsidRPr="00E6228D">
        <w:rPr>
          <w:rFonts w:ascii="Arial" w:hAnsi="Arial" w:cs="Arial"/>
          <w:color w:val="000000" w:themeColor="text1"/>
          <w:sz w:val="22"/>
          <w:lang w:val="es-ES_tradnl"/>
        </w:rPr>
        <w:t xml:space="preserve">arco de </w:t>
      </w:r>
      <w:r w:rsidR="005157F0" w:rsidRPr="00E6228D">
        <w:rPr>
          <w:rFonts w:ascii="Arial" w:hAnsi="Arial" w:cs="Arial"/>
          <w:color w:val="000000" w:themeColor="text1"/>
          <w:sz w:val="22"/>
          <w:lang w:val="es-ES_tradnl"/>
        </w:rPr>
        <w:t>p</w:t>
      </w:r>
      <w:r w:rsidRPr="00E6228D">
        <w:rPr>
          <w:rFonts w:ascii="Arial" w:hAnsi="Arial" w:cs="Arial"/>
          <w:color w:val="000000" w:themeColor="text1"/>
          <w:sz w:val="22"/>
          <w:lang w:val="es-ES_tradnl"/>
        </w:rPr>
        <w:t xml:space="preserve">recios, y la </w:t>
      </w:r>
      <w:r w:rsidR="00F34399"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sea menor al diez por ciento (10%) del presupuesto, las entidades estatales deben realizar la </w:t>
      </w:r>
      <w:r w:rsidR="00F34399" w:rsidRPr="00E6228D">
        <w:rPr>
          <w:rFonts w:ascii="Arial" w:hAnsi="Arial" w:cs="Arial"/>
          <w:color w:val="000000" w:themeColor="text1"/>
          <w:sz w:val="22"/>
          <w:lang w:val="es-ES_tradnl"/>
        </w:rPr>
        <w:t>adquisición</w:t>
      </w:r>
      <w:r w:rsidRPr="00E6228D">
        <w:rPr>
          <w:rFonts w:ascii="Arial" w:hAnsi="Arial" w:cs="Arial"/>
          <w:color w:val="000000" w:themeColor="text1"/>
          <w:sz w:val="22"/>
          <w:lang w:val="es-ES_tradnl"/>
        </w:rPr>
        <w:t xml:space="preserve"> por la modalidad de </w:t>
      </w:r>
      <w:r w:rsidR="00F34399"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F34399"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ya que el Consejo de Estado </w:t>
      </w:r>
      <w:r w:rsidR="005157F0" w:rsidRPr="00E6228D">
        <w:rPr>
          <w:rFonts w:ascii="Arial" w:hAnsi="Arial" w:cs="Arial"/>
          <w:color w:val="000000" w:themeColor="text1"/>
          <w:sz w:val="22"/>
          <w:lang w:val="es-ES_tradnl"/>
        </w:rPr>
        <w:t>determinó</w:t>
      </w:r>
      <w:r w:rsidRPr="00E6228D">
        <w:rPr>
          <w:rFonts w:ascii="Arial" w:hAnsi="Arial" w:cs="Arial"/>
          <w:color w:val="000000" w:themeColor="text1"/>
          <w:sz w:val="22"/>
          <w:lang w:val="es-ES_tradnl"/>
        </w:rPr>
        <w:t xml:space="preserve"> en el auto citado anteriormente</w:t>
      </w:r>
      <w:r w:rsidR="0066776B"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que:</w:t>
      </w:r>
    </w:p>
    <w:p w14:paraId="08ED8456" w14:textId="77777777" w:rsidR="00F34399" w:rsidRPr="00E6228D" w:rsidRDefault="00F34399" w:rsidP="00F34399">
      <w:pPr>
        <w:spacing w:line="276" w:lineRule="auto"/>
        <w:jc w:val="both"/>
        <w:rPr>
          <w:rFonts w:ascii="Arial" w:hAnsi="Arial" w:cs="Arial"/>
          <w:color w:val="000000" w:themeColor="text1"/>
          <w:sz w:val="22"/>
          <w:lang w:val="es-ES_tradnl"/>
        </w:rPr>
      </w:pPr>
    </w:p>
    <w:p w14:paraId="1B0EBA81" w14:textId="011EA7A0" w:rsidR="007C74FF" w:rsidRPr="00E6228D" w:rsidRDefault="00F34399" w:rsidP="00F34399">
      <w:pPr>
        <w:ind w:left="709" w:right="709"/>
        <w:jc w:val="both"/>
        <w:rPr>
          <w:rFonts w:ascii="Arial" w:hAnsi="Arial" w:cs="Arial"/>
          <w:color w:val="000000" w:themeColor="text1"/>
          <w:sz w:val="21"/>
          <w:szCs w:val="21"/>
          <w:lang w:val="es-ES_tradnl"/>
        </w:rPr>
      </w:pPr>
      <w:r w:rsidRPr="00E6228D">
        <w:rPr>
          <w:rFonts w:ascii="Arial" w:hAnsi="Arial" w:cs="Arial"/>
          <w:color w:val="000000" w:themeColor="text1"/>
          <w:sz w:val="21"/>
          <w:szCs w:val="21"/>
          <w:lang w:val="es-ES_tradnl"/>
        </w:rPr>
        <w:t>Así</w:t>
      </w:r>
      <w:r w:rsidR="007C74FF" w:rsidRPr="00E6228D">
        <w:rPr>
          <w:rFonts w:ascii="Arial" w:hAnsi="Arial" w:cs="Arial"/>
          <w:color w:val="000000" w:themeColor="text1"/>
          <w:sz w:val="21"/>
          <w:szCs w:val="21"/>
          <w:lang w:val="es-ES_tradnl"/>
        </w:rPr>
        <w:t xml:space="preserve">, pues, cuando el monto de la </w:t>
      </w:r>
      <w:r w:rsidRPr="00E6228D">
        <w:rPr>
          <w:rFonts w:ascii="Arial" w:hAnsi="Arial" w:cs="Arial"/>
          <w:color w:val="000000" w:themeColor="text1"/>
          <w:sz w:val="21"/>
          <w:szCs w:val="21"/>
          <w:lang w:val="es-ES_tradnl"/>
        </w:rPr>
        <w:t>contratación</w:t>
      </w:r>
      <w:r w:rsidR="007C74FF" w:rsidRPr="00E6228D">
        <w:rPr>
          <w:rFonts w:ascii="Arial" w:hAnsi="Arial" w:cs="Arial"/>
          <w:color w:val="000000" w:themeColor="text1"/>
          <w:sz w:val="21"/>
          <w:szCs w:val="21"/>
          <w:lang w:val="es-ES_tradnl"/>
        </w:rPr>
        <w:t xml:space="preserve"> sea equivalente a la </w:t>
      </w:r>
      <w:r w:rsidRPr="00E6228D">
        <w:rPr>
          <w:rFonts w:ascii="Arial" w:hAnsi="Arial" w:cs="Arial"/>
          <w:color w:val="000000" w:themeColor="text1"/>
          <w:sz w:val="21"/>
          <w:szCs w:val="21"/>
          <w:lang w:val="es-ES_tradnl"/>
        </w:rPr>
        <w:t>mínima</w:t>
      </w:r>
      <w:r w:rsidR="007C74FF" w:rsidRPr="00E6228D">
        <w:rPr>
          <w:rFonts w:ascii="Arial" w:hAnsi="Arial" w:cs="Arial"/>
          <w:color w:val="000000" w:themeColor="text1"/>
          <w:sz w:val="21"/>
          <w:szCs w:val="21"/>
          <w:lang w:val="es-ES_tradnl"/>
        </w:rPr>
        <w:t xml:space="preserve"> </w:t>
      </w:r>
      <w:r w:rsidRPr="00E6228D">
        <w:rPr>
          <w:rFonts w:ascii="Arial" w:hAnsi="Arial" w:cs="Arial"/>
          <w:color w:val="000000" w:themeColor="text1"/>
          <w:sz w:val="21"/>
          <w:szCs w:val="21"/>
          <w:lang w:val="es-ES_tradnl"/>
        </w:rPr>
        <w:t>cuantía</w:t>
      </w:r>
      <w:r w:rsidR="007C74FF" w:rsidRPr="00E6228D">
        <w:rPr>
          <w:rFonts w:ascii="Arial" w:hAnsi="Arial" w:cs="Arial"/>
          <w:color w:val="000000" w:themeColor="text1"/>
          <w:sz w:val="21"/>
          <w:szCs w:val="21"/>
          <w:lang w:val="es-ES_tradnl"/>
        </w:rPr>
        <w:t xml:space="preserve"> de la entidad estatal, pero, concomitante a ello, esta </w:t>
      </w:r>
      <w:r w:rsidRPr="00E6228D">
        <w:rPr>
          <w:rFonts w:ascii="Arial" w:hAnsi="Arial" w:cs="Arial"/>
          <w:color w:val="000000" w:themeColor="text1"/>
          <w:sz w:val="21"/>
          <w:szCs w:val="21"/>
          <w:lang w:val="es-ES_tradnl"/>
        </w:rPr>
        <w:t>última</w:t>
      </w:r>
      <w:r w:rsidR="007C74FF" w:rsidRPr="00E6228D">
        <w:rPr>
          <w:rFonts w:ascii="Arial" w:hAnsi="Arial" w:cs="Arial"/>
          <w:color w:val="000000" w:themeColor="text1"/>
          <w:sz w:val="21"/>
          <w:szCs w:val="21"/>
          <w:lang w:val="es-ES_tradnl"/>
        </w:rPr>
        <w:t xml:space="preserve"> (la entidad) advierta que </w:t>
      </w:r>
      <w:r w:rsidRPr="00E6228D">
        <w:rPr>
          <w:rFonts w:ascii="Arial" w:hAnsi="Arial" w:cs="Arial"/>
          <w:color w:val="000000" w:themeColor="text1"/>
          <w:sz w:val="21"/>
          <w:szCs w:val="21"/>
          <w:lang w:val="es-ES_tradnl"/>
        </w:rPr>
        <w:t>también</w:t>
      </w:r>
      <w:r w:rsidR="007C74FF" w:rsidRPr="00E6228D">
        <w:rPr>
          <w:rFonts w:ascii="Arial" w:hAnsi="Arial" w:cs="Arial"/>
          <w:color w:val="000000" w:themeColor="text1"/>
          <w:sz w:val="21"/>
          <w:szCs w:val="21"/>
          <w:lang w:val="es-ES_tradnl"/>
        </w:rPr>
        <w:t xml:space="preserve"> aplica alguna modalidad de </w:t>
      </w:r>
      <w:r w:rsidRPr="00E6228D">
        <w:rPr>
          <w:rFonts w:ascii="Arial" w:hAnsi="Arial" w:cs="Arial"/>
          <w:color w:val="000000" w:themeColor="text1"/>
          <w:sz w:val="21"/>
          <w:szCs w:val="21"/>
          <w:lang w:val="es-ES_tradnl"/>
        </w:rPr>
        <w:t>selección</w:t>
      </w:r>
      <w:r w:rsidR="007C74FF" w:rsidRPr="00E6228D">
        <w:rPr>
          <w:rFonts w:ascii="Arial" w:hAnsi="Arial" w:cs="Arial"/>
          <w:color w:val="000000" w:themeColor="text1"/>
          <w:sz w:val="21"/>
          <w:szCs w:val="21"/>
          <w:lang w:val="es-ES_tradnl"/>
        </w:rPr>
        <w:t xml:space="preserve"> </w:t>
      </w:r>
      <w:r w:rsidRPr="00E6228D">
        <w:rPr>
          <w:rFonts w:ascii="Arial" w:hAnsi="Arial" w:cs="Arial"/>
          <w:color w:val="000000" w:themeColor="text1"/>
          <w:sz w:val="21"/>
          <w:szCs w:val="21"/>
          <w:lang w:val="es-ES_tradnl"/>
        </w:rPr>
        <w:t>específica</w:t>
      </w:r>
      <w:r w:rsidR="007C74FF" w:rsidRPr="00E6228D">
        <w:rPr>
          <w:rFonts w:ascii="Arial" w:hAnsi="Arial" w:cs="Arial"/>
          <w:color w:val="000000" w:themeColor="text1"/>
          <w:sz w:val="21"/>
          <w:szCs w:val="21"/>
          <w:lang w:val="es-ES_tradnl"/>
        </w:rPr>
        <w:t xml:space="preserve"> (dadas las condiciones especiales del objeto), ella debe acudir al procedimiento establecido para la </w:t>
      </w:r>
      <w:r w:rsidRPr="00E6228D">
        <w:rPr>
          <w:rFonts w:ascii="Arial" w:hAnsi="Arial" w:cs="Arial"/>
          <w:color w:val="000000" w:themeColor="text1"/>
          <w:sz w:val="21"/>
          <w:szCs w:val="21"/>
          <w:lang w:val="es-ES_tradnl"/>
        </w:rPr>
        <w:t>mínima</w:t>
      </w:r>
      <w:r w:rsidR="007C74FF" w:rsidRPr="00E6228D">
        <w:rPr>
          <w:rFonts w:ascii="Arial" w:hAnsi="Arial" w:cs="Arial"/>
          <w:color w:val="000000" w:themeColor="text1"/>
          <w:sz w:val="21"/>
          <w:szCs w:val="21"/>
          <w:lang w:val="es-ES_tradnl"/>
        </w:rPr>
        <w:t xml:space="preserve"> </w:t>
      </w:r>
      <w:r w:rsidRPr="00E6228D">
        <w:rPr>
          <w:rFonts w:ascii="Arial" w:hAnsi="Arial" w:cs="Arial"/>
          <w:color w:val="000000" w:themeColor="text1"/>
          <w:sz w:val="21"/>
          <w:szCs w:val="21"/>
          <w:lang w:val="es-ES_tradnl"/>
        </w:rPr>
        <w:t>cuantía</w:t>
      </w:r>
      <w:r w:rsidR="007C74FF" w:rsidRPr="00E6228D">
        <w:rPr>
          <w:rFonts w:ascii="Arial" w:hAnsi="Arial" w:cs="Arial"/>
          <w:color w:val="000000" w:themeColor="text1"/>
          <w:sz w:val="21"/>
          <w:szCs w:val="21"/>
          <w:lang w:val="es-ES_tradnl"/>
        </w:rPr>
        <w:t xml:space="preserve">; </w:t>
      </w:r>
      <w:r w:rsidRPr="00E6228D">
        <w:rPr>
          <w:rFonts w:ascii="Arial" w:hAnsi="Arial" w:cs="Arial"/>
          <w:color w:val="000000" w:themeColor="text1"/>
          <w:sz w:val="21"/>
          <w:szCs w:val="21"/>
          <w:lang w:val="es-ES_tradnl"/>
        </w:rPr>
        <w:t>así</w:t>
      </w:r>
      <w:r w:rsidR="007C74FF" w:rsidRPr="00E6228D">
        <w:rPr>
          <w:rFonts w:ascii="Arial" w:hAnsi="Arial" w:cs="Arial"/>
          <w:color w:val="000000" w:themeColor="text1"/>
          <w:sz w:val="21"/>
          <w:szCs w:val="21"/>
          <w:lang w:val="es-ES_tradnl"/>
        </w:rPr>
        <w:t xml:space="preserve">, por ejemplo, si la </w:t>
      </w:r>
      <w:r w:rsidR="00AB3EF0" w:rsidRPr="00E6228D">
        <w:rPr>
          <w:rFonts w:ascii="Arial" w:hAnsi="Arial" w:cs="Arial"/>
          <w:color w:val="000000" w:themeColor="text1"/>
          <w:sz w:val="21"/>
          <w:szCs w:val="21"/>
          <w:lang w:val="es-ES_tradnl"/>
        </w:rPr>
        <w:t>administración</w:t>
      </w:r>
      <w:r w:rsidR="007C74FF" w:rsidRPr="00E6228D">
        <w:rPr>
          <w:rFonts w:ascii="Arial" w:hAnsi="Arial" w:cs="Arial"/>
          <w:color w:val="000000" w:themeColor="text1"/>
          <w:sz w:val="21"/>
          <w:szCs w:val="21"/>
          <w:lang w:val="es-ES_tradnl"/>
        </w:rPr>
        <w:t xml:space="preserve"> necesita contratar la </w:t>
      </w:r>
      <w:r w:rsidR="00AB3EF0" w:rsidRPr="00E6228D">
        <w:rPr>
          <w:rFonts w:ascii="Arial" w:hAnsi="Arial" w:cs="Arial"/>
          <w:color w:val="000000" w:themeColor="text1"/>
          <w:sz w:val="21"/>
          <w:szCs w:val="21"/>
          <w:lang w:val="es-ES_tradnl"/>
        </w:rPr>
        <w:t>prestación</w:t>
      </w:r>
      <w:r w:rsidR="007C74FF" w:rsidRPr="00E6228D">
        <w:rPr>
          <w:rFonts w:ascii="Arial" w:hAnsi="Arial" w:cs="Arial"/>
          <w:color w:val="000000" w:themeColor="text1"/>
          <w:sz w:val="21"/>
          <w:szCs w:val="21"/>
          <w:lang w:val="es-ES_tradnl"/>
        </w:rPr>
        <w:t xml:space="preserve"> de servicios de salud (supuesto que se enmarca en el </w:t>
      </w:r>
      <w:r w:rsidR="00AB3EF0" w:rsidRPr="00E6228D">
        <w:rPr>
          <w:rFonts w:ascii="Arial" w:hAnsi="Arial" w:cs="Arial"/>
          <w:color w:val="000000" w:themeColor="text1"/>
          <w:sz w:val="21"/>
          <w:szCs w:val="21"/>
          <w:lang w:val="es-ES_tradnl"/>
        </w:rPr>
        <w:t>trámite</w:t>
      </w:r>
      <w:r w:rsidR="007C74FF" w:rsidRPr="00E6228D">
        <w:rPr>
          <w:rFonts w:ascii="Arial" w:hAnsi="Arial" w:cs="Arial"/>
          <w:color w:val="000000" w:themeColor="text1"/>
          <w:sz w:val="21"/>
          <w:szCs w:val="21"/>
          <w:lang w:val="es-ES_tradnl"/>
        </w:rPr>
        <w:t xml:space="preserve"> de </w:t>
      </w:r>
      <w:r w:rsidR="00AB3EF0" w:rsidRPr="00E6228D">
        <w:rPr>
          <w:rFonts w:ascii="Arial" w:hAnsi="Arial" w:cs="Arial"/>
          <w:color w:val="000000" w:themeColor="text1"/>
          <w:sz w:val="21"/>
          <w:szCs w:val="21"/>
          <w:lang w:val="es-ES_tradnl"/>
        </w:rPr>
        <w:t>selección</w:t>
      </w:r>
      <w:r w:rsidR="007C74FF" w:rsidRPr="00E6228D">
        <w:rPr>
          <w:rFonts w:ascii="Arial" w:hAnsi="Arial" w:cs="Arial"/>
          <w:color w:val="000000" w:themeColor="text1"/>
          <w:sz w:val="21"/>
          <w:szCs w:val="21"/>
          <w:lang w:val="es-ES_tradnl"/>
        </w:rPr>
        <w:t xml:space="preserve"> abreviada), pero el valor del contrato no excede del 10% de la menor </w:t>
      </w:r>
      <w:r w:rsidR="00AB3EF0" w:rsidRPr="00E6228D">
        <w:rPr>
          <w:rFonts w:ascii="Arial" w:hAnsi="Arial" w:cs="Arial"/>
          <w:color w:val="000000" w:themeColor="text1"/>
          <w:sz w:val="21"/>
          <w:szCs w:val="21"/>
          <w:lang w:val="es-ES_tradnl"/>
        </w:rPr>
        <w:t>cuantía</w:t>
      </w:r>
      <w:r w:rsidR="007C74FF" w:rsidRPr="00E6228D">
        <w:rPr>
          <w:rFonts w:ascii="Arial" w:hAnsi="Arial" w:cs="Arial"/>
          <w:color w:val="000000" w:themeColor="text1"/>
          <w:sz w:val="21"/>
          <w:szCs w:val="21"/>
          <w:lang w:val="es-ES_tradnl"/>
        </w:rPr>
        <w:t xml:space="preserve"> de la entidad, este </w:t>
      </w:r>
      <w:r w:rsidR="00AB3EF0" w:rsidRPr="00E6228D">
        <w:rPr>
          <w:rFonts w:ascii="Arial" w:hAnsi="Arial" w:cs="Arial"/>
          <w:color w:val="000000" w:themeColor="text1"/>
          <w:sz w:val="21"/>
          <w:szCs w:val="21"/>
          <w:lang w:val="es-ES_tradnl"/>
        </w:rPr>
        <w:t>último</w:t>
      </w:r>
      <w:r w:rsidR="007C74FF" w:rsidRPr="00E6228D">
        <w:rPr>
          <w:rFonts w:ascii="Arial" w:hAnsi="Arial" w:cs="Arial"/>
          <w:color w:val="000000" w:themeColor="text1"/>
          <w:sz w:val="21"/>
          <w:szCs w:val="21"/>
          <w:lang w:val="es-ES_tradnl"/>
        </w:rPr>
        <w:t xml:space="preserve"> </w:t>
      </w:r>
      <w:r w:rsidR="00AB3EF0" w:rsidRPr="00E6228D">
        <w:rPr>
          <w:rFonts w:ascii="Arial" w:hAnsi="Arial" w:cs="Arial"/>
          <w:color w:val="000000" w:themeColor="text1"/>
          <w:sz w:val="21"/>
          <w:szCs w:val="21"/>
          <w:lang w:val="es-ES_tradnl"/>
        </w:rPr>
        <w:t>será</w:t>
      </w:r>
      <w:r w:rsidR="007C74FF" w:rsidRPr="00E6228D">
        <w:rPr>
          <w:rFonts w:ascii="Arial" w:hAnsi="Arial" w:cs="Arial"/>
          <w:color w:val="000000" w:themeColor="text1"/>
          <w:sz w:val="21"/>
          <w:szCs w:val="21"/>
          <w:lang w:val="es-ES_tradnl"/>
        </w:rPr>
        <w:t xml:space="preserve"> el criterio que se debe tener en cuenta para la escogencia del contratista; por tanto, el procedimiento que debe seguirse </w:t>
      </w:r>
      <w:r w:rsidR="00AB3EF0" w:rsidRPr="00E6228D">
        <w:rPr>
          <w:rFonts w:ascii="Arial" w:hAnsi="Arial" w:cs="Arial"/>
          <w:color w:val="000000" w:themeColor="text1"/>
          <w:sz w:val="21"/>
          <w:szCs w:val="21"/>
          <w:lang w:val="es-ES_tradnl"/>
        </w:rPr>
        <w:t>será</w:t>
      </w:r>
      <w:r w:rsidR="007C74FF" w:rsidRPr="00E6228D">
        <w:rPr>
          <w:rFonts w:ascii="Arial" w:hAnsi="Arial" w:cs="Arial"/>
          <w:color w:val="000000" w:themeColor="text1"/>
          <w:sz w:val="21"/>
          <w:szCs w:val="21"/>
          <w:lang w:val="es-ES_tradnl"/>
        </w:rPr>
        <w:t xml:space="preserve"> el de </w:t>
      </w:r>
      <w:r w:rsidR="00AB3EF0" w:rsidRPr="00E6228D">
        <w:rPr>
          <w:rFonts w:ascii="Arial" w:hAnsi="Arial" w:cs="Arial"/>
          <w:color w:val="000000" w:themeColor="text1"/>
          <w:sz w:val="21"/>
          <w:szCs w:val="21"/>
          <w:lang w:val="es-ES_tradnl"/>
        </w:rPr>
        <w:t>mínima</w:t>
      </w:r>
      <w:r w:rsidR="007C74FF" w:rsidRPr="00E6228D">
        <w:rPr>
          <w:rFonts w:ascii="Arial" w:hAnsi="Arial" w:cs="Arial"/>
          <w:color w:val="000000" w:themeColor="text1"/>
          <w:sz w:val="21"/>
          <w:szCs w:val="21"/>
          <w:lang w:val="es-ES_tradnl"/>
        </w:rPr>
        <w:t xml:space="preserve"> </w:t>
      </w:r>
      <w:r w:rsidR="00AB3EF0" w:rsidRPr="00E6228D">
        <w:rPr>
          <w:rFonts w:ascii="Arial" w:hAnsi="Arial" w:cs="Arial"/>
          <w:color w:val="000000" w:themeColor="text1"/>
          <w:sz w:val="21"/>
          <w:szCs w:val="21"/>
          <w:lang w:val="es-ES_tradnl"/>
        </w:rPr>
        <w:t>cuantía</w:t>
      </w:r>
      <w:r w:rsidR="007C74FF" w:rsidRPr="00E6228D">
        <w:rPr>
          <w:rFonts w:ascii="Arial" w:hAnsi="Arial" w:cs="Arial"/>
          <w:color w:val="000000" w:themeColor="text1"/>
          <w:sz w:val="21"/>
          <w:szCs w:val="21"/>
          <w:lang w:val="es-ES_tradnl"/>
        </w:rPr>
        <w:t xml:space="preserve">, independientemente - se insiste- del objeto a contratar. </w:t>
      </w:r>
    </w:p>
    <w:p w14:paraId="16BA1CC3" w14:textId="77777777" w:rsidR="00F34399" w:rsidRPr="00E6228D" w:rsidRDefault="00F34399" w:rsidP="00F34399">
      <w:pPr>
        <w:spacing w:line="276" w:lineRule="auto"/>
        <w:jc w:val="both"/>
        <w:rPr>
          <w:rFonts w:ascii="Arial" w:hAnsi="Arial" w:cs="Arial"/>
          <w:color w:val="000000" w:themeColor="text1"/>
          <w:sz w:val="22"/>
          <w:lang w:val="es-ES_tradnl"/>
        </w:rPr>
      </w:pPr>
    </w:p>
    <w:p w14:paraId="1F15A907" w14:textId="79E8D989" w:rsidR="007C74FF" w:rsidRPr="00E6228D" w:rsidRDefault="007C74FF" w:rsidP="00F27FB1">
      <w:pPr>
        <w:spacing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En ese sentido, cuando el bien o servicio de </w:t>
      </w:r>
      <w:r w:rsidR="00AB3EF0" w:rsidRPr="00E6228D">
        <w:rPr>
          <w:rFonts w:ascii="Arial" w:hAnsi="Arial" w:cs="Arial"/>
          <w:color w:val="000000" w:themeColor="text1"/>
          <w:sz w:val="22"/>
          <w:lang w:val="es-ES_tradnl"/>
        </w:rPr>
        <w:t>características</w:t>
      </w:r>
      <w:r w:rsidRPr="00E6228D">
        <w:rPr>
          <w:rFonts w:ascii="Arial" w:hAnsi="Arial" w:cs="Arial"/>
          <w:color w:val="000000" w:themeColor="text1"/>
          <w:sz w:val="22"/>
          <w:lang w:val="es-ES_tradnl"/>
        </w:rPr>
        <w:t xml:space="preserve"> </w:t>
      </w:r>
      <w:r w:rsidR="00AB3EF0" w:rsidRPr="00E6228D">
        <w:rPr>
          <w:rFonts w:ascii="Arial" w:hAnsi="Arial" w:cs="Arial"/>
          <w:color w:val="000000" w:themeColor="text1"/>
          <w:sz w:val="22"/>
          <w:lang w:val="es-ES_tradnl"/>
        </w:rPr>
        <w:t>técnicas</w:t>
      </w:r>
      <w:r w:rsidRPr="00E6228D">
        <w:rPr>
          <w:rFonts w:ascii="Arial" w:hAnsi="Arial" w:cs="Arial"/>
          <w:color w:val="000000" w:themeColor="text1"/>
          <w:sz w:val="22"/>
          <w:lang w:val="es-ES_tradnl"/>
        </w:rPr>
        <w:t xml:space="preserve"> uniforme</w:t>
      </w:r>
      <w:r w:rsidR="00442798" w:rsidRPr="00E6228D">
        <w:rPr>
          <w:rFonts w:ascii="Arial" w:hAnsi="Arial" w:cs="Arial"/>
          <w:color w:val="000000" w:themeColor="text1"/>
          <w:sz w:val="22"/>
          <w:lang w:val="es-ES_tradnl"/>
        </w:rPr>
        <w:t>s</w:t>
      </w:r>
      <w:r w:rsidRPr="00E6228D">
        <w:rPr>
          <w:rFonts w:ascii="Arial" w:hAnsi="Arial" w:cs="Arial"/>
          <w:color w:val="000000" w:themeColor="text1"/>
          <w:sz w:val="22"/>
          <w:lang w:val="es-ES_tradnl"/>
        </w:rPr>
        <w:t xml:space="preserve"> y de </w:t>
      </w:r>
      <w:r w:rsidR="00AB3EF0" w:rsidRPr="00E6228D">
        <w:rPr>
          <w:rFonts w:ascii="Arial" w:hAnsi="Arial" w:cs="Arial"/>
          <w:color w:val="000000" w:themeColor="text1"/>
          <w:sz w:val="22"/>
          <w:lang w:val="es-ES_tradnl"/>
        </w:rPr>
        <w:t>común</w:t>
      </w:r>
      <w:r w:rsidRPr="00E6228D">
        <w:rPr>
          <w:rFonts w:ascii="Arial" w:hAnsi="Arial" w:cs="Arial"/>
          <w:color w:val="000000" w:themeColor="text1"/>
          <w:sz w:val="22"/>
          <w:lang w:val="es-ES_tradnl"/>
        </w:rPr>
        <w:t xml:space="preserve"> </w:t>
      </w:r>
      <w:r w:rsidR="00AB3EF0" w:rsidRPr="00E6228D">
        <w:rPr>
          <w:rFonts w:ascii="Arial" w:hAnsi="Arial" w:cs="Arial"/>
          <w:color w:val="000000" w:themeColor="text1"/>
          <w:sz w:val="22"/>
          <w:lang w:val="es-ES_tradnl"/>
        </w:rPr>
        <w:t>utilización</w:t>
      </w:r>
      <w:r w:rsidRPr="00E6228D">
        <w:rPr>
          <w:rFonts w:ascii="Arial" w:hAnsi="Arial" w:cs="Arial"/>
          <w:color w:val="000000" w:themeColor="text1"/>
          <w:sz w:val="22"/>
          <w:lang w:val="es-ES_tradnl"/>
        </w:rPr>
        <w:t xml:space="preserve"> no esté disponible en un </w:t>
      </w:r>
      <w:r w:rsidR="00442798" w:rsidRPr="00E6228D">
        <w:rPr>
          <w:rFonts w:ascii="Arial" w:hAnsi="Arial" w:cs="Arial"/>
          <w:color w:val="000000" w:themeColor="text1"/>
          <w:sz w:val="22"/>
          <w:lang w:val="es-ES_tradnl"/>
        </w:rPr>
        <w:t>a</w:t>
      </w:r>
      <w:r w:rsidRPr="00E6228D">
        <w:rPr>
          <w:rFonts w:ascii="Arial" w:hAnsi="Arial" w:cs="Arial"/>
          <w:color w:val="000000" w:themeColor="text1"/>
          <w:sz w:val="22"/>
          <w:lang w:val="es-ES_tradnl"/>
        </w:rPr>
        <w:t xml:space="preserve">cuerdo </w:t>
      </w:r>
      <w:r w:rsidR="00442798" w:rsidRPr="00E6228D">
        <w:rPr>
          <w:rFonts w:ascii="Arial" w:hAnsi="Arial" w:cs="Arial"/>
          <w:color w:val="000000" w:themeColor="text1"/>
          <w:sz w:val="22"/>
          <w:lang w:val="es-ES_tradnl"/>
        </w:rPr>
        <w:t>m</w:t>
      </w:r>
      <w:r w:rsidRPr="00E6228D">
        <w:rPr>
          <w:rFonts w:ascii="Arial" w:hAnsi="Arial" w:cs="Arial"/>
          <w:color w:val="000000" w:themeColor="text1"/>
          <w:sz w:val="22"/>
          <w:lang w:val="es-ES_tradnl"/>
        </w:rPr>
        <w:t xml:space="preserve">arco de </w:t>
      </w:r>
      <w:r w:rsidR="00442798" w:rsidRPr="00E6228D">
        <w:rPr>
          <w:rFonts w:ascii="Arial" w:hAnsi="Arial" w:cs="Arial"/>
          <w:color w:val="000000" w:themeColor="text1"/>
          <w:sz w:val="22"/>
          <w:lang w:val="es-ES_tradnl"/>
        </w:rPr>
        <w:t>p</w:t>
      </w:r>
      <w:r w:rsidRPr="00E6228D">
        <w:rPr>
          <w:rFonts w:ascii="Arial" w:hAnsi="Arial" w:cs="Arial"/>
          <w:color w:val="000000" w:themeColor="text1"/>
          <w:sz w:val="22"/>
          <w:lang w:val="es-ES_tradnl"/>
        </w:rPr>
        <w:t xml:space="preserve">recios, y la </w:t>
      </w:r>
      <w:r w:rsidR="00AB3EF0"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sea menor al diez por ciento (10%) del presupuesto, prevalece la modalidad de </w:t>
      </w:r>
      <w:r w:rsidR="00AB3EF0" w:rsidRPr="00E6228D">
        <w:rPr>
          <w:rFonts w:ascii="Arial" w:hAnsi="Arial" w:cs="Arial"/>
          <w:color w:val="000000" w:themeColor="text1"/>
          <w:sz w:val="22"/>
          <w:lang w:val="es-ES_tradnl"/>
        </w:rPr>
        <w:t>mínima</w:t>
      </w:r>
      <w:r w:rsidRPr="00E6228D">
        <w:rPr>
          <w:rFonts w:ascii="Arial" w:hAnsi="Arial" w:cs="Arial"/>
          <w:color w:val="000000" w:themeColor="text1"/>
          <w:sz w:val="22"/>
          <w:lang w:val="es-ES_tradnl"/>
        </w:rPr>
        <w:t xml:space="preserve"> </w:t>
      </w:r>
      <w:r w:rsidR="00AB3EF0" w:rsidRPr="00E6228D">
        <w:rPr>
          <w:rFonts w:ascii="Arial" w:hAnsi="Arial" w:cs="Arial"/>
          <w:color w:val="000000" w:themeColor="text1"/>
          <w:sz w:val="22"/>
          <w:lang w:val="es-ES_tradnl"/>
        </w:rPr>
        <w:t>cuantía</w:t>
      </w:r>
      <w:r w:rsidRPr="00E6228D">
        <w:rPr>
          <w:rFonts w:ascii="Arial" w:hAnsi="Arial" w:cs="Arial"/>
          <w:color w:val="000000" w:themeColor="text1"/>
          <w:sz w:val="22"/>
          <w:lang w:val="es-ES_tradnl"/>
        </w:rPr>
        <w:t xml:space="preserve">, sobre los </w:t>
      </w:r>
      <w:r w:rsidR="00AB3EF0" w:rsidRPr="00E6228D">
        <w:rPr>
          <w:rFonts w:ascii="Arial" w:hAnsi="Arial" w:cs="Arial"/>
          <w:color w:val="000000" w:themeColor="text1"/>
          <w:sz w:val="22"/>
          <w:lang w:val="es-ES_tradnl"/>
        </w:rPr>
        <w:t>demás</w:t>
      </w:r>
      <w:r w:rsidRPr="00E6228D">
        <w:rPr>
          <w:rFonts w:ascii="Arial" w:hAnsi="Arial" w:cs="Arial"/>
          <w:color w:val="000000" w:themeColor="text1"/>
          <w:sz w:val="22"/>
          <w:lang w:val="es-ES_tradnl"/>
        </w:rPr>
        <w:t xml:space="preserve"> procedimientos de </w:t>
      </w:r>
      <w:r w:rsidR="00AB3EF0" w:rsidRPr="00E6228D">
        <w:rPr>
          <w:rFonts w:ascii="Arial" w:hAnsi="Arial" w:cs="Arial"/>
          <w:color w:val="000000" w:themeColor="text1"/>
          <w:sz w:val="22"/>
          <w:lang w:val="es-ES_tradnl"/>
        </w:rPr>
        <w:t>selección</w:t>
      </w:r>
      <w:r w:rsidRPr="00E6228D">
        <w:rPr>
          <w:rFonts w:ascii="Arial" w:hAnsi="Arial" w:cs="Arial"/>
          <w:color w:val="000000" w:themeColor="text1"/>
          <w:sz w:val="22"/>
          <w:lang w:val="es-ES_tradnl"/>
        </w:rPr>
        <w:t xml:space="preserve"> abreviada</w:t>
      </w:r>
      <w:r w:rsidR="00EC34BA" w:rsidRPr="00E6228D">
        <w:rPr>
          <w:rFonts w:ascii="Arial" w:hAnsi="Arial" w:cs="Arial"/>
          <w:color w:val="000000" w:themeColor="text1"/>
          <w:sz w:val="22"/>
          <w:lang w:val="es-ES_tradnl"/>
        </w:rPr>
        <w:t>,</w:t>
      </w:r>
      <w:r w:rsidRPr="00E6228D">
        <w:rPr>
          <w:rFonts w:ascii="Arial" w:hAnsi="Arial" w:cs="Arial"/>
          <w:color w:val="000000" w:themeColor="text1"/>
          <w:sz w:val="22"/>
          <w:lang w:val="es-ES_tradnl"/>
        </w:rPr>
        <w:t xml:space="preserve"> como lo son</w:t>
      </w:r>
      <w:r w:rsidR="00442798"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 xml:space="preserve">la subasta inversa o </w:t>
      </w:r>
      <w:r w:rsidRPr="00E6228D">
        <w:rPr>
          <w:rFonts w:ascii="Arial" w:hAnsi="Arial" w:cs="Arial"/>
          <w:color w:val="000000" w:themeColor="text1"/>
          <w:sz w:val="22"/>
          <w:lang w:val="es-ES_tradnl"/>
        </w:rPr>
        <w:lastRenderedPageBreak/>
        <w:t>la bolsa de productos</w:t>
      </w:r>
      <w:r w:rsidR="006549D4" w:rsidRPr="00E6228D">
        <w:rPr>
          <w:rFonts w:ascii="Arial" w:hAnsi="Arial" w:cs="Arial"/>
          <w:color w:val="000000" w:themeColor="text1"/>
          <w:sz w:val="22"/>
          <w:lang w:val="es-ES_tradnl"/>
        </w:rPr>
        <w:t>,</w:t>
      </w:r>
      <w:r w:rsidRPr="00E6228D">
        <w:rPr>
          <w:rFonts w:ascii="Arial" w:hAnsi="Arial" w:cs="Arial"/>
          <w:color w:val="000000" w:themeColor="text1"/>
          <w:sz w:val="22"/>
          <w:lang w:val="es-ES_tradnl"/>
        </w:rPr>
        <w:t xml:space="preserve"> por tratarse de un procedimiento especial frente al objeto contractual y permitir mayor </w:t>
      </w:r>
      <w:r w:rsidR="00AB3EF0" w:rsidRPr="00E6228D">
        <w:rPr>
          <w:rFonts w:ascii="Arial" w:hAnsi="Arial" w:cs="Arial"/>
          <w:color w:val="000000" w:themeColor="text1"/>
          <w:sz w:val="22"/>
          <w:lang w:val="es-ES_tradnl"/>
        </w:rPr>
        <w:t>economía</w:t>
      </w:r>
      <w:r w:rsidRPr="00E6228D">
        <w:rPr>
          <w:rFonts w:ascii="Arial" w:hAnsi="Arial" w:cs="Arial"/>
          <w:color w:val="000000" w:themeColor="text1"/>
          <w:sz w:val="22"/>
          <w:lang w:val="es-ES_tradnl"/>
        </w:rPr>
        <w:t xml:space="preserve"> en el </w:t>
      </w:r>
      <w:r w:rsidR="00AB3EF0" w:rsidRPr="00E6228D">
        <w:rPr>
          <w:rFonts w:ascii="Arial" w:hAnsi="Arial" w:cs="Arial"/>
          <w:color w:val="000000" w:themeColor="text1"/>
          <w:sz w:val="22"/>
          <w:lang w:val="es-ES_tradnl"/>
        </w:rPr>
        <w:t>trámite</w:t>
      </w:r>
      <w:r w:rsidRPr="00E6228D">
        <w:rPr>
          <w:rFonts w:ascii="Arial" w:hAnsi="Arial" w:cs="Arial"/>
          <w:color w:val="000000" w:themeColor="text1"/>
          <w:sz w:val="22"/>
          <w:lang w:val="es-ES_tradnl"/>
        </w:rPr>
        <w:t xml:space="preserve"> del proceso de </w:t>
      </w:r>
      <w:r w:rsidR="00AB3EF0" w:rsidRPr="00E6228D">
        <w:rPr>
          <w:rFonts w:ascii="Arial" w:hAnsi="Arial" w:cs="Arial"/>
          <w:color w:val="000000" w:themeColor="text1"/>
          <w:sz w:val="22"/>
          <w:lang w:val="es-ES_tradnl"/>
        </w:rPr>
        <w:t>contratación</w:t>
      </w:r>
      <w:r w:rsidRPr="00E6228D">
        <w:rPr>
          <w:rFonts w:ascii="Arial" w:hAnsi="Arial" w:cs="Arial"/>
          <w:color w:val="000000" w:themeColor="text1"/>
          <w:sz w:val="22"/>
          <w:lang w:val="es-ES_tradnl"/>
        </w:rPr>
        <w:t xml:space="preserve">. </w:t>
      </w:r>
    </w:p>
    <w:p w14:paraId="0DF8F6B9" w14:textId="231DC84A" w:rsidR="00F3318F" w:rsidRPr="00E6228D" w:rsidRDefault="00F3318F" w:rsidP="00F3318F">
      <w:pPr>
        <w:spacing w:line="276" w:lineRule="auto"/>
        <w:jc w:val="both"/>
        <w:rPr>
          <w:rFonts w:ascii="Arial" w:hAnsi="Arial" w:cs="Arial"/>
          <w:color w:val="000000" w:themeColor="text1"/>
          <w:sz w:val="22"/>
          <w:lang w:val="es-ES_tradnl"/>
        </w:rPr>
      </w:pPr>
    </w:p>
    <w:p w14:paraId="48997162" w14:textId="4A7D1709" w:rsidR="00F3318F" w:rsidRPr="00E6228D" w:rsidRDefault="00F3318F" w:rsidP="00F3318F">
      <w:pPr>
        <w:spacing w:line="276" w:lineRule="auto"/>
        <w:jc w:val="both"/>
        <w:rPr>
          <w:rFonts w:ascii="Arial" w:hAnsi="Arial" w:cs="Arial"/>
          <w:b/>
          <w:bCs/>
          <w:color w:val="000000" w:themeColor="text1"/>
          <w:sz w:val="22"/>
          <w:lang w:val="es-ES_tradnl"/>
        </w:rPr>
      </w:pPr>
      <w:r w:rsidRPr="00E6228D">
        <w:rPr>
          <w:rFonts w:ascii="Arial" w:hAnsi="Arial" w:cs="Arial"/>
          <w:b/>
          <w:bCs/>
          <w:color w:val="000000" w:themeColor="text1"/>
          <w:sz w:val="22"/>
          <w:lang w:val="es-ES_tradnl"/>
        </w:rPr>
        <w:t xml:space="preserve">2.2. La experiencia </w:t>
      </w:r>
      <w:r w:rsidR="00206278" w:rsidRPr="00E6228D">
        <w:rPr>
          <w:rFonts w:ascii="Arial" w:hAnsi="Arial" w:cs="Arial"/>
          <w:b/>
          <w:bCs/>
          <w:color w:val="000000" w:themeColor="text1"/>
          <w:sz w:val="22"/>
          <w:lang w:val="es-ES_tradnl"/>
        </w:rPr>
        <w:t>como</w:t>
      </w:r>
      <w:r w:rsidRPr="00E6228D">
        <w:rPr>
          <w:rFonts w:ascii="Arial" w:hAnsi="Arial" w:cs="Arial"/>
          <w:b/>
          <w:bCs/>
          <w:color w:val="000000" w:themeColor="text1"/>
          <w:sz w:val="22"/>
          <w:lang w:val="es-ES_tradnl"/>
        </w:rPr>
        <w:t xml:space="preserve"> requisito habilitante</w:t>
      </w:r>
      <w:r w:rsidR="00206278" w:rsidRPr="00E6228D">
        <w:rPr>
          <w:rFonts w:ascii="Arial" w:hAnsi="Arial" w:cs="Arial"/>
          <w:b/>
          <w:bCs/>
          <w:color w:val="000000" w:themeColor="text1"/>
          <w:sz w:val="22"/>
          <w:lang w:val="es-ES_tradnl"/>
        </w:rPr>
        <w:t xml:space="preserve"> subsanable</w:t>
      </w:r>
      <w:r w:rsidRPr="00E6228D">
        <w:rPr>
          <w:rFonts w:ascii="Arial" w:hAnsi="Arial" w:cs="Arial"/>
          <w:b/>
          <w:bCs/>
          <w:color w:val="000000" w:themeColor="text1"/>
          <w:sz w:val="22"/>
          <w:lang w:val="es-ES_tradnl"/>
        </w:rPr>
        <w:t xml:space="preserve"> en la mínima cuantía</w:t>
      </w:r>
    </w:p>
    <w:p w14:paraId="3692DCA5" w14:textId="78F31179" w:rsidR="00544348" w:rsidRPr="00E6228D" w:rsidRDefault="00544348" w:rsidP="00544348">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6191D002" w14:textId="68155D16" w:rsidR="00A572E2" w:rsidRPr="00E6228D" w:rsidRDefault="00E551B1" w:rsidP="006318C6">
      <w:pPr>
        <w:spacing w:line="276" w:lineRule="auto"/>
        <w:jc w:val="both"/>
        <w:rPr>
          <w:rFonts w:ascii="Arial" w:hAnsi="Arial" w:cs="Arial"/>
          <w:color w:val="000000" w:themeColor="text1"/>
          <w:sz w:val="22"/>
          <w:lang w:val="es-ES_tradnl"/>
        </w:rPr>
      </w:pPr>
      <w:r w:rsidRPr="00E6228D">
        <w:rPr>
          <w:rFonts w:ascii="Arial" w:hAnsi="Arial" w:cs="Arial"/>
          <w:color w:val="000000" w:themeColor="text1"/>
          <w:sz w:val="22"/>
          <w:lang w:val="es-ES_tradnl"/>
        </w:rPr>
        <w:t>En la modalidad de selección de mínima c</w:t>
      </w:r>
      <w:r w:rsidR="008F101D" w:rsidRPr="00E6228D">
        <w:rPr>
          <w:rFonts w:ascii="Arial" w:hAnsi="Arial" w:cs="Arial"/>
          <w:color w:val="000000" w:themeColor="text1"/>
          <w:sz w:val="22"/>
          <w:lang w:val="es-ES_tradnl"/>
        </w:rPr>
        <w:t>uantía la experiencia se puede establecer como requisito habilitante</w:t>
      </w:r>
      <w:r w:rsidR="005A7615" w:rsidRPr="00E6228D">
        <w:rPr>
          <w:rFonts w:ascii="Arial" w:hAnsi="Arial" w:cs="Arial"/>
          <w:color w:val="000000" w:themeColor="text1"/>
          <w:sz w:val="22"/>
          <w:lang w:val="es-ES_tradnl"/>
        </w:rPr>
        <w:t xml:space="preserve">, </w:t>
      </w:r>
      <w:r w:rsidR="00A13F2F" w:rsidRPr="00E6228D">
        <w:rPr>
          <w:rFonts w:ascii="Arial" w:hAnsi="Arial" w:cs="Arial"/>
          <w:color w:val="000000" w:themeColor="text1"/>
          <w:sz w:val="22"/>
          <w:lang w:val="es-ES_tradnl"/>
        </w:rPr>
        <w:t>de conformidad con</w:t>
      </w:r>
      <w:r w:rsidR="005A7615" w:rsidRPr="00E6228D">
        <w:rPr>
          <w:rFonts w:ascii="Arial" w:hAnsi="Arial" w:cs="Arial"/>
          <w:color w:val="000000" w:themeColor="text1"/>
          <w:sz w:val="22"/>
          <w:lang w:val="es-ES_tradnl"/>
        </w:rPr>
        <w:t xml:space="preserve"> el numeral </w:t>
      </w:r>
      <w:r w:rsidR="00BC5511" w:rsidRPr="00E6228D">
        <w:rPr>
          <w:rFonts w:ascii="Arial" w:hAnsi="Arial" w:cs="Arial"/>
          <w:color w:val="000000" w:themeColor="text1"/>
          <w:sz w:val="22"/>
          <w:lang w:val="es-ES_tradnl"/>
        </w:rPr>
        <w:t xml:space="preserve">1 del artículo 2.2.1.2.1.5.2. del Decreto 1082 de 2015, según el cual en la invitación la entidad estatal debe </w:t>
      </w:r>
      <w:r w:rsidR="00A572E2" w:rsidRPr="00E6228D">
        <w:rPr>
          <w:rFonts w:ascii="Arial" w:hAnsi="Arial" w:cs="Arial"/>
          <w:color w:val="000000" w:themeColor="text1"/>
          <w:sz w:val="22"/>
          <w:lang w:val="es-ES_tradnl"/>
        </w:rPr>
        <w:t>señalar «la experiencia mínima, si se exige esta última», lo que indica que no es obligatorio solicitarla como criterio de participación.</w:t>
      </w:r>
    </w:p>
    <w:p w14:paraId="07857DF6" w14:textId="32192739" w:rsidR="000B173D" w:rsidRPr="00E6228D" w:rsidRDefault="000B173D"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Sin embargo, la experiencia no puede incluirse en la invitación del procedimiento de mínima cuantía como factor de calificación, pues el </w:t>
      </w:r>
      <w:r w:rsidR="00E04DE3" w:rsidRPr="00E6228D">
        <w:rPr>
          <w:rFonts w:ascii="Arial" w:hAnsi="Arial" w:cs="Arial"/>
          <w:color w:val="000000" w:themeColor="text1"/>
          <w:sz w:val="22"/>
          <w:lang w:val="es-ES_tradnl"/>
        </w:rPr>
        <w:t>literal c) del numeral 5 del artículo 2 de la Ley 1150 de 2007 establece que el menor precio es el único criterio de evaluación en dicha modalidad</w:t>
      </w:r>
      <w:r w:rsidR="006A1EEE" w:rsidRPr="00E6228D">
        <w:rPr>
          <w:rFonts w:ascii="Arial" w:hAnsi="Arial" w:cs="Arial"/>
          <w:color w:val="000000" w:themeColor="text1"/>
          <w:sz w:val="22"/>
          <w:lang w:val="es-ES_tradnl"/>
        </w:rPr>
        <w:t>, aspecto que ratifica el numeral 6 del artículo 2.2.1.2.1.5.2. del Decreto 1082 de 2015.</w:t>
      </w:r>
    </w:p>
    <w:p w14:paraId="43990522" w14:textId="0F292D15" w:rsidR="005D6D4F" w:rsidRPr="00E6228D" w:rsidRDefault="006A1EEE"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Por tanto, si en un procedimiento de selección de mínima cuantía la entidad estatal exige en la invitación a los interesados acreditar </w:t>
      </w:r>
      <w:r w:rsidR="00E67555" w:rsidRPr="00E6228D">
        <w:rPr>
          <w:rFonts w:ascii="Arial" w:hAnsi="Arial" w:cs="Arial"/>
          <w:color w:val="000000" w:themeColor="text1"/>
          <w:sz w:val="22"/>
          <w:lang w:val="es-ES_tradnl"/>
        </w:rPr>
        <w:t xml:space="preserve">determinada experiencia en ciertas actividades económicas, tal requisito es habilitante y, por lo tanto, </w:t>
      </w:r>
      <w:r w:rsidR="00E67555" w:rsidRPr="00E6228D">
        <w:rPr>
          <w:rFonts w:ascii="Arial" w:hAnsi="Arial" w:cs="Arial"/>
          <w:i/>
          <w:iCs/>
          <w:color w:val="000000" w:themeColor="text1"/>
          <w:sz w:val="22"/>
          <w:lang w:val="es-ES_tradnl"/>
        </w:rPr>
        <w:t>subsanable</w:t>
      </w:r>
      <w:r w:rsidR="00E67555" w:rsidRPr="00E6228D">
        <w:rPr>
          <w:rFonts w:ascii="Arial" w:hAnsi="Arial" w:cs="Arial"/>
          <w:color w:val="000000" w:themeColor="text1"/>
          <w:sz w:val="22"/>
          <w:lang w:val="es-ES_tradnl"/>
        </w:rPr>
        <w:t>, de conformidad con lo dispuesto en el artículo 5</w:t>
      </w:r>
      <w:r w:rsidR="00C97575" w:rsidRPr="00E6228D">
        <w:rPr>
          <w:rFonts w:ascii="Arial" w:hAnsi="Arial" w:cs="Arial"/>
          <w:color w:val="000000" w:themeColor="text1"/>
          <w:sz w:val="22"/>
          <w:lang w:val="es-ES_tradnl"/>
        </w:rPr>
        <w:t xml:space="preserve"> de la Ley 1150 de 2007</w:t>
      </w:r>
      <w:r w:rsidR="001153DC" w:rsidRPr="00E6228D">
        <w:rPr>
          <w:rFonts w:ascii="Arial" w:hAnsi="Arial" w:cs="Arial"/>
          <w:color w:val="000000" w:themeColor="text1"/>
          <w:sz w:val="22"/>
          <w:lang w:val="es-ES_tradnl"/>
        </w:rPr>
        <w:t>, modificado parcialmente por la Ley 1882 de 2018</w:t>
      </w:r>
      <w:r w:rsidR="001153DC" w:rsidRPr="00E6228D">
        <w:rPr>
          <w:rStyle w:val="Refdenotaalpie"/>
          <w:rFonts w:ascii="Arial" w:hAnsi="Arial" w:cs="Arial"/>
          <w:color w:val="000000" w:themeColor="text1"/>
          <w:sz w:val="22"/>
          <w:lang w:val="es-ES_tradnl"/>
        </w:rPr>
        <w:footnoteReference w:id="10"/>
      </w:r>
      <w:r w:rsidR="001153DC" w:rsidRPr="00E6228D">
        <w:rPr>
          <w:rFonts w:ascii="Arial" w:hAnsi="Arial" w:cs="Arial"/>
          <w:color w:val="000000" w:themeColor="text1"/>
          <w:sz w:val="22"/>
          <w:lang w:val="es-ES_tradnl"/>
        </w:rPr>
        <w:t>.</w:t>
      </w:r>
    </w:p>
    <w:p w14:paraId="59351FCE" w14:textId="2E742209" w:rsidR="005D6D4F" w:rsidRPr="00E6228D" w:rsidRDefault="00AA6612"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lastRenderedPageBreak/>
        <w:t>En efecto, el artículo 5 de la Ley 1882 de 2018</w:t>
      </w:r>
      <w:r w:rsidR="005D6D4F" w:rsidRPr="00E6228D">
        <w:rPr>
          <w:rFonts w:ascii="Arial" w:hAnsi="Arial" w:cs="Arial"/>
          <w:color w:val="000000" w:themeColor="text1"/>
          <w:sz w:val="22"/>
          <w:lang w:val="es-ES_tradnl"/>
        </w:rPr>
        <w:t xml:space="preserve">: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cuatro aspectos que se analizarán a continuación. </w:t>
      </w:r>
    </w:p>
    <w:p w14:paraId="66121393" w14:textId="3A7D4941"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w:t>
      </w:r>
      <w:r w:rsidRPr="00E6228D">
        <w:rPr>
          <w:rFonts w:ascii="Arial" w:eastAsia="Calibri" w:hAnsi="Arial" w:cs="Arial"/>
          <w:color w:val="000000" w:themeColor="text1"/>
          <w:sz w:val="22"/>
          <w:lang w:val="es-ES_tradnl"/>
        </w:rPr>
        <w:t xml:space="preserve">de selección a través del sistema de subasta; en el último los documentos o requisitos subsanables pueden y deben solicitarse hasta el momento previo a su realización.  </w:t>
      </w:r>
    </w:p>
    <w:p w14:paraId="5E85E443" w14:textId="77777777"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eastAsia="Calibri" w:hAnsi="Arial" w:cs="Arial"/>
          <w:color w:val="000000" w:themeColor="text1"/>
          <w:sz w:val="22"/>
          <w:lang w:val="es-ES_tradnl"/>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5192D3D4" w14:textId="5DA4A55D"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eastAsia="Calibri" w:hAnsi="Arial" w:cs="Arial"/>
          <w:color w:val="000000" w:themeColor="text1"/>
          <w:sz w:val="22"/>
          <w:lang w:val="es-ES_tradnl"/>
        </w:rPr>
        <w:t>En efecto, la redacción de la norma permite que la Administración solicite a los oferentes subsanar y que estos lo hagan hasta antes del término del traslado del informe de evaluación:</w:t>
      </w:r>
      <w:r w:rsidR="007D68C9" w:rsidRPr="00E6228D">
        <w:rPr>
          <w:rFonts w:ascii="Arial" w:eastAsia="Calibri" w:hAnsi="Arial" w:cs="Arial"/>
          <w:color w:val="000000" w:themeColor="text1"/>
          <w:sz w:val="22"/>
          <w:lang w:val="es-ES_tradnl"/>
        </w:rPr>
        <w:t xml:space="preserve"> </w:t>
      </w:r>
      <w:r w:rsidR="00A65FDC" w:rsidRPr="00E6228D">
        <w:rPr>
          <w:rFonts w:ascii="Arial" w:eastAsia="Calibri" w:hAnsi="Arial" w:cs="Arial"/>
          <w:color w:val="000000" w:themeColor="text1"/>
          <w:sz w:val="22"/>
          <w:lang w:val="es-ES_tradnl"/>
        </w:rPr>
        <w:t>«</w:t>
      </w:r>
      <w:r w:rsidRPr="00E6228D">
        <w:rPr>
          <w:rFonts w:ascii="Arial" w:hAnsi="Arial" w:cs="Arial"/>
          <w:color w:val="000000" w:themeColor="text1"/>
          <w:sz w:val="22"/>
          <w:lang w:val="es-ES_tradnl"/>
        </w:rPr>
        <w:t>deberán ser solicitados por las entidades estatales y deberán ser entregados por los proponentes hasta el término de traslado del informe de evaluación que corresponda a cada modalidad de selección</w:t>
      </w:r>
      <w:r w:rsidR="00A65FDC" w:rsidRPr="00E6228D">
        <w:rPr>
          <w:rFonts w:ascii="Arial" w:hAnsi="Arial" w:cs="Arial"/>
          <w:color w:val="000000" w:themeColor="text1"/>
          <w:sz w:val="22"/>
          <w:lang w:val="es-ES_tradnl"/>
        </w:rPr>
        <w:t>»</w:t>
      </w:r>
      <w:r w:rsidRPr="00E6228D">
        <w:rPr>
          <w:rFonts w:ascii="Arial" w:hAnsi="Arial" w:cs="Arial"/>
          <w:color w:val="000000" w:themeColor="text1"/>
          <w:sz w:val="22"/>
          <w:lang w:val="es-ES_tradnl"/>
        </w:rPr>
        <w:t xml:space="preserve">. </w:t>
      </w:r>
    </w:p>
    <w:p w14:paraId="08D53EAA" w14:textId="77777777"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 </w:t>
      </w:r>
    </w:p>
    <w:p w14:paraId="77D1C0A5" w14:textId="77777777"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w14:paraId="44D85F52" w14:textId="77777777"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La segunda interpretación permitiría que la Administración requiera al oferente durante el proceso de evaluación de las propuestas, tan pronto advierta que hace falta un documento o requisito que se puede subsanar. En este caso, el proceso de subsanación se lleva a cabo con anterioridad a la publicación del informe de evaluación, de manera que, </w:t>
      </w:r>
      <w:r w:rsidRPr="00E6228D">
        <w:rPr>
          <w:rFonts w:ascii="Arial" w:hAnsi="Arial" w:cs="Arial"/>
          <w:color w:val="000000" w:themeColor="text1"/>
          <w:sz w:val="22"/>
          <w:lang w:val="es-ES_tradnl"/>
        </w:rPr>
        <w:lastRenderedPageBreak/>
        <w:t>una vez se publique el informe ya se encuentren subsanadas las propuestas, sin perjuicio del término límite que concedió la ley.</w:t>
      </w:r>
    </w:p>
    <w:p w14:paraId="3BCD9D7D" w14:textId="77777777"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En criterio de esta Subdirección,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5A1F8FF0" w14:textId="74A6E8DA"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07E1C7A0" w14:textId="7DB6A455"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eastAsia="Calibri" w:hAnsi="Arial" w:cs="Arial"/>
          <w:color w:val="000000" w:themeColor="text1"/>
          <w:sz w:val="22"/>
          <w:lang w:val="es-ES_tradnl"/>
        </w:rPr>
        <w:t>De otro lado, el segundo cambio importante de la Ley 1882 de 2018 fue la introducción de un criterio material, directamente relacionado con los aspectos subsanables:</w:t>
      </w:r>
      <w:r w:rsidR="006B5CD1" w:rsidRPr="00E6228D">
        <w:rPr>
          <w:rFonts w:ascii="Arial" w:eastAsia="Calibri" w:hAnsi="Arial" w:cs="Arial"/>
          <w:color w:val="000000" w:themeColor="text1"/>
          <w:sz w:val="22"/>
          <w:lang w:val="es-ES_tradnl"/>
        </w:rPr>
        <w:t xml:space="preserve"> «</w:t>
      </w:r>
      <w:r w:rsidRPr="00E6228D">
        <w:rPr>
          <w:rFonts w:ascii="Arial" w:hAnsi="Arial" w:cs="Arial"/>
          <w:color w:val="000000" w:themeColor="text1"/>
          <w:sz w:val="22"/>
          <w:lang w:val="es-ES_tradnl"/>
        </w:rPr>
        <w:t>los proponentes no podrán acreditar circunstancias ocurridas con posterioridad al cierre del proceso</w:t>
      </w:r>
      <w:r w:rsidR="006B5CD1" w:rsidRPr="00E6228D">
        <w:rPr>
          <w:rFonts w:ascii="Arial" w:hAnsi="Arial" w:cs="Arial"/>
          <w:color w:val="000000" w:themeColor="text1"/>
          <w:sz w:val="22"/>
          <w:lang w:val="es-ES_tradnl"/>
        </w:rPr>
        <w:t>»</w:t>
      </w:r>
      <w:r w:rsidRPr="00E6228D">
        <w:rPr>
          <w:rFonts w:ascii="Arial" w:hAnsi="Arial" w:cs="Arial"/>
          <w:b/>
          <w:color w:val="000000" w:themeColor="text1"/>
          <w:sz w:val="22"/>
          <w:lang w:val="es-ES_tradnl"/>
        </w:rPr>
        <w:t xml:space="preserve">. </w:t>
      </w:r>
      <w:r w:rsidRPr="00E6228D">
        <w:rPr>
          <w:rFonts w:ascii="Arial" w:hAnsi="Arial" w:cs="Arial"/>
          <w:color w:val="000000" w:themeColor="text1"/>
          <w:sz w:val="22"/>
          <w:lang w:val="es-ES_tradnl"/>
        </w:rPr>
        <w:t xml:space="preserve">Lo anterior nos ofrece dos aspectos que merecen clarificación; primero, qué debe entenderse por circunstancias ocurridas con posterioridad; y segundo, qué es el cierre del proceso. </w:t>
      </w:r>
    </w:p>
    <w:p w14:paraId="62F8348B" w14:textId="19A5417A" w:rsidR="005D6D4F" w:rsidRPr="00E6228D" w:rsidRDefault="005D6D4F" w:rsidP="005C0904">
      <w:pPr>
        <w:spacing w:before="120" w:after="120"/>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La Sala de Consulta y Servicio Civil del Consejo de Estado ya había tenido la oportunidad de precisar estas expresiones, a propósito de un concepto en el que se refirió al artículo 10 del derogado Decreto 2474 de 2008</w:t>
      </w:r>
      <w:r w:rsidRPr="00E6228D">
        <w:rPr>
          <w:rStyle w:val="Refdenotaalpie"/>
          <w:rFonts w:ascii="Arial" w:hAnsi="Arial" w:cs="Arial"/>
          <w:color w:val="000000" w:themeColor="text1"/>
          <w:sz w:val="22"/>
          <w:lang w:val="es-ES_tradnl"/>
        </w:rPr>
        <w:footnoteReference w:id="11"/>
      </w:r>
      <w:r w:rsidRPr="00E6228D">
        <w:rPr>
          <w:rFonts w:ascii="Arial" w:hAnsi="Arial" w:cs="Arial"/>
          <w:color w:val="000000" w:themeColor="text1"/>
          <w:sz w:val="22"/>
          <w:lang w:val="es-ES_tradnl"/>
        </w:rPr>
        <w:t xml:space="preserve">, que había determinado que en ningún </w:t>
      </w:r>
      <w:r w:rsidRPr="00E6228D">
        <w:rPr>
          <w:rFonts w:ascii="Arial" w:hAnsi="Arial" w:cs="Arial"/>
          <w:color w:val="000000" w:themeColor="text1"/>
          <w:sz w:val="22"/>
          <w:lang w:val="es-ES_tradnl"/>
        </w:rPr>
        <w:lastRenderedPageBreak/>
        <w:t xml:space="preserve">caso la entidad podía permitir que se acreditaran circunstancias ocurridas con posterioridad al cierre del proceso. </w:t>
      </w:r>
      <w:r w:rsidR="005E11B2" w:rsidRPr="00E6228D">
        <w:rPr>
          <w:rFonts w:ascii="Arial" w:hAnsi="Arial" w:cs="Arial"/>
          <w:color w:val="000000" w:themeColor="text1"/>
          <w:sz w:val="22"/>
          <w:lang w:val="es-ES_tradnl"/>
        </w:rPr>
        <w:t>Dicha Sala</w:t>
      </w:r>
      <w:r w:rsidRPr="00E6228D">
        <w:rPr>
          <w:rFonts w:ascii="Arial" w:hAnsi="Arial" w:cs="Arial"/>
          <w:color w:val="000000" w:themeColor="text1"/>
          <w:sz w:val="22"/>
          <w:lang w:val="es-ES_tradnl"/>
        </w:rPr>
        <w:t xml:space="preserve"> </w:t>
      </w:r>
      <w:r w:rsidR="005E11B2" w:rsidRPr="00E6228D">
        <w:rPr>
          <w:rFonts w:ascii="Arial" w:hAnsi="Arial" w:cs="Arial"/>
          <w:color w:val="000000" w:themeColor="text1"/>
          <w:sz w:val="22"/>
          <w:lang w:val="es-ES_tradnl"/>
        </w:rPr>
        <w:t>precisó</w:t>
      </w:r>
      <w:r w:rsidRPr="00E6228D">
        <w:rPr>
          <w:rFonts w:ascii="Arial" w:hAnsi="Arial" w:cs="Arial"/>
          <w:color w:val="000000" w:themeColor="text1"/>
          <w:sz w:val="22"/>
          <w:lang w:val="es-ES_tradnl"/>
        </w:rPr>
        <w:t xml:space="preserve"> que por cierre del proceso debe entenderse el vencimiento del plazo para la presentación de las ofertas y que lo subsanable son las circunstancias que ocurrieron con anterioridad a esa fecha</w:t>
      </w:r>
      <w:r w:rsidR="003D4F83" w:rsidRPr="00E6228D">
        <w:rPr>
          <w:rStyle w:val="Refdenotaalpie"/>
          <w:rFonts w:ascii="Arial" w:hAnsi="Arial" w:cs="Arial"/>
          <w:color w:val="000000" w:themeColor="text1"/>
          <w:sz w:val="22"/>
          <w:lang w:val="es-ES_tradnl"/>
        </w:rPr>
        <w:footnoteReference w:id="12"/>
      </w:r>
      <w:r w:rsidR="003D4F83" w:rsidRPr="00E6228D">
        <w:rPr>
          <w:rFonts w:ascii="Arial" w:hAnsi="Arial" w:cs="Arial"/>
          <w:color w:val="000000" w:themeColor="text1"/>
          <w:sz w:val="22"/>
          <w:lang w:val="es-ES_tradnl"/>
        </w:rPr>
        <w:t>.</w:t>
      </w:r>
    </w:p>
    <w:p w14:paraId="6704AECE" w14:textId="47E0A2D4" w:rsidR="005D6D4F" w:rsidRPr="00E6228D" w:rsidRDefault="005D6D4F" w:rsidP="005C0904">
      <w:pPr>
        <w:spacing w:before="120" w:after="120"/>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ocurridas con posterioridad al </w:t>
      </w:r>
      <w:r w:rsidR="006B5CD1"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cierre del proceso</w:t>
      </w:r>
      <w:r w:rsidR="006B5CD1"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 xml:space="preserve">.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9B30DC5" w14:textId="6DDE9B94" w:rsidR="005D6D4F" w:rsidRPr="00E6228D" w:rsidRDefault="005D6D4F" w:rsidP="005C0904">
      <w:pPr>
        <w:spacing w:before="120" w:after="120"/>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Un mejor entendimiento del significado de la expresión </w:t>
      </w:r>
      <w:r w:rsidR="006B5CD1"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circunstancias ocurridas con posterioridad al cierre del proceso</w:t>
      </w:r>
      <w:r w:rsidR="006B5CD1"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 xml:space="preserve"> nos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 </w:t>
      </w:r>
    </w:p>
    <w:p w14:paraId="25241EDA" w14:textId="2FA826D6" w:rsidR="005D6D4F" w:rsidRPr="00E6228D" w:rsidRDefault="005D6D4F" w:rsidP="005C0904">
      <w:pPr>
        <w:spacing w:before="120" w:after="120"/>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Por ejemplo: i) si un oferente olvidó adjuntar con su propuesta el certificado que da cuenta de su inscripción en el RUP, el requisito </w:t>
      </w:r>
      <w:r w:rsidR="00D157D5" w:rsidRPr="00E6228D">
        <w:rPr>
          <w:rFonts w:ascii="Arial" w:eastAsia="Calibri" w:hAnsi="Arial" w:cs="Arial"/>
          <w:color w:val="000000" w:themeColor="text1"/>
          <w:sz w:val="22"/>
          <w:lang w:val="es-ES_tradnl"/>
        </w:rPr>
        <w:t>es</w:t>
      </w:r>
      <w:r w:rsidRPr="00E6228D">
        <w:rPr>
          <w:rFonts w:ascii="Arial" w:eastAsia="Calibri" w:hAnsi="Arial" w:cs="Arial"/>
          <w:color w:val="000000" w:themeColor="text1"/>
          <w:sz w:val="22"/>
          <w:lang w:val="es-ES_tradnl"/>
        </w:rPr>
        <w:t xml:space="preserve"> subsanable siempre que la prueba allegada demuestre que el hecho, esto es, la inscripción en el registro, ocurrió con anterioridad al cierre del proceso; ii) si un oferente presentó la propuesta sin </w:t>
      </w:r>
      <w:r w:rsidR="00D157D5" w:rsidRPr="00E6228D">
        <w:rPr>
          <w:rFonts w:ascii="Arial" w:eastAsia="Calibri" w:hAnsi="Arial" w:cs="Arial"/>
          <w:color w:val="000000" w:themeColor="text1"/>
          <w:sz w:val="22"/>
          <w:lang w:val="es-ES_tradnl"/>
        </w:rPr>
        <w:t>aportar</w:t>
      </w:r>
      <w:r w:rsidRPr="00E6228D">
        <w:rPr>
          <w:rFonts w:ascii="Arial" w:eastAsia="Calibri" w:hAnsi="Arial" w:cs="Arial"/>
          <w:color w:val="000000" w:themeColor="text1"/>
          <w:sz w:val="22"/>
          <w:lang w:val="es-ES_tradnl"/>
        </w:rPr>
        <w:t xml:space="preserve"> la autorización al representante legal, por parte de la junta directiva de la sociedad, el </w:t>
      </w:r>
      <w:r w:rsidRPr="00E6228D">
        <w:rPr>
          <w:rFonts w:ascii="Arial" w:eastAsia="Calibri" w:hAnsi="Arial" w:cs="Arial"/>
          <w:color w:val="000000" w:themeColor="text1"/>
          <w:sz w:val="22"/>
          <w:lang w:val="es-ES_tradnl"/>
        </w:rPr>
        <w:lastRenderedPageBreak/>
        <w:t>certificado, aunque sea posterior, debe dar cuenta de que el hecho que pretende acreditar -la autorización de la junta- ocurrió antes del vencimiento del término para ofertar</w:t>
      </w:r>
      <w:r w:rsidRPr="00E6228D">
        <w:rPr>
          <w:rStyle w:val="Refdenotaalpie"/>
          <w:rFonts w:ascii="Arial" w:eastAsia="Calibri" w:hAnsi="Arial" w:cs="Arial"/>
          <w:color w:val="000000" w:themeColor="text1"/>
          <w:sz w:val="22"/>
          <w:lang w:val="es-ES_tradnl"/>
        </w:rPr>
        <w:footnoteReference w:id="13"/>
      </w:r>
      <w:r w:rsidRPr="00E6228D">
        <w:rPr>
          <w:rFonts w:ascii="Arial" w:eastAsia="Calibri" w:hAnsi="Arial" w:cs="Arial"/>
          <w:color w:val="000000" w:themeColor="text1"/>
          <w:sz w:val="22"/>
          <w:lang w:val="es-ES_tradnl"/>
        </w:rPr>
        <w:t xml:space="preserve">; iii) si un oferente no anexó el </w:t>
      </w:r>
      <w:r w:rsidR="00D157D5" w:rsidRPr="00E6228D">
        <w:rPr>
          <w:rFonts w:ascii="Arial" w:eastAsia="Calibri" w:hAnsi="Arial" w:cs="Arial"/>
          <w:color w:val="000000" w:themeColor="text1"/>
          <w:sz w:val="22"/>
          <w:lang w:val="es-ES_tradnl"/>
        </w:rPr>
        <w:t>c</w:t>
      </w:r>
      <w:r w:rsidRPr="00E6228D">
        <w:rPr>
          <w:rFonts w:ascii="Arial" w:eastAsia="Calibri" w:hAnsi="Arial" w:cs="Arial"/>
          <w:color w:val="000000" w:themeColor="text1"/>
          <w:sz w:val="22"/>
          <w:lang w:val="es-ES_tradnl"/>
        </w:rPr>
        <w:t>ertificado de existencia y representación legal, el documento aportado con posterioridad debe dar cuenta de que la sociedad existe antes del cierre del proceso</w:t>
      </w:r>
      <w:r w:rsidRPr="00E6228D">
        <w:rPr>
          <w:rStyle w:val="Refdenotaalpie"/>
          <w:rFonts w:ascii="Arial" w:eastAsia="Calibri" w:hAnsi="Arial" w:cs="Arial"/>
          <w:color w:val="000000" w:themeColor="text1"/>
          <w:sz w:val="22"/>
          <w:lang w:val="es-ES_tradnl"/>
        </w:rPr>
        <w:footnoteReference w:id="14"/>
      </w:r>
      <w:r w:rsidRPr="00E6228D">
        <w:rPr>
          <w:rFonts w:ascii="Arial" w:eastAsia="Calibri" w:hAnsi="Arial" w:cs="Arial"/>
          <w:color w:val="000000" w:themeColor="text1"/>
          <w:sz w:val="22"/>
          <w:lang w:val="es-ES_tradnl"/>
        </w:rPr>
        <w:t>;</w:t>
      </w:r>
      <w:r w:rsidR="005E11B2" w:rsidRPr="00E6228D">
        <w:rPr>
          <w:rFonts w:ascii="Arial" w:eastAsia="Calibri" w:hAnsi="Arial" w:cs="Arial"/>
          <w:color w:val="000000" w:themeColor="text1"/>
          <w:sz w:val="22"/>
          <w:lang w:val="es-ES_tradnl"/>
        </w:rPr>
        <w:t xml:space="preserve"> </w:t>
      </w:r>
      <w:r w:rsidRPr="00E6228D">
        <w:rPr>
          <w:rFonts w:ascii="Arial" w:eastAsia="Calibri" w:hAnsi="Arial" w:cs="Arial"/>
          <w:color w:val="000000" w:themeColor="text1"/>
          <w:sz w:val="22"/>
          <w:lang w:val="es-ES_tradnl"/>
        </w:rPr>
        <w:t xml:space="preserve">iv) si un oferente olvidó adjuntar un certificado que demuestra un título universitario, el documento, aunque tenga fecha posterior al cierre del proceso, debe acreditar que el título académico se obtuvo con anterioridad al cierre del proceso; v) si un oferente no </w:t>
      </w:r>
      <w:r w:rsidR="002724DE" w:rsidRPr="00E6228D">
        <w:rPr>
          <w:rFonts w:ascii="Arial" w:eastAsia="Calibri" w:hAnsi="Arial" w:cs="Arial"/>
          <w:color w:val="000000" w:themeColor="text1"/>
          <w:sz w:val="22"/>
          <w:lang w:val="es-ES_tradnl"/>
        </w:rPr>
        <w:t>aportó</w:t>
      </w:r>
      <w:r w:rsidRPr="00E6228D">
        <w:rPr>
          <w:rFonts w:ascii="Arial" w:eastAsia="Calibri" w:hAnsi="Arial" w:cs="Arial"/>
          <w:color w:val="000000" w:themeColor="text1"/>
          <w:sz w:val="22"/>
          <w:lang w:val="es-ES_tradnl"/>
        </w:rPr>
        <w:t xml:space="preserve">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75C05454" w14:textId="77777777" w:rsidR="005D6D4F" w:rsidRPr="00E6228D" w:rsidRDefault="005D6D4F" w:rsidP="005C0904">
      <w:pPr>
        <w:spacing w:before="120" w:after="120"/>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w:t>
      </w:r>
    </w:p>
    <w:p w14:paraId="6E701120" w14:textId="5036A016" w:rsidR="005D6D4F" w:rsidRPr="00E6228D" w:rsidRDefault="005D6D4F" w:rsidP="005C0904">
      <w:pPr>
        <w:spacing w:before="120" w:after="120"/>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Es por ello que el Consejo de Estado sostiene que </w:t>
      </w:r>
      <w:r w:rsidR="006B5CD1"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lo que se subsana es la prueba y no la condición habilitante o un elemento de la propuesta (...) lo que se puede remediar es la prueba y no el requisito:</w:t>
      </w:r>
      <w:r w:rsidR="002974FA" w:rsidRPr="00E6228D">
        <w:rPr>
          <w:rFonts w:ascii="Arial" w:eastAsia="Calibri" w:hAnsi="Arial" w:cs="Arial"/>
          <w:color w:val="000000" w:themeColor="text1"/>
          <w:sz w:val="22"/>
          <w:lang w:val="es-ES_tradnl"/>
        </w:rPr>
        <w:t xml:space="preserve"> </w:t>
      </w:r>
      <w:r w:rsidRPr="00E6228D">
        <w:rPr>
          <w:rFonts w:ascii="Arial" w:eastAsia="Calibri" w:hAnsi="Arial" w:cs="Arial"/>
          <w:color w:val="000000" w:themeColor="text1"/>
          <w:sz w:val="22"/>
          <w:lang w:val="es-ES_tradnl"/>
        </w:rPr>
        <w:t>La posibilidad debe recaer exclusivamente sobre circunstancias acaecidas antes del cierre del respectivo proceso, esto es, del vencimiento del plazo para presentar ofertas</w:t>
      </w:r>
      <w:r w:rsidR="006B5CD1"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vertAlign w:val="superscript"/>
          <w:lang w:val="es-ES_tradnl"/>
        </w:rPr>
        <w:footnoteReference w:id="15"/>
      </w:r>
      <w:r w:rsidRPr="00E6228D">
        <w:rPr>
          <w:rFonts w:ascii="Arial" w:eastAsia="Calibri" w:hAnsi="Arial" w:cs="Arial"/>
          <w:color w:val="000000" w:themeColor="text1"/>
          <w:sz w:val="22"/>
          <w:lang w:val="es-ES_tradnl"/>
        </w:rPr>
        <w:t>. En tal sentido, esta Subdirección en concepto emitido en respuesta a la Consulta 4201912000007418 del 30 de octubre de 2019, analizó si era o no posible subsanar el RUP vencido, para lo cual precisó el alcance de la prohibición de permitir subsanar circunstancias ocurridas con posterioridad al cierre del procedimiento de selección</w:t>
      </w:r>
      <w:r w:rsidR="002974FA" w:rsidRPr="00E6228D">
        <w:rPr>
          <w:rStyle w:val="Refdenotaalpie"/>
          <w:rFonts w:ascii="Arial" w:eastAsia="Calibri" w:hAnsi="Arial" w:cs="Arial"/>
          <w:color w:val="000000" w:themeColor="text1"/>
          <w:sz w:val="22"/>
          <w:lang w:val="es-ES_tradnl"/>
        </w:rPr>
        <w:footnoteReference w:id="16"/>
      </w:r>
      <w:r w:rsidRPr="00E6228D">
        <w:rPr>
          <w:rFonts w:ascii="Arial" w:eastAsia="Calibri" w:hAnsi="Arial" w:cs="Arial"/>
          <w:color w:val="000000" w:themeColor="text1"/>
          <w:sz w:val="22"/>
          <w:lang w:val="es-ES_tradnl"/>
        </w:rPr>
        <w:t xml:space="preserve">. </w:t>
      </w:r>
    </w:p>
    <w:p w14:paraId="5C4DE725" w14:textId="77777777" w:rsidR="005D6D4F" w:rsidRPr="00E6228D" w:rsidRDefault="005D6D4F" w:rsidP="005C0904">
      <w:pPr>
        <w:spacing w:before="120" w:after="120"/>
        <w:jc w:val="both"/>
        <w:rPr>
          <w:rFonts w:ascii="Arial" w:eastAsia="Calibri" w:hAnsi="Arial" w:cs="Arial"/>
          <w:color w:val="000000" w:themeColor="text1"/>
          <w:sz w:val="22"/>
          <w:lang w:val="es-ES_tradnl"/>
        </w:rPr>
      </w:pPr>
    </w:p>
    <w:p w14:paraId="4495B3E1" w14:textId="43CE519A" w:rsidR="005D6D4F" w:rsidRPr="00E6228D" w:rsidRDefault="005D6D4F" w:rsidP="005C0904">
      <w:pPr>
        <w:spacing w:before="120" w:after="120"/>
        <w:ind w:left="709" w:right="709"/>
        <w:jc w:val="both"/>
        <w:rPr>
          <w:rFonts w:ascii="Arial" w:eastAsia="Calibri" w:hAnsi="Arial" w:cs="Arial"/>
          <w:color w:val="000000" w:themeColor="text1"/>
          <w:sz w:val="21"/>
          <w:szCs w:val="21"/>
          <w:lang w:val="es-ES_tradnl"/>
        </w:rPr>
      </w:pPr>
      <w:r w:rsidRPr="00E6228D">
        <w:rPr>
          <w:rFonts w:ascii="Arial" w:eastAsia="Calibri" w:hAnsi="Arial" w:cs="Arial"/>
          <w:color w:val="000000" w:themeColor="text1"/>
          <w:sz w:val="21"/>
          <w:szCs w:val="21"/>
          <w:lang w:val="es-ES_tradnl"/>
        </w:rPr>
        <w:t xml:space="preserve"> </w:t>
      </w:r>
    </w:p>
    <w:p w14:paraId="3E2288B1" w14:textId="77777777" w:rsidR="005D6D4F" w:rsidRPr="00E6228D" w:rsidRDefault="005D6D4F" w:rsidP="005C0904">
      <w:pPr>
        <w:spacing w:before="120" w:after="120"/>
        <w:jc w:val="both"/>
        <w:rPr>
          <w:rFonts w:ascii="Arial" w:eastAsia="Calibri" w:hAnsi="Arial" w:cs="Arial"/>
          <w:color w:val="000000" w:themeColor="text1"/>
          <w:sz w:val="22"/>
          <w:lang w:val="es-ES_tradnl"/>
        </w:rPr>
      </w:pPr>
    </w:p>
    <w:p w14:paraId="4DE2D2DB" w14:textId="77777777" w:rsidR="005D6D4F" w:rsidRPr="00E6228D" w:rsidRDefault="005D6D4F" w:rsidP="005C0904">
      <w:pPr>
        <w:spacing w:before="120" w:after="120"/>
        <w:ind w:firstLine="709"/>
        <w:jc w:val="both"/>
        <w:rPr>
          <w:rFonts w:ascii="Arial" w:eastAsia="Calibri" w:hAnsi="Arial" w:cs="Arial"/>
          <w:color w:val="000000" w:themeColor="text1"/>
          <w:sz w:val="22"/>
        </w:rPr>
      </w:pPr>
      <w:r w:rsidRPr="00E6228D">
        <w:rPr>
          <w:rFonts w:ascii="Arial" w:eastAsia="Calibri" w:hAnsi="Arial" w:cs="Arial"/>
          <w:color w:val="000000" w:themeColor="text1"/>
          <w:sz w:val="22"/>
          <w:lang w:val="es-ES_tradnl"/>
        </w:rPr>
        <w:t xml:space="preserve">Esta tesis fue reiterada por la Agencia Nacional de Contratación Pública – Colombia Compra Eficiente en el concepto con radicado </w:t>
      </w:r>
      <w:r w:rsidRPr="00E6228D">
        <w:rPr>
          <w:rFonts w:ascii="Arial" w:eastAsia="Calibri" w:hAnsi="Arial" w:cs="Arial"/>
          <w:color w:val="000000" w:themeColor="text1"/>
          <w:sz w:val="22"/>
        </w:rPr>
        <w:t xml:space="preserve">4201912000008198, en el que indicó que las certificaciones de experiencia que no otorgaran puntaje podían aportarse corregidos o incluso, en reemplazo de las que no cumplieran el requisito habilitante, siempre que en los documentos aportados en la etapa de subsanabilidad no se acreditara experiencia adquirida con posterioridad al cierre del procedimiento de selección. Por tanto, señaló que «[…] el oferente podrá acreditar su experiencia con certificaciones de contratos diferentes a los inicialmente aportados, siempre que acrediten la experiencia adquirida antes del cierre del proceso», pero que «Si las certificaciones prueban que la experiencia del proponente se adquirió con posterioridad al cierre del proceso no se podrá aportar, porque esto implicaría una mejora, adición o complemento de la oferta». </w:t>
      </w:r>
    </w:p>
    <w:p w14:paraId="11BFEC42" w14:textId="77777777" w:rsidR="005D6D4F" w:rsidRPr="00E6228D" w:rsidRDefault="005D6D4F" w:rsidP="005C0904">
      <w:pPr>
        <w:spacing w:before="120" w:after="120"/>
        <w:ind w:firstLine="709"/>
        <w:jc w:val="both"/>
        <w:rPr>
          <w:rFonts w:ascii="Arial" w:eastAsia="Calibri" w:hAnsi="Arial" w:cs="Arial"/>
          <w:color w:val="000000" w:themeColor="text1"/>
          <w:sz w:val="22"/>
        </w:rPr>
      </w:pPr>
      <w:r w:rsidRPr="00E6228D">
        <w:rPr>
          <w:rFonts w:ascii="Arial" w:eastAsia="Calibri" w:hAnsi="Arial" w:cs="Arial"/>
          <w:color w:val="000000" w:themeColor="text1"/>
          <w:sz w:val="22"/>
        </w:rPr>
        <w:t xml:space="preserve">Una reiteración de la postura de esta Subdirección, según la cual la subsanabilidad procede sobre todos aquellos requisitos que no otorguen puntaje, siempre que no se trate de entregar la garantía de seriedad de la oferta no aportada antes del cierre del procedimiento de selección, y bajo la condición de que no se acrediten hechos ocurridos con posterioridad a dicho momento, se encuentra en los conceptos: 2201913000008048 del 28 de octubre de 2019 –que indicó que no era posible, so pretexto de subsanar, modificar el porcentaje de participación en un consorcio o unión temporal, porque esto comportaba cambiar la oferta, acreditando circunstancias posteriores al cierre–; 2201913000008850 del 29 de noviembre de 2019 –en el que sostuvo que un proponente podría subsanar la experiencia, en tanto requisito habilitante, o sea, que no otorgara puntaje, aportando nuevas certificaciones, siempre que con ellas no se probara una experiencia que no se tenía antes del cierre–; 2201913000009373 del 17 de diciembre de 2019 –en el cual se expresó que la carta de conformación de un consorcio es un documento subsanable, bajo la condición de que el documento aportado permita constatar que el consorcio se conformó antes del vencimiento del término para la presentación de las propuestas–; 2201913000008049 del 28 de octubre de 2019 –en el que se iteró que no es posible variar el porcentaje de participación en una unión temporal, porque implicaría una modificación de la oferta y la acreditación de un aspecto que es posterior al cierre del procedimiento de selección–. </w:t>
      </w:r>
    </w:p>
    <w:p w14:paraId="0AD76B82" w14:textId="71212629" w:rsidR="005D6D4F" w:rsidRPr="00E6228D" w:rsidRDefault="005D6D4F" w:rsidP="005C0904">
      <w:pPr>
        <w:spacing w:before="120" w:after="120"/>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Visto lo anterior, una vez verificada la ausencia de requisitos y/o documentos de la oferta, para saber si se puede subsanar, la Administración se debe preguntar, en primer lugar, si lo que hace falta es un </w:t>
      </w:r>
      <w:r w:rsidRPr="00E6228D">
        <w:rPr>
          <w:rFonts w:ascii="Arial" w:eastAsia="Calibri" w:hAnsi="Arial" w:cs="Arial"/>
          <w:i/>
          <w:color w:val="000000" w:themeColor="text1"/>
          <w:sz w:val="22"/>
          <w:lang w:val="es-ES_tradnl"/>
        </w:rPr>
        <w:t>ítem</w:t>
      </w:r>
      <w:r w:rsidRPr="00E6228D">
        <w:rPr>
          <w:rFonts w:ascii="Arial" w:eastAsia="Calibri" w:hAnsi="Arial" w:cs="Arial"/>
          <w:color w:val="000000" w:themeColor="text1"/>
          <w:sz w:val="22"/>
          <w:lang w:val="es-ES_tradnl"/>
        </w:rPr>
        <w:t xml:space="preserve"> que otorga puntaje o no y, en segundo lugar, si el cumplimiento del requisito constituye una circunstancia ocurrida con anterioridad o con </w:t>
      </w:r>
      <w:r w:rsidRPr="00E6228D">
        <w:rPr>
          <w:rFonts w:ascii="Arial" w:eastAsia="Calibri" w:hAnsi="Arial" w:cs="Arial"/>
          <w:color w:val="000000" w:themeColor="text1"/>
          <w:sz w:val="22"/>
          <w:lang w:val="es-ES_tradnl"/>
        </w:rPr>
        <w:lastRenderedPageBreak/>
        <w:t>posterioridad al cierre del proceso. Para arribar a la conclusión de que lo omitido puede subsanarse, la respuesta al primer interrogante debe ser negativa, es decir, que lo omitido no sea un factor que otorgue puntaje</w:t>
      </w:r>
      <w:r w:rsidR="00074D37"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 xml:space="preserve"> y la respuesta al segundo interrogante debe dar cuenta de que lo omitido sea la prueba de una circunstancia o hecho que ocurrió con anterioridad al cierre del proceso. </w:t>
      </w:r>
    </w:p>
    <w:p w14:paraId="6B2FCACC" w14:textId="37E31F21" w:rsidR="007D6137" w:rsidRPr="00E6228D" w:rsidRDefault="005D6D4F" w:rsidP="00874B73">
      <w:pPr>
        <w:spacing w:line="276" w:lineRule="auto"/>
        <w:ind w:firstLine="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 xml:space="preserve">Finalmente, el parágrafo 3 del artículo 5 de la Ley 1882 de 2018 determinó, de manera expresa, que </w:t>
      </w:r>
      <w:r w:rsidR="00727FE7"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la no entrega de la garantía de seriedad junto con la propuesta no será subsanable y será causal de rechazo de la misma</w:t>
      </w:r>
      <w:r w:rsidR="00727FE7" w:rsidRPr="00E6228D">
        <w:rPr>
          <w:rFonts w:ascii="Arial" w:eastAsia="Calibri" w:hAnsi="Arial" w:cs="Arial"/>
          <w:color w:val="000000" w:themeColor="text1"/>
          <w:sz w:val="22"/>
          <w:lang w:val="es-ES_tradnl"/>
        </w:rPr>
        <w:t>»</w:t>
      </w:r>
      <w:r w:rsidRPr="00E6228D">
        <w:rPr>
          <w:rFonts w:ascii="Arial" w:eastAsia="Calibri" w:hAnsi="Arial" w:cs="Arial"/>
          <w:color w:val="000000" w:themeColor="text1"/>
          <w:sz w:val="22"/>
          <w:lang w:val="es-ES_tradnl"/>
        </w:rPr>
        <w:t>, dejando claro que se trata de un documento de obligatoria presentación junto con la propuesta y que materializa los principios de seriedad e irrevocabilidad de la oferta.</w:t>
      </w:r>
    </w:p>
    <w:p w14:paraId="10EFCE35" w14:textId="77777777" w:rsidR="00874B73" w:rsidRPr="00E6228D" w:rsidRDefault="00874B73" w:rsidP="00FB6A61">
      <w:pPr>
        <w:spacing w:line="276" w:lineRule="auto"/>
        <w:jc w:val="both"/>
        <w:rPr>
          <w:rFonts w:ascii="Arial" w:eastAsia="Calibri" w:hAnsi="Arial" w:cs="Arial"/>
          <w:color w:val="000000" w:themeColor="text1"/>
          <w:sz w:val="22"/>
          <w:lang w:val="es-ES_tradnl"/>
        </w:rPr>
      </w:pPr>
    </w:p>
    <w:p w14:paraId="23A06FA9" w14:textId="7FC2AB54" w:rsidR="00F3318F" w:rsidRPr="00E6228D" w:rsidRDefault="00F3318F" w:rsidP="00544348">
      <w:pPr>
        <w:pStyle w:val="Prrafodelista"/>
        <w:tabs>
          <w:tab w:val="left" w:pos="284"/>
        </w:tabs>
        <w:spacing w:line="276" w:lineRule="auto"/>
        <w:ind w:left="0"/>
        <w:jc w:val="both"/>
        <w:rPr>
          <w:rFonts w:ascii="Arial" w:eastAsia="Calibri" w:hAnsi="Arial" w:cs="Arial"/>
          <w:b/>
          <w:color w:val="000000" w:themeColor="text1"/>
          <w:sz w:val="22"/>
          <w:lang w:val="es-ES_tradnl"/>
        </w:rPr>
      </w:pPr>
      <w:r w:rsidRPr="00E6228D">
        <w:rPr>
          <w:rFonts w:ascii="Arial" w:eastAsia="Calibri" w:hAnsi="Arial" w:cs="Arial"/>
          <w:b/>
          <w:color w:val="000000" w:themeColor="text1"/>
          <w:sz w:val="22"/>
          <w:lang w:val="es-ES_tradnl"/>
        </w:rPr>
        <w:t xml:space="preserve">2.3. Posibilidad de </w:t>
      </w:r>
      <w:r w:rsidR="002F7B2F" w:rsidRPr="00E6228D">
        <w:rPr>
          <w:rFonts w:ascii="Arial" w:eastAsia="Calibri" w:hAnsi="Arial" w:cs="Arial"/>
          <w:b/>
          <w:color w:val="000000" w:themeColor="text1"/>
          <w:sz w:val="22"/>
          <w:lang w:val="es-ES_tradnl"/>
        </w:rPr>
        <w:t>actualizar</w:t>
      </w:r>
      <w:r w:rsidRPr="00E6228D">
        <w:rPr>
          <w:rFonts w:ascii="Arial" w:eastAsia="Calibri" w:hAnsi="Arial" w:cs="Arial"/>
          <w:b/>
          <w:color w:val="000000" w:themeColor="text1"/>
          <w:sz w:val="22"/>
          <w:lang w:val="es-ES_tradnl"/>
        </w:rPr>
        <w:t xml:space="preserve"> la información relativa a la experiencia en el </w:t>
      </w:r>
      <w:r w:rsidR="00454BC6" w:rsidRPr="00E6228D">
        <w:rPr>
          <w:rFonts w:ascii="Arial" w:eastAsia="Calibri" w:hAnsi="Arial" w:cs="Arial"/>
          <w:b/>
          <w:color w:val="000000" w:themeColor="text1"/>
          <w:sz w:val="22"/>
          <w:lang w:val="es-ES_tradnl"/>
        </w:rPr>
        <w:t>Registro Único Empresarial</w:t>
      </w:r>
      <w:r w:rsidR="002F7B2F" w:rsidRPr="00E6228D">
        <w:rPr>
          <w:rFonts w:ascii="Arial" w:eastAsia="Calibri" w:hAnsi="Arial" w:cs="Arial"/>
          <w:b/>
          <w:color w:val="000000" w:themeColor="text1"/>
          <w:sz w:val="22"/>
          <w:lang w:val="es-ES_tradnl"/>
        </w:rPr>
        <w:t xml:space="preserve"> y Social</w:t>
      </w:r>
      <w:r w:rsidR="00106194" w:rsidRPr="00E6228D">
        <w:rPr>
          <w:rFonts w:ascii="Arial" w:eastAsia="Calibri" w:hAnsi="Arial" w:cs="Arial"/>
          <w:b/>
          <w:color w:val="000000" w:themeColor="text1"/>
          <w:sz w:val="22"/>
          <w:lang w:val="es-ES_tradnl"/>
        </w:rPr>
        <w:t xml:space="preserve"> –RUES–</w:t>
      </w:r>
      <w:r w:rsidR="00454BC6" w:rsidRPr="00E6228D">
        <w:rPr>
          <w:rFonts w:ascii="Arial" w:eastAsia="Calibri" w:hAnsi="Arial" w:cs="Arial"/>
          <w:b/>
          <w:color w:val="000000" w:themeColor="text1"/>
          <w:sz w:val="22"/>
          <w:lang w:val="es-ES_tradnl"/>
        </w:rPr>
        <w:t xml:space="preserve"> antes de presentar la propuesta</w:t>
      </w:r>
      <w:r w:rsidR="00106194" w:rsidRPr="00E6228D">
        <w:rPr>
          <w:rFonts w:ascii="Arial" w:eastAsia="Calibri" w:hAnsi="Arial" w:cs="Arial"/>
          <w:b/>
          <w:color w:val="000000" w:themeColor="text1"/>
          <w:sz w:val="22"/>
          <w:lang w:val="es-ES_tradnl"/>
        </w:rPr>
        <w:t xml:space="preserve"> en el procedimiento de mínima cuantía</w:t>
      </w:r>
    </w:p>
    <w:p w14:paraId="24F0BEBF" w14:textId="09BF8731" w:rsidR="00F3318F" w:rsidRPr="00E6228D" w:rsidRDefault="00F3318F" w:rsidP="00544348">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7CEF8E01" w14:textId="65C9C230" w:rsidR="00E06A99" w:rsidRPr="00E6228D" w:rsidRDefault="00E06A99" w:rsidP="007F6DC2">
      <w:pPr>
        <w:spacing w:line="276" w:lineRule="auto"/>
        <w:jc w:val="both"/>
        <w:rPr>
          <w:rFonts w:ascii="Arial" w:hAnsi="Arial" w:cs="Arial"/>
          <w:color w:val="000000" w:themeColor="text1"/>
          <w:sz w:val="22"/>
          <w:lang w:val="es-ES_tradnl"/>
        </w:rPr>
      </w:pPr>
      <w:r w:rsidRPr="00E6228D">
        <w:rPr>
          <w:rFonts w:ascii="Arial" w:hAnsi="Arial" w:cs="Arial"/>
          <w:color w:val="000000" w:themeColor="text1"/>
          <w:sz w:val="22"/>
          <w:lang w:val="es-ES_tradnl"/>
        </w:rPr>
        <w:t>Si, como se indicó, la experiencia puede ser exigida por las entidades estatales en la invitación de mínima cuantía como requisito habilitante,</w:t>
      </w:r>
      <w:r w:rsidR="004016D9" w:rsidRPr="00E6228D">
        <w:rPr>
          <w:rFonts w:ascii="Arial" w:hAnsi="Arial" w:cs="Arial"/>
          <w:color w:val="000000" w:themeColor="text1"/>
          <w:sz w:val="22"/>
          <w:lang w:val="es-ES_tradnl"/>
        </w:rPr>
        <w:t xml:space="preserve"> cuando ello ocurra los interesados en presentar su propuesta deben cumplir con la experiencia en las actividades requerida por la entidad estatal, según el objeto del contrato a celebrar</w:t>
      </w:r>
      <w:r w:rsidR="007F6DC2" w:rsidRPr="00E6228D">
        <w:rPr>
          <w:rFonts w:ascii="Arial" w:hAnsi="Arial" w:cs="Arial"/>
          <w:color w:val="000000" w:themeColor="text1"/>
          <w:sz w:val="22"/>
          <w:lang w:val="es-ES_tradnl"/>
        </w:rPr>
        <w:t>.</w:t>
      </w:r>
    </w:p>
    <w:p w14:paraId="67593DF4" w14:textId="77777777" w:rsidR="00084A7B" w:rsidRPr="00E6228D" w:rsidRDefault="007F6DC2" w:rsidP="00A62F3B">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Generalmente, la experiencia de los oferentes</w:t>
      </w:r>
      <w:r w:rsidR="00FA12FD" w:rsidRPr="00E6228D">
        <w:rPr>
          <w:rFonts w:ascii="Arial" w:hAnsi="Arial" w:cs="Arial"/>
          <w:color w:val="000000" w:themeColor="text1"/>
          <w:sz w:val="22"/>
          <w:lang w:val="es-ES_tradnl"/>
        </w:rPr>
        <w:t xml:space="preserve"> en la contratación estatal</w:t>
      </w:r>
      <w:r w:rsidRPr="00E6228D">
        <w:rPr>
          <w:rFonts w:ascii="Arial" w:hAnsi="Arial" w:cs="Arial"/>
          <w:color w:val="000000" w:themeColor="text1"/>
          <w:sz w:val="22"/>
          <w:lang w:val="es-ES_tradnl"/>
        </w:rPr>
        <w:t xml:space="preserve"> se acredita con el certificado </w:t>
      </w:r>
      <w:r w:rsidR="00FA12FD" w:rsidRPr="00E6228D">
        <w:rPr>
          <w:rFonts w:ascii="Arial" w:hAnsi="Arial" w:cs="Arial"/>
          <w:color w:val="000000" w:themeColor="text1"/>
          <w:sz w:val="22"/>
          <w:lang w:val="es-ES_tradnl"/>
        </w:rPr>
        <w:t xml:space="preserve">del Registro Único de Proponentes –RUP– expedido por las cámaras de comercio, pues así se deduce del artículo </w:t>
      </w:r>
      <w:r w:rsidR="00D100F1" w:rsidRPr="00E6228D">
        <w:rPr>
          <w:rFonts w:ascii="Arial" w:hAnsi="Arial" w:cs="Arial"/>
          <w:color w:val="000000" w:themeColor="text1"/>
          <w:sz w:val="22"/>
          <w:lang w:val="es-ES_tradnl"/>
        </w:rPr>
        <w:t>6 de la Ley 1150 de 2007</w:t>
      </w:r>
      <w:r w:rsidR="009D1F09" w:rsidRPr="00E6228D">
        <w:rPr>
          <w:rFonts w:ascii="Arial" w:hAnsi="Arial" w:cs="Arial"/>
          <w:color w:val="000000" w:themeColor="text1"/>
          <w:sz w:val="22"/>
          <w:lang w:val="es-ES_tradnl"/>
        </w:rPr>
        <w:t>,</w:t>
      </w:r>
      <w:r w:rsidR="00D100F1" w:rsidRPr="00E6228D">
        <w:rPr>
          <w:rFonts w:ascii="Arial" w:hAnsi="Arial" w:cs="Arial"/>
          <w:color w:val="000000" w:themeColor="text1"/>
          <w:sz w:val="22"/>
          <w:lang w:val="es-ES_tradnl"/>
        </w:rPr>
        <w:t xml:space="preserve"> que establece que, en principio, todos los interesados en participar en procedimientos de selección y celebrar contratos estatales deben inscribirse en dicho registro. </w:t>
      </w:r>
      <w:r w:rsidR="00FA12FD" w:rsidRPr="00E6228D">
        <w:rPr>
          <w:rFonts w:ascii="Arial" w:hAnsi="Arial" w:cs="Arial"/>
          <w:color w:val="000000" w:themeColor="text1"/>
          <w:sz w:val="22"/>
          <w:lang w:val="es-ES_tradnl"/>
        </w:rPr>
        <w:t>No obstante</w:t>
      </w:r>
      <w:r w:rsidR="00D100F1" w:rsidRPr="00E6228D">
        <w:rPr>
          <w:rFonts w:ascii="Arial" w:hAnsi="Arial" w:cs="Arial"/>
          <w:color w:val="000000" w:themeColor="text1"/>
          <w:sz w:val="22"/>
          <w:lang w:val="es-ES_tradnl"/>
        </w:rPr>
        <w:t>, para la modalidad de mínima cuantía no se exige este requisito</w:t>
      </w:r>
      <w:r w:rsidR="00D100F1" w:rsidRPr="00E6228D">
        <w:rPr>
          <w:rStyle w:val="Refdenotaalpie"/>
          <w:rFonts w:ascii="Arial" w:hAnsi="Arial" w:cs="Arial"/>
          <w:color w:val="000000" w:themeColor="text1"/>
          <w:sz w:val="22"/>
          <w:lang w:val="es-ES_tradnl"/>
        </w:rPr>
        <w:footnoteReference w:id="17"/>
      </w:r>
      <w:r w:rsidR="00D100F1" w:rsidRPr="00E6228D">
        <w:rPr>
          <w:rFonts w:ascii="Arial" w:hAnsi="Arial" w:cs="Arial"/>
          <w:color w:val="000000" w:themeColor="text1"/>
          <w:sz w:val="22"/>
          <w:lang w:val="es-ES_tradnl"/>
        </w:rPr>
        <w:t>.</w:t>
      </w:r>
      <w:r w:rsidR="00084A7B" w:rsidRPr="00E6228D">
        <w:rPr>
          <w:rFonts w:ascii="Arial" w:hAnsi="Arial" w:cs="Arial"/>
          <w:color w:val="000000" w:themeColor="text1"/>
          <w:sz w:val="22"/>
          <w:lang w:val="es-ES_tradnl"/>
        </w:rPr>
        <w:t xml:space="preserve"> </w:t>
      </w:r>
    </w:p>
    <w:p w14:paraId="3DC8B386" w14:textId="47AC2C14" w:rsidR="00813126" w:rsidRPr="00E6228D" w:rsidRDefault="00084A7B" w:rsidP="00A62F3B">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lastRenderedPageBreak/>
        <w:t>Esto significa que las entidades estatales no pueden establecer como requisito habilitante que los interesados en presentar su oferta dentro de un procedimiento de mínima cuantía estén inscritos en el RUP</w:t>
      </w:r>
      <w:r w:rsidR="008224C7" w:rsidRPr="00E6228D">
        <w:rPr>
          <w:rFonts w:ascii="Arial" w:hAnsi="Arial" w:cs="Arial"/>
          <w:color w:val="000000" w:themeColor="text1"/>
          <w:sz w:val="22"/>
          <w:lang w:val="es-ES_tradnl"/>
        </w:rPr>
        <w:t xml:space="preserve">, aunque </w:t>
      </w:r>
      <w:r w:rsidRPr="00E6228D">
        <w:rPr>
          <w:rFonts w:ascii="Arial" w:hAnsi="Arial" w:cs="Arial"/>
          <w:color w:val="000000" w:themeColor="text1"/>
          <w:sz w:val="22"/>
          <w:lang w:val="es-ES_tradnl"/>
        </w:rPr>
        <w:t xml:space="preserve">pueden exigir una experiencia mínima, </w:t>
      </w:r>
      <w:r w:rsidR="008224C7" w:rsidRPr="00E6228D">
        <w:rPr>
          <w:rFonts w:ascii="Arial" w:hAnsi="Arial" w:cs="Arial"/>
          <w:color w:val="000000" w:themeColor="text1"/>
          <w:sz w:val="22"/>
          <w:lang w:val="es-ES_tradnl"/>
        </w:rPr>
        <w:t>pues así lo permite el numeral 1 del artículo 2.2.1.2.1.5.2. del Decreto 1082 de 2015. Pero, tal experiencia se puede acreditar por los proponentes</w:t>
      </w:r>
      <w:r w:rsidR="00967D81" w:rsidRPr="00E6228D">
        <w:rPr>
          <w:rFonts w:ascii="Arial" w:hAnsi="Arial" w:cs="Arial"/>
          <w:color w:val="000000" w:themeColor="text1"/>
          <w:sz w:val="22"/>
          <w:lang w:val="es-ES_tradnl"/>
        </w:rPr>
        <w:t xml:space="preserve"> a través de otros documentos, como certificados</w:t>
      </w:r>
      <w:r w:rsidR="00813126" w:rsidRPr="00E6228D">
        <w:rPr>
          <w:rFonts w:ascii="Arial" w:hAnsi="Arial" w:cs="Arial"/>
          <w:color w:val="000000" w:themeColor="text1"/>
          <w:sz w:val="22"/>
          <w:lang w:val="es-ES_tradnl"/>
        </w:rPr>
        <w:t xml:space="preserve"> o</w:t>
      </w:r>
      <w:r w:rsidR="00967D81" w:rsidRPr="00E6228D">
        <w:rPr>
          <w:rFonts w:ascii="Arial" w:hAnsi="Arial" w:cs="Arial"/>
          <w:color w:val="000000" w:themeColor="text1"/>
          <w:sz w:val="22"/>
          <w:lang w:val="es-ES_tradnl"/>
        </w:rPr>
        <w:t xml:space="preserve"> copias de contratos</w:t>
      </w:r>
      <w:r w:rsidR="00813126" w:rsidRPr="00E6228D">
        <w:rPr>
          <w:rFonts w:ascii="Arial" w:hAnsi="Arial" w:cs="Arial"/>
          <w:color w:val="000000" w:themeColor="text1"/>
          <w:sz w:val="22"/>
          <w:lang w:val="es-ES_tradnl"/>
        </w:rPr>
        <w:t xml:space="preserve"> ejecutados</w:t>
      </w:r>
      <w:r w:rsidR="002F730B" w:rsidRPr="00E6228D">
        <w:rPr>
          <w:rStyle w:val="Refdenotaalpie"/>
          <w:rFonts w:ascii="Arial" w:hAnsi="Arial" w:cs="Arial"/>
          <w:color w:val="000000" w:themeColor="text1"/>
          <w:sz w:val="22"/>
          <w:lang w:val="es-ES_tradnl"/>
        </w:rPr>
        <w:footnoteReference w:id="18"/>
      </w:r>
      <w:r w:rsidR="00813126" w:rsidRPr="00E6228D">
        <w:rPr>
          <w:rFonts w:ascii="Arial" w:hAnsi="Arial" w:cs="Arial"/>
          <w:color w:val="000000" w:themeColor="text1"/>
          <w:sz w:val="22"/>
          <w:lang w:val="es-ES_tradnl"/>
        </w:rPr>
        <w:t>; documentos que podrían subsanarse, por ser requisitos habilitantes, con los límites previstos en el artículo 5º de la Ley 1882 de 2018, que prohíbe, entre otros aspectos, acreditar circunstancias ocurridas con posterioridad al cierre del proceso, como se explicó anteriormente.</w:t>
      </w:r>
    </w:p>
    <w:p w14:paraId="5EC112AC" w14:textId="49739351" w:rsidR="00454BC6" w:rsidRPr="00E6228D" w:rsidRDefault="00813126" w:rsidP="00A62F3B">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Ahora bien, en su calidad de comerciantes, </w:t>
      </w:r>
      <w:r w:rsidR="00251F5C" w:rsidRPr="00E6228D">
        <w:rPr>
          <w:rFonts w:ascii="Arial" w:hAnsi="Arial" w:cs="Arial"/>
          <w:color w:val="000000" w:themeColor="text1"/>
          <w:sz w:val="22"/>
          <w:lang w:val="es-ES_tradnl"/>
        </w:rPr>
        <w:t>los proponentes deben estar inscritos en el Registro Único Empresarial</w:t>
      </w:r>
      <w:r w:rsidR="002F7B2F" w:rsidRPr="00E6228D">
        <w:rPr>
          <w:rFonts w:ascii="Arial" w:hAnsi="Arial" w:cs="Arial"/>
          <w:color w:val="000000" w:themeColor="text1"/>
          <w:sz w:val="22"/>
          <w:lang w:val="es-ES_tradnl"/>
        </w:rPr>
        <w:t xml:space="preserve"> y Social</w:t>
      </w:r>
      <w:r w:rsidR="00251F5C" w:rsidRPr="00E6228D">
        <w:rPr>
          <w:rFonts w:ascii="Arial" w:hAnsi="Arial" w:cs="Arial"/>
          <w:color w:val="000000" w:themeColor="text1"/>
          <w:sz w:val="22"/>
          <w:lang w:val="es-ES_tradnl"/>
        </w:rPr>
        <w:t xml:space="preserve"> –RUES– administrado por las cámaras de comerci</w:t>
      </w:r>
      <w:r w:rsidR="00765F3B" w:rsidRPr="00E6228D">
        <w:rPr>
          <w:rFonts w:ascii="Arial" w:hAnsi="Arial" w:cs="Arial"/>
          <w:color w:val="000000" w:themeColor="text1"/>
          <w:sz w:val="22"/>
          <w:lang w:val="es-ES_tradnl"/>
        </w:rPr>
        <w:t>o. En dicho documento se encuentra el listado de las actividades económicas que conforman el objeto d</w:t>
      </w:r>
      <w:r w:rsidR="004F61DE" w:rsidRPr="00E6228D">
        <w:rPr>
          <w:rFonts w:ascii="Arial" w:hAnsi="Arial" w:cs="Arial"/>
          <w:color w:val="000000" w:themeColor="text1"/>
          <w:sz w:val="22"/>
          <w:lang w:val="es-ES_tradnl"/>
        </w:rPr>
        <w:t xml:space="preserve">e las empresas, según </w:t>
      </w:r>
      <w:r w:rsidR="005B478A" w:rsidRPr="00E6228D">
        <w:rPr>
          <w:rFonts w:ascii="Arial" w:hAnsi="Arial" w:cs="Arial"/>
          <w:color w:val="000000" w:themeColor="text1"/>
          <w:sz w:val="22"/>
          <w:lang w:val="es-ES_tradnl"/>
        </w:rPr>
        <w:t xml:space="preserve">los códigos de </w:t>
      </w:r>
      <w:r w:rsidR="004F61DE" w:rsidRPr="00E6228D">
        <w:rPr>
          <w:rFonts w:ascii="Arial" w:hAnsi="Arial" w:cs="Arial"/>
          <w:color w:val="000000" w:themeColor="text1"/>
          <w:sz w:val="22"/>
          <w:lang w:val="es-ES_tradnl"/>
        </w:rPr>
        <w:t xml:space="preserve">la </w:t>
      </w:r>
      <w:r w:rsidR="005B478A" w:rsidRPr="00E6228D">
        <w:rPr>
          <w:rFonts w:ascii="Arial" w:hAnsi="Arial" w:cs="Arial"/>
          <w:color w:val="000000" w:themeColor="text1"/>
          <w:sz w:val="22"/>
          <w:lang w:val="es-ES_tradnl"/>
        </w:rPr>
        <w:t>Clasificación Industrial Internacional Uniforme (CIIU)</w:t>
      </w:r>
      <w:r w:rsidR="00575D80" w:rsidRPr="00E6228D">
        <w:rPr>
          <w:rFonts w:ascii="Arial" w:hAnsi="Arial" w:cs="Arial"/>
          <w:color w:val="000000" w:themeColor="text1"/>
          <w:sz w:val="22"/>
          <w:lang w:val="es-ES_tradnl"/>
        </w:rPr>
        <w:t>, en virtud de lo dispuesto en el artículo 11 de la Ley 590</w:t>
      </w:r>
      <w:r w:rsidR="00C24648" w:rsidRPr="00E6228D">
        <w:rPr>
          <w:rFonts w:ascii="Arial" w:hAnsi="Arial" w:cs="Arial"/>
          <w:color w:val="000000" w:themeColor="text1"/>
          <w:sz w:val="22"/>
          <w:lang w:val="es-ES_tradnl"/>
        </w:rPr>
        <w:t xml:space="preserve"> de 2000</w:t>
      </w:r>
      <w:r w:rsidR="00C24648" w:rsidRPr="00E6228D">
        <w:rPr>
          <w:rStyle w:val="Refdenotaalpie"/>
          <w:rFonts w:ascii="Arial" w:hAnsi="Arial" w:cs="Arial"/>
          <w:color w:val="000000" w:themeColor="text1"/>
          <w:sz w:val="22"/>
          <w:lang w:val="es-ES_tradnl"/>
        </w:rPr>
        <w:footnoteReference w:id="19"/>
      </w:r>
      <w:r w:rsidR="00C24648" w:rsidRPr="00E6228D">
        <w:rPr>
          <w:rFonts w:ascii="Arial" w:hAnsi="Arial" w:cs="Arial"/>
          <w:color w:val="000000" w:themeColor="text1"/>
          <w:sz w:val="22"/>
          <w:lang w:val="es-ES_tradnl"/>
        </w:rPr>
        <w:t xml:space="preserve"> y el </w:t>
      </w:r>
      <w:r w:rsidR="005B478A" w:rsidRPr="00E6228D">
        <w:rPr>
          <w:rFonts w:ascii="Arial" w:hAnsi="Arial" w:cs="Arial"/>
          <w:color w:val="000000" w:themeColor="text1"/>
          <w:sz w:val="22"/>
          <w:lang w:val="es-ES_tradnl"/>
        </w:rPr>
        <w:t>artículo 166 del Decreto 019 de 2012</w:t>
      </w:r>
      <w:r w:rsidR="00D11104" w:rsidRPr="00E6228D">
        <w:rPr>
          <w:rStyle w:val="Refdenotaalpie"/>
          <w:rFonts w:ascii="Arial" w:hAnsi="Arial" w:cs="Arial"/>
          <w:color w:val="000000" w:themeColor="text1"/>
          <w:sz w:val="22"/>
          <w:lang w:val="es-ES_tradnl"/>
        </w:rPr>
        <w:footnoteReference w:id="20"/>
      </w:r>
      <w:r w:rsidR="005B478A" w:rsidRPr="00E6228D">
        <w:rPr>
          <w:rFonts w:ascii="Arial" w:hAnsi="Arial" w:cs="Arial"/>
          <w:color w:val="000000" w:themeColor="text1"/>
          <w:sz w:val="22"/>
          <w:lang w:val="es-ES_tradnl"/>
        </w:rPr>
        <w:t>.</w:t>
      </w:r>
    </w:p>
    <w:p w14:paraId="7A481398" w14:textId="4B4B3CED" w:rsidR="00D87DD1" w:rsidRPr="00E6228D" w:rsidRDefault="00454BC6" w:rsidP="00A62F3B">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lastRenderedPageBreak/>
        <w:t xml:space="preserve">En consecuencia, tanto el </w:t>
      </w:r>
      <w:r w:rsidR="001A79E5" w:rsidRPr="00E6228D">
        <w:rPr>
          <w:rFonts w:ascii="Arial" w:hAnsi="Arial" w:cs="Arial"/>
          <w:color w:val="000000" w:themeColor="text1"/>
          <w:sz w:val="22"/>
          <w:lang w:val="es-ES_tradnl"/>
        </w:rPr>
        <w:t>R</w:t>
      </w:r>
      <w:r w:rsidRPr="00E6228D">
        <w:rPr>
          <w:rFonts w:ascii="Arial" w:hAnsi="Arial" w:cs="Arial"/>
          <w:color w:val="000000" w:themeColor="text1"/>
          <w:sz w:val="22"/>
          <w:lang w:val="es-ES_tradnl"/>
        </w:rPr>
        <w:t xml:space="preserve">egistro </w:t>
      </w:r>
      <w:r w:rsidR="001A79E5" w:rsidRPr="00E6228D">
        <w:rPr>
          <w:rFonts w:ascii="Arial" w:hAnsi="Arial" w:cs="Arial"/>
          <w:color w:val="000000" w:themeColor="text1"/>
          <w:sz w:val="22"/>
          <w:lang w:val="es-ES_tradnl"/>
        </w:rPr>
        <w:t>M</w:t>
      </w:r>
      <w:r w:rsidRPr="00E6228D">
        <w:rPr>
          <w:rFonts w:ascii="Arial" w:hAnsi="Arial" w:cs="Arial"/>
          <w:color w:val="000000" w:themeColor="text1"/>
          <w:sz w:val="22"/>
          <w:lang w:val="es-ES_tradnl"/>
        </w:rPr>
        <w:t>ercantil,</w:t>
      </w:r>
      <w:r w:rsidR="00652B70" w:rsidRPr="00E6228D">
        <w:rPr>
          <w:rFonts w:ascii="Arial" w:hAnsi="Arial" w:cs="Arial"/>
          <w:color w:val="000000" w:themeColor="text1"/>
          <w:sz w:val="22"/>
          <w:lang w:val="es-ES_tradnl"/>
        </w:rPr>
        <w:t xml:space="preserve"> </w:t>
      </w:r>
      <w:r w:rsidRPr="00E6228D">
        <w:rPr>
          <w:rFonts w:ascii="Arial" w:hAnsi="Arial" w:cs="Arial"/>
          <w:color w:val="000000" w:themeColor="text1"/>
          <w:sz w:val="22"/>
          <w:lang w:val="es-ES_tradnl"/>
        </w:rPr>
        <w:t>como el</w:t>
      </w:r>
      <w:r w:rsidR="001A79E5" w:rsidRPr="00E6228D">
        <w:rPr>
          <w:rFonts w:ascii="Arial" w:hAnsi="Arial" w:cs="Arial"/>
          <w:color w:val="000000" w:themeColor="text1"/>
          <w:sz w:val="22"/>
          <w:lang w:val="es-ES_tradnl"/>
        </w:rPr>
        <w:t xml:space="preserve"> Registro Único de Proponentes</w:t>
      </w:r>
      <w:r w:rsidR="005F1772" w:rsidRPr="00E6228D">
        <w:rPr>
          <w:rFonts w:ascii="Arial" w:hAnsi="Arial" w:cs="Arial"/>
          <w:color w:val="000000" w:themeColor="text1"/>
          <w:sz w:val="22"/>
          <w:lang w:val="es-ES_tradnl"/>
        </w:rPr>
        <w:t>, entre otros</w:t>
      </w:r>
      <w:r w:rsidR="007B7B35" w:rsidRPr="00E6228D">
        <w:rPr>
          <w:rFonts w:ascii="Arial" w:hAnsi="Arial" w:cs="Arial"/>
          <w:color w:val="000000" w:themeColor="text1"/>
          <w:sz w:val="22"/>
          <w:lang w:val="es-ES_tradnl"/>
        </w:rPr>
        <w:t xml:space="preserve"> tantos</w:t>
      </w:r>
      <w:r w:rsidR="005F1772" w:rsidRPr="00E6228D">
        <w:rPr>
          <w:rFonts w:ascii="Arial" w:hAnsi="Arial" w:cs="Arial"/>
          <w:color w:val="000000" w:themeColor="text1"/>
          <w:sz w:val="22"/>
          <w:lang w:val="es-ES_tradnl"/>
        </w:rPr>
        <w:t>,</w:t>
      </w:r>
      <w:r w:rsidR="001A79E5" w:rsidRPr="00E6228D">
        <w:rPr>
          <w:rFonts w:ascii="Arial" w:hAnsi="Arial" w:cs="Arial"/>
          <w:color w:val="000000" w:themeColor="text1"/>
          <w:sz w:val="22"/>
          <w:lang w:val="es-ES_tradnl"/>
        </w:rPr>
        <w:t xml:space="preserve"> quedaron integrados en el Registro Único Empresarial</w:t>
      </w:r>
      <w:r w:rsidR="00D67A53" w:rsidRPr="00E6228D">
        <w:rPr>
          <w:rFonts w:ascii="Arial" w:hAnsi="Arial" w:cs="Arial"/>
          <w:color w:val="000000" w:themeColor="text1"/>
          <w:sz w:val="22"/>
          <w:lang w:val="es-ES_tradnl"/>
        </w:rPr>
        <w:t xml:space="preserve"> y Social</w:t>
      </w:r>
      <w:r w:rsidR="001A79E5" w:rsidRPr="00E6228D">
        <w:rPr>
          <w:rFonts w:ascii="Arial" w:hAnsi="Arial" w:cs="Arial"/>
          <w:color w:val="000000" w:themeColor="text1"/>
          <w:sz w:val="22"/>
          <w:lang w:val="es-ES_tradnl"/>
        </w:rPr>
        <w:t xml:space="preserve"> –RUES–</w:t>
      </w:r>
      <w:r w:rsidR="00B02235" w:rsidRPr="00E6228D">
        <w:rPr>
          <w:rFonts w:ascii="Arial" w:hAnsi="Arial" w:cs="Arial"/>
          <w:color w:val="000000" w:themeColor="text1"/>
          <w:sz w:val="22"/>
          <w:lang w:val="es-ES_tradnl"/>
        </w:rPr>
        <w:t>. Esto ha permitido la centralización de la información relacionada con los comerciantes</w:t>
      </w:r>
      <w:r w:rsidR="007F4CD9" w:rsidRPr="00E6228D">
        <w:rPr>
          <w:rFonts w:ascii="Arial" w:hAnsi="Arial" w:cs="Arial"/>
          <w:color w:val="000000" w:themeColor="text1"/>
          <w:sz w:val="22"/>
          <w:lang w:val="es-ES_tradnl"/>
        </w:rPr>
        <w:t>.</w:t>
      </w:r>
      <w:r w:rsidR="00B02235" w:rsidRPr="00E6228D">
        <w:rPr>
          <w:rFonts w:ascii="Arial" w:hAnsi="Arial" w:cs="Arial"/>
          <w:color w:val="000000" w:themeColor="text1"/>
          <w:sz w:val="22"/>
          <w:lang w:val="es-ES_tradnl"/>
        </w:rPr>
        <w:t xml:space="preserve"> </w:t>
      </w:r>
      <w:r w:rsidR="007F4CD9" w:rsidRPr="00E6228D">
        <w:rPr>
          <w:rFonts w:ascii="Arial" w:hAnsi="Arial" w:cs="Arial"/>
          <w:color w:val="000000" w:themeColor="text1"/>
          <w:sz w:val="22"/>
          <w:lang w:val="es-ES_tradnl"/>
        </w:rPr>
        <w:t>El RUES debe renovarse</w:t>
      </w:r>
      <w:r w:rsidR="00B02235" w:rsidRPr="00E6228D">
        <w:rPr>
          <w:rFonts w:ascii="Arial" w:hAnsi="Arial" w:cs="Arial"/>
          <w:color w:val="000000" w:themeColor="text1"/>
          <w:sz w:val="22"/>
          <w:lang w:val="es-ES_tradnl"/>
        </w:rPr>
        <w:t xml:space="preserve"> durante los tres primeros meses de cada año</w:t>
      </w:r>
      <w:r w:rsidR="007F4CD9" w:rsidRPr="00E6228D">
        <w:rPr>
          <w:rFonts w:ascii="Arial" w:hAnsi="Arial" w:cs="Arial"/>
          <w:color w:val="000000" w:themeColor="text1"/>
          <w:sz w:val="22"/>
          <w:lang w:val="es-ES_tradnl"/>
        </w:rPr>
        <w:t xml:space="preserve">. </w:t>
      </w:r>
      <w:r w:rsidR="00B02235" w:rsidRPr="00E6228D">
        <w:rPr>
          <w:rFonts w:ascii="Arial" w:hAnsi="Arial" w:cs="Arial"/>
          <w:color w:val="000000" w:themeColor="text1"/>
          <w:sz w:val="22"/>
          <w:lang w:val="es-ES_tradnl"/>
        </w:rPr>
        <w:t xml:space="preserve">Así lo prevé el </w:t>
      </w:r>
      <w:r w:rsidR="005E3050" w:rsidRPr="00E6228D">
        <w:rPr>
          <w:rFonts w:ascii="Arial" w:hAnsi="Arial" w:cs="Arial"/>
          <w:color w:val="000000" w:themeColor="text1"/>
          <w:sz w:val="22"/>
          <w:lang w:val="es-ES_tradnl"/>
        </w:rPr>
        <w:t xml:space="preserve">citado </w:t>
      </w:r>
      <w:r w:rsidR="00B02235" w:rsidRPr="00E6228D">
        <w:rPr>
          <w:rFonts w:ascii="Arial" w:hAnsi="Arial" w:cs="Arial"/>
          <w:color w:val="000000" w:themeColor="text1"/>
          <w:sz w:val="22"/>
          <w:lang w:val="es-ES_tradnl"/>
        </w:rPr>
        <w:t xml:space="preserve">artículo </w:t>
      </w:r>
      <w:r w:rsidR="00A76BEC" w:rsidRPr="00E6228D">
        <w:rPr>
          <w:rFonts w:ascii="Arial" w:hAnsi="Arial" w:cs="Arial"/>
          <w:color w:val="000000" w:themeColor="text1"/>
          <w:sz w:val="22"/>
          <w:lang w:val="es-ES_tradnl"/>
        </w:rPr>
        <w:t xml:space="preserve">166 del Decreto 019 de 2012. </w:t>
      </w:r>
      <w:r w:rsidR="00D87DD1" w:rsidRPr="00E6228D">
        <w:rPr>
          <w:rFonts w:ascii="Arial" w:hAnsi="Arial" w:cs="Arial"/>
          <w:color w:val="000000" w:themeColor="text1"/>
          <w:sz w:val="22"/>
          <w:lang w:val="es-ES_tradnl"/>
        </w:rPr>
        <w:t xml:space="preserve">Sin embargo, en cualquier momento </w:t>
      </w:r>
      <w:r w:rsidR="007F4CD9" w:rsidRPr="00E6228D">
        <w:rPr>
          <w:rFonts w:ascii="Arial" w:hAnsi="Arial" w:cs="Arial"/>
          <w:color w:val="000000" w:themeColor="text1"/>
          <w:sz w:val="22"/>
          <w:lang w:val="es-ES_tradnl"/>
        </w:rPr>
        <w:t>se puede actualizar su información</w:t>
      </w:r>
      <w:r w:rsidR="00D87DD1" w:rsidRPr="00E6228D">
        <w:rPr>
          <w:rFonts w:ascii="Arial" w:hAnsi="Arial" w:cs="Arial"/>
          <w:color w:val="000000" w:themeColor="text1"/>
          <w:sz w:val="22"/>
          <w:lang w:val="es-ES_tradnl"/>
        </w:rPr>
        <w:t>, diligenciando el formulario suministrado por las cámaras de comercio</w:t>
      </w:r>
      <w:r w:rsidR="00DE1F24" w:rsidRPr="00E6228D">
        <w:rPr>
          <w:rFonts w:ascii="Arial" w:hAnsi="Arial" w:cs="Arial"/>
          <w:color w:val="000000" w:themeColor="text1"/>
          <w:sz w:val="22"/>
          <w:lang w:val="es-ES_tradnl"/>
        </w:rPr>
        <w:t>, adoptado por la Resolución Nº 60222 del 12 de octubre de 2012 de la Superintendencia de Industria y Comercio «Por la cual se aprueba el Formulario Único de Registro Empresarial y Social –RUES– y sus anexos»</w:t>
      </w:r>
      <w:r w:rsidR="00D87DD1" w:rsidRPr="00E6228D">
        <w:rPr>
          <w:rFonts w:ascii="Arial" w:hAnsi="Arial" w:cs="Arial"/>
          <w:color w:val="000000" w:themeColor="text1"/>
          <w:sz w:val="22"/>
          <w:lang w:val="es-ES_tradnl"/>
        </w:rPr>
        <w:t>.</w:t>
      </w:r>
      <w:r w:rsidR="00715001" w:rsidRPr="00E6228D">
        <w:rPr>
          <w:rFonts w:ascii="Arial" w:hAnsi="Arial" w:cs="Arial"/>
          <w:color w:val="000000" w:themeColor="text1"/>
          <w:sz w:val="22"/>
          <w:lang w:val="es-ES_tradnl"/>
        </w:rPr>
        <w:t xml:space="preserve"> </w:t>
      </w:r>
      <w:r w:rsidR="00D87DD1" w:rsidRPr="00E6228D">
        <w:rPr>
          <w:rFonts w:ascii="Arial" w:hAnsi="Arial" w:cs="Arial"/>
          <w:color w:val="000000" w:themeColor="text1"/>
          <w:sz w:val="22"/>
          <w:lang w:val="es-ES_tradnl"/>
        </w:rPr>
        <w:t>Tal posibilidad de actualización ya se admitía para el RUP, con fundamento en el</w:t>
      </w:r>
      <w:r w:rsidR="001C42FB" w:rsidRPr="00E6228D">
        <w:rPr>
          <w:rFonts w:ascii="Arial" w:hAnsi="Arial" w:cs="Arial"/>
          <w:color w:val="000000" w:themeColor="text1"/>
          <w:sz w:val="22"/>
          <w:lang w:val="es-ES_tradnl"/>
        </w:rPr>
        <w:t xml:space="preserve"> inciso 5 del numeral 6.1. del artículo 6 de la Ley 1150 de 2007,</w:t>
      </w:r>
      <w:r w:rsidR="00637BCB" w:rsidRPr="00E6228D">
        <w:rPr>
          <w:rFonts w:ascii="Arial" w:hAnsi="Arial" w:cs="Arial"/>
          <w:color w:val="000000" w:themeColor="text1"/>
          <w:sz w:val="22"/>
          <w:lang w:val="es-ES_tradnl"/>
        </w:rPr>
        <w:t xml:space="preserve"> que establece que la información del RUP deberá «mantenerse actualizada»; prescripción ratificada por el </w:t>
      </w:r>
      <w:r w:rsidR="00CC2112" w:rsidRPr="00E6228D">
        <w:rPr>
          <w:rFonts w:ascii="Arial" w:hAnsi="Arial" w:cs="Arial"/>
          <w:color w:val="000000" w:themeColor="text1"/>
          <w:sz w:val="22"/>
          <w:lang w:val="es-ES_tradnl"/>
        </w:rPr>
        <w:t>reglamento, pues el</w:t>
      </w:r>
      <w:r w:rsidR="00765260" w:rsidRPr="00E6228D">
        <w:rPr>
          <w:rFonts w:ascii="Arial" w:hAnsi="Arial" w:cs="Arial"/>
          <w:color w:val="000000" w:themeColor="text1"/>
          <w:sz w:val="22"/>
          <w:lang w:val="es-ES_tradnl"/>
        </w:rPr>
        <w:t xml:space="preserve"> tercer inciso del</w:t>
      </w:r>
      <w:r w:rsidR="00CC2112" w:rsidRPr="00E6228D">
        <w:rPr>
          <w:rFonts w:ascii="Arial" w:hAnsi="Arial" w:cs="Arial"/>
          <w:color w:val="000000" w:themeColor="text1"/>
          <w:sz w:val="22"/>
          <w:lang w:val="es-ES_tradnl"/>
        </w:rPr>
        <w:t xml:space="preserve"> artículo 2.2.1.1.1.5.1. del Decreto 1082 de 2015</w:t>
      </w:r>
      <w:r w:rsidR="00765260" w:rsidRPr="00E6228D">
        <w:rPr>
          <w:rFonts w:ascii="Arial" w:hAnsi="Arial" w:cs="Arial"/>
          <w:color w:val="000000" w:themeColor="text1"/>
          <w:sz w:val="22"/>
          <w:lang w:val="es-ES_tradnl"/>
        </w:rPr>
        <w:t xml:space="preserve"> señala que «La persona inscrita en el RUP puede actualizar la información registrada</w:t>
      </w:r>
      <w:r w:rsidR="00196D5A" w:rsidRPr="00E6228D">
        <w:rPr>
          <w:rFonts w:ascii="Arial" w:hAnsi="Arial" w:cs="Arial"/>
          <w:color w:val="000000" w:themeColor="text1"/>
          <w:sz w:val="22"/>
          <w:lang w:val="es-ES_tradnl"/>
        </w:rPr>
        <w:t xml:space="preserve"> relativa a su experiencia y capacidad jurídica en cualquier tiempo».</w:t>
      </w:r>
      <w:r w:rsidR="00637BCB" w:rsidRPr="00E6228D">
        <w:rPr>
          <w:rFonts w:ascii="Arial" w:hAnsi="Arial" w:cs="Arial"/>
          <w:color w:val="000000" w:themeColor="text1"/>
          <w:sz w:val="22"/>
          <w:lang w:val="es-ES_tradnl"/>
        </w:rPr>
        <w:t xml:space="preserve"> </w:t>
      </w:r>
      <w:r w:rsidR="00196D5A" w:rsidRPr="00E6228D">
        <w:rPr>
          <w:rFonts w:ascii="Arial" w:hAnsi="Arial" w:cs="Arial"/>
          <w:color w:val="000000" w:themeColor="text1"/>
          <w:sz w:val="22"/>
          <w:lang w:val="es-ES_tradnl"/>
        </w:rPr>
        <w:t xml:space="preserve">Así también lo ha admitido la Superintendencia de Industria y Comercio, al indicar que </w:t>
      </w:r>
      <w:r w:rsidR="00727FE7" w:rsidRPr="00E6228D">
        <w:rPr>
          <w:rFonts w:ascii="Arial" w:hAnsi="Arial" w:cs="Arial"/>
          <w:color w:val="000000" w:themeColor="text1"/>
          <w:sz w:val="22"/>
          <w:lang w:val="es-ES_tradnl"/>
        </w:rPr>
        <w:t>«</w:t>
      </w:r>
      <w:r w:rsidR="00D87DD1" w:rsidRPr="00E6228D">
        <w:rPr>
          <w:rFonts w:ascii="Arial" w:hAnsi="Arial" w:cs="Arial"/>
          <w:color w:val="000000" w:themeColor="text1"/>
          <w:sz w:val="22"/>
          <w:lang w:val="es-ES_tradnl"/>
        </w:rPr>
        <w:t xml:space="preserve">Los proponentes podrán actualizar en cualquier momento la información relativa a su experiencia y capacidad jurídica reportada en el Registro Único de Proponentes, para lo cual deberán presentar el formulario debidamente diligenciado y los </w:t>
      </w:r>
      <w:r w:rsidR="00D87DD1" w:rsidRPr="00E6228D">
        <w:rPr>
          <w:rFonts w:ascii="Arial" w:hAnsi="Arial" w:cs="Arial"/>
          <w:color w:val="000000" w:themeColor="text1"/>
          <w:sz w:val="22"/>
          <w:lang w:val="es-ES_tradnl"/>
        </w:rPr>
        <w:lastRenderedPageBreak/>
        <w:t>documentos soportes respectivos, previo pago de los derechos de inscripción del documento</w:t>
      </w:r>
      <w:r w:rsidR="00727FE7" w:rsidRPr="00E6228D">
        <w:rPr>
          <w:rFonts w:ascii="Arial" w:hAnsi="Arial" w:cs="Arial"/>
          <w:color w:val="000000" w:themeColor="text1"/>
          <w:sz w:val="22"/>
          <w:lang w:val="es-ES_tradnl"/>
        </w:rPr>
        <w:t>»</w:t>
      </w:r>
      <w:r w:rsidR="00196D5A" w:rsidRPr="00E6228D">
        <w:rPr>
          <w:rStyle w:val="Refdenotaalpie"/>
          <w:rFonts w:ascii="Arial" w:hAnsi="Arial" w:cs="Arial"/>
          <w:color w:val="000000" w:themeColor="text1"/>
          <w:sz w:val="22"/>
          <w:lang w:val="es-ES_tradnl"/>
        </w:rPr>
        <w:footnoteReference w:id="21"/>
      </w:r>
      <w:r w:rsidR="00196D5A" w:rsidRPr="00E6228D">
        <w:rPr>
          <w:rFonts w:ascii="Arial" w:hAnsi="Arial" w:cs="Arial"/>
          <w:color w:val="000000" w:themeColor="text1"/>
          <w:sz w:val="22"/>
          <w:lang w:val="es-ES_tradnl"/>
        </w:rPr>
        <w:t>.</w:t>
      </w:r>
      <w:r w:rsidR="00D87DD1" w:rsidRPr="00E6228D">
        <w:rPr>
          <w:rFonts w:ascii="Arial" w:hAnsi="Arial" w:cs="Arial"/>
          <w:color w:val="000000" w:themeColor="text1"/>
          <w:sz w:val="22"/>
          <w:lang w:val="es-ES_tradnl"/>
        </w:rPr>
        <w:t xml:space="preserve"> </w:t>
      </w:r>
      <w:r w:rsidR="00811C91" w:rsidRPr="00E6228D">
        <w:rPr>
          <w:rFonts w:ascii="Arial" w:hAnsi="Arial" w:cs="Arial"/>
          <w:color w:val="000000" w:themeColor="text1"/>
          <w:sz w:val="22"/>
          <w:lang w:val="es-ES_tradnl"/>
        </w:rPr>
        <w:t>De igual modo</w:t>
      </w:r>
      <w:r w:rsidR="00D4100E" w:rsidRPr="00E6228D">
        <w:rPr>
          <w:rFonts w:ascii="Arial" w:hAnsi="Arial" w:cs="Arial"/>
          <w:color w:val="000000" w:themeColor="text1"/>
          <w:sz w:val="22"/>
          <w:lang w:val="es-ES_tradnl"/>
        </w:rPr>
        <w:t>,</w:t>
      </w:r>
      <w:r w:rsidR="00811C91" w:rsidRPr="00E6228D">
        <w:rPr>
          <w:rFonts w:ascii="Arial" w:hAnsi="Arial" w:cs="Arial"/>
          <w:color w:val="000000" w:themeColor="text1"/>
          <w:sz w:val="22"/>
          <w:lang w:val="es-ES_tradnl"/>
        </w:rPr>
        <w:t xml:space="preserve"> el Registro Mercantil, que, como ya se dijo, también hace parte del RUES</w:t>
      </w:r>
      <w:r w:rsidR="007C6B93" w:rsidRPr="00E6228D">
        <w:rPr>
          <w:rFonts w:ascii="Arial" w:hAnsi="Arial" w:cs="Arial"/>
          <w:color w:val="000000" w:themeColor="text1"/>
          <w:sz w:val="22"/>
          <w:lang w:val="es-ES_tradnl"/>
        </w:rPr>
        <w:t xml:space="preserve">, si bien debe renovarse </w:t>
      </w:r>
      <w:r w:rsidR="00D4100E" w:rsidRPr="00E6228D">
        <w:rPr>
          <w:rFonts w:ascii="Arial" w:hAnsi="Arial" w:cs="Arial"/>
          <w:color w:val="000000" w:themeColor="text1"/>
          <w:sz w:val="22"/>
          <w:lang w:val="es-ES_tradnl"/>
        </w:rPr>
        <w:t>antes del 31 de marzo de cada año</w:t>
      </w:r>
      <w:r w:rsidR="00D4100E" w:rsidRPr="00E6228D">
        <w:rPr>
          <w:rStyle w:val="Refdenotaalpie"/>
          <w:rFonts w:ascii="Arial" w:hAnsi="Arial" w:cs="Arial"/>
          <w:color w:val="000000" w:themeColor="text1"/>
          <w:sz w:val="22"/>
          <w:lang w:val="es-ES_tradnl"/>
        </w:rPr>
        <w:footnoteReference w:id="22"/>
      </w:r>
      <w:r w:rsidR="00D4100E" w:rsidRPr="00E6228D">
        <w:rPr>
          <w:rFonts w:ascii="Arial" w:hAnsi="Arial" w:cs="Arial"/>
          <w:color w:val="000000" w:themeColor="text1"/>
          <w:sz w:val="22"/>
          <w:lang w:val="es-ES_tradnl"/>
        </w:rPr>
        <w:t>, puede actualizarse en cualquier tiempo si se presenta una modificación en los datos del comerc</w:t>
      </w:r>
      <w:r w:rsidR="00F12C0B" w:rsidRPr="00E6228D">
        <w:rPr>
          <w:rFonts w:ascii="Arial" w:hAnsi="Arial" w:cs="Arial"/>
          <w:color w:val="000000" w:themeColor="text1"/>
          <w:sz w:val="22"/>
          <w:lang w:val="es-ES_tradnl"/>
        </w:rPr>
        <w:t>iante.</w:t>
      </w:r>
      <w:r w:rsidR="00D4100E" w:rsidRPr="00E6228D">
        <w:rPr>
          <w:rFonts w:ascii="Arial" w:hAnsi="Arial" w:cs="Arial"/>
          <w:color w:val="000000" w:themeColor="text1"/>
          <w:sz w:val="22"/>
          <w:lang w:val="es-ES_tradnl"/>
        </w:rPr>
        <w:t xml:space="preserve"> </w:t>
      </w:r>
      <w:r w:rsidR="00811C91" w:rsidRPr="00E6228D">
        <w:rPr>
          <w:rFonts w:ascii="Arial" w:hAnsi="Arial" w:cs="Arial"/>
          <w:color w:val="000000" w:themeColor="text1"/>
          <w:sz w:val="22"/>
          <w:lang w:val="es-ES_tradnl"/>
        </w:rPr>
        <w:t xml:space="preserve"> </w:t>
      </w:r>
    </w:p>
    <w:p w14:paraId="26656005" w14:textId="6FBFFC0C" w:rsidR="00DA5D71" w:rsidRPr="00E6228D" w:rsidRDefault="00DA5D71" w:rsidP="00A62F3B">
      <w:pPr>
        <w:spacing w:before="120" w:after="120"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Por tanto, si los comerciantes </w:t>
      </w:r>
      <w:r w:rsidR="00403D6D" w:rsidRPr="00E6228D">
        <w:rPr>
          <w:rFonts w:ascii="Arial" w:hAnsi="Arial" w:cs="Arial"/>
          <w:color w:val="000000" w:themeColor="text1"/>
          <w:sz w:val="22"/>
          <w:lang w:val="es-ES_tradnl"/>
        </w:rPr>
        <w:t>tienen permitido</w:t>
      </w:r>
      <w:r w:rsidRPr="00E6228D">
        <w:rPr>
          <w:rFonts w:ascii="Arial" w:hAnsi="Arial" w:cs="Arial"/>
          <w:color w:val="000000" w:themeColor="text1"/>
          <w:sz w:val="22"/>
          <w:lang w:val="es-ES_tradnl"/>
        </w:rPr>
        <w:t xml:space="preserve"> actualizar en cualquier momento la información del RUES,</w:t>
      </w:r>
      <w:r w:rsidR="00A06176" w:rsidRPr="00E6228D">
        <w:rPr>
          <w:rFonts w:ascii="Arial" w:hAnsi="Arial" w:cs="Arial"/>
          <w:color w:val="000000" w:themeColor="text1"/>
          <w:sz w:val="22"/>
          <w:lang w:val="es-ES_tradnl"/>
        </w:rPr>
        <w:t xml:space="preserve"> las entidades estatales no puede</w:t>
      </w:r>
      <w:r w:rsidR="00FE455B" w:rsidRPr="00E6228D">
        <w:rPr>
          <w:rFonts w:ascii="Arial" w:hAnsi="Arial" w:cs="Arial"/>
          <w:color w:val="000000" w:themeColor="text1"/>
          <w:sz w:val="22"/>
          <w:lang w:val="es-ES_tradnl"/>
        </w:rPr>
        <w:t>n</w:t>
      </w:r>
      <w:r w:rsidR="00403D6D" w:rsidRPr="00E6228D">
        <w:rPr>
          <w:rFonts w:ascii="Arial" w:hAnsi="Arial" w:cs="Arial"/>
          <w:color w:val="000000" w:themeColor="text1"/>
          <w:sz w:val="22"/>
          <w:lang w:val="es-ES_tradnl"/>
        </w:rPr>
        <w:t>,</w:t>
      </w:r>
      <w:r w:rsidR="008A1649" w:rsidRPr="00E6228D">
        <w:rPr>
          <w:rFonts w:ascii="Arial" w:hAnsi="Arial" w:cs="Arial"/>
          <w:color w:val="000000" w:themeColor="text1"/>
          <w:sz w:val="22"/>
          <w:lang w:val="es-ES_tradnl"/>
        </w:rPr>
        <w:t xml:space="preserve"> </w:t>
      </w:r>
      <w:r w:rsidR="00403D6D" w:rsidRPr="00E6228D">
        <w:rPr>
          <w:rFonts w:ascii="Arial" w:hAnsi="Arial" w:cs="Arial"/>
          <w:color w:val="000000" w:themeColor="text1"/>
          <w:sz w:val="22"/>
          <w:lang w:val="es-ES_tradnl"/>
        </w:rPr>
        <w:t xml:space="preserve">en los pliegos de condiciones o en la invitación a contratar, </w:t>
      </w:r>
      <w:r w:rsidR="008A1649" w:rsidRPr="00E6228D">
        <w:rPr>
          <w:rFonts w:ascii="Arial" w:hAnsi="Arial" w:cs="Arial"/>
          <w:color w:val="000000" w:themeColor="text1"/>
          <w:sz w:val="22"/>
          <w:lang w:val="es-ES_tradnl"/>
        </w:rPr>
        <w:t>impedir</w:t>
      </w:r>
      <w:r w:rsidR="00A06176" w:rsidRPr="00E6228D">
        <w:rPr>
          <w:rFonts w:ascii="Arial" w:hAnsi="Arial" w:cs="Arial"/>
          <w:color w:val="000000" w:themeColor="text1"/>
          <w:sz w:val="22"/>
          <w:lang w:val="es-ES_tradnl"/>
        </w:rPr>
        <w:t xml:space="preserve"> </w:t>
      </w:r>
      <w:r w:rsidR="00FE455B" w:rsidRPr="00E6228D">
        <w:rPr>
          <w:rFonts w:ascii="Arial" w:hAnsi="Arial" w:cs="Arial"/>
          <w:color w:val="000000" w:themeColor="text1"/>
          <w:sz w:val="22"/>
          <w:lang w:val="es-ES_tradnl"/>
        </w:rPr>
        <w:t>que lo hagan</w:t>
      </w:r>
      <w:r w:rsidR="00A06176" w:rsidRPr="00E6228D">
        <w:rPr>
          <w:rFonts w:ascii="Arial" w:hAnsi="Arial" w:cs="Arial"/>
          <w:color w:val="000000" w:themeColor="text1"/>
          <w:sz w:val="22"/>
          <w:lang w:val="es-ES_tradnl"/>
        </w:rPr>
        <w:t xml:space="preserve"> antes de</w:t>
      </w:r>
      <w:r w:rsidR="00FE455B" w:rsidRPr="00E6228D">
        <w:rPr>
          <w:rFonts w:ascii="Arial" w:hAnsi="Arial" w:cs="Arial"/>
          <w:color w:val="000000" w:themeColor="text1"/>
          <w:sz w:val="22"/>
          <w:lang w:val="es-ES_tradnl"/>
        </w:rPr>
        <w:t>l vencimiento del plazo para presentar</w:t>
      </w:r>
      <w:r w:rsidR="001F39E6" w:rsidRPr="00E6228D">
        <w:rPr>
          <w:rFonts w:ascii="Arial" w:hAnsi="Arial" w:cs="Arial"/>
          <w:color w:val="000000" w:themeColor="text1"/>
          <w:sz w:val="22"/>
          <w:lang w:val="es-ES_tradnl"/>
        </w:rPr>
        <w:t xml:space="preserve"> </w:t>
      </w:r>
      <w:r w:rsidR="00FE455B" w:rsidRPr="00E6228D">
        <w:rPr>
          <w:rFonts w:ascii="Arial" w:hAnsi="Arial" w:cs="Arial"/>
          <w:color w:val="000000" w:themeColor="text1"/>
          <w:sz w:val="22"/>
          <w:lang w:val="es-ES_tradnl"/>
        </w:rPr>
        <w:t>las propuestas</w:t>
      </w:r>
      <w:r w:rsidR="00EF3228" w:rsidRPr="00E6228D">
        <w:rPr>
          <w:rFonts w:ascii="Arial" w:hAnsi="Arial" w:cs="Arial"/>
          <w:color w:val="000000" w:themeColor="text1"/>
          <w:sz w:val="22"/>
          <w:lang w:val="es-ES_tradnl"/>
        </w:rPr>
        <w:t>.</w:t>
      </w:r>
      <w:r w:rsidR="001F39E6" w:rsidRPr="00E6228D">
        <w:rPr>
          <w:rFonts w:ascii="Arial" w:hAnsi="Arial" w:cs="Arial"/>
          <w:color w:val="000000" w:themeColor="text1"/>
          <w:sz w:val="22"/>
          <w:lang w:val="es-ES_tradnl"/>
        </w:rPr>
        <w:t xml:space="preserve"> </w:t>
      </w:r>
      <w:r w:rsidR="00EF3228" w:rsidRPr="00E6228D">
        <w:rPr>
          <w:rFonts w:ascii="Arial" w:hAnsi="Arial" w:cs="Arial"/>
          <w:color w:val="000000" w:themeColor="text1"/>
          <w:sz w:val="22"/>
          <w:lang w:val="es-ES_tradnl"/>
        </w:rPr>
        <w:t>Esto por cuanto los requisitos de participación deben ser razonables</w:t>
      </w:r>
      <w:r w:rsidR="007C20AD" w:rsidRPr="00E6228D">
        <w:rPr>
          <w:rFonts w:ascii="Arial" w:hAnsi="Arial" w:cs="Arial"/>
          <w:color w:val="000000" w:themeColor="text1"/>
          <w:sz w:val="22"/>
          <w:lang w:val="es-ES_tradnl"/>
        </w:rPr>
        <w:t>, las prohibiciones son de orden público y las condiciones para</w:t>
      </w:r>
      <w:r w:rsidR="00B448AA" w:rsidRPr="00E6228D">
        <w:rPr>
          <w:rFonts w:ascii="Arial" w:hAnsi="Arial" w:cs="Arial"/>
          <w:color w:val="000000" w:themeColor="text1"/>
          <w:sz w:val="22"/>
          <w:lang w:val="es-ES_tradnl"/>
        </w:rPr>
        <w:t xml:space="preserve"> acceder al proceso</w:t>
      </w:r>
      <w:r w:rsidR="007C20AD" w:rsidRPr="00E6228D">
        <w:rPr>
          <w:rFonts w:ascii="Arial" w:hAnsi="Arial" w:cs="Arial"/>
          <w:color w:val="000000" w:themeColor="text1"/>
          <w:sz w:val="22"/>
          <w:lang w:val="es-ES_tradnl"/>
        </w:rPr>
        <w:t xml:space="preserve"> </w:t>
      </w:r>
      <w:r w:rsidR="00B448AA" w:rsidRPr="00E6228D">
        <w:rPr>
          <w:rFonts w:ascii="Arial" w:hAnsi="Arial" w:cs="Arial"/>
          <w:color w:val="000000" w:themeColor="text1"/>
          <w:sz w:val="22"/>
          <w:lang w:val="es-ES_tradnl"/>
        </w:rPr>
        <w:t>no pueden menoscabar el principio de la libre concurrencia</w:t>
      </w:r>
      <w:r w:rsidR="000F3DDC" w:rsidRPr="00E6228D">
        <w:rPr>
          <w:rStyle w:val="Refdenotaalpie"/>
          <w:rFonts w:ascii="Arial" w:hAnsi="Arial" w:cs="Arial"/>
          <w:color w:val="000000" w:themeColor="text1"/>
          <w:sz w:val="22"/>
          <w:lang w:val="es-ES_tradnl"/>
        </w:rPr>
        <w:footnoteReference w:id="23"/>
      </w:r>
      <w:r w:rsidR="00B448AA" w:rsidRPr="00E6228D">
        <w:rPr>
          <w:rFonts w:ascii="Arial" w:hAnsi="Arial" w:cs="Arial"/>
          <w:color w:val="000000" w:themeColor="text1"/>
          <w:sz w:val="22"/>
          <w:lang w:val="es-ES_tradnl"/>
        </w:rPr>
        <w:t>.</w:t>
      </w:r>
      <w:r w:rsidR="009A5FCB" w:rsidRPr="00E6228D">
        <w:rPr>
          <w:rFonts w:ascii="Arial" w:hAnsi="Arial" w:cs="Arial"/>
          <w:color w:val="000000" w:themeColor="text1"/>
          <w:sz w:val="22"/>
          <w:lang w:val="es-ES_tradnl"/>
        </w:rPr>
        <w:t xml:space="preserve"> </w:t>
      </w:r>
      <w:r w:rsidR="001C39F7" w:rsidRPr="00E6228D">
        <w:rPr>
          <w:rFonts w:ascii="Arial" w:hAnsi="Arial" w:cs="Arial"/>
          <w:color w:val="000000" w:themeColor="text1"/>
          <w:sz w:val="22"/>
          <w:lang w:val="es-ES_tradnl"/>
        </w:rPr>
        <w:t>Esta es</w:t>
      </w:r>
      <w:r w:rsidR="009A5FCB" w:rsidRPr="00E6228D">
        <w:rPr>
          <w:rFonts w:ascii="Arial" w:hAnsi="Arial" w:cs="Arial"/>
          <w:color w:val="000000" w:themeColor="text1"/>
          <w:sz w:val="22"/>
          <w:lang w:val="es-ES_tradnl"/>
        </w:rPr>
        <w:t xml:space="preserve"> la regla que se deriva del artículo 5, numeral 1º de la Ley 1150 de 2007</w:t>
      </w:r>
      <w:r w:rsidR="001C39F7" w:rsidRPr="00E6228D">
        <w:rPr>
          <w:rFonts w:ascii="Arial" w:hAnsi="Arial" w:cs="Arial"/>
          <w:color w:val="000000" w:themeColor="text1"/>
          <w:sz w:val="22"/>
          <w:lang w:val="es-ES_tradnl"/>
        </w:rPr>
        <w:t xml:space="preserve">, </w:t>
      </w:r>
      <w:r w:rsidR="001F39E6" w:rsidRPr="00E6228D">
        <w:rPr>
          <w:rFonts w:ascii="Arial" w:hAnsi="Arial" w:cs="Arial"/>
          <w:color w:val="000000" w:themeColor="text1"/>
          <w:sz w:val="22"/>
          <w:lang w:val="es-ES_tradnl"/>
        </w:rPr>
        <w:t>que</w:t>
      </w:r>
      <w:r w:rsidR="001C39F7" w:rsidRPr="00E6228D">
        <w:rPr>
          <w:rFonts w:ascii="Arial" w:hAnsi="Arial" w:cs="Arial"/>
          <w:color w:val="000000" w:themeColor="text1"/>
          <w:sz w:val="22"/>
          <w:lang w:val="es-ES_tradnl"/>
        </w:rPr>
        <w:t xml:space="preserve"> prevé</w:t>
      </w:r>
      <w:r w:rsidR="001F39E6" w:rsidRPr="00E6228D">
        <w:rPr>
          <w:rFonts w:ascii="Arial" w:hAnsi="Arial" w:cs="Arial"/>
          <w:color w:val="000000" w:themeColor="text1"/>
          <w:sz w:val="22"/>
          <w:lang w:val="es-ES_tradnl"/>
        </w:rPr>
        <w:t>,</w:t>
      </w:r>
      <w:r w:rsidR="001C39F7" w:rsidRPr="00E6228D">
        <w:rPr>
          <w:rFonts w:ascii="Arial" w:hAnsi="Arial" w:cs="Arial"/>
          <w:color w:val="000000" w:themeColor="text1"/>
          <w:sz w:val="22"/>
          <w:lang w:val="es-ES_tradnl"/>
        </w:rPr>
        <w:t xml:space="preserve"> </w:t>
      </w:r>
      <w:r w:rsidR="008E06CA" w:rsidRPr="00E6228D">
        <w:rPr>
          <w:rFonts w:ascii="Arial" w:hAnsi="Arial" w:cs="Arial"/>
          <w:color w:val="000000" w:themeColor="text1"/>
          <w:sz w:val="22"/>
          <w:lang w:val="es-ES_tradnl"/>
        </w:rPr>
        <w:t>en relación con las condiciones de experiencia</w:t>
      </w:r>
      <w:r w:rsidR="001F39E6" w:rsidRPr="00E6228D">
        <w:rPr>
          <w:rFonts w:ascii="Arial" w:hAnsi="Arial" w:cs="Arial"/>
          <w:color w:val="000000" w:themeColor="text1"/>
          <w:sz w:val="22"/>
          <w:lang w:val="es-ES_tradnl"/>
        </w:rPr>
        <w:t>,</w:t>
      </w:r>
      <w:r w:rsidR="008E06CA" w:rsidRPr="00E6228D">
        <w:rPr>
          <w:rFonts w:ascii="Arial" w:hAnsi="Arial" w:cs="Arial"/>
          <w:color w:val="000000" w:themeColor="text1"/>
          <w:sz w:val="22"/>
          <w:lang w:val="es-ES_tradnl"/>
        </w:rPr>
        <w:t xml:space="preserve"> </w:t>
      </w:r>
      <w:r w:rsidR="001C39F7" w:rsidRPr="00E6228D">
        <w:rPr>
          <w:rFonts w:ascii="Arial" w:hAnsi="Arial" w:cs="Arial"/>
          <w:color w:val="000000" w:themeColor="text1"/>
          <w:sz w:val="22"/>
          <w:lang w:val="es-ES_tradnl"/>
        </w:rPr>
        <w:t>que</w:t>
      </w:r>
      <w:r w:rsidR="008E06CA" w:rsidRPr="00E6228D">
        <w:rPr>
          <w:rFonts w:ascii="Arial" w:hAnsi="Arial" w:cs="Arial"/>
          <w:color w:val="000000" w:themeColor="text1"/>
          <w:sz w:val="22"/>
          <w:lang w:val="es-ES_tradnl"/>
        </w:rPr>
        <w:t xml:space="preserve"> su exigencia</w:t>
      </w:r>
      <w:r w:rsidR="001C39F7" w:rsidRPr="00E6228D">
        <w:rPr>
          <w:rFonts w:ascii="Arial" w:hAnsi="Arial" w:cs="Arial"/>
          <w:color w:val="000000" w:themeColor="text1"/>
          <w:sz w:val="22"/>
          <w:lang w:val="es-ES_tradnl"/>
        </w:rPr>
        <w:t xml:space="preserve"> «[…] </w:t>
      </w:r>
      <w:r w:rsidR="00B92EC6" w:rsidRPr="00E6228D">
        <w:rPr>
          <w:rFonts w:ascii="Arial" w:hAnsi="Arial" w:cs="Arial"/>
          <w:color w:val="000000" w:themeColor="text1"/>
          <w:sz w:val="22"/>
          <w:lang w:val="es-ES_tradnl"/>
        </w:rPr>
        <w:t>debe ser adecuada y proporcional a la naturaleza del contrato a suscribir y a su valor». No es adecuada, n</w:t>
      </w:r>
      <w:r w:rsidR="001F39E6" w:rsidRPr="00E6228D">
        <w:rPr>
          <w:rFonts w:ascii="Arial" w:hAnsi="Arial" w:cs="Arial"/>
          <w:color w:val="000000" w:themeColor="text1"/>
          <w:sz w:val="22"/>
          <w:lang w:val="es-ES_tradnl"/>
        </w:rPr>
        <w:t>i</w:t>
      </w:r>
      <w:r w:rsidR="00B92EC6" w:rsidRPr="00E6228D">
        <w:rPr>
          <w:rFonts w:ascii="Arial" w:hAnsi="Arial" w:cs="Arial"/>
          <w:color w:val="000000" w:themeColor="text1"/>
          <w:sz w:val="22"/>
          <w:lang w:val="es-ES_tradnl"/>
        </w:rPr>
        <w:t xml:space="preserve"> proporcional a la naturaleza del contrato a suscribir</w:t>
      </w:r>
      <w:r w:rsidR="00737515" w:rsidRPr="00E6228D">
        <w:rPr>
          <w:rFonts w:ascii="Arial" w:hAnsi="Arial" w:cs="Arial"/>
          <w:color w:val="000000" w:themeColor="text1"/>
          <w:sz w:val="22"/>
          <w:lang w:val="es-ES_tradnl"/>
        </w:rPr>
        <w:t>,</w:t>
      </w:r>
      <w:r w:rsidR="00B92EC6" w:rsidRPr="00E6228D">
        <w:rPr>
          <w:rFonts w:ascii="Arial" w:hAnsi="Arial" w:cs="Arial"/>
          <w:color w:val="000000" w:themeColor="text1"/>
          <w:sz w:val="22"/>
          <w:lang w:val="es-ES_tradnl"/>
        </w:rPr>
        <w:t xml:space="preserve"> la exigencia de acreditación de experiencia en un procedimiento de mínima cuantía que parte de la prohibición de </w:t>
      </w:r>
      <w:r w:rsidR="00CA026B" w:rsidRPr="00E6228D">
        <w:rPr>
          <w:rFonts w:ascii="Arial" w:hAnsi="Arial" w:cs="Arial"/>
          <w:color w:val="000000" w:themeColor="text1"/>
          <w:sz w:val="22"/>
          <w:lang w:val="es-ES_tradnl"/>
        </w:rPr>
        <w:t>actualizar previamente</w:t>
      </w:r>
      <w:r w:rsidR="00B92EC6" w:rsidRPr="00E6228D">
        <w:rPr>
          <w:rFonts w:ascii="Arial" w:hAnsi="Arial" w:cs="Arial"/>
          <w:color w:val="000000" w:themeColor="text1"/>
          <w:sz w:val="22"/>
          <w:lang w:val="es-ES_tradnl"/>
        </w:rPr>
        <w:t xml:space="preserve"> </w:t>
      </w:r>
      <w:r w:rsidR="00CA026B" w:rsidRPr="00E6228D">
        <w:rPr>
          <w:rFonts w:ascii="Arial" w:hAnsi="Arial" w:cs="Arial"/>
          <w:color w:val="000000" w:themeColor="text1"/>
          <w:sz w:val="22"/>
          <w:lang w:val="es-ES_tradnl"/>
        </w:rPr>
        <w:t xml:space="preserve">por </w:t>
      </w:r>
      <w:r w:rsidR="00DA2E69" w:rsidRPr="00E6228D">
        <w:rPr>
          <w:rFonts w:ascii="Arial" w:hAnsi="Arial" w:cs="Arial"/>
          <w:color w:val="000000" w:themeColor="text1"/>
          <w:sz w:val="22"/>
          <w:lang w:val="es-ES_tradnl"/>
        </w:rPr>
        <w:t>el</w:t>
      </w:r>
      <w:r w:rsidR="00B92EC6" w:rsidRPr="00E6228D">
        <w:rPr>
          <w:rFonts w:ascii="Arial" w:hAnsi="Arial" w:cs="Arial"/>
          <w:color w:val="000000" w:themeColor="text1"/>
          <w:sz w:val="22"/>
          <w:lang w:val="es-ES_tradnl"/>
        </w:rPr>
        <w:t xml:space="preserve"> </w:t>
      </w:r>
      <w:r w:rsidR="00CA026B" w:rsidRPr="00E6228D">
        <w:rPr>
          <w:rFonts w:ascii="Arial" w:hAnsi="Arial" w:cs="Arial"/>
          <w:color w:val="000000" w:themeColor="text1"/>
          <w:sz w:val="22"/>
          <w:lang w:val="es-ES_tradnl"/>
        </w:rPr>
        <w:t>interesado</w:t>
      </w:r>
      <w:r w:rsidR="00DA2E69" w:rsidRPr="00E6228D">
        <w:rPr>
          <w:rFonts w:ascii="Arial" w:hAnsi="Arial" w:cs="Arial"/>
          <w:color w:val="000000" w:themeColor="text1"/>
          <w:sz w:val="22"/>
          <w:lang w:val="es-ES_tradnl"/>
        </w:rPr>
        <w:t xml:space="preserve"> </w:t>
      </w:r>
      <w:r w:rsidR="00B92EC6" w:rsidRPr="00E6228D">
        <w:rPr>
          <w:rFonts w:ascii="Arial" w:hAnsi="Arial" w:cs="Arial"/>
          <w:color w:val="000000" w:themeColor="text1"/>
          <w:sz w:val="22"/>
          <w:lang w:val="es-ES_tradnl"/>
        </w:rPr>
        <w:t xml:space="preserve">la información relativa a sus actividades económicas en el RUES, porque tal prohibición </w:t>
      </w:r>
      <w:r w:rsidR="00513210" w:rsidRPr="00E6228D">
        <w:rPr>
          <w:rFonts w:ascii="Arial" w:hAnsi="Arial" w:cs="Arial"/>
          <w:color w:val="000000" w:themeColor="text1"/>
          <w:sz w:val="22"/>
          <w:lang w:val="es-ES_tradnl"/>
        </w:rPr>
        <w:t>supone, de algún modo,</w:t>
      </w:r>
      <w:r w:rsidR="001A22AC" w:rsidRPr="00E6228D">
        <w:rPr>
          <w:rFonts w:ascii="Arial" w:hAnsi="Arial" w:cs="Arial"/>
          <w:color w:val="000000" w:themeColor="text1"/>
          <w:sz w:val="22"/>
          <w:lang w:val="es-ES_tradnl"/>
        </w:rPr>
        <w:t xml:space="preserve"> </w:t>
      </w:r>
      <w:r w:rsidR="00B92EC6" w:rsidRPr="00E6228D">
        <w:rPr>
          <w:rFonts w:ascii="Arial" w:hAnsi="Arial" w:cs="Arial"/>
          <w:color w:val="000000" w:themeColor="text1"/>
          <w:sz w:val="22"/>
          <w:lang w:val="es-ES_tradnl"/>
        </w:rPr>
        <w:t>que</w:t>
      </w:r>
      <w:r w:rsidR="00737515" w:rsidRPr="00E6228D">
        <w:rPr>
          <w:rFonts w:ascii="Arial" w:hAnsi="Arial" w:cs="Arial"/>
          <w:color w:val="000000" w:themeColor="text1"/>
          <w:sz w:val="22"/>
          <w:lang w:val="es-ES_tradnl"/>
        </w:rPr>
        <w:t xml:space="preserve"> </w:t>
      </w:r>
      <w:r w:rsidR="00B92EC6" w:rsidRPr="00E6228D">
        <w:rPr>
          <w:rFonts w:ascii="Arial" w:hAnsi="Arial" w:cs="Arial"/>
          <w:color w:val="000000" w:themeColor="text1"/>
          <w:sz w:val="22"/>
          <w:lang w:val="es-ES_tradnl"/>
        </w:rPr>
        <w:t xml:space="preserve">si </w:t>
      </w:r>
      <w:r w:rsidR="00513210" w:rsidRPr="00E6228D">
        <w:rPr>
          <w:rFonts w:ascii="Arial" w:hAnsi="Arial" w:cs="Arial"/>
          <w:color w:val="000000" w:themeColor="text1"/>
          <w:sz w:val="22"/>
          <w:lang w:val="es-ES_tradnl"/>
        </w:rPr>
        <w:t>el proponente actualiza dichos datos</w:t>
      </w:r>
      <w:r w:rsidR="00867608" w:rsidRPr="00E6228D">
        <w:rPr>
          <w:rFonts w:ascii="Arial" w:hAnsi="Arial" w:cs="Arial"/>
          <w:color w:val="000000" w:themeColor="text1"/>
          <w:sz w:val="22"/>
          <w:lang w:val="es-ES_tradnl"/>
        </w:rPr>
        <w:t xml:space="preserve"> </w:t>
      </w:r>
      <w:r w:rsidR="001A22AC" w:rsidRPr="00E6228D">
        <w:rPr>
          <w:rFonts w:ascii="Arial" w:hAnsi="Arial" w:cs="Arial"/>
          <w:color w:val="000000" w:themeColor="text1"/>
          <w:sz w:val="22"/>
          <w:lang w:val="es-ES_tradnl"/>
        </w:rPr>
        <w:t>incorporaría</w:t>
      </w:r>
      <w:r w:rsidR="00867608" w:rsidRPr="00E6228D">
        <w:rPr>
          <w:rFonts w:ascii="Arial" w:hAnsi="Arial" w:cs="Arial"/>
          <w:color w:val="000000" w:themeColor="text1"/>
          <w:sz w:val="22"/>
          <w:lang w:val="es-ES_tradnl"/>
        </w:rPr>
        <w:t xml:space="preserve"> información que no corresponde a la realidad; lo que es contrario al principio de buena fe, establecido en el artículo 83 de la Constitución</w:t>
      </w:r>
      <w:r w:rsidR="0069645C" w:rsidRPr="00E6228D">
        <w:rPr>
          <w:rFonts w:ascii="Arial" w:hAnsi="Arial" w:cs="Arial"/>
          <w:color w:val="000000" w:themeColor="text1"/>
          <w:sz w:val="22"/>
          <w:lang w:val="es-ES_tradnl"/>
        </w:rPr>
        <w:t>, que expresa: «Las actuaciones de los particulares y de las autoridades públicas deberán ceñirse a los postulados de la buena fe, la cual se presumirá en todas las gestiones que aquellos adelanten ante éstas».</w:t>
      </w:r>
      <w:r w:rsidR="00867608" w:rsidRPr="00E6228D">
        <w:rPr>
          <w:rFonts w:ascii="Arial" w:hAnsi="Arial" w:cs="Arial"/>
          <w:color w:val="000000" w:themeColor="text1"/>
          <w:sz w:val="22"/>
          <w:lang w:val="es-ES_tradnl"/>
        </w:rPr>
        <w:t xml:space="preserve"> </w:t>
      </w:r>
    </w:p>
    <w:p w14:paraId="07B67EC7" w14:textId="3E6297FB" w:rsidR="0025616F" w:rsidRPr="00E6228D" w:rsidRDefault="0025616F" w:rsidP="00196D5A">
      <w:pPr>
        <w:spacing w:line="276" w:lineRule="auto"/>
        <w:ind w:firstLine="709"/>
        <w:jc w:val="both"/>
        <w:rPr>
          <w:rFonts w:ascii="Arial" w:hAnsi="Arial" w:cs="Arial"/>
          <w:color w:val="000000" w:themeColor="text1"/>
          <w:sz w:val="22"/>
          <w:lang w:val="es-ES_tradnl"/>
        </w:rPr>
      </w:pPr>
      <w:r w:rsidRPr="00E6228D">
        <w:rPr>
          <w:rFonts w:ascii="Arial" w:hAnsi="Arial" w:cs="Arial"/>
          <w:color w:val="000000" w:themeColor="text1"/>
          <w:sz w:val="22"/>
          <w:lang w:val="es-ES_tradnl"/>
        </w:rPr>
        <w:lastRenderedPageBreak/>
        <w:t>Cuando los pliegos de condiciones –en la licitación pública, la selección abreviada y el concurso de méritos– o la invitación –en la mínima cuantía– exigen la acreditación de una experiencia general o específica por parte de los proponentes al momento de allegar su</w:t>
      </w:r>
      <w:r w:rsidR="00946957" w:rsidRPr="00E6228D">
        <w:rPr>
          <w:rFonts w:ascii="Arial" w:hAnsi="Arial" w:cs="Arial"/>
          <w:color w:val="000000" w:themeColor="text1"/>
          <w:sz w:val="22"/>
          <w:lang w:val="es-ES_tradnl"/>
        </w:rPr>
        <w:t>s ofertas,</w:t>
      </w:r>
      <w:r w:rsidR="00BC553A" w:rsidRPr="00E6228D">
        <w:rPr>
          <w:rFonts w:ascii="Arial" w:hAnsi="Arial" w:cs="Arial"/>
          <w:color w:val="000000" w:themeColor="text1"/>
          <w:sz w:val="22"/>
          <w:lang w:val="es-ES_tradnl"/>
        </w:rPr>
        <w:t xml:space="preserve"> les traslada la carga de probar, con los documentos aportados con la propuesta –</w:t>
      </w:r>
      <w:r w:rsidR="000C3738" w:rsidRPr="00E6228D">
        <w:rPr>
          <w:rFonts w:ascii="Arial" w:hAnsi="Arial" w:cs="Arial"/>
          <w:color w:val="000000" w:themeColor="text1"/>
          <w:sz w:val="22"/>
          <w:lang w:val="es-ES_tradnl"/>
        </w:rPr>
        <w:t xml:space="preserve">especialmente </w:t>
      </w:r>
      <w:r w:rsidR="00BC553A" w:rsidRPr="00E6228D">
        <w:rPr>
          <w:rFonts w:ascii="Arial" w:hAnsi="Arial" w:cs="Arial"/>
          <w:color w:val="000000" w:themeColor="text1"/>
          <w:sz w:val="22"/>
          <w:lang w:val="es-ES_tradnl"/>
        </w:rPr>
        <w:t>con el RUP,</w:t>
      </w:r>
      <w:r w:rsidR="000C3738" w:rsidRPr="00E6228D">
        <w:rPr>
          <w:rFonts w:ascii="Arial" w:hAnsi="Arial" w:cs="Arial"/>
          <w:color w:val="000000" w:themeColor="text1"/>
          <w:sz w:val="22"/>
          <w:lang w:val="es-ES_tradnl"/>
        </w:rPr>
        <w:t xml:space="preserve"> cuando este es obligatorio– el conocimiento y la trayectoria en la ejecución de las actividades económicas </w:t>
      </w:r>
      <w:r w:rsidR="006E1FB8" w:rsidRPr="00E6228D">
        <w:rPr>
          <w:rFonts w:ascii="Arial" w:hAnsi="Arial" w:cs="Arial"/>
          <w:color w:val="000000" w:themeColor="text1"/>
          <w:sz w:val="22"/>
          <w:lang w:val="es-ES_tradnl"/>
        </w:rPr>
        <w:t>solicitadas por la entidad estatal; experiencia que debe reunirse</w:t>
      </w:r>
      <w:r w:rsidR="006449A7" w:rsidRPr="00E6228D">
        <w:rPr>
          <w:rFonts w:ascii="Arial" w:hAnsi="Arial" w:cs="Arial"/>
          <w:color w:val="000000" w:themeColor="text1"/>
          <w:sz w:val="22"/>
          <w:lang w:val="es-ES_tradnl"/>
        </w:rPr>
        <w:t>,</w:t>
      </w:r>
      <w:r w:rsidR="006E1FB8" w:rsidRPr="00E6228D">
        <w:rPr>
          <w:rFonts w:ascii="Arial" w:hAnsi="Arial" w:cs="Arial"/>
          <w:color w:val="000000" w:themeColor="text1"/>
          <w:sz w:val="22"/>
          <w:lang w:val="es-ES_tradnl"/>
        </w:rPr>
        <w:t xml:space="preserve"> en todo caso</w:t>
      </w:r>
      <w:r w:rsidR="006449A7" w:rsidRPr="00E6228D">
        <w:rPr>
          <w:rFonts w:ascii="Arial" w:hAnsi="Arial" w:cs="Arial"/>
          <w:color w:val="000000" w:themeColor="text1"/>
          <w:sz w:val="22"/>
          <w:lang w:val="es-ES_tradnl"/>
        </w:rPr>
        <w:t>,</w:t>
      </w:r>
      <w:r w:rsidR="006E1FB8" w:rsidRPr="00E6228D">
        <w:rPr>
          <w:rFonts w:ascii="Arial" w:hAnsi="Arial" w:cs="Arial"/>
          <w:color w:val="000000" w:themeColor="text1"/>
          <w:sz w:val="22"/>
          <w:lang w:val="es-ES_tradnl"/>
        </w:rPr>
        <w:t xml:space="preserve"> antes del cierre del procedimiento de selección.</w:t>
      </w:r>
      <w:r w:rsidR="008441F0" w:rsidRPr="00E6228D">
        <w:rPr>
          <w:rFonts w:ascii="Arial" w:hAnsi="Arial" w:cs="Arial"/>
          <w:color w:val="000000" w:themeColor="text1"/>
          <w:sz w:val="22"/>
          <w:lang w:val="es-ES_tradnl"/>
        </w:rPr>
        <w:t xml:space="preserve"> Pero las entidades estatales no pueden </w:t>
      </w:r>
      <w:r w:rsidR="00615173" w:rsidRPr="00E6228D">
        <w:rPr>
          <w:rFonts w:ascii="Arial" w:hAnsi="Arial" w:cs="Arial"/>
          <w:color w:val="000000" w:themeColor="text1"/>
          <w:sz w:val="22"/>
          <w:lang w:val="es-ES_tradnl"/>
        </w:rPr>
        <w:t>prohibir que los interesados, antes del cierre, organicen su documentación o actualicen la información de sus registros.</w:t>
      </w:r>
    </w:p>
    <w:p w14:paraId="13B21C93" w14:textId="029E1311" w:rsidR="00E4341D" w:rsidRPr="00E6228D" w:rsidRDefault="00454BC6" w:rsidP="003E68A6">
      <w:pPr>
        <w:spacing w:line="276" w:lineRule="auto"/>
        <w:jc w:val="both"/>
        <w:rPr>
          <w:rFonts w:ascii="Arial" w:hAnsi="Arial" w:cs="Arial"/>
          <w:color w:val="000000" w:themeColor="text1"/>
          <w:sz w:val="22"/>
          <w:lang w:val="es-ES_tradnl"/>
        </w:rPr>
      </w:pPr>
      <w:r w:rsidRPr="00E6228D">
        <w:rPr>
          <w:rFonts w:ascii="Arial" w:hAnsi="Arial" w:cs="Arial"/>
          <w:color w:val="000000" w:themeColor="text1"/>
          <w:sz w:val="22"/>
          <w:lang w:val="es-ES_tradnl"/>
        </w:rPr>
        <w:t xml:space="preserve"> </w:t>
      </w:r>
    </w:p>
    <w:p w14:paraId="687CB649" w14:textId="0402940D" w:rsidR="00A37FB6" w:rsidRPr="00E6228D" w:rsidRDefault="00544348" w:rsidP="00544348">
      <w:pPr>
        <w:pStyle w:val="Prrafodelista"/>
        <w:tabs>
          <w:tab w:val="left" w:pos="284"/>
        </w:tabs>
        <w:spacing w:line="276" w:lineRule="auto"/>
        <w:ind w:left="0"/>
        <w:jc w:val="both"/>
        <w:rPr>
          <w:rFonts w:ascii="Arial" w:eastAsia="Calibri" w:hAnsi="Arial" w:cs="Arial"/>
          <w:color w:val="000000" w:themeColor="text1"/>
          <w:sz w:val="22"/>
          <w:lang w:val="es-ES_tradnl"/>
        </w:rPr>
      </w:pPr>
      <w:r w:rsidRPr="00E6228D">
        <w:rPr>
          <w:rFonts w:ascii="Arial" w:eastAsia="Calibri" w:hAnsi="Arial" w:cs="Arial"/>
          <w:b/>
          <w:color w:val="000000" w:themeColor="text1"/>
          <w:sz w:val="22"/>
          <w:lang w:val="es-ES_tradnl"/>
        </w:rPr>
        <w:t xml:space="preserve">3. </w:t>
      </w:r>
      <w:r w:rsidR="00A37FB6" w:rsidRPr="00E6228D">
        <w:rPr>
          <w:rFonts w:ascii="Arial" w:eastAsia="Calibri" w:hAnsi="Arial" w:cs="Arial"/>
          <w:b/>
          <w:color w:val="000000" w:themeColor="text1"/>
          <w:sz w:val="22"/>
          <w:lang w:val="es-ES_tradnl"/>
        </w:rPr>
        <w:t>Respuesta</w:t>
      </w:r>
      <w:r w:rsidR="00F3318F" w:rsidRPr="00E6228D">
        <w:rPr>
          <w:rFonts w:ascii="Arial" w:eastAsia="Calibri" w:hAnsi="Arial" w:cs="Arial"/>
          <w:b/>
          <w:color w:val="000000" w:themeColor="text1"/>
          <w:sz w:val="22"/>
          <w:lang w:val="es-ES_tradnl"/>
        </w:rPr>
        <w:t>s</w:t>
      </w:r>
    </w:p>
    <w:p w14:paraId="1369FD7E" w14:textId="77777777" w:rsidR="00A37FB6" w:rsidRPr="00E6228D" w:rsidRDefault="00A37FB6" w:rsidP="00F23E3A">
      <w:pPr>
        <w:spacing w:line="276" w:lineRule="auto"/>
        <w:ind w:left="709" w:right="709"/>
        <w:jc w:val="both"/>
        <w:rPr>
          <w:rFonts w:ascii="Arial" w:eastAsia="Calibri" w:hAnsi="Arial" w:cs="Arial"/>
          <w:i/>
          <w:color w:val="000000" w:themeColor="text1"/>
          <w:sz w:val="22"/>
          <w:lang w:val="es-ES_tradnl"/>
        </w:rPr>
      </w:pPr>
    </w:p>
    <w:p w14:paraId="66BC8E46" w14:textId="7C21BF56" w:rsidR="00A37FB6" w:rsidRPr="00E6228D" w:rsidRDefault="003E5136" w:rsidP="00F23E3A">
      <w:pPr>
        <w:spacing w:line="276" w:lineRule="auto"/>
        <w:ind w:left="708" w:right="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i) «¿puede una entidad exigir en un proceso de mínima Cuantía (sic) que no se modifique la cámara de comercio en la invitación o estudios previos?»</w:t>
      </w:r>
      <w:r w:rsidR="009730D8" w:rsidRPr="00E6228D">
        <w:rPr>
          <w:rFonts w:ascii="Arial" w:eastAsia="Calibri" w:hAnsi="Arial" w:cs="Arial"/>
          <w:color w:val="000000" w:themeColor="text1"/>
          <w:sz w:val="22"/>
          <w:lang w:val="es-ES_tradnl"/>
        </w:rPr>
        <w:t>.</w:t>
      </w:r>
    </w:p>
    <w:p w14:paraId="1D8EC610" w14:textId="77777777" w:rsidR="00FA19FB" w:rsidRPr="00E6228D" w:rsidRDefault="00FA19FB" w:rsidP="00F23E3A">
      <w:pPr>
        <w:spacing w:line="276" w:lineRule="auto"/>
        <w:jc w:val="both"/>
        <w:rPr>
          <w:rFonts w:ascii="Arial" w:eastAsia="Calibri" w:hAnsi="Arial" w:cs="Arial"/>
          <w:color w:val="000000" w:themeColor="text1"/>
          <w:sz w:val="22"/>
          <w:lang w:val="es-ES_tradnl"/>
        </w:rPr>
      </w:pPr>
    </w:p>
    <w:p w14:paraId="2DE31733" w14:textId="495E5239" w:rsidR="00D91951" w:rsidRPr="00E6228D" w:rsidRDefault="0019166A" w:rsidP="00E75225">
      <w:pPr>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Si bien las entidades</w:t>
      </w:r>
      <w:r w:rsidR="00D13158" w:rsidRPr="00E6228D">
        <w:rPr>
          <w:rFonts w:ascii="Arial" w:eastAsia="Calibri" w:hAnsi="Arial" w:cs="Arial"/>
          <w:color w:val="000000" w:themeColor="text1"/>
          <w:sz w:val="22"/>
          <w:lang w:val="es-ES_tradnl"/>
        </w:rPr>
        <w:t xml:space="preserve"> estatales</w:t>
      </w:r>
      <w:r w:rsidRPr="00E6228D">
        <w:rPr>
          <w:rFonts w:ascii="Arial" w:eastAsia="Calibri" w:hAnsi="Arial" w:cs="Arial"/>
          <w:color w:val="000000" w:themeColor="text1"/>
          <w:sz w:val="22"/>
          <w:lang w:val="es-ES_tradnl"/>
        </w:rPr>
        <w:t xml:space="preserve"> pueden exigir una experiencia mínima</w:t>
      </w:r>
      <w:r w:rsidR="00D13158" w:rsidRPr="00E6228D">
        <w:rPr>
          <w:rFonts w:ascii="Arial" w:eastAsia="Calibri" w:hAnsi="Arial" w:cs="Arial"/>
          <w:color w:val="000000" w:themeColor="text1"/>
          <w:sz w:val="22"/>
          <w:lang w:val="es-ES_tradnl"/>
        </w:rPr>
        <w:t xml:space="preserve"> en el procedimiento de mínima cuantía, </w:t>
      </w:r>
      <w:r w:rsidR="00106AFE" w:rsidRPr="00E6228D">
        <w:rPr>
          <w:rFonts w:ascii="Arial" w:eastAsia="Calibri" w:hAnsi="Arial" w:cs="Arial"/>
          <w:color w:val="000000" w:themeColor="text1"/>
          <w:sz w:val="22"/>
          <w:lang w:val="es-ES_tradnl"/>
        </w:rPr>
        <w:t xml:space="preserve">de conformidad con </w:t>
      </w:r>
      <w:r w:rsidR="00106AFE" w:rsidRPr="00E6228D">
        <w:rPr>
          <w:rFonts w:ascii="Arial" w:hAnsi="Arial" w:cs="Arial"/>
          <w:color w:val="000000" w:themeColor="text1"/>
          <w:sz w:val="22"/>
          <w:lang w:val="es-ES_tradnl"/>
        </w:rPr>
        <w:t>el numeral 1 del artículo 2.2.1.2.1.5.2. del Decreto 1082 de 2015, no pueden prohibir que los interesados en presentar propuestas</w:t>
      </w:r>
      <w:r w:rsidR="00FD71E5" w:rsidRPr="00E6228D">
        <w:rPr>
          <w:rFonts w:ascii="Arial" w:hAnsi="Arial" w:cs="Arial"/>
          <w:color w:val="000000" w:themeColor="text1"/>
          <w:sz w:val="22"/>
          <w:lang w:val="es-ES_tradnl"/>
        </w:rPr>
        <w:t xml:space="preserve"> actualicen la información del RUES que administran las cámaras de comercio, pues esta puede actualizarse en cualquier momento</w:t>
      </w:r>
      <w:r w:rsidR="00E41DA5" w:rsidRPr="00E6228D">
        <w:rPr>
          <w:rFonts w:ascii="Arial" w:hAnsi="Arial" w:cs="Arial"/>
          <w:color w:val="000000" w:themeColor="text1"/>
          <w:sz w:val="22"/>
          <w:lang w:val="es-ES_tradnl"/>
        </w:rPr>
        <w:t xml:space="preserve"> y</w:t>
      </w:r>
      <w:r w:rsidR="009803F0" w:rsidRPr="00E6228D">
        <w:rPr>
          <w:rFonts w:ascii="Arial" w:hAnsi="Arial" w:cs="Arial"/>
          <w:color w:val="000000" w:themeColor="text1"/>
          <w:sz w:val="22"/>
          <w:lang w:val="es-ES_tradnl"/>
        </w:rPr>
        <w:t xml:space="preserve"> además</w:t>
      </w:r>
      <w:r w:rsidR="00E41DA5" w:rsidRPr="00E6228D">
        <w:rPr>
          <w:rFonts w:ascii="Arial" w:hAnsi="Arial" w:cs="Arial"/>
          <w:color w:val="000000" w:themeColor="text1"/>
          <w:sz w:val="22"/>
          <w:lang w:val="es-ES_tradnl"/>
        </w:rPr>
        <w:t xml:space="preserve"> los requisitos de participación deben</w:t>
      </w:r>
      <w:r w:rsidR="009803F0" w:rsidRPr="00E6228D">
        <w:rPr>
          <w:rFonts w:ascii="Arial" w:hAnsi="Arial" w:cs="Arial"/>
          <w:color w:val="000000" w:themeColor="text1"/>
          <w:sz w:val="22"/>
          <w:lang w:val="es-ES_tradnl"/>
        </w:rPr>
        <w:t xml:space="preserve"> ser razonables y</w:t>
      </w:r>
      <w:r w:rsidR="00E41DA5" w:rsidRPr="00E6228D">
        <w:rPr>
          <w:rFonts w:ascii="Arial" w:hAnsi="Arial" w:cs="Arial"/>
          <w:color w:val="000000" w:themeColor="text1"/>
          <w:sz w:val="22"/>
          <w:lang w:val="es-ES_tradnl"/>
        </w:rPr>
        <w:t xml:space="preserve"> garantizar la libre concurrencia</w:t>
      </w:r>
      <w:r w:rsidR="00FD71E5" w:rsidRPr="00E6228D">
        <w:rPr>
          <w:rFonts w:ascii="Arial" w:hAnsi="Arial" w:cs="Arial"/>
          <w:color w:val="000000" w:themeColor="text1"/>
          <w:sz w:val="22"/>
          <w:lang w:val="es-ES_tradnl"/>
        </w:rPr>
        <w:t>. As</w:t>
      </w:r>
      <w:r w:rsidR="002E1E84" w:rsidRPr="00E6228D">
        <w:rPr>
          <w:rFonts w:ascii="Arial" w:hAnsi="Arial" w:cs="Arial"/>
          <w:color w:val="000000" w:themeColor="text1"/>
          <w:sz w:val="22"/>
          <w:lang w:val="es-ES_tradnl"/>
        </w:rPr>
        <w:t xml:space="preserve">í </w:t>
      </w:r>
      <w:r w:rsidR="00FD71E5" w:rsidRPr="00E6228D">
        <w:rPr>
          <w:rFonts w:ascii="Arial" w:hAnsi="Arial" w:cs="Arial"/>
          <w:color w:val="000000" w:themeColor="text1"/>
          <w:sz w:val="22"/>
          <w:lang w:val="es-ES_tradnl"/>
        </w:rPr>
        <w:t>mismo</w:t>
      </w:r>
      <w:r w:rsidR="002E1E84" w:rsidRPr="00E6228D">
        <w:rPr>
          <w:rFonts w:ascii="Arial" w:hAnsi="Arial" w:cs="Arial"/>
          <w:color w:val="000000" w:themeColor="text1"/>
          <w:sz w:val="22"/>
          <w:lang w:val="es-ES_tradnl"/>
        </w:rPr>
        <w:t>,</w:t>
      </w:r>
      <w:r w:rsidR="00FD71E5" w:rsidRPr="00E6228D">
        <w:rPr>
          <w:rFonts w:ascii="Arial" w:hAnsi="Arial" w:cs="Arial"/>
          <w:color w:val="000000" w:themeColor="text1"/>
          <w:sz w:val="22"/>
          <w:lang w:val="es-ES_tradnl"/>
        </w:rPr>
        <w:t xml:space="preserve"> las entidades deben tener en cuenta que el </w:t>
      </w:r>
      <w:r w:rsidR="00A52AB9" w:rsidRPr="00E6228D">
        <w:rPr>
          <w:rFonts w:ascii="Arial" w:hAnsi="Arial" w:cs="Arial"/>
          <w:color w:val="000000" w:themeColor="text1"/>
          <w:sz w:val="22"/>
          <w:lang w:val="es-ES_tradnl"/>
        </w:rPr>
        <w:t>artículo 6 de la Ley 1150 de 2007</w:t>
      </w:r>
      <w:r w:rsidR="00A52AB9" w:rsidRPr="00E6228D">
        <w:rPr>
          <w:rFonts w:ascii="Arial" w:eastAsia="Calibri" w:hAnsi="Arial" w:cs="Arial"/>
          <w:color w:val="000000" w:themeColor="text1"/>
          <w:sz w:val="22"/>
          <w:lang w:val="es-ES_tradnl"/>
        </w:rPr>
        <w:t xml:space="preserve"> dispone que el RUP no puede solicitarse en los procedimientos de mínima cuantía como requisito de participación. </w:t>
      </w:r>
    </w:p>
    <w:p w14:paraId="6B445CBC" w14:textId="38A68757" w:rsidR="003E5136" w:rsidRPr="00E6228D" w:rsidRDefault="003E5136" w:rsidP="00D91951">
      <w:pPr>
        <w:spacing w:line="276" w:lineRule="auto"/>
        <w:ind w:firstLine="709"/>
        <w:jc w:val="both"/>
        <w:rPr>
          <w:rFonts w:ascii="Arial" w:eastAsia="Calibri" w:hAnsi="Arial" w:cs="Arial"/>
          <w:color w:val="000000" w:themeColor="text1"/>
          <w:sz w:val="22"/>
          <w:lang w:val="es-ES_tradnl"/>
        </w:rPr>
      </w:pPr>
    </w:p>
    <w:p w14:paraId="67A2F5EF" w14:textId="65E624D6" w:rsidR="003E5136" w:rsidRPr="00E6228D" w:rsidRDefault="003E5136" w:rsidP="003E5136">
      <w:pPr>
        <w:spacing w:line="276" w:lineRule="auto"/>
        <w:ind w:left="708" w:right="709"/>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ii) «¿puede un proponente modificar sus actividades económicas inscritas en la cámara de comercio antes de presentar la propuesta u otro documento para poder cumplir con las exigencias de un pliego o una invitación antes de la entrega de las propuestas?»</w:t>
      </w:r>
    </w:p>
    <w:p w14:paraId="492013A9" w14:textId="6E9F2624" w:rsidR="007F1531" w:rsidRPr="00E6228D" w:rsidRDefault="007F1531" w:rsidP="003E5136">
      <w:pPr>
        <w:spacing w:line="276" w:lineRule="auto"/>
        <w:ind w:left="708" w:right="709"/>
        <w:jc w:val="both"/>
        <w:rPr>
          <w:rFonts w:ascii="Arial" w:eastAsia="Calibri" w:hAnsi="Arial" w:cs="Arial"/>
          <w:color w:val="000000" w:themeColor="text1"/>
          <w:sz w:val="22"/>
          <w:lang w:val="es-ES_tradnl"/>
        </w:rPr>
      </w:pPr>
    </w:p>
    <w:p w14:paraId="14AEB661" w14:textId="1E9F1E80" w:rsidR="000E3936" w:rsidRPr="00E6228D" w:rsidRDefault="00AA5938" w:rsidP="004446C3">
      <w:pPr>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Los comerciantes pueden actualizar en cualquier momento la información del RUES, que integra tanto el Registro Mercantil como el Registro Único de Proponentes</w:t>
      </w:r>
      <w:r w:rsidR="00A112D9" w:rsidRPr="00E6228D">
        <w:rPr>
          <w:rFonts w:ascii="Arial" w:eastAsia="Calibri" w:hAnsi="Arial" w:cs="Arial"/>
          <w:color w:val="000000" w:themeColor="text1"/>
          <w:sz w:val="22"/>
          <w:lang w:val="es-ES_tradnl"/>
        </w:rPr>
        <w:t xml:space="preserve">. En consecuencia, los interesados en presentar sus propuestas en un procedimiento de mínima cuantía </w:t>
      </w:r>
      <w:r w:rsidR="00166F08" w:rsidRPr="00E6228D">
        <w:rPr>
          <w:rFonts w:ascii="Arial" w:eastAsia="Calibri" w:hAnsi="Arial" w:cs="Arial"/>
          <w:color w:val="000000" w:themeColor="text1"/>
          <w:sz w:val="22"/>
          <w:lang w:val="es-ES_tradnl"/>
        </w:rPr>
        <w:t>pueden actualizar sus actividades económicas registradas con los códigos CIIU</w:t>
      </w:r>
      <w:r w:rsidR="00513C06" w:rsidRPr="00E6228D">
        <w:rPr>
          <w:rFonts w:ascii="Arial" w:eastAsia="Calibri" w:hAnsi="Arial" w:cs="Arial"/>
          <w:color w:val="000000" w:themeColor="text1"/>
          <w:sz w:val="22"/>
          <w:lang w:val="es-ES_tradnl"/>
        </w:rPr>
        <w:t>, antes del vencimiento del plazo para allegar sus ofertas. Son las entidades estatales las que</w:t>
      </w:r>
      <w:r w:rsidR="005B4835" w:rsidRPr="00E6228D">
        <w:rPr>
          <w:rFonts w:ascii="Arial" w:eastAsia="Calibri" w:hAnsi="Arial" w:cs="Arial"/>
          <w:color w:val="000000" w:themeColor="text1"/>
          <w:sz w:val="22"/>
          <w:lang w:val="es-ES_tradnl"/>
        </w:rPr>
        <w:t xml:space="preserve"> deben efectuar la verificación de que la experiencia acreditada por los oferentes en el procedimiento de mínima cuantía –en caso de solicitarse una experiencia mínima– se haya obtenido antes del cierre y </w:t>
      </w:r>
      <w:r w:rsidR="00053564" w:rsidRPr="00E6228D">
        <w:rPr>
          <w:rFonts w:ascii="Arial" w:eastAsia="Calibri" w:hAnsi="Arial" w:cs="Arial"/>
          <w:color w:val="000000" w:themeColor="text1"/>
          <w:sz w:val="22"/>
          <w:lang w:val="es-ES_tradnl"/>
        </w:rPr>
        <w:t>que la trayectoria en el ejercicio de las actividades económicas solicitadas sea por el plazo indicado en la invitación. Esto lo podrán hacer</w:t>
      </w:r>
      <w:r w:rsidR="004638DC" w:rsidRPr="00E6228D">
        <w:rPr>
          <w:rFonts w:ascii="Arial" w:eastAsia="Calibri" w:hAnsi="Arial" w:cs="Arial"/>
          <w:color w:val="000000" w:themeColor="text1"/>
          <w:sz w:val="22"/>
          <w:lang w:val="es-ES_tradnl"/>
        </w:rPr>
        <w:t xml:space="preserve"> solicitando que el proponente </w:t>
      </w:r>
      <w:r w:rsidR="009803F0" w:rsidRPr="00E6228D">
        <w:rPr>
          <w:rFonts w:ascii="Arial" w:eastAsia="Calibri" w:hAnsi="Arial" w:cs="Arial"/>
          <w:color w:val="000000" w:themeColor="text1"/>
          <w:sz w:val="22"/>
          <w:lang w:val="es-ES_tradnl"/>
        </w:rPr>
        <w:t>aporte</w:t>
      </w:r>
      <w:r w:rsidR="00053564" w:rsidRPr="00E6228D">
        <w:rPr>
          <w:rFonts w:ascii="Arial" w:eastAsia="Calibri" w:hAnsi="Arial" w:cs="Arial"/>
          <w:color w:val="000000" w:themeColor="text1"/>
          <w:sz w:val="22"/>
          <w:lang w:val="es-ES_tradnl"/>
        </w:rPr>
        <w:t xml:space="preserve"> certificaciones, copias de contratos u otros documentos</w:t>
      </w:r>
      <w:r w:rsidR="004638DC" w:rsidRPr="00E6228D">
        <w:rPr>
          <w:rFonts w:ascii="Arial" w:eastAsia="Calibri" w:hAnsi="Arial" w:cs="Arial"/>
          <w:color w:val="000000" w:themeColor="text1"/>
          <w:sz w:val="22"/>
          <w:lang w:val="es-ES_tradnl"/>
        </w:rPr>
        <w:t xml:space="preserve"> que permitan </w:t>
      </w:r>
      <w:r w:rsidR="004638DC" w:rsidRPr="00E6228D">
        <w:rPr>
          <w:rFonts w:ascii="Arial" w:eastAsia="Calibri" w:hAnsi="Arial" w:cs="Arial"/>
          <w:color w:val="000000" w:themeColor="text1"/>
          <w:sz w:val="22"/>
          <w:lang w:val="es-ES_tradnl"/>
        </w:rPr>
        <w:lastRenderedPageBreak/>
        <w:t>constatar la experiencia</w:t>
      </w:r>
      <w:r w:rsidR="00887E46" w:rsidRPr="00E6228D">
        <w:rPr>
          <w:rFonts w:ascii="Arial" w:eastAsia="Calibri" w:hAnsi="Arial" w:cs="Arial"/>
          <w:color w:val="000000" w:themeColor="text1"/>
          <w:sz w:val="22"/>
          <w:lang w:val="es-ES_tradnl"/>
        </w:rPr>
        <w:t xml:space="preserve">. </w:t>
      </w:r>
      <w:r w:rsidR="004638DC" w:rsidRPr="00E6228D">
        <w:rPr>
          <w:rFonts w:ascii="Arial" w:eastAsia="Calibri" w:hAnsi="Arial" w:cs="Arial"/>
          <w:color w:val="000000" w:themeColor="text1"/>
          <w:sz w:val="22"/>
          <w:lang w:val="es-ES_tradnl"/>
        </w:rPr>
        <w:t>La presentación del certificado del RUP</w:t>
      </w:r>
      <w:r w:rsidR="007C34AE" w:rsidRPr="00E6228D">
        <w:rPr>
          <w:rFonts w:ascii="Arial" w:eastAsia="Calibri" w:hAnsi="Arial" w:cs="Arial"/>
          <w:color w:val="000000" w:themeColor="text1"/>
          <w:sz w:val="22"/>
          <w:lang w:val="es-ES_tradnl"/>
        </w:rPr>
        <w:t>,</w:t>
      </w:r>
      <w:r w:rsidR="00887E46" w:rsidRPr="00E6228D">
        <w:rPr>
          <w:rFonts w:ascii="Arial" w:eastAsia="Calibri" w:hAnsi="Arial" w:cs="Arial"/>
          <w:color w:val="000000" w:themeColor="text1"/>
          <w:sz w:val="22"/>
          <w:lang w:val="es-ES_tradnl"/>
        </w:rPr>
        <w:t xml:space="preserve"> por parte del oferente</w:t>
      </w:r>
      <w:r w:rsidR="007C34AE" w:rsidRPr="00E6228D">
        <w:rPr>
          <w:rFonts w:ascii="Arial" w:eastAsia="Calibri" w:hAnsi="Arial" w:cs="Arial"/>
          <w:color w:val="000000" w:themeColor="text1"/>
          <w:sz w:val="22"/>
          <w:lang w:val="es-ES_tradnl"/>
        </w:rPr>
        <w:t>,</w:t>
      </w:r>
      <w:r w:rsidR="004638DC" w:rsidRPr="00E6228D">
        <w:rPr>
          <w:rFonts w:ascii="Arial" w:eastAsia="Calibri" w:hAnsi="Arial" w:cs="Arial"/>
          <w:color w:val="000000" w:themeColor="text1"/>
          <w:sz w:val="22"/>
          <w:lang w:val="es-ES_tradnl"/>
        </w:rPr>
        <w:t xml:space="preserve"> es facultativ</w:t>
      </w:r>
      <w:r w:rsidR="00887E46" w:rsidRPr="00E6228D">
        <w:rPr>
          <w:rFonts w:ascii="Arial" w:eastAsia="Calibri" w:hAnsi="Arial" w:cs="Arial"/>
          <w:color w:val="000000" w:themeColor="text1"/>
          <w:sz w:val="22"/>
          <w:lang w:val="es-ES_tradnl"/>
        </w:rPr>
        <w:t>a en la mínima cuantía, ya que el artículo 6 de la Ley 1150 de 2007 prohíbe que las entidades estatales lo requieran en dicha modalidad de selección</w:t>
      </w:r>
      <w:r w:rsidR="00476328" w:rsidRPr="00E6228D">
        <w:rPr>
          <w:rFonts w:ascii="Arial" w:eastAsia="Calibri" w:hAnsi="Arial" w:cs="Arial"/>
          <w:color w:val="000000" w:themeColor="text1"/>
          <w:sz w:val="22"/>
          <w:lang w:val="es-ES_tradnl"/>
        </w:rPr>
        <w:t xml:space="preserve"> y corresponde a ellas «cumplir con la labor de verificación de las condiciones de los proponentes»</w:t>
      </w:r>
      <w:r w:rsidR="00476328" w:rsidRPr="00E6228D">
        <w:rPr>
          <w:rStyle w:val="Refdenotaalpie"/>
          <w:rFonts w:ascii="Arial" w:eastAsia="Calibri" w:hAnsi="Arial" w:cs="Arial"/>
          <w:color w:val="000000" w:themeColor="text1"/>
          <w:sz w:val="22"/>
          <w:lang w:val="es-ES_tradnl"/>
        </w:rPr>
        <w:footnoteReference w:id="24"/>
      </w:r>
      <w:r w:rsidR="00887E46" w:rsidRPr="00E6228D">
        <w:rPr>
          <w:rFonts w:ascii="Arial" w:eastAsia="Calibri" w:hAnsi="Arial" w:cs="Arial"/>
          <w:color w:val="000000" w:themeColor="text1"/>
          <w:sz w:val="22"/>
          <w:lang w:val="es-ES_tradnl"/>
        </w:rPr>
        <w:t>. Por último, debe recordarse que a</w:t>
      </w:r>
      <w:r w:rsidR="00AC1406" w:rsidRPr="00E6228D">
        <w:rPr>
          <w:rFonts w:ascii="Arial" w:eastAsia="Calibri" w:hAnsi="Arial" w:cs="Arial"/>
          <w:color w:val="000000" w:themeColor="text1"/>
          <w:sz w:val="22"/>
          <w:lang w:val="es-ES_tradnl"/>
        </w:rPr>
        <w:t>l ser la experiencia exigida en la invitación</w:t>
      </w:r>
      <w:r w:rsidR="0095765C" w:rsidRPr="00E6228D">
        <w:rPr>
          <w:rFonts w:ascii="Arial" w:eastAsia="Calibri" w:hAnsi="Arial" w:cs="Arial"/>
          <w:color w:val="000000" w:themeColor="text1"/>
          <w:sz w:val="22"/>
          <w:lang w:val="es-ES_tradnl"/>
        </w:rPr>
        <w:t xml:space="preserve"> de mínima cuantía</w:t>
      </w:r>
      <w:r w:rsidR="00AC1406" w:rsidRPr="00E6228D">
        <w:rPr>
          <w:rFonts w:ascii="Arial" w:eastAsia="Calibri" w:hAnsi="Arial" w:cs="Arial"/>
          <w:color w:val="000000" w:themeColor="text1"/>
          <w:sz w:val="22"/>
          <w:lang w:val="es-ES_tradnl"/>
        </w:rPr>
        <w:t xml:space="preserve"> un requisito de participación –que no otorga puntaje–</w:t>
      </w:r>
      <w:r w:rsidR="0095765C" w:rsidRPr="00E6228D">
        <w:rPr>
          <w:rFonts w:ascii="Arial" w:eastAsia="Calibri" w:hAnsi="Arial" w:cs="Arial"/>
          <w:color w:val="000000" w:themeColor="text1"/>
          <w:sz w:val="22"/>
          <w:lang w:val="es-ES_tradnl"/>
        </w:rPr>
        <w:t xml:space="preserve">, los defectos o la ausencia de información relativa a dicho requisito </w:t>
      </w:r>
      <w:r w:rsidR="009F237C" w:rsidRPr="00E6228D">
        <w:rPr>
          <w:rFonts w:ascii="Arial" w:eastAsia="Calibri" w:hAnsi="Arial" w:cs="Arial"/>
          <w:color w:val="000000" w:themeColor="text1"/>
          <w:sz w:val="22"/>
          <w:lang w:val="es-ES_tradnl"/>
        </w:rPr>
        <w:t>son</w:t>
      </w:r>
      <w:r w:rsidR="0095765C" w:rsidRPr="00E6228D">
        <w:rPr>
          <w:rFonts w:ascii="Arial" w:eastAsia="Calibri" w:hAnsi="Arial" w:cs="Arial"/>
          <w:color w:val="000000" w:themeColor="text1"/>
          <w:sz w:val="22"/>
          <w:lang w:val="es-ES_tradnl"/>
        </w:rPr>
        <w:t xml:space="preserve"> subsanable</w:t>
      </w:r>
      <w:r w:rsidR="009F237C" w:rsidRPr="00E6228D">
        <w:rPr>
          <w:rFonts w:ascii="Arial" w:eastAsia="Calibri" w:hAnsi="Arial" w:cs="Arial"/>
          <w:color w:val="000000" w:themeColor="text1"/>
          <w:sz w:val="22"/>
          <w:lang w:val="es-ES_tradnl"/>
        </w:rPr>
        <w:t>s</w:t>
      </w:r>
      <w:r w:rsidR="0095765C" w:rsidRPr="00E6228D">
        <w:rPr>
          <w:rFonts w:ascii="Arial" w:eastAsia="Calibri" w:hAnsi="Arial" w:cs="Arial"/>
          <w:color w:val="000000" w:themeColor="text1"/>
          <w:sz w:val="22"/>
          <w:lang w:val="es-ES_tradnl"/>
        </w:rPr>
        <w:t xml:space="preserve">, pero el proponente no puede </w:t>
      </w:r>
      <w:r w:rsidR="002E688C" w:rsidRPr="00E6228D">
        <w:rPr>
          <w:rFonts w:ascii="Arial" w:eastAsia="Calibri" w:hAnsi="Arial" w:cs="Arial"/>
          <w:color w:val="000000" w:themeColor="text1"/>
          <w:sz w:val="22"/>
          <w:lang w:val="es-ES_tradnl"/>
        </w:rPr>
        <w:t>acreditar circunstancias ocurridas con posterioridad al cierre del proceso, o sea que no puede probar experiencia adquirida luego del vencimiento del plazo para presentar las ofertas.</w:t>
      </w:r>
    </w:p>
    <w:p w14:paraId="02167F78" w14:textId="77777777" w:rsidR="00AC1406" w:rsidRPr="00E6228D" w:rsidRDefault="00AC1406" w:rsidP="000E3936">
      <w:pPr>
        <w:spacing w:line="276" w:lineRule="auto"/>
        <w:jc w:val="both"/>
        <w:rPr>
          <w:rFonts w:ascii="Arial" w:eastAsia="Calibri" w:hAnsi="Arial" w:cs="Arial"/>
          <w:color w:val="000000" w:themeColor="text1"/>
          <w:sz w:val="22"/>
          <w:lang w:val="es-ES_tradnl"/>
        </w:rPr>
      </w:pPr>
    </w:p>
    <w:p w14:paraId="47DEA7AA" w14:textId="5AC992ED" w:rsidR="00A37FB6" w:rsidRPr="00E6228D" w:rsidRDefault="00A37FB6" w:rsidP="000E3936">
      <w:pPr>
        <w:spacing w:line="276" w:lineRule="auto"/>
        <w:jc w:val="both"/>
        <w:rPr>
          <w:rFonts w:ascii="Arial" w:eastAsia="Calibri" w:hAnsi="Arial" w:cs="Arial"/>
          <w:color w:val="000000" w:themeColor="text1"/>
          <w:sz w:val="22"/>
          <w:lang w:val="es-ES_tradnl"/>
        </w:rPr>
      </w:pPr>
      <w:r w:rsidRPr="00E6228D">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43D2F84E" w14:textId="77777777" w:rsidR="00A37FB6" w:rsidRPr="00E6228D" w:rsidRDefault="00A37FB6" w:rsidP="00F23E3A">
      <w:pPr>
        <w:spacing w:line="276" w:lineRule="auto"/>
        <w:jc w:val="both"/>
        <w:rPr>
          <w:rFonts w:ascii="Arial" w:eastAsia="Calibri" w:hAnsi="Arial" w:cs="Arial"/>
          <w:color w:val="000000" w:themeColor="text1"/>
          <w:sz w:val="22"/>
          <w:lang w:val="es-ES_tradnl"/>
        </w:rPr>
      </w:pPr>
    </w:p>
    <w:p w14:paraId="0F8C901F" w14:textId="77777777" w:rsidR="00A37FB6" w:rsidRPr="00E6228D" w:rsidRDefault="00A37FB6" w:rsidP="00F23E3A">
      <w:pPr>
        <w:spacing w:line="276" w:lineRule="auto"/>
        <w:jc w:val="both"/>
        <w:rPr>
          <w:rFonts w:ascii="Arial" w:eastAsia="Calibri" w:hAnsi="Arial" w:cs="Arial"/>
          <w:color w:val="000000" w:themeColor="text1"/>
          <w:sz w:val="22"/>
          <w:lang w:val="es-ES_tradnl"/>
        </w:rPr>
      </w:pPr>
      <w:r w:rsidRPr="00E6228D">
        <w:rPr>
          <w:noProof/>
          <w:color w:val="000000" w:themeColor="text1"/>
          <w:lang w:val="en-US" w:eastAsia="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F3FB06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1E81A930" w14:textId="77777777" w:rsidR="00A37FB6" w:rsidRPr="00E6228D" w:rsidRDefault="00A37FB6" w:rsidP="00F23E3A">
      <w:pPr>
        <w:spacing w:line="276" w:lineRule="auto"/>
        <w:rPr>
          <w:rFonts w:ascii="Arial" w:hAnsi="Arial" w:cs="Arial"/>
          <w:color w:val="000000" w:themeColor="text1"/>
          <w:sz w:val="22"/>
          <w:lang w:val="es-ES_tradnl" w:eastAsia="es-CO"/>
        </w:rPr>
      </w:pPr>
      <w:r w:rsidRPr="00E6228D">
        <w:rPr>
          <w:rFonts w:ascii="Arial" w:hAnsi="Arial" w:cs="Arial"/>
          <w:color w:val="000000" w:themeColor="text1"/>
          <w:sz w:val="22"/>
          <w:lang w:val="es-ES_tradnl" w:eastAsia="es-CO"/>
        </w:rPr>
        <w:t>Atentamente,</w:t>
      </w:r>
    </w:p>
    <w:p w14:paraId="57DD1EBD" w14:textId="02F4F353" w:rsidR="00746E08" w:rsidRPr="00E6228D" w:rsidRDefault="00AA6009" w:rsidP="00F23E3A">
      <w:pPr>
        <w:spacing w:line="276" w:lineRule="auto"/>
        <w:jc w:val="center"/>
        <w:rPr>
          <w:rFonts w:ascii="Arial" w:hAnsi="Arial" w:cs="Arial"/>
          <w:color w:val="000000" w:themeColor="text1"/>
          <w:sz w:val="18"/>
          <w:szCs w:val="20"/>
          <w:lang w:val="es-ES_tradnl" w:eastAsia="es-CO"/>
        </w:rPr>
      </w:pPr>
      <w:r>
        <w:rPr>
          <w:noProof/>
          <w:lang w:val="en-US" w:eastAsia="en-US"/>
        </w:rPr>
        <w:drawing>
          <wp:inline distT="0" distB="0" distL="0" distR="0" wp14:anchorId="0A2776B2" wp14:editId="27013F5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6228D" w:rsidRPr="00E6228D" w14:paraId="469202AF" w14:textId="77777777" w:rsidTr="009E1BE1">
        <w:trPr>
          <w:trHeight w:val="315"/>
        </w:trPr>
        <w:tc>
          <w:tcPr>
            <w:tcW w:w="812" w:type="dxa"/>
            <w:vAlign w:val="center"/>
            <w:hideMark/>
          </w:tcPr>
          <w:p w14:paraId="3F62A0B3" w14:textId="77777777" w:rsidR="00746E08" w:rsidRPr="00E6228D" w:rsidRDefault="00746E08"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1BF5FD4F" w:rsidR="00746E08" w:rsidRPr="00E6228D" w:rsidRDefault="00644C0A"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Cristian Andrés Díaz Díez</w:t>
            </w:r>
          </w:p>
        </w:tc>
      </w:tr>
      <w:tr w:rsidR="00E6228D" w:rsidRPr="00E6228D" w14:paraId="10BC78E8" w14:textId="77777777" w:rsidTr="009E1BE1">
        <w:trPr>
          <w:trHeight w:val="330"/>
        </w:trPr>
        <w:tc>
          <w:tcPr>
            <w:tcW w:w="812" w:type="dxa"/>
            <w:vAlign w:val="center"/>
            <w:hideMark/>
          </w:tcPr>
          <w:p w14:paraId="6A7DBF66" w14:textId="77777777" w:rsidR="00746E08" w:rsidRPr="00E6228D" w:rsidRDefault="00746E08"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E6228D" w:rsidRDefault="00746E08"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Fabián Gonzalo Marín Cortés</w:t>
            </w:r>
          </w:p>
          <w:p w14:paraId="19E8BD8D" w14:textId="69868F8E" w:rsidR="00746E08" w:rsidRPr="00E6228D" w:rsidRDefault="00746E08"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Subdirector de Gestión Contractual</w:t>
            </w:r>
          </w:p>
        </w:tc>
      </w:tr>
      <w:tr w:rsidR="00746E08" w:rsidRPr="00E6228D" w14:paraId="50741B38" w14:textId="77777777" w:rsidTr="009E1BE1">
        <w:trPr>
          <w:trHeight w:val="300"/>
        </w:trPr>
        <w:tc>
          <w:tcPr>
            <w:tcW w:w="812" w:type="dxa"/>
            <w:vAlign w:val="center"/>
            <w:hideMark/>
          </w:tcPr>
          <w:p w14:paraId="297715FA" w14:textId="77777777" w:rsidR="00746E08" w:rsidRPr="00E6228D" w:rsidRDefault="00746E08"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E6228D" w:rsidRDefault="00746E08"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Fabián Gonzalo Marín Cortés</w:t>
            </w:r>
          </w:p>
          <w:p w14:paraId="17847B1F" w14:textId="71EB0D70" w:rsidR="00746E08" w:rsidRPr="00E6228D" w:rsidRDefault="00746E08" w:rsidP="00F23E3A">
            <w:pPr>
              <w:spacing w:line="276" w:lineRule="auto"/>
              <w:rPr>
                <w:rFonts w:ascii="Arial" w:hAnsi="Arial" w:cs="Arial"/>
                <w:color w:val="000000" w:themeColor="text1"/>
                <w:sz w:val="16"/>
                <w:szCs w:val="16"/>
                <w:lang w:val="es-ES_tradnl" w:eastAsia="es-ES"/>
              </w:rPr>
            </w:pPr>
            <w:r w:rsidRPr="00E6228D">
              <w:rPr>
                <w:rFonts w:ascii="Arial" w:hAnsi="Arial" w:cs="Arial"/>
                <w:color w:val="000000" w:themeColor="text1"/>
                <w:sz w:val="16"/>
                <w:szCs w:val="16"/>
                <w:lang w:val="es-ES_tradnl" w:eastAsia="es-ES"/>
              </w:rPr>
              <w:t>Subdirector de Gestión Contractual</w:t>
            </w:r>
          </w:p>
        </w:tc>
      </w:tr>
    </w:tbl>
    <w:p w14:paraId="35B56F46" w14:textId="77777777" w:rsidR="00746E08" w:rsidRPr="00E6228D" w:rsidRDefault="00746E08" w:rsidP="00F23E3A">
      <w:pPr>
        <w:spacing w:line="276" w:lineRule="auto"/>
        <w:rPr>
          <w:rFonts w:ascii="Arial" w:hAnsi="Arial" w:cs="Arial"/>
          <w:color w:val="000000" w:themeColor="text1"/>
          <w:sz w:val="16"/>
          <w:szCs w:val="16"/>
          <w:lang w:val="es-ES_tradnl" w:eastAsia="es-ES"/>
        </w:rPr>
      </w:pPr>
    </w:p>
    <w:sectPr w:rsidR="00746E08" w:rsidRPr="00E6228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D47794" w14:textId="77777777" w:rsidR="00355577" w:rsidRDefault="00355577">
      <w:r>
        <w:separator/>
      </w:r>
    </w:p>
  </w:endnote>
  <w:endnote w:type="continuationSeparator" w:id="0">
    <w:p w14:paraId="4726485D" w14:textId="77777777" w:rsidR="00355577" w:rsidRDefault="00355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08FB4758" w:rsidR="001C42FB" w:rsidRDefault="001C42FB" w:rsidP="00322937">
    <w:pPr>
      <w:pStyle w:val="Sinespaciado"/>
      <w:jc w:val="right"/>
      <w:rPr>
        <w:rFonts w:ascii="Arial" w:hAnsi="Arial" w:cs="Arial"/>
        <w:sz w:val="18"/>
        <w:szCs w:val="18"/>
      </w:rPr>
    </w:pPr>
  </w:p>
  <w:p w14:paraId="2AECB590" w14:textId="77777777" w:rsidR="00EE05B3" w:rsidRDefault="00EE05B3" w:rsidP="00322937">
    <w:pPr>
      <w:pStyle w:val="Sinespaciado"/>
      <w:jc w:val="right"/>
      <w:rPr>
        <w:rFonts w:ascii="Arial" w:hAnsi="Arial" w:cs="Arial"/>
        <w:sz w:val="18"/>
        <w:szCs w:val="18"/>
      </w:rPr>
    </w:pPr>
  </w:p>
  <w:p w14:paraId="783C74E9" w14:textId="77777777" w:rsidR="00E6228D" w:rsidRDefault="00E6228D" w:rsidP="00322937">
    <w:pPr>
      <w:pStyle w:val="Sinespaciado"/>
      <w:jc w:val="right"/>
      <w:rPr>
        <w:rFonts w:ascii="Arial" w:hAnsi="Arial" w:cs="Arial"/>
        <w:sz w:val="18"/>
        <w:szCs w:val="18"/>
      </w:rPr>
    </w:pPr>
  </w:p>
  <w:p w14:paraId="7A3785F3" w14:textId="5F96AB56" w:rsidR="001C42FB" w:rsidRPr="008217B7" w:rsidRDefault="001C42FB"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C3545A">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C3545A">
      <w:rPr>
        <w:rFonts w:ascii="Arial" w:hAnsi="Arial" w:cs="Arial"/>
        <w:b/>
        <w:bCs/>
        <w:noProof/>
        <w:color w:val="7F7F7F" w:themeColor="text1" w:themeTint="80"/>
        <w:sz w:val="16"/>
        <w:szCs w:val="16"/>
      </w:rPr>
      <w:t>21</w:t>
    </w:r>
    <w:r w:rsidRPr="00084B97">
      <w:rPr>
        <w:rFonts w:ascii="Arial" w:hAnsi="Arial" w:cs="Arial"/>
        <w:b/>
        <w:bCs/>
        <w:color w:val="7F7F7F" w:themeColor="text1" w:themeTint="80"/>
        <w:sz w:val="16"/>
        <w:szCs w:val="16"/>
      </w:rPr>
      <w:fldChar w:fldCharType="end"/>
    </w:r>
  </w:p>
  <w:p w14:paraId="48FC6A04" w14:textId="5FD1A7C9" w:rsidR="001C42FB" w:rsidRDefault="001C42FB" w:rsidP="00322937">
    <w:pPr>
      <w:pStyle w:val="Piedepgina"/>
      <w:jc w:val="center"/>
      <w:rPr>
        <w:lang w:val="es-ES"/>
      </w:rPr>
    </w:pPr>
    <w:r>
      <w:rPr>
        <w:noProof/>
        <w:lang w:val="en-US" w:eastAsia="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1C42FB" w:rsidRPr="00E6228D" w:rsidRDefault="001C42FB" w:rsidP="007B0854">
    <w:pPr>
      <w:pStyle w:val="Piedepgina"/>
      <w:jc w:val="center"/>
      <w:rPr>
        <w:sz w:val="28"/>
        <w:szCs w:val="28"/>
        <w:lang w:val="es-ES"/>
      </w:rPr>
    </w:pPr>
  </w:p>
  <w:p w14:paraId="6C0EFC49" w14:textId="77777777" w:rsidR="001C42FB" w:rsidRPr="007B0854" w:rsidRDefault="001C42FB"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EBB2B6" w14:textId="77777777" w:rsidR="00355577" w:rsidRDefault="00355577">
      <w:r>
        <w:separator/>
      </w:r>
    </w:p>
  </w:footnote>
  <w:footnote w:type="continuationSeparator" w:id="0">
    <w:p w14:paraId="35F0106F" w14:textId="77777777" w:rsidR="00355577" w:rsidRDefault="00355577">
      <w:r>
        <w:continuationSeparator/>
      </w:r>
    </w:p>
  </w:footnote>
  <w:footnote w:id="1">
    <w:p w14:paraId="1C5BCDB3" w14:textId="5CB51B27"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En efecto, este artículo dispuso, hasta que entró en vigencia la Ley 1955 de 2019 –que adicionó un tercer parágrafo que luego se explicará–: «Adiciónese al artículo 2o de la Ley 1150 de 2007 el siguiente numeral.</w:t>
      </w:r>
    </w:p>
    <w:p w14:paraId="5356EED6" w14:textId="49080480"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»La contratación cuyo valor no excede del 10 por ciento de la menor cuantía de la entidad independientemente de su objeto, se efectuará de conformidad con las siguientes reglas:</w:t>
      </w:r>
    </w:p>
    <w:p w14:paraId="4D1D4FE3" w14:textId="53A189C0"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»a) Se publicará una invitación, por un término no inferior a un día hábil, en la cual se señalará el objeto a contratar, el presupuesto destinado para tal fin, así como las condiciones técnicas exigidas;</w:t>
      </w:r>
    </w:p>
    <w:p w14:paraId="0E750584" w14:textId="772E7020"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»b) El término previsto en la invitación para presentar la oferta no podrá ser inferior a un día hábil;</w:t>
      </w:r>
    </w:p>
    <w:p w14:paraId="3FE67ED8" w14:textId="4B90729C"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»c) La entidad seleccionará, mediante comunicación de aceptación de la oferta, la propuesta con el menor precio, siempre y cuando cumpla con las condiciones exigidas;</w:t>
      </w:r>
    </w:p>
    <w:p w14:paraId="07904880" w14:textId="7F89B597"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»d) La comunicación de aceptación junto con la oferta constituyen para todos los efectos el contrato celebrado, con base en lo cual se efectuará el respectivo registro presupuestal.</w:t>
      </w:r>
    </w:p>
    <w:p w14:paraId="5CD1A22F" w14:textId="610869C6"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»PARÁGRAFO 1o. Las particularidades del procedimiento aquí previsto, así como la posibilidad que tengan las entidades de realizar estas adquisiciones en establecimientos que correspondan a la definición de “gran almacén” señalada por la Superintendencia de Industria y Comercio, se determinarán en el reglamento que para el efecto expida el Gobierno Nacional.</w:t>
      </w:r>
    </w:p>
    <w:p w14:paraId="23A306E2" w14:textId="1A298907"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»PARÁGRAFO 2o. La contratación a que se refiere el presente artículo se realizará exclusivamente con las reglas en él contempladas y en su reglamentación. En particular no se aplicará lo previsto en la Ley 816 de 2003, ni en el artículo 12 de la Ley 1150 de 2007».</w:t>
      </w:r>
    </w:p>
    <w:p w14:paraId="467A9BA6"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2">
    <w:p w14:paraId="40660CDE" w14:textId="68B1FB6E"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Esto lo ratifica el artículo 2.2.1.2.1.5.2. del Decreto 1082 de 2015.</w:t>
      </w:r>
    </w:p>
    <w:p w14:paraId="0F0799C8"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3">
    <w:p w14:paraId="2D5E0F0A" w14:textId="31A359EF"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DÁVILA VINUEZA, Luis Guillermo. Régimen jurídico de la contratación estatal. 3ª ed. Bogotá: Legis, 2016. p. 463.</w:t>
      </w:r>
    </w:p>
    <w:p w14:paraId="62BDFC37"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4">
    <w:p w14:paraId="7DAA5B14" w14:textId="1A415B59"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La contratación de mínima cuantía es aquella que no excede el 10% de la menor cuantía, o sea, que no supera el 10% de los topes definidos en el artículo 2, numeral 2, literal b) de la Ley 1150 de 2007, que dispone:</w:t>
      </w:r>
      <w:r w:rsidR="0076740F" w:rsidRPr="00E6228D">
        <w:rPr>
          <w:rFonts w:ascii="Arial" w:hAnsi="Arial" w:cs="Arial"/>
          <w:color w:val="000000" w:themeColor="text1"/>
          <w:sz w:val="19"/>
          <w:szCs w:val="19"/>
          <w:lang w:val="es-ES_tradnl"/>
        </w:rPr>
        <w:t xml:space="preserve"> </w:t>
      </w:r>
      <w:r w:rsidRPr="00E6228D">
        <w:rPr>
          <w:rFonts w:ascii="Arial" w:hAnsi="Arial" w:cs="Arial"/>
          <w:color w:val="000000" w:themeColor="text1"/>
          <w:sz w:val="19"/>
          <w:szCs w:val="19"/>
          <w:lang w:val="es-ES_tradnl"/>
        </w:rPr>
        <w:t>«Se entenderá por menor cuantía los valores que a continuación se relacionan, determinados en función de los presupuestos anuales de las entidades públicas expresados en salarios mínimos legales mensuales.</w:t>
      </w:r>
    </w:p>
    <w:p w14:paraId="246B46C2" w14:textId="28425F41"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»Para las entidades que tengan un presupuesto anual superior o igual a 1.200.000 salarios mínimos legales mensuales, la menor cuantía será hasta 1.000 salarios mínimos legales mensuales.</w:t>
      </w:r>
    </w:p>
    <w:p w14:paraId="369FCE78" w14:textId="397CB786"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»Las que tengan un presupuesto anual superior o igual a 850.000 salarios mínimos legales mensuales e inferiores a 1.200.000 salarios mínimos legales mensuales, la menor cuantía será hasta 850 salarios mínimos legales mensuales.</w:t>
      </w:r>
    </w:p>
    <w:p w14:paraId="1A216BA1" w14:textId="00996939"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»Las que tengan un presupuesto anual superior o igual a 400.000 salarios mínimos legales mensuales e inferior a 850.000 salarios mínimos legales mensuales, la menor cuantía será hasta 650 salarios mínimos legales mensuales.</w:t>
      </w:r>
    </w:p>
    <w:p w14:paraId="735A2853" w14:textId="18666582"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»Las que tengan un presupuesto anual superior o igual a 120.000 salarios mínimos legales mensuales e inferior a 400.000 salarios mínimos legales mensuales, la menor cuantía será hasta 450 salarios mínimos legales mensuales.</w:t>
      </w:r>
    </w:p>
    <w:p w14:paraId="617DD6A5" w14:textId="2D81B461"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»Las que tengan un presupuesto anual inferior a 120.000 salarios mínimos legales mensuales, la menor cuantía será hasta 280 salarios mínimos legales mensuales».</w:t>
      </w:r>
    </w:p>
    <w:p w14:paraId="63F1C461"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5">
    <w:p w14:paraId="7AAA61B6" w14:textId="4D07A098"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Agencia Nacional de Contratación Pública – Colombia Compra Eficiente. Manual de la Modalidad de Selección de Mínima Cuantía M-MSMC-03. En: https://www.colombiacompra.gov.co/sites/cce_public/files/cce_documents/manual_de_la_modalidad_de_seleccion_de_minima_cuantia.pdf</w:t>
      </w:r>
    </w:p>
    <w:p w14:paraId="38A8BB84"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6">
    <w:p w14:paraId="775D04B3" w14:textId="3690242B"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Como lo indica la doctrina, en la mínima cuantía «El precio es el factor de selección del proponente. Es decir, la </w:t>
      </w:r>
      <w:r w:rsidRPr="00E6228D">
        <w:rPr>
          <w:rFonts w:ascii="Arial" w:hAnsi="Arial" w:cs="Arial"/>
          <w:i/>
          <w:iCs/>
          <w:color w:val="000000" w:themeColor="text1"/>
          <w:sz w:val="19"/>
          <w:szCs w:val="19"/>
          <w:lang w:val="es-ES_tradnl"/>
        </w:rPr>
        <w:t>entidad estatal</w:t>
      </w:r>
      <w:r w:rsidRPr="00E6228D">
        <w:rPr>
          <w:rFonts w:ascii="Arial" w:hAnsi="Arial" w:cs="Arial"/>
          <w:color w:val="000000" w:themeColor="text1"/>
          <w:sz w:val="19"/>
          <w:szCs w:val="19"/>
          <w:lang w:val="es-ES_tradnl"/>
        </w:rPr>
        <w:t xml:space="preserve"> debe adjudicar el </w:t>
      </w:r>
      <w:r w:rsidRPr="00E6228D">
        <w:rPr>
          <w:rFonts w:ascii="Arial" w:hAnsi="Arial" w:cs="Arial"/>
          <w:i/>
          <w:iCs/>
          <w:color w:val="000000" w:themeColor="text1"/>
          <w:sz w:val="19"/>
          <w:szCs w:val="19"/>
          <w:lang w:val="es-ES_tradnl"/>
        </w:rPr>
        <w:t>proceso de contratación</w:t>
      </w:r>
      <w:r w:rsidRPr="00E6228D">
        <w:rPr>
          <w:rFonts w:ascii="Arial" w:hAnsi="Arial" w:cs="Arial"/>
          <w:color w:val="000000" w:themeColor="text1"/>
          <w:sz w:val="19"/>
          <w:szCs w:val="19"/>
          <w:lang w:val="es-ES_tradnl"/>
        </w:rPr>
        <w:t xml:space="preserve"> al oferente que cumpla con todas las condiciones exigidas por la </w:t>
      </w:r>
      <w:r w:rsidRPr="00E6228D">
        <w:rPr>
          <w:rFonts w:ascii="Arial" w:hAnsi="Arial" w:cs="Arial"/>
          <w:i/>
          <w:iCs/>
          <w:color w:val="000000" w:themeColor="text1"/>
          <w:sz w:val="19"/>
          <w:szCs w:val="19"/>
          <w:lang w:val="es-ES_tradnl"/>
        </w:rPr>
        <w:t>entidad estatal</w:t>
      </w:r>
      <w:r w:rsidRPr="00E6228D">
        <w:rPr>
          <w:rFonts w:ascii="Arial" w:hAnsi="Arial" w:cs="Arial"/>
          <w:color w:val="000000" w:themeColor="text1"/>
          <w:sz w:val="19"/>
          <w:szCs w:val="19"/>
          <w:lang w:val="es-ES_tradnl"/>
        </w:rPr>
        <w:t xml:space="preserve"> en los </w:t>
      </w:r>
      <w:r w:rsidRPr="00E6228D">
        <w:rPr>
          <w:rFonts w:ascii="Arial" w:hAnsi="Arial" w:cs="Arial"/>
          <w:i/>
          <w:iCs/>
          <w:color w:val="000000" w:themeColor="text1"/>
          <w:sz w:val="19"/>
          <w:szCs w:val="19"/>
          <w:lang w:val="es-ES_tradnl"/>
        </w:rPr>
        <w:t>documentos del proceso</w:t>
      </w:r>
      <w:r w:rsidRPr="00E6228D">
        <w:rPr>
          <w:rFonts w:ascii="Arial" w:hAnsi="Arial" w:cs="Arial"/>
          <w:color w:val="000000" w:themeColor="text1"/>
          <w:sz w:val="19"/>
          <w:szCs w:val="19"/>
          <w:lang w:val="es-ES_tradnl"/>
        </w:rPr>
        <w:t xml:space="preserve"> (estudios previos e invitación a participar), y que ofrezca el menor valor. No hay lugar a puntajes para evaluar las ofertas sobre las características del objeto a contratar, su calidad o condiciones» (DÁVILA, Op.cit., p. 515).</w:t>
      </w:r>
    </w:p>
    <w:p w14:paraId="52C86275"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7">
    <w:p w14:paraId="51B39B4B" w14:textId="4F572CE4"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Por su parte, las reglas de la mínima cuantía para la adquisición en grandes superficies están contenidas en el artículo 2.2.1.2.1.5.3. del Decreto 1082 de 2015, así: «Las Entidades Estatales deben aplicar las siguientes reglas para adquirir bienes hasta por el monto de su mínima cuantía en Grandes Superficies:</w:t>
      </w:r>
    </w:p>
    <w:p w14:paraId="6C37F9F2" w14:textId="41C0F1DE"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»1. La invitación debe estar dirigida a por lo menos dos (2) Grandes Superficies y debe contener: a) la descripción técnica, detallada y completa del bien, identificado con el cuarto nivel del Clasificador de Bienes y Servicios; b) la forma de pago; c) el lugar de entrega; d) el plazo para la entrega de la cotización que debe ser de un (1) día hábil; d) la forma y el lugar de presentación de la cotización, y e) la disponibilidad presupuestal.</w:t>
      </w:r>
    </w:p>
    <w:p w14:paraId="59A935C1" w14:textId="4F8759CD"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»2. La Entidad Estatal debe evaluar las cotizaciones presentadas y seleccionar a quien, con las condiciones requeridas, ofrezca el menor precio del mercado y aceptar la mejor oferta.</w:t>
      </w:r>
    </w:p>
    <w:p w14:paraId="0A5827A7" w14:textId="168CE7EA"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»3. En caso de empate, la Entidad Estatal aceptará la oferta que haya sido presentada primero en el tiempo.</w:t>
      </w:r>
    </w:p>
    <w:p w14:paraId="42A53225" w14:textId="6C75FE5D"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»4. La oferta y su aceptación constituyen el contrato».</w:t>
      </w:r>
    </w:p>
    <w:p w14:paraId="05AC2A27"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8">
    <w:p w14:paraId="055685A5" w14:textId="585A1F53"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Consejo de Estado. Sección Tercera. Subsección A. Auto del 29 de marzo de 2017. Exp. 56</w:t>
      </w:r>
      <w:r w:rsidR="0076740F" w:rsidRPr="00E6228D">
        <w:rPr>
          <w:rFonts w:ascii="Arial" w:hAnsi="Arial" w:cs="Arial"/>
          <w:color w:val="000000" w:themeColor="text1"/>
          <w:sz w:val="19"/>
          <w:szCs w:val="19"/>
          <w:lang w:val="es-ES_tradnl"/>
        </w:rPr>
        <w:t>.</w:t>
      </w:r>
      <w:r w:rsidRPr="00E6228D">
        <w:rPr>
          <w:rFonts w:ascii="Arial" w:hAnsi="Arial" w:cs="Arial"/>
          <w:color w:val="000000" w:themeColor="text1"/>
          <w:sz w:val="19"/>
          <w:szCs w:val="19"/>
          <w:lang w:val="es-ES_tradnl"/>
        </w:rPr>
        <w:t>307. Consejero: Carlos Alberto Zambrano Barrera.</w:t>
      </w:r>
    </w:p>
    <w:p w14:paraId="5343F8FD"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9">
    <w:p w14:paraId="53941166" w14:textId="36B34ABF"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Style w:val="Refdenotaalpie"/>
          <w:rFonts w:ascii="Arial" w:hAnsi="Arial" w:cs="Arial"/>
          <w:color w:val="000000" w:themeColor="text1"/>
          <w:sz w:val="19"/>
          <w:szCs w:val="19"/>
          <w:lang w:val="es-ES_tradnl"/>
        </w:rPr>
        <w:footnoteRef/>
      </w:r>
      <w:r w:rsidRPr="00E6228D">
        <w:rPr>
          <w:rFonts w:ascii="Arial" w:hAnsi="Arial" w:cs="Arial"/>
          <w:color w:val="000000" w:themeColor="text1"/>
          <w:sz w:val="19"/>
          <w:szCs w:val="19"/>
          <w:lang w:val="es-ES_tradnl"/>
        </w:rPr>
        <w:t xml:space="preserve"> Esta ha sido la interpretación de la Agencia Nacional de Contratación Pública – Colombia Compra Eficiente, desde que comenzó a regir la Ley 1955 de 2019. Así lo expresó en el Manual de la Modalidad de Selección de Mínima Cuantía M-MSMC-03: «El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49D45D66" w14:textId="7F8414DD"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7D06B1EE" w14:textId="71B3D587" w:rsidR="001C42FB" w:rsidRPr="00E6228D" w:rsidRDefault="001C42FB" w:rsidP="00D4100E">
      <w:pPr>
        <w:pStyle w:val="Textonotapie"/>
        <w:ind w:firstLine="709"/>
        <w:jc w:val="both"/>
        <w:rPr>
          <w:rFonts w:ascii="Arial" w:hAnsi="Arial" w:cs="Arial"/>
          <w:color w:val="000000" w:themeColor="text1"/>
          <w:sz w:val="19"/>
          <w:szCs w:val="19"/>
          <w:lang w:val="es-ES_tradnl"/>
        </w:rPr>
      </w:pPr>
      <w:r w:rsidRPr="00E6228D">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 (En: https://www.colombiacompra.gov.co/sites/cce_public/files/cce_documents/manual_de_la_modalidad_de_seleccion_de_minima_cuantia.pdf).</w:t>
      </w:r>
    </w:p>
    <w:p w14:paraId="1B139129" w14:textId="77777777" w:rsidR="001C42FB" w:rsidRPr="00E6228D" w:rsidRDefault="001C42FB" w:rsidP="00D4100E">
      <w:pPr>
        <w:pStyle w:val="Textonotapie"/>
        <w:ind w:firstLine="709"/>
        <w:jc w:val="both"/>
        <w:rPr>
          <w:rFonts w:ascii="Arial" w:hAnsi="Arial" w:cs="Arial"/>
          <w:color w:val="000000" w:themeColor="text1"/>
          <w:sz w:val="19"/>
          <w:szCs w:val="19"/>
          <w:lang w:val="es-ES_tradnl"/>
        </w:rPr>
      </w:pPr>
    </w:p>
  </w:footnote>
  <w:footnote w:id="10">
    <w:p w14:paraId="2B2FEF0C" w14:textId="33C63A4F" w:rsidR="001C42FB" w:rsidRPr="00E6228D" w:rsidRDefault="001C42FB"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En efecto, así quedó la regulación de la subsanabilidad de los requisitos habilitantes en los parágrafos del artículo 5 de la Ley 1150 de 2007, con la expedición de la Ley 1882 de 2018: «PARÁGRAFO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p>
    <w:p w14:paraId="36070EE5" w14:textId="2706D6D8" w:rsidR="001C42FB" w:rsidRPr="00E6228D" w:rsidRDefault="001C42FB" w:rsidP="00D4100E">
      <w:pPr>
        <w:pStyle w:val="Textonotapie"/>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»Durante el término otorgado para subsanar las ofertas, los proponentes no podrán acreditar circunstancias ocurridas con posterioridad al cierre del proceso.</w:t>
      </w:r>
    </w:p>
    <w:p w14:paraId="5C417B0A" w14:textId="4C6CD796" w:rsidR="001C42FB" w:rsidRPr="00E6228D" w:rsidRDefault="001C42FB" w:rsidP="00D4100E">
      <w:pPr>
        <w:pStyle w:val="Textonotapie"/>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»PARÁGRAFO 2o. Las certificaciones de sistemas de gestión de calidad no serán objeto de calificación, ni podrán establecerse como documento habilitante para participar en licitaciones o concursos.</w:t>
      </w:r>
    </w:p>
    <w:p w14:paraId="105F454D" w14:textId="06977B66" w:rsidR="001C42FB" w:rsidRPr="00E6228D" w:rsidRDefault="001C42FB" w:rsidP="00D4100E">
      <w:pPr>
        <w:pStyle w:val="Textonotapie"/>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»PARÁGRAFO 3o. &lt;Parágrafo adicionado por el artículo 5 de la Ley 1882 de 2018. El nuevo texto es el siguiente:&gt; La no entrega de la garantía de seriedad junto con la propuesta no será subsanable y será causal de rechazo de la misma.</w:t>
      </w:r>
    </w:p>
    <w:p w14:paraId="7A874527" w14:textId="7C65ACBA" w:rsidR="001C42FB" w:rsidRPr="00E6228D" w:rsidRDefault="001C42FB" w:rsidP="00D4100E">
      <w:pPr>
        <w:pStyle w:val="Textonotapie"/>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p>
    <w:p w14:paraId="19DBF495" w14:textId="3A370C33" w:rsidR="001C42FB" w:rsidRPr="00E6228D" w:rsidRDefault="001C42FB" w:rsidP="00D4100E">
      <w:pPr>
        <w:pStyle w:val="Textonotapie"/>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p>
  </w:footnote>
  <w:footnote w:id="11">
    <w:p w14:paraId="20E10DF5" w14:textId="77777777" w:rsidR="001C42FB" w:rsidRPr="00E6228D" w:rsidRDefault="001C42FB" w:rsidP="00D4100E">
      <w:pPr>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tooltip="Haga clic para abrir TODA la Ley 1150 de 2007" w:history="1">
        <w:r w:rsidRPr="00E6228D">
          <w:rPr>
            <w:rFonts w:ascii="Arial" w:hAnsi="Arial" w:cs="Arial"/>
            <w:color w:val="000000" w:themeColor="text1"/>
            <w:sz w:val="19"/>
            <w:szCs w:val="19"/>
          </w:rPr>
          <w:t>Ley 1150 de 2007</w:t>
        </w:r>
      </w:hyperlink>
      <w:r w:rsidRPr="00E6228D">
        <w:rPr>
          <w:rFonts w:ascii="Arial" w:hAnsi="Arial" w:cs="Arial"/>
          <w:color w:val="000000" w:themeColor="text1"/>
          <w:sz w:val="19"/>
          <w:szCs w:val="19"/>
        </w:rPr>
        <w:t> y en el presente decreto.</w:t>
      </w:r>
    </w:p>
    <w:p w14:paraId="74E129D8" w14:textId="77777777" w:rsidR="001C42FB" w:rsidRPr="00E6228D" w:rsidRDefault="001C42FB" w:rsidP="00D4100E">
      <w:pPr>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7D0F4C5C" w14:textId="77777777" w:rsidR="001C42FB" w:rsidRPr="00E6228D" w:rsidRDefault="001C42FB" w:rsidP="00D4100E">
      <w:pPr>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»Será rechazada la oferta del proponente que dentro del término previsto en el pliego o en la solicitud, no responda al requerimiento que le haga la entidad para subsanarla.</w:t>
      </w:r>
    </w:p>
    <w:p w14:paraId="4EF1603B" w14:textId="77777777" w:rsidR="001C42FB" w:rsidRPr="00E6228D" w:rsidRDefault="001C42FB" w:rsidP="00D4100E">
      <w:pPr>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»Cuando se utilice el mecanismo de subasta esta posibilidad deberá ejercerse hasta el momento previo a su realización, de conformidad con el artículo 22 del presente decreto.</w:t>
      </w:r>
    </w:p>
    <w:p w14:paraId="77F98F3D" w14:textId="33E0C197" w:rsidR="001C42FB" w:rsidRPr="00E6228D" w:rsidRDefault="001C42FB" w:rsidP="00D4100E">
      <w:pPr>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 xml:space="preserve">»En ningún caso la entidad podrá señalar taxativamente los requisitos o documentos subsanables o no subsanables en el pliego de condiciones, </w:t>
      </w:r>
      <w:r w:rsidRPr="00E6228D">
        <w:rPr>
          <w:rFonts w:ascii="Arial" w:hAnsi="Arial" w:cs="Arial"/>
          <w:bCs/>
          <w:i/>
          <w:iCs/>
          <w:color w:val="000000" w:themeColor="text1"/>
          <w:sz w:val="19"/>
          <w:szCs w:val="19"/>
        </w:rPr>
        <w:t>ni permitir que se subsane la falta de capacidad para presentar la oferta, ni que se acrediten circunstancias ocurridas con posterioridad al cierre del proceso</w:t>
      </w:r>
      <w:r w:rsidRPr="00E6228D">
        <w:rPr>
          <w:rFonts w:ascii="Arial" w:hAnsi="Arial" w:cs="Arial"/>
          <w:bCs/>
          <w:color w:val="000000" w:themeColor="text1"/>
          <w:sz w:val="19"/>
          <w:szCs w:val="19"/>
        </w:rPr>
        <w:t>»</w:t>
      </w:r>
      <w:r w:rsidRPr="00E6228D">
        <w:rPr>
          <w:rFonts w:ascii="Arial" w:hAnsi="Arial" w:cs="Arial"/>
          <w:color w:val="000000" w:themeColor="text1"/>
          <w:sz w:val="19"/>
          <w:szCs w:val="19"/>
        </w:rPr>
        <w:t>. (</w:t>
      </w:r>
      <w:r w:rsidR="00EE5DF7" w:rsidRPr="00E6228D">
        <w:rPr>
          <w:rFonts w:ascii="Arial" w:hAnsi="Arial" w:cs="Arial"/>
          <w:color w:val="000000" w:themeColor="text1"/>
          <w:sz w:val="19"/>
          <w:szCs w:val="19"/>
        </w:rPr>
        <w:t>Cursivas</w:t>
      </w:r>
      <w:r w:rsidRPr="00E6228D">
        <w:rPr>
          <w:rFonts w:ascii="Arial" w:hAnsi="Arial" w:cs="Arial"/>
          <w:color w:val="000000" w:themeColor="text1"/>
          <w:sz w:val="19"/>
          <w:szCs w:val="19"/>
        </w:rPr>
        <w:t xml:space="preserve"> fuera de texto). </w:t>
      </w:r>
    </w:p>
    <w:p w14:paraId="1C427655" w14:textId="77777777" w:rsidR="00EE5DF7" w:rsidRPr="00E6228D" w:rsidRDefault="00EE5DF7" w:rsidP="00D4100E">
      <w:pPr>
        <w:ind w:firstLine="709"/>
        <w:jc w:val="both"/>
        <w:rPr>
          <w:rFonts w:ascii="Arial" w:hAnsi="Arial" w:cs="Arial"/>
          <w:color w:val="000000" w:themeColor="text1"/>
          <w:sz w:val="19"/>
          <w:szCs w:val="19"/>
        </w:rPr>
      </w:pPr>
    </w:p>
  </w:footnote>
  <w:footnote w:id="12">
    <w:p w14:paraId="2E58E0AB" w14:textId="59BCEDB7" w:rsidR="003D4F83" w:rsidRPr="00E6228D" w:rsidRDefault="003D4F83"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w14:paraId="2BF2C6EA" w14:textId="0EC663A0" w:rsidR="003D4F83" w:rsidRPr="00E6228D" w:rsidRDefault="00FA2863" w:rsidP="00D4100E">
      <w:pPr>
        <w:pStyle w:val="Textonotapie"/>
        <w:ind w:firstLine="709"/>
        <w:jc w:val="both"/>
        <w:rPr>
          <w:rFonts w:ascii="Arial" w:hAnsi="Arial" w:cs="Arial"/>
          <w:color w:val="000000" w:themeColor="text1"/>
          <w:sz w:val="19"/>
          <w:szCs w:val="19"/>
        </w:rPr>
      </w:pPr>
      <w:r w:rsidRPr="00E6228D">
        <w:rPr>
          <w:rFonts w:ascii="Arial" w:hAnsi="Arial" w:cs="Arial"/>
          <w:color w:val="000000" w:themeColor="text1"/>
          <w:sz w:val="19"/>
          <w:szCs w:val="19"/>
        </w:rPr>
        <w:t>»</w:t>
      </w:r>
      <w:r w:rsidR="003D4F83" w:rsidRPr="00E6228D">
        <w:rPr>
          <w:rFonts w:ascii="Arial" w:hAnsi="Arial" w:cs="Arial"/>
          <w:color w:val="000000" w:themeColor="text1"/>
          <w:sz w:val="19"/>
          <w:szCs w:val="19"/>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00F1003E" w:rsidRPr="00E6228D">
        <w:rPr>
          <w:rFonts w:ascii="Arial" w:hAnsi="Arial" w:cs="Arial"/>
          <w:color w:val="000000" w:themeColor="text1"/>
          <w:sz w:val="19"/>
          <w:szCs w:val="19"/>
        </w:rPr>
        <w:t xml:space="preserve"> (Consejo de Estado</w:t>
      </w:r>
      <w:r w:rsidR="004C7B57" w:rsidRPr="00E6228D">
        <w:rPr>
          <w:rFonts w:ascii="Arial" w:hAnsi="Arial" w:cs="Arial"/>
          <w:color w:val="000000" w:themeColor="text1"/>
          <w:sz w:val="19"/>
          <w:szCs w:val="19"/>
        </w:rPr>
        <w:t>.</w:t>
      </w:r>
      <w:r w:rsidR="00F1003E" w:rsidRPr="00E6228D">
        <w:rPr>
          <w:rFonts w:ascii="Arial" w:hAnsi="Arial" w:cs="Arial"/>
          <w:color w:val="000000" w:themeColor="text1"/>
          <w:sz w:val="19"/>
          <w:szCs w:val="19"/>
        </w:rPr>
        <w:t xml:space="preserve"> Sala de Consulta y Servicio Civil</w:t>
      </w:r>
      <w:r w:rsidR="00965C7C" w:rsidRPr="00E6228D">
        <w:rPr>
          <w:rFonts w:ascii="Arial" w:hAnsi="Arial" w:cs="Arial"/>
          <w:color w:val="000000" w:themeColor="text1"/>
          <w:sz w:val="19"/>
          <w:szCs w:val="19"/>
        </w:rPr>
        <w:t>.</w:t>
      </w:r>
      <w:r w:rsidR="00F1003E" w:rsidRPr="00E6228D">
        <w:rPr>
          <w:rFonts w:ascii="Arial" w:hAnsi="Arial" w:cs="Arial"/>
          <w:color w:val="000000" w:themeColor="text1"/>
          <w:sz w:val="19"/>
          <w:szCs w:val="19"/>
        </w:rPr>
        <w:t xml:space="preserve"> </w:t>
      </w:r>
      <w:r w:rsidR="00965C7C" w:rsidRPr="00E6228D">
        <w:rPr>
          <w:rFonts w:ascii="Arial" w:hAnsi="Arial" w:cs="Arial"/>
          <w:color w:val="000000" w:themeColor="text1"/>
          <w:sz w:val="19"/>
          <w:szCs w:val="19"/>
        </w:rPr>
        <w:t>C</w:t>
      </w:r>
      <w:r w:rsidR="00F1003E" w:rsidRPr="00E6228D">
        <w:rPr>
          <w:rFonts w:ascii="Arial" w:hAnsi="Arial" w:cs="Arial"/>
          <w:color w:val="000000" w:themeColor="text1"/>
          <w:sz w:val="19"/>
          <w:szCs w:val="19"/>
        </w:rPr>
        <w:t>oncepto del 6 de noviembre de 2008.</w:t>
      </w:r>
      <w:r w:rsidR="008D685A" w:rsidRPr="00E6228D">
        <w:rPr>
          <w:rFonts w:ascii="Arial" w:hAnsi="Arial" w:cs="Arial"/>
          <w:color w:val="000000" w:themeColor="text1"/>
          <w:sz w:val="19"/>
          <w:szCs w:val="19"/>
        </w:rPr>
        <w:t xml:space="preserve"> Exp.</w:t>
      </w:r>
      <w:r w:rsidR="000665C6" w:rsidRPr="00E6228D">
        <w:rPr>
          <w:rFonts w:ascii="Arial" w:hAnsi="Arial" w:cs="Arial"/>
          <w:color w:val="000000" w:themeColor="text1"/>
          <w:sz w:val="19"/>
          <w:szCs w:val="19"/>
        </w:rPr>
        <w:t xml:space="preserve"> </w:t>
      </w:r>
      <w:r w:rsidR="008D685A" w:rsidRPr="00E6228D">
        <w:rPr>
          <w:rFonts w:ascii="Arial" w:hAnsi="Arial" w:cs="Arial"/>
          <w:color w:val="000000" w:themeColor="text1"/>
          <w:sz w:val="19"/>
          <w:szCs w:val="19"/>
        </w:rPr>
        <w:t>1927</w:t>
      </w:r>
      <w:r w:rsidR="00F1003E" w:rsidRPr="00E6228D">
        <w:rPr>
          <w:rFonts w:ascii="Arial" w:hAnsi="Arial" w:cs="Arial"/>
          <w:color w:val="000000" w:themeColor="text1"/>
          <w:sz w:val="19"/>
          <w:szCs w:val="19"/>
        </w:rPr>
        <w:t xml:space="preserve"> Consejero Ponente</w:t>
      </w:r>
      <w:r w:rsidR="008D685A" w:rsidRPr="00E6228D">
        <w:rPr>
          <w:rFonts w:ascii="Arial" w:hAnsi="Arial" w:cs="Arial"/>
          <w:color w:val="000000" w:themeColor="text1"/>
          <w:sz w:val="19"/>
          <w:szCs w:val="19"/>
        </w:rPr>
        <w:t xml:space="preserve">: </w:t>
      </w:r>
      <w:r w:rsidR="00F1003E" w:rsidRPr="00E6228D">
        <w:rPr>
          <w:rFonts w:ascii="Arial" w:hAnsi="Arial" w:cs="Arial"/>
          <w:color w:val="000000" w:themeColor="text1"/>
          <w:sz w:val="19"/>
          <w:szCs w:val="19"/>
        </w:rPr>
        <w:t>William Zambrano Cetina).</w:t>
      </w:r>
    </w:p>
    <w:p w14:paraId="32554385" w14:textId="77777777" w:rsidR="007D6137" w:rsidRPr="00E6228D" w:rsidRDefault="007D6137" w:rsidP="00D4100E">
      <w:pPr>
        <w:pStyle w:val="Textonotapie"/>
        <w:ind w:firstLine="709"/>
        <w:jc w:val="both"/>
        <w:rPr>
          <w:rFonts w:ascii="Arial" w:hAnsi="Arial" w:cs="Arial"/>
          <w:color w:val="000000" w:themeColor="text1"/>
          <w:sz w:val="19"/>
          <w:szCs w:val="19"/>
        </w:rPr>
      </w:pPr>
    </w:p>
  </w:footnote>
  <w:footnote w:id="13">
    <w:p w14:paraId="5D5B6408" w14:textId="7C8C248C" w:rsidR="001C42FB" w:rsidRPr="00E6228D" w:rsidRDefault="001C42FB"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Ver Consejo de Estado</w:t>
      </w:r>
      <w:r w:rsidR="008D685A" w:rsidRPr="00E6228D">
        <w:rPr>
          <w:rFonts w:ascii="Arial" w:hAnsi="Arial" w:cs="Arial"/>
          <w:color w:val="000000" w:themeColor="text1"/>
          <w:sz w:val="19"/>
          <w:szCs w:val="19"/>
        </w:rPr>
        <w:t xml:space="preserve">. </w:t>
      </w:r>
      <w:r w:rsidRPr="00E6228D">
        <w:rPr>
          <w:rFonts w:ascii="Arial" w:hAnsi="Arial" w:cs="Arial"/>
          <w:color w:val="000000" w:themeColor="text1"/>
          <w:sz w:val="19"/>
          <w:szCs w:val="19"/>
        </w:rPr>
        <w:t>Sección Tercera</w:t>
      </w:r>
      <w:r w:rsidR="008D685A" w:rsidRPr="00E6228D">
        <w:rPr>
          <w:rFonts w:ascii="Arial" w:hAnsi="Arial" w:cs="Arial"/>
          <w:color w:val="000000" w:themeColor="text1"/>
          <w:sz w:val="19"/>
          <w:szCs w:val="19"/>
        </w:rPr>
        <w:t xml:space="preserve">. </w:t>
      </w:r>
      <w:r w:rsidRPr="00E6228D">
        <w:rPr>
          <w:rFonts w:ascii="Arial" w:hAnsi="Arial" w:cs="Arial"/>
          <w:color w:val="000000" w:themeColor="text1"/>
          <w:sz w:val="19"/>
          <w:szCs w:val="19"/>
        </w:rPr>
        <w:t>Subsección C. Sentencia del 26 de febrero de 2011.</w:t>
      </w:r>
      <w:r w:rsidR="008D685A" w:rsidRPr="00E6228D">
        <w:rPr>
          <w:rFonts w:ascii="Arial" w:hAnsi="Arial" w:cs="Arial"/>
          <w:color w:val="000000" w:themeColor="text1"/>
          <w:sz w:val="19"/>
          <w:szCs w:val="19"/>
        </w:rPr>
        <w:t xml:space="preserve"> Exp. 36.408. </w:t>
      </w:r>
      <w:r w:rsidRPr="00E6228D">
        <w:rPr>
          <w:rFonts w:ascii="Arial" w:hAnsi="Arial" w:cs="Arial"/>
          <w:color w:val="000000" w:themeColor="text1"/>
          <w:sz w:val="19"/>
          <w:szCs w:val="19"/>
        </w:rPr>
        <w:t>C</w:t>
      </w:r>
      <w:r w:rsidR="008D685A" w:rsidRPr="00E6228D">
        <w:rPr>
          <w:rFonts w:ascii="Arial" w:hAnsi="Arial" w:cs="Arial"/>
          <w:color w:val="000000" w:themeColor="text1"/>
          <w:sz w:val="19"/>
          <w:szCs w:val="19"/>
        </w:rPr>
        <w:t xml:space="preserve">onsejero </w:t>
      </w:r>
      <w:r w:rsidRPr="00E6228D">
        <w:rPr>
          <w:rFonts w:ascii="Arial" w:hAnsi="Arial" w:cs="Arial"/>
          <w:color w:val="000000" w:themeColor="text1"/>
          <w:sz w:val="19"/>
          <w:szCs w:val="19"/>
        </w:rPr>
        <w:t>P</w:t>
      </w:r>
      <w:r w:rsidR="008D685A" w:rsidRPr="00E6228D">
        <w:rPr>
          <w:rFonts w:ascii="Arial" w:hAnsi="Arial" w:cs="Arial"/>
          <w:color w:val="000000" w:themeColor="text1"/>
          <w:sz w:val="19"/>
          <w:szCs w:val="19"/>
        </w:rPr>
        <w:t xml:space="preserve">onente: </w:t>
      </w:r>
      <w:r w:rsidRPr="00E6228D">
        <w:rPr>
          <w:rFonts w:ascii="Arial" w:hAnsi="Arial" w:cs="Arial"/>
          <w:color w:val="000000" w:themeColor="text1"/>
          <w:sz w:val="19"/>
          <w:szCs w:val="19"/>
        </w:rPr>
        <w:t xml:space="preserve">Jaime Orlando Santofimio. </w:t>
      </w:r>
    </w:p>
    <w:p w14:paraId="1619701C" w14:textId="77777777" w:rsidR="001C42FB" w:rsidRPr="00E6228D" w:rsidRDefault="001C42FB" w:rsidP="00D4100E">
      <w:pPr>
        <w:pStyle w:val="Textonotapie"/>
        <w:ind w:firstLine="709"/>
        <w:jc w:val="both"/>
        <w:rPr>
          <w:rFonts w:ascii="Arial" w:hAnsi="Arial" w:cs="Arial"/>
          <w:color w:val="000000" w:themeColor="text1"/>
          <w:sz w:val="19"/>
          <w:szCs w:val="19"/>
        </w:rPr>
      </w:pPr>
    </w:p>
  </w:footnote>
  <w:footnote w:id="14">
    <w:p w14:paraId="68EE968B" w14:textId="74B2FC06" w:rsidR="001C42FB" w:rsidRPr="00E6228D" w:rsidRDefault="001C42FB"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Ver Consejo de Estado</w:t>
      </w:r>
      <w:r w:rsidR="000665C6" w:rsidRPr="00E6228D">
        <w:rPr>
          <w:rFonts w:ascii="Arial" w:hAnsi="Arial" w:cs="Arial"/>
          <w:color w:val="000000" w:themeColor="text1"/>
          <w:sz w:val="19"/>
          <w:szCs w:val="19"/>
        </w:rPr>
        <w:t xml:space="preserve">. </w:t>
      </w:r>
      <w:r w:rsidRPr="00E6228D">
        <w:rPr>
          <w:rFonts w:ascii="Arial" w:hAnsi="Arial" w:cs="Arial"/>
          <w:color w:val="000000" w:themeColor="text1"/>
          <w:sz w:val="19"/>
          <w:szCs w:val="19"/>
        </w:rPr>
        <w:t>Sección Tercera</w:t>
      </w:r>
      <w:r w:rsidR="000665C6" w:rsidRPr="00E6228D">
        <w:rPr>
          <w:rFonts w:ascii="Arial" w:hAnsi="Arial" w:cs="Arial"/>
          <w:color w:val="000000" w:themeColor="text1"/>
          <w:sz w:val="19"/>
          <w:szCs w:val="19"/>
        </w:rPr>
        <w:t xml:space="preserve">. </w:t>
      </w:r>
      <w:r w:rsidRPr="00E6228D">
        <w:rPr>
          <w:rFonts w:ascii="Arial" w:hAnsi="Arial" w:cs="Arial"/>
          <w:color w:val="000000" w:themeColor="text1"/>
          <w:sz w:val="19"/>
          <w:szCs w:val="19"/>
        </w:rPr>
        <w:t>Subsección C. Sentencia del 26 de febrero de 2014.</w:t>
      </w:r>
      <w:r w:rsidR="000665C6" w:rsidRPr="00E6228D">
        <w:rPr>
          <w:rFonts w:ascii="Arial" w:hAnsi="Arial" w:cs="Arial"/>
          <w:color w:val="000000" w:themeColor="text1"/>
          <w:sz w:val="19"/>
          <w:szCs w:val="19"/>
        </w:rPr>
        <w:t xml:space="preserve"> Exp. 25.804. Consejero Ponente: </w:t>
      </w:r>
      <w:r w:rsidRPr="00E6228D">
        <w:rPr>
          <w:rFonts w:ascii="Arial" w:hAnsi="Arial" w:cs="Arial"/>
          <w:color w:val="000000" w:themeColor="text1"/>
          <w:sz w:val="19"/>
          <w:szCs w:val="19"/>
        </w:rPr>
        <w:t xml:space="preserve">Enrique Gil Botero. </w:t>
      </w:r>
    </w:p>
    <w:p w14:paraId="796B2636" w14:textId="77777777" w:rsidR="009A1DFD" w:rsidRPr="00E6228D" w:rsidRDefault="009A1DFD" w:rsidP="00D4100E">
      <w:pPr>
        <w:pStyle w:val="Textonotapie"/>
        <w:ind w:firstLine="709"/>
        <w:jc w:val="both"/>
        <w:rPr>
          <w:rFonts w:ascii="Arial" w:hAnsi="Arial" w:cs="Arial"/>
          <w:color w:val="000000" w:themeColor="text1"/>
          <w:sz w:val="19"/>
          <w:szCs w:val="19"/>
        </w:rPr>
      </w:pPr>
    </w:p>
  </w:footnote>
  <w:footnote w:id="15">
    <w:p w14:paraId="2412516D" w14:textId="66299CC9" w:rsidR="001C42FB" w:rsidRPr="00E6228D" w:rsidRDefault="001C42FB"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Consejo de Estado</w:t>
      </w:r>
      <w:r w:rsidR="00B80F8F" w:rsidRPr="00E6228D">
        <w:rPr>
          <w:rFonts w:ascii="Arial" w:hAnsi="Arial" w:cs="Arial"/>
          <w:color w:val="000000" w:themeColor="text1"/>
          <w:sz w:val="19"/>
          <w:szCs w:val="19"/>
        </w:rPr>
        <w:t>.</w:t>
      </w:r>
      <w:r w:rsidRPr="00E6228D">
        <w:rPr>
          <w:rFonts w:ascii="Arial" w:hAnsi="Arial" w:cs="Arial"/>
          <w:color w:val="000000" w:themeColor="text1"/>
          <w:sz w:val="19"/>
          <w:szCs w:val="19"/>
        </w:rPr>
        <w:t xml:space="preserve"> Sala de Consulta y Servicio Civil</w:t>
      </w:r>
      <w:r w:rsidR="00B80F8F" w:rsidRPr="00E6228D">
        <w:rPr>
          <w:rFonts w:ascii="Arial" w:hAnsi="Arial" w:cs="Arial"/>
          <w:color w:val="000000" w:themeColor="text1"/>
          <w:sz w:val="19"/>
          <w:szCs w:val="19"/>
        </w:rPr>
        <w:t>.</w:t>
      </w:r>
      <w:r w:rsidRPr="00E6228D">
        <w:rPr>
          <w:rFonts w:ascii="Arial" w:hAnsi="Arial" w:cs="Arial"/>
          <w:color w:val="000000" w:themeColor="text1"/>
          <w:sz w:val="19"/>
          <w:szCs w:val="19"/>
        </w:rPr>
        <w:t xml:space="preserve"> </w:t>
      </w:r>
      <w:r w:rsidR="00B80F8F" w:rsidRPr="00E6228D">
        <w:rPr>
          <w:rFonts w:ascii="Arial" w:hAnsi="Arial" w:cs="Arial"/>
          <w:color w:val="000000" w:themeColor="text1"/>
          <w:sz w:val="19"/>
          <w:szCs w:val="19"/>
        </w:rPr>
        <w:t>C</w:t>
      </w:r>
      <w:r w:rsidRPr="00E6228D">
        <w:rPr>
          <w:rFonts w:ascii="Arial" w:hAnsi="Arial" w:cs="Arial"/>
          <w:color w:val="000000" w:themeColor="text1"/>
          <w:sz w:val="19"/>
          <w:szCs w:val="19"/>
        </w:rPr>
        <w:t>oncepto del 20 de mayo de 2010.</w:t>
      </w:r>
      <w:r w:rsidR="00B80F8F" w:rsidRPr="00E6228D">
        <w:rPr>
          <w:rFonts w:ascii="Arial" w:hAnsi="Arial" w:cs="Arial"/>
          <w:color w:val="000000" w:themeColor="text1"/>
          <w:sz w:val="19"/>
          <w:szCs w:val="19"/>
        </w:rPr>
        <w:t xml:space="preserve"> Rad. 2010-00034-00(1992).</w:t>
      </w:r>
      <w:r w:rsidRPr="00E6228D">
        <w:rPr>
          <w:rFonts w:ascii="Arial" w:hAnsi="Arial" w:cs="Arial"/>
          <w:color w:val="000000" w:themeColor="text1"/>
          <w:sz w:val="19"/>
          <w:szCs w:val="19"/>
        </w:rPr>
        <w:t xml:space="preserve"> </w:t>
      </w:r>
      <w:r w:rsidR="00B80F8F" w:rsidRPr="00E6228D">
        <w:rPr>
          <w:rFonts w:ascii="Arial" w:hAnsi="Arial" w:cs="Arial"/>
          <w:color w:val="000000" w:themeColor="text1"/>
          <w:sz w:val="19"/>
          <w:szCs w:val="19"/>
        </w:rPr>
        <w:t>Consejero Ponente: E</w:t>
      </w:r>
      <w:r w:rsidRPr="00E6228D">
        <w:rPr>
          <w:rFonts w:ascii="Arial" w:hAnsi="Arial" w:cs="Arial"/>
          <w:color w:val="000000" w:themeColor="text1"/>
          <w:sz w:val="19"/>
          <w:szCs w:val="19"/>
        </w:rPr>
        <w:t xml:space="preserve">nrique José Arboleda Perdomo. </w:t>
      </w:r>
    </w:p>
    <w:p w14:paraId="6DCA90E5" w14:textId="77777777" w:rsidR="001C42FB" w:rsidRPr="00E6228D" w:rsidRDefault="001C42FB" w:rsidP="00D4100E">
      <w:pPr>
        <w:pStyle w:val="Textonotapie"/>
        <w:ind w:firstLine="709"/>
        <w:jc w:val="both"/>
        <w:rPr>
          <w:rFonts w:ascii="Arial" w:hAnsi="Arial" w:cs="Arial"/>
          <w:color w:val="000000" w:themeColor="text1"/>
          <w:sz w:val="19"/>
          <w:szCs w:val="19"/>
        </w:rPr>
      </w:pPr>
    </w:p>
  </w:footnote>
  <w:footnote w:id="16">
    <w:p w14:paraId="5FA84347" w14:textId="1F60F289" w:rsidR="002974FA" w:rsidRPr="00E6228D" w:rsidRDefault="002974FA" w:rsidP="00D4100E">
      <w:pPr>
        <w:pStyle w:val="Textonotapie"/>
        <w:ind w:firstLine="709"/>
        <w:jc w:val="both"/>
        <w:rPr>
          <w:rFonts w:ascii="Arial" w:eastAsia="Calibri" w:hAnsi="Arial" w:cs="Arial"/>
          <w:color w:val="000000" w:themeColor="text1"/>
          <w:sz w:val="19"/>
          <w:szCs w:val="19"/>
          <w:lang w:val="es-ES_tradnl"/>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w:t>
      </w:r>
      <w:r w:rsidRPr="00E6228D">
        <w:rPr>
          <w:rFonts w:ascii="Arial" w:eastAsia="Calibri" w:hAnsi="Arial" w:cs="Arial"/>
          <w:color w:val="000000" w:themeColor="text1"/>
          <w:sz w:val="19"/>
          <w:szCs w:val="19"/>
          <w:lang w:val="es-ES_tradnl"/>
        </w:rPr>
        <w:t>En tal sentido, expuso: «[…]</w:t>
      </w:r>
      <w:r w:rsidR="00D54817" w:rsidRPr="00E6228D">
        <w:rPr>
          <w:rFonts w:ascii="Arial" w:eastAsia="Calibri" w:hAnsi="Arial" w:cs="Arial"/>
          <w:color w:val="000000" w:themeColor="text1"/>
          <w:sz w:val="19"/>
          <w:szCs w:val="19"/>
          <w:lang w:val="es-ES_tradnl"/>
        </w:rPr>
        <w:t xml:space="preserve"> </w:t>
      </w:r>
      <w:r w:rsidRPr="00E6228D">
        <w:rPr>
          <w:rFonts w:ascii="Arial" w:eastAsia="Calibri" w:hAnsi="Arial" w:cs="Arial"/>
          <w:color w:val="000000" w:themeColor="text1"/>
          <w:sz w:val="19"/>
          <w:szCs w:val="19"/>
          <w:lang w:val="es-ES_tradnl"/>
        </w:rPr>
        <w:t>¿si un oferente presenta su existencia y representación legal o RUP vencidos al momento del cierre y luego de subsanar presenta los documentos con fecha de expedición posterior al cierre del proceso estos son válidos o acredita circunstancias con posterioridad al cierre?</w:t>
      </w:r>
    </w:p>
    <w:p w14:paraId="4563E7C2" w14:textId="47D32C93"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 xml:space="preserve">En primer lugar, de acuerdo con lo explicado previamente, si el proponente se presenta al proceso de contratación con el RUP vencido, porque no lo renovó a tiempo cesan sus efectos; y, en este sentido, no se podrá acreditar la información referida a los requisitos habilitantes, ni tiene la capacidad jurídica para hacerlo en los casos requeridos. De esta forma, si el oferente quiere presentarse al proceso de contratación se deberá registrar nuevamente en la Cámara de Comercio de su domicilio principal, y sólo se podrá presentar con el acto de inscripción en firme. </w:t>
      </w:r>
    </w:p>
    <w:p w14:paraId="4942C57E" w14:textId="0B61CC63"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 xml:space="preserve">Ahora, surge el siguiente interrogante ¿el proponente puede subsanar el RUP vencido con el acto de inscripción en firme o está acreditando una circunstancia con posterioridad al cierre? El artículo 6 de la Ley 1150 de 2007 y el artículo 2.2.1.1.1.5.3 del Decreto 1082 de 2015 previeron como obligación para todas las personas naturales o jurídicas, nacionales o extranjeras, que quieran participar en un proceso de contratación estar inscritas en el Registro Único de Proponentes -RUP-. La inscripción se materializa cuando el acto administrativo está en firme. </w:t>
      </w:r>
    </w:p>
    <w:p w14:paraId="785368CE" w14:textId="41EAA24B"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 xml:space="preserve">Ahora, el artículo 5 de la Ley 1882 de 2018 establece que los proponentes no podrán acreditar circunstancias con posterioridad al cierre. El Consejo de Estado, en la Sala de Consulta y Servicio Civil, en el concepto No. 1001-03-06-000-200800079-00(1927), consejero ponente William Zambrano Cetina, determinó frente a la imposibilidad de acreditar situaciones con posterioridad al cierre que el proponente debe cumplir para la fecha en que se cierra el proceso de contratación con los requisitos que se requieren para presentar la oferta. En este sentido, al del cierre del proceso, la persona natural o jurídica que quiere participar acreditará la inscripción del Registro único de Proponente, para lo cual no basta con la solicitud o radicación de los documentos para el trámite, sino con el acto administrativo en firme. </w:t>
      </w:r>
    </w:p>
    <w:p w14:paraId="22F83566" w14:textId="6160F727"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Por lo tanto, si la Cámara de Comercio expide el acto administrativo de la inscripción del RUP, con motivo a la no renovación a tiempo de la información contenida en el RUP, después del cierre, el proponente no podrá aportarlo al proceso porque el proponente al momento de presentar la oferta no tenía la capacidad para contratar, y no puede acreditar ocurridas situaciones con posterioridad al cierre.</w:t>
      </w:r>
    </w:p>
    <w:p w14:paraId="5CD5A3A2" w14:textId="47131248"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En segundo lugar, en relación con el certificado de existencia y representación legal, el artículo 117 del Código de Comercio indica que la existencia de la sociedad se probará con certificación de la cámara de comercio del domicilio principal, en la que constará el número, fecha y notaría de la escritura de constitución. Asimismo, para probar la representación de una sociedad bastará la certificación de la cámara respectiva, con indicación del nombre de los representantes, de las facultades conferidas a cada uno de ellos en el contrato y de las limitaciones acordadas a dichas facultades, en su caso.</w:t>
      </w:r>
    </w:p>
    <w:p w14:paraId="3868E594" w14:textId="0EA0964B"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Conforme a lo anterior, el certificado de existencia y representación legal es un documento expedido, por regla general, por las cámaras de comercio, que cumple funciones probatorias, es decir permite acreditar las inscripciones efectuadas en el registro mercantil respecto de una sociedad comercial, como su existencia, representación, cláusulas del contrato y la constancia de que tal sociedad no se haya disuelta.</w:t>
      </w:r>
    </w:p>
    <w:p w14:paraId="41F5313A" w14:textId="41B28174"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 xml:space="preserve">Ahora, la Cámara de Comercio, en el concepto 010 RM, señala que la ley no ha establecido un término de vigencia para los certificados de existencia y representación legal, así lo señaló en los siguientes términos: </w:t>
      </w:r>
    </w:p>
    <w:p w14:paraId="048DDC08" w14:textId="781D208B"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 xml:space="preserve">Ahora bien, atendiendo al interrogante planteado, es necesario precisar que la ley no ha señalado un término de vigencia para el certificado de existencia y representación legal que expiden las cámaras de comercio. </w:t>
      </w:r>
    </w:p>
    <w:p w14:paraId="73F6F5CD" w14:textId="107679CC"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En relación con este punto, es pertinente advertir que teniendo en cuenta que los actos y documentos sujetos a inscripción pueden ser modificados en cualquier momento y las cámaras de comercio deben proceder a su registro siempre que se cumplan los requisitos previstos para dicha inscripción, los certificados de existencia y representación legal no tienen una vigencia temporal específica. En consecuencia, mientras no se presenten otros actos y documentos que alteren las inscripciones previas, tales certificados corresponderán exactamente a lo que se encuentre inscrito.</w:t>
      </w:r>
    </w:p>
    <w:p w14:paraId="2305E940" w14:textId="2C2B3FFB"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 xml:space="preserve">Conforme a lo anterior, debido a que los actos y documentos sujetos a inscripción pueden ser modificados en cualquier momento, el certificado de existencia y representación legal no tiene una vigencia temporal. En este sentido, quedará bajo criterio de la entidad determinar cuál es el término de vigencia del certificado de existencia y representación legal para presentarse a un proceso de contratación; lo anterior, para tener una información actualizada de quien hace parte de la sociedad y si está incursa en alguna causal de inhabilidad o incompatibilidad.  </w:t>
      </w:r>
    </w:p>
    <w:p w14:paraId="7990D131" w14:textId="124254DB" w:rsidR="002974FA" w:rsidRPr="00E6228D" w:rsidRDefault="00874B73" w:rsidP="00D4100E">
      <w:pPr>
        <w:pStyle w:val="Textonotapie"/>
        <w:ind w:firstLine="709"/>
        <w:jc w:val="both"/>
        <w:rPr>
          <w:rFonts w:ascii="Arial" w:eastAsia="Calibri" w:hAnsi="Arial" w:cs="Arial"/>
          <w:color w:val="000000" w:themeColor="text1"/>
          <w:sz w:val="19"/>
          <w:szCs w:val="19"/>
          <w:lang w:val="es-ES_tradnl"/>
        </w:rPr>
      </w:pPr>
      <w:r w:rsidRPr="00E6228D">
        <w:rPr>
          <w:rFonts w:ascii="Arial" w:eastAsia="Calibri" w:hAnsi="Arial" w:cs="Arial"/>
          <w:color w:val="000000" w:themeColor="text1"/>
          <w:sz w:val="19"/>
          <w:szCs w:val="19"/>
          <w:lang w:val="es-ES_tradnl"/>
        </w:rPr>
        <w:t>»</w:t>
      </w:r>
      <w:r w:rsidR="002974FA" w:rsidRPr="00E6228D">
        <w:rPr>
          <w:rFonts w:ascii="Arial" w:eastAsia="Calibri" w:hAnsi="Arial" w:cs="Arial"/>
          <w:color w:val="000000" w:themeColor="text1"/>
          <w:sz w:val="19"/>
          <w:szCs w:val="19"/>
          <w:lang w:val="es-ES_tradnl"/>
        </w:rPr>
        <w:t>En estos casos, el proponente podrá subsanar la vigencia del certificado de existencia y representación legal de la sociedad, siempre y cuando se presente antes del traslado del informe de evaluación. A pesar de que este certificado tenga fecha posterior al cierre del proceso, no se acredita un hecho ocurrido con posterioridad ya que la inscripción de la sociedad fue anterior».</w:t>
      </w:r>
    </w:p>
    <w:p w14:paraId="4539F40D" w14:textId="77777777" w:rsidR="007D6137" w:rsidRPr="00E6228D" w:rsidRDefault="007D6137" w:rsidP="00D4100E">
      <w:pPr>
        <w:pStyle w:val="Textonotapie"/>
        <w:ind w:firstLine="709"/>
        <w:jc w:val="both"/>
        <w:rPr>
          <w:rFonts w:ascii="Arial" w:hAnsi="Arial" w:cs="Arial"/>
          <w:color w:val="000000" w:themeColor="text1"/>
          <w:sz w:val="19"/>
          <w:szCs w:val="19"/>
          <w:lang w:val="es-ES"/>
        </w:rPr>
      </w:pPr>
    </w:p>
  </w:footnote>
  <w:footnote w:id="17">
    <w:p w14:paraId="785D87E7" w14:textId="454F5DED"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w:t>
      </w:r>
      <w:r w:rsidR="008039DD" w:rsidRPr="00E6228D">
        <w:rPr>
          <w:rFonts w:ascii="Arial" w:hAnsi="Arial" w:cs="Arial"/>
          <w:color w:val="000000" w:themeColor="text1"/>
          <w:sz w:val="19"/>
          <w:szCs w:val="19"/>
          <w:lang w:val="es-ES"/>
        </w:rPr>
        <w:t>E</w:t>
      </w:r>
      <w:r w:rsidRPr="00E6228D">
        <w:rPr>
          <w:rFonts w:ascii="Arial" w:hAnsi="Arial" w:cs="Arial"/>
          <w:color w:val="000000" w:themeColor="text1"/>
          <w:sz w:val="19"/>
          <w:szCs w:val="19"/>
          <w:lang w:val="es-ES"/>
        </w:rPr>
        <w:t>l artículo 6 de la Ley 1150 de 2007, modificado por el artículo 221 del Decreto 19 de 2012, establece: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9135B0A" w14:textId="77777777"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626E3FD" w14:textId="0932C5EA" w:rsidR="001C42FB" w:rsidRPr="00E6228D" w:rsidRDefault="00A3761A"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w:t>
      </w:r>
      <w:r w:rsidR="001C42FB" w:rsidRPr="00E6228D">
        <w:rPr>
          <w:rFonts w:ascii="Arial" w:hAnsi="Arial" w:cs="Arial"/>
          <w:color w:val="000000" w:themeColor="text1"/>
          <w:sz w:val="19"/>
          <w:szCs w:val="19"/>
          <w:lang w:val="es-ES"/>
        </w:rPr>
        <w:t>[…]».</w:t>
      </w:r>
    </w:p>
    <w:p w14:paraId="16FE814C" w14:textId="77777777" w:rsidR="007D6137" w:rsidRPr="00E6228D" w:rsidRDefault="007D6137" w:rsidP="00D4100E">
      <w:pPr>
        <w:pStyle w:val="Textonotapie"/>
        <w:ind w:firstLine="709"/>
        <w:jc w:val="both"/>
        <w:rPr>
          <w:rFonts w:ascii="Arial" w:hAnsi="Arial" w:cs="Arial"/>
          <w:color w:val="000000" w:themeColor="text1"/>
          <w:sz w:val="19"/>
          <w:szCs w:val="19"/>
          <w:lang w:val="es-ES"/>
        </w:rPr>
      </w:pPr>
    </w:p>
  </w:footnote>
  <w:footnote w:id="18">
    <w:p w14:paraId="3323CDEA" w14:textId="278E8123" w:rsidR="002F730B" w:rsidRPr="00E6228D" w:rsidRDefault="002F730B"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Es más, el parágrafo 5º del artículo 5 de la Ley 1150 de 2007, adicionado por el artículo 5º de la Ley 1882 de 2018 dice que «En los procesos de contratación</w:t>
      </w:r>
      <w:r w:rsidR="00F95890" w:rsidRPr="00E6228D">
        <w:rPr>
          <w:rFonts w:ascii="Arial" w:hAnsi="Arial" w:cs="Arial"/>
          <w:color w:val="000000" w:themeColor="text1"/>
          <w:sz w:val="19"/>
          <w:szCs w:val="19"/>
        </w:rPr>
        <w:t>, las entidades estatales deberán aceptar la experiencia adquirida por los proponentes a través de la ejecución de contratos con particulares».</w:t>
      </w:r>
    </w:p>
  </w:footnote>
  <w:footnote w:id="19">
    <w:p w14:paraId="485C9ADC" w14:textId="63F93B01"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w:t>
      </w:r>
      <w:r w:rsidRPr="00E6228D">
        <w:rPr>
          <w:rFonts w:ascii="Arial" w:hAnsi="Arial" w:cs="Arial"/>
          <w:color w:val="000000" w:themeColor="text1"/>
          <w:sz w:val="19"/>
          <w:szCs w:val="19"/>
          <w:lang w:val="es-ES"/>
        </w:rPr>
        <w:t>Esta norma establece</w:t>
      </w:r>
      <w:r w:rsidR="007B7B35" w:rsidRPr="00E6228D">
        <w:rPr>
          <w:rFonts w:ascii="Arial" w:hAnsi="Arial" w:cs="Arial"/>
          <w:color w:val="000000" w:themeColor="text1"/>
          <w:sz w:val="19"/>
          <w:szCs w:val="19"/>
          <w:lang w:val="es-ES"/>
        </w:rPr>
        <w:t>:</w:t>
      </w:r>
      <w:r w:rsidRPr="00E6228D">
        <w:rPr>
          <w:rFonts w:ascii="Arial" w:hAnsi="Arial" w:cs="Arial"/>
          <w:color w:val="000000" w:themeColor="text1"/>
          <w:sz w:val="19"/>
          <w:szCs w:val="19"/>
          <w:lang w:val="es-ES"/>
        </w:rPr>
        <w:t xml:space="preserve"> «Con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5D69B3EE" w14:textId="03EBF638"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6E2DD7D9" w14:textId="3CB2FBCE"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p>
    <w:p w14:paraId="3972D458" w14:textId="77777777" w:rsidR="007D6137" w:rsidRPr="00E6228D" w:rsidRDefault="007D6137" w:rsidP="00D4100E">
      <w:pPr>
        <w:pStyle w:val="Textonotapie"/>
        <w:ind w:firstLine="709"/>
        <w:jc w:val="both"/>
        <w:rPr>
          <w:rFonts w:ascii="Arial" w:hAnsi="Arial" w:cs="Arial"/>
          <w:color w:val="000000" w:themeColor="text1"/>
          <w:sz w:val="19"/>
          <w:szCs w:val="19"/>
        </w:rPr>
      </w:pPr>
    </w:p>
  </w:footnote>
  <w:footnote w:id="20">
    <w:p w14:paraId="21E12DC8" w14:textId="77777777"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Según esta disposición: </w:t>
      </w:r>
      <w:r w:rsidRPr="00E6228D">
        <w:rPr>
          <w:rFonts w:ascii="Arial" w:hAnsi="Arial" w:cs="Arial"/>
          <w:color w:val="000000" w:themeColor="text1"/>
          <w:sz w:val="19"/>
          <w:szCs w:val="19"/>
          <w:lang w:val="es-ES"/>
        </w:rPr>
        <w:t>«Al Registro Único Empresarial (RUE) de que trata el artículo 11 de la Ley 590 de 2000, que integró el Registro Mercantil y el Registro Único de Proponentes, se incorporarán e integrarán las operaciones del Registro de Entidades sin Ánimo de Lucro creado por el Decreto 2150 de 1995, del Registro Nacional Público de las personas naturales y jurídicas que ejerzan la actividad de vendedores de Juegos de Suerte y Azar de que trata la Ley 643 de 2001, del Registro Público de Veedurías Ciudadanas de que trata la Ley 850 de 2003, del Registro Nacional de Turismo de que trata la Ley 1101 de 2006, del Registro de Entidades Extranjeras de Derecho Privado sin Ánimo de Lucro con domicilio en el exterior que establezcan negocios permanentes en Colombia de que trata el Decreto 2893 de 2011, y del Registro de la Economía Solidaria de que trata la Ley 454 de 1998, que en lo sucesivo se denominará Registro Único Empresarial y Social -RUES-, el cual será administrado por las Cámaras de Comercio atendiendo a criterios de eficiencia, economía y buena fe, para brindar al Estado, a la sociedad en general, a los empresarios, a los contratistas, a las entidades de economía solidaria y a las entidades sin ánimo de lucro una herramienta confiable de información unificada tanto en el orden nacional como en el internacional.</w:t>
      </w:r>
    </w:p>
    <w:p w14:paraId="7C2119D9" w14:textId="32EFDB0D"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»Con el objeto de mantener la actualización del registro y garantizar la eficacia del mismo, la inscripción en los registros que integran el Registro Único Empresarial y Social, y el titular del registro renovará anualmente dentro de los tres primeros meses de cada año. El organismo que ejerza el control y vigilancia de las cámaras de comercio establecerá los formatos y la información requerida para inscripción en el registro y la renovación de la misma. Los registros mercantil y de proponentes continuarán renovándose de acuerdo con las reglas vigentes.</w:t>
      </w:r>
    </w:p>
    <w:p w14:paraId="2CF62D28" w14:textId="1AACAAE6"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»El organismo que ejerza el control y vigilancia de las cámaras de comercio regulará la integración e implementación del Registro Único Empresarial y Social, garantizando que, específicamente, se reduzcan los trámites, requisitos e información a cargo de todos los usuarios de los registros públicos y que todas las gestiones se puedan adelantar, además, por internet y otras formas electrónicas. La regulación que realice la autoridad competente deberá, en todo caso, hacerse en armonía con las disposiciones estatutarias y con las contenidas en códigos, respecto de los registros de que trata el presente artículo.</w:t>
      </w:r>
    </w:p>
    <w:p w14:paraId="58360CD8" w14:textId="4026F53B"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»Los derechos por la prestación de los servicios registrales serán los previstos por la ley para el registro mercantil, el registro único de proponentes y el registro de entidades sin ánimo de lucro, según el caso. Las Cámaras de Comercio no podrán cobrar derechos de inscripción y renovación sobre los registros que se le trasladan en virtud del presente decreto-ley y que a la vigencia del mismo no los causan.</w:t>
      </w:r>
    </w:p>
    <w:p w14:paraId="7F0C692F" w14:textId="05490AE4" w:rsidR="001C42FB" w:rsidRPr="00E6228D" w:rsidRDefault="001C42FB" w:rsidP="00D4100E">
      <w:pPr>
        <w:pStyle w:val="Textonotapie"/>
        <w:ind w:firstLine="709"/>
        <w:jc w:val="both"/>
        <w:rPr>
          <w:rFonts w:ascii="Arial" w:hAnsi="Arial" w:cs="Arial"/>
          <w:color w:val="000000" w:themeColor="text1"/>
          <w:sz w:val="19"/>
          <w:szCs w:val="19"/>
          <w:lang w:val="es-ES"/>
        </w:rPr>
      </w:pPr>
      <w:r w:rsidRPr="00E6228D">
        <w:rPr>
          <w:rFonts w:ascii="Arial" w:hAnsi="Arial" w:cs="Arial"/>
          <w:color w:val="000000" w:themeColor="text1"/>
          <w:sz w:val="19"/>
          <w:szCs w:val="19"/>
          <w:lang w:val="es-ES"/>
        </w:rPr>
        <w:t>»Los ingresos provenientes de los registros públicos y los bienes adquiridos con éstos, continuarán afectos a las funciones atribuidas a las Cámaras de Comercio por la ley o por el Gobierno Nacional en aplicación del numeral 12 del artículo 86 del Código de Comercio. En ningún caso los recursos de origen público podrán destinarse para sufragar operaciones o gastos privados de las Cámaras de Comercio. Los registros públicos que se le trasladan a las Cámaras de Comercio serán asumidos por éstas a partir del primero (1o.) de marzo de 2012».</w:t>
      </w:r>
    </w:p>
    <w:p w14:paraId="5E3374EA" w14:textId="77777777" w:rsidR="007D6137" w:rsidRPr="00E6228D" w:rsidRDefault="007D6137" w:rsidP="00D4100E">
      <w:pPr>
        <w:pStyle w:val="Textonotapie"/>
        <w:ind w:firstLine="709"/>
        <w:jc w:val="both"/>
        <w:rPr>
          <w:rFonts w:ascii="Arial" w:hAnsi="Arial" w:cs="Arial"/>
          <w:color w:val="000000" w:themeColor="text1"/>
          <w:sz w:val="19"/>
          <w:szCs w:val="19"/>
        </w:rPr>
      </w:pPr>
    </w:p>
  </w:footnote>
  <w:footnote w:id="21">
    <w:p w14:paraId="58ED39B7" w14:textId="771915AA" w:rsidR="00196D5A" w:rsidRPr="00E6228D" w:rsidRDefault="00196D5A"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Superintendencia de Industria y Comercio. Circular Externa 002 de 2016. En: </w:t>
      </w:r>
      <w:r w:rsidR="00CA0995" w:rsidRPr="00E6228D">
        <w:rPr>
          <w:rFonts w:ascii="Arial" w:hAnsi="Arial" w:cs="Arial"/>
          <w:color w:val="000000" w:themeColor="text1"/>
          <w:sz w:val="19"/>
          <w:szCs w:val="19"/>
        </w:rPr>
        <w:t>https://www.sic.gov.co/recursos_user/boletin-juridico-dic2016/conceptos/novedad_normativa/circular-002-DEL-23-NOV-2016.pdf</w:t>
      </w:r>
    </w:p>
    <w:p w14:paraId="186100BD" w14:textId="77777777" w:rsidR="007D6137" w:rsidRPr="00E6228D" w:rsidRDefault="007D6137" w:rsidP="00D4100E">
      <w:pPr>
        <w:pStyle w:val="Textonotapie"/>
        <w:ind w:firstLine="709"/>
        <w:jc w:val="both"/>
        <w:rPr>
          <w:rFonts w:ascii="Arial" w:hAnsi="Arial" w:cs="Arial"/>
          <w:color w:val="000000" w:themeColor="text1"/>
          <w:sz w:val="19"/>
          <w:szCs w:val="19"/>
        </w:rPr>
      </w:pPr>
    </w:p>
  </w:footnote>
  <w:footnote w:id="22">
    <w:p w14:paraId="686B577D" w14:textId="18E40385" w:rsidR="00D4100E" w:rsidRPr="00E6228D" w:rsidRDefault="00D4100E" w:rsidP="00D4100E">
      <w:pPr>
        <w:pStyle w:val="Textonotapie"/>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El artículo 33 del Código de Comercio dispone: «La matrícula se renovará anualmente, dentro de los tres primeros meses de cada año. El inscrito informará a la correspondiente cámara de comercio la pérdida de su calidad de comerciante, lo mismo que cualquier cambio de domicilio y demás mutaciones referentes a su actividad comercial, a fin de que se tome nota de ello en el registro correspondiente. Lo mismo se hará respecto de sucursales, establecimientos de comercio y demás actos y documentos sujetos a registro».</w:t>
      </w:r>
    </w:p>
    <w:p w14:paraId="7E67CD18" w14:textId="77777777" w:rsidR="007D6137" w:rsidRPr="00E6228D" w:rsidRDefault="007D6137" w:rsidP="00D4100E">
      <w:pPr>
        <w:pStyle w:val="Textonotapie"/>
        <w:ind w:firstLine="709"/>
        <w:jc w:val="both"/>
        <w:rPr>
          <w:rFonts w:ascii="Arial" w:hAnsi="Arial" w:cs="Arial"/>
          <w:color w:val="000000" w:themeColor="text1"/>
          <w:sz w:val="19"/>
          <w:szCs w:val="19"/>
        </w:rPr>
      </w:pPr>
    </w:p>
  </w:footnote>
  <w:footnote w:id="23">
    <w:p w14:paraId="2775FA57" w14:textId="64C83301" w:rsidR="00E67FC7" w:rsidRPr="00E6228D" w:rsidRDefault="000F3DDC" w:rsidP="00D4100E">
      <w:pPr>
        <w:pStyle w:val="Textocomentario"/>
        <w:ind w:firstLine="709"/>
        <w:jc w:val="both"/>
        <w:rPr>
          <w:rFonts w:ascii="Arial" w:hAnsi="Arial" w:cs="Arial"/>
          <w:color w:val="000000" w:themeColor="text1"/>
          <w:sz w:val="19"/>
          <w:szCs w:val="19"/>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w:t>
      </w:r>
      <w:r w:rsidR="00E67FC7" w:rsidRPr="00E6228D">
        <w:rPr>
          <w:rFonts w:ascii="Arial" w:hAnsi="Arial" w:cs="Arial"/>
          <w:color w:val="000000" w:themeColor="text1"/>
          <w:sz w:val="19"/>
          <w:szCs w:val="19"/>
        </w:rPr>
        <w:t>La Sección Tercera del Consejo de Estado ha reconocido</w:t>
      </w:r>
      <w:r w:rsidR="00A63AB4" w:rsidRPr="00E6228D">
        <w:rPr>
          <w:rFonts w:ascii="Arial" w:hAnsi="Arial" w:cs="Arial"/>
          <w:color w:val="000000" w:themeColor="text1"/>
          <w:sz w:val="19"/>
          <w:szCs w:val="19"/>
        </w:rPr>
        <w:t xml:space="preserve">, en esta perspectiva, </w:t>
      </w:r>
      <w:r w:rsidR="00E67FC7" w:rsidRPr="00E6228D">
        <w:rPr>
          <w:rFonts w:ascii="Arial" w:hAnsi="Arial" w:cs="Arial"/>
          <w:color w:val="000000" w:themeColor="text1"/>
          <w:sz w:val="19"/>
          <w:szCs w:val="19"/>
        </w:rPr>
        <w:t xml:space="preserve">que la Administración goza de un grado de libertad para </w:t>
      </w:r>
      <w:r w:rsidR="00CA026B" w:rsidRPr="00E6228D">
        <w:rPr>
          <w:rFonts w:ascii="Arial" w:hAnsi="Arial" w:cs="Arial"/>
          <w:color w:val="000000" w:themeColor="text1"/>
          <w:sz w:val="19"/>
          <w:szCs w:val="19"/>
        </w:rPr>
        <w:t>confeccionar las condiciones del procedimiento de selección</w:t>
      </w:r>
      <w:r w:rsidR="00E67FC7" w:rsidRPr="00E6228D">
        <w:rPr>
          <w:rFonts w:ascii="Arial" w:hAnsi="Arial" w:cs="Arial"/>
          <w:color w:val="000000" w:themeColor="text1"/>
          <w:sz w:val="19"/>
          <w:szCs w:val="19"/>
        </w:rPr>
        <w:t>, pero que esta no es absoluta, pues no puede establecer, por ejemplo, causales de rechazo arbitrarias o inventarse inhabilidades o incompatibilidades que no estén en la Constitución o en la Ley (</w:t>
      </w:r>
      <w:r w:rsidR="00E95221" w:rsidRPr="00E6228D">
        <w:rPr>
          <w:rFonts w:ascii="Arial" w:hAnsi="Arial" w:cs="Arial"/>
          <w:color w:val="000000" w:themeColor="text1"/>
          <w:sz w:val="19"/>
          <w:szCs w:val="19"/>
        </w:rPr>
        <w:t>Consejo de Estado</w:t>
      </w:r>
      <w:r w:rsidR="000C781D" w:rsidRPr="00E6228D">
        <w:rPr>
          <w:rFonts w:ascii="Arial" w:hAnsi="Arial" w:cs="Arial"/>
          <w:color w:val="000000" w:themeColor="text1"/>
          <w:sz w:val="19"/>
          <w:szCs w:val="19"/>
        </w:rPr>
        <w:t xml:space="preserve">. </w:t>
      </w:r>
      <w:r w:rsidR="00E95221" w:rsidRPr="00E6228D">
        <w:rPr>
          <w:rFonts w:ascii="Arial" w:hAnsi="Arial" w:cs="Arial"/>
          <w:color w:val="000000" w:themeColor="text1"/>
          <w:sz w:val="19"/>
          <w:szCs w:val="19"/>
        </w:rPr>
        <w:t>Sección Tercera</w:t>
      </w:r>
      <w:r w:rsidR="000C781D" w:rsidRPr="00E6228D">
        <w:rPr>
          <w:rFonts w:ascii="Arial" w:hAnsi="Arial" w:cs="Arial"/>
          <w:color w:val="000000" w:themeColor="text1"/>
          <w:sz w:val="19"/>
          <w:szCs w:val="19"/>
        </w:rPr>
        <w:t xml:space="preserve">. Subsección C. </w:t>
      </w:r>
      <w:r w:rsidR="00E95221" w:rsidRPr="00E6228D">
        <w:rPr>
          <w:rFonts w:ascii="Arial" w:hAnsi="Arial" w:cs="Arial"/>
          <w:color w:val="000000" w:themeColor="text1"/>
          <w:sz w:val="19"/>
          <w:szCs w:val="19"/>
        </w:rPr>
        <w:t>Sentencia</w:t>
      </w:r>
      <w:r w:rsidR="00A63AB4" w:rsidRPr="00E6228D">
        <w:rPr>
          <w:rFonts w:ascii="Arial" w:hAnsi="Arial" w:cs="Arial"/>
          <w:color w:val="000000" w:themeColor="text1"/>
          <w:sz w:val="19"/>
          <w:szCs w:val="19"/>
        </w:rPr>
        <w:t xml:space="preserve"> </w:t>
      </w:r>
      <w:r w:rsidR="00E95221" w:rsidRPr="00E6228D">
        <w:rPr>
          <w:rFonts w:ascii="Arial" w:hAnsi="Arial" w:cs="Arial"/>
          <w:color w:val="000000" w:themeColor="text1"/>
          <w:sz w:val="19"/>
          <w:szCs w:val="19"/>
        </w:rPr>
        <w:t>del 26 de noviembre de 2015</w:t>
      </w:r>
      <w:r w:rsidR="000C781D" w:rsidRPr="00E6228D">
        <w:rPr>
          <w:rFonts w:ascii="Arial" w:hAnsi="Arial" w:cs="Arial"/>
          <w:color w:val="000000" w:themeColor="text1"/>
          <w:sz w:val="19"/>
          <w:szCs w:val="19"/>
        </w:rPr>
        <w:t>.</w:t>
      </w:r>
      <w:r w:rsidR="00100285" w:rsidRPr="00E6228D">
        <w:rPr>
          <w:rFonts w:ascii="Arial" w:hAnsi="Arial" w:cs="Arial"/>
          <w:color w:val="000000" w:themeColor="text1"/>
          <w:sz w:val="19"/>
          <w:szCs w:val="19"/>
        </w:rPr>
        <w:t xml:space="preserve"> </w:t>
      </w:r>
      <w:r w:rsidR="00E95221" w:rsidRPr="00E6228D">
        <w:rPr>
          <w:rFonts w:ascii="Arial" w:hAnsi="Arial" w:cs="Arial"/>
          <w:color w:val="000000" w:themeColor="text1"/>
          <w:sz w:val="19"/>
          <w:szCs w:val="19"/>
        </w:rPr>
        <w:t>Expediente 51</w:t>
      </w:r>
      <w:r w:rsidR="000C781D" w:rsidRPr="00E6228D">
        <w:rPr>
          <w:rFonts w:ascii="Arial" w:hAnsi="Arial" w:cs="Arial"/>
          <w:color w:val="000000" w:themeColor="text1"/>
          <w:sz w:val="19"/>
          <w:szCs w:val="19"/>
        </w:rPr>
        <w:t>.</w:t>
      </w:r>
      <w:r w:rsidR="00E95221" w:rsidRPr="00E6228D">
        <w:rPr>
          <w:rFonts w:ascii="Arial" w:hAnsi="Arial" w:cs="Arial"/>
          <w:color w:val="000000" w:themeColor="text1"/>
          <w:sz w:val="19"/>
          <w:szCs w:val="19"/>
        </w:rPr>
        <w:t>376</w:t>
      </w:r>
      <w:r w:rsidR="000C781D" w:rsidRPr="00E6228D">
        <w:rPr>
          <w:rFonts w:ascii="Arial" w:hAnsi="Arial" w:cs="Arial"/>
          <w:color w:val="000000" w:themeColor="text1"/>
          <w:sz w:val="19"/>
          <w:szCs w:val="19"/>
        </w:rPr>
        <w:t xml:space="preserve">. </w:t>
      </w:r>
      <w:r w:rsidR="00100285" w:rsidRPr="00E6228D">
        <w:rPr>
          <w:rFonts w:ascii="Arial" w:hAnsi="Arial" w:cs="Arial"/>
          <w:color w:val="000000" w:themeColor="text1"/>
          <w:sz w:val="19"/>
          <w:szCs w:val="19"/>
        </w:rPr>
        <w:t>Consejero Ponente: Jaime Orlando Santofimio Gamboa</w:t>
      </w:r>
      <w:r w:rsidR="00E95221" w:rsidRPr="00E6228D">
        <w:rPr>
          <w:rFonts w:ascii="Arial" w:hAnsi="Arial" w:cs="Arial"/>
          <w:color w:val="000000" w:themeColor="text1"/>
          <w:sz w:val="19"/>
          <w:szCs w:val="19"/>
        </w:rPr>
        <w:t>).</w:t>
      </w:r>
    </w:p>
    <w:p w14:paraId="3C0D6D37" w14:textId="7411AC00" w:rsidR="000F3DDC" w:rsidRPr="00E6228D" w:rsidRDefault="000F3DDC" w:rsidP="00D4100E">
      <w:pPr>
        <w:pStyle w:val="Textonotapie"/>
        <w:ind w:firstLine="709"/>
        <w:jc w:val="both"/>
        <w:rPr>
          <w:rFonts w:ascii="Arial" w:hAnsi="Arial" w:cs="Arial"/>
          <w:color w:val="000000" w:themeColor="text1"/>
          <w:sz w:val="19"/>
          <w:szCs w:val="19"/>
        </w:rPr>
      </w:pPr>
    </w:p>
  </w:footnote>
  <w:footnote w:id="24">
    <w:p w14:paraId="65DFD62E" w14:textId="0100624D" w:rsidR="00476328" w:rsidRPr="00E6228D" w:rsidRDefault="00476328" w:rsidP="00D4100E">
      <w:pPr>
        <w:pStyle w:val="Textonotapie"/>
        <w:ind w:firstLine="709"/>
        <w:jc w:val="both"/>
        <w:rPr>
          <w:rFonts w:ascii="Arial" w:hAnsi="Arial" w:cs="Arial"/>
          <w:color w:val="000000" w:themeColor="text1"/>
          <w:sz w:val="19"/>
          <w:szCs w:val="19"/>
          <w:lang w:val="es-ES"/>
        </w:rPr>
      </w:pPr>
      <w:r w:rsidRPr="00E6228D">
        <w:rPr>
          <w:rStyle w:val="Refdenotaalpie"/>
          <w:rFonts w:ascii="Arial" w:hAnsi="Arial" w:cs="Arial"/>
          <w:color w:val="000000" w:themeColor="text1"/>
          <w:sz w:val="19"/>
          <w:szCs w:val="19"/>
        </w:rPr>
        <w:footnoteRef/>
      </w:r>
      <w:r w:rsidRPr="00E6228D">
        <w:rPr>
          <w:rFonts w:ascii="Arial" w:hAnsi="Arial" w:cs="Arial"/>
          <w:color w:val="000000" w:themeColor="text1"/>
          <w:sz w:val="19"/>
          <w:szCs w:val="19"/>
        </w:rPr>
        <w:t xml:space="preserve"> </w:t>
      </w:r>
      <w:r w:rsidRPr="00E6228D">
        <w:rPr>
          <w:rFonts w:ascii="Arial" w:hAnsi="Arial" w:cs="Arial"/>
          <w:color w:val="000000" w:themeColor="text1"/>
          <w:sz w:val="19"/>
          <w:szCs w:val="19"/>
          <w:lang w:val="es-ES"/>
        </w:rPr>
        <w:t xml:space="preserve">Artículo 6, </w:t>
      </w:r>
      <w:r w:rsidR="00D31D03" w:rsidRPr="00E6228D">
        <w:rPr>
          <w:rFonts w:ascii="Arial" w:hAnsi="Arial" w:cs="Arial"/>
          <w:color w:val="000000" w:themeColor="text1"/>
          <w:sz w:val="19"/>
          <w:szCs w:val="19"/>
          <w:lang w:val="es-ES"/>
        </w:rPr>
        <w:t>inciso 2º de la Ley 1150 de 2007.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6B7D79AC" w:rsidR="001C42FB" w:rsidRDefault="001C42FB" w:rsidP="00E6228D">
    <w:pPr>
      <w:pStyle w:val="Encabezado"/>
      <w:tabs>
        <w:tab w:val="clear" w:pos="4252"/>
        <w:tab w:val="clear" w:pos="8504"/>
        <w:tab w:val="left" w:pos="1453"/>
      </w:tabs>
    </w:pPr>
    <w:r>
      <w:rPr>
        <w:noProof/>
        <w:lang w:val="en-US" w:eastAsia="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228D">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730AA8C"/>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6AF8"/>
    <w:rsid w:val="0000781E"/>
    <w:rsid w:val="00012514"/>
    <w:rsid w:val="000130B5"/>
    <w:rsid w:val="0002400D"/>
    <w:rsid w:val="0002798A"/>
    <w:rsid w:val="00027C8A"/>
    <w:rsid w:val="000350CC"/>
    <w:rsid w:val="00041061"/>
    <w:rsid w:val="00042A3B"/>
    <w:rsid w:val="00052E6D"/>
    <w:rsid w:val="00053125"/>
    <w:rsid w:val="00053564"/>
    <w:rsid w:val="00062363"/>
    <w:rsid w:val="000665C6"/>
    <w:rsid w:val="00072A53"/>
    <w:rsid w:val="00073B9F"/>
    <w:rsid w:val="00074D37"/>
    <w:rsid w:val="00084A7B"/>
    <w:rsid w:val="00084AA0"/>
    <w:rsid w:val="00084B97"/>
    <w:rsid w:val="00085147"/>
    <w:rsid w:val="00091BA4"/>
    <w:rsid w:val="00091BB9"/>
    <w:rsid w:val="000921C6"/>
    <w:rsid w:val="000942EB"/>
    <w:rsid w:val="00096EE0"/>
    <w:rsid w:val="000A2643"/>
    <w:rsid w:val="000A3AC6"/>
    <w:rsid w:val="000B103F"/>
    <w:rsid w:val="000B173D"/>
    <w:rsid w:val="000B4EEE"/>
    <w:rsid w:val="000B6F0F"/>
    <w:rsid w:val="000C0D40"/>
    <w:rsid w:val="000C3738"/>
    <w:rsid w:val="000C6017"/>
    <w:rsid w:val="000C781D"/>
    <w:rsid w:val="000C7BF0"/>
    <w:rsid w:val="000D6A76"/>
    <w:rsid w:val="000E1D29"/>
    <w:rsid w:val="000E3936"/>
    <w:rsid w:val="000E72E5"/>
    <w:rsid w:val="000E7F34"/>
    <w:rsid w:val="000F0EC8"/>
    <w:rsid w:val="000F14E8"/>
    <w:rsid w:val="000F3DDC"/>
    <w:rsid w:val="000F5854"/>
    <w:rsid w:val="00100285"/>
    <w:rsid w:val="0010298F"/>
    <w:rsid w:val="00103915"/>
    <w:rsid w:val="00106194"/>
    <w:rsid w:val="00106AFE"/>
    <w:rsid w:val="001153DC"/>
    <w:rsid w:val="00116128"/>
    <w:rsid w:val="00122B23"/>
    <w:rsid w:val="00125012"/>
    <w:rsid w:val="00132207"/>
    <w:rsid w:val="00134CFA"/>
    <w:rsid w:val="00137FFA"/>
    <w:rsid w:val="0014335D"/>
    <w:rsid w:val="00145D8C"/>
    <w:rsid w:val="0015046E"/>
    <w:rsid w:val="00150BAE"/>
    <w:rsid w:val="00155152"/>
    <w:rsid w:val="00157A04"/>
    <w:rsid w:val="001659D9"/>
    <w:rsid w:val="00166931"/>
    <w:rsid w:val="00166F08"/>
    <w:rsid w:val="0016755F"/>
    <w:rsid w:val="001704FF"/>
    <w:rsid w:val="00172D04"/>
    <w:rsid w:val="001751AB"/>
    <w:rsid w:val="00177C7A"/>
    <w:rsid w:val="00181317"/>
    <w:rsid w:val="001821AC"/>
    <w:rsid w:val="00191592"/>
    <w:rsid w:val="0019166A"/>
    <w:rsid w:val="00196D5A"/>
    <w:rsid w:val="001A040D"/>
    <w:rsid w:val="001A22AC"/>
    <w:rsid w:val="001A24CC"/>
    <w:rsid w:val="001A4995"/>
    <w:rsid w:val="001A7081"/>
    <w:rsid w:val="001A79E5"/>
    <w:rsid w:val="001B0444"/>
    <w:rsid w:val="001B3138"/>
    <w:rsid w:val="001C39F7"/>
    <w:rsid w:val="001C3B7E"/>
    <w:rsid w:val="001C42FB"/>
    <w:rsid w:val="001D07F1"/>
    <w:rsid w:val="001D3BFA"/>
    <w:rsid w:val="001D5063"/>
    <w:rsid w:val="001D756D"/>
    <w:rsid w:val="001E081B"/>
    <w:rsid w:val="001E60CB"/>
    <w:rsid w:val="001F34D4"/>
    <w:rsid w:val="001F39E6"/>
    <w:rsid w:val="001F48ED"/>
    <w:rsid w:val="001F7B70"/>
    <w:rsid w:val="001F7D57"/>
    <w:rsid w:val="00206278"/>
    <w:rsid w:val="0020632A"/>
    <w:rsid w:val="002110EB"/>
    <w:rsid w:val="00211338"/>
    <w:rsid w:val="002117E9"/>
    <w:rsid w:val="0021415B"/>
    <w:rsid w:val="002233B1"/>
    <w:rsid w:val="002264E2"/>
    <w:rsid w:val="002345CE"/>
    <w:rsid w:val="00234B84"/>
    <w:rsid w:val="00236952"/>
    <w:rsid w:val="00236A01"/>
    <w:rsid w:val="00237356"/>
    <w:rsid w:val="00240130"/>
    <w:rsid w:val="00240C72"/>
    <w:rsid w:val="00251F5C"/>
    <w:rsid w:val="00253927"/>
    <w:rsid w:val="00254705"/>
    <w:rsid w:val="0025616F"/>
    <w:rsid w:val="00260F08"/>
    <w:rsid w:val="00270AEA"/>
    <w:rsid w:val="002724DE"/>
    <w:rsid w:val="00283229"/>
    <w:rsid w:val="00291F29"/>
    <w:rsid w:val="002974FA"/>
    <w:rsid w:val="002A11F2"/>
    <w:rsid w:val="002B2622"/>
    <w:rsid w:val="002B37A4"/>
    <w:rsid w:val="002B5441"/>
    <w:rsid w:val="002C4C0C"/>
    <w:rsid w:val="002C5B2A"/>
    <w:rsid w:val="002C6B79"/>
    <w:rsid w:val="002C7F9C"/>
    <w:rsid w:val="002D0005"/>
    <w:rsid w:val="002D55B9"/>
    <w:rsid w:val="002D6C6B"/>
    <w:rsid w:val="002E1B07"/>
    <w:rsid w:val="002E1E84"/>
    <w:rsid w:val="002E688C"/>
    <w:rsid w:val="002E6D7C"/>
    <w:rsid w:val="002F0DDD"/>
    <w:rsid w:val="002F3C08"/>
    <w:rsid w:val="002F454C"/>
    <w:rsid w:val="002F730B"/>
    <w:rsid w:val="002F7B2F"/>
    <w:rsid w:val="003019BD"/>
    <w:rsid w:val="003033BA"/>
    <w:rsid w:val="00305687"/>
    <w:rsid w:val="003074AE"/>
    <w:rsid w:val="00311679"/>
    <w:rsid w:val="00311D93"/>
    <w:rsid w:val="00322937"/>
    <w:rsid w:val="00323221"/>
    <w:rsid w:val="0032544F"/>
    <w:rsid w:val="00325E6F"/>
    <w:rsid w:val="003275CE"/>
    <w:rsid w:val="00336972"/>
    <w:rsid w:val="0034177C"/>
    <w:rsid w:val="00343D80"/>
    <w:rsid w:val="0034680A"/>
    <w:rsid w:val="00353DD5"/>
    <w:rsid w:val="00355577"/>
    <w:rsid w:val="003569CC"/>
    <w:rsid w:val="00356A7C"/>
    <w:rsid w:val="0036601C"/>
    <w:rsid w:val="00375DD3"/>
    <w:rsid w:val="0038015A"/>
    <w:rsid w:val="00386368"/>
    <w:rsid w:val="00386456"/>
    <w:rsid w:val="003A0878"/>
    <w:rsid w:val="003A2753"/>
    <w:rsid w:val="003A32C6"/>
    <w:rsid w:val="003A581E"/>
    <w:rsid w:val="003B1933"/>
    <w:rsid w:val="003B48C5"/>
    <w:rsid w:val="003B5017"/>
    <w:rsid w:val="003B7828"/>
    <w:rsid w:val="003C1386"/>
    <w:rsid w:val="003C23D4"/>
    <w:rsid w:val="003C63A9"/>
    <w:rsid w:val="003D239D"/>
    <w:rsid w:val="003D2E2C"/>
    <w:rsid w:val="003D3DB7"/>
    <w:rsid w:val="003D44D1"/>
    <w:rsid w:val="003D4F83"/>
    <w:rsid w:val="003D5905"/>
    <w:rsid w:val="003E5136"/>
    <w:rsid w:val="003E68A6"/>
    <w:rsid w:val="003F28A8"/>
    <w:rsid w:val="003F5D1F"/>
    <w:rsid w:val="003F68B1"/>
    <w:rsid w:val="003F7CC8"/>
    <w:rsid w:val="004016D9"/>
    <w:rsid w:val="00403D6D"/>
    <w:rsid w:val="004059C4"/>
    <w:rsid w:val="0041213D"/>
    <w:rsid w:val="00415EB9"/>
    <w:rsid w:val="00416062"/>
    <w:rsid w:val="00420891"/>
    <w:rsid w:val="004215AE"/>
    <w:rsid w:val="00422FA3"/>
    <w:rsid w:val="00423F9F"/>
    <w:rsid w:val="00424073"/>
    <w:rsid w:val="00427331"/>
    <w:rsid w:val="00440794"/>
    <w:rsid w:val="0044133F"/>
    <w:rsid w:val="004422D6"/>
    <w:rsid w:val="00442798"/>
    <w:rsid w:val="00443283"/>
    <w:rsid w:val="004446C3"/>
    <w:rsid w:val="00447183"/>
    <w:rsid w:val="00454BC6"/>
    <w:rsid w:val="004569DB"/>
    <w:rsid w:val="004602CA"/>
    <w:rsid w:val="004638DC"/>
    <w:rsid w:val="00463FE5"/>
    <w:rsid w:val="00471B5B"/>
    <w:rsid w:val="00473979"/>
    <w:rsid w:val="00476328"/>
    <w:rsid w:val="00480DE6"/>
    <w:rsid w:val="00487E2E"/>
    <w:rsid w:val="004908F9"/>
    <w:rsid w:val="0049094E"/>
    <w:rsid w:val="0049241A"/>
    <w:rsid w:val="0049493D"/>
    <w:rsid w:val="00494AF1"/>
    <w:rsid w:val="004A34D2"/>
    <w:rsid w:val="004A4D5F"/>
    <w:rsid w:val="004A4E6F"/>
    <w:rsid w:val="004B19A9"/>
    <w:rsid w:val="004B4FDA"/>
    <w:rsid w:val="004C58FF"/>
    <w:rsid w:val="004C7B57"/>
    <w:rsid w:val="004D6C80"/>
    <w:rsid w:val="004D7FD1"/>
    <w:rsid w:val="004E15B5"/>
    <w:rsid w:val="004F2045"/>
    <w:rsid w:val="004F57B1"/>
    <w:rsid w:val="004F61DE"/>
    <w:rsid w:val="00500A84"/>
    <w:rsid w:val="00500C9C"/>
    <w:rsid w:val="00502AA3"/>
    <w:rsid w:val="0051074C"/>
    <w:rsid w:val="00510FD0"/>
    <w:rsid w:val="00513210"/>
    <w:rsid w:val="00513496"/>
    <w:rsid w:val="00513AF2"/>
    <w:rsid w:val="00513C06"/>
    <w:rsid w:val="005157F0"/>
    <w:rsid w:val="005178B0"/>
    <w:rsid w:val="00520695"/>
    <w:rsid w:val="00526438"/>
    <w:rsid w:val="00526AA0"/>
    <w:rsid w:val="00530375"/>
    <w:rsid w:val="00533486"/>
    <w:rsid w:val="005413A0"/>
    <w:rsid w:val="00543803"/>
    <w:rsid w:val="0054413A"/>
    <w:rsid w:val="00544348"/>
    <w:rsid w:val="00546D12"/>
    <w:rsid w:val="005564CA"/>
    <w:rsid w:val="0055716D"/>
    <w:rsid w:val="0056182B"/>
    <w:rsid w:val="005756AA"/>
    <w:rsid w:val="00575D80"/>
    <w:rsid w:val="00582643"/>
    <w:rsid w:val="005941C1"/>
    <w:rsid w:val="00595122"/>
    <w:rsid w:val="00596405"/>
    <w:rsid w:val="0059772E"/>
    <w:rsid w:val="005979D2"/>
    <w:rsid w:val="00597B75"/>
    <w:rsid w:val="005A4EB9"/>
    <w:rsid w:val="005A7615"/>
    <w:rsid w:val="005B2A2E"/>
    <w:rsid w:val="005B478A"/>
    <w:rsid w:val="005B4835"/>
    <w:rsid w:val="005B72DC"/>
    <w:rsid w:val="005C0904"/>
    <w:rsid w:val="005C6201"/>
    <w:rsid w:val="005C7856"/>
    <w:rsid w:val="005D09E1"/>
    <w:rsid w:val="005D0F03"/>
    <w:rsid w:val="005D3341"/>
    <w:rsid w:val="005D51FA"/>
    <w:rsid w:val="005D6D4F"/>
    <w:rsid w:val="005D791B"/>
    <w:rsid w:val="005E11B2"/>
    <w:rsid w:val="005E3050"/>
    <w:rsid w:val="005E3E9F"/>
    <w:rsid w:val="005F088A"/>
    <w:rsid w:val="005F1772"/>
    <w:rsid w:val="005F1A12"/>
    <w:rsid w:val="005F2CA1"/>
    <w:rsid w:val="005F5C19"/>
    <w:rsid w:val="005F60CF"/>
    <w:rsid w:val="00604E01"/>
    <w:rsid w:val="00604E4B"/>
    <w:rsid w:val="00611B77"/>
    <w:rsid w:val="00614817"/>
    <w:rsid w:val="00615173"/>
    <w:rsid w:val="006175EE"/>
    <w:rsid w:val="00617FF2"/>
    <w:rsid w:val="0062239E"/>
    <w:rsid w:val="006318C6"/>
    <w:rsid w:val="00633DBF"/>
    <w:rsid w:val="006344B7"/>
    <w:rsid w:val="0063578A"/>
    <w:rsid w:val="00637BCB"/>
    <w:rsid w:val="00640AEF"/>
    <w:rsid w:val="006426BC"/>
    <w:rsid w:val="00643033"/>
    <w:rsid w:val="006449A7"/>
    <w:rsid w:val="00644BDA"/>
    <w:rsid w:val="00644C0A"/>
    <w:rsid w:val="006468FD"/>
    <w:rsid w:val="00651B30"/>
    <w:rsid w:val="00652B70"/>
    <w:rsid w:val="006549D4"/>
    <w:rsid w:val="00655371"/>
    <w:rsid w:val="00660B1A"/>
    <w:rsid w:val="00663062"/>
    <w:rsid w:val="00666C67"/>
    <w:rsid w:val="0066776B"/>
    <w:rsid w:val="00674072"/>
    <w:rsid w:val="006810C6"/>
    <w:rsid w:val="006840CA"/>
    <w:rsid w:val="00685ECC"/>
    <w:rsid w:val="006904A9"/>
    <w:rsid w:val="006911AD"/>
    <w:rsid w:val="0069645C"/>
    <w:rsid w:val="006967F3"/>
    <w:rsid w:val="00697665"/>
    <w:rsid w:val="006A18A8"/>
    <w:rsid w:val="006A1EEE"/>
    <w:rsid w:val="006A7CB5"/>
    <w:rsid w:val="006A7FD0"/>
    <w:rsid w:val="006B1690"/>
    <w:rsid w:val="006B22D5"/>
    <w:rsid w:val="006B5CD1"/>
    <w:rsid w:val="006B60C8"/>
    <w:rsid w:val="006C1C9E"/>
    <w:rsid w:val="006C2A68"/>
    <w:rsid w:val="006C2D94"/>
    <w:rsid w:val="006C6AEF"/>
    <w:rsid w:val="006D065F"/>
    <w:rsid w:val="006D07A5"/>
    <w:rsid w:val="006D6321"/>
    <w:rsid w:val="006D6B0B"/>
    <w:rsid w:val="006D7687"/>
    <w:rsid w:val="006E0572"/>
    <w:rsid w:val="006E1FB8"/>
    <w:rsid w:val="006E3332"/>
    <w:rsid w:val="006F337A"/>
    <w:rsid w:val="006F36DF"/>
    <w:rsid w:val="006F52DF"/>
    <w:rsid w:val="00705631"/>
    <w:rsid w:val="00707D7A"/>
    <w:rsid w:val="00710F76"/>
    <w:rsid w:val="00714537"/>
    <w:rsid w:val="00715001"/>
    <w:rsid w:val="00715EAA"/>
    <w:rsid w:val="00716151"/>
    <w:rsid w:val="007177BE"/>
    <w:rsid w:val="00722776"/>
    <w:rsid w:val="0072398E"/>
    <w:rsid w:val="00727FE7"/>
    <w:rsid w:val="007357AE"/>
    <w:rsid w:val="007374C2"/>
    <w:rsid w:val="00737515"/>
    <w:rsid w:val="00742DD2"/>
    <w:rsid w:val="007458F7"/>
    <w:rsid w:val="00746E08"/>
    <w:rsid w:val="00747C96"/>
    <w:rsid w:val="0075050A"/>
    <w:rsid w:val="0075094E"/>
    <w:rsid w:val="00750C7C"/>
    <w:rsid w:val="00751504"/>
    <w:rsid w:val="007522E8"/>
    <w:rsid w:val="00755090"/>
    <w:rsid w:val="0075647A"/>
    <w:rsid w:val="007634AD"/>
    <w:rsid w:val="00765260"/>
    <w:rsid w:val="00765F3B"/>
    <w:rsid w:val="0076740F"/>
    <w:rsid w:val="007744B6"/>
    <w:rsid w:val="0078122E"/>
    <w:rsid w:val="00785FD2"/>
    <w:rsid w:val="00790122"/>
    <w:rsid w:val="00795647"/>
    <w:rsid w:val="007A15D8"/>
    <w:rsid w:val="007A4609"/>
    <w:rsid w:val="007A587B"/>
    <w:rsid w:val="007B0854"/>
    <w:rsid w:val="007B6F1D"/>
    <w:rsid w:val="007B7B35"/>
    <w:rsid w:val="007C20AD"/>
    <w:rsid w:val="007C34AE"/>
    <w:rsid w:val="007C6B93"/>
    <w:rsid w:val="007C74FF"/>
    <w:rsid w:val="007D0F9A"/>
    <w:rsid w:val="007D6137"/>
    <w:rsid w:val="007D68C9"/>
    <w:rsid w:val="007D7BD9"/>
    <w:rsid w:val="007E4A8A"/>
    <w:rsid w:val="007E5C68"/>
    <w:rsid w:val="007F1531"/>
    <w:rsid w:val="007F1615"/>
    <w:rsid w:val="007F4562"/>
    <w:rsid w:val="007F4CD9"/>
    <w:rsid w:val="007F6B46"/>
    <w:rsid w:val="007F6DC2"/>
    <w:rsid w:val="007F72CB"/>
    <w:rsid w:val="008039DD"/>
    <w:rsid w:val="00803AF8"/>
    <w:rsid w:val="00803BD6"/>
    <w:rsid w:val="00804B14"/>
    <w:rsid w:val="00811C91"/>
    <w:rsid w:val="00813126"/>
    <w:rsid w:val="0081537B"/>
    <w:rsid w:val="0081695E"/>
    <w:rsid w:val="00816C2C"/>
    <w:rsid w:val="00817584"/>
    <w:rsid w:val="00817CEC"/>
    <w:rsid w:val="008217B7"/>
    <w:rsid w:val="008224C7"/>
    <w:rsid w:val="0083119B"/>
    <w:rsid w:val="00831F66"/>
    <w:rsid w:val="00836EAB"/>
    <w:rsid w:val="00836F38"/>
    <w:rsid w:val="00843CEC"/>
    <w:rsid w:val="008441F0"/>
    <w:rsid w:val="00847010"/>
    <w:rsid w:val="0085092D"/>
    <w:rsid w:val="00850F79"/>
    <w:rsid w:val="008529E3"/>
    <w:rsid w:val="00854ABB"/>
    <w:rsid w:val="00854E4B"/>
    <w:rsid w:val="00860F06"/>
    <w:rsid w:val="008646C8"/>
    <w:rsid w:val="00867608"/>
    <w:rsid w:val="00870F20"/>
    <w:rsid w:val="00871FD2"/>
    <w:rsid w:val="00874B73"/>
    <w:rsid w:val="00874BD9"/>
    <w:rsid w:val="0088063D"/>
    <w:rsid w:val="00880FE3"/>
    <w:rsid w:val="00881CF4"/>
    <w:rsid w:val="008852F8"/>
    <w:rsid w:val="00887E46"/>
    <w:rsid w:val="0089774F"/>
    <w:rsid w:val="00897ECB"/>
    <w:rsid w:val="008A1649"/>
    <w:rsid w:val="008A4057"/>
    <w:rsid w:val="008A55BC"/>
    <w:rsid w:val="008B5B04"/>
    <w:rsid w:val="008C41AA"/>
    <w:rsid w:val="008D685A"/>
    <w:rsid w:val="008D6DE0"/>
    <w:rsid w:val="008D7242"/>
    <w:rsid w:val="008E06CA"/>
    <w:rsid w:val="008E1C15"/>
    <w:rsid w:val="008F101D"/>
    <w:rsid w:val="008F24BA"/>
    <w:rsid w:val="008F538E"/>
    <w:rsid w:val="008F5FB7"/>
    <w:rsid w:val="00901850"/>
    <w:rsid w:val="009032EB"/>
    <w:rsid w:val="009038D7"/>
    <w:rsid w:val="00903C4D"/>
    <w:rsid w:val="009047C5"/>
    <w:rsid w:val="009058E3"/>
    <w:rsid w:val="0091629D"/>
    <w:rsid w:val="00916B31"/>
    <w:rsid w:val="00916C0F"/>
    <w:rsid w:val="009256D5"/>
    <w:rsid w:val="00931B0D"/>
    <w:rsid w:val="009425DF"/>
    <w:rsid w:val="0094362D"/>
    <w:rsid w:val="00946957"/>
    <w:rsid w:val="00947B7A"/>
    <w:rsid w:val="00952DF1"/>
    <w:rsid w:val="0095385A"/>
    <w:rsid w:val="00955483"/>
    <w:rsid w:val="0095765C"/>
    <w:rsid w:val="00962E23"/>
    <w:rsid w:val="0096318D"/>
    <w:rsid w:val="00965C7C"/>
    <w:rsid w:val="00967D81"/>
    <w:rsid w:val="00971BD0"/>
    <w:rsid w:val="00972B52"/>
    <w:rsid w:val="009730D8"/>
    <w:rsid w:val="00974CA6"/>
    <w:rsid w:val="00977B0E"/>
    <w:rsid w:val="009803F0"/>
    <w:rsid w:val="0098264A"/>
    <w:rsid w:val="0099575F"/>
    <w:rsid w:val="0099786A"/>
    <w:rsid w:val="00997BBF"/>
    <w:rsid w:val="009A1DFD"/>
    <w:rsid w:val="009A228F"/>
    <w:rsid w:val="009A570E"/>
    <w:rsid w:val="009A5FCB"/>
    <w:rsid w:val="009A6D1D"/>
    <w:rsid w:val="009A7824"/>
    <w:rsid w:val="009B34DB"/>
    <w:rsid w:val="009C7881"/>
    <w:rsid w:val="009D0BBF"/>
    <w:rsid w:val="009D1B2F"/>
    <w:rsid w:val="009D1F09"/>
    <w:rsid w:val="009E05AB"/>
    <w:rsid w:val="009E1BE1"/>
    <w:rsid w:val="009E6186"/>
    <w:rsid w:val="009E6929"/>
    <w:rsid w:val="009E7671"/>
    <w:rsid w:val="009F0BB6"/>
    <w:rsid w:val="009F0E95"/>
    <w:rsid w:val="009F237C"/>
    <w:rsid w:val="009F59C2"/>
    <w:rsid w:val="009F5D34"/>
    <w:rsid w:val="00A06176"/>
    <w:rsid w:val="00A1023E"/>
    <w:rsid w:val="00A112D9"/>
    <w:rsid w:val="00A114A5"/>
    <w:rsid w:val="00A114CB"/>
    <w:rsid w:val="00A13D6C"/>
    <w:rsid w:val="00A13F2F"/>
    <w:rsid w:val="00A24560"/>
    <w:rsid w:val="00A263E3"/>
    <w:rsid w:val="00A26F88"/>
    <w:rsid w:val="00A278BD"/>
    <w:rsid w:val="00A27F23"/>
    <w:rsid w:val="00A31686"/>
    <w:rsid w:val="00A32894"/>
    <w:rsid w:val="00A34538"/>
    <w:rsid w:val="00A346CD"/>
    <w:rsid w:val="00A3761A"/>
    <w:rsid w:val="00A37FB6"/>
    <w:rsid w:val="00A43778"/>
    <w:rsid w:val="00A43E49"/>
    <w:rsid w:val="00A46B01"/>
    <w:rsid w:val="00A50376"/>
    <w:rsid w:val="00A52AB9"/>
    <w:rsid w:val="00A572E2"/>
    <w:rsid w:val="00A61450"/>
    <w:rsid w:val="00A62F3B"/>
    <w:rsid w:val="00A63AB4"/>
    <w:rsid w:val="00A65FDC"/>
    <w:rsid w:val="00A71455"/>
    <w:rsid w:val="00A7306E"/>
    <w:rsid w:val="00A754E3"/>
    <w:rsid w:val="00A76BEC"/>
    <w:rsid w:val="00A8097A"/>
    <w:rsid w:val="00A93C3A"/>
    <w:rsid w:val="00AA01A7"/>
    <w:rsid w:val="00AA08E7"/>
    <w:rsid w:val="00AA442B"/>
    <w:rsid w:val="00AA5938"/>
    <w:rsid w:val="00AA59E2"/>
    <w:rsid w:val="00AA6009"/>
    <w:rsid w:val="00AA6612"/>
    <w:rsid w:val="00AA669D"/>
    <w:rsid w:val="00AB0F67"/>
    <w:rsid w:val="00AB136C"/>
    <w:rsid w:val="00AB2D94"/>
    <w:rsid w:val="00AB3EF0"/>
    <w:rsid w:val="00AB6CB0"/>
    <w:rsid w:val="00AB771D"/>
    <w:rsid w:val="00AB7B91"/>
    <w:rsid w:val="00AC04C9"/>
    <w:rsid w:val="00AC1406"/>
    <w:rsid w:val="00AC6C4D"/>
    <w:rsid w:val="00AC7720"/>
    <w:rsid w:val="00AD0790"/>
    <w:rsid w:val="00AD4117"/>
    <w:rsid w:val="00AE42D3"/>
    <w:rsid w:val="00AE70B1"/>
    <w:rsid w:val="00AF25B8"/>
    <w:rsid w:val="00AF6DAE"/>
    <w:rsid w:val="00B02235"/>
    <w:rsid w:val="00B030B1"/>
    <w:rsid w:val="00B05A55"/>
    <w:rsid w:val="00B073F3"/>
    <w:rsid w:val="00B075F3"/>
    <w:rsid w:val="00B1069D"/>
    <w:rsid w:val="00B12193"/>
    <w:rsid w:val="00B13EC0"/>
    <w:rsid w:val="00B22024"/>
    <w:rsid w:val="00B22E22"/>
    <w:rsid w:val="00B23041"/>
    <w:rsid w:val="00B25ADA"/>
    <w:rsid w:val="00B27676"/>
    <w:rsid w:val="00B3418C"/>
    <w:rsid w:val="00B37166"/>
    <w:rsid w:val="00B448AA"/>
    <w:rsid w:val="00B460E5"/>
    <w:rsid w:val="00B466B9"/>
    <w:rsid w:val="00B46D74"/>
    <w:rsid w:val="00B525CB"/>
    <w:rsid w:val="00B63872"/>
    <w:rsid w:val="00B63CB2"/>
    <w:rsid w:val="00B64EDB"/>
    <w:rsid w:val="00B65BD2"/>
    <w:rsid w:val="00B67729"/>
    <w:rsid w:val="00B7137A"/>
    <w:rsid w:val="00B72172"/>
    <w:rsid w:val="00B7315F"/>
    <w:rsid w:val="00B73D1C"/>
    <w:rsid w:val="00B75424"/>
    <w:rsid w:val="00B80F8F"/>
    <w:rsid w:val="00B87866"/>
    <w:rsid w:val="00B91B8E"/>
    <w:rsid w:val="00B92156"/>
    <w:rsid w:val="00B92EC6"/>
    <w:rsid w:val="00B94AF0"/>
    <w:rsid w:val="00BA1266"/>
    <w:rsid w:val="00BB3D86"/>
    <w:rsid w:val="00BC418B"/>
    <w:rsid w:val="00BC5511"/>
    <w:rsid w:val="00BC553A"/>
    <w:rsid w:val="00BD3D51"/>
    <w:rsid w:val="00BD5DA2"/>
    <w:rsid w:val="00BD6A96"/>
    <w:rsid w:val="00BD78FE"/>
    <w:rsid w:val="00BD7ABD"/>
    <w:rsid w:val="00BD7D11"/>
    <w:rsid w:val="00BE0B4C"/>
    <w:rsid w:val="00BE194E"/>
    <w:rsid w:val="00BE33E3"/>
    <w:rsid w:val="00BE7299"/>
    <w:rsid w:val="00C00250"/>
    <w:rsid w:val="00C04D43"/>
    <w:rsid w:val="00C12D2F"/>
    <w:rsid w:val="00C24648"/>
    <w:rsid w:val="00C3024A"/>
    <w:rsid w:val="00C3545A"/>
    <w:rsid w:val="00C35C82"/>
    <w:rsid w:val="00C37066"/>
    <w:rsid w:val="00C40E3E"/>
    <w:rsid w:val="00C44430"/>
    <w:rsid w:val="00C5234D"/>
    <w:rsid w:val="00C531C9"/>
    <w:rsid w:val="00C548B1"/>
    <w:rsid w:val="00C60414"/>
    <w:rsid w:val="00C6185D"/>
    <w:rsid w:val="00C61D16"/>
    <w:rsid w:val="00C634EA"/>
    <w:rsid w:val="00C653AC"/>
    <w:rsid w:val="00C7616C"/>
    <w:rsid w:val="00C867D7"/>
    <w:rsid w:val="00C91FB2"/>
    <w:rsid w:val="00C93443"/>
    <w:rsid w:val="00C94E35"/>
    <w:rsid w:val="00C96C77"/>
    <w:rsid w:val="00C97575"/>
    <w:rsid w:val="00CA026B"/>
    <w:rsid w:val="00CA0995"/>
    <w:rsid w:val="00CA1712"/>
    <w:rsid w:val="00CA3230"/>
    <w:rsid w:val="00CB60B1"/>
    <w:rsid w:val="00CC00CD"/>
    <w:rsid w:val="00CC2112"/>
    <w:rsid w:val="00CC668E"/>
    <w:rsid w:val="00CD078A"/>
    <w:rsid w:val="00CD4DEB"/>
    <w:rsid w:val="00CD4E6A"/>
    <w:rsid w:val="00CE6353"/>
    <w:rsid w:val="00CE753C"/>
    <w:rsid w:val="00D01760"/>
    <w:rsid w:val="00D02290"/>
    <w:rsid w:val="00D04D02"/>
    <w:rsid w:val="00D066C6"/>
    <w:rsid w:val="00D100F1"/>
    <w:rsid w:val="00D11104"/>
    <w:rsid w:val="00D13158"/>
    <w:rsid w:val="00D1355F"/>
    <w:rsid w:val="00D14E4C"/>
    <w:rsid w:val="00D157D5"/>
    <w:rsid w:val="00D16E39"/>
    <w:rsid w:val="00D223B6"/>
    <w:rsid w:val="00D223BF"/>
    <w:rsid w:val="00D2477E"/>
    <w:rsid w:val="00D25858"/>
    <w:rsid w:val="00D26A74"/>
    <w:rsid w:val="00D27347"/>
    <w:rsid w:val="00D31D03"/>
    <w:rsid w:val="00D361BF"/>
    <w:rsid w:val="00D4100E"/>
    <w:rsid w:val="00D45895"/>
    <w:rsid w:val="00D47D94"/>
    <w:rsid w:val="00D500DB"/>
    <w:rsid w:val="00D51F79"/>
    <w:rsid w:val="00D54817"/>
    <w:rsid w:val="00D57FAA"/>
    <w:rsid w:val="00D60327"/>
    <w:rsid w:val="00D66CC3"/>
    <w:rsid w:val="00D6791C"/>
    <w:rsid w:val="00D67A53"/>
    <w:rsid w:val="00D72E9D"/>
    <w:rsid w:val="00D77078"/>
    <w:rsid w:val="00D82CE5"/>
    <w:rsid w:val="00D87DD1"/>
    <w:rsid w:val="00D90FE4"/>
    <w:rsid w:val="00D91951"/>
    <w:rsid w:val="00D94598"/>
    <w:rsid w:val="00D94962"/>
    <w:rsid w:val="00D95B43"/>
    <w:rsid w:val="00DA2E69"/>
    <w:rsid w:val="00DA5AB1"/>
    <w:rsid w:val="00DA5D71"/>
    <w:rsid w:val="00DB04D4"/>
    <w:rsid w:val="00DB6633"/>
    <w:rsid w:val="00DC13B7"/>
    <w:rsid w:val="00DC62E5"/>
    <w:rsid w:val="00DD04F2"/>
    <w:rsid w:val="00DD1C32"/>
    <w:rsid w:val="00DD32C5"/>
    <w:rsid w:val="00DD6ABE"/>
    <w:rsid w:val="00DD735D"/>
    <w:rsid w:val="00DE1F24"/>
    <w:rsid w:val="00DE3119"/>
    <w:rsid w:val="00DE6E0C"/>
    <w:rsid w:val="00DE74A8"/>
    <w:rsid w:val="00DF236B"/>
    <w:rsid w:val="00E04179"/>
    <w:rsid w:val="00E04DE3"/>
    <w:rsid w:val="00E06A99"/>
    <w:rsid w:val="00E06E08"/>
    <w:rsid w:val="00E10A7E"/>
    <w:rsid w:val="00E11C35"/>
    <w:rsid w:val="00E13AB8"/>
    <w:rsid w:val="00E155DE"/>
    <w:rsid w:val="00E22816"/>
    <w:rsid w:val="00E22F43"/>
    <w:rsid w:val="00E230FD"/>
    <w:rsid w:val="00E24E1A"/>
    <w:rsid w:val="00E25CB3"/>
    <w:rsid w:val="00E323A4"/>
    <w:rsid w:val="00E33B62"/>
    <w:rsid w:val="00E3604F"/>
    <w:rsid w:val="00E378A8"/>
    <w:rsid w:val="00E4143A"/>
    <w:rsid w:val="00E41DA5"/>
    <w:rsid w:val="00E4341D"/>
    <w:rsid w:val="00E471D7"/>
    <w:rsid w:val="00E53C0C"/>
    <w:rsid w:val="00E551B1"/>
    <w:rsid w:val="00E56D69"/>
    <w:rsid w:val="00E6039E"/>
    <w:rsid w:val="00E60A8C"/>
    <w:rsid w:val="00E61AEE"/>
    <w:rsid w:val="00E6228D"/>
    <w:rsid w:val="00E62D5F"/>
    <w:rsid w:val="00E635BC"/>
    <w:rsid w:val="00E673D1"/>
    <w:rsid w:val="00E67555"/>
    <w:rsid w:val="00E67FC7"/>
    <w:rsid w:val="00E75225"/>
    <w:rsid w:val="00E8165D"/>
    <w:rsid w:val="00E95221"/>
    <w:rsid w:val="00EA0B3F"/>
    <w:rsid w:val="00EA3A6A"/>
    <w:rsid w:val="00EB49E9"/>
    <w:rsid w:val="00EB7BAF"/>
    <w:rsid w:val="00EC02E9"/>
    <w:rsid w:val="00EC34BA"/>
    <w:rsid w:val="00EC6C6C"/>
    <w:rsid w:val="00ED030F"/>
    <w:rsid w:val="00ED069A"/>
    <w:rsid w:val="00ED137B"/>
    <w:rsid w:val="00EE05B3"/>
    <w:rsid w:val="00EE59B5"/>
    <w:rsid w:val="00EE5DF7"/>
    <w:rsid w:val="00EE6F2B"/>
    <w:rsid w:val="00EF3228"/>
    <w:rsid w:val="00F02DE3"/>
    <w:rsid w:val="00F1003E"/>
    <w:rsid w:val="00F12C0B"/>
    <w:rsid w:val="00F132C2"/>
    <w:rsid w:val="00F13DC5"/>
    <w:rsid w:val="00F1742F"/>
    <w:rsid w:val="00F204F9"/>
    <w:rsid w:val="00F23B21"/>
    <w:rsid w:val="00F23E3A"/>
    <w:rsid w:val="00F27FB1"/>
    <w:rsid w:val="00F31A6E"/>
    <w:rsid w:val="00F3318F"/>
    <w:rsid w:val="00F34399"/>
    <w:rsid w:val="00F358DD"/>
    <w:rsid w:val="00F37829"/>
    <w:rsid w:val="00F378FF"/>
    <w:rsid w:val="00F42770"/>
    <w:rsid w:val="00F431BE"/>
    <w:rsid w:val="00F44920"/>
    <w:rsid w:val="00F45F8B"/>
    <w:rsid w:val="00F50FAB"/>
    <w:rsid w:val="00F5291B"/>
    <w:rsid w:val="00F545CE"/>
    <w:rsid w:val="00F561C2"/>
    <w:rsid w:val="00F562FB"/>
    <w:rsid w:val="00F603CC"/>
    <w:rsid w:val="00F62DFF"/>
    <w:rsid w:val="00F6417E"/>
    <w:rsid w:val="00F673F5"/>
    <w:rsid w:val="00F71603"/>
    <w:rsid w:val="00F72043"/>
    <w:rsid w:val="00F84899"/>
    <w:rsid w:val="00F84D74"/>
    <w:rsid w:val="00F859F0"/>
    <w:rsid w:val="00F8669E"/>
    <w:rsid w:val="00F87AEE"/>
    <w:rsid w:val="00F902D7"/>
    <w:rsid w:val="00F909ED"/>
    <w:rsid w:val="00F93217"/>
    <w:rsid w:val="00F935FB"/>
    <w:rsid w:val="00F95890"/>
    <w:rsid w:val="00F97ECF"/>
    <w:rsid w:val="00FA039C"/>
    <w:rsid w:val="00FA071D"/>
    <w:rsid w:val="00FA12FD"/>
    <w:rsid w:val="00FA19FB"/>
    <w:rsid w:val="00FA20E6"/>
    <w:rsid w:val="00FA2863"/>
    <w:rsid w:val="00FB1417"/>
    <w:rsid w:val="00FB6A61"/>
    <w:rsid w:val="00FC1D2E"/>
    <w:rsid w:val="00FC3C98"/>
    <w:rsid w:val="00FC53F2"/>
    <w:rsid w:val="00FD1B9A"/>
    <w:rsid w:val="00FD29A3"/>
    <w:rsid w:val="00FD385C"/>
    <w:rsid w:val="00FD61AC"/>
    <w:rsid w:val="00FD630C"/>
    <w:rsid w:val="00FD71E5"/>
    <w:rsid w:val="00FE01B6"/>
    <w:rsid w:val="00FE141E"/>
    <w:rsid w:val="00FE3BCC"/>
    <w:rsid w:val="00FE42ED"/>
    <w:rsid w:val="00FE455B"/>
    <w:rsid w:val="00FE6D4C"/>
    <w:rsid w:val="00FE7555"/>
    <w:rsid w:val="00FF0706"/>
    <w:rsid w:val="00FF208F"/>
    <w:rsid w:val="00FF2F4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4FF"/>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F72043"/>
  </w:style>
  <w:style w:type="character" w:customStyle="1" w:styleId="iaj">
    <w:name w:val="i_aj"/>
    <w:basedOn w:val="Fuentedeprrafopredeter"/>
    <w:rsid w:val="00F72043"/>
  </w:style>
  <w:style w:type="character" w:styleId="Textoennegrita">
    <w:name w:val="Strong"/>
    <w:basedOn w:val="Fuentedeprrafopredeter"/>
    <w:uiPriority w:val="22"/>
    <w:qFormat/>
    <w:rsid w:val="00520695"/>
    <w:rPr>
      <w:b/>
      <w:bCs/>
    </w:rPr>
  </w:style>
  <w:style w:type="character" w:customStyle="1" w:styleId="Mencinsinresolver1">
    <w:name w:val="Mención sin resolver1"/>
    <w:basedOn w:val="Fuentedeprrafopredeter"/>
    <w:uiPriority w:val="99"/>
    <w:semiHidden/>
    <w:unhideWhenUsed/>
    <w:rsid w:val="00D2477E"/>
    <w:rPr>
      <w:color w:val="605E5C"/>
      <w:shd w:val="clear" w:color="auto" w:fill="E1DFDD"/>
    </w:rPr>
  </w:style>
  <w:style w:type="paragraph" w:customStyle="1" w:styleId="Default">
    <w:name w:val="Default"/>
    <w:rsid w:val="00EE05B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67305">
      <w:bodyDiv w:val="1"/>
      <w:marLeft w:val="0"/>
      <w:marRight w:val="0"/>
      <w:marTop w:val="0"/>
      <w:marBottom w:val="0"/>
      <w:divBdr>
        <w:top w:val="none" w:sz="0" w:space="0" w:color="auto"/>
        <w:left w:val="none" w:sz="0" w:space="0" w:color="auto"/>
        <w:bottom w:val="none" w:sz="0" w:space="0" w:color="auto"/>
        <w:right w:val="none" w:sz="0" w:space="0" w:color="auto"/>
      </w:divBdr>
    </w:div>
    <w:div w:id="1612590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574819">
      <w:bodyDiv w:val="1"/>
      <w:marLeft w:val="0"/>
      <w:marRight w:val="0"/>
      <w:marTop w:val="0"/>
      <w:marBottom w:val="0"/>
      <w:divBdr>
        <w:top w:val="none" w:sz="0" w:space="0" w:color="auto"/>
        <w:left w:val="none" w:sz="0" w:space="0" w:color="auto"/>
        <w:bottom w:val="none" w:sz="0" w:space="0" w:color="auto"/>
        <w:right w:val="none" w:sz="0" w:space="0" w:color="auto"/>
      </w:divBdr>
    </w:div>
    <w:div w:id="468400294">
      <w:bodyDiv w:val="1"/>
      <w:marLeft w:val="0"/>
      <w:marRight w:val="0"/>
      <w:marTop w:val="0"/>
      <w:marBottom w:val="0"/>
      <w:divBdr>
        <w:top w:val="none" w:sz="0" w:space="0" w:color="auto"/>
        <w:left w:val="none" w:sz="0" w:space="0" w:color="auto"/>
        <w:bottom w:val="none" w:sz="0" w:space="0" w:color="auto"/>
        <w:right w:val="none" w:sz="0" w:space="0" w:color="auto"/>
      </w:divBdr>
    </w:div>
    <w:div w:id="545340714">
      <w:bodyDiv w:val="1"/>
      <w:marLeft w:val="0"/>
      <w:marRight w:val="0"/>
      <w:marTop w:val="0"/>
      <w:marBottom w:val="0"/>
      <w:divBdr>
        <w:top w:val="none" w:sz="0" w:space="0" w:color="auto"/>
        <w:left w:val="none" w:sz="0" w:space="0" w:color="auto"/>
        <w:bottom w:val="none" w:sz="0" w:space="0" w:color="auto"/>
        <w:right w:val="none" w:sz="0" w:space="0" w:color="auto"/>
      </w:divBdr>
    </w:div>
    <w:div w:id="583757767">
      <w:bodyDiv w:val="1"/>
      <w:marLeft w:val="0"/>
      <w:marRight w:val="0"/>
      <w:marTop w:val="0"/>
      <w:marBottom w:val="0"/>
      <w:divBdr>
        <w:top w:val="none" w:sz="0" w:space="0" w:color="auto"/>
        <w:left w:val="none" w:sz="0" w:space="0" w:color="auto"/>
        <w:bottom w:val="none" w:sz="0" w:space="0" w:color="auto"/>
        <w:right w:val="none" w:sz="0" w:space="0" w:color="auto"/>
      </w:divBdr>
    </w:div>
    <w:div w:id="679626875">
      <w:bodyDiv w:val="1"/>
      <w:marLeft w:val="0"/>
      <w:marRight w:val="0"/>
      <w:marTop w:val="0"/>
      <w:marBottom w:val="0"/>
      <w:divBdr>
        <w:top w:val="none" w:sz="0" w:space="0" w:color="auto"/>
        <w:left w:val="none" w:sz="0" w:space="0" w:color="auto"/>
        <w:bottom w:val="none" w:sz="0" w:space="0" w:color="auto"/>
        <w:right w:val="none" w:sz="0" w:space="0" w:color="auto"/>
      </w:divBdr>
    </w:div>
    <w:div w:id="747921652">
      <w:bodyDiv w:val="1"/>
      <w:marLeft w:val="0"/>
      <w:marRight w:val="0"/>
      <w:marTop w:val="0"/>
      <w:marBottom w:val="0"/>
      <w:divBdr>
        <w:top w:val="none" w:sz="0" w:space="0" w:color="auto"/>
        <w:left w:val="none" w:sz="0" w:space="0" w:color="auto"/>
        <w:bottom w:val="none" w:sz="0" w:space="0" w:color="auto"/>
        <w:right w:val="none" w:sz="0" w:space="0" w:color="auto"/>
      </w:divBdr>
    </w:div>
    <w:div w:id="923994922">
      <w:bodyDiv w:val="1"/>
      <w:marLeft w:val="0"/>
      <w:marRight w:val="0"/>
      <w:marTop w:val="0"/>
      <w:marBottom w:val="0"/>
      <w:divBdr>
        <w:top w:val="none" w:sz="0" w:space="0" w:color="auto"/>
        <w:left w:val="none" w:sz="0" w:space="0" w:color="auto"/>
        <w:bottom w:val="none" w:sz="0" w:space="0" w:color="auto"/>
        <w:right w:val="none" w:sz="0" w:space="0" w:color="auto"/>
      </w:divBdr>
    </w:div>
    <w:div w:id="978270207">
      <w:bodyDiv w:val="1"/>
      <w:marLeft w:val="0"/>
      <w:marRight w:val="0"/>
      <w:marTop w:val="0"/>
      <w:marBottom w:val="0"/>
      <w:divBdr>
        <w:top w:val="none" w:sz="0" w:space="0" w:color="auto"/>
        <w:left w:val="none" w:sz="0" w:space="0" w:color="auto"/>
        <w:bottom w:val="none" w:sz="0" w:space="0" w:color="auto"/>
        <w:right w:val="none" w:sz="0" w:space="0" w:color="auto"/>
      </w:divBdr>
    </w:div>
    <w:div w:id="989939260">
      <w:bodyDiv w:val="1"/>
      <w:marLeft w:val="0"/>
      <w:marRight w:val="0"/>
      <w:marTop w:val="0"/>
      <w:marBottom w:val="0"/>
      <w:divBdr>
        <w:top w:val="none" w:sz="0" w:space="0" w:color="auto"/>
        <w:left w:val="none" w:sz="0" w:space="0" w:color="auto"/>
        <w:bottom w:val="none" w:sz="0" w:space="0" w:color="auto"/>
        <w:right w:val="none" w:sz="0" w:space="0" w:color="auto"/>
      </w:divBdr>
    </w:div>
    <w:div w:id="997659016">
      <w:bodyDiv w:val="1"/>
      <w:marLeft w:val="0"/>
      <w:marRight w:val="0"/>
      <w:marTop w:val="0"/>
      <w:marBottom w:val="0"/>
      <w:divBdr>
        <w:top w:val="none" w:sz="0" w:space="0" w:color="auto"/>
        <w:left w:val="none" w:sz="0" w:space="0" w:color="auto"/>
        <w:bottom w:val="none" w:sz="0" w:space="0" w:color="auto"/>
        <w:right w:val="none" w:sz="0" w:space="0" w:color="auto"/>
      </w:divBdr>
    </w:div>
    <w:div w:id="998772356">
      <w:bodyDiv w:val="1"/>
      <w:marLeft w:val="0"/>
      <w:marRight w:val="0"/>
      <w:marTop w:val="0"/>
      <w:marBottom w:val="0"/>
      <w:divBdr>
        <w:top w:val="none" w:sz="0" w:space="0" w:color="auto"/>
        <w:left w:val="none" w:sz="0" w:space="0" w:color="auto"/>
        <w:bottom w:val="none" w:sz="0" w:space="0" w:color="auto"/>
        <w:right w:val="none" w:sz="0" w:space="0" w:color="auto"/>
      </w:divBdr>
    </w:div>
    <w:div w:id="1020161247">
      <w:bodyDiv w:val="1"/>
      <w:marLeft w:val="0"/>
      <w:marRight w:val="0"/>
      <w:marTop w:val="0"/>
      <w:marBottom w:val="0"/>
      <w:divBdr>
        <w:top w:val="none" w:sz="0" w:space="0" w:color="auto"/>
        <w:left w:val="none" w:sz="0" w:space="0" w:color="auto"/>
        <w:bottom w:val="none" w:sz="0" w:space="0" w:color="auto"/>
        <w:right w:val="none" w:sz="0" w:space="0" w:color="auto"/>
      </w:divBdr>
    </w:div>
    <w:div w:id="1035543022">
      <w:bodyDiv w:val="1"/>
      <w:marLeft w:val="0"/>
      <w:marRight w:val="0"/>
      <w:marTop w:val="0"/>
      <w:marBottom w:val="0"/>
      <w:divBdr>
        <w:top w:val="none" w:sz="0" w:space="0" w:color="auto"/>
        <w:left w:val="none" w:sz="0" w:space="0" w:color="auto"/>
        <w:bottom w:val="none" w:sz="0" w:space="0" w:color="auto"/>
        <w:right w:val="none" w:sz="0" w:space="0" w:color="auto"/>
      </w:divBdr>
    </w:div>
    <w:div w:id="1055738692">
      <w:bodyDiv w:val="1"/>
      <w:marLeft w:val="0"/>
      <w:marRight w:val="0"/>
      <w:marTop w:val="0"/>
      <w:marBottom w:val="0"/>
      <w:divBdr>
        <w:top w:val="none" w:sz="0" w:space="0" w:color="auto"/>
        <w:left w:val="none" w:sz="0" w:space="0" w:color="auto"/>
        <w:bottom w:val="none" w:sz="0" w:space="0" w:color="auto"/>
        <w:right w:val="none" w:sz="0" w:space="0" w:color="auto"/>
      </w:divBdr>
    </w:div>
    <w:div w:id="1061101952">
      <w:bodyDiv w:val="1"/>
      <w:marLeft w:val="0"/>
      <w:marRight w:val="0"/>
      <w:marTop w:val="0"/>
      <w:marBottom w:val="0"/>
      <w:divBdr>
        <w:top w:val="none" w:sz="0" w:space="0" w:color="auto"/>
        <w:left w:val="none" w:sz="0" w:space="0" w:color="auto"/>
        <w:bottom w:val="none" w:sz="0" w:space="0" w:color="auto"/>
        <w:right w:val="none" w:sz="0" w:space="0" w:color="auto"/>
      </w:divBdr>
    </w:div>
    <w:div w:id="1105617107">
      <w:bodyDiv w:val="1"/>
      <w:marLeft w:val="0"/>
      <w:marRight w:val="0"/>
      <w:marTop w:val="0"/>
      <w:marBottom w:val="0"/>
      <w:divBdr>
        <w:top w:val="none" w:sz="0" w:space="0" w:color="auto"/>
        <w:left w:val="none" w:sz="0" w:space="0" w:color="auto"/>
        <w:bottom w:val="none" w:sz="0" w:space="0" w:color="auto"/>
        <w:right w:val="none" w:sz="0" w:space="0" w:color="auto"/>
      </w:divBdr>
    </w:div>
    <w:div w:id="1147211291">
      <w:bodyDiv w:val="1"/>
      <w:marLeft w:val="0"/>
      <w:marRight w:val="0"/>
      <w:marTop w:val="0"/>
      <w:marBottom w:val="0"/>
      <w:divBdr>
        <w:top w:val="none" w:sz="0" w:space="0" w:color="auto"/>
        <w:left w:val="none" w:sz="0" w:space="0" w:color="auto"/>
        <w:bottom w:val="none" w:sz="0" w:space="0" w:color="auto"/>
        <w:right w:val="none" w:sz="0" w:space="0" w:color="auto"/>
      </w:divBdr>
    </w:div>
    <w:div w:id="1197161703">
      <w:bodyDiv w:val="1"/>
      <w:marLeft w:val="0"/>
      <w:marRight w:val="0"/>
      <w:marTop w:val="0"/>
      <w:marBottom w:val="0"/>
      <w:divBdr>
        <w:top w:val="none" w:sz="0" w:space="0" w:color="auto"/>
        <w:left w:val="none" w:sz="0" w:space="0" w:color="auto"/>
        <w:bottom w:val="none" w:sz="0" w:space="0" w:color="auto"/>
        <w:right w:val="none" w:sz="0" w:space="0" w:color="auto"/>
      </w:divBdr>
    </w:div>
    <w:div w:id="1243099713">
      <w:bodyDiv w:val="1"/>
      <w:marLeft w:val="0"/>
      <w:marRight w:val="0"/>
      <w:marTop w:val="0"/>
      <w:marBottom w:val="0"/>
      <w:divBdr>
        <w:top w:val="none" w:sz="0" w:space="0" w:color="auto"/>
        <w:left w:val="none" w:sz="0" w:space="0" w:color="auto"/>
        <w:bottom w:val="none" w:sz="0" w:space="0" w:color="auto"/>
        <w:right w:val="none" w:sz="0" w:space="0" w:color="auto"/>
      </w:divBdr>
    </w:div>
    <w:div w:id="1278954366">
      <w:bodyDiv w:val="1"/>
      <w:marLeft w:val="0"/>
      <w:marRight w:val="0"/>
      <w:marTop w:val="0"/>
      <w:marBottom w:val="0"/>
      <w:divBdr>
        <w:top w:val="none" w:sz="0" w:space="0" w:color="auto"/>
        <w:left w:val="none" w:sz="0" w:space="0" w:color="auto"/>
        <w:bottom w:val="none" w:sz="0" w:space="0" w:color="auto"/>
        <w:right w:val="none" w:sz="0" w:space="0" w:color="auto"/>
      </w:divBdr>
    </w:div>
    <w:div w:id="127987811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5523885">
      <w:bodyDiv w:val="1"/>
      <w:marLeft w:val="0"/>
      <w:marRight w:val="0"/>
      <w:marTop w:val="0"/>
      <w:marBottom w:val="0"/>
      <w:divBdr>
        <w:top w:val="none" w:sz="0" w:space="0" w:color="auto"/>
        <w:left w:val="none" w:sz="0" w:space="0" w:color="auto"/>
        <w:bottom w:val="none" w:sz="0" w:space="0" w:color="auto"/>
        <w:right w:val="none" w:sz="0" w:space="0" w:color="auto"/>
      </w:divBdr>
    </w:div>
    <w:div w:id="1316375091">
      <w:bodyDiv w:val="1"/>
      <w:marLeft w:val="0"/>
      <w:marRight w:val="0"/>
      <w:marTop w:val="0"/>
      <w:marBottom w:val="0"/>
      <w:divBdr>
        <w:top w:val="none" w:sz="0" w:space="0" w:color="auto"/>
        <w:left w:val="none" w:sz="0" w:space="0" w:color="auto"/>
        <w:bottom w:val="none" w:sz="0" w:space="0" w:color="auto"/>
        <w:right w:val="none" w:sz="0" w:space="0" w:color="auto"/>
      </w:divBdr>
    </w:div>
    <w:div w:id="1354067438">
      <w:bodyDiv w:val="1"/>
      <w:marLeft w:val="0"/>
      <w:marRight w:val="0"/>
      <w:marTop w:val="0"/>
      <w:marBottom w:val="0"/>
      <w:divBdr>
        <w:top w:val="none" w:sz="0" w:space="0" w:color="auto"/>
        <w:left w:val="none" w:sz="0" w:space="0" w:color="auto"/>
        <w:bottom w:val="none" w:sz="0" w:space="0" w:color="auto"/>
        <w:right w:val="none" w:sz="0" w:space="0" w:color="auto"/>
      </w:divBdr>
    </w:div>
    <w:div w:id="1366255358">
      <w:bodyDiv w:val="1"/>
      <w:marLeft w:val="0"/>
      <w:marRight w:val="0"/>
      <w:marTop w:val="0"/>
      <w:marBottom w:val="0"/>
      <w:divBdr>
        <w:top w:val="none" w:sz="0" w:space="0" w:color="auto"/>
        <w:left w:val="none" w:sz="0" w:space="0" w:color="auto"/>
        <w:bottom w:val="none" w:sz="0" w:space="0" w:color="auto"/>
        <w:right w:val="none" w:sz="0" w:space="0" w:color="auto"/>
      </w:divBdr>
    </w:div>
    <w:div w:id="1436172197">
      <w:bodyDiv w:val="1"/>
      <w:marLeft w:val="0"/>
      <w:marRight w:val="0"/>
      <w:marTop w:val="0"/>
      <w:marBottom w:val="0"/>
      <w:divBdr>
        <w:top w:val="none" w:sz="0" w:space="0" w:color="auto"/>
        <w:left w:val="none" w:sz="0" w:space="0" w:color="auto"/>
        <w:bottom w:val="none" w:sz="0" w:space="0" w:color="auto"/>
        <w:right w:val="none" w:sz="0" w:space="0" w:color="auto"/>
      </w:divBdr>
    </w:div>
    <w:div w:id="1579558423">
      <w:bodyDiv w:val="1"/>
      <w:marLeft w:val="0"/>
      <w:marRight w:val="0"/>
      <w:marTop w:val="0"/>
      <w:marBottom w:val="0"/>
      <w:divBdr>
        <w:top w:val="none" w:sz="0" w:space="0" w:color="auto"/>
        <w:left w:val="none" w:sz="0" w:space="0" w:color="auto"/>
        <w:bottom w:val="none" w:sz="0" w:space="0" w:color="auto"/>
        <w:right w:val="none" w:sz="0" w:space="0" w:color="auto"/>
      </w:divBdr>
      <w:divsChild>
        <w:div w:id="572862499">
          <w:marLeft w:val="0"/>
          <w:marRight w:val="0"/>
          <w:marTop w:val="0"/>
          <w:marBottom w:val="0"/>
          <w:divBdr>
            <w:top w:val="none" w:sz="0" w:space="0" w:color="auto"/>
            <w:left w:val="none" w:sz="0" w:space="0" w:color="auto"/>
            <w:bottom w:val="none" w:sz="0" w:space="0" w:color="auto"/>
            <w:right w:val="none" w:sz="0" w:space="0" w:color="auto"/>
          </w:divBdr>
          <w:divsChild>
            <w:div w:id="1794787117">
              <w:marLeft w:val="0"/>
              <w:marRight w:val="0"/>
              <w:marTop w:val="0"/>
              <w:marBottom w:val="0"/>
              <w:divBdr>
                <w:top w:val="none" w:sz="0" w:space="0" w:color="auto"/>
                <w:left w:val="none" w:sz="0" w:space="0" w:color="auto"/>
                <w:bottom w:val="none" w:sz="0" w:space="0" w:color="auto"/>
                <w:right w:val="none" w:sz="0" w:space="0" w:color="auto"/>
              </w:divBdr>
              <w:divsChild>
                <w:div w:id="1637564900">
                  <w:marLeft w:val="0"/>
                  <w:marRight w:val="0"/>
                  <w:marTop w:val="0"/>
                  <w:marBottom w:val="0"/>
                  <w:divBdr>
                    <w:top w:val="none" w:sz="0" w:space="0" w:color="auto"/>
                    <w:left w:val="none" w:sz="0" w:space="0" w:color="auto"/>
                    <w:bottom w:val="none" w:sz="0" w:space="0" w:color="auto"/>
                    <w:right w:val="none" w:sz="0" w:space="0" w:color="auto"/>
                  </w:divBdr>
                  <w:divsChild>
                    <w:div w:id="130280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742692">
          <w:marLeft w:val="0"/>
          <w:marRight w:val="0"/>
          <w:marTop w:val="0"/>
          <w:marBottom w:val="0"/>
          <w:divBdr>
            <w:top w:val="none" w:sz="0" w:space="0" w:color="auto"/>
            <w:left w:val="none" w:sz="0" w:space="0" w:color="auto"/>
            <w:bottom w:val="none" w:sz="0" w:space="0" w:color="auto"/>
            <w:right w:val="none" w:sz="0" w:space="0" w:color="auto"/>
          </w:divBdr>
          <w:divsChild>
            <w:div w:id="1080181110">
              <w:marLeft w:val="0"/>
              <w:marRight w:val="0"/>
              <w:marTop w:val="0"/>
              <w:marBottom w:val="0"/>
              <w:divBdr>
                <w:top w:val="none" w:sz="0" w:space="0" w:color="auto"/>
                <w:left w:val="none" w:sz="0" w:space="0" w:color="auto"/>
                <w:bottom w:val="none" w:sz="0" w:space="0" w:color="auto"/>
                <w:right w:val="none" w:sz="0" w:space="0" w:color="auto"/>
              </w:divBdr>
              <w:divsChild>
                <w:div w:id="99210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80025">
          <w:marLeft w:val="0"/>
          <w:marRight w:val="0"/>
          <w:marTop w:val="0"/>
          <w:marBottom w:val="0"/>
          <w:divBdr>
            <w:top w:val="none" w:sz="0" w:space="0" w:color="auto"/>
            <w:left w:val="none" w:sz="0" w:space="0" w:color="auto"/>
            <w:bottom w:val="none" w:sz="0" w:space="0" w:color="auto"/>
            <w:right w:val="none" w:sz="0" w:space="0" w:color="auto"/>
          </w:divBdr>
          <w:divsChild>
            <w:div w:id="1404109763">
              <w:marLeft w:val="0"/>
              <w:marRight w:val="0"/>
              <w:marTop w:val="0"/>
              <w:marBottom w:val="0"/>
              <w:divBdr>
                <w:top w:val="none" w:sz="0" w:space="0" w:color="auto"/>
                <w:left w:val="none" w:sz="0" w:space="0" w:color="auto"/>
                <w:bottom w:val="none" w:sz="0" w:space="0" w:color="auto"/>
                <w:right w:val="none" w:sz="0" w:space="0" w:color="auto"/>
              </w:divBdr>
              <w:divsChild>
                <w:div w:id="58006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51963">
      <w:bodyDiv w:val="1"/>
      <w:marLeft w:val="0"/>
      <w:marRight w:val="0"/>
      <w:marTop w:val="0"/>
      <w:marBottom w:val="0"/>
      <w:divBdr>
        <w:top w:val="none" w:sz="0" w:space="0" w:color="auto"/>
        <w:left w:val="none" w:sz="0" w:space="0" w:color="auto"/>
        <w:bottom w:val="none" w:sz="0" w:space="0" w:color="auto"/>
        <w:right w:val="none" w:sz="0" w:space="0" w:color="auto"/>
      </w:divBdr>
    </w:div>
    <w:div w:id="1600942237">
      <w:bodyDiv w:val="1"/>
      <w:marLeft w:val="0"/>
      <w:marRight w:val="0"/>
      <w:marTop w:val="0"/>
      <w:marBottom w:val="0"/>
      <w:divBdr>
        <w:top w:val="none" w:sz="0" w:space="0" w:color="auto"/>
        <w:left w:val="none" w:sz="0" w:space="0" w:color="auto"/>
        <w:bottom w:val="none" w:sz="0" w:space="0" w:color="auto"/>
        <w:right w:val="none" w:sz="0" w:space="0" w:color="auto"/>
      </w:divBdr>
    </w:div>
    <w:div w:id="1626959793">
      <w:bodyDiv w:val="1"/>
      <w:marLeft w:val="0"/>
      <w:marRight w:val="0"/>
      <w:marTop w:val="0"/>
      <w:marBottom w:val="0"/>
      <w:divBdr>
        <w:top w:val="none" w:sz="0" w:space="0" w:color="auto"/>
        <w:left w:val="none" w:sz="0" w:space="0" w:color="auto"/>
        <w:bottom w:val="none" w:sz="0" w:space="0" w:color="auto"/>
        <w:right w:val="none" w:sz="0" w:space="0" w:color="auto"/>
      </w:divBdr>
    </w:div>
    <w:div w:id="1627001688">
      <w:bodyDiv w:val="1"/>
      <w:marLeft w:val="0"/>
      <w:marRight w:val="0"/>
      <w:marTop w:val="0"/>
      <w:marBottom w:val="0"/>
      <w:divBdr>
        <w:top w:val="none" w:sz="0" w:space="0" w:color="auto"/>
        <w:left w:val="none" w:sz="0" w:space="0" w:color="auto"/>
        <w:bottom w:val="none" w:sz="0" w:space="0" w:color="auto"/>
        <w:right w:val="none" w:sz="0" w:space="0" w:color="auto"/>
      </w:divBdr>
    </w:div>
    <w:div w:id="1666854029">
      <w:bodyDiv w:val="1"/>
      <w:marLeft w:val="0"/>
      <w:marRight w:val="0"/>
      <w:marTop w:val="0"/>
      <w:marBottom w:val="0"/>
      <w:divBdr>
        <w:top w:val="none" w:sz="0" w:space="0" w:color="auto"/>
        <w:left w:val="none" w:sz="0" w:space="0" w:color="auto"/>
        <w:bottom w:val="none" w:sz="0" w:space="0" w:color="auto"/>
        <w:right w:val="none" w:sz="0" w:space="0" w:color="auto"/>
      </w:divBdr>
    </w:div>
    <w:div w:id="1713653390">
      <w:bodyDiv w:val="1"/>
      <w:marLeft w:val="0"/>
      <w:marRight w:val="0"/>
      <w:marTop w:val="0"/>
      <w:marBottom w:val="0"/>
      <w:divBdr>
        <w:top w:val="none" w:sz="0" w:space="0" w:color="auto"/>
        <w:left w:val="none" w:sz="0" w:space="0" w:color="auto"/>
        <w:bottom w:val="none" w:sz="0" w:space="0" w:color="auto"/>
        <w:right w:val="none" w:sz="0" w:space="0" w:color="auto"/>
      </w:divBdr>
    </w:div>
    <w:div w:id="1811248804">
      <w:bodyDiv w:val="1"/>
      <w:marLeft w:val="0"/>
      <w:marRight w:val="0"/>
      <w:marTop w:val="0"/>
      <w:marBottom w:val="0"/>
      <w:divBdr>
        <w:top w:val="none" w:sz="0" w:space="0" w:color="auto"/>
        <w:left w:val="none" w:sz="0" w:space="0" w:color="auto"/>
        <w:bottom w:val="none" w:sz="0" w:space="0" w:color="auto"/>
        <w:right w:val="none" w:sz="0" w:space="0" w:color="auto"/>
      </w:divBdr>
    </w:div>
    <w:div w:id="1835952454">
      <w:bodyDiv w:val="1"/>
      <w:marLeft w:val="0"/>
      <w:marRight w:val="0"/>
      <w:marTop w:val="0"/>
      <w:marBottom w:val="0"/>
      <w:divBdr>
        <w:top w:val="none" w:sz="0" w:space="0" w:color="auto"/>
        <w:left w:val="none" w:sz="0" w:space="0" w:color="auto"/>
        <w:bottom w:val="none" w:sz="0" w:space="0" w:color="auto"/>
        <w:right w:val="none" w:sz="0" w:space="0" w:color="auto"/>
      </w:divBdr>
    </w:div>
    <w:div w:id="1871721342">
      <w:bodyDiv w:val="1"/>
      <w:marLeft w:val="0"/>
      <w:marRight w:val="0"/>
      <w:marTop w:val="0"/>
      <w:marBottom w:val="0"/>
      <w:divBdr>
        <w:top w:val="none" w:sz="0" w:space="0" w:color="auto"/>
        <w:left w:val="none" w:sz="0" w:space="0" w:color="auto"/>
        <w:bottom w:val="none" w:sz="0" w:space="0" w:color="auto"/>
        <w:right w:val="none" w:sz="0" w:space="0" w:color="auto"/>
      </w:divBdr>
    </w:div>
    <w:div w:id="1909457373">
      <w:bodyDiv w:val="1"/>
      <w:marLeft w:val="0"/>
      <w:marRight w:val="0"/>
      <w:marTop w:val="0"/>
      <w:marBottom w:val="0"/>
      <w:divBdr>
        <w:top w:val="none" w:sz="0" w:space="0" w:color="auto"/>
        <w:left w:val="none" w:sz="0" w:space="0" w:color="auto"/>
        <w:bottom w:val="none" w:sz="0" w:space="0" w:color="auto"/>
        <w:right w:val="none" w:sz="0" w:space="0" w:color="auto"/>
      </w:divBdr>
    </w:div>
    <w:div w:id="1924561165">
      <w:bodyDiv w:val="1"/>
      <w:marLeft w:val="0"/>
      <w:marRight w:val="0"/>
      <w:marTop w:val="0"/>
      <w:marBottom w:val="0"/>
      <w:divBdr>
        <w:top w:val="none" w:sz="0" w:space="0" w:color="auto"/>
        <w:left w:val="none" w:sz="0" w:space="0" w:color="auto"/>
        <w:bottom w:val="none" w:sz="0" w:space="0" w:color="auto"/>
        <w:right w:val="none" w:sz="0" w:space="0" w:color="auto"/>
      </w:divBdr>
    </w:div>
    <w:div w:id="1935701884">
      <w:bodyDiv w:val="1"/>
      <w:marLeft w:val="0"/>
      <w:marRight w:val="0"/>
      <w:marTop w:val="0"/>
      <w:marBottom w:val="0"/>
      <w:divBdr>
        <w:top w:val="none" w:sz="0" w:space="0" w:color="auto"/>
        <w:left w:val="none" w:sz="0" w:space="0" w:color="auto"/>
        <w:bottom w:val="none" w:sz="0" w:space="0" w:color="auto"/>
        <w:right w:val="none" w:sz="0" w:space="0" w:color="auto"/>
      </w:divBdr>
    </w:div>
    <w:div w:id="1964656153">
      <w:bodyDiv w:val="1"/>
      <w:marLeft w:val="0"/>
      <w:marRight w:val="0"/>
      <w:marTop w:val="0"/>
      <w:marBottom w:val="0"/>
      <w:divBdr>
        <w:top w:val="none" w:sz="0" w:space="0" w:color="auto"/>
        <w:left w:val="none" w:sz="0" w:space="0" w:color="auto"/>
        <w:bottom w:val="none" w:sz="0" w:space="0" w:color="auto"/>
        <w:right w:val="none" w:sz="0" w:space="0" w:color="auto"/>
      </w:divBdr>
    </w:div>
    <w:div w:id="2098550328">
      <w:bodyDiv w:val="1"/>
      <w:marLeft w:val="0"/>
      <w:marRight w:val="0"/>
      <w:marTop w:val="0"/>
      <w:marBottom w:val="0"/>
      <w:divBdr>
        <w:top w:val="none" w:sz="0" w:space="0" w:color="auto"/>
        <w:left w:val="none" w:sz="0" w:space="0" w:color="auto"/>
        <w:bottom w:val="none" w:sz="0" w:space="0" w:color="auto"/>
        <w:right w:val="none" w:sz="0" w:space="0" w:color="auto"/>
      </w:divBdr>
    </w:div>
    <w:div w:id="2116901590">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E169A-0522-429B-89A6-68B36A32602E}">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55CBD1C0-C482-4C42-AF79-8AC330B85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293373-785F-4685-9FCC-FEAF1A2F5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21</Pages>
  <Words>6199</Words>
  <Characters>35336</Characters>
  <Application>Microsoft Office Word</Application>
  <DocSecurity>0</DocSecurity>
  <Lines>294</Lines>
  <Paragraphs>82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2020-08-06T19:46:00Z</dcterms:created>
  <dcterms:modified xsi:type="dcterms:W3CDTF">2020-08-06T19:46:00Z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