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3AEE8" w14:textId="77777777" w:rsidR="001F024E" w:rsidRPr="00023227" w:rsidRDefault="001F024E" w:rsidP="001F024E">
      <w:pPr>
        <w:spacing w:after="0" w:line="240" w:lineRule="auto"/>
        <w:jc w:val="both"/>
        <w:rPr>
          <w:rFonts w:ascii="Century Gothic" w:eastAsia="Times New Roman" w:hAnsi="Century Gothic" w:cs="Arial"/>
          <w:b/>
          <w:bCs/>
          <w:bdr w:val="none" w:sz="0" w:space="0" w:color="auto" w:frame="1"/>
          <w:lang w:val="es-ES" w:eastAsia="es-ES_tradnl"/>
        </w:rPr>
      </w:pPr>
      <w:r w:rsidRPr="00023227">
        <w:rPr>
          <w:rFonts w:ascii="Century Gothic" w:eastAsia="Times New Roman" w:hAnsi="Century Gothic" w:cs="Arial"/>
          <w:b/>
          <w:bCs/>
          <w:bdr w:val="none" w:sz="0" w:space="0" w:color="auto" w:frame="1"/>
          <w:lang w:val="es-ES" w:eastAsia="es-ES_tradnl"/>
        </w:rPr>
        <w:t xml:space="preserve">CONTRATO DE PRESTACIÓN DE SERVICIOS ― Concepto ― Requisitos y límites para su celebración </w:t>
      </w:r>
    </w:p>
    <w:p w14:paraId="4E69D159" w14:textId="77777777" w:rsidR="001F024E" w:rsidRPr="00023227" w:rsidRDefault="001F024E" w:rsidP="001F024E">
      <w:pPr>
        <w:spacing w:after="0" w:line="240" w:lineRule="auto"/>
        <w:jc w:val="both"/>
        <w:rPr>
          <w:rFonts w:ascii="Century Gothic" w:eastAsia="Times New Roman" w:hAnsi="Century Gothic" w:cs="Arial"/>
          <w:sz w:val="20"/>
          <w:szCs w:val="20"/>
          <w:bdr w:val="none" w:sz="0" w:space="0" w:color="auto" w:frame="1"/>
          <w:lang w:val="es-ES" w:eastAsia="es-ES_tradnl"/>
        </w:rPr>
      </w:pPr>
    </w:p>
    <w:p w14:paraId="4C911FB8" w14:textId="77777777" w:rsidR="001F024E" w:rsidRPr="00023227" w:rsidRDefault="001F024E" w:rsidP="001F024E">
      <w:pPr>
        <w:spacing w:after="0" w:line="240" w:lineRule="auto"/>
        <w:jc w:val="both"/>
        <w:rPr>
          <w:rFonts w:ascii="Century Gothic" w:eastAsia="Calibri" w:hAnsi="Century Gothic" w:cs="Arial"/>
          <w:sz w:val="20"/>
          <w:szCs w:val="20"/>
          <w:lang w:val="es-ES_tradnl" w:eastAsia="es-ES_tradnl"/>
        </w:rPr>
      </w:pPr>
      <w:r w:rsidRPr="00023227">
        <w:rPr>
          <w:rFonts w:ascii="Century Gothic" w:eastAsia="Calibri" w:hAnsi="Century Gothic"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767AAE42" w14:textId="77777777" w:rsidR="001F024E" w:rsidRPr="00023227" w:rsidRDefault="001F024E" w:rsidP="001F024E">
      <w:pPr>
        <w:spacing w:after="0" w:line="240" w:lineRule="auto"/>
        <w:jc w:val="both"/>
        <w:rPr>
          <w:rFonts w:ascii="Century Gothic" w:eastAsia="Calibri" w:hAnsi="Century Gothic" w:cs="Arial"/>
          <w:sz w:val="20"/>
          <w:szCs w:val="20"/>
          <w:lang w:val="es-ES_tradnl" w:eastAsia="es-ES_tradnl"/>
        </w:rPr>
      </w:pPr>
    </w:p>
    <w:p w14:paraId="5B7C00B4" w14:textId="77777777" w:rsidR="001F024E" w:rsidRPr="00023227" w:rsidRDefault="001F024E" w:rsidP="001F024E">
      <w:pPr>
        <w:spacing w:after="0" w:line="240" w:lineRule="auto"/>
        <w:jc w:val="both"/>
        <w:rPr>
          <w:rFonts w:ascii="Century Gothic" w:eastAsia="Calibri" w:hAnsi="Century Gothic" w:cs="Arial"/>
          <w:sz w:val="20"/>
          <w:szCs w:val="20"/>
          <w:lang w:val="es-ES_tradnl" w:eastAsia="es-ES_tradnl"/>
        </w:rPr>
      </w:pPr>
      <w:r w:rsidRPr="00023227">
        <w:rPr>
          <w:rFonts w:ascii="Century Gothic" w:eastAsia="Calibri" w:hAnsi="Century Gothic" w:cs="Arial"/>
          <w:sz w:val="20"/>
          <w:szCs w:val="20"/>
          <w:lang w:val="es-ES_tradnl" w:eastAsia="es-ES_tradnl"/>
        </w:rPr>
        <w:t>[…]</w:t>
      </w:r>
    </w:p>
    <w:p w14:paraId="3F33D46E" w14:textId="77777777" w:rsidR="001F024E" w:rsidRPr="00023227" w:rsidRDefault="001F024E" w:rsidP="001F024E">
      <w:pPr>
        <w:spacing w:after="0" w:line="240" w:lineRule="auto"/>
        <w:jc w:val="both"/>
        <w:rPr>
          <w:rFonts w:ascii="Century Gothic" w:eastAsia="Calibri" w:hAnsi="Century Gothic" w:cs="Arial"/>
          <w:sz w:val="20"/>
          <w:szCs w:val="20"/>
          <w:lang w:val="es-ES_tradnl" w:eastAsia="es-ES_tradnl"/>
        </w:rPr>
      </w:pPr>
    </w:p>
    <w:p w14:paraId="42694E09" w14:textId="77777777" w:rsidR="001F024E" w:rsidRPr="00023227" w:rsidRDefault="001F024E" w:rsidP="001F024E">
      <w:pPr>
        <w:spacing w:after="0" w:line="240" w:lineRule="auto"/>
        <w:jc w:val="both"/>
        <w:rPr>
          <w:rFonts w:ascii="Century Gothic" w:eastAsia="Times New Roman" w:hAnsi="Century Gothic" w:cs="Arial"/>
          <w:b/>
          <w:bCs/>
          <w:sz w:val="20"/>
          <w:szCs w:val="20"/>
          <w:bdr w:val="none" w:sz="0" w:space="0" w:color="auto" w:frame="1"/>
          <w:lang w:val="es-ES" w:eastAsia="es-ES_tradnl"/>
        </w:rPr>
      </w:pPr>
      <w:r w:rsidRPr="00023227">
        <w:rPr>
          <w:rStyle w:val="normaltextrun"/>
          <w:rFonts w:ascii="Century Gothic" w:hAnsi="Century Gothic" w:cs="Arial"/>
          <w:color w:val="000000"/>
          <w:sz w:val="20"/>
          <w:szCs w:val="20"/>
          <w:shd w:val="clear" w:color="auto" w:fill="FFFFFF"/>
          <w:lang w:val="es-ES"/>
        </w:rPr>
        <w:t xml:space="preserve">Sus principales características son: i) </w:t>
      </w:r>
      <w:r w:rsidRPr="00023227">
        <w:rPr>
          <w:rFonts w:ascii="Century Gothic" w:eastAsia="Calibri" w:hAnsi="Century Gothic" w:cs="Arial"/>
          <w:sz w:val="20"/>
          <w:szCs w:val="20"/>
          <w:lang w:val="es-ES_tradnl" w:eastAsia="es-ES_tradnl"/>
        </w:rPr>
        <w:t xml:space="preserve">Solo puede celebrarse para realizar </w:t>
      </w:r>
      <w:r>
        <w:rPr>
          <w:rFonts w:ascii="Century Gothic" w:eastAsia="Calibri" w:hAnsi="Century Gothic" w:cs="Arial"/>
          <w:sz w:val="20"/>
          <w:szCs w:val="20"/>
          <w:lang w:val="es-ES_tradnl" w:eastAsia="es-ES_tradnl"/>
        </w:rPr>
        <w:t>“</w:t>
      </w:r>
      <w:r w:rsidRPr="00023227">
        <w:rPr>
          <w:rFonts w:ascii="Century Gothic" w:eastAsia="Calibri" w:hAnsi="Century Gothic" w:cs="Arial"/>
          <w:sz w:val="20"/>
          <w:szCs w:val="20"/>
          <w:lang w:val="es-ES_tradnl" w:eastAsia="es-ES_tradnl"/>
        </w:rPr>
        <w:t>actividades relacionadas con la administración o funcionamiento de la entidad</w:t>
      </w:r>
      <w:r>
        <w:rPr>
          <w:rFonts w:ascii="Century Gothic" w:eastAsia="Calibri" w:hAnsi="Century Gothic" w:cs="Arial"/>
          <w:sz w:val="20"/>
          <w:szCs w:val="20"/>
          <w:lang w:val="es-ES_tradnl" w:eastAsia="es-ES_tradnl"/>
        </w:rPr>
        <w:t>”</w:t>
      </w:r>
      <w:r w:rsidRPr="00023227">
        <w:rPr>
          <w:rFonts w:ascii="Century Gothic" w:eastAsia="Calibri" w:hAnsi="Century Gothic" w:cs="Arial"/>
          <w:sz w:val="20"/>
          <w:szCs w:val="20"/>
          <w:lang w:val="es-ES_tradnl" w:eastAsia="es-ES_tradnl"/>
        </w:rPr>
        <w:t>, es decir, que hagan parte de su giro ordinario o quehacer cotidiano</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ii</w:t>
      </w:r>
      <w:proofErr w:type="spellEnd"/>
      <w:r w:rsidRPr="00023227">
        <w:rPr>
          <w:rStyle w:val="normaltextrun"/>
          <w:rFonts w:ascii="Century Gothic" w:hAnsi="Century Gothic" w:cs="Arial"/>
          <w:color w:val="000000"/>
          <w:sz w:val="20"/>
          <w:szCs w:val="20"/>
          <w:shd w:val="clear" w:color="auto" w:fill="FFFFFF"/>
          <w:lang w:val="es-ES"/>
        </w:rPr>
        <w:t xml:space="preserve">) </w:t>
      </w:r>
      <w:r w:rsidRPr="00023227">
        <w:rPr>
          <w:rFonts w:ascii="Century Gothic" w:eastAsia="Calibri" w:hAnsi="Century Gothic" w:cs="Arial"/>
          <w:sz w:val="20"/>
          <w:szCs w:val="20"/>
          <w:lang w:val="es-ES_tradnl" w:eastAsia="es-ES_tradnl"/>
        </w:rPr>
        <w:t>admite que se suscriba tanto con personas naturales como con personas jurídicas […]</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iii</w:t>
      </w:r>
      <w:proofErr w:type="spellEnd"/>
      <w:r w:rsidRPr="00023227">
        <w:rPr>
          <w:rStyle w:val="normaltextrun"/>
          <w:rFonts w:ascii="Century Gothic" w:hAnsi="Century Gothic" w:cs="Arial"/>
          <w:color w:val="000000"/>
          <w:sz w:val="20"/>
          <w:szCs w:val="20"/>
          <w:shd w:val="clear" w:color="auto" w:fill="FFFFFF"/>
          <w:lang w:val="es-ES"/>
        </w:rPr>
        <w:t xml:space="preserve">) </w:t>
      </w:r>
      <w:r w:rsidRPr="00023227">
        <w:rPr>
          <w:rFonts w:ascii="Century Gothic" w:eastAsia="Calibri" w:hAnsi="Century Gothic"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023227">
        <w:rPr>
          <w:rFonts w:ascii="Century Gothic" w:eastAsia="Calibri" w:hAnsi="Century Gothic" w:cs="Arial"/>
          <w:i/>
          <w:sz w:val="20"/>
          <w:szCs w:val="20"/>
          <w:lang w:val="es-ES_tradnl" w:eastAsia="es-ES_tradnl"/>
        </w:rPr>
        <w:t>subordinación y dependencia</w:t>
      </w:r>
      <w:r w:rsidRPr="00023227">
        <w:rPr>
          <w:rFonts w:ascii="Century Gothic" w:eastAsia="Calibri" w:hAnsi="Century Gothic" w:cs="Arial"/>
          <w:iCs/>
          <w:sz w:val="20"/>
          <w:szCs w:val="20"/>
          <w:lang w:val="es-ES_tradnl" w:eastAsia="es-ES_tradnl"/>
        </w:rPr>
        <w:t>,</w:t>
      </w:r>
      <w:r w:rsidRPr="00023227">
        <w:rPr>
          <w:rFonts w:ascii="Century Gothic" w:eastAsia="Calibri" w:hAnsi="Century Gothic" w:cs="Arial"/>
          <w:sz w:val="20"/>
          <w:szCs w:val="20"/>
          <w:lang w:val="es-ES_tradnl" w:eastAsia="es-ES_tradnl"/>
        </w:rPr>
        <w:t xml:space="preserve"> que es uno de los elementos constitutivos del vínculo laboral […]</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iv</w:t>
      </w:r>
      <w:proofErr w:type="spellEnd"/>
      <w:r w:rsidRPr="00023227">
        <w:rPr>
          <w:rStyle w:val="normaltextrun"/>
          <w:rFonts w:ascii="Century Gothic" w:hAnsi="Century Gothic" w:cs="Arial"/>
          <w:color w:val="000000"/>
          <w:sz w:val="20"/>
          <w:szCs w:val="20"/>
          <w:shd w:val="clear" w:color="auto" w:fill="FFFFFF"/>
          <w:lang w:val="es-ES"/>
        </w:rPr>
        <w:t xml:space="preserve">) debe ser temporal […]; v) </w:t>
      </w:r>
      <w:r w:rsidRPr="00023227">
        <w:rPr>
          <w:rFonts w:ascii="Century Gothic" w:eastAsia="Calibri" w:hAnsi="Century Gothic" w:cs="Arial"/>
          <w:sz w:val="20"/>
          <w:szCs w:val="20"/>
          <w:lang w:val="es-ES_tradnl" w:eastAsia="es-ES_tradnl"/>
        </w:rPr>
        <w:t xml:space="preserve">los contratos de prestación de servicios constituyen un </w:t>
      </w:r>
      <w:r w:rsidRPr="00023227">
        <w:rPr>
          <w:rFonts w:ascii="Century Gothic" w:eastAsia="Calibri" w:hAnsi="Century Gothic" w:cs="Arial"/>
          <w:i/>
          <w:iCs/>
          <w:sz w:val="20"/>
          <w:szCs w:val="20"/>
          <w:lang w:val="es-ES_tradnl" w:eastAsia="es-ES_tradnl"/>
        </w:rPr>
        <w:t>género</w:t>
      </w:r>
      <w:r w:rsidRPr="00023227">
        <w:rPr>
          <w:rFonts w:ascii="Century Gothic" w:eastAsia="Calibri" w:hAnsi="Century Gothic" w:cs="Arial"/>
          <w:sz w:val="20"/>
          <w:szCs w:val="20"/>
          <w:lang w:val="es-ES_tradnl" w:eastAsia="es-ES_tradnl"/>
        </w:rPr>
        <w:t xml:space="preserve"> que incluye, como </w:t>
      </w:r>
      <w:r w:rsidRPr="00023227">
        <w:rPr>
          <w:rFonts w:ascii="Century Gothic" w:eastAsia="Calibri" w:hAnsi="Century Gothic" w:cs="Arial"/>
          <w:i/>
          <w:iCs/>
          <w:sz w:val="20"/>
          <w:szCs w:val="20"/>
          <w:lang w:val="es-ES_tradnl" w:eastAsia="es-ES_tradnl"/>
        </w:rPr>
        <w:t>especies</w:t>
      </w:r>
      <w:r w:rsidRPr="00023227">
        <w:rPr>
          <w:rFonts w:ascii="Century Gothic" w:eastAsia="Calibri" w:hAnsi="Century Gothic"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023227">
        <w:rPr>
          <w:rStyle w:val="normaltextrun"/>
          <w:rFonts w:ascii="Century Gothic" w:hAnsi="Century Gothic" w:cs="Arial"/>
          <w:color w:val="000000"/>
          <w:sz w:val="20"/>
          <w:szCs w:val="20"/>
          <w:shd w:val="clear" w:color="auto" w:fill="FFFFFF"/>
          <w:lang w:val="es-ES"/>
        </w:rPr>
        <w:t xml:space="preserve">; vi) </w:t>
      </w:r>
      <w:r w:rsidRPr="00023227">
        <w:rPr>
          <w:rFonts w:ascii="Century Gothic" w:eastAsia="Calibri" w:hAnsi="Century Gothic"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vii</w:t>
      </w:r>
      <w:proofErr w:type="spellEnd"/>
      <w:r w:rsidRPr="00023227">
        <w:rPr>
          <w:rStyle w:val="normaltextrun"/>
          <w:rFonts w:ascii="Century Gothic" w:hAnsi="Century Gothic" w:cs="Arial"/>
          <w:color w:val="000000"/>
          <w:sz w:val="20"/>
          <w:szCs w:val="20"/>
          <w:shd w:val="clear" w:color="auto" w:fill="FFFFFF"/>
          <w:lang w:val="es-ES"/>
        </w:rPr>
        <w:t xml:space="preserve">) </w:t>
      </w:r>
      <w:r w:rsidRPr="00023227">
        <w:rPr>
          <w:rFonts w:ascii="Century Gothic" w:eastAsia="Calibri" w:hAnsi="Century Gothic" w:cs="Arial"/>
          <w:sz w:val="20"/>
          <w:szCs w:val="20"/>
          <w:lang w:val="es-ES_tradnl" w:eastAsia="es-ES_tradnl"/>
        </w:rPr>
        <w:t>Para su celebración no se requiere en algunos casos la expedición del acto administrativo de justificación de la contratación directa […]</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viii</w:t>
      </w:r>
      <w:proofErr w:type="spellEnd"/>
      <w:r w:rsidRPr="00023227">
        <w:rPr>
          <w:rStyle w:val="normaltextrun"/>
          <w:rFonts w:ascii="Century Gothic" w:hAnsi="Century Gothic" w:cs="Arial"/>
          <w:color w:val="000000"/>
          <w:sz w:val="20"/>
          <w:szCs w:val="20"/>
          <w:shd w:val="clear" w:color="auto" w:fill="FFFFFF"/>
          <w:lang w:val="es-ES"/>
        </w:rPr>
        <w:t xml:space="preserve">) </w:t>
      </w:r>
      <w:r w:rsidRPr="00023227">
        <w:rPr>
          <w:rFonts w:ascii="Century Gothic" w:eastAsia="Calibri" w:hAnsi="Century Gothic" w:cs="Arial"/>
          <w:sz w:val="20"/>
          <w:szCs w:val="20"/>
          <w:lang w:val="es-ES_tradnl" w:eastAsia="es-ES_tradnl"/>
        </w:rPr>
        <w:t>admiten el pacto de cláusulas excepcionales […]</w:t>
      </w:r>
      <w:r w:rsidRPr="00023227">
        <w:rPr>
          <w:rStyle w:val="normaltextrun"/>
          <w:rFonts w:ascii="Century Gothic" w:hAnsi="Century Gothic" w:cs="Arial"/>
          <w:color w:val="000000"/>
          <w:sz w:val="20"/>
          <w:szCs w:val="20"/>
          <w:shd w:val="clear" w:color="auto" w:fill="FFFFFF"/>
          <w:lang w:val="es-ES"/>
        </w:rPr>
        <w:t xml:space="preserve">; </w:t>
      </w:r>
      <w:proofErr w:type="spellStart"/>
      <w:r w:rsidRPr="00023227">
        <w:rPr>
          <w:rStyle w:val="normaltextrun"/>
          <w:rFonts w:ascii="Century Gothic" w:hAnsi="Century Gothic" w:cs="Arial"/>
          <w:color w:val="000000"/>
          <w:sz w:val="20"/>
          <w:szCs w:val="20"/>
          <w:shd w:val="clear" w:color="auto" w:fill="FFFFFF"/>
          <w:lang w:val="es-ES"/>
        </w:rPr>
        <w:t>ix</w:t>
      </w:r>
      <w:proofErr w:type="spellEnd"/>
      <w:r w:rsidRPr="00023227">
        <w:rPr>
          <w:rStyle w:val="normaltextrun"/>
          <w:rFonts w:ascii="Century Gothic" w:hAnsi="Century Gothic" w:cs="Arial"/>
          <w:color w:val="000000"/>
          <w:sz w:val="20"/>
          <w:szCs w:val="20"/>
          <w:shd w:val="clear" w:color="auto" w:fill="FFFFFF"/>
          <w:lang w:val="es-ES"/>
        </w:rPr>
        <w:t xml:space="preserve">) </w:t>
      </w:r>
      <w:r w:rsidRPr="00023227">
        <w:rPr>
          <w:rFonts w:ascii="Century Gothic" w:eastAsia="Calibri" w:hAnsi="Century Gothic" w:cs="Arial"/>
          <w:sz w:val="20"/>
          <w:szCs w:val="20"/>
          <w:lang w:val="es-ES_tradnl" w:eastAsia="es-ES_tradnl"/>
        </w:rPr>
        <w:t>) en algunos casos no es obligatoria la liquidación […]</w:t>
      </w:r>
      <w:r w:rsidRPr="00023227">
        <w:rPr>
          <w:rStyle w:val="normaltextrun"/>
          <w:rFonts w:ascii="Century Gothic" w:hAnsi="Century Gothic" w:cs="Arial"/>
          <w:color w:val="000000"/>
          <w:sz w:val="20"/>
          <w:szCs w:val="20"/>
          <w:shd w:val="clear" w:color="auto" w:fill="FFFFFF"/>
          <w:lang w:val="es-ES"/>
        </w:rPr>
        <w:t>; x) para su celebración no se requiere inscripción en el Registro Único de Proponentes […]; xi) en ellos no son necesarias las garantías.</w:t>
      </w:r>
      <w:r w:rsidRPr="00023227">
        <w:rPr>
          <w:rStyle w:val="eop"/>
          <w:rFonts w:ascii="Century Gothic" w:hAnsi="Century Gothic" w:cs="Arial"/>
          <w:color w:val="000000"/>
          <w:sz w:val="20"/>
          <w:szCs w:val="20"/>
          <w:shd w:val="clear" w:color="auto" w:fill="FFFFFF"/>
        </w:rPr>
        <w:t> </w:t>
      </w:r>
    </w:p>
    <w:p w14:paraId="5CE39372" w14:textId="77777777" w:rsidR="001F024E" w:rsidRPr="00023227" w:rsidRDefault="001F024E" w:rsidP="001F024E">
      <w:pPr>
        <w:spacing w:after="0" w:line="240" w:lineRule="auto"/>
        <w:jc w:val="both"/>
        <w:rPr>
          <w:rFonts w:ascii="Century Gothic" w:eastAsia="Times New Roman" w:hAnsi="Century Gothic" w:cs="Arial"/>
          <w:sz w:val="20"/>
          <w:szCs w:val="20"/>
          <w:bdr w:val="none" w:sz="0" w:space="0" w:color="auto" w:frame="1"/>
          <w:lang w:val="es-ES" w:eastAsia="es-ES_tradnl"/>
        </w:rPr>
      </w:pPr>
    </w:p>
    <w:p w14:paraId="219C7700" w14:textId="77777777" w:rsidR="001F024E" w:rsidRPr="00023227" w:rsidRDefault="001F024E" w:rsidP="001F024E">
      <w:pPr>
        <w:spacing w:after="0" w:line="240" w:lineRule="auto"/>
        <w:jc w:val="both"/>
        <w:rPr>
          <w:rFonts w:ascii="Century Gothic" w:eastAsia="Times New Roman" w:hAnsi="Century Gothic" w:cs="Arial"/>
          <w:b/>
          <w:bCs/>
          <w:lang w:eastAsia="es-ES_tradnl"/>
        </w:rPr>
      </w:pPr>
      <w:r w:rsidRPr="00023227">
        <w:rPr>
          <w:rFonts w:ascii="Century Gothic" w:eastAsia="Times New Roman" w:hAnsi="Century Gothic" w:cs="Arial"/>
          <w:b/>
          <w:bCs/>
          <w:lang w:eastAsia="es-ES_tradnl"/>
        </w:rPr>
        <w:t xml:space="preserve">HONORARIOS – Fijación – Límite Remuneración – Régimen jurídico </w:t>
      </w:r>
    </w:p>
    <w:p w14:paraId="0A8DF4C6" w14:textId="77777777" w:rsidR="001F024E" w:rsidRPr="00023227" w:rsidRDefault="001F024E" w:rsidP="001F024E">
      <w:pPr>
        <w:spacing w:after="0" w:line="240" w:lineRule="auto"/>
        <w:jc w:val="both"/>
        <w:rPr>
          <w:rFonts w:ascii="Century Gothic" w:eastAsia="Arial" w:hAnsi="Century Gothic" w:cs="Arial"/>
          <w:iCs/>
          <w:sz w:val="20"/>
          <w:szCs w:val="20"/>
          <w:lang w:val="es-ES"/>
        </w:rPr>
      </w:pPr>
    </w:p>
    <w:p w14:paraId="02F40522" w14:textId="77777777" w:rsidR="001F024E" w:rsidRDefault="001F024E" w:rsidP="001F024E">
      <w:pPr>
        <w:spacing w:after="0" w:line="240" w:lineRule="auto"/>
        <w:jc w:val="both"/>
        <w:rPr>
          <w:rFonts w:ascii="Century Gothic" w:eastAsia="Arial" w:hAnsi="Century Gothic" w:cs="Arial"/>
          <w:iCs/>
          <w:sz w:val="20"/>
          <w:szCs w:val="20"/>
          <w:lang w:val="es-ES"/>
        </w:rPr>
      </w:pPr>
      <w:r w:rsidRPr="00023227">
        <w:rPr>
          <w:rFonts w:ascii="Century Gothic" w:eastAsia="Arial" w:hAnsi="Century Gothic" w:cs="Arial"/>
          <w:iCs/>
          <w:sz w:val="20"/>
          <w:szCs w:val="20"/>
          <w:lang w:val="es-ES"/>
        </w:rPr>
        <w:t xml:space="preserv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66759B7A" w14:textId="77777777" w:rsidR="001F024E" w:rsidRPr="00023227" w:rsidRDefault="001F024E" w:rsidP="001F024E">
      <w:pPr>
        <w:spacing w:after="0" w:line="240" w:lineRule="auto"/>
        <w:jc w:val="both"/>
        <w:rPr>
          <w:rFonts w:ascii="Century Gothic" w:eastAsia="Arial" w:hAnsi="Century Gothic" w:cs="Arial"/>
          <w:iCs/>
          <w:sz w:val="20"/>
          <w:szCs w:val="20"/>
          <w:lang w:val="es-ES"/>
        </w:rPr>
      </w:pPr>
    </w:p>
    <w:p w14:paraId="48DA8504" w14:textId="77777777" w:rsidR="001F024E" w:rsidRPr="00023227" w:rsidRDefault="001F024E" w:rsidP="001F024E">
      <w:pPr>
        <w:widowControl w:val="0"/>
        <w:autoSpaceDE w:val="0"/>
        <w:autoSpaceDN w:val="0"/>
        <w:spacing w:after="0" w:line="240" w:lineRule="auto"/>
        <w:jc w:val="both"/>
        <w:rPr>
          <w:rFonts w:ascii="Century Gothic" w:eastAsia="Arial" w:hAnsi="Century Gothic" w:cs="Arial"/>
          <w:iCs/>
          <w:sz w:val="20"/>
          <w:szCs w:val="20"/>
          <w:lang w:val="es-ES"/>
        </w:rPr>
      </w:pPr>
      <w:r w:rsidRPr="00023227">
        <w:rPr>
          <w:rFonts w:ascii="Century Gothic" w:eastAsia="Arial" w:hAnsi="Century Gothic" w:cs="Arial"/>
          <w:iCs/>
          <w:sz w:val="20"/>
          <w:szCs w:val="20"/>
          <w:lang w:val="es-ES"/>
        </w:rPr>
        <w:t xml:space="preserve">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debe acreditar el futuro contratista para el cumplimiento del objeto </w:t>
      </w:r>
      <w:r w:rsidRPr="00023227">
        <w:rPr>
          <w:rFonts w:ascii="Century Gothic" w:eastAsia="Arial" w:hAnsi="Century Gothic" w:cs="Arial"/>
          <w:iCs/>
          <w:sz w:val="20"/>
          <w:szCs w:val="20"/>
          <w:lang w:val="es-ES"/>
        </w:rPr>
        <w:lastRenderedPageBreak/>
        <w:t xml:space="preserve">contractual. En este sentido, las Entidades Estatales determinan el monto de los honorarios de los contratos de prestación de servicios y apoyo a la gestión de conformidad con lo establecido en el análisis del sector y en los documentos o estudios previos. </w:t>
      </w:r>
    </w:p>
    <w:p w14:paraId="1E91AC2B" w14:textId="77777777" w:rsidR="001F024E" w:rsidRDefault="001F024E">
      <w:pPr>
        <w:rPr>
          <w:rFonts w:ascii="Century Gothic" w:hAnsi="Century Gothic"/>
          <w:lang w:val="es-ES"/>
        </w:rPr>
      </w:pPr>
      <w:r>
        <w:rPr>
          <w:rFonts w:ascii="Century Gothic" w:hAnsi="Century Gothic"/>
          <w:lang w:val="es-ES"/>
        </w:rPr>
        <w:br w:type="page"/>
      </w:r>
    </w:p>
    <w:p w14:paraId="032E7E72" w14:textId="72C58524" w:rsidR="005518E8" w:rsidRPr="001D0052" w:rsidRDefault="005518E8" w:rsidP="005518E8">
      <w:pPr>
        <w:spacing w:after="0" w:line="240" w:lineRule="auto"/>
        <w:rPr>
          <w:rFonts w:ascii="Century Gothic" w:hAnsi="Century Gothic"/>
          <w:lang w:val="es-MX"/>
        </w:rPr>
      </w:pPr>
      <w:r w:rsidRPr="001D0052">
        <w:rPr>
          <w:rFonts w:ascii="Century Gothic" w:hAnsi="Century Gothic"/>
        </w:rPr>
        <w:lastRenderedPageBreak/>
        <w:t xml:space="preserve">Bogotá D.C., </w:t>
      </w:r>
      <w:r w:rsidR="001A1826">
        <w:rPr>
          <w:rFonts w:ascii="Century Gothic" w:hAnsi="Century Gothic"/>
        </w:rPr>
        <w:t>28 de mayo de 2024.</w:t>
      </w:r>
    </w:p>
    <w:p w14:paraId="29B58706" w14:textId="366E64B2" w:rsidR="005518E8" w:rsidRPr="001D0052" w:rsidRDefault="00C17227" w:rsidP="00C17227">
      <w:pPr>
        <w:spacing w:after="0" w:line="240" w:lineRule="auto"/>
        <w:jc w:val="right"/>
        <w:rPr>
          <w:rFonts w:ascii="Century Gothic" w:eastAsia="Calibri" w:hAnsi="Century Gothic" w:cs="Arial"/>
          <w:lang w:val="es-ES"/>
        </w:rPr>
      </w:pPr>
      <w:r>
        <w:rPr>
          <w:noProof/>
        </w:rPr>
        <w:drawing>
          <wp:inline distT="0" distB="0" distL="0" distR="0" wp14:anchorId="4419C4C6" wp14:editId="72CF50C3">
            <wp:extent cx="2945207" cy="878866"/>
            <wp:effectExtent l="0" t="0" r="7620" b="0"/>
            <wp:docPr id="1287540062"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40062" name="Imagen 1" descr="Interfaz de usuario gráfica, Texto, Aplicación, Chat o mensaje de texto&#10;&#10;Descripción generada automáticamente"/>
                    <pic:cNvPicPr/>
                  </pic:nvPicPr>
                  <pic:blipFill>
                    <a:blip r:embed="rId10"/>
                    <a:stretch>
                      <a:fillRect/>
                    </a:stretch>
                  </pic:blipFill>
                  <pic:spPr>
                    <a:xfrm>
                      <a:off x="0" y="0"/>
                      <a:ext cx="2952456" cy="881029"/>
                    </a:xfrm>
                    <a:prstGeom prst="rect">
                      <a:avLst/>
                    </a:prstGeom>
                  </pic:spPr>
                </pic:pic>
              </a:graphicData>
            </a:graphic>
          </wp:inline>
        </w:drawing>
      </w:r>
    </w:p>
    <w:p w14:paraId="3409C015" w14:textId="77777777" w:rsidR="005518E8" w:rsidRPr="001D0052" w:rsidRDefault="005518E8" w:rsidP="005518E8">
      <w:pPr>
        <w:spacing w:after="0" w:line="240" w:lineRule="auto"/>
        <w:jc w:val="both"/>
        <w:rPr>
          <w:rFonts w:ascii="Century Gothic" w:eastAsia="Calibri" w:hAnsi="Century Gothic" w:cs="Arial"/>
          <w:lang w:val="es-ES" w:eastAsia="es-ES"/>
        </w:rPr>
      </w:pPr>
      <w:r w:rsidRPr="001D0052">
        <w:rPr>
          <w:rFonts w:ascii="Century Gothic" w:eastAsia="Calibri" w:hAnsi="Century Gothic" w:cs="Arial"/>
          <w:lang w:val="es-ES" w:eastAsia="es-ES"/>
        </w:rPr>
        <w:t>Señor</w:t>
      </w:r>
    </w:p>
    <w:p w14:paraId="751ABA5F" w14:textId="77777777" w:rsidR="005518E8" w:rsidRPr="001D0052" w:rsidRDefault="005518E8" w:rsidP="005518E8">
      <w:pPr>
        <w:spacing w:after="0" w:line="240" w:lineRule="auto"/>
        <w:rPr>
          <w:rFonts w:ascii="Century Gothic" w:eastAsia="Calibri" w:hAnsi="Century Gothic" w:cs="Arial"/>
          <w:b/>
          <w:lang w:val="es-ES" w:eastAsia="es-ES"/>
        </w:rPr>
      </w:pPr>
      <w:r w:rsidRPr="001D0052">
        <w:rPr>
          <w:rFonts w:ascii="Century Gothic" w:eastAsia="Calibri" w:hAnsi="Century Gothic" w:cs="Arial"/>
          <w:b/>
          <w:lang w:val="es-ES" w:eastAsia="es-ES"/>
        </w:rPr>
        <w:t xml:space="preserve">Arnulfo Meneses </w:t>
      </w:r>
      <w:proofErr w:type="spellStart"/>
      <w:r w:rsidRPr="001D0052">
        <w:rPr>
          <w:rFonts w:ascii="Century Gothic" w:eastAsia="Calibri" w:hAnsi="Century Gothic" w:cs="Arial"/>
          <w:b/>
          <w:lang w:val="es-ES" w:eastAsia="es-ES"/>
        </w:rPr>
        <w:t>Villamarin</w:t>
      </w:r>
      <w:proofErr w:type="spellEnd"/>
    </w:p>
    <w:p w14:paraId="1D6CB910" w14:textId="77777777" w:rsidR="005518E8" w:rsidRPr="001D0052" w:rsidRDefault="005518E8" w:rsidP="005518E8">
      <w:pPr>
        <w:spacing w:after="0" w:line="240" w:lineRule="auto"/>
        <w:rPr>
          <w:rFonts w:ascii="Century Gothic" w:eastAsia="Calibri" w:hAnsi="Century Gothic" w:cs="Arial"/>
          <w:b/>
          <w:bCs/>
          <w:lang w:val="es-ES" w:eastAsia="es-ES"/>
        </w:rPr>
      </w:pPr>
      <w:r w:rsidRPr="001D0052">
        <w:rPr>
          <w:rFonts w:ascii="Century Gothic" w:eastAsia="Calibri" w:hAnsi="Century Gothic" w:cs="Arial"/>
          <w:lang w:val="es-ES" w:eastAsia="es-ES"/>
        </w:rPr>
        <w:t xml:space="preserve">Armenia, Quindío </w:t>
      </w:r>
    </w:p>
    <w:p w14:paraId="6F0459AD" w14:textId="77777777" w:rsidR="005518E8" w:rsidRPr="001D0052" w:rsidRDefault="005518E8" w:rsidP="005518E8">
      <w:pPr>
        <w:spacing w:after="0" w:line="240" w:lineRule="auto"/>
        <w:rPr>
          <w:rFonts w:ascii="Century Gothic" w:eastAsia="Calibri" w:hAnsi="Century Gothic" w:cs="Arial"/>
          <w:b/>
          <w:bCs/>
          <w:lang w:val="es-ES_tradnl" w:eastAsia="es-ES_tradnl"/>
        </w:rPr>
      </w:pPr>
    </w:p>
    <w:p w14:paraId="14F12AE6" w14:textId="38AF1B46" w:rsidR="005518E8" w:rsidRPr="001D0052" w:rsidRDefault="005518E8" w:rsidP="005518E8">
      <w:pPr>
        <w:spacing w:after="0" w:line="240" w:lineRule="auto"/>
        <w:ind w:left="2694"/>
        <w:rPr>
          <w:rFonts w:ascii="Century Gothic" w:eastAsia="Century Gothic" w:hAnsi="Century Gothic" w:cs="Century Gothic"/>
          <w:b/>
          <w:bCs/>
          <w:lang w:val="es-ES"/>
        </w:rPr>
      </w:pPr>
      <w:r w:rsidRPr="001D0052">
        <w:rPr>
          <w:rFonts w:ascii="Century Gothic" w:eastAsia="Century Gothic" w:hAnsi="Century Gothic" w:cs="Century Gothic"/>
          <w:b/>
          <w:bCs/>
          <w:lang w:val="es-ES"/>
        </w:rPr>
        <w:t>Concepto C-</w:t>
      </w:r>
      <w:r w:rsidR="00532255" w:rsidRPr="001D0052">
        <w:rPr>
          <w:rFonts w:ascii="Century Gothic" w:eastAsia="Century Gothic" w:hAnsi="Century Gothic" w:cs="Century Gothic"/>
          <w:b/>
          <w:bCs/>
          <w:lang w:val="es-ES"/>
        </w:rPr>
        <w:t>1</w:t>
      </w:r>
      <w:r w:rsidRPr="001D0052">
        <w:rPr>
          <w:rFonts w:ascii="Century Gothic" w:eastAsia="Century Gothic" w:hAnsi="Century Gothic" w:cs="Century Gothic"/>
          <w:b/>
          <w:bCs/>
          <w:lang w:val="es-ES"/>
        </w:rPr>
        <w:t>0</w:t>
      </w:r>
      <w:r w:rsidR="00532255" w:rsidRPr="001D0052">
        <w:rPr>
          <w:rFonts w:ascii="Century Gothic" w:eastAsia="Century Gothic" w:hAnsi="Century Gothic" w:cs="Century Gothic"/>
          <w:b/>
          <w:bCs/>
          <w:lang w:val="es-ES"/>
        </w:rPr>
        <w:t>7</w:t>
      </w:r>
      <w:r w:rsidRPr="001D0052">
        <w:rPr>
          <w:rFonts w:ascii="Century Gothic" w:eastAsia="Century Gothic" w:hAnsi="Century Gothic" w:cs="Century Gothic"/>
          <w:b/>
          <w:bCs/>
          <w:lang w:val="es-ES"/>
        </w:rPr>
        <w:t xml:space="preserve"> de 2024</w:t>
      </w:r>
    </w:p>
    <w:p w14:paraId="03078683" w14:textId="77777777" w:rsidR="005518E8" w:rsidRPr="001D0052" w:rsidRDefault="005518E8" w:rsidP="005518E8">
      <w:pPr>
        <w:spacing w:after="0" w:line="240" w:lineRule="auto"/>
        <w:rPr>
          <w:rFonts w:ascii="Century Gothic" w:eastAsia="Calibri" w:hAnsi="Century Gothic" w:cs="Arial"/>
          <w:b/>
          <w:bCs/>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18E8" w:rsidRPr="001D0052" w14:paraId="4C530BFC" w14:textId="77777777" w:rsidTr="00296188">
        <w:trPr>
          <w:trHeight w:val="884"/>
        </w:trPr>
        <w:tc>
          <w:tcPr>
            <w:tcW w:w="2689" w:type="dxa"/>
          </w:tcPr>
          <w:p w14:paraId="52BFF19B" w14:textId="77777777" w:rsidR="005518E8" w:rsidRPr="001D0052" w:rsidRDefault="005518E8" w:rsidP="00296188">
            <w:pPr>
              <w:jc w:val="both"/>
              <w:rPr>
                <w:rFonts w:ascii="Century Gothic" w:eastAsia="Calibri" w:hAnsi="Century Gothic" w:cs="Arial"/>
                <w:lang w:val="es-ES_tradnl" w:eastAsia="es-ES_tradnl"/>
              </w:rPr>
            </w:pPr>
            <w:r w:rsidRPr="001D0052">
              <w:rPr>
                <w:rFonts w:ascii="Century Gothic" w:eastAsia="Calibri" w:hAnsi="Century Gothic" w:cs="Arial"/>
                <w:b/>
                <w:lang w:val="es-ES_tradnl" w:eastAsia="es-ES_tradnl"/>
              </w:rPr>
              <w:t>Temas:</w:t>
            </w:r>
            <w:r w:rsidRPr="001D0052">
              <w:rPr>
                <w:rFonts w:ascii="Century Gothic" w:eastAsia="Calibri" w:hAnsi="Century Gothic" w:cs="Arial"/>
                <w:lang w:val="es-ES_tradnl" w:eastAsia="es-ES_tradnl"/>
              </w:rPr>
              <w:t xml:space="preserve">                   </w:t>
            </w:r>
          </w:p>
        </w:tc>
        <w:tc>
          <w:tcPr>
            <w:tcW w:w="6237" w:type="dxa"/>
          </w:tcPr>
          <w:p w14:paraId="28A4B2FC" w14:textId="77777777" w:rsidR="005518E8" w:rsidRPr="001D0052" w:rsidRDefault="005518E8" w:rsidP="00296188">
            <w:pPr>
              <w:jc w:val="both"/>
              <w:rPr>
                <w:rFonts w:ascii="Century Gothic" w:eastAsia="Times New Roman" w:hAnsi="Century Gothic" w:cs="Arial"/>
                <w:lang w:eastAsia="es-ES_tradnl"/>
              </w:rPr>
            </w:pPr>
            <w:r w:rsidRPr="001D0052">
              <w:rPr>
                <w:rFonts w:ascii="Century Gothic" w:eastAsia="Times New Roman" w:hAnsi="Century Gothic" w:cs="Arial"/>
                <w:bdr w:val="none" w:sz="0" w:space="0" w:color="auto" w:frame="1"/>
                <w:lang w:val="es-ES" w:eastAsia="es-ES_tradnl"/>
              </w:rPr>
              <w:t xml:space="preserve">CONTRATO DE PRESTACIÓN DE SERVICIOS ― Concepto ― Requisitos y límites para su celebración / </w:t>
            </w:r>
            <w:r w:rsidRPr="001D0052">
              <w:rPr>
                <w:rFonts w:ascii="Century Gothic" w:eastAsia="Times New Roman" w:hAnsi="Century Gothic" w:cs="Arial"/>
                <w:lang w:eastAsia="es-ES_tradnl"/>
              </w:rPr>
              <w:t xml:space="preserve">HONORARIOS – Fijación – Límite Remuneración – Régimen jurídico / </w:t>
            </w:r>
            <w:r w:rsidRPr="001D0052">
              <w:rPr>
                <w:rFonts w:ascii="Century Gothic" w:eastAsia="Calibri" w:hAnsi="Century Gothic" w:cs="Arial"/>
                <w:bCs/>
                <w:lang w:val="es-ES_tradnl"/>
              </w:rPr>
              <w:t>SEGURIDAD SOCIAL – Verificación – Pago – Aportes</w:t>
            </w:r>
          </w:p>
          <w:p w14:paraId="517338B3" w14:textId="77777777" w:rsidR="005518E8" w:rsidRPr="001D0052" w:rsidRDefault="005518E8" w:rsidP="00296188">
            <w:pPr>
              <w:jc w:val="both"/>
              <w:rPr>
                <w:rFonts w:ascii="Century Gothic" w:eastAsia="Calibri" w:hAnsi="Century Gothic" w:cs="Arial"/>
                <w:lang w:eastAsia="es-ES"/>
              </w:rPr>
            </w:pPr>
          </w:p>
        </w:tc>
      </w:tr>
      <w:tr w:rsidR="005518E8" w:rsidRPr="001D0052" w14:paraId="53E58733" w14:textId="77777777" w:rsidTr="00296188">
        <w:tc>
          <w:tcPr>
            <w:tcW w:w="2689" w:type="dxa"/>
          </w:tcPr>
          <w:p w14:paraId="28FF9E09" w14:textId="77777777" w:rsidR="005518E8" w:rsidRPr="001D0052" w:rsidRDefault="005518E8" w:rsidP="00296188">
            <w:pPr>
              <w:jc w:val="both"/>
              <w:rPr>
                <w:rFonts w:ascii="Century Gothic" w:eastAsia="Calibri" w:hAnsi="Century Gothic" w:cs="Arial"/>
                <w:b/>
                <w:lang w:val="es-ES_tradnl" w:eastAsia="es-ES_tradnl"/>
              </w:rPr>
            </w:pPr>
            <w:r w:rsidRPr="001D0052">
              <w:rPr>
                <w:rFonts w:ascii="Century Gothic" w:eastAsia="Calibri" w:hAnsi="Century Gothic" w:cs="Arial"/>
                <w:b/>
                <w:lang w:val="es-ES_tradnl" w:eastAsia="es-ES_tradnl"/>
              </w:rPr>
              <w:t>Radicación:</w:t>
            </w:r>
            <w:r w:rsidRPr="001D0052">
              <w:rPr>
                <w:rFonts w:ascii="Century Gothic" w:eastAsia="Calibri" w:hAnsi="Century Gothic" w:cs="Arial"/>
                <w:lang w:val="es-ES_tradnl" w:eastAsia="es-ES_tradnl"/>
              </w:rPr>
              <w:t xml:space="preserve">               </w:t>
            </w:r>
          </w:p>
        </w:tc>
        <w:tc>
          <w:tcPr>
            <w:tcW w:w="6237" w:type="dxa"/>
          </w:tcPr>
          <w:p w14:paraId="715E90CA" w14:textId="77777777" w:rsidR="005518E8" w:rsidRPr="001D0052" w:rsidRDefault="005518E8" w:rsidP="00296188">
            <w:pPr>
              <w:jc w:val="both"/>
              <w:rPr>
                <w:rFonts w:ascii="Century Gothic" w:eastAsia="Calibri" w:hAnsi="Century Gothic" w:cs="Arial"/>
                <w:lang w:val="es-ES_tradnl" w:eastAsia="es-ES_tradnl"/>
              </w:rPr>
            </w:pPr>
            <w:r w:rsidRPr="001D0052">
              <w:rPr>
                <w:rFonts w:ascii="Century Gothic" w:eastAsia="Calibri" w:hAnsi="Century Gothic" w:cs="Arial"/>
                <w:lang w:val="es-ES_tradnl" w:eastAsia="es-ES_tradnl"/>
              </w:rPr>
              <w:t>Respuesta a consulta con radicado No. P20240406003520</w:t>
            </w:r>
          </w:p>
        </w:tc>
      </w:tr>
    </w:tbl>
    <w:p w14:paraId="27808612" w14:textId="77777777" w:rsidR="005518E8" w:rsidRPr="001D0052" w:rsidRDefault="005518E8" w:rsidP="005518E8">
      <w:pPr>
        <w:spacing w:after="0" w:line="240" w:lineRule="auto"/>
        <w:jc w:val="both"/>
        <w:rPr>
          <w:rFonts w:ascii="Century Gothic" w:eastAsia="Calibri" w:hAnsi="Century Gothic" w:cs="Arial"/>
          <w:lang w:val="es-ES_tradnl" w:eastAsia="es-ES_tradnl"/>
        </w:rPr>
      </w:pPr>
    </w:p>
    <w:p w14:paraId="08A43284" w14:textId="77777777" w:rsidR="005518E8" w:rsidRPr="001D0052" w:rsidRDefault="005518E8" w:rsidP="005518E8">
      <w:pPr>
        <w:spacing w:after="0" w:line="240" w:lineRule="auto"/>
        <w:jc w:val="both"/>
        <w:rPr>
          <w:rFonts w:ascii="Century Gothic" w:eastAsia="Calibri" w:hAnsi="Century Gothic" w:cs="Arial"/>
          <w:lang w:val="es-ES_tradnl" w:eastAsia="es-ES_tradnl"/>
        </w:rPr>
      </w:pPr>
    </w:p>
    <w:p w14:paraId="1E329A7E" w14:textId="77777777" w:rsidR="005518E8" w:rsidRPr="001D0052" w:rsidRDefault="005518E8" w:rsidP="005518E8">
      <w:pPr>
        <w:spacing w:after="0" w:line="276" w:lineRule="auto"/>
        <w:jc w:val="both"/>
        <w:rPr>
          <w:rFonts w:ascii="Century Gothic" w:eastAsia="Calibri" w:hAnsi="Century Gothic" w:cs="Arial"/>
          <w:lang w:val="es-ES" w:eastAsia="es-ES"/>
        </w:rPr>
      </w:pPr>
      <w:r w:rsidRPr="001D0052">
        <w:rPr>
          <w:rFonts w:ascii="Century Gothic" w:eastAsia="Calibri" w:hAnsi="Century Gothic" w:cs="Arial"/>
          <w:lang w:val="es-ES" w:eastAsia="es-ES"/>
        </w:rPr>
        <w:t xml:space="preserve">Estimado señor </w:t>
      </w:r>
      <w:r w:rsidRPr="001D0052">
        <w:rPr>
          <w:rFonts w:ascii="Century Gothic" w:eastAsia="Calibri" w:hAnsi="Century Gothic" w:cs="Arial"/>
          <w:lang w:val="es-ES_tradnl" w:eastAsia="es-ES_tradnl"/>
        </w:rPr>
        <w:t xml:space="preserve">Meneses </w:t>
      </w:r>
      <w:proofErr w:type="spellStart"/>
      <w:r w:rsidRPr="001D0052">
        <w:rPr>
          <w:rFonts w:ascii="Century Gothic" w:eastAsia="Calibri" w:hAnsi="Century Gothic" w:cs="Arial"/>
          <w:lang w:val="es-ES_tradnl" w:eastAsia="es-ES_tradnl"/>
        </w:rPr>
        <w:t>Villamarin</w:t>
      </w:r>
      <w:proofErr w:type="spellEnd"/>
      <w:r w:rsidRPr="001D0052">
        <w:rPr>
          <w:rFonts w:ascii="Century Gothic" w:eastAsia="Calibri" w:hAnsi="Century Gothic" w:cs="Arial"/>
          <w:lang w:val="es-ES" w:eastAsia="es-ES"/>
        </w:rPr>
        <w:t xml:space="preserve">: </w:t>
      </w:r>
    </w:p>
    <w:p w14:paraId="165D9184" w14:textId="77777777" w:rsidR="005518E8" w:rsidRPr="001D0052" w:rsidRDefault="005518E8" w:rsidP="005518E8">
      <w:pPr>
        <w:spacing w:after="0" w:line="276" w:lineRule="auto"/>
        <w:jc w:val="both"/>
        <w:rPr>
          <w:rFonts w:ascii="Century Gothic" w:eastAsia="Calibri" w:hAnsi="Century Gothic" w:cs="Arial"/>
          <w:lang w:val="es-ES_tradnl" w:eastAsia="es-ES_tradnl"/>
        </w:rPr>
      </w:pPr>
    </w:p>
    <w:p w14:paraId="1EA44235" w14:textId="77777777" w:rsidR="005518E8" w:rsidRPr="001D0052" w:rsidRDefault="005518E8" w:rsidP="005518E8">
      <w:pPr>
        <w:spacing w:after="0" w:line="276" w:lineRule="auto"/>
        <w:jc w:val="both"/>
        <w:rPr>
          <w:rFonts w:ascii="Century Gothic" w:eastAsia="Calibri" w:hAnsi="Century Gothic" w:cs="Arial"/>
          <w:lang w:val="es-ES" w:eastAsia="es-ES"/>
        </w:rPr>
      </w:pPr>
      <w:r w:rsidRPr="001D0052">
        <w:rPr>
          <w:rFonts w:ascii="Century Gothic" w:eastAsia="Calibri" w:hAnsi="Century Gothic" w:cs="Arial"/>
          <w:lang w:val="es-ES" w:eastAsia="es-ES"/>
        </w:rPr>
        <w:t>En ejercicio de la competencia otorgada por los artículos 3, numeral 5º, y 11, numeral 8º, del Decreto Ley 4170 de 2011,</w:t>
      </w:r>
      <w:r w:rsidRPr="001D0052">
        <w:rPr>
          <w:rFonts w:ascii="Century Gothic" w:eastAsia="Arial MT" w:hAnsi="Century Gothic" w:cs="Arial MT"/>
          <w:lang w:val="es-ES" w:eastAsia="es-ES"/>
        </w:rPr>
        <w:t xml:space="preserve"> </w:t>
      </w:r>
      <w:r w:rsidRPr="001D0052">
        <w:rPr>
          <w:rFonts w:ascii="Century Gothic" w:hAnsi="Century Gothic" w:cs="Arial"/>
        </w:rPr>
        <w:t xml:space="preserve">así como lo establecido en la Resolución 1707 de 2018 expedida por esta Entidad, </w:t>
      </w:r>
      <w:r w:rsidRPr="001D0052">
        <w:rPr>
          <w:rFonts w:ascii="Century Gothic" w:eastAsia="Calibri" w:hAnsi="Century Gothic" w:cs="Arial"/>
          <w:lang w:val="es-ES" w:eastAsia="es-ES"/>
        </w:rPr>
        <w:t xml:space="preserve">la Agencia Nacional de Contratación Pública – Colombia Compra Eficiente– responde su solicitud del 5 de abril de 2024. </w:t>
      </w:r>
    </w:p>
    <w:p w14:paraId="1E8CA926" w14:textId="77777777" w:rsidR="005518E8" w:rsidRPr="001D0052" w:rsidRDefault="005518E8" w:rsidP="005518E8">
      <w:pPr>
        <w:spacing w:after="0" w:line="276" w:lineRule="auto"/>
        <w:jc w:val="both"/>
        <w:rPr>
          <w:rFonts w:ascii="Century Gothic" w:eastAsia="Calibri" w:hAnsi="Century Gothic" w:cs="Arial"/>
          <w:lang w:val="es-ES" w:eastAsia="es-ES"/>
        </w:rPr>
      </w:pPr>
    </w:p>
    <w:p w14:paraId="1541CBA2" w14:textId="77777777" w:rsidR="005518E8" w:rsidRPr="001D0052" w:rsidRDefault="005518E8" w:rsidP="005518E8">
      <w:pPr>
        <w:pStyle w:val="Prrafodelista"/>
        <w:numPr>
          <w:ilvl w:val="0"/>
          <w:numId w:val="6"/>
        </w:numPr>
        <w:tabs>
          <w:tab w:val="left" w:pos="142"/>
          <w:tab w:val="left" w:pos="284"/>
        </w:tabs>
        <w:spacing w:after="0" w:line="276" w:lineRule="auto"/>
        <w:ind w:left="0" w:firstLine="0"/>
        <w:contextualSpacing w:val="0"/>
        <w:jc w:val="both"/>
        <w:rPr>
          <w:rFonts w:ascii="Century Gothic" w:eastAsia="Century Gothic" w:hAnsi="Century Gothic" w:cs="Century Gothic"/>
          <w:b/>
          <w:bCs/>
        </w:rPr>
      </w:pPr>
      <w:r w:rsidRPr="001D0052">
        <w:rPr>
          <w:rFonts w:ascii="Century Gothic" w:eastAsia="Century Gothic" w:hAnsi="Century Gothic" w:cs="Century Gothic"/>
          <w:b/>
          <w:bCs/>
        </w:rPr>
        <w:t xml:space="preserve">Problema planteado </w:t>
      </w:r>
    </w:p>
    <w:p w14:paraId="182DBB81" w14:textId="77777777" w:rsidR="005518E8" w:rsidRPr="001D0052" w:rsidRDefault="005518E8" w:rsidP="005518E8">
      <w:pPr>
        <w:spacing w:after="0" w:line="276" w:lineRule="auto"/>
        <w:jc w:val="both"/>
        <w:rPr>
          <w:rFonts w:ascii="Century Gothic" w:eastAsia="Calibri" w:hAnsi="Century Gothic" w:cs="Arial"/>
          <w:lang w:val="es-ES" w:eastAsia="es-ES"/>
        </w:rPr>
      </w:pPr>
    </w:p>
    <w:p w14:paraId="2D7EF970" w14:textId="77777777" w:rsidR="005518E8" w:rsidRPr="001D0052" w:rsidRDefault="005518E8" w:rsidP="005518E8">
      <w:pPr>
        <w:spacing w:after="0" w:line="276" w:lineRule="auto"/>
        <w:jc w:val="both"/>
        <w:rPr>
          <w:rFonts w:ascii="Century Gothic" w:eastAsia="Century Gothic" w:hAnsi="Century Gothic" w:cs="Century Gothic"/>
        </w:rPr>
      </w:pPr>
      <w:r w:rsidRPr="001D0052">
        <w:rPr>
          <w:rFonts w:ascii="Century Gothic" w:eastAsia="Century Gothic" w:hAnsi="Century Gothic" w:cs="Century Gothic"/>
        </w:rPr>
        <w:t xml:space="preserve">Usted formula la siguiente consulta: </w:t>
      </w:r>
    </w:p>
    <w:p w14:paraId="7B3412A7" w14:textId="77777777" w:rsidR="005518E8" w:rsidRPr="001D0052" w:rsidRDefault="005518E8" w:rsidP="005518E8">
      <w:pPr>
        <w:spacing w:after="0" w:line="276" w:lineRule="auto"/>
        <w:jc w:val="both"/>
        <w:rPr>
          <w:rFonts w:ascii="Century Gothic" w:eastAsia="Century Gothic" w:hAnsi="Century Gothic" w:cs="Century Gothic"/>
        </w:rPr>
      </w:pPr>
    </w:p>
    <w:p w14:paraId="17BC9020" w14:textId="77777777" w:rsidR="005518E8" w:rsidRPr="001D0052" w:rsidRDefault="005518E8" w:rsidP="005518E8">
      <w:pPr>
        <w:spacing w:after="0" w:line="240" w:lineRule="auto"/>
        <w:ind w:left="709" w:right="709"/>
        <w:jc w:val="both"/>
        <w:rPr>
          <w:rFonts w:ascii="Century Gothic" w:eastAsia="Calibri" w:hAnsi="Century Gothic" w:cs="Arial"/>
          <w:sz w:val="20"/>
          <w:szCs w:val="20"/>
          <w:lang w:val="es-ES" w:eastAsia="es-ES"/>
        </w:rPr>
      </w:pPr>
      <w:r w:rsidRPr="001D0052">
        <w:rPr>
          <w:rFonts w:ascii="Century Gothic" w:eastAsia="Calibri" w:hAnsi="Century Gothic" w:cs="Arial"/>
          <w:sz w:val="20"/>
          <w:szCs w:val="20"/>
          <w:lang w:val="es-ES" w:eastAsia="es-ES"/>
        </w:rPr>
        <w:t>“Atendiendo las facultades otorgadas a la Agencia Nacional de Contratación Pública Colombia Compra Eficiente, se consulta sí, de acuerdo con las normas que rigen el sistema de compras públicas ¿existe prohibición legal para que una Entidad Estatal pacte honorarios mensuales con un contratista de prestación de servicios profesionales o de apoyo a la gestión, por un valor inferior al salario mínimo vigente? […]”.</w:t>
      </w:r>
    </w:p>
    <w:p w14:paraId="37F1CE0D" w14:textId="77777777" w:rsidR="005518E8" w:rsidRPr="001D0052" w:rsidRDefault="005518E8" w:rsidP="005518E8">
      <w:pPr>
        <w:spacing w:after="0" w:line="276" w:lineRule="auto"/>
        <w:contextualSpacing/>
        <w:jc w:val="both"/>
        <w:rPr>
          <w:rFonts w:ascii="Century Gothic" w:eastAsia="Calibri" w:hAnsi="Century Gothic" w:cs="Arial"/>
          <w:color w:val="000000"/>
          <w:lang w:val="es-ES_tradnl" w:eastAsia="es-ES_tradnl"/>
        </w:rPr>
      </w:pPr>
    </w:p>
    <w:p w14:paraId="527AABED" w14:textId="77777777" w:rsidR="005518E8" w:rsidRPr="001D0052" w:rsidRDefault="005518E8" w:rsidP="005518E8">
      <w:pPr>
        <w:pStyle w:val="Prrafodelista"/>
        <w:numPr>
          <w:ilvl w:val="0"/>
          <w:numId w:val="6"/>
        </w:numPr>
        <w:tabs>
          <w:tab w:val="left" w:pos="284"/>
        </w:tabs>
        <w:spacing w:after="0" w:line="276" w:lineRule="auto"/>
        <w:ind w:left="0" w:firstLine="0"/>
        <w:jc w:val="both"/>
        <w:rPr>
          <w:rFonts w:ascii="Century Gothic" w:eastAsia="Century Gothic" w:hAnsi="Century Gothic" w:cs="Century Gothic"/>
          <w:b/>
          <w:bCs/>
        </w:rPr>
      </w:pPr>
      <w:r w:rsidRPr="001D0052">
        <w:rPr>
          <w:rFonts w:ascii="Century Gothic" w:eastAsia="Century Gothic" w:hAnsi="Century Gothic" w:cs="Century Gothic"/>
          <w:b/>
          <w:bCs/>
        </w:rPr>
        <w:t>Consideraciones</w:t>
      </w:r>
    </w:p>
    <w:p w14:paraId="47228FD2" w14:textId="77777777" w:rsidR="005518E8" w:rsidRPr="001D0052" w:rsidRDefault="005518E8" w:rsidP="005518E8">
      <w:pPr>
        <w:spacing w:after="0" w:line="276" w:lineRule="auto"/>
        <w:contextualSpacing/>
        <w:jc w:val="both"/>
        <w:rPr>
          <w:rFonts w:ascii="Century Gothic" w:eastAsia="Calibri" w:hAnsi="Century Gothic" w:cs="Arial"/>
          <w:lang w:val="es-ES" w:eastAsia="es-ES"/>
        </w:rPr>
      </w:pPr>
    </w:p>
    <w:p w14:paraId="13F43446" w14:textId="77777777" w:rsidR="005518E8" w:rsidRPr="001D0052" w:rsidRDefault="005518E8" w:rsidP="005518E8">
      <w:pPr>
        <w:spacing w:after="120" w:line="276" w:lineRule="auto"/>
        <w:jc w:val="both"/>
        <w:rPr>
          <w:rFonts w:ascii="Century Gothic" w:eastAsia="Calibri" w:hAnsi="Century Gothic" w:cs="Arial"/>
          <w:lang w:val="es-ES" w:eastAsia="es-ES"/>
        </w:rPr>
      </w:pPr>
      <w:r w:rsidRPr="001D0052">
        <w:rPr>
          <w:rFonts w:ascii="Century Gothic" w:eastAsia="Calibri" w:hAnsi="Century Gothic"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D0052">
        <w:rPr>
          <w:rFonts w:ascii="Century Gothic" w:eastAsia="Calibri" w:hAnsi="Century Gothic" w:cs="Arial"/>
          <w:lang w:val="es-ES_tradnl" w:eastAsia="es-ES_tradnl"/>
        </w:rPr>
        <w:tab/>
      </w:r>
    </w:p>
    <w:p w14:paraId="1A8611C3" w14:textId="77777777" w:rsidR="005518E8" w:rsidRPr="001D0052" w:rsidRDefault="005518E8" w:rsidP="005518E8">
      <w:pPr>
        <w:spacing w:after="120" w:line="276" w:lineRule="auto"/>
        <w:ind w:firstLine="708"/>
        <w:jc w:val="both"/>
        <w:rPr>
          <w:rFonts w:ascii="Century Gothic" w:eastAsia="Calibri" w:hAnsi="Century Gothic" w:cs="Arial"/>
          <w:lang w:val="es-ES" w:eastAsia="es-ES"/>
        </w:rPr>
      </w:pPr>
      <w:r w:rsidRPr="001D0052">
        <w:rPr>
          <w:rFonts w:ascii="Century Gothic" w:eastAsia="Calibri" w:hAnsi="Century Gothic" w:cs="Arial"/>
          <w:lang w:val="es-ES" w:eastAsia="es-ES"/>
        </w:rPr>
        <w:t xml:space="preserve">Sin perjuicio de lo anterior, en aras de satisfacer el derecho fundamental de petición, se resolverá su consulta dentro de los límites de la referida competencia consultiva, esto es, haciendo unas consideraciones sobre las normas generales relacionadas con la consulta. Para estos efectos, a continuación, se analizarán los siguientes temas: </w:t>
      </w:r>
      <w:r w:rsidRPr="001D0052">
        <w:rPr>
          <w:rFonts w:ascii="Century Gothic" w:eastAsia="Times New Roman" w:hAnsi="Century Gothic" w:cs="Arial"/>
          <w:lang w:val="es-ES" w:eastAsia="es-ES_tradnl"/>
        </w:rPr>
        <w:t>i) El contrato</w:t>
      </w:r>
      <w:r w:rsidRPr="001D0052">
        <w:rPr>
          <w:rFonts w:ascii="Century Gothic" w:eastAsia="Calibri" w:hAnsi="Century Gothic" w:cs="Arial"/>
          <w:lang w:val="es-ES_tradnl" w:eastAsia="es-ES_tradnl"/>
        </w:rPr>
        <w:t xml:space="preserve"> de prestación de servicios, los requisitos y límites para su celebración; </w:t>
      </w:r>
      <w:proofErr w:type="spellStart"/>
      <w:r w:rsidRPr="001D0052">
        <w:rPr>
          <w:rFonts w:ascii="Century Gothic" w:eastAsia="Calibri" w:hAnsi="Century Gothic" w:cs="Arial"/>
          <w:lang w:val="es-ES_tradnl" w:eastAsia="es-ES_tradnl"/>
        </w:rPr>
        <w:t>ii</w:t>
      </w:r>
      <w:proofErr w:type="spellEnd"/>
      <w:r w:rsidRPr="001D0052">
        <w:rPr>
          <w:rFonts w:ascii="Century Gothic" w:eastAsia="Calibri" w:hAnsi="Century Gothic" w:cs="Arial"/>
          <w:lang w:val="es-ES_tradnl" w:eastAsia="es-ES_tradnl"/>
        </w:rPr>
        <w:t xml:space="preserve">) la </w:t>
      </w:r>
      <w:r w:rsidRPr="001D0052">
        <w:rPr>
          <w:rFonts w:ascii="Century Gothic" w:eastAsia="Times New Roman" w:hAnsi="Century Gothic" w:cs="Arial"/>
          <w:lang w:eastAsia="es-ES_tradnl"/>
        </w:rPr>
        <w:t>fijación de los honorarios en los contratos de prestación de</w:t>
      </w:r>
      <w:r w:rsidRPr="001D0052">
        <w:rPr>
          <w:rFonts w:ascii="Century Gothic" w:eastAsia="Times New Roman" w:hAnsi="Century Gothic" w:cs="Arial"/>
          <w:spacing w:val="-13"/>
          <w:lang w:eastAsia="es-ES_tradnl"/>
        </w:rPr>
        <w:t xml:space="preserve"> </w:t>
      </w:r>
      <w:r w:rsidRPr="001D0052">
        <w:rPr>
          <w:rFonts w:ascii="Century Gothic" w:eastAsia="Times New Roman" w:hAnsi="Century Gothic" w:cs="Arial"/>
          <w:lang w:eastAsia="es-ES_tradnl"/>
        </w:rPr>
        <w:t xml:space="preserve">servicios y; </w:t>
      </w:r>
      <w:proofErr w:type="spellStart"/>
      <w:r w:rsidRPr="001D0052">
        <w:rPr>
          <w:rFonts w:ascii="Century Gothic" w:eastAsia="Times New Roman" w:hAnsi="Century Gothic" w:cs="Arial"/>
          <w:lang w:eastAsia="es-ES_tradnl"/>
        </w:rPr>
        <w:t>iii</w:t>
      </w:r>
      <w:proofErr w:type="spellEnd"/>
      <w:r w:rsidRPr="001D0052">
        <w:rPr>
          <w:rFonts w:ascii="Century Gothic" w:eastAsia="Times New Roman" w:hAnsi="Century Gothic" w:cs="Arial"/>
          <w:lang w:eastAsia="es-ES_tradnl"/>
        </w:rPr>
        <w:t xml:space="preserve">) los aportes a seguridad social en el marco de un contrato de prestación de servicios. </w:t>
      </w:r>
    </w:p>
    <w:p w14:paraId="24641F63" w14:textId="77777777" w:rsidR="005518E8" w:rsidRPr="001D0052" w:rsidRDefault="005518E8" w:rsidP="005518E8">
      <w:pPr>
        <w:spacing w:after="120" w:line="276" w:lineRule="auto"/>
        <w:ind w:firstLine="708"/>
        <w:jc w:val="both"/>
        <w:rPr>
          <w:rFonts w:ascii="Century Gothic" w:eastAsia="Calibri" w:hAnsi="Century Gothic" w:cs="Arial"/>
          <w:lang w:val="es-ES" w:eastAsia="es-ES"/>
        </w:rPr>
      </w:pPr>
      <w:r w:rsidRPr="001D0052">
        <w:rPr>
          <w:rFonts w:ascii="Century Gothic" w:eastAsia="Calibri" w:hAnsi="Century Gothic" w:cs="Arial"/>
          <w:lang w:val="es-ES" w:eastAsia="es-ES"/>
        </w:rPr>
        <w:t xml:space="preserve">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w:t>
      </w:r>
      <w:r w:rsidRPr="001D0052">
        <w:rPr>
          <w:rFonts w:ascii="Century Gothic" w:eastAsia="Calibri" w:hAnsi="Century Gothic" w:cs="Arial"/>
          <w:lang w:val="es-ES" w:eastAsia="es-ES"/>
        </w:rPr>
        <w:lastRenderedPageBreak/>
        <w:t xml:space="preserve">C−685 del 18 de diciembre de 2020, C- 004 del 12 de febrero de 2021, C−106 del 7 de abril de 2021, C-181 del  07 de abril de 2022, C-214 del 22 de abril de 2022 y C-491 de 01 de agosto de 2022. </w:t>
      </w:r>
    </w:p>
    <w:p w14:paraId="3014DFA0" w14:textId="77777777" w:rsidR="005518E8" w:rsidRPr="001D0052" w:rsidRDefault="005518E8" w:rsidP="005518E8">
      <w:pPr>
        <w:spacing w:after="0" w:line="276" w:lineRule="auto"/>
        <w:ind w:firstLine="709"/>
        <w:jc w:val="both"/>
        <w:rPr>
          <w:rFonts w:ascii="Century Gothic" w:eastAsia="Calibri" w:hAnsi="Century Gothic" w:cs="Arial"/>
          <w:lang w:val="es-ES" w:eastAsia="es-ES"/>
        </w:rPr>
      </w:pPr>
      <w:r w:rsidRPr="001D0052">
        <w:rPr>
          <w:rFonts w:ascii="Century Gothic" w:eastAsia="Times New Roman" w:hAnsi="Century Gothic" w:cs="Arial"/>
          <w:lang w:eastAsia="es-ES_tradnl"/>
        </w:rPr>
        <w:t xml:space="preserve">Así mismo, </w:t>
      </w:r>
      <w:r w:rsidRPr="001D0052">
        <w:rPr>
          <w:rFonts w:ascii="Century Gothic" w:eastAsia="Calibri" w:hAnsi="Century Gothic" w:cs="Arial"/>
          <w:lang w:val="es-ES" w:eastAsia="es-ES"/>
        </w:rPr>
        <w:t xml:space="preserve">esta Subdirección ha sido estudiado la </w:t>
      </w:r>
      <w:r w:rsidRPr="001D0052">
        <w:rPr>
          <w:rFonts w:ascii="Century Gothic" w:eastAsia="Calibri" w:hAnsi="Century Gothic" w:cs="Arial"/>
        </w:rPr>
        <w:t>verificación del pago de la Seguridad Social en los contratos</w:t>
      </w:r>
      <w:r w:rsidRPr="001D0052">
        <w:rPr>
          <w:rFonts w:ascii="Century Gothic" w:eastAsia="Calibri" w:hAnsi="Century Gothic" w:cs="Arial"/>
          <w:lang w:val="es-ES" w:eastAsia="es-ES"/>
        </w:rPr>
        <w:t xml:space="preserve"> en los conceptos con</w:t>
      </w:r>
      <w:r w:rsidRPr="001D0052">
        <w:rPr>
          <w:rFonts w:ascii="Century Gothic" w:hAnsi="Century Gothic"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 y C-679 del 14 de octubre de 2022</w:t>
      </w:r>
      <w:r w:rsidRPr="001D0052">
        <w:rPr>
          <w:rFonts w:ascii="Century Gothic" w:eastAsia="Calibri" w:hAnsi="Century Gothic" w:cs="Arial"/>
          <w:vertAlign w:val="superscript"/>
          <w:lang w:val="es-ES" w:eastAsia="es-ES"/>
        </w:rPr>
        <w:footnoteReference w:id="2"/>
      </w:r>
      <w:r w:rsidRPr="001D0052">
        <w:rPr>
          <w:rFonts w:ascii="Century Gothic" w:eastAsia="Calibri" w:hAnsi="Century Gothic" w:cs="Arial"/>
          <w:lang w:val="es-ES" w:eastAsia="es-ES"/>
        </w:rPr>
        <w:t xml:space="preserve">. La tesis expuesta en estos conceptos se reitera y se complementa en lo pertinente en el presente escrito. </w:t>
      </w:r>
    </w:p>
    <w:p w14:paraId="2BD3BB9E" w14:textId="77777777" w:rsidR="005518E8" w:rsidRPr="001D0052" w:rsidRDefault="005518E8" w:rsidP="005518E8">
      <w:pPr>
        <w:spacing w:after="0" w:line="276" w:lineRule="auto"/>
        <w:ind w:firstLine="709"/>
        <w:contextualSpacing/>
        <w:jc w:val="both"/>
        <w:rPr>
          <w:rFonts w:ascii="Century Gothic" w:eastAsia="Calibri" w:hAnsi="Century Gothic" w:cs="Arial"/>
          <w:lang w:val="es-ES" w:eastAsia="es-ES"/>
        </w:rPr>
      </w:pPr>
    </w:p>
    <w:p w14:paraId="74D1629A" w14:textId="77777777" w:rsidR="005518E8" w:rsidRPr="001D0052" w:rsidRDefault="005518E8" w:rsidP="005518E8">
      <w:pPr>
        <w:pStyle w:val="Prrafodelista"/>
        <w:numPr>
          <w:ilvl w:val="0"/>
          <w:numId w:val="7"/>
        </w:numPr>
        <w:tabs>
          <w:tab w:val="left" w:pos="426"/>
        </w:tabs>
        <w:spacing w:after="0" w:line="276" w:lineRule="auto"/>
        <w:jc w:val="both"/>
        <w:rPr>
          <w:rFonts w:ascii="Century Gothic" w:eastAsia="Yu Gothic UI Semibold" w:hAnsi="Century Gothic" w:cs="Arial"/>
          <w:b/>
          <w:bCs/>
          <w:color w:val="000000"/>
          <w:lang w:val="es-ES_tradnl"/>
        </w:rPr>
      </w:pPr>
      <w:r w:rsidRPr="001D0052">
        <w:rPr>
          <w:rFonts w:ascii="Century Gothic" w:hAnsi="Century Gothic" w:cs="Arial"/>
          <w:b/>
          <w:bCs/>
          <w:color w:val="000000"/>
          <w:lang w:val="es-ES_tradnl"/>
        </w:rPr>
        <w:t>Características generales del contrato de prestación de servicios. Reiteración de línea</w:t>
      </w:r>
    </w:p>
    <w:p w14:paraId="1FC0B5B8" w14:textId="77777777" w:rsidR="005518E8" w:rsidRPr="001D0052" w:rsidRDefault="005518E8" w:rsidP="005518E8">
      <w:pPr>
        <w:spacing w:after="0" w:line="276" w:lineRule="auto"/>
        <w:contextualSpacing/>
        <w:jc w:val="both"/>
        <w:rPr>
          <w:rFonts w:ascii="Century Gothic" w:eastAsia="Calibri" w:hAnsi="Century Gothic" w:cs="Arial"/>
          <w:lang w:val="es-ES_tradnl"/>
        </w:rPr>
      </w:pPr>
    </w:p>
    <w:p w14:paraId="3F080C6A" w14:textId="77777777" w:rsidR="005518E8" w:rsidRPr="001D0052" w:rsidRDefault="005518E8" w:rsidP="005518E8">
      <w:pPr>
        <w:spacing w:after="0" w:line="276" w:lineRule="auto"/>
        <w:jc w:val="both"/>
        <w:rPr>
          <w:rFonts w:ascii="Century Gothic" w:eastAsia="Calibri" w:hAnsi="Century Gothic" w:cs="Arial"/>
          <w:lang w:val="es-ES_tradnl" w:eastAsia="es-ES_tradnl"/>
        </w:rPr>
      </w:pPr>
      <w:r w:rsidRPr="001D0052">
        <w:rPr>
          <w:rFonts w:ascii="Century Gothic" w:eastAsia="Calibri" w:hAnsi="Century Gothic" w:cs="Arial"/>
          <w:lang w:val="es-ES_tradnl" w:eastAsia="es-ES_tradnl"/>
        </w:rPr>
        <w:t>El contrato de prestación de servicios es uno de los tipos contractuales consagrados en el Estatuto General de Contratación de la administración Pública – EGCAP – que pueden celebrar las Entidades Estatales. Se trata de un contrato típico, ya que se encuentra definido en la ley. Concretamente, el numeral 3° del artículo 32 de la Ley 80 de 1993, establece:</w:t>
      </w:r>
    </w:p>
    <w:p w14:paraId="32D11DAB" w14:textId="77777777" w:rsidR="005518E8" w:rsidRPr="001D0052" w:rsidRDefault="005518E8" w:rsidP="005518E8">
      <w:pPr>
        <w:spacing w:after="0" w:line="240" w:lineRule="auto"/>
        <w:ind w:left="709" w:right="709"/>
        <w:jc w:val="both"/>
        <w:rPr>
          <w:rFonts w:ascii="Century Gothic" w:eastAsia="Calibri" w:hAnsi="Century Gothic" w:cs="Arial"/>
          <w:color w:val="000000"/>
          <w:lang w:val="es-ES_tradnl" w:eastAsia="es-ES_tradnl"/>
        </w:rPr>
      </w:pPr>
    </w:p>
    <w:p w14:paraId="1B6BF6D3" w14:textId="77777777" w:rsidR="005518E8" w:rsidRPr="001D0052" w:rsidRDefault="005518E8" w:rsidP="005518E8">
      <w:pPr>
        <w:spacing w:after="0" w:line="240" w:lineRule="auto"/>
        <w:ind w:left="709" w:right="709"/>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 xml:space="preserve">“Son contratos de prestación de servicios los que celebren las entidades estatales para desarrollar actividades relacionadas con la </w:t>
      </w:r>
      <w:r w:rsidRPr="001D0052">
        <w:rPr>
          <w:rFonts w:ascii="Century Gothic" w:eastAsia="Calibri" w:hAnsi="Century Gothic" w:cs="Arial"/>
          <w:i/>
          <w:iCs/>
          <w:color w:val="000000"/>
          <w:sz w:val="20"/>
          <w:szCs w:val="20"/>
          <w:lang w:val="es-ES_tradnl" w:eastAsia="es-ES_tradnl"/>
        </w:rPr>
        <w:t>administración o funcionamiento de la entidad.</w:t>
      </w:r>
      <w:r w:rsidRPr="001D0052">
        <w:rPr>
          <w:rFonts w:ascii="Century Gothic" w:eastAsia="Calibri" w:hAnsi="Century Gothic" w:cs="Arial"/>
          <w:color w:val="000000"/>
          <w:sz w:val="20"/>
          <w:szCs w:val="20"/>
          <w:lang w:val="es-ES_tradnl" w:eastAsia="es-ES_tradnl"/>
        </w:rPr>
        <w:t xml:space="preserve"> Estos contratos sólo podrán celebrarse con personas naturales cuando dichas actividades no puedan realizarse con personal de planta o requieran conocimientos especializados.</w:t>
      </w:r>
    </w:p>
    <w:p w14:paraId="17E8BDFE" w14:textId="77777777" w:rsidR="005518E8" w:rsidRPr="001D0052" w:rsidRDefault="005518E8" w:rsidP="005518E8">
      <w:pPr>
        <w:spacing w:after="0" w:line="240" w:lineRule="auto"/>
        <w:ind w:left="709" w:right="709"/>
        <w:jc w:val="both"/>
        <w:rPr>
          <w:rFonts w:ascii="Century Gothic" w:eastAsia="Calibri" w:hAnsi="Century Gothic" w:cs="Arial"/>
          <w:color w:val="000000"/>
          <w:sz w:val="20"/>
          <w:szCs w:val="20"/>
          <w:lang w:val="es-ES_tradnl" w:eastAsia="es-ES_tradnl"/>
        </w:rPr>
      </w:pPr>
    </w:p>
    <w:p w14:paraId="56CD7BBC" w14:textId="77777777" w:rsidR="005518E8" w:rsidRPr="001D0052" w:rsidRDefault="005518E8" w:rsidP="005518E8">
      <w:pPr>
        <w:spacing w:after="0" w:line="240" w:lineRule="auto"/>
        <w:ind w:left="709" w:right="709"/>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En ningún caso estos contratos generan relación laboral ni prestaciones sociales y se celebrarán por el término estrictamente indispensable”.</w:t>
      </w:r>
    </w:p>
    <w:p w14:paraId="2410B98F" w14:textId="77777777" w:rsidR="005518E8" w:rsidRPr="001D0052" w:rsidRDefault="005518E8" w:rsidP="005518E8">
      <w:pPr>
        <w:tabs>
          <w:tab w:val="left" w:pos="284"/>
        </w:tabs>
        <w:spacing w:after="0" w:line="276" w:lineRule="auto"/>
        <w:jc w:val="both"/>
        <w:rPr>
          <w:rFonts w:ascii="Century Gothic" w:eastAsia="Calibri" w:hAnsi="Century Gothic" w:cs="Arial"/>
          <w:b/>
          <w:color w:val="000000"/>
          <w:lang w:val="es-ES_tradnl" w:eastAsia="es-ES_tradnl"/>
        </w:rPr>
      </w:pPr>
    </w:p>
    <w:p w14:paraId="30AB69C2" w14:textId="77777777" w:rsidR="005518E8" w:rsidRPr="001D0052" w:rsidRDefault="005518E8" w:rsidP="005518E8">
      <w:pPr>
        <w:spacing w:after="0" w:line="276" w:lineRule="auto"/>
        <w:ind w:firstLine="709"/>
        <w:jc w:val="both"/>
        <w:rPr>
          <w:rFonts w:ascii="Century Gothic" w:eastAsia="Calibri" w:hAnsi="Century Gothic" w:cs="Arial"/>
          <w:color w:val="000000"/>
          <w:lang w:val="es-ES" w:eastAsia="es-ES"/>
        </w:rPr>
      </w:pPr>
      <w:r w:rsidRPr="001D0052">
        <w:rPr>
          <w:rFonts w:ascii="Century Gothic" w:eastAsia="Calibri" w:hAnsi="Century Gothic" w:cs="Arial"/>
          <w:color w:val="000000" w:themeColor="text1"/>
          <w:lang w:val="es-ES" w:eastAsia="es-ES"/>
        </w:rPr>
        <w:t>De otro lado, la celebración de dicho contrato se debe efectuar a través de la modalidad de la contratación directa. Así lo prevé el artículo 2, numeral 4º, literal h), de la Ley 1150 de 2007, que dispone:</w:t>
      </w:r>
    </w:p>
    <w:p w14:paraId="3B0503E7"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4A73993F"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w:t>
      </w:r>
    </w:p>
    <w:p w14:paraId="4FCAE80B"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3634C5E3"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 w:eastAsia="es-ES"/>
        </w:rPr>
      </w:pPr>
      <w:r w:rsidRPr="001D0052">
        <w:rPr>
          <w:rFonts w:ascii="Century Gothic" w:eastAsia="Calibri" w:hAnsi="Century Gothic" w:cs="Arial"/>
          <w:color w:val="000000" w:themeColor="text1"/>
          <w:sz w:val="20"/>
          <w:szCs w:val="20"/>
          <w:lang w:val="es-ES" w:eastAsia="es-ES"/>
        </w:rPr>
        <w:t>Contratación directa. La modalidad de selección de contratación directa, solamente procederá en los siguientes casos:</w:t>
      </w:r>
    </w:p>
    <w:p w14:paraId="219871C7"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7051B0BD"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w:t>
      </w:r>
    </w:p>
    <w:p w14:paraId="08F62D83"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673CAEF6"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 xml:space="preserve">h) Para la prestación de servicios profesionales y de apoyo a la gestión, o para la ejecución de trabajos artísticos que sólo puedan encomendarse a determinadas personas naturales; </w:t>
      </w:r>
    </w:p>
    <w:p w14:paraId="1E11124C"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0FF7BBEA"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w:t>
      </w:r>
    </w:p>
    <w:p w14:paraId="2DF0AC5E" w14:textId="77777777" w:rsidR="005518E8" w:rsidRPr="001D0052" w:rsidRDefault="005518E8" w:rsidP="005518E8">
      <w:pPr>
        <w:spacing w:after="0" w:line="276" w:lineRule="auto"/>
        <w:ind w:right="709"/>
        <w:jc w:val="both"/>
        <w:rPr>
          <w:rFonts w:ascii="Century Gothic" w:eastAsia="Calibri" w:hAnsi="Century Gothic" w:cs="Arial"/>
          <w:color w:val="000000"/>
          <w:lang w:val="es-ES_tradnl" w:eastAsia="es-ES_tradnl"/>
        </w:rPr>
      </w:pPr>
    </w:p>
    <w:p w14:paraId="05115A02"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5B6B9A0"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i) Solo puede celebrarse para realizar “actividades relacionadas con la administración o funcionamiento de la entidad”, es decir, que hagan parte de su giro ordinario o quehacer cotidiano.</w:t>
      </w:r>
    </w:p>
    <w:p w14:paraId="4DFBD9C2"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lang w:val="es-ES" w:eastAsia="es-ES"/>
        </w:rPr>
        <w:t>ii</w:t>
      </w:r>
      <w:proofErr w:type="spellEnd"/>
      <w:r w:rsidRPr="001D0052">
        <w:rPr>
          <w:rFonts w:ascii="Century Gothic" w:eastAsia="Calibri" w:hAnsi="Century Gothic" w:cs="Arial"/>
          <w:color w:val="000000"/>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1D0052">
        <w:rPr>
          <w:rFonts w:ascii="Century Gothic" w:eastAsia="Calibri" w:hAnsi="Century Gothic" w:cs="Arial"/>
          <w:color w:val="000000"/>
          <w:vertAlign w:val="superscript"/>
          <w:lang w:val="es-ES" w:eastAsia="es-ES"/>
        </w:rPr>
        <w:footnoteReference w:id="3"/>
      </w:r>
      <w:r w:rsidRPr="001D0052">
        <w:rPr>
          <w:rFonts w:ascii="Century Gothic" w:eastAsia="Calibri" w:hAnsi="Century Gothic" w:cs="Arial"/>
          <w:color w:val="000000"/>
          <w:lang w:val="es-ES" w:eastAsia="es-ES"/>
        </w:rPr>
        <w:t xml:space="preserve">. Esto puede suceder en varios eventos, como, por ejemplo, que efectivamente, no exista el personal de planta para encargarse de dichas labores; que exista, pero que está sobrecargado de trabajo, requiriéndose, por tanto, un apoyo externo; o que haya </w:t>
      </w:r>
      <w:r w:rsidRPr="001D0052">
        <w:rPr>
          <w:rFonts w:ascii="Century Gothic" w:eastAsia="Calibri" w:hAnsi="Century Gothic" w:cs="Arial"/>
          <w:color w:val="000000"/>
          <w:lang w:val="es-ES" w:eastAsia="es-ES"/>
        </w:rPr>
        <w:lastRenderedPageBreak/>
        <w:t>personal de planta, pero no tenga la experticia o conocimiento especializado en la materia, y que, por esta razón, sea necesario contratar los servicios de una persona natural que posea conocimiento y experiencia en el tema.</w:t>
      </w:r>
    </w:p>
    <w:p w14:paraId="51DDCEE0"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lang w:val="es-ES" w:eastAsia="es-ES"/>
        </w:rPr>
        <w:t>iii</w:t>
      </w:r>
      <w:proofErr w:type="spellEnd"/>
      <w:r w:rsidRPr="001D0052">
        <w:rPr>
          <w:rFonts w:ascii="Century Gothic" w:eastAsia="Calibri" w:hAnsi="Century Gothic" w:cs="Arial"/>
          <w:color w:val="000000"/>
          <w:lang w:val="es-ES" w:eastAsia="es-ES"/>
        </w:rPr>
        <w:t>) Si bien se celebran para obtener la prestación personal de un servicio, se diferencian del contrato de trabajo</w:t>
      </w:r>
      <w:r w:rsidRPr="001D0052">
        <w:rPr>
          <w:rFonts w:ascii="Century Gothic" w:eastAsia="Calibri" w:hAnsi="Century Gothic" w:cs="Arial"/>
          <w:color w:val="000000"/>
          <w:vertAlign w:val="superscript"/>
          <w:lang w:val="es-ES" w:eastAsia="es-ES"/>
        </w:rPr>
        <w:footnoteReference w:id="4"/>
      </w:r>
      <w:r w:rsidRPr="001D0052">
        <w:rPr>
          <w:rFonts w:ascii="Century Gothic" w:eastAsia="Calibri" w:hAnsi="Century Gothic" w:cs="Arial"/>
          <w:color w:val="000000"/>
          <w:lang w:val="es-ES" w:eastAsia="es-ES"/>
        </w:rPr>
        <w:t xml:space="preserve"> en que quien celebra el contrato de prestación de servicios debe mantener autonomía e independencia en la ejecución de la labor, lo que significa que no puede existir la </w:t>
      </w:r>
      <w:r w:rsidRPr="001D0052">
        <w:rPr>
          <w:rFonts w:ascii="Century Gothic" w:eastAsia="Calibri" w:hAnsi="Century Gothic" w:cs="Arial"/>
          <w:i/>
          <w:iCs/>
          <w:color w:val="000000"/>
          <w:lang w:val="es-ES" w:eastAsia="es-ES"/>
        </w:rPr>
        <w:t>subordinación y dependencia</w:t>
      </w:r>
      <w:r w:rsidRPr="001D0052">
        <w:rPr>
          <w:rFonts w:ascii="Century Gothic" w:eastAsia="Calibri" w:hAnsi="Century Gothic" w:cs="Arial"/>
          <w:color w:val="000000"/>
          <w:lang w:val="es-ES" w:eastAsia="es-ES"/>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1D0052">
        <w:rPr>
          <w:rFonts w:ascii="Century Gothic" w:eastAsia="Calibri" w:hAnsi="Century Gothic" w:cs="Arial"/>
          <w:i/>
          <w:iCs/>
          <w:color w:val="000000"/>
          <w:lang w:val="es-ES" w:eastAsia="es-ES"/>
        </w:rPr>
        <w:t>no pueden</w:t>
      </w:r>
      <w:r w:rsidRPr="001D0052">
        <w:rPr>
          <w:rFonts w:ascii="Century Gothic" w:eastAsia="Calibri" w:hAnsi="Century Gothic" w:cs="Arial"/>
          <w:color w:val="000000"/>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1D0052">
        <w:rPr>
          <w:rFonts w:ascii="Century Gothic" w:eastAsia="Calibri" w:hAnsi="Century Gothic" w:cs="Arial"/>
          <w:i/>
          <w:iCs/>
          <w:color w:val="000000"/>
          <w:lang w:val="es-ES" w:eastAsia="es-ES"/>
        </w:rPr>
        <w:t>contrato realidad</w:t>
      </w:r>
      <w:r w:rsidRPr="001D0052">
        <w:rPr>
          <w:rFonts w:ascii="Century Gothic" w:eastAsia="Calibri" w:hAnsi="Century Gothic" w:cs="Arial"/>
          <w:color w:val="000000"/>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1D0052">
        <w:rPr>
          <w:rFonts w:ascii="Century Gothic" w:eastAsia="Calibri" w:hAnsi="Century Gothic" w:cs="Arial"/>
          <w:color w:val="000000"/>
          <w:vertAlign w:val="superscript"/>
          <w:lang w:val="es-ES" w:eastAsia="es-ES"/>
        </w:rPr>
        <w:footnoteReference w:id="5"/>
      </w:r>
      <w:r w:rsidRPr="001D0052">
        <w:rPr>
          <w:rFonts w:ascii="Century Gothic" w:eastAsia="Calibri" w:hAnsi="Century Gothic" w:cs="Arial"/>
          <w:color w:val="000000"/>
          <w:lang w:val="es-ES" w:eastAsia="es-ES"/>
        </w:rPr>
        <w:t>.</w:t>
      </w:r>
    </w:p>
    <w:p w14:paraId="45565AB1" w14:textId="77777777" w:rsidR="005518E8" w:rsidRPr="001D0052" w:rsidRDefault="005518E8" w:rsidP="005518E8">
      <w:pPr>
        <w:spacing w:after="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themeColor="text1"/>
          <w:lang w:val="es-ES" w:eastAsia="es-ES"/>
        </w:rPr>
        <w:t>iv</w:t>
      </w:r>
      <w:proofErr w:type="spellEnd"/>
      <w:r w:rsidRPr="001D0052">
        <w:rPr>
          <w:rFonts w:ascii="Century Gothic" w:eastAsia="Calibri" w:hAnsi="Century Gothic" w:cs="Arial"/>
          <w:color w:val="000000" w:themeColor="text1"/>
          <w:lang w:val="es-ES" w:eastAsia="es-ES"/>
        </w:rPr>
        <w:t>) Deben ser temporales. Así lo señaló la Corte Constitucional en la misma providencia a la que se aludió previamente, expresando que:</w:t>
      </w:r>
    </w:p>
    <w:p w14:paraId="1CE200AF"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2540FEE3"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lastRenderedPageBreak/>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D0052">
        <w:rPr>
          <w:rFonts w:ascii="Century Gothic" w:eastAsia="Calibri" w:hAnsi="Century Gothic" w:cs="Arial"/>
          <w:color w:val="000000"/>
          <w:sz w:val="20"/>
          <w:szCs w:val="20"/>
          <w:vertAlign w:val="superscript"/>
          <w:lang w:val="es-ES_tradnl" w:eastAsia="es-ES_tradnl"/>
        </w:rPr>
        <w:footnoteReference w:id="6"/>
      </w:r>
      <w:r w:rsidRPr="001D0052">
        <w:rPr>
          <w:rFonts w:ascii="Century Gothic" w:eastAsia="Calibri" w:hAnsi="Century Gothic" w:cs="Arial"/>
          <w:color w:val="000000"/>
          <w:sz w:val="20"/>
          <w:szCs w:val="20"/>
          <w:lang w:val="es-ES_tradnl" w:eastAsia="es-ES_tradnl"/>
        </w:rPr>
        <w:t>.</w:t>
      </w:r>
    </w:p>
    <w:p w14:paraId="497EFE9D"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27FAB70F" w14:textId="77777777" w:rsidR="005518E8" w:rsidRPr="001D0052" w:rsidRDefault="005518E8" w:rsidP="005518E8">
      <w:pPr>
        <w:spacing w:after="0" w:line="276" w:lineRule="auto"/>
        <w:ind w:firstLine="709"/>
        <w:jc w:val="both"/>
        <w:rPr>
          <w:rFonts w:ascii="Century Gothic" w:eastAsia="Calibri" w:hAnsi="Century Gothic" w:cs="Arial"/>
          <w:color w:val="000000"/>
          <w:lang w:val="es-ES" w:eastAsia="es-ES"/>
        </w:rPr>
      </w:pPr>
      <w:r w:rsidRPr="001D0052">
        <w:rPr>
          <w:rFonts w:ascii="Century Gothic" w:eastAsia="Calibri" w:hAnsi="Century Gothic" w:cs="Arial"/>
          <w:color w:val="000000"/>
          <w:lang w:val="es-ES" w:eastAsia="es-ES"/>
        </w:rPr>
        <w:t xml:space="preserve">v) Los contratos de prestación de servicios constituyen un </w:t>
      </w:r>
      <w:r w:rsidRPr="001D0052">
        <w:rPr>
          <w:rFonts w:ascii="Century Gothic" w:eastAsia="Calibri" w:hAnsi="Century Gothic" w:cs="Arial"/>
          <w:i/>
          <w:iCs/>
          <w:color w:val="000000"/>
          <w:lang w:val="es-ES" w:eastAsia="es-ES"/>
        </w:rPr>
        <w:t>género</w:t>
      </w:r>
      <w:r w:rsidRPr="001D0052">
        <w:rPr>
          <w:rFonts w:ascii="Century Gothic" w:eastAsia="Calibri" w:hAnsi="Century Gothic" w:cs="Arial"/>
          <w:color w:val="000000"/>
          <w:lang w:val="es-ES" w:eastAsia="es-ES"/>
        </w:rPr>
        <w:t xml:space="preserve"> que incluye, como </w:t>
      </w:r>
      <w:r w:rsidRPr="001D0052">
        <w:rPr>
          <w:rFonts w:ascii="Century Gothic" w:eastAsia="Calibri" w:hAnsi="Century Gothic" w:cs="Arial"/>
          <w:i/>
          <w:iCs/>
          <w:color w:val="000000"/>
          <w:lang w:val="es-ES" w:eastAsia="es-ES"/>
        </w:rPr>
        <w:t>especies</w:t>
      </w:r>
      <w:r w:rsidRPr="001D0052">
        <w:rPr>
          <w:rFonts w:ascii="Century Gothic" w:eastAsia="Calibri" w:hAnsi="Century Gothic"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1D0052">
        <w:rPr>
          <w:rFonts w:ascii="Century Gothic" w:eastAsia="Calibri" w:hAnsi="Century Gothic" w:cs="Arial"/>
          <w:color w:val="000000"/>
          <w:vertAlign w:val="superscript"/>
          <w:lang w:val="es-ES" w:eastAsia="es-ES"/>
        </w:rPr>
        <w:footnoteReference w:id="7"/>
      </w:r>
      <w:r w:rsidRPr="001D0052">
        <w:rPr>
          <w:rFonts w:ascii="Century Gothic" w:eastAsia="Calibri" w:hAnsi="Century Gothic" w:cs="Arial"/>
          <w:color w:val="000000"/>
          <w:lang w:val="es-ES" w:eastAsia="es-ES"/>
        </w:rPr>
        <w:t xml:space="preserve">. La diferencia entre el contrato de prestación de servicios </w:t>
      </w:r>
      <w:r w:rsidRPr="001D0052">
        <w:rPr>
          <w:rFonts w:ascii="Century Gothic" w:eastAsia="Calibri" w:hAnsi="Century Gothic" w:cs="Arial"/>
          <w:i/>
          <w:iCs/>
          <w:color w:val="000000"/>
          <w:lang w:val="es-ES" w:eastAsia="es-ES"/>
        </w:rPr>
        <w:t>profesionales</w:t>
      </w:r>
      <w:r w:rsidRPr="001D0052">
        <w:rPr>
          <w:rFonts w:ascii="Century Gothic" w:eastAsia="Calibri" w:hAnsi="Century Gothic" w:cs="Arial"/>
          <w:color w:val="000000"/>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84D951C"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335E4B22"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w:t>
      </w:r>
      <w:r w:rsidRPr="001D0052">
        <w:rPr>
          <w:rFonts w:ascii="Century Gothic" w:eastAsia="Calibri" w:hAnsi="Century Gothic" w:cs="Arial"/>
          <w:color w:val="000000"/>
          <w:sz w:val="20"/>
          <w:szCs w:val="20"/>
          <w:lang w:val="es-ES_tradnl" w:eastAsia="es-ES_tradnl"/>
        </w:rPr>
        <w:lastRenderedPageBreak/>
        <w:t>Se caracteriza por demandar un conocimiento intelectivo cualificado: el saber profesional”</w:t>
      </w:r>
      <w:r w:rsidRPr="001D0052">
        <w:rPr>
          <w:rFonts w:ascii="Century Gothic" w:eastAsia="Calibri" w:hAnsi="Century Gothic" w:cs="Arial"/>
          <w:color w:val="000000"/>
          <w:sz w:val="20"/>
          <w:szCs w:val="20"/>
          <w:vertAlign w:val="superscript"/>
          <w:lang w:val="es-ES_tradnl" w:eastAsia="es-ES_tradnl"/>
        </w:rPr>
        <w:footnoteReference w:id="8"/>
      </w:r>
      <w:r w:rsidRPr="001D0052">
        <w:rPr>
          <w:rFonts w:ascii="Century Gothic" w:eastAsia="Calibri" w:hAnsi="Century Gothic" w:cs="Arial"/>
          <w:color w:val="000000"/>
          <w:sz w:val="20"/>
          <w:szCs w:val="20"/>
          <w:lang w:val="es-ES_tradnl" w:eastAsia="es-ES_tradnl"/>
        </w:rPr>
        <w:t>.</w:t>
      </w:r>
    </w:p>
    <w:p w14:paraId="437529C6"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00D06348"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Objeto que, según la sentencia que se cita, se diferencia del objeto del contrato de prestación de servicios de apoyo a la gestión, porque en este:</w:t>
      </w:r>
    </w:p>
    <w:p w14:paraId="557D662B"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46C5757C"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038F0A3"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437467D8"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 w:eastAsia="es-ES"/>
        </w:rPr>
      </w:pPr>
      <w:r w:rsidRPr="001D0052">
        <w:rPr>
          <w:rFonts w:ascii="Century Gothic" w:eastAsia="Calibri" w:hAnsi="Century Gothic" w:cs="Arial"/>
          <w:color w:val="000000" w:themeColor="text1"/>
          <w:sz w:val="20"/>
          <w:szCs w:val="20"/>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63C0A002"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p>
    <w:p w14:paraId="6FC7650F"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1D0052">
        <w:rPr>
          <w:rFonts w:ascii="Century Gothic" w:eastAsia="Calibri" w:hAnsi="Century Gothic" w:cs="Arial"/>
          <w:color w:val="000000"/>
          <w:sz w:val="20"/>
          <w:szCs w:val="20"/>
          <w:vertAlign w:val="superscript"/>
          <w:lang w:val="es-ES_tradnl" w:eastAsia="es-ES_tradnl"/>
        </w:rPr>
        <w:footnoteReference w:id="9"/>
      </w:r>
      <w:r w:rsidRPr="001D0052">
        <w:rPr>
          <w:rFonts w:ascii="Century Gothic" w:eastAsia="Calibri" w:hAnsi="Century Gothic" w:cs="Arial"/>
          <w:color w:val="000000"/>
          <w:sz w:val="20"/>
          <w:szCs w:val="20"/>
          <w:lang w:val="es-ES_tradnl" w:eastAsia="es-ES_tradnl"/>
        </w:rPr>
        <w:t>.</w:t>
      </w:r>
    </w:p>
    <w:p w14:paraId="4F7CE5B6"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p>
    <w:p w14:paraId="05855B4D" w14:textId="77777777" w:rsidR="005518E8" w:rsidRPr="001D0052" w:rsidRDefault="005518E8" w:rsidP="005518E8">
      <w:pPr>
        <w:spacing w:after="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En relación con el contrato de prestación de servicios artísticos que solo pueden encomendarse a determinadas personas naturales, señala el mencionado fallo que:</w:t>
      </w:r>
    </w:p>
    <w:p w14:paraId="680C46D4" w14:textId="77777777" w:rsidR="005518E8" w:rsidRPr="001D0052" w:rsidRDefault="005518E8" w:rsidP="005518E8">
      <w:pPr>
        <w:spacing w:after="0" w:line="276" w:lineRule="auto"/>
        <w:ind w:left="709" w:right="709"/>
        <w:jc w:val="both"/>
        <w:rPr>
          <w:rFonts w:ascii="Century Gothic" w:eastAsia="Calibri" w:hAnsi="Century Gothic" w:cs="Arial"/>
          <w:color w:val="000000"/>
          <w:lang w:val="es-ES_tradnl" w:eastAsia="es-ES_tradnl"/>
        </w:rPr>
      </w:pPr>
    </w:p>
    <w:p w14:paraId="3A061326" w14:textId="77777777" w:rsidR="005518E8" w:rsidRPr="001D0052" w:rsidRDefault="005518E8" w:rsidP="005518E8">
      <w:pPr>
        <w:spacing w:after="0" w:line="240" w:lineRule="auto"/>
        <w:ind w:left="709" w:right="709"/>
        <w:contextualSpacing/>
        <w:jc w:val="both"/>
        <w:rPr>
          <w:rFonts w:ascii="Century Gothic" w:eastAsia="Calibri" w:hAnsi="Century Gothic" w:cs="Arial"/>
          <w:color w:val="000000"/>
          <w:sz w:val="20"/>
          <w:szCs w:val="20"/>
          <w:lang w:val="es-ES_tradnl" w:eastAsia="es-ES_tradnl"/>
        </w:rPr>
      </w:pPr>
      <w:r w:rsidRPr="001D0052">
        <w:rPr>
          <w:rFonts w:ascii="Century Gothic" w:eastAsia="Calibri" w:hAnsi="Century Gothic" w:cs="Arial"/>
          <w:color w:val="000000"/>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1D0052">
        <w:rPr>
          <w:rFonts w:ascii="Century Gothic" w:eastAsia="Calibri" w:hAnsi="Century Gothic" w:cs="Arial"/>
          <w:color w:val="000000"/>
          <w:sz w:val="20"/>
          <w:szCs w:val="20"/>
          <w:vertAlign w:val="superscript"/>
          <w:lang w:val="es-ES_tradnl" w:eastAsia="es-ES_tradnl"/>
        </w:rPr>
        <w:footnoteReference w:id="10"/>
      </w:r>
      <w:r w:rsidRPr="001D0052">
        <w:rPr>
          <w:rFonts w:ascii="Century Gothic" w:eastAsia="Calibri" w:hAnsi="Century Gothic" w:cs="Arial"/>
          <w:color w:val="000000"/>
          <w:sz w:val="20"/>
          <w:szCs w:val="20"/>
          <w:lang w:val="es-ES_tradnl" w:eastAsia="es-ES_tradnl"/>
        </w:rPr>
        <w:t>.</w:t>
      </w:r>
    </w:p>
    <w:p w14:paraId="1619745F" w14:textId="77777777" w:rsidR="005518E8" w:rsidRPr="001D0052" w:rsidRDefault="005518E8" w:rsidP="005518E8">
      <w:pPr>
        <w:spacing w:after="0" w:line="276" w:lineRule="auto"/>
        <w:ind w:left="709" w:right="709"/>
        <w:contextualSpacing/>
        <w:jc w:val="both"/>
        <w:rPr>
          <w:rFonts w:ascii="Century Gothic" w:eastAsia="Calibri" w:hAnsi="Century Gothic" w:cs="Arial"/>
          <w:color w:val="000000"/>
          <w:lang w:val="es-ES_tradnl" w:eastAsia="es-ES_tradnl"/>
        </w:rPr>
      </w:pPr>
    </w:p>
    <w:p w14:paraId="699212A3"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r w:rsidRPr="001D0052">
        <w:rPr>
          <w:rFonts w:ascii="Century Gothic" w:eastAsia="Calibri" w:hAnsi="Century Gothic" w:cs="Arial"/>
          <w:color w:val="000000"/>
          <w:lang w:val="es-ES" w:eastAsia="es-ES"/>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w:t>
      </w:r>
      <w:r w:rsidRPr="001D0052">
        <w:rPr>
          <w:rFonts w:ascii="Century Gothic" w:eastAsia="Calibri" w:hAnsi="Century Gothic" w:cs="Arial"/>
          <w:color w:val="000000"/>
          <w:lang w:val="es-ES" w:eastAsia="es-ES"/>
        </w:rPr>
        <w:lastRenderedPageBreak/>
        <w:t>del contrato de consultoría es especial y debe celebrarse, por regla general, precedido de un concurso de méritos</w:t>
      </w:r>
      <w:r w:rsidRPr="001D0052">
        <w:rPr>
          <w:rFonts w:ascii="Century Gothic" w:eastAsia="Calibri" w:hAnsi="Century Gothic" w:cs="Arial"/>
          <w:color w:val="000000"/>
          <w:vertAlign w:val="superscript"/>
          <w:lang w:val="es-ES" w:eastAsia="es-ES"/>
        </w:rPr>
        <w:footnoteReference w:id="11"/>
      </w:r>
      <w:r w:rsidRPr="001D0052">
        <w:rPr>
          <w:rFonts w:ascii="Century Gothic" w:eastAsia="Calibri" w:hAnsi="Century Gothic" w:cs="Arial"/>
          <w:color w:val="000000"/>
          <w:lang w:val="es-ES" w:eastAsia="es-ES"/>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3E1E4E9"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lang w:val="es-ES" w:eastAsia="es-ES"/>
        </w:rPr>
        <w:t>vii</w:t>
      </w:r>
      <w:proofErr w:type="spellEnd"/>
      <w:r w:rsidRPr="001D0052">
        <w:rPr>
          <w:rFonts w:ascii="Century Gothic" w:eastAsia="Calibri" w:hAnsi="Century Gothic" w:cs="Arial"/>
          <w:color w:val="000000"/>
          <w:lang w:val="es-ES" w:eastAsia="es-ES"/>
        </w:rPr>
        <w:t>) Para su celebración no se requiere en algunos casos la expedición del acto administrativo de justificación de la contratación directa</w:t>
      </w:r>
      <w:r w:rsidRPr="001D0052">
        <w:rPr>
          <w:rFonts w:ascii="Century Gothic" w:eastAsia="Calibri" w:hAnsi="Century Gothic" w:cs="Arial"/>
          <w:color w:val="000000"/>
          <w:vertAlign w:val="superscript"/>
          <w:lang w:val="es-ES" w:eastAsia="es-ES"/>
        </w:rPr>
        <w:footnoteReference w:id="12"/>
      </w:r>
      <w:r w:rsidRPr="001D0052">
        <w:rPr>
          <w:rFonts w:ascii="Century Gothic" w:eastAsia="Calibri" w:hAnsi="Century Gothic" w:cs="Arial"/>
          <w:color w:val="000000"/>
          <w:lang w:val="es-ES" w:eastAsia="es-ES"/>
        </w:rPr>
        <w:t xml:space="preserve">. </w:t>
      </w:r>
    </w:p>
    <w:p w14:paraId="2C17957D"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lang w:val="es-ES" w:eastAsia="es-ES"/>
        </w:rPr>
        <w:t>viii</w:t>
      </w:r>
      <w:proofErr w:type="spellEnd"/>
      <w:r w:rsidRPr="001D0052">
        <w:rPr>
          <w:rFonts w:ascii="Century Gothic" w:eastAsia="Calibri" w:hAnsi="Century Gothic"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1D0052">
        <w:rPr>
          <w:rFonts w:ascii="Century Gothic" w:eastAsia="Calibri" w:hAnsi="Century Gothic" w:cs="Arial"/>
          <w:color w:val="000000"/>
          <w:vertAlign w:val="superscript"/>
          <w:lang w:val="es-ES" w:eastAsia="es-ES"/>
        </w:rPr>
        <w:footnoteReference w:id="13"/>
      </w:r>
      <w:r w:rsidRPr="001D0052">
        <w:rPr>
          <w:rFonts w:ascii="Century Gothic" w:eastAsia="Calibri" w:hAnsi="Century Gothic" w:cs="Arial"/>
          <w:color w:val="000000"/>
          <w:lang w:val="es-ES" w:eastAsia="es-ES"/>
        </w:rPr>
        <w:t>.</w:t>
      </w:r>
    </w:p>
    <w:p w14:paraId="1FCEA3E5"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 w:eastAsia="es-ES"/>
        </w:rPr>
      </w:pPr>
      <w:proofErr w:type="spellStart"/>
      <w:r w:rsidRPr="001D0052">
        <w:rPr>
          <w:rFonts w:ascii="Century Gothic" w:eastAsia="Calibri" w:hAnsi="Century Gothic" w:cs="Arial"/>
          <w:color w:val="000000"/>
          <w:lang w:val="es-ES" w:eastAsia="es-ES"/>
        </w:rPr>
        <w:lastRenderedPageBreak/>
        <w:t>ix</w:t>
      </w:r>
      <w:proofErr w:type="spellEnd"/>
      <w:r w:rsidRPr="001D0052">
        <w:rPr>
          <w:rFonts w:ascii="Century Gothic" w:eastAsia="Calibri" w:hAnsi="Century Gothic" w:cs="Arial"/>
          <w:color w:val="000000"/>
          <w:lang w:val="es-ES" w:eastAsia="es-ES"/>
        </w:rPr>
        <w:t>) En algunos casos no es obligatoria la liquidación, pues así lo estableció el artículo 217 del Decreto 019 de 2012, que modificó el artículo 60 de la Ley 80 de 1993</w:t>
      </w:r>
      <w:r w:rsidRPr="001D0052">
        <w:rPr>
          <w:rFonts w:ascii="Century Gothic" w:eastAsia="Calibri" w:hAnsi="Century Gothic" w:cs="Arial"/>
          <w:color w:val="000000"/>
          <w:vertAlign w:val="superscript"/>
          <w:lang w:val="es-ES" w:eastAsia="es-ES"/>
        </w:rPr>
        <w:footnoteReference w:id="14"/>
      </w:r>
      <w:r w:rsidRPr="001D0052">
        <w:rPr>
          <w:rFonts w:ascii="Century Gothic" w:eastAsia="Calibri" w:hAnsi="Century Gothic" w:cs="Arial"/>
          <w:color w:val="000000"/>
          <w:lang w:val="es-ES" w:eastAsia="es-ES"/>
        </w:rPr>
        <w:t>, refiriéndose a los contratos de prestación de servicios profesionales y de apoyo a la gestión.</w:t>
      </w:r>
    </w:p>
    <w:p w14:paraId="5572469B"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x) Para su celebración no se requiere inscripción en el Registro Único de Proponentes (RUP), según lo prevé el artículo 6 de la Ley 1150 de 2007</w:t>
      </w:r>
      <w:r w:rsidRPr="001D0052">
        <w:rPr>
          <w:rFonts w:ascii="Century Gothic" w:eastAsia="Calibri" w:hAnsi="Century Gothic" w:cs="Arial"/>
          <w:color w:val="000000"/>
          <w:vertAlign w:val="superscript"/>
          <w:lang w:val="es-ES_tradnl" w:eastAsia="es-ES_tradnl"/>
        </w:rPr>
        <w:footnoteReference w:id="15"/>
      </w:r>
      <w:r w:rsidRPr="001D0052">
        <w:rPr>
          <w:rFonts w:ascii="Century Gothic" w:eastAsia="Calibri" w:hAnsi="Century Gothic" w:cs="Arial"/>
          <w:color w:val="000000"/>
          <w:lang w:val="es-ES_tradnl" w:eastAsia="es-ES_tradnl"/>
        </w:rPr>
        <w:t>.</w:t>
      </w:r>
    </w:p>
    <w:p w14:paraId="1C0B8DEA" w14:textId="77777777" w:rsidR="005518E8" w:rsidRPr="001D0052" w:rsidRDefault="005518E8" w:rsidP="005518E8">
      <w:pPr>
        <w:spacing w:after="120" w:line="276" w:lineRule="auto"/>
        <w:ind w:firstLine="709"/>
        <w:jc w:val="both"/>
        <w:rPr>
          <w:rFonts w:ascii="Century Gothic" w:eastAsia="Calibri" w:hAnsi="Century Gothic" w:cs="Arial"/>
          <w:color w:val="000000"/>
          <w:lang w:val="es-ES_tradnl" w:eastAsia="es-ES_tradnl"/>
        </w:rPr>
      </w:pPr>
      <w:r w:rsidRPr="001D0052">
        <w:rPr>
          <w:rFonts w:ascii="Century Gothic" w:eastAsia="Calibri" w:hAnsi="Century Gothic" w:cs="Arial"/>
          <w:color w:val="000000"/>
          <w:lang w:val="es-ES_tradnl" w:eastAsia="es-ES_tradnl"/>
        </w:rPr>
        <w:t>xi) En ellos no son necesarias las garantías</w:t>
      </w:r>
      <w:r w:rsidRPr="001D0052">
        <w:rPr>
          <w:rFonts w:ascii="Century Gothic" w:eastAsia="Calibri" w:hAnsi="Century Gothic" w:cs="Arial"/>
          <w:color w:val="000000"/>
          <w:vertAlign w:val="superscript"/>
          <w:lang w:val="es-ES_tradnl" w:eastAsia="es-ES_tradnl"/>
        </w:rPr>
        <w:footnoteReference w:id="16"/>
      </w:r>
      <w:r w:rsidRPr="001D0052">
        <w:rPr>
          <w:rFonts w:ascii="Century Gothic" w:eastAsia="Calibri" w:hAnsi="Century Gothic" w:cs="Arial"/>
          <w:color w:val="000000"/>
          <w:lang w:val="es-ES_tradnl" w:eastAsia="es-ES_tradnl"/>
        </w:rPr>
        <w:t>.</w:t>
      </w:r>
    </w:p>
    <w:p w14:paraId="0250092D" w14:textId="77777777" w:rsidR="005518E8" w:rsidRPr="001D0052" w:rsidRDefault="005518E8" w:rsidP="005518E8">
      <w:pPr>
        <w:spacing w:after="120" w:line="276" w:lineRule="auto"/>
        <w:ind w:firstLine="709"/>
        <w:jc w:val="both"/>
        <w:rPr>
          <w:rFonts w:ascii="Century Gothic" w:eastAsia="Arial" w:hAnsi="Century Gothic" w:cs="Arial"/>
          <w:iCs/>
          <w:lang w:val="es-ES"/>
        </w:rPr>
      </w:pPr>
      <w:r w:rsidRPr="001D0052">
        <w:rPr>
          <w:rFonts w:ascii="Century Gothic" w:eastAsia="Calibri" w:hAnsi="Century Gothic" w:cs="Arial"/>
          <w:color w:val="000000" w:themeColor="text1"/>
          <w:lang w:val="es-ES" w:eastAsia="es-ES"/>
        </w:rPr>
        <w:t>Teniendo en cuenta la pregunta planteada,</w:t>
      </w:r>
      <w:r w:rsidRPr="001D0052">
        <w:rPr>
          <w:rFonts w:ascii="Century Gothic" w:eastAsia="Arial" w:hAnsi="Century Gothic" w:cs="Arial"/>
          <w:iCs/>
          <w:lang w:val="es-ES"/>
        </w:rPr>
        <w:t xml:space="preserve"> relacionada con la fijación de honorarios de un contrato de prestación de servicios, debe empezar por precisarse que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537CBB8B"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lastRenderedPageBreak/>
        <w:t xml:space="preserve">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debe acreditar el futuro contratista para el cumplimiento del objeto contractual. En este sentido, las Entidades Estatales determinan el monto de los honorarios de los contratos de prestación de servicios y apoyo a la gestión de conformidad con lo establecido en el análisis del sector y en los documentos o estudios previos. </w:t>
      </w:r>
    </w:p>
    <w:p w14:paraId="7333A62D"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t xml:space="preserve">Tampoco se encuentra disposición en la Ley 80 de 1993, Ley 1150 de 2007 o en el Decreto 1082 de 2015 que disponga la obligatoriedad de implementar tablas de honorarios o estandarizar perfiles para los contratos de prestación de servicios, lo anterior, no significa que las entidades no puedan hacerlo. </w:t>
      </w:r>
    </w:p>
    <w:p w14:paraId="1F7B05A9"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t xml:space="preserve">Finalmente debe señalarse que, no </w:t>
      </w:r>
      <w:r w:rsidRPr="001D0052">
        <w:rPr>
          <w:rFonts w:ascii="Century Gothic" w:eastAsia="Calibri" w:hAnsi="Century Gothic" w:cs="Arial"/>
          <w:bCs/>
          <w:color w:val="000000"/>
          <w:kern w:val="2"/>
          <w14:ligatures w14:val="standardContextual"/>
        </w:rPr>
        <w:t xml:space="preserve">existe norma que rija en el sistema de compra pública y contratación estatal que prohíba pactar honorarios por un valor inferior al salario mínimo mensual vigente en el marco de un contrato de prestación de servicios profesionales y de apoyo a la gestión, como podría ocurrir en aquellos contratos cuyo objeto sea la entrega de un producto determinado. </w:t>
      </w:r>
    </w:p>
    <w:p w14:paraId="4D94DADE" w14:textId="77777777" w:rsidR="005518E8" w:rsidRPr="001D0052" w:rsidRDefault="005518E8" w:rsidP="005518E8">
      <w:pPr>
        <w:widowControl w:val="0"/>
        <w:autoSpaceDE w:val="0"/>
        <w:autoSpaceDN w:val="0"/>
        <w:spacing w:after="0" w:line="276" w:lineRule="auto"/>
        <w:ind w:firstLine="720"/>
        <w:jc w:val="both"/>
        <w:rPr>
          <w:rFonts w:ascii="Century Gothic" w:eastAsia="Calibri" w:hAnsi="Century Gothic" w:cs="Arial"/>
          <w:bCs/>
          <w:color w:val="000000"/>
          <w:kern w:val="2"/>
          <w14:ligatures w14:val="standardContextual"/>
        </w:rPr>
      </w:pPr>
      <w:r w:rsidRPr="001D0052">
        <w:rPr>
          <w:rFonts w:ascii="Century Gothic" w:eastAsia="Calibri" w:hAnsi="Century Gothic" w:cs="Arial"/>
          <w:bCs/>
          <w:color w:val="000000"/>
          <w:kern w:val="2"/>
          <w14:ligatures w14:val="standardContextual"/>
        </w:rPr>
        <w:t xml:space="preserve">Se concluye que, conforme a lo expuesto en el presente acápite, las Entidades Estatales tienen autonomía para definir los honorarios de un contrato de prestación de servicios profesionales y de apoyo a la gestión, para lo cual deberán tener en cuenta el tipo de actividades a ejecutar, el tiempo que se destinara a su desarrollo, el perfil requerido </w:t>
      </w:r>
      <w:r w:rsidRPr="001D0052">
        <w:rPr>
          <w:rFonts w:ascii="Century Gothic" w:eastAsia="Arial" w:hAnsi="Century Gothic" w:cs="Arial"/>
          <w:iCs/>
          <w:lang w:val="es-ES"/>
        </w:rPr>
        <w:t>al contratista, dentro de este aspecto se destaca el conocimiento que tenga de una determinada materia de acuerdo con sus estudios y la experiencia que acredite, las obligaciones asignadas para satisfacer la necesidad de la Entidad Estatal,</w:t>
      </w:r>
      <w:r w:rsidRPr="001D0052">
        <w:rPr>
          <w:rFonts w:ascii="Century Gothic" w:eastAsia="Calibri" w:hAnsi="Century Gothic" w:cs="Arial"/>
          <w:bCs/>
          <w:color w:val="000000"/>
          <w:kern w:val="2"/>
          <w14:ligatures w14:val="standardContextual"/>
        </w:rPr>
        <w:t xml:space="preserve"> entre otros aspectos, que deberán consignarse en el estudio de sector. </w:t>
      </w:r>
    </w:p>
    <w:p w14:paraId="629D5282" w14:textId="77777777" w:rsidR="005518E8" w:rsidRPr="001D0052" w:rsidRDefault="005518E8" w:rsidP="005518E8">
      <w:pPr>
        <w:widowControl w:val="0"/>
        <w:autoSpaceDE w:val="0"/>
        <w:autoSpaceDN w:val="0"/>
        <w:spacing w:after="0" w:line="276" w:lineRule="auto"/>
        <w:contextualSpacing/>
        <w:jc w:val="both"/>
        <w:rPr>
          <w:rFonts w:ascii="Century Gothic" w:eastAsia="Calibri" w:hAnsi="Century Gothic" w:cs="Arial"/>
          <w:bCs/>
          <w:color w:val="000000"/>
          <w:kern w:val="2"/>
          <w14:ligatures w14:val="standardContextual"/>
        </w:rPr>
      </w:pPr>
    </w:p>
    <w:p w14:paraId="48733997" w14:textId="77777777" w:rsidR="005518E8" w:rsidRPr="001D0052" w:rsidRDefault="005518E8" w:rsidP="005518E8">
      <w:pPr>
        <w:pStyle w:val="Prrafodelista"/>
        <w:numPr>
          <w:ilvl w:val="0"/>
          <w:numId w:val="7"/>
        </w:numPr>
        <w:tabs>
          <w:tab w:val="left" w:pos="426"/>
        </w:tabs>
        <w:spacing w:after="0" w:line="276" w:lineRule="auto"/>
        <w:jc w:val="both"/>
        <w:rPr>
          <w:rFonts w:ascii="Century Gothic" w:hAnsi="Century Gothic" w:cs="Arial"/>
          <w:b/>
          <w:bCs/>
          <w:color w:val="000000"/>
          <w:lang w:val="es-ES_tradnl"/>
        </w:rPr>
      </w:pPr>
      <w:r w:rsidRPr="001D0052">
        <w:rPr>
          <w:rFonts w:ascii="Century Gothic" w:hAnsi="Century Gothic"/>
          <w:b/>
          <w:bCs/>
          <w:color w:val="000000"/>
          <w:lang w:val="es-ES_tradnl"/>
        </w:rPr>
        <w:t>La</w:t>
      </w:r>
      <w:r w:rsidRPr="001D0052">
        <w:rPr>
          <w:rFonts w:ascii="Century Gothic" w:hAnsi="Century Gothic" w:cs="Arial"/>
          <w:b/>
          <w:bCs/>
          <w:color w:val="000000"/>
          <w:lang w:val="es-ES_tradnl"/>
        </w:rPr>
        <w:t xml:space="preserve"> verificación del pago de la Seguridad Social</w:t>
      </w:r>
    </w:p>
    <w:p w14:paraId="07753312" w14:textId="77777777" w:rsidR="005518E8" w:rsidRPr="001D0052" w:rsidRDefault="005518E8" w:rsidP="005518E8">
      <w:pPr>
        <w:pStyle w:val="Prrafodelista"/>
        <w:tabs>
          <w:tab w:val="left" w:pos="426"/>
        </w:tabs>
        <w:spacing w:after="0" w:line="276" w:lineRule="auto"/>
        <w:ind w:left="360"/>
        <w:jc w:val="both"/>
        <w:rPr>
          <w:rFonts w:ascii="Century Gothic" w:hAnsi="Century Gothic" w:cs="Arial"/>
          <w:b/>
          <w:bCs/>
          <w:color w:val="000000"/>
          <w:lang w:val="es-ES_tradnl"/>
        </w:rPr>
      </w:pPr>
    </w:p>
    <w:p w14:paraId="3634EB84" w14:textId="77777777" w:rsidR="005518E8" w:rsidRPr="001D0052" w:rsidRDefault="005518E8" w:rsidP="005518E8">
      <w:pPr>
        <w:spacing w:after="120" w:line="276" w:lineRule="auto"/>
        <w:jc w:val="both"/>
        <w:rPr>
          <w:rFonts w:ascii="Century Gothic" w:eastAsia="Arial" w:hAnsi="Century Gothic" w:cs="Arial"/>
          <w:lang w:val="es-ES"/>
        </w:rPr>
      </w:pPr>
      <w:r w:rsidRPr="001D0052">
        <w:rPr>
          <w:rFonts w:ascii="Century Gothic" w:eastAsia="Arial" w:hAnsi="Century Gothic" w:cs="Arial"/>
          <w:lang w:val="es-ES"/>
        </w:rPr>
        <w:t xml:space="preserve">La Seguridad Social es un servicio público obligatorio, cuya dirección, coordinación y control está a cargo del Estado y es prestado por Entidades Públicas y privadas. Mediante esta se evitan desequilibrios económicos y sociales que, de no resolverse, </w:t>
      </w:r>
      <w:r w:rsidRPr="001D0052">
        <w:rPr>
          <w:rFonts w:ascii="Century Gothic" w:eastAsia="Arial" w:hAnsi="Century Gothic" w:cs="Arial"/>
          <w:lang w:val="es-ES"/>
        </w:rPr>
        <w:lastRenderedPageBreak/>
        <w:t>significarían</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la</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reducción</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o</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la</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pérdida</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ingresos</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por</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causa</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contingencias</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como</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la enfermedad,</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accidentes,</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la</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maternidad</w:t>
      </w:r>
      <w:r w:rsidRPr="001D0052">
        <w:rPr>
          <w:rFonts w:ascii="Century Gothic" w:eastAsia="Arial" w:hAnsi="Century Gothic" w:cs="Arial"/>
          <w:spacing w:val="-7"/>
          <w:lang w:val="es-ES"/>
        </w:rPr>
        <w:t xml:space="preserve"> </w:t>
      </w:r>
      <w:r w:rsidRPr="001D0052">
        <w:rPr>
          <w:rFonts w:ascii="Century Gothic" w:eastAsia="Arial" w:hAnsi="Century Gothic" w:cs="Arial"/>
          <w:lang w:val="es-ES"/>
        </w:rPr>
        <w:t>o</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el</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desempleo,</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entre</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otras.</w:t>
      </w:r>
      <w:r w:rsidRPr="001D0052">
        <w:rPr>
          <w:rFonts w:ascii="Century Gothic" w:eastAsia="Arial" w:hAnsi="Century Gothic" w:cs="Arial"/>
          <w:spacing w:val="-7"/>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acuerdo</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con la Ley 100 de 1993, el Sistema de Seguridad Social Integral en Colombia se compone de</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sistemas</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pensiones,</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salud</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y</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riesgos</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laborales</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y</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11"/>
          <w:lang w:val="es-ES"/>
        </w:rPr>
        <w:t xml:space="preserve"> </w:t>
      </w:r>
      <w:r w:rsidRPr="001D0052">
        <w:rPr>
          <w:rFonts w:ascii="Century Gothic" w:eastAsia="Arial" w:hAnsi="Century Gothic" w:cs="Arial"/>
          <w:lang w:val="es-ES"/>
        </w:rPr>
        <w:t>servicios</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sociales complementarios.</w:t>
      </w:r>
    </w:p>
    <w:p w14:paraId="273C06B7" w14:textId="77777777" w:rsidR="005518E8" w:rsidRPr="001D0052" w:rsidRDefault="005518E8" w:rsidP="005518E8">
      <w:pPr>
        <w:widowControl w:val="0"/>
        <w:autoSpaceDE w:val="0"/>
        <w:autoSpaceDN w:val="0"/>
        <w:spacing w:after="120" w:line="276" w:lineRule="auto"/>
        <w:jc w:val="both"/>
        <w:rPr>
          <w:rFonts w:ascii="Century Gothic" w:eastAsia="Arial" w:hAnsi="Century Gothic" w:cs="Arial"/>
          <w:lang w:val="es-ES"/>
        </w:rPr>
      </w:pPr>
      <w:r w:rsidRPr="001D0052">
        <w:rPr>
          <w:rFonts w:ascii="Century Gothic" w:eastAsia="Arial" w:hAnsi="Century Gothic" w:cs="Arial"/>
          <w:lang w:val="es-ES"/>
        </w:rPr>
        <w:tab/>
        <w:t>En materia de contratación estatal, el artículo 50 de la</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Ley</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789</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2002</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dispuso como</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obligación</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6"/>
          <w:lang w:val="es-ES"/>
        </w:rPr>
        <w:t xml:space="preserve"> </w:t>
      </w:r>
      <w:r w:rsidRPr="001D0052">
        <w:rPr>
          <w:rFonts w:ascii="Century Gothic" w:eastAsia="Arial" w:hAnsi="Century Gothic" w:cs="Arial"/>
          <w:lang w:val="es-ES"/>
        </w:rPr>
        <w:t>quien</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 xml:space="preserve">quiere </w:t>
      </w:r>
      <w:r w:rsidRPr="001D0052">
        <w:rPr>
          <w:rFonts w:ascii="Century Gothic" w:eastAsia="Arial" w:hAnsi="Century Gothic" w:cs="Arial"/>
          <w:i/>
          <w:iCs/>
          <w:lang w:val="es-ES"/>
        </w:rPr>
        <w:t>celebrar, renovar o liquidar</w:t>
      </w:r>
      <w:r w:rsidRPr="001D0052">
        <w:rPr>
          <w:rFonts w:ascii="Century Gothic" w:eastAsia="Arial" w:hAnsi="Century Gothic"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1D0052">
        <w:rPr>
          <w:rFonts w:ascii="Century Gothic" w:eastAsia="Arial" w:hAnsi="Century Gothic" w:cs="Arial"/>
          <w:i/>
          <w:iCs/>
          <w:lang w:val="es-ES"/>
        </w:rPr>
        <w:t>liquidar</w:t>
      </w:r>
      <w:r w:rsidRPr="001D0052">
        <w:rPr>
          <w:rFonts w:ascii="Century Gothic" w:eastAsia="Arial" w:hAnsi="Century Gothic" w:cs="Arial"/>
          <w:lang w:val="es-ES"/>
        </w:rPr>
        <w:t xml:space="preserve"> los contratos, para verificar y dejar constancia del cumplimiento de las obligaciones del contratista frente a los aportes mencionados durante</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toda</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su</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vigencia,</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estableciendo</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una</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correcta</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relación</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entre</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el</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monto</w:t>
      </w:r>
      <w:r w:rsidRPr="001D0052">
        <w:rPr>
          <w:rFonts w:ascii="Century Gothic" w:eastAsia="Arial" w:hAnsi="Century Gothic" w:cs="Arial"/>
          <w:spacing w:val="-4"/>
          <w:lang w:val="es-ES"/>
        </w:rPr>
        <w:t xml:space="preserve"> </w:t>
      </w:r>
      <w:r w:rsidRPr="001D0052">
        <w:rPr>
          <w:rFonts w:ascii="Century Gothic" w:eastAsia="Arial" w:hAnsi="Century Gothic" w:cs="Arial"/>
          <w:lang w:val="es-ES"/>
        </w:rPr>
        <w:t>cancelado y las sumas que debió</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cotizar</w:t>
      </w:r>
      <w:r w:rsidRPr="001D0052">
        <w:rPr>
          <w:rFonts w:ascii="Century Gothic" w:eastAsia="Arial" w:hAnsi="Century Gothic" w:cs="Arial"/>
          <w:vertAlign w:val="superscript"/>
          <w:lang w:val="es-ES"/>
        </w:rPr>
        <w:footnoteReference w:id="17"/>
      </w:r>
      <w:r w:rsidRPr="001D0052">
        <w:rPr>
          <w:rFonts w:ascii="Century Gothic" w:eastAsia="Arial" w:hAnsi="Century Gothic" w:cs="Arial"/>
          <w:lang w:val="es-ES"/>
        </w:rPr>
        <w:t>.</w:t>
      </w:r>
    </w:p>
    <w:p w14:paraId="44DA5334" w14:textId="77777777" w:rsidR="005518E8" w:rsidRPr="001D0052" w:rsidRDefault="005518E8" w:rsidP="005518E8">
      <w:pPr>
        <w:widowControl w:val="0"/>
        <w:autoSpaceDE w:val="0"/>
        <w:autoSpaceDN w:val="0"/>
        <w:spacing w:after="120" w:line="276" w:lineRule="auto"/>
        <w:ind w:firstLine="709"/>
        <w:jc w:val="both"/>
        <w:rPr>
          <w:rFonts w:ascii="Century Gothic" w:eastAsia="Arial" w:hAnsi="Century Gothic" w:cs="Arial"/>
          <w:lang w:val="es-ES"/>
        </w:rPr>
      </w:pPr>
      <w:r w:rsidRPr="001D0052">
        <w:rPr>
          <w:rFonts w:ascii="Century Gothic" w:eastAsia="Arial" w:hAnsi="Century Gothic" w:cs="Arial"/>
          <w:lang w:val="es-ES"/>
        </w:rPr>
        <w:t xml:space="preserve">Además, aclara que las personas jurídicas que quieran celebrar contratos con las Entidades Estatales deben acreditar el pago al Sistema de Seguridad Social Integral de sus empleados, y que por eso presentarán una certificación expedida por el revisor fiscal o por el representante legal, durante un lapso equivalente al que </w:t>
      </w:r>
      <w:r w:rsidRPr="001D0052">
        <w:rPr>
          <w:rFonts w:ascii="Century Gothic" w:eastAsia="Arial" w:hAnsi="Century Gothic" w:cs="Arial"/>
          <w:lang w:val="es-ES"/>
        </w:rPr>
        <w:lastRenderedPageBreak/>
        <w:t>exija el respectivo régimen de contratación para que se hubiera constituido la sociedad, el cual no será inferior a los seis (6) meses anteriores a la celebración del contrato. En este sentido, la ley señala que</w:t>
      </w:r>
      <w:r w:rsidRPr="001D0052">
        <w:rPr>
          <w:rFonts w:ascii="Century Gothic" w:eastAsia="Arial" w:hAnsi="Century Gothic" w:cs="Arial"/>
          <w:spacing w:val="-10"/>
          <w:lang w:val="es-ES"/>
        </w:rPr>
        <w:t xml:space="preserve"> </w:t>
      </w:r>
      <w:r w:rsidRPr="001D0052">
        <w:rPr>
          <w:rFonts w:ascii="Century Gothic" w:eastAsia="Arial" w:hAnsi="Century Gothic" w:cs="Arial"/>
          <w:i/>
          <w:iCs/>
          <w:lang w:val="es-ES"/>
        </w:rPr>
        <w:t>para</w:t>
      </w:r>
      <w:r w:rsidRPr="001D0052">
        <w:rPr>
          <w:rFonts w:ascii="Century Gothic" w:eastAsia="Arial" w:hAnsi="Century Gothic" w:cs="Arial"/>
          <w:i/>
          <w:iCs/>
          <w:spacing w:val="-10"/>
          <w:lang w:val="es-ES"/>
        </w:rPr>
        <w:t xml:space="preserve"> </w:t>
      </w:r>
      <w:r w:rsidRPr="001D0052">
        <w:rPr>
          <w:rFonts w:ascii="Century Gothic" w:eastAsia="Arial" w:hAnsi="Century Gothic" w:cs="Arial"/>
          <w:i/>
          <w:iCs/>
          <w:lang w:val="es-ES"/>
        </w:rPr>
        <w:t>presentar</w:t>
      </w:r>
      <w:r w:rsidRPr="001D0052">
        <w:rPr>
          <w:rFonts w:ascii="Century Gothic" w:eastAsia="Arial" w:hAnsi="Century Gothic" w:cs="Arial"/>
          <w:i/>
          <w:iCs/>
          <w:spacing w:val="-10"/>
          <w:lang w:val="es-ES"/>
        </w:rPr>
        <w:t xml:space="preserve"> </w:t>
      </w:r>
      <w:r w:rsidRPr="001D0052">
        <w:rPr>
          <w:rFonts w:ascii="Century Gothic" w:eastAsia="Arial" w:hAnsi="Century Gothic" w:cs="Arial"/>
          <w:i/>
          <w:iCs/>
          <w:lang w:val="es-ES"/>
        </w:rPr>
        <w:t>la</w:t>
      </w:r>
      <w:r w:rsidRPr="001D0052">
        <w:rPr>
          <w:rFonts w:ascii="Century Gothic" w:eastAsia="Arial" w:hAnsi="Century Gothic" w:cs="Arial"/>
          <w:i/>
          <w:iCs/>
          <w:spacing w:val="-10"/>
          <w:lang w:val="es-ES"/>
        </w:rPr>
        <w:t xml:space="preserve"> </w:t>
      </w:r>
      <w:r w:rsidRPr="001D0052">
        <w:rPr>
          <w:rFonts w:ascii="Century Gothic" w:eastAsia="Arial" w:hAnsi="Century Gothic" w:cs="Arial"/>
          <w:i/>
          <w:iCs/>
          <w:lang w:val="es-ES"/>
        </w:rPr>
        <w:t>oferta</w:t>
      </w:r>
      <w:r w:rsidRPr="001D0052">
        <w:rPr>
          <w:rFonts w:ascii="Century Gothic" w:eastAsia="Arial" w:hAnsi="Century Gothic" w:cs="Arial"/>
          <w:spacing w:val="-9"/>
          <w:lang w:val="es-ES"/>
        </w:rPr>
        <w:t xml:space="preserve"> </w:t>
      </w:r>
      <w:r w:rsidRPr="001D0052">
        <w:rPr>
          <w:rFonts w:ascii="Century Gothic" w:eastAsia="Arial" w:hAnsi="Century Gothic" w:cs="Arial"/>
          <w:lang w:val="es-ES"/>
        </w:rPr>
        <w:t>las</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personas</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jurídicas</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deben</w:t>
      </w:r>
      <w:r w:rsidRPr="001D0052">
        <w:rPr>
          <w:rFonts w:ascii="Century Gothic" w:eastAsia="Arial" w:hAnsi="Century Gothic" w:cs="Arial"/>
          <w:spacing w:val="-9"/>
          <w:lang w:val="es-ES"/>
        </w:rPr>
        <w:t xml:space="preserve"> </w:t>
      </w:r>
      <w:r w:rsidRPr="001D0052">
        <w:rPr>
          <w:rFonts w:ascii="Century Gothic" w:eastAsia="Arial" w:hAnsi="Century Gothic" w:cs="Arial"/>
          <w:lang w:val="es-ES"/>
        </w:rPr>
        <w:t>acreditar</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el</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requisito</w:t>
      </w:r>
      <w:r w:rsidRPr="001D0052">
        <w:rPr>
          <w:rFonts w:ascii="Century Gothic" w:eastAsia="Arial" w:hAnsi="Century Gothic" w:cs="Arial"/>
          <w:spacing w:val="-10"/>
          <w:lang w:val="es-ES"/>
        </w:rPr>
        <w:t xml:space="preserve"> </w:t>
      </w:r>
      <w:r w:rsidRPr="001D0052">
        <w:rPr>
          <w:rFonts w:ascii="Century Gothic" w:eastAsia="Arial" w:hAnsi="Century Gothic" w:cs="Arial"/>
          <w:lang w:val="es-ES"/>
        </w:rPr>
        <w:t>señalado anteriormente.</w:t>
      </w:r>
    </w:p>
    <w:p w14:paraId="06B6B8A0"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lang w:val="es-ES"/>
        </w:rPr>
      </w:pPr>
      <w:r w:rsidRPr="001D0052">
        <w:rPr>
          <w:rFonts w:ascii="Century Gothic" w:eastAsia="Arial" w:hAnsi="Century Gothic" w:cs="Arial"/>
          <w:lang w:val="es-ES"/>
        </w:rPr>
        <w:t>Esta norma fue analizada por la Sección Tercera del Consejo de Estado, quien consideró</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que</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el</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artículo</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50</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la</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Ley</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789</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2002</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tiene</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por</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objeto</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evitar</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la</w:t>
      </w:r>
      <w:r w:rsidRPr="001D0052">
        <w:rPr>
          <w:rFonts w:ascii="Century Gothic" w:eastAsia="Arial" w:hAnsi="Century Gothic" w:cs="Arial"/>
          <w:spacing w:val="-5"/>
          <w:lang w:val="es-ES"/>
        </w:rPr>
        <w:t xml:space="preserve"> </w:t>
      </w:r>
      <w:r w:rsidRPr="001D0052">
        <w:rPr>
          <w:rFonts w:ascii="Century Gothic" w:eastAsia="Arial" w:hAnsi="Century Gothic" w:cs="Arial"/>
          <w:lang w:val="es-ES"/>
        </w:rPr>
        <w:t>evasión</w:t>
      </w:r>
      <w:r w:rsidRPr="001D0052">
        <w:rPr>
          <w:rFonts w:ascii="Century Gothic" w:eastAsia="Arial" w:hAnsi="Century Gothic" w:cs="Arial"/>
          <w:spacing w:val="-6"/>
          <w:lang w:val="es-ES"/>
        </w:rPr>
        <w:t xml:space="preserve"> </w:t>
      </w:r>
      <w:r w:rsidRPr="001D0052">
        <w:rPr>
          <w:rFonts w:ascii="Century Gothic" w:eastAsia="Arial" w:hAnsi="Century Gothic"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D0052">
        <w:rPr>
          <w:rFonts w:ascii="Century Gothic" w:eastAsia="Arial" w:hAnsi="Century Gothic" w:cs="Arial"/>
          <w:spacing w:val="-9"/>
          <w:lang w:val="es-ES"/>
        </w:rPr>
        <w:t xml:space="preserve"> </w:t>
      </w:r>
      <w:r w:rsidRPr="001D0052">
        <w:rPr>
          <w:rFonts w:ascii="Century Gothic" w:eastAsia="Arial" w:hAnsi="Century Gothic" w:cs="Arial"/>
          <w:lang w:val="es-ES"/>
        </w:rPr>
        <w:t>hayan</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realizado</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aportes</w:t>
      </w:r>
      <w:r w:rsidRPr="001D0052">
        <w:rPr>
          <w:rFonts w:ascii="Century Gothic" w:eastAsia="Arial" w:hAnsi="Century Gothic" w:cs="Arial"/>
          <w:spacing w:val="-9"/>
          <w:lang w:val="es-ES"/>
        </w:rPr>
        <w:t xml:space="preserve"> </w:t>
      </w:r>
      <w:r w:rsidRPr="001D0052">
        <w:rPr>
          <w:rFonts w:ascii="Century Gothic" w:eastAsia="Arial" w:hAnsi="Century Gothic" w:cs="Arial"/>
          <w:lang w:val="es-ES"/>
        </w:rPr>
        <w:t>al</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Sistema</w:t>
      </w:r>
      <w:r w:rsidRPr="001D0052">
        <w:rPr>
          <w:rFonts w:ascii="Century Gothic" w:eastAsia="Arial" w:hAnsi="Century Gothic" w:cs="Arial"/>
          <w:spacing w:val="-7"/>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Seguridad</w:t>
      </w:r>
      <w:r w:rsidRPr="001D0052">
        <w:rPr>
          <w:rFonts w:ascii="Century Gothic" w:eastAsia="Arial" w:hAnsi="Century Gothic" w:cs="Arial"/>
          <w:spacing w:val="-7"/>
          <w:lang w:val="es-ES"/>
        </w:rPr>
        <w:t xml:space="preserve"> </w:t>
      </w:r>
      <w:r w:rsidRPr="001D0052">
        <w:rPr>
          <w:rFonts w:ascii="Century Gothic" w:eastAsia="Arial" w:hAnsi="Century Gothic" w:cs="Arial"/>
          <w:lang w:val="es-ES"/>
        </w:rPr>
        <w:t>Social</w:t>
      </w:r>
      <w:r w:rsidRPr="001D0052">
        <w:rPr>
          <w:rFonts w:ascii="Century Gothic" w:eastAsia="Arial" w:hAnsi="Century Gothic" w:cs="Arial"/>
          <w:spacing w:val="-7"/>
          <w:lang w:val="es-ES"/>
        </w:rPr>
        <w:t xml:space="preserve"> </w:t>
      </w:r>
      <w:r w:rsidRPr="001D0052">
        <w:rPr>
          <w:rFonts w:ascii="Century Gothic" w:eastAsia="Arial" w:hAnsi="Century Gothic" w:cs="Arial"/>
          <w:lang w:val="es-ES"/>
        </w:rPr>
        <w:t>Integral</w:t>
      </w:r>
      <w:r w:rsidRPr="001D0052">
        <w:rPr>
          <w:rFonts w:ascii="Century Gothic" w:eastAsia="Arial" w:hAnsi="Century Gothic" w:cs="Arial"/>
          <w:vertAlign w:val="superscript"/>
          <w:lang w:val="es-ES"/>
        </w:rPr>
        <w:footnoteReference w:id="18"/>
      </w:r>
      <w:r w:rsidRPr="001D0052">
        <w:rPr>
          <w:rFonts w:ascii="Century Gothic" w:eastAsia="Arial" w:hAnsi="Century Gothic" w:cs="Arial"/>
          <w:lang w:val="es-ES"/>
        </w:rPr>
        <w:t>.</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Por</w:t>
      </w:r>
      <w:r w:rsidRPr="001D0052">
        <w:rPr>
          <w:rFonts w:ascii="Century Gothic" w:eastAsia="Arial" w:hAnsi="Century Gothic" w:cs="Arial"/>
          <w:spacing w:val="-8"/>
          <w:lang w:val="es-ES"/>
        </w:rPr>
        <w:t xml:space="preserve"> </w:t>
      </w:r>
      <w:r w:rsidRPr="001D0052">
        <w:rPr>
          <w:rFonts w:ascii="Century Gothic" w:eastAsia="Arial" w:hAnsi="Century Gothic" w:cs="Arial"/>
          <w:lang w:val="es-ES"/>
        </w:rPr>
        <w:t xml:space="preserve">lo tanto, la jurisprudencia reiteró la necesidad de que las Entidades Estatales, </w:t>
      </w:r>
      <w:r w:rsidRPr="001D0052">
        <w:rPr>
          <w:rFonts w:ascii="Century Gothic" w:eastAsia="Arial" w:hAnsi="Century Gothic" w:cs="Arial"/>
          <w:i/>
          <w:iCs/>
          <w:lang w:val="es-ES"/>
        </w:rPr>
        <w:t>durante la ejecución de un contrato</w:t>
      </w:r>
      <w:r w:rsidRPr="001D0052">
        <w:rPr>
          <w:rFonts w:ascii="Century Gothic" w:eastAsia="Arial" w:hAnsi="Century Gothic" w:cs="Arial"/>
          <w:lang w:val="es-ES"/>
        </w:rPr>
        <w:t>, verifiquen el cumplimiento de las obligaciones del Sistema de Seguridad</w:t>
      </w:r>
      <w:r w:rsidRPr="001D0052">
        <w:rPr>
          <w:rFonts w:ascii="Century Gothic" w:eastAsia="Arial" w:hAnsi="Century Gothic" w:cs="Arial"/>
          <w:spacing w:val="-18"/>
          <w:lang w:val="es-ES"/>
        </w:rPr>
        <w:t xml:space="preserve"> </w:t>
      </w:r>
      <w:r w:rsidRPr="001D0052">
        <w:rPr>
          <w:rFonts w:ascii="Century Gothic" w:eastAsia="Arial" w:hAnsi="Century Gothic" w:cs="Arial"/>
          <w:lang w:val="es-ES"/>
        </w:rPr>
        <w:t>Social</w:t>
      </w:r>
      <w:r w:rsidRPr="001D0052">
        <w:rPr>
          <w:rFonts w:ascii="Century Gothic" w:eastAsia="Arial" w:hAnsi="Century Gothic" w:cs="Arial"/>
          <w:spacing w:val="-17"/>
          <w:lang w:val="es-ES"/>
        </w:rPr>
        <w:t xml:space="preserve"> Integral </w:t>
      </w:r>
      <w:r w:rsidRPr="001D0052">
        <w:rPr>
          <w:rFonts w:ascii="Century Gothic" w:eastAsia="Arial" w:hAnsi="Century Gothic" w:cs="Arial"/>
          <w:lang w:val="es-ES"/>
        </w:rPr>
        <w:t>por</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parte</w:t>
      </w:r>
      <w:r w:rsidRPr="001D0052">
        <w:rPr>
          <w:rFonts w:ascii="Century Gothic" w:eastAsia="Arial" w:hAnsi="Century Gothic" w:cs="Arial"/>
          <w:spacing w:val="-18"/>
          <w:lang w:val="es-ES"/>
        </w:rPr>
        <w:t xml:space="preserve"> </w:t>
      </w:r>
      <w:r w:rsidRPr="001D0052">
        <w:rPr>
          <w:rFonts w:ascii="Century Gothic" w:eastAsia="Arial" w:hAnsi="Century Gothic" w:cs="Arial"/>
          <w:lang w:val="es-ES"/>
        </w:rPr>
        <w:t>de</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los</w:t>
      </w:r>
      <w:r w:rsidRPr="001D0052">
        <w:rPr>
          <w:rFonts w:ascii="Century Gothic" w:eastAsia="Arial" w:hAnsi="Century Gothic" w:cs="Arial"/>
          <w:spacing w:val="-17"/>
          <w:lang w:val="es-ES"/>
        </w:rPr>
        <w:t xml:space="preserve"> </w:t>
      </w:r>
      <w:r w:rsidRPr="001D0052">
        <w:rPr>
          <w:rFonts w:ascii="Century Gothic" w:eastAsia="Arial" w:hAnsi="Century Gothic" w:cs="Arial"/>
          <w:lang w:val="es-ES"/>
        </w:rPr>
        <w:t>oferentes.</w:t>
      </w:r>
    </w:p>
    <w:p w14:paraId="2AD59796" w14:textId="77777777" w:rsidR="005518E8" w:rsidRPr="001D0052" w:rsidRDefault="005518E8" w:rsidP="005518E8">
      <w:pPr>
        <w:spacing w:after="0" w:line="276" w:lineRule="auto"/>
        <w:ind w:firstLine="709"/>
        <w:jc w:val="both"/>
        <w:rPr>
          <w:rFonts w:ascii="Century Gothic" w:hAnsi="Century Gothic" w:cs="Arial"/>
          <w:color w:val="000000" w:themeColor="text1"/>
          <w:lang w:val="es-ES_tradnl"/>
        </w:rPr>
      </w:pPr>
      <w:r w:rsidRPr="001D0052">
        <w:rPr>
          <w:rFonts w:ascii="Century Gothic" w:hAnsi="Century Gothic" w:cs="Arial"/>
          <w:color w:val="000000" w:themeColor="text1"/>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5F251794" w14:textId="77777777" w:rsidR="005518E8" w:rsidRPr="001D0052" w:rsidRDefault="005518E8" w:rsidP="005518E8">
      <w:pPr>
        <w:spacing w:after="0" w:line="276" w:lineRule="auto"/>
        <w:ind w:right="709"/>
        <w:jc w:val="both"/>
        <w:rPr>
          <w:rFonts w:ascii="Century Gothic" w:eastAsia="Times New Roman" w:hAnsi="Century Gothic" w:cs="Arial"/>
          <w:color w:val="000000" w:themeColor="text1"/>
          <w:lang w:val="es-ES_tradnl" w:eastAsia="es-CO"/>
        </w:rPr>
      </w:pPr>
    </w:p>
    <w:p w14:paraId="2D066A8C" w14:textId="77777777" w:rsidR="005518E8" w:rsidRPr="001D0052" w:rsidRDefault="005518E8" w:rsidP="005518E8">
      <w:pPr>
        <w:spacing w:after="0" w:line="240" w:lineRule="auto"/>
        <w:ind w:left="709" w:right="709"/>
        <w:jc w:val="both"/>
        <w:rPr>
          <w:rFonts w:ascii="Century Gothic" w:eastAsia="Times New Roman" w:hAnsi="Century Gothic" w:cs="Arial"/>
          <w:color w:val="000000" w:themeColor="text1"/>
          <w:sz w:val="20"/>
          <w:szCs w:val="20"/>
          <w:lang w:val="es-ES_tradnl" w:eastAsia="es-CO"/>
        </w:rPr>
      </w:pPr>
      <w:r w:rsidRPr="001D0052">
        <w:rPr>
          <w:rFonts w:ascii="Century Gothic" w:eastAsia="Times New Roman" w:hAnsi="Century Gothic" w:cs="Arial"/>
          <w:color w:val="000000" w:themeColor="text1"/>
          <w:sz w:val="20"/>
          <w:szCs w:val="20"/>
          <w:lang w:val="es-ES_tradnl" w:eastAsia="es-CO"/>
        </w:rPr>
        <w:t>“[…]</w:t>
      </w:r>
    </w:p>
    <w:p w14:paraId="6A325845" w14:textId="77777777" w:rsidR="005518E8" w:rsidRPr="001D0052" w:rsidRDefault="005518E8" w:rsidP="005518E8">
      <w:pPr>
        <w:spacing w:after="0" w:line="240" w:lineRule="auto"/>
        <w:ind w:left="709" w:right="709"/>
        <w:jc w:val="both"/>
        <w:rPr>
          <w:rFonts w:ascii="Century Gothic" w:eastAsia="Times New Roman" w:hAnsi="Century Gothic" w:cs="Arial"/>
          <w:color w:val="000000" w:themeColor="text1"/>
          <w:sz w:val="20"/>
          <w:szCs w:val="20"/>
          <w:lang w:val="es-ES_tradnl" w:eastAsia="es-CO"/>
        </w:rPr>
      </w:pPr>
    </w:p>
    <w:p w14:paraId="28713FFC" w14:textId="77777777" w:rsidR="005518E8" w:rsidRPr="001D0052" w:rsidRDefault="005518E8" w:rsidP="005518E8">
      <w:pPr>
        <w:tabs>
          <w:tab w:val="left" w:pos="7938"/>
          <w:tab w:val="left" w:pos="8080"/>
        </w:tabs>
        <w:spacing w:after="0" w:line="240" w:lineRule="auto"/>
        <w:ind w:left="709" w:right="709"/>
        <w:jc w:val="both"/>
        <w:rPr>
          <w:rFonts w:ascii="Century Gothic" w:eastAsia="Times New Roman" w:hAnsi="Century Gothic" w:cs="Arial"/>
          <w:color w:val="000000" w:themeColor="text1"/>
          <w:sz w:val="20"/>
          <w:szCs w:val="20"/>
          <w:lang w:val="es-ES_tradnl" w:eastAsia="es-CO"/>
        </w:rPr>
      </w:pPr>
      <w:r w:rsidRPr="001D0052">
        <w:rPr>
          <w:rFonts w:ascii="Century Gothic" w:eastAsia="Times New Roman" w:hAnsi="Century Gothic" w:cs="Arial"/>
          <w:color w:val="000000" w:themeColor="text1"/>
          <w:sz w:val="20"/>
          <w:szCs w:val="20"/>
          <w:lang w:val="es-ES_tradnl"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BB07620" w14:textId="77777777" w:rsidR="005518E8" w:rsidRPr="001D0052" w:rsidRDefault="005518E8" w:rsidP="005518E8">
      <w:pPr>
        <w:tabs>
          <w:tab w:val="left" w:pos="7938"/>
          <w:tab w:val="left" w:pos="8080"/>
        </w:tabs>
        <w:spacing w:after="0" w:line="240" w:lineRule="auto"/>
        <w:ind w:left="709" w:right="709"/>
        <w:jc w:val="both"/>
        <w:rPr>
          <w:rFonts w:ascii="Century Gothic" w:eastAsia="Times New Roman" w:hAnsi="Century Gothic" w:cs="Arial"/>
          <w:color w:val="000000" w:themeColor="text1"/>
          <w:sz w:val="20"/>
          <w:szCs w:val="20"/>
          <w:lang w:val="es-ES_tradnl" w:eastAsia="es-CO"/>
        </w:rPr>
      </w:pPr>
    </w:p>
    <w:p w14:paraId="5BB0595A" w14:textId="77777777" w:rsidR="005518E8" w:rsidRPr="001D0052" w:rsidRDefault="005518E8" w:rsidP="005518E8">
      <w:pPr>
        <w:spacing w:after="0" w:line="240" w:lineRule="auto"/>
        <w:ind w:left="709" w:right="709"/>
        <w:jc w:val="both"/>
        <w:rPr>
          <w:rFonts w:ascii="Century Gothic" w:eastAsia="Times New Roman" w:hAnsi="Century Gothic" w:cs="Arial"/>
          <w:color w:val="000000" w:themeColor="text1"/>
          <w:sz w:val="20"/>
          <w:szCs w:val="20"/>
          <w:lang w:val="es-ES_tradnl" w:eastAsia="es-CO"/>
        </w:rPr>
      </w:pPr>
      <w:r w:rsidRPr="001D0052">
        <w:rPr>
          <w:rFonts w:ascii="Century Gothic" w:eastAsia="Times New Roman" w:hAnsi="Century Gothic" w:cs="Arial"/>
          <w:bCs/>
          <w:color w:val="000000" w:themeColor="text1"/>
          <w:sz w:val="20"/>
          <w:szCs w:val="20"/>
          <w:lang w:val="es-ES_tradnl" w:eastAsia="es-CO"/>
        </w:rPr>
        <w:t>Parágrafo 1.</w:t>
      </w:r>
      <w:r w:rsidRPr="001D0052">
        <w:rPr>
          <w:rFonts w:ascii="Century Gothic" w:eastAsia="Times New Roman" w:hAnsi="Century Gothic" w:cs="Arial"/>
          <w:color w:val="000000" w:themeColor="text1"/>
          <w:sz w:val="20"/>
          <w:szCs w:val="20"/>
          <w:lang w:val="es-ES_tradnl" w:eastAsia="es-CO"/>
        </w:rPr>
        <w:t> El requisito establecido en la parte final del inciso segundo de este artículo deberá acreditarse para la realización de cada pago derivado del contrato estatal.</w:t>
      </w:r>
    </w:p>
    <w:p w14:paraId="1760C696" w14:textId="77777777" w:rsidR="005518E8" w:rsidRPr="001D0052" w:rsidRDefault="005518E8" w:rsidP="005518E8">
      <w:pPr>
        <w:spacing w:after="0" w:line="240" w:lineRule="auto"/>
        <w:ind w:left="709" w:right="709"/>
        <w:jc w:val="both"/>
        <w:rPr>
          <w:rFonts w:ascii="Century Gothic" w:eastAsia="Times New Roman" w:hAnsi="Century Gothic" w:cs="Arial"/>
          <w:color w:val="000000" w:themeColor="text1"/>
          <w:sz w:val="20"/>
          <w:szCs w:val="20"/>
          <w:lang w:val="es-ES_tradnl" w:eastAsia="es-CO"/>
        </w:rPr>
      </w:pPr>
    </w:p>
    <w:p w14:paraId="76AF29C0" w14:textId="77777777" w:rsidR="005518E8" w:rsidRPr="001D0052" w:rsidRDefault="005518E8" w:rsidP="005518E8">
      <w:pPr>
        <w:spacing w:after="0" w:line="240" w:lineRule="auto"/>
        <w:ind w:left="709" w:right="709"/>
        <w:jc w:val="both"/>
        <w:rPr>
          <w:rFonts w:ascii="Century Gothic" w:eastAsia="Times New Roman" w:hAnsi="Century Gothic" w:cs="Arial"/>
          <w:color w:val="000000" w:themeColor="text1"/>
          <w:sz w:val="20"/>
          <w:szCs w:val="20"/>
          <w:lang w:val="es-ES_tradnl" w:eastAsia="es-CO"/>
        </w:rPr>
      </w:pPr>
      <w:r w:rsidRPr="001D0052">
        <w:rPr>
          <w:rFonts w:ascii="Century Gothic" w:eastAsia="Times New Roman" w:hAnsi="Century Gothic" w:cs="Arial"/>
          <w:color w:val="000000" w:themeColor="text1"/>
          <w:sz w:val="20"/>
          <w:szCs w:val="20"/>
          <w:lang w:val="es-ES_tradnl" w:eastAsia="es-CO"/>
        </w:rPr>
        <w:lastRenderedPageBreak/>
        <w:t>El servidor público que sin justa causa no verifique el pago de los aportes a que se refiere el presente artículo, incurrirá en causal de mala conducta, que será sancionada con arreglo al régimen disciplinario vigente”.</w:t>
      </w:r>
    </w:p>
    <w:p w14:paraId="38E1B2F8" w14:textId="77777777" w:rsidR="005518E8" w:rsidRPr="001D0052" w:rsidRDefault="005518E8" w:rsidP="005518E8">
      <w:pPr>
        <w:spacing w:after="0" w:line="276" w:lineRule="auto"/>
        <w:ind w:firstLine="709"/>
        <w:jc w:val="both"/>
        <w:rPr>
          <w:rFonts w:ascii="Century Gothic" w:hAnsi="Century Gothic" w:cs="Arial"/>
          <w:color w:val="000000" w:themeColor="text1"/>
          <w:lang w:val="es-ES_tradnl"/>
        </w:rPr>
      </w:pPr>
    </w:p>
    <w:p w14:paraId="459BB6A0" w14:textId="77777777" w:rsidR="005518E8" w:rsidRPr="001D0052" w:rsidRDefault="005518E8" w:rsidP="005518E8">
      <w:pPr>
        <w:spacing w:after="120" w:line="276" w:lineRule="auto"/>
        <w:ind w:firstLine="709"/>
        <w:jc w:val="both"/>
        <w:rPr>
          <w:rFonts w:ascii="Century Gothic" w:hAnsi="Century Gothic" w:cs="Arial"/>
          <w:lang w:val="es-ES_tradnl"/>
        </w:rPr>
      </w:pPr>
      <w:r w:rsidRPr="001D0052">
        <w:rPr>
          <w:rFonts w:ascii="Century Gothic" w:hAnsi="Century Gothic" w:cs="Arial"/>
          <w:lang w:val="es-ES_tradnl"/>
        </w:rPr>
        <w:t xml:space="preserve">De la lectura integral del artículo 23 de la Ley 1150 de 2007 se infiere que, si bien los proponentes y los contratistas deben estar al día en el pago al Sistema de Seguridad Social Integral, la </w:t>
      </w:r>
      <w:r w:rsidRPr="001D0052">
        <w:rPr>
          <w:rFonts w:ascii="Century Gothic" w:hAnsi="Century Gothic" w:cs="Arial"/>
          <w:i/>
          <w:lang w:val="es-ES_tradnl"/>
        </w:rPr>
        <w:t>verificación</w:t>
      </w:r>
      <w:r w:rsidRPr="001D0052">
        <w:rPr>
          <w:rFonts w:ascii="Century Gothic" w:hAnsi="Century Gothic" w:cs="Arial"/>
          <w:lang w:val="es-ES_tradnl"/>
        </w:rPr>
        <w:t xml:space="preserve"> de este requisito, por parte de las entidades estatales, se efectuará cuando realicen los pagos del contrato, es decir, </w:t>
      </w:r>
      <w:r w:rsidRPr="001D0052">
        <w:rPr>
          <w:rFonts w:ascii="Century Gothic" w:hAnsi="Century Gothic" w:cs="Arial"/>
          <w:i/>
          <w:lang w:val="es-ES_tradnl"/>
        </w:rPr>
        <w:t>durante la ejecución</w:t>
      </w:r>
      <w:r w:rsidRPr="001D0052">
        <w:rPr>
          <w:rFonts w:ascii="Century Gothic" w:hAnsi="Century Gothic" w:cs="Arial"/>
          <w:lang w:val="es-ES_tradnl"/>
        </w:rPr>
        <w:t xml:space="preserve">. </w:t>
      </w:r>
    </w:p>
    <w:p w14:paraId="01B9EC80" w14:textId="77777777" w:rsidR="005518E8" w:rsidRPr="001D0052" w:rsidRDefault="005518E8" w:rsidP="005518E8">
      <w:pPr>
        <w:spacing w:after="120" w:line="276" w:lineRule="auto"/>
        <w:ind w:firstLine="709"/>
        <w:jc w:val="both"/>
        <w:rPr>
          <w:rFonts w:ascii="Century Gothic" w:hAnsi="Century Gothic" w:cs="Arial"/>
          <w:lang w:val="es-ES_tradnl"/>
        </w:rPr>
      </w:pPr>
      <w:r w:rsidRPr="001D0052">
        <w:rPr>
          <w:rFonts w:ascii="Century Gothic" w:hAnsi="Century Gothic" w:cs="Arial"/>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54B28BD8" w14:textId="77777777" w:rsidR="005518E8" w:rsidRPr="001D0052" w:rsidRDefault="005518E8" w:rsidP="005518E8">
      <w:pPr>
        <w:spacing w:after="120" w:line="276" w:lineRule="auto"/>
        <w:ind w:firstLine="709"/>
        <w:jc w:val="both"/>
        <w:rPr>
          <w:rFonts w:ascii="Century Gothic" w:hAnsi="Century Gothic" w:cs="Arial"/>
          <w:lang w:val="es-ES"/>
        </w:rPr>
      </w:pPr>
      <w:r w:rsidRPr="001D0052">
        <w:rPr>
          <w:rFonts w:ascii="Century Gothic" w:hAnsi="Century Gothic" w:cs="Arial"/>
          <w:lang w:val="es-ES"/>
        </w:rPr>
        <w:t xml:space="preserve">En este sentido, la verificación de los aportes al Sistema de Seguridad Social Integral cambia, dependiendo si se trata de una persona natural o de una jurídica: i) si es una </w:t>
      </w:r>
      <w:r w:rsidRPr="001D0052">
        <w:rPr>
          <w:rFonts w:ascii="Century Gothic" w:hAnsi="Century Gothic" w:cs="Arial"/>
          <w:i/>
          <w:lang w:val="es-ES"/>
        </w:rPr>
        <w:t>natural</w:t>
      </w:r>
      <w:r w:rsidRPr="001D0052">
        <w:rPr>
          <w:rFonts w:ascii="Century Gothic" w:hAnsi="Century Gothic" w:cs="Arial"/>
          <w:lang w:val="es-ES"/>
        </w:rPr>
        <w:t xml:space="preserve">, la Entidad Estatal verificará el pago al Sistema de Seguridad Social Integral cuando se realicen los pagos del contrato, es decir, durante su ejecución y </w:t>
      </w:r>
      <w:proofErr w:type="spellStart"/>
      <w:r w:rsidRPr="001D0052">
        <w:rPr>
          <w:rFonts w:ascii="Century Gothic" w:hAnsi="Century Gothic" w:cs="Arial"/>
          <w:lang w:val="es-ES"/>
        </w:rPr>
        <w:t>ii</w:t>
      </w:r>
      <w:proofErr w:type="spellEnd"/>
      <w:r w:rsidRPr="001D0052">
        <w:rPr>
          <w:rFonts w:ascii="Century Gothic" w:hAnsi="Century Gothic" w:cs="Arial"/>
          <w:lang w:val="es-ES"/>
        </w:rPr>
        <w:t xml:space="preserve">) si se refiere a una </w:t>
      </w:r>
      <w:r w:rsidRPr="001D0052">
        <w:rPr>
          <w:rFonts w:ascii="Century Gothic" w:hAnsi="Century Gothic" w:cs="Arial"/>
          <w:i/>
          <w:lang w:val="es-ES"/>
        </w:rPr>
        <w:t>persona jurídica</w:t>
      </w:r>
      <w:r w:rsidRPr="001D0052">
        <w:rPr>
          <w:rFonts w:ascii="Century Gothic" w:hAnsi="Century Gothic"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60ABB0CA" w14:textId="77777777" w:rsidR="005518E8" w:rsidRPr="001D0052" w:rsidRDefault="005518E8" w:rsidP="005518E8">
      <w:pPr>
        <w:spacing w:after="120" w:line="276" w:lineRule="auto"/>
        <w:ind w:firstLine="709"/>
        <w:jc w:val="both"/>
        <w:rPr>
          <w:rFonts w:ascii="Century Gothic" w:hAnsi="Century Gothic" w:cs="Arial"/>
          <w:lang w:val="es-ES_tradnl"/>
        </w:rPr>
      </w:pPr>
      <w:r w:rsidRPr="001D0052">
        <w:rPr>
          <w:rFonts w:ascii="Century Gothic" w:hAnsi="Century Gothic" w:cs="Arial"/>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35AA25A0" w14:textId="77777777" w:rsidR="005518E8" w:rsidRPr="001D0052" w:rsidRDefault="005518E8" w:rsidP="005518E8">
      <w:pPr>
        <w:spacing w:after="120" w:line="276" w:lineRule="auto"/>
        <w:ind w:firstLine="708"/>
        <w:jc w:val="both"/>
        <w:rPr>
          <w:rFonts w:ascii="Century Gothic" w:hAnsi="Century Gothic" w:cs="Arial"/>
          <w:lang w:val="es-ES_tradnl"/>
        </w:rPr>
      </w:pPr>
      <w:r w:rsidRPr="001D0052">
        <w:rPr>
          <w:rFonts w:ascii="Century Gothic" w:hAnsi="Century Gothic" w:cs="Arial"/>
          <w:lang w:val="es-ES_tradnl"/>
        </w:rPr>
        <w:lastRenderedPageBreak/>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1D0052">
        <w:rPr>
          <w:rFonts w:ascii="Century Gothic" w:hAnsi="Century Gothic" w:cs="Arial"/>
          <w:i/>
          <w:lang w:val="es-ES_tradnl"/>
        </w:rPr>
        <w:t>mes vencido</w:t>
      </w:r>
      <w:r w:rsidRPr="001D0052">
        <w:rPr>
          <w:rFonts w:ascii="Century Gothic" w:hAnsi="Century Gothic" w:cs="Arial"/>
          <w:lang w:val="es-ES_tradnl"/>
        </w:rPr>
        <w:t xml:space="preserve"> al Sistema de Seguridad Social Integral sobre una base mínima del cuarenta por ciento (40%) del valor mensualizado del contrato, sin incluir el valor del Impuesto al Valor Agregado (IVA)</w:t>
      </w:r>
      <w:r w:rsidRPr="001D0052">
        <w:rPr>
          <w:rFonts w:ascii="Century Gothic" w:hAnsi="Century Gothic" w:cs="Arial"/>
          <w:vertAlign w:val="superscript"/>
          <w:lang w:val="es-ES_tradnl"/>
        </w:rPr>
        <w:footnoteReference w:id="19"/>
      </w:r>
      <w:r w:rsidRPr="001D0052">
        <w:rPr>
          <w:rFonts w:ascii="Century Gothic" w:hAnsi="Century Gothic" w:cs="Arial"/>
          <w:lang w:val="es-ES_tradnl"/>
        </w:rPr>
        <w:t>.</w:t>
      </w:r>
    </w:p>
    <w:p w14:paraId="5B7248B6" w14:textId="77777777" w:rsidR="005518E8" w:rsidRPr="001D0052" w:rsidRDefault="005518E8" w:rsidP="005518E8">
      <w:pPr>
        <w:spacing w:after="120" w:line="276" w:lineRule="auto"/>
        <w:ind w:firstLine="709"/>
        <w:jc w:val="both"/>
        <w:rPr>
          <w:rFonts w:ascii="Century Gothic" w:hAnsi="Century Gothic" w:cs="Arial"/>
          <w:lang w:val="es-ES_tradnl"/>
        </w:rPr>
      </w:pPr>
      <w:r w:rsidRPr="001D0052">
        <w:rPr>
          <w:rFonts w:ascii="Century Gothic" w:hAnsi="Century Gothic"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1D0052">
        <w:rPr>
          <w:rFonts w:ascii="Century Gothic" w:hAnsi="Century Gothic" w:cs="Arial"/>
          <w:vertAlign w:val="superscript"/>
          <w:lang w:val="es-ES_tradnl"/>
        </w:rPr>
        <w:footnoteReference w:id="20"/>
      </w:r>
      <w:r w:rsidRPr="001D0052">
        <w:rPr>
          <w:rFonts w:ascii="Century Gothic" w:hAnsi="Century Gothic" w:cs="Arial"/>
          <w:lang w:val="es-ES_tradnl"/>
        </w:rPr>
        <w:t xml:space="preserve">, condición que se cumplió en el mes de junio del año 2022. En consecuencia, dicho artículo ya no está vigente a la fecha. </w:t>
      </w:r>
    </w:p>
    <w:p w14:paraId="4A5C42F0" w14:textId="77777777" w:rsidR="005518E8" w:rsidRPr="001D0052" w:rsidRDefault="005518E8" w:rsidP="005518E8">
      <w:pPr>
        <w:spacing w:after="120" w:line="276" w:lineRule="auto"/>
        <w:ind w:firstLine="709"/>
        <w:jc w:val="both"/>
        <w:rPr>
          <w:rFonts w:ascii="Century Gothic" w:hAnsi="Century Gothic" w:cs="Arial"/>
          <w:lang w:val="es-ES_tradnl"/>
        </w:rPr>
      </w:pPr>
      <w:r w:rsidRPr="001D0052">
        <w:rPr>
          <w:rFonts w:ascii="Century Gothic" w:hAnsi="Century Gothic" w:cs="Arial"/>
          <w:lang w:val="es-ES_tradnl"/>
        </w:rPr>
        <w:lastRenderedPageBreak/>
        <w:t xml:space="preserve">Sin perjuicio de lo anterior, el Ministerio de Trabajo emitió el Concepto Unificado rad. 08SE202223000000035861 de 2 de agosto de 2022, con ocasión de la efectividad de la </w:t>
      </w:r>
      <w:proofErr w:type="spellStart"/>
      <w:r w:rsidRPr="001D0052">
        <w:rPr>
          <w:rFonts w:ascii="Century Gothic" w:hAnsi="Century Gothic" w:cs="Arial"/>
          <w:lang w:val="es-ES_tradnl"/>
        </w:rPr>
        <w:t>exequibilidad</w:t>
      </w:r>
      <w:proofErr w:type="spellEnd"/>
      <w:r w:rsidRPr="001D0052">
        <w:rPr>
          <w:rFonts w:ascii="Century Gothic" w:hAnsi="Century Gothic" w:cs="Arial"/>
          <w:lang w:val="es-ES_tradnl"/>
        </w:rPr>
        <w:t xml:space="preserve"> del artículo 244 de la Ley 1955 de 2019 y la forma en que cotizan los trabajadores independientes, para concluir que esta no cambió, toda vez que operó la reviviscencia del </w:t>
      </w:r>
      <w:r w:rsidRPr="001D0052">
        <w:rPr>
          <w:rFonts w:ascii="Century Gothic" w:eastAsia="Arial" w:hAnsi="Century Gothic" w:cs="Arial"/>
          <w:lang w:val="es-ES" w:eastAsia="es-ES" w:bidi="es-ES"/>
        </w:rPr>
        <w:t>“</w:t>
      </w:r>
      <w:r w:rsidRPr="001D0052">
        <w:rPr>
          <w:rFonts w:ascii="Century Gothic" w:hAnsi="Century Gothic" w:cs="Arial"/>
          <w:lang w:val="es-ES_tradnl"/>
        </w:rPr>
        <w:t xml:space="preserve">artículo 18 de la Ley 1122 de 2007, norma que establece que la cotización de los independientes contratistas de prestación de servicios se efectuará: “(…) </w:t>
      </w:r>
      <w:r w:rsidRPr="001D0052">
        <w:rPr>
          <w:rFonts w:ascii="Century Gothic" w:hAnsi="Century Gothic" w:cs="Arial"/>
          <w:i/>
          <w:iCs/>
          <w:lang w:val="es-ES_tradnl"/>
        </w:rPr>
        <w:t>sobre una base de la cotización máxima de un 40% del valor mensualizado del contrato</w:t>
      </w:r>
      <w:r w:rsidRPr="001D0052">
        <w:rPr>
          <w:rFonts w:ascii="Century Gothic" w:hAnsi="Century Gothic" w:cs="Arial"/>
          <w:lang w:val="es-ES_tradnl"/>
        </w:rPr>
        <w:t>”</w:t>
      </w:r>
      <w:r w:rsidRPr="001D0052">
        <w:rPr>
          <w:rFonts w:ascii="Century Gothic" w:eastAsia="Calibri" w:hAnsi="Century Gothic" w:cs="Arial"/>
          <w:bCs/>
          <w:lang w:val="es-ES_tradnl"/>
        </w:rPr>
        <w:t>”</w:t>
      </w:r>
      <w:r w:rsidRPr="001D0052">
        <w:rPr>
          <w:rFonts w:ascii="Century Gothic" w:hAnsi="Century Gothic" w:cs="Arial"/>
          <w:lang w:val="es-ES_tradnl"/>
        </w:rPr>
        <w:t xml:space="preserve">. De igual forma, frente al pago por mes vencido continúa aplicándose el primer inciso del artículo 3.2.7.6 del Decreto 780 de 2016, norma que dispuso que </w:t>
      </w:r>
      <w:r w:rsidRPr="001D0052">
        <w:rPr>
          <w:rFonts w:ascii="Century Gothic" w:eastAsia="Arial" w:hAnsi="Century Gothic" w:cs="Arial"/>
          <w:lang w:val="es-ES" w:eastAsia="es-ES" w:bidi="es-ES"/>
        </w:rPr>
        <w:t>“</w:t>
      </w:r>
      <w:r w:rsidRPr="001D0052">
        <w:rPr>
          <w:rFonts w:ascii="Century Gothic" w:hAnsi="Century Gothic" w:cs="Arial"/>
          <w:lang w:val="es-ES_tradnl"/>
        </w:rPr>
        <w:t>el pago por mes vencido de las cotizaciones se debía efectuar a partir del 1 de octubre de 2018</w:t>
      </w:r>
      <w:r w:rsidRPr="001D0052">
        <w:rPr>
          <w:rFonts w:ascii="Century Gothic" w:eastAsia="Calibri" w:hAnsi="Century Gothic" w:cs="Arial"/>
          <w:bCs/>
          <w:lang w:val="es-ES_tradnl"/>
        </w:rPr>
        <w:t>”</w:t>
      </w:r>
      <w:r w:rsidRPr="001D0052">
        <w:rPr>
          <w:rFonts w:ascii="Century Gothic" w:hAnsi="Century Gothic" w:cs="Arial"/>
          <w:lang w:val="es-ES_tradnl"/>
        </w:rPr>
        <w:t>.</w:t>
      </w:r>
    </w:p>
    <w:p w14:paraId="5080BC57" w14:textId="77777777" w:rsidR="005518E8" w:rsidRPr="001D0052" w:rsidRDefault="005518E8" w:rsidP="005518E8">
      <w:pPr>
        <w:spacing w:after="120" w:line="276" w:lineRule="auto"/>
        <w:ind w:firstLine="709"/>
        <w:jc w:val="both"/>
        <w:rPr>
          <w:rFonts w:ascii="Century Gothic" w:hAnsi="Century Gothic" w:cs="Arial"/>
          <w:lang w:val="es-ES"/>
        </w:rPr>
      </w:pPr>
      <w:r w:rsidRPr="001D0052">
        <w:rPr>
          <w:rFonts w:ascii="Century Gothic" w:hAnsi="Century Gothic" w:cs="Arial"/>
          <w:lang w:val="es-ES"/>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1D0052">
        <w:rPr>
          <w:rFonts w:ascii="Century Gothic" w:hAnsi="Century Gothic" w:cs="Arial"/>
          <w:lang w:val="es-ES"/>
        </w:rPr>
        <w:t>ii</w:t>
      </w:r>
      <w:proofErr w:type="spellEnd"/>
      <w:r w:rsidRPr="001D0052">
        <w:rPr>
          <w:rFonts w:ascii="Century Gothic" w:hAnsi="Century Gothic" w:cs="Arial"/>
          <w:lang w:val="es-ES"/>
        </w:rPr>
        <w:t xml:space="preserve">) la base mínima de cotización es el cuarenta por ciento (40%) del valor mensualizado de ingresos o del contrato, </w:t>
      </w:r>
      <w:proofErr w:type="spellStart"/>
      <w:r w:rsidRPr="001D0052">
        <w:rPr>
          <w:rFonts w:ascii="Century Gothic" w:hAnsi="Century Gothic" w:cs="Arial"/>
          <w:lang w:val="es-ES"/>
        </w:rPr>
        <w:t>iii</w:t>
      </w:r>
      <w:proofErr w:type="spellEnd"/>
      <w:r w:rsidRPr="001D0052">
        <w:rPr>
          <w:rFonts w:ascii="Century Gothic" w:hAnsi="Century Gothic" w:cs="Arial"/>
          <w:lang w:val="es-ES"/>
        </w:rPr>
        <w:t xml:space="preserve">) la cotización se realizará mes vencido, y finalmente, </w:t>
      </w:r>
      <w:proofErr w:type="spellStart"/>
      <w:r w:rsidRPr="001D0052">
        <w:rPr>
          <w:rFonts w:ascii="Century Gothic" w:hAnsi="Century Gothic" w:cs="Arial"/>
          <w:lang w:val="es-ES"/>
        </w:rPr>
        <w:t>iv</w:t>
      </w:r>
      <w:proofErr w:type="spellEnd"/>
      <w:r w:rsidRPr="001D0052">
        <w:rPr>
          <w:rFonts w:ascii="Century Gothic" w:hAnsi="Century Gothic" w:cs="Arial"/>
          <w:lang w:val="es-ES"/>
        </w:rPr>
        <w:t xml:space="preserve">) el pago lo efectuará directamente el trabajador independiente. </w:t>
      </w:r>
    </w:p>
    <w:p w14:paraId="75C6368F" w14:textId="77777777" w:rsidR="005518E8" w:rsidRPr="001D0052" w:rsidRDefault="005518E8" w:rsidP="005518E8">
      <w:pPr>
        <w:spacing w:after="120" w:line="276" w:lineRule="auto"/>
        <w:ind w:firstLine="709"/>
        <w:jc w:val="both"/>
        <w:rPr>
          <w:rFonts w:ascii="Century Gothic" w:hAnsi="Century Gothic" w:cs="Arial"/>
        </w:rPr>
      </w:pPr>
      <w:r w:rsidRPr="001D0052">
        <w:rPr>
          <w:rFonts w:ascii="Century Gothic" w:hAnsi="Century Gothic" w:cs="Arial"/>
          <w:lang w:val="es-ES_tradnl"/>
        </w:rPr>
        <w:t>Respecto de la oportunidad para el pago de los aportes, conviene mencionar que l</w:t>
      </w:r>
      <w:r w:rsidRPr="001D0052">
        <w:rPr>
          <w:rFonts w:ascii="Century Gothic" w:hAnsi="Century Gothic" w:cs="Arial"/>
        </w:rPr>
        <w:t xml:space="preserve">as Entidades Estatales deben respetar el derecho del contratista a hacer los aportes al Sistema de Seguridad Social Integral a más tardar en las fechas indicadas en el artículo 3.2.2.1. del Decreto 1990 de 2016 y de conformidad con el artículo 18 de la Ley 1122 de 2007, que establece que la cotización se realiza mes vencido sobre el cuarenta por ciento (40%) del valor mensualizado del contrato (sin contar el valor del IVA que no comporta un ingreso del cotizante). Por tanto, el </w:t>
      </w:r>
      <w:r w:rsidRPr="001D0052">
        <w:rPr>
          <w:rFonts w:ascii="Century Gothic" w:hAnsi="Century Gothic" w:cs="Arial"/>
        </w:rPr>
        <w:lastRenderedPageBreak/>
        <w:t xml:space="preserve">supervisor debe verificar que el contratista haya hecho sus aportes por lo devengado en el mes inmediatamente anterior. </w:t>
      </w:r>
    </w:p>
    <w:p w14:paraId="50280DCD" w14:textId="77777777" w:rsidR="005518E8" w:rsidRPr="001D0052" w:rsidRDefault="005518E8" w:rsidP="005518E8">
      <w:pPr>
        <w:spacing w:after="0" w:line="276" w:lineRule="auto"/>
        <w:ind w:firstLine="709"/>
        <w:jc w:val="both"/>
        <w:rPr>
          <w:rFonts w:ascii="Century Gothic" w:hAnsi="Century Gothic" w:cs="Arial"/>
        </w:rPr>
      </w:pPr>
      <w:r w:rsidRPr="001D0052">
        <w:rPr>
          <w:rFonts w:ascii="Century Gothic" w:hAnsi="Century Gothic" w:cs="Arial"/>
        </w:rPr>
        <w:t>Ahora bien, en atención a pregunta planteada en relación a la posibilidad de pactar honorarios por menos de un (1) salario mínimo legal mensual vigente y las conclusiones expuestas en el numeral 2.1 del presente concepto, es importante señalar que parágrafo d</w:t>
      </w:r>
      <w:r w:rsidRPr="001D0052">
        <w:rPr>
          <w:rFonts w:ascii="Century Gothic" w:hAnsi="Century Gothic"/>
        </w:rPr>
        <w:t>el artículo 9° del Decreto 3032 de 2013, hoy artículo 1.2.4.1.7 del Decreto Único Tributario 1625 de 2016 dispone lo siguiente:</w:t>
      </w:r>
    </w:p>
    <w:p w14:paraId="2BA64312" w14:textId="77777777" w:rsidR="005518E8" w:rsidRPr="001D0052" w:rsidRDefault="005518E8" w:rsidP="005518E8">
      <w:pPr>
        <w:spacing w:after="0" w:line="276" w:lineRule="auto"/>
        <w:ind w:left="709" w:right="709"/>
        <w:jc w:val="both"/>
        <w:rPr>
          <w:rFonts w:ascii="Century Gothic" w:hAnsi="Century Gothic"/>
        </w:rPr>
      </w:pPr>
    </w:p>
    <w:p w14:paraId="2467DBF6" w14:textId="77777777" w:rsidR="005518E8" w:rsidRPr="001D0052" w:rsidRDefault="005518E8" w:rsidP="005518E8">
      <w:pPr>
        <w:spacing w:after="0" w:line="240" w:lineRule="auto"/>
        <w:ind w:left="709" w:right="709"/>
        <w:jc w:val="both"/>
        <w:rPr>
          <w:rFonts w:ascii="Century Gothic" w:hAnsi="Century Gothic" w:cs="Arial"/>
          <w:sz w:val="20"/>
          <w:szCs w:val="20"/>
        </w:rPr>
      </w:pPr>
      <w:r w:rsidRPr="001D0052">
        <w:rPr>
          <w:rFonts w:ascii="Century Gothic" w:hAnsi="Century Gothic"/>
          <w:sz w:val="20"/>
          <w:szCs w:val="20"/>
        </w:rPr>
        <w:t xml:space="preserve">“Parágrafo. Esta obligación no será aplicable cuando la totalidad de los pagos mensuales sean inferiores a un salario mínimo legal mensual vigente (1 </w:t>
      </w:r>
      <w:proofErr w:type="spellStart"/>
      <w:r w:rsidRPr="001D0052">
        <w:rPr>
          <w:rFonts w:ascii="Century Gothic" w:hAnsi="Century Gothic"/>
          <w:sz w:val="20"/>
          <w:szCs w:val="20"/>
        </w:rPr>
        <w:t>smlmv</w:t>
      </w:r>
      <w:proofErr w:type="spellEnd"/>
      <w:r w:rsidRPr="001D0052">
        <w:rPr>
          <w:rFonts w:ascii="Century Gothic" w:hAnsi="Century Gothic"/>
          <w:sz w:val="20"/>
          <w:szCs w:val="20"/>
        </w:rPr>
        <w:t>)”.</w:t>
      </w:r>
    </w:p>
    <w:p w14:paraId="3F6E3EB7" w14:textId="77777777" w:rsidR="005518E8" w:rsidRPr="001D0052" w:rsidRDefault="005518E8" w:rsidP="005518E8">
      <w:pPr>
        <w:spacing w:after="0" w:line="276" w:lineRule="auto"/>
        <w:ind w:firstLine="709"/>
        <w:jc w:val="both"/>
        <w:rPr>
          <w:rFonts w:ascii="Century Gothic" w:hAnsi="Century Gothic" w:cs="Arial"/>
        </w:rPr>
      </w:pPr>
    </w:p>
    <w:p w14:paraId="0368BDDD" w14:textId="77777777" w:rsidR="005518E8" w:rsidRPr="001D0052" w:rsidRDefault="005518E8" w:rsidP="005518E8">
      <w:pPr>
        <w:spacing w:after="120" w:line="276" w:lineRule="auto"/>
        <w:ind w:firstLine="709"/>
        <w:jc w:val="both"/>
        <w:rPr>
          <w:rFonts w:ascii="Century Gothic" w:hAnsi="Century Gothic" w:cs="Arial"/>
        </w:rPr>
      </w:pPr>
      <w:r w:rsidRPr="001D0052">
        <w:rPr>
          <w:rFonts w:ascii="Century Gothic" w:hAnsi="Century Gothic"/>
        </w:rPr>
        <w:t>Así las cosas, los contratistas de prestación de servicios están obligados a cotizar al Sistema de Seguridad Social en Salud y Pensiones en forma obligatoria, cuando tengan capacidad de pago, teniendo en cuenta los porcentajes antes descritos</w:t>
      </w:r>
      <w:r w:rsidRPr="001D0052">
        <w:rPr>
          <w:rStyle w:val="Refdenotaalpie"/>
          <w:rFonts w:ascii="Century Gothic" w:hAnsi="Century Gothic"/>
        </w:rPr>
        <w:footnoteReference w:id="21"/>
      </w:r>
      <w:r w:rsidRPr="001D0052">
        <w:rPr>
          <w:rFonts w:ascii="Century Gothic" w:hAnsi="Century Gothic"/>
        </w:rPr>
        <w:t xml:space="preserve">. </w:t>
      </w:r>
    </w:p>
    <w:p w14:paraId="6448706B" w14:textId="77777777" w:rsidR="005518E8" w:rsidRPr="001D0052" w:rsidRDefault="005518E8" w:rsidP="005518E8">
      <w:pPr>
        <w:spacing w:after="0" w:line="276" w:lineRule="auto"/>
        <w:ind w:firstLine="709"/>
        <w:jc w:val="both"/>
        <w:rPr>
          <w:rFonts w:ascii="Century Gothic" w:hAnsi="Century Gothic" w:cs="Arial"/>
        </w:rPr>
      </w:pPr>
      <w:r w:rsidRPr="001D0052">
        <w:rPr>
          <w:rFonts w:ascii="Century Gothic" w:hAnsi="Century Gothic" w:cs="Arial"/>
        </w:rPr>
        <w:t xml:space="preserve">Por otro lado, se debe tener en cuenta que el contrato estatal se puede celebrar con la persona natural, verificándose que se encuentre </w:t>
      </w:r>
      <w:r w:rsidRPr="001D0052">
        <w:rPr>
          <w:rFonts w:ascii="Century Gothic" w:hAnsi="Century Gothic" w:cs="Arial"/>
          <w:i/>
        </w:rPr>
        <w:t>afiliada</w:t>
      </w:r>
      <w:r w:rsidRPr="001D0052">
        <w:rPr>
          <w:rFonts w:ascii="Century Gothic" w:hAnsi="Century Gothic" w:cs="Arial"/>
        </w:rPr>
        <w:t xml:space="preserve"> al 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4A0DAE5C" w14:textId="77777777" w:rsidR="005518E8" w:rsidRPr="001D0052" w:rsidRDefault="005518E8" w:rsidP="005518E8">
      <w:pPr>
        <w:widowControl w:val="0"/>
        <w:autoSpaceDE w:val="0"/>
        <w:autoSpaceDN w:val="0"/>
        <w:spacing w:after="0" w:line="276" w:lineRule="auto"/>
        <w:jc w:val="both"/>
        <w:rPr>
          <w:rFonts w:ascii="Century Gothic" w:hAnsi="Century Gothic" w:cs="Arial"/>
        </w:rPr>
      </w:pPr>
    </w:p>
    <w:p w14:paraId="09E6D212" w14:textId="77777777" w:rsidR="005518E8" w:rsidRPr="001D0052" w:rsidRDefault="005518E8" w:rsidP="005518E8">
      <w:pPr>
        <w:spacing w:after="0" w:line="276" w:lineRule="auto"/>
        <w:jc w:val="both"/>
        <w:rPr>
          <w:rFonts w:ascii="Century Gothic" w:eastAsia="Century Gothic" w:hAnsi="Century Gothic" w:cs="Century Gothic"/>
          <w:b/>
          <w:bCs/>
          <w:lang w:val="es-ES"/>
        </w:rPr>
      </w:pPr>
      <w:r w:rsidRPr="001D0052">
        <w:rPr>
          <w:rFonts w:ascii="Century Gothic" w:eastAsia="Century Gothic" w:hAnsi="Century Gothic" w:cs="Century Gothic"/>
          <w:b/>
          <w:bCs/>
          <w:lang w:val="es-ES"/>
        </w:rPr>
        <w:t>3. Respuesta</w:t>
      </w:r>
    </w:p>
    <w:p w14:paraId="7715BD6D" w14:textId="77777777" w:rsidR="005518E8" w:rsidRPr="001D0052" w:rsidRDefault="005518E8" w:rsidP="005518E8">
      <w:pPr>
        <w:spacing w:after="0" w:line="276" w:lineRule="auto"/>
        <w:jc w:val="both"/>
        <w:rPr>
          <w:rFonts w:ascii="Century Gothic" w:eastAsia="Century Gothic" w:hAnsi="Century Gothic" w:cs="Century Gothic"/>
          <w:b/>
          <w:bCs/>
          <w:lang w:val="es-ES"/>
        </w:rPr>
      </w:pPr>
    </w:p>
    <w:p w14:paraId="1810E3FA" w14:textId="77777777" w:rsidR="005518E8" w:rsidRPr="001D0052" w:rsidRDefault="005518E8" w:rsidP="005518E8">
      <w:pPr>
        <w:spacing w:after="0" w:line="240" w:lineRule="auto"/>
        <w:ind w:left="709" w:right="709"/>
        <w:jc w:val="both"/>
        <w:rPr>
          <w:rFonts w:ascii="Century Gothic" w:eastAsia="Calibri" w:hAnsi="Century Gothic" w:cs="Arial"/>
          <w:sz w:val="20"/>
          <w:szCs w:val="20"/>
          <w:lang w:val="es-ES" w:eastAsia="es-ES"/>
        </w:rPr>
      </w:pPr>
      <w:r w:rsidRPr="001D0052">
        <w:rPr>
          <w:rFonts w:ascii="Century Gothic" w:eastAsia="Calibri" w:hAnsi="Century Gothic" w:cs="Arial"/>
          <w:sz w:val="20"/>
          <w:szCs w:val="20"/>
          <w:lang w:val="es-ES" w:eastAsia="es-ES"/>
        </w:rPr>
        <w:t xml:space="preserve">“Atendiendo las facultades otorgadas a la Agencia Nacional de Contratación Pública Colombia Compra Eficiente, se consulta sí, de acuerdo con las normas que rigen el sistema de compras públicas ¿existe prohibición </w:t>
      </w:r>
      <w:r w:rsidRPr="001D0052">
        <w:rPr>
          <w:rFonts w:ascii="Century Gothic" w:eastAsia="Calibri" w:hAnsi="Century Gothic" w:cs="Arial"/>
          <w:sz w:val="20"/>
          <w:szCs w:val="20"/>
          <w:lang w:val="es-ES" w:eastAsia="es-ES"/>
        </w:rPr>
        <w:lastRenderedPageBreak/>
        <w:t>legal para que una Entidad Estatal pacte honorarios mensuales con un contratista de prestación de servicios profesionales o de apoyo a la gestión, por un valor inferior al salario mínimo vigente? […]”.</w:t>
      </w:r>
    </w:p>
    <w:p w14:paraId="5B06BE84" w14:textId="77777777" w:rsidR="005518E8" w:rsidRPr="001D0052" w:rsidRDefault="005518E8" w:rsidP="005518E8">
      <w:pPr>
        <w:spacing w:after="0" w:line="276" w:lineRule="auto"/>
        <w:jc w:val="both"/>
        <w:rPr>
          <w:rFonts w:ascii="Century Gothic" w:eastAsia="Calibri" w:hAnsi="Century Gothic" w:cs="Arial"/>
          <w:lang w:val="es-ES"/>
        </w:rPr>
      </w:pPr>
    </w:p>
    <w:p w14:paraId="2CC7BFD8" w14:textId="77777777" w:rsidR="005518E8" w:rsidRPr="001D0052" w:rsidRDefault="005518E8" w:rsidP="005518E8">
      <w:pPr>
        <w:spacing w:after="120" w:line="276" w:lineRule="auto"/>
        <w:ind w:firstLine="709"/>
        <w:jc w:val="both"/>
        <w:rPr>
          <w:rFonts w:ascii="Century Gothic" w:eastAsia="Arial" w:hAnsi="Century Gothic" w:cs="Arial"/>
          <w:iCs/>
          <w:lang w:val="es-ES"/>
        </w:rPr>
      </w:pPr>
      <w:r w:rsidRPr="001D0052">
        <w:rPr>
          <w:rFonts w:ascii="Century Gothic" w:eastAsia="Calibri" w:hAnsi="Century Gothic" w:cs="Arial"/>
          <w:lang w:val="es-ES"/>
        </w:rPr>
        <w:t xml:space="preserve">Conforme lo expuesto, respecto del objeto de su consulta debe advertirse que, </w:t>
      </w:r>
      <w:r w:rsidRPr="001D0052">
        <w:rPr>
          <w:rFonts w:ascii="Century Gothic" w:eastAsia="Arial" w:hAnsi="Century Gothic" w:cs="Arial"/>
          <w:iCs/>
          <w:lang w:val="es-ES"/>
        </w:rPr>
        <w:t xml:space="preserve">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06179EE8"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t xml:space="preserve">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debe acreditar el futuro contratista para el cumplimiento del objeto contractual. En este sentido, las Entidades Estatales determinan el monto de los honorarios de los contratos de prestación de servicios y apoyo a la gestión de conformidad con lo establecido en el análisis del sector y en los documentos o estudios previos. </w:t>
      </w:r>
    </w:p>
    <w:p w14:paraId="5337F12A"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t xml:space="preserve">Tampoco se encuentra disposición en la Ley 80 de 1993, Ley 1150 de 2007 o en el Decreto 1082 de 2015 que disponga la obligatoriedad de implementar tablas de honorarios o estandarizar perfiles para los contratos de prestación de servicios, lo anterior, no significa que las entidades no puedan hacerlo. </w:t>
      </w:r>
    </w:p>
    <w:p w14:paraId="242BABA8" w14:textId="77777777" w:rsidR="005518E8" w:rsidRPr="001D0052" w:rsidRDefault="005518E8" w:rsidP="005518E8">
      <w:pPr>
        <w:widowControl w:val="0"/>
        <w:autoSpaceDE w:val="0"/>
        <w:autoSpaceDN w:val="0"/>
        <w:spacing w:after="120" w:line="276" w:lineRule="auto"/>
        <w:ind w:firstLine="708"/>
        <w:jc w:val="both"/>
        <w:rPr>
          <w:rFonts w:ascii="Century Gothic" w:eastAsia="Arial" w:hAnsi="Century Gothic" w:cs="Arial"/>
          <w:iCs/>
          <w:lang w:val="es-ES"/>
        </w:rPr>
      </w:pPr>
      <w:r w:rsidRPr="001D0052">
        <w:rPr>
          <w:rFonts w:ascii="Century Gothic" w:eastAsia="Arial" w:hAnsi="Century Gothic" w:cs="Arial"/>
          <w:iCs/>
          <w:lang w:val="es-ES"/>
        </w:rPr>
        <w:t xml:space="preserve">Así mismo, debe señalarse que, no </w:t>
      </w:r>
      <w:r w:rsidRPr="001D0052">
        <w:rPr>
          <w:rFonts w:ascii="Century Gothic" w:eastAsia="Calibri" w:hAnsi="Century Gothic" w:cs="Arial"/>
          <w:bCs/>
          <w:color w:val="000000"/>
          <w:kern w:val="2"/>
          <w14:ligatures w14:val="standardContextual"/>
        </w:rPr>
        <w:t xml:space="preserve">existe norma que rija en el sistema de compra pública y contratación estatal que prohíba pactar honorarios por un valor inferior al salario mínimo mensual vigente en el marco de un contrato de prestación de servicios profesionales y de apoyo a la gestión, como podría ocurrir en aquellos contratos cuyo objeto sea la entrega de un producto determinado. </w:t>
      </w:r>
    </w:p>
    <w:p w14:paraId="3A6505E0" w14:textId="77777777" w:rsidR="005518E8" w:rsidRPr="001D0052" w:rsidRDefault="005518E8" w:rsidP="005518E8">
      <w:pPr>
        <w:widowControl w:val="0"/>
        <w:autoSpaceDE w:val="0"/>
        <w:autoSpaceDN w:val="0"/>
        <w:spacing w:after="120" w:line="276" w:lineRule="auto"/>
        <w:ind w:firstLine="720"/>
        <w:jc w:val="both"/>
        <w:rPr>
          <w:rFonts w:ascii="Century Gothic" w:eastAsia="Calibri" w:hAnsi="Century Gothic" w:cs="Arial"/>
          <w:bCs/>
          <w:color w:val="000000"/>
          <w:kern w:val="2"/>
          <w14:ligatures w14:val="standardContextual"/>
        </w:rPr>
      </w:pPr>
      <w:r w:rsidRPr="001D0052">
        <w:rPr>
          <w:rFonts w:ascii="Century Gothic" w:eastAsia="Calibri" w:hAnsi="Century Gothic" w:cs="Arial"/>
          <w:bCs/>
          <w:color w:val="000000"/>
          <w:kern w:val="2"/>
          <w14:ligatures w14:val="standardContextual"/>
        </w:rPr>
        <w:t xml:space="preserve">Se concluye que, conforme a lo expuesto en el presente acápite, las Entidades Estatales tienen autonomía para definir los honorarios de un contrato de prestación de servicios profesionales y de apoyo a la gestión, para lo cual deberán </w:t>
      </w:r>
      <w:r w:rsidRPr="001D0052">
        <w:rPr>
          <w:rFonts w:ascii="Century Gothic" w:eastAsia="Calibri" w:hAnsi="Century Gothic" w:cs="Arial"/>
          <w:bCs/>
          <w:color w:val="000000"/>
          <w:kern w:val="2"/>
          <w14:ligatures w14:val="standardContextual"/>
        </w:rPr>
        <w:lastRenderedPageBreak/>
        <w:t xml:space="preserve">tener en cuenta el tipo de actividades a ejecutar, el tiempo que se destinara a su desarrollo, el perfil requerido </w:t>
      </w:r>
      <w:r w:rsidRPr="001D0052">
        <w:rPr>
          <w:rFonts w:ascii="Century Gothic" w:eastAsia="Arial" w:hAnsi="Century Gothic" w:cs="Arial"/>
          <w:iCs/>
          <w:lang w:val="es-ES"/>
        </w:rPr>
        <w:t>al contratista, dentro de este aspecto se destaca el conocimiento que tenga de una determinada materia de acuerdo con sus estudios y la experiencia que acredite, las obligaciones asignadas para satisfacer la necesidad de la Entidad Estatal,</w:t>
      </w:r>
      <w:r w:rsidRPr="001D0052">
        <w:rPr>
          <w:rFonts w:ascii="Century Gothic" w:eastAsia="Calibri" w:hAnsi="Century Gothic" w:cs="Arial"/>
          <w:bCs/>
          <w:color w:val="000000"/>
          <w:kern w:val="2"/>
          <w14:ligatures w14:val="standardContextual"/>
        </w:rPr>
        <w:t xml:space="preserve"> entre otros aspectos, que deberán consignarse en el estudio de sector. </w:t>
      </w:r>
    </w:p>
    <w:p w14:paraId="509F44E8" w14:textId="77777777" w:rsidR="005518E8" w:rsidRPr="001D0052" w:rsidRDefault="005518E8" w:rsidP="005518E8">
      <w:pPr>
        <w:widowControl w:val="0"/>
        <w:autoSpaceDE w:val="0"/>
        <w:autoSpaceDN w:val="0"/>
        <w:spacing w:after="0" w:line="276" w:lineRule="auto"/>
        <w:ind w:firstLine="720"/>
        <w:jc w:val="both"/>
        <w:rPr>
          <w:rFonts w:ascii="Century Gothic" w:hAnsi="Century Gothic" w:cs="Arial"/>
        </w:rPr>
      </w:pPr>
      <w:r w:rsidRPr="001D0052">
        <w:rPr>
          <w:rFonts w:ascii="Century Gothic" w:hAnsi="Century Gothic" w:cs="Arial"/>
        </w:rPr>
        <w:t>Ahora bien, en relación con los aportes a Seguridad Social en aquellos eventos en los cuales se pactan honorarios por menos de un (1) salario mínimo legal mensual vigente es importante señalar que parágrafo d</w:t>
      </w:r>
      <w:r w:rsidRPr="001D0052">
        <w:rPr>
          <w:rFonts w:ascii="Century Gothic" w:hAnsi="Century Gothic"/>
        </w:rPr>
        <w:t>el artículo 9° del Decreto 3032 de 2013, hoy artículo 1.2.4.1.7 del Decreto Único Tributario 1625 de 2016 dispone “E</w:t>
      </w:r>
      <w:r w:rsidRPr="001D0052">
        <w:rPr>
          <w:rFonts w:ascii="Century Gothic" w:hAnsi="Century Gothic"/>
          <w:sz w:val="20"/>
          <w:szCs w:val="20"/>
        </w:rPr>
        <w:t xml:space="preserve">sta obligación no será aplicable cuando la totalidad de los pagos mensuales sean inferiores a un salario mínimo legal mensual vigente (1 </w:t>
      </w:r>
      <w:proofErr w:type="spellStart"/>
      <w:r w:rsidRPr="001D0052">
        <w:rPr>
          <w:rFonts w:ascii="Century Gothic" w:hAnsi="Century Gothic"/>
          <w:sz w:val="20"/>
          <w:szCs w:val="20"/>
        </w:rPr>
        <w:t>smlmv</w:t>
      </w:r>
      <w:proofErr w:type="spellEnd"/>
      <w:r w:rsidRPr="001D0052">
        <w:rPr>
          <w:rFonts w:ascii="Century Gothic" w:hAnsi="Century Gothic"/>
          <w:sz w:val="20"/>
          <w:szCs w:val="20"/>
        </w:rPr>
        <w:t xml:space="preserve">)”. </w:t>
      </w:r>
      <w:r w:rsidRPr="001D0052">
        <w:rPr>
          <w:rFonts w:ascii="Century Gothic" w:hAnsi="Century Gothic"/>
        </w:rPr>
        <w:t xml:space="preserve">Así las cosas, los contratistas de prestación de servicios están obligados a cotizar al Sistema de Seguridad Social en Salud y Pensiones en forma obligatoria, cuando tengan capacidad de pago, teniendo en cuenta los porcentajes antes descritos. </w:t>
      </w:r>
    </w:p>
    <w:p w14:paraId="09234CA7" w14:textId="77777777" w:rsidR="005518E8" w:rsidRPr="001D0052" w:rsidRDefault="005518E8" w:rsidP="005518E8">
      <w:pPr>
        <w:widowControl w:val="0"/>
        <w:autoSpaceDE w:val="0"/>
        <w:autoSpaceDN w:val="0"/>
        <w:spacing w:after="0" w:line="276" w:lineRule="auto"/>
        <w:jc w:val="both"/>
        <w:rPr>
          <w:rFonts w:ascii="Century Gothic" w:hAnsi="Century Gothic" w:cs="Arial"/>
        </w:rPr>
      </w:pPr>
    </w:p>
    <w:p w14:paraId="2A406A60" w14:textId="77777777" w:rsidR="005518E8" w:rsidRPr="001D0052" w:rsidRDefault="005518E8" w:rsidP="005518E8">
      <w:pPr>
        <w:widowControl w:val="0"/>
        <w:autoSpaceDE w:val="0"/>
        <w:autoSpaceDN w:val="0"/>
        <w:spacing w:after="0" w:line="276" w:lineRule="auto"/>
        <w:jc w:val="both"/>
        <w:rPr>
          <w:rFonts w:ascii="Century Gothic" w:hAnsi="Century Gothic" w:cs="Arial"/>
          <w:lang w:val="es-ES_tradnl"/>
        </w:rPr>
      </w:pPr>
      <w:r w:rsidRPr="001D0052">
        <w:rPr>
          <w:rFonts w:ascii="Century Gothic" w:hAnsi="Century Gothic" w:cs="Arial"/>
        </w:rPr>
        <w:t xml:space="preserve">Este concepto tiene el alcance previsto en el artículo 28 del Código de Procedimiento Administrativo y de lo Contencioso Administrativo </w:t>
      </w:r>
      <w:r w:rsidRPr="001D0052">
        <w:rPr>
          <w:rFonts w:ascii="Century Gothic" w:hAnsi="Century Gothic" w:cs="Arial"/>
          <w:lang w:val="es-ES_tradnl"/>
        </w:rPr>
        <w:t>y las expresiones aquí utilizadas con mayúscula inicial deben ser entendidas con el significado que les otorga el artículo 2.2.1.1.1.3.1. del Decreto 1082 de 2015.</w:t>
      </w:r>
    </w:p>
    <w:p w14:paraId="043DB833" w14:textId="77777777" w:rsidR="005518E8" w:rsidRPr="001D0052" w:rsidRDefault="005518E8" w:rsidP="005518E8">
      <w:pPr>
        <w:widowControl w:val="0"/>
        <w:autoSpaceDE w:val="0"/>
        <w:autoSpaceDN w:val="0"/>
        <w:spacing w:after="0" w:line="276" w:lineRule="auto"/>
        <w:jc w:val="both"/>
        <w:rPr>
          <w:rFonts w:ascii="Century Gothic" w:hAnsi="Century Gothic" w:cs="Arial"/>
        </w:rPr>
      </w:pPr>
    </w:p>
    <w:p w14:paraId="23B76912" w14:textId="7063B4E5" w:rsidR="005518E8" w:rsidRPr="001D0052" w:rsidRDefault="005518E8" w:rsidP="001D0052">
      <w:pPr>
        <w:spacing w:after="0" w:line="276" w:lineRule="auto"/>
        <w:rPr>
          <w:rFonts w:ascii="Century Gothic" w:eastAsia="Times New Roman" w:hAnsi="Century Gothic" w:cs="Arial"/>
          <w:lang w:eastAsia="es-CO"/>
        </w:rPr>
      </w:pPr>
      <w:r w:rsidRPr="001D0052">
        <w:rPr>
          <w:rFonts w:ascii="Century Gothic" w:eastAsia="Times New Roman" w:hAnsi="Century Gothic" w:cs="Arial"/>
          <w:lang w:eastAsia="es-CO"/>
        </w:rPr>
        <w:t>Atentamente,</w:t>
      </w:r>
    </w:p>
    <w:p w14:paraId="4E46AB88" w14:textId="56167A51" w:rsidR="005518E8" w:rsidRPr="00AE0FD8" w:rsidRDefault="00AE0FD8" w:rsidP="00AE0FD8">
      <w:pPr>
        <w:spacing w:after="0" w:line="276" w:lineRule="auto"/>
        <w:jc w:val="center"/>
        <w:rPr>
          <w:rFonts w:ascii="Century Gothic" w:eastAsia="Times New Roman" w:hAnsi="Century Gothic" w:cs="Arial"/>
          <w:sz w:val="24"/>
          <w:szCs w:val="24"/>
          <w:lang w:val="es-ES_tradnl" w:eastAsia="es-CO"/>
        </w:rPr>
      </w:pPr>
      <w:r>
        <w:rPr>
          <w:noProof/>
        </w:rPr>
        <w:drawing>
          <wp:inline distT="0" distB="0" distL="0" distR="0" wp14:anchorId="67CB35F4" wp14:editId="79E1B212">
            <wp:extent cx="3138221" cy="1204886"/>
            <wp:effectExtent l="0" t="0" r="508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1514" cy="1206150"/>
                    </a:xfrm>
                    <a:prstGeom prst="rect">
                      <a:avLst/>
                    </a:prstGeom>
                    <a:noFill/>
                    <a:ln>
                      <a:noFill/>
                    </a:ln>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5518E8" w:rsidRPr="001D0052" w14:paraId="6907871B" w14:textId="77777777" w:rsidTr="00296188">
        <w:trPr>
          <w:trHeight w:val="315"/>
        </w:trPr>
        <w:tc>
          <w:tcPr>
            <w:tcW w:w="855" w:type="dxa"/>
            <w:vAlign w:val="center"/>
            <w:hideMark/>
          </w:tcPr>
          <w:p w14:paraId="082F7200" w14:textId="77777777" w:rsidR="005518E8" w:rsidRPr="001D0052" w:rsidRDefault="005518E8" w:rsidP="00296188">
            <w:pPr>
              <w:rPr>
                <w:rFonts w:ascii="Century Gothic" w:eastAsia="Times New Roman" w:hAnsi="Century Gothic" w:cs="Arial"/>
                <w:sz w:val="16"/>
                <w:szCs w:val="16"/>
                <w:lang w:val="es-ES" w:eastAsia="es-ES"/>
              </w:rPr>
            </w:pPr>
            <w:r w:rsidRPr="001D0052">
              <w:rPr>
                <w:rFonts w:ascii="Century Gothic" w:eastAsia="Times New Roman" w:hAnsi="Century Gothic" w:cs="Arial"/>
                <w:sz w:val="16"/>
                <w:szCs w:val="16"/>
                <w:lang w:val="es-ES" w:eastAsia="es-ES"/>
              </w:rPr>
              <w:t>Elaboró:</w:t>
            </w:r>
          </w:p>
        </w:tc>
        <w:tc>
          <w:tcPr>
            <w:tcW w:w="6602" w:type="dxa"/>
            <w:tcBorders>
              <w:top w:val="nil"/>
              <w:left w:val="nil"/>
              <w:bottom w:val="dotted" w:sz="4" w:space="0" w:color="7F7F7F" w:themeColor="text1" w:themeTint="80"/>
              <w:right w:val="nil"/>
            </w:tcBorders>
            <w:vAlign w:val="center"/>
            <w:hideMark/>
          </w:tcPr>
          <w:p w14:paraId="1F352B91" w14:textId="77777777" w:rsidR="005518E8" w:rsidRPr="001D0052" w:rsidRDefault="005518E8" w:rsidP="00296188">
            <w:pPr>
              <w:rPr>
                <w:rFonts w:ascii="Century Gothic" w:eastAsia="Arial" w:hAnsi="Century Gothic" w:cs="Arial"/>
                <w:sz w:val="16"/>
                <w:szCs w:val="16"/>
              </w:rPr>
            </w:pPr>
            <w:r w:rsidRPr="001D0052">
              <w:rPr>
                <w:rFonts w:ascii="Century Gothic" w:eastAsia="Arial" w:hAnsi="Century Gothic" w:cs="Arial"/>
                <w:sz w:val="16"/>
                <w:szCs w:val="16"/>
              </w:rPr>
              <w:t>Diana Lucia Saavedra Castañeda</w:t>
            </w:r>
          </w:p>
          <w:p w14:paraId="55D50AAE" w14:textId="77777777" w:rsidR="005518E8" w:rsidRPr="001D0052" w:rsidRDefault="005518E8" w:rsidP="00296188">
            <w:pPr>
              <w:rPr>
                <w:rFonts w:ascii="Century Gothic" w:eastAsia="Arial" w:hAnsi="Century Gothic" w:cs="Arial"/>
                <w:sz w:val="16"/>
                <w:szCs w:val="16"/>
              </w:rPr>
            </w:pPr>
            <w:r w:rsidRPr="001D0052">
              <w:rPr>
                <w:rFonts w:ascii="Century Gothic" w:eastAsia="Arial" w:hAnsi="Century Gothic" w:cs="Arial"/>
                <w:sz w:val="16"/>
                <w:szCs w:val="16"/>
              </w:rPr>
              <w:t>Contratista de la Subdirección de Gestión Contractual</w:t>
            </w:r>
          </w:p>
        </w:tc>
      </w:tr>
      <w:tr w:rsidR="005518E8" w:rsidRPr="001D0052" w14:paraId="4B952632" w14:textId="77777777" w:rsidTr="00296188">
        <w:trPr>
          <w:trHeight w:val="330"/>
        </w:trPr>
        <w:tc>
          <w:tcPr>
            <w:tcW w:w="855" w:type="dxa"/>
            <w:vAlign w:val="center"/>
            <w:hideMark/>
          </w:tcPr>
          <w:p w14:paraId="60D7051A" w14:textId="77777777" w:rsidR="005518E8" w:rsidRPr="001D0052" w:rsidRDefault="005518E8" w:rsidP="00296188">
            <w:pPr>
              <w:rPr>
                <w:rFonts w:ascii="Century Gothic" w:eastAsia="Times New Roman" w:hAnsi="Century Gothic" w:cs="Arial"/>
                <w:sz w:val="16"/>
                <w:szCs w:val="16"/>
                <w:lang w:val="es-ES" w:eastAsia="es-ES"/>
              </w:rPr>
            </w:pPr>
            <w:r w:rsidRPr="001D0052">
              <w:rPr>
                <w:rFonts w:ascii="Century Gothic" w:eastAsia="Times New Roman" w:hAnsi="Century Gothic" w:cs="Arial"/>
                <w:sz w:val="16"/>
                <w:szCs w:val="16"/>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33EB9EAC" w14:textId="77777777" w:rsidR="005518E8" w:rsidRPr="001D0052" w:rsidRDefault="005518E8" w:rsidP="00296188">
            <w:pPr>
              <w:rPr>
                <w:rFonts w:ascii="Century Gothic" w:eastAsia="Arial" w:hAnsi="Century Gothic" w:cs="Arial"/>
                <w:sz w:val="16"/>
                <w:szCs w:val="16"/>
              </w:rPr>
            </w:pPr>
            <w:r w:rsidRPr="001D0052">
              <w:rPr>
                <w:rFonts w:ascii="Century Gothic" w:hAnsi="Century Gothic"/>
                <w:sz w:val="16"/>
                <w:szCs w:val="16"/>
              </w:rPr>
              <w:t>Juan David Cardenas Cabezas</w:t>
            </w:r>
          </w:p>
          <w:p w14:paraId="7132F95C" w14:textId="77777777" w:rsidR="005518E8" w:rsidRPr="001D0052" w:rsidRDefault="005518E8" w:rsidP="00296188">
            <w:pPr>
              <w:rPr>
                <w:rFonts w:ascii="Century Gothic" w:eastAsia="Arial" w:hAnsi="Century Gothic" w:cs="Arial"/>
                <w:sz w:val="16"/>
                <w:szCs w:val="16"/>
              </w:rPr>
            </w:pPr>
            <w:r w:rsidRPr="001D0052">
              <w:rPr>
                <w:rFonts w:ascii="Century Gothic" w:eastAsia="Arial" w:hAnsi="Century Gothic" w:cs="Arial"/>
                <w:sz w:val="16"/>
                <w:szCs w:val="16"/>
              </w:rPr>
              <w:t>Contratista de la Subdirección de Gestión Contractual </w:t>
            </w:r>
          </w:p>
        </w:tc>
      </w:tr>
      <w:tr w:rsidR="005518E8" w:rsidRPr="003E41C9" w14:paraId="17D8DD3C" w14:textId="77777777" w:rsidTr="00296188">
        <w:trPr>
          <w:trHeight w:val="300"/>
        </w:trPr>
        <w:tc>
          <w:tcPr>
            <w:tcW w:w="855" w:type="dxa"/>
            <w:vAlign w:val="center"/>
          </w:tcPr>
          <w:p w14:paraId="33E73C08" w14:textId="77777777" w:rsidR="005518E8" w:rsidRPr="001D0052" w:rsidRDefault="005518E8" w:rsidP="00296188">
            <w:pPr>
              <w:rPr>
                <w:rFonts w:ascii="Century Gothic" w:eastAsia="Times New Roman" w:hAnsi="Century Gothic" w:cs="Arial"/>
                <w:sz w:val="16"/>
                <w:szCs w:val="16"/>
                <w:lang w:val="es-ES" w:eastAsia="es-ES"/>
              </w:rPr>
            </w:pPr>
            <w:r w:rsidRPr="001D0052">
              <w:rPr>
                <w:rFonts w:ascii="Century Gothic" w:eastAsia="Times New Roman" w:hAnsi="Century Gothic" w:cs="Arial"/>
                <w:sz w:val="16"/>
                <w:szCs w:val="16"/>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48F6E003" w14:textId="77777777" w:rsidR="005518E8" w:rsidRPr="001D0052" w:rsidRDefault="005518E8" w:rsidP="00296188">
            <w:pPr>
              <w:rPr>
                <w:rFonts w:ascii="Century Gothic" w:eastAsia="Calibri" w:hAnsi="Century Gothic" w:cs="Arial"/>
                <w:sz w:val="16"/>
                <w:szCs w:val="16"/>
                <w:lang w:val="pt-BR" w:eastAsia="es-ES"/>
              </w:rPr>
            </w:pPr>
            <w:r w:rsidRPr="001D0052">
              <w:rPr>
                <w:rFonts w:ascii="Century Gothic" w:eastAsia="Calibri" w:hAnsi="Century Gothic" w:cs="Arial"/>
                <w:sz w:val="16"/>
                <w:szCs w:val="16"/>
                <w:lang w:val="pt-BR" w:eastAsia="es-ES"/>
              </w:rPr>
              <w:t>Nohelia del Carmen Zawady Palacio</w:t>
            </w:r>
          </w:p>
          <w:p w14:paraId="41FCBC84" w14:textId="77777777" w:rsidR="005518E8" w:rsidRPr="003E41C9" w:rsidRDefault="005518E8" w:rsidP="00296188">
            <w:pPr>
              <w:rPr>
                <w:rFonts w:ascii="Century Gothic" w:eastAsia="Calibri" w:hAnsi="Century Gothic" w:cs="Arial"/>
                <w:sz w:val="16"/>
                <w:szCs w:val="16"/>
                <w:lang w:val="pt-BR" w:eastAsia="es-ES"/>
              </w:rPr>
            </w:pPr>
            <w:r w:rsidRPr="001D0052">
              <w:rPr>
                <w:rFonts w:ascii="Century Gothic" w:eastAsia="Calibri" w:hAnsi="Century Gothic" w:cs="Arial"/>
                <w:sz w:val="16"/>
                <w:szCs w:val="16"/>
                <w:lang w:eastAsia="es-ES"/>
              </w:rPr>
              <w:t>Subdirectora</w:t>
            </w:r>
            <w:r w:rsidRPr="001D0052">
              <w:rPr>
                <w:rFonts w:ascii="Century Gothic" w:eastAsia="Calibri" w:hAnsi="Century Gothic" w:cs="Arial"/>
                <w:sz w:val="16"/>
                <w:szCs w:val="16"/>
                <w:lang w:val="pt-BR" w:eastAsia="es-ES"/>
              </w:rPr>
              <w:t xml:space="preserve"> de Gestión Contractual ANCP – CCE</w:t>
            </w:r>
          </w:p>
        </w:tc>
      </w:tr>
    </w:tbl>
    <w:p w14:paraId="75AC12FF" w14:textId="77777777" w:rsidR="005518E8" w:rsidRPr="003E41C9" w:rsidRDefault="005518E8" w:rsidP="005518E8">
      <w:pPr>
        <w:spacing w:after="0"/>
        <w:rPr>
          <w:rFonts w:ascii="Century Gothic" w:hAnsi="Century Gothic"/>
        </w:rPr>
      </w:pPr>
    </w:p>
    <w:p w14:paraId="7EBFAB6A" w14:textId="77777777" w:rsidR="005A6AA1" w:rsidRPr="005E0EB6" w:rsidRDefault="005A6AA1" w:rsidP="005E0EB6"/>
    <w:sectPr w:rsidR="005A6AA1" w:rsidRPr="005E0EB6"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6A311" w14:textId="77777777" w:rsidR="009E5A62" w:rsidRDefault="009E5A62" w:rsidP="004A1847">
      <w:pPr>
        <w:spacing w:after="0" w:line="240" w:lineRule="auto"/>
      </w:pPr>
      <w:r>
        <w:separator/>
      </w:r>
    </w:p>
  </w:endnote>
  <w:endnote w:type="continuationSeparator" w:id="0">
    <w:p w14:paraId="036214B8" w14:textId="77777777" w:rsidR="009E5A62" w:rsidRDefault="009E5A62" w:rsidP="004A1847">
      <w:pPr>
        <w:spacing w:after="0" w:line="240" w:lineRule="auto"/>
      </w:pPr>
      <w:r>
        <w:continuationSeparator/>
      </w:r>
    </w:p>
  </w:endnote>
  <w:endnote w:type="continuationNotice" w:id="1">
    <w:p w14:paraId="703A7994" w14:textId="77777777" w:rsidR="009E5A62" w:rsidRDefault="009E5A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EF58A" w14:textId="77777777" w:rsidR="009E5A62" w:rsidRDefault="009E5A62" w:rsidP="004A1847">
      <w:pPr>
        <w:spacing w:after="0" w:line="240" w:lineRule="auto"/>
      </w:pPr>
      <w:r>
        <w:separator/>
      </w:r>
    </w:p>
  </w:footnote>
  <w:footnote w:type="continuationSeparator" w:id="0">
    <w:p w14:paraId="7F9E7678" w14:textId="77777777" w:rsidR="009E5A62" w:rsidRDefault="009E5A62" w:rsidP="004A1847">
      <w:pPr>
        <w:spacing w:after="0" w:line="240" w:lineRule="auto"/>
      </w:pPr>
      <w:r>
        <w:continuationSeparator/>
      </w:r>
    </w:p>
  </w:footnote>
  <w:footnote w:type="continuationNotice" w:id="1">
    <w:p w14:paraId="47430F5C" w14:textId="77777777" w:rsidR="009E5A62" w:rsidRDefault="009E5A62">
      <w:pPr>
        <w:spacing w:after="0" w:line="240" w:lineRule="auto"/>
      </w:pPr>
    </w:p>
  </w:footnote>
  <w:footnote w:id="2">
    <w:p w14:paraId="4E2131E1" w14:textId="77777777" w:rsidR="005518E8" w:rsidRPr="000F32AA" w:rsidRDefault="005518E8" w:rsidP="005518E8">
      <w:pPr>
        <w:pStyle w:val="Textonotapie"/>
        <w:ind w:firstLine="708"/>
        <w:contextualSpacing/>
        <w:jc w:val="both"/>
        <w:rPr>
          <w:rFonts w:ascii="Century Gothic" w:hAnsi="Century Gothic" w:cs="Arial"/>
          <w:sz w:val="18"/>
          <w:szCs w:val="18"/>
        </w:rPr>
      </w:pPr>
      <w:r w:rsidRPr="000F32AA">
        <w:rPr>
          <w:rStyle w:val="Refdenotaalpie"/>
          <w:rFonts w:ascii="Century Gothic" w:hAnsi="Century Gothic" w:cs="Arial"/>
          <w:sz w:val="18"/>
          <w:szCs w:val="18"/>
        </w:rPr>
        <w:footnoteRef/>
      </w:r>
      <w:r w:rsidRPr="000F32AA">
        <w:rPr>
          <w:rFonts w:ascii="Century Gothic" w:hAnsi="Century Gothic" w:cs="Arial"/>
          <w:sz w:val="18"/>
          <w:szCs w:val="18"/>
        </w:rPr>
        <w:t xml:space="preserve">  Los conceptos expedidos por la Subdirección de Gestión Contractual de la Agencia Nacional de Contratación Pública pueden ser consultados en plataforma de relatoría a la cual se puede acceder a través del siguiente enlace:  </w:t>
      </w:r>
      <w:hyperlink r:id="rId1" w:history="1">
        <w:r w:rsidRPr="000F32AA">
          <w:rPr>
            <w:rStyle w:val="Hipervnculo"/>
            <w:rFonts w:ascii="Century Gothic" w:hAnsi="Century Gothic" w:cs="Arial"/>
            <w:sz w:val="18"/>
            <w:szCs w:val="18"/>
          </w:rPr>
          <w:t>https://relatoria.colombiacompra.gov.co/busqueda/conceptos</w:t>
        </w:r>
      </w:hyperlink>
    </w:p>
  </w:footnote>
  <w:footnote w:id="3">
    <w:p w14:paraId="6A836BC3" w14:textId="77777777" w:rsidR="005518E8" w:rsidRPr="000F32AA" w:rsidRDefault="005518E8" w:rsidP="005518E8">
      <w:pPr>
        <w:pStyle w:val="Textonotapie"/>
        <w:ind w:firstLine="709"/>
        <w:contextualSpacing/>
        <w:jc w:val="both"/>
        <w:rPr>
          <w:rFonts w:ascii="Century Gothic" w:hAnsi="Century Gothic" w:cs="Arial"/>
          <w:color w:val="000000" w:themeColor="text1"/>
          <w:sz w:val="18"/>
          <w:szCs w:val="18"/>
        </w:rPr>
      </w:pPr>
      <w:r w:rsidRPr="000F32AA">
        <w:rPr>
          <w:rStyle w:val="Refdenotaalpie"/>
          <w:rFonts w:ascii="Century Gothic" w:hAnsi="Century Gothic" w:cs="Arial"/>
          <w:sz w:val="18"/>
          <w:szCs w:val="18"/>
        </w:rPr>
        <w:footnoteRef/>
      </w:r>
      <w:r w:rsidRPr="000F32AA">
        <w:rPr>
          <w:rFonts w:ascii="Century Gothic" w:hAnsi="Century Gothic" w:cs="Arial"/>
          <w:sz w:val="18"/>
          <w:szCs w:val="18"/>
        </w:rPr>
        <w:t xml:space="preserve"> Decreto 1068 de 2015: “</w:t>
      </w:r>
      <w:r w:rsidRPr="000F32AA">
        <w:rPr>
          <w:rFonts w:ascii="Century Gothic" w:hAnsi="Century Gothic"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ECA0EAD" w14:textId="77777777" w:rsidR="005518E8" w:rsidRPr="000F32AA" w:rsidRDefault="005518E8" w:rsidP="005518E8">
      <w:pPr>
        <w:pStyle w:val="Textonotapie"/>
        <w:ind w:firstLine="709"/>
        <w:contextualSpacing/>
        <w:jc w:val="both"/>
        <w:rPr>
          <w:rFonts w:ascii="Century Gothic" w:hAnsi="Century Gothic" w:cs="Arial"/>
          <w:color w:val="000000" w:themeColor="text1"/>
          <w:sz w:val="18"/>
          <w:szCs w:val="18"/>
        </w:rPr>
      </w:pPr>
      <w:r w:rsidRPr="000F32AA">
        <w:rPr>
          <w:rFonts w:ascii="Century Gothic" w:hAnsi="Century Gothic"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38A1DFD6" w14:textId="77777777" w:rsidR="005518E8" w:rsidRPr="000F32AA" w:rsidRDefault="005518E8" w:rsidP="005518E8">
      <w:pPr>
        <w:pStyle w:val="Textonotapie"/>
        <w:ind w:firstLine="708"/>
        <w:contextualSpacing/>
        <w:jc w:val="both"/>
        <w:rPr>
          <w:rFonts w:ascii="Century Gothic" w:hAnsi="Century Gothic" w:cs="Arial"/>
          <w:color w:val="000000" w:themeColor="text1"/>
          <w:sz w:val="18"/>
          <w:szCs w:val="18"/>
        </w:rPr>
      </w:pPr>
      <w:r w:rsidRPr="000F32AA">
        <w:rPr>
          <w:rFonts w:ascii="Century Gothic" w:hAnsi="Century Gothic"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4">
    <w:p w14:paraId="3514D82E"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BB62277"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2. Quien presta el servicio se denomina trabajador, quien lo recibe y remunera, empleador, y la remuneración, cualquiera que sea su forma, salario”.</w:t>
      </w:r>
    </w:p>
  </w:footnote>
  <w:footnote w:id="5">
    <w:p w14:paraId="1555338F"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CORTE CONSTITUCIONAL. Sentencia C-154 de 1997. Magistrado Ponente: Hernando Herrera Vergara.</w:t>
      </w:r>
    </w:p>
  </w:footnote>
  <w:footnote w:id="6">
    <w:p w14:paraId="00A7A00A"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proofErr w:type="spellStart"/>
      <w:r w:rsidRPr="000F32AA">
        <w:rPr>
          <w:rFonts w:ascii="Century Gothic" w:hAnsi="Century Gothic" w:cs="Arial"/>
          <w:color w:val="000000"/>
          <w:sz w:val="18"/>
          <w:szCs w:val="18"/>
          <w:lang w:val="es-ES"/>
        </w:rPr>
        <w:t>Ibíd</w:t>
      </w:r>
      <w:proofErr w:type="spellEnd"/>
      <w:r w:rsidRPr="000F32AA">
        <w:rPr>
          <w:rFonts w:ascii="Century Gothic" w:hAnsi="Century Gothic" w:cs="Arial"/>
          <w:color w:val="000000"/>
          <w:sz w:val="18"/>
          <w:szCs w:val="18"/>
          <w:lang w:val="es-ES"/>
        </w:rPr>
        <w:t>.</w:t>
      </w:r>
    </w:p>
  </w:footnote>
  <w:footnote w:id="7">
    <w:p w14:paraId="39B33DC1"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C54EFB4"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17CA27C"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footnote>
  <w:footnote w:id="8">
    <w:p w14:paraId="35723D93"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 xml:space="preserve">CONSEJO DE ESTADO. Sección Tercera. Subsección C. Sentencia del 2 de diciembre de 2013. </w:t>
      </w:r>
      <w:proofErr w:type="spellStart"/>
      <w:r w:rsidRPr="000F32AA">
        <w:rPr>
          <w:rFonts w:ascii="Century Gothic" w:hAnsi="Century Gothic" w:cs="Arial"/>
          <w:color w:val="000000"/>
          <w:sz w:val="18"/>
          <w:szCs w:val="18"/>
          <w:lang w:val="es-ES"/>
        </w:rPr>
        <w:t>Exp</w:t>
      </w:r>
      <w:proofErr w:type="spellEnd"/>
      <w:r w:rsidRPr="000F32AA">
        <w:rPr>
          <w:rFonts w:ascii="Century Gothic" w:hAnsi="Century Gothic" w:cs="Arial"/>
          <w:color w:val="000000"/>
          <w:sz w:val="18"/>
          <w:szCs w:val="18"/>
          <w:lang w:val="es-ES"/>
        </w:rPr>
        <w:t>. 41719. Consejero Ponente: Jaime Orlando Santofimio Gamboa.</w:t>
      </w:r>
    </w:p>
  </w:footnote>
  <w:footnote w:id="9">
    <w:p w14:paraId="7AB0F1A9"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proofErr w:type="spellStart"/>
      <w:r w:rsidRPr="000F32AA">
        <w:rPr>
          <w:rFonts w:ascii="Century Gothic" w:hAnsi="Century Gothic" w:cs="Arial"/>
          <w:color w:val="000000"/>
          <w:sz w:val="18"/>
          <w:szCs w:val="18"/>
          <w:lang w:val="es-ES"/>
        </w:rPr>
        <w:t>Ibíd</w:t>
      </w:r>
      <w:proofErr w:type="spellEnd"/>
      <w:r w:rsidRPr="000F32AA">
        <w:rPr>
          <w:rFonts w:ascii="Century Gothic" w:hAnsi="Century Gothic" w:cs="Arial"/>
          <w:color w:val="000000"/>
          <w:sz w:val="18"/>
          <w:szCs w:val="18"/>
          <w:lang w:val="es-ES"/>
        </w:rPr>
        <w:t>.</w:t>
      </w:r>
    </w:p>
  </w:footnote>
  <w:footnote w:id="10">
    <w:p w14:paraId="7133E89D"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proofErr w:type="spellStart"/>
      <w:r w:rsidRPr="000F32AA">
        <w:rPr>
          <w:rFonts w:ascii="Century Gothic" w:hAnsi="Century Gothic" w:cs="Arial"/>
          <w:color w:val="000000"/>
          <w:sz w:val="18"/>
          <w:szCs w:val="18"/>
          <w:lang w:val="es-ES"/>
        </w:rPr>
        <w:t>Ibíd</w:t>
      </w:r>
      <w:proofErr w:type="spellEnd"/>
      <w:r w:rsidRPr="000F32AA">
        <w:rPr>
          <w:rFonts w:ascii="Century Gothic" w:hAnsi="Century Gothic" w:cs="Arial"/>
          <w:color w:val="000000"/>
          <w:sz w:val="18"/>
          <w:szCs w:val="18"/>
          <w:lang w:val="es-ES"/>
        </w:rPr>
        <w:t>.</w:t>
      </w:r>
    </w:p>
  </w:footnote>
  <w:footnote w:id="11">
    <w:p w14:paraId="6F6FB190"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proofErr w:type="spellStart"/>
      <w:r w:rsidRPr="000F32AA">
        <w:rPr>
          <w:rFonts w:ascii="Century Gothic" w:hAnsi="Century Gothic" w:cs="Arial"/>
          <w:color w:val="000000"/>
          <w:sz w:val="18"/>
          <w:szCs w:val="18"/>
          <w:lang w:val="es-ES"/>
        </w:rPr>
        <w:t>Ibíd</w:t>
      </w:r>
      <w:proofErr w:type="spellEnd"/>
      <w:r w:rsidRPr="000F32AA">
        <w:rPr>
          <w:rFonts w:ascii="Century Gothic" w:hAnsi="Century Gothic" w:cs="Arial"/>
          <w:color w:val="000000"/>
          <w:sz w:val="18"/>
          <w:szCs w:val="18"/>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AFBDC1F"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1B386004"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2">
    <w:p w14:paraId="5CC82942"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05E39E79"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1. La causal que invoca para contratar directamente.</w:t>
      </w:r>
    </w:p>
    <w:p w14:paraId="0843451A"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2. El objeto del contrato.</w:t>
      </w:r>
    </w:p>
    <w:p w14:paraId="17BEB251"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3. El presupuesto para la contratación y las condiciones que exigirá al contratista.</w:t>
      </w:r>
    </w:p>
    <w:p w14:paraId="09CB85ED"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4. El lugar en el cual los interesados pueden consultar los estudios y documentos previos.</w:t>
      </w:r>
    </w:p>
    <w:p w14:paraId="5FDD86EC"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508E03EB"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Esta norma expresa: “</w:t>
      </w:r>
      <w:r w:rsidRPr="000F32AA">
        <w:rPr>
          <w:rFonts w:ascii="Century Gothic" w:hAnsi="Century Gothic" w:cs="Arial"/>
          <w:color w:val="000000"/>
          <w:sz w:val="18"/>
          <w:szCs w:val="18"/>
        </w:rPr>
        <w:t>P</w:t>
      </w:r>
      <w:r w:rsidRPr="000F32AA">
        <w:rPr>
          <w:rFonts w:ascii="Century Gothic" w:hAnsi="Century Gothic" w:cs="Arial"/>
          <w:color w:val="000000"/>
          <w:sz w:val="18"/>
          <w:szCs w:val="18"/>
          <w:lang w:val="es-ES"/>
        </w:rPr>
        <w:t>ara el cumplimiento de los fines de la contratación, las entidades estatales al celebrar un contrato:</w:t>
      </w:r>
    </w:p>
    <w:p w14:paraId="733935B2"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w:t>
      </w:r>
    </w:p>
    <w:p w14:paraId="74CDDA02"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83171BF"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Las entidades estatales podrán pactar estas cláusulas en los contratos de suministro y de prestación de servicios.</w:t>
      </w:r>
    </w:p>
    <w:p w14:paraId="3BE558F8"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Fonts w:ascii="Century Gothic" w:hAnsi="Century Gothic" w:cs="Arial"/>
          <w:color w:val="000000"/>
          <w:sz w:val="18"/>
          <w:szCs w:val="18"/>
          <w:lang w:val="es-ES"/>
        </w:rPr>
        <w:t>[…]”.</w:t>
      </w:r>
    </w:p>
  </w:footnote>
  <w:footnote w:id="14">
    <w:p w14:paraId="6892FEDA"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La norma dispone: “La liquidación a que se refiere el presente artículo no será obligatoria en los contratos de prestación de servicios profesionales y de apoyo a la gestión”.</w:t>
      </w:r>
    </w:p>
  </w:footnote>
  <w:footnote w:id="15">
    <w:p w14:paraId="6A47EC73" w14:textId="77777777" w:rsidR="005518E8" w:rsidRPr="000F32AA" w:rsidRDefault="005518E8" w:rsidP="005518E8">
      <w:pPr>
        <w:pStyle w:val="Textonotapie"/>
        <w:ind w:firstLine="709"/>
        <w:contextualSpacing/>
        <w:jc w:val="both"/>
        <w:rPr>
          <w:rFonts w:ascii="Century Gothic" w:hAnsi="Century Gothic" w:cs="Arial"/>
          <w:color w:val="000000"/>
          <w:sz w:val="18"/>
          <w:szCs w:val="18"/>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446F043" w14:textId="77777777" w:rsidR="005518E8" w:rsidRPr="000F32AA" w:rsidRDefault="005518E8" w:rsidP="005518E8">
      <w:pPr>
        <w:pStyle w:val="Textonotapie"/>
        <w:ind w:firstLine="709"/>
        <w:contextualSpacing/>
        <w:jc w:val="both"/>
        <w:rPr>
          <w:rFonts w:ascii="Century Gothic" w:hAnsi="Century Gothic" w:cs="Arial"/>
          <w:color w:val="000000"/>
          <w:sz w:val="18"/>
          <w:szCs w:val="18"/>
        </w:rPr>
      </w:pPr>
      <w:r w:rsidRPr="000F32AA">
        <w:rPr>
          <w:rFonts w:ascii="Century Gothic" w:hAnsi="Century Gothic"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07C172E" w14:textId="77777777" w:rsidR="005518E8" w:rsidRPr="000F32AA" w:rsidRDefault="005518E8" w:rsidP="005518E8">
      <w:pPr>
        <w:pStyle w:val="Textonotapie"/>
        <w:ind w:firstLine="709"/>
        <w:contextualSpacing/>
        <w:jc w:val="both"/>
        <w:rPr>
          <w:rFonts w:ascii="Century Gothic" w:hAnsi="Century Gothic" w:cs="Arial"/>
          <w:color w:val="000000"/>
          <w:sz w:val="18"/>
          <w:szCs w:val="18"/>
        </w:rPr>
      </w:pPr>
      <w:r w:rsidRPr="000F32AA">
        <w:rPr>
          <w:rFonts w:ascii="Century Gothic" w:hAnsi="Century Gothic" w:cs="Arial"/>
          <w:color w:val="000000"/>
          <w:sz w:val="18"/>
          <w:szCs w:val="18"/>
        </w:rPr>
        <w:t>[…]”.</w:t>
      </w:r>
    </w:p>
  </w:footnote>
  <w:footnote w:id="16">
    <w:p w14:paraId="0391F537" w14:textId="77777777" w:rsidR="005518E8" w:rsidRPr="000F32AA" w:rsidRDefault="005518E8" w:rsidP="005518E8">
      <w:pPr>
        <w:pStyle w:val="Textonotapie"/>
        <w:ind w:firstLine="709"/>
        <w:contextualSpacing/>
        <w:jc w:val="both"/>
        <w:rPr>
          <w:rFonts w:ascii="Century Gothic" w:hAnsi="Century Gothic" w:cs="Arial"/>
          <w:color w:val="000000"/>
          <w:sz w:val="18"/>
          <w:szCs w:val="18"/>
          <w:lang w:val="es-ES"/>
        </w:rPr>
      </w:pPr>
      <w:r w:rsidRPr="000F32AA">
        <w:rPr>
          <w:rStyle w:val="Refdenotaalpie"/>
          <w:rFonts w:ascii="Century Gothic" w:hAnsi="Century Gothic" w:cs="Arial"/>
          <w:color w:val="000000"/>
          <w:sz w:val="18"/>
          <w:szCs w:val="18"/>
        </w:rPr>
        <w:footnoteRef/>
      </w:r>
      <w:r w:rsidRPr="000F32AA">
        <w:rPr>
          <w:rFonts w:ascii="Century Gothic" w:hAnsi="Century Gothic" w:cs="Arial"/>
          <w:color w:val="000000"/>
          <w:sz w:val="18"/>
          <w:szCs w:val="18"/>
        </w:rPr>
        <w:t xml:space="preserve"> </w:t>
      </w:r>
      <w:r w:rsidRPr="000F32AA">
        <w:rPr>
          <w:rFonts w:ascii="Century Gothic" w:hAnsi="Century Gothic"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7">
    <w:p w14:paraId="1178E69F" w14:textId="77777777" w:rsidR="005518E8" w:rsidRPr="000F32AA" w:rsidRDefault="005518E8" w:rsidP="005518E8">
      <w:pPr>
        <w:widowControl w:val="0"/>
        <w:autoSpaceDE w:val="0"/>
        <w:autoSpaceDN w:val="0"/>
        <w:spacing w:after="0" w:line="240" w:lineRule="auto"/>
        <w:ind w:firstLine="708"/>
        <w:contextualSpacing/>
        <w:jc w:val="both"/>
        <w:rPr>
          <w:rFonts w:ascii="Century Gothic" w:eastAsia="Arial" w:hAnsi="Century Gothic" w:cs="Arial"/>
          <w:sz w:val="18"/>
          <w:szCs w:val="18"/>
          <w:lang w:val="es-ES"/>
        </w:rPr>
      </w:pPr>
      <w:r w:rsidRPr="000F32AA">
        <w:rPr>
          <w:rStyle w:val="Refdenotaalpie"/>
          <w:rFonts w:ascii="Century Gothic" w:hAnsi="Century Gothic" w:cs="Arial"/>
          <w:sz w:val="18"/>
          <w:szCs w:val="18"/>
        </w:rPr>
        <w:footnoteRef/>
      </w:r>
      <w:r w:rsidRPr="000F32AA">
        <w:rPr>
          <w:rFonts w:ascii="Century Gothic" w:hAnsi="Century Gothic" w:cs="Arial"/>
          <w:sz w:val="18"/>
          <w:szCs w:val="18"/>
        </w:rPr>
        <w:t xml:space="preserve"> </w:t>
      </w:r>
      <w:r w:rsidRPr="000F32AA">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sus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obligaciones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con</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los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sistemas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salud,</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riesgos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profesionales,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pensiones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y</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aportes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a</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Cajas de Compensación Familiar, Instituto Colombiano de Bienestar Familiar y Servicio Nacional de Aprendizaje,</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cuando</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a</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ello</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haya</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lugar.</w:t>
      </w:r>
      <w:r w:rsidRPr="000F32AA">
        <w:rPr>
          <w:rFonts w:ascii="Century Gothic" w:eastAsia="Arial" w:hAnsi="Century Gothic" w:cs="Arial"/>
          <w:spacing w:val="-11"/>
          <w:sz w:val="18"/>
          <w:szCs w:val="18"/>
          <w:lang w:val="es-ES"/>
        </w:rPr>
        <w:t xml:space="preserve"> </w:t>
      </w:r>
      <w:r w:rsidRPr="000F32AA">
        <w:rPr>
          <w:rFonts w:ascii="Century Gothic" w:eastAsia="Arial" w:hAnsi="Century Gothic" w:cs="Arial"/>
          <w:sz w:val="18"/>
          <w:szCs w:val="18"/>
          <w:lang w:val="es-ES"/>
        </w:rPr>
        <w:t>Las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Entidades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públicas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en</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el</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momento</w:t>
      </w:r>
      <w:r w:rsidRPr="000F32AA">
        <w:rPr>
          <w:rFonts w:ascii="Century Gothic" w:eastAsia="Arial" w:hAnsi="Century Gothic" w:cs="Arial"/>
          <w:spacing w:val="-11"/>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liquidar</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los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cotizadas.</w:t>
      </w:r>
    </w:p>
    <w:p w14:paraId="6634189B" w14:textId="77777777" w:rsidR="005518E8" w:rsidRPr="000F32AA" w:rsidRDefault="005518E8" w:rsidP="005518E8">
      <w:pPr>
        <w:widowControl w:val="0"/>
        <w:autoSpaceDE w:val="0"/>
        <w:autoSpaceDN w:val="0"/>
        <w:spacing w:after="0" w:line="240" w:lineRule="auto"/>
        <w:ind w:firstLine="708"/>
        <w:contextualSpacing/>
        <w:jc w:val="both"/>
        <w:rPr>
          <w:rFonts w:ascii="Century Gothic" w:eastAsia="Arial" w:hAnsi="Century Gothic" w:cs="Arial"/>
          <w:sz w:val="18"/>
          <w:szCs w:val="18"/>
          <w:lang w:val="es-ES"/>
        </w:rPr>
      </w:pPr>
      <w:r w:rsidRPr="000F32AA">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7A0F102" w14:textId="77777777" w:rsidR="005518E8" w:rsidRPr="000F32AA" w:rsidRDefault="005518E8" w:rsidP="005518E8">
      <w:pPr>
        <w:widowControl w:val="0"/>
        <w:autoSpaceDE w:val="0"/>
        <w:autoSpaceDN w:val="0"/>
        <w:spacing w:after="0" w:line="240" w:lineRule="auto"/>
        <w:ind w:firstLine="708"/>
        <w:contextualSpacing/>
        <w:jc w:val="both"/>
        <w:rPr>
          <w:rFonts w:ascii="Century Gothic" w:eastAsia="Arial" w:hAnsi="Century Gothic" w:cs="Arial"/>
          <w:sz w:val="18"/>
          <w:szCs w:val="18"/>
          <w:lang w:val="es-ES"/>
        </w:rPr>
      </w:pPr>
      <w:r w:rsidRPr="000F32AA">
        <w:rPr>
          <w:rFonts w:ascii="Century Gothic" w:eastAsia="Arial" w:hAnsi="Century Gothic" w:cs="Arial"/>
          <w:sz w:val="18"/>
          <w:szCs w:val="18"/>
          <w:lang w:val="es-ES"/>
        </w:rPr>
        <w:t>Cuando</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la</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contratación</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se</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realice</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con</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personas</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jurídicas,</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se</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deberá</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acreditar</w:t>
      </w:r>
      <w:r w:rsidRPr="000F32AA">
        <w:rPr>
          <w:rFonts w:ascii="Century Gothic" w:eastAsia="Arial" w:hAnsi="Century Gothic" w:cs="Arial"/>
          <w:spacing w:val="-7"/>
          <w:sz w:val="18"/>
          <w:szCs w:val="18"/>
          <w:lang w:val="es-ES"/>
        </w:rPr>
        <w:t xml:space="preserve"> </w:t>
      </w:r>
      <w:r w:rsidRPr="000F32AA">
        <w:rPr>
          <w:rFonts w:ascii="Century Gothic" w:eastAsia="Arial" w:hAnsi="Century Gothic" w:cs="Arial"/>
          <w:sz w:val="18"/>
          <w:szCs w:val="18"/>
          <w:lang w:val="es-ES"/>
        </w:rPr>
        <w:t>el</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pago</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8"/>
          <w:sz w:val="18"/>
          <w:szCs w:val="18"/>
          <w:lang w:val="es-ES"/>
        </w:rPr>
        <w:t xml:space="preserve"> </w:t>
      </w:r>
      <w:r w:rsidRPr="000F32AA">
        <w:rPr>
          <w:rFonts w:ascii="Century Gothic" w:eastAsia="Arial" w:hAnsi="Century Gothic" w:cs="Arial"/>
          <w:sz w:val="18"/>
          <w:szCs w:val="18"/>
          <w:lang w:val="es-ES"/>
        </w:rPr>
        <w:t>los aportes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sus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empleados,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a</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los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sistemas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mencionados</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mediante</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certificación</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expedida</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por</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el</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0F32AA">
        <w:rPr>
          <w:rFonts w:ascii="Century Gothic" w:eastAsia="Arial" w:hAnsi="Century Gothic" w:cs="Arial"/>
          <w:spacing w:val="-20"/>
          <w:sz w:val="18"/>
          <w:szCs w:val="18"/>
          <w:lang w:val="es-ES"/>
        </w:rPr>
        <w:t xml:space="preserve"> </w:t>
      </w:r>
      <w:r w:rsidRPr="000F32AA">
        <w:rPr>
          <w:rFonts w:ascii="Century Gothic" w:eastAsia="Arial" w:hAnsi="Century Gothic" w:cs="Arial"/>
          <w:sz w:val="18"/>
          <w:szCs w:val="18"/>
          <w:lang w:val="es-ES"/>
        </w:rPr>
        <w:t>constitución.</w:t>
      </w:r>
    </w:p>
    <w:p w14:paraId="744ADFD8" w14:textId="77777777" w:rsidR="005518E8" w:rsidRPr="00105B68" w:rsidRDefault="005518E8" w:rsidP="005518E8">
      <w:pPr>
        <w:pStyle w:val="Textonotapie"/>
        <w:ind w:firstLine="708"/>
        <w:contextualSpacing/>
        <w:jc w:val="both"/>
        <w:rPr>
          <w:rFonts w:ascii="Century Gothic" w:eastAsia="Arial" w:hAnsi="Century Gothic" w:cs="Arial"/>
          <w:sz w:val="18"/>
          <w:szCs w:val="18"/>
          <w:lang w:val="es-ES"/>
        </w:rPr>
      </w:pPr>
      <w:r w:rsidRPr="000F32AA">
        <w:rPr>
          <w:rFonts w:ascii="Century Gothic" w:eastAsia="Arial" w:hAnsi="Century Gothic" w:cs="Arial"/>
          <w:sz w:val="18"/>
          <w:szCs w:val="18"/>
          <w:lang w:val="es-ES"/>
        </w:rPr>
        <w:t>Para</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la</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presentación</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ofertas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por</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parte</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de</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personas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jurídicas</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será</w:t>
      </w:r>
      <w:r w:rsidRPr="000F32AA">
        <w:rPr>
          <w:rFonts w:ascii="Century Gothic" w:eastAsia="Arial" w:hAnsi="Century Gothic" w:cs="Arial"/>
          <w:spacing w:val="-10"/>
          <w:sz w:val="18"/>
          <w:szCs w:val="18"/>
          <w:lang w:val="es-ES"/>
        </w:rPr>
        <w:t xml:space="preserve"> </w:t>
      </w:r>
      <w:r w:rsidRPr="000F32AA">
        <w:rPr>
          <w:rFonts w:ascii="Century Gothic" w:eastAsia="Arial" w:hAnsi="Century Gothic" w:cs="Arial"/>
          <w:sz w:val="18"/>
          <w:szCs w:val="18"/>
          <w:lang w:val="es-ES"/>
        </w:rPr>
        <w:t>indispensable</w:t>
      </w:r>
      <w:r w:rsidRPr="000F32AA">
        <w:rPr>
          <w:rFonts w:ascii="Century Gothic" w:eastAsia="Arial" w:hAnsi="Century Gothic" w:cs="Arial"/>
          <w:spacing w:val="-9"/>
          <w:sz w:val="18"/>
          <w:szCs w:val="18"/>
          <w:lang w:val="es-ES"/>
        </w:rPr>
        <w:t xml:space="preserve"> </w:t>
      </w:r>
      <w:r w:rsidRPr="000F32AA">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0F32AA">
        <w:rPr>
          <w:rFonts w:ascii="Century Gothic" w:eastAsia="Arial" w:hAnsi="Century Gothic" w:cs="Arial"/>
          <w:spacing w:val="-12"/>
          <w:sz w:val="18"/>
          <w:szCs w:val="18"/>
          <w:lang w:val="es-ES"/>
        </w:rPr>
        <w:t xml:space="preserve"> </w:t>
      </w:r>
      <w:r w:rsidRPr="000F32AA">
        <w:rPr>
          <w:rFonts w:ascii="Century Gothic" w:eastAsia="Arial" w:hAnsi="Century Gothic" w:cs="Arial"/>
          <w:sz w:val="18"/>
          <w:szCs w:val="18"/>
          <w:lang w:val="es-ES"/>
        </w:rPr>
        <w:t>conducta”.</w:t>
      </w:r>
    </w:p>
  </w:footnote>
  <w:footnote w:id="18">
    <w:p w14:paraId="777A6710" w14:textId="77777777" w:rsidR="005518E8" w:rsidRPr="00105B68" w:rsidRDefault="005518E8" w:rsidP="005518E8">
      <w:pPr>
        <w:pStyle w:val="Textonotapie"/>
        <w:ind w:firstLine="708"/>
        <w:contextualSpacing/>
        <w:jc w:val="both"/>
        <w:rPr>
          <w:rFonts w:ascii="Century Gothic" w:eastAsia="Arial" w:hAnsi="Century Gothic" w:cs="Arial"/>
          <w:sz w:val="18"/>
          <w:szCs w:val="18"/>
          <w:lang w:val="es-ES"/>
        </w:rPr>
      </w:pPr>
      <w:r w:rsidRPr="000F32AA">
        <w:rPr>
          <w:rStyle w:val="Refdenotaalpie"/>
          <w:rFonts w:ascii="Century Gothic" w:hAnsi="Century Gothic" w:cs="Arial"/>
          <w:sz w:val="18"/>
          <w:szCs w:val="18"/>
        </w:rPr>
        <w:footnoteRef/>
      </w:r>
      <w:r w:rsidRPr="000F32AA">
        <w:rPr>
          <w:rFonts w:ascii="Century Gothic" w:hAnsi="Century Gothic" w:cs="Arial"/>
          <w:sz w:val="18"/>
          <w:szCs w:val="18"/>
        </w:rPr>
        <w:t xml:space="preserve"> </w:t>
      </w:r>
      <w:r w:rsidRPr="000F32AA">
        <w:rPr>
          <w:rFonts w:ascii="Century Gothic" w:eastAsia="Arial" w:hAnsi="Century Gothic" w:cs="Arial"/>
          <w:sz w:val="18"/>
          <w:szCs w:val="18"/>
          <w:lang w:val="es-ES"/>
        </w:rPr>
        <w:t xml:space="preserve">Consejo de Estado. Sección Tercera. Subsección C. Sentencia del 8 de junio de 2011. </w:t>
      </w:r>
      <w:proofErr w:type="spellStart"/>
      <w:r w:rsidRPr="000F32AA">
        <w:rPr>
          <w:rFonts w:ascii="Century Gothic" w:eastAsia="Arial" w:hAnsi="Century Gothic" w:cs="Arial"/>
          <w:sz w:val="18"/>
          <w:szCs w:val="18"/>
          <w:lang w:val="es-ES"/>
        </w:rPr>
        <w:t>Exp</w:t>
      </w:r>
      <w:proofErr w:type="spellEnd"/>
      <w:r w:rsidRPr="000F32AA">
        <w:rPr>
          <w:rFonts w:ascii="Century Gothic" w:eastAsia="Arial" w:hAnsi="Century Gothic" w:cs="Arial"/>
          <w:sz w:val="18"/>
          <w:szCs w:val="18"/>
          <w:lang w:val="es-ES"/>
        </w:rPr>
        <w:t>. 20001-23-31-000-2005-00409-01(AP), C.P. Enrique Gil Botero.</w:t>
      </w:r>
    </w:p>
  </w:footnote>
  <w:footnote w:id="19">
    <w:p w14:paraId="2DD0CBEC" w14:textId="77777777" w:rsidR="005518E8" w:rsidRPr="000F32AA" w:rsidRDefault="005518E8" w:rsidP="005518E8">
      <w:pPr>
        <w:pStyle w:val="Textonotapie"/>
        <w:ind w:firstLine="709"/>
        <w:contextualSpacing/>
        <w:jc w:val="both"/>
        <w:rPr>
          <w:rFonts w:ascii="Century Gothic" w:hAnsi="Century Gothic" w:cs="Arial"/>
          <w:iCs/>
          <w:color w:val="000000" w:themeColor="text1"/>
          <w:sz w:val="18"/>
          <w:szCs w:val="18"/>
        </w:rPr>
      </w:pPr>
      <w:r w:rsidRPr="000F32AA">
        <w:rPr>
          <w:rStyle w:val="Refdenotaalpie"/>
          <w:rFonts w:ascii="Century Gothic" w:hAnsi="Century Gothic" w:cs="Arial"/>
          <w:color w:val="000000" w:themeColor="text1"/>
          <w:sz w:val="18"/>
          <w:szCs w:val="18"/>
        </w:rPr>
        <w:footnoteRef/>
      </w:r>
      <w:r w:rsidRPr="000F32AA">
        <w:rPr>
          <w:rFonts w:ascii="Century Gothic" w:hAnsi="Century Gothic" w:cs="Arial"/>
          <w:color w:val="000000" w:themeColor="text1"/>
          <w:sz w:val="18"/>
          <w:szCs w:val="18"/>
        </w:rPr>
        <w:t xml:space="preserve"> </w:t>
      </w:r>
      <w:r w:rsidRPr="000F32AA">
        <w:rPr>
          <w:rFonts w:ascii="Century Gothic" w:hAnsi="Century Gothic" w:cs="Arial"/>
          <w:iCs/>
          <w:color w:val="000000" w:themeColor="text1"/>
          <w:sz w:val="18"/>
          <w:szCs w:val="18"/>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E2BE0FF" w14:textId="77777777" w:rsidR="005518E8" w:rsidRPr="000F32AA" w:rsidRDefault="005518E8" w:rsidP="005518E8">
      <w:pPr>
        <w:pStyle w:val="Textonotapie"/>
        <w:ind w:firstLine="709"/>
        <w:contextualSpacing/>
        <w:jc w:val="both"/>
        <w:rPr>
          <w:rFonts w:ascii="Century Gothic" w:hAnsi="Century Gothic" w:cs="Arial"/>
          <w:iCs/>
          <w:color w:val="000000" w:themeColor="text1"/>
          <w:sz w:val="18"/>
          <w:szCs w:val="18"/>
        </w:rPr>
      </w:pPr>
      <w:r w:rsidRPr="000F32AA">
        <w:rPr>
          <w:rFonts w:ascii="Century Gothic" w:hAnsi="Century Gothic" w:cs="Arial"/>
          <w:iCs/>
          <w:color w:val="000000" w:themeColor="text1"/>
          <w:sz w:val="18"/>
          <w:szCs w:val="18"/>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4635C52" w14:textId="77777777" w:rsidR="005518E8" w:rsidRPr="000F32AA" w:rsidRDefault="005518E8" w:rsidP="005518E8">
      <w:pPr>
        <w:pStyle w:val="Textonotapie"/>
        <w:ind w:firstLine="709"/>
        <w:contextualSpacing/>
        <w:jc w:val="both"/>
        <w:rPr>
          <w:rFonts w:ascii="Century Gothic" w:hAnsi="Century Gothic" w:cs="Arial"/>
          <w:iCs/>
          <w:color w:val="000000" w:themeColor="text1"/>
          <w:sz w:val="18"/>
          <w:szCs w:val="18"/>
        </w:rPr>
      </w:pPr>
      <w:r w:rsidRPr="000F32AA">
        <w:rPr>
          <w:rFonts w:ascii="Century Gothic" w:hAnsi="Century Gothic" w:cs="Arial"/>
          <w:iCs/>
          <w:color w:val="000000" w:themeColor="text1"/>
          <w:sz w:val="18"/>
          <w:szCs w:val="18"/>
        </w:rPr>
        <w:t>El Gobierno nacional reglamentará el mecanismo para realizar la mensualización de que trata el presente artículo.</w:t>
      </w:r>
    </w:p>
    <w:p w14:paraId="62D98CC7" w14:textId="77777777" w:rsidR="005518E8" w:rsidRPr="000F32AA" w:rsidRDefault="005518E8" w:rsidP="005518E8">
      <w:pPr>
        <w:pStyle w:val="Textonotapie"/>
        <w:ind w:firstLine="709"/>
        <w:contextualSpacing/>
        <w:jc w:val="both"/>
        <w:rPr>
          <w:rFonts w:ascii="Century Gothic" w:hAnsi="Century Gothic" w:cs="Arial"/>
          <w:iCs/>
          <w:color w:val="000000" w:themeColor="text1"/>
          <w:sz w:val="18"/>
          <w:szCs w:val="18"/>
        </w:rPr>
      </w:pPr>
      <w:r w:rsidRPr="000F32AA">
        <w:rPr>
          <w:rFonts w:ascii="Century Gothic" w:hAnsi="Century Gothic" w:cs="Arial"/>
          <w:iCs/>
          <w:color w:val="000000" w:themeColor="text1"/>
          <w:sz w:val="18"/>
          <w:szCs w:val="18"/>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4EFAAA13" w14:textId="77777777" w:rsidR="005518E8" w:rsidRPr="000F32AA" w:rsidRDefault="005518E8" w:rsidP="005518E8">
      <w:pPr>
        <w:pStyle w:val="Textonotapie"/>
        <w:ind w:firstLine="709"/>
        <w:contextualSpacing/>
        <w:jc w:val="both"/>
        <w:rPr>
          <w:rFonts w:ascii="Century Gothic" w:hAnsi="Century Gothic" w:cs="Arial"/>
          <w:iCs/>
          <w:color w:val="000000" w:themeColor="text1"/>
          <w:sz w:val="18"/>
          <w:szCs w:val="18"/>
        </w:rPr>
      </w:pPr>
      <w:r w:rsidRPr="000F32AA">
        <w:rPr>
          <w:rFonts w:ascii="Century Gothic" w:hAnsi="Century Gothic" w:cs="Arial"/>
          <w:iCs/>
          <w:color w:val="000000" w:themeColor="text1"/>
          <w:sz w:val="18"/>
          <w:szCs w:val="18"/>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20">
    <w:p w14:paraId="015B7771" w14:textId="77777777" w:rsidR="005518E8" w:rsidRPr="000F32AA" w:rsidRDefault="005518E8" w:rsidP="005518E8">
      <w:pPr>
        <w:pStyle w:val="Textonotapie"/>
        <w:ind w:firstLine="709"/>
        <w:contextualSpacing/>
        <w:jc w:val="both"/>
        <w:rPr>
          <w:rFonts w:ascii="Century Gothic" w:hAnsi="Century Gothic" w:cs="Arial"/>
          <w:color w:val="000000" w:themeColor="text1"/>
          <w:sz w:val="18"/>
          <w:szCs w:val="18"/>
        </w:rPr>
      </w:pPr>
      <w:r w:rsidRPr="000F32AA">
        <w:rPr>
          <w:rStyle w:val="Refdenotaalpie"/>
          <w:rFonts w:ascii="Century Gothic" w:hAnsi="Century Gothic" w:cs="Arial"/>
          <w:color w:val="000000" w:themeColor="text1"/>
          <w:sz w:val="18"/>
          <w:szCs w:val="18"/>
        </w:rPr>
        <w:footnoteRef/>
      </w:r>
      <w:r w:rsidRPr="000F32AA">
        <w:rPr>
          <w:rFonts w:ascii="Century Gothic" w:hAnsi="Century Gothic" w:cs="Arial"/>
          <w:color w:val="000000" w:themeColor="text1"/>
          <w:sz w:val="18"/>
          <w:szCs w:val="18"/>
        </w:rPr>
        <w:t xml:space="preserve">  La Corte expuso lo siguiente como síntesis de la decisión: “</w:t>
      </w:r>
      <w:r w:rsidRPr="000F32AA">
        <w:rPr>
          <w:rFonts w:ascii="Century Gothic" w:hAnsi="Century Gothic" w:cs="Arial"/>
          <w:sz w:val="18"/>
          <w:szCs w:val="18"/>
        </w:rPr>
        <w:t>[…]</w:t>
      </w:r>
      <w:r w:rsidRPr="000F32AA">
        <w:rPr>
          <w:rFonts w:ascii="Century Gothic" w:hAnsi="Century Gothic" w:cs="Arial"/>
          <w:color w:val="000000" w:themeColor="text1"/>
          <w:sz w:val="18"/>
          <w:szCs w:val="18"/>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2D01EA0B" w14:textId="77777777" w:rsidR="005518E8" w:rsidRPr="000F32AA" w:rsidRDefault="005518E8" w:rsidP="005518E8">
      <w:pPr>
        <w:pStyle w:val="Textonotapie"/>
        <w:ind w:firstLine="709"/>
        <w:contextualSpacing/>
        <w:jc w:val="both"/>
        <w:rPr>
          <w:rFonts w:ascii="Century Gothic" w:hAnsi="Century Gothic" w:cs="Arial"/>
          <w:color w:val="000000" w:themeColor="text1"/>
          <w:sz w:val="18"/>
          <w:szCs w:val="18"/>
        </w:rPr>
      </w:pPr>
      <w:r w:rsidRPr="000F32AA">
        <w:rPr>
          <w:rFonts w:ascii="Century Gothic" w:hAnsi="Century Gothic" w:cs="Arial"/>
          <w:color w:val="000000" w:themeColor="text1"/>
          <w:sz w:val="18"/>
          <w:szCs w:val="18"/>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 w:id="21">
    <w:p w14:paraId="3D7C601E" w14:textId="77777777" w:rsidR="005518E8" w:rsidRPr="00105B68" w:rsidRDefault="005518E8" w:rsidP="005518E8">
      <w:pPr>
        <w:pStyle w:val="Textonotapie"/>
        <w:ind w:firstLine="708"/>
        <w:rPr>
          <w:rFonts w:ascii="Century Gothic" w:hAnsi="Century Gothic"/>
          <w:sz w:val="18"/>
          <w:szCs w:val="18"/>
        </w:rPr>
      </w:pPr>
      <w:r w:rsidRPr="00105B68">
        <w:rPr>
          <w:rStyle w:val="Refdenotaalpie"/>
          <w:rFonts w:ascii="Century Gothic" w:hAnsi="Century Gothic"/>
          <w:sz w:val="18"/>
          <w:szCs w:val="18"/>
        </w:rPr>
        <w:footnoteRef/>
      </w:r>
      <w:r w:rsidRPr="00105B68">
        <w:rPr>
          <w:rFonts w:ascii="Century Gothic" w:hAnsi="Century Gothic"/>
          <w:sz w:val="18"/>
          <w:szCs w:val="18"/>
        </w:rPr>
        <w:t xml:space="preserve"> Ministerio de Trabajo. Grupo Interno de Trabajo de Atención a Consultas en Materia Laboral de la Oficina Jurídica. Radicado 11EE2018120000000039599.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5065075D">
          <wp:simplePos x="0" y="0"/>
          <wp:positionH relativeFrom="margin">
            <wp:align>right</wp:align>
          </wp:positionH>
          <wp:positionV relativeFrom="margin">
            <wp:posOffset>-1092933</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00F5F213" w:rsidR="005B5D8B" w:rsidRPr="000B0B95" w:rsidRDefault="005B5D8B" w:rsidP="005B5D8B">
    <w:pPr>
      <w:spacing w:after="0"/>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3DB6C54"/>
    <w:multiLevelType w:val="hybridMultilevel"/>
    <w:tmpl w:val="E2D6E192"/>
    <w:lvl w:ilvl="0" w:tplc="A1048ECE">
      <w:start w:val="1"/>
      <w:numFmt w:val="decimal"/>
      <w:lvlText w:val="%1."/>
      <w:lvlJc w:val="left"/>
      <w:pPr>
        <w:ind w:left="360" w:hanging="360"/>
      </w:pPr>
      <w:rPr>
        <w:rFonts w:eastAsiaTheme="minorHAnsi"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 w:numId="7" w16cid:durableId="1517571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27A7"/>
    <w:rsid w:val="00026E17"/>
    <w:rsid w:val="00075103"/>
    <w:rsid w:val="000A683E"/>
    <w:rsid w:val="000B0B95"/>
    <w:rsid w:val="000B19B9"/>
    <w:rsid w:val="000D0334"/>
    <w:rsid w:val="000E4714"/>
    <w:rsid w:val="000F0766"/>
    <w:rsid w:val="000F6486"/>
    <w:rsid w:val="00125105"/>
    <w:rsid w:val="00127233"/>
    <w:rsid w:val="00185070"/>
    <w:rsid w:val="001A1826"/>
    <w:rsid w:val="001A49F7"/>
    <w:rsid w:val="001D0052"/>
    <w:rsid w:val="001E4177"/>
    <w:rsid w:val="001F024E"/>
    <w:rsid w:val="00237E03"/>
    <w:rsid w:val="002951A0"/>
    <w:rsid w:val="002962BC"/>
    <w:rsid w:val="002A093D"/>
    <w:rsid w:val="002A49AC"/>
    <w:rsid w:val="002A64FD"/>
    <w:rsid w:val="002C7A84"/>
    <w:rsid w:val="002E0277"/>
    <w:rsid w:val="003448F4"/>
    <w:rsid w:val="0037070C"/>
    <w:rsid w:val="003A5943"/>
    <w:rsid w:val="003A7275"/>
    <w:rsid w:val="003A779E"/>
    <w:rsid w:val="003D0F4D"/>
    <w:rsid w:val="003E0499"/>
    <w:rsid w:val="003F3941"/>
    <w:rsid w:val="00400548"/>
    <w:rsid w:val="004368BC"/>
    <w:rsid w:val="004A1847"/>
    <w:rsid w:val="004A305D"/>
    <w:rsid w:val="004F21C4"/>
    <w:rsid w:val="004F685F"/>
    <w:rsid w:val="00532255"/>
    <w:rsid w:val="00533E8F"/>
    <w:rsid w:val="005518E8"/>
    <w:rsid w:val="005566E8"/>
    <w:rsid w:val="00574867"/>
    <w:rsid w:val="005947C1"/>
    <w:rsid w:val="005A2ED1"/>
    <w:rsid w:val="005A6AA1"/>
    <w:rsid w:val="005B5D8B"/>
    <w:rsid w:val="005C5CDC"/>
    <w:rsid w:val="005D476C"/>
    <w:rsid w:val="005E0EB6"/>
    <w:rsid w:val="005F2184"/>
    <w:rsid w:val="006219F8"/>
    <w:rsid w:val="00640735"/>
    <w:rsid w:val="00644438"/>
    <w:rsid w:val="00665D70"/>
    <w:rsid w:val="00674979"/>
    <w:rsid w:val="00693CAC"/>
    <w:rsid w:val="006D3EFD"/>
    <w:rsid w:val="00706C16"/>
    <w:rsid w:val="00727370"/>
    <w:rsid w:val="00756841"/>
    <w:rsid w:val="00763C80"/>
    <w:rsid w:val="007649AB"/>
    <w:rsid w:val="007833AC"/>
    <w:rsid w:val="007B7171"/>
    <w:rsid w:val="007C3DC2"/>
    <w:rsid w:val="007E5497"/>
    <w:rsid w:val="008037C7"/>
    <w:rsid w:val="00806F5F"/>
    <w:rsid w:val="00820278"/>
    <w:rsid w:val="008513F7"/>
    <w:rsid w:val="00880277"/>
    <w:rsid w:val="008843B6"/>
    <w:rsid w:val="00891928"/>
    <w:rsid w:val="008A446D"/>
    <w:rsid w:val="008F0EA7"/>
    <w:rsid w:val="00923EEF"/>
    <w:rsid w:val="009419F9"/>
    <w:rsid w:val="00961B09"/>
    <w:rsid w:val="00965334"/>
    <w:rsid w:val="0097093E"/>
    <w:rsid w:val="00974487"/>
    <w:rsid w:val="00983937"/>
    <w:rsid w:val="009849FB"/>
    <w:rsid w:val="009927A6"/>
    <w:rsid w:val="00995B97"/>
    <w:rsid w:val="009C71FA"/>
    <w:rsid w:val="009C72E7"/>
    <w:rsid w:val="009E5A62"/>
    <w:rsid w:val="00A17F13"/>
    <w:rsid w:val="00A20739"/>
    <w:rsid w:val="00A253DC"/>
    <w:rsid w:val="00A33C78"/>
    <w:rsid w:val="00AB0ADB"/>
    <w:rsid w:val="00AD5E99"/>
    <w:rsid w:val="00AE0FD8"/>
    <w:rsid w:val="00B54AB3"/>
    <w:rsid w:val="00B72CD3"/>
    <w:rsid w:val="00B72FFF"/>
    <w:rsid w:val="00BD15D4"/>
    <w:rsid w:val="00BD2E7A"/>
    <w:rsid w:val="00BD7F72"/>
    <w:rsid w:val="00BF150B"/>
    <w:rsid w:val="00C04FB3"/>
    <w:rsid w:val="00C17227"/>
    <w:rsid w:val="00C3043E"/>
    <w:rsid w:val="00C330EB"/>
    <w:rsid w:val="00C5742C"/>
    <w:rsid w:val="00C754BE"/>
    <w:rsid w:val="00C84F0A"/>
    <w:rsid w:val="00CB6357"/>
    <w:rsid w:val="00CC1B26"/>
    <w:rsid w:val="00D423A2"/>
    <w:rsid w:val="00D63AC2"/>
    <w:rsid w:val="00D65939"/>
    <w:rsid w:val="00D7383B"/>
    <w:rsid w:val="00DA231B"/>
    <w:rsid w:val="00DE0649"/>
    <w:rsid w:val="00DE534F"/>
    <w:rsid w:val="00DF572D"/>
    <w:rsid w:val="00E16408"/>
    <w:rsid w:val="00E20894"/>
    <w:rsid w:val="00E245AB"/>
    <w:rsid w:val="00E33425"/>
    <w:rsid w:val="00E50AFE"/>
    <w:rsid w:val="00E771DC"/>
    <w:rsid w:val="00E8772A"/>
    <w:rsid w:val="00E90F6B"/>
    <w:rsid w:val="00E92C27"/>
    <w:rsid w:val="00EA0E3D"/>
    <w:rsid w:val="00EE1AA8"/>
    <w:rsid w:val="00F17039"/>
    <w:rsid w:val="00F204AB"/>
    <w:rsid w:val="00F31EDC"/>
    <w:rsid w:val="00F5664F"/>
    <w:rsid w:val="00F613A2"/>
    <w:rsid w:val="00F76AFC"/>
    <w:rsid w:val="00F77466"/>
    <w:rsid w:val="00FB5DD1"/>
    <w:rsid w:val="00FC2B5D"/>
    <w:rsid w:val="00FF1449"/>
    <w:rsid w:val="0568795D"/>
    <w:rsid w:val="0D92D522"/>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5F2184"/>
    <w:pPr>
      <w:spacing w:line="240" w:lineRule="exact"/>
    </w:pPr>
    <w:rPr>
      <w:vertAlign w:val="superscript"/>
    </w:rPr>
  </w:style>
  <w:style w:type="character" w:styleId="Refdecomentario">
    <w:name w:val="annotation reference"/>
    <w:basedOn w:val="Fuentedeprrafopredeter"/>
    <w:uiPriority w:val="99"/>
    <w:semiHidden/>
    <w:unhideWhenUsed/>
    <w:rsid w:val="005947C1"/>
    <w:rPr>
      <w:sz w:val="16"/>
      <w:szCs w:val="16"/>
    </w:rPr>
  </w:style>
  <w:style w:type="paragraph" w:styleId="Textocomentario">
    <w:name w:val="annotation text"/>
    <w:basedOn w:val="Normal"/>
    <w:link w:val="TextocomentarioCar"/>
    <w:uiPriority w:val="99"/>
    <w:unhideWhenUsed/>
    <w:rsid w:val="005947C1"/>
    <w:pPr>
      <w:spacing w:line="240" w:lineRule="auto"/>
    </w:pPr>
    <w:rPr>
      <w:sz w:val="20"/>
      <w:szCs w:val="20"/>
    </w:rPr>
  </w:style>
  <w:style w:type="character" w:customStyle="1" w:styleId="TextocomentarioCar">
    <w:name w:val="Texto comentario Car"/>
    <w:basedOn w:val="Fuentedeprrafopredeter"/>
    <w:link w:val="Textocomentario"/>
    <w:uiPriority w:val="99"/>
    <w:rsid w:val="005947C1"/>
    <w:rPr>
      <w:sz w:val="20"/>
      <w:szCs w:val="20"/>
    </w:rPr>
  </w:style>
  <w:style w:type="paragraph" w:styleId="Asuntodelcomentario">
    <w:name w:val="annotation subject"/>
    <w:basedOn w:val="Textocomentario"/>
    <w:next w:val="Textocomentario"/>
    <w:link w:val="AsuntodelcomentarioCar"/>
    <w:uiPriority w:val="99"/>
    <w:semiHidden/>
    <w:unhideWhenUsed/>
    <w:rsid w:val="005947C1"/>
    <w:rPr>
      <w:b/>
      <w:bCs/>
    </w:rPr>
  </w:style>
  <w:style w:type="character" w:customStyle="1" w:styleId="AsuntodelcomentarioCar">
    <w:name w:val="Asunto del comentario Car"/>
    <w:basedOn w:val="TextocomentarioCar"/>
    <w:link w:val="Asuntodelcomentario"/>
    <w:uiPriority w:val="99"/>
    <w:semiHidden/>
    <w:rsid w:val="005947C1"/>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18E8"/>
    <w:rPr>
      <w:rFonts w:ascii="Geomanist Light" w:hAnsi="Geomanist Light"/>
      <w:lang w:val="es-ES"/>
    </w:rPr>
  </w:style>
  <w:style w:type="character" w:customStyle="1" w:styleId="eop">
    <w:name w:val="eop"/>
    <w:basedOn w:val="Fuentedeprrafopredeter"/>
    <w:rsid w:val="00002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Juan David Cárdenas Cabeza</DisplayName>
        <AccountId>659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30CC1BF-0DF3-4747-B768-E2925285E41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5756</Words>
  <Characters>31659</Characters>
  <Application>Microsoft Office Word</Application>
  <DocSecurity>0</DocSecurity>
  <Lines>263</Lines>
  <Paragraphs>74</Paragraphs>
  <ScaleCrop>false</ScaleCrop>
  <Company/>
  <LinksUpToDate>false</LinksUpToDate>
  <CharactersWithSpaces>37341</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3</cp:revision>
  <cp:lastPrinted>2023-01-10T21:18:00Z</cp:lastPrinted>
  <dcterms:created xsi:type="dcterms:W3CDTF">2024-05-29T16:28:00Z</dcterms:created>
  <dcterms:modified xsi:type="dcterms:W3CDTF">2024-05-29T16:41:00Z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