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86EAC" w14:textId="77777777" w:rsidR="00FB6F44" w:rsidRPr="003667CF" w:rsidRDefault="00FB6F44" w:rsidP="003667CF">
      <w:pPr>
        <w:rPr>
          <w:rFonts w:ascii="Verdana" w:hAnsi="Verdana"/>
          <w:b/>
          <w:bCs/>
          <w:lang w:val="es-ES_tradnl" w:eastAsia="es-ES_tradnl"/>
        </w:rPr>
      </w:pPr>
      <w:bookmarkStart w:id="0" w:name="_Hlk143780582"/>
      <w:r w:rsidRPr="003667CF">
        <w:rPr>
          <w:rFonts w:ascii="Verdana" w:hAnsi="Verdana"/>
          <w:b/>
          <w:bCs/>
          <w:lang w:val="es-ES_tradnl" w:eastAsia="es-ES_tradnl"/>
        </w:rPr>
        <w:t xml:space="preserve">SELECCIÓN ABREVIADA – Causal de Subasta Inversa – Características – Procedimiento </w:t>
      </w:r>
    </w:p>
    <w:p w14:paraId="4E1A76DA" w14:textId="77777777" w:rsidR="00FB6F44" w:rsidRPr="001827AF" w:rsidRDefault="00FB6F44" w:rsidP="00FB6F44">
      <w:pPr>
        <w:spacing w:after="0" w:line="240" w:lineRule="auto"/>
        <w:jc w:val="both"/>
        <w:rPr>
          <w:rFonts w:ascii="Verdana" w:eastAsia="Calibri" w:hAnsi="Verdana" w:cs="Arial"/>
          <w:b/>
          <w:lang w:val="es-ES_tradnl" w:eastAsia="es-ES_tradnl"/>
        </w:rPr>
      </w:pPr>
    </w:p>
    <w:p w14:paraId="684E7624" w14:textId="77777777" w:rsidR="00FB6F44" w:rsidRPr="001827AF" w:rsidRDefault="00FB6F44" w:rsidP="00FB6F44">
      <w:pPr>
        <w:spacing w:after="0" w:line="240" w:lineRule="auto"/>
        <w:jc w:val="both"/>
        <w:rPr>
          <w:rFonts w:ascii="Verdana" w:eastAsia="Calibri" w:hAnsi="Verdana" w:cs="Arial"/>
          <w:color w:val="000000" w:themeColor="text1"/>
          <w:sz w:val="20"/>
          <w:szCs w:val="20"/>
        </w:rPr>
      </w:pPr>
      <w:r w:rsidRPr="001827AF">
        <w:rPr>
          <w:rFonts w:ascii="Verdana" w:eastAsia="Calibri" w:hAnsi="Verdana" w:cs="Arial"/>
          <w:color w:val="000000" w:themeColor="text1"/>
          <w:sz w:val="20"/>
          <w:szCs w:val="20"/>
        </w:rPr>
        <w:t xml:space="preserve">El literal a) del numeral 2 del artículo 2 de la Ley 1150 de 2007 establece que los bienes de características técnicas uniformes y de común utilización son aquellos que poseen las mismas especificaciones técnicas, con independencia de su diseño o de sus características descriptivas, y comparten patrones de desempeño y calidad objetivamente definidos, y pueden adquirirse de tres formas: i) subasta inversa, </w:t>
      </w:r>
      <w:proofErr w:type="spellStart"/>
      <w:r w:rsidRPr="001827AF">
        <w:rPr>
          <w:rFonts w:ascii="Verdana" w:eastAsia="Calibri" w:hAnsi="Verdana" w:cs="Arial"/>
          <w:color w:val="000000" w:themeColor="text1"/>
          <w:sz w:val="20"/>
          <w:szCs w:val="20"/>
        </w:rPr>
        <w:t>ii</w:t>
      </w:r>
      <w:proofErr w:type="spellEnd"/>
      <w:r w:rsidRPr="001827AF">
        <w:rPr>
          <w:rFonts w:ascii="Verdana" w:eastAsia="Calibri" w:hAnsi="Verdana" w:cs="Arial"/>
          <w:color w:val="000000" w:themeColor="text1"/>
          <w:sz w:val="20"/>
          <w:szCs w:val="20"/>
        </w:rPr>
        <w:t xml:space="preserve">) acuerdos marco de precios, y </w:t>
      </w:r>
      <w:proofErr w:type="spellStart"/>
      <w:r w:rsidRPr="001827AF">
        <w:rPr>
          <w:rFonts w:ascii="Verdana" w:eastAsia="Calibri" w:hAnsi="Verdana" w:cs="Arial"/>
          <w:color w:val="000000" w:themeColor="text1"/>
          <w:sz w:val="20"/>
          <w:szCs w:val="20"/>
        </w:rPr>
        <w:t>iii</w:t>
      </w:r>
      <w:proofErr w:type="spellEnd"/>
      <w:r w:rsidRPr="001827AF">
        <w:rPr>
          <w:rFonts w:ascii="Verdana" w:eastAsia="Calibri" w:hAnsi="Verdana" w:cs="Arial"/>
          <w:color w:val="000000" w:themeColor="text1"/>
          <w:sz w:val="20"/>
          <w:szCs w:val="20"/>
        </w:rPr>
        <w:t>) bolsas de productos; siempre que el reglamento así lo señale. Por su parte, la reglamentación del procedimiento está contemplada en el artículo 2.2.1.2.1.2.2. del Decreto 1082 de 2015, que dispone las reglas particulares aplicables al mismo.</w:t>
      </w:r>
    </w:p>
    <w:p w14:paraId="251720F7" w14:textId="77777777" w:rsidR="00FB6F44" w:rsidRPr="001827AF" w:rsidRDefault="00FB6F44" w:rsidP="00FB6F44">
      <w:pPr>
        <w:spacing w:after="0" w:line="240" w:lineRule="auto"/>
        <w:jc w:val="both"/>
        <w:rPr>
          <w:rFonts w:ascii="Verdana" w:eastAsia="Calibri" w:hAnsi="Verdana" w:cs="Arial"/>
          <w:color w:val="000000" w:themeColor="text1"/>
          <w:sz w:val="20"/>
          <w:szCs w:val="20"/>
        </w:rPr>
      </w:pPr>
    </w:p>
    <w:p w14:paraId="03586E10" w14:textId="77777777" w:rsidR="00FB6F44" w:rsidRPr="001827AF" w:rsidRDefault="00FB6F44" w:rsidP="00FB6F44">
      <w:pPr>
        <w:spacing w:after="0" w:line="240" w:lineRule="auto"/>
        <w:jc w:val="both"/>
        <w:rPr>
          <w:rFonts w:ascii="Verdana" w:eastAsia="Calibri" w:hAnsi="Verdana" w:cs="Arial"/>
          <w:color w:val="000000" w:themeColor="text1"/>
          <w:sz w:val="20"/>
          <w:szCs w:val="20"/>
        </w:rPr>
      </w:pPr>
      <w:r w:rsidRPr="001827AF">
        <w:rPr>
          <w:rFonts w:ascii="Verdana" w:eastAsia="Calibri" w:hAnsi="Verdana" w:cs="Arial"/>
          <w:color w:val="000000" w:themeColor="text1"/>
          <w:sz w:val="20"/>
          <w:szCs w:val="20"/>
        </w:rPr>
        <w:t>Ahora bien, de conformidad con el artículo 2.2.1.2.1.2.5. del mencionado decreto, la subasta inversa puede adelantarse de manera electrónica o presencial, quedando su elección a facultad de la entidad estatal contratante. No obstante, el inciso segundo de la norma en cita señala que, si la entidad estatal decide llevar a cabo la subasta electrónicamente, debe fijar en los pliegos de condiciones el sistema que utilizará para ello, informando además sobre los mecanismos de seguridad para el intercambio de mensaje de datos.</w:t>
      </w:r>
    </w:p>
    <w:p w14:paraId="7283167B" w14:textId="77777777" w:rsidR="00FB6F44" w:rsidRPr="001827AF" w:rsidRDefault="00FB6F44" w:rsidP="00FB6F44">
      <w:pPr>
        <w:spacing w:after="0" w:line="240" w:lineRule="auto"/>
        <w:jc w:val="both"/>
        <w:rPr>
          <w:rFonts w:ascii="Verdana" w:eastAsia="Calibri" w:hAnsi="Verdana" w:cs="Arial"/>
          <w:color w:val="000000" w:themeColor="text1"/>
          <w:sz w:val="20"/>
          <w:szCs w:val="20"/>
        </w:rPr>
      </w:pPr>
    </w:p>
    <w:p w14:paraId="2A024F24" w14:textId="77777777" w:rsidR="00FB6F44" w:rsidRPr="001827AF" w:rsidRDefault="00FB6F44" w:rsidP="00FB6F44">
      <w:pPr>
        <w:spacing w:after="0" w:line="240" w:lineRule="auto"/>
        <w:jc w:val="both"/>
        <w:rPr>
          <w:rFonts w:ascii="Verdana" w:eastAsia="Calibri" w:hAnsi="Verdana" w:cs="Arial"/>
          <w:b/>
          <w:lang w:val="es-ES_tradnl" w:eastAsia="es-ES_tradnl"/>
        </w:rPr>
      </w:pPr>
      <w:r w:rsidRPr="001827AF">
        <w:rPr>
          <w:rFonts w:ascii="Verdana" w:eastAsia="Calibri" w:hAnsi="Verdana" w:cs="Arial"/>
          <w:b/>
          <w:lang w:val="es-ES_tradnl" w:eastAsia="es-ES_tradnl"/>
        </w:rPr>
        <w:t>SUBASTA INVERSA – Electrónica o Presencial – Elección facultativa de entidad estatal</w:t>
      </w:r>
    </w:p>
    <w:p w14:paraId="01972EAD" w14:textId="77777777" w:rsidR="003A5E0E" w:rsidRDefault="003A5E0E" w:rsidP="003A5E0E">
      <w:pPr>
        <w:spacing w:after="120" w:line="276" w:lineRule="auto"/>
        <w:jc w:val="both"/>
        <w:rPr>
          <w:rFonts w:ascii="Verdana" w:eastAsia="Calibri" w:hAnsi="Verdana" w:cs="Arial"/>
          <w:color w:val="000000" w:themeColor="text1"/>
          <w:sz w:val="20"/>
          <w:szCs w:val="20"/>
        </w:rPr>
      </w:pPr>
    </w:p>
    <w:p w14:paraId="7678EF11" w14:textId="1B9199B9" w:rsidR="003A5E0E" w:rsidRPr="003A5E0E" w:rsidRDefault="003A5E0E" w:rsidP="003A5E0E">
      <w:pPr>
        <w:spacing w:after="120" w:line="276"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L</w:t>
      </w:r>
      <w:r w:rsidRPr="003A5E0E">
        <w:rPr>
          <w:rFonts w:ascii="Verdana" w:eastAsia="Calibri" w:hAnsi="Verdana" w:cs="Arial"/>
          <w:color w:val="000000" w:themeColor="text1"/>
          <w:sz w:val="20"/>
          <w:szCs w:val="20"/>
        </w:rPr>
        <w:t xml:space="preserve">as Entidades Estatales que opten por desarrollar la subasta de manera electrónica pueden hacer uso del módulo de subasta electrónica dispuesto en la plataforma SECOP II para adelantar el proceso de contratación y realizar el respectivo evento a través </w:t>
      </w:r>
      <w:proofErr w:type="gramStart"/>
      <w:r w:rsidRPr="003A5E0E">
        <w:rPr>
          <w:rFonts w:ascii="Verdana" w:eastAsia="Calibri" w:hAnsi="Verdana" w:cs="Arial"/>
          <w:color w:val="000000" w:themeColor="text1"/>
          <w:sz w:val="20"/>
          <w:szCs w:val="20"/>
        </w:rPr>
        <w:t>del mismo</w:t>
      </w:r>
      <w:proofErr w:type="gramEnd"/>
      <w:r w:rsidRPr="003A5E0E">
        <w:rPr>
          <w:rFonts w:ascii="Verdana" w:eastAsia="Calibri" w:hAnsi="Verdana" w:cs="Arial"/>
          <w:color w:val="000000" w:themeColor="text1"/>
          <w:sz w:val="20"/>
          <w:szCs w:val="20"/>
        </w:rPr>
        <w:t>. De otra parte, cuando se opte por adelantar la subasta de manera presencial, la Entidad Estatal deberá desarrollar el evento con sujeción al procedimiento dispuesto en el artículo 2.2.1.2.1.2.2, –sin necesidad de utilizar el módulo de subasta electrónica–, para luego dar publicidad al proceso mediante la publicación de los documentos en SECOP II, de conformidad con lo exigido por el artículo 2.2.1.1.1.7.1. del Decreto 1082 de 2015.</w:t>
      </w:r>
    </w:p>
    <w:p w14:paraId="2F982751" w14:textId="77777777" w:rsidR="00FB6F44" w:rsidRPr="001827AF" w:rsidRDefault="00FB6F44" w:rsidP="00FB6F44">
      <w:pPr>
        <w:spacing w:after="0" w:line="240" w:lineRule="auto"/>
        <w:jc w:val="both"/>
        <w:rPr>
          <w:rFonts w:ascii="Verdana" w:eastAsia="Calibri" w:hAnsi="Verdana" w:cs="Arial"/>
          <w:color w:val="000000" w:themeColor="text1"/>
          <w:sz w:val="20"/>
          <w:szCs w:val="20"/>
        </w:rPr>
      </w:pPr>
    </w:p>
    <w:p w14:paraId="7B292BEF" w14:textId="77777777" w:rsidR="00FB6F44" w:rsidRPr="001827AF" w:rsidRDefault="00FB6F44" w:rsidP="00FB6F44">
      <w:pPr>
        <w:spacing w:after="0" w:line="240" w:lineRule="auto"/>
        <w:jc w:val="both"/>
        <w:rPr>
          <w:rFonts w:ascii="Verdana" w:eastAsia="Calibri" w:hAnsi="Verdana" w:cs="Arial"/>
          <w:color w:val="000000" w:themeColor="text1"/>
          <w:sz w:val="20"/>
          <w:szCs w:val="20"/>
        </w:rPr>
      </w:pPr>
    </w:p>
    <w:p w14:paraId="75876409" w14:textId="77777777" w:rsidR="00FB6F44" w:rsidRPr="001827AF" w:rsidRDefault="00FB6F44" w:rsidP="00FB6F44">
      <w:pPr>
        <w:spacing w:after="0" w:line="240" w:lineRule="auto"/>
        <w:jc w:val="both"/>
        <w:rPr>
          <w:rFonts w:ascii="Verdana" w:eastAsia="Calibri" w:hAnsi="Verdana" w:cs="Arial"/>
          <w:color w:val="000000" w:themeColor="text1"/>
          <w:sz w:val="20"/>
          <w:szCs w:val="20"/>
        </w:rPr>
      </w:pPr>
    </w:p>
    <w:p w14:paraId="6615A2FB" w14:textId="77777777" w:rsidR="00FB6F44" w:rsidRPr="001827AF" w:rsidRDefault="00FB6F44" w:rsidP="00FB6F44">
      <w:pPr>
        <w:spacing w:after="0" w:line="240" w:lineRule="auto"/>
        <w:jc w:val="both"/>
        <w:rPr>
          <w:rFonts w:ascii="Verdana" w:eastAsia="Calibri" w:hAnsi="Verdana" w:cs="Arial"/>
          <w:color w:val="000000" w:themeColor="text1"/>
          <w:sz w:val="20"/>
          <w:szCs w:val="20"/>
        </w:rPr>
      </w:pPr>
    </w:p>
    <w:p w14:paraId="671A5ECF" w14:textId="77777777" w:rsidR="00FB6F44" w:rsidRPr="001827AF" w:rsidRDefault="00FB6F44" w:rsidP="00FB6F44">
      <w:pPr>
        <w:spacing w:after="0" w:line="240" w:lineRule="auto"/>
        <w:jc w:val="both"/>
        <w:rPr>
          <w:rFonts w:ascii="Verdana" w:eastAsia="Calibri" w:hAnsi="Verdana" w:cs="Arial"/>
          <w:color w:val="000000" w:themeColor="text1"/>
          <w:sz w:val="20"/>
          <w:szCs w:val="20"/>
        </w:rPr>
      </w:pPr>
    </w:p>
    <w:p w14:paraId="79B40D0D" w14:textId="77777777" w:rsidR="00FB6F44" w:rsidRPr="001827AF" w:rsidRDefault="00FB6F44" w:rsidP="00FB6F44">
      <w:pPr>
        <w:spacing w:after="0" w:line="240" w:lineRule="auto"/>
        <w:jc w:val="both"/>
        <w:rPr>
          <w:rFonts w:ascii="Verdana" w:eastAsia="Calibri" w:hAnsi="Verdana" w:cs="Arial"/>
          <w:color w:val="000000" w:themeColor="text1"/>
          <w:sz w:val="20"/>
          <w:szCs w:val="20"/>
        </w:rPr>
      </w:pPr>
    </w:p>
    <w:p w14:paraId="0B65B478" w14:textId="77777777" w:rsidR="00FB6F44" w:rsidRPr="001827AF" w:rsidRDefault="00FB6F44" w:rsidP="00FB6F44">
      <w:pPr>
        <w:spacing w:after="0" w:line="240" w:lineRule="auto"/>
        <w:jc w:val="both"/>
        <w:rPr>
          <w:rFonts w:ascii="Verdana" w:eastAsia="Calibri" w:hAnsi="Verdana" w:cs="Arial"/>
          <w:color w:val="000000" w:themeColor="text1"/>
          <w:sz w:val="20"/>
          <w:szCs w:val="20"/>
        </w:rPr>
      </w:pPr>
    </w:p>
    <w:p w14:paraId="11F5E03E" w14:textId="77777777" w:rsidR="00FB6F44" w:rsidRDefault="00FB6F44" w:rsidP="00E245AB">
      <w:pPr>
        <w:spacing w:after="0"/>
        <w:rPr>
          <w:rFonts w:ascii="Verdana" w:hAnsi="Verdana"/>
        </w:rPr>
      </w:pPr>
    </w:p>
    <w:p w14:paraId="7FFA91CA" w14:textId="77777777" w:rsidR="00FB6F44" w:rsidRDefault="00FB6F44" w:rsidP="00E245AB">
      <w:pPr>
        <w:spacing w:after="0"/>
        <w:rPr>
          <w:rFonts w:ascii="Verdana" w:hAnsi="Verdana"/>
        </w:rPr>
      </w:pPr>
    </w:p>
    <w:p w14:paraId="75929E86" w14:textId="77777777" w:rsidR="00FB6F44" w:rsidRDefault="00FB6F44" w:rsidP="00E245AB">
      <w:pPr>
        <w:spacing w:after="0"/>
        <w:rPr>
          <w:rFonts w:ascii="Verdana" w:hAnsi="Verdana"/>
        </w:rPr>
      </w:pPr>
    </w:p>
    <w:p w14:paraId="3FE2184B" w14:textId="673CB8F4" w:rsidR="00E245AB" w:rsidRPr="0044528D" w:rsidRDefault="00E245AB" w:rsidP="00E245AB">
      <w:pPr>
        <w:spacing w:after="0"/>
        <w:rPr>
          <w:rFonts w:ascii="Verdana" w:hAnsi="Verdana"/>
        </w:rPr>
      </w:pPr>
      <w:r w:rsidRPr="0044528D">
        <w:rPr>
          <w:rFonts w:ascii="Verdana" w:hAnsi="Verdana"/>
        </w:rPr>
        <w:lastRenderedPageBreak/>
        <w:t xml:space="preserve">Bogotá D.C., </w:t>
      </w:r>
      <w:r w:rsidR="00F41642">
        <w:rPr>
          <w:rFonts w:ascii="Verdana" w:hAnsi="Verdana"/>
        </w:rPr>
        <w:t>3 de septiembre de 2025</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0465BA6D" w14:textId="77777777" w:rsidR="00E245AB" w:rsidRPr="0044528D" w:rsidRDefault="00E245AB" w:rsidP="00E245AB">
      <w:pPr>
        <w:spacing w:after="0"/>
        <w:rPr>
          <w:rFonts w:ascii="Verdana" w:hAnsi="Verdana"/>
        </w:rPr>
      </w:pPr>
    </w:p>
    <w:p w14:paraId="103CDF3A" w14:textId="110EF3E1" w:rsidR="003D6384" w:rsidRPr="003D6384" w:rsidRDefault="003D6384" w:rsidP="003D6384">
      <w:pPr>
        <w:spacing w:after="0" w:line="240" w:lineRule="auto"/>
        <w:jc w:val="both"/>
        <w:rPr>
          <w:rFonts w:ascii="Verdana" w:eastAsia="Calibri" w:hAnsi="Verdana" w:cs="Arial"/>
          <w:lang w:eastAsia="es-ES_tradnl"/>
        </w:rPr>
      </w:pPr>
      <w:r w:rsidRPr="003D6384">
        <w:rPr>
          <w:rFonts w:ascii="Verdana" w:eastAsia="Calibri" w:hAnsi="Verdana" w:cs="Arial"/>
          <w:lang w:eastAsia="es-ES_tradnl"/>
        </w:rPr>
        <w:t>Señor</w:t>
      </w:r>
      <w:r w:rsidR="003667CF">
        <w:rPr>
          <w:rFonts w:ascii="Verdana" w:eastAsia="Calibri" w:hAnsi="Verdana" w:cs="Arial"/>
          <w:lang w:eastAsia="es-ES_tradnl"/>
        </w:rPr>
        <w:t xml:space="preserve"> </w:t>
      </w:r>
    </w:p>
    <w:p w14:paraId="0A4C5F62" w14:textId="77777777" w:rsidR="003D6384" w:rsidRPr="003D6384" w:rsidRDefault="003D6384" w:rsidP="003D6384">
      <w:pPr>
        <w:spacing w:after="0" w:line="240" w:lineRule="auto"/>
        <w:jc w:val="both"/>
        <w:rPr>
          <w:rFonts w:ascii="Verdana" w:eastAsia="Calibri" w:hAnsi="Verdana" w:cs="Arial"/>
          <w:b/>
          <w:bCs/>
          <w:lang w:eastAsia="es-ES_tradnl"/>
        </w:rPr>
      </w:pPr>
      <w:r w:rsidRPr="003D6384">
        <w:rPr>
          <w:rFonts w:ascii="Verdana" w:eastAsia="Calibri" w:hAnsi="Verdana" w:cs="Arial"/>
          <w:b/>
          <w:bCs/>
          <w:lang w:eastAsia="es-ES_tradnl"/>
        </w:rPr>
        <w:t xml:space="preserve">Álvaro Roa Pérez </w:t>
      </w:r>
    </w:p>
    <w:p w14:paraId="2EF3E5A1" w14:textId="77777777" w:rsidR="003D6384" w:rsidRPr="003D6384" w:rsidRDefault="003D6384" w:rsidP="003D6384">
      <w:pPr>
        <w:spacing w:after="0" w:line="240" w:lineRule="auto"/>
        <w:rPr>
          <w:rFonts w:ascii="Verdana" w:eastAsia="Calibri" w:hAnsi="Verdana" w:cs="Arial"/>
          <w:u w:val="single"/>
          <w:lang w:eastAsia="es-ES_tradnl"/>
        </w:rPr>
      </w:pPr>
      <w:r w:rsidRPr="003D6384">
        <w:rPr>
          <w:rFonts w:ascii="Verdana" w:eastAsia="Calibri" w:hAnsi="Verdana" w:cs="Arial"/>
          <w:u w:val="single"/>
          <w:lang w:eastAsia="es-ES_tradnl"/>
        </w:rPr>
        <w:t xml:space="preserve">garp108@gmail.com </w:t>
      </w:r>
    </w:p>
    <w:p w14:paraId="5DBD1FB6" w14:textId="77777777" w:rsidR="003D6384" w:rsidRDefault="003D6384" w:rsidP="003D6384">
      <w:pPr>
        <w:spacing w:after="0" w:line="240" w:lineRule="auto"/>
        <w:rPr>
          <w:rFonts w:ascii="Verdana" w:eastAsia="Calibri" w:hAnsi="Verdana" w:cs="Arial"/>
          <w:lang w:eastAsia="es-ES_tradnl"/>
        </w:rPr>
      </w:pPr>
      <w:r w:rsidRPr="003D6384">
        <w:rPr>
          <w:rFonts w:ascii="Verdana" w:eastAsia="Calibri" w:hAnsi="Verdana" w:cs="Arial"/>
          <w:lang w:eastAsia="es-ES_tradnl"/>
        </w:rPr>
        <w:t>Bogotá D.C.</w:t>
      </w:r>
    </w:p>
    <w:p w14:paraId="25EC9B62" w14:textId="72EA0346" w:rsidR="00C56417" w:rsidRPr="003D6384" w:rsidRDefault="00C56417" w:rsidP="00C56417">
      <w:pPr>
        <w:spacing w:after="0" w:line="240" w:lineRule="auto"/>
        <w:jc w:val="right"/>
        <w:rPr>
          <w:rFonts w:ascii="Verdana" w:eastAsia="Calibri" w:hAnsi="Verdana" w:cs="Arial"/>
          <w:lang w:eastAsia="es-ES_tradnl"/>
        </w:rPr>
      </w:pPr>
      <w:r w:rsidRPr="00C56417">
        <w:rPr>
          <w:rFonts w:ascii="Verdana" w:eastAsia="Calibri" w:hAnsi="Verdana" w:cs="Arial"/>
          <w:noProof/>
          <w:lang w:eastAsia="es-ES_tradnl"/>
        </w:rPr>
        <w:drawing>
          <wp:inline distT="0" distB="0" distL="0" distR="0" wp14:anchorId="168C8ABF" wp14:editId="28B36DAC">
            <wp:extent cx="2560542" cy="800169"/>
            <wp:effectExtent l="0" t="0" r="0" b="0"/>
            <wp:docPr id="5039085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908510" name=""/>
                    <pic:cNvPicPr/>
                  </pic:nvPicPr>
                  <pic:blipFill>
                    <a:blip r:embed="rId10"/>
                    <a:stretch>
                      <a:fillRect/>
                    </a:stretch>
                  </pic:blipFill>
                  <pic:spPr>
                    <a:xfrm>
                      <a:off x="0" y="0"/>
                      <a:ext cx="2560542" cy="800169"/>
                    </a:xfrm>
                    <a:prstGeom prst="rect">
                      <a:avLst/>
                    </a:prstGeom>
                  </pic:spPr>
                </pic:pic>
              </a:graphicData>
            </a:graphic>
          </wp:inline>
        </w:drawing>
      </w:r>
    </w:p>
    <w:p w14:paraId="3B767B3C" w14:textId="77777777" w:rsidR="003D6384" w:rsidRPr="003D6384" w:rsidRDefault="003D6384" w:rsidP="003D6384">
      <w:pPr>
        <w:spacing w:after="0" w:line="240" w:lineRule="auto"/>
        <w:rPr>
          <w:rFonts w:ascii="Verdana" w:eastAsia="Calibri" w:hAnsi="Verdana" w:cs="Arial"/>
          <w:lang w:eastAsia="es-ES_tradnl"/>
        </w:rPr>
      </w:pPr>
    </w:p>
    <w:p w14:paraId="4B6278C6" w14:textId="77777777" w:rsidR="003D6384" w:rsidRPr="003D6384" w:rsidRDefault="003D6384" w:rsidP="003D6384">
      <w:pPr>
        <w:spacing w:after="0" w:line="240" w:lineRule="auto"/>
        <w:ind w:left="2694"/>
        <w:rPr>
          <w:rFonts w:ascii="Verdana" w:eastAsia="Calibri" w:hAnsi="Verdana" w:cs="Arial"/>
          <w:b/>
          <w:bCs/>
          <w:lang w:eastAsia="es-ES_tradnl"/>
        </w:rPr>
      </w:pPr>
      <w:r w:rsidRPr="003D6384">
        <w:rPr>
          <w:rFonts w:ascii="Verdana" w:eastAsia="Calibri" w:hAnsi="Verdana" w:cs="Arial"/>
          <w:b/>
          <w:bCs/>
          <w:lang w:eastAsia="es-ES_tradnl"/>
        </w:rPr>
        <w:t>Concepto C-1073 de 2025</w:t>
      </w:r>
    </w:p>
    <w:p w14:paraId="1BC024D1" w14:textId="77777777" w:rsidR="003D6384" w:rsidRPr="003D6384" w:rsidRDefault="003D6384" w:rsidP="003D6384">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3D6384" w:rsidRPr="003D6384" w14:paraId="73942B81" w14:textId="77777777" w:rsidTr="00B70A6F">
        <w:trPr>
          <w:trHeight w:val="1105"/>
          <w:jc w:val="right"/>
        </w:trPr>
        <w:tc>
          <w:tcPr>
            <w:tcW w:w="2688" w:type="dxa"/>
          </w:tcPr>
          <w:p w14:paraId="35511415" w14:textId="77777777" w:rsidR="003D6384" w:rsidRPr="003D6384" w:rsidRDefault="003D6384" w:rsidP="003D6384">
            <w:pPr>
              <w:jc w:val="center"/>
              <w:rPr>
                <w:rFonts w:ascii="Verdana" w:eastAsia="Calibri" w:hAnsi="Verdana" w:cs="Arial"/>
                <w:lang w:eastAsia="es-ES_tradnl"/>
              </w:rPr>
            </w:pPr>
            <w:r w:rsidRPr="003D6384">
              <w:rPr>
                <w:rFonts w:ascii="Verdana" w:eastAsia="Calibri" w:hAnsi="Verdana" w:cs="Arial"/>
                <w:b/>
                <w:lang w:eastAsia="es-ES_tradnl"/>
              </w:rPr>
              <w:t>Temas:</w:t>
            </w:r>
          </w:p>
        </w:tc>
        <w:tc>
          <w:tcPr>
            <w:tcW w:w="6100" w:type="dxa"/>
          </w:tcPr>
          <w:p w14:paraId="027C3F47" w14:textId="77777777" w:rsidR="003D6384" w:rsidRPr="003D6384" w:rsidRDefault="003D6384" w:rsidP="003D6384">
            <w:pPr>
              <w:spacing w:line="276" w:lineRule="auto"/>
              <w:jc w:val="both"/>
              <w:rPr>
                <w:rFonts w:ascii="Verdana" w:eastAsia="Times New Roman" w:hAnsi="Verdana" w:cs="Arial"/>
                <w:highlight w:val="yellow"/>
                <w:lang w:val="es-ES" w:eastAsia="es-ES_tradnl"/>
              </w:rPr>
            </w:pPr>
            <w:r w:rsidRPr="003D6384">
              <w:rPr>
                <w:rFonts w:ascii="Verdana" w:eastAsia="Times New Roman" w:hAnsi="Verdana" w:cs="Arial"/>
                <w:lang w:eastAsia="es-ES_tradnl"/>
              </w:rPr>
              <w:t>SELECCIÓN ABREVIADA – Causal de Subasta Inversa – Características – Procedimiento / SUBASTA INVERSA – Electrónica o Presencial – Elección facultativa de entidad estatal</w:t>
            </w:r>
          </w:p>
        </w:tc>
      </w:tr>
      <w:tr w:rsidR="003D6384" w:rsidRPr="003D6384" w14:paraId="2230074D" w14:textId="77777777" w:rsidTr="00B70A6F">
        <w:trPr>
          <w:jc w:val="right"/>
        </w:trPr>
        <w:tc>
          <w:tcPr>
            <w:tcW w:w="2688" w:type="dxa"/>
          </w:tcPr>
          <w:p w14:paraId="1655F438" w14:textId="77777777" w:rsidR="003D6384" w:rsidRPr="003D6384" w:rsidRDefault="003D6384" w:rsidP="003D6384">
            <w:pPr>
              <w:jc w:val="center"/>
              <w:rPr>
                <w:rFonts w:ascii="Verdana" w:eastAsia="Calibri" w:hAnsi="Verdana" w:cs="Arial"/>
                <w:b/>
                <w:lang w:eastAsia="es-ES_tradnl"/>
              </w:rPr>
            </w:pPr>
            <w:r w:rsidRPr="003D6384">
              <w:rPr>
                <w:rFonts w:ascii="Verdana" w:eastAsia="Calibri" w:hAnsi="Verdana" w:cs="Arial"/>
                <w:b/>
                <w:lang w:eastAsia="es-ES_tradnl"/>
              </w:rPr>
              <w:t>Radicación:</w:t>
            </w:r>
          </w:p>
        </w:tc>
        <w:tc>
          <w:tcPr>
            <w:tcW w:w="6100" w:type="dxa"/>
          </w:tcPr>
          <w:p w14:paraId="7A86D897" w14:textId="77777777" w:rsidR="003D6384" w:rsidRPr="003D6384" w:rsidRDefault="003D6384" w:rsidP="003D6384">
            <w:pPr>
              <w:jc w:val="both"/>
              <w:rPr>
                <w:rFonts w:ascii="Verdana" w:eastAsia="Calibri" w:hAnsi="Verdana" w:cs="Arial"/>
                <w:lang w:eastAsia="es-ES_tradnl"/>
              </w:rPr>
            </w:pPr>
            <w:r w:rsidRPr="003D6384">
              <w:rPr>
                <w:rFonts w:ascii="Verdana" w:eastAsia="Calibri" w:hAnsi="Verdana" w:cs="Arial"/>
                <w:lang w:eastAsia="es-ES_tradnl"/>
              </w:rPr>
              <w:t>Respuesta a consulta radicado No. 1_2025_07_31_007951</w:t>
            </w:r>
          </w:p>
        </w:tc>
      </w:tr>
    </w:tbl>
    <w:p w14:paraId="2794E4EC" w14:textId="77777777" w:rsidR="003D6384" w:rsidRPr="003D6384" w:rsidRDefault="003D6384" w:rsidP="003D6384">
      <w:pPr>
        <w:spacing w:after="0" w:line="240" w:lineRule="auto"/>
        <w:jc w:val="both"/>
        <w:rPr>
          <w:rFonts w:ascii="Verdana" w:eastAsia="Calibri" w:hAnsi="Verdana" w:cs="Arial"/>
          <w:lang w:eastAsia="es-ES_tradnl"/>
        </w:rPr>
      </w:pPr>
    </w:p>
    <w:p w14:paraId="161F044F" w14:textId="77777777" w:rsidR="003D6384" w:rsidRPr="003D6384" w:rsidRDefault="003D6384" w:rsidP="003D6384">
      <w:pPr>
        <w:spacing w:after="0" w:line="240" w:lineRule="auto"/>
        <w:jc w:val="both"/>
        <w:rPr>
          <w:rFonts w:ascii="Verdana" w:eastAsia="Calibri" w:hAnsi="Verdana" w:cs="Arial"/>
          <w:lang w:eastAsia="es-ES_tradnl"/>
        </w:rPr>
      </w:pPr>
    </w:p>
    <w:p w14:paraId="3EF5049F" w14:textId="77777777" w:rsidR="003D6384" w:rsidRPr="003D6384" w:rsidRDefault="003D6384" w:rsidP="003D6384">
      <w:pPr>
        <w:spacing w:after="0" w:line="276" w:lineRule="auto"/>
        <w:contextualSpacing/>
        <w:jc w:val="both"/>
        <w:rPr>
          <w:rFonts w:ascii="Verdana" w:eastAsia="Calibri" w:hAnsi="Verdana" w:cs="Arial"/>
          <w:bCs/>
          <w:lang w:eastAsia="es-ES_tradnl"/>
        </w:rPr>
      </w:pPr>
      <w:r w:rsidRPr="003D6384">
        <w:rPr>
          <w:rFonts w:ascii="Verdana" w:eastAsia="Calibri" w:hAnsi="Verdana" w:cs="Arial"/>
          <w:lang w:eastAsia="es-ES_tradnl"/>
        </w:rPr>
        <w:t>Estimado señor Roa:</w:t>
      </w:r>
    </w:p>
    <w:p w14:paraId="58BF0AE5" w14:textId="77777777" w:rsidR="003D6384" w:rsidRPr="003D6384" w:rsidRDefault="003D6384" w:rsidP="003D6384">
      <w:pPr>
        <w:spacing w:after="0" w:line="276" w:lineRule="auto"/>
        <w:contextualSpacing/>
        <w:jc w:val="both"/>
        <w:rPr>
          <w:rFonts w:ascii="Verdana" w:eastAsia="Calibri" w:hAnsi="Verdana" w:cs="Arial"/>
          <w:lang w:eastAsia="es-ES_tradnl"/>
        </w:rPr>
      </w:pPr>
    </w:p>
    <w:p w14:paraId="3411E9CE" w14:textId="77777777" w:rsidR="003D6384" w:rsidRPr="003D6384" w:rsidRDefault="003D6384" w:rsidP="003D6384">
      <w:pPr>
        <w:spacing w:after="120" w:line="276" w:lineRule="auto"/>
        <w:ind w:right="49"/>
        <w:jc w:val="both"/>
        <w:rPr>
          <w:rFonts w:ascii="Verdana" w:eastAsia="Calibri" w:hAnsi="Verdana" w:cs="Arial"/>
          <w:lang w:eastAsia="es-ES_tradnl"/>
        </w:rPr>
      </w:pPr>
      <w:r w:rsidRPr="003D6384">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 responde su solicitud de consulta de fecha 31 de julio de 2025, en la cual consulta lo siguiente:</w:t>
      </w:r>
    </w:p>
    <w:p w14:paraId="2E434BEB" w14:textId="77777777" w:rsidR="003D6384" w:rsidRPr="003D6384" w:rsidRDefault="003D6384" w:rsidP="003D6384">
      <w:pPr>
        <w:spacing w:after="120" w:line="276" w:lineRule="auto"/>
        <w:ind w:right="49"/>
        <w:jc w:val="both"/>
        <w:rPr>
          <w:rFonts w:ascii="Verdana" w:eastAsia="Calibri" w:hAnsi="Verdana" w:cs="Arial"/>
          <w:lang w:eastAsia="es-ES_tradnl"/>
        </w:rPr>
      </w:pPr>
    </w:p>
    <w:p w14:paraId="66C4462B" w14:textId="77777777" w:rsidR="003D6384" w:rsidRPr="003D6384" w:rsidRDefault="003D6384" w:rsidP="003D6384">
      <w:pPr>
        <w:spacing w:after="120" w:line="276" w:lineRule="auto"/>
        <w:ind w:left="851" w:right="616"/>
        <w:jc w:val="both"/>
        <w:rPr>
          <w:rFonts w:ascii="Verdana" w:eastAsia="Times New Roman" w:hAnsi="Verdana" w:cs="Arial"/>
          <w:i/>
          <w:sz w:val="21"/>
          <w:szCs w:val="21"/>
          <w:lang w:eastAsia="es-ES_tradnl"/>
        </w:rPr>
      </w:pPr>
      <w:r w:rsidRPr="003D6384">
        <w:rPr>
          <w:rFonts w:ascii="Verdana" w:eastAsia="Calibri" w:hAnsi="Verdana" w:cs="Arial"/>
          <w:sz w:val="21"/>
          <w:szCs w:val="21"/>
          <w:lang w:eastAsia="es-ES_tradnl"/>
        </w:rPr>
        <w:t xml:space="preserve"> </w:t>
      </w:r>
      <w:r w:rsidRPr="003D6384">
        <w:rPr>
          <w:rFonts w:ascii="Verdana" w:eastAsia="Times New Roman" w:hAnsi="Verdana" w:cs="Arial"/>
          <w:i/>
          <w:sz w:val="21"/>
          <w:szCs w:val="21"/>
          <w:lang w:eastAsia="es-ES_tradnl"/>
        </w:rPr>
        <w:t>“</w:t>
      </w:r>
      <w:r w:rsidRPr="003D6384">
        <w:rPr>
          <w:rFonts w:ascii="Verdana" w:eastAsia="Times New Roman" w:hAnsi="Verdana" w:cs="Arial"/>
          <w:i/>
          <w:iCs/>
          <w:sz w:val="21"/>
          <w:szCs w:val="21"/>
          <w:lang w:eastAsia="es-ES_tradnl"/>
        </w:rPr>
        <w:t xml:space="preserve">En particular, solicitamos concepto relacionado con la aplicación de la modalidad de Subasta Inversa Electrónica (SIE) establecida en el artículo 2.2.1.2.1.2.2 del Decreto 1082 de 2015, el cual establece que esta modalidad procede únicamente cuando los bienes a contratar: </w:t>
      </w:r>
    </w:p>
    <w:p w14:paraId="12C4CA9F" w14:textId="77777777" w:rsidR="003D6384" w:rsidRPr="003D6384" w:rsidRDefault="003D6384" w:rsidP="003D6384">
      <w:pPr>
        <w:spacing w:after="120" w:line="276" w:lineRule="auto"/>
        <w:ind w:left="851" w:right="616"/>
        <w:jc w:val="both"/>
        <w:rPr>
          <w:rFonts w:ascii="Verdana" w:eastAsia="Times New Roman" w:hAnsi="Verdana" w:cs="Arial"/>
          <w:i/>
          <w:sz w:val="21"/>
          <w:szCs w:val="21"/>
          <w:lang w:eastAsia="es-ES_tradnl"/>
        </w:rPr>
      </w:pPr>
      <w:r w:rsidRPr="003D6384">
        <w:rPr>
          <w:rFonts w:ascii="Verdana" w:eastAsia="Times New Roman" w:hAnsi="Verdana" w:cs="Arial"/>
          <w:i/>
          <w:iCs/>
          <w:sz w:val="21"/>
          <w:szCs w:val="21"/>
          <w:lang w:eastAsia="es-ES_tradnl"/>
        </w:rPr>
        <w:t xml:space="preserve">1. Posean características técnicas uniformes, </w:t>
      </w:r>
    </w:p>
    <w:p w14:paraId="229DF7ED" w14:textId="77777777" w:rsidR="003D6384" w:rsidRPr="003D6384" w:rsidRDefault="003D6384" w:rsidP="003D6384">
      <w:pPr>
        <w:spacing w:after="120" w:line="276" w:lineRule="auto"/>
        <w:ind w:left="851" w:right="616"/>
        <w:jc w:val="both"/>
        <w:rPr>
          <w:rFonts w:ascii="Verdana" w:eastAsia="Times New Roman" w:hAnsi="Verdana" w:cs="Arial"/>
          <w:i/>
          <w:sz w:val="21"/>
          <w:szCs w:val="21"/>
          <w:lang w:eastAsia="es-ES_tradnl"/>
        </w:rPr>
      </w:pPr>
      <w:r w:rsidRPr="003D6384">
        <w:rPr>
          <w:rFonts w:ascii="Verdana" w:eastAsia="Times New Roman" w:hAnsi="Verdana" w:cs="Arial"/>
          <w:i/>
          <w:iCs/>
          <w:sz w:val="21"/>
          <w:szCs w:val="21"/>
          <w:lang w:eastAsia="es-ES_tradnl"/>
        </w:rPr>
        <w:t xml:space="preserve">2. Sean de común utilización, </w:t>
      </w:r>
    </w:p>
    <w:p w14:paraId="213D017D" w14:textId="77777777" w:rsidR="003D6384" w:rsidRPr="003D6384" w:rsidRDefault="003D6384" w:rsidP="003D6384">
      <w:pPr>
        <w:spacing w:after="120" w:line="276" w:lineRule="auto"/>
        <w:ind w:left="851" w:right="616"/>
        <w:jc w:val="both"/>
        <w:rPr>
          <w:rFonts w:ascii="Verdana" w:eastAsia="Times New Roman" w:hAnsi="Verdana" w:cs="Arial"/>
          <w:i/>
          <w:sz w:val="21"/>
          <w:szCs w:val="21"/>
          <w:lang w:eastAsia="es-ES_tradnl"/>
        </w:rPr>
      </w:pPr>
      <w:r w:rsidRPr="003D6384">
        <w:rPr>
          <w:rFonts w:ascii="Verdana" w:eastAsia="Times New Roman" w:hAnsi="Verdana" w:cs="Arial"/>
          <w:i/>
          <w:iCs/>
          <w:sz w:val="21"/>
          <w:szCs w:val="21"/>
          <w:lang w:eastAsia="es-ES_tradnl"/>
        </w:rPr>
        <w:t xml:space="preserve">3. Estén disponibles en el mercado, y </w:t>
      </w:r>
    </w:p>
    <w:p w14:paraId="3C6EC957" w14:textId="77777777" w:rsidR="003D6384" w:rsidRPr="003D6384" w:rsidRDefault="003D6384" w:rsidP="003D6384">
      <w:pPr>
        <w:spacing w:after="120" w:line="276" w:lineRule="auto"/>
        <w:ind w:left="851" w:right="616"/>
        <w:jc w:val="both"/>
        <w:rPr>
          <w:rFonts w:ascii="Verdana" w:eastAsia="Times New Roman" w:hAnsi="Verdana" w:cs="Arial"/>
          <w:i/>
          <w:sz w:val="21"/>
          <w:szCs w:val="21"/>
          <w:lang w:eastAsia="es-ES_tradnl"/>
        </w:rPr>
      </w:pPr>
      <w:r w:rsidRPr="003D6384">
        <w:rPr>
          <w:rFonts w:ascii="Verdana" w:eastAsia="Times New Roman" w:hAnsi="Verdana" w:cs="Arial"/>
          <w:i/>
          <w:iCs/>
          <w:sz w:val="21"/>
          <w:szCs w:val="21"/>
          <w:lang w:eastAsia="es-ES_tradnl"/>
        </w:rPr>
        <w:lastRenderedPageBreak/>
        <w:t xml:space="preserve">4. Permitan una comparación objetiva basada únicamente en el precio. </w:t>
      </w:r>
    </w:p>
    <w:p w14:paraId="012ED98A" w14:textId="77777777" w:rsidR="003D6384" w:rsidRPr="003D6384" w:rsidRDefault="003D6384" w:rsidP="003D6384">
      <w:pPr>
        <w:spacing w:after="120" w:line="276" w:lineRule="auto"/>
        <w:ind w:left="851" w:right="616"/>
        <w:jc w:val="both"/>
        <w:rPr>
          <w:rFonts w:ascii="Verdana" w:eastAsia="Times New Roman" w:hAnsi="Verdana" w:cs="Arial"/>
          <w:i/>
          <w:sz w:val="21"/>
          <w:szCs w:val="21"/>
          <w:lang w:eastAsia="es-ES_tradnl"/>
        </w:rPr>
      </w:pPr>
    </w:p>
    <w:p w14:paraId="7D5C28D1" w14:textId="77777777" w:rsidR="003D6384" w:rsidRPr="003D6384" w:rsidRDefault="003D6384" w:rsidP="003D6384">
      <w:pPr>
        <w:spacing w:after="120" w:line="276" w:lineRule="auto"/>
        <w:ind w:left="851" w:right="616"/>
        <w:jc w:val="both"/>
        <w:rPr>
          <w:rFonts w:ascii="Verdana" w:eastAsia="Times New Roman" w:hAnsi="Verdana" w:cs="Arial"/>
          <w:i/>
          <w:sz w:val="21"/>
          <w:szCs w:val="21"/>
          <w:lang w:eastAsia="es-ES_tradnl"/>
        </w:rPr>
      </w:pPr>
      <w:r w:rsidRPr="003D6384">
        <w:rPr>
          <w:rFonts w:ascii="Verdana" w:eastAsia="Times New Roman" w:hAnsi="Verdana" w:cs="Arial"/>
          <w:i/>
          <w:iCs/>
          <w:sz w:val="21"/>
          <w:szCs w:val="21"/>
          <w:lang w:eastAsia="es-ES_tradnl"/>
        </w:rPr>
        <w:t xml:space="preserve">Agradecemos atentamente si pueden explicar con mayor claridad, detalle y ejemplos prácticos el alcance y la interpretación de cada uno de estos cuatro requisitos, dado que se trata de conceptos jurídicos aplicables de carácter general. </w:t>
      </w:r>
    </w:p>
    <w:p w14:paraId="5396E824" w14:textId="77777777" w:rsidR="003D6384" w:rsidRPr="003D6384" w:rsidRDefault="003D6384" w:rsidP="003D6384">
      <w:pPr>
        <w:spacing w:after="120" w:line="276" w:lineRule="auto"/>
        <w:ind w:left="851" w:right="616"/>
        <w:jc w:val="both"/>
        <w:rPr>
          <w:rFonts w:ascii="Verdana" w:eastAsia="Times New Roman" w:hAnsi="Verdana" w:cs="Arial"/>
          <w:iCs/>
          <w:sz w:val="21"/>
          <w:szCs w:val="21"/>
          <w:lang w:eastAsia="es-ES_tradnl"/>
        </w:rPr>
      </w:pPr>
      <w:r w:rsidRPr="003D6384">
        <w:rPr>
          <w:rFonts w:ascii="Verdana" w:eastAsia="Times New Roman" w:hAnsi="Verdana" w:cs="Arial"/>
          <w:i/>
          <w:iCs/>
          <w:sz w:val="21"/>
          <w:szCs w:val="21"/>
          <w:lang w:eastAsia="es-ES_tradnl"/>
        </w:rPr>
        <w:t xml:space="preserve">La presente consulta surge en el marco de nuestra participación como oferentes en el Proceso de Selección Abreviada por Subasta Inversa Electrónica No. 438-SASI-CENACEDUCACIÓN-2025, adelantado por la CENTRAL ADMINISTRATIVA Y CONTABLE ESPECIALIZADA DE EDUCACIÓN – CENAC EDUCACIÓN.” </w:t>
      </w:r>
      <w:r w:rsidRPr="003D6384">
        <w:rPr>
          <w:rFonts w:ascii="Verdana" w:eastAsia="Times New Roman" w:hAnsi="Verdana" w:cs="Arial"/>
          <w:iCs/>
          <w:sz w:val="21"/>
          <w:szCs w:val="21"/>
          <w:lang w:eastAsia="es-ES_tradnl"/>
        </w:rPr>
        <w:t>[SIC]</w:t>
      </w:r>
    </w:p>
    <w:p w14:paraId="5F548903" w14:textId="77777777" w:rsidR="003D6384" w:rsidRPr="003D6384" w:rsidRDefault="003D6384" w:rsidP="003D6384">
      <w:pPr>
        <w:spacing w:after="120" w:line="276" w:lineRule="auto"/>
        <w:ind w:left="709" w:right="616"/>
        <w:jc w:val="both"/>
        <w:rPr>
          <w:rFonts w:ascii="Verdana" w:eastAsia="Times New Roman" w:hAnsi="Verdana" w:cs="Arial"/>
          <w:i/>
          <w:sz w:val="21"/>
          <w:szCs w:val="21"/>
          <w:lang w:eastAsia="es-ES_tradnl"/>
        </w:rPr>
      </w:pPr>
    </w:p>
    <w:p w14:paraId="4919336C" w14:textId="77777777" w:rsidR="003D6384" w:rsidRPr="003D6384" w:rsidRDefault="003D6384" w:rsidP="003D6384">
      <w:pPr>
        <w:spacing w:after="120" w:line="276" w:lineRule="auto"/>
        <w:ind w:firstLine="709"/>
        <w:jc w:val="both"/>
        <w:rPr>
          <w:rFonts w:ascii="Verdana" w:eastAsia="Calibri" w:hAnsi="Verdana" w:cs="Arial"/>
          <w:color w:val="000000"/>
          <w:szCs w:val="24"/>
          <w:lang w:eastAsia="es-ES_tradnl"/>
        </w:rPr>
      </w:pPr>
      <w:r w:rsidRPr="003D6384">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ni para definir la modalidad de selección o la tipología del negocio jurídico que pretendan adelantar las entidades estatales en su actividad contractual.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D6384">
        <w:rPr>
          <w:rFonts w:ascii="Verdana" w:eastAsia="Calibri" w:hAnsi="Verdana" w:cs="Arial"/>
          <w:color w:val="000000"/>
          <w:szCs w:val="24"/>
          <w:lang w:eastAsia="es-ES_tradnl"/>
        </w:rPr>
        <w:tab/>
      </w:r>
    </w:p>
    <w:p w14:paraId="66D68F52" w14:textId="77777777" w:rsidR="003D6384" w:rsidRPr="003D6384" w:rsidRDefault="003D6384" w:rsidP="003D6384">
      <w:pPr>
        <w:spacing w:after="120" w:line="276" w:lineRule="auto"/>
        <w:ind w:firstLine="709"/>
        <w:jc w:val="both"/>
        <w:rPr>
          <w:rFonts w:ascii="Verdana" w:eastAsia="Calibri" w:hAnsi="Verdana" w:cs="Arial"/>
          <w:lang w:eastAsia="es-ES"/>
        </w:rPr>
      </w:pPr>
      <w:r w:rsidRPr="003D6384">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50453BDE" w14:textId="77777777" w:rsidR="003D6384" w:rsidRPr="003D6384" w:rsidRDefault="003D6384" w:rsidP="003D6384">
      <w:pPr>
        <w:spacing w:after="0" w:line="276" w:lineRule="auto"/>
        <w:ind w:firstLine="709"/>
        <w:jc w:val="both"/>
        <w:rPr>
          <w:rFonts w:ascii="Verdana" w:eastAsia="Times New Roman" w:hAnsi="Verdana" w:cs="Arial"/>
          <w:szCs w:val="24"/>
          <w:lang w:eastAsia="es-ES_tradnl"/>
        </w:rPr>
      </w:pPr>
    </w:p>
    <w:p w14:paraId="0B168FE4" w14:textId="77777777" w:rsidR="003D6384" w:rsidRPr="003D6384" w:rsidRDefault="003D6384" w:rsidP="003D6384">
      <w:pPr>
        <w:tabs>
          <w:tab w:val="left" w:pos="0"/>
          <w:tab w:val="left" w:pos="284"/>
        </w:tabs>
        <w:spacing w:after="0" w:line="276" w:lineRule="auto"/>
        <w:contextualSpacing/>
        <w:jc w:val="both"/>
        <w:rPr>
          <w:rFonts w:ascii="Verdana" w:eastAsia="Calibri" w:hAnsi="Verdana" w:cs="Arial"/>
          <w:b/>
        </w:rPr>
      </w:pPr>
      <w:r w:rsidRPr="003D6384">
        <w:rPr>
          <w:rFonts w:ascii="Verdana" w:eastAsia="Calibri" w:hAnsi="Verdana" w:cs="Arial"/>
          <w:b/>
        </w:rPr>
        <w:t>1. Problema planteado:</w:t>
      </w:r>
    </w:p>
    <w:p w14:paraId="7B9AC1F1" w14:textId="77777777" w:rsidR="003D6384" w:rsidRPr="003D6384" w:rsidRDefault="003D6384" w:rsidP="003D6384">
      <w:pPr>
        <w:spacing w:after="0" w:line="276" w:lineRule="auto"/>
        <w:jc w:val="both"/>
        <w:rPr>
          <w:rFonts w:ascii="Verdana" w:eastAsia="Century Gothic" w:hAnsi="Verdana" w:cs="Century Gothic"/>
        </w:rPr>
      </w:pPr>
    </w:p>
    <w:p w14:paraId="7B0F2984" w14:textId="0285089C" w:rsidR="003D6384" w:rsidRPr="003D6384" w:rsidRDefault="003D6384" w:rsidP="003D6384">
      <w:pPr>
        <w:spacing w:after="0" w:line="276" w:lineRule="auto"/>
        <w:jc w:val="both"/>
        <w:rPr>
          <w:rFonts w:ascii="Verdana" w:eastAsia="Century Gothic" w:hAnsi="Verdana" w:cs="Century Gothic"/>
        </w:rPr>
      </w:pPr>
      <w:r w:rsidRPr="003D6384">
        <w:rPr>
          <w:rFonts w:ascii="Verdana" w:eastAsia="Century Gothic" w:hAnsi="Verdana" w:cs="Century Gothic"/>
        </w:rPr>
        <w:lastRenderedPageBreak/>
        <w:t xml:space="preserve">De acuerdo con el contenido de su solicitud, esta Agencia resolverá el siguiente problema jurídico: </w:t>
      </w:r>
      <w:proofErr w:type="gramStart"/>
      <w:r w:rsidRPr="003D6384">
        <w:rPr>
          <w:rFonts w:ascii="Verdana" w:eastAsia="Century Gothic" w:hAnsi="Verdana" w:cs="Century Gothic"/>
        </w:rPr>
        <w:t>¿</w:t>
      </w:r>
      <w:r w:rsidR="0A2743F3" w:rsidRPr="16056AF3">
        <w:rPr>
          <w:rFonts w:ascii="Verdana" w:eastAsia="Century Gothic" w:hAnsi="Verdana" w:cs="Century Gothic"/>
        </w:rPr>
        <w:t xml:space="preserve">En </w:t>
      </w:r>
      <w:r w:rsidR="0A2743F3" w:rsidRPr="447323F6">
        <w:rPr>
          <w:rFonts w:ascii="Verdana" w:eastAsia="Century Gothic" w:hAnsi="Verdana" w:cs="Century Gothic"/>
        </w:rPr>
        <w:t>qué</w:t>
      </w:r>
      <w:r w:rsidR="0A2743F3" w:rsidRPr="16056AF3">
        <w:rPr>
          <w:rFonts w:ascii="Verdana" w:eastAsia="Century Gothic" w:hAnsi="Verdana" w:cs="Century Gothic"/>
        </w:rPr>
        <w:t xml:space="preserve"> </w:t>
      </w:r>
      <w:r w:rsidR="0A2743F3" w:rsidRPr="5160BFB1">
        <w:rPr>
          <w:rFonts w:ascii="Verdana" w:eastAsia="Century Gothic" w:hAnsi="Verdana" w:cs="Century Gothic"/>
        </w:rPr>
        <w:t>consiste</w:t>
      </w:r>
      <w:r w:rsidR="0A2743F3" w:rsidRPr="0EA633DC">
        <w:rPr>
          <w:rFonts w:ascii="Verdana" w:eastAsia="Century Gothic" w:hAnsi="Verdana" w:cs="Century Gothic"/>
        </w:rPr>
        <w:t xml:space="preserve"> y que </w:t>
      </w:r>
      <w:r w:rsidR="0A2743F3" w:rsidRPr="3DA8371F">
        <w:rPr>
          <w:rFonts w:ascii="Verdana" w:eastAsia="Century Gothic" w:hAnsi="Verdana" w:cs="Century Gothic"/>
        </w:rPr>
        <w:t>eventos</w:t>
      </w:r>
      <w:r w:rsidRPr="003D6384">
        <w:rPr>
          <w:rFonts w:ascii="Verdana" w:eastAsia="Century Gothic" w:hAnsi="Verdana" w:cs="Century Gothic"/>
        </w:rPr>
        <w:t xml:space="preserve"> se da aplicación de la modalidad de Subasta Inversa Electrónica establecida en el artículo 2.</w:t>
      </w:r>
      <w:proofErr w:type="gramEnd"/>
      <w:r w:rsidRPr="003D6384">
        <w:rPr>
          <w:rFonts w:ascii="Verdana" w:eastAsia="Century Gothic" w:hAnsi="Verdana" w:cs="Century Gothic"/>
        </w:rPr>
        <w:t>2.1.2.1.2.2 del Decreto 1082 de 2015?</w:t>
      </w:r>
    </w:p>
    <w:p w14:paraId="0FB8AD9C" w14:textId="77777777" w:rsidR="003D6384" w:rsidRPr="003D6384" w:rsidRDefault="003D6384" w:rsidP="003D6384">
      <w:pPr>
        <w:spacing w:after="0" w:line="276" w:lineRule="auto"/>
        <w:jc w:val="both"/>
        <w:rPr>
          <w:rFonts w:ascii="Verdana" w:eastAsia="Calibri" w:hAnsi="Verdana" w:cs="Times New Roman"/>
        </w:rPr>
      </w:pPr>
    </w:p>
    <w:p w14:paraId="3AE8E881" w14:textId="77777777" w:rsidR="003D6384" w:rsidRPr="003D6384" w:rsidRDefault="003D6384" w:rsidP="003D6384">
      <w:pPr>
        <w:tabs>
          <w:tab w:val="left" w:pos="0"/>
          <w:tab w:val="left" w:pos="284"/>
        </w:tabs>
        <w:spacing w:after="0" w:line="276" w:lineRule="auto"/>
        <w:contextualSpacing/>
        <w:jc w:val="both"/>
        <w:rPr>
          <w:rFonts w:ascii="Verdana" w:eastAsia="Calibri" w:hAnsi="Verdana" w:cs="Arial"/>
          <w:b/>
        </w:rPr>
      </w:pPr>
      <w:r w:rsidRPr="003D6384">
        <w:rPr>
          <w:rFonts w:ascii="Verdana" w:eastAsia="Calibri" w:hAnsi="Verdana" w:cs="Arial"/>
          <w:b/>
        </w:rPr>
        <w:t>2. Respuesta:</w:t>
      </w:r>
    </w:p>
    <w:p w14:paraId="142C647F" w14:textId="77777777" w:rsidR="003D6384" w:rsidRPr="003D6384" w:rsidRDefault="003D6384" w:rsidP="003D6384">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D6384" w:rsidRPr="003D6384" w14:paraId="1968130B" w14:textId="77777777" w:rsidTr="00B70A6F">
        <w:tc>
          <w:tcPr>
            <w:tcW w:w="8828" w:type="dxa"/>
          </w:tcPr>
          <w:p w14:paraId="0618287E" w14:textId="77777777" w:rsidR="003D6384" w:rsidRPr="003D6384" w:rsidRDefault="003D6384" w:rsidP="003D6384">
            <w:pPr>
              <w:spacing w:after="120" w:line="276" w:lineRule="auto"/>
              <w:jc w:val="both"/>
              <w:rPr>
                <w:rFonts w:ascii="Verdana" w:eastAsia="Calibri" w:hAnsi="Verdana" w:cs="Times New Roman"/>
              </w:rPr>
            </w:pPr>
            <w:r w:rsidRPr="003D6384">
              <w:rPr>
                <w:rFonts w:ascii="Verdana" w:eastAsia="Calibri" w:hAnsi="Verdana" w:cs="Times New Roman"/>
              </w:rPr>
              <w:t xml:space="preserve">El literal a) del numeral 2 del artículo 2 de la Ley 1150 de 2007 establece que los bienes de características técnicas uniformes y de común utilización, pueden adquirirse de tres formas, a saber: i) subasta inversa, </w:t>
            </w:r>
            <w:proofErr w:type="spellStart"/>
            <w:r w:rsidRPr="003D6384">
              <w:rPr>
                <w:rFonts w:ascii="Verdana" w:eastAsia="Calibri" w:hAnsi="Verdana" w:cs="Times New Roman"/>
              </w:rPr>
              <w:t>ii</w:t>
            </w:r>
            <w:proofErr w:type="spellEnd"/>
            <w:r w:rsidRPr="003D6384">
              <w:rPr>
                <w:rFonts w:ascii="Verdana" w:eastAsia="Calibri" w:hAnsi="Verdana" w:cs="Times New Roman"/>
              </w:rPr>
              <w:t xml:space="preserve">) acuerdos marco de precios, y </w:t>
            </w:r>
            <w:proofErr w:type="spellStart"/>
            <w:r w:rsidRPr="003D6384">
              <w:rPr>
                <w:rFonts w:ascii="Verdana" w:eastAsia="Calibri" w:hAnsi="Verdana" w:cs="Times New Roman"/>
              </w:rPr>
              <w:t>iii</w:t>
            </w:r>
            <w:proofErr w:type="spellEnd"/>
            <w:r w:rsidRPr="003D6384">
              <w:rPr>
                <w:rFonts w:ascii="Verdana" w:eastAsia="Calibri" w:hAnsi="Verdana" w:cs="Times New Roman"/>
              </w:rPr>
              <w:t>) bolsas de productos; siempre que el reglamento así lo señale. En particular, el procedimiento para adelantar la subasta se establece en el artículo 2.2.1.2.1.2.2 del Decreto 1082 de 2015.</w:t>
            </w:r>
          </w:p>
          <w:p w14:paraId="67D620C5" w14:textId="77777777" w:rsidR="003D6384" w:rsidRPr="003D6384" w:rsidRDefault="003D6384" w:rsidP="003D6384">
            <w:pPr>
              <w:spacing w:after="240" w:line="276" w:lineRule="auto"/>
              <w:jc w:val="both"/>
              <w:rPr>
                <w:rFonts w:ascii="Verdana" w:eastAsia="Calibri" w:hAnsi="Verdana" w:cs="Times New Roman"/>
              </w:rPr>
            </w:pPr>
            <w:r w:rsidRPr="003D6384">
              <w:rPr>
                <w:rFonts w:ascii="Verdana" w:eastAsia="Calibri" w:hAnsi="Verdana" w:cs="Times New Roman"/>
              </w:rPr>
              <w:t>El literal a) del numeral 2 del artículo 2 de la ley 1150 de 2017 estableció que cuando la entidad requiera satisfacer una necesidad con la adquisición de bienes y servicios de características técnicas uniformes y de común utilización, podría acudir a los procedimientos de subasta inversa, compras por catálogo derivados de acuerdos marco de precios o adquisición en bolsas de productos.</w:t>
            </w:r>
          </w:p>
          <w:p w14:paraId="1CB40BD9" w14:textId="77777777" w:rsidR="003D6384" w:rsidRPr="003D6384" w:rsidRDefault="003D6384" w:rsidP="003D6384">
            <w:pPr>
              <w:spacing w:after="240" w:line="276" w:lineRule="auto"/>
              <w:jc w:val="both"/>
              <w:rPr>
                <w:rFonts w:ascii="Verdana" w:eastAsia="Calibri" w:hAnsi="Verdana" w:cs="Times New Roman"/>
              </w:rPr>
            </w:pPr>
            <w:r w:rsidRPr="003D6384">
              <w:rPr>
                <w:rFonts w:ascii="Verdana" w:eastAsia="Calibri" w:hAnsi="Verdana" w:cs="Times New Roman"/>
              </w:rPr>
              <w:t>Aunado a lo anterior, se puede entender por característica técnica y uniforme los bienes deben tener especificaciones técnicas claras, objetivas y estandarizadas, sin variaciones significativas entre las distintas ofertas que se puedan presentar. Esto implica que todos los proponentes deben ofertar productos comparables en términos técnicos. A modo de ejemplo la compra de papel bond tamaño carta de 75 gramos. Este tipo de papel tiene especificaciones estándar en el mercado, como peso, tamaño, blancura, etc. Todos los proveedores pueden ofertar un producto con esas características uniformes.</w:t>
            </w:r>
          </w:p>
          <w:p w14:paraId="423734FC" w14:textId="77777777" w:rsidR="003D6384" w:rsidRPr="003D6384" w:rsidRDefault="003D6384" w:rsidP="003D6384">
            <w:pPr>
              <w:spacing w:after="240" w:line="276" w:lineRule="auto"/>
              <w:jc w:val="both"/>
              <w:rPr>
                <w:rFonts w:ascii="Verdana" w:eastAsia="Calibri" w:hAnsi="Verdana" w:cs="Times New Roman"/>
              </w:rPr>
            </w:pPr>
            <w:r w:rsidRPr="003D6384">
              <w:rPr>
                <w:rFonts w:ascii="Verdana" w:eastAsia="Calibri" w:hAnsi="Verdana" w:cs="Times New Roman"/>
              </w:rPr>
              <w:t>Para el caso concreto, en las subastas inversas la Entidad Estatal, deberá incorporar en el pliego de condiciones las especificaciones técnicas de los bienes o servicios a adquirir, los requisitos habilitantes y de participación y en el marco del documento en mención se determinarán las reglas del trámite de la subasta, determinando cual es la dinámica de esta y como se desarrollará.</w:t>
            </w:r>
          </w:p>
          <w:p w14:paraId="5AF88761" w14:textId="25B209C7" w:rsidR="003D6384" w:rsidRPr="003D6384" w:rsidRDefault="003D6384" w:rsidP="003D6384">
            <w:pPr>
              <w:spacing w:after="240" w:line="276" w:lineRule="auto"/>
              <w:jc w:val="both"/>
              <w:rPr>
                <w:rFonts w:ascii="Verdana" w:eastAsia="Calibri" w:hAnsi="Verdana" w:cs="Times New Roman"/>
              </w:rPr>
            </w:pPr>
            <w:r w:rsidRPr="003D6384">
              <w:rPr>
                <w:rFonts w:ascii="Verdana" w:eastAsia="Calibri" w:hAnsi="Verdana" w:cs="Times New Roman"/>
              </w:rPr>
              <w:t xml:space="preserve">Frente al procedimiento concreto de la subasta inversa, como su nombre lo indica, es un sistema mediante el que se determina cual es la oferta económica </w:t>
            </w:r>
            <w:r w:rsidRPr="003D6384">
              <w:rPr>
                <w:rFonts w:ascii="Verdana" w:eastAsia="Calibri" w:hAnsi="Verdana" w:cs="Times New Roman"/>
              </w:rPr>
              <w:lastRenderedPageBreak/>
              <w:t>más favorable en el marco de un proceso de selección, en el que cada oferente realizará sus ofrecimientos mediante “</w:t>
            </w:r>
            <w:r w:rsidRPr="650532F5">
              <w:rPr>
                <w:rFonts w:ascii="Verdana" w:eastAsia="Calibri" w:hAnsi="Verdana" w:cs="Times New Roman"/>
              </w:rPr>
              <w:t>la</w:t>
            </w:r>
            <w:r w:rsidR="6096CB08" w:rsidRPr="650532F5">
              <w:rPr>
                <w:rFonts w:ascii="Verdana" w:eastAsia="Calibri" w:hAnsi="Verdana" w:cs="Times New Roman"/>
              </w:rPr>
              <w:t>n</w:t>
            </w:r>
            <w:r w:rsidRPr="650532F5">
              <w:rPr>
                <w:rFonts w:ascii="Verdana" w:eastAsia="Calibri" w:hAnsi="Verdana" w:cs="Times New Roman"/>
              </w:rPr>
              <w:t>ces</w:t>
            </w:r>
            <w:r w:rsidRPr="003D6384">
              <w:rPr>
                <w:rFonts w:ascii="Verdana" w:eastAsia="Calibri" w:hAnsi="Verdana" w:cs="Times New Roman"/>
              </w:rPr>
              <w:t>” los cuales fungen como manifestación de la voluntad de los oferentes y como ofertas económicas dinámicas, las cuáles variaran en el desarrollo de la respectiva audiencia, sin embargo, esta variabilidad de los lances en la subasta inversa no le quita su calidad de propuestas económicas</w:t>
            </w:r>
          </w:p>
          <w:p w14:paraId="0B6E7A4B" w14:textId="0B931AF2" w:rsidR="003D6384" w:rsidRPr="003D6384" w:rsidRDefault="003D6384" w:rsidP="003D6384">
            <w:pPr>
              <w:spacing w:after="120" w:line="276" w:lineRule="auto"/>
              <w:jc w:val="both"/>
              <w:rPr>
                <w:rFonts w:ascii="Verdana" w:eastAsia="Calibri" w:hAnsi="Verdana" w:cs="Times New Roman"/>
                <w:lang w:eastAsia="es-ES" w:bidi="es-ES"/>
              </w:rPr>
            </w:pPr>
            <w:r w:rsidRPr="003D6384">
              <w:rPr>
                <w:rFonts w:ascii="Verdana" w:eastAsia="Calibri" w:hAnsi="Verdana" w:cs="Times New Roman"/>
                <w:lang w:eastAsia="es-ES" w:bidi="es-ES"/>
              </w:rPr>
              <w:t xml:space="preserve">Sin perjuicio del procedimiento dispuesto en el artículo </w:t>
            </w:r>
            <w:r w:rsidRPr="003D6384">
              <w:rPr>
                <w:rFonts w:ascii="Verdana" w:eastAsia="Calibri" w:hAnsi="Verdana" w:cs="Times New Roman"/>
              </w:rPr>
              <w:t xml:space="preserve">2.2.1.2.1.2.2, </w:t>
            </w:r>
            <w:r w:rsidRPr="003D6384">
              <w:rPr>
                <w:rFonts w:ascii="Verdana" w:eastAsia="Calibri" w:hAnsi="Verdana" w:cs="Times New Roman"/>
                <w:lang w:eastAsia="es-ES" w:bidi="es-ES"/>
              </w:rPr>
              <w:t xml:space="preserve">el artículo 2.2.1.2.1.2.5. del mencionado decreto, establece que es potestad de la Entidad Estatal realizar decidir si adelanta el evento de subasta de manera electrónica o presencial. Al respecto, el </w:t>
            </w:r>
            <w:r w:rsidRPr="0ABCBFA3">
              <w:rPr>
                <w:rFonts w:ascii="Verdana" w:eastAsia="Calibri" w:hAnsi="Verdana" w:cs="Times New Roman"/>
                <w:lang w:eastAsia="es-ES" w:bidi="es-ES"/>
              </w:rPr>
              <w:t>inciso</w:t>
            </w:r>
            <w:r w:rsidRPr="003D6384">
              <w:rPr>
                <w:rFonts w:ascii="Verdana" w:eastAsia="Calibri" w:hAnsi="Verdana" w:cs="Times New Roman"/>
                <w:lang w:eastAsia="es-ES" w:bidi="es-ES"/>
              </w:rPr>
              <w:t xml:space="preserve"> segundo de la norma en cita señala que, si </w:t>
            </w:r>
            <w:r w:rsidR="2FFCBAF2" w:rsidRPr="03815405">
              <w:rPr>
                <w:rFonts w:ascii="Verdana" w:eastAsia="Calibri" w:hAnsi="Verdana" w:cs="Times New Roman"/>
                <w:lang w:eastAsia="es-ES" w:bidi="es-ES"/>
              </w:rPr>
              <w:t>se</w:t>
            </w:r>
            <w:r w:rsidRPr="6111399A">
              <w:rPr>
                <w:rFonts w:ascii="Verdana" w:eastAsia="Calibri" w:hAnsi="Verdana" w:cs="Times New Roman"/>
                <w:lang w:eastAsia="es-ES" w:bidi="es-ES"/>
              </w:rPr>
              <w:t xml:space="preserve"> </w:t>
            </w:r>
            <w:r w:rsidRPr="457FC7E3">
              <w:rPr>
                <w:rFonts w:ascii="Verdana" w:eastAsia="Calibri" w:hAnsi="Verdana" w:cs="Times New Roman"/>
                <w:lang w:eastAsia="es-ES" w:bidi="es-ES"/>
              </w:rPr>
              <w:t>opta</w:t>
            </w:r>
            <w:r w:rsidRPr="003D6384">
              <w:rPr>
                <w:rFonts w:ascii="Verdana" w:eastAsia="Calibri" w:hAnsi="Verdana" w:cs="Times New Roman"/>
                <w:lang w:eastAsia="es-ES" w:bidi="es-ES"/>
              </w:rPr>
              <w:t xml:space="preserve"> por adelantar la subasta electrónica, la Entidad Estatal debe fijar en los pliegos de condiciones el sistema que utilizará para ello, informando además sobre los mecanismos de seguridad para el intercambio de mensaje de datos.</w:t>
            </w:r>
          </w:p>
          <w:p w14:paraId="285651DC" w14:textId="69759990" w:rsidR="003D6384" w:rsidRPr="003D6384" w:rsidRDefault="003D6384" w:rsidP="003D6384">
            <w:pPr>
              <w:spacing w:after="120" w:line="276" w:lineRule="auto"/>
              <w:jc w:val="both"/>
              <w:rPr>
                <w:rFonts w:ascii="Verdana" w:eastAsia="Arial MT" w:hAnsi="Verdana" w:cs="Arial"/>
                <w:lang w:eastAsia="es-ES" w:bidi="es-ES"/>
              </w:rPr>
            </w:pPr>
            <w:r w:rsidRPr="003D6384">
              <w:rPr>
                <w:rFonts w:ascii="Verdana" w:eastAsia="Arial MT" w:hAnsi="Verdana" w:cs="Arial"/>
                <w:lang w:eastAsia="es-ES" w:bidi="es-ES"/>
              </w:rPr>
              <w:t xml:space="preserve">En ese orden, las Entidades Estatales que opten por desarrollar la subasta de manera electrónica pueden hacer uso del módulo de subasta electrónica dispuesto en la plataforma SECOP II para adelantar el proceso de contratación y realizar el respectivo evento a través </w:t>
            </w:r>
            <w:proofErr w:type="gramStart"/>
            <w:r w:rsidRPr="003D6384">
              <w:rPr>
                <w:rFonts w:ascii="Verdana" w:eastAsia="Arial MT" w:hAnsi="Verdana" w:cs="Arial"/>
                <w:lang w:eastAsia="es-ES" w:bidi="es-ES"/>
              </w:rPr>
              <w:t>del mismo</w:t>
            </w:r>
            <w:proofErr w:type="gramEnd"/>
            <w:r w:rsidRPr="003D6384">
              <w:rPr>
                <w:rFonts w:ascii="Verdana" w:eastAsia="Arial MT" w:hAnsi="Verdana" w:cs="Arial"/>
                <w:lang w:eastAsia="es-ES" w:bidi="es-ES"/>
              </w:rPr>
              <w:t xml:space="preserve">. De otra parte, cuando se opte por adelantar la subasta de manera presencial, la Entidad Estatal deberá desarrollar </w:t>
            </w:r>
            <w:r w:rsidR="7EA56875" w:rsidRPr="331A6030">
              <w:rPr>
                <w:rFonts w:ascii="Verdana" w:eastAsia="Arial MT" w:hAnsi="Verdana" w:cs="Arial"/>
                <w:lang w:eastAsia="es-ES" w:bidi="es-ES"/>
              </w:rPr>
              <w:t xml:space="preserve">el </w:t>
            </w:r>
            <w:r w:rsidRPr="331A6030">
              <w:rPr>
                <w:rFonts w:ascii="Verdana" w:eastAsia="Arial MT" w:hAnsi="Verdana" w:cs="Arial"/>
                <w:lang w:eastAsia="es-ES" w:bidi="es-ES"/>
              </w:rPr>
              <w:t>evento</w:t>
            </w:r>
            <w:r w:rsidRPr="003D6384">
              <w:rPr>
                <w:rFonts w:ascii="Verdana" w:eastAsia="Arial MT" w:hAnsi="Verdana" w:cs="Arial"/>
                <w:lang w:eastAsia="es-ES" w:bidi="es-ES"/>
              </w:rPr>
              <w:t xml:space="preserve"> con sujeción al procedimiento dispuesto en el artículo </w:t>
            </w:r>
            <w:r w:rsidRPr="003D6384">
              <w:rPr>
                <w:rFonts w:ascii="Verdana" w:eastAsia="Calibri" w:hAnsi="Verdana" w:cs="Times New Roman"/>
              </w:rPr>
              <w:t>2.2.1.2.1.2.2, –</w:t>
            </w:r>
            <w:r w:rsidRPr="003D6384">
              <w:rPr>
                <w:rFonts w:ascii="Verdana" w:eastAsia="Arial MT" w:hAnsi="Verdana" w:cs="Arial"/>
                <w:lang w:eastAsia="es-ES" w:bidi="es-ES"/>
              </w:rPr>
              <w:t>sin necesidad de utilizar el módulo de subasta electrónica–, para luego dar publicidad al proceso mediante la publicación de los documentos en SECOP II, de conformidad con lo exigido por el artículo 2.2.1.1.1.7.1. del Decreto 1082 de 2015.</w:t>
            </w:r>
          </w:p>
          <w:p w14:paraId="128F2AC2" w14:textId="77777777" w:rsidR="003D6384" w:rsidRPr="003D6384" w:rsidRDefault="003D6384" w:rsidP="003D6384">
            <w:pPr>
              <w:spacing w:after="120" w:line="276" w:lineRule="auto"/>
              <w:ind w:firstLine="709"/>
              <w:jc w:val="both"/>
              <w:rPr>
                <w:rFonts w:ascii="Verdana" w:eastAsia="Arial MT" w:hAnsi="Verdana" w:cs="Arial"/>
                <w:lang w:eastAsia="es-ES" w:bidi="es-ES"/>
              </w:rPr>
            </w:pPr>
          </w:p>
        </w:tc>
      </w:tr>
    </w:tbl>
    <w:p w14:paraId="48AF5A2C" w14:textId="77777777" w:rsidR="003D6384" w:rsidRPr="003D6384" w:rsidRDefault="003D6384" w:rsidP="003D6384">
      <w:pPr>
        <w:spacing w:after="0" w:line="276" w:lineRule="auto"/>
        <w:contextualSpacing/>
        <w:jc w:val="both"/>
        <w:rPr>
          <w:rFonts w:ascii="Verdana" w:eastAsia="Times New Roman" w:hAnsi="Verdana" w:cs="Arial"/>
          <w:lang w:eastAsia="es-ES_tradnl"/>
        </w:rPr>
      </w:pPr>
    </w:p>
    <w:p w14:paraId="0A232746" w14:textId="77777777" w:rsidR="003D6384" w:rsidRPr="003D6384" w:rsidRDefault="003D6384" w:rsidP="003D6384">
      <w:pPr>
        <w:tabs>
          <w:tab w:val="left" w:pos="142"/>
          <w:tab w:val="left" w:pos="284"/>
        </w:tabs>
        <w:spacing w:after="0" w:line="276" w:lineRule="auto"/>
        <w:jc w:val="both"/>
        <w:rPr>
          <w:rFonts w:ascii="Verdana" w:eastAsia="Century Gothic" w:hAnsi="Verdana" w:cs="Century Gothic"/>
          <w:b/>
          <w:bCs/>
        </w:rPr>
      </w:pPr>
      <w:r w:rsidRPr="003D6384">
        <w:rPr>
          <w:rFonts w:ascii="Verdana" w:eastAsia="Century Gothic" w:hAnsi="Verdana" w:cs="Century Gothic"/>
          <w:b/>
          <w:bCs/>
        </w:rPr>
        <w:t>3. Razones de la respuesta:</w:t>
      </w:r>
    </w:p>
    <w:p w14:paraId="01A66161" w14:textId="77777777" w:rsidR="003D6384" w:rsidRPr="003D6384" w:rsidRDefault="003D6384" w:rsidP="003D6384">
      <w:pPr>
        <w:spacing w:after="0" w:line="276" w:lineRule="auto"/>
        <w:jc w:val="both"/>
        <w:rPr>
          <w:rFonts w:ascii="Verdana" w:eastAsia="Calibri" w:hAnsi="Verdana" w:cs="Arial"/>
          <w:color w:val="7030A0"/>
        </w:rPr>
      </w:pPr>
    </w:p>
    <w:p w14:paraId="66F27B83" w14:textId="77777777" w:rsidR="003D6384" w:rsidRPr="003D6384" w:rsidRDefault="003D6384" w:rsidP="003D6384">
      <w:pPr>
        <w:spacing w:line="276" w:lineRule="auto"/>
        <w:jc w:val="both"/>
        <w:rPr>
          <w:rFonts w:ascii="Verdana" w:eastAsia="Calibri" w:hAnsi="Verdana" w:cs="Arial"/>
        </w:rPr>
      </w:pPr>
      <w:r w:rsidRPr="003D6384">
        <w:rPr>
          <w:rFonts w:ascii="Verdana" w:eastAsia="Calibri" w:hAnsi="Verdana" w:cs="Arial"/>
        </w:rPr>
        <w:t xml:space="preserve">Lo anterior se sustenta en las siguientes consideraciones: </w:t>
      </w:r>
    </w:p>
    <w:p w14:paraId="7F79300C" w14:textId="77777777" w:rsidR="003D6384" w:rsidRPr="003D6384" w:rsidRDefault="003D6384" w:rsidP="003D6384">
      <w:pPr>
        <w:spacing w:after="120" w:line="276" w:lineRule="auto"/>
        <w:jc w:val="both"/>
        <w:rPr>
          <w:rFonts w:ascii="Verdana" w:eastAsia="Calibri" w:hAnsi="Verdana" w:cs="Arial"/>
        </w:rPr>
      </w:pPr>
      <w:r w:rsidRPr="003D6384">
        <w:rPr>
          <w:rFonts w:ascii="Verdana" w:eastAsia="Calibri" w:hAnsi="Verdana" w:cs="Arial"/>
        </w:rPr>
        <w:t xml:space="preserve">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w:t>
      </w:r>
      <w:r w:rsidRPr="003D6384">
        <w:rPr>
          <w:rFonts w:ascii="Verdana" w:eastAsia="Calibri" w:hAnsi="Verdana" w:cs="Arial"/>
        </w:rPr>
        <w:lastRenderedPageBreak/>
        <w:t>por la ley, consultando las normas que los rigen para determinar la forma que el ordenamiento prevé para adelantarlos. En esta medida, conforme al artículo 29 de la Constitución Política, los procedimientos de selección son una manifestación de la legalidad de las formas de cada proceso en sede administrativa</w:t>
      </w:r>
      <w:r w:rsidRPr="003D6384">
        <w:rPr>
          <w:rFonts w:ascii="Verdana" w:eastAsia="Calibri" w:hAnsi="Verdana" w:cs="Arial"/>
          <w:vertAlign w:val="superscript"/>
        </w:rPr>
        <w:footnoteReference w:id="1"/>
      </w:r>
      <w:r w:rsidRPr="003D6384">
        <w:rPr>
          <w:rFonts w:ascii="Verdana" w:eastAsia="Calibri" w:hAnsi="Verdana" w:cs="Arial"/>
        </w:rPr>
        <w:t>.</w:t>
      </w:r>
    </w:p>
    <w:p w14:paraId="67353165" w14:textId="77777777" w:rsidR="003D6384" w:rsidRPr="003D6384" w:rsidRDefault="003D6384" w:rsidP="003D6384">
      <w:pPr>
        <w:spacing w:after="120" w:line="276" w:lineRule="auto"/>
        <w:ind w:firstLine="708"/>
        <w:jc w:val="both"/>
        <w:rPr>
          <w:rFonts w:ascii="Verdana" w:eastAsia="Calibri" w:hAnsi="Verdana" w:cs="Arial"/>
        </w:rPr>
      </w:pPr>
      <w:r w:rsidRPr="003D6384">
        <w:rPr>
          <w:rFonts w:ascii="Verdana" w:eastAsia="Calibri" w:hAnsi="Verdana" w:cs="Arial"/>
        </w:rPr>
        <w:t>Por consiguiente, las principales normas son: la Ley 80 de 1993,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 así como la observancia de la administración a respetar los principios que rigen la contratación estatal</w:t>
      </w:r>
      <w:r w:rsidRPr="003D6384">
        <w:rPr>
          <w:rFonts w:ascii="Verdana" w:eastAsia="Calibri" w:hAnsi="Verdana" w:cs="Arial"/>
          <w:vertAlign w:val="superscript"/>
        </w:rPr>
        <w:footnoteReference w:id="2"/>
      </w:r>
      <w:r w:rsidRPr="003D6384">
        <w:rPr>
          <w:rFonts w:ascii="Verdana" w:eastAsia="Calibri" w:hAnsi="Verdana" w:cs="Arial"/>
        </w:rPr>
        <w:t>, los principios de la función pública</w:t>
      </w:r>
      <w:r w:rsidRPr="003D6384">
        <w:rPr>
          <w:rFonts w:ascii="Verdana" w:eastAsia="Calibri" w:hAnsi="Verdana" w:cs="Arial"/>
          <w:vertAlign w:val="superscript"/>
        </w:rPr>
        <w:footnoteReference w:id="3"/>
      </w:r>
      <w:r w:rsidRPr="003D6384">
        <w:rPr>
          <w:rFonts w:ascii="Verdana" w:eastAsia="Calibri" w:hAnsi="Verdana" w:cs="Arial"/>
        </w:rPr>
        <w:t>, y de la gestión fiscal</w:t>
      </w:r>
      <w:r w:rsidRPr="003D6384">
        <w:rPr>
          <w:rFonts w:ascii="Verdana" w:eastAsia="Calibri" w:hAnsi="Verdana" w:cs="Arial"/>
          <w:vertAlign w:val="superscript"/>
        </w:rPr>
        <w:footnoteReference w:id="4"/>
      </w:r>
      <w:r w:rsidRPr="003D6384">
        <w:rPr>
          <w:rFonts w:ascii="Verdana" w:eastAsia="Calibri" w:hAnsi="Verdana" w:cs="Arial"/>
        </w:rPr>
        <w:t>, en el marco de toda la actividad contractual.</w:t>
      </w:r>
    </w:p>
    <w:p w14:paraId="7EB4E566" w14:textId="77777777" w:rsidR="003D6384" w:rsidRPr="003D6384" w:rsidRDefault="003D6384" w:rsidP="003D6384">
      <w:pPr>
        <w:spacing w:after="120" w:line="276" w:lineRule="auto"/>
        <w:ind w:firstLine="708"/>
        <w:jc w:val="both"/>
        <w:rPr>
          <w:rFonts w:ascii="Verdana" w:eastAsia="Calibri" w:hAnsi="Verdana" w:cs="Arial"/>
        </w:rPr>
      </w:pPr>
      <w:r w:rsidRPr="003D6384">
        <w:rPr>
          <w:rFonts w:ascii="Verdana" w:eastAsia="Calibri" w:hAnsi="Verdana" w:cs="Arial"/>
        </w:rPr>
        <w:t>El proceso de contratación también está definido en el Decreto 1082 de 2015, y comprende todas las etapas que realiza la entidad para adquirir los bienes que satisfacen su necesidad, cuyo inicio parte de lo que se denomina planear, y finaliza, dependiendo de lo dispuesto por la entidad, en el contrato</w:t>
      </w:r>
      <w:r w:rsidRPr="003D6384">
        <w:rPr>
          <w:rFonts w:ascii="Verdana" w:eastAsia="Calibri" w:hAnsi="Verdana" w:cs="Arial"/>
          <w:vertAlign w:val="superscript"/>
        </w:rPr>
        <w:footnoteReference w:id="5"/>
      </w:r>
      <w:r w:rsidRPr="003D6384">
        <w:rPr>
          <w:rFonts w:ascii="Verdana" w:eastAsia="Calibri" w:hAnsi="Verdana" w:cs="Arial"/>
        </w:rPr>
        <w:t>. Cada entidad es responsable de sus procedimientos de contratación, y por ende tienen autonomía para estructurarlos y adelantarlos, siempre que respete el principio de legalidad.</w:t>
      </w:r>
    </w:p>
    <w:p w14:paraId="7CD187F7" w14:textId="77777777" w:rsidR="003D6384" w:rsidRPr="003D6384" w:rsidRDefault="003D6384" w:rsidP="003D6384">
      <w:pPr>
        <w:spacing w:after="120" w:line="276" w:lineRule="auto"/>
        <w:ind w:firstLine="708"/>
        <w:jc w:val="both"/>
        <w:rPr>
          <w:rFonts w:ascii="Verdana" w:eastAsia="Calibri" w:hAnsi="Verdana" w:cs="Arial"/>
        </w:rPr>
      </w:pPr>
      <w:r w:rsidRPr="003D6384">
        <w:rPr>
          <w:rFonts w:ascii="Verdana" w:eastAsia="Calibri" w:hAnsi="Verdana" w:cs="Arial"/>
        </w:rPr>
        <w:t xml:space="preserve">En todo caso, los procedimientos de contratación se estructuran a partir de las modalidades de selección, y al hacer una revisión de las normas citadas -Ley 80 de 1993, Ley 1150 de 2007 y Decreto 1082 de 2015-, se observa que contienen los principios y procedimientos para adelantar las modalidades de selección previstas en la Ley 1150 de 2007, que en el artículo 2 incluye las 5 modalidades de selección para la escogencia del contratista, y fija las reglas de </w:t>
      </w:r>
      <w:r w:rsidRPr="003D6384">
        <w:rPr>
          <w:rFonts w:ascii="Verdana" w:eastAsia="Calibri" w:hAnsi="Verdana" w:cs="Arial"/>
        </w:rPr>
        <w:lastRenderedPageBreak/>
        <w:t>cada modalidad: licitación pública, selección abreviada, concurso de méritos, contratación directa y mínima cuantía</w:t>
      </w:r>
      <w:r w:rsidRPr="003D6384">
        <w:rPr>
          <w:rFonts w:ascii="Verdana" w:eastAsia="Calibri" w:hAnsi="Verdana" w:cs="Arial"/>
          <w:vertAlign w:val="superscript"/>
        </w:rPr>
        <w:footnoteReference w:id="6"/>
      </w:r>
      <w:r w:rsidRPr="003D6384">
        <w:rPr>
          <w:rFonts w:ascii="Verdana" w:eastAsia="Calibri" w:hAnsi="Verdana" w:cs="Arial"/>
        </w:rPr>
        <w:t>.</w:t>
      </w:r>
    </w:p>
    <w:p w14:paraId="0D5A1023" w14:textId="77777777" w:rsidR="003D6384" w:rsidRPr="003D6384" w:rsidRDefault="003D6384" w:rsidP="003D6384">
      <w:pPr>
        <w:spacing w:after="120" w:line="276" w:lineRule="auto"/>
        <w:ind w:firstLine="708"/>
        <w:jc w:val="both"/>
        <w:rPr>
          <w:rFonts w:ascii="Verdana" w:eastAsia="Calibri" w:hAnsi="Verdana" w:cs="Arial"/>
        </w:rPr>
      </w:pPr>
      <w:r w:rsidRPr="003D6384">
        <w:rPr>
          <w:rFonts w:ascii="Verdana" w:eastAsia="Calibri" w:hAnsi="Verdana" w:cs="Arial"/>
        </w:rPr>
        <w:t>Dicho esto, en consideración a sus interrogantes, se expone en primer lugar el origen y la justificación de la selección abreviada como modalidad de contratación, su marco normativo general y la regulación de la causal de subasta inversa y; en segundo lugar, se establecerán las actuaciones dentro del procedimiento para subasta inversa, precisando si es viable que la entidad estatal escoja si adelanta la subasta inversa de manera presencial.</w:t>
      </w:r>
    </w:p>
    <w:p w14:paraId="5329B680" w14:textId="77777777" w:rsidR="003D6384" w:rsidRPr="003D6384" w:rsidRDefault="003D6384" w:rsidP="003D6384">
      <w:pPr>
        <w:spacing w:after="0" w:line="276" w:lineRule="auto"/>
        <w:ind w:firstLine="708"/>
        <w:jc w:val="both"/>
        <w:rPr>
          <w:rFonts w:ascii="Verdana" w:eastAsia="Calibri" w:hAnsi="Verdana" w:cs="Arial"/>
        </w:rPr>
      </w:pPr>
      <w:r w:rsidRPr="003D6384">
        <w:rPr>
          <w:rFonts w:ascii="Verdana" w:eastAsia="Calibri" w:hAnsi="Verdana" w:cs="Arial"/>
        </w:rPr>
        <w:t>La Ley 1150 de 2007, en el artículo 2, regula las modalidades de selección, y, en el numeral 2 se refiere a la selección abreviada, en los siguientes términos:</w:t>
      </w:r>
    </w:p>
    <w:p w14:paraId="024B37A7" w14:textId="77777777" w:rsidR="003D6384" w:rsidRPr="003D6384" w:rsidRDefault="003D6384" w:rsidP="003D6384">
      <w:pPr>
        <w:spacing w:after="0" w:line="276" w:lineRule="auto"/>
        <w:ind w:firstLine="708"/>
        <w:jc w:val="both"/>
        <w:rPr>
          <w:rFonts w:ascii="Verdana" w:eastAsia="Calibri" w:hAnsi="Verdana" w:cs="Arial"/>
        </w:rPr>
      </w:pPr>
    </w:p>
    <w:p w14:paraId="1AA2AB68" w14:textId="77777777" w:rsidR="003D6384" w:rsidRPr="003D6384" w:rsidRDefault="003D6384" w:rsidP="003D6384">
      <w:pPr>
        <w:spacing w:after="0" w:line="276" w:lineRule="auto"/>
        <w:ind w:left="709" w:right="709"/>
        <w:jc w:val="both"/>
        <w:rPr>
          <w:rFonts w:ascii="Verdana" w:eastAsia="Calibri" w:hAnsi="Verdana" w:cs="Times New Roman"/>
          <w:sz w:val="21"/>
          <w:szCs w:val="21"/>
        </w:rPr>
      </w:pPr>
      <w:r w:rsidRPr="003D6384">
        <w:rPr>
          <w:rFonts w:ascii="Verdana" w:eastAsia="Calibri" w:hAnsi="Verdana" w:cs="Times New Roman"/>
          <w:sz w:val="21"/>
          <w:szCs w:val="21"/>
        </w:rPr>
        <w:t xml:space="preserve">“[…] 2. Selección abreviada. La Selección abreviada corresponde a la modalidad de selección objetiva prevista para aquellos casos en que, por las características del objeto a contratar, las circunstancias de la contratación o la cuantía o destinación del bien, obra o </w:t>
      </w:r>
      <w:proofErr w:type="gramStart"/>
      <w:r w:rsidRPr="003D6384">
        <w:rPr>
          <w:rFonts w:ascii="Verdana" w:eastAsia="Calibri" w:hAnsi="Verdana" w:cs="Times New Roman"/>
          <w:sz w:val="21"/>
          <w:szCs w:val="21"/>
        </w:rPr>
        <w:t>servicio,</w:t>
      </w:r>
      <w:proofErr w:type="gramEnd"/>
      <w:r w:rsidRPr="003D6384">
        <w:rPr>
          <w:rFonts w:ascii="Verdana" w:eastAsia="Calibri" w:hAnsi="Verdana" w:cs="Times New Roman"/>
          <w:sz w:val="21"/>
          <w:szCs w:val="21"/>
        </w:rPr>
        <w:t xml:space="preserve"> puedan adelantarse procesos simplificados para garantizar la eficiencia de la gestión contractual. El Gobierno Nacional reglamentará la materia.” [SIC].</w:t>
      </w:r>
    </w:p>
    <w:p w14:paraId="6D966EED" w14:textId="77777777" w:rsidR="003D6384" w:rsidRPr="003D6384" w:rsidRDefault="003D6384" w:rsidP="003D6384">
      <w:pPr>
        <w:spacing w:after="120" w:line="276" w:lineRule="auto"/>
        <w:ind w:left="709" w:right="709" w:firstLine="709"/>
        <w:jc w:val="both"/>
        <w:rPr>
          <w:rFonts w:ascii="Verdana" w:eastAsia="Calibri" w:hAnsi="Verdana" w:cs="Times New Roman"/>
          <w:sz w:val="21"/>
          <w:szCs w:val="21"/>
        </w:rPr>
      </w:pPr>
    </w:p>
    <w:p w14:paraId="3F2A6924" w14:textId="77777777" w:rsidR="003D6384" w:rsidRPr="003D6384" w:rsidRDefault="003D6384" w:rsidP="003D6384">
      <w:pPr>
        <w:spacing w:after="120" w:line="276" w:lineRule="auto"/>
        <w:ind w:firstLine="708"/>
        <w:jc w:val="both"/>
        <w:rPr>
          <w:rFonts w:ascii="Verdana" w:eastAsia="Calibri" w:hAnsi="Verdana" w:cs="Times New Roman"/>
        </w:rPr>
      </w:pPr>
      <w:r w:rsidRPr="003D6384">
        <w:rPr>
          <w:rFonts w:ascii="Verdana" w:eastAsia="Calibri" w:hAnsi="Verdana" w:cs="Times New Roman"/>
        </w:rPr>
        <w:t>En ese orden, la norma contempla una modalidad de selección que se caracteriza por tener etapas sencillas y términos más cortos que la licitación pública, de manera que el proceso de selección de contratistas es simplificado, dadas las características del objeto a contratar, las circunstancias de la contratación, la cuantía, o la destinación del bien o servicio, y se advierte que procede en casos muy específicos contemplados por el legislador</w:t>
      </w:r>
      <w:r w:rsidRPr="003D6384">
        <w:rPr>
          <w:rFonts w:ascii="Verdana" w:eastAsia="Calibri" w:hAnsi="Verdana" w:cs="Times New Roman"/>
          <w:vertAlign w:val="superscript"/>
        </w:rPr>
        <w:footnoteReference w:id="7"/>
      </w:r>
      <w:r w:rsidRPr="003D6384">
        <w:rPr>
          <w:rFonts w:ascii="Verdana" w:eastAsia="Calibri" w:hAnsi="Verdana" w:cs="Times New Roman"/>
        </w:rPr>
        <w:t xml:space="preserve">.  </w:t>
      </w:r>
    </w:p>
    <w:p w14:paraId="59106B69" w14:textId="77777777" w:rsidR="003D6384" w:rsidRPr="003D6384" w:rsidRDefault="003D6384" w:rsidP="003D6384">
      <w:pPr>
        <w:spacing w:after="120" w:line="276" w:lineRule="auto"/>
        <w:ind w:firstLine="708"/>
        <w:jc w:val="both"/>
        <w:rPr>
          <w:rFonts w:ascii="Verdana" w:eastAsia="Calibri" w:hAnsi="Verdana" w:cs="Times New Roman"/>
        </w:rPr>
      </w:pPr>
      <w:r w:rsidRPr="003D6384">
        <w:rPr>
          <w:rFonts w:ascii="Verdana" w:eastAsia="Calibri" w:hAnsi="Verdana" w:cs="Times New Roman"/>
        </w:rPr>
        <w:lastRenderedPageBreak/>
        <w:t xml:space="preserve">Así mismo, el artículo citado delega al Gobierno Nacional la expedición del reglamento aplicable a las causales allí previstas. En consecuencia, mediante el Decreto 1082 de 2015 se establecen los procedimientos que deberán observar las entidades estatales, las reglas sobre el contenido del pliego de condiciones, las etapas, entre otros elementos. El Consejo de Estado, Sección Tercera, Subsección A, en la sentencia del 23 de julio de 2015, radicado No. 36.805, </w:t>
      </w:r>
      <w:proofErr w:type="gramStart"/>
      <w:r w:rsidRPr="003D6384">
        <w:rPr>
          <w:rFonts w:ascii="Verdana" w:eastAsia="Calibri" w:hAnsi="Verdana" w:cs="Times New Roman"/>
        </w:rPr>
        <w:t>Consejero</w:t>
      </w:r>
      <w:proofErr w:type="gramEnd"/>
      <w:r w:rsidRPr="003D6384">
        <w:rPr>
          <w:rFonts w:ascii="Verdana" w:eastAsia="Calibri" w:hAnsi="Verdana" w:cs="Times New Roman"/>
        </w:rPr>
        <w:t xml:space="preserve"> Ponente Hernán Andrade Rincón, señala los antecedentes de la modalidad de selección abreviada, el propósito del legislador al crearla y sus principales características:</w:t>
      </w:r>
    </w:p>
    <w:p w14:paraId="65F5731C" w14:textId="77777777" w:rsidR="003D6384" w:rsidRPr="003D6384" w:rsidRDefault="003D6384" w:rsidP="003D6384">
      <w:pPr>
        <w:spacing w:after="0" w:line="276" w:lineRule="auto"/>
        <w:ind w:firstLine="708"/>
        <w:jc w:val="both"/>
        <w:rPr>
          <w:rFonts w:ascii="Verdana" w:eastAsia="Calibri" w:hAnsi="Verdana" w:cs="Times New Roman"/>
        </w:rPr>
      </w:pPr>
    </w:p>
    <w:p w14:paraId="144DDC74" w14:textId="77777777" w:rsidR="003D6384" w:rsidRPr="003D6384" w:rsidRDefault="003D6384" w:rsidP="003D6384">
      <w:pPr>
        <w:spacing w:after="0" w:line="276" w:lineRule="auto"/>
        <w:ind w:left="709" w:right="709"/>
        <w:jc w:val="both"/>
        <w:rPr>
          <w:rFonts w:ascii="Verdana" w:eastAsia="Calibri" w:hAnsi="Verdana" w:cs="Times New Roman"/>
          <w:sz w:val="21"/>
          <w:szCs w:val="21"/>
        </w:rPr>
      </w:pPr>
      <w:r w:rsidRPr="003D6384">
        <w:rPr>
          <w:rFonts w:ascii="Verdana" w:eastAsia="Calibri" w:hAnsi="Verdana" w:cs="Times New Roman"/>
          <w:sz w:val="21"/>
          <w:szCs w:val="21"/>
        </w:rPr>
        <w:t xml:space="preserve">[...] la modalidad de selección abreviada tiene como primer antecedente normativo la Ley 1150 de 2007 —pues ni en la legislación derogada de los decretos-ley 150 de 1976 y 222 de 1983, ni en la Ley 80 de 1993, encuentra asiento— y corresponde a una motivación del Legislador por proveer de mayor agilidad y eficiencia la contratación de algunos bienes o servicios, en los que es deseable la concurrencia de oferentes, pero no en los términos y condiciones de una licitación pública, sino de manera abreviada o, en términos de la ley, simplificada. </w:t>
      </w:r>
    </w:p>
    <w:p w14:paraId="0A0F1B78" w14:textId="77777777" w:rsidR="003D6384" w:rsidRPr="003D6384" w:rsidRDefault="003D6384" w:rsidP="003D6384">
      <w:pPr>
        <w:spacing w:after="0" w:line="276" w:lineRule="auto"/>
        <w:ind w:left="709" w:right="709"/>
        <w:jc w:val="both"/>
        <w:rPr>
          <w:rFonts w:ascii="Verdana" w:eastAsia="Calibri" w:hAnsi="Verdana" w:cs="Times New Roman"/>
          <w:sz w:val="21"/>
          <w:szCs w:val="21"/>
        </w:rPr>
      </w:pPr>
    </w:p>
    <w:p w14:paraId="009D8F75" w14:textId="77777777" w:rsidR="003D6384" w:rsidRPr="003D6384" w:rsidRDefault="003D6384" w:rsidP="003D6384">
      <w:pPr>
        <w:spacing w:after="0" w:line="276" w:lineRule="auto"/>
        <w:ind w:left="709" w:right="709"/>
        <w:jc w:val="both"/>
        <w:rPr>
          <w:rFonts w:ascii="Verdana" w:eastAsia="Calibri" w:hAnsi="Verdana" w:cs="Times New Roman"/>
          <w:sz w:val="21"/>
          <w:szCs w:val="21"/>
        </w:rPr>
      </w:pPr>
      <w:r w:rsidRPr="003D6384">
        <w:rPr>
          <w:rFonts w:ascii="Verdana" w:eastAsia="Calibri" w:hAnsi="Verdana" w:cs="Times New Roman"/>
          <w:sz w:val="21"/>
          <w:szCs w:val="21"/>
        </w:rPr>
        <w:t>En esta modalidad de selección, en principio, no deberían presentarse las complejidades de un proceso de licitación pública, en cuanto a sus prerrequisitos, fórmulas de convocatoria, etapas, métodos de evaluación, plazos, etc., pues la naturaleza de los bienes y servicios que con ella se proveen no tienen la complejidad, costo, o importancia de aquellos otros propios de la licitación pública o, en cualquier caso, el Legislador consideró que son requeridos para suplir necesidades del servicio público de manera más ágil y eficiente.</w:t>
      </w:r>
    </w:p>
    <w:p w14:paraId="37952C35" w14:textId="77777777" w:rsidR="003D6384" w:rsidRPr="003D6384" w:rsidRDefault="003D6384" w:rsidP="003D6384">
      <w:pPr>
        <w:spacing w:after="0" w:line="276" w:lineRule="auto"/>
        <w:ind w:left="709" w:right="709"/>
        <w:jc w:val="both"/>
        <w:rPr>
          <w:rFonts w:ascii="Verdana" w:eastAsia="Calibri" w:hAnsi="Verdana" w:cs="Times New Roman"/>
          <w:sz w:val="21"/>
          <w:szCs w:val="21"/>
        </w:rPr>
      </w:pPr>
    </w:p>
    <w:p w14:paraId="70CDC9A4" w14:textId="77777777" w:rsidR="003D6384" w:rsidRPr="003D6384" w:rsidRDefault="003D6384" w:rsidP="003D6384">
      <w:pPr>
        <w:spacing w:line="276" w:lineRule="auto"/>
        <w:ind w:firstLine="708"/>
        <w:jc w:val="both"/>
        <w:rPr>
          <w:rFonts w:ascii="Verdana" w:eastAsia="Calibri" w:hAnsi="Verdana" w:cs="Times New Roman"/>
        </w:rPr>
      </w:pPr>
      <w:r w:rsidRPr="003D6384">
        <w:rPr>
          <w:rFonts w:ascii="Verdana" w:eastAsia="Calibri" w:hAnsi="Verdana" w:cs="Times New Roman"/>
        </w:rPr>
        <w:t xml:space="preserve">Dicho esto, uno de los casos que previó el legislador en la Ley 1150 de 2007 es la adquisición de bienes de características técnicas uniformes y de común utilización por parte de las entidades, definidos en el literal a) del numeral 2 del mismo artículo 2 como aquellos que: </w:t>
      </w:r>
      <w:r w:rsidRPr="003D6384">
        <w:rPr>
          <w:rFonts w:ascii="Verdana" w:eastAsia="Calibri" w:hAnsi="Verdana" w:cs="Times New Roman"/>
          <w:i/>
          <w:iCs/>
        </w:rPr>
        <w:t>poseen las mismas especificaciones técnicas, con independencia de su diseño o de sus características descriptivas, y comparten patrones de desempeño y calidad objetivamente definidos</w:t>
      </w:r>
      <w:r w:rsidRPr="003D6384">
        <w:rPr>
          <w:rFonts w:ascii="Verdana" w:eastAsia="Calibri" w:hAnsi="Verdana" w:cs="Times New Roman"/>
        </w:rPr>
        <w:t xml:space="preserve">, los </w:t>
      </w:r>
      <w:r w:rsidRPr="003D6384">
        <w:rPr>
          <w:rFonts w:ascii="Verdana" w:eastAsia="Calibri" w:hAnsi="Verdana" w:cs="Times New Roman"/>
        </w:rPr>
        <w:lastRenderedPageBreak/>
        <w:t xml:space="preserve">cuales podrán adquirirse de tres formas: i) subasta inversa, </w:t>
      </w:r>
      <w:proofErr w:type="spellStart"/>
      <w:r w:rsidRPr="003D6384">
        <w:rPr>
          <w:rFonts w:ascii="Verdana" w:eastAsia="Calibri" w:hAnsi="Verdana" w:cs="Times New Roman"/>
        </w:rPr>
        <w:t>ii</w:t>
      </w:r>
      <w:proofErr w:type="spellEnd"/>
      <w:r w:rsidRPr="003D6384">
        <w:rPr>
          <w:rFonts w:ascii="Verdana" w:eastAsia="Calibri" w:hAnsi="Verdana" w:cs="Times New Roman"/>
        </w:rPr>
        <w:t xml:space="preserve">) acuerdos marco de precios, y </w:t>
      </w:r>
      <w:proofErr w:type="spellStart"/>
      <w:r w:rsidRPr="003D6384">
        <w:rPr>
          <w:rFonts w:ascii="Verdana" w:eastAsia="Calibri" w:hAnsi="Verdana" w:cs="Times New Roman"/>
        </w:rPr>
        <w:t>iii</w:t>
      </w:r>
      <w:proofErr w:type="spellEnd"/>
      <w:r w:rsidRPr="003D6384">
        <w:rPr>
          <w:rFonts w:ascii="Verdana" w:eastAsia="Calibri" w:hAnsi="Verdana" w:cs="Times New Roman"/>
        </w:rPr>
        <w:t xml:space="preserve">) bolsas de productos; siempre que el reglamento lo señale. </w:t>
      </w:r>
    </w:p>
    <w:p w14:paraId="21BD7C76" w14:textId="77777777" w:rsidR="003D6384" w:rsidRPr="003D6384" w:rsidRDefault="003D6384" w:rsidP="003D6384">
      <w:pPr>
        <w:spacing w:after="240" w:line="276" w:lineRule="auto"/>
        <w:jc w:val="both"/>
        <w:rPr>
          <w:rFonts w:ascii="Verdana" w:eastAsia="Calibri" w:hAnsi="Verdana" w:cs="Arial"/>
          <w:bCs/>
          <w:lang w:val="es-ES" w:eastAsia="es-MX"/>
        </w:rPr>
      </w:pPr>
      <w:r w:rsidRPr="003D6384">
        <w:rPr>
          <w:rFonts w:ascii="Verdana" w:eastAsia="Calibri" w:hAnsi="Verdana" w:cs="Arial"/>
          <w:bCs/>
          <w:lang w:val="es-ES" w:eastAsia="es-MX"/>
        </w:rPr>
        <w:t>La modalidad de la selección abreviada como procedimiento de selección de contratistas aplicable para la adquisición de bienes y servicios de características técnicas uniformes y de común utilización, fue un aporte incorporado al Estatuto General de la Contratación Estatal a partir de la vigencia de la Ley 1150 de 2007, que pretendió ampliar el rígido paradigma contenido en la Ley 80 de 1993 que discriminaba la complejidad de los procesos de selección únicamente en razón a la cuantía. De ahí que la intención de la Ley 1150 de 2007 fue ajustar el esquema contractual colombiano a uno basado en experiencias internacionales, donde se había demostrado que el criterio que debía gobernar para modular los procesos de selección era uno basado en las características del objeto a contratar</w:t>
      </w:r>
      <w:r w:rsidRPr="003D6384">
        <w:rPr>
          <w:rFonts w:ascii="Verdana" w:eastAsia="Calibri" w:hAnsi="Verdana" w:cs="Arial"/>
          <w:bCs/>
          <w:vertAlign w:val="superscript"/>
          <w:lang w:val="es-ES" w:eastAsia="es-MX"/>
        </w:rPr>
        <w:footnoteReference w:id="8"/>
      </w:r>
      <w:r w:rsidRPr="003D6384">
        <w:rPr>
          <w:rFonts w:ascii="Verdana" w:eastAsia="Calibri" w:hAnsi="Verdana" w:cs="Arial"/>
          <w:bCs/>
          <w:lang w:val="es-ES" w:eastAsia="es-MX"/>
        </w:rPr>
        <w:t>.</w:t>
      </w:r>
    </w:p>
    <w:p w14:paraId="7D5C7349" w14:textId="77777777" w:rsidR="003D6384" w:rsidRPr="003D6384" w:rsidRDefault="003D6384" w:rsidP="003D6384">
      <w:pPr>
        <w:spacing w:after="240" w:line="276" w:lineRule="auto"/>
        <w:ind w:firstLine="708"/>
        <w:jc w:val="both"/>
        <w:rPr>
          <w:rFonts w:ascii="Verdana" w:eastAsia="Calibri" w:hAnsi="Verdana" w:cs="Arial"/>
          <w:bCs/>
          <w:lang w:val="es-ES" w:eastAsia="es-MX"/>
        </w:rPr>
      </w:pPr>
      <w:r w:rsidRPr="003D6384">
        <w:rPr>
          <w:rFonts w:ascii="Verdana" w:eastAsia="Calibri" w:hAnsi="Verdana" w:cs="Arial"/>
          <w:bCs/>
          <w:lang w:val="es-ES" w:eastAsia="es-MX"/>
        </w:rPr>
        <w:t xml:space="preserve">El literal a) del numeral 2 del artículo 2 de la ley 1150 de 2017 estableció que cuando la entidad requiera satisfacer una necesidad con la adquisición de bienes y servicios de características técnicas uniformes y de común utilización, podría acudir a los procedimientos de subasta inversa, compras por catálogo derivados de acuerdos marco de precios o adquisición en bolsas de productos. </w:t>
      </w:r>
    </w:p>
    <w:p w14:paraId="5EBFAF1B" w14:textId="77777777" w:rsidR="003D6384" w:rsidRPr="003D6384" w:rsidRDefault="003D6384" w:rsidP="003D6384">
      <w:pPr>
        <w:spacing w:after="240" w:line="276" w:lineRule="auto"/>
        <w:ind w:firstLine="708"/>
        <w:jc w:val="both"/>
        <w:rPr>
          <w:rFonts w:ascii="Verdana" w:eastAsia="Calibri" w:hAnsi="Verdana" w:cs="Arial"/>
          <w:bCs/>
          <w:lang w:val="es-ES" w:eastAsia="es-MX"/>
        </w:rPr>
      </w:pPr>
      <w:r w:rsidRPr="003D6384">
        <w:rPr>
          <w:rFonts w:ascii="Verdana" w:eastAsia="Calibri" w:hAnsi="Verdana" w:cs="Arial"/>
          <w:bCs/>
          <w:lang w:val="es-ES" w:eastAsia="es-MX"/>
        </w:rPr>
        <w:t>Para el caso concreto, en las subastas inversas la Entidad Estatal, deberá incorporar en el pliego de condiciones las especificaciones técnicas de los bienes o servicios a adquirir, los requisitos habilitantes y de participación y en el marco del documento en mención se determinarán las reglas del trámite de la subasta, determinando cual es la dinámica de esta y como se desarrollará.</w:t>
      </w:r>
    </w:p>
    <w:p w14:paraId="7AAD74C0" w14:textId="77777777" w:rsidR="003D6384" w:rsidRPr="003D6384" w:rsidRDefault="003D6384" w:rsidP="003D6384">
      <w:pPr>
        <w:spacing w:after="240" w:line="276" w:lineRule="auto"/>
        <w:ind w:firstLine="708"/>
        <w:jc w:val="both"/>
        <w:rPr>
          <w:rFonts w:ascii="Verdana" w:eastAsia="Calibri" w:hAnsi="Verdana" w:cs="Arial"/>
          <w:bCs/>
          <w:lang w:val="es-ES" w:eastAsia="es-MX"/>
        </w:rPr>
      </w:pPr>
      <w:r w:rsidRPr="003D6384">
        <w:rPr>
          <w:rFonts w:ascii="Verdana" w:eastAsia="Calibri" w:hAnsi="Verdana" w:cs="Arial"/>
          <w:bCs/>
          <w:lang w:val="es-ES" w:eastAsia="es-MX"/>
        </w:rPr>
        <w:t xml:space="preserve">Como se refirió el pliego de condiciones es el documento llamado a establecer las condiciones de participación de los oferentes en el proceso de selección abreviada por subasta inversa, por lo que en él se deben plasmar las condiciones en las cuales se desarrollará la subasta, determinando si la misma se realizará de manera presencial o virtual, el termino de duración y la dinámica en la que se desarrollará. </w:t>
      </w:r>
    </w:p>
    <w:p w14:paraId="6B64D0B3" w14:textId="77777777" w:rsidR="003D6384" w:rsidRPr="003D6384" w:rsidRDefault="003D6384" w:rsidP="003D6384">
      <w:pPr>
        <w:spacing w:after="240" w:line="276" w:lineRule="auto"/>
        <w:ind w:firstLine="708"/>
        <w:jc w:val="both"/>
        <w:rPr>
          <w:rFonts w:ascii="Verdana" w:eastAsia="Calibri" w:hAnsi="Verdana" w:cs="Arial"/>
          <w:bCs/>
          <w:lang w:val="es-ES" w:eastAsia="es-MX"/>
        </w:rPr>
      </w:pPr>
      <w:r w:rsidRPr="003D6384">
        <w:rPr>
          <w:rFonts w:ascii="Verdana" w:eastAsia="Calibri" w:hAnsi="Verdana" w:cs="Arial"/>
          <w:bCs/>
          <w:lang w:val="es-ES" w:eastAsia="es-MX"/>
        </w:rPr>
        <w:t xml:space="preserve">Antes de dar paso a explicar el procedimiento de la audiencia de subasta a la inversa, es importante destacar que la finalidad de un proceso de selección es contratar a una persona natural o jurídica que garantice la satisfacción de la </w:t>
      </w:r>
      <w:r w:rsidRPr="003D6384">
        <w:rPr>
          <w:rFonts w:ascii="Verdana" w:eastAsia="Calibri" w:hAnsi="Verdana" w:cs="Arial"/>
          <w:bCs/>
          <w:lang w:val="es-ES" w:eastAsia="es-MX"/>
        </w:rPr>
        <w:lastRenderedPageBreak/>
        <w:t xml:space="preserve">necesidad de la entidad, y para ello en el pliego de condiciones establece los requisitos de participación y los criterios para seleccionar la oferta que le sea más favorable a la entidad, en comparación con las ofertas presentadas. </w:t>
      </w:r>
    </w:p>
    <w:p w14:paraId="15A7530C" w14:textId="77777777" w:rsidR="003D6384" w:rsidRPr="003D6384" w:rsidRDefault="003D6384" w:rsidP="003D6384">
      <w:pPr>
        <w:spacing w:after="240" w:line="276" w:lineRule="auto"/>
        <w:ind w:firstLine="708"/>
        <w:jc w:val="both"/>
        <w:rPr>
          <w:rFonts w:ascii="Verdana" w:eastAsia="Calibri" w:hAnsi="Verdana" w:cs="Arial"/>
          <w:bCs/>
          <w:lang w:val="es-ES" w:eastAsia="es-MX"/>
        </w:rPr>
      </w:pPr>
      <w:r w:rsidRPr="003D6384">
        <w:rPr>
          <w:rFonts w:ascii="Verdana" w:eastAsia="Calibri" w:hAnsi="Verdana" w:cs="Arial"/>
          <w:bCs/>
          <w:lang w:val="es-ES" w:eastAsia="es-MX"/>
        </w:rPr>
        <w:t xml:space="preserve">La Entidad Estatal en sus procesos de contratación debe garantizar al menos: i) que sus contratistas cuenten con la capacidad jurídica, financiera y técnica para asumir las obligaciones que se derivan del contrato a suscribir; </w:t>
      </w:r>
      <w:proofErr w:type="spellStart"/>
      <w:r w:rsidRPr="003D6384">
        <w:rPr>
          <w:rFonts w:ascii="Verdana" w:eastAsia="Calibri" w:hAnsi="Verdana" w:cs="Arial"/>
          <w:bCs/>
          <w:lang w:val="es-ES" w:eastAsia="es-MX"/>
        </w:rPr>
        <w:t>ii</w:t>
      </w:r>
      <w:proofErr w:type="spellEnd"/>
      <w:r w:rsidRPr="003D6384">
        <w:rPr>
          <w:rFonts w:ascii="Verdana" w:eastAsia="Calibri" w:hAnsi="Verdana" w:cs="Arial"/>
          <w:bCs/>
          <w:lang w:val="es-ES" w:eastAsia="es-MX"/>
        </w:rPr>
        <w:t xml:space="preserve">) deberá verificar además que su contratista no este inmerso en ninguna de las causales de inhabilidad e incompatibilidad y por consiguiente tenga capacidad para contratar con el Estado; y, finalmente </w:t>
      </w:r>
      <w:proofErr w:type="spellStart"/>
      <w:r w:rsidRPr="003D6384">
        <w:rPr>
          <w:rFonts w:ascii="Verdana" w:eastAsia="Calibri" w:hAnsi="Verdana" w:cs="Arial"/>
          <w:bCs/>
          <w:lang w:val="es-ES" w:eastAsia="es-MX"/>
        </w:rPr>
        <w:t>iii</w:t>
      </w:r>
      <w:proofErr w:type="spellEnd"/>
      <w:r w:rsidRPr="003D6384">
        <w:rPr>
          <w:rFonts w:ascii="Verdana" w:eastAsia="Calibri" w:hAnsi="Verdana" w:cs="Arial"/>
          <w:bCs/>
          <w:lang w:val="es-ES" w:eastAsia="es-MX"/>
        </w:rPr>
        <w:t xml:space="preserve">) deberá revisar que su oferta sea acorde a la necesidad descrita por la entidad. Por esta razón, el Decreto 1082 de 2015 en su artículo 2.2.1.2.1.2.2. dispone que: </w:t>
      </w:r>
      <w:r w:rsidRPr="003D6384">
        <w:rPr>
          <w:rFonts w:ascii="Verdana" w:eastAsia="Calibri" w:hAnsi="Verdana" w:cs="Arial"/>
        </w:rPr>
        <w:t>“</w:t>
      </w:r>
      <w:r w:rsidRPr="003D6384">
        <w:rPr>
          <w:rFonts w:ascii="Verdana" w:eastAsia="Calibri" w:hAnsi="Verdana" w:cs="Arial"/>
          <w:bCs/>
          <w:i/>
          <w:lang w:val="es-ES" w:eastAsia="es-MX"/>
        </w:rPr>
        <w:t>La oferta debe contener dos parles, la primera en la cual el interesado acredite su capacidad de participar en el Proceso de Contratación y acredite el cumplimiento de la ficha técnica; y la segunda parle debe contener el precio inicial propuesto por el oferente</w:t>
      </w:r>
      <w:r w:rsidRPr="003D6384">
        <w:rPr>
          <w:rFonts w:ascii="Verdana" w:eastAsia="Calibri" w:hAnsi="Verdana" w:cs="Arial"/>
          <w:i/>
        </w:rPr>
        <w:t>”</w:t>
      </w:r>
      <w:r w:rsidRPr="003D6384">
        <w:rPr>
          <w:rFonts w:ascii="Verdana" w:eastAsia="Calibri" w:hAnsi="Verdana" w:cs="Arial"/>
          <w:bCs/>
          <w:i/>
          <w:lang w:val="es-ES" w:eastAsia="es-MX"/>
        </w:rPr>
        <w:t>.</w:t>
      </w:r>
      <w:r w:rsidRPr="003D6384">
        <w:rPr>
          <w:rFonts w:ascii="Verdana" w:eastAsia="Calibri" w:hAnsi="Verdana" w:cs="Arial"/>
          <w:bCs/>
          <w:lang w:val="es-ES" w:eastAsia="es-MX"/>
        </w:rPr>
        <w:t xml:space="preserve"> </w:t>
      </w:r>
    </w:p>
    <w:p w14:paraId="4F29BC1D" w14:textId="77777777" w:rsidR="003D6384" w:rsidRPr="003D6384" w:rsidRDefault="003D6384" w:rsidP="003D6384">
      <w:pPr>
        <w:spacing w:after="240" w:line="276" w:lineRule="auto"/>
        <w:ind w:firstLine="708"/>
        <w:jc w:val="both"/>
        <w:rPr>
          <w:rFonts w:ascii="Verdana" w:eastAsia="Calibri" w:hAnsi="Verdana" w:cs="Arial"/>
          <w:bCs/>
          <w:lang w:eastAsia="es-MX"/>
        </w:rPr>
      </w:pPr>
      <w:r w:rsidRPr="003D6384">
        <w:rPr>
          <w:rFonts w:ascii="Verdana" w:eastAsia="Calibri" w:hAnsi="Verdana" w:cs="Arial"/>
          <w:bCs/>
          <w:lang w:val="es-ES" w:eastAsia="es-MX"/>
        </w:rPr>
        <w:t xml:space="preserve">Es por ello que antes de la comparación de la propuesta económica y el trámite de subasta como tal, la entidad deberá verificar si los oferentes en el marco del proceso de selección se encuentran “habilitados”, es decir si cuentan con la capacidad jurídica, financiera y técnica para asumir las obligaciones derivadas del contrato a celebrar, ya que para dicha etapa de evaluación de ofertas económicas, deberán estar los oferentes que cuenten con la capacidad para ser contratistas de la entidad y ejecutar el objeto contractual. </w:t>
      </w:r>
    </w:p>
    <w:p w14:paraId="0F228CB0" w14:textId="77777777" w:rsidR="003D6384" w:rsidRPr="003D6384" w:rsidRDefault="003D6384" w:rsidP="003D6384">
      <w:pPr>
        <w:spacing w:after="240" w:line="276" w:lineRule="auto"/>
        <w:ind w:firstLine="708"/>
        <w:jc w:val="both"/>
        <w:rPr>
          <w:rFonts w:ascii="Verdana" w:eastAsia="Calibri" w:hAnsi="Verdana" w:cs="Arial"/>
          <w:bCs/>
          <w:lang w:eastAsia="es-MX"/>
        </w:rPr>
      </w:pPr>
      <w:r w:rsidRPr="003D6384">
        <w:rPr>
          <w:rFonts w:ascii="Verdana" w:eastAsia="Calibri" w:hAnsi="Verdana" w:cs="Arial"/>
          <w:bCs/>
          <w:lang w:eastAsia="es-MX"/>
        </w:rPr>
        <w:t>Frente al procedimiento concreto de la subasta por inversa, como su nombre lo indica, es un sistema mediante el que se determina cual es la oferta económica más favorable en el marco de un proceso de selección, en el que cada oferente realizará sus ofrecimientos mediante “laces” los cuales fungen como manifestación de la voluntad de los oferentes y como ofertas económicas dinámicas, las cuáles variaran en el desarrollo de la respectiva audiencia, sin embargo, esta variabilidad de los lances en la subasta inversa no le quita su calidad de propuestas económicas</w:t>
      </w:r>
    </w:p>
    <w:p w14:paraId="3B7C01D9" w14:textId="77777777" w:rsidR="003D6384" w:rsidRPr="003D6384" w:rsidRDefault="003D6384" w:rsidP="003D6384">
      <w:pPr>
        <w:spacing w:after="240" w:line="276" w:lineRule="auto"/>
        <w:ind w:firstLine="708"/>
        <w:jc w:val="both"/>
        <w:rPr>
          <w:rFonts w:ascii="Verdana" w:eastAsia="Calibri" w:hAnsi="Verdana" w:cs="Arial"/>
          <w:bCs/>
          <w:lang w:val="es-ES" w:eastAsia="es-MX"/>
        </w:rPr>
      </w:pPr>
      <w:r w:rsidRPr="003D6384">
        <w:rPr>
          <w:rFonts w:ascii="Verdana" w:eastAsia="Calibri" w:hAnsi="Verdana" w:cs="Arial"/>
          <w:bCs/>
          <w:lang w:val="es-ES" w:eastAsia="es-MX"/>
        </w:rPr>
        <w:t xml:space="preserve">El Decreto 1082 del 2015 en su artículo 2.2.1.2.1.2.2 dispuso el procedimiento que debe seguir la Entidad Estatal para desarrollar la subasta inversa, de la siguiente forma: </w:t>
      </w:r>
    </w:p>
    <w:p w14:paraId="1F5FA75E" w14:textId="77777777" w:rsidR="003D6384" w:rsidRPr="003D6384" w:rsidRDefault="003D6384" w:rsidP="003D6384">
      <w:pPr>
        <w:spacing w:after="240" w:line="276" w:lineRule="auto"/>
        <w:ind w:left="709"/>
        <w:jc w:val="both"/>
        <w:rPr>
          <w:rFonts w:ascii="Verdana" w:eastAsia="Calibri" w:hAnsi="Verdana" w:cs="Arial"/>
          <w:bCs/>
          <w:sz w:val="20"/>
          <w:szCs w:val="20"/>
          <w:lang w:eastAsia="es-MX"/>
        </w:rPr>
      </w:pPr>
      <w:r w:rsidRPr="003D6384">
        <w:rPr>
          <w:rFonts w:ascii="Verdana" w:eastAsia="Calibri" w:hAnsi="Verdana" w:cs="Arial"/>
          <w:b/>
          <w:bCs/>
          <w:sz w:val="20"/>
          <w:szCs w:val="20"/>
          <w:lang w:eastAsia="es-MX"/>
        </w:rPr>
        <w:lastRenderedPageBreak/>
        <w:t>“Artículo 2.2.1.2.1.2.2. Procedimiento para la subasta inversa</w:t>
      </w:r>
      <w:r w:rsidRPr="003D6384">
        <w:rPr>
          <w:rFonts w:ascii="Verdana" w:eastAsia="Calibri" w:hAnsi="Verdana" w:cs="Arial"/>
          <w:bCs/>
          <w:sz w:val="20"/>
          <w:szCs w:val="20"/>
          <w:lang w:eastAsia="es-MX"/>
        </w:rPr>
        <w:t>. Además de las reglas generales previstas en la ley y en el presente título, las siguientes reglas son aplicables a la subasta inversa:</w:t>
      </w:r>
      <w:r w:rsidRPr="003D6384">
        <w:rPr>
          <w:rFonts w:ascii="Arial" w:eastAsia="Calibri" w:hAnsi="Arial" w:cs="Arial"/>
          <w:bCs/>
          <w:sz w:val="20"/>
          <w:szCs w:val="20"/>
          <w:lang w:eastAsia="es-MX"/>
        </w:rPr>
        <w:t>​</w:t>
      </w:r>
    </w:p>
    <w:p w14:paraId="33A48A34" w14:textId="77777777" w:rsidR="003D6384" w:rsidRPr="003D6384" w:rsidRDefault="003D6384" w:rsidP="003D6384">
      <w:pPr>
        <w:spacing w:after="240" w:line="276" w:lineRule="auto"/>
        <w:ind w:left="709"/>
        <w:jc w:val="both"/>
        <w:rPr>
          <w:rFonts w:ascii="Verdana" w:eastAsia="Calibri" w:hAnsi="Verdana" w:cs="Arial"/>
          <w:bCs/>
          <w:sz w:val="20"/>
          <w:szCs w:val="20"/>
          <w:lang w:eastAsia="es-MX"/>
        </w:rPr>
      </w:pPr>
      <w:r w:rsidRPr="003D6384">
        <w:rPr>
          <w:rFonts w:ascii="Verdana" w:eastAsia="Calibri" w:hAnsi="Verdana" w:cs="Arial"/>
          <w:bCs/>
          <w:sz w:val="20"/>
          <w:szCs w:val="20"/>
          <w:lang w:eastAsia="es-MX"/>
        </w:rPr>
        <w:t>1. Los pliegos de condiciones deben indicar: a) la fecha y hora de inicio de la subasta; b) la periodicidad de los Lances; y c) el Margen Mínimo para mejorar la oferta durante la subasta inversa.</w:t>
      </w:r>
    </w:p>
    <w:p w14:paraId="4A56CA8D" w14:textId="77777777" w:rsidR="003D6384" w:rsidRPr="003D6384" w:rsidRDefault="003D6384" w:rsidP="003D6384">
      <w:pPr>
        <w:spacing w:after="240" w:line="276" w:lineRule="auto"/>
        <w:ind w:left="709"/>
        <w:jc w:val="both"/>
        <w:rPr>
          <w:rFonts w:ascii="Verdana" w:eastAsia="Calibri" w:hAnsi="Verdana" w:cs="Arial"/>
          <w:bCs/>
          <w:sz w:val="20"/>
          <w:szCs w:val="20"/>
          <w:lang w:eastAsia="es-MX"/>
        </w:rPr>
      </w:pPr>
      <w:r w:rsidRPr="003D6384">
        <w:rPr>
          <w:rFonts w:ascii="Verdana" w:eastAsia="Calibri" w:hAnsi="Verdana" w:cs="Arial"/>
          <w:bCs/>
          <w:sz w:val="20"/>
          <w:szCs w:val="20"/>
          <w:lang w:eastAsia="es-MX"/>
        </w:rPr>
        <w:t>2. La oferta debe contener dos parles, la primera en la cual el interesado acredite su capacidad de participar en el Proceso de Contratación y acredite el cumplimiento de la ficha técnica; y la segunda parle debe contener el precio inicial propuesto por el oferente.</w:t>
      </w:r>
    </w:p>
    <w:p w14:paraId="7EA55F02" w14:textId="77777777" w:rsidR="003D6384" w:rsidRPr="003D6384" w:rsidRDefault="003D6384" w:rsidP="003D6384">
      <w:pPr>
        <w:spacing w:after="240" w:line="276" w:lineRule="auto"/>
        <w:ind w:left="709"/>
        <w:jc w:val="both"/>
        <w:rPr>
          <w:rFonts w:ascii="Verdana" w:eastAsia="Calibri" w:hAnsi="Verdana" w:cs="Arial"/>
          <w:bCs/>
          <w:sz w:val="20"/>
          <w:szCs w:val="20"/>
          <w:lang w:eastAsia="es-MX"/>
        </w:rPr>
      </w:pPr>
      <w:r w:rsidRPr="003D6384">
        <w:rPr>
          <w:rFonts w:ascii="Verdana" w:eastAsia="Calibri" w:hAnsi="Verdana" w:cs="Arial"/>
          <w:bCs/>
          <w:sz w:val="20"/>
          <w:szCs w:val="20"/>
          <w:lang w:eastAsia="es-MX"/>
        </w:rPr>
        <w:t>3. La Entidad Estatal debe publicar un informe de habilitación de los oferentes, en el cual debe indicar si los bienes o servicios ofrecidos por el interesado cumplen con la ficha técnica y si el oferente se encuentra habilitado.</w:t>
      </w:r>
    </w:p>
    <w:p w14:paraId="293ABD20" w14:textId="77777777" w:rsidR="003D6384" w:rsidRPr="003D6384" w:rsidRDefault="003D6384" w:rsidP="003D6384">
      <w:pPr>
        <w:spacing w:after="240" w:line="276" w:lineRule="auto"/>
        <w:ind w:left="709"/>
        <w:jc w:val="both"/>
        <w:rPr>
          <w:rFonts w:ascii="Verdana" w:eastAsia="Calibri" w:hAnsi="Verdana" w:cs="Arial"/>
          <w:bCs/>
          <w:sz w:val="20"/>
          <w:szCs w:val="20"/>
          <w:lang w:eastAsia="es-MX"/>
        </w:rPr>
      </w:pPr>
      <w:r w:rsidRPr="003D6384">
        <w:rPr>
          <w:rFonts w:ascii="Verdana" w:eastAsia="Calibri" w:hAnsi="Verdana" w:cs="Arial"/>
          <w:bCs/>
          <w:sz w:val="20"/>
          <w:szCs w:val="20"/>
          <w:lang w:eastAsia="es-MX"/>
        </w:rPr>
        <w:t>4. Hay subasta inversa siempre que haya como mínimo dos oferentes habilitados cuyos bienes o servicios cumplen con la ficha técnica.</w:t>
      </w:r>
    </w:p>
    <w:p w14:paraId="4D762F98" w14:textId="77777777" w:rsidR="003D6384" w:rsidRPr="003D6384" w:rsidRDefault="003D6384" w:rsidP="003D6384">
      <w:pPr>
        <w:spacing w:after="240" w:line="276" w:lineRule="auto"/>
        <w:ind w:left="709"/>
        <w:jc w:val="both"/>
        <w:rPr>
          <w:rFonts w:ascii="Verdana" w:eastAsia="Calibri" w:hAnsi="Verdana" w:cs="Arial"/>
          <w:bCs/>
          <w:sz w:val="20"/>
          <w:szCs w:val="20"/>
          <w:lang w:eastAsia="es-MX"/>
        </w:rPr>
      </w:pPr>
      <w:r w:rsidRPr="003D6384">
        <w:rPr>
          <w:rFonts w:ascii="Verdana" w:eastAsia="Calibri" w:hAnsi="Verdana" w:cs="Arial"/>
          <w:bCs/>
          <w:sz w:val="20"/>
          <w:szCs w:val="20"/>
          <w:lang w:eastAsia="es-MX"/>
        </w:rPr>
        <w:t>5. 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w:t>
      </w:r>
    </w:p>
    <w:p w14:paraId="4A0CB22F" w14:textId="77777777" w:rsidR="003D6384" w:rsidRPr="003D6384" w:rsidRDefault="003D6384" w:rsidP="003D6384">
      <w:pPr>
        <w:spacing w:after="240" w:line="276" w:lineRule="auto"/>
        <w:ind w:left="709"/>
        <w:jc w:val="both"/>
        <w:rPr>
          <w:rFonts w:ascii="Verdana" w:eastAsia="Calibri" w:hAnsi="Verdana" w:cs="Arial"/>
          <w:bCs/>
          <w:sz w:val="20"/>
          <w:szCs w:val="20"/>
          <w:lang w:eastAsia="es-MX"/>
        </w:rPr>
      </w:pPr>
      <w:r w:rsidRPr="003D6384">
        <w:rPr>
          <w:rFonts w:ascii="Verdana" w:eastAsia="Calibri" w:hAnsi="Verdana" w:cs="Arial"/>
          <w:bCs/>
          <w:sz w:val="20"/>
          <w:szCs w:val="20"/>
          <w:lang w:eastAsia="es-MX"/>
        </w:rPr>
        <w:t xml:space="preserve">6. La subasta debe iniciar con el precio más bajo indicado por los oferentes </w:t>
      </w:r>
      <w:proofErr w:type="gramStart"/>
      <w:r w:rsidRPr="003D6384">
        <w:rPr>
          <w:rFonts w:ascii="Verdana" w:eastAsia="Calibri" w:hAnsi="Verdana" w:cs="Arial"/>
          <w:bCs/>
          <w:sz w:val="20"/>
          <w:szCs w:val="20"/>
          <w:lang w:eastAsia="es-MX"/>
        </w:rPr>
        <w:t>y</w:t>
      </w:r>
      <w:proofErr w:type="gramEnd"/>
      <w:r w:rsidRPr="003D6384">
        <w:rPr>
          <w:rFonts w:ascii="Verdana" w:eastAsia="Calibri" w:hAnsi="Verdana" w:cs="Arial"/>
          <w:bCs/>
          <w:sz w:val="20"/>
          <w:szCs w:val="20"/>
          <w:lang w:eastAsia="es-MX"/>
        </w:rPr>
        <w:t xml:space="preserve"> en consecuencia, solamente serán válidos los Lances efectuados durante la subasta inversa en los cuales la oferta sea mejorada en por lo menos el Margen Mínimo establecido.</w:t>
      </w:r>
    </w:p>
    <w:p w14:paraId="641C985A" w14:textId="77777777" w:rsidR="003D6384" w:rsidRPr="003D6384" w:rsidRDefault="003D6384" w:rsidP="003D6384">
      <w:pPr>
        <w:spacing w:after="240" w:line="276" w:lineRule="auto"/>
        <w:ind w:left="709"/>
        <w:jc w:val="both"/>
        <w:rPr>
          <w:rFonts w:ascii="Verdana" w:eastAsia="Calibri" w:hAnsi="Verdana" w:cs="Arial"/>
          <w:bCs/>
          <w:sz w:val="20"/>
          <w:szCs w:val="20"/>
          <w:lang w:eastAsia="es-MX"/>
        </w:rPr>
      </w:pPr>
      <w:r w:rsidRPr="003D6384">
        <w:rPr>
          <w:rFonts w:ascii="Verdana" w:eastAsia="Calibri" w:hAnsi="Verdana" w:cs="Arial"/>
          <w:bCs/>
          <w:sz w:val="20"/>
          <w:szCs w:val="20"/>
          <w:lang w:eastAsia="es-MX"/>
        </w:rPr>
        <w:t>7. Si los oferentes no presentan Lances durante la subasta, la Entidad Estatal debe adjudicar el contrato al oferente que haya presentado el precio inicial más bajo.</w:t>
      </w:r>
    </w:p>
    <w:p w14:paraId="380DA863" w14:textId="77777777" w:rsidR="003D6384" w:rsidRPr="003D6384" w:rsidRDefault="003D6384" w:rsidP="003D6384">
      <w:pPr>
        <w:spacing w:after="240" w:line="276" w:lineRule="auto"/>
        <w:ind w:left="709"/>
        <w:jc w:val="both"/>
        <w:rPr>
          <w:rFonts w:ascii="Verdana" w:eastAsia="Calibri" w:hAnsi="Verdana" w:cs="Arial"/>
          <w:bCs/>
          <w:sz w:val="20"/>
          <w:szCs w:val="20"/>
          <w:lang w:eastAsia="es-MX"/>
        </w:rPr>
      </w:pPr>
      <w:r w:rsidRPr="003D6384">
        <w:rPr>
          <w:rFonts w:ascii="Verdana" w:eastAsia="Calibri" w:hAnsi="Verdana" w:cs="Arial"/>
          <w:bCs/>
          <w:sz w:val="20"/>
          <w:szCs w:val="20"/>
          <w:lang w:eastAsia="es-MX"/>
        </w:rPr>
        <w:t>8. Al terminar la presentación de cada Lance, la Entidad Estatal debe informar el valor del Lance más bajo.</w:t>
      </w:r>
    </w:p>
    <w:p w14:paraId="7F01A2D2" w14:textId="77777777" w:rsidR="003D6384" w:rsidRPr="003D6384" w:rsidRDefault="003D6384" w:rsidP="003D6384">
      <w:pPr>
        <w:spacing w:after="240" w:line="276" w:lineRule="auto"/>
        <w:ind w:left="709"/>
        <w:jc w:val="both"/>
        <w:rPr>
          <w:rFonts w:ascii="Verdana" w:eastAsia="Calibri" w:hAnsi="Verdana" w:cs="Arial"/>
          <w:bCs/>
          <w:sz w:val="20"/>
          <w:szCs w:val="20"/>
          <w:lang w:eastAsia="es-MX"/>
        </w:rPr>
      </w:pPr>
      <w:r w:rsidRPr="003D6384">
        <w:rPr>
          <w:rFonts w:ascii="Verdana" w:eastAsia="Calibri" w:hAnsi="Verdana" w:cs="Arial"/>
          <w:bCs/>
          <w:sz w:val="20"/>
          <w:szCs w:val="20"/>
          <w:lang w:eastAsia="es-MX"/>
        </w:rPr>
        <w:lastRenderedPageBreak/>
        <w:t>9. Si al terminar la subasta inversa hay empate, la Entidad Estatal debe aplicar los criterios del artículo </w:t>
      </w:r>
      <w:hyperlink r:id="rId11" w:anchor="35" w:history="1">
        <w:r w:rsidRPr="003D6384">
          <w:rPr>
            <w:rFonts w:ascii="Verdana" w:eastAsia="Calibri" w:hAnsi="Verdana" w:cs="Arial"/>
            <w:bCs/>
            <w:color w:val="0563C1"/>
            <w:sz w:val="20"/>
            <w:szCs w:val="20"/>
            <w:u w:val="single"/>
            <w:lang w:eastAsia="es-MX"/>
          </w:rPr>
          <w:t>35 </w:t>
        </w:r>
      </w:hyperlink>
      <w:r w:rsidRPr="003D6384">
        <w:rPr>
          <w:rFonts w:ascii="Verdana" w:eastAsia="Calibri" w:hAnsi="Verdana" w:cs="Arial"/>
          <w:bCs/>
          <w:sz w:val="20"/>
          <w:szCs w:val="20"/>
          <w:lang w:eastAsia="es-MX"/>
        </w:rPr>
        <w:t>de la Ley 2069 de 2020 conforme con los medios de acreditación del artículo 2.2. 1.2.4.2 17 del presente Decreto</w:t>
      </w:r>
      <w:r w:rsidRPr="003D6384">
        <w:rPr>
          <w:rFonts w:ascii="Verdana" w:eastAsia="Calibri" w:hAnsi="Verdana" w:cs="Arial"/>
          <w:bCs/>
          <w:sz w:val="20"/>
          <w:szCs w:val="20"/>
          <w:vertAlign w:val="superscript"/>
          <w:lang w:eastAsia="es-MX"/>
        </w:rPr>
        <w:footnoteReference w:id="9"/>
      </w:r>
      <w:r w:rsidRPr="003D6384">
        <w:rPr>
          <w:rFonts w:ascii="Verdana" w:eastAsia="Calibri" w:hAnsi="Verdana" w:cs="Arial"/>
          <w:bCs/>
          <w:sz w:val="20"/>
          <w:szCs w:val="20"/>
          <w:lang w:eastAsia="es-MX"/>
        </w:rPr>
        <w:t>.”</w:t>
      </w:r>
    </w:p>
    <w:p w14:paraId="7CD04FB7" w14:textId="77777777" w:rsidR="003D6384" w:rsidRPr="003D6384" w:rsidRDefault="003D6384" w:rsidP="003D6384">
      <w:pPr>
        <w:spacing w:after="240" w:line="276" w:lineRule="auto"/>
        <w:ind w:firstLine="708"/>
        <w:jc w:val="both"/>
        <w:rPr>
          <w:rFonts w:ascii="Verdana" w:eastAsia="Calibri" w:hAnsi="Verdana" w:cs="Arial"/>
          <w:bCs/>
          <w:lang w:eastAsia="es-MX"/>
        </w:rPr>
      </w:pPr>
      <w:r w:rsidRPr="003D6384">
        <w:rPr>
          <w:rFonts w:ascii="Verdana" w:eastAsia="Calibri" w:hAnsi="Verdana" w:cs="Arial"/>
          <w:bCs/>
          <w:i/>
          <w:lang w:val="es-ES" w:eastAsia="es-MX"/>
        </w:rPr>
        <w:t xml:space="preserve"> </w:t>
      </w:r>
      <w:r w:rsidRPr="003D6384">
        <w:rPr>
          <w:rFonts w:ascii="Verdana" w:eastAsia="Calibri" w:hAnsi="Verdana" w:cs="Arial"/>
          <w:bCs/>
          <w:lang w:val="es-ES" w:eastAsia="es-MX"/>
        </w:rPr>
        <w:t>Como se puede observar el proceso de selección abreviada por subasta inversa busca que se</w:t>
      </w:r>
      <w:r w:rsidRPr="003D6384">
        <w:rPr>
          <w:rFonts w:ascii="Verdana" w:eastAsia="Calibri" w:hAnsi="Verdana" w:cs="Arial"/>
          <w:bCs/>
          <w:lang w:eastAsia="es-MX"/>
        </w:rPr>
        <w:t xml:space="preserve"> adjudique el contrato a la persona natural o jurídica que ofrece el mejor precio.  Por esta razón, la dinámica propia de una subasta inversa consiste en reunir</w:t>
      </w:r>
      <w:r w:rsidRPr="003D6384">
        <w:rPr>
          <w:rFonts w:ascii="Verdana" w:eastAsia="Calibri" w:hAnsi="Verdana" w:cs="Arial"/>
          <w:bCs/>
          <w:vertAlign w:val="superscript"/>
          <w:lang w:eastAsia="es-MX"/>
        </w:rPr>
        <w:footnoteReference w:id="10"/>
      </w:r>
      <w:r w:rsidRPr="003D6384">
        <w:rPr>
          <w:rFonts w:ascii="Verdana" w:eastAsia="Calibri" w:hAnsi="Verdana" w:cs="Arial"/>
          <w:bCs/>
          <w:lang w:eastAsia="es-MX"/>
        </w:rPr>
        <w:t xml:space="preserve"> a los oferentes interesados en ejecutar el contrato en mención y otorgarle a cada uno de ellos la posibilidad de ofrecer una oferta económica y mejorarla conforme la oferta económica ofertada por sus contrincantes. </w:t>
      </w:r>
    </w:p>
    <w:p w14:paraId="5E8F2261" w14:textId="23340EF6" w:rsidR="003D6384" w:rsidRPr="003D6384" w:rsidRDefault="003D6384" w:rsidP="003D6384">
      <w:pPr>
        <w:spacing w:after="240" w:line="276" w:lineRule="auto"/>
        <w:ind w:firstLine="708"/>
        <w:jc w:val="both"/>
        <w:rPr>
          <w:rFonts w:ascii="Verdana" w:eastAsia="Calibri" w:hAnsi="Verdana" w:cs="Arial"/>
          <w:color w:val="333333"/>
          <w:shd w:val="clear" w:color="auto" w:fill="FFFFFF"/>
        </w:rPr>
      </w:pPr>
      <w:r w:rsidRPr="003D6384">
        <w:rPr>
          <w:rFonts w:ascii="Verdana" w:eastAsia="Calibri" w:hAnsi="Verdana" w:cs="Arial"/>
          <w:bCs/>
          <w:lang w:eastAsia="es-MX"/>
        </w:rPr>
        <w:t xml:space="preserve">En ese orden de ideas, cada oferente realizará sus ofrecimientos mediante </w:t>
      </w:r>
      <w:r w:rsidRPr="003D6384">
        <w:rPr>
          <w:rFonts w:ascii="Verdana" w:eastAsia="Calibri" w:hAnsi="Verdana" w:cs="Arial"/>
          <w:bCs/>
          <w:i/>
          <w:iCs/>
          <w:lang w:eastAsia="es-MX"/>
        </w:rPr>
        <w:t>“</w:t>
      </w:r>
      <w:r w:rsidRPr="4DD1A86F">
        <w:rPr>
          <w:rFonts w:ascii="Verdana" w:eastAsia="Calibri" w:hAnsi="Verdana" w:cs="Arial"/>
          <w:i/>
          <w:iCs/>
          <w:lang w:eastAsia="es-MX"/>
        </w:rPr>
        <w:t>la</w:t>
      </w:r>
      <w:r w:rsidR="57EE900D" w:rsidRPr="4DD1A86F">
        <w:rPr>
          <w:rFonts w:ascii="Verdana" w:eastAsia="Calibri" w:hAnsi="Verdana" w:cs="Arial"/>
          <w:i/>
          <w:iCs/>
          <w:lang w:eastAsia="es-MX"/>
        </w:rPr>
        <w:t>n</w:t>
      </w:r>
      <w:r w:rsidRPr="4DD1A86F">
        <w:rPr>
          <w:rFonts w:ascii="Verdana" w:eastAsia="Calibri" w:hAnsi="Verdana" w:cs="Arial"/>
          <w:i/>
          <w:iCs/>
          <w:lang w:eastAsia="es-MX"/>
        </w:rPr>
        <w:t>ces</w:t>
      </w:r>
      <w:r w:rsidRPr="003D6384">
        <w:rPr>
          <w:rFonts w:ascii="Verdana" w:eastAsia="Calibri" w:hAnsi="Verdana" w:cs="Arial"/>
          <w:bCs/>
          <w:i/>
          <w:iCs/>
          <w:lang w:eastAsia="es-MX"/>
        </w:rPr>
        <w:t>”</w:t>
      </w:r>
      <w:r w:rsidRPr="003D6384">
        <w:rPr>
          <w:rFonts w:ascii="Verdana" w:eastAsia="Calibri" w:hAnsi="Verdana" w:cs="Arial"/>
          <w:bCs/>
          <w:lang w:eastAsia="es-MX"/>
        </w:rPr>
        <w:t xml:space="preserve"> que estarán reglados por la Entidad Estatal, especialmente en la forma, medio y periodicidad en el que podrán ser presentados, e incluso deberán limitar el “margen mínimo” de mejora de la oferta. De igual forma, el numeral </w:t>
      </w:r>
      <w:r w:rsidRPr="003D6384">
        <w:rPr>
          <w:rFonts w:ascii="Verdana" w:eastAsia="Calibri" w:hAnsi="Verdana" w:cs="Arial"/>
        </w:rPr>
        <w:t>6 de</w:t>
      </w:r>
      <w:r w:rsidRPr="003D6384">
        <w:rPr>
          <w:rFonts w:ascii="Verdana" w:eastAsia="Calibri" w:hAnsi="Verdana" w:cs="Arial"/>
          <w:bCs/>
          <w:lang w:eastAsia="es-MX"/>
        </w:rPr>
        <w:t xml:space="preserve"> articulo </w:t>
      </w:r>
      <w:r w:rsidRPr="003D6384">
        <w:rPr>
          <w:rFonts w:ascii="Verdana" w:eastAsia="Calibri" w:hAnsi="Verdana" w:cs="Arial"/>
          <w:bCs/>
          <w:lang w:val="es-ES" w:eastAsia="es-MX"/>
        </w:rPr>
        <w:t>2.2.1.2.1.2.2 del Decreto 1082 de 2015 indica que l</w:t>
      </w:r>
      <w:r w:rsidRPr="003D6384">
        <w:rPr>
          <w:rFonts w:ascii="Verdana" w:eastAsia="Calibri" w:hAnsi="Verdana" w:cs="Arial"/>
          <w:bCs/>
          <w:lang w:eastAsia="es-MX"/>
        </w:rPr>
        <w:t xml:space="preserve">a subasta debe iniciar con el precio más bajo indicado por los oferentes y en consecuencia, solamente serán válidos los “Lances” efectuados durante la subasta inversa en los cuales la oferta sea mejorada en por lo menos el “Margen Mínimo” establecido en el pliego de condiciones, que es aquel valor que el </w:t>
      </w:r>
      <w:r w:rsidRPr="003D6384">
        <w:rPr>
          <w:rFonts w:ascii="Verdana" w:eastAsia="Calibri" w:hAnsi="Verdana" w:cs="Arial"/>
          <w:color w:val="333333"/>
          <w:shd w:val="clear" w:color="auto" w:fill="FFFFFF"/>
        </w:rPr>
        <w:t>oferente en una subasta inversa debe reducir el valor del Lance, el cual puede ser expresado en dinero o en un porcentaje del precio de inicio de la subasta.</w:t>
      </w:r>
    </w:p>
    <w:p w14:paraId="3426C9AB" w14:textId="77777777" w:rsidR="003D6384" w:rsidRPr="003D6384" w:rsidRDefault="003D6384" w:rsidP="003D6384">
      <w:pPr>
        <w:spacing w:after="240" w:line="276" w:lineRule="auto"/>
        <w:ind w:firstLine="708"/>
        <w:jc w:val="both"/>
        <w:rPr>
          <w:rFonts w:ascii="Verdana" w:eastAsia="Calibri" w:hAnsi="Verdana" w:cs="Arial"/>
          <w:i/>
        </w:rPr>
      </w:pPr>
      <w:r w:rsidRPr="003D6384">
        <w:rPr>
          <w:rFonts w:ascii="Verdana" w:eastAsia="Calibri" w:hAnsi="Verdana" w:cs="Arial"/>
          <w:bCs/>
          <w:lang w:eastAsia="es-MX"/>
        </w:rPr>
        <w:t xml:space="preserve">Por su parte, para abordar uno de los temas consultados por el peticionario, se evidencia en el numeral 7 del artículo precitado indica que la no presentación de lances en el marco del certamen de subasta a la inversa no es causal suficiente para eliminar del proceso de selección a los oferentes que se encuentran habilitados el momento de la subasta para ser adjudicatarios del contrato, pues la disposición además establece que: </w:t>
      </w:r>
      <w:r w:rsidRPr="003D6384">
        <w:rPr>
          <w:rFonts w:ascii="Verdana" w:eastAsia="Calibri" w:hAnsi="Verdana" w:cs="Arial"/>
        </w:rPr>
        <w:t>“</w:t>
      </w:r>
      <w:r w:rsidRPr="003D6384">
        <w:rPr>
          <w:rFonts w:ascii="Verdana" w:eastAsia="Calibri" w:hAnsi="Verdana" w:cs="Arial"/>
          <w:bCs/>
          <w:i/>
          <w:lang w:eastAsia="es-MX"/>
        </w:rPr>
        <w:t>Si los oferentes no presentan Lances durante la subasta, la Entidad Estatal debe adjudicar el contrato al oferente que haya presentado el precio inicial más bajo</w:t>
      </w:r>
      <w:r w:rsidRPr="003D6384">
        <w:rPr>
          <w:rFonts w:ascii="Verdana" w:eastAsia="Calibri" w:hAnsi="Verdana" w:cs="Arial"/>
          <w:i/>
        </w:rPr>
        <w:t>”</w:t>
      </w:r>
    </w:p>
    <w:p w14:paraId="4F136436" w14:textId="77777777" w:rsidR="003D6384" w:rsidRPr="003D6384" w:rsidRDefault="003D6384" w:rsidP="003D6384">
      <w:pPr>
        <w:spacing w:after="240" w:line="276" w:lineRule="auto"/>
        <w:ind w:firstLine="708"/>
        <w:jc w:val="both"/>
        <w:rPr>
          <w:rFonts w:ascii="Verdana" w:eastAsia="Calibri" w:hAnsi="Verdana" w:cs="Arial"/>
          <w:bCs/>
          <w:lang w:eastAsia="es-MX"/>
        </w:rPr>
      </w:pPr>
      <w:r w:rsidRPr="003D6384">
        <w:rPr>
          <w:rFonts w:ascii="Verdana" w:eastAsia="Calibri" w:hAnsi="Verdana" w:cs="Arial"/>
          <w:bCs/>
          <w:lang w:eastAsia="es-MX"/>
        </w:rPr>
        <w:t xml:space="preserve">La disposición precitada evidencia que la no presentación de lances durante el desarrollo de la audiencia de subasta a la inversa no implica de por </w:t>
      </w:r>
      <w:r w:rsidRPr="003D6384">
        <w:rPr>
          <w:rFonts w:ascii="Verdana" w:eastAsia="Calibri" w:hAnsi="Verdana" w:cs="Arial"/>
          <w:bCs/>
          <w:lang w:eastAsia="es-MX"/>
        </w:rPr>
        <w:lastRenderedPageBreak/>
        <w:t xml:space="preserve">sí, el rechazo de la oferta presentada por el proponente, por lo contrario, es la oportunidad que tienen los oferentes para mejorar su ofrecimiento económico inicial, si está en su voluntad hacerlo. </w:t>
      </w:r>
    </w:p>
    <w:p w14:paraId="35F84336" w14:textId="44B42713" w:rsidR="003D6384" w:rsidRPr="003D6384" w:rsidRDefault="003D6384" w:rsidP="003D6384">
      <w:pPr>
        <w:spacing w:after="240" w:line="276" w:lineRule="auto"/>
        <w:jc w:val="both"/>
        <w:rPr>
          <w:rFonts w:ascii="Verdana" w:eastAsia="Calibri" w:hAnsi="Verdana" w:cs="Arial"/>
          <w:i/>
        </w:rPr>
      </w:pPr>
      <w:r w:rsidRPr="003D6384">
        <w:rPr>
          <w:rFonts w:ascii="Verdana" w:eastAsia="Calibri" w:hAnsi="Verdana" w:cs="Arial"/>
          <w:i/>
        </w:rPr>
        <w:tab/>
      </w:r>
      <w:r w:rsidRPr="003D6384">
        <w:rPr>
          <w:rFonts w:ascii="Verdana" w:eastAsia="Calibri" w:hAnsi="Verdana" w:cs="Arial"/>
          <w:bCs/>
          <w:lang w:eastAsia="es-MX"/>
        </w:rPr>
        <w:t xml:space="preserve">Finalmente, el </w:t>
      </w:r>
      <w:r w:rsidRPr="003D6384">
        <w:rPr>
          <w:rFonts w:ascii="Verdana" w:eastAsia="Calibri" w:hAnsi="Verdana" w:cs="Arial"/>
          <w:bCs/>
          <w:iCs/>
        </w:rPr>
        <w:t>artículo 2.2.1.2.1.2.4.</w:t>
      </w:r>
      <w:r w:rsidRPr="003D6384">
        <w:rPr>
          <w:rFonts w:ascii="Verdana" w:eastAsia="Calibri" w:hAnsi="Verdana" w:cs="Arial"/>
          <w:b/>
          <w:i/>
        </w:rPr>
        <w:t xml:space="preserve"> </w:t>
      </w:r>
      <w:r w:rsidRPr="003D6384">
        <w:rPr>
          <w:rFonts w:ascii="Verdana" w:eastAsia="Calibri" w:hAnsi="Verdana" w:cs="Arial"/>
          <w:bCs/>
          <w:lang w:eastAsia="es-MX"/>
        </w:rPr>
        <w:t>del Decreto 1082 de 2015 determina que la subasta termina cuando “</w:t>
      </w:r>
      <w:r w:rsidRPr="003D6384">
        <w:rPr>
          <w:rFonts w:ascii="Verdana" w:eastAsia="Calibri" w:hAnsi="Verdana" w:cs="Arial"/>
          <w:i/>
        </w:rPr>
        <w:t xml:space="preserve">los oferentes no hagan Lances adicionales durante un período para la presentación de Lances. La Entidad Estatal debe adjudicar el contrato al oferente que haya presentado el Lance más bajo. […]”. </w:t>
      </w:r>
      <w:r w:rsidRPr="003D6384">
        <w:rPr>
          <w:rFonts w:ascii="Verdana" w:eastAsia="Calibri" w:hAnsi="Verdana" w:cs="Arial"/>
          <w:iCs/>
        </w:rPr>
        <w:t xml:space="preserve">Siendo claro que el criterio determinante para la adjudicación en los </w:t>
      </w:r>
      <w:r w:rsidRPr="4DD1A86F">
        <w:rPr>
          <w:rFonts w:ascii="Verdana" w:eastAsia="Calibri" w:hAnsi="Verdana" w:cs="Arial"/>
        </w:rPr>
        <w:t>proceso</w:t>
      </w:r>
      <w:r w:rsidR="4EF4169C" w:rsidRPr="4DD1A86F">
        <w:rPr>
          <w:rFonts w:ascii="Verdana" w:eastAsia="Calibri" w:hAnsi="Verdana" w:cs="Arial"/>
        </w:rPr>
        <w:t>s</w:t>
      </w:r>
      <w:r w:rsidRPr="003D6384">
        <w:rPr>
          <w:rFonts w:ascii="Verdana" w:eastAsia="Calibri" w:hAnsi="Verdana" w:cs="Arial"/>
          <w:iCs/>
        </w:rPr>
        <w:t xml:space="preserve"> de selección abreviada por subasta a la inversa es el valor más bajo de la oferta económica, ya sea producto de los lances que realicen los proponentes o del valor inicial de la oferta económica presentada con la propuesta.</w:t>
      </w:r>
    </w:p>
    <w:p w14:paraId="10372F0F" w14:textId="77777777" w:rsidR="003D6384" w:rsidRPr="003D6384" w:rsidRDefault="003D6384" w:rsidP="003D6384">
      <w:pPr>
        <w:tabs>
          <w:tab w:val="left" w:pos="709"/>
        </w:tabs>
        <w:spacing w:after="0" w:line="276" w:lineRule="auto"/>
        <w:ind w:firstLine="851"/>
        <w:jc w:val="both"/>
        <w:rPr>
          <w:rFonts w:ascii="Verdana" w:eastAsia="Calibri" w:hAnsi="Verdana" w:cs="Arial"/>
        </w:rPr>
      </w:pPr>
    </w:p>
    <w:p w14:paraId="30150E05" w14:textId="77777777" w:rsidR="003D6384" w:rsidRPr="003D6384" w:rsidRDefault="003D6384" w:rsidP="003D6384">
      <w:pPr>
        <w:tabs>
          <w:tab w:val="left" w:pos="142"/>
          <w:tab w:val="left" w:pos="284"/>
        </w:tabs>
        <w:spacing w:after="0" w:line="276" w:lineRule="auto"/>
        <w:jc w:val="both"/>
        <w:rPr>
          <w:rFonts w:ascii="Verdana" w:eastAsia="Century Gothic" w:hAnsi="Verdana" w:cs="Century Gothic"/>
          <w:b/>
          <w:bCs/>
        </w:rPr>
      </w:pPr>
      <w:r w:rsidRPr="003D6384">
        <w:rPr>
          <w:rFonts w:ascii="Verdana" w:eastAsia="Century Gothic" w:hAnsi="Verdana" w:cs="Century Gothic"/>
          <w:b/>
          <w:bCs/>
        </w:rPr>
        <w:t>Referencias normativas, jurisprudenciales y otras fuentes:</w:t>
      </w:r>
    </w:p>
    <w:p w14:paraId="32C798CE" w14:textId="77777777" w:rsidR="003D6384" w:rsidRPr="003D6384" w:rsidRDefault="003D6384" w:rsidP="003D6384">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D6384" w:rsidRPr="003D6384" w14:paraId="0EDB5C0A" w14:textId="77777777" w:rsidTr="00B70A6F">
        <w:trPr>
          <w:trHeight w:val="359"/>
        </w:trPr>
        <w:tc>
          <w:tcPr>
            <w:tcW w:w="8647" w:type="dxa"/>
          </w:tcPr>
          <w:p w14:paraId="2E3DD926" w14:textId="77777777" w:rsidR="003D6384" w:rsidRPr="003D6384" w:rsidRDefault="003D6384" w:rsidP="003D6384">
            <w:pPr>
              <w:numPr>
                <w:ilvl w:val="0"/>
                <w:numId w:val="16"/>
              </w:numPr>
              <w:spacing w:after="120" w:line="276" w:lineRule="auto"/>
              <w:contextualSpacing/>
              <w:jc w:val="both"/>
              <w:rPr>
                <w:rFonts w:ascii="Verdana" w:eastAsia="Calibri" w:hAnsi="Verdana" w:cs="Times New Roman"/>
              </w:rPr>
            </w:pPr>
            <w:r w:rsidRPr="003D6384">
              <w:rPr>
                <w:rFonts w:ascii="Verdana" w:eastAsia="Arial MT" w:hAnsi="Verdana" w:cs="Arial"/>
                <w:lang w:eastAsia="es-ES" w:bidi="es-ES"/>
              </w:rPr>
              <w:t xml:space="preserve">Ley 1150 de 2007 literal a) del artículo 2; </w:t>
            </w:r>
            <w:r w:rsidRPr="003D6384">
              <w:rPr>
                <w:rFonts w:ascii="Verdana" w:eastAsia="Calibri" w:hAnsi="Verdana" w:cs="Times New Roman"/>
              </w:rPr>
              <w:t xml:space="preserve">parágrafo 2 del artículo 2 </w:t>
            </w:r>
          </w:p>
          <w:p w14:paraId="15C05721" w14:textId="77777777" w:rsidR="003D6384" w:rsidRPr="003D6384" w:rsidRDefault="003D6384" w:rsidP="003D6384">
            <w:pPr>
              <w:numPr>
                <w:ilvl w:val="0"/>
                <w:numId w:val="16"/>
              </w:numPr>
              <w:spacing w:after="120" w:line="276" w:lineRule="auto"/>
              <w:contextualSpacing/>
              <w:jc w:val="both"/>
              <w:rPr>
                <w:rFonts w:ascii="Verdana" w:eastAsia="Calibri" w:hAnsi="Verdana" w:cs="Times New Roman"/>
              </w:rPr>
            </w:pPr>
            <w:r w:rsidRPr="003D6384">
              <w:rPr>
                <w:rFonts w:ascii="Verdana" w:eastAsia="Arial MT" w:hAnsi="Verdana" w:cs="Arial"/>
                <w:lang w:eastAsia="es-ES" w:bidi="es-ES"/>
              </w:rPr>
              <w:t xml:space="preserve">Decreto 1082 de 2015: artículo </w:t>
            </w:r>
            <w:r w:rsidRPr="003D6384">
              <w:rPr>
                <w:rFonts w:ascii="Verdana" w:eastAsia="Calibri" w:hAnsi="Verdana" w:cs="Times New Roman"/>
              </w:rPr>
              <w:t xml:space="preserve">2.2.1.2.1.2.1.; </w:t>
            </w:r>
            <w:r w:rsidRPr="003D6384">
              <w:rPr>
                <w:rFonts w:ascii="Verdana" w:eastAsia="Arial MT" w:hAnsi="Verdana" w:cs="Arial"/>
                <w:lang w:eastAsia="es-ES" w:bidi="es-ES"/>
              </w:rPr>
              <w:t>2.2.1.2.1.2.2.;</w:t>
            </w:r>
            <w:r w:rsidRPr="003D6384">
              <w:rPr>
                <w:rFonts w:ascii="Verdana" w:eastAsia="Calibri" w:hAnsi="Verdana" w:cs="Times New Roman"/>
              </w:rPr>
              <w:t xml:space="preserve"> 2.2.1.2.1.2.5.</w:t>
            </w:r>
          </w:p>
        </w:tc>
      </w:tr>
    </w:tbl>
    <w:p w14:paraId="1066B750" w14:textId="77777777" w:rsidR="003D6384" w:rsidRPr="003D6384" w:rsidRDefault="003D6384" w:rsidP="003D6384">
      <w:pPr>
        <w:tabs>
          <w:tab w:val="left" w:pos="142"/>
          <w:tab w:val="left" w:pos="284"/>
        </w:tabs>
        <w:spacing w:after="0" w:line="276" w:lineRule="auto"/>
        <w:jc w:val="both"/>
        <w:rPr>
          <w:rFonts w:ascii="Verdana" w:eastAsia="Century Gothic" w:hAnsi="Verdana" w:cs="Century Gothic"/>
          <w:b/>
          <w:bCs/>
        </w:rPr>
      </w:pPr>
    </w:p>
    <w:p w14:paraId="4F933D12" w14:textId="77777777" w:rsidR="003D6384" w:rsidRPr="003D6384" w:rsidRDefault="003D6384" w:rsidP="003D6384">
      <w:pPr>
        <w:tabs>
          <w:tab w:val="left" w:pos="142"/>
          <w:tab w:val="left" w:pos="284"/>
        </w:tabs>
        <w:spacing w:after="0" w:line="276" w:lineRule="auto"/>
        <w:jc w:val="both"/>
        <w:rPr>
          <w:rFonts w:ascii="Verdana" w:eastAsia="Century Gothic" w:hAnsi="Verdana" w:cs="Century Gothic"/>
          <w:b/>
          <w:bCs/>
        </w:rPr>
      </w:pPr>
      <w:r w:rsidRPr="003D6384">
        <w:rPr>
          <w:rFonts w:ascii="Verdana" w:eastAsia="Century Gothic" w:hAnsi="Verdana" w:cs="Century Gothic"/>
          <w:b/>
          <w:bCs/>
        </w:rPr>
        <w:t>5. Doctrina de la Agencia Nacional de Contratación Pública:</w:t>
      </w:r>
    </w:p>
    <w:p w14:paraId="5E9AC08A" w14:textId="77777777" w:rsidR="003D6384" w:rsidRPr="003D6384" w:rsidRDefault="003D6384" w:rsidP="003D6384">
      <w:pPr>
        <w:spacing w:after="0" w:line="276" w:lineRule="auto"/>
        <w:ind w:firstLine="709"/>
        <w:jc w:val="both"/>
        <w:rPr>
          <w:rFonts w:ascii="Verdana" w:eastAsia="Times New Roman" w:hAnsi="Verdana" w:cs="Arial"/>
          <w:szCs w:val="24"/>
          <w:lang w:eastAsia="es-ES_tradnl"/>
        </w:rPr>
      </w:pPr>
    </w:p>
    <w:p w14:paraId="71D968A3" w14:textId="77777777" w:rsidR="003D6384" w:rsidRPr="003D6384" w:rsidRDefault="003D6384" w:rsidP="003D6384">
      <w:pPr>
        <w:widowControl w:val="0"/>
        <w:autoSpaceDE w:val="0"/>
        <w:autoSpaceDN w:val="0"/>
        <w:spacing w:after="0" w:line="276" w:lineRule="auto"/>
        <w:jc w:val="both"/>
        <w:rPr>
          <w:rFonts w:ascii="Verdana" w:eastAsia="Calibri" w:hAnsi="Verdana" w:cs="Arial"/>
          <w:lang w:eastAsia="es-ES_tradnl"/>
        </w:rPr>
      </w:pPr>
      <w:r w:rsidRPr="003D6384">
        <w:rPr>
          <w:rFonts w:ascii="Verdana" w:eastAsia="Calibri" w:hAnsi="Verdana" w:cs="Arial"/>
          <w:lang w:eastAsia="es-ES_tradnl"/>
        </w:rPr>
        <w:t xml:space="preserve">La Agencia Nacional de Contratación Pública – Colombia Compra Eficiente, en el ejercicio de su competencia consultiva, ha estudiado la naturaleza jurídica de la modalidad de selección por subasta inversa y su procedimiento en los conceptos C-008 de 2020, C- 365 de 2020, C-024 de 2021, C-568 de 2021 y C-565 de 2022, C-732 del 8 de noviembre de 2022, C-264 del 22 de julio de 2024, C-359 del 9 de septiembre de 2024, entre otros. Estos y otros conceptos se encuentran disponibles para consulta en el Sistema de Relatoría de la Agencia, en el siguiente enlace: </w:t>
      </w:r>
      <w:hyperlink r:id="rId12" w:history="1">
        <w:r w:rsidRPr="003D6384">
          <w:rPr>
            <w:rFonts w:ascii="Verdana" w:eastAsia="Calibri" w:hAnsi="Verdana" w:cs="Arial"/>
            <w:color w:val="0000FF"/>
            <w:u w:val="single"/>
            <w:lang w:eastAsia="es-ES_tradnl"/>
          </w:rPr>
          <w:t>https://relatoria.colombiacompra.gov.co/</w:t>
        </w:r>
      </w:hyperlink>
      <w:r w:rsidRPr="003D6384">
        <w:rPr>
          <w:rFonts w:ascii="Verdana" w:eastAsia="Calibri" w:hAnsi="Verdana" w:cs="Arial"/>
          <w:lang w:eastAsia="es-ES_tradnl"/>
        </w:rPr>
        <w:t> </w:t>
      </w:r>
    </w:p>
    <w:p w14:paraId="3C9034BE" w14:textId="77777777" w:rsidR="003D6384" w:rsidRPr="003D6384" w:rsidRDefault="003D6384" w:rsidP="003D6384">
      <w:pPr>
        <w:widowControl w:val="0"/>
        <w:autoSpaceDE w:val="0"/>
        <w:autoSpaceDN w:val="0"/>
        <w:spacing w:after="0" w:line="276" w:lineRule="auto"/>
        <w:jc w:val="both"/>
        <w:rPr>
          <w:rFonts w:ascii="Verdana" w:eastAsia="Calibri" w:hAnsi="Verdana" w:cs="Arial"/>
          <w:lang w:eastAsia="es-ES_tradnl"/>
        </w:rPr>
      </w:pPr>
    </w:p>
    <w:p w14:paraId="03443CDC" w14:textId="77777777" w:rsidR="003D6384" w:rsidRPr="003D6384" w:rsidRDefault="003D6384" w:rsidP="003D6384">
      <w:pPr>
        <w:spacing w:after="0" w:line="240" w:lineRule="auto"/>
        <w:jc w:val="both"/>
        <w:rPr>
          <w:rFonts w:ascii="Verdana" w:eastAsia="Calibri" w:hAnsi="Verdana" w:cs="Times New Roman"/>
        </w:rPr>
      </w:pPr>
    </w:p>
    <w:p w14:paraId="6BDF839C" w14:textId="77777777" w:rsidR="003D6384" w:rsidRPr="003D6384" w:rsidRDefault="003D6384" w:rsidP="003D6384">
      <w:pPr>
        <w:spacing w:after="0" w:line="240" w:lineRule="auto"/>
        <w:jc w:val="both"/>
        <w:rPr>
          <w:rFonts w:ascii="Verdana" w:eastAsia="Calibri" w:hAnsi="Verdana" w:cs="Times New Roman"/>
        </w:rPr>
      </w:pPr>
      <w:r w:rsidRPr="003D6384">
        <w:rPr>
          <w:rFonts w:ascii="Verdana" w:eastAsia="Calibri" w:hAnsi="Verdana" w:cs="Times New Roman"/>
        </w:rPr>
        <w:t xml:space="preserve">Por último, lo invitamos a seguirnos en las redes sociales en las cuales se difunde información institucional: </w:t>
      </w:r>
    </w:p>
    <w:p w14:paraId="78C8E0A5" w14:textId="77777777" w:rsidR="003D6384" w:rsidRPr="003D6384" w:rsidRDefault="003D6384" w:rsidP="003D6384">
      <w:pPr>
        <w:spacing w:after="0" w:line="240" w:lineRule="auto"/>
        <w:jc w:val="both"/>
        <w:rPr>
          <w:rFonts w:ascii="Verdana" w:eastAsia="Calibri" w:hAnsi="Verdana" w:cs="Times New Roman"/>
        </w:rPr>
      </w:pPr>
    </w:p>
    <w:p w14:paraId="4D5F1D24" w14:textId="77777777" w:rsidR="003D6384" w:rsidRPr="003D6384" w:rsidRDefault="003D6384" w:rsidP="003D6384">
      <w:pPr>
        <w:spacing w:after="0" w:line="240" w:lineRule="auto"/>
        <w:jc w:val="both"/>
        <w:rPr>
          <w:rFonts w:ascii="Verdana" w:eastAsia="Calibri" w:hAnsi="Verdana" w:cs="Times New Roman"/>
        </w:rPr>
      </w:pPr>
      <w:r w:rsidRPr="003D6384">
        <w:rPr>
          <w:rFonts w:ascii="Verdana" w:eastAsia="Calibri" w:hAnsi="Verdana" w:cs="Times New Roman"/>
        </w:rPr>
        <w:t xml:space="preserve">Twitter: </w:t>
      </w:r>
      <w:r w:rsidRPr="003D6384">
        <w:rPr>
          <w:rFonts w:ascii="Verdana" w:eastAsia="Calibri" w:hAnsi="Verdana" w:cs="Times New Roman"/>
          <w:color w:val="4472C4"/>
          <w:u w:val="single"/>
        </w:rPr>
        <w:t>@colombiacompra</w:t>
      </w:r>
      <w:r w:rsidRPr="003D6384">
        <w:rPr>
          <w:rFonts w:ascii="Verdana" w:eastAsia="Calibri" w:hAnsi="Verdana" w:cs="Times New Roman"/>
          <w:color w:val="4472C4"/>
        </w:rPr>
        <w:t xml:space="preserve"> </w:t>
      </w:r>
    </w:p>
    <w:p w14:paraId="54EDCA04" w14:textId="77777777" w:rsidR="003D6384" w:rsidRPr="003D6384" w:rsidRDefault="003D6384" w:rsidP="003D6384">
      <w:pPr>
        <w:spacing w:after="0" w:line="240" w:lineRule="auto"/>
        <w:jc w:val="both"/>
        <w:rPr>
          <w:rFonts w:ascii="Verdana" w:eastAsia="Calibri" w:hAnsi="Verdana" w:cs="Times New Roman"/>
        </w:rPr>
      </w:pPr>
      <w:r w:rsidRPr="003D6384">
        <w:rPr>
          <w:rFonts w:ascii="Verdana" w:eastAsia="Calibri" w:hAnsi="Verdana" w:cs="Times New Roman"/>
        </w:rPr>
        <w:t xml:space="preserve">Facebook: </w:t>
      </w:r>
      <w:proofErr w:type="spellStart"/>
      <w:r w:rsidRPr="003D6384">
        <w:rPr>
          <w:rFonts w:ascii="Verdana" w:eastAsia="Calibri" w:hAnsi="Verdana" w:cs="Times New Roman"/>
          <w:color w:val="4472C4"/>
          <w:u w:val="single"/>
        </w:rPr>
        <w:t>ColombiaCompraEficiente</w:t>
      </w:r>
      <w:proofErr w:type="spellEnd"/>
    </w:p>
    <w:p w14:paraId="416BD06C" w14:textId="77777777" w:rsidR="003D6384" w:rsidRPr="003D6384" w:rsidRDefault="003D6384" w:rsidP="003D6384">
      <w:pPr>
        <w:spacing w:after="0" w:line="240" w:lineRule="auto"/>
        <w:jc w:val="both"/>
        <w:rPr>
          <w:rFonts w:ascii="Verdana" w:eastAsia="Calibri" w:hAnsi="Verdana" w:cs="Times New Roman"/>
        </w:rPr>
      </w:pPr>
      <w:r w:rsidRPr="003D6384">
        <w:rPr>
          <w:rFonts w:ascii="Verdana" w:eastAsia="Calibri" w:hAnsi="Verdana" w:cs="Times New Roman"/>
        </w:rPr>
        <w:lastRenderedPageBreak/>
        <w:t xml:space="preserve">LinkedIn: </w:t>
      </w:r>
      <w:r w:rsidRPr="003D6384">
        <w:rPr>
          <w:rFonts w:ascii="Verdana" w:eastAsia="Calibri" w:hAnsi="Verdana" w:cs="Times New Roman"/>
          <w:color w:val="4472C4"/>
          <w:u w:val="single"/>
        </w:rPr>
        <w:t>Agencia Nacional de Contratación Pública - Colombia Compra Eficiente</w:t>
      </w:r>
      <w:r w:rsidRPr="003D6384">
        <w:rPr>
          <w:rFonts w:ascii="Verdana" w:eastAsia="Calibri" w:hAnsi="Verdana" w:cs="Times New Roman"/>
          <w:color w:val="4472C4"/>
        </w:rPr>
        <w:t xml:space="preserve"> </w:t>
      </w:r>
      <w:r w:rsidRPr="003D6384">
        <w:rPr>
          <w:rFonts w:ascii="Verdana" w:eastAsia="Calibri" w:hAnsi="Verdana" w:cs="Times New Roman"/>
        </w:rPr>
        <w:t xml:space="preserve">Instagram: </w:t>
      </w:r>
      <w:r w:rsidRPr="003D6384">
        <w:rPr>
          <w:rFonts w:ascii="Verdana" w:eastAsia="Calibri" w:hAnsi="Verdana" w:cs="Times New Roman"/>
          <w:color w:val="4472C4"/>
          <w:u w:val="single"/>
        </w:rPr>
        <w:t>@colombiacompraeficiente_cce</w:t>
      </w:r>
    </w:p>
    <w:p w14:paraId="60279853" w14:textId="77777777" w:rsidR="003D6384" w:rsidRPr="003D6384" w:rsidRDefault="003D6384" w:rsidP="003D6384">
      <w:pPr>
        <w:widowControl w:val="0"/>
        <w:autoSpaceDE w:val="0"/>
        <w:autoSpaceDN w:val="0"/>
        <w:spacing w:after="0" w:line="276" w:lineRule="auto"/>
        <w:jc w:val="both"/>
        <w:rPr>
          <w:rFonts w:ascii="Verdana" w:eastAsia="Calibri" w:hAnsi="Verdana" w:cs="Times New Roman"/>
        </w:rPr>
      </w:pPr>
    </w:p>
    <w:p w14:paraId="6A0B80DD" w14:textId="77777777" w:rsidR="003D6384" w:rsidRPr="003D6384" w:rsidRDefault="003D6384" w:rsidP="003D6384">
      <w:pPr>
        <w:widowControl w:val="0"/>
        <w:autoSpaceDE w:val="0"/>
        <w:autoSpaceDN w:val="0"/>
        <w:spacing w:after="0" w:line="276" w:lineRule="auto"/>
        <w:jc w:val="both"/>
        <w:rPr>
          <w:rFonts w:ascii="Verdana" w:eastAsia="Calibri" w:hAnsi="Verdana" w:cs="Arial"/>
        </w:rPr>
      </w:pPr>
      <w:r w:rsidRPr="003D6384">
        <w:rPr>
          <w:rFonts w:ascii="Verdana" w:eastAsia="Calibri"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65BA0E2" w14:textId="77777777" w:rsidR="003D6384" w:rsidRPr="003D6384" w:rsidRDefault="003D6384" w:rsidP="003D6384">
      <w:pPr>
        <w:spacing w:after="0" w:line="276" w:lineRule="auto"/>
        <w:ind w:firstLine="709"/>
        <w:jc w:val="both"/>
        <w:rPr>
          <w:rFonts w:ascii="Verdana" w:eastAsia="Times New Roman" w:hAnsi="Verdana" w:cs="Arial"/>
          <w:szCs w:val="24"/>
          <w:lang w:eastAsia="es-ES_tradnl"/>
        </w:rPr>
      </w:pPr>
    </w:p>
    <w:p w14:paraId="1437EEF2" w14:textId="77777777" w:rsidR="003D6384" w:rsidRPr="003D6384" w:rsidRDefault="003D6384" w:rsidP="003D6384">
      <w:pPr>
        <w:spacing w:after="0" w:line="276" w:lineRule="auto"/>
        <w:jc w:val="both"/>
        <w:rPr>
          <w:rFonts w:ascii="Verdana" w:eastAsia="Times New Roman" w:hAnsi="Verdana" w:cs="Arial"/>
          <w:lang w:eastAsia="es-CO"/>
        </w:rPr>
      </w:pPr>
      <w:bookmarkStart w:id="1" w:name="_Hlk117695077"/>
      <w:r w:rsidRPr="003D6384">
        <w:rPr>
          <w:rFonts w:ascii="Verdana" w:eastAsia="Times New Roman" w:hAnsi="Verdana" w:cs="Arial"/>
          <w:lang w:eastAsia="es-CO"/>
        </w:rPr>
        <w:t>Atentamente,</w:t>
      </w:r>
    </w:p>
    <w:bookmarkEnd w:id="1"/>
    <w:p w14:paraId="40D68285" w14:textId="77777777" w:rsidR="003D6384" w:rsidRPr="003D6384" w:rsidRDefault="003D6384" w:rsidP="003D6384">
      <w:pPr>
        <w:spacing w:after="18" w:line="240" w:lineRule="auto"/>
        <w:jc w:val="center"/>
        <w:rPr>
          <w:rFonts w:ascii="Verdana" w:eastAsia="Times New Roman" w:hAnsi="Verdana" w:cs="Arial"/>
          <w:sz w:val="24"/>
          <w:szCs w:val="24"/>
          <w:lang w:eastAsia="es-CO"/>
        </w:rPr>
      </w:pPr>
    </w:p>
    <w:p w14:paraId="005A0289" w14:textId="77777777" w:rsidR="003D6384" w:rsidRPr="003D6384" w:rsidRDefault="003D6384" w:rsidP="003D6384">
      <w:pPr>
        <w:rPr>
          <w:rFonts w:ascii="Verdana" w:eastAsia="Times New Roman" w:hAnsi="Verdana" w:cs="Arial"/>
          <w:sz w:val="16"/>
          <w:szCs w:val="16"/>
          <w:lang w:eastAsia="es-ES"/>
        </w:rPr>
      </w:pPr>
    </w:p>
    <w:p w14:paraId="181FE98F" w14:textId="4A7F8585" w:rsidR="003D6384" w:rsidRPr="003D6384" w:rsidRDefault="0091249D" w:rsidP="003D6384">
      <w:pPr>
        <w:spacing w:line="276" w:lineRule="auto"/>
        <w:jc w:val="center"/>
        <w:rPr>
          <w:rFonts w:ascii="Calibri" w:eastAsia="Calibri" w:hAnsi="Calibri" w:cs="Arial"/>
          <w:lang w:val="es-ES_tradnl" w:eastAsia="es-CO"/>
        </w:rPr>
      </w:pPr>
      <w:r w:rsidRPr="002C3AD6">
        <w:rPr>
          <w:rFonts w:ascii="Century Gothic" w:hAnsi="Century Gothic"/>
          <w:noProof/>
        </w:rPr>
        <w:drawing>
          <wp:inline distT="0" distB="0" distL="0" distR="0" wp14:anchorId="19321A5B" wp14:editId="3229E32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D6384" w:rsidRPr="003D6384" w14:paraId="6CB32B11" w14:textId="77777777" w:rsidTr="00B70A6F">
        <w:trPr>
          <w:trHeight w:val="315"/>
        </w:trPr>
        <w:tc>
          <w:tcPr>
            <w:tcW w:w="893" w:type="dxa"/>
            <w:vAlign w:val="center"/>
            <w:hideMark/>
          </w:tcPr>
          <w:p w14:paraId="1B4FD7BD" w14:textId="77777777" w:rsidR="003D6384" w:rsidRPr="003D6384" w:rsidRDefault="003D6384" w:rsidP="003D6384">
            <w:pPr>
              <w:rPr>
                <w:rFonts w:ascii="Calibri" w:eastAsia="Calibri" w:hAnsi="Calibri" w:cs="Arial"/>
                <w:sz w:val="16"/>
                <w:szCs w:val="16"/>
                <w:lang w:eastAsia="es-ES"/>
              </w:rPr>
            </w:pPr>
            <w:r w:rsidRPr="003D6384">
              <w:rPr>
                <w:rFonts w:ascii="Calibri" w:eastAsia="Calibri" w:hAnsi="Calibri" w:cs="Arial"/>
                <w:sz w:val="16"/>
                <w:szCs w:val="16"/>
                <w:lang w:eastAsia="es-ES"/>
              </w:rPr>
              <w:t>Elaboró:</w:t>
            </w:r>
          </w:p>
        </w:tc>
        <w:tc>
          <w:tcPr>
            <w:tcW w:w="5628" w:type="dxa"/>
            <w:tcBorders>
              <w:top w:val="nil"/>
              <w:left w:val="nil"/>
              <w:bottom w:val="dotted" w:sz="4" w:space="0" w:color="7F7F7F"/>
              <w:right w:val="nil"/>
            </w:tcBorders>
            <w:vAlign w:val="center"/>
            <w:hideMark/>
          </w:tcPr>
          <w:p w14:paraId="611425C3" w14:textId="77777777" w:rsidR="003D6384" w:rsidRPr="003D6384" w:rsidRDefault="003D6384" w:rsidP="003D6384">
            <w:pPr>
              <w:rPr>
                <w:rFonts w:ascii="Calibri" w:eastAsia="Arial" w:hAnsi="Calibri" w:cs="Arial"/>
                <w:sz w:val="16"/>
                <w:szCs w:val="16"/>
              </w:rPr>
            </w:pPr>
            <w:r w:rsidRPr="003D6384">
              <w:rPr>
                <w:rFonts w:ascii="Calibri" w:eastAsia="Arial" w:hAnsi="Calibri" w:cs="Arial"/>
                <w:sz w:val="16"/>
                <w:szCs w:val="16"/>
              </w:rPr>
              <w:t xml:space="preserve">Diana Carolina Blanco Rodriguez </w:t>
            </w:r>
          </w:p>
          <w:p w14:paraId="5CF98D6B" w14:textId="77777777" w:rsidR="003D6384" w:rsidRPr="003D6384" w:rsidRDefault="003D6384" w:rsidP="003D6384">
            <w:pPr>
              <w:rPr>
                <w:rFonts w:ascii="Calibri" w:eastAsia="Arial" w:hAnsi="Calibri" w:cs="Arial"/>
                <w:sz w:val="16"/>
                <w:szCs w:val="16"/>
              </w:rPr>
            </w:pPr>
            <w:r w:rsidRPr="003D6384">
              <w:rPr>
                <w:rFonts w:ascii="Calibri" w:eastAsia="Arial" w:hAnsi="Calibri" w:cs="Arial"/>
                <w:sz w:val="16"/>
                <w:szCs w:val="16"/>
              </w:rPr>
              <w:t>Contratista de la Subdirección de Gestión Contractual</w:t>
            </w:r>
          </w:p>
        </w:tc>
      </w:tr>
      <w:tr w:rsidR="003D6384" w:rsidRPr="003D6384" w14:paraId="0D8708F9" w14:textId="77777777" w:rsidTr="00B70A6F">
        <w:trPr>
          <w:trHeight w:val="330"/>
        </w:trPr>
        <w:tc>
          <w:tcPr>
            <w:tcW w:w="893" w:type="dxa"/>
            <w:vAlign w:val="center"/>
            <w:hideMark/>
          </w:tcPr>
          <w:p w14:paraId="30882C47" w14:textId="77777777" w:rsidR="003D6384" w:rsidRPr="003D6384" w:rsidRDefault="003D6384" w:rsidP="003D6384">
            <w:pPr>
              <w:rPr>
                <w:rFonts w:ascii="Calibri" w:eastAsia="Calibri" w:hAnsi="Calibri" w:cs="Arial"/>
                <w:sz w:val="16"/>
                <w:szCs w:val="16"/>
                <w:lang w:eastAsia="es-ES"/>
              </w:rPr>
            </w:pPr>
            <w:r w:rsidRPr="003D6384">
              <w:rPr>
                <w:rFonts w:ascii="Calibri" w:eastAsia="Calibri" w:hAnsi="Calibri"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7317786E" w14:textId="77777777" w:rsidR="003D6384" w:rsidRPr="003D6384" w:rsidRDefault="003D6384" w:rsidP="003D6384">
            <w:pPr>
              <w:textAlignment w:val="baseline"/>
              <w:rPr>
                <w:rFonts w:ascii="Calibri" w:eastAsia="Times New Roman" w:hAnsi="Calibri" w:cs="Segoe UI"/>
                <w:sz w:val="16"/>
                <w:szCs w:val="16"/>
                <w:lang w:eastAsia="es-ES_tradnl"/>
              </w:rPr>
            </w:pPr>
            <w:r w:rsidRPr="003D6384">
              <w:rPr>
                <w:rFonts w:ascii="Calibri" w:eastAsia="Times New Roman" w:hAnsi="Calibri" w:cs="Segoe UI"/>
                <w:sz w:val="16"/>
                <w:szCs w:val="16"/>
                <w:lang w:eastAsia="es-ES_tradnl"/>
              </w:rPr>
              <w:t xml:space="preserve">Juan Carlos González Vásquez </w:t>
            </w:r>
          </w:p>
          <w:p w14:paraId="66740F97" w14:textId="77777777" w:rsidR="003D6384" w:rsidRPr="003D6384" w:rsidRDefault="003D6384" w:rsidP="003D6384">
            <w:pPr>
              <w:textAlignment w:val="baseline"/>
              <w:rPr>
                <w:rFonts w:ascii="Calibri" w:eastAsia="Times New Roman" w:hAnsi="Calibri" w:cs="Segoe UI"/>
                <w:sz w:val="16"/>
                <w:szCs w:val="16"/>
                <w:lang w:eastAsia="es-ES_tradnl"/>
              </w:rPr>
            </w:pPr>
            <w:r w:rsidRPr="003D6384">
              <w:rPr>
                <w:rFonts w:ascii="Calibri" w:eastAsia="Times New Roman" w:hAnsi="Calibri" w:cs="Arial"/>
                <w:sz w:val="16"/>
                <w:szCs w:val="16"/>
                <w:lang w:eastAsia="es-ES_tradnl"/>
              </w:rPr>
              <w:t>Contratista de la Subdirección de Gestión Contractual </w:t>
            </w:r>
          </w:p>
        </w:tc>
      </w:tr>
      <w:tr w:rsidR="003D6384" w:rsidRPr="003D6384" w14:paraId="21113556" w14:textId="77777777" w:rsidTr="00B70A6F">
        <w:trPr>
          <w:trHeight w:val="300"/>
        </w:trPr>
        <w:tc>
          <w:tcPr>
            <w:tcW w:w="893" w:type="dxa"/>
            <w:vAlign w:val="center"/>
          </w:tcPr>
          <w:p w14:paraId="106FE844" w14:textId="77777777" w:rsidR="003D6384" w:rsidRPr="003D6384" w:rsidRDefault="003D6384" w:rsidP="003D6384">
            <w:pPr>
              <w:rPr>
                <w:rFonts w:ascii="Calibri" w:eastAsia="Calibri" w:hAnsi="Calibri" w:cs="Arial"/>
                <w:sz w:val="16"/>
                <w:szCs w:val="16"/>
                <w:lang w:eastAsia="es-ES"/>
              </w:rPr>
            </w:pPr>
            <w:r w:rsidRPr="003D6384">
              <w:rPr>
                <w:rFonts w:ascii="Calibri" w:eastAsia="Calibri" w:hAnsi="Calibri"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302E27D6" w14:textId="77777777" w:rsidR="003D6384" w:rsidRPr="003D6384" w:rsidRDefault="003D6384" w:rsidP="003D6384">
            <w:pPr>
              <w:rPr>
                <w:rFonts w:ascii="Calibri" w:eastAsia="Calibri" w:hAnsi="Calibri" w:cs="Arial"/>
                <w:sz w:val="16"/>
                <w:szCs w:val="16"/>
                <w:lang w:val="pt-BR" w:eastAsia="es-ES"/>
              </w:rPr>
            </w:pPr>
            <w:r w:rsidRPr="003D6384">
              <w:rPr>
                <w:rFonts w:ascii="Calibri" w:eastAsia="Calibri" w:hAnsi="Calibri" w:cs="Arial"/>
                <w:sz w:val="16"/>
                <w:szCs w:val="16"/>
                <w:lang w:val="pt-BR" w:eastAsia="es-ES"/>
              </w:rPr>
              <w:t xml:space="preserve">Carolina Quintero </w:t>
            </w:r>
            <w:proofErr w:type="spellStart"/>
            <w:r w:rsidRPr="003D6384">
              <w:rPr>
                <w:rFonts w:ascii="Calibri" w:eastAsia="Calibri" w:hAnsi="Calibri" w:cs="Arial"/>
                <w:sz w:val="16"/>
                <w:szCs w:val="16"/>
                <w:lang w:val="pt-BR" w:eastAsia="es-ES"/>
              </w:rPr>
              <w:t>Gacharná</w:t>
            </w:r>
            <w:proofErr w:type="spellEnd"/>
          </w:p>
          <w:p w14:paraId="75BAF9E1" w14:textId="77777777" w:rsidR="003D6384" w:rsidRPr="003D6384" w:rsidRDefault="003D6384" w:rsidP="003D6384">
            <w:pPr>
              <w:rPr>
                <w:rFonts w:ascii="Calibri" w:eastAsia="Calibri" w:hAnsi="Calibri" w:cs="Arial"/>
                <w:sz w:val="16"/>
                <w:szCs w:val="16"/>
                <w:lang w:val="pt-BR" w:eastAsia="es-ES"/>
              </w:rPr>
            </w:pPr>
            <w:r w:rsidRPr="003D6384">
              <w:rPr>
                <w:rFonts w:ascii="Calibri" w:eastAsia="Calibri" w:hAnsi="Calibri" w:cs="Arial"/>
                <w:sz w:val="16"/>
                <w:szCs w:val="16"/>
                <w:lang w:eastAsia="es-ES"/>
              </w:rPr>
              <w:t>Subdirectora</w:t>
            </w:r>
            <w:r w:rsidRPr="003D6384">
              <w:rPr>
                <w:rFonts w:ascii="Calibri" w:eastAsia="Calibri" w:hAnsi="Calibri" w:cs="Arial"/>
                <w:sz w:val="16"/>
                <w:szCs w:val="16"/>
                <w:lang w:val="pt-BR" w:eastAsia="es-ES"/>
              </w:rPr>
              <w:t xml:space="preserve"> de Gestión Contratual ANCP – CCE</w:t>
            </w:r>
          </w:p>
        </w:tc>
      </w:tr>
    </w:tbl>
    <w:p w14:paraId="2C37DCD1" w14:textId="77777777" w:rsidR="003D6384" w:rsidRPr="003D6384" w:rsidRDefault="003D6384" w:rsidP="003D6384">
      <w:pPr>
        <w:rPr>
          <w:rFonts w:ascii="Verdana" w:eastAsia="Calibri" w:hAnsi="Verdana" w:cs="Times New Roman"/>
        </w:rPr>
      </w:pPr>
    </w:p>
    <w:p w14:paraId="761EF6B8" w14:textId="77777777" w:rsidR="003D6384" w:rsidRPr="003D6384" w:rsidRDefault="003D6384" w:rsidP="003D6384">
      <w:pPr>
        <w:spacing w:after="0" w:line="240" w:lineRule="auto"/>
        <w:rPr>
          <w:rFonts w:ascii="Verdana" w:eastAsia="Calibri" w:hAnsi="Verdana" w:cs="Times New Roman"/>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03FA0" w14:textId="77777777" w:rsidR="00DC156F" w:rsidRDefault="00DC156F" w:rsidP="004A1847">
      <w:pPr>
        <w:spacing w:after="0" w:line="240" w:lineRule="auto"/>
      </w:pPr>
      <w:r>
        <w:separator/>
      </w:r>
    </w:p>
  </w:endnote>
  <w:endnote w:type="continuationSeparator" w:id="0">
    <w:p w14:paraId="7C66EB54" w14:textId="77777777" w:rsidR="00DC156F" w:rsidRDefault="00DC156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83021" w14:textId="77777777" w:rsidR="00DC156F" w:rsidRDefault="00DC156F" w:rsidP="004A1847">
      <w:pPr>
        <w:spacing w:after="0" w:line="240" w:lineRule="auto"/>
      </w:pPr>
      <w:r>
        <w:separator/>
      </w:r>
    </w:p>
  </w:footnote>
  <w:footnote w:type="continuationSeparator" w:id="0">
    <w:p w14:paraId="7A4E0D0A" w14:textId="77777777" w:rsidR="00DC156F" w:rsidRDefault="00DC156F" w:rsidP="004A1847">
      <w:pPr>
        <w:spacing w:after="0" w:line="240" w:lineRule="auto"/>
      </w:pPr>
      <w:r>
        <w:continuationSeparator/>
      </w:r>
    </w:p>
  </w:footnote>
  <w:footnote w:id="1">
    <w:p w14:paraId="077288E2" w14:textId="77777777" w:rsidR="003D6384" w:rsidRPr="00A76C07" w:rsidRDefault="003D6384" w:rsidP="003D6384">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w:t>
      </w:r>
    </w:p>
  </w:footnote>
  <w:footnote w:id="2">
    <w:p w14:paraId="4FF9F9E0" w14:textId="77777777" w:rsidR="003D6384" w:rsidRPr="00A76C07" w:rsidRDefault="003D6384" w:rsidP="003D6384">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Consejo de Estado. SALA DE LO CONTENCIOSO ADMINISTRATIVO SECCIÓN TERCERA SUBSECCION B Consejera ponente: RUTH STELLA CORREA PALACIO Bogotá D.C., veintiocho (28) de mayo de dos mil once (2012) Radicación número: 07001-23-31-000-1999-00546-01(21489)</w:t>
      </w:r>
    </w:p>
    <w:p w14:paraId="43F3F3EC" w14:textId="77777777" w:rsidR="003D6384" w:rsidRPr="00A76C07" w:rsidRDefault="003D6384" w:rsidP="003D6384">
      <w:pPr>
        <w:pStyle w:val="Textonotapie"/>
        <w:ind w:firstLine="708"/>
        <w:jc w:val="both"/>
        <w:rPr>
          <w:rFonts w:ascii="Verdana" w:hAnsi="Verdana"/>
          <w:sz w:val="10"/>
          <w:szCs w:val="10"/>
        </w:rPr>
      </w:pPr>
    </w:p>
  </w:footnote>
  <w:footnote w:id="3">
    <w:p w14:paraId="00E16DA5" w14:textId="77777777" w:rsidR="003D6384" w:rsidRPr="00A76C07" w:rsidRDefault="003D6384" w:rsidP="003D6384">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Ley 489 de 1998. Artículo 3 “Principios de la función administrativa. La función administrativa se desarrollará conforme a los principios constitucionales, en particular los atinentes a la buena fe, igualdad, moralidad, celeridad, economía, imparcialidad, eficacia, eficiencia, participación, publicidad, responsabilidad y transparencia. Los principios anteriores se aplicarán, igualmente, en la prestación de servicios públicos, en cuánto fueren compatibles con su naturaleza y régimen”</w:t>
      </w:r>
    </w:p>
    <w:p w14:paraId="6337FC4D" w14:textId="77777777" w:rsidR="003D6384" w:rsidRPr="00A76C07" w:rsidRDefault="003D6384" w:rsidP="003D6384">
      <w:pPr>
        <w:pStyle w:val="Textonotapie"/>
        <w:ind w:firstLine="708"/>
        <w:jc w:val="both"/>
        <w:rPr>
          <w:rFonts w:ascii="Verdana" w:hAnsi="Verdana"/>
          <w:sz w:val="10"/>
          <w:szCs w:val="10"/>
        </w:rPr>
      </w:pPr>
    </w:p>
  </w:footnote>
  <w:footnote w:id="4">
    <w:p w14:paraId="75D6FA00" w14:textId="77777777" w:rsidR="003D6384" w:rsidRPr="00A76C07" w:rsidRDefault="003D6384" w:rsidP="003D6384">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Decreto 403 de 2020. Artículo 3 “Principios de la vigilancia y el control fiscal. La vigilancia y el control fiscal se fundamentan en los siguientes principios: […]”</w:t>
      </w:r>
    </w:p>
    <w:p w14:paraId="5341CA1C" w14:textId="77777777" w:rsidR="003D6384" w:rsidRPr="00A76C07" w:rsidRDefault="003D6384" w:rsidP="003D6384">
      <w:pPr>
        <w:pStyle w:val="Textonotapie"/>
        <w:ind w:firstLine="708"/>
        <w:jc w:val="both"/>
        <w:rPr>
          <w:rFonts w:ascii="Verdana" w:hAnsi="Verdana"/>
          <w:sz w:val="10"/>
          <w:szCs w:val="10"/>
        </w:rPr>
      </w:pPr>
    </w:p>
  </w:footnote>
  <w:footnote w:id="5">
    <w:p w14:paraId="1DF3749B" w14:textId="77777777" w:rsidR="003D6384" w:rsidRPr="00A76C07" w:rsidRDefault="003D6384" w:rsidP="003D6384">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1FCD2F62" w14:textId="77777777" w:rsidR="003D6384" w:rsidRPr="00A76C07" w:rsidRDefault="003D6384" w:rsidP="003D6384">
      <w:pPr>
        <w:pStyle w:val="Textonotapie"/>
        <w:ind w:firstLine="708"/>
        <w:jc w:val="both"/>
        <w:rPr>
          <w:rFonts w:ascii="Verdana" w:hAnsi="Verdana"/>
          <w:sz w:val="10"/>
          <w:szCs w:val="10"/>
          <w:lang w:val="es-CO"/>
        </w:rPr>
      </w:pPr>
    </w:p>
  </w:footnote>
  <w:footnote w:id="6">
    <w:p w14:paraId="1D9F8A9C" w14:textId="77777777" w:rsidR="003D6384" w:rsidRPr="00A76C07" w:rsidRDefault="003D6384" w:rsidP="003D6384">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Ley 1150 de 2007: “Artículo 2. De las modalidades de selección. La escogencia del contratista se efectuará con arreglo a las modalidades de selección de licitación pública, selección abreviada, concurso de méritos y contratación directa. </w:t>
      </w:r>
    </w:p>
  </w:footnote>
  <w:footnote w:id="7">
    <w:p w14:paraId="0C954B81"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3D6384">
        <w:rPr>
          <w:rStyle w:val="Refdenotaalpie"/>
          <w:rFonts w:ascii="Verdana" w:hAnsi="Verdana"/>
          <w:sz w:val="10"/>
          <w:szCs w:val="10"/>
        </w:rPr>
        <w:footnoteRef/>
      </w:r>
      <w:r w:rsidRPr="00A76C07">
        <w:rPr>
          <w:rFonts w:ascii="Verdana" w:hAnsi="Verdana"/>
          <w:sz w:val="10"/>
          <w:szCs w:val="10"/>
        </w:rPr>
        <w:t xml:space="preserve"> </w:t>
      </w:r>
      <w:r w:rsidRPr="00A76C07">
        <w:rPr>
          <w:rFonts w:ascii="Verdana" w:hAnsi="Verdana" w:cs="Arial"/>
          <w:color w:val="000000"/>
          <w:sz w:val="10"/>
          <w:szCs w:val="10"/>
        </w:rPr>
        <w:t>Serán causales de selección abreviada las siguientes:   </w:t>
      </w:r>
    </w:p>
    <w:p w14:paraId="567E5C9E"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w:t>
      </w:r>
    </w:p>
    <w:p w14:paraId="48B4018C"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3CAC4422"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b) La contratación de menor cuantía. Se entenderá por menor cuantía los valores que a continuación se relacionan, determinados en función de los presupuestos anuales de las entidades públicas expresados en salarios mínimos legales mensuales.  </w:t>
      </w:r>
    </w:p>
    <w:p w14:paraId="37BE91E3"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  </w:t>
      </w:r>
    </w:p>
    <w:p w14:paraId="24EF7A86"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   </w:t>
      </w:r>
    </w:p>
    <w:p w14:paraId="123C1DFB"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d) La contratación cuyo proceso de licitación pública haya sido declarado desierto; en cuyo caso la entidad deberá iniciar la selección abreviada dentro de los cuatro meses siguientes a la declaración de desierta del proceso inicial;   </w:t>
      </w:r>
    </w:p>
    <w:p w14:paraId="2756DB9C"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e) La enajenación de bienes del Estado, con excepción de aquellos a que se refiere la Ley 226 de 1995.  </w:t>
      </w:r>
    </w:p>
    <w:p w14:paraId="4A33B6B4"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w:t>
      </w:r>
    </w:p>
    <w:p w14:paraId="3CF4F8B9"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f) Productos de origen o destinación agropecuarios que se ofrezcan en las bolsas de productos legalmente constituidas;   </w:t>
      </w:r>
    </w:p>
    <w:p w14:paraId="1CF6A92D"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3DC4E044"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  </w:t>
      </w:r>
    </w:p>
    <w:p w14:paraId="44DC5E07"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i) La contratación de bienes y servicios que se requieran para la defensa y seguridad nacional.   </w:t>
      </w:r>
    </w:p>
    <w:p w14:paraId="55101DC4" w14:textId="77777777" w:rsidR="003D6384" w:rsidRPr="00A76C07" w:rsidRDefault="003D6384" w:rsidP="003D6384">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  </w:t>
      </w:r>
    </w:p>
    <w:p w14:paraId="6652BF45" w14:textId="77777777" w:rsidR="003D6384" w:rsidRPr="00A76C07" w:rsidRDefault="003D6384" w:rsidP="003D6384">
      <w:pPr>
        <w:pStyle w:val="Textonotapie"/>
        <w:rPr>
          <w:sz w:val="10"/>
          <w:szCs w:val="10"/>
          <w:lang w:val="es-CO"/>
        </w:rPr>
      </w:pPr>
    </w:p>
  </w:footnote>
  <w:footnote w:id="8">
    <w:p w14:paraId="0F809675" w14:textId="77777777" w:rsidR="003D6384" w:rsidRPr="002D163E" w:rsidRDefault="003D6384" w:rsidP="003D6384">
      <w:pPr>
        <w:pStyle w:val="Textonotapie"/>
        <w:jc w:val="both"/>
        <w:rPr>
          <w:rFonts w:ascii="Arial" w:hAnsi="Arial" w:cs="Arial"/>
          <w:sz w:val="18"/>
          <w:szCs w:val="18"/>
        </w:rPr>
      </w:pPr>
      <w:r w:rsidRPr="002D163E">
        <w:rPr>
          <w:rStyle w:val="Refdenotaalpie"/>
          <w:rFonts w:ascii="Arial" w:hAnsi="Arial" w:cs="Arial"/>
          <w:sz w:val="18"/>
          <w:szCs w:val="18"/>
        </w:rPr>
        <w:footnoteRef/>
      </w:r>
      <w:r w:rsidRPr="002D163E">
        <w:rPr>
          <w:rFonts w:ascii="Arial" w:hAnsi="Arial" w:cs="Arial"/>
          <w:sz w:val="18"/>
          <w:szCs w:val="18"/>
        </w:rPr>
        <w:t xml:space="preserve"> Exposición de motivos de la ley 1150 de 2007.</w:t>
      </w:r>
    </w:p>
    <w:p w14:paraId="5318B88E" w14:textId="77777777" w:rsidR="003D6384" w:rsidRPr="002D163E" w:rsidRDefault="003D6384" w:rsidP="003D6384">
      <w:pPr>
        <w:pStyle w:val="Textonotapie"/>
        <w:jc w:val="both"/>
        <w:rPr>
          <w:rFonts w:ascii="Arial" w:hAnsi="Arial" w:cs="Arial"/>
          <w:sz w:val="18"/>
          <w:szCs w:val="18"/>
          <w:lang w:val="es-CO"/>
        </w:rPr>
      </w:pPr>
    </w:p>
  </w:footnote>
  <w:footnote w:id="9">
    <w:p w14:paraId="766D064F" w14:textId="77777777" w:rsidR="003D6384" w:rsidRPr="002D163E" w:rsidRDefault="003D6384" w:rsidP="003D6384">
      <w:pPr>
        <w:pStyle w:val="Textonotapie"/>
        <w:jc w:val="both"/>
        <w:rPr>
          <w:rFonts w:ascii="Arial" w:hAnsi="Arial" w:cs="Arial"/>
          <w:sz w:val="18"/>
          <w:szCs w:val="18"/>
          <w:lang w:val="es-CO"/>
        </w:rPr>
      </w:pPr>
      <w:r w:rsidRPr="002717C8">
        <w:rPr>
          <w:rStyle w:val="Refdenotaalpie"/>
          <w:rFonts w:ascii="Arial" w:hAnsi="Arial" w:cs="Arial"/>
          <w:sz w:val="18"/>
          <w:szCs w:val="18"/>
        </w:rPr>
        <w:footnoteRef/>
      </w:r>
      <w:r w:rsidRPr="002717C8">
        <w:rPr>
          <w:rStyle w:val="Refdenotaalpie"/>
          <w:rFonts w:ascii="Arial" w:hAnsi="Arial" w:cs="Arial"/>
          <w:sz w:val="18"/>
          <w:szCs w:val="18"/>
        </w:rPr>
        <w:t xml:space="preserve"> </w:t>
      </w:r>
      <w:r w:rsidRPr="002D163E">
        <w:rPr>
          <w:rFonts w:ascii="Arial" w:eastAsia="Times New Roman" w:hAnsi="Arial" w:cs="Arial"/>
          <w:sz w:val="18"/>
          <w:szCs w:val="18"/>
          <w:lang w:val="es-CO" w:eastAsia="es-CO"/>
        </w:rPr>
        <w:t>Decreto 1082 del 2015</w:t>
      </w:r>
    </w:p>
  </w:footnote>
  <w:footnote w:id="10">
    <w:p w14:paraId="4F980606" w14:textId="77777777" w:rsidR="003D6384" w:rsidRPr="002D163E" w:rsidRDefault="003D6384" w:rsidP="003D6384">
      <w:pPr>
        <w:pStyle w:val="Textonotapie"/>
        <w:jc w:val="both"/>
        <w:rPr>
          <w:rFonts w:ascii="Arial" w:hAnsi="Arial" w:cs="Arial"/>
          <w:sz w:val="18"/>
          <w:szCs w:val="18"/>
          <w:lang w:val="es-CO"/>
        </w:rPr>
      </w:pPr>
      <w:r w:rsidRPr="002D163E">
        <w:rPr>
          <w:rStyle w:val="Refdenotaalpie"/>
          <w:rFonts w:ascii="Arial" w:hAnsi="Arial" w:cs="Arial"/>
          <w:sz w:val="18"/>
          <w:szCs w:val="18"/>
        </w:rPr>
        <w:footnoteRef/>
      </w:r>
      <w:r w:rsidRPr="002D163E">
        <w:rPr>
          <w:rFonts w:ascii="Arial" w:hAnsi="Arial" w:cs="Arial"/>
          <w:sz w:val="18"/>
          <w:szCs w:val="18"/>
        </w:rPr>
        <w:t xml:space="preserve"> </w:t>
      </w:r>
      <w:r w:rsidRPr="002D163E">
        <w:rPr>
          <w:rFonts w:ascii="Arial" w:hAnsi="Arial" w:cs="Arial"/>
          <w:sz w:val="18"/>
          <w:szCs w:val="18"/>
          <w:lang w:val="es-CO"/>
        </w:rPr>
        <w:t xml:space="preserve">Cuando se refiere en el presente concepto a reunir, se incluye cualquier medio electrónico o presencial en el que las entidades puedas concentrar a los interesados para adelantar el trámite del certamen de subasta.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6110069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D03"/>
    <w:rsid w:val="000037C7"/>
    <w:rsid w:val="00016F78"/>
    <w:rsid w:val="00046945"/>
    <w:rsid w:val="0005312D"/>
    <w:rsid w:val="000533A4"/>
    <w:rsid w:val="00054C17"/>
    <w:rsid w:val="00061B2A"/>
    <w:rsid w:val="00082362"/>
    <w:rsid w:val="000A67FC"/>
    <w:rsid w:val="000A683E"/>
    <w:rsid w:val="000B19B9"/>
    <w:rsid w:val="000D0334"/>
    <w:rsid w:val="000F6486"/>
    <w:rsid w:val="000F66FC"/>
    <w:rsid w:val="00125105"/>
    <w:rsid w:val="00127233"/>
    <w:rsid w:val="00141733"/>
    <w:rsid w:val="001511A0"/>
    <w:rsid w:val="00152B00"/>
    <w:rsid w:val="00164AAA"/>
    <w:rsid w:val="00194432"/>
    <w:rsid w:val="001E4177"/>
    <w:rsid w:val="001E7C3E"/>
    <w:rsid w:val="001F7051"/>
    <w:rsid w:val="001F7DC6"/>
    <w:rsid w:val="002118B9"/>
    <w:rsid w:val="00240498"/>
    <w:rsid w:val="002421BB"/>
    <w:rsid w:val="0025796E"/>
    <w:rsid w:val="002707A2"/>
    <w:rsid w:val="002951A0"/>
    <w:rsid w:val="002962BC"/>
    <w:rsid w:val="002A093D"/>
    <w:rsid w:val="002A0DD0"/>
    <w:rsid w:val="002A49AC"/>
    <w:rsid w:val="002A64FD"/>
    <w:rsid w:val="002C2FDC"/>
    <w:rsid w:val="002C7A84"/>
    <w:rsid w:val="002E4FD9"/>
    <w:rsid w:val="00301DC2"/>
    <w:rsid w:val="00322A85"/>
    <w:rsid w:val="00324168"/>
    <w:rsid w:val="003448F4"/>
    <w:rsid w:val="003667CF"/>
    <w:rsid w:val="00374F5E"/>
    <w:rsid w:val="00377E3E"/>
    <w:rsid w:val="003A5E0E"/>
    <w:rsid w:val="003A779E"/>
    <w:rsid w:val="003B0916"/>
    <w:rsid w:val="003B7525"/>
    <w:rsid w:val="003C36C7"/>
    <w:rsid w:val="003D0F4D"/>
    <w:rsid w:val="003D5B0D"/>
    <w:rsid w:val="003D6384"/>
    <w:rsid w:val="003E0499"/>
    <w:rsid w:val="003F3941"/>
    <w:rsid w:val="00401A89"/>
    <w:rsid w:val="00406575"/>
    <w:rsid w:val="00414C74"/>
    <w:rsid w:val="00414D86"/>
    <w:rsid w:val="0042722E"/>
    <w:rsid w:val="0044528D"/>
    <w:rsid w:val="004A0962"/>
    <w:rsid w:val="004A1847"/>
    <w:rsid w:val="004A305D"/>
    <w:rsid w:val="004F21C4"/>
    <w:rsid w:val="004F47C6"/>
    <w:rsid w:val="004F685F"/>
    <w:rsid w:val="005566E8"/>
    <w:rsid w:val="005714F8"/>
    <w:rsid w:val="00574867"/>
    <w:rsid w:val="00591460"/>
    <w:rsid w:val="005B3816"/>
    <w:rsid w:val="005B7E71"/>
    <w:rsid w:val="005C3777"/>
    <w:rsid w:val="005C5CDC"/>
    <w:rsid w:val="005D476C"/>
    <w:rsid w:val="005E29C6"/>
    <w:rsid w:val="006219F8"/>
    <w:rsid w:val="006256FA"/>
    <w:rsid w:val="00665D70"/>
    <w:rsid w:val="006900D9"/>
    <w:rsid w:val="006B673B"/>
    <w:rsid w:val="006F708A"/>
    <w:rsid w:val="00706C16"/>
    <w:rsid w:val="00742EDF"/>
    <w:rsid w:val="00756841"/>
    <w:rsid w:val="00763E5F"/>
    <w:rsid w:val="007649AB"/>
    <w:rsid w:val="00771D0C"/>
    <w:rsid w:val="007833AC"/>
    <w:rsid w:val="007B268C"/>
    <w:rsid w:val="007B7171"/>
    <w:rsid w:val="007C0C0F"/>
    <w:rsid w:val="007C3DC2"/>
    <w:rsid w:val="007D3EBE"/>
    <w:rsid w:val="007E5497"/>
    <w:rsid w:val="007F0C2A"/>
    <w:rsid w:val="007F57CA"/>
    <w:rsid w:val="00806F5F"/>
    <w:rsid w:val="00820278"/>
    <w:rsid w:val="0084183F"/>
    <w:rsid w:val="00841D3C"/>
    <w:rsid w:val="00867F95"/>
    <w:rsid w:val="008843B6"/>
    <w:rsid w:val="00891928"/>
    <w:rsid w:val="00895A9D"/>
    <w:rsid w:val="008A4067"/>
    <w:rsid w:val="008A446D"/>
    <w:rsid w:val="008B1C69"/>
    <w:rsid w:val="008D180B"/>
    <w:rsid w:val="008D4527"/>
    <w:rsid w:val="008E1177"/>
    <w:rsid w:val="008F0EA7"/>
    <w:rsid w:val="0091249D"/>
    <w:rsid w:val="00923EEF"/>
    <w:rsid w:val="009419F9"/>
    <w:rsid w:val="0095685E"/>
    <w:rsid w:val="00961B09"/>
    <w:rsid w:val="00965334"/>
    <w:rsid w:val="0097093E"/>
    <w:rsid w:val="00986AC5"/>
    <w:rsid w:val="009A0DFA"/>
    <w:rsid w:val="009B2D26"/>
    <w:rsid w:val="009C71FA"/>
    <w:rsid w:val="009C72E7"/>
    <w:rsid w:val="009D3058"/>
    <w:rsid w:val="009D5300"/>
    <w:rsid w:val="009E3AAC"/>
    <w:rsid w:val="009E63EC"/>
    <w:rsid w:val="009F3A13"/>
    <w:rsid w:val="00A122D3"/>
    <w:rsid w:val="00A12B40"/>
    <w:rsid w:val="00A17F13"/>
    <w:rsid w:val="00A20739"/>
    <w:rsid w:val="00A30469"/>
    <w:rsid w:val="00A33C78"/>
    <w:rsid w:val="00AA1C0D"/>
    <w:rsid w:val="00AA4240"/>
    <w:rsid w:val="00AB0ADB"/>
    <w:rsid w:val="00B01B1A"/>
    <w:rsid w:val="00B36759"/>
    <w:rsid w:val="00B66319"/>
    <w:rsid w:val="00B72CD3"/>
    <w:rsid w:val="00B72FFF"/>
    <w:rsid w:val="00BC2766"/>
    <w:rsid w:val="00BC3D36"/>
    <w:rsid w:val="00BD7F72"/>
    <w:rsid w:val="00BE18C8"/>
    <w:rsid w:val="00BF4D4B"/>
    <w:rsid w:val="00C04FB3"/>
    <w:rsid w:val="00C330EB"/>
    <w:rsid w:val="00C41061"/>
    <w:rsid w:val="00C56417"/>
    <w:rsid w:val="00C754BE"/>
    <w:rsid w:val="00C76B1C"/>
    <w:rsid w:val="00CA0318"/>
    <w:rsid w:val="00CB0031"/>
    <w:rsid w:val="00CB6357"/>
    <w:rsid w:val="00CC1B26"/>
    <w:rsid w:val="00CC680D"/>
    <w:rsid w:val="00D2035C"/>
    <w:rsid w:val="00D346BA"/>
    <w:rsid w:val="00D423A2"/>
    <w:rsid w:val="00D520D8"/>
    <w:rsid w:val="00D531C2"/>
    <w:rsid w:val="00D63AC2"/>
    <w:rsid w:val="00D7383B"/>
    <w:rsid w:val="00DA231B"/>
    <w:rsid w:val="00DC156F"/>
    <w:rsid w:val="00DC39FC"/>
    <w:rsid w:val="00DC4502"/>
    <w:rsid w:val="00DF5254"/>
    <w:rsid w:val="00E16408"/>
    <w:rsid w:val="00E20894"/>
    <w:rsid w:val="00E245AB"/>
    <w:rsid w:val="00E2764C"/>
    <w:rsid w:val="00E27F2E"/>
    <w:rsid w:val="00E404D9"/>
    <w:rsid w:val="00E50AFE"/>
    <w:rsid w:val="00E57298"/>
    <w:rsid w:val="00E74132"/>
    <w:rsid w:val="00E75C92"/>
    <w:rsid w:val="00E771DC"/>
    <w:rsid w:val="00E8772A"/>
    <w:rsid w:val="00E90F6B"/>
    <w:rsid w:val="00E92C27"/>
    <w:rsid w:val="00EA0E3D"/>
    <w:rsid w:val="00EC38A7"/>
    <w:rsid w:val="00ED728C"/>
    <w:rsid w:val="00ED7384"/>
    <w:rsid w:val="00EE1AA8"/>
    <w:rsid w:val="00F02115"/>
    <w:rsid w:val="00F140AF"/>
    <w:rsid w:val="00F31EDC"/>
    <w:rsid w:val="00F41642"/>
    <w:rsid w:val="00F42AE6"/>
    <w:rsid w:val="00F462B3"/>
    <w:rsid w:val="00F5664F"/>
    <w:rsid w:val="00F666C4"/>
    <w:rsid w:val="00F76AFC"/>
    <w:rsid w:val="00FA47C0"/>
    <w:rsid w:val="00FA546D"/>
    <w:rsid w:val="00FB5DD1"/>
    <w:rsid w:val="00FB6F44"/>
    <w:rsid w:val="00FC2B5D"/>
    <w:rsid w:val="00FF1449"/>
    <w:rsid w:val="00FF5D5C"/>
    <w:rsid w:val="01396A86"/>
    <w:rsid w:val="03815405"/>
    <w:rsid w:val="0A2743F3"/>
    <w:rsid w:val="0ABCBFA3"/>
    <w:rsid w:val="0EA633DC"/>
    <w:rsid w:val="126DDD33"/>
    <w:rsid w:val="16056AF3"/>
    <w:rsid w:val="165E9519"/>
    <w:rsid w:val="2E996FFE"/>
    <w:rsid w:val="2FFCBAF2"/>
    <w:rsid w:val="331A6030"/>
    <w:rsid w:val="382536D9"/>
    <w:rsid w:val="3DA8371F"/>
    <w:rsid w:val="4042C05E"/>
    <w:rsid w:val="447323F6"/>
    <w:rsid w:val="457FC7E3"/>
    <w:rsid w:val="4DD1A86F"/>
    <w:rsid w:val="4EF4169C"/>
    <w:rsid w:val="4FFB81FA"/>
    <w:rsid w:val="5160BFB1"/>
    <w:rsid w:val="57EE900D"/>
    <w:rsid w:val="5B2F5FB6"/>
    <w:rsid w:val="6096CB08"/>
    <w:rsid w:val="6111399A"/>
    <w:rsid w:val="650532F5"/>
    <w:rsid w:val="6B11EC34"/>
    <w:rsid w:val="6EFDAB80"/>
    <w:rsid w:val="7B6AA7A6"/>
    <w:rsid w:val="7C183931"/>
    <w:rsid w:val="7EA56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3667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D6384"/>
    <w:pPr>
      <w:spacing w:line="240" w:lineRule="exact"/>
    </w:pPr>
    <w:rPr>
      <w:vertAlign w:val="superscript"/>
    </w:rPr>
  </w:style>
  <w:style w:type="character" w:customStyle="1" w:styleId="NormalWebCar">
    <w:name w:val="Normal (Web) Car"/>
    <w:link w:val="NormalWeb"/>
    <w:uiPriority w:val="99"/>
    <w:rsid w:val="003D6384"/>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sid w:val="003667C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cionpublica.gov.co/eva/gestornormativo/norma.php?i=160966"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EB035FC-BE7D-4997-B527-0CD019065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4184</Words>
  <Characters>23014</Characters>
  <Application>Microsoft Office Word</Application>
  <DocSecurity>0</DocSecurity>
  <Lines>191</Lines>
  <Paragraphs>54</Paragraphs>
  <ScaleCrop>false</ScaleCrop>
  <Company/>
  <LinksUpToDate>false</LinksUpToDate>
  <CharactersWithSpaces>27144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3</cp:revision>
  <cp:lastPrinted>2023-01-10T21:18:00Z</cp:lastPrinted>
  <dcterms:created xsi:type="dcterms:W3CDTF">2025-09-09T03:30:00Z</dcterms:created>
  <dcterms:modified xsi:type="dcterms:W3CDTF">2025-09-11T21:30:00Z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