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44B4A" w14:textId="03B6C075" w:rsidR="00D20103" w:rsidRDefault="00D20103" w:rsidP="00930225">
      <w:pPr>
        <w:spacing w:after="0" w:line="240" w:lineRule="auto"/>
        <w:jc w:val="both"/>
        <w:rPr>
          <w:rFonts w:ascii="Verdana" w:eastAsia="Times New Roman" w:hAnsi="Verdana" w:cs="Arial"/>
          <w:b/>
          <w:bCs/>
          <w:lang w:val="es-MX" w:eastAsia="es-CO"/>
        </w:rPr>
      </w:pPr>
      <w:bookmarkStart w:id="0" w:name="_Hlk143780582"/>
      <w:bookmarkStart w:id="1" w:name="_Hlk202875225"/>
      <w:bookmarkStart w:id="2" w:name="_Hlk203032812"/>
      <w:bookmarkStart w:id="3" w:name="_Hlk204367265"/>
      <w:bookmarkStart w:id="4" w:name="_Hlk206116713"/>
      <w:r w:rsidRPr="00D20103">
        <w:rPr>
          <w:rFonts w:ascii="Verdana" w:eastAsia="Times New Roman" w:hAnsi="Verdana" w:cs="Arial"/>
          <w:b/>
          <w:bCs/>
          <w:lang w:val="es-MX" w:eastAsia="es-CO"/>
        </w:rPr>
        <w:t>SELECCIÓN ABREVIADA – Modalidad de selección – Naturaleza </w:t>
      </w:r>
    </w:p>
    <w:p w14:paraId="45EA5557" w14:textId="77777777" w:rsidR="00D20103" w:rsidRDefault="00D20103" w:rsidP="00930225">
      <w:pPr>
        <w:spacing w:after="0" w:line="240" w:lineRule="auto"/>
        <w:jc w:val="both"/>
        <w:rPr>
          <w:rFonts w:ascii="Verdana" w:eastAsia="Times New Roman" w:hAnsi="Verdana" w:cs="Arial"/>
          <w:b/>
          <w:bCs/>
          <w:lang w:val="es-MX" w:eastAsia="es-CO"/>
        </w:rPr>
      </w:pPr>
    </w:p>
    <w:p w14:paraId="1ED7D9DA" w14:textId="6C78572E" w:rsidR="00D20103" w:rsidRPr="00D20103" w:rsidRDefault="00D20103" w:rsidP="00D20103">
      <w:pPr>
        <w:spacing w:after="0" w:line="240" w:lineRule="auto"/>
        <w:jc w:val="both"/>
        <w:rPr>
          <w:rFonts w:ascii="Verdana" w:eastAsia="Times New Roman" w:hAnsi="Verdana" w:cs="Arial"/>
          <w:sz w:val="20"/>
          <w:szCs w:val="20"/>
          <w:lang w:eastAsia="es-CO"/>
        </w:rPr>
      </w:pPr>
      <w:r w:rsidRPr="00D20103">
        <w:rPr>
          <w:rFonts w:ascii="Verdana" w:eastAsia="Times New Roman" w:hAnsi="Verdana" w:cs="Arial"/>
          <w:sz w:val="20"/>
          <w:szCs w:val="20"/>
          <w:lang w:val="es-ES" w:eastAsia="es-CO"/>
        </w:rPr>
        <w:t xml:space="preserve">[…] en el artículo 2 de la Ley 1150 de 2007 se regulan las modalidades de licitación pública, </w:t>
      </w:r>
      <w:r w:rsidRPr="00D20103">
        <w:rPr>
          <w:rFonts w:ascii="Verdana" w:eastAsia="Times New Roman" w:hAnsi="Verdana" w:cs="Arial"/>
          <w:i/>
          <w:sz w:val="20"/>
          <w:szCs w:val="20"/>
          <w:lang w:val="es-ES" w:eastAsia="es-CO"/>
        </w:rPr>
        <w:t>selección abreviada</w:t>
      </w:r>
      <w:r w:rsidRPr="00D20103">
        <w:rPr>
          <w:rFonts w:ascii="Verdana" w:eastAsia="Times New Roman" w:hAnsi="Verdana" w:cs="Arial"/>
          <w:sz w:val="20"/>
          <w:szCs w:val="20"/>
          <w:lang w:val="es-ES" w:eastAsia="es-CO"/>
        </w:rPr>
        <w:t xml:space="preserve">, concurso de méritos, contratación directa y contratación de mínima cuantía. Cada una de estas modalidades contempla procedimientos compuestos por </w:t>
      </w:r>
      <w:r w:rsidRPr="00D20103">
        <w:rPr>
          <w:rFonts w:ascii="Verdana" w:eastAsia="Times New Roman" w:hAnsi="Verdana" w:cs="Arial"/>
          <w:sz w:val="20"/>
          <w:szCs w:val="20"/>
          <w:lang w:eastAsia="es-CO"/>
        </w:rPr>
        <w:t>etapas específicas para la adquisición de obras, bienes y servicios. Por ello, cada entidad es responsable de estructurarlos, siempre que respete el principio de legalidad.</w:t>
      </w:r>
    </w:p>
    <w:p w14:paraId="4DC2EABE" w14:textId="77777777" w:rsidR="00D20103" w:rsidRPr="00D20103" w:rsidRDefault="00D20103" w:rsidP="00D20103">
      <w:pPr>
        <w:spacing w:after="0" w:line="240" w:lineRule="auto"/>
        <w:jc w:val="both"/>
        <w:rPr>
          <w:rFonts w:ascii="Verdana" w:eastAsia="Times New Roman" w:hAnsi="Verdana" w:cs="Arial"/>
          <w:sz w:val="20"/>
          <w:szCs w:val="20"/>
          <w:lang w:eastAsia="es-CO"/>
        </w:rPr>
      </w:pPr>
    </w:p>
    <w:p w14:paraId="258A5B12" w14:textId="0228A901" w:rsidR="00D20103" w:rsidRPr="00D20103" w:rsidRDefault="00D20103" w:rsidP="00D20103">
      <w:pPr>
        <w:spacing w:after="0" w:line="240" w:lineRule="auto"/>
        <w:jc w:val="both"/>
        <w:rPr>
          <w:rFonts w:ascii="Verdana" w:hAnsi="Verdana"/>
          <w:sz w:val="20"/>
          <w:szCs w:val="20"/>
        </w:rPr>
      </w:pPr>
      <w:r w:rsidRPr="00D20103">
        <w:rPr>
          <w:rFonts w:ascii="Verdana" w:hAnsi="Verdana"/>
          <w:sz w:val="20"/>
          <w:szCs w:val="20"/>
        </w:rPr>
        <w:t xml:space="preserve">[…] </w:t>
      </w:r>
    </w:p>
    <w:p w14:paraId="23B9FB8D" w14:textId="77777777" w:rsidR="00D20103" w:rsidRPr="00D20103" w:rsidRDefault="00D20103" w:rsidP="00D20103">
      <w:pPr>
        <w:spacing w:after="0" w:line="240" w:lineRule="auto"/>
        <w:jc w:val="both"/>
        <w:rPr>
          <w:rFonts w:ascii="Verdana" w:hAnsi="Verdana"/>
          <w:b/>
          <w:bCs/>
          <w:sz w:val="20"/>
          <w:szCs w:val="20"/>
        </w:rPr>
      </w:pPr>
    </w:p>
    <w:p w14:paraId="4CDC8B14" w14:textId="48434F24" w:rsidR="00D20103" w:rsidRDefault="00D20103" w:rsidP="00D20103">
      <w:pPr>
        <w:spacing w:after="0" w:line="240" w:lineRule="auto"/>
        <w:jc w:val="both"/>
        <w:textAlignment w:val="baseline"/>
        <w:rPr>
          <w:rFonts w:ascii="Verdana" w:eastAsia="Times New Roman" w:hAnsi="Verdana" w:cs="Arial"/>
          <w:sz w:val="20"/>
          <w:szCs w:val="20"/>
          <w:shd w:val="clear" w:color="auto" w:fill="FFFFFF"/>
          <w:lang w:eastAsia="es-CO"/>
        </w:rPr>
      </w:pPr>
      <w:r w:rsidRPr="00D20103">
        <w:rPr>
          <w:rFonts w:ascii="Verdana" w:eastAsia="Times New Roman" w:hAnsi="Verdana" w:cs="Arial"/>
          <w:sz w:val="20"/>
          <w:szCs w:val="20"/>
          <w:shd w:val="clear" w:color="auto" w:fill="FFFFFF"/>
          <w:lang w:eastAsia="es-CO"/>
        </w:rPr>
        <w:t xml:space="preserve">[…] el legislador divide de forma disyuntiva los supuestos bajo los cuales se configura la eventual utilización de esta modalidad de selección abreviada, bien sea </w:t>
      </w:r>
      <w:r w:rsidRPr="00D20103">
        <w:rPr>
          <w:rFonts w:ascii="Verdana" w:eastAsia="Times New Roman" w:hAnsi="Verdana" w:cs="Arial"/>
          <w:sz w:val="20"/>
          <w:szCs w:val="20"/>
          <w:lang w:eastAsia="es-CO"/>
        </w:rPr>
        <w:t>por las características del objeto a contratar, las circunstancias de la contratación o la cuantía o destinación del bien, obra o servicio.</w:t>
      </w:r>
      <w:r w:rsidRPr="00D20103">
        <w:rPr>
          <w:rFonts w:ascii="Verdana" w:eastAsia="Times New Roman" w:hAnsi="Verdana" w:cs="Arial"/>
          <w:sz w:val="20"/>
          <w:szCs w:val="20"/>
          <w:shd w:val="clear" w:color="auto" w:fill="FFFFFF"/>
          <w:lang w:eastAsia="es-CO"/>
        </w:rPr>
        <w:t xml:space="preserve"> En ese orden de ideas, esta modalidad de selección procede por las causales previstas en la ley, las cuales determinan, entre otras cosas, los criterios </w:t>
      </w:r>
      <w:proofErr w:type="gramStart"/>
      <w:r w:rsidRPr="00D20103">
        <w:rPr>
          <w:rFonts w:ascii="Verdana" w:eastAsia="Times New Roman" w:hAnsi="Verdana" w:cs="Arial"/>
          <w:sz w:val="20"/>
          <w:szCs w:val="20"/>
          <w:shd w:val="clear" w:color="auto" w:fill="FFFFFF"/>
          <w:lang w:eastAsia="es-CO"/>
        </w:rPr>
        <w:t>a</w:t>
      </w:r>
      <w:proofErr w:type="gramEnd"/>
      <w:r w:rsidRPr="00D20103">
        <w:rPr>
          <w:rFonts w:ascii="Verdana" w:eastAsia="Times New Roman" w:hAnsi="Verdana" w:cs="Arial"/>
          <w:sz w:val="20"/>
          <w:szCs w:val="20"/>
          <w:shd w:val="clear" w:color="auto" w:fill="FFFFFF"/>
          <w:lang w:eastAsia="es-CO"/>
        </w:rPr>
        <w:t xml:space="preserve"> tener en cuenta para la escogencia del contratista que proveerá el bien o servicio, además de sus respectivas reglas para llevar a cabo el proceso de selección. </w:t>
      </w:r>
    </w:p>
    <w:p w14:paraId="06FAB8A4" w14:textId="77777777" w:rsidR="00D20103" w:rsidRDefault="00D20103" w:rsidP="00D20103">
      <w:pPr>
        <w:spacing w:after="0" w:line="240" w:lineRule="auto"/>
        <w:jc w:val="both"/>
        <w:textAlignment w:val="baseline"/>
        <w:rPr>
          <w:rFonts w:ascii="Verdana" w:eastAsia="Times New Roman" w:hAnsi="Verdana" w:cs="Arial"/>
          <w:sz w:val="20"/>
          <w:szCs w:val="20"/>
          <w:shd w:val="clear" w:color="auto" w:fill="FFFFFF"/>
          <w:lang w:eastAsia="es-CO"/>
        </w:rPr>
      </w:pPr>
    </w:p>
    <w:p w14:paraId="5F5FD087" w14:textId="320B94B3" w:rsidR="00D20103" w:rsidRPr="00D15CE5" w:rsidRDefault="00D20103" w:rsidP="00D20103">
      <w:pPr>
        <w:spacing w:after="0" w:line="240" w:lineRule="auto"/>
        <w:jc w:val="both"/>
        <w:textAlignment w:val="baseline"/>
        <w:rPr>
          <w:rFonts w:ascii="Verdana" w:eastAsia="Times New Roman" w:hAnsi="Verdana" w:cs="Arial"/>
          <w:b/>
          <w:bCs/>
          <w:lang w:val="es-MX" w:eastAsia="es-CO"/>
        </w:rPr>
      </w:pPr>
      <w:r w:rsidRPr="00D15CE5">
        <w:rPr>
          <w:rFonts w:ascii="Verdana" w:eastAsia="Times New Roman" w:hAnsi="Verdana" w:cs="Arial"/>
          <w:b/>
          <w:bCs/>
          <w:lang w:val="es-MX" w:eastAsia="es-CO"/>
        </w:rPr>
        <w:t>SELECCIÓN ABREVIADA SUBASTA INVERSA – Modalidad de selección – Finalidad – Articulo 2 Numeral 2 de la Ley 1150 de 2007 </w:t>
      </w:r>
    </w:p>
    <w:p w14:paraId="1ED9CD91" w14:textId="77777777" w:rsidR="00D20103" w:rsidRDefault="00D20103" w:rsidP="00D20103">
      <w:pPr>
        <w:spacing w:after="0" w:line="240" w:lineRule="auto"/>
        <w:jc w:val="both"/>
        <w:textAlignment w:val="baseline"/>
        <w:rPr>
          <w:rFonts w:ascii="Verdana" w:eastAsia="Times New Roman" w:hAnsi="Verdana" w:cs="Arial"/>
          <w:sz w:val="20"/>
          <w:szCs w:val="20"/>
          <w:shd w:val="clear" w:color="auto" w:fill="FFFFFF"/>
          <w:lang w:eastAsia="es-CO"/>
        </w:rPr>
      </w:pPr>
    </w:p>
    <w:p w14:paraId="489DBB60" w14:textId="77777777" w:rsidR="00D20103" w:rsidRPr="00D15CE5" w:rsidRDefault="00D20103" w:rsidP="00D20103">
      <w:pPr>
        <w:spacing w:after="0" w:line="240" w:lineRule="auto"/>
        <w:jc w:val="both"/>
        <w:textAlignment w:val="baseline"/>
        <w:rPr>
          <w:rFonts w:ascii="Verdana" w:eastAsia="Times New Roman" w:hAnsi="Verdana" w:cs="Arial"/>
          <w:sz w:val="20"/>
          <w:szCs w:val="20"/>
          <w:lang w:val="es-MX" w:eastAsia="es-CO"/>
        </w:rPr>
      </w:pPr>
      <w:r w:rsidRPr="00D15CE5">
        <w:rPr>
          <w:rFonts w:ascii="Verdana" w:eastAsia="Times New Roman" w:hAnsi="Verdana" w:cs="Arial"/>
          <w:sz w:val="20"/>
          <w:szCs w:val="20"/>
          <w:lang w:val="es-MX" w:eastAsia="es-CO"/>
        </w:rPr>
        <w:t>La subasta inversa es un mecanismo que se concibió con la finalidad de introducir una metodología alternativa para el proceso de negociación y perfeccionamiento del contrato estatal. Su regulación se encuentra en el literal a) del numeral 2 del artículo 2 de la Ley 1150 de 2007</w:t>
      </w:r>
    </w:p>
    <w:p w14:paraId="7A8E40A4" w14:textId="77777777" w:rsidR="00D20103" w:rsidRDefault="00D20103" w:rsidP="00D20103">
      <w:pPr>
        <w:spacing w:after="0" w:line="240" w:lineRule="auto"/>
        <w:jc w:val="both"/>
        <w:textAlignment w:val="baseline"/>
        <w:rPr>
          <w:rFonts w:ascii="Verdana" w:eastAsia="Times New Roman" w:hAnsi="Verdana" w:cs="Arial"/>
          <w:lang w:val="es-MX" w:eastAsia="es-CO"/>
        </w:rPr>
      </w:pPr>
    </w:p>
    <w:p w14:paraId="0BFDAE3C" w14:textId="77777777" w:rsidR="00D20103" w:rsidRPr="00D15CE5" w:rsidRDefault="00D20103" w:rsidP="00D20103">
      <w:pPr>
        <w:spacing w:after="0" w:line="240" w:lineRule="auto"/>
        <w:jc w:val="both"/>
        <w:textAlignment w:val="baseline"/>
        <w:rPr>
          <w:rFonts w:ascii="Verdana" w:eastAsia="Times New Roman" w:hAnsi="Verdana" w:cs="Arial"/>
          <w:b/>
          <w:bCs/>
          <w:lang w:val="es-MX" w:eastAsia="es-CO"/>
        </w:rPr>
      </w:pPr>
      <w:r w:rsidRPr="00D15CE5">
        <w:rPr>
          <w:rFonts w:ascii="Verdana" w:eastAsia="Times New Roman" w:hAnsi="Verdana" w:cs="Arial"/>
          <w:b/>
          <w:bCs/>
          <w:lang w:val="es-MX" w:eastAsia="es-CO"/>
        </w:rPr>
        <w:t>SELECCIÓN ABREVIADA SUBASTA INVERSA – Modalidad de selección – Procedencia</w:t>
      </w:r>
    </w:p>
    <w:p w14:paraId="73114E77" w14:textId="77777777" w:rsidR="00D20103" w:rsidRDefault="00D20103" w:rsidP="00D20103">
      <w:pPr>
        <w:spacing w:after="0" w:line="240" w:lineRule="auto"/>
        <w:jc w:val="both"/>
        <w:textAlignment w:val="baseline"/>
        <w:rPr>
          <w:rFonts w:ascii="Verdana" w:eastAsia="Times New Roman" w:hAnsi="Verdana" w:cs="Arial"/>
          <w:lang w:val="es-MX" w:eastAsia="es-CO"/>
        </w:rPr>
      </w:pPr>
    </w:p>
    <w:p w14:paraId="44CA9B50" w14:textId="0E2B447D" w:rsidR="00D20103" w:rsidRPr="00D15CE5" w:rsidRDefault="00D20103" w:rsidP="00D20103">
      <w:pPr>
        <w:spacing w:after="0" w:line="240" w:lineRule="auto"/>
        <w:jc w:val="both"/>
        <w:textAlignment w:val="baseline"/>
        <w:rPr>
          <w:rFonts w:ascii="Verdana" w:eastAsia="Times New Roman" w:hAnsi="Verdana" w:cs="Arial"/>
          <w:sz w:val="20"/>
          <w:szCs w:val="20"/>
          <w:lang w:eastAsia="es-CO"/>
        </w:rPr>
      </w:pPr>
      <w:r w:rsidRPr="00D15CE5">
        <w:rPr>
          <w:rFonts w:ascii="Verdana" w:eastAsia="Times New Roman" w:hAnsi="Verdana" w:cs="Arial"/>
          <w:sz w:val="20"/>
          <w:szCs w:val="20"/>
          <w:lang w:val="es-MX" w:eastAsia="es-CO"/>
        </w:rPr>
        <w:t>[…] procede para los procesos de selección abreviada que tienen por finalidad la adquisición de bienes y servicios de características técnicas uniformes y de común utilización</w:t>
      </w:r>
      <w:r w:rsidRPr="00D15CE5">
        <w:rPr>
          <w:rFonts w:ascii="Verdana" w:eastAsia="Times New Roman" w:hAnsi="Verdana" w:cs="Arial"/>
          <w:sz w:val="20"/>
          <w:szCs w:val="20"/>
          <w:lang w:eastAsia="es-CO"/>
        </w:rPr>
        <w:t>, por lo que el único factor de evaluación es el precio.</w:t>
      </w:r>
    </w:p>
    <w:p w14:paraId="43836054" w14:textId="77777777" w:rsidR="00D20103" w:rsidRDefault="00D20103" w:rsidP="00D20103">
      <w:pPr>
        <w:spacing w:after="0" w:line="240" w:lineRule="auto"/>
        <w:jc w:val="both"/>
        <w:textAlignment w:val="baseline"/>
        <w:rPr>
          <w:rFonts w:ascii="Verdana" w:eastAsia="Times New Roman" w:hAnsi="Verdana" w:cs="Arial"/>
          <w:lang w:eastAsia="es-CO"/>
        </w:rPr>
      </w:pPr>
    </w:p>
    <w:p w14:paraId="5BC7902B" w14:textId="563052F4" w:rsidR="00D20103" w:rsidRPr="00D15CE5" w:rsidRDefault="00D15CE5" w:rsidP="00D20103">
      <w:pPr>
        <w:spacing w:after="0" w:line="240" w:lineRule="auto"/>
        <w:jc w:val="both"/>
        <w:textAlignment w:val="baseline"/>
        <w:rPr>
          <w:rFonts w:ascii="Verdana" w:eastAsia="Times New Roman" w:hAnsi="Verdana" w:cs="Arial"/>
          <w:b/>
          <w:bCs/>
          <w:sz w:val="20"/>
          <w:szCs w:val="20"/>
          <w:shd w:val="clear" w:color="auto" w:fill="FFFFFF"/>
          <w:lang w:eastAsia="es-CO"/>
        </w:rPr>
      </w:pPr>
      <w:r w:rsidRPr="00D15CE5">
        <w:rPr>
          <w:rFonts w:ascii="Verdana" w:eastAsia="Times New Roman" w:hAnsi="Verdana" w:cs="Arial"/>
          <w:b/>
          <w:bCs/>
          <w:lang w:val="es-MX" w:eastAsia="es-CO"/>
        </w:rPr>
        <w:t>BIENES Y SERVICIOS DE CARACTERISTICAS TECNICAS UNIFORMES – Elementos</w:t>
      </w:r>
    </w:p>
    <w:p w14:paraId="1E5563A6" w14:textId="77777777" w:rsidR="00D20103" w:rsidRPr="00D15CE5" w:rsidRDefault="00D20103" w:rsidP="00D15CE5">
      <w:pPr>
        <w:spacing w:after="0" w:line="240" w:lineRule="auto"/>
        <w:jc w:val="both"/>
        <w:rPr>
          <w:rFonts w:ascii="Verdana" w:hAnsi="Verdana"/>
          <w:sz w:val="20"/>
          <w:szCs w:val="20"/>
        </w:rPr>
      </w:pPr>
    </w:p>
    <w:p w14:paraId="302BE356" w14:textId="77777777" w:rsidR="00D15CE5" w:rsidRPr="00D15CE5" w:rsidRDefault="00D15CE5" w:rsidP="00D15CE5">
      <w:pPr>
        <w:spacing w:after="0" w:line="240" w:lineRule="auto"/>
        <w:jc w:val="both"/>
        <w:textAlignment w:val="baseline"/>
        <w:rPr>
          <w:rFonts w:ascii="Verdana" w:eastAsia="Times New Roman" w:hAnsi="Verdana" w:cs="Arial"/>
          <w:sz w:val="20"/>
          <w:szCs w:val="20"/>
          <w:lang w:eastAsia="es-CO"/>
        </w:rPr>
      </w:pPr>
      <w:r w:rsidRPr="00D15CE5">
        <w:rPr>
          <w:rFonts w:ascii="Verdana" w:hAnsi="Verdana"/>
          <w:sz w:val="20"/>
          <w:szCs w:val="20"/>
        </w:rPr>
        <w:t xml:space="preserve">[…] </w:t>
      </w:r>
      <w:r w:rsidRPr="00D15CE5">
        <w:rPr>
          <w:rFonts w:ascii="Verdana" w:eastAsia="Times New Roman" w:hAnsi="Verdana" w:cs="Arial"/>
          <w:sz w:val="20"/>
          <w:szCs w:val="20"/>
          <w:lang w:val="es-MX" w:eastAsia="es-CO"/>
        </w:rPr>
        <w:t>la utilización de la subasta inversa en la selección abreviada está plenamente ligada con el tipo o la naturaleza de los bienes o servicios a adquirir, sin consideración al presupuesto estimado para su compra. En este mismo sentido, el artículo 2.2.1.2.1.2.2. del Decreto 1082 de 2015 indica que, en la selección abreviada para la adquisición de bienes y servicios de características técnicas uniformes por subasta inversa, además de las reglas generales previstas en la ley y en ese título del Decreto, deben observarse las reglas específicas allí enunciadas. Por ello, queda claro que para recurrir a la subasta inversa en la selección abreviada es determinante la naturaleza de los bienes y servicios que se pretenden adquirir.</w:t>
      </w:r>
      <w:r w:rsidRPr="00D15CE5">
        <w:rPr>
          <w:rFonts w:ascii="Verdana" w:eastAsia="Times New Roman" w:hAnsi="Verdana" w:cs="Arial"/>
          <w:sz w:val="20"/>
          <w:szCs w:val="20"/>
          <w:lang w:eastAsia="es-CO"/>
        </w:rPr>
        <w:t> </w:t>
      </w:r>
    </w:p>
    <w:p w14:paraId="32FAA0A4" w14:textId="77777777" w:rsidR="00D15CE5" w:rsidRDefault="00D15CE5" w:rsidP="00D15CE5">
      <w:pPr>
        <w:spacing w:after="0" w:line="240" w:lineRule="auto"/>
        <w:jc w:val="both"/>
        <w:textAlignment w:val="baseline"/>
        <w:rPr>
          <w:rFonts w:ascii="Verdana" w:eastAsia="Times New Roman" w:hAnsi="Verdana" w:cs="Arial"/>
          <w:sz w:val="20"/>
          <w:szCs w:val="20"/>
          <w:lang w:eastAsia="es-CO"/>
        </w:rPr>
      </w:pPr>
      <w:r w:rsidRPr="00D15CE5">
        <w:rPr>
          <w:rFonts w:ascii="Verdana" w:hAnsi="Verdana"/>
          <w:sz w:val="20"/>
          <w:szCs w:val="20"/>
        </w:rPr>
        <w:lastRenderedPageBreak/>
        <w:t xml:space="preserve">[…] </w:t>
      </w:r>
      <w:r w:rsidRPr="00D15CE5">
        <w:rPr>
          <w:rFonts w:ascii="Verdana" w:eastAsia="Times New Roman" w:hAnsi="Verdana" w:cs="Arial"/>
          <w:sz w:val="20"/>
          <w:szCs w:val="20"/>
          <w:lang w:val="es-ES" w:eastAsia="es-CO"/>
        </w:rPr>
        <w:t>los elementos centrales para definir si un bien o servicio se considera de características técnicas uniformes consiste en que posea las mismas especificaciones técnicas y compartan patrones de desempeño y calidad objetivamente definidos, de manera que sea posible adquirirlos en el mercado en condiciones estandarizadas u homogéneas. Esto, con independencia de su diseño o de sus características descriptivas, que no afectan su funcionalidad. En este sentido, la forma 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 </w:t>
      </w:r>
      <w:r w:rsidRPr="00D15CE5">
        <w:rPr>
          <w:rFonts w:ascii="Verdana" w:eastAsia="Times New Roman" w:hAnsi="Verdana" w:cs="Arial"/>
          <w:sz w:val="20"/>
          <w:szCs w:val="20"/>
          <w:lang w:eastAsia="es-CO"/>
        </w:rPr>
        <w:t> </w:t>
      </w:r>
    </w:p>
    <w:p w14:paraId="00F6E663" w14:textId="77777777" w:rsidR="00D15CE5" w:rsidRDefault="00D15CE5" w:rsidP="00D15CE5">
      <w:pPr>
        <w:spacing w:after="0" w:line="240" w:lineRule="auto"/>
        <w:jc w:val="both"/>
        <w:textAlignment w:val="baseline"/>
        <w:rPr>
          <w:rFonts w:ascii="Verdana" w:eastAsia="Times New Roman" w:hAnsi="Verdana" w:cs="Arial"/>
          <w:sz w:val="20"/>
          <w:szCs w:val="20"/>
          <w:lang w:eastAsia="es-CO"/>
        </w:rPr>
      </w:pPr>
    </w:p>
    <w:p w14:paraId="47871560" w14:textId="244BE369" w:rsidR="00D15CE5" w:rsidRPr="00D15CE5" w:rsidRDefault="00D15CE5" w:rsidP="00D15CE5">
      <w:pPr>
        <w:spacing w:after="0" w:line="240" w:lineRule="auto"/>
        <w:jc w:val="both"/>
        <w:textAlignment w:val="baseline"/>
        <w:rPr>
          <w:rFonts w:ascii="Verdana" w:eastAsia="Times New Roman" w:hAnsi="Verdana" w:cs="Arial"/>
          <w:b/>
          <w:bCs/>
          <w:sz w:val="20"/>
          <w:szCs w:val="20"/>
          <w:lang w:eastAsia="es-CO"/>
        </w:rPr>
      </w:pPr>
      <w:r w:rsidRPr="00D15CE5">
        <w:rPr>
          <w:rFonts w:ascii="Verdana" w:eastAsia="Times New Roman" w:hAnsi="Verdana" w:cs="Arial"/>
          <w:b/>
          <w:bCs/>
          <w:lang w:val="es-MX" w:eastAsia="es-CO"/>
        </w:rPr>
        <w:t>SELECCIÓN ABREVIADA SUBASTA INVERSA – Ficha técnica</w:t>
      </w:r>
    </w:p>
    <w:p w14:paraId="2CB8ABC3" w14:textId="77777777" w:rsidR="00D15CE5" w:rsidRPr="00D15CE5" w:rsidRDefault="00D15CE5" w:rsidP="00D15CE5">
      <w:pPr>
        <w:spacing w:after="0" w:line="240" w:lineRule="auto"/>
        <w:jc w:val="both"/>
        <w:textAlignment w:val="baseline"/>
        <w:rPr>
          <w:rFonts w:ascii="Verdana" w:eastAsia="Times New Roman" w:hAnsi="Verdana" w:cs="Arial"/>
          <w:sz w:val="20"/>
          <w:szCs w:val="20"/>
          <w:lang w:eastAsia="es-CO"/>
        </w:rPr>
      </w:pPr>
    </w:p>
    <w:p w14:paraId="593A997E" w14:textId="6C821C79" w:rsidR="00D15CE5" w:rsidRPr="00D15CE5" w:rsidRDefault="00D15CE5" w:rsidP="00930225">
      <w:pPr>
        <w:spacing w:after="0" w:line="240" w:lineRule="auto"/>
        <w:jc w:val="both"/>
        <w:rPr>
          <w:rFonts w:ascii="Verdana" w:hAnsi="Verdana"/>
          <w:sz w:val="20"/>
          <w:szCs w:val="20"/>
        </w:rPr>
      </w:pPr>
      <w:r w:rsidRPr="00D15CE5">
        <w:rPr>
          <w:rFonts w:ascii="Verdana" w:hAnsi="Verdana"/>
          <w:sz w:val="20"/>
          <w:szCs w:val="20"/>
        </w:rPr>
        <w:t xml:space="preserve">[…] un elemento esencial dentro de este tipo de modalidad corresponde al cumplimiento del contenido de la ficha técnica. Aunque no se encuentra definida formalmente en la normativa que regula la contratación pública, el Decreto 1082 de 2015, artículo 2.2.1.2.1.2.1 establece que, para contratar bienes y servicios de características técnicas uniformes, el pliego de condiciones debe indicar las especificaciones que deben estar incluidas en la “ficha técnica”. En particular, esta disposición señala que, para los procesos de selección abreviada para adquirir bienes y servicios de características técnicas uniformes, la ficha técnica debe contemplar los siguientes aspectos: i) la clasificación del bien o servicio de acuerdo con el Clasificador de Bienes y Servicios; </w:t>
      </w:r>
      <w:proofErr w:type="spellStart"/>
      <w:r w:rsidRPr="00D15CE5">
        <w:rPr>
          <w:rFonts w:ascii="Verdana" w:hAnsi="Verdana"/>
          <w:sz w:val="20"/>
          <w:szCs w:val="20"/>
        </w:rPr>
        <w:t>ii</w:t>
      </w:r>
      <w:proofErr w:type="spellEnd"/>
      <w:r w:rsidRPr="00D15CE5">
        <w:rPr>
          <w:rFonts w:ascii="Verdana" w:hAnsi="Verdana"/>
          <w:sz w:val="20"/>
          <w:szCs w:val="20"/>
        </w:rPr>
        <w:t xml:space="preserve">) la identificación adicional requerida; </w:t>
      </w:r>
      <w:proofErr w:type="spellStart"/>
      <w:r w:rsidRPr="00D15CE5">
        <w:rPr>
          <w:rFonts w:ascii="Verdana" w:hAnsi="Verdana"/>
          <w:sz w:val="20"/>
          <w:szCs w:val="20"/>
        </w:rPr>
        <w:t>iii</w:t>
      </w:r>
      <w:proofErr w:type="spellEnd"/>
      <w:r w:rsidRPr="00D15CE5">
        <w:rPr>
          <w:rFonts w:ascii="Verdana" w:hAnsi="Verdana"/>
          <w:sz w:val="20"/>
          <w:szCs w:val="20"/>
        </w:rPr>
        <w:t xml:space="preserve">) la unidad de medida; </w:t>
      </w:r>
      <w:proofErr w:type="spellStart"/>
      <w:r w:rsidRPr="00D15CE5">
        <w:rPr>
          <w:rFonts w:ascii="Verdana" w:hAnsi="Verdana"/>
          <w:sz w:val="20"/>
          <w:szCs w:val="20"/>
        </w:rPr>
        <w:t>iv</w:t>
      </w:r>
      <w:proofErr w:type="spellEnd"/>
      <w:r w:rsidRPr="00D15CE5">
        <w:rPr>
          <w:rFonts w:ascii="Verdana" w:hAnsi="Verdana"/>
          <w:sz w:val="20"/>
          <w:szCs w:val="20"/>
        </w:rPr>
        <w:t>) la calidad mínima, y v) los patrones de desempeño</w:t>
      </w:r>
      <w:r w:rsidRPr="00D15CE5">
        <w:rPr>
          <w:rFonts w:ascii="Verdana" w:hAnsi="Verdana"/>
          <w:spacing w:val="-2"/>
          <w:sz w:val="20"/>
          <w:szCs w:val="20"/>
        </w:rPr>
        <w:t xml:space="preserve"> </w:t>
      </w:r>
      <w:r w:rsidRPr="00D15CE5">
        <w:rPr>
          <w:rFonts w:ascii="Verdana" w:hAnsi="Verdana"/>
          <w:sz w:val="20"/>
          <w:szCs w:val="20"/>
        </w:rPr>
        <w:t>mínimos.</w:t>
      </w:r>
    </w:p>
    <w:p w14:paraId="38ACD35E" w14:textId="77777777" w:rsidR="00D15CE5" w:rsidRPr="00D15CE5" w:rsidRDefault="00D15CE5" w:rsidP="00930225">
      <w:pPr>
        <w:spacing w:after="0" w:line="240" w:lineRule="auto"/>
        <w:jc w:val="both"/>
        <w:rPr>
          <w:rFonts w:ascii="Verdana" w:hAnsi="Verdana"/>
          <w:sz w:val="20"/>
          <w:szCs w:val="20"/>
        </w:rPr>
      </w:pPr>
    </w:p>
    <w:p w14:paraId="7686E9BF" w14:textId="5B4804C2" w:rsidR="00D15CE5" w:rsidRDefault="00D15CE5" w:rsidP="00930225">
      <w:pPr>
        <w:spacing w:after="0" w:line="240" w:lineRule="auto"/>
        <w:jc w:val="both"/>
        <w:rPr>
          <w:rFonts w:ascii="Verdana" w:hAnsi="Verdana"/>
          <w:sz w:val="20"/>
          <w:szCs w:val="20"/>
        </w:rPr>
      </w:pPr>
      <w:r w:rsidRPr="00D15CE5">
        <w:rPr>
          <w:rFonts w:ascii="Verdana" w:hAnsi="Verdana"/>
          <w:sz w:val="20"/>
          <w:szCs w:val="20"/>
        </w:rPr>
        <w:t>[…] 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está estrechamente vinculado con el bien o servicio ofertado, toda vez que es la descripción más minuciosa y detallada de las características, componentes y funcionamiento de los bienes y servicios con los que se busca satisfacer la necesidad de la entidad.</w:t>
      </w:r>
    </w:p>
    <w:p w14:paraId="5E2C3752" w14:textId="77777777" w:rsidR="00D15CE5" w:rsidRDefault="00D15CE5" w:rsidP="00930225">
      <w:pPr>
        <w:spacing w:after="0" w:line="240" w:lineRule="auto"/>
        <w:jc w:val="both"/>
        <w:rPr>
          <w:rFonts w:ascii="Verdana" w:hAnsi="Verdana"/>
          <w:sz w:val="20"/>
          <w:szCs w:val="20"/>
        </w:rPr>
      </w:pPr>
    </w:p>
    <w:p w14:paraId="4CDC1762" w14:textId="204485B3" w:rsidR="00D15CE5" w:rsidRPr="00146283" w:rsidRDefault="00146283" w:rsidP="00930225">
      <w:pPr>
        <w:spacing w:after="0" w:line="240" w:lineRule="auto"/>
        <w:jc w:val="both"/>
        <w:rPr>
          <w:rFonts w:ascii="Verdana" w:hAnsi="Verdana"/>
          <w:b/>
          <w:sz w:val="20"/>
          <w:szCs w:val="20"/>
        </w:rPr>
      </w:pPr>
      <w:r w:rsidRPr="00146283">
        <w:rPr>
          <w:rFonts w:ascii="Verdana" w:hAnsi="Verdana" w:cs="Arial"/>
          <w:b/>
          <w:lang w:eastAsia="es-ES" w:bidi="es-ES"/>
        </w:rPr>
        <w:t>MODIFICACION DE LOS CONTRATOS ESTATALES – Aspectos generales – Límites</w:t>
      </w:r>
    </w:p>
    <w:p w14:paraId="06C09F3F" w14:textId="77777777" w:rsidR="00D15CE5" w:rsidRDefault="00D15CE5" w:rsidP="00930225">
      <w:pPr>
        <w:spacing w:after="0" w:line="240" w:lineRule="auto"/>
        <w:jc w:val="both"/>
        <w:rPr>
          <w:rFonts w:ascii="Verdana" w:hAnsi="Verdana"/>
          <w:b/>
          <w:bCs/>
        </w:rPr>
      </w:pPr>
    </w:p>
    <w:p w14:paraId="07CB84AE" w14:textId="5D7B2449" w:rsidR="00146283" w:rsidRPr="00146283" w:rsidRDefault="00146283" w:rsidP="00146283">
      <w:pPr>
        <w:spacing w:after="0" w:line="240" w:lineRule="auto"/>
        <w:jc w:val="both"/>
        <w:rPr>
          <w:rFonts w:ascii="Verdana" w:hAnsi="Verdana"/>
          <w:sz w:val="20"/>
          <w:szCs w:val="20"/>
        </w:rPr>
      </w:pPr>
      <w:r w:rsidRPr="00146283">
        <w:rPr>
          <w:rFonts w:ascii="Verdana" w:eastAsia="Times New Roman" w:hAnsi="Verdana" w:cs="Arial"/>
          <w:color w:val="000000"/>
          <w:sz w:val="20"/>
          <w:szCs w:val="20"/>
          <w:lang w:val="es-ES_tradnl"/>
        </w:rPr>
        <w:t>[…] e</w:t>
      </w:r>
      <w:r w:rsidRPr="00146283">
        <w:rPr>
          <w:rFonts w:ascii="Verdana" w:hAnsi="Verdana" w:cs="Arial"/>
          <w:sz w:val="20"/>
          <w:szCs w:val="20"/>
        </w:rPr>
        <w:t xml:space="preserve">l Estatuto General de Contratación de la Administración Pública, contenido en las Leyes 80 de 1993 y 1150 de 2007, así como en las normas que las han modificado y las reglamentan, no consagran una regulación expresa sobre la posibilidad de modificar los contratos celebrados por las Entidades Estatales. Esto salvo, lo concerniente a la potestad exorbitante de modificación unilateral y la regulación que fija los porcentajes límites para adicionar valores inicialmente pactados, contenidas en los artículos 16 y 40 de la Ley 80 de 1993 - respectivamente. </w:t>
      </w:r>
    </w:p>
    <w:p w14:paraId="681BA666" w14:textId="77777777" w:rsidR="00146283" w:rsidRDefault="00146283" w:rsidP="00930225">
      <w:pPr>
        <w:spacing w:after="0" w:line="240" w:lineRule="auto"/>
        <w:jc w:val="both"/>
        <w:rPr>
          <w:rFonts w:ascii="Verdana" w:hAnsi="Verdana"/>
          <w:b/>
          <w:bCs/>
        </w:rPr>
      </w:pPr>
    </w:p>
    <w:p w14:paraId="691F74C0" w14:textId="27994E9A" w:rsidR="00146283" w:rsidRPr="007F661B" w:rsidRDefault="00146283" w:rsidP="007F661B">
      <w:pPr>
        <w:tabs>
          <w:tab w:val="left" w:pos="284"/>
        </w:tabs>
        <w:spacing w:after="0" w:line="240" w:lineRule="auto"/>
        <w:jc w:val="both"/>
        <w:rPr>
          <w:rFonts w:ascii="Verdana" w:hAnsi="Verdana" w:cs="Arial"/>
          <w:sz w:val="20"/>
          <w:szCs w:val="20"/>
        </w:rPr>
      </w:pPr>
      <w:r w:rsidRPr="007F661B">
        <w:rPr>
          <w:rFonts w:ascii="Verdana" w:hAnsi="Verdana" w:cs="Arial"/>
          <w:sz w:val="20"/>
          <w:szCs w:val="20"/>
        </w:rPr>
        <w:lastRenderedPageBreak/>
        <w:t xml:space="preserve">Ahora bien, no existe ninguna restricción expresa para modificar los contratos estatales y los mismos principios antes referidos ponen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w:t>
      </w:r>
    </w:p>
    <w:p w14:paraId="7FFB0366" w14:textId="77777777" w:rsidR="00146283" w:rsidRPr="00D20103" w:rsidRDefault="00146283" w:rsidP="00930225">
      <w:pPr>
        <w:spacing w:after="0" w:line="240" w:lineRule="auto"/>
        <w:jc w:val="both"/>
        <w:rPr>
          <w:rFonts w:ascii="Verdana" w:hAnsi="Verdana"/>
          <w:b/>
          <w:bCs/>
        </w:rPr>
      </w:pPr>
    </w:p>
    <w:p w14:paraId="0C95161F" w14:textId="2F128EFB" w:rsidR="00D20103" w:rsidRPr="00D6470D" w:rsidRDefault="00146283" w:rsidP="00930225">
      <w:pPr>
        <w:spacing w:after="0" w:line="240" w:lineRule="auto"/>
        <w:jc w:val="both"/>
        <w:rPr>
          <w:rFonts w:ascii="Verdana" w:hAnsi="Verdana"/>
          <w:b/>
        </w:rPr>
      </w:pPr>
      <w:r w:rsidRPr="00D6470D">
        <w:rPr>
          <w:rFonts w:ascii="Verdana" w:hAnsi="Verdana" w:cs="Arial"/>
          <w:b/>
          <w:lang w:eastAsia="es-ES" w:bidi="es-ES"/>
        </w:rPr>
        <w:t>MODIFICACION DE LOS CONTRATOS ESTATALES – Carácter excepcional</w:t>
      </w:r>
    </w:p>
    <w:p w14:paraId="07F6A4EC" w14:textId="77777777" w:rsidR="00D6470D" w:rsidRDefault="00D6470D" w:rsidP="00930225">
      <w:pPr>
        <w:spacing w:after="0" w:line="240" w:lineRule="auto"/>
        <w:jc w:val="both"/>
        <w:rPr>
          <w:rFonts w:ascii="Verdana" w:eastAsia="Arial" w:hAnsi="Verdana" w:cs="Arial"/>
          <w:lang w:val="es-ES" w:eastAsia="es-ES" w:bidi="es-ES"/>
        </w:rPr>
      </w:pPr>
    </w:p>
    <w:p w14:paraId="0E64E620" w14:textId="3B7A13AA" w:rsidR="00D6470D"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Pr>
          <w:rFonts w:ascii="Verdana" w:eastAsia="Arial" w:hAnsi="Verdana" w:cs="Arial"/>
          <w:bCs/>
          <w:iCs/>
          <w:sz w:val="20"/>
          <w:szCs w:val="20"/>
          <w:lang w:val="es-MX" w:eastAsia="es-ES" w:bidi="es-ES"/>
        </w:rPr>
        <w:t xml:space="preserve">[…] </w:t>
      </w:r>
      <w:r w:rsidRPr="007F469A">
        <w:rPr>
          <w:rFonts w:ascii="Verdana" w:eastAsia="Arial" w:hAnsi="Verdana" w:cs="Arial"/>
          <w:bCs/>
          <w:iCs/>
          <w:sz w:val="20"/>
          <w:szCs w:val="20"/>
          <w:lang w:val="es-MX" w:eastAsia="es-ES" w:bidi="es-ES"/>
        </w:rPr>
        <w:t>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4FDD0814" w14:textId="77777777" w:rsidR="00D6470D" w:rsidRPr="007F469A" w:rsidRDefault="00D6470D" w:rsidP="00D6470D">
      <w:pPr>
        <w:widowControl w:val="0"/>
        <w:autoSpaceDE w:val="0"/>
        <w:autoSpaceDN w:val="0"/>
        <w:spacing w:after="0" w:line="240" w:lineRule="auto"/>
        <w:ind w:left="709" w:right="-93"/>
        <w:jc w:val="both"/>
        <w:rPr>
          <w:rFonts w:ascii="Verdana" w:eastAsia="Arial" w:hAnsi="Verdana" w:cs="Arial"/>
          <w:bCs/>
          <w:iCs/>
          <w:sz w:val="20"/>
          <w:szCs w:val="20"/>
          <w:lang w:val="es-MX" w:eastAsia="es-ES" w:bidi="es-ES"/>
        </w:rPr>
      </w:pPr>
    </w:p>
    <w:p w14:paraId="6D8BD8C8" w14:textId="77777777" w:rsidR="00D6470D" w:rsidRPr="007F469A"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2908519D" w14:textId="77777777" w:rsidR="00D6470D" w:rsidRDefault="00D6470D" w:rsidP="00D6470D">
      <w:pPr>
        <w:widowControl w:val="0"/>
        <w:autoSpaceDE w:val="0"/>
        <w:autoSpaceDN w:val="0"/>
        <w:spacing w:after="0" w:line="240" w:lineRule="auto"/>
        <w:ind w:left="709" w:right="-93"/>
        <w:jc w:val="both"/>
        <w:rPr>
          <w:rFonts w:ascii="Verdana" w:eastAsia="Arial" w:hAnsi="Verdana" w:cs="Arial"/>
          <w:bCs/>
          <w:iCs/>
          <w:sz w:val="20"/>
          <w:szCs w:val="20"/>
          <w:lang w:val="es-MX" w:eastAsia="es-ES" w:bidi="es-ES"/>
        </w:rPr>
      </w:pPr>
    </w:p>
    <w:p w14:paraId="3F2FCFAC" w14:textId="77777777" w:rsidR="00D6470D" w:rsidRPr="007F469A"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w:t>
      </w:r>
    </w:p>
    <w:p w14:paraId="283ED8F2" w14:textId="77777777" w:rsidR="00D6470D" w:rsidRDefault="00D6470D" w:rsidP="00D6470D">
      <w:pPr>
        <w:widowControl w:val="0"/>
        <w:autoSpaceDE w:val="0"/>
        <w:autoSpaceDN w:val="0"/>
        <w:spacing w:after="0" w:line="240" w:lineRule="auto"/>
        <w:ind w:left="709" w:right="-93"/>
        <w:jc w:val="both"/>
        <w:rPr>
          <w:rFonts w:ascii="Verdana" w:eastAsia="Arial" w:hAnsi="Verdana" w:cs="Arial"/>
          <w:bCs/>
          <w:iCs/>
          <w:sz w:val="20"/>
          <w:szCs w:val="20"/>
          <w:lang w:val="es-MX" w:eastAsia="es-ES" w:bidi="es-ES"/>
        </w:rPr>
      </w:pPr>
    </w:p>
    <w:p w14:paraId="0E157F21" w14:textId="77777777" w:rsidR="00D6470D"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w:t>
      </w:r>
    </w:p>
    <w:p w14:paraId="69BAC5D7" w14:textId="77777777" w:rsidR="00D6470D" w:rsidRDefault="00D6470D" w:rsidP="00D6470D">
      <w:pPr>
        <w:widowControl w:val="0"/>
        <w:autoSpaceDE w:val="0"/>
        <w:autoSpaceDN w:val="0"/>
        <w:spacing w:after="0" w:line="240" w:lineRule="auto"/>
        <w:ind w:left="709" w:right="-93"/>
        <w:jc w:val="both"/>
        <w:rPr>
          <w:rFonts w:ascii="Verdana" w:eastAsia="Arial" w:hAnsi="Verdana" w:cs="Arial"/>
          <w:bCs/>
          <w:iCs/>
          <w:sz w:val="20"/>
          <w:szCs w:val="20"/>
          <w:lang w:val="es-MX" w:eastAsia="es-ES" w:bidi="es-ES"/>
        </w:rPr>
      </w:pPr>
    </w:p>
    <w:p w14:paraId="29306686" w14:textId="77777777" w:rsidR="00D6470D"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 xml:space="preserve">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0063E96C" w14:textId="77777777" w:rsidR="00D6470D"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p>
    <w:p w14:paraId="3D44B36E" w14:textId="40D9D8EE" w:rsidR="00D6470D" w:rsidRPr="007F469A"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w:t>
      </w:r>
    </w:p>
    <w:p w14:paraId="2E1626D4" w14:textId="77777777" w:rsidR="00D6470D" w:rsidRPr="007F469A"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w:t>
      </w:r>
      <w:r w:rsidRPr="007F469A">
        <w:rPr>
          <w:rFonts w:ascii="Verdana" w:eastAsia="Arial" w:hAnsi="Verdana" w:cs="Arial"/>
          <w:bCs/>
          <w:iCs/>
          <w:sz w:val="20"/>
          <w:szCs w:val="20"/>
          <w:lang w:val="es-MX" w:eastAsia="es-ES" w:bidi="es-ES"/>
        </w:rPr>
        <w:lastRenderedPageBreak/>
        <w:t>del contrato modificatorio.</w:t>
      </w:r>
    </w:p>
    <w:p w14:paraId="22DC66F0" w14:textId="77777777" w:rsidR="00D6470D" w:rsidRDefault="00D6470D" w:rsidP="00D6470D">
      <w:pPr>
        <w:widowControl w:val="0"/>
        <w:autoSpaceDE w:val="0"/>
        <w:autoSpaceDN w:val="0"/>
        <w:spacing w:after="0" w:line="240" w:lineRule="auto"/>
        <w:ind w:left="709" w:right="-93"/>
        <w:jc w:val="both"/>
        <w:rPr>
          <w:rFonts w:ascii="Verdana" w:eastAsia="Arial" w:hAnsi="Verdana" w:cs="Arial"/>
          <w:bCs/>
          <w:iCs/>
          <w:sz w:val="20"/>
          <w:szCs w:val="20"/>
          <w:lang w:val="es-MX" w:eastAsia="es-ES" w:bidi="es-ES"/>
        </w:rPr>
      </w:pPr>
    </w:p>
    <w:p w14:paraId="7C65C972" w14:textId="77777777" w:rsidR="00D6470D" w:rsidRPr="007F469A" w:rsidRDefault="00D6470D" w:rsidP="00D6470D">
      <w:pPr>
        <w:widowControl w:val="0"/>
        <w:autoSpaceDE w:val="0"/>
        <w:autoSpaceDN w:val="0"/>
        <w:spacing w:after="0" w:line="240" w:lineRule="auto"/>
        <w:ind w:right="-93"/>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-El cumplimiento del límite cuantitativo consagrado en la ley para los contratos adicionales. […]</w:t>
      </w:r>
    </w:p>
    <w:p w14:paraId="67EE0675" w14:textId="77777777" w:rsidR="00D6470D" w:rsidRDefault="00D6470D" w:rsidP="00D6470D">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62F73E1E" w14:textId="0FEAEED7" w:rsidR="00D20103" w:rsidRPr="00D6470D" w:rsidRDefault="00D6470D" w:rsidP="00D6470D">
      <w:pPr>
        <w:spacing w:after="0" w:line="240" w:lineRule="auto"/>
        <w:jc w:val="both"/>
        <w:rPr>
          <w:rFonts w:ascii="Verdana" w:eastAsia="Arial" w:hAnsi="Verdana" w:cs="Arial"/>
          <w:lang w:eastAsia="es-ES" w:bidi="es-ES"/>
        </w:rPr>
      </w:pPr>
      <w:r w:rsidRPr="007F469A">
        <w:rPr>
          <w:rFonts w:ascii="Verdana" w:eastAsia="Arial" w:hAnsi="Verdana" w:cs="Arial"/>
          <w:bCs/>
          <w:iCs/>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00795351">
        <w:rPr>
          <w:rFonts w:ascii="Verdana" w:eastAsia="Arial" w:hAnsi="Verdana" w:cs="Arial"/>
          <w:bCs/>
          <w:iCs/>
          <w:sz w:val="20"/>
          <w:szCs w:val="20"/>
          <w:lang w:val="es-MX" w:eastAsia="es-ES" w:bidi="es-ES"/>
        </w:rPr>
        <w:t>.</w:t>
      </w:r>
    </w:p>
    <w:p w14:paraId="28037F57" w14:textId="77777777" w:rsidR="00D6470D" w:rsidRPr="00F976E2" w:rsidRDefault="00D6470D" w:rsidP="00930225">
      <w:pPr>
        <w:spacing w:after="0" w:line="240" w:lineRule="auto"/>
        <w:jc w:val="both"/>
        <w:rPr>
          <w:rFonts w:ascii="Verdana" w:eastAsia="Arial" w:hAnsi="Verdana" w:cs="Arial"/>
          <w:lang w:val="es-ES" w:eastAsia="es-ES" w:bidi="es-ES"/>
        </w:rPr>
      </w:pPr>
    </w:p>
    <w:p w14:paraId="09D90AB0" w14:textId="4BA0A13D" w:rsidR="00D6470D" w:rsidRDefault="00795351" w:rsidP="00930225">
      <w:pPr>
        <w:spacing w:after="0" w:line="240" w:lineRule="auto"/>
        <w:jc w:val="both"/>
        <w:rPr>
          <w:rFonts w:ascii="Verdana" w:hAnsi="Verdana"/>
          <w:b/>
        </w:rPr>
      </w:pPr>
      <w:r w:rsidRPr="00795351">
        <w:rPr>
          <w:rFonts w:ascii="Verdana" w:hAnsi="Verdana" w:cs="Arial"/>
          <w:b/>
          <w:lang w:eastAsia="es-ES" w:bidi="es-ES"/>
        </w:rPr>
        <w:t>MODIFICACI</w:t>
      </w:r>
      <w:r w:rsidR="007F661B">
        <w:rPr>
          <w:rFonts w:ascii="Verdana" w:hAnsi="Verdana" w:cs="Arial"/>
          <w:b/>
          <w:lang w:eastAsia="es-ES" w:bidi="es-ES"/>
        </w:rPr>
        <w:t>Ó</w:t>
      </w:r>
      <w:r w:rsidRPr="00795351">
        <w:rPr>
          <w:rFonts w:ascii="Verdana" w:hAnsi="Verdana" w:cs="Arial"/>
          <w:b/>
          <w:lang w:eastAsia="es-ES" w:bidi="es-ES"/>
        </w:rPr>
        <w:t xml:space="preserve">N DE LOS CONTRATOS ESTATALES – Límites </w:t>
      </w:r>
      <w:r w:rsidRPr="00795351">
        <w:rPr>
          <w:rFonts w:ascii="Verdana" w:hAnsi="Verdana"/>
          <w:b/>
        </w:rPr>
        <w:t>temporal, formal, material y axiológicos</w:t>
      </w:r>
    </w:p>
    <w:p w14:paraId="12CFD469" w14:textId="77777777" w:rsidR="00795351" w:rsidRDefault="00795351" w:rsidP="00930225">
      <w:pPr>
        <w:spacing w:after="0" w:line="240" w:lineRule="auto"/>
        <w:jc w:val="both"/>
        <w:rPr>
          <w:rFonts w:ascii="Verdana" w:hAnsi="Verdana"/>
          <w:b/>
        </w:rPr>
      </w:pPr>
    </w:p>
    <w:p w14:paraId="729818E6" w14:textId="77777777" w:rsidR="00795351" w:rsidRPr="00795351" w:rsidRDefault="00795351" w:rsidP="00795351">
      <w:pPr>
        <w:widowControl w:val="0"/>
        <w:autoSpaceDE w:val="0"/>
        <w:autoSpaceDN w:val="0"/>
        <w:spacing w:after="0" w:line="240" w:lineRule="auto"/>
        <w:jc w:val="both"/>
        <w:rPr>
          <w:rFonts w:ascii="Verdana" w:eastAsia="Calibri" w:hAnsi="Verdana" w:cs="Arial"/>
          <w:sz w:val="20"/>
          <w:szCs w:val="20"/>
        </w:rPr>
      </w:pPr>
      <w:r w:rsidRPr="00795351">
        <w:rPr>
          <w:rFonts w:ascii="Verdana" w:hAnsi="Verdana"/>
          <w:sz w:val="20"/>
          <w:szCs w:val="20"/>
        </w:rPr>
        <w:t xml:space="preserve">Conforme a la jurisprudencia citada, para adelantar las modificaciones contractuales, la entidad tiene límites de diversa naturaleza, tales como: temporal, formal, material y axiológicos. Dentro de los límites de </w:t>
      </w:r>
      <w:r w:rsidRPr="00795351">
        <w:rPr>
          <w:rFonts w:ascii="Verdana" w:hAnsi="Verdana"/>
          <w:i/>
          <w:sz w:val="20"/>
          <w:szCs w:val="20"/>
        </w:rPr>
        <w:t xml:space="preserve">orden temporal </w:t>
      </w:r>
      <w:r w:rsidRPr="00795351">
        <w:rPr>
          <w:rFonts w:ascii="Verdana" w:hAnsi="Verdana"/>
          <w:sz w:val="20"/>
          <w:szCs w:val="20"/>
        </w:rPr>
        <w:t xml:space="preserve">están comprendidos: </w:t>
      </w:r>
      <w:r w:rsidRPr="00795351">
        <w:rPr>
          <w:rFonts w:ascii="Verdana" w:eastAsia="Arial" w:hAnsi="Verdana" w:cs="Arial"/>
          <w:sz w:val="20"/>
          <w:szCs w:val="20"/>
          <w:lang w:val="es-MX" w:eastAsia="es-ES" w:bidi="es-ES"/>
        </w:rPr>
        <w:t xml:space="preserve">i) la vigencia del contrato, pues no podría modificarse un contrato cuyo plazo ha culminado y; </w:t>
      </w:r>
      <w:proofErr w:type="spellStart"/>
      <w:r w:rsidRPr="00795351">
        <w:rPr>
          <w:rFonts w:ascii="Verdana" w:eastAsia="Arial" w:hAnsi="Verdana" w:cs="Arial"/>
          <w:sz w:val="20"/>
          <w:szCs w:val="20"/>
          <w:lang w:val="es-MX" w:eastAsia="es-ES" w:bidi="es-ES"/>
        </w:rPr>
        <w:t>ii</w:t>
      </w:r>
      <w:proofErr w:type="spellEnd"/>
      <w:r w:rsidRPr="00795351">
        <w:rPr>
          <w:rFonts w:ascii="Verdana" w:eastAsia="Arial" w:hAnsi="Verdana" w:cs="Arial"/>
          <w:sz w:val="20"/>
          <w:szCs w:val="20"/>
          <w:lang w:val="es-MX" w:eastAsia="es-ES" w:bidi="es-ES"/>
        </w:rPr>
        <w:t>) la prohibición de consagrar prórrogas automáticas, sucesivas o indefinidas, en tanto resultan contrarias al derecho esencial de la libertad de competencia.</w:t>
      </w:r>
      <w:r w:rsidRPr="00795351">
        <w:rPr>
          <w:rFonts w:ascii="Verdana" w:eastAsia="Calibri" w:hAnsi="Verdana" w:cs="Arial"/>
          <w:sz w:val="20"/>
          <w:szCs w:val="20"/>
        </w:rPr>
        <w:t xml:space="preserve"> </w:t>
      </w:r>
    </w:p>
    <w:p w14:paraId="6B2ED935" w14:textId="77777777" w:rsidR="00795351" w:rsidRDefault="00795351" w:rsidP="00795351">
      <w:pPr>
        <w:spacing w:after="0" w:line="240" w:lineRule="auto"/>
        <w:jc w:val="both"/>
        <w:rPr>
          <w:rFonts w:ascii="Verdana" w:eastAsia="Calibri" w:hAnsi="Verdana" w:cs="Arial"/>
          <w:sz w:val="20"/>
          <w:szCs w:val="20"/>
        </w:rPr>
      </w:pPr>
    </w:p>
    <w:p w14:paraId="0FFD3168" w14:textId="581CBE5A" w:rsidR="00795351" w:rsidRDefault="00795351" w:rsidP="00795351">
      <w:pPr>
        <w:spacing w:after="0" w:line="240" w:lineRule="auto"/>
        <w:jc w:val="both"/>
        <w:rPr>
          <w:rFonts w:ascii="Verdana" w:eastAsia="Arial" w:hAnsi="Verdana" w:cs="Arial"/>
          <w:sz w:val="20"/>
          <w:szCs w:val="20"/>
          <w:lang w:val="es-MX" w:eastAsia="es-ES" w:bidi="es-ES"/>
        </w:rPr>
      </w:pPr>
      <w:r w:rsidRPr="00795351">
        <w:rPr>
          <w:rFonts w:ascii="Verdana" w:eastAsia="Calibri" w:hAnsi="Verdana" w:cs="Arial"/>
          <w:sz w:val="20"/>
          <w:szCs w:val="20"/>
        </w:rPr>
        <w:t xml:space="preserve">En torno a los límites de </w:t>
      </w:r>
      <w:r w:rsidRPr="00795351">
        <w:rPr>
          <w:rFonts w:ascii="Verdana" w:eastAsia="Calibri" w:hAnsi="Verdana" w:cs="Arial"/>
          <w:i/>
          <w:sz w:val="20"/>
          <w:szCs w:val="20"/>
        </w:rPr>
        <w:t>orden formal</w:t>
      </w:r>
      <w:r w:rsidRPr="00795351">
        <w:rPr>
          <w:rFonts w:ascii="Verdana" w:eastAsia="Calibri" w:hAnsi="Verdana" w:cs="Arial"/>
          <w:sz w:val="20"/>
          <w:szCs w:val="20"/>
        </w:rPr>
        <w:t xml:space="preserve">, debe señalarse que, por un lado, es necesario que, la </w:t>
      </w:r>
      <w:r w:rsidRPr="00795351">
        <w:rPr>
          <w:rFonts w:ascii="Verdana" w:eastAsia="Arial" w:hAnsi="Verdana" w:cs="Arial"/>
          <w:sz w:val="20"/>
          <w:szCs w:val="20"/>
          <w:lang w:val="es-MX" w:eastAsia="es-ES" w:bidi="es-ES"/>
        </w:rPr>
        <w:t>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w:t>
      </w:r>
      <w:r>
        <w:rPr>
          <w:rFonts w:ascii="Verdana" w:eastAsia="Arial" w:hAnsi="Verdana" w:cs="Arial"/>
          <w:sz w:val="20"/>
          <w:szCs w:val="20"/>
          <w:lang w:val="es-MX" w:eastAsia="es-ES" w:bidi="es-ES"/>
        </w:rPr>
        <w:t>.</w:t>
      </w:r>
    </w:p>
    <w:p w14:paraId="080B5F62" w14:textId="77777777" w:rsidR="00795351" w:rsidRDefault="00795351" w:rsidP="00795351">
      <w:pPr>
        <w:spacing w:after="0" w:line="240" w:lineRule="auto"/>
        <w:jc w:val="both"/>
        <w:rPr>
          <w:rFonts w:ascii="Verdana" w:eastAsia="Arial" w:hAnsi="Verdana" w:cs="Arial"/>
          <w:sz w:val="20"/>
          <w:szCs w:val="20"/>
          <w:lang w:val="es-MX" w:eastAsia="es-ES" w:bidi="es-ES"/>
        </w:rPr>
      </w:pPr>
    </w:p>
    <w:p w14:paraId="722BF2A9" w14:textId="66F60ADB" w:rsidR="00795351" w:rsidRPr="00795351" w:rsidRDefault="00795351" w:rsidP="00795351">
      <w:pPr>
        <w:spacing w:after="0" w:line="240" w:lineRule="auto"/>
        <w:jc w:val="both"/>
        <w:rPr>
          <w:rFonts w:ascii="Verdana" w:hAnsi="Verdana"/>
          <w:b/>
          <w:sz w:val="20"/>
          <w:szCs w:val="20"/>
        </w:rPr>
      </w:pPr>
      <w:r>
        <w:rPr>
          <w:rFonts w:ascii="Verdana" w:eastAsia="Arial" w:hAnsi="Verdana" w:cs="Arial"/>
          <w:sz w:val="20"/>
          <w:szCs w:val="20"/>
          <w:lang w:val="es-MX" w:eastAsia="es-ES" w:bidi="es-ES"/>
        </w:rPr>
        <w:t>[…]</w:t>
      </w:r>
    </w:p>
    <w:p w14:paraId="07A74E12" w14:textId="77777777" w:rsidR="00D20103" w:rsidRDefault="00D20103" w:rsidP="00930225">
      <w:pPr>
        <w:spacing w:after="0" w:line="240" w:lineRule="auto"/>
        <w:jc w:val="both"/>
        <w:rPr>
          <w:rFonts w:ascii="Verdana" w:hAnsi="Verdana"/>
        </w:rPr>
      </w:pPr>
    </w:p>
    <w:p w14:paraId="7D7A9F41" w14:textId="15E34D78" w:rsidR="00795351" w:rsidRPr="00795351" w:rsidRDefault="00795351" w:rsidP="00795351">
      <w:pPr>
        <w:widowControl w:val="0"/>
        <w:autoSpaceDE w:val="0"/>
        <w:autoSpaceDN w:val="0"/>
        <w:spacing w:after="0" w:line="240" w:lineRule="auto"/>
        <w:jc w:val="both"/>
        <w:rPr>
          <w:rFonts w:ascii="Verdana" w:eastAsia="Arial" w:hAnsi="Verdana" w:cs="Arial"/>
          <w:i/>
          <w:sz w:val="20"/>
          <w:szCs w:val="20"/>
          <w:lang w:val="es-MX" w:eastAsia="es-ES" w:bidi="es-ES"/>
        </w:rPr>
      </w:pPr>
      <w:r w:rsidRPr="00795351">
        <w:rPr>
          <w:rFonts w:ascii="Verdana" w:eastAsia="Calibri" w:hAnsi="Verdana" w:cs="Arial"/>
          <w:sz w:val="20"/>
          <w:szCs w:val="20"/>
        </w:rPr>
        <w:t xml:space="preserve">Los </w:t>
      </w:r>
      <w:r w:rsidRPr="00795351">
        <w:rPr>
          <w:rFonts w:ascii="Verdana" w:eastAsia="Calibri" w:hAnsi="Verdana" w:cs="Arial"/>
          <w:i/>
          <w:sz w:val="20"/>
          <w:szCs w:val="20"/>
        </w:rPr>
        <w:t>límites materiales</w:t>
      </w:r>
      <w:r w:rsidRPr="00795351">
        <w:rPr>
          <w:rFonts w:ascii="Verdana" w:eastAsia="Calibri" w:hAnsi="Verdana" w:cs="Arial"/>
          <w:sz w:val="20"/>
          <w:szCs w:val="20"/>
        </w:rPr>
        <w:t xml:space="preserve"> </w:t>
      </w:r>
      <w:r w:rsidRPr="00795351">
        <w:rPr>
          <w:rFonts w:ascii="Verdana" w:eastAsia="Arial" w:hAnsi="Verdana" w:cs="Arial"/>
          <w:sz w:val="20"/>
          <w:szCs w:val="20"/>
          <w:lang w:val="es-MX" w:eastAsia="es-ES" w:bidi="es-ES"/>
        </w:rPr>
        <w:t xml:space="preserve">corresponden a la prohibición de modificar las condiciones sustanciales del contrato, que se presentará en los casos en que se incluyan elementos que, </w:t>
      </w:r>
      <w:r w:rsidRPr="00795351">
        <w:rPr>
          <w:rFonts w:ascii="Verdana" w:eastAsia="Arial" w:hAnsi="Verdana" w:cs="Arial"/>
          <w:i/>
          <w:sz w:val="20"/>
          <w:szCs w:val="20"/>
          <w:lang w:val="es-MX" w:eastAsia="es-ES" w:bidi="es-ES"/>
        </w:rPr>
        <w:t xml:space="preserve">“habiendo figurado en el procedimiento inicial, hubiera permitido la participación de otros interesados aparte de los inicialmente admitidos, o seleccionar una oferta distinta de la inicialmente seleccionada”. </w:t>
      </w:r>
    </w:p>
    <w:p w14:paraId="76FC3925" w14:textId="77777777" w:rsidR="00795351" w:rsidRPr="00795351" w:rsidRDefault="00795351" w:rsidP="00795351">
      <w:pPr>
        <w:widowControl w:val="0"/>
        <w:autoSpaceDE w:val="0"/>
        <w:autoSpaceDN w:val="0"/>
        <w:spacing w:after="0" w:line="240" w:lineRule="auto"/>
        <w:jc w:val="both"/>
        <w:rPr>
          <w:rFonts w:ascii="Verdana" w:eastAsia="Arial" w:hAnsi="Verdana" w:cs="Arial"/>
          <w:sz w:val="20"/>
          <w:szCs w:val="20"/>
          <w:lang w:val="es-MX" w:eastAsia="es-ES" w:bidi="es-ES"/>
        </w:rPr>
      </w:pPr>
    </w:p>
    <w:p w14:paraId="643C7187" w14:textId="25F65A8A" w:rsidR="00795351" w:rsidRPr="00795351" w:rsidRDefault="00795351" w:rsidP="00795351">
      <w:pPr>
        <w:widowControl w:val="0"/>
        <w:autoSpaceDE w:val="0"/>
        <w:autoSpaceDN w:val="0"/>
        <w:spacing w:after="0" w:line="240" w:lineRule="auto"/>
        <w:jc w:val="both"/>
        <w:rPr>
          <w:rFonts w:ascii="Verdana" w:eastAsia="Calibri" w:hAnsi="Verdana" w:cs="Arial"/>
          <w:sz w:val="20"/>
          <w:szCs w:val="20"/>
          <w:lang w:val="es-MX" w:eastAsia="es-ES_tradnl"/>
        </w:rPr>
      </w:pPr>
      <w:r w:rsidRPr="00795351">
        <w:rPr>
          <w:rFonts w:ascii="Verdana" w:eastAsia="Arial" w:hAnsi="Verdana" w:cs="Arial"/>
          <w:sz w:val="20"/>
          <w:szCs w:val="20"/>
          <w:lang w:val="es-MX" w:eastAsia="es-ES" w:bidi="es-ES"/>
        </w:rPr>
        <w:t xml:space="preserve">Finalmente, se encuentran los </w:t>
      </w:r>
      <w:r w:rsidRPr="00795351">
        <w:rPr>
          <w:rFonts w:ascii="Verdana" w:eastAsia="Arial" w:hAnsi="Verdana" w:cs="Arial"/>
          <w:i/>
          <w:sz w:val="20"/>
          <w:szCs w:val="20"/>
          <w:lang w:val="es-MX" w:eastAsia="es-ES" w:bidi="es-ES"/>
        </w:rPr>
        <w:t>límites axiológicos</w:t>
      </w:r>
      <w:r w:rsidRPr="00795351">
        <w:rPr>
          <w:rFonts w:ascii="Verdana" w:eastAsia="Arial" w:hAnsi="Verdana" w:cs="Arial"/>
          <w:sz w:val="20"/>
          <w:szCs w:val="20"/>
          <w:lang w:val="es-MX" w:eastAsia="es-ES" w:bidi="es-ES"/>
        </w:rPr>
        <w:t xml:space="preserve">, los cuales se fundan en la necesidad de preservar los principios de igualdad, transparencia, libertad de concurrencia, selección objetiva y planeación. </w:t>
      </w:r>
    </w:p>
    <w:p w14:paraId="1DF5E5B9" w14:textId="77777777" w:rsidR="00795351" w:rsidRDefault="00795351" w:rsidP="00930225">
      <w:pPr>
        <w:spacing w:after="0" w:line="240" w:lineRule="auto"/>
        <w:jc w:val="both"/>
        <w:rPr>
          <w:rFonts w:ascii="Verdana" w:hAnsi="Verdana"/>
          <w:lang w:val="es-MX"/>
        </w:rPr>
      </w:pPr>
    </w:p>
    <w:p w14:paraId="7B3E3A75" w14:textId="1D5599BC" w:rsidR="00795351" w:rsidRDefault="00795351" w:rsidP="00930225">
      <w:pPr>
        <w:spacing w:after="0" w:line="240" w:lineRule="auto"/>
        <w:jc w:val="both"/>
        <w:rPr>
          <w:rFonts w:ascii="Verdana" w:eastAsia="Calibri" w:hAnsi="Verdana" w:cs="Arial"/>
          <w:b/>
          <w:bCs/>
          <w:color w:val="000000"/>
          <w:lang w:val="es-ES" w:eastAsia="es-ES"/>
        </w:rPr>
      </w:pPr>
      <w:r w:rsidRPr="00795351">
        <w:rPr>
          <w:rFonts w:ascii="Verdana" w:eastAsia="Calibri" w:hAnsi="Verdana" w:cs="Arial"/>
          <w:b/>
          <w:bCs/>
          <w:color w:val="000000"/>
          <w:lang w:val="es-ES" w:eastAsia="es-ES"/>
        </w:rPr>
        <w:t>VIGILANCIA DE LOS CONTRATOS ESTATALES – Marco jurídico – Obligación de la entidad – Objetivo</w:t>
      </w:r>
    </w:p>
    <w:p w14:paraId="3C4C6DF9" w14:textId="77777777" w:rsidR="007F661B" w:rsidRDefault="007F661B" w:rsidP="00930225">
      <w:pPr>
        <w:spacing w:after="0" w:line="240" w:lineRule="auto"/>
        <w:jc w:val="both"/>
        <w:rPr>
          <w:rFonts w:ascii="Verdana" w:eastAsia="Calibri" w:hAnsi="Verdana" w:cs="Arial"/>
          <w:b/>
          <w:bCs/>
          <w:color w:val="000000"/>
          <w:lang w:val="es-ES" w:eastAsia="es-ES"/>
        </w:rPr>
      </w:pPr>
    </w:p>
    <w:p w14:paraId="10BFBB5A" w14:textId="77777777" w:rsidR="00F976E2" w:rsidRPr="00F976E2" w:rsidRDefault="00F976E2" w:rsidP="00F976E2">
      <w:pPr>
        <w:spacing w:after="0" w:line="240" w:lineRule="auto"/>
        <w:jc w:val="both"/>
        <w:textAlignment w:val="baseline"/>
        <w:rPr>
          <w:rFonts w:ascii="Verdana" w:eastAsia="Times New Roman" w:hAnsi="Verdana" w:cs="Arial"/>
          <w:sz w:val="20"/>
          <w:szCs w:val="20"/>
          <w:lang w:val="es-ES_tradnl" w:eastAsia="es-MX"/>
        </w:rPr>
      </w:pPr>
      <w:r w:rsidRPr="00F976E2">
        <w:rPr>
          <w:rFonts w:ascii="Verdana" w:eastAsia="Times New Roman" w:hAnsi="Verdana" w:cs="Arial"/>
          <w:sz w:val="20"/>
          <w:szCs w:val="20"/>
          <w:shd w:val="clear" w:color="auto" w:fill="FFFFFF"/>
          <w:lang w:val="es-ES"/>
        </w:rPr>
        <w:t xml:space="preserve">La Ley 80 de 1993 establece en sus artículos 4, 5, 12, 14 y 26, entre otros aspectos, la obligación de las entidades estatales de velar por el correcto y oportuno cumplimiento </w:t>
      </w:r>
      <w:r w:rsidRPr="00F976E2">
        <w:rPr>
          <w:rFonts w:ascii="Verdana" w:eastAsia="Times New Roman" w:hAnsi="Verdana" w:cs="Arial"/>
          <w:sz w:val="20"/>
          <w:szCs w:val="20"/>
          <w:shd w:val="clear" w:color="auto" w:fill="FFFFFF"/>
          <w:lang w:val="es-ES"/>
        </w:rPr>
        <w:lastRenderedPageBreak/>
        <w:t>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6C81F8F1" w14:textId="77777777" w:rsidR="00F976E2" w:rsidRDefault="00F976E2" w:rsidP="00F976E2">
      <w:pPr>
        <w:spacing w:after="0" w:line="240" w:lineRule="auto"/>
        <w:jc w:val="both"/>
        <w:textAlignment w:val="baseline"/>
        <w:rPr>
          <w:rFonts w:ascii="Verdana" w:eastAsia="Times New Roman" w:hAnsi="Verdana" w:cs="Arial"/>
          <w:sz w:val="20"/>
          <w:szCs w:val="20"/>
          <w:lang w:val="es-ES_tradnl" w:eastAsia="es-MX"/>
        </w:rPr>
      </w:pPr>
    </w:p>
    <w:p w14:paraId="26831386" w14:textId="43855105" w:rsidR="00F976E2" w:rsidRPr="00F976E2" w:rsidRDefault="00F976E2" w:rsidP="00F976E2">
      <w:pPr>
        <w:spacing w:after="0" w:line="240" w:lineRule="auto"/>
        <w:jc w:val="both"/>
        <w:textAlignment w:val="baseline"/>
        <w:rPr>
          <w:rFonts w:ascii="Verdana" w:eastAsia="Times New Roman" w:hAnsi="Verdana" w:cs="Arial"/>
          <w:sz w:val="20"/>
          <w:szCs w:val="20"/>
          <w:lang w:val="es-ES_tradnl" w:eastAsia="es-MX"/>
        </w:rPr>
      </w:pPr>
      <w:r w:rsidRPr="00F976E2">
        <w:rPr>
          <w:rFonts w:ascii="Verdana" w:eastAsia="Times New Roman" w:hAnsi="Verdana" w:cs="Arial"/>
          <w:sz w:val="20"/>
          <w:szCs w:val="20"/>
          <w:lang w:val="es-ES_tradnl" w:eastAsia="es-MX"/>
        </w:rPr>
        <w:t>Por otra parte,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 También se establecen los límites de la responsabilidad del representante legal ante la delegación de sus funciones en materia contractual y se regula la supervisión y la interventoría de los contratos estatales.</w:t>
      </w:r>
    </w:p>
    <w:p w14:paraId="4B5D9EF5" w14:textId="77777777" w:rsidR="00F976E2" w:rsidRDefault="00F976E2" w:rsidP="00F976E2">
      <w:pPr>
        <w:tabs>
          <w:tab w:val="left" w:pos="1010"/>
        </w:tabs>
        <w:spacing w:after="0" w:line="240" w:lineRule="auto"/>
        <w:jc w:val="both"/>
        <w:rPr>
          <w:rFonts w:ascii="Verdana" w:eastAsia="Calibri" w:hAnsi="Verdana" w:cs="Arial"/>
          <w:b/>
          <w:bCs/>
          <w:color w:val="000000"/>
          <w:lang w:val="es-ES_tradnl" w:eastAsia="es-ES"/>
        </w:rPr>
      </w:pPr>
    </w:p>
    <w:p w14:paraId="19BDD007" w14:textId="053E14CD" w:rsidR="00F976E2" w:rsidRPr="007F661B" w:rsidRDefault="00F976E2" w:rsidP="00F976E2">
      <w:pPr>
        <w:tabs>
          <w:tab w:val="left" w:pos="1010"/>
        </w:tabs>
        <w:spacing w:after="0" w:line="240" w:lineRule="auto"/>
        <w:jc w:val="both"/>
        <w:rPr>
          <w:rFonts w:ascii="Verdana" w:eastAsia="Times New Roman" w:hAnsi="Verdana" w:cs="Arial"/>
          <w:b/>
          <w:bCs/>
          <w:lang w:val="es-ES" w:eastAsia="es-MX"/>
        </w:rPr>
      </w:pPr>
      <w:r w:rsidRPr="007F661B">
        <w:rPr>
          <w:rFonts w:ascii="Verdana" w:eastAsia="Calibri" w:hAnsi="Verdana" w:cs="Arial"/>
          <w:b/>
          <w:bCs/>
          <w:color w:val="000000"/>
          <w:lang w:val="es-ES" w:eastAsia="es-ES"/>
        </w:rPr>
        <w:t>SUPERVISIÓN E INTERVENTORÍA – Concepto – Finalidad</w:t>
      </w:r>
    </w:p>
    <w:p w14:paraId="4AF32818" w14:textId="77777777" w:rsidR="00F976E2" w:rsidRDefault="00F976E2" w:rsidP="00F976E2">
      <w:pPr>
        <w:tabs>
          <w:tab w:val="left" w:pos="1010"/>
        </w:tabs>
        <w:spacing w:after="0" w:line="240" w:lineRule="auto"/>
        <w:jc w:val="both"/>
        <w:rPr>
          <w:rFonts w:ascii="Verdana" w:eastAsia="Times New Roman" w:hAnsi="Verdana" w:cs="Arial"/>
          <w:lang w:val="es-ES" w:eastAsia="es-MX"/>
        </w:rPr>
      </w:pPr>
    </w:p>
    <w:p w14:paraId="05A11808" w14:textId="39B0B3EC" w:rsidR="00F976E2" w:rsidRDefault="00F976E2" w:rsidP="00F976E2">
      <w:pPr>
        <w:tabs>
          <w:tab w:val="left" w:pos="1010"/>
        </w:tabs>
        <w:spacing w:after="0" w:line="240" w:lineRule="auto"/>
        <w:jc w:val="both"/>
        <w:rPr>
          <w:rFonts w:ascii="Verdana" w:eastAsia="Times New Roman" w:hAnsi="Verdana" w:cs="Arial"/>
          <w:lang w:val="es-ES" w:eastAsia="es-MX"/>
        </w:rPr>
      </w:pPr>
      <w:r w:rsidRPr="001827D1">
        <w:rPr>
          <w:rFonts w:ascii="Verdana" w:eastAsia="Times New Roman" w:hAnsi="Verdana" w:cs="Arial"/>
          <w:lang w:val="es-ES" w:eastAsia="es-MX"/>
        </w:rPr>
        <w:t>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74F5DEE6" w14:textId="77777777" w:rsidR="00F976E2" w:rsidRDefault="00F976E2" w:rsidP="00F976E2">
      <w:pPr>
        <w:spacing w:after="0" w:line="240" w:lineRule="auto"/>
        <w:jc w:val="both"/>
        <w:rPr>
          <w:rFonts w:ascii="Verdana" w:eastAsia="Calibri" w:hAnsi="Verdana" w:cs="Arial"/>
          <w:color w:val="000000"/>
          <w:lang w:val="es-ES" w:eastAsia="es-ES"/>
        </w:rPr>
      </w:pPr>
    </w:p>
    <w:p w14:paraId="53DAD90D" w14:textId="0DC5B678" w:rsidR="00F976E2" w:rsidRPr="00BE49FE" w:rsidRDefault="00F976E2" w:rsidP="00F976E2">
      <w:pPr>
        <w:spacing w:after="0" w:line="240" w:lineRule="auto"/>
        <w:jc w:val="both"/>
        <w:rPr>
          <w:rFonts w:ascii="Verdana" w:eastAsia="Calibri" w:hAnsi="Verdana" w:cs="Arial"/>
          <w:b/>
          <w:bCs/>
          <w:color w:val="000000"/>
          <w:lang w:val="es-ES" w:eastAsia="es-ES"/>
        </w:rPr>
      </w:pPr>
      <w:r w:rsidRPr="00BE49FE">
        <w:rPr>
          <w:rFonts w:ascii="Verdana" w:eastAsia="Calibri" w:hAnsi="Verdana" w:cs="Arial"/>
          <w:b/>
          <w:bCs/>
          <w:color w:val="000000"/>
          <w:lang w:val="es-ES" w:eastAsia="es-ES"/>
        </w:rPr>
        <w:t>SUPERVISIÓN DEL CONTRATO – Características</w:t>
      </w:r>
    </w:p>
    <w:p w14:paraId="4E7E06E2" w14:textId="77777777" w:rsidR="00F976E2" w:rsidRDefault="00F976E2" w:rsidP="00F976E2">
      <w:pPr>
        <w:tabs>
          <w:tab w:val="left" w:pos="1010"/>
        </w:tabs>
        <w:spacing w:after="0" w:line="240" w:lineRule="auto"/>
        <w:jc w:val="both"/>
        <w:rPr>
          <w:rFonts w:ascii="Verdana" w:eastAsia="Calibri" w:hAnsi="Verdana" w:cs="Arial"/>
          <w:b/>
          <w:bCs/>
          <w:color w:val="000000"/>
          <w:lang w:val="es-ES" w:eastAsia="es-ES"/>
        </w:rPr>
      </w:pPr>
    </w:p>
    <w:p w14:paraId="7CAB759D" w14:textId="1210F88D" w:rsidR="007F661B" w:rsidRPr="007F661B" w:rsidRDefault="007F661B" w:rsidP="007F661B">
      <w:pPr>
        <w:spacing w:after="0" w:line="240" w:lineRule="auto"/>
        <w:jc w:val="both"/>
        <w:rPr>
          <w:rFonts w:ascii="Verdana" w:eastAsia="Times New Roman" w:hAnsi="Verdana" w:cs="Arial"/>
          <w:sz w:val="20"/>
          <w:szCs w:val="20"/>
          <w:shd w:val="clear" w:color="auto" w:fill="FFFFFF"/>
          <w:lang w:val="es-ES"/>
        </w:rPr>
      </w:pPr>
      <w:r w:rsidRPr="007F661B">
        <w:rPr>
          <w:rFonts w:ascii="Verdana" w:eastAsia="Times New Roman" w:hAnsi="Verdana" w:cs="Arial"/>
          <w:bCs/>
          <w:sz w:val="20"/>
          <w:szCs w:val="20"/>
          <w:lang w:val="es-ES"/>
        </w:rPr>
        <w:t xml:space="preserve">[…] </w:t>
      </w:r>
      <w:r w:rsidRPr="007F661B">
        <w:rPr>
          <w:rFonts w:ascii="Verdana" w:eastAsia="Times New Roman" w:hAnsi="Verdana" w:cs="Arial"/>
          <w:bCs/>
          <w:sz w:val="20"/>
          <w:szCs w:val="20"/>
          <w:lang w:val="es-ES"/>
        </w:rPr>
        <w:t xml:space="preserve">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w:t>
      </w:r>
      <w:proofErr w:type="spellStart"/>
      <w:r w:rsidRPr="007F661B">
        <w:rPr>
          <w:rFonts w:ascii="Verdana" w:eastAsia="Times New Roman" w:hAnsi="Verdana" w:cs="Arial"/>
          <w:bCs/>
          <w:sz w:val="20"/>
          <w:szCs w:val="20"/>
          <w:lang w:val="es-ES"/>
        </w:rPr>
        <w:t>ii</w:t>
      </w:r>
      <w:proofErr w:type="spellEnd"/>
      <w:r w:rsidRPr="007F661B">
        <w:rPr>
          <w:rFonts w:ascii="Verdana" w:eastAsia="Times New Roman" w:hAnsi="Verdana" w:cs="Arial"/>
          <w:bCs/>
          <w:sz w:val="20"/>
          <w:szCs w:val="20"/>
          <w:lang w:val="es-ES"/>
        </w:rPr>
        <w:t xml:space="preserve">) no requiere conocimientos tan especializados como la interventoría; </w:t>
      </w:r>
      <w:proofErr w:type="spellStart"/>
      <w:r w:rsidRPr="007F661B">
        <w:rPr>
          <w:rFonts w:ascii="Verdana" w:eastAsia="Times New Roman" w:hAnsi="Verdana" w:cs="Arial"/>
          <w:bCs/>
          <w:sz w:val="20"/>
          <w:szCs w:val="20"/>
          <w:lang w:val="es-ES"/>
        </w:rPr>
        <w:t>iii</w:t>
      </w:r>
      <w:proofErr w:type="spellEnd"/>
      <w:r w:rsidRPr="007F661B">
        <w:rPr>
          <w:rFonts w:ascii="Verdana" w:eastAsia="Times New Roman" w:hAnsi="Verdana" w:cs="Arial"/>
          <w:bCs/>
          <w:sz w:val="20"/>
          <w:szCs w:val="20"/>
          <w:lang w:val="es-ES"/>
        </w:rPr>
        <w:t xml:space="preserve">) se ejerce por la Entidad Estatal por conducto de la designación de servidores públicos idóneos para cumplir la función; </w:t>
      </w:r>
      <w:proofErr w:type="spellStart"/>
      <w:r w:rsidRPr="007F661B">
        <w:rPr>
          <w:rFonts w:ascii="Verdana" w:eastAsia="Times New Roman" w:hAnsi="Verdana" w:cs="Arial"/>
          <w:bCs/>
          <w:sz w:val="20"/>
          <w:szCs w:val="20"/>
          <w:lang w:val="es-ES"/>
        </w:rPr>
        <w:t>iv</w:t>
      </w:r>
      <w:proofErr w:type="spellEnd"/>
      <w:r w:rsidRPr="007F661B">
        <w:rPr>
          <w:rFonts w:ascii="Verdana" w:eastAsia="Times New Roman" w:hAnsi="Verdana" w:cs="Arial"/>
          <w:bCs/>
          <w:sz w:val="20"/>
          <w:szCs w:val="20"/>
          <w:lang w:val="es-ES"/>
        </w:rPr>
        <w:t>) puede recibir apoyo de personal contratado para tal fin mediante contratos de prestación de servicios; y v) le es inseparable el seguimiento técnico, administrativo, financiero, contable y jurídico del contrato vigilado.</w:t>
      </w:r>
    </w:p>
    <w:p w14:paraId="0647699E" w14:textId="77777777" w:rsidR="007F661B" w:rsidRPr="00F976E2" w:rsidRDefault="007F661B" w:rsidP="00F976E2">
      <w:pPr>
        <w:tabs>
          <w:tab w:val="left" w:pos="1010"/>
        </w:tabs>
        <w:spacing w:after="0" w:line="240" w:lineRule="auto"/>
        <w:jc w:val="both"/>
        <w:rPr>
          <w:rFonts w:ascii="Verdana" w:eastAsia="Calibri" w:hAnsi="Verdana" w:cs="Arial"/>
          <w:b/>
          <w:bCs/>
          <w:color w:val="000000"/>
          <w:lang w:val="es-ES" w:eastAsia="es-ES"/>
        </w:rPr>
      </w:pPr>
    </w:p>
    <w:p w14:paraId="6DC00526" w14:textId="50FF81D5" w:rsidR="00795351" w:rsidRDefault="00795351" w:rsidP="00930225">
      <w:pPr>
        <w:spacing w:after="0" w:line="240" w:lineRule="auto"/>
        <w:jc w:val="both"/>
        <w:rPr>
          <w:rFonts w:ascii="Verdana" w:hAnsi="Verdana"/>
          <w:b/>
          <w:bCs/>
          <w:lang w:val="es-MX"/>
        </w:rPr>
      </w:pPr>
    </w:p>
    <w:p w14:paraId="1B1C5CC0" w14:textId="77777777" w:rsidR="007F661B" w:rsidRDefault="007F661B" w:rsidP="00930225">
      <w:pPr>
        <w:spacing w:after="0" w:line="240" w:lineRule="auto"/>
        <w:jc w:val="both"/>
        <w:rPr>
          <w:rFonts w:ascii="Verdana" w:hAnsi="Verdana"/>
          <w:b/>
          <w:bCs/>
          <w:lang w:val="es-MX"/>
        </w:rPr>
      </w:pPr>
    </w:p>
    <w:p w14:paraId="7E35B4C6" w14:textId="77777777" w:rsidR="007F661B" w:rsidRDefault="007F661B" w:rsidP="00930225">
      <w:pPr>
        <w:spacing w:after="0" w:line="240" w:lineRule="auto"/>
        <w:jc w:val="both"/>
        <w:rPr>
          <w:rFonts w:ascii="Verdana" w:hAnsi="Verdana"/>
          <w:b/>
          <w:bCs/>
          <w:lang w:val="es-MX"/>
        </w:rPr>
      </w:pPr>
    </w:p>
    <w:p w14:paraId="5848842F" w14:textId="77777777" w:rsidR="007F661B" w:rsidRDefault="007F661B" w:rsidP="00930225">
      <w:pPr>
        <w:spacing w:after="0" w:line="240" w:lineRule="auto"/>
        <w:jc w:val="both"/>
        <w:rPr>
          <w:rFonts w:ascii="Verdana" w:hAnsi="Verdana"/>
          <w:b/>
          <w:bCs/>
          <w:lang w:val="es-MX"/>
        </w:rPr>
      </w:pPr>
    </w:p>
    <w:p w14:paraId="3ECFF636" w14:textId="77777777" w:rsidR="007F661B" w:rsidRPr="00795351" w:rsidRDefault="007F661B" w:rsidP="00930225">
      <w:pPr>
        <w:spacing w:after="0" w:line="240" w:lineRule="auto"/>
        <w:jc w:val="both"/>
        <w:rPr>
          <w:rFonts w:ascii="Verdana" w:hAnsi="Verdana"/>
          <w:b/>
          <w:bCs/>
          <w:lang w:val="es-MX"/>
        </w:rPr>
      </w:pPr>
    </w:p>
    <w:p w14:paraId="71D6689E" w14:textId="386AB951" w:rsidR="00D20103" w:rsidRDefault="00930225" w:rsidP="00930225">
      <w:pPr>
        <w:spacing w:after="0" w:line="240" w:lineRule="auto"/>
        <w:jc w:val="both"/>
        <w:rPr>
          <w:rFonts w:ascii="Verdana" w:hAnsi="Verdana"/>
        </w:rPr>
      </w:pPr>
      <w:r w:rsidRPr="008E4F36">
        <w:rPr>
          <w:rFonts w:ascii="Verdana" w:hAnsi="Verdana"/>
        </w:rPr>
        <w:lastRenderedPageBreak/>
        <w:t xml:space="preserve">Bogotá D.C., </w:t>
      </w:r>
      <w:r w:rsidR="00D20103">
        <w:rPr>
          <w:rFonts w:ascii="Verdana" w:hAnsi="Verdana"/>
        </w:rPr>
        <w:t>11 de septiembre de 2025</w:t>
      </w:r>
    </w:p>
    <w:p w14:paraId="2CB78D1B" w14:textId="77777777" w:rsidR="00D20103" w:rsidRDefault="00D20103" w:rsidP="00930225">
      <w:pPr>
        <w:spacing w:after="0" w:line="240" w:lineRule="auto"/>
        <w:jc w:val="both"/>
        <w:rPr>
          <w:rFonts w:ascii="Verdana" w:hAnsi="Verdana"/>
        </w:rPr>
      </w:pPr>
    </w:p>
    <w:p w14:paraId="64F9A33D" w14:textId="3AE80807" w:rsidR="00930225" w:rsidRPr="008E4F36" w:rsidRDefault="00D20103" w:rsidP="00D20103">
      <w:pPr>
        <w:spacing w:after="0" w:line="240" w:lineRule="auto"/>
        <w:jc w:val="right"/>
        <w:rPr>
          <w:rFonts w:ascii="Verdana" w:hAnsi="Verdana"/>
        </w:rPr>
      </w:pPr>
      <w:r w:rsidRPr="00D20103">
        <w:rPr>
          <w:rFonts w:ascii="Verdana" w:hAnsi="Verdana"/>
          <w:noProof/>
        </w:rPr>
        <w:drawing>
          <wp:inline distT="0" distB="0" distL="0" distR="0" wp14:anchorId="7288D92B" wp14:editId="4DFB17C3">
            <wp:extent cx="2286000" cy="692366"/>
            <wp:effectExtent l="0" t="0" r="0" b="0"/>
            <wp:docPr id="19517326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32600" name=""/>
                    <pic:cNvPicPr/>
                  </pic:nvPicPr>
                  <pic:blipFill>
                    <a:blip r:embed="rId10"/>
                    <a:stretch>
                      <a:fillRect/>
                    </a:stretch>
                  </pic:blipFill>
                  <pic:spPr>
                    <a:xfrm>
                      <a:off x="0" y="0"/>
                      <a:ext cx="2303260" cy="697594"/>
                    </a:xfrm>
                    <a:prstGeom prst="rect">
                      <a:avLst/>
                    </a:prstGeom>
                  </pic:spPr>
                </pic:pic>
              </a:graphicData>
            </a:graphic>
          </wp:inline>
        </w:drawing>
      </w:r>
      <w:r w:rsidR="00930225" w:rsidRPr="008E4F36">
        <w:rPr>
          <w:rFonts w:ascii="Verdana" w:hAnsi="Verdana"/>
        </w:rPr>
        <w:tab/>
      </w:r>
    </w:p>
    <w:p w14:paraId="57F84209" w14:textId="77777777" w:rsidR="00930225" w:rsidRDefault="00930225" w:rsidP="00930225">
      <w:pPr>
        <w:spacing w:after="0" w:line="240" w:lineRule="auto"/>
        <w:jc w:val="both"/>
        <w:rPr>
          <w:rFonts w:ascii="Verdana" w:eastAsia="Calibri" w:hAnsi="Verdana" w:cs="Arial"/>
          <w:lang w:eastAsia="es-ES"/>
        </w:rPr>
      </w:pPr>
      <w:bookmarkStart w:id="5" w:name="_Hlk197462763"/>
      <w:bookmarkStart w:id="6" w:name="_Hlk197529996"/>
    </w:p>
    <w:p w14:paraId="6A0A3C2B" w14:textId="77777777" w:rsidR="00930225" w:rsidRPr="008E4F36" w:rsidRDefault="00930225" w:rsidP="00930225">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a</w:t>
      </w:r>
    </w:p>
    <w:p w14:paraId="25B322DA" w14:textId="77777777" w:rsidR="00930225" w:rsidRDefault="00930225" w:rsidP="00930225">
      <w:pPr>
        <w:spacing w:after="0" w:line="240" w:lineRule="auto"/>
        <w:jc w:val="both"/>
        <w:rPr>
          <w:rFonts w:ascii="Verdana" w:eastAsia="Calibri" w:hAnsi="Verdana" w:cs="Arial"/>
          <w:b/>
          <w:lang w:eastAsia="es-ES_tradnl"/>
        </w:rPr>
      </w:pPr>
      <w:r w:rsidRPr="00D35C47">
        <w:rPr>
          <w:rFonts w:ascii="Verdana" w:eastAsia="Calibri" w:hAnsi="Verdana" w:cs="Arial"/>
          <w:b/>
          <w:lang w:eastAsia="es-ES_tradnl"/>
        </w:rPr>
        <w:t>Liliana Ang</w:t>
      </w:r>
      <w:r>
        <w:rPr>
          <w:rFonts w:ascii="Verdana" w:eastAsia="Calibri" w:hAnsi="Verdana" w:cs="Arial"/>
          <w:b/>
          <w:lang w:eastAsia="es-ES_tradnl"/>
        </w:rPr>
        <w:t>é</w:t>
      </w:r>
      <w:r w:rsidRPr="00D35C47">
        <w:rPr>
          <w:rFonts w:ascii="Verdana" w:eastAsia="Calibri" w:hAnsi="Verdana" w:cs="Arial"/>
          <w:b/>
          <w:lang w:eastAsia="es-ES_tradnl"/>
        </w:rPr>
        <w:t>lica</w:t>
      </w:r>
      <w:r>
        <w:rPr>
          <w:rFonts w:ascii="Verdana" w:eastAsia="Calibri" w:hAnsi="Verdana" w:cs="Arial"/>
          <w:b/>
          <w:lang w:eastAsia="es-ES_tradnl"/>
        </w:rPr>
        <w:t xml:space="preserve"> Ramírez Á</w:t>
      </w:r>
      <w:r w:rsidRPr="00D35C47">
        <w:rPr>
          <w:rFonts w:ascii="Verdana" w:eastAsia="Calibri" w:hAnsi="Verdana" w:cs="Arial"/>
          <w:b/>
          <w:lang w:eastAsia="es-ES_tradnl"/>
        </w:rPr>
        <w:t>lvarez</w:t>
      </w:r>
    </w:p>
    <w:p w14:paraId="644CC7E1" w14:textId="77777777" w:rsidR="00930225" w:rsidRPr="00D35C47" w:rsidRDefault="00930225" w:rsidP="00930225">
      <w:pPr>
        <w:spacing w:after="0" w:line="240" w:lineRule="auto"/>
        <w:jc w:val="both"/>
        <w:rPr>
          <w:rFonts w:ascii="Verdana" w:hAnsi="Verdana"/>
        </w:rPr>
      </w:pPr>
      <w:hyperlink r:id="rId11" w:history="1">
        <w:r w:rsidRPr="00D35C47">
          <w:rPr>
            <w:rStyle w:val="Hipervnculo"/>
            <w:rFonts w:ascii="Verdana" w:hAnsi="Verdana"/>
          </w:rPr>
          <w:t>lilianaramirezalvarez@gmail.com</w:t>
        </w:r>
      </w:hyperlink>
    </w:p>
    <w:p w14:paraId="709CF5E7" w14:textId="77777777" w:rsidR="00930225" w:rsidRPr="00624A4C" w:rsidRDefault="00930225" w:rsidP="00930225">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Ciudad </w:t>
      </w:r>
    </w:p>
    <w:p w14:paraId="50927FBA" w14:textId="77777777" w:rsidR="00930225" w:rsidRPr="005B4C57" w:rsidRDefault="00930225" w:rsidP="00930225">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60"/>
        <w:gridCol w:w="7229"/>
      </w:tblGrid>
      <w:tr w:rsidR="00930225" w:rsidRPr="002842E0" w14:paraId="682D3065" w14:textId="77777777" w:rsidTr="0002163D">
        <w:trPr>
          <w:trHeight w:val="162"/>
        </w:trPr>
        <w:tc>
          <w:tcPr>
            <w:tcW w:w="1560" w:type="dxa"/>
          </w:tcPr>
          <w:p w14:paraId="1F3AD020" w14:textId="77777777" w:rsidR="00930225" w:rsidRPr="005B4C57" w:rsidRDefault="00930225" w:rsidP="009C62BD">
            <w:pPr>
              <w:jc w:val="both"/>
              <w:rPr>
                <w:rFonts w:ascii="Verdana" w:eastAsia="Calibri" w:hAnsi="Verdana" w:cs="Arial"/>
                <w:b/>
                <w:bCs/>
                <w:color w:val="7030A0"/>
                <w:lang w:val="it-CH" w:eastAsia="es-ES_tradnl"/>
              </w:rPr>
            </w:pPr>
          </w:p>
        </w:tc>
        <w:tc>
          <w:tcPr>
            <w:tcW w:w="7229" w:type="dxa"/>
          </w:tcPr>
          <w:p w14:paraId="2E4F0F07" w14:textId="77777777" w:rsidR="00930225" w:rsidRPr="00801462" w:rsidRDefault="00930225" w:rsidP="009C62BD">
            <w:pPr>
              <w:jc w:val="both"/>
              <w:rPr>
                <w:rFonts w:ascii="Verdana" w:eastAsia="Calibri" w:hAnsi="Verdana" w:cs="Arial"/>
                <w:b/>
                <w:bCs/>
                <w:lang w:eastAsia="es-ES"/>
              </w:rPr>
            </w:pPr>
            <w:r w:rsidRPr="00801462">
              <w:rPr>
                <w:rFonts w:ascii="Verdana" w:eastAsia="Calibri" w:hAnsi="Verdana" w:cs="Arial"/>
                <w:b/>
                <w:bCs/>
                <w:lang w:eastAsia="es-ES"/>
              </w:rPr>
              <w:t xml:space="preserve">Concepto </w:t>
            </w:r>
            <w:r w:rsidRPr="00195E6C">
              <w:rPr>
                <w:rFonts w:ascii="Verdana" w:eastAsia="Calibri" w:hAnsi="Verdana" w:cs="Arial"/>
                <w:b/>
                <w:bCs/>
                <w:lang w:eastAsia="es-ES"/>
              </w:rPr>
              <w:t>C-10</w:t>
            </w:r>
            <w:r>
              <w:rPr>
                <w:rFonts w:ascii="Verdana" w:eastAsia="Calibri" w:hAnsi="Verdana" w:cs="Arial"/>
                <w:b/>
                <w:bCs/>
                <w:lang w:eastAsia="es-ES"/>
              </w:rPr>
              <w:t xml:space="preserve">76 </w:t>
            </w:r>
            <w:r w:rsidRPr="00801462">
              <w:rPr>
                <w:rFonts w:ascii="Verdana" w:eastAsia="Calibri" w:hAnsi="Verdana" w:cs="Arial"/>
                <w:b/>
                <w:bCs/>
                <w:lang w:eastAsia="es-ES"/>
              </w:rPr>
              <w:t>de 2025</w:t>
            </w:r>
          </w:p>
          <w:p w14:paraId="2A004A40" w14:textId="77777777" w:rsidR="00930225" w:rsidRPr="00801462" w:rsidRDefault="00930225" w:rsidP="009C62BD">
            <w:pPr>
              <w:jc w:val="both"/>
              <w:rPr>
                <w:rFonts w:ascii="Verdana" w:eastAsia="Calibri" w:hAnsi="Verdana" w:cs="Arial"/>
                <w:b/>
                <w:bCs/>
                <w:color w:val="7030A0"/>
                <w:lang w:eastAsia="es-ES"/>
              </w:rPr>
            </w:pPr>
          </w:p>
        </w:tc>
      </w:tr>
      <w:tr w:rsidR="00930225" w:rsidRPr="002842E0" w14:paraId="60E9C52B" w14:textId="77777777" w:rsidTr="0002163D">
        <w:trPr>
          <w:trHeight w:val="884"/>
        </w:trPr>
        <w:tc>
          <w:tcPr>
            <w:tcW w:w="1560" w:type="dxa"/>
          </w:tcPr>
          <w:p w14:paraId="28A686E8" w14:textId="77777777" w:rsidR="00930225" w:rsidRPr="00801462" w:rsidRDefault="00930225" w:rsidP="009C62BD">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7229" w:type="dxa"/>
          </w:tcPr>
          <w:p w14:paraId="13C327FB" w14:textId="77777777" w:rsidR="00930225" w:rsidRPr="00F976E2" w:rsidRDefault="00930225" w:rsidP="009C62BD">
            <w:pPr>
              <w:spacing w:line="259" w:lineRule="auto"/>
              <w:contextualSpacing/>
              <w:jc w:val="both"/>
              <w:rPr>
                <w:rFonts w:ascii="Verdana" w:eastAsia="Calibri" w:hAnsi="Verdana" w:cs="Arial"/>
                <w:color w:val="000000"/>
                <w:lang w:val="es-ES" w:eastAsia="es-ES"/>
              </w:rPr>
            </w:pPr>
            <w:r w:rsidRPr="00F976E2">
              <w:rPr>
                <w:rFonts w:ascii="Verdana" w:eastAsia="Times New Roman" w:hAnsi="Verdana" w:cs="Arial"/>
                <w:lang w:val="es-MX" w:eastAsia="es-CO"/>
              </w:rPr>
              <w:t>SELECCIÓN ABREVIADA – Modalidad de selección – Naturaleza </w:t>
            </w:r>
            <w:r w:rsidRPr="00F976E2">
              <w:rPr>
                <w:rFonts w:ascii="Verdana" w:eastAsia="Times New Roman" w:hAnsi="Verdana" w:cs="Arial"/>
                <w:lang w:eastAsia="es-CO"/>
              </w:rPr>
              <w:t xml:space="preserve">/ </w:t>
            </w:r>
            <w:r w:rsidRPr="00F976E2">
              <w:rPr>
                <w:rFonts w:ascii="Verdana" w:eastAsia="Times New Roman" w:hAnsi="Verdana" w:cs="Arial"/>
                <w:lang w:val="es-MX" w:eastAsia="es-CO"/>
              </w:rPr>
              <w:t>SELECCIÓN ABREVIADA SUBASTA INVERSA – Modalidad de selección – Finalidad – Articulo 2 Numeral 2 de la Ley 1150 de 2007 /</w:t>
            </w:r>
            <w:r w:rsidRPr="00F976E2">
              <w:rPr>
                <w:rFonts w:ascii="Verdana" w:eastAsia="Times New Roman" w:hAnsi="Verdana" w:cs="Arial"/>
                <w:lang w:eastAsia="es-CO"/>
              </w:rPr>
              <w:t> </w:t>
            </w:r>
            <w:r w:rsidRPr="00F976E2">
              <w:rPr>
                <w:rFonts w:ascii="Verdana" w:eastAsia="Times New Roman" w:hAnsi="Verdana" w:cs="Arial"/>
                <w:lang w:val="es-MX" w:eastAsia="es-CO"/>
              </w:rPr>
              <w:t xml:space="preserve">SELECCIÓN ABREVIADA SUBASTA INVERSA – Modalidad de selección – Procedencia / BIENES Y SERVICIOS DE CARACTERISTICAS TECNICAS UNIFORMES – Elementos / SELECCIÓN ABREVIADA SUBASTA INVERSA – Ficha técnica / </w:t>
            </w:r>
            <w:r w:rsidRPr="00F976E2">
              <w:rPr>
                <w:rFonts w:ascii="Verdana" w:hAnsi="Verdana" w:cs="Arial"/>
                <w:bCs/>
                <w:lang w:eastAsia="es-ES" w:bidi="es-ES"/>
              </w:rPr>
              <w:t>MODIFICACION DE LOS CONTRATOS ESTATALES – Aspectos generales – Límites / MODIFICACION DE LOS CONTRATOS ESTATALES – Carácter excepcional /</w:t>
            </w:r>
            <w:r w:rsidRPr="00F976E2">
              <w:rPr>
                <w:rFonts w:ascii="Verdana" w:hAnsi="Verdana" w:cs="Arial"/>
                <w:b/>
                <w:lang w:eastAsia="es-ES" w:bidi="es-ES"/>
              </w:rPr>
              <w:t xml:space="preserve"> </w:t>
            </w:r>
            <w:r w:rsidRPr="00F976E2">
              <w:rPr>
                <w:rFonts w:ascii="Verdana" w:hAnsi="Verdana" w:cs="Arial"/>
                <w:bCs/>
                <w:lang w:eastAsia="es-ES" w:bidi="es-ES"/>
              </w:rPr>
              <w:t xml:space="preserve">MODIFICACION DE LOS CONTRATOS ESTATALES – Límites </w:t>
            </w:r>
            <w:r w:rsidRPr="00F976E2">
              <w:rPr>
                <w:rFonts w:ascii="Verdana" w:hAnsi="Verdana"/>
              </w:rPr>
              <w:t xml:space="preserve">temporal, formal, material y axiológicos / </w:t>
            </w:r>
            <w:r w:rsidRPr="00F976E2">
              <w:rPr>
                <w:rFonts w:ascii="Verdana" w:eastAsia="Calibri" w:hAnsi="Verdana" w:cs="Arial"/>
                <w:color w:val="000000"/>
                <w:lang w:val="es-ES" w:eastAsia="es-ES"/>
              </w:rPr>
              <w:t>VIGILANCIA DE LOS CONTRATOS ESTATALES – Marco jurídico – Obligación de la entidad – Objetivo / SUPERVISIÓN E INTERVENTORÍA – Concepto – Finalidad / SUPERVISIÓN DEL CONTRATO – Características</w:t>
            </w:r>
          </w:p>
          <w:p w14:paraId="1792418F" w14:textId="77777777" w:rsidR="00930225" w:rsidRPr="00F976E2" w:rsidRDefault="00930225" w:rsidP="009C62BD">
            <w:pPr>
              <w:spacing w:line="259" w:lineRule="auto"/>
              <w:contextualSpacing/>
              <w:jc w:val="both"/>
              <w:rPr>
                <w:rFonts w:ascii="Verdana" w:eastAsia="Calibri" w:hAnsi="Verdana" w:cs="Arial"/>
                <w:lang w:eastAsia="es-ES"/>
              </w:rPr>
            </w:pPr>
          </w:p>
        </w:tc>
      </w:tr>
      <w:tr w:rsidR="00930225" w:rsidRPr="002842E0" w14:paraId="102E4DFC" w14:textId="77777777" w:rsidTr="0002163D">
        <w:tc>
          <w:tcPr>
            <w:tcW w:w="1560" w:type="dxa"/>
          </w:tcPr>
          <w:p w14:paraId="033DE1A2" w14:textId="77777777" w:rsidR="00930225" w:rsidRPr="00801462" w:rsidRDefault="00930225" w:rsidP="009C62BD">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7229" w:type="dxa"/>
          </w:tcPr>
          <w:p w14:paraId="7805C39D" w14:textId="77777777" w:rsidR="00930225" w:rsidRPr="00801462" w:rsidRDefault="00930225" w:rsidP="009C62BD">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D35C47">
              <w:rPr>
                <w:rFonts w:ascii="Verdana" w:eastAsia="Calibri" w:hAnsi="Verdana" w:cs="Arial"/>
                <w:lang w:eastAsia="es-ES_tradnl"/>
              </w:rPr>
              <w:t>1_2025_08_01_008057</w:t>
            </w:r>
          </w:p>
        </w:tc>
      </w:tr>
    </w:tbl>
    <w:p w14:paraId="5B726EF9" w14:textId="77777777" w:rsidR="00930225" w:rsidRDefault="00930225" w:rsidP="00930225">
      <w:pPr>
        <w:spacing w:after="0" w:line="276" w:lineRule="auto"/>
        <w:jc w:val="both"/>
        <w:rPr>
          <w:rFonts w:ascii="Verdana" w:eastAsia="Calibri" w:hAnsi="Verdana" w:cs="Arial"/>
          <w:lang w:eastAsia="es-ES_tradnl"/>
        </w:rPr>
      </w:pPr>
    </w:p>
    <w:p w14:paraId="49074CC7" w14:textId="77777777" w:rsidR="00D92749" w:rsidRDefault="00D92749" w:rsidP="00930225">
      <w:pPr>
        <w:spacing w:after="0" w:line="276" w:lineRule="auto"/>
        <w:jc w:val="both"/>
        <w:rPr>
          <w:rFonts w:ascii="Verdana" w:eastAsia="Calibri" w:hAnsi="Verdana" w:cs="Arial"/>
          <w:lang w:eastAsia="es-ES_tradnl"/>
        </w:rPr>
      </w:pPr>
    </w:p>
    <w:p w14:paraId="501829A9" w14:textId="77777777" w:rsidR="00930225" w:rsidRPr="008E4F36" w:rsidRDefault="00930225" w:rsidP="00930225">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a señora Liliana Angélica</w:t>
      </w:r>
      <w:r w:rsidRPr="008E4F36">
        <w:rPr>
          <w:rFonts w:ascii="Verdana" w:eastAsia="Calibri" w:hAnsi="Verdana" w:cs="Arial"/>
          <w:lang w:eastAsia="es-ES"/>
        </w:rPr>
        <w:t xml:space="preserve">: </w:t>
      </w:r>
    </w:p>
    <w:p w14:paraId="4A03251D" w14:textId="77777777" w:rsidR="00930225" w:rsidRDefault="00930225" w:rsidP="00930225">
      <w:pPr>
        <w:tabs>
          <w:tab w:val="left" w:pos="3768"/>
        </w:tabs>
        <w:spacing w:after="0" w:line="240" w:lineRule="auto"/>
        <w:jc w:val="both"/>
        <w:rPr>
          <w:rFonts w:ascii="Verdana" w:eastAsia="Calibri" w:hAnsi="Verdana" w:cs="Arial"/>
          <w:lang w:eastAsia="es-ES"/>
        </w:rPr>
      </w:pPr>
    </w:p>
    <w:p w14:paraId="0AC8666F" w14:textId="366EBECC" w:rsidR="00930225" w:rsidRPr="007F661B" w:rsidRDefault="00930225" w:rsidP="007F661B">
      <w:pPr>
        <w:tabs>
          <w:tab w:val="left" w:pos="3768"/>
        </w:tabs>
        <w:spacing w:after="0" w:line="276" w:lineRule="auto"/>
        <w:jc w:val="both"/>
        <w:rPr>
          <w:rFonts w:ascii="Verdana" w:eastAsia="Calibri" w:hAnsi="Verdana" w:cs="Arial"/>
          <w:lang w:eastAsia="es-ES"/>
        </w:rPr>
      </w:pPr>
      <w:r w:rsidRPr="00DE0B78">
        <w:rPr>
          <w:rFonts w:ascii="Verdana" w:eastAsia="Calibri" w:hAnsi="Verdana" w:cs="Arial"/>
          <w:lang w:eastAsia="es-ES"/>
        </w:rPr>
        <w:t>En ejercicio de la competencia otorgada por los artículos 3, numeral 5º, y 11, numeral 8º, del Decreto Ley 4170 de 2011,</w:t>
      </w:r>
      <w:r w:rsidRPr="00DE0B78">
        <w:rPr>
          <w:rFonts w:ascii="Verdana" w:eastAsia="Arial MT" w:hAnsi="Verdana" w:cs="Arial MT"/>
          <w:lang w:eastAsia="es-ES"/>
        </w:rPr>
        <w:t xml:space="preserve"> </w:t>
      </w:r>
      <w:r w:rsidRPr="00DE0B78">
        <w:rPr>
          <w:rFonts w:ascii="Verdana" w:hAnsi="Verdana" w:cs="Arial"/>
        </w:rPr>
        <w:t xml:space="preserve">así como lo establecido en el artículo 4 de la Resolución 1707 de 2018 expedida por esta Entidad, </w:t>
      </w:r>
      <w:r w:rsidRPr="00DE0B78">
        <w:rPr>
          <w:rFonts w:ascii="Verdana" w:eastAsia="Calibri" w:hAnsi="Verdana" w:cs="Arial"/>
          <w:lang w:eastAsia="es-ES"/>
        </w:rPr>
        <w:t>la Agencia Nacional de Contratació</w:t>
      </w:r>
      <w:r>
        <w:rPr>
          <w:rFonts w:ascii="Verdana" w:eastAsia="Calibri" w:hAnsi="Verdana" w:cs="Arial"/>
          <w:lang w:eastAsia="es-ES"/>
        </w:rPr>
        <w:t>n</w:t>
      </w:r>
      <w:r w:rsidRPr="00DE0B78">
        <w:rPr>
          <w:rFonts w:ascii="Verdana" w:eastAsia="Calibri" w:hAnsi="Verdana" w:cs="Arial"/>
          <w:lang w:eastAsia="es-ES"/>
        </w:rPr>
        <w:t xml:space="preserve"> Pública – Colombia Compra Eficiente– responde su solicitud de consulta de fecha </w:t>
      </w:r>
      <w:r>
        <w:rPr>
          <w:rFonts w:ascii="Verdana" w:eastAsia="Calibri" w:hAnsi="Verdana" w:cs="Arial"/>
          <w:lang w:eastAsia="es-ES"/>
        </w:rPr>
        <w:t>1 de agosto</w:t>
      </w:r>
      <w:r w:rsidRPr="00DE0B78">
        <w:rPr>
          <w:rFonts w:ascii="Verdana" w:eastAsia="Calibri" w:hAnsi="Verdana" w:cs="Arial"/>
          <w:lang w:eastAsia="es-ES"/>
        </w:rPr>
        <w:t xml:space="preserve"> de 2025, en la cual manifiesta lo siguiente: </w:t>
      </w:r>
    </w:p>
    <w:p w14:paraId="450E69F2" w14:textId="77777777" w:rsidR="00930225" w:rsidRPr="008A3F6C" w:rsidRDefault="00930225" w:rsidP="00930225">
      <w:pPr>
        <w:spacing w:after="0" w:line="240" w:lineRule="auto"/>
        <w:ind w:left="709" w:right="709"/>
        <w:jc w:val="both"/>
        <w:rPr>
          <w:rFonts w:ascii="Verdana" w:hAnsi="Verdana"/>
          <w:sz w:val="20"/>
          <w:szCs w:val="20"/>
        </w:rPr>
      </w:pPr>
      <w:bookmarkStart w:id="7" w:name="_Hlk192699624"/>
      <w:bookmarkStart w:id="8" w:name="_Hlk199394899"/>
      <w:r>
        <w:rPr>
          <w:rFonts w:ascii="Verdana" w:eastAsia="Century Gothic" w:hAnsi="Verdana" w:cs="Century Gothic"/>
          <w:sz w:val="20"/>
          <w:szCs w:val="20"/>
        </w:rPr>
        <w:lastRenderedPageBreak/>
        <w:t xml:space="preserve">“(…) </w:t>
      </w:r>
      <w:bookmarkEnd w:id="7"/>
      <w:bookmarkEnd w:id="8"/>
      <w:r w:rsidRPr="00D35C47">
        <w:rPr>
          <w:rFonts w:ascii="Verdana" w:eastAsia="Century Gothic" w:hAnsi="Verdana" w:cs="Century Gothic"/>
          <w:sz w:val="20"/>
          <w:szCs w:val="20"/>
        </w:rPr>
        <w:t xml:space="preserve">Se solicita respetuosamente aclaración respecto a la ejecución de un contrato estatal, si el supervisor puede recibir bienes de mejores características técnicas pactadas dentro del acuerdo de voluntades proveniente de un proceso de subasta inversa </w:t>
      </w:r>
      <w:r>
        <w:rPr>
          <w:rFonts w:ascii="Verdana" w:hAnsi="Verdana"/>
          <w:sz w:val="20"/>
          <w:szCs w:val="20"/>
        </w:rPr>
        <w:t>(…)”</w:t>
      </w:r>
      <w:r w:rsidRPr="008A3F6C">
        <w:rPr>
          <w:rFonts w:ascii="Verdana" w:hAnsi="Verdana"/>
          <w:sz w:val="20"/>
          <w:szCs w:val="20"/>
        </w:rPr>
        <w:t>.</w:t>
      </w:r>
    </w:p>
    <w:p w14:paraId="5503368A" w14:textId="77777777" w:rsidR="00930225" w:rsidRPr="008A3F6C" w:rsidRDefault="00930225" w:rsidP="00930225">
      <w:pPr>
        <w:spacing w:after="0" w:line="240" w:lineRule="auto"/>
        <w:ind w:left="709" w:right="709"/>
        <w:jc w:val="both"/>
        <w:rPr>
          <w:rFonts w:ascii="Verdana" w:hAnsi="Verdana"/>
          <w:b/>
          <w:bCs/>
          <w:sz w:val="20"/>
          <w:szCs w:val="20"/>
        </w:rPr>
      </w:pPr>
    </w:p>
    <w:p w14:paraId="77502CDD" w14:textId="77777777" w:rsidR="00930225" w:rsidRDefault="00930225" w:rsidP="00930225">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D6073B" w14:textId="77777777" w:rsidR="00930225" w:rsidRDefault="00930225" w:rsidP="00930225">
      <w:pPr>
        <w:spacing w:after="120"/>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el problema jurídico</w:t>
      </w:r>
      <w:r w:rsidRPr="0002705E">
        <w:rPr>
          <w:rFonts w:ascii="Verdana" w:eastAsia="Calibri" w:hAnsi="Verdana" w:cs="Arial"/>
          <w:color w:val="000000"/>
          <w:lang w:eastAsia="es-ES"/>
        </w:rPr>
        <w:t xml:space="preserve"> de su consulta.</w:t>
      </w:r>
      <w:r w:rsidRPr="008E4F36">
        <w:rPr>
          <w:rFonts w:ascii="Verdana" w:eastAsia="Calibri" w:hAnsi="Verdana" w:cs="Arial"/>
          <w:color w:val="000000"/>
          <w:lang w:eastAsia="es-ES"/>
        </w:rPr>
        <w:t xml:space="preserve">  </w:t>
      </w:r>
    </w:p>
    <w:p w14:paraId="02E04079" w14:textId="77777777" w:rsidR="00930225" w:rsidRPr="00376467" w:rsidRDefault="00930225" w:rsidP="0002163D">
      <w:pPr>
        <w:spacing w:after="0" w:line="276" w:lineRule="auto"/>
        <w:ind w:firstLine="709"/>
        <w:jc w:val="both"/>
        <w:rPr>
          <w:rFonts w:ascii="Verdana" w:eastAsia="Calibri" w:hAnsi="Verdana" w:cs="Arial"/>
          <w:color w:val="000000"/>
          <w:szCs w:val="24"/>
          <w:lang w:eastAsia="es-ES_tradnl"/>
        </w:rPr>
      </w:pPr>
    </w:p>
    <w:p w14:paraId="701613DB" w14:textId="77777777" w:rsidR="00930225" w:rsidRDefault="00930225" w:rsidP="0093022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1A04B7B8" w14:textId="77777777" w:rsidR="00930225" w:rsidRPr="00D25A26" w:rsidRDefault="00930225" w:rsidP="0002163D">
      <w:pPr>
        <w:spacing w:after="0" w:line="276" w:lineRule="auto"/>
        <w:jc w:val="both"/>
        <w:rPr>
          <w:rFonts w:ascii="Verdana" w:eastAsia="Calibri" w:hAnsi="Verdana" w:cs="Arial"/>
          <w:color w:val="000000"/>
          <w:lang w:eastAsia="es-ES"/>
        </w:rPr>
      </w:pPr>
    </w:p>
    <w:p w14:paraId="4208BB53" w14:textId="77777777" w:rsidR="00930225" w:rsidRPr="00E236F0" w:rsidRDefault="00930225" w:rsidP="004A30D6">
      <w:pPr>
        <w:spacing w:after="0" w:line="276" w:lineRule="auto"/>
        <w:jc w:val="both"/>
        <w:rPr>
          <w:rFonts w:ascii="Verdana" w:eastAsia="Calibri" w:hAnsi="Verdana" w:cs="Arial"/>
          <w:color w:val="000000"/>
          <w:lang w:eastAsia="es-ES"/>
        </w:rPr>
      </w:pPr>
      <w:r w:rsidRPr="00D25A26">
        <w:rPr>
          <w:rFonts w:ascii="Verdana" w:eastAsia="Calibri" w:hAnsi="Verdana" w:cs="Arial"/>
          <w:color w:val="000000"/>
          <w:lang w:eastAsia="es-ES"/>
        </w:rPr>
        <w:t>De acuerdo con el contenido de su solicitud, esta Agencia resolverá el siguiente problema jurídico: ¿El supervisor de un contrato estatal puede recibir bienes y/o servicios de características técnicas uniformes y de común utilización de mejores calidades y especificaciones distintos a los establecidos en el contrato estatal emanado de un proceso de selección abreviada bajo la modalidad de subasta inversa contemplado en el artículo 2</w:t>
      </w:r>
      <w:r>
        <w:rPr>
          <w:rFonts w:ascii="Verdana" w:eastAsia="Calibri" w:hAnsi="Verdana" w:cs="Arial"/>
          <w:color w:val="000000"/>
          <w:lang w:eastAsia="es-ES"/>
        </w:rPr>
        <w:t>,</w:t>
      </w:r>
      <w:r w:rsidRPr="00D25A26">
        <w:rPr>
          <w:rFonts w:ascii="Verdana" w:eastAsia="Calibri" w:hAnsi="Verdana" w:cs="Arial"/>
          <w:color w:val="000000"/>
          <w:lang w:eastAsia="es-ES"/>
        </w:rPr>
        <w:t xml:space="preserve"> numeral 2</w:t>
      </w:r>
      <w:r>
        <w:rPr>
          <w:rFonts w:ascii="Verdana" w:eastAsia="Calibri" w:hAnsi="Verdana" w:cs="Arial"/>
          <w:color w:val="000000"/>
          <w:lang w:eastAsia="es-ES"/>
        </w:rPr>
        <w:t>,</w:t>
      </w:r>
      <w:r w:rsidRPr="00D25A26">
        <w:rPr>
          <w:rFonts w:ascii="Verdana" w:eastAsia="Calibri" w:hAnsi="Verdana" w:cs="Arial"/>
          <w:color w:val="000000"/>
          <w:lang w:eastAsia="es-ES"/>
        </w:rPr>
        <w:t xml:space="preserve"> </w:t>
      </w:r>
      <w:r>
        <w:rPr>
          <w:rFonts w:ascii="Verdana" w:eastAsia="Calibri" w:hAnsi="Verdana" w:cs="Arial"/>
          <w:color w:val="000000"/>
          <w:lang w:eastAsia="es-ES"/>
        </w:rPr>
        <w:t xml:space="preserve">literal a) </w:t>
      </w:r>
      <w:r w:rsidRPr="00D25A26">
        <w:rPr>
          <w:rFonts w:ascii="Verdana" w:eastAsia="Calibri" w:hAnsi="Verdana" w:cs="Arial"/>
          <w:color w:val="000000"/>
          <w:lang w:eastAsia="es-ES"/>
        </w:rPr>
        <w:t xml:space="preserve">de la Ley 1150 de 2007?  </w:t>
      </w:r>
    </w:p>
    <w:p w14:paraId="343501F5" w14:textId="77777777" w:rsidR="00A61544" w:rsidRPr="00E236F0" w:rsidRDefault="00A61544" w:rsidP="0002163D">
      <w:pPr>
        <w:spacing w:after="0" w:line="276" w:lineRule="auto"/>
        <w:jc w:val="both"/>
        <w:rPr>
          <w:rFonts w:ascii="Verdana" w:eastAsia="Calibri" w:hAnsi="Verdana" w:cs="Arial"/>
          <w:color w:val="000000"/>
          <w:lang w:eastAsia="es-ES"/>
        </w:rPr>
      </w:pPr>
    </w:p>
    <w:p w14:paraId="640742CE" w14:textId="77777777" w:rsidR="00930225" w:rsidRDefault="00930225" w:rsidP="00930225">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059AC902" w14:textId="77777777" w:rsidR="00930225" w:rsidRPr="008E4F36" w:rsidRDefault="00930225" w:rsidP="0093022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930225" w:rsidRPr="008E4F36" w14:paraId="18A58CCF" w14:textId="77777777" w:rsidTr="009C62BD">
        <w:tc>
          <w:tcPr>
            <w:tcW w:w="8828" w:type="dxa"/>
          </w:tcPr>
          <w:p w14:paraId="003ED321" w14:textId="25140F0E" w:rsidR="00930225" w:rsidRPr="00E9080F" w:rsidRDefault="00930225" w:rsidP="0002163D">
            <w:pPr>
              <w:spacing w:after="120" w:line="276" w:lineRule="auto"/>
              <w:jc w:val="both"/>
              <w:textAlignment w:val="baseline"/>
              <w:rPr>
                <w:rFonts w:ascii="Verdana" w:eastAsia="Times New Roman" w:hAnsi="Verdana" w:cs="Arial"/>
                <w:lang w:eastAsia="es-CO"/>
              </w:rPr>
            </w:pPr>
            <w:r>
              <w:rPr>
                <w:rFonts w:ascii="Verdana" w:eastAsia="Times New Roman" w:hAnsi="Verdana" w:cs="Arial"/>
                <w:lang w:eastAsia="es-CO"/>
              </w:rPr>
              <w:t>La</w:t>
            </w:r>
            <w:r w:rsidRPr="00E271BA">
              <w:rPr>
                <w:rFonts w:ascii="Verdana" w:eastAsia="Times New Roman" w:hAnsi="Verdana" w:cs="Arial"/>
                <w:lang w:val="es-MX" w:eastAsia="es-CO"/>
              </w:rPr>
              <w:t xml:space="preserve"> utilización de la subasta inversa en la </w:t>
            </w:r>
            <w:r w:rsidR="002E5340">
              <w:rPr>
                <w:rFonts w:ascii="Verdana" w:eastAsia="Times New Roman" w:hAnsi="Verdana" w:cs="Arial"/>
                <w:lang w:val="es-MX" w:eastAsia="es-CO"/>
              </w:rPr>
              <w:t>modalidad de</w:t>
            </w:r>
            <w:r w:rsidRPr="00E271BA">
              <w:rPr>
                <w:rFonts w:ascii="Verdana" w:eastAsia="Times New Roman" w:hAnsi="Verdana" w:cs="Arial"/>
                <w:lang w:val="es-MX" w:eastAsia="es-CO"/>
              </w:rPr>
              <w:t xml:space="preserve"> selección abreviada está </w:t>
            </w:r>
            <w:r w:rsidR="00DD2DAC">
              <w:rPr>
                <w:rFonts w:ascii="Verdana" w:eastAsia="Times New Roman" w:hAnsi="Verdana" w:cs="Arial"/>
                <w:lang w:val="es-MX" w:eastAsia="es-CO"/>
              </w:rPr>
              <w:t>directamente vinculada</w:t>
            </w:r>
            <w:r w:rsidRPr="00E271BA">
              <w:rPr>
                <w:rFonts w:ascii="Verdana" w:eastAsia="Times New Roman" w:hAnsi="Verdana" w:cs="Arial"/>
                <w:lang w:val="es-MX" w:eastAsia="es-CO"/>
              </w:rPr>
              <w:t xml:space="preserve"> con el tipo o la naturaleza de los bienes o servicios a adquirir, sin consideración al presupuesto estimado para su compra. </w:t>
            </w:r>
            <w:r>
              <w:rPr>
                <w:rFonts w:ascii="Verdana" w:eastAsia="Times New Roman" w:hAnsi="Verdana" w:cs="Arial"/>
                <w:lang w:val="es-ES" w:eastAsia="es-CO"/>
              </w:rPr>
              <w:t>L</w:t>
            </w:r>
            <w:r w:rsidRPr="00E271BA">
              <w:rPr>
                <w:rFonts w:ascii="Verdana" w:eastAsia="Times New Roman" w:hAnsi="Verdana" w:cs="Arial"/>
                <w:lang w:val="es-ES" w:eastAsia="es-CO"/>
              </w:rPr>
              <w:t xml:space="preserve">os </w:t>
            </w:r>
            <w:r w:rsidRPr="00E271BA">
              <w:rPr>
                <w:rFonts w:ascii="Verdana" w:eastAsia="Times New Roman" w:hAnsi="Verdana" w:cs="Arial"/>
                <w:lang w:val="es-ES" w:eastAsia="es-CO"/>
              </w:rPr>
              <w:lastRenderedPageBreak/>
              <w:t>elementos centrales para definir si un bien o servicio se considera de características técnicas uniformes consiste</w:t>
            </w:r>
            <w:r w:rsidR="00B8350B">
              <w:rPr>
                <w:rFonts w:ascii="Verdana" w:eastAsia="Times New Roman" w:hAnsi="Verdana" w:cs="Arial"/>
                <w:lang w:val="es-ES" w:eastAsia="es-CO"/>
              </w:rPr>
              <w:t>n</w:t>
            </w:r>
            <w:r w:rsidRPr="00E271BA">
              <w:rPr>
                <w:rFonts w:ascii="Verdana" w:eastAsia="Times New Roman" w:hAnsi="Verdana" w:cs="Arial"/>
                <w:lang w:val="es-ES" w:eastAsia="es-CO"/>
              </w:rPr>
              <w:t xml:space="preserve"> en que posea</w:t>
            </w:r>
            <w:r w:rsidR="00B8350B">
              <w:rPr>
                <w:rFonts w:ascii="Verdana" w:eastAsia="Times New Roman" w:hAnsi="Verdana" w:cs="Arial"/>
                <w:lang w:val="es-ES" w:eastAsia="es-CO"/>
              </w:rPr>
              <w:t>n</w:t>
            </w:r>
            <w:r w:rsidRPr="00E271BA">
              <w:rPr>
                <w:rFonts w:ascii="Verdana" w:eastAsia="Times New Roman" w:hAnsi="Verdana" w:cs="Arial"/>
                <w:lang w:val="es-ES" w:eastAsia="es-CO"/>
              </w:rPr>
              <w:t xml:space="preserve"> las mismas especificaciones técnicas y compartan patrones de desempeño y calidad objetivamente definidos, de manera que sea posible adquirirlos en el mercado en condiciones estandarizadas u homogéneas, con independencia de su diseño o de sus características descriptivas, que no afectan su funcionalidad. En este sentido, la forma 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w:t>
            </w:r>
            <w:r w:rsidRPr="00E9080F">
              <w:rPr>
                <w:rFonts w:ascii="Verdana" w:eastAsia="Times New Roman" w:hAnsi="Verdana" w:cs="Arial"/>
                <w:lang w:val="es-ES" w:eastAsia="es-CO"/>
              </w:rPr>
              <w:t>. </w:t>
            </w:r>
            <w:r w:rsidRPr="00E9080F">
              <w:rPr>
                <w:rFonts w:ascii="Verdana" w:eastAsia="Times New Roman" w:hAnsi="Verdana" w:cs="Arial"/>
                <w:lang w:eastAsia="es-CO"/>
              </w:rPr>
              <w:t> </w:t>
            </w:r>
          </w:p>
          <w:p w14:paraId="3FCA915C" w14:textId="597286ED" w:rsidR="009F64CD" w:rsidRDefault="00930225" w:rsidP="009C62BD">
            <w:pPr>
              <w:widowControl w:val="0"/>
              <w:autoSpaceDE w:val="0"/>
              <w:autoSpaceDN w:val="0"/>
              <w:spacing w:after="120" w:line="276" w:lineRule="auto"/>
              <w:ind w:right="-2" w:firstLine="709"/>
              <w:jc w:val="both"/>
              <w:rPr>
                <w:rFonts w:ascii="Verdana" w:eastAsia="Times New Roman" w:hAnsi="Verdana" w:cs="Arial"/>
                <w:color w:val="000000"/>
              </w:rPr>
            </w:pPr>
            <w:r w:rsidRPr="00E9080F">
              <w:rPr>
                <w:rFonts w:ascii="Verdana" w:hAnsi="Verdana"/>
              </w:rPr>
              <w:t>Ahora bien, un elemento esencial dentro de este tipo de modalidad corresponde al cumplimiento del contenido de la ficha técnica</w:t>
            </w:r>
            <w:r w:rsidR="00B2036A">
              <w:rPr>
                <w:rFonts w:ascii="Verdana" w:hAnsi="Verdana"/>
              </w:rPr>
              <w:t>, entendida como</w:t>
            </w:r>
            <w:r w:rsidRPr="00E9080F">
              <w:rPr>
                <w:rFonts w:ascii="Verdana" w:hAnsi="Verdana"/>
              </w:rPr>
              <w:t xml:space="preserve"> el documento que contiene las especificaciones técnicas que debe cumplir el bien o servicio a contratar, o aquel documento que indica las especificaciones técnicas respecto del bien o servicio ofertado por el proponente. </w:t>
            </w:r>
            <w:r w:rsidR="009F64CD" w:rsidRPr="009F64CD">
              <w:rPr>
                <w:rFonts w:ascii="Verdana" w:hAnsi="Verdana"/>
              </w:rPr>
              <w:t xml:space="preserve">Aunque no existe una definición formal en la normativa, el artículo 2.2.1.2.1.2.1 del Decreto 1082 de 2015 establece que el pliego de condiciones debe incluir: i) la clasificación del bien o servicio según el Clasificador de Bienes y Servicios; </w:t>
            </w:r>
            <w:proofErr w:type="spellStart"/>
            <w:r w:rsidR="009F64CD" w:rsidRPr="009F64CD">
              <w:rPr>
                <w:rFonts w:ascii="Verdana" w:hAnsi="Verdana"/>
              </w:rPr>
              <w:t>ii</w:t>
            </w:r>
            <w:proofErr w:type="spellEnd"/>
            <w:r w:rsidR="009F64CD" w:rsidRPr="009F64CD">
              <w:rPr>
                <w:rFonts w:ascii="Verdana" w:hAnsi="Verdana"/>
              </w:rPr>
              <w:t xml:space="preserve">) la identificación adicional requerida; </w:t>
            </w:r>
            <w:proofErr w:type="spellStart"/>
            <w:r w:rsidR="009F64CD" w:rsidRPr="009F64CD">
              <w:rPr>
                <w:rFonts w:ascii="Verdana" w:hAnsi="Verdana"/>
              </w:rPr>
              <w:t>iii</w:t>
            </w:r>
            <w:proofErr w:type="spellEnd"/>
            <w:r w:rsidR="009F64CD" w:rsidRPr="009F64CD">
              <w:rPr>
                <w:rFonts w:ascii="Verdana" w:hAnsi="Verdana"/>
              </w:rPr>
              <w:t xml:space="preserve">) la unidad de medida; </w:t>
            </w:r>
            <w:proofErr w:type="spellStart"/>
            <w:r w:rsidR="009F64CD" w:rsidRPr="009F64CD">
              <w:rPr>
                <w:rFonts w:ascii="Verdana" w:hAnsi="Verdana"/>
              </w:rPr>
              <w:t>iv</w:t>
            </w:r>
            <w:proofErr w:type="spellEnd"/>
            <w:r w:rsidR="009F64CD" w:rsidRPr="009F64CD">
              <w:rPr>
                <w:rFonts w:ascii="Verdana" w:hAnsi="Verdana"/>
              </w:rPr>
              <w:t>) la calidad mínima; y v) los patrones de desempeño mínimos</w:t>
            </w:r>
          </w:p>
          <w:p w14:paraId="0CDE7CE7" w14:textId="39FD26E9" w:rsidR="00930225" w:rsidRPr="00B31C7B" w:rsidRDefault="00930225" w:rsidP="009C62BD">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Pr>
                <w:rFonts w:ascii="Verdana" w:eastAsia="Times New Roman" w:hAnsi="Verdana" w:cs="Arial"/>
                <w:color w:val="000000"/>
                <w:lang w:val="es-ES_tradnl"/>
              </w:rPr>
              <w:t xml:space="preserve">En el evento en que se reciban bienes o servicios de características técnicas uniformes y de común utilización distintas a las establecidas en la ficha técnica que hace parte del contenido integral del contrato, </w:t>
            </w:r>
            <w:r w:rsidRPr="00B31C7B">
              <w:rPr>
                <w:rFonts w:ascii="Verdana" w:eastAsia="Arial" w:hAnsi="Verdana" w:cs="Arial"/>
                <w:color w:val="000000"/>
                <w:lang w:val="es-ES" w:eastAsia="es-ES" w:bidi="es-ES"/>
              </w:rPr>
              <w:t>es jurídicamente viable modificar los contratos estatales</w:t>
            </w:r>
            <w:r>
              <w:rPr>
                <w:rFonts w:ascii="Verdana" w:eastAsia="Arial" w:hAnsi="Verdana" w:cs="Arial"/>
                <w:color w:val="000000"/>
                <w:lang w:val="es-ES" w:eastAsia="es-ES" w:bidi="es-ES"/>
              </w:rPr>
              <w:t>. No obstante,</w:t>
            </w:r>
            <w:r w:rsidRPr="00B31C7B">
              <w:rPr>
                <w:rFonts w:ascii="Verdana" w:eastAsia="Arial" w:hAnsi="Verdana" w:cs="Arial"/>
                <w:color w:val="000000"/>
                <w:lang w:val="es-ES" w:eastAsia="es-ES" w:bidi="es-ES"/>
              </w:rPr>
              <w:t xml:space="preserve"> esta medida tiene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w:t>
            </w:r>
            <w:r>
              <w:rPr>
                <w:rFonts w:ascii="Verdana" w:eastAsia="Arial" w:hAnsi="Verdana" w:cs="Arial"/>
                <w:color w:val="000000"/>
                <w:lang w:val="es-ES" w:eastAsia="es-ES" w:bidi="es-ES"/>
              </w:rPr>
              <w:t>el ordenamiento jurídico</w:t>
            </w:r>
            <w:r w:rsidRPr="00B31C7B">
              <w:rPr>
                <w:rFonts w:ascii="Verdana" w:eastAsia="Arial" w:hAnsi="Verdana" w:cs="Arial"/>
                <w:color w:val="000000"/>
                <w:lang w:val="es-ES" w:eastAsia="es-ES" w:bidi="es-ES"/>
              </w:rPr>
              <w:t>. En otras palabras, la modificación contractual encuentra sustento no solo en circunstancias fácticas propias de la ejecución del contrato, sino además debe cumplir con los principios y fines de la contratación estatal, así como con las condiciones y restricciones legales</w:t>
            </w:r>
            <w:r>
              <w:rPr>
                <w:rFonts w:ascii="Verdana" w:eastAsia="Arial" w:hAnsi="Verdana" w:cs="Arial"/>
                <w:color w:val="000000"/>
                <w:lang w:val="es-ES" w:eastAsia="es-ES" w:bidi="es-ES"/>
              </w:rPr>
              <w:t xml:space="preserve"> y jurisprudenciales</w:t>
            </w:r>
            <w:r w:rsidRPr="00B31C7B">
              <w:rPr>
                <w:rFonts w:ascii="Verdana" w:eastAsia="Arial" w:hAnsi="Verdana" w:cs="Arial"/>
                <w:color w:val="000000"/>
                <w:lang w:val="es-ES" w:eastAsia="es-ES" w:bidi="es-ES"/>
              </w:rPr>
              <w:t xml:space="preserve">. </w:t>
            </w:r>
          </w:p>
          <w:p w14:paraId="4E6A5BA8" w14:textId="02E283CF" w:rsidR="00930225" w:rsidRDefault="00930225" w:rsidP="009C62BD">
            <w:pPr>
              <w:spacing w:after="120" w:line="276" w:lineRule="auto"/>
              <w:ind w:firstLine="709"/>
              <w:jc w:val="both"/>
              <w:rPr>
                <w:rFonts w:ascii="Verdana" w:hAnsi="Verdana" w:cs="Arial"/>
                <w:shd w:val="clear" w:color="auto" w:fill="FFFFFF"/>
              </w:rPr>
            </w:pPr>
            <w:r w:rsidRPr="00D619E6">
              <w:rPr>
                <w:rFonts w:ascii="Verdana" w:eastAsia="Arial" w:hAnsi="Verdana" w:cs="Arial"/>
                <w:color w:val="000000" w:themeColor="text1"/>
                <w:lang w:val="es-ES" w:eastAsia="es-ES" w:bidi="es-ES"/>
              </w:rPr>
              <w:t xml:space="preserve">En virtud de lo anterior, la entidad </w:t>
            </w:r>
            <w:r w:rsidRPr="007F469A">
              <w:rPr>
                <w:rFonts w:ascii="Verdana" w:eastAsia="Arial" w:hAnsi="Verdana" w:cs="Arial"/>
                <w:color w:val="000000" w:themeColor="text1"/>
                <w:lang w:val="es-ES" w:eastAsia="es-ES" w:bidi="es-ES"/>
              </w:rPr>
              <w:t>debe analizar</w:t>
            </w:r>
            <w:r>
              <w:rPr>
                <w:rFonts w:ascii="Verdana" w:eastAsia="Arial" w:hAnsi="Verdana" w:cs="Arial"/>
                <w:color w:val="000000" w:themeColor="text1"/>
                <w:lang w:val="es-ES" w:eastAsia="es-ES" w:bidi="es-ES"/>
              </w:rPr>
              <w:t xml:space="preserve"> si el recibo de bienes y servicios de características técnicas uniformes con mejores calidades y </w:t>
            </w:r>
            <w:r>
              <w:rPr>
                <w:rFonts w:ascii="Verdana" w:eastAsia="Arial" w:hAnsi="Verdana" w:cs="Arial"/>
                <w:color w:val="000000" w:themeColor="text1"/>
                <w:lang w:val="es-ES" w:eastAsia="es-ES" w:bidi="es-ES"/>
              </w:rPr>
              <w:lastRenderedPageBreak/>
              <w:t xml:space="preserve">funcionalidades distintas a las dispuestas en la ficha técnica del contrato </w:t>
            </w:r>
            <w:r w:rsidRPr="00D619E6">
              <w:rPr>
                <w:rFonts w:ascii="Verdana" w:hAnsi="Verdana" w:cs="Arial"/>
                <w:shd w:val="clear" w:color="auto" w:fill="FFFFFF"/>
              </w:rPr>
              <w:t xml:space="preserve">representa una </w:t>
            </w:r>
            <w:r w:rsidRPr="00D619E6">
              <w:rPr>
                <w:rFonts w:ascii="Verdana" w:eastAsia="Arial" w:hAnsi="Verdana" w:cs="Arial"/>
                <w:color w:val="000000"/>
                <w:lang w:val="es-ES" w:eastAsia="es-ES" w:bidi="es-ES"/>
              </w:rPr>
              <w:t>alteración, variación o cambios en las condiciones y cláusulas del contrat</w:t>
            </w:r>
            <w:r>
              <w:rPr>
                <w:rFonts w:ascii="Verdana" w:eastAsia="Arial" w:hAnsi="Verdana" w:cs="Arial"/>
                <w:color w:val="000000"/>
                <w:lang w:val="es-ES" w:eastAsia="es-ES" w:bidi="es-ES"/>
              </w:rPr>
              <w:t>o</w:t>
            </w:r>
            <w:r w:rsidRPr="007F469A">
              <w:rPr>
                <w:rFonts w:ascii="Verdana" w:eastAsia="Arial" w:hAnsi="Verdana" w:cs="Arial"/>
                <w:color w:val="000000"/>
                <w:lang w:val="es-ES" w:eastAsia="es-ES" w:bidi="es-ES"/>
              </w:rPr>
              <w:t xml:space="preserve">. En ese </w:t>
            </w:r>
            <w:r w:rsidRPr="00932FDF">
              <w:rPr>
                <w:rFonts w:ascii="Verdana" w:eastAsia="Arial" w:hAnsi="Verdana" w:cs="Arial"/>
                <w:color w:val="000000"/>
                <w:lang w:val="es-ES" w:eastAsia="es-ES" w:bidi="es-ES"/>
              </w:rPr>
              <w:t>caso</w:t>
            </w:r>
            <w:r w:rsidRPr="007F469A">
              <w:rPr>
                <w:rFonts w:ascii="Verdana" w:eastAsia="Arial" w:hAnsi="Verdana" w:cs="Arial"/>
                <w:color w:val="000000"/>
                <w:lang w:val="es-ES" w:eastAsia="es-ES" w:bidi="es-ES"/>
              </w:rPr>
              <w:t xml:space="preserve">, </w:t>
            </w:r>
            <w:r w:rsidRPr="00D619E6">
              <w:rPr>
                <w:rFonts w:ascii="Verdana" w:eastAsia="Arial" w:hAnsi="Verdana" w:cs="Arial"/>
                <w:color w:val="000000"/>
                <w:lang w:val="es-ES" w:eastAsia="es-ES" w:bidi="es-ES"/>
              </w:rPr>
              <w:t xml:space="preserve">se entiende que se trata de una modificación contractual, independientemente, </w:t>
            </w:r>
            <w:r w:rsidRPr="00D619E6">
              <w:rPr>
                <w:rFonts w:ascii="Verdana" w:hAnsi="Verdana" w:cs="Arial"/>
                <w:shd w:val="clear" w:color="auto" w:fill="FFFFFF"/>
              </w:rPr>
              <w:t>del nombre que se le asigne al</w:t>
            </w:r>
            <w:r w:rsidRPr="007F469A">
              <w:rPr>
                <w:rFonts w:ascii="Verdana" w:hAnsi="Verdana" w:cs="Arial"/>
                <w:shd w:val="clear" w:color="auto" w:fill="FFFFFF"/>
              </w:rPr>
              <w:t xml:space="preserve"> </w:t>
            </w:r>
            <w:r w:rsidRPr="00D619E6">
              <w:rPr>
                <w:rFonts w:ascii="Verdana" w:hAnsi="Verdana" w:cs="Arial"/>
                <w:shd w:val="clear" w:color="auto" w:fill="FFFFFF"/>
              </w:rPr>
              <w:t xml:space="preserve">documento - otrosí o acta de liquidación –. En </w:t>
            </w:r>
            <w:r w:rsidRPr="007F469A">
              <w:rPr>
                <w:rFonts w:ascii="Verdana" w:hAnsi="Verdana" w:cs="Arial"/>
                <w:shd w:val="clear" w:color="auto" w:fill="FFFFFF"/>
              </w:rPr>
              <w:t>consecuencia</w:t>
            </w:r>
            <w:r w:rsidRPr="00D619E6">
              <w:rPr>
                <w:rFonts w:ascii="Verdana" w:hAnsi="Verdana" w:cs="Arial"/>
                <w:shd w:val="clear" w:color="auto" w:fill="FFFFFF"/>
              </w:rPr>
              <w:t xml:space="preserve">, tratándose de una modificación contractual deberá cumplir con los </w:t>
            </w:r>
            <w:r w:rsidR="00B82A8C" w:rsidRPr="00D619E6">
              <w:rPr>
                <w:rFonts w:ascii="Verdana" w:hAnsi="Verdana" w:cs="Arial"/>
                <w:shd w:val="clear" w:color="auto" w:fill="FFFFFF"/>
              </w:rPr>
              <w:t>límites</w:t>
            </w:r>
            <w:r w:rsidR="00B82A8C">
              <w:rPr>
                <w:rFonts w:ascii="Verdana" w:hAnsi="Verdana" w:cs="Arial"/>
                <w:shd w:val="clear" w:color="auto" w:fill="FFFFFF"/>
              </w:rPr>
              <w:t xml:space="preserve"> </w:t>
            </w:r>
            <w:r w:rsidR="00B82A8C">
              <w:rPr>
                <w:rFonts w:ascii="Verdana" w:hAnsi="Verdana"/>
              </w:rPr>
              <w:t>de diversa naturaleza, tales como: temporal, formal, material y axiológicos</w:t>
            </w:r>
            <w:r w:rsidRPr="00D619E6">
              <w:rPr>
                <w:rFonts w:ascii="Verdana" w:hAnsi="Verdana" w:cs="Arial"/>
                <w:shd w:val="clear" w:color="auto" w:fill="FFFFFF"/>
              </w:rPr>
              <w:t xml:space="preserve">, así como condiciones estipuladas en los </w:t>
            </w:r>
            <w:r>
              <w:rPr>
                <w:rFonts w:ascii="Verdana" w:hAnsi="Verdana" w:cs="Arial"/>
                <w:shd w:val="clear" w:color="auto" w:fill="FFFFFF"/>
              </w:rPr>
              <w:t xml:space="preserve">manuales internos de contratación y de supervisión e interventoría de cada </w:t>
            </w:r>
            <w:r w:rsidR="006C7F8E">
              <w:rPr>
                <w:rFonts w:ascii="Verdana" w:hAnsi="Verdana" w:cs="Arial"/>
                <w:shd w:val="clear" w:color="auto" w:fill="FFFFFF"/>
              </w:rPr>
              <w:t>entidad estatal</w:t>
            </w:r>
            <w:r w:rsidRPr="00D619E6">
              <w:rPr>
                <w:rFonts w:ascii="Verdana" w:hAnsi="Verdana" w:cs="Arial"/>
                <w:shd w:val="clear" w:color="auto" w:fill="FFFFFF"/>
              </w:rPr>
              <w:t>.</w:t>
            </w:r>
            <w:r>
              <w:rPr>
                <w:rFonts w:ascii="Verdana" w:hAnsi="Verdana" w:cs="Arial"/>
                <w:shd w:val="clear" w:color="auto" w:fill="FFFFFF"/>
              </w:rPr>
              <w:t xml:space="preserve"> </w:t>
            </w:r>
            <w:r w:rsidR="00097A2D">
              <w:rPr>
                <w:rFonts w:ascii="Verdana" w:hAnsi="Verdana" w:cs="Arial"/>
                <w:shd w:val="clear" w:color="auto" w:fill="FFFFFF"/>
              </w:rPr>
              <w:t xml:space="preserve">Además, se resalta que </w:t>
            </w:r>
            <w:r w:rsidR="00097A2D" w:rsidRPr="00B31C7B">
              <w:rPr>
                <w:rFonts w:ascii="Verdana" w:eastAsia="Arial" w:hAnsi="Verdana" w:cs="Arial"/>
                <w:color w:val="000000"/>
                <w:lang w:val="es-ES" w:eastAsia="es-ES" w:bidi="es-ES"/>
              </w:rPr>
              <w:t xml:space="preserve">las modificaciones no </w:t>
            </w:r>
            <w:r w:rsidR="00097A2D">
              <w:rPr>
                <w:rFonts w:ascii="Verdana" w:eastAsia="Arial" w:hAnsi="Verdana" w:cs="Arial"/>
                <w:color w:val="000000"/>
                <w:lang w:val="es-ES" w:eastAsia="es-ES" w:bidi="es-ES"/>
              </w:rPr>
              <w:t xml:space="preserve">pueden </w:t>
            </w:r>
            <w:r w:rsidR="00097A2D" w:rsidRPr="00B31C7B">
              <w:rPr>
                <w:rFonts w:ascii="Verdana" w:eastAsia="Arial" w:hAnsi="Verdana" w:cs="Arial"/>
                <w:color w:val="000000"/>
                <w:lang w:val="es-ES" w:eastAsia="es-ES" w:bidi="es-ES"/>
              </w:rPr>
              <w:t>suponer la variación del objeto d</w:t>
            </w:r>
            <w:r w:rsidR="00097A2D">
              <w:rPr>
                <w:rFonts w:ascii="Verdana" w:eastAsia="Arial" w:hAnsi="Verdana" w:cs="Arial"/>
                <w:color w:val="000000"/>
                <w:lang w:val="es-ES" w:eastAsia="es-ES" w:bidi="es-ES"/>
              </w:rPr>
              <w:t>el</w:t>
            </w:r>
            <w:r w:rsidR="00097A2D" w:rsidRPr="00B31C7B">
              <w:rPr>
                <w:rFonts w:ascii="Verdana" w:eastAsia="Arial" w:hAnsi="Verdana" w:cs="Arial"/>
                <w:color w:val="000000"/>
                <w:lang w:val="es-ES" w:eastAsia="es-ES" w:bidi="es-ES"/>
              </w:rPr>
              <w:t xml:space="preserve"> contrato, pues </w:t>
            </w:r>
            <w:r w:rsidR="00097A2D">
              <w:rPr>
                <w:rFonts w:ascii="Verdana" w:eastAsia="Arial" w:hAnsi="Verdana" w:cs="Arial"/>
                <w:color w:val="000000"/>
                <w:lang w:val="es-ES" w:eastAsia="es-ES" w:bidi="es-ES"/>
              </w:rPr>
              <w:t xml:space="preserve">esto </w:t>
            </w:r>
            <w:r w:rsidR="00097A2D" w:rsidRPr="00B31C7B">
              <w:rPr>
                <w:rFonts w:ascii="Verdana" w:eastAsia="Arial" w:hAnsi="Verdana" w:cs="Arial"/>
                <w:color w:val="000000"/>
                <w:lang w:val="es-ES" w:eastAsia="es-ES" w:bidi="es-ES"/>
              </w:rPr>
              <w:t xml:space="preserve">implica la alteración de su esencia y lo </w:t>
            </w:r>
            <w:r w:rsidR="00097A2D">
              <w:rPr>
                <w:rFonts w:ascii="Verdana" w:eastAsia="Arial" w:hAnsi="Verdana" w:cs="Arial"/>
                <w:color w:val="000000"/>
                <w:lang w:val="es-ES" w:eastAsia="es-ES" w:bidi="es-ES"/>
              </w:rPr>
              <w:t xml:space="preserve">convierte </w:t>
            </w:r>
            <w:r w:rsidR="00097A2D" w:rsidRPr="00B31C7B">
              <w:rPr>
                <w:rFonts w:ascii="Verdana" w:eastAsia="Arial" w:hAnsi="Verdana" w:cs="Arial"/>
                <w:color w:val="000000"/>
                <w:lang w:val="es-ES" w:eastAsia="es-ES" w:bidi="es-ES"/>
              </w:rPr>
              <w:t>en otro tipo de negocio jurídico</w:t>
            </w:r>
            <w:r w:rsidR="00097A2D">
              <w:rPr>
                <w:rFonts w:ascii="Verdana" w:eastAsia="Arial" w:hAnsi="Verdana" w:cs="Arial"/>
                <w:color w:val="000000"/>
                <w:lang w:val="es-ES" w:eastAsia="es-ES" w:bidi="es-ES"/>
              </w:rPr>
              <w:t>.</w:t>
            </w:r>
          </w:p>
          <w:p w14:paraId="614B165B" w14:textId="025E1614" w:rsidR="00930225" w:rsidRPr="00BA49D5" w:rsidRDefault="00930225" w:rsidP="0002163D">
            <w:pPr>
              <w:spacing w:line="276" w:lineRule="auto"/>
              <w:ind w:firstLine="703"/>
              <w:jc w:val="both"/>
              <w:textAlignment w:val="baseline"/>
              <w:rPr>
                <w:rFonts w:ascii="Verdana" w:eastAsia="Times New Roman" w:hAnsi="Verdana" w:cs="Arial"/>
                <w:lang w:eastAsia="es-CO"/>
              </w:rPr>
            </w:pPr>
            <w:r>
              <w:rPr>
                <w:rFonts w:ascii="Verdana" w:eastAsia="Times New Roman" w:hAnsi="Verdana" w:cs="Arial"/>
                <w:lang w:eastAsia="es-CO"/>
              </w:rPr>
              <w:t>Adicionalmente</w:t>
            </w:r>
            <w:r w:rsidR="00C35CFB">
              <w:rPr>
                <w:rFonts w:ascii="Verdana" w:eastAsia="Times New Roman" w:hAnsi="Verdana" w:cs="Arial"/>
                <w:lang w:eastAsia="es-CO"/>
              </w:rPr>
              <w:t>, corresponde</w:t>
            </w:r>
            <w:r>
              <w:rPr>
                <w:rFonts w:ascii="Verdana" w:eastAsia="Times New Roman" w:hAnsi="Verdana" w:cs="Arial"/>
                <w:lang w:eastAsia="es-CO"/>
              </w:rPr>
              <w:t xml:space="preserve"> </w:t>
            </w:r>
            <w:r w:rsidR="00C35CFB">
              <w:rPr>
                <w:rFonts w:ascii="Verdana" w:eastAsia="Times New Roman" w:hAnsi="Verdana" w:cs="Arial"/>
                <w:shd w:val="clear" w:color="auto" w:fill="FFFFFF"/>
                <w:lang w:val="es-ES"/>
              </w:rPr>
              <w:t>a</w:t>
            </w:r>
            <w:r w:rsidRPr="00F46A49">
              <w:rPr>
                <w:rFonts w:ascii="Verdana" w:eastAsia="Times New Roman" w:hAnsi="Verdana" w:cs="Arial"/>
                <w:shd w:val="clear" w:color="auto" w:fill="FFFFFF"/>
                <w:lang w:val="es-ES"/>
              </w:rPr>
              <w:t>l supervisor</w:t>
            </w:r>
            <w:r w:rsidR="00E623C5">
              <w:rPr>
                <w:rFonts w:ascii="Verdana" w:eastAsia="Times New Roman" w:hAnsi="Verdana" w:cs="Arial"/>
                <w:shd w:val="clear" w:color="auto" w:fill="FFFFFF"/>
                <w:lang w:val="es-ES"/>
              </w:rPr>
              <w:t xml:space="preserve"> </w:t>
            </w:r>
            <w:r w:rsidRPr="00F46A49">
              <w:rPr>
                <w:rFonts w:ascii="Verdana" w:eastAsia="Times New Roman" w:hAnsi="Verdana" w:cs="Arial"/>
                <w:shd w:val="clear" w:color="auto" w:fill="FFFFFF"/>
                <w:lang w:val="es-ES"/>
              </w:rPr>
              <w:t>verificar las entregas de bienes, obras o servicios realizadas por el contratista, determinando si las mismas se ajustan a las condiciones pactadas.</w:t>
            </w:r>
            <w:r w:rsidR="00E623C5">
              <w:rPr>
                <w:rFonts w:ascii="Verdana" w:eastAsia="Times New Roman" w:hAnsi="Verdana" w:cs="Arial"/>
                <w:shd w:val="clear" w:color="auto" w:fill="FFFFFF"/>
                <w:lang w:val="es-ES"/>
              </w:rPr>
              <w:t xml:space="preserve"> </w:t>
            </w:r>
            <w:r w:rsidR="00E623C5" w:rsidRPr="00E623C5">
              <w:rPr>
                <w:rFonts w:ascii="Verdana" w:eastAsia="Times New Roman" w:hAnsi="Verdana" w:cs="Arial"/>
                <w:shd w:val="clear" w:color="auto" w:fill="FFFFFF"/>
              </w:rPr>
              <w:t>Si los bienes o servicios entregados presentan </w:t>
            </w:r>
            <w:r w:rsidR="00E623C5" w:rsidRPr="0002163D">
              <w:rPr>
                <w:rFonts w:ascii="Verdana" w:eastAsia="Times New Roman" w:hAnsi="Verdana" w:cs="Arial"/>
                <w:shd w:val="clear" w:color="auto" w:fill="FFFFFF"/>
              </w:rPr>
              <w:t>mejores calidades o funcionalidades</w:t>
            </w:r>
            <w:r w:rsidR="00E623C5" w:rsidRPr="00E623C5">
              <w:rPr>
                <w:rFonts w:ascii="Verdana" w:eastAsia="Times New Roman" w:hAnsi="Verdana" w:cs="Arial"/>
                <w:shd w:val="clear" w:color="auto" w:fill="FFFFFF"/>
              </w:rPr>
              <w:t>, esto </w:t>
            </w:r>
            <w:r w:rsidR="00E623C5" w:rsidRPr="0002163D">
              <w:rPr>
                <w:rFonts w:ascii="Verdana" w:eastAsia="Times New Roman" w:hAnsi="Verdana" w:cs="Arial"/>
                <w:shd w:val="clear" w:color="auto" w:fill="FFFFFF"/>
              </w:rPr>
              <w:t>no habilita automáticamente su aceptación</w:t>
            </w:r>
            <w:r w:rsidR="00E623C5" w:rsidRPr="00E623C5">
              <w:rPr>
                <w:rFonts w:ascii="Verdana" w:eastAsia="Times New Roman" w:hAnsi="Verdana" w:cs="Arial"/>
                <w:shd w:val="clear" w:color="auto" w:fill="FFFFFF"/>
              </w:rPr>
              <w:t>, sino que exige una evaluación jurídica y técnica que determine si procede una modificación del contrato, la cual debe cumplir con los requisitos legales, jurisprudenciales y administrativos aplicables.</w:t>
            </w:r>
          </w:p>
        </w:tc>
      </w:tr>
    </w:tbl>
    <w:p w14:paraId="22179C52" w14:textId="77777777" w:rsidR="00930225" w:rsidRDefault="00930225" w:rsidP="00930225">
      <w:pPr>
        <w:tabs>
          <w:tab w:val="left" w:pos="142"/>
          <w:tab w:val="left" w:pos="284"/>
        </w:tabs>
        <w:spacing w:after="0" w:line="276" w:lineRule="auto"/>
        <w:jc w:val="both"/>
        <w:rPr>
          <w:rFonts w:ascii="Verdana" w:eastAsia="Century Gothic" w:hAnsi="Verdana" w:cs="Century Gothic"/>
          <w:b/>
          <w:bCs/>
        </w:rPr>
      </w:pPr>
    </w:p>
    <w:p w14:paraId="7ED4B553" w14:textId="77777777" w:rsidR="00930225" w:rsidRPr="008E4F36" w:rsidRDefault="00930225" w:rsidP="00930225">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13D328E" w14:textId="77777777" w:rsidR="00930225" w:rsidRDefault="00930225" w:rsidP="00930225">
      <w:pPr>
        <w:pStyle w:val="Prrafodelista"/>
        <w:tabs>
          <w:tab w:val="left" w:pos="142"/>
          <w:tab w:val="left" w:pos="284"/>
        </w:tabs>
        <w:spacing w:after="0" w:line="276" w:lineRule="auto"/>
        <w:ind w:left="0"/>
        <w:contextualSpacing w:val="0"/>
        <w:jc w:val="both"/>
        <w:rPr>
          <w:rFonts w:ascii="Verdana" w:eastAsia="Calibri" w:hAnsi="Verdana" w:cs="Arial"/>
        </w:rPr>
      </w:pPr>
    </w:p>
    <w:p w14:paraId="63C93FBC" w14:textId="77777777" w:rsidR="00930225" w:rsidRDefault="00930225" w:rsidP="00930225">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3A9EFA72" w14:textId="77777777" w:rsidR="00930225" w:rsidRDefault="00930225" w:rsidP="00930225">
      <w:pPr>
        <w:pStyle w:val="Prrafodelista"/>
        <w:tabs>
          <w:tab w:val="left" w:pos="142"/>
          <w:tab w:val="left" w:pos="284"/>
        </w:tabs>
        <w:spacing w:after="0" w:line="240" w:lineRule="auto"/>
        <w:ind w:left="0"/>
        <w:contextualSpacing w:val="0"/>
        <w:jc w:val="both"/>
        <w:rPr>
          <w:rFonts w:ascii="Verdana" w:eastAsia="Calibri" w:hAnsi="Verdana" w:cs="Arial"/>
        </w:rPr>
      </w:pPr>
    </w:p>
    <w:p w14:paraId="7FFAB782" w14:textId="098A2001" w:rsidR="00930225" w:rsidRPr="00E271BA" w:rsidRDefault="00930225" w:rsidP="00930225">
      <w:pPr>
        <w:spacing w:after="120" w:line="276" w:lineRule="auto"/>
        <w:jc w:val="both"/>
        <w:textAlignment w:val="baseline"/>
        <w:rPr>
          <w:rFonts w:ascii="Verdana" w:eastAsia="Times New Roman" w:hAnsi="Verdana" w:cs="Arial"/>
          <w:lang w:eastAsia="es-CO"/>
        </w:rPr>
      </w:pPr>
      <w:r w:rsidRPr="00E271BA">
        <w:rPr>
          <w:rFonts w:ascii="Verdana" w:eastAsia="Times New Roman" w:hAnsi="Verdana" w:cs="Arial"/>
          <w:lang w:val="es-ES" w:eastAsia="es-CO"/>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w:t>
      </w:r>
      <w:r w:rsidR="009D47F9">
        <w:rPr>
          <w:rFonts w:ascii="Verdana" w:eastAsia="Times New Roman" w:hAnsi="Verdana" w:cs="Arial"/>
          <w:lang w:val="es-ES" w:eastAsia="es-CO"/>
        </w:rPr>
        <w:t xml:space="preserve"> llevar a cabo dichas</w:t>
      </w:r>
      <w:r w:rsidRPr="00E271BA">
        <w:rPr>
          <w:rFonts w:ascii="Verdana" w:eastAsia="Times New Roman" w:hAnsi="Verdana" w:cs="Arial"/>
          <w:lang w:val="es-ES" w:eastAsia="es-CO"/>
        </w:rPr>
        <w:t xml:space="preserve"> adquisiciones, las entidades estructuran procedimientos de contratación previamente definidos por la ley, consultando las normas que los </w:t>
      </w:r>
      <w:r w:rsidR="00BA05D5">
        <w:rPr>
          <w:rFonts w:ascii="Verdana" w:eastAsia="Times New Roman" w:hAnsi="Verdana" w:cs="Arial"/>
          <w:lang w:val="es-ES" w:eastAsia="es-CO"/>
        </w:rPr>
        <w:t>regulan</w:t>
      </w:r>
      <w:r w:rsidRPr="00E271BA">
        <w:rPr>
          <w:rFonts w:ascii="Verdana" w:eastAsia="Times New Roman" w:hAnsi="Verdana" w:cs="Arial"/>
          <w:lang w:val="es-ES" w:eastAsia="es-CO"/>
        </w:rPr>
        <w:t xml:space="preserve"> para determinar la forma que el ordenamiento prevé para adelantarlos. En esta medida, conforme al artículo 29 de la Constitución Política, los procedimientos </w:t>
      </w:r>
      <w:r w:rsidRPr="00E271BA">
        <w:rPr>
          <w:rFonts w:ascii="Verdana" w:eastAsia="Times New Roman" w:hAnsi="Verdana" w:cs="Arial"/>
          <w:lang w:val="es-ES" w:eastAsia="es-CO"/>
        </w:rPr>
        <w:lastRenderedPageBreak/>
        <w:t xml:space="preserve">de selección </w:t>
      </w:r>
      <w:r w:rsidR="00BA05D5">
        <w:rPr>
          <w:rFonts w:ascii="Verdana" w:eastAsia="Times New Roman" w:hAnsi="Verdana" w:cs="Arial"/>
          <w:lang w:val="es-ES" w:eastAsia="es-CO"/>
        </w:rPr>
        <w:t>constituyen</w:t>
      </w:r>
      <w:r w:rsidR="00BA05D5" w:rsidRPr="00E271BA">
        <w:rPr>
          <w:rFonts w:ascii="Verdana" w:eastAsia="Times New Roman" w:hAnsi="Verdana" w:cs="Arial"/>
          <w:lang w:val="es-ES" w:eastAsia="es-CO"/>
        </w:rPr>
        <w:t xml:space="preserve"> </w:t>
      </w:r>
      <w:r w:rsidRPr="00E271BA">
        <w:rPr>
          <w:rFonts w:ascii="Verdana" w:eastAsia="Times New Roman" w:hAnsi="Verdana" w:cs="Arial"/>
          <w:lang w:val="es-ES" w:eastAsia="es-CO"/>
        </w:rPr>
        <w:t>una manifestación de la legalidad de las formas de cada proceso en sede administrativa</w:t>
      </w:r>
      <w:r w:rsidRPr="00E271BA">
        <w:rPr>
          <w:rFonts w:ascii="Verdana" w:eastAsia="Times New Roman" w:hAnsi="Verdana" w:cs="Arial"/>
          <w:vertAlign w:val="superscript"/>
          <w:lang w:val="es-ES" w:eastAsia="es-CO"/>
        </w:rPr>
        <w:footnoteReference w:id="1"/>
      </w:r>
      <w:r w:rsidRPr="00E271BA">
        <w:rPr>
          <w:rFonts w:ascii="Verdana" w:eastAsia="Times New Roman" w:hAnsi="Verdana" w:cs="Arial"/>
          <w:lang w:val="es-ES" w:eastAsia="es-CO"/>
        </w:rPr>
        <w:t>.</w:t>
      </w:r>
      <w:r w:rsidRPr="00E271BA">
        <w:rPr>
          <w:rFonts w:ascii="Verdana" w:eastAsia="Times New Roman" w:hAnsi="Verdana" w:cs="Arial"/>
          <w:lang w:eastAsia="es-CO"/>
        </w:rPr>
        <w:t> </w:t>
      </w:r>
    </w:p>
    <w:p w14:paraId="505EFD19" w14:textId="4B5BA0B1" w:rsidR="00930225" w:rsidRPr="00E271BA" w:rsidRDefault="003457E3" w:rsidP="00930225">
      <w:pPr>
        <w:spacing w:after="120" w:line="276" w:lineRule="auto"/>
        <w:ind w:firstLine="705"/>
        <w:jc w:val="both"/>
        <w:textAlignment w:val="baseline"/>
        <w:rPr>
          <w:rFonts w:ascii="Verdana" w:eastAsia="Times New Roman" w:hAnsi="Verdana" w:cs="Arial"/>
          <w:lang w:eastAsia="es-CO"/>
        </w:rPr>
      </w:pPr>
      <w:r>
        <w:rPr>
          <w:rFonts w:ascii="Verdana" w:eastAsia="Times New Roman" w:hAnsi="Verdana" w:cs="Arial"/>
          <w:lang w:val="es-ES" w:eastAsia="es-CO"/>
        </w:rPr>
        <w:t>En el contexto anterior, e</w:t>
      </w:r>
      <w:r w:rsidR="00930225" w:rsidRPr="00E271BA">
        <w:rPr>
          <w:rFonts w:ascii="Verdana" w:eastAsia="Times New Roman" w:hAnsi="Verdana" w:cs="Arial"/>
          <w:lang w:val="es-ES" w:eastAsia="es-CO"/>
        </w:rPr>
        <w:t xml:space="preserve">l legislador estableció </w:t>
      </w:r>
      <w:r w:rsidR="00930225">
        <w:rPr>
          <w:rFonts w:ascii="Verdana" w:eastAsia="Times New Roman" w:hAnsi="Verdana" w:cs="Arial"/>
          <w:lang w:val="es-ES" w:eastAsia="es-CO"/>
        </w:rPr>
        <w:t xml:space="preserve">distintas </w:t>
      </w:r>
      <w:r w:rsidR="00930225" w:rsidRPr="00E271BA">
        <w:rPr>
          <w:rFonts w:ascii="Verdana" w:eastAsia="Times New Roman" w:hAnsi="Verdana" w:cs="Arial"/>
          <w:lang w:val="es-ES" w:eastAsia="es-CO"/>
        </w:rPr>
        <w:t xml:space="preserve">modalidades y procedimientos de selección. En efecto, en el artículo 2 de la Ley 1150 de 2007 se regulan las modalidades de licitación pública, </w:t>
      </w:r>
      <w:r w:rsidR="00930225" w:rsidRPr="00AA3F72">
        <w:rPr>
          <w:rFonts w:ascii="Verdana" w:eastAsia="Times New Roman" w:hAnsi="Verdana" w:cs="Arial"/>
          <w:i/>
          <w:lang w:val="es-ES" w:eastAsia="es-CO"/>
        </w:rPr>
        <w:t>selección abreviada</w:t>
      </w:r>
      <w:r w:rsidR="00930225" w:rsidRPr="00E271BA">
        <w:rPr>
          <w:rFonts w:ascii="Verdana" w:eastAsia="Times New Roman" w:hAnsi="Verdana" w:cs="Arial"/>
          <w:lang w:val="es-ES" w:eastAsia="es-CO"/>
        </w:rPr>
        <w:t>, concurso de méritos, contratación directa y contratación de mínima cuantía. Cada</w:t>
      </w:r>
      <w:r w:rsidR="007E6C64">
        <w:rPr>
          <w:rFonts w:ascii="Verdana" w:eastAsia="Times New Roman" w:hAnsi="Verdana" w:cs="Arial"/>
          <w:lang w:val="es-ES" w:eastAsia="es-CO"/>
        </w:rPr>
        <w:t xml:space="preserve"> una de estas modalidades contempla</w:t>
      </w:r>
      <w:r w:rsidR="00930225" w:rsidRPr="00E271BA">
        <w:rPr>
          <w:rFonts w:ascii="Verdana" w:eastAsia="Times New Roman" w:hAnsi="Verdana" w:cs="Arial"/>
          <w:lang w:val="es-ES" w:eastAsia="es-CO"/>
        </w:rPr>
        <w:t xml:space="preserve"> procedimiento</w:t>
      </w:r>
      <w:r w:rsidR="007E0E82">
        <w:rPr>
          <w:rFonts w:ascii="Verdana" w:eastAsia="Times New Roman" w:hAnsi="Verdana" w:cs="Arial"/>
          <w:lang w:val="es-ES" w:eastAsia="es-CO"/>
        </w:rPr>
        <w:t>s</w:t>
      </w:r>
      <w:r w:rsidR="00930225" w:rsidRPr="00E271BA">
        <w:rPr>
          <w:rFonts w:ascii="Verdana" w:eastAsia="Times New Roman" w:hAnsi="Verdana" w:cs="Arial"/>
          <w:lang w:val="es-ES" w:eastAsia="es-CO"/>
        </w:rPr>
        <w:t xml:space="preserve"> </w:t>
      </w:r>
      <w:r w:rsidR="007E0E82">
        <w:rPr>
          <w:rFonts w:ascii="Verdana" w:eastAsia="Times New Roman" w:hAnsi="Verdana" w:cs="Arial"/>
          <w:lang w:val="es-ES" w:eastAsia="es-CO"/>
        </w:rPr>
        <w:t>compuestos</w:t>
      </w:r>
      <w:r w:rsidR="00930225" w:rsidRPr="00E271BA">
        <w:rPr>
          <w:rFonts w:ascii="Verdana" w:eastAsia="Times New Roman" w:hAnsi="Verdana" w:cs="Arial"/>
          <w:lang w:val="es-ES" w:eastAsia="es-CO"/>
        </w:rPr>
        <w:t xml:space="preserve"> </w:t>
      </w:r>
      <w:r w:rsidR="007E0E82">
        <w:rPr>
          <w:rFonts w:ascii="Verdana" w:eastAsia="Times New Roman" w:hAnsi="Verdana" w:cs="Arial"/>
          <w:lang w:val="es-ES" w:eastAsia="es-CO"/>
        </w:rPr>
        <w:t>por</w:t>
      </w:r>
      <w:r w:rsidR="007E0E82" w:rsidRPr="00E271BA">
        <w:rPr>
          <w:rFonts w:ascii="Verdana" w:eastAsia="Times New Roman" w:hAnsi="Verdana" w:cs="Arial"/>
          <w:lang w:val="es-ES" w:eastAsia="es-CO"/>
        </w:rPr>
        <w:t xml:space="preserve"> </w:t>
      </w:r>
      <w:r w:rsidR="00930225" w:rsidRPr="00E271BA">
        <w:rPr>
          <w:rFonts w:ascii="Verdana" w:eastAsia="Times New Roman" w:hAnsi="Verdana" w:cs="Arial"/>
          <w:lang w:eastAsia="es-CO"/>
        </w:rPr>
        <w:t xml:space="preserve">etapas </w:t>
      </w:r>
      <w:r w:rsidR="007E0E82">
        <w:rPr>
          <w:rFonts w:ascii="Verdana" w:eastAsia="Times New Roman" w:hAnsi="Verdana" w:cs="Arial"/>
          <w:lang w:eastAsia="es-CO"/>
        </w:rPr>
        <w:t>específicas</w:t>
      </w:r>
      <w:r w:rsidR="00930225" w:rsidRPr="00E271BA">
        <w:rPr>
          <w:rFonts w:ascii="Verdana" w:eastAsia="Times New Roman" w:hAnsi="Verdana" w:cs="Arial"/>
          <w:lang w:eastAsia="es-CO"/>
        </w:rPr>
        <w:t xml:space="preserve"> para la adquisición de obras, bienes y servicios</w:t>
      </w:r>
      <w:r w:rsidR="002B0F64">
        <w:rPr>
          <w:rFonts w:ascii="Verdana" w:eastAsia="Times New Roman" w:hAnsi="Verdana" w:cs="Arial"/>
          <w:lang w:eastAsia="es-CO"/>
        </w:rPr>
        <w:t>. P</w:t>
      </w:r>
      <w:r w:rsidR="00930225" w:rsidRPr="00E271BA">
        <w:rPr>
          <w:rFonts w:ascii="Verdana" w:eastAsia="Times New Roman" w:hAnsi="Verdana" w:cs="Arial"/>
          <w:lang w:eastAsia="es-CO"/>
        </w:rPr>
        <w:t xml:space="preserve">or </w:t>
      </w:r>
      <w:r w:rsidR="002B0F64">
        <w:rPr>
          <w:rFonts w:ascii="Verdana" w:eastAsia="Times New Roman" w:hAnsi="Verdana" w:cs="Arial"/>
          <w:lang w:eastAsia="es-CO"/>
        </w:rPr>
        <w:t>el</w:t>
      </w:r>
      <w:r w:rsidR="00930225" w:rsidRPr="00E271BA">
        <w:rPr>
          <w:rFonts w:ascii="Verdana" w:eastAsia="Times New Roman" w:hAnsi="Verdana" w:cs="Arial"/>
          <w:lang w:eastAsia="es-CO"/>
        </w:rPr>
        <w:t>lo</w:t>
      </w:r>
      <w:r w:rsidR="002B0F64">
        <w:rPr>
          <w:rFonts w:ascii="Verdana" w:eastAsia="Times New Roman" w:hAnsi="Verdana" w:cs="Arial"/>
          <w:lang w:eastAsia="es-CO"/>
        </w:rPr>
        <w:t>,</w:t>
      </w:r>
      <w:r w:rsidR="00930225" w:rsidRPr="00E271BA">
        <w:rPr>
          <w:rFonts w:ascii="Verdana" w:eastAsia="Times New Roman" w:hAnsi="Verdana" w:cs="Arial"/>
          <w:lang w:eastAsia="es-CO"/>
        </w:rPr>
        <w:t xml:space="preserve"> cada entidad es responsable de estructurarlos, siempre que respete el principio de legalidad. </w:t>
      </w:r>
    </w:p>
    <w:p w14:paraId="6720801F" w14:textId="289ED5A0" w:rsidR="00930225" w:rsidRPr="00E271BA" w:rsidRDefault="00AE2882" w:rsidP="00930225">
      <w:pPr>
        <w:spacing w:after="0" w:line="276" w:lineRule="auto"/>
        <w:ind w:firstLine="703"/>
        <w:jc w:val="both"/>
        <w:textAlignment w:val="baseline"/>
        <w:rPr>
          <w:rFonts w:ascii="Verdana" w:eastAsia="Times New Roman" w:hAnsi="Verdana" w:cs="Arial"/>
          <w:lang w:eastAsia="es-CO"/>
        </w:rPr>
      </w:pPr>
      <w:r>
        <w:rPr>
          <w:rFonts w:ascii="Verdana" w:eastAsia="Times New Roman" w:hAnsi="Verdana" w:cs="Arial"/>
          <w:lang w:eastAsia="es-CO"/>
        </w:rPr>
        <w:t>En particular, l</w:t>
      </w:r>
      <w:r w:rsidR="00930225">
        <w:rPr>
          <w:rFonts w:ascii="Verdana" w:eastAsia="Times New Roman" w:hAnsi="Verdana" w:cs="Arial"/>
          <w:lang w:eastAsia="es-CO"/>
        </w:rPr>
        <w:t xml:space="preserve">a modalidad de </w:t>
      </w:r>
      <w:r w:rsidR="00930225" w:rsidRPr="00E271BA">
        <w:rPr>
          <w:rFonts w:ascii="Verdana" w:eastAsia="Times New Roman" w:hAnsi="Verdana" w:cs="Arial"/>
          <w:lang w:eastAsia="es-CO"/>
        </w:rPr>
        <w:t xml:space="preserve">la selección abreviada, </w:t>
      </w:r>
      <w:r w:rsidR="00930225">
        <w:rPr>
          <w:rFonts w:ascii="Verdana" w:eastAsia="Times New Roman" w:hAnsi="Verdana" w:cs="Arial"/>
          <w:lang w:eastAsia="es-CO"/>
        </w:rPr>
        <w:t>según lo dispone el num</w:t>
      </w:r>
      <w:r w:rsidR="00930225" w:rsidRPr="00E271BA">
        <w:rPr>
          <w:rFonts w:ascii="Verdana" w:eastAsia="Times New Roman" w:hAnsi="Verdana" w:cs="Arial"/>
          <w:lang w:eastAsia="es-CO"/>
        </w:rPr>
        <w:t xml:space="preserve">eral 2° del artículo 2 de Ley 1150 de 2007 </w:t>
      </w:r>
      <w:r w:rsidR="00930225">
        <w:rPr>
          <w:rFonts w:ascii="Verdana" w:eastAsia="Times New Roman" w:hAnsi="Verdana" w:cs="Arial"/>
          <w:lang w:eastAsia="es-CO"/>
        </w:rPr>
        <w:t xml:space="preserve">se </w:t>
      </w:r>
      <w:r w:rsidR="00930225" w:rsidRPr="00E271BA">
        <w:rPr>
          <w:rFonts w:ascii="Verdana" w:eastAsia="Times New Roman" w:hAnsi="Verdana" w:cs="Arial"/>
          <w:lang w:eastAsia="es-CO"/>
        </w:rPr>
        <w:t>define en los siguientes términos: </w:t>
      </w:r>
    </w:p>
    <w:p w14:paraId="64E00F82" w14:textId="77777777" w:rsidR="00930225" w:rsidRPr="00535F27" w:rsidRDefault="00930225" w:rsidP="00930225">
      <w:pPr>
        <w:spacing w:after="0" w:line="276" w:lineRule="auto"/>
        <w:ind w:firstLine="703"/>
        <w:contextualSpacing/>
        <w:jc w:val="both"/>
        <w:textAlignment w:val="baseline"/>
        <w:rPr>
          <w:rFonts w:ascii="Arial" w:eastAsia="Times New Roman" w:hAnsi="Arial" w:cs="Arial"/>
          <w:lang w:eastAsia="es-CO"/>
        </w:rPr>
      </w:pPr>
      <w:r w:rsidRPr="00535F27">
        <w:rPr>
          <w:rFonts w:ascii="Arial" w:eastAsia="Times New Roman" w:hAnsi="Arial" w:cs="Arial"/>
          <w:lang w:eastAsia="es-CO"/>
        </w:rPr>
        <w:t> </w:t>
      </w:r>
    </w:p>
    <w:p w14:paraId="02BFDDCD" w14:textId="4068934F" w:rsidR="00930225" w:rsidRPr="00E271BA" w:rsidRDefault="00AE2882" w:rsidP="00AA3F72">
      <w:pPr>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shd w:val="clear" w:color="auto" w:fill="FFFFFF"/>
          <w:lang w:eastAsia="es-CO"/>
        </w:rPr>
        <w:t>“</w:t>
      </w:r>
      <w:r w:rsidR="00930225" w:rsidRPr="00E271BA">
        <w:rPr>
          <w:rFonts w:ascii="Verdana" w:eastAsia="Times New Roman" w:hAnsi="Verdana" w:cs="Arial"/>
          <w:sz w:val="20"/>
          <w:szCs w:val="20"/>
          <w:lang w:eastAsia="es-CO"/>
        </w:rPr>
        <w:t xml:space="preserve">2. Selección abreviada. La Selección abreviada corresponde a la modalidad de selección objetiva prevista para aquellos casos en </w:t>
      </w:r>
      <w:proofErr w:type="gramStart"/>
      <w:r w:rsidR="00930225" w:rsidRPr="00E271BA">
        <w:rPr>
          <w:rFonts w:ascii="Verdana" w:eastAsia="Times New Roman" w:hAnsi="Verdana" w:cs="Arial"/>
          <w:sz w:val="20"/>
          <w:szCs w:val="20"/>
          <w:lang w:eastAsia="es-CO"/>
        </w:rPr>
        <w:t>que</w:t>
      </w:r>
      <w:proofErr w:type="gramEnd"/>
      <w:r w:rsidR="00930225" w:rsidRPr="00E271BA">
        <w:rPr>
          <w:rFonts w:ascii="Verdana" w:eastAsia="Times New Roman" w:hAnsi="Verdana" w:cs="Arial"/>
          <w:sz w:val="20"/>
          <w:szCs w:val="20"/>
          <w:lang w:eastAsia="es-CO"/>
        </w:rPr>
        <w:t xml:space="preserve"> por las características del objeto a contratar, las circunstancias de la contratación o la cuantía o destinación del bien, obra o </w:t>
      </w:r>
      <w:proofErr w:type="gramStart"/>
      <w:r w:rsidR="00930225" w:rsidRPr="00E271BA">
        <w:rPr>
          <w:rFonts w:ascii="Verdana" w:eastAsia="Times New Roman" w:hAnsi="Verdana" w:cs="Arial"/>
          <w:sz w:val="20"/>
          <w:szCs w:val="20"/>
          <w:lang w:eastAsia="es-CO"/>
        </w:rPr>
        <w:t>servicio,</w:t>
      </w:r>
      <w:proofErr w:type="gramEnd"/>
      <w:r w:rsidR="00930225" w:rsidRPr="00E271BA">
        <w:rPr>
          <w:rFonts w:ascii="Verdana" w:eastAsia="Times New Roman" w:hAnsi="Verdana" w:cs="Arial"/>
          <w:sz w:val="20"/>
          <w:szCs w:val="20"/>
          <w:lang w:eastAsia="es-CO"/>
        </w:rPr>
        <w:t xml:space="preserve"> puedan adelantarse procesos simplificados para garantizar la eficiencia de la gestión contractual. </w:t>
      </w:r>
    </w:p>
    <w:p w14:paraId="15ACA059" w14:textId="77777777" w:rsidR="00930225" w:rsidRPr="00E271BA" w:rsidRDefault="00930225" w:rsidP="00AA3F72">
      <w:pPr>
        <w:spacing w:after="0" w:line="240" w:lineRule="auto"/>
        <w:ind w:left="709" w:right="709"/>
        <w:contextualSpacing/>
        <w:jc w:val="both"/>
        <w:textAlignment w:val="baseline"/>
        <w:rPr>
          <w:rFonts w:ascii="Verdana" w:eastAsia="Times New Roman" w:hAnsi="Verdana" w:cs="Arial"/>
          <w:sz w:val="20"/>
          <w:szCs w:val="20"/>
          <w:lang w:eastAsia="es-CO"/>
        </w:rPr>
      </w:pPr>
    </w:p>
    <w:p w14:paraId="1A902385" w14:textId="77777777" w:rsidR="00930225" w:rsidRPr="00E271BA" w:rsidRDefault="00930225" w:rsidP="00AA3F72">
      <w:pPr>
        <w:spacing w:after="0" w:line="240" w:lineRule="auto"/>
        <w:ind w:left="709" w:right="709"/>
        <w:contextualSpacing/>
        <w:jc w:val="both"/>
        <w:textAlignment w:val="baseline"/>
        <w:rPr>
          <w:rFonts w:ascii="Verdana" w:eastAsia="Times New Roman" w:hAnsi="Verdana" w:cs="Arial"/>
          <w:sz w:val="20"/>
          <w:szCs w:val="20"/>
          <w:lang w:eastAsia="es-CO"/>
        </w:rPr>
      </w:pPr>
      <w:r w:rsidRPr="00E271BA">
        <w:rPr>
          <w:rFonts w:ascii="Verdana" w:eastAsia="Times New Roman" w:hAnsi="Verdana" w:cs="Arial"/>
          <w:sz w:val="20"/>
          <w:szCs w:val="20"/>
          <w:lang w:eastAsia="es-CO"/>
        </w:rPr>
        <w:t>El Gobierno Nacional reglamentará la materia.  </w:t>
      </w:r>
    </w:p>
    <w:p w14:paraId="26AF5DBD" w14:textId="77777777" w:rsidR="00930225" w:rsidRPr="00E271BA" w:rsidRDefault="00930225" w:rsidP="00AA3F72">
      <w:pPr>
        <w:spacing w:after="0" w:line="240" w:lineRule="auto"/>
        <w:ind w:left="709" w:right="709"/>
        <w:contextualSpacing/>
        <w:jc w:val="both"/>
        <w:textAlignment w:val="baseline"/>
        <w:rPr>
          <w:rFonts w:ascii="Verdana" w:eastAsia="Times New Roman" w:hAnsi="Verdana" w:cs="Arial"/>
          <w:sz w:val="20"/>
          <w:szCs w:val="20"/>
          <w:lang w:eastAsia="es-CO"/>
        </w:rPr>
      </w:pPr>
    </w:p>
    <w:p w14:paraId="30ABECE2" w14:textId="44315780" w:rsidR="00930225" w:rsidRPr="00E271BA" w:rsidRDefault="00930225" w:rsidP="00AA3F72">
      <w:pPr>
        <w:spacing w:after="0" w:line="240" w:lineRule="auto"/>
        <w:ind w:left="709" w:right="709"/>
        <w:contextualSpacing/>
        <w:jc w:val="both"/>
        <w:textAlignment w:val="baseline"/>
        <w:rPr>
          <w:rFonts w:ascii="Verdana" w:eastAsia="Times New Roman" w:hAnsi="Verdana" w:cs="Arial"/>
          <w:sz w:val="20"/>
          <w:szCs w:val="20"/>
          <w:lang w:eastAsia="es-CO"/>
        </w:rPr>
      </w:pPr>
      <w:r w:rsidRPr="00E271BA">
        <w:rPr>
          <w:rFonts w:ascii="Verdana" w:eastAsia="Times New Roman" w:hAnsi="Verdana" w:cs="Arial"/>
          <w:sz w:val="20"/>
          <w:szCs w:val="20"/>
          <w:lang w:eastAsia="es-CO"/>
        </w:rPr>
        <w:t>[...]</w:t>
      </w:r>
      <w:r w:rsidR="00AE2882">
        <w:rPr>
          <w:rFonts w:ascii="Verdana" w:eastAsia="Times New Roman" w:hAnsi="Verdana" w:cs="Arial"/>
          <w:sz w:val="20"/>
          <w:szCs w:val="20"/>
          <w:shd w:val="clear" w:color="auto" w:fill="FFFFFF"/>
          <w:lang w:eastAsia="es-CO"/>
        </w:rPr>
        <w:t>”</w:t>
      </w:r>
      <w:r w:rsidRPr="00E271BA">
        <w:rPr>
          <w:rFonts w:ascii="Verdana" w:eastAsia="Times New Roman" w:hAnsi="Verdana" w:cs="Arial"/>
          <w:sz w:val="20"/>
          <w:szCs w:val="20"/>
          <w:shd w:val="clear" w:color="auto" w:fill="FFFFFF"/>
          <w:lang w:eastAsia="es-CO"/>
        </w:rPr>
        <w:t>.</w:t>
      </w:r>
    </w:p>
    <w:p w14:paraId="4EAB700B" w14:textId="77777777" w:rsidR="00930225" w:rsidRPr="00535F27" w:rsidRDefault="00930225" w:rsidP="00930225">
      <w:pPr>
        <w:spacing w:after="0" w:line="276" w:lineRule="auto"/>
        <w:ind w:left="703" w:right="675"/>
        <w:contextualSpacing/>
        <w:jc w:val="both"/>
        <w:textAlignment w:val="baseline"/>
        <w:rPr>
          <w:rFonts w:ascii="Arial" w:eastAsia="Times New Roman" w:hAnsi="Arial" w:cs="Arial"/>
          <w:lang w:eastAsia="es-CO"/>
        </w:rPr>
      </w:pPr>
    </w:p>
    <w:p w14:paraId="21F63CF3" w14:textId="3770CC7A" w:rsidR="00930225" w:rsidRPr="00E271BA" w:rsidRDefault="00930225" w:rsidP="00930225">
      <w:pPr>
        <w:spacing w:after="120" w:line="276" w:lineRule="auto"/>
        <w:ind w:firstLine="703"/>
        <w:jc w:val="both"/>
        <w:textAlignment w:val="baseline"/>
        <w:rPr>
          <w:rFonts w:ascii="Verdana" w:eastAsia="Times New Roman" w:hAnsi="Verdana" w:cs="Arial"/>
          <w:shd w:val="clear" w:color="auto" w:fill="FFFFFF"/>
          <w:lang w:eastAsia="es-CO"/>
        </w:rPr>
      </w:pPr>
      <w:r w:rsidRPr="00E271BA">
        <w:rPr>
          <w:rFonts w:ascii="Verdana" w:eastAsia="Times New Roman" w:hAnsi="Verdana" w:cs="Arial"/>
          <w:shd w:val="clear" w:color="auto" w:fill="FFFFFF"/>
          <w:lang w:eastAsia="es-CO"/>
        </w:rPr>
        <w:t>Nótese que, de la transcripción literal de la norma, el legislador divide de forma disyuntiva los supuestos bajo los cuales se configura la eventual utilización de esta modalidad de selección</w:t>
      </w:r>
      <w:r w:rsidR="00F26814">
        <w:rPr>
          <w:rFonts w:ascii="Verdana" w:eastAsia="Times New Roman" w:hAnsi="Verdana" w:cs="Arial"/>
          <w:shd w:val="clear" w:color="auto" w:fill="FFFFFF"/>
          <w:lang w:eastAsia="es-CO"/>
        </w:rPr>
        <w:t xml:space="preserve"> abreviada</w:t>
      </w:r>
      <w:r w:rsidRPr="00E271BA">
        <w:rPr>
          <w:rFonts w:ascii="Verdana" w:eastAsia="Times New Roman" w:hAnsi="Verdana" w:cs="Arial"/>
          <w:shd w:val="clear" w:color="auto" w:fill="FFFFFF"/>
          <w:lang w:eastAsia="es-CO"/>
        </w:rPr>
        <w:t xml:space="preserve">, bien sea </w:t>
      </w:r>
      <w:r w:rsidRPr="00E271BA">
        <w:rPr>
          <w:rFonts w:ascii="Verdana" w:eastAsia="Times New Roman" w:hAnsi="Verdana" w:cs="Arial"/>
          <w:lang w:eastAsia="es-CO"/>
        </w:rPr>
        <w:t>por las características del objeto a contratar, las circunstancias de la contratación o la cuantía o destinación del bien, obra o servicio.</w:t>
      </w:r>
      <w:r w:rsidRPr="00E271BA">
        <w:rPr>
          <w:rFonts w:ascii="Verdana" w:eastAsia="Times New Roman" w:hAnsi="Verdana" w:cs="Arial"/>
          <w:shd w:val="clear" w:color="auto" w:fill="FFFFFF"/>
          <w:lang w:eastAsia="es-CO"/>
        </w:rPr>
        <w:t xml:space="preserve"> En ese orden de ideas, esta modalidad de selección procede por las causales previstas en la ley</w:t>
      </w:r>
      <w:r w:rsidRPr="00E271BA">
        <w:rPr>
          <w:rFonts w:ascii="Verdana" w:eastAsia="Times New Roman" w:hAnsi="Verdana" w:cs="Arial"/>
          <w:shd w:val="clear" w:color="auto" w:fill="FFFFFF"/>
          <w:vertAlign w:val="superscript"/>
          <w:lang w:eastAsia="es-CO"/>
        </w:rPr>
        <w:footnoteReference w:id="2"/>
      </w:r>
      <w:r w:rsidRPr="00E271BA">
        <w:rPr>
          <w:rFonts w:ascii="Verdana" w:eastAsia="Times New Roman" w:hAnsi="Verdana" w:cs="Arial"/>
          <w:shd w:val="clear" w:color="auto" w:fill="FFFFFF"/>
          <w:lang w:eastAsia="es-CO"/>
        </w:rPr>
        <w:t xml:space="preserve">, las cuales determinan, entre otras </w:t>
      </w:r>
      <w:r w:rsidRPr="00E271BA">
        <w:rPr>
          <w:rFonts w:ascii="Verdana" w:eastAsia="Times New Roman" w:hAnsi="Verdana" w:cs="Arial"/>
          <w:shd w:val="clear" w:color="auto" w:fill="FFFFFF"/>
          <w:lang w:eastAsia="es-CO"/>
        </w:rPr>
        <w:lastRenderedPageBreak/>
        <w:t xml:space="preserve">cosas, los criterios </w:t>
      </w:r>
      <w:proofErr w:type="gramStart"/>
      <w:r w:rsidRPr="00E271BA">
        <w:rPr>
          <w:rFonts w:ascii="Verdana" w:eastAsia="Times New Roman" w:hAnsi="Verdana" w:cs="Arial"/>
          <w:shd w:val="clear" w:color="auto" w:fill="FFFFFF"/>
          <w:lang w:eastAsia="es-CO"/>
        </w:rPr>
        <w:t>a</w:t>
      </w:r>
      <w:proofErr w:type="gramEnd"/>
      <w:r w:rsidRPr="00E271BA">
        <w:rPr>
          <w:rFonts w:ascii="Verdana" w:eastAsia="Times New Roman" w:hAnsi="Verdana" w:cs="Arial"/>
          <w:shd w:val="clear" w:color="auto" w:fill="FFFFFF"/>
          <w:lang w:eastAsia="es-CO"/>
        </w:rPr>
        <w:t xml:space="preserve"> tener en cuenta para la escogencia del contratista que proveerá el bien o servicio, además de sus respectivas reglas para llevar a cabo el proceso de selección. </w:t>
      </w:r>
    </w:p>
    <w:p w14:paraId="7E8CFFC7" w14:textId="1C2825EC" w:rsidR="00930225" w:rsidRDefault="00930225" w:rsidP="00AA3F72">
      <w:pPr>
        <w:spacing w:after="120" w:line="276" w:lineRule="auto"/>
        <w:ind w:firstLine="703"/>
        <w:jc w:val="both"/>
        <w:textAlignment w:val="baseline"/>
        <w:rPr>
          <w:rFonts w:ascii="Verdana" w:eastAsia="Calibri" w:hAnsi="Verdana" w:cs="Arial"/>
        </w:rPr>
      </w:pPr>
      <w:r w:rsidRPr="00E271BA">
        <w:rPr>
          <w:rFonts w:ascii="Verdana" w:eastAsia="Calibri" w:hAnsi="Verdana" w:cs="Arial"/>
        </w:rPr>
        <w:t xml:space="preserve">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w:t>
      </w:r>
      <w:r w:rsidR="007D0587">
        <w:rPr>
          <w:rFonts w:ascii="Verdana" w:eastAsia="Calibri" w:hAnsi="Verdana" w:cs="Arial"/>
        </w:rPr>
        <w:t>las</w:t>
      </w:r>
      <w:r w:rsidR="007D0587" w:rsidRPr="00E271BA">
        <w:rPr>
          <w:rFonts w:ascii="Verdana" w:eastAsia="Calibri" w:hAnsi="Verdana" w:cs="Arial"/>
        </w:rPr>
        <w:t xml:space="preserve"> </w:t>
      </w:r>
      <w:r w:rsidRPr="00E271BA">
        <w:rPr>
          <w:rFonts w:ascii="Verdana" w:eastAsia="Calibri" w:hAnsi="Verdana" w:cs="Arial"/>
        </w:rPr>
        <w:t xml:space="preserve">causales </w:t>
      </w:r>
      <w:r w:rsidR="007D0587">
        <w:rPr>
          <w:rFonts w:ascii="Verdana" w:eastAsia="Calibri" w:hAnsi="Verdana" w:cs="Arial"/>
        </w:rPr>
        <w:t xml:space="preserve">establecidas para esta modalidad de selección </w:t>
      </w:r>
      <w:r w:rsidRPr="00E271BA">
        <w:rPr>
          <w:rFonts w:ascii="Verdana" w:eastAsia="Calibri" w:hAnsi="Verdana" w:cs="Arial"/>
        </w:rPr>
        <w:t xml:space="preserve">se desataca la </w:t>
      </w:r>
      <w:r w:rsidRPr="00AA3F72">
        <w:rPr>
          <w:rFonts w:ascii="Verdana" w:eastAsia="Calibri" w:hAnsi="Verdana" w:cs="Arial"/>
          <w:i/>
        </w:rPr>
        <w:t>subasta inversa</w:t>
      </w:r>
      <w:r w:rsidR="001B0900">
        <w:rPr>
          <w:rFonts w:ascii="Verdana" w:eastAsia="Calibri" w:hAnsi="Verdana" w:cs="Arial"/>
        </w:rPr>
        <w:t>, a la cual se refiere en su consulta</w:t>
      </w:r>
      <w:r w:rsidRPr="00E271BA">
        <w:rPr>
          <w:rFonts w:ascii="Verdana" w:eastAsia="Calibri" w:hAnsi="Verdana" w:cs="Arial"/>
        </w:rPr>
        <w:t>.</w:t>
      </w:r>
    </w:p>
    <w:p w14:paraId="0BE82E44" w14:textId="3E034375" w:rsidR="00930225" w:rsidRPr="00025114" w:rsidRDefault="00930225" w:rsidP="00AA3F72">
      <w:pPr>
        <w:spacing w:after="120" w:line="276" w:lineRule="auto"/>
        <w:ind w:firstLine="703"/>
        <w:jc w:val="both"/>
        <w:textAlignment w:val="baseline"/>
        <w:rPr>
          <w:rFonts w:ascii="Verdana" w:eastAsia="Calibri" w:hAnsi="Verdana" w:cs="Arial"/>
        </w:rPr>
      </w:pPr>
      <w:r w:rsidRPr="00E271BA">
        <w:rPr>
          <w:rFonts w:ascii="Verdana" w:eastAsia="Times New Roman" w:hAnsi="Verdana" w:cs="Arial"/>
          <w:lang w:val="es-MX" w:eastAsia="es-CO"/>
        </w:rPr>
        <w:t xml:space="preserve">La subasta inversa es un mecanismo que se concibió con la finalidad de introducir una metodología alternativa para el proceso de negociación y perfeccionamiento del contrato estatal. Su regulación se encuentra en el </w:t>
      </w:r>
      <w:r w:rsidR="001747DC">
        <w:rPr>
          <w:rFonts w:ascii="Verdana" w:eastAsia="Times New Roman" w:hAnsi="Verdana" w:cs="Arial"/>
          <w:lang w:val="es-MX" w:eastAsia="es-CO"/>
        </w:rPr>
        <w:t>literal a</w:t>
      </w:r>
      <w:r w:rsidR="00DD5D8F">
        <w:rPr>
          <w:rFonts w:ascii="Verdana" w:eastAsia="Times New Roman" w:hAnsi="Verdana" w:cs="Arial"/>
          <w:lang w:val="es-MX" w:eastAsia="es-CO"/>
        </w:rPr>
        <w:t>) del numeral 2 del</w:t>
      </w:r>
      <w:r w:rsidRPr="00E271BA">
        <w:rPr>
          <w:rFonts w:ascii="Verdana" w:eastAsia="Times New Roman" w:hAnsi="Verdana" w:cs="Arial"/>
          <w:lang w:val="es-MX" w:eastAsia="es-CO"/>
        </w:rPr>
        <w:t xml:space="preserve"> artículo 2 de la Ley 1150 de 2007, disposición en la cual se señala que procede para los procesos de selección abreviada que tienen por finalidad la adquisición de bienes y servicios de características técnicas </w:t>
      </w:r>
      <w:r w:rsidRPr="00E271BA">
        <w:rPr>
          <w:rFonts w:ascii="Verdana" w:eastAsia="Times New Roman" w:hAnsi="Verdana" w:cs="Arial"/>
          <w:lang w:val="es-MX" w:eastAsia="es-CO"/>
        </w:rPr>
        <w:lastRenderedPageBreak/>
        <w:t>uniformes y de común utilización</w:t>
      </w:r>
      <w:r w:rsidR="00CB0642" w:rsidRPr="00CB0642">
        <w:rPr>
          <w:rFonts w:ascii="Verdana" w:eastAsia="Times New Roman" w:hAnsi="Verdana" w:cs="Arial"/>
          <w:lang w:eastAsia="es-CO"/>
        </w:rPr>
        <w:t>, por lo que el único factor de evaluación es el precio</w:t>
      </w:r>
      <w:r w:rsidRPr="00E271BA">
        <w:rPr>
          <w:rFonts w:ascii="Verdana" w:eastAsia="Times New Roman" w:hAnsi="Verdana" w:cs="Arial"/>
          <w:vertAlign w:val="superscript"/>
          <w:lang w:val="es-MX" w:eastAsia="es-CO"/>
        </w:rPr>
        <w:footnoteReference w:id="3"/>
      </w:r>
      <w:r w:rsidRPr="00E271BA">
        <w:rPr>
          <w:rFonts w:ascii="Verdana" w:eastAsia="Times New Roman" w:hAnsi="Verdana" w:cs="Arial"/>
          <w:lang w:val="es-MX" w:eastAsia="es-CO"/>
        </w:rPr>
        <w:t>.  </w:t>
      </w:r>
      <w:r w:rsidRPr="00E271BA">
        <w:rPr>
          <w:rFonts w:ascii="Verdana" w:eastAsia="Times New Roman" w:hAnsi="Verdana" w:cs="Arial"/>
          <w:lang w:eastAsia="es-CO"/>
        </w:rPr>
        <w:t> </w:t>
      </w:r>
    </w:p>
    <w:p w14:paraId="6543AFFC" w14:textId="77777777" w:rsidR="00930225" w:rsidRPr="00E271BA" w:rsidRDefault="00930225" w:rsidP="00930225">
      <w:pPr>
        <w:spacing w:after="120" w:line="276" w:lineRule="auto"/>
        <w:ind w:firstLine="705"/>
        <w:jc w:val="both"/>
        <w:textAlignment w:val="baseline"/>
        <w:rPr>
          <w:rFonts w:ascii="Verdana" w:eastAsia="Times New Roman" w:hAnsi="Verdana" w:cs="Arial"/>
          <w:lang w:eastAsia="es-CO"/>
        </w:rPr>
      </w:pPr>
      <w:r w:rsidRPr="00E271BA">
        <w:rPr>
          <w:rFonts w:ascii="Verdana" w:eastAsia="Times New Roman" w:hAnsi="Verdana" w:cs="Arial"/>
          <w:lang w:val="es-MX" w:eastAsia="es-CO"/>
        </w:rPr>
        <w:t>En este contexto, la doctrina ha señalado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Pr="00E271BA">
        <w:rPr>
          <w:rFonts w:ascii="Verdana" w:eastAsia="Times New Roman" w:hAnsi="Verdana" w:cs="Arial"/>
          <w:vertAlign w:val="superscript"/>
          <w:lang w:val="es-MX" w:eastAsia="es-CO"/>
        </w:rPr>
        <w:footnoteReference w:id="4"/>
      </w:r>
      <w:r w:rsidRPr="00E271BA">
        <w:rPr>
          <w:rFonts w:ascii="Verdana" w:eastAsia="Times New Roman" w:hAnsi="Verdana" w:cs="Arial"/>
          <w:lang w:val="es-MX" w:eastAsia="es-CO"/>
        </w:rPr>
        <w:t>.  </w:t>
      </w:r>
      <w:r w:rsidRPr="00E271BA">
        <w:rPr>
          <w:rFonts w:ascii="Verdana" w:eastAsia="Times New Roman" w:hAnsi="Verdana" w:cs="Arial"/>
          <w:lang w:eastAsia="es-CO"/>
        </w:rPr>
        <w:t> </w:t>
      </w:r>
    </w:p>
    <w:p w14:paraId="70C339BD" w14:textId="02FB2D65" w:rsidR="00930225" w:rsidRPr="00E271BA" w:rsidRDefault="00930225" w:rsidP="004D73DC">
      <w:pPr>
        <w:spacing w:after="0" w:line="276" w:lineRule="auto"/>
        <w:ind w:firstLine="705"/>
        <w:jc w:val="both"/>
        <w:textAlignment w:val="baseline"/>
        <w:rPr>
          <w:rFonts w:ascii="Verdana" w:eastAsia="Times New Roman" w:hAnsi="Verdana" w:cs="Arial"/>
          <w:lang w:eastAsia="es-CO"/>
        </w:rPr>
      </w:pPr>
      <w:r w:rsidRPr="00E271BA">
        <w:rPr>
          <w:rFonts w:ascii="Verdana" w:eastAsia="Times New Roman" w:hAnsi="Verdana" w:cs="Arial"/>
          <w:lang w:eastAsia="es-CO"/>
        </w:rPr>
        <w:t xml:space="preserve">Por su parte, el Consejo de Estado ha definido la modalidad de selección de la subasta </w:t>
      </w:r>
      <w:r w:rsidR="004D73DC" w:rsidRPr="00E271BA">
        <w:rPr>
          <w:rFonts w:ascii="Verdana" w:eastAsia="Times New Roman" w:hAnsi="Verdana" w:cs="Arial"/>
          <w:lang w:eastAsia="es-CO"/>
        </w:rPr>
        <w:t>in</w:t>
      </w:r>
      <w:r w:rsidR="004D73DC">
        <w:rPr>
          <w:rFonts w:ascii="Verdana" w:eastAsia="Times New Roman" w:hAnsi="Verdana" w:cs="Arial"/>
          <w:lang w:eastAsia="es-CO"/>
        </w:rPr>
        <w:t>versa</w:t>
      </w:r>
      <w:r w:rsidR="004D73DC" w:rsidRPr="00E271BA">
        <w:rPr>
          <w:rFonts w:ascii="Verdana" w:eastAsia="Times New Roman" w:hAnsi="Verdana" w:cs="Arial"/>
          <w:lang w:eastAsia="es-CO"/>
        </w:rPr>
        <w:t xml:space="preserve"> </w:t>
      </w:r>
      <w:r w:rsidRPr="00E271BA">
        <w:rPr>
          <w:rFonts w:ascii="Verdana" w:eastAsia="Times New Roman" w:hAnsi="Verdana" w:cs="Arial"/>
          <w:lang w:eastAsia="es-CO"/>
        </w:rPr>
        <w:t xml:space="preserve">en los siguientes términos: </w:t>
      </w:r>
    </w:p>
    <w:p w14:paraId="1DAC798F" w14:textId="77777777" w:rsidR="004D73DC" w:rsidRPr="00E271BA" w:rsidRDefault="004D73DC" w:rsidP="0094312B">
      <w:pPr>
        <w:spacing w:after="0" w:line="276" w:lineRule="auto"/>
        <w:ind w:firstLine="705"/>
        <w:jc w:val="both"/>
        <w:textAlignment w:val="baseline"/>
        <w:rPr>
          <w:rFonts w:ascii="Verdana" w:eastAsia="Times New Roman" w:hAnsi="Verdana" w:cs="Arial"/>
          <w:lang w:eastAsia="es-CO"/>
        </w:rPr>
      </w:pPr>
    </w:p>
    <w:p w14:paraId="0C8B0B76" w14:textId="77777777" w:rsidR="00930225" w:rsidRDefault="00930225" w:rsidP="0094312B">
      <w:pPr>
        <w:spacing w:after="0" w:line="240" w:lineRule="auto"/>
        <w:ind w:left="709" w:right="709"/>
        <w:jc w:val="both"/>
        <w:textAlignment w:val="baseline"/>
        <w:rPr>
          <w:rFonts w:ascii="Verdana" w:eastAsia="Times New Roman" w:hAnsi="Verdana" w:cs="Arial"/>
          <w:sz w:val="20"/>
          <w:szCs w:val="20"/>
          <w:lang w:eastAsia="es-CO"/>
        </w:rPr>
      </w:pPr>
      <w:r w:rsidRPr="00E271BA">
        <w:rPr>
          <w:rFonts w:ascii="Verdana" w:eastAsia="Times New Roman" w:hAnsi="Verdana" w:cs="Arial"/>
          <w:lang w:eastAsia="es-CO"/>
        </w:rPr>
        <w:t xml:space="preserve"> </w:t>
      </w:r>
      <w:r w:rsidRPr="00025114">
        <w:rPr>
          <w:rFonts w:ascii="Verdana" w:eastAsia="Times New Roman" w:hAnsi="Verdana" w:cs="Arial"/>
          <w:sz w:val="20"/>
          <w:szCs w:val="20"/>
          <w:lang w:eastAsia="es-CO"/>
        </w:rPr>
        <w:t xml:space="preserve">“(…) 62. La función jurídica atribuida a tal dispositivo viene dada por la naturaleza de los bienes o servicios requeridos por el Estado, pues ante su homogeneidad la implementación de este tipo de mecanismos ayuda a simplificar la actividad de la Administración mediante procesos ágiles y </w:t>
      </w:r>
      <w:r w:rsidRPr="00025114">
        <w:rPr>
          <w:rFonts w:ascii="Verdana" w:eastAsia="Times New Roman" w:hAnsi="Verdana" w:cs="Arial"/>
          <w:sz w:val="20"/>
          <w:szCs w:val="20"/>
          <w:lang w:eastAsia="es-CO"/>
        </w:rPr>
        <w:lastRenderedPageBreak/>
        <w:t>eficientes, en los que únicamente habrá de esperarse la postura que mayor beneficio económico genere a la entidad (…)”</w:t>
      </w:r>
      <w:r w:rsidRPr="00025114">
        <w:rPr>
          <w:rStyle w:val="Refdenotaalpie"/>
          <w:rFonts w:ascii="Verdana" w:eastAsia="Times New Roman" w:hAnsi="Verdana" w:cs="Arial"/>
          <w:sz w:val="20"/>
          <w:szCs w:val="20"/>
          <w:lang w:eastAsia="es-CO"/>
        </w:rPr>
        <w:footnoteReference w:id="5"/>
      </w:r>
      <w:r w:rsidRPr="00025114">
        <w:rPr>
          <w:rFonts w:ascii="Verdana" w:eastAsia="Times New Roman" w:hAnsi="Verdana" w:cs="Arial"/>
          <w:sz w:val="20"/>
          <w:szCs w:val="20"/>
          <w:lang w:eastAsia="es-CO"/>
        </w:rPr>
        <w:t>.</w:t>
      </w:r>
    </w:p>
    <w:p w14:paraId="4D4374D3" w14:textId="77777777" w:rsidR="00930225" w:rsidRPr="0094312B" w:rsidRDefault="00930225" w:rsidP="0094312B">
      <w:pPr>
        <w:spacing w:after="0" w:line="276" w:lineRule="auto"/>
        <w:ind w:left="709" w:right="618"/>
        <w:jc w:val="both"/>
        <w:textAlignment w:val="baseline"/>
        <w:rPr>
          <w:rFonts w:ascii="Verdana" w:eastAsia="Times New Roman" w:hAnsi="Verdana" w:cs="Arial"/>
          <w:lang w:eastAsia="es-CO"/>
        </w:rPr>
      </w:pPr>
    </w:p>
    <w:p w14:paraId="2FE59D04" w14:textId="77777777" w:rsidR="00930225" w:rsidRPr="00E271BA" w:rsidRDefault="00930225" w:rsidP="00930225">
      <w:pPr>
        <w:spacing w:after="120" w:line="276" w:lineRule="auto"/>
        <w:ind w:firstLine="705"/>
        <w:jc w:val="both"/>
        <w:textAlignment w:val="baseline"/>
        <w:rPr>
          <w:rFonts w:ascii="Verdana" w:eastAsia="Times New Roman" w:hAnsi="Verdana" w:cs="Arial"/>
          <w:lang w:eastAsia="es-CO"/>
        </w:rPr>
      </w:pPr>
      <w:r w:rsidRPr="00E271BA">
        <w:rPr>
          <w:rFonts w:ascii="Verdana" w:eastAsia="Times New Roman" w:hAnsi="Verdana" w:cs="Arial"/>
          <w:lang w:val="es-MX" w:eastAsia="es-CO"/>
        </w:rPr>
        <w:t>El literal a) del numeral 2 del artículo 2 de la Ley 1150 de 2007, en relación con la adquisición de bienes y servicios de características técnicas uniformes y de común utilización, establece que “Para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En este evento, contrario a lo que ocurre en la licitación pública, el ordenamiento jurídico prescribe la utilización de la subasta inversa en los procedimientos de selección abreviada cuando se pretendan adquirir bienes y servicios de características técnicas uniformes y de común utilización. </w:t>
      </w:r>
      <w:r w:rsidRPr="00E271BA">
        <w:rPr>
          <w:rFonts w:ascii="Verdana" w:eastAsia="Times New Roman" w:hAnsi="Verdana" w:cs="Arial"/>
          <w:lang w:eastAsia="es-CO"/>
        </w:rPr>
        <w:t> </w:t>
      </w:r>
    </w:p>
    <w:p w14:paraId="16C57E8B" w14:textId="2673E3C9" w:rsidR="00930225" w:rsidRPr="00E271BA" w:rsidRDefault="00930225" w:rsidP="00930225">
      <w:pPr>
        <w:spacing w:after="120" w:line="276" w:lineRule="auto"/>
        <w:ind w:firstLine="705"/>
        <w:jc w:val="both"/>
        <w:textAlignment w:val="baseline"/>
        <w:rPr>
          <w:rFonts w:ascii="Verdana" w:eastAsia="Times New Roman" w:hAnsi="Verdana" w:cs="Arial"/>
          <w:lang w:eastAsia="es-CO"/>
        </w:rPr>
      </w:pPr>
      <w:r w:rsidRPr="00E271BA">
        <w:rPr>
          <w:rFonts w:ascii="Verdana" w:eastAsia="Times New Roman" w:hAnsi="Verdana" w:cs="Arial"/>
          <w:lang w:val="es-MX" w:eastAsia="es-CO"/>
        </w:rPr>
        <w:t xml:space="preserve">Así las cosas, como se desprende de la disposición citada, la utilización de la subasta inversa en la selección abreviada está plenamente ligada con el tipo o la naturaleza de los bienes o servicios a adquirir, sin consideración al presupuesto estimado para su compra. En este </w:t>
      </w:r>
      <w:r w:rsidR="008971EE">
        <w:rPr>
          <w:rFonts w:ascii="Verdana" w:eastAsia="Times New Roman" w:hAnsi="Verdana" w:cs="Arial"/>
          <w:lang w:val="es-MX" w:eastAsia="es-CO"/>
        </w:rPr>
        <w:t xml:space="preserve">mismo </w:t>
      </w:r>
      <w:r w:rsidRPr="00E271BA">
        <w:rPr>
          <w:rFonts w:ascii="Verdana" w:eastAsia="Times New Roman" w:hAnsi="Verdana" w:cs="Arial"/>
          <w:lang w:val="es-MX" w:eastAsia="es-CO"/>
        </w:rPr>
        <w:t>sentido, el artículo 2.2.1.2.1.2.2. del Decreto 1082 de 2015 indica que, en la selección abreviada para la adquisición de bienes y servicios de características técnicas uniformes por subasta inversa, además de las reglas generales previstas en la ley y en ese título del Decreto, deben observarse las reglas específicas allí enunciadas. Por ello, queda claro que para recurrir a la subasta inversa en la selección abreviada es determinante la naturaleza de los bienes y servicios que se pretenden adquirir.</w:t>
      </w:r>
      <w:r w:rsidRPr="00E271BA">
        <w:rPr>
          <w:rFonts w:ascii="Verdana" w:eastAsia="Times New Roman" w:hAnsi="Verdana" w:cs="Arial"/>
          <w:lang w:eastAsia="es-CO"/>
        </w:rPr>
        <w:t> </w:t>
      </w:r>
    </w:p>
    <w:p w14:paraId="3194570A" w14:textId="77777777" w:rsidR="00930225" w:rsidRPr="00E271BA" w:rsidRDefault="00930225" w:rsidP="00930225">
      <w:pPr>
        <w:spacing w:after="0" w:line="276" w:lineRule="auto"/>
        <w:ind w:firstLine="709"/>
        <w:jc w:val="both"/>
        <w:textAlignment w:val="baseline"/>
        <w:rPr>
          <w:rFonts w:ascii="Verdana" w:eastAsia="Times New Roman" w:hAnsi="Verdana" w:cs="Arial"/>
          <w:lang w:eastAsia="es-CO"/>
        </w:rPr>
      </w:pPr>
      <w:r w:rsidRPr="00E271BA">
        <w:rPr>
          <w:rFonts w:ascii="Verdana" w:eastAsia="Times New Roman" w:hAnsi="Verdana" w:cs="Arial"/>
          <w:lang w:val="es-ES" w:eastAsia="es-CO"/>
        </w:rPr>
        <w:t>A partir de las disposiciones anteriores, tal como se puso de presente en el concepto C-678 del 24 de noviembre de 2020 de esta Agencia, la doctrina ha avanzado en la conceptualización de este tipo de bienes y servicios, resaltando sus características esenciales relacionadas con su </w:t>
      </w:r>
      <w:r w:rsidRPr="00E271BA">
        <w:rPr>
          <w:rFonts w:ascii="Verdana" w:eastAsia="Times New Roman" w:hAnsi="Verdana" w:cs="Arial"/>
          <w:i/>
          <w:iCs/>
          <w:lang w:val="es-ES" w:eastAsia="es-CO"/>
        </w:rPr>
        <w:t>homogeneidad </w:t>
      </w:r>
      <w:r w:rsidRPr="00E271BA">
        <w:rPr>
          <w:rFonts w:ascii="Verdana" w:eastAsia="Times New Roman" w:hAnsi="Verdana" w:cs="Arial"/>
          <w:lang w:val="es-ES" w:eastAsia="es-CO"/>
        </w:rPr>
        <w:t>y su oferta en el mercado en condiciones estandarizadas. Así, en relación con los bienes y servicios en comento afirmó, con apoyo en la doctrina, lo siguiente:</w:t>
      </w:r>
      <w:r w:rsidRPr="00E271BA">
        <w:rPr>
          <w:rFonts w:ascii="Verdana" w:eastAsia="Times New Roman" w:hAnsi="Verdana" w:cs="Arial"/>
          <w:lang w:eastAsia="es-CO"/>
        </w:rPr>
        <w:t>    </w:t>
      </w:r>
    </w:p>
    <w:p w14:paraId="22DBEB7C" w14:textId="77777777" w:rsidR="00930225" w:rsidRPr="00E271BA" w:rsidRDefault="00930225" w:rsidP="00930225">
      <w:pPr>
        <w:spacing w:after="0" w:line="276" w:lineRule="auto"/>
        <w:ind w:firstLine="720"/>
        <w:contextualSpacing/>
        <w:jc w:val="both"/>
        <w:textAlignment w:val="baseline"/>
        <w:rPr>
          <w:rFonts w:ascii="Verdana" w:eastAsia="Times New Roman" w:hAnsi="Verdana" w:cs="Arial"/>
          <w:lang w:eastAsia="es-CO"/>
        </w:rPr>
      </w:pPr>
    </w:p>
    <w:p w14:paraId="69E5A725" w14:textId="77777777" w:rsidR="00930225" w:rsidRPr="001A03C1" w:rsidRDefault="00930225" w:rsidP="005D67D9">
      <w:pPr>
        <w:spacing w:after="0" w:line="240" w:lineRule="auto"/>
        <w:ind w:left="709" w:right="709"/>
        <w:contextualSpacing/>
        <w:jc w:val="both"/>
        <w:textAlignment w:val="baseline"/>
        <w:rPr>
          <w:rFonts w:ascii="Verdana" w:eastAsia="Times New Roman" w:hAnsi="Verdana" w:cs="Arial"/>
          <w:sz w:val="20"/>
          <w:szCs w:val="20"/>
          <w:lang w:eastAsia="es-CO"/>
        </w:rPr>
      </w:pPr>
      <w:r w:rsidRPr="001A03C1">
        <w:rPr>
          <w:rFonts w:ascii="Verdana" w:eastAsia="Times New Roman" w:hAnsi="Verdana" w:cs="Arial"/>
          <w:sz w:val="20"/>
          <w:szCs w:val="20"/>
          <w:lang w:val="es-ES" w:eastAsia="es-CO"/>
        </w:rPr>
        <w:t>“(…) ello evoca que sean fácilmente describibles por </w:t>
      </w:r>
      <w:r w:rsidRPr="001A03C1">
        <w:rPr>
          <w:rFonts w:ascii="Verdana" w:eastAsia="Times New Roman" w:hAnsi="Verdana" w:cs="Arial"/>
          <w:i/>
          <w:sz w:val="20"/>
          <w:szCs w:val="20"/>
          <w:lang w:val="es-ES" w:eastAsia="es-CO"/>
        </w:rPr>
        <w:t xml:space="preserve">características mínimas comunes a los de su tipo, excluyendo elementos no esenciales, </w:t>
      </w:r>
      <w:r w:rsidRPr="001A03C1">
        <w:rPr>
          <w:rFonts w:ascii="Verdana" w:eastAsia="Times New Roman" w:hAnsi="Verdana" w:cs="Arial"/>
          <w:i/>
          <w:sz w:val="20"/>
          <w:szCs w:val="20"/>
          <w:lang w:val="es-ES" w:eastAsia="es-CO"/>
        </w:rPr>
        <w:lastRenderedPageBreak/>
        <w:t>tales como los de diseño o cualquier otro que no altere la funcionalidad del bien o servicio. </w:t>
      </w:r>
      <w:r w:rsidRPr="001A03C1">
        <w:rPr>
          <w:rFonts w:ascii="Verdana" w:eastAsia="Times New Roman" w:hAnsi="Verdana" w:cs="Arial"/>
          <w:sz w:val="20"/>
          <w:szCs w:val="20"/>
          <w:lang w:val="es-ES" w:eastAsia="es-CO"/>
        </w:rPr>
        <w:t>Ello debería ser así, en la medida en la cual se busca que la Administración logre que compitan bienes y servicios de igual calidad ofrecidos por proponentes capaces de satisfacer el requerimiento de la entidad contratante (…).</w:t>
      </w:r>
      <w:r w:rsidRPr="001A03C1">
        <w:rPr>
          <w:rFonts w:ascii="Verdana" w:eastAsia="Times New Roman" w:hAnsi="Verdana" w:cs="Arial"/>
          <w:sz w:val="20"/>
          <w:szCs w:val="20"/>
          <w:lang w:eastAsia="es-CO"/>
        </w:rPr>
        <w:t> </w:t>
      </w:r>
    </w:p>
    <w:p w14:paraId="2A4A3200" w14:textId="77777777" w:rsidR="00930225" w:rsidRPr="001A03C1" w:rsidRDefault="00930225" w:rsidP="005D67D9">
      <w:pPr>
        <w:spacing w:after="0" w:line="240" w:lineRule="auto"/>
        <w:ind w:left="709" w:right="709"/>
        <w:contextualSpacing/>
        <w:jc w:val="both"/>
        <w:textAlignment w:val="baseline"/>
        <w:rPr>
          <w:rFonts w:ascii="Verdana" w:eastAsia="Times New Roman" w:hAnsi="Verdana" w:cs="Arial"/>
          <w:sz w:val="20"/>
          <w:szCs w:val="20"/>
          <w:lang w:eastAsia="es-CO"/>
        </w:rPr>
      </w:pPr>
    </w:p>
    <w:p w14:paraId="7B6CF1A1" w14:textId="77777777" w:rsidR="00930225" w:rsidRPr="001A03C1" w:rsidRDefault="00930225" w:rsidP="005D67D9">
      <w:pPr>
        <w:spacing w:after="0" w:line="240" w:lineRule="auto"/>
        <w:ind w:left="709" w:right="709"/>
        <w:contextualSpacing/>
        <w:jc w:val="both"/>
        <w:textAlignment w:val="baseline"/>
        <w:rPr>
          <w:rFonts w:ascii="Verdana" w:eastAsia="Times New Roman" w:hAnsi="Verdana" w:cs="Arial"/>
          <w:sz w:val="20"/>
          <w:szCs w:val="20"/>
          <w:lang w:eastAsia="es-CO"/>
        </w:rPr>
      </w:pPr>
      <w:r w:rsidRPr="001A03C1">
        <w:rPr>
          <w:rFonts w:ascii="Verdana" w:eastAsia="Times New Roman" w:hAnsi="Verdana" w:cs="Arial"/>
          <w:sz w:val="20"/>
          <w:szCs w:val="20"/>
          <w:lang w:val="es-ES" w:eastAsia="es-CO"/>
        </w:rPr>
        <w:t xml:space="preserve">Aquellos que se ofrecen en el mercado con un estándar para quienes los demandan, o lo que es igual, que la oferta de </w:t>
      </w:r>
      <w:proofErr w:type="gramStart"/>
      <w:r w:rsidRPr="001A03C1">
        <w:rPr>
          <w:rFonts w:ascii="Verdana" w:eastAsia="Times New Roman" w:hAnsi="Verdana" w:cs="Arial"/>
          <w:sz w:val="20"/>
          <w:szCs w:val="20"/>
          <w:lang w:val="es-ES" w:eastAsia="es-CO"/>
        </w:rPr>
        <w:t>los mismos</w:t>
      </w:r>
      <w:proofErr w:type="gramEnd"/>
      <w:r w:rsidRPr="001A03C1">
        <w:rPr>
          <w:rFonts w:ascii="Verdana" w:eastAsia="Times New Roman" w:hAnsi="Verdana" w:cs="Arial"/>
          <w:sz w:val="20"/>
          <w:szCs w:val="20"/>
          <w:lang w:val="es-ES" w:eastAsia="es-CO"/>
        </w:rPr>
        <w:t xml:space="preserve"> en el mercado ocurriese en condiciones equivalentes para todo interesado en adquirirlo (…)”</w:t>
      </w:r>
      <w:r w:rsidRPr="001A03C1">
        <w:rPr>
          <w:rFonts w:ascii="Verdana" w:eastAsia="Times New Roman" w:hAnsi="Verdana" w:cs="Arial"/>
          <w:sz w:val="20"/>
          <w:szCs w:val="20"/>
          <w:vertAlign w:val="superscript"/>
          <w:lang w:val="es-ES" w:eastAsia="es-CO"/>
        </w:rPr>
        <w:footnoteReference w:id="6"/>
      </w:r>
      <w:r w:rsidRPr="001A03C1">
        <w:rPr>
          <w:rFonts w:ascii="Verdana" w:eastAsia="Times New Roman" w:hAnsi="Verdana" w:cs="Arial"/>
          <w:sz w:val="20"/>
          <w:szCs w:val="20"/>
          <w:lang w:val="es-ES" w:eastAsia="es-CO"/>
        </w:rPr>
        <w:t>.</w:t>
      </w:r>
      <w:r w:rsidRPr="001A03C1">
        <w:rPr>
          <w:rFonts w:ascii="Verdana" w:eastAsia="Times New Roman" w:hAnsi="Verdana" w:cs="Arial"/>
          <w:sz w:val="20"/>
          <w:szCs w:val="20"/>
          <w:lang w:eastAsia="es-CO"/>
        </w:rPr>
        <w:t>   </w:t>
      </w:r>
    </w:p>
    <w:p w14:paraId="1D7EA035" w14:textId="77777777" w:rsidR="00930225" w:rsidRDefault="00930225" w:rsidP="00930225">
      <w:pPr>
        <w:spacing w:after="0" w:line="240" w:lineRule="auto"/>
        <w:ind w:firstLine="703"/>
        <w:jc w:val="both"/>
        <w:textAlignment w:val="baseline"/>
        <w:rPr>
          <w:rFonts w:ascii="Verdana" w:eastAsia="Times New Roman" w:hAnsi="Verdana" w:cs="Arial"/>
          <w:lang w:val="es-ES" w:eastAsia="es-CO"/>
        </w:rPr>
      </w:pPr>
    </w:p>
    <w:p w14:paraId="1DD4C854" w14:textId="363F027E" w:rsidR="00930225" w:rsidRPr="00E271BA" w:rsidRDefault="00930225" w:rsidP="00930225">
      <w:pPr>
        <w:spacing w:after="120" w:line="276" w:lineRule="auto"/>
        <w:ind w:firstLine="703"/>
        <w:jc w:val="both"/>
        <w:textAlignment w:val="baseline"/>
        <w:rPr>
          <w:rFonts w:ascii="Verdana" w:eastAsia="Times New Roman" w:hAnsi="Verdana" w:cs="Arial"/>
          <w:lang w:eastAsia="es-CO"/>
        </w:rPr>
      </w:pPr>
      <w:r w:rsidRPr="00E271BA">
        <w:rPr>
          <w:rFonts w:ascii="Verdana" w:eastAsia="Times New Roman" w:hAnsi="Verdana" w:cs="Arial"/>
          <w:lang w:val="es-ES" w:eastAsia="es-CO"/>
        </w:rPr>
        <w:t>Como se advierte de lo anterior, los elementos centrales para definir si un bien o servicio se considera de características técnicas uniformes consiste en que posea las mismas especificaciones técnicas y compartan patrones de desempeño y calidad objetivamente definidos, de manera que sea posible adquirirlos en el mercado en condiciones estandarizadas u homogéneas</w:t>
      </w:r>
      <w:r w:rsidR="00EB22BE">
        <w:rPr>
          <w:rFonts w:ascii="Verdana" w:eastAsia="Times New Roman" w:hAnsi="Verdana" w:cs="Arial"/>
          <w:lang w:val="es-ES" w:eastAsia="es-CO"/>
        </w:rPr>
        <w:t>. Esto</w:t>
      </w:r>
      <w:r w:rsidR="00932543">
        <w:rPr>
          <w:rFonts w:ascii="Verdana" w:eastAsia="Times New Roman" w:hAnsi="Verdana" w:cs="Arial"/>
          <w:lang w:val="es-ES" w:eastAsia="es-CO"/>
        </w:rPr>
        <w:t xml:space="preserve">, </w:t>
      </w:r>
      <w:r w:rsidRPr="00E271BA">
        <w:rPr>
          <w:rFonts w:ascii="Verdana" w:eastAsia="Times New Roman" w:hAnsi="Verdana" w:cs="Arial"/>
          <w:lang w:val="es-ES" w:eastAsia="es-CO"/>
        </w:rPr>
        <w:t>con independencia de su diseño o de sus características descriptivas, que no afectan su funcionalidad. En este sentido, la forma como se adquieren en el mercado incide en la determinación de si un bien o servicio se encuadra en esta categoría. De ahí que el Decreto 1082 de 2015 disponga que “pueden ser agrupados como bienes y servicios homogéneos para su adquisición”, dado que son bienes y servicios con especificaciones técnicas y patrones de desempeño y calidad iguales o similares. </w:t>
      </w:r>
      <w:r w:rsidRPr="00E271BA">
        <w:rPr>
          <w:rFonts w:ascii="Verdana" w:eastAsia="Times New Roman" w:hAnsi="Verdana" w:cs="Arial"/>
          <w:lang w:eastAsia="es-CO"/>
        </w:rPr>
        <w:t> </w:t>
      </w:r>
    </w:p>
    <w:p w14:paraId="07160567" w14:textId="77777777" w:rsidR="00930225" w:rsidRPr="00E271BA" w:rsidRDefault="00930225" w:rsidP="00930225">
      <w:pPr>
        <w:spacing w:after="120" w:line="276" w:lineRule="auto"/>
        <w:ind w:firstLine="703"/>
        <w:jc w:val="both"/>
        <w:textAlignment w:val="baseline"/>
        <w:rPr>
          <w:rFonts w:ascii="Verdana" w:eastAsia="Times New Roman" w:hAnsi="Verdana" w:cs="Arial"/>
          <w:lang w:eastAsia="es-CO"/>
        </w:rPr>
      </w:pPr>
      <w:r w:rsidRPr="00E271BA">
        <w:rPr>
          <w:rFonts w:ascii="Verdana" w:eastAsia="Times New Roman" w:hAnsi="Verdana" w:cs="Arial"/>
          <w:lang w:val="es-ES" w:eastAsia="es-CO"/>
        </w:rPr>
        <w:t xml:space="preserve">Así las cosas, con la finalidad de delimitar la noción, cabe destacar que la definición contenida en la Ley 1150 de 2007, pese a que nominalmente acude al término de </w:t>
      </w:r>
      <w:r>
        <w:rPr>
          <w:rFonts w:ascii="Verdana" w:eastAsia="Times New Roman" w:hAnsi="Verdana" w:cs="Arial"/>
          <w:lang w:val="es-ES" w:eastAsia="es-CO"/>
        </w:rPr>
        <w:t>“</w:t>
      </w:r>
      <w:r w:rsidRPr="00E271BA">
        <w:rPr>
          <w:rFonts w:ascii="Verdana" w:eastAsia="Times New Roman" w:hAnsi="Verdana" w:cs="Arial"/>
          <w:lang w:val="es-ES" w:eastAsia="es-CO"/>
        </w:rPr>
        <w:t>común utilización</w:t>
      </w:r>
      <w:r>
        <w:rPr>
          <w:rFonts w:ascii="Verdana" w:eastAsia="Times New Roman" w:hAnsi="Verdana" w:cs="Arial"/>
          <w:lang w:val="es-ES" w:eastAsia="es-CO"/>
        </w:rPr>
        <w:t>”</w:t>
      </w:r>
      <w:r w:rsidRPr="00E271BA">
        <w:rPr>
          <w:rFonts w:ascii="Verdana" w:eastAsia="Times New Roman" w:hAnsi="Verdana" w:cs="Arial"/>
          <w:lang w:val="es-ES" w:eastAsia="es-CO"/>
        </w:rPr>
        <w:t xml:space="preserve">, al referirse a los </w:t>
      </w:r>
      <w:r>
        <w:rPr>
          <w:rFonts w:ascii="Verdana" w:eastAsia="Times New Roman" w:hAnsi="Verdana" w:cs="Arial"/>
          <w:lang w:val="es-ES" w:eastAsia="es-CO"/>
        </w:rPr>
        <w:t>“</w:t>
      </w:r>
      <w:r w:rsidRPr="00E271BA">
        <w:rPr>
          <w:rFonts w:ascii="Verdana" w:eastAsia="Times New Roman" w:hAnsi="Verdana" w:cs="Arial"/>
          <w:lang w:val="es-ES" w:eastAsia="es-CO"/>
        </w:rPr>
        <w:t>bienes y servicios de características técnicas uniformes y de común utilización por parte de las entidades</w:t>
      </w:r>
      <w:r>
        <w:rPr>
          <w:rFonts w:ascii="Verdana" w:eastAsia="Times New Roman" w:hAnsi="Verdana" w:cs="Arial"/>
          <w:lang w:val="es-ES" w:eastAsia="es-CO"/>
        </w:rPr>
        <w:t>”</w:t>
      </w:r>
      <w:r w:rsidRPr="00E271BA">
        <w:rPr>
          <w:rFonts w:ascii="Verdana" w:eastAsia="Times New Roman" w:hAnsi="Verdana" w:cs="Arial"/>
          <w:lang w:val="es-ES" w:eastAsia="es-CO"/>
        </w:rPr>
        <w:t>, en realidad los define haciendo abstracción de dicho elemento, al establecer que: </w:t>
      </w:r>
      <w:r>
        <w:rPr>
          <w:rFonts w:ascii="Verdana" w:eastAsia="Times New Roman" w:hAnsi="Verdana" w:cs="Arial"/>
          <w:lang w:val="es-ES" w:eastAsia="es-CO"/>
        </w:rPr>
        <w:t>”</w:t>
      </w:r>
      <w:r w:rsidRPr="00E271BA">
        <w:rPr>
          <w:rFonts w:ascii="Verdana" w:eastAsia="Times New Roman" w:hAnsi="Verdana" w:cs="Arial"/>
          <w:lang w:val="es-ES" w:eastAsia="es-CO"/>
        </w:rPr>
        <w:t>corresponden a aquellos que poseen las mismas especificaciones técnicas, con independencia de su diseño o de sus características descriptivas, y comparten patrones de desempeño y calidad objetivamente definidos</w:t>
      </w:r>
      <w:r>
        <w:rPr>
          <w:rFonts w:ascii="Verdana" w:eastAsia="Times New Roman" w:hAnsi="Verdana" w:cs="Arial"/>
          <w:lang w:val="es-ES" w:eastAsia="es-CO"/>
        </w:rPr>
        <w:t>”</w:t>
      </w:r>
      <w:r w:rsidRPr="00E271BA">
        <w:rPr>
          <w:rFonts w:ascii="Verdana" w:eastAsia="Times New Roman" w:hAnsi="Verdana" w:cs="Arial"/>
          <w:lang w:val="es-ES" w:eastAsia="es-CO"/>
        </w:rPr>
        <w:t>.</w:t>
      </w:r>
      <w:r w:rsidRPr="00E271BA">
        <w:rPr>
          <w:rFonts w:ascii="Verdana" w:eastAsia="Times New Roman" w:hAnsi="Verdana" w:cs="Arial"/>
          <w:lang w:eastAsia="es-CO"/>
        </w:rPr>
        <w:t>  </w:t>
      </w:r>
    </w:p>
    <w:p w14:paraId="72D9ED72" w14:textId="7E617D41" w:rsidR="00930225" w:rsidRDefault="00E10C7B" w:rsidP="005D67D9">
      <w:pPr>
        <w:spacing w:after="120" w:line="276" w:lineRule="auto"/>
        <w:ind w:firstLine="708"/>
        <w:jc w:val="both"/>
        <w:rPr>
          <w:rFonts w:ascii="Verdana" w:hAnsi="Verdana"/>
        </w:rPr>
      </w:pPr>
      <w:r>
        <w:rPr>
          <w:rFonts w:ascii="Verdana" w:hAnsi="Verdana"/>
        </w:rPr>
        <w:t>E</w:t>
      </w:r>
      <w:r w:rsidR="00930225" w:rsidRPr="00BD4869">
        <w:rPr>
          <w:rFonts w:ascii="Verdana" w:hAnsi="Verdana"/>
        </w:rPr>
        <w:t xml:space="preserve">n </w:t>
      </w:r>
      <w:r w:rsidR="00930225">
        <w:rPr>
          <w:rFonts w:ascii="Verdana" w:hAnsi="Verdana"/>
        </w:rPr>
        <w:t xml:space="preserve">relación con las reglas del </w:t>
      </w:r>
      <w:r w:rsidR="00930225" w:rsidRPr="00BD4869">
        <w:rPr>
          <w:rFonts w:ascii="Verdana" w:hAnsi="Verdana"/>
        </w:rPr>
        <w:t xml:space="preserve">procedimiento de subasta inversa, vale la pena destacar el contenido del artículo 2.2.1.2.1.2.2. del Decreto 1082 de 2015. En particular, dicha disposición establece: i) parte del contenido del pliego de </w:t>
      </w:r>
      <w:r w:rsidR="00930225" w:rsidRPr="00BD4869">
        <w:rPr>
          <w:rFonts w:ascii="Verdana" w:hAnsi="Verdana"/>
        </w:rPr>
        <w:lastRenderedPageBreak/>
        <w:t xml:space="preserve">condiciones; </w:t>
      </w:r>
      <w:proofErr w:type="spellStart"/>
      <w:r w:rsidR="00930225" w:rsidRPr="00BD4869">
        <w:rPr>
          <w:rFonts w:ascii="Verdana" w:hAnsi="Verdana"/>
        </w:rPr>
        <w:t>ii</w:t>
      </w:r>
      <w:proofErr w:type="spellEnd"/>
      <w:r w:rsidR="00930225" w:rsidRPr="00BD4869">
        <w:rPr>
          <w:rFonts w:ascii="Verdana" w:hAnsi="Verdana"/>
        </w:rPr>
        <w:t xml:space="preserve">) el contenido de la oferta que se divide en dos parles: por un lado, lo relacionado con la acreditación de la capacidad para participar en el proceso y el cumplimiento de la ficha técnica y, por otro lado, el precio inicial propuesto; </w:t>
      </w:r>
      <w:proofErr w:type="spellStart"/>
      <w:r w:rsidR="00930225" w:rsidRPr="00BD4869">
        <w:rPr>
          <w:rFonts w:ascii="Verdana" w:hAnsi="Verdana"/>
        </w:rPr>
        <w:t>ii</w:t>
      </w:r>
      <w:r w:rsidR="00930225">
        <w:rPr>
          <w:rFonts w:ascii="Verdana" w:hAnsi="Verdana"/>
        </w:rPr>
        <w:t>i</w:t>
      </w:r>
      <w:proofErr w:type="spellEnd"/>
      <w:r w:rsidR="00930225" w:rsidRPr="00BD4869">
        <w:rPr>
          <w:rFonts w:ascii="Verdana" w:hAnsi="Verdana"/>
        </w:rPr>
        <w:t xml:space="preserve">) las reglas de publicación del informe de habilitación que sirve de mecanismo para informar quienes de los oferentes se encuentra habilitado para participar en la subasta; </w:t>
      </w:r>
      <w:proofErr w:type="spellStart"/>
      <w:r w:rsidR="00930225" w:rsidRPr="00BD4869">
        <w:rPr>
          <w:rFonts w:ascii="Verdana" w:hAnsi="Verdana"/>
        </w:rPr>
        <w:t>i</w:t>
      </w:r>
      <w:r w:rsidR="00930225">
        <w:rPr>
          <w:rFonts w:ascii="Verdana" w:hAnsi="Verdana"/>
        </w:rPr>
        <w:t>v</w:t>
      </w:r>
      <w:proofErr w:type="spellEnd"/>
      <w:r w:rsidR="00930225" w:rsidRPr="00BD4869">
        <w:rPr>
          <w:rFonts w:ascii="Verdana" w:hAnsi="Verdana"/>
        </w:rPr>
        <w:t>) la regla que exige a la entidad adelantar la subasta cuando existan por lo menos dos oferentes habilitados; v) la posibilidad que tiene la entidad de adjudicar al único oferente en la medida en que acredite ser hábil y su oferta sea igual o inferior al presupuesto del contrato; v</w:t>
      </w:r>
      <w:r w:rsidR="00930225">
        <w:rPr>
          <w:rFonts w:ascii="Verdana" w:hAnsi="Verdana"/>
        </w:rPr>
        <w:t>i</w:t>
      </w:r>
      <w:r w:rsidR="00930225" w:rsidRPr="00BD4869">
        <w:rPr>
          <w:rFonts w:ascii="Verdana" w:hAnsi="Verdana"/>
        </w:rPr>
        <w:t xml:space="preserve">) la regla de inicio de subasta con el precio más bajo propuesto y la validez de los lances; entre otras.  </w:t>
      </w:r>
    </w:p>
    <w:p w14:paraId="2D7734FD" w14:textId="73335789" w:rsidR="00930225" w:rsidRPr="002C7BE4" w:rsidRDefault="00930225" w:rsidP="00930225">
      <w:pPr>
        <w:spacing w:after="120" w:line="276" w:lineRule="auto"/>
        <w:ind w:firstLine="709"/>
        <w:jc w:val="both"/>
        <w:rPr>
          <w:rFonts w:ascii="Verdana" w:hAnsi="Verdana" w:cs="Arial"/>
        </w:rPr>
      </w:pPr>
      <w:r>
        <w:rPr>
          <w:rFonts w:ascii="Verdana" w:hAnsi="Verdana"/>
        </w:rPr>
        <w:t xml:space="preserve">Ahora bien, un elemento esencial dentro de este tipo de modalidad corresponde al cumplimiento del contenido de la ficha técnica. </w:t>
      </w:r>
      <w:r w:rsidR="00E564E1">
        <w:rPr>
          <w:rFonts w:ascii="Verdana" w:hAnsi="Verdana"/>
        </w:rPr>
        <w:t>Aunque</w:t>
      </w:r>
      <w:r w:rsidRPr="002C7BE4">
        <w:rPr>
          <w:rFonts w:ascii="Verdana" w:hAnsi="Verdana"/>
        </w:rPr>
        <w:t xml:space="preserve"> </w:t>
      </w:r>
      <w:r>
        <w:rPr>
          <w:rFonts w:ascii="Verdana" w:hAnsi="Verdana"/>
        </w:rPr>
        <w:t xml:space="preserve">no </w:t>
      </w:r>
      <w:r w:rsidR="00FB6C54">
        <w:rPr>
          <w:rFonts w:ascii="Verdana" w:hAnsi="Verdana"/>
        </w:rPr>
        <w:t>se</w:t>
      </w:r>
      <w:r>
        <w:rPr>
          <w:rFonts w:ascii="Verdana" w:hAnsi="Verdana"/>
        </w:rPr>
        <w:t xml:space="preserve"> </w:t>
      </w:r>
      <w:r w:rsidRPr="002C7BE4">
        <w:rPr>
          <w:rFonts w:ascii="Verdana" w:hAnsi="Verdana"/>
        </w:rPr>
        <w:t xml:space="preserve">encuentra definida formalmente en la normativa que regula la contratación pública, el Decreto 1082 de 2015, artículo 2.2.1.2.1.2.1 </w:t>
      </w:r>
      <w:r w:rsidR="005A1C6E">
        <w:rPr>
          <w:rFonts w:ascii="Verdana" w:hAnsi="Verdana"/>
        </w:rPr>
        <w:t>establece</w:t>
      </w:r>
      <w:r w:rsidRPr="002C7BE4">
        <w:rPr>
          <w:rFonts w:ascii="Verdana" w:hAnsi="Verdana"/>
        </w:rPr>
        <w:t xml:space="preserve"> que</w:t>
      </w:r>
      <w:r w:rsidR="005A1C6E">
        <w:rPr>
          <w:rFonts w:ascii="Verdana" w:hAnsi="Verdana"/>
        </w:rPr>
        <w:t>,</w:t>
      </w:r>
      <w:r w:rsidRPr="002C7BE4">
        <w:rPr>
          <w:rFonts w:ascii="Verdana" w:hAnsi="Verdana"/>
        </w:rPr>
        <w:t xml:space="preserve"> para contratar bienes y servicios de características técnicas uniformes, el pliego de condiciones debe indicar las </w:t>
      </w:r>
      <w:r w:rsidR="001C105A">
        <w:rPr>
          <w:rFonts w:ascii="Verdana" w:hAnsi="Verdana"/>
        </w:rPr>
        <w:t xml:space="preserve">especificaciones </w:t>
      </w:r>
      <w:r w:rsidRPr="002C7BE4">
        <w:rPr>
          <w:rFonts w:ascii="Verdana" w:hAnsi="Verdana"/>
        </w:rPr>
        <w:t>que deben estar incluidas en la “ficha técnica”</w:t>
      </w:r>
      <w:r w:rsidR="00F163E6">
        <w:rPr>
          <w:rFonts w:ascii="Verdana" w:hAnsi="Verdana"/>
        </w:rPr>
        <w:t xml:space="preserve">. En particular, esta disposición señala </w:t>
      </w:r>
      <w:r w:rsidR="0062762D">
        <w:rPr>
          <w:rFonts w:ascii="Verdana" w:hAnsi="Verdana"/>
        </w:rPr>
        <w:t>que,</w:t>
      </w:r>
      <w:r w:rsidRPr="002C7BE4">
        <w:rPr>
          <w:rFonts w:ascii="Verdana" w:hAnsi="Verdana"/>
        </w:rPr>
        <w:t xml:space="preserve"> para los procesos de selección abreviada para adquirir bienes y servicios de características técnicas uniformes, </w:t>
      </w:r>
      <w:r w:rsidR="00F163E6">
        <w:rPr>
          <w:rFonts w:ascii="Verdana" w:hAnsi="Verdana"/>
        </w:rPr>
        <w:t xml:space="preserve">la ficha técnica </w:t>
      </w:r>
      <w:r w:rsidR="00587E33">
        <w:rPr>
          <w:rFonts w:ascii="Verdana" w:hAnsi="Verdana"/>
        </w:rPr>
        <w:t>debe contemplar los siguientes aspectos</w:t>
      </w:r>
      <w:r w:rsidRPr="002C7BE4">
        <w:rPr>
          <w:rFonts w:ascii="Verdana" w:hAnsi="Verdana"/>
        </w:rPr>
        <w:t xml:space="preserve">: i) la clasificación del bien o servicio de acuerdo con el Clasificador de Bienes y Servicios; </w:t>
      </w:r>
      <w:proofErr w:type="spellStart"/>
      <w:r w:rsidRPr="002C7BE4">
        <w:rPr>
          <w:rFonts w:ascii="Verdana" w:hAnsi="Verdana"/>
        </w:rPr>
        <w:t>ii</w:t>
      </w:r>
      <w:proofErr w:type="spellEnd"/>
      <w:r w:rsidRPr="002C7BE4">
        <w:rPr>
          <w:rFonts w:ascii="Verdana" w:hAnsi="Verdana"/>
        </w:rPr>
        <w:t xml:space="preserve">) la identificación adicional requerida; </w:t>
      </w:r>
      <w:proofErr w:type="spellStart"/>
      <w:r w:rsidRPr="002C7BE4">
        <w:rPr>
          <w:rFonts w:ascii="Verdana" w:hAnsi="Verdana"/>
        </w:rPr>
        <w:t>iii</w:t>
      </w:r>
      <w:proofErr w:type="spellEnd"/>
      <w:r w:rsidRPr="002C7BE4">
        <w:rPr>
          <w:rFonts w:ascii="Verdana" w:hAnsi="Verdana"/>
        </w:rPr>
        <w:t xml:space="preserve">) la unidad de medida; </w:t>
      </w:r>
      <w:proofErr w:type="spellStart"/>
      <w:r w:rsidRPr="002C7BE4">
        <w:rPr>
          <w:rFonts w:ascii="Verdana" w:hAnsi="Verdana"/>
        </w:rPr>
        <w:t>iv</w:t>
      </w:r>
      <w:proofErr w:type="spellEnd"/>
      <w:r w:rsidRPr="002C7BE4">
        <w:rPr>
          <w:rFonts w:ascii="Verdana" w:hAnsi="Verdana"/>
        </w:rPr>
        <w:t>) la calidad mínima, y v) los patrones de desempeño</w:t>
      </w:r>
      <w:r w:rsidRPr="002C7BE4">
        <w:rPr>
          <w:rFonts w:ascii="Verdana" w:hAnsi="Verdana"/>
          <w:spacing w:val="-2"/>
        </w:rPr>
        <w:t xml:space="preserve"> </w:t>
      </w:r>
      <w:r w:rsidRPr="002C7BE4">
        <w:rPr>
          <w:rFonts w:ascii="Verdana" w:hAnsi="Verdana"/>
        </w:rPr>
        <w:t>mínimos</w:t>
      </w:r>
      <w:r w:rsidRPr="00AE2DBA">
        <w:rPr>
          <w:rStyle w:val="Refdenotaalpie"/>
          <w:rFonts w:ascii="Verdana" w:hAnsi="Verdana"/>
        </w:rPr>
        <w:footnoteReference w:id="7"/>
      </w:r>
      <w:r w:rsidRPr="002C7BE4">
        <w:rPr>
          <w:rFonts w:ascii="Verdana" w:hAnsi="Verdana" w:cs="Arial"/>
        </w:rPr>
        <w:t>.</w:t>
      </w:r>
    </w:p>
    <w:p w14:paraId="51388A14" w14:textId="6EBFD4A1" w:rsidR="00930225" w:rsidRPr="002C7BE4" w:rsidRDefault="00587E33" w:rsidP="00930225">
      <w:pPr>
        <w:spacing w:after="120" w:line="276" w:lineRule="auto"/>
        <w:ind w:firstLine="709"/>
        <w:jc w:val="both"/>
        <w:rPr>
          <w:rFonts w:ascii="Verdana" w:hAnsi="Verdana"/>
        </w:rPr>
      </w:pPr>
      <w:r>
        <w:rPr>
          <w:rFonts w:ascii="Verdana" w:hAnsi="Verdana"/>
        </w:rPr>
        <w:t xml:space="preserve">Por su parte, </w:t>
      </w:r>
      <w:r w:rsidR="00930225" w:rsidRPr="002C7BE4">
        <w:rPr>
          <w:rFonts w:ascii="Verdana" w:hAnsi="Verdana"/>
        </w:rPr>
        <w:t>el artículo 2.2.1.1.2.1.1.</w:t>
      </w:r>
      <w:r w:rsidRPr="00587E33">
        <w:rPr>
          <w:rFonts w:ascii="Verdana" w:hAnsi="Verdana"/>
        </w:rPr>
        <w:t xml:space="preserve"> </w:t>
      </w:r>
      <w:r>
        <w:rPr>
          <w:rFonts w:ascii="Verdana" w:hAnsi="Verdana"/>
        </w:rPr>
        <w:t>del</w:t>
      </w:r>
      <w:r w:rsidRPr="002C7BE4">
        <w:rPr>
          <w:rFonts w:ascii="Verdana" w:hAnsi="Verdana"/>
        </w:rPr>
        <w:t xml:space="preserve"> Decreto 1082 de 2015</w:t>
      </w:r>
      <w:r w:rsidR="00DE2357">
        <w:rPr>
          <w:rFonts w:ascii="Verdana" w:hAnsi="Verdana"/>
        </w:rPr>
        <w:t xml:space="preserve">, relativo a </w:t>
      </w:r>
      <w:r w:rsidR="00930225" w:rsidRPr="002C7BE4">
        <w:rPr>
          <w:rFonts w:ascii="Verdana" w:hAnsi="Verdana"/>
        </w:rPr>
        <w:t xml:space="preserve">“Estudios y documentos previos”, aplicable a la mayoría de </w:t>
      </w:r>
      <w:r w:rsidR="0062762D">
        <w:rPr>
          <w:rFonts w:ascii="Verdana" w:hAnsi="Verdana"/>
        </w:rPr>
        <w:t>los</w:t>
      </w:r>
      <w:r w:rsidR="00930225" w:rsidRPr="002C7BE4">
        <w:rPr>
          <w:rFonts w:ascii="Verdana" w:hAnsi="Verdana"/>
        </w:rPr>
        <w:t xml:space="preserve"> procesos de selección, ya no solo para la adquisición de bienes y servicios de características técnicas uniformes, establece que en ellos se indicará el objeto del contrato con sus especificaciones y documentos técnicos, el cual puede revestir el carácter de “ficha técnica”, “anexo técnico” o “especificaciones técnicas”</w:t>
      </w:r>
      <w:r w:rsidR="0062762D">
        <w:rPr>
          <w:rFonts w:ascii="Verdana" w:hAnsi="Verdana"/>
        </w:rPr>
        <w:t>. A</w:t>
      </w:r>
      <w:r w:rsidR="00930225" w:rsidRPr="002C7BE4">
        <w:rPr>
          <w:rFonts w:ascii="Verdana" w:hAnsi="Verdana"/>
        </w:rPr>
        <w:t>demás, el proponente con la presentación de la oferta debe señalar</w:t>
      </w:r>
      <w:r w:rsidR="00930225" w:rsidRPr="002C7BE4">
        <w:rPr>
          <w:rFonts w:ascii="Verdana" w:hAnsi="Verdana"/>
          <w:spacing w:val="-17"/>
        </w:rPr>
        <w:t xml:space="preserve"> </w:t>
      </w:r>
      <w:r w:rsidR="00930225" w:rsidRPr="002C7BE4">
        <w:rPr>
          <w:rFonts w:ascii="Verdana" w:hAnsi="Verdana"/>
        </w:rPr>
        <w:t xml:space="preserve">las especificaciones </w:t>
      </w:r>
      <w:r w:rsidR="00930225" w:rsidRPr="002C7BE4">
        <w:rPr>
          <w:rFonts w:ascii="Verdana" w:hAnsi="Verdana"/>
        </w:rPr>
        <w:lastRenderedPageBreak/>
        <w:t>técnicas del bien o servicio que permitan corroborar que cumple con las condiciones exigidas en el pliego de condiciones.</w:t>
      </w:r>
    </w:p>
    <w:p w14:paraId="0115F5A4" w14:textId="77777777" w:rsidR="00930225" w:rsidRDefault="00930225" w:rsidP="005D67D9">
      <w:pPr>
        <w:spacing w:after="120" w:line="276" w:lineRule="auto"/>
        <w:ind w:firstLine="709"/>
        <w:jc w:val="both"/>
        <w:rPr>
          <w:rFonts w:ascii="Verdana" w:hAnsi="Verdana"/>
        </w:rPr>
      </w:pPr>
      <w:r w:rsidRPr="002C7BE4">
        <w:rPr>
          <w:rFonts w:ascii="Verdana" w:hAnsi="Verdana"/>
        </w:rPr>
        <w:t>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está estrechamente vinculado con el bien o servicio ofertado, toda vez que es la descripción más minuciosa y detallada de las características, componentes y funcionamiento de los bienes y servicios con los que se busca satisfacer la necesidad de la</w:t>
      </w:r>
      <w:r w:rsidRPr="002C7BE4">
        <w:rPr>
          <w:rFonts w:ascii="Verdana" w:hAnsi="Verdana"/>
          <w:spacing w:val="-10"/>
        </w:rPr>
        <w:t xml:space="preserve"> </w:t>
      </w:r>
      <w:r w:rsidRPr="002C7BE4">
        <w:rPr>
          <w:rFonts w:ascii="Verdana" w:hAnsi="Verdana"/>
        </w:rPr>
        <w:t>entidad.</w:t>
      </w:r>
    </w:p>
    <w:p w14:paraId="427D35EC" w14:textId="77777777" w:rsidR="00930225" w:rsidRPr="00BA49D5" w:rsidRDefault="00930225" w:rsidP="005D67D9">
      <w:pPr>
        <w:spacing w:after="120" w:line="276" w:lineRule="auto"/>
        <w:ind w:firstLine="709"/>
        <w:jc w:val="both"/>
        <w:rPr>
          <w:rFonts w:ascii="Verdana" w:hAnsi="Verdana"/>
        </w:rPr>
      </w:pPr>
      <w:r>
        <w:rPr>
          <w:rFonts w:ascii="Verdana" w:eastAsia="Times New Roman" w:hAnsi="Verdana" w:cs="Arial"/>
          <w:color w:val="000000"/>
          <w:lang w:val="es-ES_tradnl"/>
        </w:rPr>
        <w:t>Ahora bien, para dar respuesta a su consulta, resulta necesario indicar que e</w:t>
      </w:r>
      <w:r w:rsidRPr="000E3DE7">
        <w:rPr>
          <w:rFonts w:ascii="Verdana" w:hAnsi="Verdana" w:cs="Arial"/>
        </w:rPr>
        <w:t>l Estatuto General de Contratación de la Administración Pública, contenido en las Leyes 80 de 1993 y 1150 de 2007, así como en las normas que las han modificado y las reglamentan, no consagran una regulación expresa sobre la posibilidad de modificar los contratos celebrados por las Entidades Estatales.  Esto salvo, lo concerniente a la potestad exorbitante de modificación unilateral y la regulación que fija los porcentajes límites para adicionar valores inicialmente pactados, contenidas en los artículos 16</w:t>
      </w:r>
      <w:r w:rsidRPr="000E3DE7">
        <w:rPr>
          <w:rStyle w:val="Refdenotaalpie"/>
          <w:rFonts w:ascii="Verdana" w:hAnsi="Verdana" w:cs="Arial"/>
        </w:rPr>
        <w:footnoteReference w:id="8"/>
      </w:r>
      <w:r w:rsidRPr="000E3DE7">
        <w:rPr>
          <w:rFonts w:ascii="Verdana" w:hAnsi="Verdana" w:cs="Arial"/>
        </w:rPr>
        <w:t xml:space="preserve"> y 40</w:t>
      </w:r>
      <w:r w:rsidRPr="000E3DE7">
        <w:rPr>
          <w:rFonts w:ascii="Verdana" w:eastAsia="Calibri" w:hAnsi="Verdana" w:cs="Arial"/>
          <w:color w:val="000000"/>
          <w:vertAlign w:val="superscript"/>
          <w:lang w:val="es-MX"/>
        </w:rPr>
        <w:footnoteReference w:id="9"/>
      </w:r>
      <w:r w:rsidRPr="000E3DE7">
        <w:rPr>
          <w:rFonts w:ascii="Verdana" w:hAnsi="Verdana" w:cs="Arial"/>
        </w:rPr>
        <w:t xml:space="preserve"> de la Ley 80 de 1993 - respectivamente. </w:t>
      </w:r>
    </w:p>
    <w:p w14:paraId="588A720E" w14:textId="6462DBD2" w:rsidR="00930225" w:rsidRPr="000E3DE7" w:rsidRDefault="00930225" w:rsidP="00930225">
      <w:pPr>
        <w:tabs>
          <w:tab w:val="left" w:pos="284"/>
        </w:tabs>
        <w:spacing w:after="120" w:line="276" w:lineRule="auto"/>
        <w:ind w:firstLine="709"/>
        <w:jc w:val="both"/>
        <w:rPr>
          <w:rFonts w:ascii="Verdana" w:hAnsi="Verdana" w:cs="Arial"/>
        </w:rPr>
      </w:pPr>
      <w:r w:rsidRPr="000E3DE7">
        <w:rPr>
          <w:rFonts w:ascii="Verdana" w:hAnsi="Verdana" w:cs="Arial"/>
        </w:rPr>
        <w:t xml:space="preserve">Lo anterior, encuentra sustento en que, en principio, los contratos deben ejecutarse en las condiciones pactadas inicialmente, pues tales condiciones fueron convenidas luego de que la </w:t>
      </w:r>
      <w:r w:rsidR="00795949" w:rsidRPr="000E3DE7">
        <w:rPr>
          <w:rFonts w:ascii="Verdana" w:hAnsi="Verdana" w:cs="Arial"/>
        </w:rPr>
        <w:t>entidad estatal</w:t>
      </w:r>
      <w:r w:rsidRPr="000E3DE7">
        <w:rPr>
          <w:rFonts w:ascii="Verdana" w:hAnsi="Verdana" w:cs="Arial"/>
        </w:rPr>
        <w:t xml:space="preserve"> surtiera todo</w:t>
      </w:r>
      <w:r>
        <w:rPr>
          <w:rFonts w:ascii="Verdana" w:hAnsi="Verdana" w:cs="Arial"/>
        </w:rPr>
        <w:t xml:space="preserve"> el </w:t>
      </w:r>
      <w:r w:rsidRPr="000E3DE7">
        <w:rPr>
          <w:rFonts w:ascii="Verdana" w:hAnsi="Verdana" w:cs="Arial"/>
        </w:rPr>
        <w:t xml:space="preserve">procedimiento previsto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  </w:t>
      </w:r>
    </w:p>
    <w:p w14:paraId="3BB99E48" w14:textId="77777777" w:rsidR="0001168B" w:rsidRDefault="00930225" w:rsidP="00930225">
      <w:pPr>
        <w:tabs>
          <w:tab w:val="left" w:pos="284"/>
        </w:tabs>
        <w:spacing w:after="0" w:line="276" w:lineRule="auto"/>
        <w:ind w:firstLine="709"/>
        <w:jc w:val="both"/>
        <w:rPr>
          <w:rFonts w:ascii="Verdana" w:hAnsi="Verdana" w:cs="Arial"/>
        </w:rPr>
      </w:pPr>
      <w:r w:rsidRPr="00D23A72">
        <w:rPr>
          <w:rFonts w:ascii="Verdana" w:hAnsi="Verdana" w:cs="Arial"/>
        </w:rPr>
        <w:lastRenderedPageBreak/>
        <w:t>Ahora bien, no existe ninguna restricción expresa para modificar los contratos estatales y los mismos principios antes referidos pone</w:t>
      </w:r>
      <w:r>
        <w:rPr>
          <w:rFonts w:ascii="Verdana" w:hAnsi="Verdana" w:cs="Arial"/>
        </w:rPr>
        <w:t>n</w:t>
      </w:r>
      <w:r w:rsidRPr="00D23A72">
        <w:rPr>
          <w:rFonts w:ascii="Verdana" w:hAnsi="Verdana" w:cs="Arial"/>
        </w:rPr>
        <w:t xml:space="preserve">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w:t>
      </w:r>
    </w:p>
    <w:p w14:paraId="7914B4D2" w14:textId="77777777" w:rsidR="005D67D9" w:rsidRDefault="005D67D9" w:rsidP="00930225">
      <w:pPr>
        <w:tabs>
          <w:tab w:val="left" w:pos="284"/>
        </w:tabs>
        <w:spacing w:after="0" w:line="276" w:lineRule="auto"/>
        <w:ind w:firstLine="709"/>
        <w:jc w:val="both"/>
        <w:rPr>
          <w:rFonts w:ascii="Verdana" w:hAnsi="Verdana" w:cs="Arial"/>
        </w:rPr>
      </w:pPr>
    </w:p>
    <w:p w14:paraId="524667CA" w14:textId="09AC8D69" w:rsidR="00930225" w:rsidRDefault="00930225" w:rsidP="00930225">
      <w:pPr>
        <w:tabs>
          <w:tab w:val="left" w:pos="284"/>
        </w:tabs>
        <w:spacing w:after="0" w:line="276" w:lineRule="auto"/>
        <w:ind w:firstLine="709"/>
        <w:jc w:val="both"/>
        <w:rPr>
          <w:rFonts w:ascii="Verdana" w:eastAsia="Calibri" w:hAnsi="Verdana" w:cs="Arial"/>
          <w:color w:val="000000"/>
        </w:rPr>
      </w:pPr>
      <w:r w:rsidRPr="00B31C7B">
        <w:rPr>
          <w:rFonts w:ascii="Verdana" w:eastAsia="Calibri" w:hAnsi="Verdana" w:cs="Arial"/>
          <w:color w:val="000000"/>
        </w:rPr>
        <w:t>Al respecto, la Corte Constitucional, mediante sentencia C–300 de 2012</w:t>
      </w:r>
      <w:r w:rsidRPr="00B31C7B">
        <w:rPr>
          <w:rFonts w:ascii="Verdana" w:eastAsia="Calibri" w:hAnsi="Verdana" w:cs="Arial"/>
          <w:color w:val="000000"/>
          <w:vertAlign w:val="superscript"/>
        </w:rPr>
        <w:footnoteReference w:id="10"/>
      </w:r>
      <w:r w:rsidRPr="00B31C7B">
        <w:rPr>
          <w:rFonts w:ascii="Verdana" w:eastAsia="Calibri" w:hAnsi="Verdana" w:cs="Arial"/>
          <w:color w:val="000000"/>
        </w:rPr>
        <w:t xml:space="preserve">, </w:t>
      </w:r>
      <w:r>
        <w:rPr>
          <w:rFonts w:ascii="Verdana" w:eastAsia="Calibri" w:hAnsi="Verdana" w:cs="Arial"/>
          <w:color w:val="000000"/>
        </w:rPr>
        <w:t xml:space="preserve">se refirió a </w:t>
      </w:r>
      <w:r w:rsidRPr="00B31C7B">
        <w:rPr>
          <w:rFonts w:ascii="Verdana" w:eastAsia="Calibri" w:hAnsi="Verdana" w:cs="Arial"/>
          <w:color w:val="000000"/>
        </w:rPr>
        <w:t>la posibilidad de modificar los contratos estatales</w:t>
      </w:r>
      <w:r>
        <w:rPr>
          <w:rFonts w:ascii="Verdana" w:eastAsia="Calibri" w:hAnsi="Verdana" w:cs="Arial"/>
          <w:color w:val="000000"/>
        </w:rPr>
        <w:t xml:space="preserve"> así</w:t>
      </w:r>
      <w:r w:rsidRPr="00B31C7B">
        <w:rPr>
          <w:rFonts w:ascii="Verdana" w:eastAsia="Calibri" w:hAnsi="Verdana" w:cs="Arial"/>
          <w:color w:val="000000"/>
        </w:rPr>
        <w:t>:</w:t>
      </w:r>
    </w:p>
    <w:p w14:paraId="72088F04" w14:textId="77777777" w:rsidR="00930225" w:rsidRPr="00B31C7B" w:rsidRDefault="00930225" w:rsidP="00930225">
      <w:pPr>
        <w:tabs>
          <w:tab w:val="left" w:pos="284"/>
        </w:tabs>
        <w:spacing w:after="0" w:line="276" w:lineRule="auto"/>
        <w:ind w:firstLine="709"/>
        <w:jc w:val="both"/>
        <w:rPr>
          <w:rFonts w:ascii="Verdana" w:eastAsia="Calibri" w:hAnsi="Verdana" w:cs="Arial"/>
          <w:color w:val="000000"/>
        </w:rPr>
      </w:pPr>
    </w:p>
    <w:p w14:paraId="4D63761A" w14:textId="77777777" w:rsidR="00930225" w:rsidRPr="006864B6" w:rsidRDefault="00930225" w:rsidP="00930225">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color w:val="000000"/>
          <w:sz w:val="20"/>
          <w:szCs w:val="20"/>
        </w:rPr>
        <w:t>“</w:t>
      </w:r>
      <w:r w:rsidRPr="006864B6">
        <w:rPr>
          <w:rFonts w:ascii="Verdana" w:eastAsia="Calibri" w:hAnsi="Verdana" w:cs="Arial"/>
          <w:bCs/>
          <w:color w:val="000000"/>
          <w:sz w:val="20"/>
          <w:szCs w:val="20"/>
          <w:lang w:val="es-ES"/>
        </w:rPr>
        <w:t xml:space="preserve">Por regla general, </w:t>
      </w:r>
      <w:r w:rsidRPr="006864B6">
        <w:rPr>
          <w:rFonts w:ascii="Verdana" w:eastAsia="Calibri" w:hAnsi="Verdana" w:cs="Arial"/>
          <w:b/>
          <w:bCs/>
          <w:color w:val="000000"/>
          <w:sz w:val="20"/>
          <w:szCs w:val="20"/>
          <w:lang w:val="es-ES"/>
        </w:rPr>
        <w:t>los contratos estatales pueden ser modificados cuando sea necesario para lograr su finalidad y en aras de la realización de los fines del Estado</w:t>
      </w:r>
      <w:r w:rsidRPr="006864B6">
        <w:rPr>
          <w:rFonts w:ascii="Verdana" w:eastAsia="Calibri" w:hAnsi="Verdana" w:cs="Arial"/>
          <w:bCs/>
          <w:color w:val="000000"/>
          <w:sz w:val="20"/>
          <w:szCs w:val="20"/>
          <w:lang w:val="es-ES"/>
        </w:rPr>
        <w:t>, a los cuales sirve el contrato.</w:t>
      </w:r>
      <w:r w:rsidRPr="006864B6">
        <w:rPr>
          <w:rFonts w:ascii="Verdana" w:eastAsia="Calibri" w:hAnsi="Verdana" w:cs="Arial"/>
          <w:bCs/>
          <w:color w:val="000000"/>
          <w:sz w:val="20"/>
          <w:szCs w:val="20"/>
          <w:vertAlign w:val="superscript"/>
          <w:lang w:val="es-ES"/>
        </w:rPr>
        <w:footnoteReference w:id="11"/>
      </w:r>
      <w:r w:rsidRPr="006864B6">
        <w:rPr>
          <w:rFonts w:ascii="Verdana" w:eastAsia="Calibri" w:hAnsi="Verdana" w:cs="Arial"/>
          <w:bCs/>
          <w:color w:val="000000"/>
          <w:sz w:val="20"/>
          <w:szCs w:val="20"/>
          <w:lang w:val="es-ES"/>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w:t>
      </w:r>
      <w:r w:rsidRPr="006864B6">
        <w:rPr>
          <w:rFonts w:ascii="Verdana" w:eastAsia="Calibri" w:hAnsi="Verdana" w:cs="Arial"/>
          <w:b/>
          <w:bCs/>
          <w:color w:val="000000"/>
          <w:sz w:val="20"/>
          <w:szCs w:val="20"/>
          <w:lang w:val="es-ES"/>
        </w:rPr>
        <w:t>sentencia C-949 de 2001</w:t>
      </w:r>
      <w:r w:rsidRPr="006864B6">
        <w:rPr>
          <w:rFonts w:ascii="Verdana" w:eastAsia="Calibri" w:hAnsi="Verdana" w:cs="Arial"/>
          <w:bCs/>
          <w:color w:val="000000"/>
          <w:sz w:val="20"/>
          <w:szCs w:val="20"/>
          <w:vertAlign w:val="superscript"/>
          <w:lang w:val="es-ES"/>
        </w:rPr>
        <w:footnoteReference w:id="12"/>
      </w:r>
      <w:r w:rsidRPr="006864B6">
        <w:rPr>
          <w:rFonts w:ascii="Verdana" w:eastAsia="Calibri" w:hAnsi="Verdana" w:cs="Arial"/>
          <w:bCs/>
          <w:color w:val="000000"/>
          <w:sz w:val="20"/>
          <w:szCs w:val="20"/>
          <w:lang w:val="es-ES"/>
        </w:rPr>
        <w:t>, la Corte Constitucional señaló que las prórrogas de los contratos –como especie de modificación- pueden ser un instrumento útil para lograr los fines propios de la contratación estatal</w:t>
      </w:r>
      <w:r w:rsidRPr="006864B6">
        <w:rPr>
          <w:rFonts w:ascii="Verdana" w:eastAsia="Calibri" w:hAnsi="Verdana" w:cs="Arial"/>
          <w:bCs/>
          <w:color w:val="000000"/>
          <w:sz w:val="20"/>
          <w:szCs w:val="20"/>
          <w:vertAlign w:val="superscript"/>
          <w:lang w:val="es-ES"/>
        </w:rPr>
        <w:footnoteReference w:id="13"/>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 xml:space="preserve"> </w:t>
      </w:r>
    </w:p>
    <w:p w14:paraId="7BB6A1C7" w14:textId="77777777" w:rsidR="00930225" w:rsidRPr="006864B6" w:rsidRDefault="00930225" w:rsidP="00930225">
      <w:pPr>
        <w:tabs>
          <w:tab w:val="left" w:pos="284"/>
        </w:tabs>
        <w:snapToGrid w:val="0"/>
        <w:spacing w:after="0" w:line="240" w:lineRule="auto"/>
        <w:ind w:left="709" w:right="709"/>
        <w:jc w:val="both"/>
        <w:rPr>
          <w:rFonts w:ascii="Verdana" w:eastAsia="Calibri" w:hAnsi="Verdana" w:cs="Arial"/>
          <w:bCs/>
          <w:color w:val="000000"/>
          <w:sz w:val="20"/>
          <w:szCs w:val="20"/>
          <w:lang w:val="es-ES"/>
        </w:rPr>
      </w:pPr>
    </w:p>
    <w:p w14:paraId="2869436F" w14:textId="77777777" w:rsidR="00930225" w:rsidRPr="006864B6" w:rsidRDefault="00930225" w:rsidP="00930225">
      <w:pPr>
        <w:tabs>
          <w:tab w:val="left" w:pos="284"/>
        </w:tabs>
        <w:snapToGrid w:val="0"/>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w:t>
      </w:r>
    </w:p>
    <w:p w14:paraId="694CC1C7" w14:textId="77777777" w:rsidR="00930225" w:rsidRDefault="00930225" w:rsidP="00930225">
      <w:pPr>
        <w:tabs>
          <w:tab w:val="left" w:pos="284"/>
        </w:tabs>
        <w:spacing w:after="0" w:line="240" w:lineRule="auto"/>
        <w:ind w:left="709" w:right="709"/>
        <w:jc w:val="both"/>
        <w:rPr>
          <w:rFonts w:ascii="Verdana" w:eastAsia="Calibri" w:hAnsi="Verdana" w:cs="Arial"/>
          <w:bCs/>
          <w:color w:val="000000"/>
          <w:sz w:val="20"/>
          <w:szCs w:val="20"/>
          <w:lang w:val="es-ES"/>
        </w:rPr>
      </w:pPr>
    </w:p>
    <w:p w14:paraId="40B2E1EF" w14:textId="77777777" w:rsidR="00930225" w:rsidRPr="006864B6" w:rsidRDefault="00930225" w:rsidP="00930225">
      <w:pPr>
        <w:tabs>
          <w:tab w:val="left" w:pos="284"/>
        </w:tabs>
        <w:spacing w:after="0" w:line="240" w:lineRule="auto"/>
        <w:ind w:left="709" w:right="709"/>
        <w:jc w:val="both"/>
        <w:rPr>
          <w:rFonts w:ascii="Verdana" w:eastAsia="Calibri" w:hAnsi="Verdana" w:cs="Arial"/>
          <w:bCs/>
          <w:color w:val="000000"/>
          <w:sz w:val="20"/>
          <w:szCs w:val="20"/>
          <w:lang w:val="es-ES"/>
        </w:rPr>
      </w:pPr>
      <w:r w:rsidRPr="006864B6">
        <w:rPr>
          <w:rFonts w:ascii="Verdana" w:eastAsia="Calibri" w:hAnsi="Verdana" w:cs="Arial"/>
          <w:bCs/>
          <w:color w:val="000000"/>
          <w:sz w:val="20"/>
          <w:szCs w:val="20"/>
          <w:lang w:val="es-ES"/>
        </w:rPr>
        <w:t xml:space="preserve">La modificación de los contratos estatales es especialmente importante en aquellos por naturaleza </w:t>
      </w:r>
      <w:r w:rsidRPr="006864B6">
        <w:rPr>
          <w:rFonts w:ascii="Verdana" w:eastAsia="Calibri" w:hAnsi="Verdana" w:cs="Arial"/>
          <w:b/>
          <w:color w:val="000000"/>
          <w:sz w:val="20"/>
          <w:szCs w:val="20"/>
          <w:lang w:val="es-ES"/>
        </w:rPr>
        <w:t>incompletos</w:t>
      </w:r>
      <w:r w:rsidRPr="006864B6">
        <w:rPr>
          <w:rFonts w:ascii="Verdana" w:eastAsia="Calibri" w:hAnsi="Verdana" w:cs="Arial"/>
          <w:bCs/>
          <w:color w:val="000000"/>
          <w:sz w:val="20"/>
          <w:szCs w:val="20"/>
          <w:lang w:val="es-ES"/>
        </w:rPr>
        <w:t xml:space="preserve">, es decir, </w:t>
      </w:r>
      <w:r w:rsidRPr="006864B6">
        <w:rPr>
          <w:rFonts w:ascii="Verdana" w:eastAsia="Calibri" w:hAnsi="Verdana" w:cs="Arial"/>
          <w:b/>
          <w:color w:val="000000"/>
          <w:sz w:val="20"/>
          <w:szCs w:val="20"/>
          <w:lang w:val="es-ES"/>
        </w:rPr>
        <w:t xml:space="preserve">(i) </w:t>
      </w:r>
      <w:r w:rsidRPr="006864B6">
        <w:rPr>
          <w:rFonts w:ascii="Verdana" w:eastAsia="Calibri" w:hAnsi="Verdana" w:cs="Arial"/>
          <w:bCs/>
          <w:color w:val="000000"/>
          <w:sz w:val="20"/>
          <w:szCs w:val="20"/>
          <w:lang w:val="es-ES"/>
        </w:rPr>
        <w:t xml:space="preserve">los afectados por asimetrías de información que impiden la previsión de todas las contingencias que pueden afectar su ejecución, y </w:t>
      </w:r>
      <w:r w:rsidRPr="006864B6">
        <w:rPr>
          <w:rFonts w:ascii="Verdana" w:eastAsia="Calibri" w:hAnsi="Verdana" w:cs="Arial"/>
          <w:b/>
          <w:color w:val="000000"/>
          <w:sz w:val="20"/>
          <w:szCs w:val="20"/>
          <w:lang w:val="es-ES"/>
        </w:rPr>
        <w:t>(</w:t>
      </w:r>
      <w:proofErr w:type="spellStart"/>
      <w:r w:rsidRPr="006864B6">
        <w:rPr>
          <w:rFonts w:ascii="Verdana" w:eastAsia="Calibri" w:hAnsi="Verdana" w:cs="Arial"/>
          <w:b/>
          <w:color w:val="000000"/>
          <w:sz w:val="20"/>
          <w:szCs w:val="20"/>
          <w:lang w:val="es-ES"/>
        </w:rPr>
        <w:t>ii</w:t>
      </w:r>
      <w:proofErr w:type="spellEnd"/>
      <w:r w:rsidRPr="006864B6">
        <w:rPr>
          <w:rFonts w:ascii="Verdana" w:eastAsia="Calibri" w:hAnsi="Verdana" w:cs="Arial"/>
          <w:b/>
          <w:color w:val="000000"/>
          <w:sz w:val="20"/>
          <w:szCs w:val="20"/>
          <w:lang w:val="es-ES"/>
        </w:rPr>
        <w:t xml:space="preserve">) </w:t>
      </w:r>
      <w:r w:rsidRPr="006864B6">
        <w:rPr>
          <w:rFonts w:ascii="Verdana" w:eastAsia="Calibri" w:hAnsi="Verdana" w:cs="Arial"/>
          <w:bCs/>
          <w:color w:val="000000"/>
          <w:sz w:val="20"/>
          <w:szCs w:val="20"/>
          <w:lang w:val="es-ES"/>
        </w:rPr>
        <w:t xml:space="preserve">en el marco de los cuales, por esa misma razón, es difícil prever </w:t>
      </w:r>
      <w:r w:rsidRPr="006864B6">
        <w:rPr>
          <w:rFonts w:ascii="Verdana" w:eastAsia="Calibri" w:hAnsi="Verdana" w:cs="Arial"/>
          <w:bCs/>
          <w:i/>
          <w:iCs/>
          <w:color w:val="000000"/>
          <w:sz w:val="20"/>
          <w:szCs w:val="20"/>
          <w:lang w:val="es-ES"/>
        </w:rPr>
        <w:t xml:space="preserve">ex ante </w:t>
      </w:r>
      <w:r w:rsidRPr="006864B6">
        <w:rPr>
          <w:rFonts w:ascii="Verdana" w:eastAsia="Calibri" w:hAnsi="Verdana" w:cs="Arial"/>
          <w:bCs/>
          <w:color w:val="000000"/>
          <w:sz w:val="20"/>
          <w:szCs w:val="20"/>
          <w:lang w:val="es-ES"/>
        </w:rPr>
        <w:t>los remedios necesarios para afrontar tales contingencias, como ocurre por lo general con los contratos de largo plazo</w:t>
      </w:r>
      <w:r w:rsidRPr="006864B6">
        <w:rPr>
          <w:rFonts w:ascii="Verdana" w:eastAsia="Calibri" w:hAnsi="Verdana" w:cs="Arial"/>
          <w:bCs/>
          <w:color w:val="000000"/>
          <w:sz w:val="20"/>
          <w:szCs w:val="20"/>
          <w:vertAlign w:val="superscript"/>
          <w:lang w:val="es-ES"/>
        </w:rPr>
        <w:footnoteReference w:id="14"/>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 xml:space="preserve"> En efecto, con el paso del tiempo, </w:t>
      </w:r>
      <w:r w:rsidRPr="006864B6">
        <w:rPr>
          <w:rFonts w:ascii="Verdana" w:eastAsia="Calibri" w:hAnsi="Verdana" w:cs="Arial"/>
          <w:bCs/>
          <w:color w:val="000000"/>
          <w:sz w:val="20"/>
          <w:szCs w:val="20"/>
          <w:lang w:val="es-ES"/>
        </w:rPr>
        <w:lastRenderedPageBreak/>
        <w:t xml:space="preserve">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las que tampoco era posible, en dicho momento, prever un remedio adecuado y específico. En este tipo de contratos es preciso entonces el diseño de reglas que permitan la adaptación y la resolución pacífica de las controversias para evitar el fracaso” </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énfasis dentro del texto</w:t>
      </w:r>
      <w:r>
        <w:rPr>
          <w:rFonts w:ascii="Verdana" w:eastAsia="Calibri" w:hAnsi="Verdana" w:cs="Arial"/>
          <w:bCs/>
          <w:color w:val="000000"/>
          <w:sz w:val="20"/>
          <w:szCs w:val="20"/>
          <w:lang w:val="es-ES"/>
        </w:rPr>
        <w:t>)</w:t>
      </w:r>
      <w:r w:rsidRPr="006864B6">
        <w:rPr>
          <w:rFonts w:ascii="Verdana" w:eastAsia="Calibri" w:hAnsi="Verdana" w:cs="Arial"/>
          <w:bCs/>
          <w:color w:val="000000"/>
          <w:sz w:val="20"/>
          <w:szCs w:val="20"/>
          <w:lang w:val="es-ES"/>
        </w:rPr>
        <w:t>.</w:t>
      </w:r>
    </w:p>
    <w:p w14:paraId="29926438" w14:textId="77777777" w:rsidR="00930225" w:rsidRPr="00F72CF8" w:rsidRDefault="00930225" w:rsidP="00930225">
      <w:pPr>
        <w:tabs>
          <w:tab w:val="left" w:pos="284"/>
        </w:tabs>
        <w:spacing w:after="0" w:line="276" w:lineRule="auto"/>
        <w:jc w:val="both"/>
        <w:rPr>
          <w:rFonts w:ascii="Verdana" w:eastAsia="Arial MT" w:hAnsi="Verdana" w:cs="Arial"/>
          <w:lang w:val="es-ES"/>
        </w:rPr>
      </w:pPr>
    </w:p>
    <w:p w14:paraId="701B7C60" w14:textId="77777777" w:rsidR="00930225" w:rsidRDefault="00930225" w:rsidP="00930225">
      <w:pPr>
        <w:widowControl w:val="0"/>
        <w:autoSpaceDE w:val="0"/>
        <w:autoSpaceDN w:val="0"/>
        <w:spacing w:after="0" w:line="276" w:lineRule="auto"/>
        <w:ind w:firstLine="709"/>
        <w:jc w:val="both"/>
        <w:rPr>
          <w:rFonts w:ascii="Verdana" w:hAnsi="Verdana" w:cs="Arial"/>
        </w:rPr>
      </w:pPr>
      <w:r w:rsidRPr="001432E1">
        <w:rPr>
          <w:rFonts w:ascii="Verdana" w:hAnsi="Verdana" w:cs="Arial"/>
        </w:rPr>
        <w:t>A su turno, el Consejo de Estado</w:t>
      </w:r>
      <w:r w:rsidRPr="001432E1">
        <w:rPr>
          <w:rFonts w:ascii="Verdana" w:hAnsi="Verdana" w:cs="Arial"/>
          <w:vertAlign w:val="superscript"/>
        </w:rPr>
        <w:footnoteReference w:id="15"/>
      </w:r>
      <w:r w:rsidRPr="001432E1">
        <w:rPr>
          <w:rFonts w:ascii="Verdana" w:hAnsi="Verdana" w:cs="Arial"/>
        </w:rPr>
        <w:t>, ha expresado lo siguiente sobre el asunto:</w:t>
      </w:r>
    </w:p>
    <w:p w14:paraId="697F6C61" w14:textId="77777777" w:rsidR="00930225" w:rsidRDefault="00930225" w:rsidP="00930225">
      <w:pPr>
        <w:widowControl w:val="0"/>
        <w:autoSpaceDE w:val="0"/>
        <w:autoSpaceDN w:val="0"/>
        <w:spacing w:after="0" w:line="240" w:lineRule="auto"/>
        <w:ind w:firstLine="709"/>
        <w:jc w:val="both"/>
        <w:rPr>
          <w:rFonts w:ascii="Verdana" w:hAnsi="Verdana" w:cs="Arial"/>
        </w:rPr>
      </w:pPr>
    </w:p>
    <w:p w14:paraId="586DA8AB"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7F469A">
        <w:rPr>
          <w:rFonts w:ascii="Verdana" w:hAnsi="Verdana" w:cs="Arial"/>
          <w:sz w:val="20"/>
          <w:szCs w:val="20"/>
        </w:rPr>
        <w:t>del mismo</w:t>
      </w:r>
      <w:proofErr w:type="gramEnd"/>
      <w:r w:rsidRPr="007F469A">
        <w:rPr>
          <w:rFonts w:ascii="Verdana" w:hAnsi="Verdana" w:cs="Arial"/>
          <w:sz w:val="20"/>
          <w:szCs w:val="20"/>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01EC8363"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69792994"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w:t>
      </w:r>
    </w:p>
    <w:p w14:paraId="683D10F2"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09C00044"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7F469A">
        <w:rPr>
          <w:rFonts w:ascii="Verdana" w:hAnsi="Verdana" w:cs="Arial"/>
          <w:sz w:val="20"/>
          <w:szCs w:val="20"/>
        </w:rPr>
        <w:t>ibídem</w:t>
      </w:r>
      <w:proofErr w:type="spellEnd"/>
      <w:r w:rsidRPr="007F469A">
        <w:rPr>
          <w:rFonts w:ascii="Verdana" w:hAnsi="Verdana" w:cs="Arial"/>
          <w:sz w:val="20"/>
          <w:szCs w:val="20"/>
        </w:rPr>
        <w:t xml:space="preserve">), evitar la paralización y la </w:t>
      </w:r>
      <w:r w:rsidRPr="007F469A">
        <w:rPr>
          <w:rFonts w:ascii="Verdana" w:hAnsi="Verdana" w:cs="Arial"/>
          <w:sz w:val="20"/>
          <w:szCs w:val="20"/>
        </w:rPr>
        <w:lastRenderedPageBreak/>
        <w:t>afectación grave de los servicios públicos a su cargo y asegurar la inmediata, continua y adecuada prestación, (artículo 14); etc. Nótese que, sin embargo, en ellas van inmersas las ideas de una causa cierta y unos fines públicos que hay que salvaguardar.</w:t>
      </w:r>
    </w:p>
    <w:p w14:paraId="25D6D6D8"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3DFCE167"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29600A74"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647DDC67"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4B7D5A92" w14:textId="77777777" w:rsidR="00930225" w:rsidRDefault="00930225" w:rsidP="00930225">
      <w:pPr>
        <w:tabs>
          <w:tab w:val="left" w:pos="284"/>
        </w:tabs>
        <w:spacing w:after="0" w:line="276" w:lineRule="auto"/>
        <w:ind w:left="1049" w:right="709"/>
        <w:jc w:val="both"/>
        <w:rPr>
          <w:rFonts w:ascii="Verdana" w:hAnsi="Verdana" w:cs="Arial"/>
          <w:sz w:val="21"/>
          <w:szCs w:val="21"/>
        </w:rPr>
      </w:pPr>
    </w:p>
    <w:p w14:paraId="2308763F" w14:textId="77777777" w:rsidR="00930225" w:rsidRDefault="00930225" w:rsidP="00930225">
      <w:pPr>
        <w:widowControl w:val="0"/>
        <w:autoSpaceDE w:val="0"/>
        <w:autoSpaceDN w:val="0"/>
        <w:spacing w:after="0" w:line="276" w:lineRule="auto"/>
        <w:ind w:right="-2" w:firstLine="709"/>
        <w:jc w:val="both"/>
        <w:rPr>
          <w:rFonts w:ascii="Verdana" w:eastAsia="Arial" w:hAnsi="Verdana" w:cs="Arial"/>
          <w:lang w:val="es-MX" w:eastAsia="es-ES" w:bidi="es-ES"/>
        </w:rPr>
      </w:pPr>
      <w:r w:rsidRPr="00DA7C75">
        <w:rPr>
          <w:rFonts w:ascii="Verdana" w:eastAsia="Arial" w:hAnsi="Verdana" w:cs="Arial"/>
          <w:lang w:val="es-ES" w:eastAsia="es-ES" w:bidi="es-ES"/>
        </w:rPr>
        <w:t xml:space="preserve">En el mismo sentido, en el concepto 2263 del 17 de marzo del 2016, la Sala de Consulta y Servicio Civil del Consejo de Estado precisó que </w:t>
      </w:r>
      <w:r w:rsidRPr="00DA7C75">
        <w:rPr>
          <w:rFonts w:ascii="Verdana" w:eastAsia="Arial" w:hAnsi="Verdana" w:cs="Arial"/>
          <w:lang w:val="es-MX" w:eastAsia="es-ES" w:bidi="es-ES"/>
        </w:rPr>
        <w:t xml:space="preserve">la regla general es la no modificación del contrato, y la vía excepcional su modificación, sometida a </w:t>
      </w:r>
      <w:r>
        <w:rPr>
          <w:rFonts w:ascii="Verdana" w:eastAsia="Arial" w:hAnsi="Verdana" w:cs="Arial"/>
          <w:lang w:val="es-MX" w:eastAsia="es-ES" w:bidi="es-ES"/>
        </w:rPr>
        <w:t xml:space="preserve">ciertos </w:t>
      </w:r>
      <w:r w:rsidRPr="00DA7C75">
        <w:rPr>
          <w:rFonts w:ascii="Verdana" w:eastAsia="Arial" w:hAnsi="Verdana" w:cs="Arial"/>
          <w:lang w:val="es-MX" w:eastAsia="es-ES" w:bidi="es-ES"/>
        </w:rPr>
        <w:t>límites legales</w:t>
      </w:r>
      <w:r>
        <w:rPr>
          <w:rFonts w:ascii="Verdana" w:eastAsia="Arial" w:hAnsi="Verdana" w:cs="Arial"/>
          <w:lang w:val="es-MX" w:eastAsia="es-ES" w:bidi="es-ES"/>
        </w:rPr>
        <w:t>. Estos</w:t>
      </w:r>
      <w:r w:rsidRPr="00DA7C75">
        <w:rPr>
          <w:rFonts w:ascii="Verdana" w:eastAsia="Arial" w:hAnsi="Verdana" w:cs="Arial"/>
          <w:lang w:val="es-MX" w:eastAsia="es-ES" w:bidi="es-ES"/>
        </w:rPr>
        <w:t xml:space="preserve"> límites, en los términos definidos en el referido concepto, corresponden a los siguientes:</w:t>
      </w:r>
    </w:p>
    <w:p w14:paraId="16AD153F" w14:textId="77777777" w:rsidR="00930225" w:rsidRPr="00DA7C75" w:rsidRDefault="00930225" w:rsidP="00930225">
      <w:pPr>
        <w:widowControl w:val="0"/>
        <w:autoSpaceDE w:val="0"/>
        <w:autoSpaceDN w:val="0"/>
        <w:spacing w:after="0" w:line="276" w:lineRule="auto"/>
        <w:ind w:right="-2" w:firstLine="709"/>
        <w:jc w:val="both"/>
        <w:rPr>
          <w:rFonts w:ascii="Verdana" w:eastAsia="Arial" w:hAnsi="Verdana" w:cs="Arial"/>
          <w:lang w:val="es-MX" w:eastAsia="es-ES" w:bidi="es-ES"/>
        </w:rPr>
      </w:pPr>
    </w:p>
    <w:p w14:paraId="0914DADF"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 xml:space="preserve">“1. La necesidad de preservar los principios de igualdad, transparencia y libertad de concurrencia, durante la fase de ejecución del contrato. </w:t>
      </w:r>
    </w:p>
    <w:p w14:paraId="001D4D58"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7F2CE283"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77FAA89C"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66235BFC"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 xml:space="preserve">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w:t>
      </w:r>
      <w:r w:rsidRPr="007F469A">
        <w:rPr>
          <w:rFonts w:ascii="Verdana" w:hAnsi="Verdana" w:cs="Arial"/>
          <w:sz w:val="20"/>
          <w:szCs w:val="20"/>
        </w:rPr>
        <w:lastRenderedPageBreak/>
        <w:t>efectos trascienden y se aplican durante la ejecución del contrato y en su liquidación, como garantía de inalterabilidad de lo pactado y de acatamiento a la legalidad de las reglas aplicadas en la actuación previa.</w:t>
      </w:r>
    </w:p>
    <w:p w14:paraId="758CC15D"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33E2FF6D"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 xml:space="preserve">2.Límites de orden temporal, entre los que están comprendidos: i) la vigencia del contrato, pues no podría modificarse un contrato cuyo plazo ha culminado y </w:t>
      </w:r>
      <w:proofErr w:type="spellStart"/>
      <w:r w:rsidRPr="007F469A">
        <w:rPr>
          <w:rFonts w:ascii="Verdana" w:hAnsi="Verdana" w:cs="Arial"/>
          <w:sz w:val="20"/>
          <w:szCs w:val="20"/>
        </w:rPr>
        <w:t>ii</w:t>
      </w:r>
      <w:proofErr w:type="spellEnd"/>
      <w:r w:rsidRPr="007F469A">
        <w:rPr>
          <w:rFonts w:ascii="Verdana" w:hAnsi="Verdana" w:cs="Arial"/>
          <w:sz w:val="20"/>
          <w:szCs w:val="20"/>
        </w:rPr>
        <w:t>) la prohibición de consagrar prórrogas automáticas, sucesivas o indefinidas, en tanto resultan contrarias al derecho esencial de la libertad de competencia.</w:t>
      </w:r>
    </w:p>
    <w:p w14:paraId="266DCF24"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5DB06A0C"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3. Límites de orden formal, que comprenden: i) La solemnidad del contrato de modificación, derivada del carácter solemne del contrato estatal, que exige que la modificación de los contratos conste por escrito</w:t>
      </w:r>
      <w:r w:rsidRPr="007F469A">
        <w:rPr>
          <w:rFonts w:ascii="Verdana" w:hAnsi="Verdana" w:cs="Arial"/>
          <w:sz w:val="20"/>
          <w:szCs w:val="20"/>
          <w:vertAlign w:val="superscript"/>
        </w:rPr>
        <w:footnoteReference w:id="16"/>
      </w:r>
      <w:r w:rsidRPr="007F469A">
        <w:rPr>
          <w:rFonts w:ascii="Verdana" w:hAnsi="Verdana" w:cs="Arial"/>
          <w:sz w:val="20"/>
          <w:szCs w:val="20"/>
        </w:rPr>
        <w:t xml:space="preserve">; </w:t>
      </w:r>
      <w:proofErr w:type="spellStart"/>
      <w:r w:rsidRPr="007F469A">
        <w:rPr>
          <w:rFonts w:ascii="Verdana" w:hAnsi="Verdana" w:cs="Arial"/>
          <w:sz w:val="20"/>
          <w:szCs w:val="20"/>
        </w:rPr>
        <w:t>ii</w:t>
      </w:r>
      <w:proofErr w:type="spellEnd"/>
      <w:r w:rsidRPr="007F469A">
        <w:rPr>
          <w:rFonts w:ascii="Verdana" w:hAnsi="Verdana" w:cs="Arial"/>
          <w:sz w:val="20"/>
          <w:szCs w:val="20"/>
        </w:rPr>
        <w:t>) la motivación y justificación de la modificación, la cual constituye un elemento esencial que permite determinar la juridicidad y la necesidad de una modificación determinada; así como su racionalidad y la proporcionalidad de su contenido.</w:t>
      </w:r>
    </w:p>
    <w:p w14:paraId="53E1439F"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p>
    <w:p w14:paraId="03EC0EDF" w14:textId="77777777" w:rsidR="00930225" w:rsidRPr="007F469A" w:rsidRDefault="00930225" w:rsidP="00930225">
      <w:pPr>
        <w:tabs>
          <w:tab w:val="left" w:pos="284"/>
        </w:tabs>
        <w:spacing w:after="0" w:line="240" w:lineRule="auto"/>
        <w:ind w:left="709" w:right="709"/>
        <w:jc w:val="both"/>
        <w:rPr>
          <w:rFonts w:ascii="Verdana" w:hAnsi="Verdana" w:cs="Arial"/>
          <w:sz w:val="20"/>
          <w:szCs w:val="20"/>
        </w:rPr>
      </w:pPr>
      <w:r w:rsidRPr="007F469A">
        <w:rPr>
          <w:rFonts w:ascii="Verdana" w:hAnsi="Verdana" w:cs="Arial"/>
          <w:sz w:val="20"/>
          <w:szCs w:val="20"/>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120327E7" w14:textId="77777777" w:rsidR="00930225" w:rsidRPr="002F4C21" w:rsidRDefault="00930225" w:rsidP="00930225">
      <w:pPr>
        <w:tabs>
          <w:tab w:val="left" w:pos="284"/>
        </w:tabs>
        <w:spacing w:after="0" w:line="276" w:lineRule="auto"/>
        <w:jc w:val="both"/>
        <w:rPr>
          <w:rFonts w:ascii="Verdana" w:hAnsi="Verdana" w:cs="Arial"/>
          <w:sz w:val="21"/>
          <w:szCs w:val="21"/>
          <w:lang w:val="es-ES_tradnl"/>
        </w:rPr>
      </w:pPr>
    </w:p>
    <w:p w14:paraId="1E1E86D0" w14:textId="77777777" w:rsidR="00930225" w:rsidRDefault="00930225" w:rsidP="00930225">
      <w:pPr>
        <w:widowControl w:val="0"/>
        <w:autoSpaceDE w:val="0"/>
        <w:autoSpaceDN w:val="0"/>
        <w:spacing w:after="0" w:line="276" w:lineRule="auto"/>
        <w:ind w:firstLine="708"/>
        <w:jc w:val="both"/>
        <w:rPr>
          <w:rFonts w:ascii="Verdana" w:eastAsia="Arial" w:hAnsi="Verdana" w:cs="Arial"/>
          <w:lang w:val="es-MX" w:eastAsia="es-ES" w:bidi="es-ES"/>
        </w:rPr>
      </w:pPr>
      <w:r w:rsidRPr="00A1034F">
        <w:rPr>
          <w:rFonts w:ascii="Verdana" w:eastAsia="Arial" w:hAnsi="Verdana" w:cs="Arial"/>
          <w:lang w:val="es-MX" w:eastAsia="es-ES" w:bidi="es-ES"/>
        </w:rPr>
        <w:t>Sobre el alcance de dicha prohibición, la Sala de Consulta y Servicio Civil expresó lo siguiente</w:t>
      </w:r>
      <w:r w:rsidRPr="00A1034F">
        <w:rPr>
          <w:rFonts w:ascii="Verdana" w:eastAsia="Arial" w:hAnsi="Verdana" w:cs="Arial"/>
          <w:vertAlign w:val="superscript"/>
          <w:lang w:val="es-MX" w:eastAsia="es-ES" w:bidi="es-ES"/>
        </w:rPr>
        <w:footnoteReference w:id="17"/>
      </w:r>
      <w:r w:rsidRPr="00A1034F">
        <w:rPr>
          <w:rFonts w:ascii="Verdana" w:eastAsia="Arial" w:hAnsi="Verdana" w:cs="Arial"/>
          <w:lang w:val="es-MX" w:eastAsia="es-ES" w:bidi="es-ES"/>
        </w:rPr>
        <w:t>:</w:t>
      </w:r>
    </w:p>
    <w:p w14:paraId="14268E64" w14:textId="77777777" w:rsidR="00930225" w:rsidRDefault="00930225" w:rsidP="00930225">
      <w:pPr>
        <w:widowControl w:val="0"/>
        <w:autoSpaceDE w:val="0"/>
        <w:autoSpaceDN w:val="0"/>
        <w:spacing w:after="0" w:line="276" w:lineRule="auto"/>
        <w:ind w:firstLine="708"/>
        <w:jc w:val="both"/>
        <w:rPr>
          <w:rFonts w:ascii="Verdana" w:eastAsia="Arial" w:hAnsi="Verdana" w:cs="Arial"/>
          <w:lang w:val="es-MX" w:eastAsia="es-ES" w:bidi="es-ES"/>
        </w:rPr>
      </w:pPr>
    </w:p>
    <w:p w14:paraId="263147FB"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4BA31DC2"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4BB97072"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 xml:space="preserve">- No podría aceptarse un poder ilimitado o absoluto de modificación, aun frente a circunstancias excepcionales. Por ello la modificación no podrá afectar el núcleo esencial del objeto, o la naturaleza global del contrato. </w:t>
      </w:r>
      <w:r w:rsidRPr="007F469A">
        <w:rPr>
          <w:rFonts w:ascii="Verdana" w:eastAsia="Arial" w:hAnsi="Verdana" w:cs="Arial"/>
          <w:bCs/>
          <w:iCs/>
          <w:sz w:val="20"/>
          <w:szCs w:val="20"/>
          <w:lang w:val="es-MX" w:eastAsia="es-ES" w:bidi="es-ES"/>
        </w:rPr>
        <w:lastRenderedPageBreak/>
        <w:t>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241B9E81"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529C9394"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w:t>
      </w:r>
    </w:p>
    <w:p w14:paraId="5BD67100"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4CB9FDD7"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w:t>
      </w:r>
    </w:p>
    <w:p w14:paraId="164C1014"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7F11831D"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5DDFE40C"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713C8B94"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3AC3AA32"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7F651CB2"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r w:rsidRPr="007F469A">
        <w:rPr>
          <w:rFonts w:ascii="Verdana" w:eastAsia="Arial" w:hAnsi="Verdana" w:cs="Arial"/>
          <w:bCs/>
          <w:iCs/>
          <w:sz w:val="20"/>
          <w:szCs w:val="20"/>
          <w:lang w:val="es-MX" w:eastAsia="es-ES" w:bidi="es-ES"/>
        </w:rPr>
        <w:t>-El cumplimiento del límite cuantitativo consagrado en la ley para los contratos adicionales. […]</w:t>
      </w:r>
    </w:p>
    <w:p w14:paraId="650AE561" w14:textId="77777777" w:rsidR="00930225"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MX" w:eastAsia="es-ES" w:bidi="es-ES"/>
        </w:rPr>
      </w:pPr>
    </w:p>
    <w:p w14:paraId="6E0E98DF" w14:textId="77777777" w:rsidR="00930225" w:rsidRPr="007F469A" w:rsidRDefault="00930225" w:rsidP="00930225">
      <w:pPr>
        <w:widowControl w:val="0"/>
        <w:autoSpaceDE w:val="0"/>
        <w:autoSpaceDN w:val="0"/>
        <w:spacing w:after="0" w:line="240" w:lineRule="auto"/>
        <w:ind w:left="709" w:right="709"/>
        <w:jc w:val="both"/>
        <w:rPr>
          <w:rFonts w:ascii="Verdana" w:eastAsia="Arial" w:hAnsi="Verdana" w:cs="Arial"/>
          <w:bCs/>
          <w:iCs/>
          <w:sz w:val="20"/>
          <w:szCs w:val="20"/>
          <w:lang w:val="es-ES_tradnl" w:eastAsia="es-ES" w:bidi="es-ES"/>
        </w:rPr>
      </w:pPr>
      <w:r w:rsidRPr="007F469A">
        <w:rPr>
          <w:rFonts w:ascii="Verdana" w:eastAsia="Arial" w:hAnsi="Verdana" w:cs="Arial"/>
          <w:bCs/>
          <w:iCs/>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7F469A">
        <w:rPr>
          <w:rFonts w:ascii="Verdana" w:eastAsia="Arial" w:hAnsi="Verdana" w:cs="Arial"/>
          <w:bCs/>
          <w:iCs/>
          <w:sz w:val="20"/>
          <w:szCs w:val="20"/>
          <w:lang w:val="es-ES_tradnl" w:eastAsia="es-ES" w:bidi="es-ES"/>
        </w:rPr>
        <w:t>.”</w:t>
      </w:r>
    </w:p>
    <w:p w14:paraId="410B8CA9" w14:textId="77777777" w:rsidR="00930225" w:rsidRPr="007F469A" w:rsidRDefault="00930225" w:rsidP="00930225">
      <w:pPr>
        <w:widowControl w:val="0"/>
        <w:autoSpaceDE w:val="0"/>
        <w:autoSpaceDN w:val="0"/>
        <w:spacing w:after="0" w:line="276" w:lineRule="auto"/>
        <w:ind w:left="709" w:right="709"/>
        <w:jc w:val="both"/>
        <w:rPr>
          <w:rFonts w:ascii="Verdana" w:eastAsia="Arial" w:hAnsi="Verdana" w:cs="Arial"/>
          <w:bCs/>
          <w:iCs/>
          <w:lang w:val="es-ES_tradnl" w:eastAsia="es-ES" w:bidi="es-ES"/>
        </w:rPr>
      </w:pPr>
    </w:p>
    <w:p w14:paraId="73200DBA" w14:textId="77777777" w:rsidR="00930225" w:rsidRDefault="00930225" w:rsidP="00930225">
      <w:pPr>
        <w:widowControl w:val="0"/>
        <w:autoSpaceDE w:val="0"/>
        <w:autoSpaceDN w:val="0"/>
        <w:spacing w:after="120" w:line="276" w:lineRule="auto"/>
        <w:ind w:firstLine="709"/>
        <w:jc w:val="both"/>
        <w:rPr>
          <w:rFonts w:ascii="Verdana" w:eastAsia="Calibri" w:hAnsi="Verdana" w:cs="Arial"/>
        </w:rPr>
      </w:pPr>
      <w:r>
        <w:rPr>
          <w:rFonts w:ascii="Verdana" w:hAnsi="Verdana"/>
        </w:rPr>
        <w:t xml:space="preserve">Conforme a la jurisprudencia citada, para adelantar las modificaciones contractuales, la entidad tiene límites de diversa naturaleza, tales como: temporal, formal, material y axiológicos. </w:t>
      </w: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w:t>
      </w:r>
      <w:r w:rsidRPr="00B31C7B">
        <w:rPr>
          <w:rFonts w:ascii="Verdana" w:eastAsia="Arial" w:hAnsi="Verdana" w:cs="Arial"/>
          <w:lang w:val="es-MX" w:eastAsia="es-ES" w:bidi="es-ES"/>
        </w:rPr>
        <w:lastRenderedPageBreak/>
        <w:t xml:space="preserve">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w:t>
      </w:r>
    </w:p>
    <w:p w14:paraId="2FBB8CB6" w14:textId="77777777" w:rsidR="00930225" w:rsidRDefault="00930225" w:rsidP="00930225">
      <w:pPr>
        <w:widowControl w:val="0"/>
        <w:autoSpaceDE w:val="0"/>
        <w:autoSpaceDN w:val="0"/>
        <w:spacing w:after="0" w:line="276" w:lineRule="auto"/>
        <w:ind w:firstLine="709"/>
        <w:jc w:val="both"/>
        <w:rPr>
          <w:rFonts w:ascii="Verdana" w:eastAsia="Calibri" w:hAnsi="Verdana" w:cs="Arial"/>
        </w:rPr>
      </w:pPr>
      <w:r w:rsidRPr="00B31C7B">
        <w:rPr>
          <w:rFonts w:ascii="Verdana" w:eastAsia="Calibri" w:hAnsi="Verdana" w:cs="Arial"/>
        </w:rPr>
        <w:t xml:space="preserve">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18"/>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19"/>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la entidad debe motivar y justificar la modificación. Al respecto el Consejo de Estado ha señalado:</w:t>
      </w:r>
    </w:p>
    <w:p w14:paraId="4911EA93" w14:textId="77777777" w:rsidR="00930225" w:rsidRPr="00AD53BB" w:rsidRDefault="00930225" w:rsidP="00930225">
      <w:pPr>
        <w:widowControl w:val="0"/>
        <w:autoSpaceDE w:val="0"/>
        <w:autoSpaceDN w:val="0"/>
        <w:spacing w:after="0" w:line="276" w:lineRule="auto"/>
        <w:ind w:firstLine="708"/>
        <w:jc w:val="both"/>
        <w:rPr>
          <w:rFonts w:ascii="Verdana" w:hAnsi="Verdana"/>
          <w:b/>
          <w:i/>
        </w:rPr>
      </w:pPr>
    </w:p>
    <w:p w14:paraId="4F60D5AE" w14:textId="77777777" w:rsidR="00930225" w:rsidRPr="00B31C7B" w:rsidRDefault="00930225" w:rsidP="00930225">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50F24A9A" w14:textId="77777777" w:rsidR="00930225" w:rsidRPr="00B31C7B" w:rsidRDefault="00930225" w:rsidP="00930225">
      <w:pPr>
        <w:spacing w:after="0" w:line="240" w:lineRule="auto"/>
        <w:ind w:left="709" w:right="709"/>
        <w:jc w:val="both"/>
        <w:rPr>
          <w:rFonts w:ascii="Verdana" w:hAnsi="Verdana"/>
          <w:sz w:val="20"/>
          <w:szCs w:val="20"/>
        </w:rPr>
      </w:pPr>
    </w:p>
    <w:p w14:paraId="7A24E057" w14:textId="77777777" w:rsidR="00930225" w:rsidRPr="00B31C7B" w:rsidRDefault="00930225" w:rsidP="00930225">
      <w:pPr>
        <w:spacing w:after="0" w:line="240" w:lineRule="auto"/>
        <w:ind w:left="709" w:right="709"/>
        <w:jc w:val="both"/>
        <w:rPr>
          <w:rFonts w:ascii="Verdana" w:hAnsi="Verdana"/>
          <w:sz w:val="20"/>
          <w:szCs w:val="20"/>
        </w:rPr>
      </w:pPr>
      <w:r w:rsidRPr="00B31C7B">
        <w:rPr>
          <w:rFonts w:ascii="Verdana" w:hAnsi="Verdana"/>
          <w:sz w:val="20"/>
          <w:szCs w:val="20"/>
        </w:rPr>
        <w:t xml:space="preserve">La motivación del contrato modificatorio resulta un elemento esencial que permita determinar su juridicidad, la justificación de su necesidad, su racionalidad y la proporcionalidad de su contenido, en especial cuando se </w:t>
      </w:r>
      <w:r w:rsidRPr="00B31C7B">
        <w:rPr>
          <w:rFonts w:ascii="Verdana" w:hAnsi="Verdana"/>
          <w:sz w:val="20"/>
          <w:szCs w:val="20"/>
        </w:rPr>
        <w:lastRenderedPageBreak/>
        <w:t>alteran los aspectos técnicos y financieros iniciales. Se trata de un requisito indispensable para el control de legalidad del contrato o del acto de modificación.</w:t>
      </w:r>
    </w:p>
    <w:p w14:paraId="73BF671C" w14:textId="77777777" w:rsidR="00930225" w:rsidRDefault="00930225" w:rsidP="00930225">
      <w:pPr>
        <w:spacing w:after="0" w:line="240" w:lineRule="auto"/>
        <w:ind w:left="709" w:right="709"/>
        <w:jc w:val="both"/>
        <w:rPr>
          <w:rFonts w:ascii="Verdana" w:hAnsi="Verdana"/>
          <w:sz w:val="20"/>
          <w:szCs w:val="20"/>
        </w:rPr>
      </w:pPr>
    </w:p>
    <w:p w14:paraId="10E3809B" w14:textId="77777777" w:rsidR="00930225" w:rsidRPr="00B31C7B" w:rsidRDefault="00930225" w:rsidP="00930225">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20"/>
      </w:r>
      <w:r w:rsidRPr="00B31C7B">
        <w:rPr>
          <w:rFonts w:ascii="Verdana" w:hAnsi="Verdana"/>
          <w:sz w:val="20"/>
          <w:szCs w:val="20"/>
        </w:rPr>
        <w:t>.</w:t>
      </w:r>
    </w:p>
    <w:p w14:paraId="02C96F49" w14:textId="77777777" w:rsidR="00930225" w:rsidRPr="00B31C7B" w:rsidRDefault="00930225" w:rsidP="00930225">
      <w:pPr>
        <w:widowControl w:val="0"/>
        <w:autoSpaceDE w:val="0"/>
        <w:autoSpaceDN w:val="0"/>
        <w:spacing w:after="0" w:line="240" w:lineRule="auto"/>
        <w:ind w:left="709" w:right="709"/>
        <w:jc w:val="both"/>
        <w:rPr>
          <w:rFonts w:ascii="Verdana" w:eastAsia="Calibri" w:hAnsi="Verdana" w:cs="Arial"/>
        </w:rPr>
      </w:pPr>
    </w:p>
    <w:p w14:paraId="04BF071C" w14:textId="77777777" w:rsidR="00930225" w:rsidRDefault="00930225" w:rsidP="00930225">
      <w:pPr>
        <w:widowControl w:val="0"/>
        <w:autoSpaceDE w:val="0"/>
        <w:autoSpaceDN w:val="0"/>
        <w:spacing w:after="120" w:line="276" w:lineRule="auto"/>
        <w:ind w:firstLine="709"/>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21"/>
      </w:r>
      <w:r w:rsidRPr="00B31C7B">
        <w:rPr>
          <w:rFonts w:ascii="Verdana" w:eastAsia="Arial" w:hAnsi="Verdana" w:cs="Arial"/>
          <w:i/>
          <w:lang w:val="es-MX" w:eastAsia="es-ES" w:bidi="es-ES"/>
        </w:rPr>
        <w:t xml:space="preserve">. </w:t>
      </w:r>
    </w:p>
    <w:p w14:paraId="2F806A82" w14:textId="77777777" w:rsidR="00930225" w:rsidRPr="00AD53BB" w:rsidRDefault="00930225" w:rsidP="00930225">
      <w:pPr>
        <w:widowControl w:val="0"/>
        <w:autoSpaceDE w:val="0"/>
        <w:autoSpaceDN w:val="0"/>
        <w:spacing w:after="120" w:line="276" w:lineRule="auto"/>
        <w:ind w:firstLine="709"/>
        <w:jc w:val="both"/>
        <w:rPr>
          <w:rFonts w:ascii="Verdana" w:eastAsia="Calibri" w:hAnsi="Verdana" w:cs="Arial"/>
          <w:lang w:val="es-MX" w:eastAsia="es-ES_tradnl"/>
        </w:rPr>
      </w:pP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p>
    <w:p w14:paraId="6C82C393" w14:textId="77777777" w:rsidR="00930225" w:rsidRPr="00B31C7B" w:rsidRDefault="00930225" w:rsidP="0093022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Es claro, entonces que</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según el marco jurídico </w:t>
      </w:r>
      <w:r w:rsidRPr="00B31C7B">
        <w:rPr>
          <w:rFonts w:ascii="Verdana" w:eastAsia="Arial" w:hAnsi="Verdana" w:cs="Arial"/>
          <w:color w:val="000000"/>
          <w:lang w:val="es-ES" w:eastAsia="es-ES" w:bidi="es-ES"/>
        </w:rPr>
        <w:t>y</w:t>
      </w:r>
      <w:r>
        <w:rPr>
          <w:rFonts w:ascii="Verdana" w:eastAsia="Arial" w:hAnsi="Verdana" w:cs="Arial"/>
          <w:color w:val="000000"/>
          <w:lang w:val="es-ES" w:eastAsia="es-ES" w:bidi="es-ES"/>
        </w:rPr>
        <w:t xml:space="preserve"> los parámetros fijados por el </w:t>
      </w:r>
      <w:r w:rsidRPr="00B31C7B">
        <w:rPr>
          <w:rFonts w:ascii="Verdana" w:eastAsia="Arial" w:hAnsi="Verdana" w:cs="Arial"/>
          <w:color w:val="000000"/>
          <w:lang w:val="es-ES" w:eastAsia="es-ES" w:bidi="es-ES"/>
        </w:rPr>
        <w:t>Consejo de Estado y la Corte Constitucional, l</w:t>
      </w:r>
      <w:r>
        <w:rPr>
          <w:rFonts w:ascii="Verdana" w:eastAsia="Arial" w:hAnsi="Verdana" w:cs="Arial"/>
          <w:color w:val="000000"/>
          <w:lang w:val="es-ES" w:eastAsia="es-ES" w:bidi="es-ES"/>
        </w:rPr>
        <w:t>os</w:t>
      </w:r>
      <w:r w:rsidRPr="00B31C7B">
        <w:rPr>
          <w:rFonts w:ascii="Verdana" w:eastAsia="Arial" w:hAnsi="Verdana" w:cs="Arial"/>
          <w:color w:val="000000"/>
          <w:lang w:val="es-ES" w:eastAsia="es-ES" w:bidi="es-ES"/>
        </w:rPr>
        <w:t xml:space="preserve"> cual</w:t>
      </w:r>
      <w:r>
        <w:rPr>
          <w:rFonts w:ascii="Verdana" w:eastAsia="Arial" w:hAnsi="Verdana" w:cs="Arial"/>
          <w:color w:val="000000"/>
          <w:lang w:val="es-ES" w:eastAsia="es-ES" w:bidi="es-ES"/>
        </w:rPr>
        <w:t>es</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comparte </w:t>
      </w:r>
      <w:r w:rsidRPr="00B31C7B">
        <w:rPr>
          <w:rFonts w:ascii="Verdana" w:eastAsia="Arial" w:hAnsi="Verdana" w:cs="Arial"/>
          <w:color w:val="000000"/>
          <w:lang w:val="es-ES" w:eastAsia="es-ES" w:bidi="es-ES"/>
        </w:rPr>
        <w:t>esta Agencia, es jurídicamente viable modificar los contratos estatales</w:t>
      </w:r>
      <w:r>
        <w:rPr>
          <w:rFonts w:ascii="Verdana" w:eastAsia="Arial" w:hAnsi="Verdana" w:cs="Arial"/>
          <w:color w:val="000000"/>
          <w:lang w:val="es-ES" w:eastAsia="es-ES" w:bidi="es-ES"/>
        </w:rPr>
        <w:t>. No obstante,</w:t>
      </w:r>
      <w:r w:rsidRPr="00B31C7B">
        <w:rPr>
          <w:rFonts w:ascii="Verdana" w:eastAsia="Arial" w:hAnsi="Verdana" w:cs="Arial"/>
          <w:color w:val="000000"/>
          <w:lang w:val="es-ES" w:eastAsia="es-ES" w:bidi="es-ES"/>
        </w:rPr>
        <w:t xml:space="preserve"> esta medida tiene </w:t>
      </w:r>
      <w:r w:rsidRPr="002C3F7C">
        <w:rPr>
          <w:rFonts w:ascii="Verdana" w:eastAsia="Arial" w:hAnsi="Verdana" w:cs="Arial"/>
          <w:i/>
          <w:iCs/>
          <w:color w:val="000000"/>
          <w:lang w:val="es-ES" w:eastAsia="es-ES" w:bidi="es-ES"/>
        </w:rPr>
        <w:t>carácter excepcional</w:t>
      </w:r>
      <w:r w:rsidRPr="00B31C7B">
        <w:rPr>
          <w:rFonts w:ascii="Verdana" w:eastAsia="Arial" w:hAnsi="Verdana" w:cs="Arial"/>
          <w:color w:val="000000"/>
          <w:lang w:val="es-ES" w:eastAsia="es-ES" w:bidi="es-ES"/>
        </w:rPr>
        <w:t xml:space="preserve"> y solo procede cuando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se pretenda </w:t>
      </w:r>
      <w:r w:rsidRPr="00B31C7B">
        <w:rPr>
          <w:rFonts w:ascii="Verdana" w:eastAsia="Arial" w:hAnsi="Verdana" w:cs="Arial"/>
          <w:color w:val="000000"/>
          <w:lang w:val="es-ES" w:eastAsia="es-ES" w:bidi="es-ES"/>
        </w:rPr>
        <w:t xml:space="preserve">garantizar el interés público, la entidad haya verificado y </w:t>
      </w:r>
      <w:r>
        <w:rPr>
          <w:rFonts w:ascii="Verdana" w:eastAsia="Arial" w:hAnsi="Verdana" w:cs="Arial"/>
          <w:color w:val="000000"/>
          <w:lang w:val="es-ES" w:eastAsia="es-ES" w:bidi="es-ES"/>
        </w:rPr>
        <w:t xml:space="preserve">cualquiera </w:t>
      </w:r>
      <w:r w:rsidRPr="00B31C7B">
        <w:rPr>
          <w:rFonts w:ascii="Verdana" w:eastAsia="Arial" w:hAnsi="Verdana" w:cs="Arial"/>
          <w:color w:val="000000"/>
          <w:lang w:val="es-ES" w:eastAsia="es-ES" w:bidi="es-ES"/>
        </w:rPr>
        <w:t xml:space="preserve">pueda constatar que la causa de la modificación es real y cierta, y </w:t>
      </w:r>
      <w:r>
        <w:rPr>
          <w:rFonts w:ascii="Verdana" w:eastAsia="Arial" w:hAnsi="Verdana" w:cs="Arial"/>
          <w:color w:val="000000"/>
          <w:lang w:val="es-ES" w:eastAsia="es-ES" w:bidi="es-ES"/>
        </w:rPr>
        <w:t xml:space="preserve">la modificación </w:t>
      </w:r>
      <w:r w:rsidRPr="00B31C7B">
        <w:rPr>
          <w:rFonts w:ascii="Verdana" w:eastAsia="Arial" w:hAnsi="Verdana" w:cs="Arial"/>
          <w:color w:val="000000"/>
          <w:lang w:val="es-ES" w:eastAsia="es-ES" w:bidi="es-ES"/>
        </w:rPr>
        <w:t xml:space="preserve">cumpla con las limitaciones y condiciones que establezca </w:t>
      </w:r>
      <w:r>
        <w:rPr>
          <w:rFonts w:ascii="Verdana" w:eastAsia="Arial" w:hAnsi="Verdana" w:cs="Arial"/>
          <w:color w:val="000000"/>
          <w:lang w:val="es-ES" w:eastAsia="es-ES" w:bidi="es-ES"/>
        </w:rPr>
        <w:t>el ordenamiento jurídico</w:t>
      </w:r>
      <w:r w:rsidRPr="00B31C7B">
        <w:rPr>
          <w:rFonts w:ascii="Verdana" w:eastAsia="Arial" w:hAnsi="Verdana" w:cs="Arial"/>
          <w:color w:val="000000"/>
          <w:lang w:val="es-ES" w:eastAsia="es-ES" w:bidi="es-ES"/>
        </w:rPr>
        <w:t>. En otras palabras, la modificación contractual encuentra sustento no solo en circunstancias fácticas propias de la ejecución del contrato, sino además debe cumplir con los principios y fines de la contratación estatal, así como con las condiciones y restricciones legales</w:t>
      </w:r>
      <w:r>
        <w:rPr>
          <w:rFonts w:ascii="Verdana" w:eastAsia="Arial" w:hAnsi="Verdana" w:cs="Arial"/>
          <w:color w:val="000000"/>
          <w:lang w:val="es-ES" w:eastAsia="es-ES" w:bidi="es-ES"/>
        </w:rPr>
        <w:t xml:space="preserve"> y jurisprudenciales</w:t>
      </w:r>
      <w:r w:rsidRPr="00B31C7B">
        <w:rPr>
          <w:rFonts w:ascii="Verdana" w:eastAsia="Arial" w:hAnsi="Verdana" w:cs="Arial"/>
          <w:color w:val="000000"/>
          <w:lang w:val="es-ES" w:eastAsia="es-ES" w:bidi="es-ES"/>
        </w:rPr>
        <w:t xml:space="preserve">. </w:t>
      </w:r>
    </w:p>
    <w:p w14:paraId="6F95BE7F" w14:textId="77777777" w:rsidR="00930225" w:rsidRPr="00B31C7B" w:rsidRDefault="00930225" w:rsidP="0093022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En esta medida, </w:t>
      </w:r>
      <w:r>
        <w:rPr>
          <w:rFonts w:ascii="Verdana" w:eastAsia="Arial" w:hAnsi="Verdana" w:cs="Arial"/>
          <w:color w:val="000000"/>
          <w:lang w:val="es-ES" w:eastAsia="es-ES" w:bidi="es-ES"/>
        </w:rPr>
        <w:t xml:space="preserve">las </w:t>
      </w:r>
      <w:r w:rsidRPr="00B31C7B">
        <w:rPr>
          <w:rFonts w:ascii="Verdana" w:eastAsia="Arial" w:hAnsi="Verdana" w:cs="Arial"/>
          <w:color w:val="000000"/>
          <w:lang w:val="es-ES" w:eastAsia="es-ES" w:bidi="es-ES"/>
        </w:rPr>
        <w:t>modificacione</w:t>
      </w:r>
      <w:r>
        <w:rPr>
          <w:rFonts w:ascii="Verdana" w:eastAsia="Arial" w:hAnsi="Verdana" w:cs="Arial"/>
          <w:color w:val="000000"/>
          <w:lang w:val="es-ES" w:eastAsia="es-ES" w:bidi="es-ES"/>
        </w:rPr>
        <w:t xml:space="preserve">s </w:t>
      </w:r>
      <w:r w:rsidRPr="00B31C7B">
        <w:rPr>
          <w:rFonts w:ascii="Verdana" w:eastAsia="Arial" w:hAnsi="Verdana" w:cs="Arial"/>
          <w:color w:val="000000"/>
          <w:lang w:val="es-ES" w:eastAsia="es-ES" w:bidi="es-ES"/>
        </w:rPr>
        <w:t>se refieren a alteraciones, variaciones, cambios, correcciones en las condiciones y cláusulas del contrato</w:t>
      </w:r>
      <w:r>
        <w:rPr>
          <w:rFonts w:ascii="Verdana" w:eastAsia="Arial" w:hAnsi="Verdana" w:cs="Arial"/>
          <w:color w:val="000000"/>
          <w:lang w:val="es-ES" w:eastAsia="es-ES" w:bidi="es-ES"/>
        </w:rPr>
        <w:t>.</w:t>
      </w:r>
      <w:r w:rsidRPr="00B31C7B">
        <w:rPr>
          <w:rFonts w:ascii="Verdana" w:eastAsia="Arial" w:hAnsi="Verdana" w:cs="Arial"/>
          <w:color w:val="000000"/>
          <w:lang w:val="es-ES" w:eastAsia="es-ES" w:bidi="es-ES"/>
        </w:rPr>
        <w:t xml:space="preserve"> </w:t>
      </w:r>
      <w:r>
        <w:rPr>
          <w:rFonts w:ascii="Verdana" w:eastAsia="Arial" w:hAnsi="Verdana" w:cs="Arial"/>
          <w:color w:val="000000"/>
          <w:lang w:val="es-ES" w:eastAsia="es-ES" w:bidi="es-ES"/>
        </w:rPr>
        <w:t xml:space="preserve">Estas </w:t>
      </w:r>
      <w:r w:rsidRPr="00B31C7B">
        <w:rPr>
          <w:rFonts w:ascii="Verdana" w:eastAsia="Arial" w:hAnsi="Verdana" w:cs="Arial"/>
          <w:color w:val="000000"/>
          <w:lang w:val="es-ES" w:eastAsia="es-ES" w:bidi="es-ES"/>
        </w:rPr>
        <w:t xml:space="preserve">deben ser suscritas por las partes, sujetándose a lo previsto en </w:t>
      </w:r>
      <w:r>
        <w:rPr>
          <w:rFonts w:ascii="Verdana" w:eastAsia="Arial" w:hAnsi="Verdana" w:cs="Arial"/>
          <w:color w:val="000000"/>
          <w:lang w:val="es-ES" w:eastAsia="es-ES" w:bidi="es-ES"/>
        </w:rPr>
        <w:t>el ordenamiento jurídico</w:t>
      </w:r>
      <w:r w:rsidRPr="00B31C7B">
        <w:rPr>
          <w:rFonts w:ascii="Verdana" w:eastAsia="Arial" w:hAnsi="Verdana" w:cs="Arial"/>
          <w:color w:val="000000"/>
          <w:lang w:val="es-ES" w:eastAsia="es-ES" w:bidi="es-ES"/>
        </w:rPr>
        <w:t xml:space="preserve">, esto es, que </w:t>
      </w:r>
      <w:r w:rsidRPr="000E6A15">
        <w:rPr>
          <w:rFonts w:ascii="Verdana" w:eastAsia="Arial" w:hAnsi="Verdana" w:cs="Arial"/>
          <w:i/>
          <w:iCs/>
          <w:color w:val="000000"/>
          <w:lang w:val="es-ES" w:eastAsia="es-ES" w:bidi="es-ES"/>
        </w:rPr>
        <w:t>se encuentren debidamente justificadas</w:t>
      </w:r>
      <w:r w:rsidRPr="00B31C7B">
        <w:rPr>
          <w:rFonts w:ascii="Verdana" w:eastAsia="Arial" w:hAnsi="Verdana" w:cs="Arial"/>
          <w:color w:val="000000"/>
          <w:lang w:val="es-ES" w:eastAsia="es-ES" w:bidi="es-ES"/>
        </w:rPr>
        <w:t xml:space="preserve">, que </w:t>
      </w:r>
      <w:r w:rsidRPr="000E6A15">
        <w:rPr>
          <w:rFonts w:ascii="Verdana" w:eastAsia="Arial" w:hAnsi="Verdana" w:cs="Arial"/>
          <w:i/>
          <w:iCs/>
          <w:color w:val="000000"/>
          <w:lang w:val="es-ES" w:eastAsia="es-ES" w:bidi="es-ES"/>
        </w:rPr>
        <w:t xml:space="preserve">no sean el </w:t>
      </w:r>
      <w:r w:rsidRPr="000E6A15">
        <w:rPr>
          <w:rFonts w:ascii="Verdana" w:eastAsia="Arial" w:hAnsi="Verdana" w:cs="Arial"/>
          <w:i/>
          <w:iCs/>
          <w:color w:val="000000"/>
          <w:lang w:val="es-ES" w:eastAsia="es-ES" w:bidi="es-ES"/>
        </w:rPr>
        <w:lastRenderedPageBreak/>
        <w:t>resultado de una indebida planeación</w:t>
      </w:r>
      <w:r w:rsidRPr="00B31C7B">
        <w:rPr>
          <w:rFonts w:ascii="Verdana" w:eastAsia="Arial" w:hAnsi="Verdana" w:cs="Arial"/>
          <w:color w:val="000000"/>
          <w:lang w:val="es-ES" w:eastAsia="es-ES" w:bidi="es-ES"/>
        </w:rPr>
        <w:t xml:space="preserve"> y que consten por escrito, de tal manera que de las mismas se predique su existencia, validez y eficacia. </w:t>
      </w:r>
    </w:p>
    <w:p w14:paraId="5EB9F982" w14:textId="77777777" w:rsidR="00930225" w:rsidRDefault="00930225" w:rsidP="00930225">
      <w:pPr>
        <w:widowControl w:val="0"/>
        <w:autoSpaceDE w:val="0"/>
        <w:autoSpaceDN w:val="0"/>
        <w:spacing w:after="120" w:line="276" w:lineRule="auto"/>
        <w:ind w:right="-2" w:firstLine="709"/>
        <w:jc w:val="both"/>
        <w:rPr>
          <w:rFonts w:ascii="Verdana" w:eastAsia="Arial" w:hAnsi="Verdana" w:cs="Arial"/>
          <w:color w:val="000000"/>
          <w:lang w:val="es-ES" w:eastAsia="es-ES" w:bidi="es-ES"/>
        </w:rPr>
      </w:pPr>
      <w:r w:rsidRPr="00B31C7B">
        <w:rPr>
          <w:rFonts w:ascii="Verdana" w:eastAsia="Arial" w:hAnsi="Verdana" w:cs="Arial"/>
          <w:color w:val="000000"/>
          <w:lang w:val="es-ES" w:eastAsia="es-ES" w:bidi="es-ES"/>
        </w:rPr>
        <w:t xml:space="preserve">Sin perjuicio de lo anterior, las modificaciones no </w:t>
      </w:r>
      <w:r>
        <w:rPr>
          <w:rFonts w:ascii="Verdana" w:eastAsia="Arial" w:hAnsi="Verdana" w:cs="Arial"/>
          <w:color w:val="000000"/>
          <w:lang w:val="es-ES" w:eastAsia="es-ES" w:bidi="es-ES"/>
        </w:rPr>
        <w:t xml:space="preserve">pueden </w:t>
      </w:r>
      <w:r w:rsidRPr="00B31C7B">
        <w:rPr>
          <w:rFonts w:ascii="Verdana" w:eastAsia="Arial" w:hAnsi="Verdana" w:cs="Arial"/>
          <w:color w:val="000000"/>
          <w:lang w:val="es-ES" w:eastAsia="es-ES" w:bidi="es-ES"/>
        </w:rPr>
        <w:t>suponer la variación del objeto d</w:t>
      </w:r>
      <w:r>
        <w:rPr>
          <w:rFonts w:ascii="Verdana" w:eastAsia="Arial" w:hAnsi="Verdana" w:cs="Arial"/>
          <w:color w:val="000000"/>
          <w:lang w:val="es-ES" w:eastAsia="es-ES" w:bidi="es-ES"/>
        </w:rPr>
        <w:t>el</w:t>
      </w:r>
      <w:r w:rsidRPr="00B31C7B">
        <w:rPr>
          <w:rFonts w:ascii="Verdana" w:eastAsia="Arial" w:hAnsi="Verdana" w:cs="Arial"/>
          <w:color w:val="000000"/>
          <w:lang w:val="es-ES" w:eastAsia="es-ES" w:bidi="es-ES"/>
        </w:rPr>
        <w:t xml:space="preserve"> contrato, pues </w:t>
      </w:r>
      <w:r>
        <w:rPr>
          <w:rFonts w:ascii="Verdana" w:eastAsia="Arial" w:hAnsi="Verdana" w:cs="Arial"/>
          <w:color w:val="000000"/>
          <w:lang w:val="es-ES" w:eastAsia="es-ES" w:bidi="es-ES"/>
        </w:rPr>
        <w:t xml:space="preserve">esto </w:t>
      </w:r>
      <w:r w:rsidRPr="00B31C7B">
        <w:rPr>
          <w:rFonts w:ascii="Verdana" w:eastAsia="Arial" w:hAnsi="Verdana" w:cs="Arial"/>
          <w:color w:val="000000"/>
          <w:lang w:val="es-ES" w:eastAsia="es-ES" w:bidi="es-ES"/>
        </w:rPr>
        <w:t xml:space="preserve">implica la alteración de su esencia y lo </w:t>
      </w:r>
      <w:r>
        <w:rPr>
          <w:rFonts w:ascii="Verdana" w:eastAsia="Arial" w:hAnsi="Verdana" w:cs="Arial"/>
          <w:color w:val="000000"/>
          <w:lang w:val="es-ES" w:eastAsia="es-ES" w:bidi="es-ES"/>
        </w:rPr>
        <w:t xml:space="preserve">convierte </w:t>
      </w:r>
      <w:r w:rsidRPr="00B31C7B">
        <w:rPr>
          <w:rFonts w:ascii="Verdana" w:eastAsia="Arial" w:hAnsi="Verdana" w:cs="Arial"/>
          <w:color w:val="000000"/>
          <w:lang w:val="es-ES" w:eastAsia="es-ES" w:bidi="es-ES"/>
        </w:rPr>
        <w:t>en otro tipo de negocio jurídico</w:t>
      </w:r>
      <w:r>
        <w:rPr>
          <w:rFonts w:ascii="Verdana" w:eastAsia="Arial" w:hAnsi="Verdana" w:cs="Arial"/>
          <w:color w:val="000000"/>
          <w:lang w:val="es-ES" w:eastAsia="es-ES" w:bidi="es-ES"/>
        </w:rPr>
        <w:t xml:space="preserve">. </w:t>
      </w:r>
    </w:p>
    <w:p w14:paraId="37F4EC73" w14:textId="6F884219" w:rsidR="00930225" w:rsidRDefault="00930225" w:rsidP="005D67D9">
      <w:pPr>
        <w:widowControl w:val="0"/>
        <w:autoSpaceDE w:val="0"/>
        <w:autoSpaceDN w:val="0"/>
        <w:spacing w:after="120" w:line="276" w:lineRule="auto"/>
        <w:ind w:right="-2" w:firstLine="709"/>
        <w:jc w:val="both"/>
        <w:rPr>
          <w:rFonts w:ascii="Verdana" w:hAnsi="Verdana" w:cs="Arial"/>
          <w:shd w:val="clear" w:color="auto" w:fill="FFFFFF"/>
        </w:rPr>
      </w:pPr>
      <w:r w:rsidRPr="00B33E4C">
        <w:rPr>
          <w:rFonts w:ascii="Verdana" w:eastAsia="Arial" w:hAnsi="Verdana" w:cs="Arial"/>
          <w:color w:val="000000"/>
          <w:lang w:val="es-ES" w:eastAsia="es-ES" w:bidi="es-ES"/>
        </w:rPr>
        <w:t>En consecuencia, frente a la consulta</w:t>
      </w:r>
      <w:r w:rsidRPr="00C776BC">
        <w:rPr>
          <w:rFonts w:ascii="Verdana" w:eastAsia="Arial" w:hAnsi="Verdana" w:cs="Arial"/>
          <w:lang w:val="es-ES" w:eastAsia="es-ES" w:bidi="es-ES"/>
        </w:rPr>
        <w:t>, se hace necesario que la Administración analice, en cada caso, la concurrencia de los aspectos antes referidos</w:t>
      </w:r>
      <w:r>
        <w:rPr>
          <w:rFonts w:ascii="Verdana" w:eastAsia="Arial" w:hAnsi="Verdana" w:cs="Arial"/>
          <w:lang w:val="es-ES" w:eastAsia="es-ES" w:bidi="es-ES"/>
        </w:rPr>
        <w:t xml:space="preserve">. </w:t>
      </w:r>
      <w:r w:rsidR="00DF1B74">
        <w:rPr>
          <w:rFonts w:ascii="Verdana" w:eastAsia="Arial" w:hAnsi="Verdana" w:cs="Arial"/>
          <w:color w:val="000000" w:themeColor="text1"/>
          <w:lang w:val="es-ES" w:eastAsia="es-ES" w:bidi="es-ES"/>
        </w:rPr>
        <w:t>Así las cosas</w:t>
      </w:r>
      <w:r w:rsidRPr="00D619E6">
        <w:rPr>
          <w:rFonts w:ascii="Verdana" w:eastAsia="Arial" w:hAnsi="Verdana" w:cs="Arial"/>
          <w:color w:val="000000" w:themeColor="text1"/>
          <w:lang w:val="es-ES" w:eastAsia="es-ES" w:bidi="es-ES"/>
        </w:rPr>
        <w:t xml:space="preserve">, la entidad </w:t>
      </w:r>
      <w:r w:rsidRPr="007F469A">
        <w:rPr>
          <w:rFonts w:ascii="Verdana" w:eastAsia="Arial" w:hAnsi="Verdana" w:cs="Arial"/>
          <w:color w:val="000000" w:themeColor="text1"/>
          <w:lang w:val="es-ES" w:eastAsia="es-ES" w:bidi="es-ES"/>
        </w:rPr>
        <w:t>debe analizar</w:t>
      </w:r>
      <w:r>
        <w:rPr>
          <w:rFonts w:ascii="Verdana" w:eastAsia="Arial" w:hAnsi="Verdana" w:cs="Arial"/>
          <w:color w:val="000000" w:themeColor="text1"/>
          <w:lang w:val="es-ES" w:eastAsia="es-ES" w:bidi="es-ES"/>
        </w:rPr>
        <w:t xml:space="preserve"> si el recibo de bienes y servicios de características técnicas uniformes con mejores calidades y funcionalidades distintas a las dispuestas en la ficha técnica del contrato </w:t>
      </w:r>
      <w:r w:rsidRPr="00D619E6">
        <w:rPr>
          <w:rFonts w:ascii="Verdana" w:hAnsi="Verdana" w:cs="Arial"/>
          <w:shd w:val="clear" w:color="auto" w:fill="FFFFFF"/>
        </w:rPr>
        <w:t xml:space="preserve">representa una </w:t>
      </w:r>
      <w:r w:rsidRPr="00D619E6">
        <w:rPr>
          <w:rFonts w:ascii="Verdana" w:eastAsia="Arial" w:hAnsi="Verdana" w:cs="Arial"/>
          <w:color w:val="000000"/>
          <w:lang w:val="es-ES" w:eastAsia="es-ES" w:bidi="es-ES"/>
        </w:rPr>
        <w:t>alteración, variación o cambios en las condiciones y cláusulas del contrat</w:t>
      </w:r>
      <w:r>
        <w:rPr>
          <w:rFonts w:ascii="Verdana" w:eastAsia="Arial" w:hAnsi="Verdana" w:cs="Arial"/>
          <w:color w:val="000000"/>
          <w:lang w:val="es-ES" w:eastAsia="es-ES" w:bidi="es-ES"/>
        </w:rPr>
        <w:t>o</w:t>
      </w:r>
      <w:r w:rsidRPr="007F469A">
        <w:rPr>
          <w:rFonts w:ascii="Verdana" w:eastAsia="Arial" w:hAnsi="Verdana" w:cs="Arial"/>
          <w:color w:val="000000"/>
          <w:lang w:val="es-ES" w:eastAsia="es-ES" w:bidi="es-ES"/>
        </w:rPr>
        <w:t xml:space="preserve">. En ese </w:t>
      </w:r>
      <w:r w:rsidRPr="00932FDF">
        <w:rPr>
          <w:rFonts w:ascii="Verdana" w:eastAsia="Arial" w:hAnsi="Verdana" w:cs="Arial"/>
          <w:color w:val="000000"/>
          <w:lang w:val="es-ES" w:eastAsia="es-ES" w:bidi="es-ES"/>
        </w:rPr>
        <w:t>caso</w:t>
      </w:r>
      <w:r w:rsidRPr="007F469A">
        <w:rPr>
          <w:rFonts w:ascii="Verdana" w:eastAsia="Arial" w:hAnsi="Verdana" w:cs="Arial"/>
          <w:color w:val="000000"/>
          <w:lang w:val="es-ES" w:eastAsia="es-ES" w:bidi="es-ES"/>
        </w:rPr>
        <w:t xml:space="preserve">, </w:t>
      </w:r>
      <w:r w:rsidRPr="00D619E6">
        <w:rPr>
          <w:rFonts w:ascii="Verdana" w:eastAsia="Arial" w:hAnsi="Verdana" w:cs="Arial"/>
          <w:color w:val="000000"/>
          <w:lang w:val="es-ES" w:eastAsia="es-ES" w:bidi="es-ES"/>
        </w:rPr>
        <w:t xml:space="preserve">se entiende que se trata de una modificación contractual, independientemente </w:t>
      </w:r>
      <w:r w:rsidRPr="00D619E6">
        <w:rPr>
          <w:rFonts w:ascii="Verdana" w:hAnsi="Verdana" w:cs="Arial"/>
          <w:shd w:val="clear" w:color="auto" w:fill="FFFFFF"/>
        </w:rPr>
        <w:t>del nombre que se le asigne al</w:t>
      </w:r>
      <w:r w:rsidRPr="007F469A">
        <w:rPr>
          <w:rFonts w:ascii="Verdana" w:hAnsi="Verdana" w:cs="Arial"/>
          <w:shd w:val="clear" w:color="auto" w:fill="FFFFFF"/>
        </w:rPr>
        <w:t xml:space="preserve"> </w:t>
      </w:r>
      <w:r w:rsidRPr="00D619E6">
        <w:rPr>
          <w:rFonts w:ascii="Verdana" w:hAnsi="Verdana" w:cs="Arial"/>
          <w:shd w:val="clear" w:color="auto" w:fill="FFFFFF"/>
        </w:rPr>
        <w:t xml:space="preserve">documento - otrosí o acta de liquidación –. En </w:t>
      </w:r>
      <w:r w:rsidRPr="007F469A">
        <w:rPr>
          <w:rFonts w:ascii="Verdana" w:hAnsi="Verdana" w:cs="Arial"/>
          <w:shd w:val="clear" w:color="auto" w:fill="FFFFFF"/>
        </w:rPr>
        <w:t>consecuencia</w:t>
      </w:r>
      <w:r w:rsidRPr="00D619E6">
        <w:rPr>
          <w:rFonts w:ascii="Verdana" w:hAnsi="Verdana" w:cs="Arial"/>
          <w:shd w:val="clear" w:color="auto" w:fill="FFFFFF"/>
        </w:rPr>
        <w:t xml:space="preserve">, tratándose de una modificación contractual deberá cumplir con los limites antes expuestos, así como condiciones estipuladas en los </w:t>
      </w:r>
      <w:r>
        <w:rPr>
          <w:rFonts w:ascii="Verdana" w:hAnsi="Verdana" w:cs="Arial"/>
          <w:shd w:val="clear" w:color="auto" w:fill="FFFFFF"/>
        </w:rPr>
        <w:t>manuales internos de contratación y de supervisión e interventoría de cada Entidad Estatal</w:t>
      </w:r>
      <w:r w:rsidRPr="00D619E6">
        <w:rPr>
          <w:rFonts w:ascii="Verdana" w:hAnsi="Verdana" w:cs="Arial"/>
          <w:shd w:val="clear" w:color="auto" w:fill="FFFFFF"/>
        </w:rPr>
        <w:t>.</w:t>
      </w:r>
      <w:r>
        <w:rPr>
          <w:rFonts w:ascii="Verdana" w:hAnsi="Verdana" w:cs="Arial"/>
          <w:shd w:val="clear" w:color="auto" w:fill="FFFFFF"/>
        </w:rPr>
        <w:t xml:space="preserve"> </w:t>
      </w:r>
    </w:p>
    <w:p w14:paraId="4A1FCCD2" w14:textId="77777777" w:rsidR="00930225" w:rsidRPr="007F469A" w:rsidRDefault="00930225" w:rsidP="00930225">
      <w:pPr>
        <w:spacing w:after="120" w:line="276" w:lineRule="auto"/>
        <w:ind w:firstLine="709"/>
        <w:jc w:val="both"/>
        <w:rPr>
          <w:rFonts w:ascii="Verdana" w:eastAsia="Arial" w:hAnsi="Verdana" w:cs="Arial"/>
          <w:color w:val="000000" w:themeColor="text1"/>
          <w:lang w:val="es-ES" w:eastAsia="es-ES" w:bidi="es-ES"/>
        </w:rPr>
      </w:pPr>
      <w:r>
        <w:rPr>
          <w:rFonts w:ascii="Verdana" w:eastAsia="Arial" w:hAnsi="Verdana" w:cs="Arial"/>
          <w:color w:val="000000" w:themeColor="text1"/>
          <w:lang w:val="es-ES" w:eastAsia="es-ES" w:bidi="es-ES"/>
        </w:rPr>
        <w:t xml:space="preserve">Por el contrario, pueden existir casos en los cuales haya quedado estipulado en las cláusulas del contrato o en los documentos previos en qué eventos y la forma como puede recibirse bienes o servicios distintos a los dispuestos en la ficha técnica, caso en el cual no será necesario proceder con una modificación contractual. </w:t>
      </w:r>
    </w:p>
    <w:p w14:paraId="41017459" w14:textId="5FB1D045" w:rsidR="00930225" w:rsidRDefault="00930225" w:rsidP="00930225">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Pr>
          <w:rFonts w:ascii="Verdana" w:eastAsia="Arial" w:hAnsi="Verdana" w:cs="Arial"/>
          <w:color w:val="000000" w:themeColor="text1"/>
          <w:lang w:val="es-ES" w:eastAsia="es-ES" w:bidi="es-ES"/>
        </w:rPr>
        <w:t xml:space="preserve">Ahora bien, frente a la forma de cómo se debe adelantar una modificación de un contrato estatal, la norma no contempló un procedimiento al respecto, por lo cual se debe acudir al Manual de </w:t>
      </w:r>
      <w:r w:rsidR="00EA4490">
        <w:rPr>
          <w:rFonts w:ascii="Verdana" w:eastAsia="Arial" w:hAnsi="Verdana" w:cs="Arial"/>
          <w:color w:val="000000" w:themeColor="text1"/>
          <w:lang w:val="es-ES" w:eastAsia="es-ES" w:bidi="es-ES"/>
        </w:rPr>
        <w:t>Contratación</w:t>
      </w:r>
      <w:r>
        <w:rPr>
          <w:rFonts w:ascii="Verdana" w:eastAsia="Arial" w:hAnsi="Verdana" w:cs="Arial"/>
          <w:color w:val="000000" w:themeColor="text1"/>
          <w:lang w:val="es-ES" w:eastAsia="es-ES" w:bidi="es-ES"/>
        </w:rPr>
        <w:t xml:space="preserve"> de la </w:t>
      </w:r>
      <w:r w:rsidR="00EA4490">
        <w:rPr>
          <w:rFonts w:ascii="Verdana" w:eastAsia="Arial" w:hAnsi="Verdana" w:cs="Arial"/>
          <w:color w:val="000000" w:themeColor="text1"/>
          <w:lang w:val="es-ES" w:eastAsia="es-ES" w:bidi="es-ES"/>
        </w:rPr>
        <w:t>entidad estatal</w:t>
      </w:r>
      <w:r>
        <w:rPr>
          <w:rFonts w:ascii="Verdana" w:eastAsia="Arial" w:hAnsi="Verdana" w:cs="Arial"/>
          <w:color w:val="000000" w:themeColor="text1"/>
          <w:lang w:val="es-ES" w:eastAsia="es-ES" w:bidi="es-ES"/>
        </w:rPr>
        <w:t xml:space="preserve">. No obstante, es más que claro que </w:t>
      </w:r>
      <w:r w:rsidRPr="001C0DDE">
        <w:rPr>
          <w:rFonts w:ascii="Verdana" w:eastAsia="Arial" w:hAnsi="Verdana" w:cs="Arial"/>
          <w:color w:val="000000" w:themeColor="text1"/>
          <w:lang w:eastAsia="es-ES" w:bidi="es-ES"/>
        </w:rPr>
        <w:t>en esencia, los contratos estatales, por regla general, son contratos solemnes, lo cual a la luz del artículo 1500 Código Civil significa que están sujetos a la observancia de ciertas formalidades especiales, de manera que sin ellas no producen ningún efecto</w:t>
      </w:r>
      <w:r>
        <w:rPr>
          <w:rStyle w:val="Refdenotaalpie"/>
          <w:rFonts w:ascii="Verdana" w:eastAsia="Arial" w:hAnsi="Verdana" w:cs="Arial"/>
          <w:color w:val="000000" w:themeColor="text1"/>
          <w:lang w:val="es-ES" w:eastAsia="es-ES" w:bidi="es-ES"/>
        </w:rPr>
        <w:footnoteReference w:id="22"/>
      </w:r>
      <w:r>
        <w:rPr>
          <w:rFonts w:ascii="Verdana" w:eastAsia="Arial" w:hAnsi="Verdana" w:cs="Arial"/>
          <w:color w:val="000000" w:themeColor="text1"/>
          <w:lang w:eastAsia="es-ES" w:bidi="es-ES"/>
        </w:rPr>
        <w:t xml:space="preserve">, por lo tanto, la modificación </w:t>
      </w:r>
      <w:proofErr w:type="gramStart"/>
      <w:r>
        <w:rPr>
          <w:rFonts w:ascii="Verdana" w:eastAsia="Arial" w:hAnsi="Verdana" w:cs="Arial"/>
          <w:color w:val="000000" w:themeColor="text1"/>
          <w:lang w:eastAsia="es-ES" w:bidi="es-ES"/>
        </w:rPr>
        <w:t>del mismo</w:t>
      </w:r>
      <w:proofErr w:type="gramEnd"/>
      <w:r>
        <w:rPr>
          <w:rFonts w:ascii="Verdana" w:eastAsia="Arial" w:hAnsi="Verdana" w:cs="Arial"/>
          <w:color w:val="000000" w:themeColor="text1"/>
          <w:lang w:eastAsia="es-ES" w:bidi="es-ES"/>
        </w:rPr>
        <w:t xml:space="preserve"> debe revestir dicha solemnidad. </w:t>
      </w:r>
    </w:p>
    <w:p w14:paraId="6FD94EEC" w14:textId="77777777" w:rsidR="00930225" w:rsidRDefault="00930225" w:rsidP="005D67D9">
      <w:pPr>
        <w:spacing w:after="120" w:line="276" w:lineRule="auto"/>
        <w:ind w:firstLine="709"/>
        <w:jc w:val="both"/>
        <w:rPr>
          <w:rFonts w:ascii="Verdana" w:eastAsia="Arial MT" w:hAnsi="Verdana" w:cs="Arial"/>
          <w:lang w:eastAsia="es-ES" w:bidi="es-ES"/>
        </w:rPr>
      </w:pPr>
      <w:r>
        <w:rPr>
          <w:rFonts w:ascii="Verdana" w:eastAsia="Arial" w:hAnsi="Verdana" w:cs="Arial"/>
          <w:color w:val="000000" w:themeColor="text1"/>
          <w:lang w:eastAsia="es-ES" w:bidi="es-ES"/>
        </w:rPr>
        <w:t xml:space="preserve">En ese sentido, dando cumplimiento a la solemnidad del acto, la norma señala de forma expresa la obligatoriedad de cumplir con el principio de publicidad que rigen las actuaciones administrativas, de tal manera que, </w:t>
      </w:r>
      <w:r>
        <w:rPr>
          <w:rFonts w:ascii="Verdana" w:eastAsia="Arial MT" w:hAnsi="Verdana" w:cs="Arial"/>
          <w:lang w:eastAsia="es-ES" w:bidi="es-ES"/>
        </w:rPr>
        <w:t xml:space="preserve">la </w:t>
      </w:r>
      <w:r>
        <w:rPr>
          <w:rFonts w:ascii="Verdana" w:eastAsia="Arial MT" w:hAnsi="Verdana" w:cs="Arial"/>
          <w:lang w:eastAsia="es-ES" w:bidi="es-ES"/>
        </w:rPr>
        <w:lastRenderedPageBreak/>
        <w:t xml:space="preserve">modificación del contrato no es ajena a este, por lo cual deberá darse cumplimiento a la aplicación del </w:t>
      </w:r>
      <w:r w:rsidRPr="00E3217F">
        <w:rPr>
          <w:rFonts w:ascii="Verdana" w:eastAsia="Arial MT" w:hAnsi="Verdana" w:cs="Arial"/>
          <w:lang w:eastAsia="es-ES" w:bidi="es-ES"/>
        </w:rPr>
        <w:t>literal c) del artículo 3 de la Ley 1150 de 2007</w:t>
      </w:r>
      <w:r>
        <w:rPr>
          <w:rStyle w:val="Refdenotaalpie"/>
          <w:rFonts w:ascii="Verdana" w:eastAsia="Arial MT" w:hAnsi="Verdana" w:cs="Arial"/>
          <w:lang w:eastAsia="es-ES" w:bidi="es-ES"/>
        </w:rPr>
        <w:footnoteReference w:id="23"/>
      </w:r>
      <w:r>
        <w:rPr>
          <w:rFonts w:ascii="Verdana" w:eastAsia="Arial MT" w:hAnsi="Verdana" w:cs="Arial"/>
          <w:lang w:eastAsia="es-ES" w:bidi="es-ES"/>
        </w:rPr>
        <w:t xml:space="preserve"> y del</w:t>
      </w:r>
      <w:r w:rsidRPr="002049AB">
        <w:rPr>
          <w:rFonts w:ascii="Verdana" w:eastAsia="Arial MT" w:hAnsi="Verdana" w:cs="Arial"/>
          <w:lang w:eastAsia="es-ES" w:bidi="es-ES"/>
        </w:rPr>
        <w:t xml:space="preserve"> artículo 2.2.1.1.1.7.</w:t>
      </w:r>
      <w:r>
        <w:rPr>
          <w:rStyle w:val="Refdenotaalpie"/>
          <w:rFonts w:ascii="Verdana" w:eastAsia="Arial MT" w:hAnsi="Verdana" w:cs="Arial"/>
          <w:lang w:eastAsia="es-ES" w:bidi="es-ES"/>
        </w:rPr>
        <w:footnoteReference w:id="24"/>
      </w:r>
      <w:r>
        <w:rPr>
          <w:rFonts w:ascii="Verdana" w:eastAsia="Arial MT" w:hAnsi="Verdana" w:cs="Arial"/>
          <w:lang w:eastAsia="es-ES" w:bidi="es-ES"/>
        </w:rPr>
        <w:t xml:space="preserve"> </w:t>
      </w:r>
      <w:r w:rsidRPr="002049AB">
        <w:rPr>
          <w:rFonts w:ascii="Verdana" w:eastAsia="Arial MT" w:hAnsi="Verdana" w:cs="Arial"/>
          <w:lang w:eastAsia="es-ES" w:bidi="es-ES"/>
        </w:rPr>
        <w:t>del Decreto 1082 del 2015</w:t>
      </w:r>
      <w:r>
        <w:rPr>
          <w:rFonts w:ascii="Verdana" w:eastAsia="Arial MT" w:hAnsi="Verdana" w:cs="Arial"/>
          <w:lang w:eastAsia="es-ES" w:bidi="es-ES"/>
        </w:rPr>
        <w:t>, de decir, publicar cualquier documento expedido por la Entidad Estatal haciendo uso de las plataformas SECOP I o SECOP II, conforme sea el caso que les aplique.</w:t>
      </w:r>
    </w:p>
    <w:p w14:paraId="1C2F2B14" w14:textId="77777777" w:rsidR="00930225" w:rsidRPr="00723D0A" w:rsidRDefault="00930225" w:rsidP="00930225">
      <w:pPr>
        <w:spacing w:after="0" w:line="276" w:lineRule="auto"/>
        <w:ind w:firstLine="709"/>
        <w:jc w:val="both"/>
        <w:rPr>
          <w:rFonts w:ascii="Verdana" w:eastAsia="Arial MT" w:hAnsi="Verdana" w:cs="Arial"/>
          <w:lang w:eastAsia="es-ES" w:bidi="es-ES"/>
        </w:rPr>
      </w:pPr>
      <w:r>
        <w:rPr>
          <w:rFonts w:ascii="Verdana" w:eastAsia="Calibri" w:hAnsi="Verdana" w:cs="Arial"/>
        </w:rPr>
        <w:t xml:space="preserve">De conformidad con lo </w:t>
      </w:r>
      <w:r w:rsidRPr="000724B7">
        <w:rPr>
          <w:rFonts w:ascii="Verdana" w:eastAsia="Calibri" w:hAnsi="Verdana" w:cs="Arial"/>
        </w:rPr>
        <w:t xml:space="preserve">previsto en el </w:t>
      </w:r>
      <w:r w:rsidRPr="008A1DDC">
        <w:rPr>
          <w:rFonts w:ascii="Verdana" w:eastAsia="Calibri" w:hAnsi="Verdana" w:cs="Arial"/>
        </w:rPr>
        <w:t xml:space="preserve">artículo 11 de la Ley 80 de 1993, el ordenador del gasto es la autoridad responsable de la dirección y el compromiso de los recursos públicos </w:t>
      </w:r>
      <w:r w:rsidRPr="000724B7">
        <w:rPr>
          <w:rFonts w:ascii="Verdana" w:eastAsia="Calibri" w:hAnsi="Verdana" w:cs="Arial"/>
        </w:rPr>
        <w:t>de la entidad. Esta facultad no solo le otorga la potestad para iniciar y ejecutar los procesos de selección de contratistas, sino que también lo convierte en el garante de la correcta y oportuna ejecución del objeto contratado. Este deber se infiere de las responsabilidades que recaen sobre los servidores públicos, como se estipula en el</w:t>
      </w:r>
      <w:r>
        <w:rPr>
          <w:rFonts w:ascii="Verdana" w:eastAsia="Calibri" w:hAnsi="Verdana" w:cs="Arial"/>
        </w:rPr>
        <w:t xml:space="preserve"> numeral 1° del</w:t>
      </w:r>
      <w:r w:rsidRPr="000724B7">
        <w:rPr>
          <w:rFonts w:ascii="Verdana" w:eastAsia="Calibri" w:hAnsi="Verdana" w:cs="Arial"/>
        </w:rPr>
        <w:t xml:space="preserve"> </w:t>
      </w:r>
      <w:r w:rsidRPr="00AE6F74">
        <w:rPr>
          <w:rFonts w:ascii="Verdana" w:eastAsia="Calibri" w:hAnsi="Verdana" w:cs="Arial"/>
        </w:rPr>
        <w:t xml:space="preserve">artículo </w:t>
      </w:r>
      <w:r>
        <w:rPr>
          <w:rFonts w:ascii="Verdana" w:eastAsia="Calibri" w:hAnsi="Verdana" w:cs="Arial"/>
        </w:rPr>
        <w:t>11</w:t>
      </w:r>
      <w:r w:rsidRPr="00AE6F74">
        <w:rPr>
          <w:rFonts w:ascii="Verdana" w:eastAsia="Calibri" w:hAnsi="Verdana" w:cs="Arial"/>
        </w:rPr>
        <w:t xml:space="preserve"> de la misma Ley 80 de 1993</w:t>
      </w:r>
      <w:r>
        <w:rPr>
          <w:rFonts w:ascii="Verdana" w:eastAsia="Calibri" w:hAnsi="Verdana" w:cs="Arial"/>
        </w:rPr>
        <w:t xml:space="preserve"> que establece lo siguiente:</w:t>
      </w:r>
      <w:r w:rsidRPr="000724B7">
        <w:rPr>
          <w:rFonts w:ascii="Verdana" w:eastAsia="Calibri" w:hAnsi="Verdana" w:cs="Arial"/>
        </w:rPr>
        <w:t xml:space="preserve"> </w:t>
      </w:r>
    </w:p>
    <w:p w14:paraId="58945257" w14:textId="77777777" w:rsidR="00930225" w:rsidRDefault="00930225" w:rsidP="00930225">
      <w:pPr>
        <w:spacing w:after="0" w:line="276" w:lineRule="auto"/>
        <w:jc w:val="both"/>
        <w:rPr>
          <w:rFonts w:ascii="Verdana" w:eastAsia="Calibri" w:hAnsi="Verdana" w:cs="Arial"/>
        </w:rPr>
      </w:pPr>
    </w:p>
    <w:p w14:paraId="4D27B6A9" w14:textId="77777777" w:rsidR="00930225" w:rsidRPr="00AE6F74" w:rsidRDefault="00930225" w:rsidP="00930225">
      <w:pPr>
        <w:spacing w:after="0" w:line="240" w:lineRule="auto"/>
        <w:ind w:left="709" w:right="709"/>
        <w:jc w:val="both"/>
        <w:rPr>
          <w:rFonts w:ascii="Verdana" w:eastAsia="Calibri" w:hAnsi="Verdana" w:cs="Arial"/>
          <w:b/>
          <w:bCs/>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11. De la competencia.</w:t>
      </w:r>
    </w:p>
    <w:p w14:paraId="0797502F" w14:textId="77777777" w:rsidR="00930225" w:rsidRPr="00AE6F74" w:rsidRDefault="00930225" w:rsidP="00930225">
      <w:pPr>
        <w:spacing w:after="0" w:line="240" w:lineRule="auto"/>
        <w:ind w:left="709" w:right="709"/>
        <w:jc w:val="both"/>
        <w:rPr>
          <w:rFonts w:ascii="Verdana" w:eastAsia="Calibri" w:hAnsi="Verdana" w:cs="Arial"/>
          <w:b/>
          <w:bCs/>
          <w:sz w:val="20"/>
          <w:szCs w:val="20"/>
        </w:rPr>
      </w:pPr>
    </w:p>
    <w:p w14:paraId="52EBC5EF" w14:textId="77777777" w:rsidR="00930225" w:rsidRPr="00AE6F74" w:rsidRDefault="00930225" w:rsidP="00930225">
      <w:pPr>
        <w:pStyle w:val="Prrafodelista"/>
        <w:numPr>
          <w:ilvl w:val="0"/>
          <w:numId w:val="19"/>
        </w:numPr>
        <w:spacing w:after="0" w:line="240" w:lineRule="auto"/>
        <w:ind w:left="709" w:right="709" w:firstLine="0"/>
        <w:jc w:val="both"/>
        <w:rPr>
          <w:rFonts w:ascii="Verdana" w:eastAsia="Calibri" w:hAnsi="Verdana" w:cs="Arial"/>
          <w:sz w:val="20"/>
          <w:szCs w:val="20"/>
        </w:rPr>
      </w:pPr>
      <w:r w:rsidRPr="00AE6F74">
        <w:rPr>
          <w:rFonts w:ascii="Verdana" w:eastAsia="Calibri" w:hAnsi="Verdana" w:cs="Arial"/>
          <w:sz w:val="20"/>
          <w:szCs w:val="20"/>
        </w:rPr>
        <w:t>La competencia para ordenar y dirigir la celebración de licitaciones o concursos y para escoger contratistas será del jefe o representante de la entidad, según el caso</w:t>
      </w:r>
      <w:r>
        <w:rPr>
          <w:rFonts w:ascii="Verdana" w:eastAsia="Calibri" w:hAnsi="Verdana" w:cs="Arial"/>
          <w:sz w:val="20"/>
          <w:szCs w:val="20"/>
        </w:rPr>
        <w:t>”</w:t>
      </w:r>
      <w:r w:rsidRPr="00AE6F74">
        <w:rPr>
          <w:rFonts w:ascii="Verdana" w:eastAsia="Calibri" w:hAnsi="Verdana" w:cs="Arial"/>
          <w:sz w:val="20"/>
          <w:szCs w:val="20"/>
        </w:rPr>
        <w:t>.</w:t>
      </w:r>
    </w:p>
    <w:p w14:paraId="3A1537C5" w14:textId="77777777" w:rsidR="00930225" w:rsidRPr="000724B7" w:rsidRDefault="00930225" w:rsidP="00930225">
      <w:pPr>
        <w:spacing w:after="0" w:line="276" w:lineRule="auto"/>
        <w:ind w:left="709" w:right="758"/>
        <w:jc w:val="both"/>
        <w:rPr>
          <w:rFonts w:ascii="Verdana" w:eastAsia="Calibri" w:hAnsi="Verdana" w:cs="Arial"/>
        </w:rPr>
      </w:pPr>
    </w:p>
    <w:p w14:paraId="5B094127" w14:textId="77777777" w:rsidR="00930225" w:rsidRDefault="00930225" w:rsidP="00930225">
      <w:pPr>
        <w:spacing w:after="0" w:line="276" w:lineRule="auto"/>
        <w:ind w:left="12"/>
        <w:jc w:val="both"/>
        <w:rPr>
          <w:rFonts w:ascii="Verdana" w:eastAsia="Calibri" w:hAnsi="Verdana" w:cs="Arial"/>
        </w:rPr>
      </w:pPr>
      <w:r w:rsidRPr="000724B7">
        <w:rPr>
          <w:rFonts w:ascii="Verdana" w:eastAsia="Calibri" w:hAnsi="Verdana" w:cs="Arial"/>
        </w:rPr>
        <w:t>Y, en cuanto a los deberes de los servidores públicos:</w:t>
      </w:r>
    </w:p>
    <w:p w14:paraId="0D15650A" w14:textId="77777777" w:rsidR="00930225" w:rsidRPr="000724B7" w:rsidRDefault="00930225" w:rsidP="00930225">
      <w:pPr>
        <w:spacing w:after="0" w:line="276" w:lineRule="auto"/>
        <w:ind w:left="709" w:right="758"/>
        <w:jc w:val="both"/>
        <w:rPr>
          <w:rFonts w:ascii="Verdana" w:eastAsia="Calibri" w:hAnsi="Verdana" w:cs="Arial"/>
        </w:rPr>
      </w:pPr>
    </w:p>
    <w:p w14:paraId="08D1EB61" w14:textId="77777777" w:rsidR="00930225" w:rsidRPr="006545A5" w:rsidRDefault="00930225" w:rsidP="00930225">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26. Del principio de responsabilidad.</w:t>
      </w:r>
      <w:r w:rsidRPr="006545A5">
        <w:rPr>
          <w:rFonts w:ascii="Verdana" w:eastAsia="Calibri" w:hAnsi="Verdana" w:cs="Arial"/>
          <w:sz w:val="20"/>
          <w:szCs w:val="20"/>
        </w:rPr>
        <w:t xml:space="preserve"> </w:t>
      </w:r>
      <w:r w:rsidRPr="000724B7">
        <w:rPr>
          <w:rFonts w:ascii="Verdana" w:eastAsia="Calibri" w:hAnsi="Verdana" w:cs="Arial"/>
          <w:sz w:val="20"/>
          <w:szCs w:val="20"/>
        </w:rPr>
        <w:t>En virtud de este principio:</w:t>
      </w:r>
    </w:p>
    <w:p w14:paraId="783FAB4C" w14:textId="77777777" w:rsidR="00930225" w:rsidRPr="000724B7" w:rsidRDefault="00930225" w:rsidP="00930225">
      <w:pPr>
        <w:spacing w:after="0" w:line="240" w:lineRule="auto"/>
        <w:ind w:left="709" w:right="709"/>
        <w:jc w:val="both"/>
        <w:rPr>
          <w:rFonts w:ascii="Verdana" w:eastAsia="Calibri" w:hAnsi="Verdana" w:cs="Arial"/>
          <w:sz w:val="20"/>
          <w:szCs w:val="20"/>
        </w:rPr>
      </w:pPr>
    </w:p>
    <w:p w14:paraId="3D9B7241" w14:textId="77777777" w:rsidR="00930225" w:rsidRPr="000724B7" w:rsidRDefault="00930225" w:rsidP="00930225">
      <w:pPr>
        <w:numPr>
          <w:ilvl w:val="0"/>
          <w:numId w:val="18"/>
        </w:numPr>
        <w:spacing w:after="0" w:line="240" w:lineRule="auto"/>
        <w:ind w:left="709" w:right="709" w:firstLine="0"/>
        <w:jc w:val="both"/>
        <w:rPr>
          <w:rFonts w:ascii="Verdana" w:eastAsia="Calibri" w:hAnsi="Verdana" w:cs="Arial"/>
          <w:sz w:val="20"/>
          <w:szCs w:val="20"/>
        </w:rPr>
      </w:pPr>
      <w:r w:rsidRPr="000724B7">
        <w:rPr>
          <w:rFonts w:ascii="Verdana" w:eastAsia="Calibri" w:hAnsi="Verdana" w:cs="Arial"/>
          <w:sz w:val="20"/>
          <w:szCs w:val="20"/>
        </w:rPr>
        <w:lastRenderedPageBreak/>
        <w:t>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p w14:paraId="0F7AF3F8" w14:textId="77777777" w:rsidR="00930225" w:rsidRPr="000724B7" w:rsidRDefault="00930225" w:rsidP="00930225">
      <w:pPr>
        <w:numPr>
          <w:ilvl w:val="0"/>
          <w:numId w:val="18"/>
        </w:numPr>
        <w:spacing w:after="0" w:line="240" w:lineRule="auto"/>
        <w:ind w:left="709" w:right="709" w:firstLine="0"/>
        <w:jc w:val="both"/>
        <w:rPr>
          <w:rFonts w:ascii="Verdana" w:eastAsia="Calibri" w:hAnsi="Verdana" w:cs="Arial"/>
          <w:sz w:val="20"/>
          <w:szCs w:val="20"/>
        </w:rPr>
      </w:pPr>
      <w:r w:rsidRPr="000724B7">
        <w:rPr>
          <w:rFonts w:ascii="Verdana" w:eastAsia="Calibri" w:hAnsi="Verdana" w:cs="Arial"/>
          <w:sz w:val="20"/>
          <w:szCs w:val="20"/>
        </w:rPr>
        <w:t>Los contratistas responderán también por la acción o la omisión en que incurran y que lesione los intereses de la administración. (...)</w:t>
      </w:r>
      <w:r>
        <w:rPr>
          <w:rFonts w:ascii="Verdana" w:eastAsia="Calibri" w:hAnsi="Verdana" w:cs="Arial"/>
          <w:sz w:val="20"/>
          <w:szCs w:val="20"/>
        </w:rPr>
        <w:t>”</w:t>
      </w:r>
    </w:p>
    <w:p w14:paraId="7AEE2816" w14:textId="77777777" w:rsidR="00930225" w:rsidRDefault="00930225" w:rsidP="00930225">
      <w:pPr>
        <w:spacing w:after="0" w:line="276" w:lineRule="auto"/>
        <w:ind w:firstLine="708"/>
        <w:jc w:val="both"/>
        <w:rPr>
          <w:rFonts w:ascii="Verdana" w:eastAsia="Calibri" w:hAnsi="Verdana" w:cs="Arial"/>
        </w:rPr>
      </w:pPr>
    </w:p>
    <w:p w14:paraId="1D84E0A3" w14:textId="77777777" w:rsidR="00930225" w:rsidRPr="000724B7" w:rsidRDefault="00930225" w:rsidP="00930225">
      <w:pPr>
        <w:spacing w:after="0" w:line="276" w:lineRule="auto"/>
        <w:ind w:firstLine="708"/>
        <w:jc w:val="both"/>
        <w:rPr>
          <w:rFonts w:ascii="Verdana" w:eastAsia="Calibri" w:hAnsi="Verdana" w:cs="Arial"/>
        </w:rPr>
      </w:pPr>
      <w:r w:rsidRPr="000724B7">
        <w:rPr>
          <w:rFonts w:ascii="Verdana" w:eastAsia="Calibri" w:hAnsi="Verdana" w:cs="Arial"/>
        </w:rPr>
        <w:t>Asimismo, el ordenador del gasto debe asegurar que cada erogación presupuestal se ajuste estrictamente a los principios de eficacia, economía, celeridad, imparcialidad y moralidad, consagrados en el artículo 209 de la Constitución Política. Dicho artículo establece:</w:t>
      </w:r>
    </w:p>
    <w:p w14:paraId="0DAA7E72" w14:textId="77777777" w:rsidR="00930225" w:rsidRDefault="00930225" w:rsidP="00930225">
      <w:pPr>
        <w:spacing w:after="0" w:line="240" w:lineRule="auto"/>
        <w:ind w:firstLine="708"/>
        <w:jc w:val="both"/>
        <w:rPr>
          <w:rFonts w:ascii="Verdana" w:eastAsia="Calibri" w:hAnsi="Verdana" w:cs="Arial"/>
          <w:b/>
          <w:bCs/>
        </w:rPr>
      </w:pPr>
    </w:p>
    <w:p w14:paraId="60C19BDA" w14:textId="77777777" w:rsidR="00930225" w:rsidRPr="000724B7" w:rsidRDefault="00930225" w:rsidP="00930225">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209.</w:t>
      </w:r>
      <w:r w:rsidRPr="000724B7">
        <w:rPr>
          <w:rFonts w:ascii="Verdana" w:eastAsia="Calibri" w:hAnsi="Verdana" w:cs="Arial"/>
          <w:sz w:val="20"/>
          <w:szCs w:val="20"/>
        </w:rPr>
        <w:t xml:space="preserv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de gestión y resultados</w:t>
      </w:r>
      <w:r>
        <w:rPr>
          <w:rFonts w:ascii="Verdana" w:eastAsia="Calibri" w:hAnsi="Verdana" w:cs="Arial"/>
          <w:sz w:val="20"/>
          <w:szCs w:val="20"/>
        </w:rPr>
        <w:t>”</w:t>
      </w:r>
      <w:r w:rsidRPr="000724B7">
        <w:rPr>
          <w:rFonts w:ascii="Verdana" w:eastAsia="Calibri" w:hAnsi="Verdana" w:cs="Arial"/>
          <w:sz w:val="20"/>
          <w:szCs w:val="20"/>
        </w:rPr>
        <w:t>.</w:t>
      </w:r>
    </w:p>
    <w:p w14:paraId="7E84DC20" w14:textId="77777777" w:rsidR="00930225" w:rsidRDefault="00930225" w:rsidP="00930225">
      <w:pPr>
        <w:spacing w:after="0" w:line="276" w:lineRule="auto"/>
        <w:ind w:firstLine="708"/>
        <w:jc w:val="both"/>
        <w:rPr>
          <w:rFonts w:ascii="Verdana" w:eastAsia="Calibri" w:hAnsi="Verdana" w:cs="Arial"/>
        </w:rPr>
      </w:pPr>
    </w:p>
    <w:p w14:paraId="49FDA0F9" w14:textId="77777777" w:rsidR="00930225" w:rsidRPr="000724B7" w:rsidRDefault="00930225" w:rsidP="00930225">
      <w:pPr>
        <w:spacing w:after="0" w:line="276" w:lineRule="auto"/>
        <w:ind w:firstLine="709"/>
        <w:jc w:val="both"/>
        <w:rPr>
          <w:rFonts w:ascii="Verdana" w:eastAsia="Calibri" w:hAnsi="Verdana" w:cs="Arial"/>
        </w:rPr>
      </w:pPr>
      <w:r w:rsidRPr="000724B7">
        <w:rPr>
          <w:rFonts w:ascii="Verdana" w:eastAsia="Calibri" w:hAnsi="Verdana" w:cs="Arial"/>
        </w:rPr>
        <w:t>Adicionalmente, el ordenador del gasto asume una responsabilidad solidaria en aquellos casos en que, teniendo conocimiento de incumplimientos contractuales, no actúa para subsanarlos. Esta crucial obligación se detalla en el parágrafo 3° del artículo 84 de la Ley 1474 de 2011 (Estatuto Anticorrupción):</w:t>
      </w:r>
    </w:p>
    <w:p w14:paraId="22155949" w14:textId="77777777" w:rsidR="00930225" w:rsidRDefault="00930225" w:rsidP="00930225">
      <w:pPr>
        <w:spacing w:after="0" w:line="276" w:lineRule="auto"/>
        <w:ind w:firstLine="708"/>
        <w:jc w:val="both"/>
        <w:rPr>
          <w:rFonts w:ascii="Verdana" w:eastAsia="Calibri" w:hAnsi="Verdana" w:cs="Arial"/>
          <w:b/>
          <w:bCs/>
        </w:rPr>
      </w:pPr>
    </w:p>
    <w:p w14:paraId="280EFD6B" w14:textId="77777777" w:rsidR="00930225" w:rsidRPr="000724B7" w:rsidRDefault="00930225" w:rsidP="00930225">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84. Responsabilidad de la supervisión e interventoría.</w:t>
      </w:r>
      <w:r w:rsidRPr="000724B7">
        <w:rPr>
          <w:rFonts w:ascii="Verdana" w:eastAsia="Calibri" w:hAnsi="Verdana" w:cs="Arial"/>
          <w:sz w:val="20"/>
          <w:szCs w:val="20"/>
        </w:rPr>
        <w:t xml:space="preserve"> (...) </w:t>
      </w:r>
      <w:r w:rsidRPr="000724B7">
        <w:rPr>
          <w:rFonts w:ascii="Verdana" w:eastAsia="Calibri" w:hAnsi="Verdana" w:cs="Arial"/>
          <w:b/>
          <w:bCs/>
          <w:sz w:val="20"/>
          <w:szCs w:val="20"/>
        </w:rPr>
        <w:t>Parágrafo 3°.</w:t>
      </w:r>
      <w:r w:rsidRPr="000724B7">
        <w:rPr>
          <w:rFonts w:ascii="Verdana" w:eastAsia="Calibri" w:hAnsi="Verdana" w:cs="Arial"/>
          <w:sz w:val="20"/>
          <w:szCs w:val="20"/>
        </w:rPr>
        <w:t xml:space="preserve"> El ordenador del gasto o quien tenga la competencia para la ordenación del gasto, al ser informado de un incumplimiento por parte del supervisor o interventor, que sin justa causa no actúe, será solidariamente responsable con el contratista por los perjuicios que se causen a la entidad.</w:t>
      </w:r>
    </w:p>
    <w:p w14:paraId="621CB8AD" w14:textId="77777777" w:rsidR="00930225" w:rsidRPr="000724B7" w:rsidRDefault="00930225" w:rsidP="00930225">
      <w:pPr>
        <w:spacing w:after="0" w:line="276" w:lineRule="auto"/>
        <w:ind w:left="709"/>
        <w:jc w:val="both"/>
        <w:rPr>
          <w:rFonts w:ascii="Verdana" w:eastAsia="Calibri" w:hAnsi="Verdana" w:cs="Arial"/>
          <w:sz w:val="20"/>
          <w:szCs w:val="20"/>
        </w:rPr>
      </w:pPr>
    </w:p>
    <w:p w14:paraId="02E5B7A4" w14:textId="77777777" w:rsidR="00930225" w:rsidRPr="00B31C7B" w:rsidRDefault="00930225" w:rsidP="00930225">
      <w:pPr>
        <w:spacing w:after="120" w:line="276" w:lineRule="auto"/>
        <w:ind w:firstLine="708"/>
        <w:jc w:val="both"/>
        <w:rPr>
          <w:rFonts w:ascii="Verdana" w:eastAsia="Calibri" w:hAnsi="Verdana" w:cs="Arial"/>
        </w:rPr>
      </w:pPr>
      <w:r w:rsidRPr="00B31C7B">
        <w:rPr>
          <w:rFonts w:ascii="Verdana" w:eastAsia="Calibri" w:hAnsi="Verdana" w:cs="Arial"/>
          <w:bCs/>
        </w:rPr>
        <w:t xml:space="preserve">La competencia reside en la expedición de actos precontractuales, contractuales y </w:t>
      </w:r>
      <w:proofErr w:type="spellStart"/>
      <w:r w:rsidRPr="00B31C7B">
        <w:rPr>
          <w:rFonts w:ascii="Verdana" w:eastAsia="Calibri" w:hAnsi="Verdana" w:cs="Arial"/>
          <w:bCs/>
        </w:rPr>
        <w:t>poscontractuales</w:t>
      </w:r>
      <w:proofErr w:type="spellEnd"/>
      <w:r w:rsidRPr="00B31C7B">
        <w:rPr>
          <w:rFonts w:ascii="Verdana" w:eastAsia="Calibri" w:hAnsi="Verdana" w:cs="Arial"/>
          <w:bCs/>
        </w:rPr>
        <w:t xml:space="preserve"> en el marco del proceso de contratación pública. </w:t>
      </w:r>
      <w:r w:rsidRPr="00B31C7B">
        <w:rPr>
          <w:rFonts w:ascii="Verdana" w:eastAsia="Calibri" w:hAnsi="Verdana" w:cs="Arial"/>
        </w:rPr>
        <w:t>Sin embargo, esta competencia, puede delegarse total o parcialmente, de conformidad a lo regulado en el artículo 21 de la Ley 1150 de 2007, que modifica el artículo 12 de la Ley 80, y tiene como finalidad la posibilidad que los jefes y representantes legales de las entidades puedan delegar, total o parcialmente, la competencia para celebrar contratos a aquellos empleados que pertenezcan al nivel directivo.</w:t>
      </w:r>
    </w:p>
    <w:p w14:paraId="41C2CC8B" w14:textId="77777777" w:rsidR="00930225" w:rsidRDefault="00930225" w:rsidP="00930225">
      <w:pPr>
        <w:spacing w:after="120" w:line="276" w:lineRule="auto"/>
        <w:ind w:firstLine="709"/>
        <w:jc w:val="both"/>
        <w:rPr>
          <w:rFonts w:ascii="Verdana" w:eastAsia="Calibri" w:hAnsi="Verdana" w:cs="Arial"/>
        </w:rPr>
      </w:pPr>
      <w:r w:rsidRPr="000724B7">
        <w:rPr>
          <w:rFonts w:ascii="Verdana" w:eastAsia="Calibri" w:hAnsi="Verdana" w:cs="Arial"/>
        </w:rPr>
        <w:lastRenderedPageBreak/>
        <w:t xml:space="preserve">Así las cosas, el ordenador del gasto, como funcionario responsable de autorizar y comprometer los recursos públicos en la contratación estatal, debe suscribir todos los documentos contractuales necesarios para la correcta ejecución del contrato y para que estos posean plena validez jurídica. Dentro de estos documentos esenciales se encuentran </w:t>
      </w:r>
      <w:r>
        <w:rPr>
          <w:rFonts w:ascii="Verdana" w:eastAsia="Calibri" w:hAnsi="Verdana" w:cs="Arial"/>
        </w:rPr>
        <w:t>las modificaciones contractuales</w:t>
      </w:r>
      <w:r w:rsidRPr="000724B7">
        <w:rPr>
          <w:rFonts w:ascii="Verdana" w:eastAsia="Calibri" w:hAnsi="Verdana" w:cs="Arial"/>
        </w:rPr>
        <w:t>, ya que su firma es indispensable para formalizar cualquier extensión del contrato y garantizar la continuidad legal de la relación contractual</w:t>
      </w:r>
      <w:r>
        <w:rPr>
          <w:rFonts w:ascii="Verdana" w:eastAsia="Calibri" w:hAnsi="Verdana" w:cs="Arial"/>
        </w:rPr>
        <w:t>.</w:t>
      </w:r>
    </w:p>
    <w:p w14:paraId="692DD2A7" w14:textId="65FF45A4" w:rsidR="00930225" w:rsidRDefault="00930225" w:rsidP="00930225">
      <w:pPr>
        <w:spacing w:after="120" w:line="276" w:lineRule="auto"/>
        <w:ind w:firstLine="709"/>
        <w:jc w:val="both"/>
        <w:textAlignment w:val="baseline"/>
        <w:rPr>
          <w:rFonts w:ascii="Verdana" w:eastAsia="Times New Roman" w:hAnsi="Verdana" w:cs="Arial"/>
          <w:lang w:val="es-ES_tradnl" w:eastAsia="es-MX"/>
        </w:rPr>
      </w:pPr>
      <w:bookmarkStart w:id="11" w:name="_Hlk173311098"/>
      <w:bookmarkStart w:id="12" w:name="_Hlk182495957"/>
      <w:r w:rsidRPr="001827D1">
        <w:rPr>
          <w:rFonts w:ascii="Verdana" w:eastAsia="Times New Roman" w:hAnsi="Verdana" w:cs="Arial"/>
          <w:shd w:val="clear" w:color="auto" w:fill="FFFFFF"/>
          <w:lang w:val="es-ES"/>
        </w:rPr>
        <w:t xml:space="preserve">La Ley 80 de 1993 establece en sus artículos 4, 5, 12, 14 y 26, entre otros aspectos, la obligación de las </w:t>
      </w:r>
      <w:r w:rsidR="00587DE8" w:rsidRPr="001827D1">
        <w:rPr>
          <w:rFonts w:ascii="Verdana" w:eastAsia="Times New Roman" w:hAnsi="Verdana" w:cs="Arial"/>
          <w:shd w:val="clear" w:color="auto" w:fill="FFFFFF"/>
          <w:lang w:val="es-ES"/>
        </w:rPr>
        <w:t>entidades estatales</w:t>
      </w:r>
      <w:r w:rsidRPr="001827D1">
        <w:rPr>
          <w:rFonts w:ascii="Verdana" w:eastAsia="Times New Roman" w:hAnsi="Verdana" w:cs="Arial"/>
          <w:shd w:val="clear" w:color="auto" w:fill="FFFFFF"/>
          <w:lang w:val="es-ES"/>
        </w:rPr>
        <w:t xml:space="preserve">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w:t>
      </w:r>
      <w:r>
        <w:rPr>
          <w:rFonts w:ascii="Verdana" w:eastAsia="Times New Roman" w:hAnsi="Verdana" w:cs="Arial"/>
          <w:shd w:val="clear" w:color="auto" w:fill="FFFFFF"/>
          <w:lang w:val="es-ES"/>
        </w:rPr>
        <w:t xml:space="preserve">, </w:t>
      </w:r>
      <w:r w:rsidRPr="001827D1">
        <w:rPr>
          <w:rFonts w:ascii="Verdana" w:eastAsia="Times New Roman" w:hAnsi="Verdana" w:cs="Arial"/>
          <w:shd w:val="clear" w:color="auto" w:fill="FFFFFF"/>
          <w:lang w:val="es-ES"/>
        </w:rPr>
        <w:t>pero también de los servidores públicos que intervienen en ella. En ese sentido, las Entidades Estatales deben ejercer el control de la ejecución del contrato y, de ser el caso, tomar medidas para exigir su adecuado cumplimiento.</w:t>
      </w:r>
    </w:p>
    <w:p w14:paraId="1DF73F90" w14:textId="77777777" w:rsidR="00930225" w:rsidRPr="001827D1" w:rsidRDefault="00930225" w:rsidP="00930225">
      <w:pPr>
        <w:spacing w:after="120" w:line="276" w:lineRule="auto"/>
        <w:ind w:firstLine="709"/>
        <w:jc w:val="both"/>
        <w:textAlignment w:val="baseline"/>
        <w:rPr>
          <w:rFonts w:ascii="Verdana" w:eastAsia="Times New Roman" w:hAnsi="Verdana" w:cs="Arial"/>
          <w:lang w:val="es-ES_tradnl" w:eastAsia="es-MX"/>
        </w:rPr>
      </w:pPr>
      <w:r>
        <w:rPr>
          <w:rFonts w:ascii="Verdana" w:eastAsia="Times New Roman" w:hAnsi="Verdana" w:cs="Arial"/>
          <w:lang w:val="es-ES_tradnl" w:eastAsia="es-MX"/>
        </w:rPr>
        <w:t>Por otra parte, l</w:t>
      </w:r>
      <w:r w:rsidRPr="001827D1">
        <w:rPr>
          <w:rFonts w:ascii="Verdana" w:eastAsia="Times New Roman" w:hAnsi="Verdana" w:cs="Arial"/>
          <w:lang w:val="es-ES_tradnl" w:eastAsia="es-MX"/>
        </w:rPr>
        <w:t>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1827D1">
        <w:rPr>
          <w:rFonts w:ascii="Verdana" w:eastAsia="Times New Roman" w:hAnsi="Verdana" w:cs="Arial"/>
          <w:vertAlign w:val="superscript"/>
          <w:lang w:val="es-ES_tradnl" w:eastAsia="es-MX"/>
        </w:rPr>
        <w:footnoteReference w:id="25"/>
      </w:r>
      <w:r w:rsidRPr="001827D1">
        <w:rPr>
          <w:rFonts w:ascii="Verdana" w:eastAsia="Times New Roman" w:hAnsi="Verdana" w:cs="Arial"/>
          <w:lang w:val="es-ES_tradnl" w:eastAsia="es-MX"/>
        </w:rPr>
        <w:t>. También se establecen los límites de la responsabilidad del representante legal ante la delegación de sus funciones en materia contractual</w:t>
      </w:r>
      <w:r w:rsidRPr="001827D1">
        <w:rPr>
          <w:rFonts w:ascii="Verdana" w:eastAsia="Times New Roman" w:hAnsi="Verdana" w:cs="Arial"/>
          <w:vertAlign w:val="superscript"/>
          <w:lang w:val="es-ES_tradnl" w:eastAsia="es-MX"/>
        </w:rPr>
        <w:footnoteReference w:id="26"/>
      </w:r>
      <w:r w:rsidRPr="001827D1">
        <w:rPr>
          <w:rFonts w:ascii="Verdana" w:eastAsia="Times New Roman" w:hAnsi="Verdana" w:cs="Arial"/>
          <w:lang w:val="es-ES_tradnl" w:eastAsia="es-MX"/>
        </w:rPr>
        <w:t xml:space="preserve"> y se regula la supervisión y la interventoría de los contratos estatales</w:t>
      </w:r>
      <w:r w:rsidRPr="001827D1">
        <w:rPr>
          <w:rFonts w:ascii="Verdana" w:eastAsia="Times New Roman" w:hAnsi="Verdana" w:cs="Arial"/>
          <w:vertAlign w:val="superscript"/>
          <w:lang w:val="es-ES_tradnl" w:eastAsia="es-MX"/>
        </w:rPr>
        <w:footnoteReference w:id="27"/>
      </w:r>
      <w:r w:rsidRPr="001827D1">
        <w:rPr>
          <w:rFonts w:ascii="Verdana" w:eastAsia="Times New Roman" w:hAnsi="Verdana" w:cs="Arial"/>
          <w:lang w:val="es-ES_tradnl" w:eastAsia="es-MX"/>
        </w:rPr>
        <w:t>.</w:t>
      </w:r>
    </w:p>
    <w:p w14:paraId="314E4A8F" w14:textId="77777777" w:rsidR="00930225" w:rsidRPr="001827D1" w:rsidRDefault="00930225" w:rsidP="00930225">
      <w:pPr>
        <w:spacing w:before="120" w:after="120" w:line="276" w:lineRule="auto"/>
        <w:ind w:firstLine="709"/>
        <w:contextualSpacing/>
        <w:jc w:val="both"/>
        <w:textAlignment w:val="baseline"/>
        <w:rPr>
          <w:rFonts w:ascii="Verdana" w:eastAsia="Times New Roman" w:hAnsi="Verdana" w:cs="Arial"/>
          <w:lang w:val="es-ES_tradnl" w:eastAsia="es-MX"/>
        </w:rPr>
      </w:pPr>
      <w:r>
        <w:rPr>
          <w:rFonts w:ascii="Verdana" w:eastAsia="Times New Roman" w:hAnsi="Verdana" w:cs="Arial"/>
          <w:lang w:val="es-ES_tradnl" w:eastAsia="es-MX"/>
        </w:rPr>
        <w:t>Así mismo</w:t>
      </w:r>
      <w:r w:rsidRPr="001827D1">
        <w:rPr>
          <w:rFonts w:ascii="Verdana" w:eastAsia="Times New Roman" w:hAnsi="Verdana" w:cs="Arial"/>
          <w:lang w:val="es-ES_tradnl" w:eastAsia="es-MX"/>
        </w:rPr>
        <w:t xml:space="preserve">, se tiene que, la jurisprudencia contencioso-administrativa, ha considerado que la obligación de vigilar la correcta ejecución del objeto contractual es una función de la entidad contratante, en los siguientes términos: </w:t>
      </w:r>
    </w:p>
    <w:p w14:paraId="238F2239" w14:textId="77777777" w:rsidR="00930225" w:rsidRPr="001827D1" w:rsidRDefault="00930225" w:rsidP="00930225">
      <w:pPr>
        <w:spacing w:after="0"/>
        <w:ind w:left="709"/>
        <w:contextualSpacing/>
        <w:jc w:val="both"/>
        <w:rPr>
          <w:rFonts w:ascii="Verdana" w:eastAsia="Times New Roman" w:hAnsi="Verdana" w:cs="Arial"/>
          <w:lang w:val="es-ES_tradnl" w:eastAsia="es-MX"/>
        </w:rPr>
      </w:pPr>
    </w:p>
    <w:p w14:paraId="1104B786" w14:textId="137EA2E3" w:rsidR="00930225" w:rsidRDefault="00930225" w:rsidP="005D67D9">
      <w:pPr>
        <w:spacing w:after="0" w:line="240" w:lineRule="auto"/>
        <w:ind w:left="709" w:right="709"/>
        <w:contextualSpacing/>
        <w:jc w:val="both"/>
        <w:rPr>
          <w:rFonts w:ascii="Verdana" w:eastAsia="Times New Roman" w:hAnsi="Verdana" w:cs="Arial"/>
          <w:sz w:val="20"/>
          <w:szCs w:val="20"/>
          <w:lang w:val="es-ES_tradnl" w:eastAsia="es-MX"/>
        </w:rPr>
      </w:pPr>
      <w:bookmarkStart w:id="13" w:name="_Hlk178671999"/>
      <w:r w:rsidRPr="001827D1">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13"/>
      <w:r w:rsidRPr="001827D1">
        <w:rPr>
          <w:rFonts w:ascii="Verdana" w:eastAsia="Times New Roman" w:hAnsi="Verdana" w:cs="Arial"/>
          <w:sz w:val="20"/>
          <w:szCs w:val="20"/>
          <w:lang w:val="es-ES_tradnl" w:eastAsia="es-MX"/>
        </w:rPr>
        <w:t xml:space="preserve">, quien administra la adecuada y oportuna ejecución del contrato no sólo debe velar por que las partes den cumplimiento a las obligaciones contractuales, </w:t>
      </w:r>
      <w:r w:rsidRPr="001827D1">
        <w:rPr>
          <w:rFonts w:ascii="Verdana" w:eastAsia="Times New Roman" w:hAnsi="Verdana" w:cs="Arial"/>
          <w:sz w:val="20"/>
          <w:szCs w:val="20"/>
          <w:lang w:val="es-ES_tradnl" w:eastAsia="es-MX"/>
        </w:rPr>
        <w:lastRenderedPageBreak/>
        <w:t>sino que el contrato se ejecute en el tiempo y la forma convenidos, para esta forma garantizar la satisfacción de las necesidades que la administración buscaba alcanzar con la celebración del respectivo contrato”</w:t>
      </w:r>
      <w:r w:rsidRPr="001827D1">
        <w:rPr>
          <w:rFonts w:ascii="Verdana" w:eastAsia="Times New Roman" w:hAnsi="Verdana" w:cs="Arial"/>
          <w:sz w:val="20"/>
          <w:szCs w:val="20"/>
          <w:vertAlign w:val="superscript"/>
          <w:lang w:val="es-ES_tradnl" w:eastAsia="es-MX"/>
        </w:rPr>
        <w:footnoteReference w:id="28"/>
      </w:r>
      <w:r w:rsidRPr="001827D1">
        <w:rPr>
          <w:rFonts w:ascii="Verdana" w:eastAsia="Times New Roman" w:hAnsi="Verdana" w:cs="Arial"/>
          <w:sz w:val="20"/>
          <w:szCs w:val="20"/>
          <w:lang w:val="es-ES_tradnl" w:eastAsia="es-MX"/>
        </w:rPr>
        <w:t>.</w:t>
      </w:r>
    </w:p>
    <w:p w14:paraId="2A800691" w14:textId="77777777" w:rsidR="007F661B" w:rsidRPr="005D67D9" w:rsidRDefault="007F661B" w:rsidP="005D67D9">
      <w:pPr>
        <w:spacing w:after="0" w:line="240" w:lineRule="auto"/>
        <w:ind w:left="709" w:right="709"/>
        <w:contextualSpacing/>
        <w:jc w:val="both"/>
        <w:rPr>
          <w:rFonts w:ascii="Verdana" w:eastAsia="Times New Roman" w:hAnsi="Verdana" w:cs="Arial"/>
          <w:sz w:val="20"/>
          <w:szCs w:val="20"/>
          <w:lang w:val="es-ES_tradnl" w:eastAsia="es-MX"/>
        </w:rPr>
      </w:pPr>
    </w:p>
    <w:p w14:paraId="7D013810" w14:textId="77777777" w:rsidR="00930225" w:rsidRPr="001827D1" w:rsidRDefault="00930225" w:rsidP="00930225">
      <w:pPr>
        <w:spacing w:after="0" w:line="276" w:lineRule="auto"/>
        <w:ind w:firstLine="709"/>
        <w:contextualSpacing/>
        <w:jc w:val="both"/>
        <w:textAlignment w:val="baseline"/>
        <w:rPr>
          <w:rFonts w:ascii="Verdana" w:eastAsia="Times New Roman" w:hAnsi="Verdana" w:cs="Arial"/>
          <w:lang w:val="es-ES" w:eastAsia="es-MX"/>
        </w:rPr>
      </w:pPr>
      <w:r w:rsidRPr="001827D1">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32D0BA58" w14:textId="77777777" w:rsidR="00930225" w:rsidRPr="001827D1" w:rsidRDefault="00930225" w:rsidP="00930225">
      <w:pPr>
        <w:spacing w:after="0" w:line="276" w:lineRule="auto"/>
        <w:ind w:left="720" w:firstLine="709"/>
        <w:contextualSpacing/>
        <w:jc w:val="both"/>
        <w:textAlignment w:val="baseline"/>
        <w:rPr>
          <w:rFonts w:ascii="Verdana" w:eastAsia="Times New Roman" w:hAnsi="Verdana" w:cs="Arial"/>
          <w:lang w:val="es-ES_tradnl" w:eastAsia="es-MX"/>
        </w:rPr>
      </w:pPr>
    </w:p>
    <w:p w14:paraId="0C89979E" w14:textId="77777777" w:rsidR="00930225" w:rsidRDefault="00930225" w:rsidP="00930225">
      <w:pPr>
        <w:spacing w:after="0" w:line="240" w:lineRule="auto"/>
        <w:ind w:left="709" w:right="709"/>
        <w:jc w:val="both"/>
        <w:textAlignment w:val="baseline"/>
        <w:rPr>
          <w:rFonts w:ascii="Verdana" w:eastAsia="Times New Roman" w:hAnsi="Verdana" w:cs="Arial"/>
          <w:sz w:val="20"/>
          <w:szCs w:val="20"/>
          <w:lang w:val="es-ES" w:eastAsia="es-MX"/>
        </w:rPr>
      </w:pPr>
      <w:r w:rsidRPr="001827D1">
        <w:rPr>
          <w:rFonts w:ascii="Verdana" w:eastAsia="Times New Roman" w:hAnsi="Verdana" w:cs="Arial"/>
          <w:sz w:val="20"/>
          <w:szCs w:val="20"/>
          <w:lang w:val="es-ES" w:eastAsia="es-MX"/>
        </w:rPr>
        <w:t xml:space="preserve">“La supervisión consistirá en el seguimiento técnico, administrativo, financiero, contable, y jurídico </w:t>
      </w:r>
      <w:proofErr w:type="gramStart"/>
      <w:r w:rsidRPr="001827D1">
        <w:rPr>
          <w:rFonts w:ascii="Verdana" w:eastAsia="Times New Roman" w:hAnsi="Verdana" w:cs="Arial"/>
          <w:sz w:val="20"/>
          <w:szCs w:val="20"/>
          <w:lang w:val="es-ES" w:eastAsia="es-MX"/>
        </w:rPr>
        <w:t>que</w:t>
      </w:r>
      <w:proofErr w:type="gramEnd"/>
      <w:r w:rsidRPr="001827D1">
        <w:rPr>
          <w:rFonts w:ascii="Verdana" w:eastAsia="Times New Roman" w:hAnsi="Verdana" w:cs="Arial"/>
          <w:sz w:val="20"/>
          <w:szCs w:val="20"/>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158A2D1E" w14:textId="77777777" w:rsidR="00930225" w:rsidRPr="001827D1" w:rsidRDefault="00930225" w:rsidP="00930225">
      <w:pPr>
        <w:spacing w:after="0" w:line="240" w:lineRule="auto"/>
        <w:ind w:left="709" w:right="709"/>
        <w:jc w:val="both"/>
        <w:textAlignment w:val="baseline"/>
        <w:rPr>
          <w:rFonts w:ascii="Verdana" w:eastAsia="Times New Roman" w:hAnsi="Verdana" w:cs="Arial"/>
          <w:sz w:val="20"/>
          <w:szCs w:val="20"/>
          <w:lang w:val="es-ES" w:eastAsia="es-MX"/>
        </w:rPr>
      </w:pPr>
    </w:p>
    <w:p w14:paraId="70F18B85" w14:textId="77777777" w:rsidR="00930225" w:rsidRPr="001827D1" w:rsidRDefault="00930225" w:rsidP="00930225">
      <w:pPr>
        <w:spacing w:after="0" w:line="240" w:lineRule="auto"/>
        <w:ind w:left="709" w:right="709"/>
        <w:jc w:val="both"/>
        <w:textAlignment w:val="baseline"/>
        <w:rPr>
          <w:rFonts w:ascii="Verdana" w:eastAsia="Times New Roman" w:hAnsi="Verdana" w:cs="Arial"/>
          <w:sz w:val="20"/>
          <w:szCs w:val="20"/>
          <w:lang w:val="es-ES" w:eastAsia="es-MX"/>
        </w:rPr>
      </w:pPr>
      <w:r w:rsidRPr="001827D1">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1827D1">
        <w:rPr>
          <w:rFonts w:ascii="Verdana" w:eastAsia="Times New Roman" w:hAnsi="Verdana" w:cs="Arial"/>
          <w:sz w:val="20"/>
          <w:szCs w:val="20"/>
          <w:lang w:val="es-ES" w:eastAsia="es-MX"/>
        </w:rPr>
        <w:t>del mismo</w:t>
      </w:r>
      <w:proofErr w:type="gramEnd"/>
      <w:r w:rsidRPr="001827D1">
        <w:rPr>
          <w:rFonts w:ascii="Verdana" w:eastAsia="Times New Roman"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1827D1">
        <w:rPr>
          <w:rFonts w:ascii="Verdana" w:eastAsia="Times New Roman" w:hAnsi="Verdana" w:cs="Arial"/>
          <w:sz w:val="20"/>
          <w:szCs w:val="20"/>
          <w:vertAlign w:val="superscript"/>
          <w:lang w:val="es-ES" w:eastAsia="es-MX"/>
        </w:rPr>
        <w:footnoteReference w:id="29"/>
      </w:r>
      <w:r w:rsidRPr="001827D1">
        <w:rPr>
          <w:rFonts w:ascii="Verdana" w:eastAsia="Times New Roman" w:hAnsi="Verdana" w:cs="Arial"/>
          <w:sz w:val="20"/>
          <w:szCs w:val="20"/>
          <w:lang w:val="es-ES" w:eastAsia="es-MX"/>
        </w:rPr>
        <w:t>.</w:t>
      </w:r>
    </w:p>
    <w:p w14:paraId="7D827349" w14:textId="77777777" w:rsidR="00930225" w:rsidRPr="001827D1" w:rsidRDefault="00930225" w:rsidP="00930225">
      <w:pPr>
        <w:spacing w:after="0" w:line="276" w:lineRule="auto"/>
        <w:ind w:left="720"/>
        <w:contextualSpacing/>
        <w:jc w:val="both"/>
        <w:textAlignment w:val="baseline"/>
        <w:rPr>
          <w:rFonts w:ascii="Verdana" w:eastAsia="Times New Roman" w:hAnsi="Verdana" w:cs="Arial"/>
          <w:lang w:val="es-ES" w:eastAsia="es-MX"/>
        </w:rPr>
      </w:pPr>
    </w:p>
    <w:p w14:paraId="108DAF09" w14:textId="77777777" w:rsidR="00930225" w:rsidRPr="001827D1" w:rsidRDefault="00930225" w:rsidP="00930225">
      <w:pPr>
        <w:spacing w:after="120" w:line="276" w:lineRule="auto"/>
        <w:ind w:firstLine="709"/>
        <w:jc w:val="both"/>
        <w:rPr>
          <w:rFonts w:ascii="Verdana" w:eastAsia="Times New Roman" w:hAnsi="Verdana" w:cs="Arial"/>
          <w:shd w:val="clear" w:color="auto" w:fill="FFFFFF"/>
          <w:lang w:val="es-ES"/>
        </w:rPr>
      </w:pPr>
      <w:r w:rsidRPr="001827D1">
        <w:rPr>
          <w:rFonts w:ascii="Verdana" w:eastAsia="Times New Roman" w:hAnsi="Verdana" w:cs="Arial"/>
          <w:bCs/>
          <w:lang w:val="es-ES"/>
        </w:rPr>
        <w:t xml:space="preserve">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w:t>
      </w:r>
      <w:r w:rsidRPr="001827D1">
        <w:rPr>
          <w:rFonts w:ascii="Verdana" w:eastAsia="Times New Roman" w:hAnsi="Verdana" w:cs="Arial"/>
          <w:bCs/>
          <w:lang w:val="es-ES"/>
        </w:rPr>
        <w:lastRenderedPageBreak/>
        <w:t>contratos de prestación de servicios –a diferencia de la interventoría que depende del análisis de su necesidad y extensión</w:t>
      </w:r>
      <w:r w:rsidRPr="001827D1">
        <w:rPr>
          <w:rFonts w:ascii="Verdana" w:eastAsia="Times New Roman" w:hAnsi="Verdana" w:cs="Arial"/>
          <w:bCs/>
          <w:vertAlign w:val="superscript"/>
          <w:lang w:val="es-ES"/>
        </w:rPr>
        <w:footnoteReference w:id="30"/>
      </w:r>
      <w:r w:rsidRPr="001827D1">
        <w:rPr>
          <w:rFonts w:ascii="Verdana" w:eastAsia="Times New Roman" w:hAnsi="Verdana" w:cs="Arial"/>
          <w:bCs/>
          <w:lang w:val="es-ES"/>
        </w:rPr>
        <w:t xml:space="preserve">–; </w:t>
      </w:r>
      <w:proofErr w:type="spellStart"/>
      <w:r w:rsidRPr="001827D1">
        <w:rPr>
          <w:rFonts w:ascii="Verdana" w:eastAsia="Times New Roman" w:hAnsi="Verdana" w:cs="Arial"/>
          <w:bCs/>
          <w:lang w:val="es-ES"/>
        </w:rPr>
        <w:t>ii</w:t>
      </w:r>
      <w:proofErr w:type="spellEnd"/>
      <w:r w:rsidRPr="001827D1">
        <w:rPr>
          <w:rFonts w:ascii="Verdana" w:eastAsia="Times New Roman" w:hAnsi="Verdana" w:cs="Arial"/>
          <w:bCs/>
          <w:lang w:val="es-ES"/>
        </w:rPr>
        <w:t xml:space="preserve">) no requiere conocimientos tan especializados como la interventoría; </w:t>
      </w:r>
      <w:proofErr w:type="spellStart"/>
      <w:r w:rsidRPr="001827D1">
        <w:rPr>
          <w:rFonts w:ascii="Verdana" w:eastAsia="Times New Roman" w:hAnsi="Verdana" w:cs="Arial"/>
          <w:bCs/>
          <w:lang w:val="es-ES"/>
        </w:rPr>
        <w:t>iii</w:t>
      </w:r>
      <w:proofErr w:type="spellEnd"/>
      <w:r w:rsidRPr="001827D1">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1827D1">
        <w:rPr>
          <w:rFonts w:ascii="Verdana" w:eastAsia="Times New Roman" w:hAnsi="Verdana" w:cs="Arial"/>
          <w:bCs/>
          <w:lang w:val="es-ES"/>
        </w:rPr>
        <w:t>iv</w:t>
      </w:r>
      <w:proofErr w:type="spellEnd"/>
      <w:r w:rsidRPr="001827D1">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268094F5" w14:textId="77777777" w:rsidR="00930225" w:rsidRPr="001827D1" w:rsidRDefault="00930225" w:rsidP="00930225">
      <w:pPr>
        <w:spacing w:before="120" w:after="0" w:line="276" w:lineRule="auto"/>
        <w:ind w:firstLine="709"/>
        <w:contextualSpacing/>
        <w:jc w:val="both"/>
        <w:rPr>
          <w:rFonts w:ascii="Verdana" w:eastAsia="Times New Roman" w:hAnsi="Verdana" w:cs="Arial"/>
          <w:shd w:val="clear" w:color="auto" w:fill="FFFFFF"/>
          <w:lang w:val="es-ES"/>
        </w:rPr>
      </w:pPr>
      <w:r>
        <w:rPr>
          <w:rFonts w:ascii="Verdana" w:eastAsia="Times New Roman" w:hAnsi="Verdana" w:cs="Arial"/>
          <w:bCs/>
          <w:lang w:val="es-ES"/>
        </w:rPr>
        <w:t>L</w:t>
      </w:r>
      <w:r w:rsidRPr="001827D1">
        <w:rPr>
          <w:rFonts w:ascii="Verdana" w:eastAsia="Times New Roman" w:hAnsi="Verdana" w:cs="Arial"/>
          <w:shd w:val="clear" w:color="auto" w:fill="FFFFFF"/>
          <w:lang w:val="es-ES"/>
        </w:rPr>
        <w:t xml:space="preserve">a “Guía para el ejercicio de las funciones de supervisión e interventoría de los contratos suscritos por las Entidades Estatales” señala que tanto supervisores e interventores tienen la función general de ejercer el control y vigilancia sobre la ejecución contractual de los contratos respecto de los cuales ejercen sus correspondientes obligaciones. Dicha labor debe ir dirigida a verificar el cumplimiento de las condiciones pactadas, por lo que están facultados para solicitar informes, aclaraciones y explicaciones sobre el desarrollo de la ejecución contractual, impartir instrucciones al contratista y hacer recomendaciones encaminadas a lograr la correcta ejecución del objeto contratado. De hecho, conforme a lo manifestado por esta Agencia en la mencionada Guía, los supervisores e intervenciones tienen funciones generales como: </w:t>
      </w:r>
    </w:p>
    <w:p w14:paraId="2DDF46AF" w14:textId="77777777" w:rsidR="00930225" w:rsidRDefault="00930225" w:rsidP="00930225">
      <w:pPr>
        <w:spacing w:after="0" w:line="276" w:lineRule="auto"/>
        <w:ind w:left="709" w:right="709"/>
        <w:jc w:val="both"/>
        <w:rPr>
          <w:rFonts w:ascii="Verdana" w:eastAsia="Times New Roman" w:hAnsi="Verdana" w:cs="Arial"/>
          <w:color w:val="000000"/>
          <w:sz w:val="20"/>
          <w:szCs w:val="20"/>
          <w:lang w:val="es-MX"/>
        </w:rPr>
      </w:pPr>
    </w:p>
    <w:p w14:paraId="69A76C95"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Pr>
          <w:rFonts w:ascii="Verdana" w:eastAsia="Times New Roman" w:hAnsi="Verdana" w:cs="Arial"/>
          <w:color w:val="000000"/>
          <w:sz w:val="20"/>
          <w:szCs w:val="20"/>
          <w:lang w:val="es-MX"/>
        </w:rPr>
        <w:t>“</w:t>
      </w:r>
      <w:r w:rsidRPr="001827D1">
        <w:rPr>
          <w:rFonts w:ascii="Verdana" w:eastAsia="Times New Roman" w:hAnsi="Verdana" w:cs="Arial"/>
          <w:color w:val="000000"/>
          <w:sz w:val="20"/>
          <w:szCs w:val="20"/>
          <w:lang w:val="es-MX"/>
        </w:rPr>
        <w:t>Apoyar el logro de los objetivos contractuales.</w:t>
      </w:r>
    </w:p>
    <w:p w14:paraId="56FD7522"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54836D7F"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3D22D0">
        <w:rPr>
          <w:rFonts w:ascii="Verdana" w:eastAsia="Times New Roman" w:hAnsi="Verdana" w:cs="Arial"/>
          <w:color w:val="000000"/>
          <w:sz w:val="20"/>
          <w:szCs w:val="20"/>
          <w:u w:val="single"/>
          <w:lang w:val="es-MX"/>
        </w:rPr>
        <w:t>Velar por el cumplimiento del contrato en términos de plazos, calidades, cantidades y adecuada ejecución de los recursos del contrato</w:t>
      </w:r>
      <w:r w:rsidRPr="00F72CF8">
        <w:rPr>
          <w:rFonts w:ascii="Verdana" w:eastAsia="Times New Roman" w:hAnsi="Verdana" w:cs="Arial"/>
          <w:color w:val="000000"/>
          <w:sz w:val="20"/>
          <w:szCs w:val="20"/>
          <w:u w:val="single"/>
          <w:lang w:val="es-MX"/>
        </w:rPr>
        <w:t>.</w:t>
      </w:r>
    </w:p>
    <w:p w14:paraId="510C7A4D"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66BCBBA7"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Mantener en contacto a las partes del contrato.</w:t>
      </w:r>
    </w:p>
    <w:p w14:paraId="7177F425"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21DE20A9"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 xml:space="preserve">Evitar la generación de controversias y propender por su rápida solución. </w:t>
      </w:r>
    </w:p>
    <w:p w14:paraId="6197B88D"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148FEC2A"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Solicitar informes, llevar a cabo reuniones, integrar comités y desarrollar otras herramientas encaminadas a verificar la adecuada ejecución del contrato.</w:t>
      </w:r>
    </w:p>
    <w:p w14:paraId="7063D328"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40A8A5CF"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 xml:space="preserve">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20EDCED7"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5E24E35F"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lastRenderedPageBreak/>
        <w:t>Aprobar o rechazar por escrito, de forma oportuna y motivada la entrega de los bienes o servicios, cuando éstos no se ajustan a lo requerido en el contrato, especificaciones técnicas, condiciones y/o calidades acordadas.</w:t>
      </w:r>
    </w:p>
    <w:p w14:paraId="4833A879"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00D3188E"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Suscribir las actas que se generen durante la ejecución del contrato para dejar documentadas diversas situaciones y entre las que se encuentran: actas de actas parciales de avance, actas parciales de recibo y actas de recibo final.</w:t>
      </w:r>
    </w:p>
    <w:p w14:paraId="3D61B6F5"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68B4B7C2"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 xml:space="preserve">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77FA8236" w14:textId="77777777" w:rsidR="00930225" w:rsidRDefault="00930225" w:rsidP="00930225">
      <w:pPr>
        <w:spacing w:after="0" w:line="240" w:lineRule="auto"/>
        <w:ind w:left="709" w:right="709"/>
        <w:jc w:val="both"/>
        <w:rPr>
          <w:rFonts w:ascii="Verdana" w:eastAsia="Times New Roman" w:hAnsi="Verdana" w:cs="Arial"/>
          <w:color w:val="000000"/>
          <w:sz w:val="20"/>
          <w:szCs w:val="20"/>
          <w:lang w:val="es-MX"/>
        </w:rPr>
      </w:pPr>
    </w:p>
    <w:p w14:paraId="606251AB" w14:textId="77777777" w:rsidR="00930225" w:rsidRPr="001827D1" w:rsidRDefault="00930225" w:rsidP="00930225">
      <w:pPr>
        <w:spacing w:after="0" w:line="240" w:lineRule="auto"/>
        <w:ind w:left="709" w:right="709"/>
        <w:jc w:val="both"/>
        <w:rPr>
          <w:rFonts w:ascii="Verdana" w:eastAsia="Times New Roman" w:hAnsi="Verdana" w:cs="Arial"/>
          <w:color w:val="000000"/>
          <w:sz w:val="20"/>
          <w:szCs w:val="20"/>
          <w:lang w:val="es-MX"/>
        </w:rPr>
      </w:pPr>
      <w:r w:rsidRPr="001827D1">
        <w:rPr>
          <w:rFonts w:ascii="Verdana" w:eastAsia="Times New Roman" w:hAnsi="Verdana" w:cs="Arial"/>
          <w:color w:val="000000"/>
          <w:sz w:val="20"/>
          <w:szCs w:val="20"/>
          <w:lang w:val="es-MX"/>
        </w:rPr>
        <w:t>Informar a la Entidad Estatal cuando se presente incumplimiento contractual; así como entregar los soportes necesarios para que la Entidad Estatal desarrolle las actividades correspondientes</w:t>
      </w:r>
      <w:r>
        <w:rPr>
          <w:rFonts w:ascii="Verdana" w:eastAsia="Times New Roman" w:hAnsi="Verdana" w:cs="Arial"/>
          <w:color w:val="000000"/>
          <w:sz w:val="20"/>
          <w:szCs w:val="20"/>
          <w:lang w:val="es-MX"/>
        </w:rPr>
        <w:t>”</w:t>
      </w:r>
      <w:r w:rsidRPr="001827D1">
        <w:rPr>
          <w:rFonts w:ascii="Verdana" w:eastAsia="Times New Roman" w:hAnsi="Verdana" w:cs="Arial"/>
          <w:color w:val="000000"/>
          <w:sz w:val="20"/>
          <w:szCs w:val="20"/>
          <w:lang w:val="es-MX"/>
        </w:rPr>
        <w:t xml:space="preserve">. (Énfasis fuera de texto). </w:t>
      </w:r>
    </w:p>
    <w:p w14:paraId="36E3F74C" w14:textId="77777777" w:rsidR="00930225" w:rsidRDefault="00930225" w:rsidP="00930225">
      <w:pPr>
        <w:spacing w:after="0" w:line="276" w:lineRule="auto"/>
        <w:ind w:firstLine="709"/>
        <w:contextualSpacing/>
        <w:jc w:val="both"/>
        <w:rPr>
          <w:rFonts w:ascii="Verdana" w:eastAsia="Times New Roman" w:hAnsi="Verdana" w:cs="Arial"/>
          <w:shd w:val="clear" w:color="auto" w:fill="FFFFFF"/>
          <w:lang w:val="es-ES"/>
        </w:rPr>
      </w:pPr>
    </w:p>
    <w:p w14:paraId="6292E0D8" w14:textId="77777777" w:rsidR="00930225" w:rsidRPr="00F46A49" w:rsidRDefault="00930225" w:rsidP="00930225">
      <w:pPr>
        <w:spacing w:after="120" w:line="276" w:lineRule="auto"/>
        <w:ind w:firstLine="709"/>
        <w:jc w:val="both"/>
        <w:rPr>
          <w:rFonts w:ascii="Verdana" w:eastAsia="Times New Roman" w:hAnsi="Verdana" w:cs="Arial"/>
          <w:shd w:val="clear" w:color="auto" w:fill="FFFFFF"/>
          <w:lang w:val="es-ES"/>
        </w:rPr>
      </w:pPr>
      <w:r w:rsidRPr="00F46A49">
        <w:rPr>
          <w:rFonts w:ascii="Verdana" w:eastAsia="Times New Roman" w:hAnsi="Verdana" w:cs="Arial"/>
          <w:shd w:val="clear" w:color="auto" w:fill="FFFFFF"/>
          <w:lang w:val="es-ES"/>
        </w:rPr>
        <w:t>Según se desprende del apartado en cita,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actas de recibo final, entre otros.</w:t>
      </w:r>
    </w:p>
    <w:p w14:paraId="37C8AE30" w14:textId="77777777" w:rsidR="00930225" w:rsidRPr="00F46A49" w:rsidRDefault="00930225" w:rsidP="00930225">
      <w:pPr>
        <w:spacing w:after="120" w:line="276" w:lineRule="auto"/>
        <w:ind w:firstLine="709"/>
        <w:jc w:val="both"/>
        <w:rPr>
          <w:rFonts w:ascii="Verdana" w:eastAsia="Times New Roman" w:hAnsi="Verdana" w:cs="Arial"/>
          <w:shd w:val="clear" w:color="auto" w:fill="FFFFFF"/>
        </w:rPr>
      </w:pPr>
      <w:r w:rsidRPr="00F46A49">
        <w:rPr>
          <w:rFonts w:ascii="Verdana" w:eastAsia="Times New Roman" w:hAnsi="Verdana" w:cs="Arial"/>
          <w:shd w:val="clear" w:color="auto" w:fill="FFFFFF"/>
          <w:lang w:val="es-ES"/>
        </w:rPr>
        <w:t xml:space="preserve">En ese sentido, puede colegirse que la supervisión es uno de los medios para que las entidades ejerzan la 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lo que incluye </w:t>
      </w:r>
      <w:r w:rsidRPr="00F46A49">
        <w:rPr>
          <w:rFonts w:ascii="Verdana" w:hAnsi="Verdana" w:cs="Arial"/>
          <w:shd w:val="clear" w:color="auto" w:fill="FFFFFF"/>
        </w:rPr>
        <w:t>el seguimiento financiero, como la verificación</w:t>
      </w:r>
      <w:r w:rsidRPr="00F46A49">
        <w:rPr>
          <w:rFonts w:ascii="Verdana" w:eastAsia="Times New Roman" w:hAnsi="Verdana" w:cs="Arial"/>
          <w:shd w:val="clear" w:color="auto" w:fill="FFFFFF"/>
        </w:rPr>
        <w:t xml:space="preserve"> de pagos conforme al avance del objeto contractual, control del cumplimiento de obligaciones fiscales y parafiscales, seguimiento a la ejecución presupuestal, lo que implica,  validar la existencia de CDP y RP antes de comprometer recursos, confirmar que los informes de avance estén respaldados por soportes financieros, solicitar informes financieros al contratista y aclaraciones cuando </w:t>
      </w:r>
      <w:r w:rsidRPr="00F46A49">
        <w:rPr>
          <w:rFonts w:ascii="Verdana" w:eastAsia="Times New Roman" w:hAnsi="Verdana" w:cs="Arial"/>
          <w:shd w:val="clear" w:color="auto" w:fill="FFFFFF"/>
        </w:rPr>
        <w:lastRenderedPageBreak/>
        <w:t>haya inconsistencias, la revisión de saldos no ejecutados y las acciones tendientes para la liberación de estos, entre otros.</w:t>
      </w:r>
    </w:p>
    <w:p w14:paraId="28CF3A9C" w14:textId="77777777" w:rsidR="00930225" w:rsidRPr="00401D92" w:rsidRDefault="00930225" w:rsidP="00930225">
      <w:pPr>
        <w:spacing w:after="120" w:line="276" w:lineRule="auto"/>
        <w:ind w:firstLine="709"/>
        <w:jc w:val="both"/>
        <w:rPr>
          <w:rFonts w:ascii="Verdana" w:hAnsi="Verdana"/>
          <w:bCs/>
          <w:lang w:val="es-ES"/>
        </w:rPr>
      </w:pPr>
      <w:r w:rsidRPr="00F46A49">
        <w:rPr>
          <w:rFonts w:ascii="Verdana" w:eastAsia="Times New Roman" w:hAnsi="Verdana" w:cs="Arial"/>
          <w:color w:val="000000"/>
          <w:szCs w:val="24"/>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7F469A">
        <w:rPr>
          <w:rFonts w:ascii="Verdana" w:hAnsi="Verdana"/>
        </w:rPr>
        <w:t xml:space="preserve"> </w:t>
      </w:r>
      <w:bookmarkEnd w:id="11"/>
      <w:bookmarkEnd w:id="12"/>
      <w:r w:rsidRPr="00401D92">
        <w:rPr>
          <w:rFonts w:ascii="Verdana" w:hAnsi="Verdana"/>
        </w:rPr>
        <w:fldChar w:fldCharType="begin"/>
      </w:r>
      <w:r w:rsidRPr="00401D92">
        <w:rPr>
          <w:rFonts w:ascii="Verdana" w:hAnsi="Verdana"/>
        </w:rPr>
        <w:instrText>HYPERLINK "https://operaciones.colombiacompra.gov.co/sites/cce_public/files/cce_documents/cce_guia_para_el_ejercicio_de_las_funciones_de_supervision_e_interventoria_de_los_contratos_del_estado.pdf"</w:instrText>
      </w:r>
      <w:r w:rsidRPr="00401D92">
        <w:rPr>
          <w:rFonts w:ascii="Verdana" w:hAnsi="Verdana"/>
        </w:rPr>
      </w:r>
      <w:r w:rsidRPr="00401D92">
        <w:rPr>
          <w:rFonts w:ascii="Verdana" w:hAnsi="Verdana"/>
        </w:rPr>
        <w:fldChar w:fldCharType="separate"/>
      </w:r>
      <w:r w:rsidRPr="00401D92">
        <w:rPr>
          <w:rStyle w:val="Hipervnculo"/>
          <w:rFonts w:ascii="Verdana" w:hAnsi="Verdana"/>
        </w:rPr>
        <w:t>cce_guia_para_el_ejercicio_de_las_funciones_de_supervision_e_interventoria_de_los_contratos_del_estado.pdf</w:t>
      </w:r>
      <w:r w:rsidRPr="00401D92">
        <w:rPr>
          <w:rFonts w:ascii="Verdana" w:hAnsi="Verdana"/>
        </w:rPr>
        <w:fldChar w:fldCharType="end"/>
      </w:r>
      <w:r w:rsidRPr="00401D92">
        <w:rPr>
          <w:rFonts w:ascii="Verdana" w:hAnsi="Verdana"/>
          <w:bCs/>
          <w:lang w:val="es-ES"/>
        </w:rPr>
        <w:t xml:space="preserve"> </w:t>
      </w:r>
    </w:p>
    <w:p w14:paraId="31083DFA" w14:textId="3E2E553C" w:rsidR="00930225" w:rsidRPr="00F46A49" w:rsidRDefault="005D67D9" w:rsidP="00930225">
      <w:pPr>
        <w:spacing w:after="120" w:line="276" w:lineRule="auto"/>
        <w:ind w:firstLine="709"/>
        <w:jc w:val="both"/>
        <w:rPr>
          <w:rFonts w:ascii="Verdana" w:eastAsia="Calibri" w:hAnsi="Verdana" w:cs="Arial"/>
          <w:bCs/>
          <w:lang w:val="es-ES"/>
        </w:rPr>
      </w:pPr>
      <w:r w:rsidRPr="00F46A49">
        <w:rPr>
          <w:rFonts w:ascii="Verdana" w:eastAsia="Times New Roman" w:hAnsi="Verdana" w:cs="Arial"/>
          <w:bCs/>
          <w:lang w:val="es-ES"/>
        </w:rPr>
        <w:t>De acuerdo con</w:t>
      </w:r>
      <w:r w:rsidR="00930225" w:rsidRPr="00F46A49">
        <w:rPr>
          <w:rFonts w:ascii="Verdana" w:eastAsia="Times New Roman" w:hAnsi="Verdana" w:cs="Arial"/>
          <w:bCs/>
          <w:lang w:val="es-ES"/>
        </w:rPr>
        <w:t xml:space="preserve"> lo anterior, </w:t>
      </w:r>
      <w:r w:rsidR="00930225" w:rsidRPr="00F46A49">
        <w:rPr>
          <w:rFonts w:ascii="Verdana" w:eastAsia="Calibri" w:hAnsi="Verdana" w:cs="Arial"/>
          <w:bCs/>
          <w:lang w:val="es-ES"/>
        </w:rPr>
        <w:t xml:space="preserve">dentro de </w:t>
      </w:r>
      <w:r w:rsidR="001C2AD4">
        <w:rPr>
          <w:rFonts w:ascii="Verdana" w:eastAsia="Calibri" w:hAnsi="Verdana" w:cs="Arial"/>
          <w:bCs/>
          <w:lang w:val="es-ES"/>
        </w:rPr>
        <w:t>cada</w:t>
      </w:r>
      <w:r w:rsidR="001C2AD4" w:rsidRPr="00F46A49">
        <w:rPr>
          <w:rFonts w:ascii="Verdana" w:eastAsia="Calibri" w:hAnsi="Verdana" w:cs="Arial"/>
          <w:bCs/>
          <w:lang w:val="es-ES"/>
        </w:rPr>
        <w:t xml:space="preserve"> </w:t>
      </w:r>
      <w:r w:rsidR="00930225" w:rsidRPr="00F46A49">
        <w:rPr>
          <w:rFonts w:ascii="Verdana" w:eastAsia="Calibri" w:hAnsi="Verdana" w:cs="Arial"/>
          <w:bCs/>
          <w:lang w:val="es-ES"/>
        </w:rPr>
        <w:t xml:space="preserve">entidad existen diversas funciones y actividades que desempeñan diferentes servidores para el adelantamiento, estructuración, celebración, seguimiento, modificación, adición, liquidación, entre otros, actuaciones que se ejecutan en las diferentes etapas de la contratación estatal. En tal sentido, se precisa algunas cuestiones: </w:t>
      </w:r>
    </w:p>
    <w:p w14:paraId="243E685A" w14:textId="77777777" w:rsidR="00930225" w:rsidRPr="00F46A49" w:rsidRDefault="00930225" w:rsidP="00930225">
      <w:pPr>
        <w:widowControl w:val="0"/>
        <w:autoSpaceDE w:val="0"/>
        <w:autoSpaceDN w:val="0"/>
        <w:spacing w:after="120" w:line="276" w:lineRule="auto"/>
        <w:ind w:firstLine="708"/>
        <w:jc w:val="both"/>
        <w:rPr>
          <w:rFonts w:ascii="Verdana" w:eastAsia="Calibri" w:hAnsi="Verdana" w:cs="Arial"/>
          <w:bCs/>
          <w:lang w:val="es-ES"/>
        </w:rPr>
      </w:pPr>
      <w:r w:rsidRPr="00F46A49">
        <w:rPr>
          <w:rFonts w:ascii="Verdana" w:eastAsia="Calibri" w:hAnsi="Verdana" w:cs="Arial"/>
          <w:bCs/>
          <w:lang w:val="es-ES"/>
        </w:rPr>
        <w:t xml:space="preserve">-En primer lugar, el jefe o representante legal es el competente para la celebración del contrato, así como las modificaciones, adiciones o liquidaciones o en su defecto su delegado, teniendo en cuenta las condiciones y criterios cuantitativos, formales, materiales y axiológicos, y demás que sean necesarios para el cumplimiento de los fines de la contratación estatal. </w:t>
      </w:r>
    </w:p>
    <w:p w14:paraId="093617F2" w14:textId="77777777" w:rsidR="00930225" w:rsidRPr="00F46A49" w:rsidRDefault="00930225" w:rsidP="00930225">
      <w:pPr>
        <w:widowControl w:val="0"/>
        <w:autoSpaceDE w:val="0"/>
        <w:autoSpaceDN w:val="0"/>
        <w:spacing w:after="120" w:line="276" w:lineRule="auto"/>
        <w:ind w:firstLine="708"/>
        <w:jc w:val="both"/>
        <w:rPr>
          <w:rFonts w:ascii="Verdana" w:eastAsia="Calibri" w:hAnsi="Verdana" w:cs="Arial"/>
        </w:rPr>
      </w:pPr>
      <w:r w:rsidRPr="00F46A49">
        <w:rPr>
          <w:rFonts w:ascii="Verdana" w:eastAsia="Calibri" w:hAnsi="Verdana" w:cs="Arial"/>
          <w:bCs/>
          <w:lang w:val="es-ES"/>
        </w:rPr>
        <w:t xml:space="preserve">-En segundo lugar, en </w:t>
      </w:r>
      <w:r w:rsidRPr="00F46A49">
        <w:rPr>
          <w:rFonts w:ascii="Verdana" w:eastAsia="Calibri" w:hAnsi="Verdana" w:cs="Arial"/>
        </w:rPr>
        <w:t xml:space="preserve">los procesos de contratación en sus diferentes etapas –precontractual, contractual, </w:t>
      </w:r>
      <w:proofErr w:type="spellStart"/>
      <w:r w:rsidRPr="00F46A49">
        <w:rPr>
          <w:rFonts w:ascii="Verdana" w:eastAsia="Calibri" w:hAnsi="Verdana" w:cs="Arial"/>
        </w:rPr>
        <w:t>poscontractual</w:t>
      </w:r>
      <w:proofErr w:type="spellEnd"/>
      <w:r w:rsidRPr="00F46A49">
        <w:rPr>
          <w:rFonts w:ascii="Verdana" w:eastAsia="Calibri" w:hAnsi="Verdana" w:cs="Arial"/>
        </w:rPr>
        <w:t>- intervendrán el jefe y las unidades asesoras y ejecutoras de la entidad que se señalen en las correspondientes normas sobre su organización y funcionamiento que están contenidas en los manuales internos de contratación, conforme a las reglas de la desconcentración administrativa.</w:t>
      </w:r>
    </w:p>
    <w:p w14:paraId="7B414AD2" w14:textId="77777777" w:rsidR="00930225" w:rsidRPr="00F46A49" w:rsidRDefault="00930225" w:rsidP="00930225">
      <w:pPr>
        <w:widowControl w:val="0"/>
        <w:autoSpaceDE w:val="0"/>
        <w:autoSpaceDN w:val="0"/>
        <w:spacing w:after="120" w:line="276" w:lineRule="auto"/>
        <w:ind w:firstLine="708"/>
        <w:jc w:val="both"/>
        <w:rPr>
          <w:rFonts w:ascii="Verdana" w:eastAsia="Calibri" w:hAnsi="Verdana" w:cs="Arial"/>
          <w:bCs/>
          <w:lang w:val="es-ES"/>
        </w:rPr>
      </w:pPr>
      <w:r w:rsidRPr="00F46A49">
        <w:rPr>
          <w:rFonts w:ascii="Verdana" w:eastAsia="Calibri" w:hAnsi="Verdana" w:cs="Arial"/>
        </w:rPr>
        <w:t xml:space="preserve">-En tercer lugar, los supervisores que </w:t>
      </w:r>
      <w:r w:rsidRPr="00F46A49">
        <w:rPr>
          <w:rFonts w:ascii="Verdana" w:eastAsia="Calibri" w:hAnsi="Verdana" w:cs="Arial"/>
          <w:bCs/>
          <w:lang w:val="es-ES"/>
        </w:rPr>
        <w:t>tienen la calidad de servidores públicos o en su defecto, los interventores son los encargados de verificar que se estén cumpliendo las condiciones del contrato y validar la procedencia de suscribir adiciones, modificaciones, ampliaciones, independiente de la denominación que le dé la entidad estatal en sus lineamientos o los manuales internos de contratación.</w:t>
      </w:r>
    </w:p>
    <w:p w14:paraId="12E04511" w14:textId="77777777" w:rsidR="00930225" w:rsidRPr="00F46A49" w:rsidRDefault="00930225" w:rsidP="00930225">
      <w:pPr>
        <w:widowControl w:val="0"/>
        <w:autoSpaceDE w:val="0"/>
        <w:autoSpaceDN w:val="0"/>
        <w:spacing w:after="120" w:line="276" w:lineRule="auto"/>
        <w:ind w:firstLine="708"/>
        <w:jc w:val="both"/>
        <w:rPr>
          <w:rFonts w:ascii="Verdana" w:eastAsia="Calibri" w:hAnsi="Verdana" w:cs="Arial"/>
          <w:lang w:val="es-ES"/>
        </w:rPr>
      </w:pPr>
      <w:r w:rsidRPr="00F46A49">
        <w:rPr>
          <w:rFonts w:ascii="Verdana" w:eastAsia="Calibri" w:hAnsi="Verdana" w:cs="Arial"/>
          <w:bCs/>
          <w:lang w:val="es-ES"/>
        </w:rPr>
        <w:t xml:space="preserve">-En cuarto lugar, los funcionarios, ya sea los supervisores y/o interventores o comités internos de contratación deben </w:t>
      </w:r>
      <w:r w:rsidRPr="00F46A49">
        <w:rPr>
          <w:rFonts w:ascii="Verdana" w:eastAsia="Calibri" w:hAnsi="Verdana" w:cs="Arial"/>
          <w:bCs/>
          <w:lang w:bidi="es-ES"/>
        </w:rPr>
        <w:t xml:space="preserve">definir previamente su procedencia desde la perspectiva jurídica, administrativa, técnica y financiera </w:t>
      </w:r>
      <w:r w:rsidRPr="00F46A49">
        <w:rPr>
          <w:rFonts w:ascii="Verdana" w:eastAsia="Calibri" w:hAnsi="Verdana" w:cs="Arial"/>
          <w:bCs/>
          <w:lang w:bidi="es-ES"/>
        </w:rPr>
        <w:lastRenderedPageBreak/>
        <w:t>mediante documentos que lo sustenten,</w:t>
      </w:r>
      <w:r w:rsidRPr="00F46A49">
        <w:rPr>
          <w:rFonts w:ascii="Verdana" w:eastAsia="Calibri" w:hAnsi="Verdana" w:cs="Arial"/>
          <w:bCs/>
          <w:lang w:val="es-ES" w:bidi="es-ES"/>
        </w:rPr>
        <w:t xml:space="preserve"> que no sean el resultado de una indebida planeación y que consten por escrito,</w:t>
      </w:r>
      <w:r w:rsidRPr="00F46A49">
        <w:rPr>
          <w:rFonts w:ascii="Verdana" w:eastAsia="Calibri" w:hAnsi="Verdana" w:cs="Arial"/>
          <w:bCs/>
          <w:lang w:bidi="es-ES"/>
        </w:rPr>
        <w:t xml:space="preserve"> para que finalmente, sea el jefe o representante legal quien suscriba el documento contractual respectivo, independiente de la denominación que le dé la entidad. En todo caso, deben cumplirse las condiciones de orden cuantitativo, temporal, formal, material y axiológico que se ha expuesto en las razones de la respuesta. </w:t>
      </w:r>
    </w:p>
    <w:p w14:paraId="40C64A82" w14:textId="77777777" w:rsidR="00930225" w:rsidRPr="00F46A49" w:rsidRDefault="00930225" w:rsidP="00930225">
      <w:pPr>
        <w:widowControl w:val="0"/>
        <w:autoSpaceDE w:val="0"/>
        <w:autoSpaceDN w:val="0"/>
        <w:spacing w:after="120" w:line="276" w:lineRule="auto"/>
        <w:ind w:firstLine="709"/>
        <w:jc w:val="both"/>
        <w:rPr>
          <w:rFonts w:ascii="Verdana" w:hAnsi="Verdana" w:cs="Arial"/>
          <w:lang w:eastAsia="es-ES"/>
        </w:rPr>
      </w:pPr>
      <w:r w:rsidRPr="00F46A49">
        <w:rPr>
          <w:rFonts w:ascii="Verdana" w:hAnsi="Verdana" w:cs="Arial"/>
          <w:lang w:eastAsia="es-ES"/>
        </w:rPr>
        <w:t>Al margen de la explicación precedente debe advertirse que el análisis requerido para resolver problemas específicos en torno a la liberación de saldos no ejecutados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22532F3" w14:textId="77777777" w:rsidR="00930225" w:rsidRPr="00F46A49" w:rsidRDefault="00930225" w:rsidP="00930225">
      <w:pPr>
        <w:widowControl w:val="0"/>
        <w:autoSpaceDE w:val="0"/>
        <w:autoSpaceDN w:val="0"/>
        <w:spacing w:after="0" w:line="276" w:lineRule="auto"/>
        <w:ind w:firstLine="709"/>
        <w:jc w:val="both"/>
        <w:rPr>
          <w:rFonts w:ascii="Verdana" w:eastAsia="Calibri" w:hAnsi="Verdana" w:cs="Arial"/>
        </w:rPr>
      </w:pPr>
      <w:r w:rsidRPr="00F46A49">
        <w:rPr>
          <w:rFonts w:ascii="Verdana" w:eastAsia="Calibri" w:hAnsi="Verdana" w:cs="Arial"/>
        </w:rPr>
        <w:t xml:space="preserve">Finalmente, debe destacarse que la Agencia Nacional de Contratación Pública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38203FF6" w14:textId="77777777" w:rsidR="00930225" w:rsidRDefault="00930225" w:rsidP="005D67D9">
      <w:pPr>
        <w:pStyle w:val="Prrafodelista"/>
        <w:tabs>
          <w:tab w:val="left" w:pos="142"/>
          <w:tab w:val="left" w:pos="284"/>
        </w:tabs>
        <w:spacing w:after="0" w:line="276" w:lineRule="auto"/>
        <w:ind w:left="0"/>
        <w:contextualSpacing w:val="0"/>
        <w:jc w:val="both"/>
        <w:rPr>
          <w:rFonts w:ascii="Verdana" w:eastAsia="Calibri" w:hAnsi="Verdana" w:cs="Arial"/>
        </w:rPr>
      </w:pPr>
    </w:p>
    <w:p w14:paraId="4842963C" w14:textId="77777777" w:rsidR="00930225" w:rsidRPr="001F283D" w:rsidRDefault="00930225" w:rsidP="005D67D9">
      <w:pPr>
        <w:tabs>
          <w:tab w:val="left" w:pos="142"/>
          <w:tab w:val="left" w:pos="284"/>
        </w:tabs>
        <w:spacing w:after="0" w:line="276" w:lineRule="auto"/>
        <w:rPr>
          <w:rFonts w:ascii="Verdana" w:eastAsia="Century Gothic" w:hAnsi="Verdana" w:cs="Century Gothic"/>
          <w:b/>
          <w:bCs/>
        </w:rPr>
      </w:pPr>
      <w:bookmarkStart w:id="14"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14"/>
    <w:p w14:paraId="3D8A5BC8" w14:textId="77777777" w:rsidR="00930225" w:rsidRPr="00593A5F" w:rsidRDefault="00930225" w:rsidP="0093022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30225" w:rsidRPr="002407CE" w14:paraId="3D8AC1E9" w14:textId="77777777" w:rsidTr="009C62BD">
        <w:trPr>
          <w:trHeight w:val="870"/>
          <w:jc w:val="center"/>
        </w:trPr>
        <w:tc>
          <w:tcPr>
            <w:tcW w:w="8647" w:type="dxa"/>
          </w:tcPr>
          <w:p w14:paraId="7FEFD547"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Constitución Política de Colombia. Artículo 29, 209. </w:t>
            </w:r>
          </w:p>
          <w:p w14:paraId="06E0F9F4" w14:textId="77777777" w:rsidR="00D92749" w:rsidRPr="00D92749" w:rsidRDefault="00D92749"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D92749">
              <w:rPr>
                <w:rFonts w:ascii="Verdana" w:hAnsi="Verdana" w:cs="Arial"/>
                <w:color w:val="000000" w:themeColor="text1"/>
                <w:sz w:val="22"/>
                <w:szCs w:val="22"/>
              </w:rPr>
              <w:t>Código Civil. Artículo 1500.</w:t>
            </w:r>
          </w:p>
          <w:p w14:paraId="2ED60BE4"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Pr>
                <w:rFonts w:ascii="Verdana" w:hAnsi="Verdana" w:cs="Arial"/>
                <w:color w:val="000000" w:themeColor="text1"/>
                <w:sz w:val="22"/>
                <w:szCs w:val="22"/>
              </w:rPr>
              <w:t>Ley 80 de 1993. Artículos 4, 5, 11, 12, 14, 16, 26, 40.</w:t>
            </w:r>
          </w:p>
          <w:p w14:paraId="6492F07C"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Pr>
                <w:rFonts w:ascii="Verdana" w:hAnsi="Verdana" w:cs="Arial"/>
                <w:color w:val="000000" w:themeColor="text1"/>
                <w:sz w:val="22"/>
                <w:szCs w:val="22"/>
              </w:rPr>
              <w:t>Ley 1150 de 2007. Artículo 2, numeral 2 literal a), 3, 21.</w:t>
            </w:r>
          </w:p>
          <w:p w14:paraId="34FF8590" w14:textId="77777777" w:rsidR="00D92749" w:rsidRPr="00D92749" w:rsidRDefault="00D92749"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D92749">
              <w:rPr>
                <w:rFonts w:ascii="Verdana" w:hAnsi="Verdana" w:cs="Arial"/>
                <w:color w:val="000000" w:themeColor="text1"/>
                <w:sz w:val="22"/>
                <w:szCs w:val="22"/>
              </w:rPr>
              <w:t>Ley 1474 de 2011. Artículo 83, 84.</w:t>
            </w:r>
          </w:p>
          <w:p w14:paraId="7420A9E6"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Decreto 1082 de 2015. Artículos </w:t>
            </w:r>
            <w:r w:rsidRPr="0083342F">
              <w:rPr>
                <w:rFonts w:ascii="Verdana" w:hAnsi="Verdana" w:cs="Arial"/>
                <w:color w:val="000000" w:themeColor="text1"/>
                <w:sz w:val="22"/>
                <w:szCs w:val="22"/>
              </w:rPr>
              <w:t>2.2.1.2.1.2.1</w:t>
            </w:r>
            <w:r>
              <w:rPr>
                <w:rFonts w:ascii="Verdana" w:hAnsi="Verdana" w:cs="Arial"/>
                <w:color w:val="000000" w:themeColor="text1"/>
                <w:sz w:val="22"/>
                <w:szCs w:val="22"/>
              </w:rPr>
              <w:t xml:space="preserve">, </w:t>
            </w:r>
            <w:r w:rsidRPr="0083342F">
              <w:rPr>
                <w:rFonts w:ascii="Verdana" w:hAnsi="Verdana" w:cs="Arial"/>
                <w:color w:val="000000" w:themeColor="text1"/>
                <w:sz w:val="22"/>
                <w:szCs w:val="22"/>
              </w:rPr>
              <w:t>2.2.1.2.1.2.2.</w:t>
            </w:r>
            <w:r>
              <w:rPr>
                <w:rFonts w:ascii="Verdana" w:hAnsi="Verdana" w:cs="Arial"/>
                <w:color w:val="000000" w:themeColor="text1"/>
                <w:sz w:val="22"/>
                <w:szCs w:val="22"/>
              </w:rPr>
              <w:t xml:space="preserve">, </w:t>
            </w:r>
            <w:r w:rsidRPr="00401D92">
              <w:rPr>
                <w:rFonts w:ascii="Verdana" w:hAnsi="Verdana" w:cs="Arial"/>
                <w:color w:val="000000" w:themeColor="text1"/>
                <w:sz w:val="22"/>
                <w:szCs w:val="22"/>
              </w:rPr>
              <w:t>2.2.1.1.1.7</w:t>
            </w:r>
            <w:r>
              <w:rPr>
                <w:rFonts w:ascii="Verdana" w:hAnsi="Verdana" w:cs="Arial"/>
                <w:color w:val="000000" w:themeColor="text1"/>
                <w:sz w:val="22"/>
                <w:szCs w:val="22"/>
              </w:rPr>
              <w:t>.</w:t>
            </w:r>
          </w:p>
          <w:p w14:paraId="07A86017" w14:textId="77777777" w:rsidR="00D92749" w:rsidRPr="00D92749" w:rsidRDefault="00D92749"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D92749">
              <w:rPr>
                <w:rFonts w:ascii="Verdana" w:hAnsi="Verdana" w:cs="Arial"/>
                <w:color w:val="000000" w:themeColor="text1"/>
                <w:sz w:val="22"/>
                <w:szCs w:val="22"/>
              </w:rPr>
              <w:t>Corte Constitucional. Sentencia C-932 de 2007, M.P: Marco Gerardo Monroy Cabra.</w:t>
            </w:r>
          </w:p>
          <w:p w14:paraId="009D8AAD" w14:textId="77777777" w:rsidR="00D92749" w:rsidRPr="00D92749" w:rsidRDefault="00D92749"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D92749">
              <w:rPr>
                <w:rFonts w:ascii="Verdana" w:hAnsi="Verdana" w:cs="Arial"/>
                <w:color w:val="000000" w:themeColor="text1"/>
                <w:sz w:val="22"/>
                <w:szCs w:val="22"/>
              </w:rPr>
              <w:t>Corte Constitucional. Sentencia C-300 de 2012. M.P: Jorge Ignacio Pretelt Chaljub.</w:t>
            </w:r>
          </w:p>
          <w:p w14:paraId="61657027"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83342F">
              <w:rPr>
                <w:rFonts w:ascii="Verdana" w:hAnsi="Verdana" w:cs="Arial"/>
                <w:color w:val="000000" w:themeColor="text1"/>
                <w:sz w:val="22"/>
                <w:szCs w:val="22"/>
              </w:rPr>
              <w:lastRenderedPageBreak/>
              <w:t>Consejo de Estado, Sala de Consulta y Servicio Civil, concepto del 13 de agosto de 2009, rad. 1.952, C.P. Enrique José Arboleda Perdomo</w:t>
            </w:r>
            <w:r>
              <w:rPr>
                <w:rFonts w:ascii="Verdana" w:hAnsi="Verdana" w:cs="Arial"/>
                <w:color w:val="000000" w:themeColor="text1"/>
                <w:sz w:val="22"/>
                <w:szCs w:val="22"/>
              </w:rPr>
              <w:t>.</w:t>
            </w:r>
          </w:p>
          <w:p w14:paraId="0B8C7C9C"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Consejo de Estado. Sala de Consulta y Servicio Civil. Concepto </w:t>
            </w:r>
            <w:r w:rsidRPr="00401D92">
              <w:rPr>
                <w:rFonts w:ascii="Verdana" w:hAnsi="Verdana" w:cs="Arial"/>
                <w:color w:val="000000" w:themeColor="text1"/>
                <w:sz w:val="22"/>
                <w:szCs w:val="22"/>
              </w:rPr>
              <w:t>2263 del 17 de marzo del 2016</w:t>
            </w:r>
            <w:r>
              <w:rPr>
                <w:rFonts w:ascii="Verdana" w:hAnsi="Verdana" w:cs="Arial"/>
                <w:color w:val="000000" w:themeColor="text1"/>
                <w:sz w:val="22"/>
                <w:szCs w:val="22"/>
              </w:rPr>
              <w:t>.</w:t>
            </w:r>
          </w:p>
          <w:p w14:paraId="27952A7D"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401D92">
              <w:rPr>
                <w:rFonts w:ascii="Verdana" w:hAnsi="Verdana" w:cs="Arial"/>
                <w:color w:val="000000" w:themeColor="text1"/>
                <w:sz w:val="22"/>
                <w:szCs w:val="22"/>
              </w:rPr>
              <w:t>Consejo de Estado. Sala de Consulta y Servicio Civil. Concepto del 6 de junio de 2018. Radicación número: 2369. C.P: Óscar Daría Amaya Navas.</w:t>
            </w:r>
          </w:p>
          <w:p w14:paraId="208BD1A2" w14:textId="77777777" w:rsidR="00930225" w:rsidRPr="00401D92"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401D92">
              <w:rPr>
                <w:rFonts w:ascii="Verdana" w:hAnsi="Verdana" w:cs="Arial"/>
                <w:color w:val="000000" w:themeColor="text1"/>
                <w:sz w:val="22"/>
                <w:szCs w:val="22"/>
              </w:rPr>
              <w:t>Consejo de Estado. Sala de lo Contencioso Administrativo. Sección Tercera. Subsección C. Sentencia del 27 de noviembre de 2017. Radicado: 68001-23-33-000-2013-00135-01 (51.802). C.P: Jaime Orlando Santofimio.</w:t>
            </w:r>
          </w:p>
          <w:p w14:paraId="4C804F29" w14:textId="77777777" w:rsidR="00D92749" w:rsidRPr="00D92749" w:rsidRDefault="00D92749"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D92749">
              <w:rPr>
                <w:rFonts w:ascii="Verdana" w:hAnsi="Verdana" w:cs="Arial"/>
                <w:color w:val="000000" w:themeColor="text1"/>
                <w:sz w:val="22"/>
                <w:szCs w:val="22"/>
              </w:rPr>
              <w:t>Consejo de Estado. Sala de lo Contencioso Administrativo. Sección Tercera. Subsección A. Sentencia del 5 de mayo de 2025. Radicado: 25000233600020190010601 (70.067). C.P: José Roberto Sáchica Méndez.</w:t>
            </w:r>
          </w:p>
          <w:p w14:paraId="2B76F0A5" w14:textId="77777777"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401D92">
              <w:rPr>
                <w:rFonts w:ascii="Verdana" w:hAnsi="Verdana" w:cs="Arial"/>
                <w:color w:val="000000" w:themeColor="text1"/>
                <w:sz w:val="22"/>
                <w:szCs w:val="22"/>
              </w:rPr>
              <w:t>Guía para el ejercicio de las funciones de Supervisión e Interventoría de los contratos del Estado</w:t>
            </w:r>
            <w:r>
              <w:rPr>
                <w:rFonts w:ascii="Verdana" w:hAnsi="Verdana" w:cs="Arial"/>
                <w:color w:val="000000" w:themeColor="text1"/>
                <w:sz w:val="22"/>
                <w:szCs w:val="22"/>
              </w:rPr>
              <w:t xml:space="preserve"> en </w:t>
            </w:r>
            <w:hyperlink r:id="rId12" w:history="1">
              <w:r w:rsidRPr="00401D92">
                <w:rPr>
                  <w:rStyle w:val="Hipervnculo"/>
                  <w:rFonts w:ascii="Verdana" w:hAnsi="Verdana" w:cs="Arial"/>
                  <w:sz w:val="22"/>
                  <w:szCs w:val="22"/>
                </w:rPr>
                <w:t>cce_guia_para_el_ejercicio_de_las_funciones_de_supervision_e_interventoria_de_los_contratos_del_estado.pdf</w:t>
              </w:r>
            </w:hyperlink>
          </w:p>
          <w:p w14:paraId="0CFAB147" w14:textId="64FBD6E4" w:rsidR="00930225"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83342F">
              <w:rPr>
                <w:rFonts w:ascii="Verdana" w:hAnsi="Verdana" w:cs="Arial"/>
                <w:color w:val="000000" w:themeColor="text1"/>
                <w:sz w:val="22"/>
                <w:szCs w:val="22"/>
              </w:rPr>
              <w:t xml:space="preserve">SOLANO SIERRA, Jairo E. Contratación Administrativa, Modalidades de selección del Contratista. 4a. ed. Bogotá D.C.: Editorial Doctrina y Ley Ltda., 2010. </w:t>
            </w:r>
          </w:p>
          <w:p w14:paraId="086FA146" w14:textId="303E7A69" w:rsidR="00930225" w:rsidRPr="00235DB6" w:rsidRDefault="00930225" w:rsidP="005D67D9">
            <w:pPr>
              <w:pStyle w:val="NormalWeb"/>
              <w:numPr>
                <w:ilvl w:val="0"/>
                <w:numId w:val="17"/>
              </w:numPr>
              <w:spacing w:before="0" w:beforeAutospacing="0" w:after="0" w:afterAutospacing="0" w:line="276" w:lineRule="auto"/>
              <w:ind w:left="714" w:hanging="357"/>
              <w:jc w:val="both"/>
              <w:rPr>
                <w:rFonts w:ascii="Verdana" w:hAnsi="Verdana" w:cs="Arial"/>
                <w:color w:val="000000" w:themeColor="text1"/>
                <w:sz w:val="22"/>
                <w:szCs w:val="22"/>
              </w:rPr>
            </w:pPr>
            <w:r w:rsidRPr="0083342F">
              <w:rPr>
                <w:rFonts w:ascii="Verdana" w:hAnsi="Verdana" w:cs="Arial"/>
                <w:color w:val="000000" w:themeColor="text1"/>
                <w:sz w:val="22"/>
                <w:szCs w:val="22"/>
              </w:rPr>
              <w:t xml:space="preserve">SUÁREZ BELTRÁN, Gonzalo. Estudios de derecho contractual público. Pontificia Universidad Javeriana. Bogotá: Legis, 2014. p 71 y 72. Citado en: DÁVILA VINEZA, Luis Guillermo. Régimen Jurídico de la contratación estatal. 3ª ed. Legis: Bogotá, 2016. </w:t>
            </w:r>
          </w:p>
        </w:tc>
      </w:tr>
    </w:tbl>
    <w:p w14:paraId="0F3DEC6D" w14:textId="77777777" w:rsidR="00930225" w:rsidRPr="00277E26" w:rsidRDefault="00930225" w:rsidP="00930225">
      <w:pPr>
        <w:widowControl w:val="0"/>
        <w:autoSpaceDE w:val="0"/>
        <w:autoSpaceDN w:val="0"/>
        <w:spacing w:after="0" w:line="276" w:lineRule="auto"/>
        <w:jc w:val="both"/>
        <w:rPr>
          <w:rFonts w:ascii="Verdana" w:hAnsi="Verdana" w:cs="Arial"/>
        </w:rPr>
      </w:pPr>
    </w:p>
    <w:p w14:paraId="55A3D0D6" w14:textId="77777777" w:rsidR="00930225" w:rsidRPr="001F283D" w:rsidRDefault="00930225" w:rsidP="00930225">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88F8746" w14:textId="77777777" w:rsidR="00930225" w:rsidRPr="0021078E" w:rsidRDefault="00930225" w:rsidP="005D67D9">
      <w:pPr>
        <w:widowControl w:val="0"/>
        <w:autoSpaceDE w:val="0"/>
        <w:autoSpaceDN w:val="0"/>
        <w:spacing w:after="0" w:line="276" w:lineRule="auto"/>
        <w:jc w:val="both"/>
        <w:rPr>
          <w:rStyle w:val="normaltextrun"/>
          <w:rFonts w:ascii="Verdana" w:hAnsi="Verdana" w:cs="Arial"/>
          <w:shd w:val="clear" w:color="auto" w:fill="FFFFFF"/>
          <w:lang w:val="es-ES"/>
        </w:rPr>
      </w:pPr>
    </w:p>
    <w:p w14:paraId="054540A1" w14:textId="77777777" w:rsidR="00930225" w:rsidRDefault="00930225" w:rsidP="005D67D9">
      <w:pPr>
        <w:widowControl w:val="0"/>
        <w:autoSpaceDE w:val="0"/>
        <w:autoSpaceDN w:val="0"/>
        <w:spacing w:after="0" w:line="276" w:lineRule="auto"/>
        <w:jc w:val="both"/>
        <w:rPr>
          <w:rFonts w:ascii="Verdana" w:hAnsi="Verdana"/>
        </w:rPr>
      </w:pPr>
      <w:r>
        <w:rPr>
          <w:rFonts w:ascii="Verdana" w:eastAsia="Times New Roman" w:hAnsi="Verdana" w:cs="Arial"/>
          <w:shd w:val="clear" w:color="auto" w:fill="FFFFFF"/>
          <w:lang w:eastAsia="es-CO"/>
        </w:rPr>
        <w:t>S</w:t>
      </w:r>
      <w:r w:rsidRPr="00284716">
        <w:rPr>
          <w:rFonts w:ascii="Verdana" w:eastAsia="Times New Roman" w:hAnsi="Verdana" w:cs="Arial"/>
          <w:shd w:val="clear" w:color="auto" w:fill="FFFFFF"/>
          <w:lang w:eastAsia="es-CO"/>
        </w:rPr>
        <w:t>obre el proceso de selección de subasta inversa</w:t>
      </w:r>
      <w:r>
        <w:rPr>
          <w:rFonts w:ascii="Verdana" w:eastAsia="Times New Roman" w:hAnsi="Verdana" w:cs="Arial"/>
          <w:shd w:val="clear" w:color="auto" w:fill="FFFFFF"/>
          <w:lang w:eastAsia="es-CO"/>
        </w:rPr>
        <w:t>, la Subdirección</w:t>
      </w:r>
      <w:r w:rsidRPr="00284716">
        <w:rPr>
          <w:rFonts w:ascii="Verdana" w:eastAsia="Times New Roman" w:hAnsi="Verdana" w:cs="Arial"/>
          <w:shd w:val="clear" w:color="auto" w:fill="FFFFFF"/>
          <w:lang w:eastAsia="es-CO"/>
        </w:rPr>
        <w:t xml:space="preserve"> se ha pronunciado en los conceptos 4201913000004928 del 20 de agosto de 2019, 4201912000004846 del 3 de septiembre de 2019, en el C-008 del 14 de mayo de 2020 y en el C-024 del 24 de febrero de 2021, C-123 de 5 de abril de 2021, C-568 del 11 de octubre de 2021</w:t>
      </w:r>
      <w:r>
        <w:rPr>
          <w:rFonts w:ascii="Verdana" w:eastAsia="Times New Roman" w:hAnsi="Verdana" w:cs="Arial"/>
          <w:shd w:val="clear" w:color="auto" w:fill="FFFFFF"/>
          <w:lang w:eastAsia="es-CO"/>
        </w:rPr>
        <w:t xml:space="preserve">, </w:t>
      </w:r>
      <w:r w:rsidRPr="00284716">
        <w:rPr>
          <w:rFonts w:ascii="Verdana" w:eastAsia="Times New Roman" w:hAnsi="Verdana" w:cs="Arial"/>
          <w:shd w:val="clear" w:color="auto" w:fill="FFFFFF"/>
          <w:lang w:eastAsia="es-CO"/>
        </w:rPr>
        <w:t>C-850 del 16 de diciembre de 2022</w:t>
      </w:r>
      <w:r>
        <w:rPr>
          <w:rFonts w:ascii="Verdana" w:eastAsia="Times New Roman" w:hAnsi="Verdana" w:cs="Arial"/>
          <w:shd w:val="clear" w:color="auto" w:fill="FFFFFF"/>
          <w:lang w:eastAsia="es-CO"/>
        </w:rPr>
        <w:t xml:space="preserve">, C-905 del 28 de diciembre de 2022, C-007 del 13 de febrero de 2025, C-367 del 2 de mayo de </w:t>
      </w:r>
      <w:r w:rsidRPr="00D236F5">
        <w:rPr>
          <w:rFonts w:ascii="Verdana" w:eastAsia="Times New Roman" w:hAnsi="Verdana" w:cs="Arial"/>
          <w:shd w:val="clear" w:color="auto" w:fill="FFFFFF"/>
          <w:lang w:eastAsia="es-CO"/>
        </w:rPr>
        <w:t>2025</w:t>
      </w:r>
      <w:r w:rsidRPr="00D236F5">
        <w:rPr>
          <w:rFonts w:ascii="Verdana" w:hAnsi="Verdana" w:cs="Arial"/>
          <w:shd w:val="clear" w:color="auto" w:fill="FFFFFF"/>
          <w:lang w:val="es-ES"/>
        </w:rPr>
        <w:t>. Respecto de la posibilidad de modificar los contratos estatales, la Subdirección se ha pronunciado en los conceptos C</w:t>
      </w:r>
      <w:r w:rsidRPr="00D236F5">
        <w:rPr>
          <w:rFonts w:ascii="Verdana" w:hAnsi="Verdana"/>
        </w:rPr>
        <w:t xml:space="preserve">-398 del 27 de septiembre </w:t>
      </w:r>
      <w:r w:rsidRPr="00D236F5">
        <w:rPr>
          <w:rFonts w:ascii="Verdana" w:hAnsi="Verdana"/>
        </w:rPr>
        <w:lastRenderedPageBreak/>
        <w:t>de 2023, C-452 del 7 de noviembre de 2023, C-615 del 29 de octubre de 2024, C-511 del 06 de junio de 2025</w:t>
      </w:r>
      <w:r>
        <w:rPr>
          <w:rFonts w:ascii="Verdana" w:hAnsi="Verdana"/>
        </w:rPr>
        <w:t xml:space="preserve">, C-840 del 5 de agosto de 2025, entre otros. </w:t>
      </w:r>
    </w:p>
    <w:p w14:paraId="2DD15667" w14:textId="77777777" w:rsidR="007F661B" w:rsidRDefault="007F661B" w:rsidP="005D67D9">
      <w:pPr>
        <w:widowControl w:val="0"/>
        <w:autoSpaceDE w:val="0"/>
        <w:autoSpaceDN w:val="0"/>
        <w:spacing w:after="0" w:line="276" w:lineRule="auto"/>
        <w:jc w:val="both"/>
        <w:rPr>
          <w:rFonts w:ascii="Verdana" w:hAnsi="Verdana"/>
        </w:rPr>
      </w:pPr>
    </w:p>
    <w:p w14:paraId="4CCD1CCE" w14:textId="4491F0D8" w:rsidR="00930225" w:rsidRPr="00AB70DD" w:rsidRDefault="00930225" w:rsidP="005D67D9">
      <w:pPr>
        <w:widowControl w:val="0"/>
        <w:autoSpaceDE w:val="0"/>
        <w:autoSpaceDN w:val="0"/>
        <w:spacing w:after="0" w:line="276" w:lineRule="auto"/>
        <w:jc w:val="both"/>
        <w:rPr>
          <w:rFonts w:ascii="Verdana" w:eastAsia="Calibri" w:hAnsi="Verdana" w:cs="Arial"/>
          <w:color w:val="000000" w:themeColor="text1"/>
          <w:lang w:val="es-ES_tradnl" w:eastAsia="es-ES_tradnl"/>
        </w:rPr>
      </w:pPr>
      <w:r>
        <w:rPr>
          <w:rFonts w:ascii="Verdana" w:hAnsi="Verdana"/>
        </w:rPr>
        <w:t xml:space="preserve">Por último, sobre la vigilancia y control de los contratos estatales, la Subdirección se ha pronunciado en los conceptos </w:t>
      </w:r>
      <w:r w:rsidRPr="000577E4">
        <w:rPr>
          <w:rFonts w:ascii="Verdana" w:eastAsia="Times New Roman" w:hAnsi="Verdana" w:cs="Arial"/>
          <w:color w:val="000000"/>
          <w:lang w:val="es-ES_tradnl"/>
        </w:rPr>
        <w:t>C-064 del 28 de febrero de 2020, C-071 del 4 de marzo de 2020, C-344 del 26 de mayo de 2020, C-506 de 3 de agosto de 2022, C-579 del 9 de septiembre de 2022, C-577 del 15 de septiembre de 2022, C-191 de 27 de abril de 2023, C-089 de 2024 de 17 de julio de 2024, C-255 de 14 de agosto de 2024</w:t>
      </w:r>
      <w:r w:rsidRPr="000577E4">
        <w:rPr>
          <w:rFonts w:ascii="Verdana" w:eastAsia="Times New Roman" w:hAnsi="Verdana" w:cs="Arial"/>
          <w:color w:val="000000"/>
          <w:lang w:val="es-ES"/>
        </w:rPr>
        <w:t>, C-600 del 7 de octubre de 2024, C-737 del 24 de noviembre de 2024 y C-459 del 14 de mayo de 2025</w:t>
      </w:r>
      <w:r>
        <w:rPr>
          <w:rFonts w:ascii="Verdana" w:eastAsia="Times New Roman" w:hAnsi="Verdana" w:cs="Arial"/>
          <w:color w:val="000000"/>
          <w:lang w:val="es-ES"/>
        </w:rPr>
        <w:t>, entre otros.</w:t>
      </w:r>
      <w:r>
        <w:rPr>
          <w:rFonts w:ascii="Verdana" w:hAnsi="Verdana"/>
        </w:rPr>
        <w:t xml:space="preserve"> </w:t>
      </w:r>
      <w:r w:rsidRPr="00D236F5">
        <w:rPr>
          <w:rFonts w:ascii="Verdana" w:hAnsi="Verdana" w:cs="Arial"/>
          <w:shd w:val="clear" w:color="auto" w:fill="FFFFFF"/>
          <w:lang w:val="es-ES"/>
        </w:rPr>
        <w:t xml:space="preserve">Estos y otros </w:t>
      </w:r>
      <w:r w:rsidRPr="00D236F5">
        <w:rPr>
          <w:rFonts w:ascii="Verdana" w:hAnsi="Verdana"/>
        </w:rPr>
        <w:t>conceptos se encuentran disponibles para consulta en el Sistema de relatoría de la Agencia, al cual se puede acceder a través del siguiente enlace:</w:t>
      </w:r>
      <w:r w:rsidRPr="00D236F5">
        <w:rPr>
          <w:rFonts w:ascii="Verdana" w:hAnsi="Verdana" w:cs="Arial"/>
          <w:shd w:val="clear" w:color="auto" w:fill="FFFFFF"/>
        </w:rPr>
        <w:t xml:space="preserve"> </w:t>
      </w:r>
      <w:hyperlink r:id="rId13" w:history="1">
        <w:r w:rsidRPr="00D236F5">
          <w:rPr>
            <w:rFonts w:ascii="Verdana" w:hAnsi="Verdana" w:cs="Arial"/>
            <w:color w:val="0563C1" w:themeColor="hyperlink"/>
            <w:u w:val="single"/>
            <w:shd w:val="clear" w:color="auto" w:fill="FFFFFF"/>
          </w:rPr>
          <w:t>https://relatoria.colombiacompra.gov.co/busqueda/conceptos</w:t>
        </w:r>
      </w:hyperlink>
      <w:r w:rsidRPr="0021078E">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10A8D18A" w14:textId="77777777" w:rsidR="00035760" w:rsidRDefault="00035760" w:rsidP="00D92749">
      <w:pPr>
        <w:spacing w:after="0" w:line="276" w:lineRule="auto"/>
        <w:jc w:val="both"/>
        <w:rPr>
          <w:rFonts w:ascii="Verdana" w:hAnsi="Verdana"/>
        </w:rPr>
      </w:pPr>
    </w:p>
    <w:p w14:paraId="73D6ED24" w14:textId="410FA7E5" w:rsidR="00930225" w:rsidRDefault="00930225" w:rsidP="00D92749">
      <w:pPr>
        <w:spacing w:after="0" w:line="276" w:lineRule="auto"/>
        <w:jc w:val="both"/>
        <w:rPr>
          <w:rFonts w:ascii="Verdana" w:hAnsi="Verdana"/>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BDECB15" w14:textId="77777777" w:rsidR="00035760" w:rsidRPr="00D92749" w:rsidRDefault="00035760" w:rsidP="005D67D9">
      <w:pPr>
        <w:spacing w:after="0" w:line="276" w:lineRule="auto"/>
        <w:jc w:val="both"/>
        <w:rPr>
          <w:rFonts w:ascii="Verdana" w:eastAsia="Calibri" w:hAnsi="Verdana" w:cs="Times New Roman"/>
        </w:rPr>
      </w:pPr>
    </w:p>
    <w:p w14:paraId="175463E9" w14:textId="77777777" w:rsidR="00930225" w:rsidRPr="008E4F36" w:rsidRDefault="00930225" w:rsidP="00930225">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1B898F6E" w14:textId="77777777" w:rsidR="00930225" w:rsidRPr="008E4F36" w:rsidRDefault="00930225" w:rsidP="00930225">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075021C4" w14:textId="77777777" w:rsidR="00930225" w:rsidRPr="008E4F36" w:rsidRDefault="00930225" w:rsidP="00930225">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82C1586" w14:textId="77777777" w:rsidR="00930225" w:rsidRPr="008E4F36" w:rsidRDefault="00930225" w:rsidP="00930225">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4" w:history="1">
        <w:r w:rsidRPr="008E4F36">
          <w:rPr>
            <w:rStyle w:val="Hipervnculo"/>
            <w:rFonts w:ascii="Verdana" w:hAnsi="Verdana"/>
          </w:rPr>
          <w:t>www.colombiacompra.gov.co</w:t>
        </w:r>
      </w:hyperlink>
    </w:p>
    <w:p w14:paraId="1B1264E6" w14:textId="77777777" w:rsidR="00035760" w:rsidRDefault="00035760" w:rsidP="00D92749">
      <w:pPr>
        <w:spacing w:after="0" w:line="276" w:lineRule="auto"/>
        <w:jc w:val="both"/>
        <w:rPr>
          <w:rFonts w:ascii="Verdana" w:hAnsi="Verdana"/>
        </w:rPr>
      </w:pPr>
    </w:p>
    <w:p w14:paraId="3E428DCC" w14:textId="46112702" w:rsidR="00930225" w:rsidRPr="008E4F36" w:rsidRDefault="00930225" w:rsidP="005D67D9">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1A4695F7" w14:textId="77777777" w:rsidR="00930225" w:rsidRPr="008E4F36" w:rsidRDefault="00930225" w:rsidP="00930225">
      <w:pPr>
        <w:spacing w:after="0" w:line="276" w:lineRule="auto"/>
        <w:jc w:val="both"/>
        <w:rPr>
          <w:rFonts w:ascii="Verdana" w:hAnsi="Verdana"/>
        </w:rPr>
      </w:pPr>
    </w:p>
    <w:p w14:paraId="20F3E9D1" w14:textId="77777777" w:rsidR="00930225" w:rsidRPr="008E4F36" w:rsidRDefault="00930225" w:rsidP="00930225">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485DBC89" w14:textId="77777777" w:rsidR="00930225" w:rsidRPr="008E4F36" w:rsidRDefault="00930225" w:rsidP="00930225">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F16A3CB" w14:textId="77777777" w:rsidR="00930225" w:rsidRPr="008E4F36" w:rsidRDefault="00930225" w:rsidP="00930225">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32967C49" w14:textId="77777777" w:rsidR="00930225" w:rsidRDefault="00930225" w:rsidP="005D67D9">
      <w:pPr>
        <w:spacing w:after="0" w:line="276" w:lineRule="auto"/>
        <w:jc w:val="both"/>
        <w:rPr>
          <w:rFonts w:ascii="Verdana" w:hAnsi="Verdana"/>
        </w:rPr>
      </w:pPr>
    </w:p>
    <w:p w14:paraId="522AD8AE" w14:textId="77777777" w:rsidR="00930225" w:rsidRPr="00FB6C33" w:rsidRDefault="00930225" w:rsidP="005D67D9">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0C77515" w14:textId="77777777" w:rsidR="00930225" w:rsidRPr="008E4F36" w:rsidRDefault="00930225" w:rsidP="00930225">
      <w:pPr>
        <w:spacing w:after="0" w:line="276" w:lineRule="auto"/>
        <w:jc w:val="both"/>
        <w:rPr>
          <w:rFonts w:ascii="Verdana" w:eastAsia="Calibri" w:hAnsi="Verdana" w:cs="Times New Roman"/>
        </w:rPr>
      </w:pPr>
    </w:p>
    <w:p w14:paraId="0EE399B9" w14:textId="77777777" w:rsidR="00930225" w:rsidRDefault="00930225" w:rsidP="00930225">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5886683F" w14:textId="54ED1F25" w:rsidR="00930225" w:rsidRPr="00A85059" w:rsidRDefault="00D20103" w:rsidP="00930225">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27D0BD0A" wp14:editId="0DF0E002">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5"/>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930225" w:rsidRPr="008E4F36" w14:paraId="5D150804" w14:textId="77777777" w:rsidTr="009C62BD">
        <w:trPr>
          <w:trHeight w:val="315"/>
        </w:trPr>
        <w:tc>
          <w:tcPr>
            <w:tcW w:w="893" w:type="dxa"/>
            <w:vAlign w:val="center"/>
            <w:hideMark/>
          </w:tcPr>
          <w:p w14:paraId="375A1247" w14:textId="77777777" w:rsidR="00930225" w:rsidRPr="008E4F36" w:rsidRDefault="00930225" w:rsidP="009C62BD">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57BFC05" w14:textId="77777777" w:rsidR="00930225" w:rsidRPr="008E4F36" w:rsidRDefault="00930225" w:rsidP="009C62BD">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50801791" w14:textId="77777777" w:rsidR="00930225" w:rsidRPr="008E4F36" w:rsidRDefault="00930225" w:rsidP="009C62BD">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930225" w:rsidRPr="008E4F36" w14:paraId="14BD0F21" w14:textId="77777777" w:rsidTr="009C62BD">
        <w:trPr>
          <w:trHeight w:val="330"/>
        </w:trPr>
        <w:tc>
          <w:tcPr>
            <w:tcW w:w="893" w:type="dxa"/>
            <w:vAlign w:val="center"/>
            <w:hideMark/>
          </w:tcPr>
          <w:p w14:paraId="0AE16257" w14:textId="77777777" w:rsidR="00930225" w:rsidRPr="008E4F36" w:rsidRDefault="00930225" w:rsidP="009C62BD">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038651C4" w14:textId="77777777" w:rsidR="00930225" w:rsidRPr="007D0068" w:rsidRDefault="00930225" w:rsidP="009C62BD">
            <w:pPr>
              <w:pStyle w:val="paragraph"/>
              <w:spacing w:before="0" w:beforeAutospacing="0" w:after="0" w:afterAutospacing="0"/>
              <w:contextualSpacing/>
              <w:textAlignment w:val="baseline"/>
              <w:rPr>
                <w:rStyle w:val="normaltextrun"/>
                <w:rFonts w:ascii="Verdana" w:hAnsi="Verdana"/>
                <w:sz w:val="16"/>
                <w:szCs w:val="16"/>
              </w:rPr>
            </w:pPr>
            <w:r w:rsidRPr="007D0068">
              <w:rPr>
                <w:rStyle w:val="normaltextrun"/>
                <w:rFonts w:ascii="Verdana" w:hAnsi="Verdana"/>
                <w:sz w:val="16"/>
                <w:szCs w:val="16"/>
              </w:rPr>
              <w:t xml:space="preserve">Diana Lucía Saavedra Castañeda </w:t>
            </w:r>
          </w:p>
          <w:p w14:paraId="52FB7B7B" w14:textId="77777777" w:rsidR="00930225" w:rsidRPr="008E4F36" w:rsidRDefault="00930225" w:rsidP="009C62BD">
            <w:pPr>
              <w:pStyle w:val="paragraph"/>
              <w:spacing w:before="0" w:beforeAutospacing="0" w:after="0" w:afterAutospacing="0"/>
              <w:contextualSpacing/>
              <w:textAlignment w:val="baseline"/>
              <w:rPr>
                <w:rFonts w:ascii="Verdana" w:hAnsi="Verdana" w:cs="Segoe UI"/>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930225" w:rsidRPr="008E4F36" w14:paraId="01DA4E56" w14:textId="77777777" w:rsidTr="009C62BD">
        <w:trPr>
          <w:trHeight w:val="300"/>
        </w:trPr>
        <w:tc>
          <w:tcPr>
            <w:tcW w:w="893" w:type="dxa"/>
            <w:vAlign w:val="center"/>
          </w:tcPr>
          <w:p w14:paraId="33FA189D" w14:textId="77777777" w:rsidR="00930225" w:rsidRPr="008E4F36" w:rsidRDefault="00930225" w:rsidP="009C62BD">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C8F1EA5" w14:textId="77777777" w:rsidR="00930225" w:rsidRPr="008E4F36" w:rsidRDefault="00930225" w:rsidP="009C62BD">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39977117" w14:textId="77777777" w:rsidR="00930225" w:rsidRPr="008E4F36" w:rsidRDefault="00930225" w:rsidP="009C62BD">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w:t>
            </w:r>
            <w:r w:rsidRPr="008E4F36">
              <w:rPr>
                <w:rFonts w:ascii="Verdana" w:eastAsia="Calibri" w:hAnsi="Verdana" w:cs="Arial"/>
                <w:sz w:val="16"/>
                <w:szCs w:val="16"/>
                <w:lang w:eastAsia="es-ES"/>
              </w:rPr>
              <w:t>ANCP – CCE</w:t>
            </w:r>
          </w:p>
        </w:tc>
      </w:tr>
      <w:bookmarkEnd w:id="5"/>
      <w:bookmarkEnd w:id="6"/>
    </w:tbl>
    <w:p w14:paraId="2EFBD797" w14:textId="77777777" w:rsidR="00930225" w:rsidRPr="008E4F36" w:rsidRDefault="00930225" w:rsidP="00930225">
      <w:pPr>
        <w:spacing w:after="0"/>
        <w:rPr>
          <w:rFonts w:ascii="Verdana" w:hAnsi="Verdana"/>
        </w:rPr>
      </w:pPr>
    </w:p>
    <w:bookmarkEnd w:id="0"/>
    <w:bookmarkEnd w:id="1"/>
    <w:bookmarkEnd w:id="2"/>
    <w:bookmarkEnd w:id="3"/>
    <w:bookmarkEnd w:id="4"/>
    <w:p w14:paraId="0F293BF4" w14:textId="641D66C1" w:rsidR="00127233" w:rsidRPr="00046945" w:rsidRDefault="00127233" w:rsidP="005D67D9">
      <w:pPr>
        <w:spacing w:after="0" w:line="240" w:lineRule="auto"/>
        <w:textAlignment w:val="baseline"/>
        <w:rPr>
          <w:rFonts w:ascii="Verdana" w:eastAsia="Times New Roman" w:hAnsi="Verdana" w:cs="Segoe UI"/>
          <w:sz w:val="18"/>
          <w:szCs w:val="18"/>
          <w:lang w:eastAsia="es-CO"/>
        </w:rPr>
      </w:pPr>
    </w:p>
    <w:sectPr w:rsidR="00127233" w:rsidRPr="0004694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F6C1C" w14:textId="77777777" w:rsidR="00FA36D3" w:rsidRDefault="00FA36D3" w:rsidP="004A1847">
      <w:pPr>
        <w:spacing w:after="0" w:line="240" w:lineRule="auto"/>
      </w:pPr>
      <w:r>
        <w:separator/>
      </w:r>
    </w:p>
  </w:endnote>
  <w:endnote w:type="continuationSeparator" w:id="0">
    <w:p w14:paraId="14FD0C6F" w14:textId="77777777" w:rsidR="00FA36D3" w:rsidRDefault="00FA36D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9E1F" w14:textId="77777777" w:rsidR="00FA36D3" w:rsidRDefault="00FA36D3" w:rsidP="004A1847">
      <w:pPr>
        <w:spacing w:after="0" w:line="240" w:lineRule="auto"/>
      </w:pPr>
      <w:r>
        <w:separator/>
      </w:r>
    </w:p>
  </w:footnote>
  <w:footnote w:type="continuationSeparator" w:id="0">
    <w:p w14:paraId="67859F69" w14:textId="77777777" w:rsidR="00FA36D3" w:rsidRDefault="00FA36D3" w:rsidP="004A1847">
      <w:pPr>
        <w:spacing w:after="0" w:line="240" w:lineRule="auto"/>
      </w:pPr>
      <w:r>
        <w:continuationSeparator/>
      </w:r>
    </w:p>
  </w:footnote>
  <w:footnote w:id="1">
    <w:p w14:paraId="7C82575D" w14:textId="77777777" w:rsidR="00930225" w:rsidRDefault="00930225" w:rsidP="00930225">
      <w:pPr>
        <w:pStyle w:val="fn1"/>
        <w:ind w:firstLine="708"/>
        <w:contextualSpacing/>
        <w:jc w:val="both"/>
        <w:rPr>
          <w:rStyle w:val="eop"/>
          <w:rFonts w:ascii="Verdana" w:hAnsi="Verdana" w:cs="Arial"/>
          <w:color w:val="000000"/>
          <w:sz w:val="14"/>
          <w:szCs w:val="14"/>
          <w:shd w:val="clear" w:color="auto" w:fill="FFFFFF"/>
        </w:rPr>
      </w:pPr>
      <w:r w:rsidRPr="00E271BA">
        <w:rPr>
          <w:rStyle w:val="Refdenotaalpie"/>
          <w:rFonts w:ascii="Verdana" w:hAnsi="Verdana" w:cs="Arial"/>
          <w:sz w:val="14"/>
          <w:szCs w:val="14"/>
        </w:rPr>
        <w:footnoteRef/>
      </w:r>
      <w:r w:rsidRPr="00E271BA">
        <w:rPr>
          <w:rFonts w:ascii="Verdana" w:hAnsi="Verdana" w:cs="Arial"/>
          <w:sz w:val="14"/>
          <w:szCs w:val="14"/>
        </w:rPr>
        <w:t xml:space="preserve"> </w:t>
      </w:r>
      <w:r w:rsidRPr="00E271BA">
        <w:rPr>
          <w:rStyle w:val="normaltextrun"/>
          <w:rFonts w:ascii="Verdana" w:hAnsi="Verdana" w:cs="Arial"/>
          <w:color w:val="000000"/>
          <w:sz w:val="14"/>
          <w:szCs w:val="14"/>
          <w:shd w:val="clear" w:color="auto" w:fill="FFFFFF"/>
        </w:rPr>
        <w:t xml:space="preserve">Al respecto, la jurisprudencia explica que la garantía del debido proceso </w:t>
      </w:r>
      <w:r>
        <w:rPr>
          <w:rStyle w:val="normaltextrun"/>
          <w:rFonts w:ascii="Verdana" w:hAnsi="Verdana" w:cs="Arial"/>
          <w:color w:val="000000"/>
          <w:sz w:val="14"/>
          <w:szCs w:val="14"/>
          <w:shd w:val="clear" w:color="auto" w:fill="FFFFFF"/>
        </w:rPr>
        <w:t>“(…)</w:t>
      </w:r>
      <w:r w:rsidRPr="00E271BA">
        <w:rPr>
          <w:rStyle w:val="normaltextrun"/>
          <w:rFonts w:ascii="Verdana" w:hAnsi="Verdana" w:cs="Arial"/>
          <w:color w:val="000000"/>
          <w:sz w:val="14"/>
          <w:szCs w:val="14"/>
          <w:shd w:val="clear" w:color="auto" w:fill="FFFFFF"/>
        </w:rPr>
        <w:t xml:space="preserve">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w:t>
      </w:r>
      <w:r w:rsidRPr="00025114">
        <w:rPr>
          <w:rStyle w:val="normaltextrun"/>
          <w:rFonts w:ascii="Verdana" w:hAnsi="Verdana" w:cs="Arial"/>
          <w:color w:val="000000"/>
          <w:sz w:val="14"/>
          <w:szCs w:val="14"/>
          <w:shd w:val="clear" w:color="auto" w:fill="FFFFFF"/>
        </w:rPr>
        <w:t>este derecho que integra el debido proceso» (Consejo de Estado. Sala de lo Contencioso Administrativo. Sección Tercera. Sentencia del 23 de junio de 2010. Rad. 16.367. C.P. Enrique Gil Botero). </w:t>
      </w:r>
      <w:r w:rsidRPr="00025114">
        <w:rPr>
          <w:rStyle w:val="eop"/>
          <w:rFonts w:ascii="Verdana" w:hAnsi="Verdana" w:cs="Arial"/>
          <w:color w:val="000000"/>
          <w:sz w:val="14"/>
          <w:szCs w:val="14"/>
          <w:shd w:val="clear" w:color="auto" w:fill="FFFFFF"/>
        </w:rPr>
        <w:t> </w:t>
      </w:r>
    </w:p>
    <w:p w14:paraId="2F5E95DA" w14:textId="77777777" w:rsidR="00930225" w:rsidRPr="00D25A26" w:rsidRDefault="00930225" w:rsidP="00930225">
      <w:pPr>
        <w:pStyle w:val="Textonotapie"/>
      </w:pPr>
    </w:p>
  </w:footnote>
  <w:footnote w:id="2">
    <w:p w14:paraId="5AA7AAD4"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Refdenotaalpie"/>
          <w:rFonts w:ascii="Verdana" w:hAnsi="Verdana" w:cs="Arial"/>
          <w:sz w:val="14"/>
          <w:szCs w:val="14"/>
        </w:rPr>
        <w:footnoteRef/>
      </w:r>
      <w:r w:rsidRPr="00025114">
        <w:rPr>
          <w:rFonts w:ascii="Verdana" w:hAnsi="Verdana" w:cs="Arial"/>
          <w:sz w:val="14"/>
          <w:szCs w:val="14"/>
        </w:rPr>
        <w:t xml:space="preserve"> </w:t>
      </w:r>
      <w:r w:rsidRPr="00025114">
        <w:rPr>
          <w:rStyle w:val="normaltextrun"/>
          <w:rFonts w:ascii="Verdana" w:hAnsi="Verdana" w:cs="Arial"/>
          <w:color w:val="000000"/>
          <w:sz w:val="14"/>
          <w:szCs w:val="14"/>
          <w:lang w:val="es-MX"/>
        </w:rPr>
        <w:t>El numeral 2 del artículo 2 de la Ley 1150 de 2007 prescribe: </w:t>
      </w:r>
      <w:r>
        <w:rPr>
          <w:rStyle w:val="normaltextrun"/>
          <w:rFonts w:ascii="Verdana" w:hAnsi="Verdana" w:cs="Arial"/>
          <w:color w:val="000000"/>
          <w:sz w:val="14"/>
          <w:szCs w:val="14"/>
          <w:lang w:val="es-MX"/>
        </w:rPr>
        <w:t>“(…)</w:t>
      </w:r>
      <w:r w:rsidRPr="00025114">
        <w:rPr>
          <w:rStyle w:val="normaltextrun"/>
          <w:rFonts w:ascii="Verdana" w:hAnsi="Verdana" w:cs="Arial"/>
          <w:color w:val="000000"/>
          <w:sz w:val="14"/>
          <w:szCs w:val="14"/>
          <w:lang w:val="es-MX"/>
        </w:rPr>
        <w:t> Serán causales de selección abreviada las siguientes:</w:t>
      </w:r>
      <w:r w:rsidRPr="00025114">
        <w:rPr>
          <w:rStyle w:val="eop"/>
          <w:rFonts w:ascii="Verdana" w:hAnsi="Verdana" w:cs="Arial"/>
          <w:color w:val="000000"/>
          <w:sz w:val="14"/>
          <w:szCs w:val="14"/>
        </w:rPr>
        <w:t> </w:t>
      </w:r>
    </w:p>
    <w:p w14:paraId="6D5170A9"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025114">
        <w:rPr>
          <w:rStyle w:val="eop"/>
          <w:rFonts w:ascii="Verdana" w:hAnsi="Verdana" w:cs="Arial"/>
          <w:color w:val="000000"/>
          <w:sz w:val="14"/>
          <w:szCs w:val="14"/>
        </w:rPr>
        <w:t> </w:t>
      </w:r>
    </w:p>
    <w:p w14:paraId="685C07F1"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025114">
        <w:rPr>
          <w:rStyle w:val="eop"/>
          <w:rFonts w:ascii="Verdana" w:hAnsi="Verdana" w:cs="Arial"/>
          <w:color w:val="000000"/>
          <w:sz w:val="14"/>
          <w:szCs w:val="14"/>
        </w:rPr>
        <w:t> </w:t>
      </w:r>
    </w:p>
    <w:p w14:paraId="2DA98ED4"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b) La contratación de menor cuantía. Se entenderá por menor cuantía los valores que a continuación se relacionan, determinados en función de los presupuestos anuales de las entidades públicas expresados en salarios mínimos legales mensuales.</w:t>
      </w:r>
      <w:r w:rsidRPr="00025114">
        <w:rPr>
          <w:rStyle w:val="eop"/>
          <w:rFonts w:ascii="Verdana" w:hAnsi="Verdana" w:cs="Arial"/>
          <w:color w:val="000000"/>
          <w:sz w:val="14"/>
          <w:szCs w:val="14"/>
        </w:rPr>
        <w:t> </w:t>
      </w:r>
    </w:p>
    <w:p w14:paraId="5CD93288"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w:t>
      </w:r>
      <w:r w:rsidRPr="00025114">
        <w:rPr>
          <w:rStyle w:val="eop"/>
          <w:rFonts w:ascii="Verdana" w:hAnsi="Verdana" w:cs="Arial"/>
          <w:color w:val="000000"/>
          <w:sz w:val="14"/>
          <w:szCs w:val="14"/>
        </w:rPr>
        <w:t> </w:t>
      </w:r>
    </w:p>
    <w:p w14:paraId="13746B3E"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r w:rsidRPr="00025114">
        <w:rPr>
          <w:rStyle w:val="eop"/>
          <w:rFonts w:ascii="Verdana" w:hAnsi="Verdana" w:cs="Arial"/>
          <w:color w:val="000000"/>
          <w:sz w:val="14"/>
          <w:szCs w:val="14"/>
        </w:rPr>
        <w:t> </w:t>
      </w:r>
    </w:p>
    <w:p w14:paraId="7442E936"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d) La contratación cuyo proceso de licitación pública haya sido declarado desierto; en cuyo caso la entidad deberá iniciar la selección abreviada dentro de los cuatro meses siguientes a la declaración de desierta del proceso inicial;</w:t>
      </w:r>
      <w:r w:rsidRPr="00025114">
        <w:rPr>
          <w:rStyle w:val="eop"/>
          <w:rFonts w:ascii="Verdana" w:hAnsi="Verdana" w:cs="Arial"/>
          <w:color w:val="000000"/>
          <w:sz w:val="14"/>
          <w:szCs w:val="14"/>
        </w:rPr>
        <w:t> </w:t>
      </w:r>
    </w:p>
    <w:p w14:paraId="45F9A597"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e) La enajenación de bienes del Estado, con excepción de aquellos a que se refiere la Ley 226 de 1995.</w:t>
      </w:r>
      <w:r w:rsidRPr="00025114">
        <w:rPr>
          <w:rStyle w:val="eop"/>
          <w:rFonts w:ascii="Verdana" w:hAnsi="Verdana" w:cs="Arial"/>
          <w:color w:val="000000"/>
          <w:sz w:val="14"/>
          <w:szCs w:val="14"/>
        </w:rPr>
        <w:t> </w:t>
      </w:r>
    </w:p>
    <w:p w14:paraId="15527E21"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 </w:t>
      </w:r>
      <w:r w:rsidRPr="00025114">
        <w:rPr>
          <w:rStyle w:val="eop"/>
          <w:rFonts w:ascii="Verdana" w:hAnsi="Verdana" w:cs="Arial"/>
          <w:color w:val="000000"/>
          <w:sz w:val="14"/>
          <w:szCs w:val="14"/>
        </w:rPr>
        <w:t> </w:t>
      </w:r>
    </w:p>
    <w:p w14:paraId="18BD7D86"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f) Productos de origen o destinación agropecuarios que se ofrezcan en las bolsas de productos legalmente constituidas; </w:t>
      </w:r>
      <w:r w:rsidRPr="00025114">
        <w:rPr>
          <w:rStyle w:val="eop"/>
          <w:rFonts w:ascii="Verdana" w:hAnsi="Verdana" w:cs="Arial"/>
          <w:color w:val="000000"/>
          <w:sz w:val="14"/>
          <w:szCs w:val="14"/>
        </w:rPr>
        <w:t> </w:t>
      </w:r>
    </w:p>
    <w:p w14:paraId="388546BC"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r w:rsidRPr="00025114">
        <w:rPr>
          <w:rStyle w:val="eop"/>
          <w:rFonts w:ascii="Verdana" w:hAnsi="Verdana" w:cs="Arial"/>
          <w:color w:val="000000"/>
          <w:sz w:val="14"/>
          <w:szCs w:val="14"/>
        </w:rPr>
        <w:t> </w:t>
      </w:r>
    </w:p>
    <w:p w14:paraId="6BF777F4"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lang w:val="es-MX"/>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r w:rsidRPr="00025114">
        <w:rPr>
          <w:rStyle w:val="eop"/>
          <w:rFonts w:ascii="Verdana" w:hAnsi="Verdana" w:cs="Arial"/>
          <w:color w:val="000000"/>
          <w:sz w:val="14"/>
          <w:szCs w:val="14"/>
        </w:rPr>
        <w:t> </w:t>
      </w:r>
    </w:p>
    <w:p w14:paraId="0FC1CDCB" w14:textId="77777777" w:rsidR="00930225" w:rsidRDefault="00930225" w:rsidP="00930225">
      <w:pPr>
        <w:pStyle w:val="paragraph"/>
        <w:spacing w:before="0" w:beforeAutospacing="0" w:after="0" w:afterAutospacing="0"/>
        <w:ind w:firstLine="705"/>
        <w:contextualSpacing/>
        <w:jc w:val="both"/>
        <w:textAlignment w:val="baseline"/>
        <w:rPr>
          <w:rStyle w:val="normaltextrun"/>
          <w:rFonts w:ascii="Verdana" w:hAnsi="Verdana" w:cs="Arial"/>
          <w:color w:val="000000"/>
          <w:sz w:val="14"/>
          <w:szCs w:val="14"/>
          <w:lang w:val="es-MX"/>
        </w:rPr>
      </w:pPr>
      <w:r w:rsidRPr="00025114">
        <w:rPr>
          <w:rStyle w:val="normaltextrun"/>
          <w:rFonts w:ascii="Verdana" w:hAnsi="Verdana" w:cs="Arial"/>
          <w:color w:val="000000"/>
          <w:sz w:val="14"/>
          <w:szCs w:val="14"/>
          <w:lang w:val="es-MX"/>
        </w:rPr>
        <w:t>i) La contratación de bienes y servicios que se requieran para la defensa y seguridad nacional.</w:t>
      </w:r>
    </w:p>
    <w:p w14:paraId="1900ABDB"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Fonts w:ascii="Verdana" w:hAnsi="Verdana" w:cs="Arial"/>
          <w:color w:val="000000"/>
          <w:sz w:val="14"/>
          <w:szCs w:val="14"/>
        </w:rPr>
        <w:t> </w:t>
      </w:r>
      <w:r>
        <w:rPr>
          <w:rFonts w:ascii="Verdana" w:hAnsi="Verdana" w:cs="Arial"/>
          <w:color w:val="000000"/>
          <w:sz w:val="14"/>
          <w:szCs w:val="14"/>
        </w:rPr>
        <w:t xml:space="preserve">j) </w:t>
      </w:r>
      <w:r w:rsidRPr="00824609">
        <w:rPr>
          <w:rFonts w:ascii="Verdana" w:hAnsi="Verdana" w:cs="Arial"/>
          <w:sz w:val="14"/>
          <w:szCs w:val="14"/>
        </w:rPr>
        <w:t>Literal adicionado por el artículo </w:t>
      </w:r>
      <w:r>
        <w:rPr>
          <w:rFonts w:ascii="Verdana" w:hAnsi="Verdana" w:cs="Arial"/>
          <w:sz w:val="14"/>
          <w:szCs w:val="14"/>
        </w:rPr>
        <w:t>54</w:t>
      </w:r>
      <w:hyperlink r:id="rId1" w:anchor="54" w:history="1"/>
      <w:r w:rsidRPr="00824609">
        <w:rPr>
          <w:rFonts w:ascii="Verdana" w:hAnsi="Verdana" w:cs="Arial"/>
          <w:sz w:val="14"/>
          <w:szCs w:val="14"/>
        </w:rPr>
        <w:t> de la Ley 2195 de 2022. El nuevo texto es el siguiente: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w:t>
      </w:r>
      <w:hyperlink r:id="rId2" w:anchor="2" w:history="1">
        <w:r w:rsidRPr="00824609">
          <w:rPr>
            <w:rStyle w:val="Hipervnculo"/>
            <w:rFonts w:ascii="Verdana" w:hAnsi="Verdana" w:cs="Arial"/>
            <w:color w:val="auto"/>
            <w:sz w:val="14"/>
            <w:szCs w:val="14"/>
          </w:rPr>
          <w:t>2</w:t>
        </w:r>
      </w:hyperlink>
      <w:r w:rsidRPr="00824609">
        <w:rPr>
          <w:rFonts w:ascii="Verdana" w:hAnsi="Verdana" w:cs="Arial"/>
          <w:sz w:val="14"/>
          <w:szCs w:val="14"/>
        </w:rPr>
        <w:t> de la presente ley, modificado por el artículo </w:t>
      </w:r>
      <w:hyperlink r:id="rId3" w:anchor="41" w:history="1">
        <w:r w:rsidRPr="00824609">
          <w:rPr>
            <w:rStyle w:val="Hipervnculo"/>
            <w:rFonts w:ascii="Verdana" w:hAnsi="Verdana" w:cs="Arial"/>
            <w:color w:val="auto"/>
            <w:sz w:val="14"/>
            <w:szCs w:val="14"/>
            <w:u w:val="none"/>
          </w:rPr>
          <w:t>41</w:t>
        </w:r>
      </w:hyperlink>
      <w:r w:rsidRPr="00824609">
        <w:rPr>
          <w:rFonts w:ascii="Verdana" w:hAnsi="Verdana" w:cs="Arial"/>
          <w:sz w:val="14"/>
          <w:szCs w:val="14"/>
        </w:rPr>
        <w:t> de la </w:t>
      </w:r>
      <w:hyperlink r:id="rId4" w:tgtFrame="_blank" w:history="1">
        <w:r w:rsidRPr="00824609">
          <w:rPr>
            <w:rStyle w:val="Hipervnculo"/>
            <w:rFonts w:ascii="Verdana" w:hAnsi="Verdana" w:cs="Arial"/>
            <w:color w:val="auto"/>
            <w:sz w:val="14"/>
            <w:szCs w:val="14"/>
            <w:u w:val="none"/>
          </w:rPr>
          <w:t>Ley 1955 de 2019</w:t>
        </w:r>
      </w:hyperlink>
      <w:r w:rsidRPr="00824609">
        <w:rPr>
          <w:rFonts w:ascii="Verdana" w:hAnsi="Verdana" w:cs="Arial"/>
          <w:sz w:val="14"/>
          <w:szCs w:val="14"/>
        </w:rPr>
        <w:t>.</w:t>
      </w:r>
      <w:r w:rsidRPr="00824609">
        <w:rPr>
          <w:rStyle w:val="eop"/>
          <w:rFonts w:ascii="Verdana" w:hAnsi="Verdana" w:cs="Arial"/>
          <w:sz w:val="14"/>
          <w:szCs w:val="14"/>
        </w:rPr>
        <w:t> </w:t>
      </w:r>
    </w:p>
    <w:p w14:paraId="49CDB27F"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eop"/>
          <w:rFonts w:ascii="Verdana" w:hAnsi="Verdana" w:cs="Arial"/>
          <w:color w:val="000000"/>
          <w:sz w:val="14"/>
          <w:szCs w:val="14"/>
        </w:rPr>
        <w:t> </w:t>
      </w:r>
    </w:p>
  </w:footnote>
  <w:footnote w:id="3">
    <w:p w14:paraId="734585FB"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Refdenotaalpie"/>
          <w:rFonts w:ascii="Verdana" w:hAnsi="Verdana" w:cs="Arial"/>
          <w:sz w:val="14"/>
          <w:szCs w:val="14"/>
        </w:rPr>
        <w:footnoteRef/>
      </w:r>
      <w:r w:rsidRPr="00025114">
        <w:rPr>
          <w:rStyle w:val="normaltextrun"/>
          <w:rFonts w:ascii="Verdana" w:hAnsi="Verdana" w:cs="Arial"/>
          <w:color w:val="000000"/>
          <w:sz w:val="14"/>
          <w:szCs w:val="14"/>
          <w:lang w:val="es-MX"/>
        </w:rPr>
        <w:t> Ley 1150 de 2007 </w:t>
      </w:r>
      <w:r w:rsidRPr="00025114">
        <w:rPr>
          <w:rStyle w:val="normaltextrun"/>
          <w:rFonts w:ascii="Verdana" w:hAnsi="Verdana" w:cs="Arial"/>
          <w:color w:val="000000"/>
          <w:sz w:val="14"/>
          <w:szCs w:val="14"/>
        </w:rPr>
        <w:t>«Artículo 2o. De las modalidades de selección. La escogencia del contratista se efectuará con arreglo a las modalidades de selección de licitación pública, selección abreviada, concurso de méritos y contratación directa, con base en las siguientes reglas:</w:t>
      </w:r>
      <w:r w:rsidRPr="00025114">
        <w:rPr>
          <w:rStyle w:val="eop"/>
          <w:rFonts w:ascii="Verdana" w:hAnsi="Verdana" w:cs="Arial"/>
          <w:color w:val="000000"/>
          <w:sz w:val="14"/>
          <w:szCs w:val="14"/>
        </w:rPr>
        <w:t> </w:t>
      </w:r>
    </w:p>
    <w:p w14:paraId="4D31D1D6"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rPr>
        <w:t>1. Licitación pública. La escogencia del contratista se efectuará por regla general a través de licitación pública, con las excepciones que se señalan en los numerales 2, 3 y 4 del presente artículo.</w:t>
      </w:r>
      <w:r w:rsidRPr="00025114">
        <w:rPr>
          <w:rStyle w:val="eop"/>
          <w:rFonts w:ascii="Verdana" w:hAnsi="Verdana" w:cs="Arial"/>
          <w:color w:val="000000"/>
          <w:sz w:val="14"/>
          <w:szCs w:val="14"/>
        </w:rPr>
        <w:t> </w:t>
      </w:r>
    </w:p>
    <w:p w14:paraId="0B4BEF10"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i/>
          <w:iCs/>
          <w:color w:val="000000"/>
          <w:sz w:val="14"/>
          <w:szCs w:val="14"/>
        </w:rPr>
        <w:t>Cuando la entidad estatal así lo determine, la oferta en un proceso de la licitación pública podrá ser presentada total o parcialmente de manera dinámica mediante subasta inversa, en las condiciones que fije el reglamento</w:t>
      </w:r>
      <w:r w:rsidRPr="00025114">
        <w:rPr>
          <w:rStyle w:val="normaltextrun"/>
          <w:rFonts w:ascii="Verdana" w:hAnsi="Verdana" w:cs="Arial"/>
          <w:color w:val="000000"/>
          <w:sz w:val="14"/>
          <w:szCs w:val="14"/>
        </w:rPr>
        <w:t>.</w:t>
      </w:r>
      <w:r w:rsidRPr="00025114">
        <w:rPr>
          <w:rStyle w:val="eop"/>
          <w:rFonts w:ascii="Verdana" w:hAnsi="Verdana" w:cs="Arial"/>
          <w:color w:val="000000"/>
          <w:sz w:val="14"/>
          <w:szCs w:val="14"/>
        </w:rPr>
        <w:t> </w:t>
      </w:r>
    </w:p>
    <w:p w14:paraId="7B1EF700" w14:textId="77777777" w:rsidR="00930225" w:rsidRPr="00025114" w:rsidRDefault="00930225" w:rsidP="00930225">
      <w:pPr>
        <w:pStyle w:val="paragraph"/>
        <w:spacing w:before="0" w:beforeAutospacing="0" w:after="0" w:afterAutospacing="0"/>
        <w:ind w:firstLine="709"/>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rPr>
        <w:t xml:space="preserve">2. Selección abreviada. La Selección abreviada corresponde a la modalidad de selección objetiva prevista para aquellos casos en </w:t>
      </w:r>
      <w:proofErr w:type="gramStart"/>
      <w:r w:rsidRPr="00025114">
        <w:rPr>
          <w:rStyle w:val="normaltextrun"/>
          <w:rFonts w:ascii="Verdana" w:hAnsi="Verdana" w:cs="Arial"/>
          <w:color w:val="000000"/>
          <w:sz w:val="14"/>
          <w:szCs w:val="14"/>
        </w:rPr>
        <w:t>que</w:t>
      </w:r>
      <w:proofErr w:type="gramEnd"/>
      <w:r w:rsidRPr="00025114">
        <w:rPr>
          <w:rStyle w:val="normaltextrun"/>
          <w:rFonts w:ascii="Verdana" w:hAnsi="Verdana" w:cs="Arial"/>
          <w:color w:val="000000"/>
          <w:sz w:val="14"/>
          <w:szCs w:val="14"/>
        </w:rPr>
        <w:t xml:space="preserve"> por las características del objeto a contratar, las circunstancias de la contratación o la cuantía o destinación del bien, obra o </w:t>
      </w:r>
      <w:proofErr w:type="gramStart"/>
      <w:r w:rsidRPr="00025114">
        <w:rPr>
          <w:rStyle w:val="normaltextrun"/>
          <w:rFonts w:ascii="Verdana" w:hAnsi="Verdana" w:cs="Arial"/>
          <w:color w:val="000000"/>
          <w:sz w:val="14"/>
          <w:szCs w:val="14"/>
        </w:rPr>
        <w:t>servicio,</w:t>
      </w:r>
      <w:proofErr w:type="gramEnd"/>
      <w:r w:rsidRPr="00025114">
        <w:rPr>
          <w:rStyle w:val="normaltextrun"/>
          <w:rFonts w:ascii="Verdana" w:hAnsi="Verdana" w:cs="Arial"/>
          <w:color w:val="000000"/>
          <w:sz w:val="14"/>
          <w:szCs w:val="14"/>
        </w:rPr>
        <w:t xml:space="preserve"> puedan adelantarse procesos simplificados para garantizar la eficiencia de la gestión contractual.</w:t>
      </w:r>
      <w:r w:rsidRPr="00025114">
        <w:rPr>
          <w:rStyle w:val="eop"/>
          <w:rFonts w:ascii="Verdana" w:hAnsi="Verdana" w:cs="Arial"/>
          <w:color w:val="000000"/>
          <w:sz w:val="14"/>
          <w:szCs w:val="14"/>
        </w:rPr>
        <w:t> </w:t>
      </w:r>
    </w:p>
    <w:p w14:paraId="6DF6B20F"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rPr>
        <w:t>El Gobierno Nacional reglamentará la materia.</w:t>
      </w:r>
      <w:r w:rsidRPr="00025114">
        <w:rPr>
          <w:rStyle w:val="eop"/>
          <w:rFonts w:ascii="Verdana" w:hAnsi="Verdana" w:cs="Arial"/>
          <w:color w:val="000000"/>
          <w:sz w:val="14"/>
          <w:szCs w:val="14"/>
        </w:rPr>
        <w:t> </w:t>
      </w:r>
    </w:p>
    <w:p w14:paraId="2C19DB6B"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025114">
        <w:rPr>
          <w:rStyle w:val="normaltextrun"/>
          <w:rFonts w:ascii="Verdana" w:hAnsi="Verdana" w:cs="Arial"/>
          <w:color w:val="000000"/>
          <w:sz w:val="14"/>
          <w:szCs w:val="14"/>
        </w:rPr>
        <w:t>Serán causales de selección abreviada las siguientes:</w:t>
      </w:r>
      <w:r w:rsidRPr="00025114">
        <w:rPr>
          <w:rStyle w:val="eop"/>
          <w:rFonts w:ascii="Verdana" w:hAnsi="Verdana" w:cs="Arial"/>
          <w:color w:val="000000"/>
          <w:sz w:val="14"/>
          <w:szCs w:val="14"/>
        </w:rPr>
        <w:t> </w:t>
      </w:r>
    </w:p>
    <w:p w14:paraId="770355FC"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824609">
        <w:rPr>
          <w:rStyle w:val="eop"/>
          <w:rFonts w:ascii="Verdana" w:hAnsi="Verdana" w:cs="Arial"/>
          <w:color w:val="000000"/>
          <w:sz w:val="14"/>
          <w:szCs w:val="14"/>
        </w:rPr>
        <w:t> </w:t>
      </w:r>
    </w:p>
    <w:p w14:paraId="560694A3"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824609">
        <w:rPr>
          <w:rStyle w:val="eop"/>
          <w:rFonts w:ascii="Verdana" w:hAnsi="Verdana" w:cs="Arial"/>
          <w:color w:val="000000"/>
          <w:sz w:val="14"/>
          <w:szCs w:val="14"/>
        </w:rPr>
        <w:t> </w:t>
      </w:r>
    </w:p>
    <w:p w14:paraId="5581273A" w14:textId="77777777" w:rsidR="00930225" w:rsidRPr="00824609" w:rsidRDefault="00930225" w:rsidP="00930225">
      <w:pPr>
        <w:pStyle w:val="paragraph"/>
        <w:spacing w:before="0" w:beforeAutospacing="0" w:after="0" w:afterAutospacing="0"/>
        <w:ind w:left="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w:t>
      </w:r>
      <w:r w:rsidRPr="00824609">
        <w:rPr>
          <w:rStyle w:val="eop"/>
          <w:rFonts w:ascii="Verdana" w:hAnsi="Verdana" w:cs="Arial"/>
          <w:color w:val="000000"/>
          <w:sz w:val="14"/>
          <w:szCs w:val="14"/>
        </w:rPr>
        <w:t> </w:t>
      </w:r>
    </w:p>
    <w:p w14:paraId="56CAB921"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e) La enajenación de bienes del Estado, con excepción de aquellos a que se refiere la Ley 226 de 1995.</w:t>
      </w:r>
      <w:r w:rsidRPr="00824609">
        <w:rPr>
          <w:rStyle w:val="eop"/>
          <w:rFonts w:ascii="Verdana" w:hAnsi="Verdana" w:cs="Arial"/>
          <w:color w:val="000000"/>
          <w:sz w:val="14"/>
          <w:szCs w:val="14"/>
        </w:rPr>
        <w:t> </w:t>
      </w:r>
    </w:p>
    <w:p w14:paraId="3A2D17C2"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824609">
        <w:rPr>
          <w:rStyle w:val="eop"/>
          <w:rFonts w:ascii="Verdana" w:hAnsi="Verdana" w:cs="Arial"/>
          <w:color w:val="000000"/>
          <w:sz w:val="14"/>
          <w:szCs w:val="14"/>
        </w:rPr>
        <w:t> </w:t>
      </w:r>
    </w:p>
    <w:p w14:paraId="6EF52F1C"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w:t>
      </w:r>
      <w:r w:rsidRPr="00824609">
        <w:rPr>
          <w:rStyle w:val="eop"/>
          <w:rFonts w:ascii="Verdana" w:hAnsi="Verdana" w:cs="Arial"/>
          <w:color w:val="000000"/>
          <w:sz w:val="14"/>
          <w:szCs w:val="14"/>
        </w:rPr>
        <w:t> </w:t>
      </w:r>
    </w:p>
    <w:p w14:paraId="4F1D49DF"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Las reglas y procedimientos que deberán atender la administración y los promotores y la publicidad del proceso deberán garantizar la libre concurrencia y oportunidad de quienes participen en el mismo.</w:t>
      </w:r>
      <w:r w:rsidRPr="00824609">
        <w:rPr>
          <w:rStyle w:val="eop"/>
          <w:rFonts w:ascii="Verdana" w:hAnsi="Verdana" w:cs="Arial"/>
          <w:color w:val="000000"/>
          <w:sz w:val="14"/>
          <w:szCs w:val="14"/>
        </w:rPr>
        <w:t> </w:t>
      </w:r>
    </w:p>
    <w:p w14:paraId="31A7BDDD" w14:textId="77777777" w:rsidR="00930225" w:rsidRPr="00824609"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824609">
        <w:rPr>
          <w:rStyle w:val="normaltextrun"/>
          <w:rFonts w:ascii="Verdana" w:hAnsi="Verdana" w:cs="Arial"/>
          <w:color w:val="000000"/>
          <w:sz w:val="14"/>
          <w:szCs w:val="14"/>
        </w:rPr>
        <w:t>Los bienes serán enajenados a través de venta directa en sobre cerrado o en pública subasta. La adjudicación para la venta directa deberá hacerse en audiencia pública, en donde se conozcan las ofertas iniciales y se efectúe un segundo ofrecimiento, frente al cual se adjudicará el bien a quien oferte el mejor precio. En la subasta pública, de acuerdo con el reglamento definido para su realización, el bien será adjudicado al mejor postor.</w:t>
      </w:r>
      <w:r w:rsidRPr="00824609">
        <w:rPr>
          <w:rStyle w:val="eop"/>
          <w:rFonts w:ascii="Verdana" w:hAnsi="Verdana" w:cs="Arial"/>
          <w:color w:val="000000"/>
          <w:sz w:val="14"/>
          <w:szCs w:val="14"/>
        </w:rPr>
        <w:t> </w:t>
      </w:r>
    </w:p>
    <w:p w14:paraId="0B2B9690" w14:textId="77777777" w:rsidR="00930225" w:rsidRDefault="00930225" w:rsidP="00930225">
      <w:pPr>
        <w:pStyle w:val="paragraph"/>
        <w:spacing w:before="0" w:beforeAutospacing="0" w:after="0" w:afterAutospacing="0"/>
        <w:ind w:firstLine="705"/>
        <w:contextualSpacing/>
        <w:jc w:val="both"/>
        <w:textAlignment w:val="baseline"/>
        <w:rPr>
          <w:rStyle w:val="normaltextrun"/>
          <w:rFonts w:ascii="Verdana" w:hAnsi="Verdana" w:cs="Arial"/>
          <w:color w:val="000000"/>
          <w:sz w:val="14"/>
          <w:szCs w:val="14"/>
        </w:rPr>
      </w:pPr>
      <w:r w:rsidRPr="00824609">
        <w:rPr>
          <w:rStyle w:val="normaltextrun"/>
          <w:rFonts w:ascii="Verdana" w:hAnsi="Verdana" w:cs="Arial"/>
          <w:color w:val="000000"/>
          <w:sz w:val="14"/>
          <w:szCs w:val="14"/>
        </w:rPr>
        <w:t>La venta implica la publicación previa de los bienes en un diario de amplia circulación nacional, con la determinación del precio base. El interesado en adquirir bienes deberá consignar al menos el 20% del valor base de venta para participar en la oferta […]. </w:t>
      </w:r>
    </w:p>
    <w:p w14:paraId="223BCC89" w14:textId="77777777" w:rsidR="00930225" w:rsidRPr="00025114"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p>
  </w:footnote>
  <w:footnote w:id="4">
    <w:p w14:paraId="6B225C6A" w14:textId="77777777" w:rsidR="00930225" w:rsidRDefault="00930225" w:rsidP="00930225">
      <w:pPr>
        <w:pStyle w:val="fn1"/>
        <w:ind w:firstLine="705"/>
        <w:contextualSpacing/>
        <w:jc w:val="both"/>
        <w:rPr>
          <w:rStyle w:val="normaltextrun"/>
          <w:rFonts w:ascii="Verdana" w:hAnsi="Verdana" w:cs="Arial"/>
          <w:color w:val="000000"/>
          <w:sz w:val="14"/>
          <w:szCs w:val="14"/>
          <w:bdr w:val="none" w:sz="0" w:space="0" w:color="auto" w:frame="1"/>
        </w:rPr>
      </w:pPr>
      <w:r w:rsidRPr="00025114">
        <w:rPr>
          <w:rStyle w:val="Refdenotaalpie"/>
          <w:rFonts w:ascii="Verdana" w:hAnsi="Verdana" w:cs="Arial"/>
          <w:sz w:val="14"/>
          <w:szCs w:val="14"/>
        </w:rPr>
        <w:footnoteRef/>
      </w:r>
      <w:r w:rsidRPr="00025114">
        <w:rPr>
          <w:rFonts w:ascii="Verdana" w:hAnsi="Verdana" w:cs="Arial"/>
          <w:sz w:val="14"/>
          <w:szCs w:val="14"/>
        </w:rPr>
        <w:t xml:space="preserve"> </w:t>
      </w:r>
      <w:r w:rsidRPr="00025114">
        <w:rPr>
          <w:rStyle w:val="normaltextrun"/>
          <w:rFonts w:ascii="Verdana" w:hAnsi="Verdana" w:cs="Arial"/>
          <w:color w:val="000000"/>
          <w:sz w:val="14"/>
          <w:szCs w:val="14"/>
          <w:bdr w:val="none" w:sz="0" w:space="0" w:color="auto" w:frame="1"/>
        </w:rPr>
        <w:t>SOLANO SIERRA, Jairo E. Contratación Administrativa, Modalidades de selección del Contratista. 4a. ed. Bogotá D.C.: Editorial Doctrina y Ley Ltda., 2010. p. 283.</w:t>
      </w:r>
    </w:p>
    <w:p w14:paraId="204034A3" w14:textId="77777777" w:rsidR="00930225" w:rsidRPr="00BA49D5" w:rsidRDefault="00930225" w:rsidP="00930225">
      <w:pPr>
        <w:pStyle w:val="Textonotapie"/>
      </w:pPr>
    </w:p>
  </w:footnote>
  <w:footnote w:id="5">
    <w:p w14:paraId="5A301ADE" w14:textId="77777777" w:rsidR="00930225" w:rsidRDefault="00930225" w:rsidP="00930225">
      <w:pPr>
        <w:pStyle w:val="Textonotapie"/>
        <w:ind w:firstLine="709"/>
        <w:jc w:val="both"/>
        <w:rPr>
          <w:rFonts w:ascii="Verdana" w:hAnsi="Verdana"/>
          <w:sz w:val="14"/>
          <w:szCs w:val="14"/>
          <w:lang w:val="es-CO"/>
        </w:rPr>
      </w:pPr>
      <w:r w:rsidRPr="00025114">
        <w:rPr>
          <w:rStyle w:val="Refdenotaalpie"/>
          <w:rFonts w:ascii="Verdana" w:hAnsi="Verdana"/>
          <w:sz w:val="14"/>
          <w:szCs w:val="14"/>
        </w:rPr>
        <w:footnoteRef/>
      </w:r>
      <w:r w:rsidRPr="00025114">
        <w:rPr>
          <w:rFonts w:ascii="Verdana" w:hAnsi="Verdana"/>
          <w:sz w:val="14"/>
          <w:szCs w:val="14"/>
        </w:rPr>
        <w:t xml:space="preserve"> </w:t>
      </w:r>
      <w:r w:rsidRPr="00025114">
        <w:rPr>
          <w:rFonts w:ascii="Verdana" w:hAnsi="Verdana"/>
          <w:sz w:val="14"/>
          <w:szCs w:val="14"/>
          <w:lang w:val="es-ES"/>
        </w:rPr>
        <w:t xml:space="preserve">Consejo de Estado. </w:t>
      </w:r>
      <w:r w:rsidRPr="00025114">
        <w:rPr>
          <w:rFonts w:ascii="Verdana" w:hAnsi="Verdana"/>
          <w:sz w:val="14"/>
          <w:szCs w:val="14"/>
          <w:lang w:val="es-CO"/>
        </w:rPr>
        <w:t xml:space="preserve">Sala de lo Contencioso Administrativo. Sección Tercera. Subsección A. Sentencia del 5 de mayo de 2025. Radicado: 25000233600020190010601 (70.067). C.P: José Roberto Sáchica Méndez. </w:t>
      </w:r>
    </w:p>
    <w:p w14:paraId="104376CC" w14:textId="77777777" w:rsidR="00930225" w:rsidRPr="00025114" w:rsidRDefault="00930225" w:rsidP="00930225">
      <w:pPr>
        <w:pStyle w:val="Textonotapie"/>
        <w:ind w:firstLine="709"/>
        <w:jc w:val="both"/>
        <w:rPr>
          <w:rFonts w:ascii="Verdana" w:hAnsi="Verdana"/>
          <w:sz w:val="14"/>
          <w:szCs w:val="14"/>
          <w:lang w:val="es-CO"/>
        </w:rPr>
      </w:pPr>
    </w:p>
  </w:footnote>
  <w:footnote w:id="6">
    <w:p w14:paraId="0283A5B2" w14:textId="77777777" w:rsidR="00930225" w:rsidRPr="001A03C1" w:rsidRDefault="00930225" w:rsidP="00930225">
      <w:pPr>
        <w:pStyle w:val="paragraph"/>
        <w:spacing w:before="0" w:beforeAutospacing="0" w:after="0" w:afterAutospacing="0"/>
        <w:ind w:firstLine="705"/>
        <w:contextualSpacing/>
        <w:jc w:val="both"/>
        <w:textAlignment w:val="baseline"/>
        <w:rPr>
          <w:rFonts w:ascii="Verdana" w:hAnsi="Verdana" w:cs="Arial"/>
          <w:sz w:val="14"/>
          <w:szCs w:val="14"/>
        </w:rPr>
      </w:pPr>
      <w:r w:rsidRPr="001A03C1">
        <w:rPr>
          <w:rStyle w:val="Refdenotaalpie"/>
          <w:rFonts w:ascii="Verdana" w:hAnsi="Verdana" w:cs="Arial"/>
          <w:sz w:val="14"/>
          <w:szCs w:val="14"/>
        </w:rPr>
        <w:footnoteRef/>
      </w:r>
      <w:r w:rsidRPr="001A03C1">
        <w:rPr>
          <w:rFonts w:ascii="Verdana" w:hAnsi="Verdana" w:cs="Arial"/>
          <w:sz w:val="14"/>
          <w:szCs w:val="14"/>
        </w:rPr>
        <w:t xml:space="preserve"> </w:t>
      </w:r>
      <w:r w:rsidRPr="001A03C1">
        <w:rPr>
          <w:rStyle w:val="normaltextrun"/>
          <w:rFonts w:ascii="Verdana" w:hAnsi="Verdana" w:cs="Arial"/>
          <w:sz w:val="14"/>
          <w:szCs w:val="14"/>
          <w:lang w:val="es-MX"/>
        </w:rPr>
        <w:t>SUÁREZ BELTRÁN,</w:t>
      </w:r>
      <w:r w:rsidRPr="001A03C1">
        <w:rPr>
          <w:rStyle w:val="normaltextrun"/>
          <w:rFonts w:ascii="Verdana" w:hAnsi="Verdana" w:cs="Arial"/>
          <w:sz w:val="14"/>
          <w:szCs w:val="14"/>
        </w:rPr>
        <w:t> </w:t>
      </w:r>
      <w:r w:rsidRPr="001A03C1">
        <w:rPr>
          <w:rStyle w:val="normaltextrun"/>
          <w:rFonts w:ascii="Verdana" w:hAnsi="Verdana" w:cs="Arial"/>
          <w:sz w:val="14"/>
          <w:szCs w:val="14"/>
          <w:lang w:val="es-MX"/>
        </w:rPr>
        <w:t>Gonzalo. Estudios de derecho contractual público. Pontificia Universidad Javeriana. Bogotá: Legis, 2014.</w:t>
      </w:r>
      <w:r w:rsidRPr="001A03C1">
        <w:rPr>
          <w:rStyle w:val="normaltextrun"/>
          <w:rFonts w:ascii="Verdana" w:hAnsi="Verdana" w:cs="Arial"/>
          <w:sz w:val="14"/>
          <w:szCs w:val="14"/>
        </w:rPr>
        <w:t> </w:t>
      </w:r>
      <w:r w:rsidRPr="001A03C1">
        <w:rPr>
          <w:rStyle w:val="normaltextrun"/>
          <w:rFonts w:ascii="Verdana" w:hAnsi="Verdana" w:cs="Arial"/>
          <w:sz w:val="14"/>
          <w:szCs w:val="14"/>
          <w:lang w:val="es-MX"/>
        </w:rPr>
        <w:t>p 71 y 72. Citado en: DÁVILA VINEZA, Luis Guillermo. Régimen Jurídico de la contratación estatal. 3ª ed. Legis: Bogotá, 2016. p.</w:t>
      </w:r>
      <w:r w:rsidRPr="001A03C1">
        <w:rPr>
          <w:rStyle w:val="normaltextrun"/>
          <w:rFonts w:ascii="Verdana" w:hAnsi="Verdana" w:cs="Arial"/>
          <w:sz w:val="14"/>
          <w:szCs w:val="14"/>
        </w:rPr>
        <w:t> </w:t>
      </w:r>
      <w:r w:rsidRPr="001A03C1">
        <w:rPr>
          <w:rStyle w:val="normaltextrun"/>
          <w:rFonts w:ascii="Verdana" w:hAnsi="Verdana" w:cs="Arial"/>
          <w:sz w:val="14"/>
          <w:szCs w:val="14"/>
          <w:lang w:val="es-MX"/>
        </w:rPr>
        <w:t>466.</w:t>
      </w:r>
      <w:r w:rsidRPr="001A03C1">
        <w:rPr>
          <w:rStyle w:val="normaltextrun"/>
          <w:rFonts w:ascii="Verdana" w:hAnsi="Verdana" w:cs="Arial"/>
          <w:sz w:val="14"/>
          <w:szCs w:val="14"/>
        </w:rPr>
        <w:t> </w:t>
      </w:r>
      <w:r w:rsidRPr="001A03C1">
        <w:rPr>
          <w:rStyle w:val="eop"/>
          <w:rFonts w:ascii="Verdana" w:hAnsi="Verdana" w:cs="Arial"/>
          <w:sz w:val="14"/>
          <w:szCs w:val="14"/>
        </w:rPr>
        <w:t> </w:t>
      </w:r>
    </w:p>
    <w:p w14:paraId="0F78587C" w14:textId="77777777" w:rsidR="00930225" w:rsidRPr="001A03C1" w:rsidRDefault="00930225" w:rsidP="00930225">
      <w:pPr>
        <w:pStyle w:val="paragraph"/>
        <w:spacing w:before="0" w:beforeAutospacing="0" w:after="0" w:afterAutospacing="0"/>
        <w:contextualSpacing/>
        <w:jc w:val="both"/>
        <w:textAlignment w:val="baseline"/>
        <w:rPr>
          <w:rFonts w:ascii="Verdana" w:hAnsi="Verdana" w:cs="Arial"/>
          <w:sz w:val="14"/>
          <w:szCs w:val="14"/>
        </w:rPr>
      </w:pPr>
      <w:r w:rsidRPr="001A03C1">
        <w:rPr>
          <w:rStyle w:val="eop"/>
          <w:rFonts w:ascii="Verdana" w:hAnsi="Verdana" w:cs="Arial"/>
          <w:sz w:val="14"/>
          <w:szCs w:val="14"/>
        </w:rPr>
        <w:t> </w:t>
      </w:r>
    </w:p>
    <w:p w14:paraId="16E75715" w14:textId="77777777" w:rsidR="00930225" w:rsidRPr="00611497" w:rsidRDefault="00930225" w:rsidP="00930225">
      <w:pPr>
        <w:pStyle w:val="fn1"/>
        <w:contextualSpacing/>
        <w:jc w:val="both"/>
        <w:rPr>
          <w:rFonts w:ascii="Arial" w:hAnsi="Arial" w:cs="Arial"/>
          <w:sz w:val="18"/>
          <w:szCs w:val="18"/>
          <w:lang w:val="es-CO"/>
        </w:rPr>
      </w:pPr>
    </w:p>
  </w:footnote>
  <w:footnote w:id="7">
    <w:p w14:paraId="4404766D" w14:textId="77777777" w:rsidR="00930225" w:rsidRPr="00821FAD" w:rsidRDefault="00930225" w:rsidP="00930225">
      <w:pPr>
        <w:spacing w:after="0" w:line="240" w:lineRule="auto"/>
        <w:ind w:right="51" w:firstLine="709"/>
        <w:jc w:val="both"/>
        <w:rPr>
          <w:rFonts w:ascii="Verdana" w:hAnsi="Verdana"/>
          <w:sz w:val="14"/>
          <w:szCs w:val="14"/>
        </w:rPr>
      </w:pPr>
      <w:r w:rsidRPr="00821FAD">
        <w:rPr>
          <w:rStyle w:val="Refdenotaalpie"/>
          <w:rFonts w:ascii="Verdana" w:hAnsi="Verdana"/>
          <w:sz w:val="14"/>
          <w:szCs w:val="14"/>
        </w:rPr>
        <w:footnoteRef/>
      </w:r>
      <w:r w:rsidRPr="00821FAD">
        <w:rPr>
          <w:rFonts w:ascii="Verdana" w:hAnsi="Verdana"/>
          <w:sz w:val="14"/>
          <w:szCs w:val="14"/>
        </w:rPr>
        <w:t xml:space="preserve"> Decreto 1082 de 2015: “Artículo 2.2.1.2.1.2.1. Pliegos de condiciones. En los pliegos de condiciones para contratar Bienes y Servicios de Características Técnicas Uniformes, la Entidad Estatal debe indicar:</w:t>
      </w:r>
    </w:p>
    <w:p w14:paraId="7A401D78" w14:textId="77777777" w:rsidR="00930225" w:rsidRPr="00821FAD" w:rsidRDefault="00930225" w:rsidP="00930225">
      <w:pPr>
        <w:spacing w:after="0" w:line="240" w:lineRule="auto"/>
        <w:ind w:right="51" w:firstLine="709"/>
        <w:jc w:val="both"/>
        <w:rPr>
          <w:rFonts w:ascii="Verdana" w:hAnsi="Verdana"/>
          <w:sz w:val="14"/>
          <w:szCs w:val="14"/>
        </w:rPr>
      </w:pPr>
      <w:r w:rsidRPr="00821FAD">
        <w:rPr>
          <w:rFonts w:ascii="Verdana" w:hAnsi="Verdana"/>
          <w:sz w:val="14"/>
          <w:szCs w:val="14"/>
        </w:rPr>
        <w:t>“1. La ficha técnica del bien o servicio que debe incluir: a) la clasificación del bien o servicio de acuerdo con el Clasificador de Bienes y Servicios; b) la identificación adicional requerida; c) la unidad de medida; d) la calidad mínima, y e) los patrones de desempeño mínimos.</w:t>
      </w:r>
    </w:p>
    <w:p w14:paraId="08B777B0" w14:textId="77777777" w:rsidR="00930225" w:rsidRPr="00821FAD" w:rsidRDefault="00930225" w:rsidP="00930225">
      <w:pPr>
        <w:spacing w:after="0" w:line="240" w:lineRule="auto"/>
        <w:ind w:right="51" w:firstLine="709"/>
        <w:jc w:val="both"/>
        <w:rPr>
          <w:rFonts w:ascii="Verdana" w:hAnsi="Verdana"/>
          <w:sz w:val="14"/>
          <w:szCs w:val="14"/>
        </w:rPr>
      </w:pPr>
      <w:r w:rsidRPr="00821FAD">
        <w:rPr>
          <w:rFonts w:ascii="Verdana" w:hAnsi="Verdana"/>
          <w:sz w:val="14"/>
          <w:szCs w:val="14"/>
        </w:rPr>
        <w:t>“2. Si el precio del bien o servicio es regulado, la variable sobre la cual se hace la evaluación de las ofertas.</w:t>
      </w:r>
    </w:p>
    <w:p w14:paraId="01774E6B" w14:textId="77777777" w:rsidR="00930225" w:rsidRPr="00821FAD" w:rsidRDefault="00930225" w:rsidP="00930225">
      <w:pPr>
        <w:spacing w:after="0" w:line="240" w:lineRule="auto"/>
        <w:ind w:right="51" w:firstLine="709"/>
        <w:jc w:val="both"/>
        <w:rPr>
          <w:rFonts w:ascii="Verdana" w:hAnsi="Verdana"/>
          <w:sz w:val="14"/>
          <w:szCs w:val="14"/>
        </w:rPr>
      </w:pPr>
      <w:r w:rsidRPr="00821FAD">
        <w:rPr>
          <w:rFonts w:ascii="Verdana" w:hAnsi="Verdana"/>
          <w:sz w:val="14"/>
          <w:szCs w:val="14"/>
        </w:rPr>
        <w:t>“3. Definir el contenido de cada uno de las partes o lotes, si la adquisición se pretende hacer por partes”.</w:t>
      </w:r>
    </w:p>
    <w:p w14:paraId="59080A2E" w14:textId="77777777" w:rsidR="00930225" w:rsidRPr="00AE2DBA" w:rsidRDefault="00930225" w:rsidP="00930225">
      <w:pPr>
        <w:pStyle w:val="Textonotapie"/>
        <w:rPr>
          <w:lang w:val="es-CO"/>
        </w:rPr>
      </w:pPr>
    </w:p>
  </w:footnote>
  <w:footnote w:id="8">
    <w:p w14:paraId="247B601B" w14:textId="77777777" w:rsidR="00930225" w:rsidRPr="00821FAD" w:rsidRDefault="00930225" w:rsidP="00930225">
      <w:pPr>
        <w:pStyle w:val="Textonotapie"/>
        <w:ind w:firstLine="709"/>
        <w:jc w:val="both"/>
        <w:rPr>
          <w:rFonts w:ascii="Verdana" w:hAnsi="Verdana"/>
          <w:sz w:val="14"/>
          <w:szCs w:val="14"/>
          <w:lang w:val="es-CO"/>
        </w:rPr>
      </w:pPr>
      <w:r w:rsidRPr="00821FAD">
        <w:rPr>
          <w:rStyle w:val="Refdenotaalpie"/>
          <w:rFonts w:ascii="Verdana" w:hAnsi="Verdana"/>
          <w:sz w:val="14"/>
          <w:szCs w:val="14"/>
        </w:rPr>
        <w:footnoteRef/>
      </w:r>
      <w:r w:rsidRPr="00821FAD">
        <w:rPr>
          <w:rFonts w:ascii="Verdana" w:hAnsi="Verdana"/>
          <w:sz w:val="14"/>
          <w:szCs w:val="14"/>
        </w:rPr>
        <w:t xml:space="preserve"> Ley 80 de 1993. </w:t>
      </w:r>
      <w:r w:rsidRPr="00821FAD">
        <w:rPr>
          <w:rFonts w:ascii="Verdana" w:hAnsi="Verdana"/>
          <w:sz w:val="14"/>
          <w:szCs w:val="14"/>
          <w:lang w:val="es-CO"/>
        </w:rPr>
        <w:t>Artículo </w:t>
      </w:r>
      <w:bookmarkStart w:id="9" w:name="BM16"/>
      <w:bookmarkStart w:id="10" w:name="16"/>
      <w:bookmarkEnd w:id="9"/>
      <w:bookmarkEnd w:id="10"/>
      <w:r w:rsidRPr="00821FAD">
        <w:rPr>
          <w:rFonts w:ascii="Verdana" w:hAnsi="Verdana"/>
          <w:sz w:val="14"/>
          <w:szCs w:val="14"/>
          <w:lang w:val="es-CO"/>
        </w:rPr>
        <w:t>16.- “</w:t>
      </w:r>
      <w:r w:rsidRPr="00821FAD">
        <w:rPr>
          <w:rFonts w:ascii="Verdana" w:hAnsi="Verdana"/>
          <w:i/>
          <w:iCs/>
          <w:sz w:val="14"/>
          <w:szCs w:val="14"/>
          <w:lang w:val="es-CO"/>
        </w:rPr>
        <w:t>De la Modificación Unilateral.</w:t>
      </w:r>
      <w:r w:rsidRPr="00821FAD">
        <w:rPr>
          <w:rFonts w:ascii="Verdana" w:hAnsi="Verdana"/>
          <w:sz w:val="14"/>
          <w:szCs w:val="14"/>
          <w:lang w:val="es-CO"/>
        </w:rPr>
        <w:t> Si durante la ejecución del contrato y para evitar la paralización o la afectación grave del servicio público que se deba satisfacer con él, fuere necesario introducir variaciones en el contrato y previamente las partes no llegan al acuerdo respectivo, la entidad en acto administrativo debidamente motivado, lo modificará mediante la supresión o adición de obras, trabajos, suministros o servicios”.</w:t>
      </w:r>
    </w:p>
    <w:p w14:paraId="2C229F23" w14:textId="77777777" w:rsidR="00930225" w:rsidRPr="00821FAD" w:rsidRDefault="00930225" w:rsidP="00930225">
      <w:pPr>
        <w:pStyle w:val="Textonotapie"/>
        <w:ind w:firstLine="709"/>
        <w:jc w:val="both"/>
        <w:rPr>
          <w:rFonts w:ascii="Verdana" w:hAnsi="Verdana"/>
          <w:sz w:val="14"/>
          <w:szCs w:val="14"/>
        </w:rPr>
      </w:pPr>
    </w:p>
  </w:footnote>
  <w:footnote w:id="9">
    <w:p w14:paraId="473FC573" w14:textId="77777777" w:rsidR="00930225" w:rsidRDefault="00930225" w:rsidP="00930225">
      <w:pPr>
        <w:pStyle w:val="Textonotapie"/>
        <w:ind w:firstLine="709"/>
        <w:jc w:val="both"/>
        <w:rPr>
          <w:rFonts w:ascii="Verdana" w:hAnsi="Verdana" w:cs="Arial"/>
          <w:sz w:val="14"/>
          <w:szCs w:val="14"/>
          <w:lang w:val="es-CO"/>
        </w:rPr>
      </w:pPr>
      <w:r w:rsidRPr="00821FAD">
        <w:rPr>
          <w:rStyle w:val="Refdenotaalpie"/>
          <w:rFonts w:ascii="Verdana" w:hAnsi="Verdana" w:cs="Arial"/>
          <w:sz w:val="14"/>
          <w:szCs w:val="14"/>
        </w:rPr>
        <w:footnoteRef/>
      </w:r>
      <w:r w:rsidRPr="00821FAD">
        <w:rPr>
          <w:rFonts w:ascii="Verdana" w:hAnsi="Verdana" w:cs="Arial"/>
          <w:sz w:val="14"/>
          <w:szCs w:val="14"/>
        </w:rPr>
        <w:t xml:space="preserve"> </w:t>
      </w:r>
      <w:r w:rsidRPr="00821FAD">
        <w:rPr>
          <w:rFonts w:ascii="Verdana" w:hAnsi="Verdana" w:cs="Arial"/>
          <w:sz w:val="14"/>
          <w:szCs w:val="14"/>
          <w:lang w:val="es-CO"/>
        </w:rPr>
        <w:t>El artículo 40 de la Ley 80 de 1993 dispone que los contratos no podrán adicionarse en más del 50% de su valor inicial, expresado en SMLMV.</w:t>
      </w:r>
    </w:p>
    <w:p w14:paraId="7486AE68" w14:textId="77777777" w:rsidR="00930225" w:rsidRPr="00821FAD" w:rsidRDefault="00930225" w:rsidP="00930225">
      <w:pPr>
        <w:pStyle w:val="Textonotapie"/>
        <w:ind w:firstLine="709"/>
        <w:jc w:val="both"/>
        <w:rPr>
          <w:rFonts w:ascii="Verdana" w:hAnsi="Verdana" w:cs="Arial"/>
          <w:sz w:val="14"/>
          <w:szCs w:val="14"/>
          <w:lang w:val="es-CO"/>
        </w:rPr>
      </w:pPr>
    </w:p>
  </w:footnote>
  <w:footnote w:id="10">
    <w:p w14:paraId="6DDDBF9E" w14:textId="77777777" w:rsidR="00930225" w:rsidRDefault="00930225" w:rsidP="00930225">
      <w:pPr>
        <w:pStyle w:val="Textonotapie"/>
        <w:ind w:firstLine="709"/>
        <w:rPr>
          <w:rFonts w:ascii="Verdana" w:hAnsi="Verdana"/>
          <w:sz w:val="14"/>
          <w:szCs w:val="14"/>
          <w:lang w:val="pt-BR"/>
        </w:rPr>
      </w:pPr>
      <w:r w:rsidRPr="00821FAD">
        <w:rPr>
          <w:rStyle w:val="Refdenotaalpie"/>
          <w:rFonts w:ascii="Verdana" w:hAnsi="Verdana"/>
          <w:sz w:val="14"/>
          <w:szCs w:val="14"/>
        </w:rPr>
        <w:footnoteRef/>
      </w:r>
      <w:r w:rsidRPr="00821FAD">
        <w:rPr>
          <w:rFonts w:ascii="Verdana" w:hAnsi="Verdana"/>
          <w:sz w:val="14"/>
          <w:szCs w:val="14"/>
          <w:lang w:val="pt-BR"/>
        </w:rPr>
        <w:t xml:space="preserve"> Corte Constitucional. Sentencia C-300 de 2012. M.P</w:t>
      </w:r>
      <w:r>
        <w:rPr>
          <w:rFonts w:ascii="Verdana" w:hAnsi="Verdana"/>
          <w:sz w:val="14"/>
          <w:szCs w:val="14"/>
          <w:lang w:val="pt-BR"/>
        </w:rPr>
        <w:t>:</w:t>
      </w:r>
      <w:r w:rsidRPr="00821FAD">
        <w:rPr>
          <w:rFonts w:ascii="Verdana" w:hAnsi="Verdana"/>
          <w:sz w:val="14"/>
          <w:szCs w:val="14"/>
          <w:lang w:val="pt-BR"/>
        </w:rPr>
        <w:t xml:space="preserve"> Jorge Ignacio Pretelt Chaljub</w:t>
      </w:r>
      <w:r>
        <w:rPr>
          <w:rFonts w:ascii="Verdana" w:hAnsi="Verdana"/>
          <w:sz w:val="14"/>
          <w:szCs w:val="14"/>
          <w:lang w:val="pt-BR"/>
        </w:rPr>
        <w:t>.</w:t>
      </w:r>
    </w:p>
    <w:p w14:paraId="6F0D09B4" w14:textId="77777777" w:rsidR="00930225" w:rsidRPr="00821FAD" w:rsidRDefault="00930225" w:rsidP="00930225">
      <w:pPr>
        <w:pStyle w:val="Textonotapie"/>
        <w:ind w:firstLine="709"/>
        <w:rPr>
          <w:rFonts w:ascii="Verdana" w:hAnsi="Verdana"/>
          <w:sz w:val="14"/>
          <w:szCs w:val="14"/>
          <w:lang w:val="pt-BR"/>
        </w:rPr>
      </w:pPr>
    </w:p>
  </w:footnote>
  <w:footnote w:id="11">
    <w:p w14:paraId="623A4197" w14:textId="77777777" w:rsidR="00930225" w:rsidRDefault="00930225" w:rsidP="00930225">
      <w:pPr>
        <w:pStyle w:val="Textonotapie"/>
        <w:ind w:firstLine="709"/>
        <w:jc w:val="both"/>
        <w:rPr>
          <w:rFonts w:ascii="Verdana" w:hAnsi="Verdana"/>
          <w:sz w:val="14"/>
          <w:szCs w:val="14"/>
        </w:rPr>
      </w:pPr>
      <w:r w:rsidRPr="00821FAD">
        <w:rPr>
          <w:rStyle w:val="Refdenotaalpie"/>
          <w:rFonts w:ascii="Verdana" w:hAnsi="Verdana"/>
          <w:sz w:val="14"/>
          <w:szCs w:val="14"/>
        </w:rPr>
        <w:footnoteRef/>
      </w:r>
      <w:r w:rsidRPr="00821FAD">
        <w:rPr>
          <w:rFonts w:ascii="Verdana" w:hAnsi="Verdana"/>
          <w:sz w:val="14"/>
          <w:szCs w:val="14"/>
        </w:rPr>
        <w:t xml:space="preserve"> Sobre la naturaleza instrumental del contrato para alcanzar los fines propios del estado social de derecho, ver </w:t>
      </w:r>
      <w:r>
        <w:rPr>
          <w:rFonts w:ascii="Verdana" w:hAnsi="Verdana"/>
          <w:sz w:val="14"/>
          <w:szCs w:val="14"/>
        </w:rPr>
        <w:t>Corte Constitucional. S</w:t>
      </w:r>
      <w:r w:rsidRPr="00821FAD">
        <w:rPr>
          <w:rFonts w:ascii="Verdana" w:hAnsi="Verdana"/>
          <w:sz w:val="14"/>
          <w:szCs w:val="14"/>
        </w:rPr>
        <w:t>entencia C-932 de 2007, M.P. Marco Gerardo Monroy Cabra.</w:t>
      </w:r>
    </w:p>
    <w:p w14:paraId="6FF319CA" w14:textId="77777777" w:rsidR="00930225" w:rsidRPr="00821FAD" w:rsidRDefault="00930225" w:rsidP="00930225">
      <w:pPr>
        <w:pStyle w:val="Textonotapie"/>
        <w:ind w:firstLine="709"/>
        <w:jc w:val="both"/>
        <w:rPr>
          <w:rFonts w:ascii="Verdana" w:hAnsi="Verdana"/>
          <w:sz w:val="14"/>
          <w:szCs w:val="14"/>
        </w:rPr>
      </w:pPr>
    </w:p>
  </w:footnote>
  <w:footnote w:id="12">
    <w:p w14:paraId="5C3155B7" w14:textId="77777777" w:rsidR="00930225" w:rsidRDefault="00930225" w:rsidP="00930225">
      <w:pPr>
        <w:pStyle w:val="Textonotapie"/>
        <w:ind w:firstLine="709"/>
        <w:jc w:val="both"/>
        <w:rPr>
          <w:rFonts w:ascii="Verdana" w:hAnsi="Verdana"/>
          <w:sz w:val="14"/>
          <w:szCs w:val="14"/>
        </w:rPr>
      </w:pPr>
      <w:r w:rsidRPr="00821FAD">
        <w:rPr>
          <w:rStyle w:val="Refdenotaalpie"/>
          <w:rFonts w:ascii="Verdana" w:hAnsi="Verdana"/>
          <w:sz w:val="14"/>
          <w:szCs w:val="14"/>
        </w:rPr>
        <w:footnoteRef/>
      </w:r>
      <w:r w:rsidRPr="00821FAD">
        <w:rPr>
          <w:rFonts w:ascii="Verdana" w:hAnsi="Verdana"/>
          <w:sz w:val="14"/>
          <w:szCs w:val="14"/>
        </w:rPr>
        <w:t xml:space="preserve"> M.P. Clara Inés Vargas Hernández.</w:t>
      </w:r>
    </w:p>
    <w:p w14:paraId="6BB226B8" w14:textId="77777777" w:rsidR="00930225" w:rsidRPr="00821FAD" w:rsidRDefault="00930225" w:rsidP="00930225">
      <w:pPr>
        <w:pStyle w:val="Textonotapie"/>
        <w:ind w:firstLine="709"/>
        <w:jc w:val="both"/>
        <w:rPr>
          <w:rFonts w:ascii="Verdana" w:hAnsi="Verdana"/>
          <w:sz w:val="14"/>
          <w:szCs w:val="14"/>
        </w:rPr>
      </w:pPr>
    </w:p>
  </w:footnote>
  <w:footnote w:id="13">
    <w:p w14:paraId="2C84477F" w14:textId="77777777" w:rsidR="00930225" w:rsidRDefault="00930225" w:rsidP="00930225">
      <w:pPr>
        <w:pStyle w:val="Textonotapie"/>
        <w:ind w:firstLine="709"/>
        <w:jc w:val="both"/>
        <w:rPr>
          <w:rFonts w:ascii="Verdana" w:hAnsi="Verdana"/>
          <w:sz w:val="14"/>
          <w:szCs w:val="14"/>
          <w:lang w:val="es-CO"/>
        </w:rPr>
      </w:pPr>
      <w:r w:rsidRPr="00821FAD">
        <w:rPr>
          <w:rStyle w:val="Refdenotaalpie"/>
          <w:rFonts w:ascii="Verdana" w:hAnsi="Verdana"/>
          <w:sz w:val="14"/>
          <w:szCs w:val="14"/>
        </w:rPr>
        <w:footnoteRef/>
      </w:r>
      <w:r w:rsidRPr="00821FAD">
        <w:rPr>
          <w:rFonts w:ascii="Verdana" w:hAnsi="Verdana"/>
          <w:sz w:val="14"/>
          <w:szCs w:val="14"/>
        </w:rPr>
        <w:t xml:space="preserve"> Ver también la sentencia C-068 de 2009, M.P. Mauricio González Cuervo</w:t>
      </w:r>
      <w:r w:rsidRPr="00821FAD">
        <w:rPr>
          <w:rFonts w:ascii="Verdana" w:hAnsi="Verdana"/>
          <w:b/>
          <w:sz w:val="14"/>
          <w:szCs w:val="14"/>
        </w:rPr>
        <w:t xml:space="preserve">, </w:t>
      </w:r>
      <w:r w:rsidRPr="00821FAD">
        <w:rPr>
          <w:rFonts w:ascii="Verdana" w:hAnsi="Verdana"/>
          <w:sz w:val="14"/>
          <w:szCs w:val="14"/>
        </w:rPr>
        <w:t>sobre la constitucional</w:t>
      </w:r>
      <w:r w:rsidRPr="00821FAD">
        <w:rPr>
          <w:rFonts w:ascii="Verdana" w:hAnsi="Verdana"/>
          <w:b/>
          <w:sz w:val="14"/>
          <w:szCs w:val="14"/>
        </w:rPr>
        <w:t xml:space="preserve"> </w:t>
      </w:r>
      <w:r w:rsidRPr="00821FAD">
        <w:rPr>
          <w:rFonts w:ascii="Verdana" w:hAnsi="Verdana"/>
          <w:sz w:val="14"/>
          <w:szCs w:val="14"/>
          <w:lang w:val="es-CO"/>
        </w:rPr>
        <w:t>de la posibilidad de prorrogar los contratos de concesión portuaria (artículo 8º  de la ley 1º de 1991).</w:t>
      </w:r>
    </w:p>
    <w:p w14:paraId="69B7A747" w14:textId="77777777" w:rsidR="00930225" w:rsidRPr="00821FAD" w:rsidRDefault="00930225" w:rsidP="00930225">
      <w:pPr>
        <w:pStyle w:val="Textonotapie"/>
        <w:ind w:firstLine="709"/>
        <w:jc w:val="both"/>
        <w:rPr>
          <w:rFonts w:ascii="Verdana" w:hAnsi="Verdana"/>
          <w:sz w:val="14"/>
          <w:szCs w:val="14"/>
        </w:rPr>
      </w:pPr>
    </w:p>
  </w:footnote>
  <w:footnote w:id="14">
    <w:p w14:paraId="45994E52" w14:textId="77777777" w:rsidR="00930225" w:rsidRDefault="00930225" w:rsidP="00930225">
      <w:pPr>
        <w:pStyle w:val="Textonotapie"/>
        <w:ind w:firstLine="709"/>
        <w:jc w:val="both"/>
        <w:rPr>
          <w:rFonts w:ascii="Verdana" w:hAnsi="Verdana"/>
          <w:sz w:val="14"/>
          <w:szCs w:val="14"/>
        </w:rPr>
      </w:pPr>
      <w:r w:rsidRPr="00821FAD">
        <w:rPr>
          <w:rStyle w:val="Refdenotaalpie"/>
          <w:rFonts w:ascii="Verdana" w:hAnsi="Verdana"/>
          <w:sz w:val="14"/>
          <w:szCs w:val="14"/>
        </w:rPr>
        <w:footnoteRef/>
      </w:r>
      <w:r w:rsidRPr="00821FAD">
        <w:rPr>
          <w:rFonts w:ascii="Verdana" w:hAnsi="Verdana"/>
          <w:sz w:val="14"/>
          <w:szCs w:val="14"/>
        </w:rPr>
        <w:t xml:space="preserve"> Esta clasificación es tomada de la literatura del análisis económico del derecho. </w:t>
      </w:r>
      <w:r w:rsidRPr="00821FAD">
        <w:rPr>
          <w:rFonts w:ascii="Verdana" w:hAnsi="Verdana"/>
          <w:sz w:val="14"/>
          <w:szCs w:val="14"/>
          <w:lang w:val="en-US"/>
        </w:rPr>
        <w:t xml:space="preserve">Ver WILLIAMSON, Oliver E. “Transaction-Cost Economics: The Governance of Contractual Relations”. En: Journal of Law and Economics, Vol. 22, No. 2 (Oct., 1979), pp. 233-261. SHAVELL, Steven. “Foundations of Economic Analysis of Law”. Harvard University Press, 2004. </w:t>
      </w:r>
      <w:r w:rsidRPr="00821FAD">
        <w:rPr>
          <w:rFonts w:ascii="Verdana" w:hAnsi="Verdana"/>
          <w:sz w:val="14"/>
          <w:szCs w:val="14"/>
        </w:rPr>
        <w:t>Dentro de esta literatura, también se señalan como causas de los contratos incompletos, (i) los altos costos de estructuración del contrato, esto es, las altas inversiones que deben realizar las partes para prever las contingencias y diseñar remedios; cuando tales costos exceden los beneficios esperados por las partes, estas últimas pueden optar por celebrar contratos incompletos y dejar por fuera, por ejemplo, previsiones o cláusulas relacionadas con contingencias de baja probabilidad. (ii) Los altos costos de hacer cumplir ciertas cláusulas, y (iii) la dificultad posterior de probar en sede judicial la ocurrencia de ciertas contingencias o variables, entre otras. Vale la pena mencionar que por estas razones la mayoría de los contratos tienden a ser incompletos.</w:t>
      </w:r>
    </w:p>
    <w:p w14:paraId="255E7F79" w14:textId="77777777" w:rsidR="00930225" w:rsidRPr="00821FAD" w:rsidRDefault="00930225" w:rsidP="00930225">
      <w:pPr>
        <w:pStyle w:val="Textonotapie"/>
        <w:ind w:firstLine="709"/>
        <w:jc w:val="both"/>
        <w:rPr>
          <w:rFonts w:ascii="Verdana" w:hAnsi="Verdana"/>
          <w:sz w:val="14"/>
          <w:szCs w:val="14"/>
        </w:rPr>
      </w:pPr>
    </w:p>
  </w:footnote>
  <w:footnote w:id="15">
    <w:p w14:paraId="354D1D13" w14:textId="77777777" w:rsidR="00930225" w:rsidRDefault="00930225" w:rsidP="00930225">
      <w:pPr>
        <w:pStyle w:val="Textonotapie"/>
        <w:ind w:firstLine="709"/>
        <w:jc w:val="both"/>
        <w:rPr>
          <w:rFonts w:ascii="Verdana" w:hAnsi="Verdana" w:cs="Arial"/>
          <w:bCs/>
          <w:iCs/>
          <w:sz w:val="14"/>
          <w:szCs w:val="14"/>
          <w:lang w:val="es-ES_tradnl"/>
        </w:rPr>
      </w:pPr>
      <w:r w:rsidRPr="00821FAD">
        <w:rPr>
          <w:rStyle w:val="Refdenotaalpie"/>
          <w:rFonts w:ascii="Verdana" w:hAnsi="Verdana" w:cs="Arial"/>
          <w:sz w:val="14"/>
          <w:szCs w:val="14"/>
        </w:rPr>
        <w:footnoteRef/>
      </w:r>
      <w:r w:rsidRPr="00821FAD">
        <w:rPr>
          <w:rFonts w:ascii="Verdana" w:hAnsi="Verdana" w:cs="Arial"/>
          <w:sz w:val="14"/>
          <w:szCs w:val="14"/>
        </w:rPr>
        <w:t xml:space="preserve"> </w:t>
      </w:r>
      <w:r w:rsidRPr="00821FAD">
        <w:rPr>
          <w:rFonts w:ascii="Verdana" w:hAnsi="Verdana" w:cs="Arial"/>
          <w:i/>
          <w:sz w:val="14"/>
          <w:szCs w:val="14"/>
        </w:rPr>
        <w:t xml:space="preserve">Cfr. </w:t>
      </w:r>
      <w:r w:rsidRPr="00821FAD">
        <w:rPr>
          <w:rFonts w:ascii="Verdana" w:hAnsi="Verdana" w:cs="Arial"/>
          <w:sz w:val="14"/>
          <w:szCs w:val="14"/>
        </w:rPr>
        <w:t xml:space="preserve">Consejo de Estado, Sala de Consulta y Servicio Civil, concepto del 13 de agosto de 2009, rad. </w:t>
      </w:r>
      <w:smartTag w:uri="urn:schemas-microsoft-com:office:smarttags" w:element="metricconverter">
        <w:smartTagPr>
          <w:attr w:name="ProductID" w:val="1.952, C"/>
        </w:smartTagPr>
        <w:r w:rsidRPr="00821FAD">
          <w:rPr>
            <w:rFonts w:ascii="Verdana" w:hAnsi="Verdana" w:cs="Arial"/>
            <w:bCs/>
            <w:sz w:val="14"/>
            <w:szCs w:val="14"/>
          </w:rPr>
          <w:t>1.952, C</w:t>
        </w:r>
      </w:smartTag>
      <w:r w:rsidRPr="00821FAD">
        <w:rPr>
          <w:rFonts w:ascii="Verdana" w:hAnsi="Verdana" w:cs="Arial"/>
          <w:bCs/>
          <w:sz w:val="14"/>
          <w:szCs w:val="14"/>
        </w:rPr>
        <w:t>.P. Enrique José Arboleda Perdomo. En este concepto la Sala de Consulta se ocupó, entre otras preguntas, de la siguiente formulada por el Ministerio de Transporte: “</w:t>
      </w:r>
      <w:r w:rsidRPr="00821FAD">
        <w:rPr>
          <w:rFonts w:ascii="Verdana" w:hAnsi="Verdana" w:cs="Arial"/>
          <w:bCs/>
          <w:iCs/>
          <w:sz w:val="14"/>
          <w:szCs w:val="14"/>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p w14:paraId="1AA3BE6A" w14:textId="77777777" w:rsidR="00930225" w:rsidRPr="007F469A" w:rsidRDefault="00930225" w:rsidP="00930225">
      <w:pPr>
        <w:pStyle w:val="Textonotapie"/>
        <w:ind w:firstLine="709"/>
        <w:jc w:val="both"/>
        <w:rPr>
          <w:rFonts w:ascii="Verdana" w:hAnsi="Verdana" w:cs="Arial"/>
          <w:sz w:val="16"/>
          <w:szCs w:val="16"/>
        </w:rPr>
      </w:pPr>
    </w:p>
  </w:footnote>
  <w:footnote w:id="16">
    <w:p w14:paraId="6A612CC1" w14:textId="77777777" w:rsidR="00930225" w:rsidRPr="00CE7CF0" w:rsidRDefault="00930225" w:rsidP="00930225">
      <w:pPr>
        <w:pStyle w:val="Textonotapie"/>
        <w:ind w:firstLine="709"/>
        <w:jc w:val="both"/>
        <w:rPr>
          <w:rFonts w:ascii="Verdana" w:hAnsi="Verdana" w:cs="Arial"/>
          <w:bCs/>
          <w:iCs/>
          <w:sz w:val="14"/>
          <w:szCs w:val="14"/>
          <w:lang w:val="es-ES_tradnl"/>
        </w:rPr>
      </w:pPr>
      <w:r w:rsidRPr="00CE7CF0">
        <w:rPr>
          <w:rStyle w:val="Refdenotaalpie"/>
          <w:rFonts w:ascii="Verdana" w:hAnsi="Verdana" w:cs="Arial"/>
          <w:sz w:val="14"/>
          <w:szCs w:val="14"/>
        </w:rPr>
        <w:footnoteRef/>
      </w:r>
      <w:r w:rsidRPr="00CE7CF0">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CE7CF0">
        <w:rPr>
          <w:rFonts w:ascii="Verdana" w:hAnsi="Verdana" w:cs="Arial"/>
          <w:bCs/>
          <w:iCs/>
          <w:sz w:val="14"/>
          <w:szCs w:val="14"/>
          <w:lang w:val="es-ES_tradnl"/>
        </w:rPr>
        <w:t>”.</w:t>
      </w:r>
    </w:p>
    <w:p w14:paraId="2CFED390" w14:textId="77777777" w:rsidR="00930225" w:rsidRPr="00CE7CF0" w:rsidRDefault="00930225" w:rsidP="00930225">
      <w:pPr>
        <w:pStyle w:val="Textonotapie"/>
        <w:ind w:firstLine="709"/>
        <w:jc w:val="both"/>
        <w:rPr>
          <w:rFonts w:ascii="Verdana" w:hAnsi="Verdana" w:cs="Arial"/>
          <w:sz w:val="14"/>
          <w:szCs w:val="14"/>
          <w:lang w:val="es-CO"/>
        </w:rPr>
      </w:pPr>
    </w:p>
  </w:footnote>
  <w:footnote w:id="17">
    <w:p w14:paraId="470700EC" w14:textId="77777777" w:rsidR="00930225" w:rsidRDefault="00930225" w:rsidP="00930225">
      <w:pPr>
        <w:pStyle w:val="Textonotapie"/>
        <w:ind w:firstLine="709"/>
        <w:jc w:val="both"/>
        <w:rPr>
          <w:rFonts w:ascii="Verdana" w:hAnsi="Verdana" w:cs="Arial"/>
          <w:sz w:val="14"/>
          <w:szCs w:val="14"/>
        </w:rPr>
      </w:pPr>
      <w:r w:rsidRPr="00CE7CF0">
        <w:rPr>
          <w:rStyle w:val="Refdenotaalpie"/>
          <w:rFonts w:ascii="Verdana" w:hAnsi="Verdana" w:cs="Arial"/>
          <w:sz w:val="14"/>
          <w:szCs w:val="14"/>
        </w:rPr>
        <w:footnoteRef/>
      </w:r>
      <w:r w:rsidRPr="00CE7CF0">
        <w:rPr>
          <w:rFonts w:ascii="Verdana" w:hAnsi="Verdana" w:cs="Arial"/>
          <w:sz w:val="14"/>
          <w:szCs w:val="14"/>
        </w:rPr>
        <w:t xml:space="preserve"> </w:t>
      </w:r>
      <w:proofErr w:type="spellStart"/>
      <w:r w:rsidRPr="00CE7CF0">
        <w:rPr>
          <w:rFonts w:ascii="Verdana" w:hAnsi="Verdana" w:cs="Arial"/>
          <w:sz w:val="14"/>
          <w:szCs w:val="14"/>
        </w:rPr>
        <w:t>Ibídem</w:t>
      </w:r>
      <w:proofErr w:type="spellEnd"/>
    </w:p>
    <w:p w14:paraId="475A5F48" w14:textId="77777777" w:rsidR="00930225" w:rsidRPr="00CE7CF0" w:rsidRDefault="00930225" w:rsidP="00930225">
      <w:pPr>
        <w:pStyle w:val="Textonotapie"/>
        <w:ind w:firstLine="709"/>
        <w:jc w:val="both"/>
        <w:rPr>
          <w:rFonts w:ascii="Verdana" w:hAnsi="Verdana" w:cs="Arial"/>
          <w:sz w:val="14"/>
          <w:szCs w:val="14"/>
          <w:lang w:val="es-CO"/>
        </w:rPr>
      </w:pPr>
    </w:p>
  </w:footnote>
  <w:footnote w:id="18">
    <w:p w14:paraId="72BB2DC1" w14:textId="77777777" w:rsidR="00930225" w:rsidRPr="006C1757" w:rsidRDefault="00930225" w:rsidP="00930225">
      <w:pPr>
        <w:pStyle w:val="Textonotapie"/>
        <w:ind w:firstLine="709"/>
        <w:jc w:val="both"/>
        <w:rPr>
          <w:rFonts w:ascii="Verdana" w:hAnsi="Verdana"/>
          <w:sz w:val="14"/>
          <w:szCs w:val="14"/>
          <w:lang w:val="es-CO"/>
        </w:rPr>
      </w:pPr>
      <w:r w:rsidRPr="006C1757">
        <w:rPr>
          <w:rStyle w:val="Refdenotaalpie"/>
          <w:rFonts w:ascii="Verdana" w:hAnsi="Verdana"/>
          <w:sz w:val="14"/>
          <w:szCs w:val="14"/>
        </w:rPr>
        <w:footnoteRef/>
      </w:r>
      <w:r w:rsidRPr="006C1757">
        <w:rPr>
          <w:rFonts w:ascii="Verdana" w:hAnsi="Verdana"/>
          <w:sz w:val="14"/>
          <w:szCs w:val="14"/>
        </w:rPr>
        <w:t xml:space="preserve"> </w:t>
      </w:r>
      <w:r w:rsidRPr="006C1757">
        <w:rPr>
          <w:rFonts w:ascii="Verdana" w:hAnsi="Verdana"/>
          <w:bCs/>
          <w:sz w:val="14"/>
          <w:szCs w:val="14"/>
          <w:lang w:val="es-CO"/>
        </w:rPr>
        <w:t>ARTICULO 11. DE LA COMPETENCIA PARA DIRIGIR LICITACIONES O CONCURSOS Y PARA CELEBRAR CONTRATOS ESTATALES. </w:t>
      </w:r>
      <w:r w:rsidRPr="006C1757">
        <w:rPr>
          <w:rFonts w:ascii="Verdana" w:hAnsi="Verdana"/>
          <w:sz w:val="14"/>
          <w:szCs w:val="14"/>
          <w:lang w:val="es-CO"/>
        </w:rPr>
        <w:t>En las entidades estatales a que se refiere el artículo 2o.: </w:t>
      </w:r>
    </w:p>
    <w:p w14:paraId="11D74505" w14:textId="77777777" w:rsidR="00930225" w:rsidRPr="006C1757"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1o. La competencia para ordenar y dirigir la celebración de licitaciones o concursos y para escoger contratistas será del jefe o representante de la entidad, según el caso. </w:t>
      </w:r>
    </w:p>
    <w:p w14:paraId="0A7F86B2" w14:textId="77777777" w:rsidR="00930225" w:rsidRPr="006C1757"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2o. Tiene competencia para celebrar contratos a nombre de la Nación, el Presidente de la República. </w:t>
      </w:r>
    </w:p>
    <w:p w14:paraId="595EFEC7" w14:textId="77777777" w:rsidR="00930225" w:rsidRPr="006C1757"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3o. Tienen competencia para celebrar contratos a nombre de la entidad respectiva: </w:t>
      </w:r>
    </w:p>
    <w:p w14:paraId="2C610743" w14:textId="77777777" w:rsidR="00930225" w:rsidRPr="006C1757"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21606F8E" w14:textId="77777777" w:rsidR="00930225" w:rsidRPr="006C1757"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0BA468BD" w14:textId="77777777" w:rsidR="00930225"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c) Los representantes legales de las entidades descentralizadas en todos los órdenes y niveles. </w:t>
      </w:r>
    </w:p>
    <w:p w14:paraId="3D52DF72" w14:textId="77777777" w:rsidR="00930225" w:rsidRPr="006C1757" w:rsidRDefault="00930225" w:rsidP="00930225">
      <w:pPr>
        <w:pStyle w:val="Textonotapie"/>
        <w:ind w:firstLine="709"/>
        <w:jc w:val="both"/>
        <w:rPr>
          <w:rFonts w:ascii="Verdana" w:hAnsi="Verdana"/>
          <w:sz w:val="14"/>
          <w:szCs w:val="14"/>
          <w:lang w:val="es-CO"/>
        </w:rPr>
      </w:pPr>
    </w:p>
  </w:footnote>
  <w:footnote w:id="19">
    <w:p w14:paraId="2F52E884" w14:textId="77777777" w:rsidR="00930225" w:rsidRPr="006C1757" w:rsidRDefault="00930225" w:rsidP="00930225">
      <w:pPr>
        <w:pStyle w:val="Textonotapie"/>
        <w:ind w:firstLine="709"/>
        <w:jc w:val="both"/>
        <w:rPr>
          <w:rFonts w:ascii="Verdana" w:hAnsi="Verdana"/>
          <w:sz w:val="14"/>
          <w:szCs w:val="14"/>
          <w:lang w:val="es-CO"/>
        </w:rPr>
      </w:pPr>
      <w:r w:rsidRPr="006C1757">
        <w:rPr>
          <w:rStyle w:val="Refdenotaalpie"/>
          <w:rFonts w:ascii="Verdana" w:hAnsi="Verdana"/>
          <w:sz w:val="14"/>
          <w:szCs w:val="14"/>
        </w:rPr>
        <w:footnoteRef/>
      </w:r>
      <w:r w:rsidRPr="006C1757">
        <w:rPr>
          <w:rFonts w:ascii="Verdana" w:hAnsi="Verdana"/>
          <w:sz w:val="14"/>
          <w:szCs w:val="14"/>
        </w:rPr>
        <w:t xml:space="preserve"> </w:t>
      </w:r>
      <w:r w:rsidRPr="006C1757">
        <w:rPr>
          <w:rFonts w:ascii="Verdana" w:hAnsi="Verdana"/>
          <w:bCs/>
          <w:sz w:val="14"/>
          <w:szCs w:val="14"/>
          <w:lang w:val="es-CO"/>
        </w:rPr>
        <w:t>ARTICULO 12. DE LA DELEGACION PARA CONTRATAR.</w:t>
      </w:r>
      <w:r w:rsidRPr="006C1757">
        <w:rPr>
          <w:rFonts w:ascii="Verdana" w:hAnsi="Verdana"/>
          <w:sz w:val="14"/>
          <w:szCs w:val="14"/>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1AAECA1A" w14:textId="77777777" w:rsidR="00930225" w:rsidRPr="006C1757" w:rsidRDefault="00930225" w:rsidP="00930225">
      <w:pPr>
        <w:pStyle w:val="Textonotapie"/>
        <w:ind w:firstLine="709"/>
        <w:jc w:val="both"/>
        <w:rPr>
          <w:rFonts w:ascii="Verdana" w:hAnsi="Verdana"/>
          <w:sz w:val="14"/>
          <w:szCs w:val="14"/>
          <w:lang w:val="es-CO"/>
        </w:rPr>
      </w:pPr>
      <w:r w:rsidRPr="006C1757">
        <w:rPr>
          <w:rFonts w:ascii="Verdana" w:hAnsi="Verdana"/>
          <w:sz w:val="14"/>
          <w:szCs w:val="14"/>
          <w:lang w:val="es-CO"/>
        </w:rPr>
        <w:t>En ningún caso, los jefes y representantes legales de las entidades estatales quedarán exonerados por virtud de la delegación de sus deberes de control y vigilancia de la actividad precontractual y contractual.  </w:t>
      </w:r>
    </w:p>
    <w:p w14:paraId="3E8BF920" w14:textId="77777777" w:rsidR="00930225" w:rsidRDefault="00930225" w:rsidP="00930225">
      <w:pPr>
        <w:pStyle w:val="Textonotapie"/>
        <w:ind w:firstLine="709"/>
        <w:jc w:val="both"/>
        <w:rPr>
          <w:rFonts w:ascii="Verdana" w:hAnsi="Verdana"/>
          <w:sz w:val="14"/>
          <w:szCs w:val="14"/>
          <w:lang w:val="es-CO"/>
        </w:rPr>
      </w:pPr>
      <w:r w:rsidRPr="006C1757">
        <w:rPr>
          <w:rFonts w:ascii="Verdana" w:hAnsi="Verdana"/>
          <w:bCs/>
          <w:sz w:val="14"/>
          <w:szCs w:val="14"/>
          <w:lang w:val="es-CO"/>
        </w:rPr>
        <w:t>Parágrafo. </w:t>
      </w:r>
      <w:r w:rsidRPr="006C1757">
        <w:rPr>
          <w:rFonts w:ascii="Verdana" w:hAnsi="Verdana"/>
          <w:sz w:val="14"/>
          <w:szCs w:val="14"/>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p w14:paraId="1AE10483" w14:textId="77777777" w:rsidR="00930225" w:rsidRPr="006C1757" w:rsidRDefault="00930225" w:rsidP="00930225">
      <w:pPr>
        <w:pStyle w:val="Textonotapie"/>
        <w:ind w:firstLine="709"/>
        <w:jc w:val="both"/>
        <w:rPr>
          <w:rFonts w:ascii="Verdana" w:hAnsi="Verdana"/>
          <w:sz w:val="14"/>
          <w:szCs w:val="14"/>
          <w:lang w:val="es-ES"/>
        </w:rPr>
      </w:pPr>
    </w:p>
  </w:footnote>
  <w:footnote w:id="20">
    <w:p w14:paraId="4576DECB" w14:textId="77777777" w:rsidR="00930225" w:rsidRDefault="00930225" w:rsidP="00930225">
      <w:pPr>
        <w:spacing w:after="0" w:line="240" w:lineRule="auto"/>
        <w:ind w:firstLine="709"/>
        <w:jc w:val="both"/>
        <w:rPr>
          <w:rFonts w:ascii="Verdana" w:hAnsi="Verdana"/>
          <w:sz w:val="14"/>
          <w:szCs w:val="14"/>
        </w:rPr>
      </w:pPr>
      <w:r w:rsidRPr="006C1757">
        <w:rPr>
          <w:rStyle w:val="Refdenotaalpie"/>
          <w:rFonts w:ascii="Verdana" w:hAnsi="Verdana"/>
          <w:sz w:val="14"/>
          <w:szCs w:val="14"/>
        </w:rPr>
        <w:footnoteRef/>
      </w:r>
      <w:r w:rsidRPr="006C1757">
        <w:rPr>
          <w:rFonts w:ascii="Verdana" w:hAnsi="Verdana"/>
          <w:sz w:val="14"/>
          <w:szCs w:val="14"/>
        </w:rPr>
        <w:t xml:space="preserve"> C</w:t>
      </w:r>
      <w:r>
        <w:rPr>
          <w:rFonts w:ascii="Verdana" w:hAnsi="Verdana"/>
          <w:sz w:val="14"/>
          <w:szCs w:val="14"/>
        </w:rPr>
        <w:t>onsejo de Estado</w:t>
      </w:r>
      <w:r w:rsidRPr="006C1757">
        <w:rPr>
          <w:rFonts w:ascii="Verdana" w:hAnsi="Verdana"/>
          <w:sz w:val="14"/>
          <w:szCs w:val="14"/>
        </w:rPr>
        <w:t>. Sala de Consulta y Servicio Civil. Concepto del 6 de junio de 2018. Radicación número: 2369. C.P.: Óscar Daría Amaya Navas.</w:t>
      </w:r>
    </w:p>
    <w:p w14:paraId="7C4DFD57" w14:textId="77777777" w:rsidR="00930225" w:rsidRPr="006C1757" w:rsidRDefault="00930225" w:rsidP="00930225">
      <w:pPr>
        <w:spacing w:after="0" w:line="240" w:lineRule="auto"/>
        <w:ind w:firstLine="709"/>
        <w:jc w:val="both"/>
        <w:rPr>
          <w:rFonts w:ascii="Verdana" w:hAnsi="Verdana"/>
          <w:sz w:val="14"/>
          <w:szCs w:val="14"/>
        </w:rPr>
      </w:pPr>
    </w:p>
  </w:footnote>
  <w:footnote w:id="21">
    <w:p w14:paraId="56FCEC83" w14:textId="77777777" w:rsidR="00930225" w:rsidRPr="005D67D9" w:rsidRDefault="00930225" w:rsidP="00930225">
      <w:pPr>
        <w:pStyle w:val="Textonotapie"/>
        <w:ind w:firstLine="709"/>
        <w:jc w:val="both"/>
        <w:rPr>
          <w:rFonts w:ascii="Verdana" w:hAnsi="Verdana"/>
          <w:sz w:val="14"/>
          <w:szCs w:val="14"/>
          <w:lang w:val="es-CO"/>
        </w:rPr>
      </w:pPr>
      <w:r w:rsidRPr="00A85059">
        <w:rPr>
          <w:rStyle w:val="Refdenotaalpie"/>
          <w:rFonts w:ascii="Verdana" w:hAnsi="Verdana"/>
          <w:sz w:val="14"/>
          <w:szCs w:val="14"/>
        </w:rPr>
        <w:footnoteRef/>
      </w:r>
      <w:r w:rsidRPr="005D67D9">
        <w:rPr>
          <w:rFonts w:ascii="Verdana" w:hAnsi="Verdana"/>
          <w:sz w:val="14"/>
          <w:szCs w:val="14"/>
          <w:lang w:val="es-CO"/>
        </w:rPr>
        <w:t xml:space="preserve"> Ibidem. </w:t>
      </w:r>
    </w:p>
    <w:p w14:paraId="40D546D0" w14:textId="77777777" w:rsidR="00930225" w:rsidRPr="005D67D9" w:rsidRDefault="00930225" w:rsidP="00930225">
      <w:pPr>
        <w:pStyle w:val="Textonotapie"/>
        <w:ind w:firstLine="709"/>
        <w:jc w:val="both"/>
        <w:rPr>
          <w:rFonts w:ascii="Verdana" w:hAnsi="Verdana"/>
          <w:sz w:val="14"/>
          <w:szCs w:val="14"/>
          <w:lang w:val="es-CO"/>
        </w:rPr>
      </w:pPr>
    </w:p>
  </w:footnote>
  <w:footnote w:id="22">
    <w:p w14:paraId="400A4BCF" w14:textId="77777777" w:rsidR="00930225" w:rsidRDefault="00930225" w:rsidP="00930225">
      <w:pPr>
        <w:pStyle w:val="Textonotapie"/>
        <w:ind w:firstLine="709"/>
        <w:jc w:val="both"/>
        <w:rPr>
          <w:rFonts w:ascii="Verdana" w:hAnsi="Verdana"/>
          <w:sz w:val="14"/>
          <w:szCs w:val="14"/>
          <w:lang w:val="es-CO"/>
        </w:rPr>
      </w:pPr>
      <w:r w:rsidRPr="00723D0A">
        <w:rPr>
          <w:rStyle w:val="Refdenotaalpie"/>
          <w:rFonts w:ascii="Verdana" w:hAnsi="Verdana"/>
          <w:sz w:val="14"/>
          <w:szCs w:val="14"/>
        </w:rPr>
        <w:footnoteRef/>
      </w:r>
      <w:r w:rsidRPr="005D67D9">
        <w:rPr>
          <w:rFonts w:ascii="Verdana" w:hAnsi="Verdana"/>
          <w:sz w:val="14"/>
          <w:szCs w:val="14"/>
          <w:lang w:val="es-CO"/>
        </w:rPr>
        <w:t xml:space="preserve"> </w:t>
      </w:r>
      <w:r w:rsidRPr="0002163D">
        <w:rPr>
          <w:rFonts w:ascii="Verdana" w:hAnsi="Verdana"/>
          <w:sz w:val="14"/>
          <w:szCs w:val="14"/>
          <w:lang w:val="es-CO"/>
        </w:rPr>
        <w:t xml:space="preserve">Jaime Orlando Santofimio Gamboa. </w:t>
      </w:r>
      <w:r w:rsidRPr="00723D0A">
        <w:rPr>
          <w:rFonts w:ascii="Verdana" w:hAnsi="Verdana"/>
          <w:sz w:val="14"/>
          <w:szCs w:val="14"/>
          <w:lang w:val="es-CO"/>
        </w:rPr>
        <w:t>Delitos de celebración indebida de contratos, Bogotá, Universidad Externado de Colombia, 2000, p. 290.</w:t>
      </w:r>
    </w:p>
    <w:p w14:paraId="660B2574" w14:textId="77777777" w:rsidR="00930225" w:rsidRPr="00723D0A" w:rsidRDefault="00930225" w:rsidP="00930225">
      <w:pPr>
        <w:pStyle w:val="Textonotapie"/>
        <w:ind w:firstLine="709"/>
        <w:jc w:val="both"/>
        <w:rPr>
          <w:rFonts w:ascii="Verdana" w:hAnsi="Verdana"/>
          <w:sz w:val="14"/>
          <w:szCs w:val="14"/>
          <w:lang w:val="es-ES"/>
        </w:rPr>
      </w:pPr>
    </w:p>
  </w:footnote>
  <w:footnote w:id="23">
    <w:p w14:paraId="54A8CA80" w14:textId="77777777" w:rsidR="00930225" w:rsidRPr="00723D0A" w:rsidRDefault="00930225" w:rsidP="00930225">
      <w:pPr>
        <w:pStyle w:val="Textonotapie"/>
        <w:ind w:firstLine="709"/>
        <w:jc w:val="both"/>
        <w:rPr>
          <w:rFonts w:ascii="Verdana" w:hAnsi="Verdana"/>
          <w:sz w:val="14"/>
          <w:szCs w:val="14"/>
          <w:lang w:val="es-CO"/>
        </w:rPr>
      </w:pPr>
      <w:r w:rsidRPr="00723D0A">
        <w:rPr>
          <w:rStyle w:val="Refdenotaalpie"/>
          <w:rFonts w:ascii="Verdana" w:hAnsi="Verdana"/>
          <w:sz w:val="14"/>
          <w:szCs w:val="14"/>
        </w:rPr>
        <w:footnoteRef/>
      </w:r>
      <w:r w:rsidRPr="00723D0A">
        <w:rPr>
          <w:rFonts w:ascii="Verdana" w:hAnsi="Verdana"/>
          <w:sz w:val="14"/>
          <w:szCs w:val="14"/>
        </w:rPr>
        <w:t xml:space="preserve"> </w:t>
      </w:r>
      <w:r w:rsidRPr="00723D0A">
        <w:rPr>
          <w:rFonts w:ascii="Verdana" w:hAnsi="Verdana"/>
          <w:sz w:val="14"/>
          <w:szCs w:val="14"/>
          <w:lang w:val="es-CO"/>
        </w:rPr>
        <w:t>ARTÍCULO 3o. DE LA CONTRATACIÓN PÚBLICA ELECTRÓNICA. De conformidad con lo dispuesto en la Ley </w:t>
      </w:r>
      <w:hyperlink r:id="rId5" w:anchor="1" w:history="1">
        <w:r w:rsidRPr="00723D0A">
          <w:rPr>
            <w:rStyle w:val="Hipervnculo"/>
            <w:rFonts w:ascii="Verdana" w:hAnsi="Verdana"/>
            <w:color w:val="auto"/>
            <w:sz w:val="14"/>
            <w:szCs w:val="14"/>
            <w:lang w:val="es-CO"/>
          </w:rPr>
          <w:t>527</w:t>
        </w:r>
      </w:hyperlink>
      <w:r w:rsidRPr="00723D0A">
        <w:rPr>
          <w:rFonts w:ascii="Verdana" w:hAnsi="Verdana"/>
          <w:sz w:val="14"/>
          <w:szCs w:val="14"/>
          <w:lang w:val="es-CO"/>
        </w:rPr>
        <w:t>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w:t>
      </w:r>
      <w:r w:rsidRPr="00723D0A">
        <w:rPr>
          <w:rFonts w:ascii="Verdana" w:hAnsi="Verdana"/>
          <w:sz w:val="14"/>
          <w:szCs w:val="14"/>
          <w:u w:val="single"/>
          <w:lang w:val="es-CO"/>
        </w:rPr>
        <w:t>Los mecanismos e instrumentos por medio de los cuales las entidades cumplirán con las obligaciones de publicidad del proceso contractual serán señalados por el Gobierno Nacional</w:t>
      </w:r>
      <w:r w:rsidRPr="00723D0A">
        <w:rPr>
          <w:rFonts w:ascii="Verdana" w:hAnsi="Verdana"/>
          <w:sz w:val="14"/>
          <w:szCs w:val="14"/>
          <w:lang w:val="es-CO"/>
        </w:rPr>
        <w:t>.</w:t>
      </w:r>
    </w:p>
    <w:p w14:paraId="6A6D77E6" w14:textId="77777777" w:rsidR="00930225" w:rsidRPr="00723D0A" w:rsidRDefault="00930225" w:rsidP="00930225">
      <w:pPr>
        <w:pStyle w:val="Textonotapie"/>
        <w:ind w:firstLine="709"/>
        <w:jc w:val="both"/>
        <w:rPr>
          <w:rFonts w:ascii="Verdana" w:hAnsi="Verdana"/>
          <w:sz w:val="14"/>
          <w:szCs w:val="14"/>
          <w:lang w:val="es-CO"/>
        </w:rPr>
      </w:pPr>
      <w:r w:rsidRPr="00723D0A">
        <w:rPr>
          <w:rFonts w:ascii="Verdana" w:hAnsi="Verdana"/>
          <w:sz w:val="14"/>
          <w:szCs w:val="14"/>
          <w:lang w:val="es-CO"/>
        </w:rPr>
        <w:t>Lo anterior, sin perjuicio de las publicaciones previstas en el numeral 3 del artículo </w:t>
      </w:r>
      <w:hyperlink r:id="rId6" w:anchor="30" w:history="1">
        <w:r w:rsidRPr="00723D0A">
          <w:rPr>
            <w:rStyle w:val="Hipervnculo"/>
            <w:rFonts w:ascii="Verdana" w:hAnsi="Verdana"/>
            <w:color w:val="auto"/>
            <w:sz w:val="14"/>
            <w:szCs w:val="14"/>
            <w:lang w:val="es-CO"/>
          </w:rPr>
          <w:t>30</w:t>
        </w:r>
      </w:hyperlink>
      <w:r w:rsidRPr="00723D0A">
        <w:rPr>
          <w:rFonts w:ascii="Verdana" w:hAnsi="Verdana"/>
          <w:sz w:val="14"/>
          <w:szCs w:val="14"/>
          <w:lang w:val="es-CO"/>
        </w:rPr>
        <w:t> de la Ley 80 de 1993.</w:t>
      </w:r>
    </w:p>
    <w:p w14:paraId="049DA5E0" w14:textId="77777777" w:rsidR="00930225" w:rsidRPr="00723D0A" w:rsidRDefault="00930225" w:rsidP="00930225">
      <w:pPr>
        <w:pStyle w:val="Textonotapie"/>
        <w:ind w:firstLine="709"/>
        <w:jc w:val="both"/>
        <w:rPr>
          <w:rFonts w:ascii="Verdana" w:hAnsi="Verdana"/>
          <w:sz w:val="14"/>
          <w:szCs w:val="14"/>
          <w:lang w:val="es-CO"/>
        </w:rPr>
      </w:pPr>
      <w:r w:rsidRPr="00723D0A">
        <w:rPr>
          <w:rFonts w:ascii="Verdana" w:hAnsi="Verdana"/>
          <w:sz w:val="14"/>
          <w:szCs w:val="14"/>
          <w:lang w:val="es-CO"/>
        </w:rPr>
        <w:t xml:space="preserve">Con el fin de materializar los objetivos a que se refiere el inciso anterior, el Gobierno Nacional desarrollará el Sistema Electrónico para la Contratación Pública, SECOP, el cual: </w:t>
      </w:r>
    </w:p>
    <w:p w14:paraId="2EF12465" w14:textId="77777777" w:rsidR="00930225" w:rsidRPr="00723D0A" w:rsidRDefault="00930225" w:rsidP="00930225">
      <w:pPr>
        <w:pStyle w:val="Textonotapie"/>
        <w:ind w:firstLine="709"/>
        <w:jc w:val="both"/>
        <w:rPr>
          <w:rFonts w:ascii="Verdana" w:hAnsi="Verdana"/>
          <w:sz w:val="14"/>
          <w:szCs w:val="14"/>
          <w:lang w:val="es-CO"/>
        </w:rPr>
      </w:pPr>
      <w:r w:rsidRPr="00723D0A">
        <w:rPr>
          <w:rFonts w:ascii="Verdana" w:hAnsi="Verdana"/>
          <w:sz w:val="14"/>
          <w:szCs w:val="14"/>
          <w:lang w:val="es-CO"/>
        </w:rPr>
        <w:t>(…) c) Contará con la información oficial de la contratación realizada con dineros públicos, para lo cual establecerá los patrones a que haya lugar y se encargará de su difusión a través de canales electrónicos (…)</w:t>
      </w:r>
    </w:p>
    <w:p w14:paraId="740DFBFF" w14:textId="77777777" w:rsidR="00930225" w:rsidRPr="00723D0A" w:rsidRDefault="00930225" w:rsidP="00930225">
      <w:pPr>
        <w:pStyle w:val="Textonotapie"/>
        <w:ind w:firstLine="709"/>
        <w:rPr>
          <w:rFonts w:ascii="Verdana" w:hAnsi="Verdana"/>
          <w:sz w:val="14"/>
          <w:szCs w:val="14"/>
          <w:lang w:val="es-ES"/>
        </w:rPr>
      </w:pPr>
    </w:p>
  </w:footnote>
  <w:footnote w:id="24">
    <w:p w14:paraId="57896683" w14:textId="77777777" w:rsidR="00930225" w:rsidRPr="00723D0A" w:rsidRDefault="00930225" w:rsidP="00930225">
      <w:pPr>
        <w:pStyle w:val="Textonotapie"/>
        <w:ind w:firstLine="709"/>
        <w:jc w:val="both"/>
        <w:rPr>
          <w:rFonts w:ascii="Verdana" w:hAnsi="Verdana"/>
          <w:sz w:val="14"/>
          <w:szCs w:val="14"/>
          <w:lang w:val="es-CO"/>
        </w:rPr>
      </w:pPr>
      <w:r w:rsidRPr="00723D0A">
        <w:rPr>
          <w:rStyle w:val="Refdenotaalpie"/>
          <w:rFonts w:ascii="Verdana" w:hAnsi="Verdana"/>
          <w:sz w:val="14"/>
          <w:szCs w:val="14"/>
        </w:rPr>
        <w:footnoteRef/>
      </w:r>
      <w:r w:rsidRPr="00723D0A">
        <w:rPr>
          <w:rFonts w:ascii="Verdana" w:hAnsi="Verdana"/>
          <w:sz w:val="14"/>
          <w:szCs w:val="14"/>
        </w:rPr>
        <w:t xml:space="preserve"> </w:t>
      </w:r>
      <w:r w:rsidRPr="00723D0A">
        <w:rPr>
          <w:rFonts w:ascii="Verdana" w:hAnsi="Verdana"/>
          <w:sz w:val="14"/>
          <w:szCs w:val="14"/>
          <w:lang w:val="es-CO"/>
        </w:rPr>
        <w:t xml:space="preserve">ARTÍCULO 2.2.1.1.1.7.1.  Decreto 1082 de 105 </w:t>
      </w:r>
      <w:r w:rsidRPr="00723D0A">
        <w:rPr>
          <w:rFonts w:ascii="Verdana" w:hAnsi="Verdana"/>
          <w:i/>
          <w:iCs/>
          <w:sz w:val="14"/>
          <w:szCs w:val="14"/>
          <w:lang w:val="es-CO"/>
        </w:rPr>
        <w:t>Publicidad en el SECOP.</w:t>
      </w:r>
      <w:r w:rsidRPr="00723D0A">
        <w:rPr>
          <w:rFonts w:ascii="Verdana" w:hAnsi="Verdana"/>
          <w:sz w:val="14"/>
          <w:szCs w:val="14"/>
          <w:lang w:val="es-CO"/>
        </w:rPr>
        <w:t>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D2E999D" w14:textId="77777777" w:rsidR="00930225" w:rsidRPr="00723D0A" w:rsidRDefault="00930225" w:rsidP="00930225">
      <w:pPr>
        <w:pStyle w:val="Textonotapie"/>
        <w:ind w:firstLine="709"/>
        <w:jc w:val="both"/>
        <w:rPr>
          <w:rFonts w:ascii="Verdana" w:hAnsi="Verdana"/>
          <w:sz w:val="14"/>
          <w:szCs w:val="14"/>
          <w:lang w:val="es-CO"/>
        </w:rPr>
      </w:pPr>
      <w:r w:rsidRPr="00723D0A">
        <w:rPr>
          <w:rFonts w:ascii="Verdana" w:hAnsi="Verdana"/>
          <w:sz w:val="14"/>
          <w:szCs w:val="14"/>
          <w:lang w:val="es-CO"/>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FC7F6B4" w14:textId="77777777" w:rsidR="00930225" w:rsidRPr="00723D0A" w:rsidRDefault="00930225" w:rsidP="00930225">
      <w:pPr>
        <w:pStyle w:val="Textonotapie"/>
        <w:ind w:firstLine="709"/>
        <w:rPr>
          <w:rFonts w:ascii="Verdana" w:hAnsi="Verdana"/>
          <w:sz w:val="14"/>
          <w:szCs w:val="14"/>
          <w:lang w:val="es-ES"/>
        </w:rPr>
      </w:pPr>
    </w:p>
  </w:footnote>
  <w:footnote w:id="25">
    <w:p w14:paraId="055002A1" w14:textId="77777777" w:rsidR="00930225" w:rsidRPr="00A85059" w:rsidRDefault="00930225" w:rsidP="00930225">
      <w:pPr>
        <w:pStyle w:val="Textonotapie"/>
        <w:ind w:firstLine="709"/>
        <w:jc w:val="both"/>
        <w:rPr>
          <w:rFonts w:ascii="Verdana" w:hAnsi="Verdana"/>
          <w:sz w:val="14"/>
          <w:szCs w:val="14"/>
        </w:rPr>
      </w:pPr>
      <w:r w:rsidRPr="00A85059">
        <w:rPr>
          <w:rFonts w:ascii="Verdana" w:hAnsi="Verdana"/>
          <w:sz w:val="14"/>
          <w:szCs w:val="14"/>
          <w:vertAlign w:val="superscript"/>
        </w:rPr>
        <w:footnoteRef/>
      </w:r>
      <w:r w:rsidRPr="00A85059">
        <w:rPr>
          <w:rFonts w:ascii="Verdana" w:hAnsi="Verdana"/>
          <w:sz w:val="14"/>
          <w:szCs w:val="14"/>
        </w:rPr>
        <w:t xml:space="preserve"> Artículo 17 de la Ley 1150 de 2007</w:t>
      </w:r>
    </w:p>
    <w:p w14:paraId="6981868B" w14:textId="77777777" w:rsidR="00930225" w:rsidRPr="00A85059" w:rsidRDefault="00930225" w:rsidP="00930225">
      <w:pPr>
        <w:pStyle w:val="Textonotapie"/>
        <w:ind w:firstLine="709"/>
        <w:jc w:val="both"/>
        <w:rPr>
          <w:rFonts w:ascii="Verdana" w:hAnsi="Verdana"/>
          <w:sz w:val="14"/>
          <w:szCs w:val="14"/>
        </w:rPr>
      </w:pPr>
    </w:p>
  </w:footnote>
  <w:footnote w:id="26">
    <w:p w14:paraId="29137B35" w14:textId="77777777" w:rsidR="00930225" w:rsidRPr="00A85059" w:rsidRDefault="00930225" w:rsidP="00930225">
      <w:pPr>
        <w:pStyle w:val="Textonotapie"/>
        <w:ind w:firstLine="709"/>
        <w:jc w:val="both"/>
        <w:rPr>
          <w:rFonts w:ascii="Verdana" w:hAnsi="Verdana"/>
          <w:sz w:val="14"/>
          <w:szCs w:val="14"/>
        </w:rPr>
      </w:pPr>
      <w:r w:rsidRPr="00A85059">
        <w:rPr>
          <w:rFonts w:ascii="Verdana" w:hAnsi="Verdana"/>
          <w:sz w:val="14"/>
          <w:szCs w:val="14"/>
          <w:vertAlign w:val="superscript"/>
        </w:rPr>
        <w:footnoteRef/>
      </w:r>
      <w:r w:rsidRPr="00A85059">
        <w:rPr>
          <w:rFonts w:ascii="Verdana" w:hAnsi="Verdana"/>
          <w:sz w:val="14"/>
          <w:szCs w:val="14"/>
        </w:rPr>
        <w:t xml:space="preserve"> Artículo 21 de la Ley 1150 de 2007</w:t>
      </w:r>
    </w:p>
    <w:p w14:paraId="6B6A6BA1" w14:textId="77777777" w:rsidR="00930225" w:rsidRPr="00A85059" w:rsidRDefault="00930225" w:rsidP="00930225">
      <w:pPr>
        <w:pStyle w:val="Textonotapie"/>
        <w:ind w:firstLine="709"/>
        <w:jc w:val="both"/>
        <w:rPr>
          <w:rFonts w:ascii="Verdana" w:hAnsi="Verdana"/>
          <w:sz w:val="14"/>
          <w:szCs w:val="14"/>
        </w:rPr>
      </w:pPr>
    </w:p>
  </w:footnote>
  <w:footnote w:id="27">
    <w:p w14:paraId="6CAFF559" w14:textId="77777777" w:rsidR="00930225" w:rsidRPr="00A85059" w:rsidRDefault="00930225" w:rsidP="00930225">
      <w:pPr>
        <w:pStyle w:val="Textonotapie"/>
        <w:ind w:firstLine="709"/>
        <w:jc w:val="both"/>
        <w:rPr>
          <w:rFonts w:ascii="Verdana" w:hAnsi="Verdana"/>
          <w:sz w:val="14"/>
          <w:szCs w:val="14"/>
        </w:rPr>
      </w:pPr>
      <w:r w:rsidRPr="00A85059">
        <w:rPr>
          <w:rFonts w:ascii="Verdana" w:hAnsi="Verdana"/>
          <w:sz w:val="14"/>
          <w:szCs w:val="14"/>
          <w:vertAlign w:val="superscript"/>
        </w:rPr>
        <w:footnoteRef/>
      </w:r>
      <w:r w:rsidRPr="00A85059">
        <w:rPr>
          <w:rFonts w:ascii="Verdana" w:hAnsi="Verdana"/>
          <w:sz w:val="14"/>
          <w:szCs w:val="14"/>
        </w:rPr>
        <w:t xml:space="preserve"> Artículos 83 a 86 de la Ley 1474 de 2011</w:t>
      </w:r>
    </w:p>
    <w:p w14:paraId="35644CE5" w14:textId="77777777" w:rsidR="00930225" w:rsidRPr="00A85059" w:rsidRDefault="00930225" w:rsidP="00930225">
      <w:pPr>
        <w:pStyle w:val="Textonotapie"/>
        <w:ind w:firstLine="709"/>
        <w:jc w:val="both"/>
        <w:rPr>
          <w:rFonts w:ascii="Verdana" w:hAnsi="Verdana"/>
          <w:sz w:val="14"/>
          <w:szCs w:val="14"/>
        </w:rPr>
      </w:pPr>
    </w:p>
  </w:footnote>
  <w:footnote w:id="28">
    <w:p w14:paraId="63E6C6E1" w14:textId="77777777" w:rsidR="00930225" w:rsidRPr="00A85059" w:rsidRDefault="00930225" w:rsidP="00930225">
      <w:pPr>
        <w:pStyle w:val="Textonotapie"/>
        <w:ind w:firstLine="709"/>
        <w:jc w:val="both"/>
        <w:rPr>
          <w:rFonts w:ascii="Verdana" w:hAnsi="Verdana"/>
          <w:sz w:val="14"/>
          <w:szCs w:val="14"/>
        </w:rPr>
      </w:pPr>
      <w:r w:rsidRPr="00A85059">
        <w:rPr>
          <w:rFonts w:ascii="Verdana" w:hAnsi="Verdana"/>
          <w:sz w:val="14"/>
          <w:szCs w:val="14"/>
          <w:vertAlign w:val="superscript"/>
        </w:rPr>
        <w:footnoteRef/>
      </w:r>
      <w:r w:rsidRPr="00A85059">
        <w:rPr>
          <w:rFonts w:ascii="Verdana" w:hAnsi="Verdana"/>
          <w:sz w:val="14"/>
          <w:szCs w:val="14"/>
        </w:rPr>
        <w:t xml:space="preserve"> Consejo de Estado. Sala de lo Contencioso Administrativo. Sección Tercera. Subsección C. Sentencia del 27 de noviembre de 2017. Radicado: </w:t>
      </w:r>
      <w:r w:rsidRPr="00A85059">
        <w:rPr>
          <w:rFonts w:ascii="Verdana" w:hAnsi="Verdana"/>
          <w:sz w:val="14"/>
          <w:szCs w:val="14"/>
          <w:lang w:val="es-CO"/>
        </w:rPr>
        <w:t>68001-23-33-000-2013-00135-01 (</w:t>
      </w:r>
      <w:r w:rsidRPr="00A85059">
        <w:rPr>
          <w:rFonts w:ascii="Verdana" w:hAnsi="Verdana"/>
          <w:sz w:val="14"/>
          <w:szCs w:val="14"/>
        </w:rPr>
        <w:t>51.802). C.P: Jaime Orlando Santofimio.</w:t>
      </w:r>
    </w:p>
    <w:p w14:paraId="27688FD7" w14:textId="77777777" w:rsidR="00930225" w:rsidRPr="00A85059" w:rsidRDefault="00930225" w:rsidP="00930225">
      <w:pPr>
        <w:pStyle w:val="Textonotapie"/>
        <w:ind w:firstLine="709"/>
        <w:jc w:val="both"/>
        <w:rPr>
          <w:rFonts w:ascii="Verdana" w:hAnsi="Verdana"/>
          <w:sz w:val="14"/>
          <w:szCs w:val="14"/>
        </w:rPr>
      </w:pPr>
    </w:p>
  </w:footnote>
  <w:footnote w:id="29">
    <w:p w14:paraId="7162E65F" w14:textId="77777777" w:rsidR="00930225" w:rsidRPr="003D22D0" w:rsidRDefault="00930225" w:rsidP="00930225">
      <w:pPr>
        <w:pStyle w:val="Textonotapie"/>
        <w:ind w:firstLine="709"/>
        <w:jc w:val="both"/>
        <w:rPr>
          <w:rFonts w:ascii="Verdana" w:hAnsi="Verdana"/>
          <w:sz w:val="14"/>
          <w:szCs w:val="14"/>
        </w:rPr>
      </w:pPr>
      <w:r w:rsidRPr="003D22D0">
        <w:rPr>
          <w:rFonts w:ascii="Verdana" w:hAnsi="Verdana"/>
          <w:sz w:val="14"/>
          <w:szCs w:val="14"/>
          <w:vertAlign w:val="superscript"/>
        </w:rPr>
        <w:footnoteRef/>
      </w:r>
      <w:r w:rsidRPr="003D22D0">
        <w:rPr>
          <w:rFonts w:ascii="Verdana" w:hAnsi="Verdana"/>
          <w:sz w:val="14"/>
          <w:szCs w:val="14"/>
        </w:rPr>
        <w:t xml:space="preserve"> Artículo 83 de la Ley 1474 de 2011</w:t>
      </w:r>
    </w:p>
    <w:p w14:paraId="7A2CBE59" w14:textId="77777777" w:rsidR="00930225" w:rsidRPr="003D22D0" w:rsidRDefault="00930225" w:rsidP="00930225">
      <w:pPr>
        <w:pStyle w:val="Textonotapie"/>
        <w:ind w:firstLine="709"/>
        <w:jc w:val="both"/>
        <w:rPr>
          <w:rFonts w:ascii="Verdana" w:hAnsi="Verdana"/>
          <w:sz w:val="14"/>
          <w:szCs w:val="14"/>
        </w:rPr>
      </w:pPr>
    </w:p>
  </w:footnote>
  <w:footnote w:id="30">
    <w:p w14:paraId="218F55A5" w14:textId="77777777" w:rsidR="00930225" w:rsidRDefault="00930225" w:rsidP="00930225">
      <w:pPr>
        <w:pStyle w:val="Textonotapie"/>
        <w:ind w:firstLine="709"/>
        <w:jc w:val="both"/>
        <w:rPr>
          <w:rFonts w:ascii="Verdana" w:hAnsi="Verdana"/>
          <w:sz w:val="14"/>
          <w:szCs w:val="14"/>
        </w:rPr>
      </w:pPr>
      <w:r w:rsidRPr="003D22D0">
        <w:rPr>
          <w:rFonts w:ascii="Verdana" w:hAnsi="Verdana"/>
          <w:sz w:val="14"/>
          <w:szCs w:val="14"/>
          <w:vertAlign w:val="superscript"/>
        </w:rPr>
        <w:footnoteRef/>
      </w:r>
      <w:r w:rsidRPr="003D22D0">
        <w:rPr>
          <w:rFonts w:ascii="Verdana" w:hAnsi="Verdana"/>
          <w:sz w:val="14"/>
          <w:szCs w:val="14"/>
        </w:rPr>
        <w:t xml:space="preserve"> A excepción de la interventoría del contrato de obra adjudicado por licitación pública que es obligatoria según el numeral 1° del artículo 32 de la Ley 80 de 1993.</w:t>
      </w:r>
    </w:p>
    <w:p w14:paraId="42F4212D" w14:textId="77777777" w:rsidR="00930225" w:rsidRPr="007F469A" w:rsidRDefault="00930225" w:rsidP="00930225">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EA56657"/>
    <w:multiLevelType w:val="hybridMultilevel"/>
    <w:tmpl w:val="993AE2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88A691A"/>
    <w:multiLevelType w:val="multilevel"/>
    <w:tmpl w:val="C294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9"/>
  </w:num>
  <w:num w:numId="18" w16cid:durableId="344594084">
    <w:abstractNumId w:val="11"/>
  </w:num>
  <w:num w:numId="19" w16cid:durableId="1162629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68B"/>
    <w:rsid w:val="00016F78"/>
    <w:rsid w:val="0002163D"/>
    <w:rsid w:val="00035760"/>
    <w:rsid w:val="00046945"/>
    <w:rsid w:val="00061B2A"/>
    <w:rsid w:val="00082362"/>
    <w:rsid w:val="00097A2D"/>
    <w:rsid w:val="000A683E"/>
    <w:rsid w:val="000A7F79"/>
    <w:rsid w:val="000B19B9"/>
    <w:rsid w:val="000D0334"/>
    <w:rsid w:val="000E4309"/>
    <w:rsid w:val="000F6486"/>
    <w:rsid w:val="00114E3F"/>
    <w:rsid w:val="00125105"/>
    <w:rsid w:val="00127233"/>
    <w:rsid w:val="00132AF4"/>
    <w:rsid w:val="00146283"/>
    <w:rsid w:val="001747DC"/>
    <w:rsid w:val="00176CF2"/>
    <w:rsid w:val="001B0900"/>
    <w:rsid w:val="001C105A"/>
    <w:rsid w:val="001C2AD4"/>
    <w:rsid w:val="001E4177"/>
    <w:rsid w:val="001F7DC6"/>
    <w:rsid w:val="002421BB"/>
    <w:rsid w:val="0025796E"/>
    <w:rsid w:val="002707A2"/>
    <w:rsid w:val="002951A0"/>
    <w:rsid w:val="002962BC"/>
    <w:rsid w:val="002A093D"/>
    <w:rsid w:val="002A0DD0"/>
    <w:rsid w:val="002A49AC"/>
    <w:rsid w:val="002A64FD"/>
    <w:rsid w:val="002B0F64"/>
    <w:rsid w:val="002C7A84"/>
    <w:rsid w:val="002E4FD9"/>
    <w:rsid w:val="002E5340"/>
    <w:rsid w:val="002F413C"/>
    <w:rsid w:val="00302F88"/>
    <w:rsid w:val="00322A85"/>
    <w:rsid w:val="00324168"/>
    <w:rsid w:val="00335852"/>
    <w:rsid w:val="003448F4"/>
    <w:rsid w:val="003457E3"/>
    <w:rsid w:val="0034753F"/>
    <w:rsid w:val="00374F5E"/>
    <w:rsid w:val="00377E3E"/>
    <w:rsid w:val="003A779E"/>
    <w:rsid w:val="003C5DA3"/>
    <w:rsid w:val="003D0F4D"/>
    <w:rsid w:val="003D5B0D"/>
    <w:rsid w:val="003E0499"/>
    <w:rsid w:val="003F3941"/>
    <w:rsid w:val="00406575"/>
    <w:rsid w:val="00414C74"/>
    <w:rsid w:val="0042722E"/>
    <w:rsid w:val="0044528D"/>
    <w:rsid w:val="004A1847"/>
    <w:rsid w:val="004A305D"/>
    <w:rsid w:val="004A30D6"/>
    <w:rsid w:val="004D73DC"/>
    <w:rsid w:val="004F21C4"/>
    <w:rsid w:val="004F685F"/>
    <w:rsid w:val="005566E8"/>
    <w:rsid w:val="00574867"/>
    <w:rsid w:val="00587DE8"/>
    <w:rsid w:val="00587E33"/>
    <w:rsid w:val="00591460"/>
    <w:rsid w:val="005A1C6E"/>
    <w:rsid w:val="005C3777"/>
    <w:rsid w:val="005C5CDC"/>
    <w:rsid w:val="005D476C"/>
    <w:rsid w:val="005D67D9"/>
    <w:rsid w:val="006219F8"/>
    <w:rsid w:val="0062762D"/>
    <w:rsid w:val="006302F7"/>
    <w:rsid w:val="00665D70"/>
    <w:rsid w:val="006900D9"/>
    <w:rsid w:val="006A760C"/>
    <w:rsid w:val="006C7F8E"/>
    <w:rsid w:val="00706C16"/>
    <w:rsid w:val="00756841"/>
    <w:rsid w:val="007649AB"/>
    <w:rsid w:val="00771D0C"/>
    <w:rsid w:val="007833AC"/>
    <w:rsid w:val="00795351"/>
    <w:rsid w:val="00795949"/>
    <w:rsid w:val="007B268C"/>
    <w:rsid w:val="007B7171"/>
    <w:rsid w:val="007C0C0F"/>
    <w:rsid w:val="007C3DC2"/>
    <w:rsid w:val="007D0587"/>
    <w:rsid w:val="007E0E82"/>
    <w:rsid w:val="007E5497"/>
    <w:rsid w:val="007E6C64"/>
    <w:rsid w:val="007F661B"/>
    <w:rsid w:val="00806F5F"/>
    <w:rsid w:val="00820278"/>
    <w:rsid w:val="00867F95"/>
    <w:rsid w:val="008843B6"/>
    <w:rsid w:val="00891928"/>
    <w:rsid w:val="008971EE"/>
    <w:rsid w:val="00897A3A"/>
    <w:rsid w:val="008A446D"/>
    <w:rsid w:val="008D180B"/>
    <w:rsid w:val="008F0143"/>
    <w:rsid w:val="008F0EA7"/>
    <w:rsid w:val="00923EEF"/>
    <w:rsid w:val="00930225"/>
    <w:rsid w:val="00932543"/>
    <w:rsid w:val="009419F9"/>
    <w:rsid w:val="0094312B"/>
    <w:rsid w:val="00943910"/>
    <w:rsid w:val="0095685E"/>
    <w:rsid w:val="00961B09"/>
    <w:rsid w:val="00965334"/>
    <w:rsid w:val="0097093E"/>
    <w:rsid w:val="009A0DFA"/>
    <w:rsid w:val="009B25A8"/>
    <w:rsid w:val="009B2D26"/>
    <w:rsid w:val="009C71FA"/>
    <w:rsid w:val="009C72E7"/>
    <w:rsid w:val="009D11BF"/>
    <w:rsid w:val="009D3058"/>
    <w:rsid w:val="009D47F9"/>
    <w:rsid w:val="009F3A13"/>
    <w:rsid w:val="009F64CD"/>
    <w:rsid w:val="00A122D3"/>
    <w:rsid w:val="00A17F13"/>
    <w:rsid w:val="00A20739"/>
    <w:rsid w:val="00A33C78"/>
    <w:rsid w:val="00A61544"/>
    <w:rsid w:val="00A73796"/>
    <w:rsid w:val="00AA3F72"/>
    <w:rsid w:val="00AA739E"/>
    <w:rsid w:val="00AB0ADB"/>
    <w:rsid w:val="00AE2882"/>
    <w:rsid w:val="00B00C0E"/>
    <w:rsid w:val="00B01B1A"/>
    <w:rsid w:val="00B2036A"/>
    <w:rsid w:val="00B44A47"/>
    <w:rsid w:val="00B46754"/>
    <w:rsid w:val="00B72CD3"/>
    <w:rsid w:val="00B72FFF"/>
    <w:rsid w:val="00B82A8C"/>
    <w:rsid w:val="00B8350B"/>
    <w:rsid w:val="00BA05D5"/>
    <w:rsid w:val="00BC3D36"/>
    <w:rsid w:val="00BD7F72"/>
    <w:rsid w:val="00BE3F87"/>
    <w:rsid w:val="00BE49FE"/>
    <w:rsid w:val="00C04FB3"/>
    <w:rsid w:val="00C330EB"/>
    <w:rsid w:val="00C35CFB"/>
    <w:rsid w:val="00C43073"/>
    <w:rsid w:val="00C754BE"/>
    <w:rsid w:val="00C76B1C"/>
    <w:rsid w:val="00CB0642"/>
    <w:rsid w:val="00CB6357"/>
    <w:rsid w:val="00CC1B26"/>
    <w:rsid w:val="00D15CE5"/>
    <w:rsid w:val="00D20103"/>
    <w:rsid w:val="00D423A2"/>
    <w:rsid w:val="00D520D8"/>
    <w:rsid w:val="00D63AC2"/>
    <w:rsid w:val="00D6470D"/>
    <w:rsid w:val="00D7383B"/>
    <w:rsid w:val="00D82702"/>
    <w:rsid w:val="00D92749"/>
    <w:rsid w:val="00DA231B"/>
    <w:rsid w:val="00DC39FC"/>
    <w:rsid w:val="00DD2DAC"/>
    <w:rsid w:val="00DD5D8F"/>
    <w:rsid w:val="00DD65E9"/>
    <w:rsid w:val="00DE2357"/>
    <w:rsid w:val="00DF1B74"/>
    <w:rsid w:val="00DF5254"/>
    <w:rsid w:val="00E0008D"/>
    <w:rsid w:val="00E10C7B"/>
    <w:rsid w:val="00E16408"/>
    <w:rsid w:val="00E20894"/>
    <w:rsid w:val="00E245AB"/>
    <w:rsid w:val="00E2764C"/>
    <w:rsid w:val="00E27F2E"/>
    <w:rsid w:val="00E50AFE"/>
    <w:rsid w:val="00E564E1"/>
    <w:rsid w:val="00E623C5"/>
    <w:rsid w:val="00E75C92"/>
    <w:rsid w:val="00E771DC"/>
    <w:rsid w:val="00E8772A"/>
    <w:rsid w:val="00E90F6B"/>
    <w:rsid w:val="00E92C27"/>
    <w:rsid w:val="00EA0E3D"/>
    <w:rsid w:val="00EA4490"/>
    <w:rsid w:val="00EB22BE"/>
    <w:rsid w:val="00EC38A7"/>
    <w:rsid w:val="00EE1AA8"/>
    <w:rsid w:val="00F163E6"/>
    <w:rsid w:val="00F26814"/>
    <w:rsid w:val="00F31EDC"/>
    <w:rsid w:val="00F462B3"/>
    <w:rsid w:val="00F5664F"/>
    <w:rsid w:val="00F666C4"/>
    <w:rsid w:val="00F76AFC"/>
    <w:rsid w:val="00F976E2"/>
    <w:rsid w:val="00FA36D3"/>
    <w:rsid w:val="00FA47C0"/>
    <w:rsid w:val="00FB5DD1"/>
    <w:rsid w:val="00FB6C54"/>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3022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30225"/>
    <w:rPr>
      <w:rFonts w:ascii="Geomanist Light" w:hAnsi="Geomanist Light"/>
      <w:lang w:val="es-ES"/>
    </w:rPr>
  </w:style>
  <w:style w:type="character" w:customStyle="1" w:styleId="NormalWebCar">
    <w:name w:val="Normal (Web) Car"/>
    <w:link w:val="NormalWeb"/>
    <w:uiPriority w:val="99"/>
    <w:locked/>
    <w:rsid w:val="00930225"/>
    <w:rPr>
      <w:rFonts w:ascii="Times New Roman" w:eastAsia="Times New Roman" w:hAnsi="Times New Roman" w:cs="Times New Roman"/>
      <w:sz w:val="24"/>
      <w:szCs w:val="24"/>
      <w:lang w:eastAsia="es-CO"/>
    </w:rPr>
  </w:style>
  <w:style w:type="paragraph" w:customStyle="1" w:styleId="fn1">
    <w:name w:val="fn1"/>
    <w:basedOn w:val="Normal"/>
    <w:next w:val="Textonotapie"/>
    <w:uiPriority w:val="99"/>
    <w:unhideWhenUsed/>
    <w:qFormat/>
    <w:rsid w:val="00930225"/>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_guia_para_el_ejercicio_de_las_funciones_de_supervision_e_interventoria_de_los_contratos_del_estado.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lianaramirezalvarez@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955_2019.html" TargetMode="External"/><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2195_2022_pr001.html" TargetMode="External"/><Relationship Id="rId6" Type="http://schemas.openxmlformats.org/officeDocument/2006/relationships/hyperlink" Target="http://www.secretariasenado.gov.co/senado/basedoc/ley_0080_1993.html" TargetMode="External"/><Relationship Id="rId5" Type="http://schemas.openxmlformats.org/officeDocument/2006/relationships/hyperlink" Target="http://www.secretariasenado.gov.co/senado/basedoc/ley_0527_1999.html" TargetMode="External"/><Relationship Id="rId4" Type="http://schemas.openxmlformats.org/officeDocument/2006/relationships/hyperlink" Target="http://go.vlex.com/vid/841248659?fbt=webapp_preview&amp;addon_version=6.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2d8fa925-bec2-4809-ba96-82bda3c0030e"/>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D59608D-3456-4F9E-8486-E528FAA50637}"/>
</file>

<file path=docProps/app.xml><?xml version="1.0" encoding="utf-8"?>
<Properties xmlns="http://schemas.openxmlformats.org/officeDocument/2006/extended-properties" xmlns:vt="http://schemas.openxmlformats.org/officeDocument/2006/docPropsVTypes">
  <Template>Normal</Template>
  <TotalTime>42</TotalTime>
  <Pages>35</Pages>
  <Words>11608</Words>
  <Characters>63844</Characters>
  <Application>Microsoft Office Word</Application>
  <DocSecurity>0</DocSecurity>
  <Lines>532</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7</cp:revision>
  <cp:lastPrinted>2023-01-10T21:18:00Z</cp:lastPrinted>
  <dcterms:created xsi:type="dcterms:W3CDTF">2025-09-11T22:16:00Z</dcterms:created>
  <dcterms:modified xsi:type="dcterms:W3CDTF">2025-09-13T14:06:00Z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