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8B40F7" w14:textId="77777777" w:rsidR="00BF629D" w:rsidRPr="008572A6" w:rsidRDefault="00BF629D" w:rsidP="00BF629D">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C03719">
        <w:rPr>
          <w:rFonts w:ascii="Arial" w:hAnsi="Arial" w:cs="Arial"/>
          <w:b/>
          <w:color w:val="000000" w:themeColor="text1"/>
          <w:sz w:val="21"/>
          <w:szCs w:val="21"/>
          <w:lang w:val="es-ES_tradnl" w:eastAsia="es-ES"/>
        </w:rPr>
        <w:tab/>
      </w:r>
      <w:r w:rsidRPr="008572A6">
        <w:rPr>
          <w:rFonts w:ascii="Arial" w:hAnsi="Arial" w:cs="Arial"/>
          <w:b/>
          <w:color w:val="000000" w:themeColor="text1"/>
          <w:sz w:val="16"/>
          <w:szCs w:val="16"/>
          <w:lang w:val="es-ES_tradnl" w:eastAsia="es-ES"/>
        </w:rPr>
        <w:t>CCE-DES-FM-17</w:t>
      </w:r>
    </w:p>
    <w:p w14:paraId="26480FF0" w14:textId="77777777" w:rsidR="00BF629D" w:rsidRPr="008572A6" w:rsidRDefault="00BF629D" w:rsidP="00BF629D">
      <w:pPr>
        <w:jc w:val="both"/>
        <w:rPr>
          <w:rFonts w:ascii="Arial" w:eastAsia="Calibri" w:hAnsi="Arial" w:cs="Arial"/>
          <w:b/>
          <w:color w:val="000000" w:themeColor="text1"/>
          <w:sz w:val="16"/>
          <w:szCs w:val="16"/>
          <w:lang w:val="es-ES_tradnl"/>
        </w:rPr>
      </w:pPr>
    </w:p>
    <w:p w14:paraId="35982A41" w14:textId="30A3146F" w:rsidR="00BF629D" w:rsidRPr="00830E33" w:rsidRDefault="002B139C" w:rsidP="00BF629D">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MÍNIMA CUANTÍA –</w:t>
      </w:r>
      <w:r w:rsidR="00BF629D" w:rsidRPr="00830E33">
        <w:rPr>
          <w:rFonts w:ascii="Arial" w:eastAsia="Calibri" w:hAnsi="Arial" w:cs="Arial"/>
          <w:b/>
          <w:bCs/>
          <w:color w:val="000000" w:themeColor="text1"/>
          <w:sz w:val="22"/>
          <w:lang w:val="es-ES_tradnl"/>
        </w:rPr>
        <w:t xml:space="preserve"> Concepto </w:t>
      </w:r>
      <w:r>
        <w:rPr>
          <w:rFonts w:ascii="Arial" w:eastAsia="Calibri" w:hAnsi="Arial" w:cs="Arial"/>
          <w:b/>
          <w:bCs/>
          <w:color w:val="000000" w:themeColor="text1"/>
          <w:sz w:val="22"/>
          <w:lang w:val="es-ES_tradnl"/>
        </w:rPr>
        <w:t>– Regulación –</w:t>
      </w:r>
      <w:r w:rsidR="00BF629D" w:rsidRPr="00830E33">
        <w:rPr>
          <w:rFonts w:ascii="Arial" w:eastAsia="Calibri" w:hAnsi="Arial" w:cs="Arial"/>
          <w:b/>
          <w:bCs/>
          <w:color w:val="000000" w:themeColor="text1"/>
          <w:sz w:val="22"/>
          <w:lang w:val="es-ES_tradnl"/>
        </w:rPr>
        <w:t xml:space="preserve"> Requisitos</w:t>
      </w:r>
    </w:p>
    <w:p w14:paraId="2999BEB4" w14:textId="77777777" w:rsidR="00BF629D" w:rsidRPr="00C03719" w:rsidRDefault="00BF629D" w:rsidP="00BF629D">
      <w:pPr>
        <w:jc w:val="both"/>
        <w:rPr>
          <w:rFonts w:ascii="Arial" w:eastAsia="Calibri" w:hAnsi="Arial" w:cs="Arial"/>
          <w:b/>
          <w:bCs/>
          <w:color w:val="000000" w:themeColor="text1"/>
          <w:sz w:val="20"/>
          <w:szCs w:val="20"/>
          <w:lang w:val="es-ES_tradnl"/>
        </w:rPr>
      </w:pPr>
    </w:p>
    <w:p w14:paraId="0A35D6FC" w14:textId="77777777" w:rsidR="00BF629D" w:rsidRPr="00C03719" w:rsidRDefault="00BF629D" w:rsidP="00BF629D">
      <w:pPr>
        <w:jc w:val="both"/>
        <w:rPr>
          <w:rFonts w:ascii="Arial" w:eastAsia="Calibri" w:hAnsi="Arial" w:cs="Arial"/>
          <w:color w:val="000000" w:themeColor="text1"/>
          <w:sz w:val="20"/>
          <w:szCs w:val="20"/>
          <w:lang w:val="es-ES_tradnl"/>
        </w:rPr>
      </w:pPr>
      <w:r w:rsidRPr="00C03719">
        <w:rPr>
          <w:rFonts w:ascii="Arial" w:eastAsia="Calibri" w:hAnsi="Arial" w:cs="Arial"/>
          <w:color w:val="000000" w:themeColor="text1"/>
          <w:sz w:val="20"/>
          <w:szCs w:val="20"/>
          <w:lang w:val="es-ES_tradnl"/>
        </w:rPr>
        <w:t>La mínima cuantía es una modalidad de selección en virtud de la cual la entidad estatal realiza una convocatoria pública para recibir ofertas de bienes o servicios cuyo valor no excede el diez por ciento (10%) de la menor cuantía. Fue creada por el artículo 94 de la Ley 1474 de 2011 – que adicionó el numeral 5º al artículo 2 de la Ley 1150 de 2007–, estableciendo que el factor determinante para llevar a cabo tal procedimiento es la cuantía –calculada como presupuesto oficial a partir del estudio del sector–, «independientemente de su objeto». Sus requisitos pueden sintetizarse así: i) la entidad estatal debe hacer los estudios previos en los que señale cuál es la necesidad que pretende satisfacer, el objeto del contrato, sus condiciones técnicas, el valor estimado, el plazo de ejecución y el certificado de disponibilidad presupuestal; ii) luego de surtir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 iii) la invitación se debe hacer por un término no inferior a un (1) día hábil; iv) las observaciones que realicen los interesados deben responderse por la entidad estatal a más tardar antes del vencimiento del término para presentar las ofertas; v) presentadas las propuestas, la entidad estatal debe revisar las ofertas económicas y verificar que la del menor precio cumpla con los requisitos de participación. Si no los satisface, debe revisar la oferta económica inmediatamente inferior y así sucesivamente. Esto significa que en la mínima cuantía el precio es el único factor de calificación o asignación de puntaje; vi) el informe de evaluación se debe publicar por un (1) día hábil; vii) el contrato se perfecciona con la comunicación de aceptación de la oferta que envía la entidad estatal al proponente que presentó la oferta económica de menor precio, no requiriéndose, entonces, de la suscripción de una minuta. En la comunicación de aceptación de la oferta la entidad estatal le debe informar al proponente ganador quién será el supervisor del contrato; viii) de existir empate, debe preferirse la oferta que se presentó primero en el tiempo.</w:t>
      </w:r>
    </w:p>
    <w:p w14:paraId="4E8541FC" w14:textId="77777777" w:rsidR="00BF629D" w:rsidRPr="00C03719" w:rsidRDefault="00BF629D" w:rsidP="00BF629D">
      <w:pPr>
        <w:jc w:val="both"/>
        <w:rPr>
          <w:rFonts w:ascii="Arial" w:eastAsia="Calibri" w:hAnsi="Arial" w:cs="Arial"/>
          <w:color w:val="000000" w:themeColor="text1"/>
          <w:sz w:val="20"/>
          <w:szCs w:val="20"/>
          <w:lang w:val="es-ES_tradnl"/>
        </w:rPr>
      </w:pPr>
    </w:p>
    <w:p w14:paraId="6941427A" w14:textId="78565E70" w:rsidR="00BF629D" w:rsidRPr="00830E33" w:rsidRDefault="002B139C" w:rsidP="00BF629D">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ACUERDOS MARCO DE PRECIOS –</w:t>
      </w:r>
      <w:r w:rsidR="00BF629D" w:rsidRPr="00830E33">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Concepto – Regulación –</w:t>
      </w:r>
      <w:r w:rsidR="00BF629D" w:rsidRPr="00830E33">
        <w:rPr>
          <w:rFonts w:ascii="Arial" w:eastAsia="Calibri" w:hAnsi="Arial" w:cs="Arial"/>
          <w:b/>
          <w:bCs/>
          <w:color w:val="000000" w:themeColor="text1"/>
          <w:sz w:val="22"/>
          <w:lang w:val="es-ES_tradnl"/>
        </w:rPr>
        <w:t xml:space="preserve"> Agregación de demanda</w:t>
      </w:r>
    </w:p>
    <w:p w14:paraId="07A02BAC" w14:textId="77777777" w:rsidR="00BF629D" w:rsidRPr="00C03719" w:rsidRDefault="00BF629D" w:rsidP="00BF629D">
      <w:pPr>
        <w:jc w:val="both"/>
        <w:rPr>
          <w:rFonts w:ascii="Arial" w:hAnsi="Arial" w:cs="Arial"/>
          <w:color w:val="000000" w:themeColor="text1"/>
          <w:sz w:val="20"/>
          <w:szCs w:val="20"/>
          <w:lang w:val="es-ES_tradnl"/>
        </w:rPr>
      </w:pPr>
    </w:p>
    <w:p w14:paraId="26B827CC" w14:textId="77777777" w:rsidR="00BF629D" w:rsidRPr="00C03719" w:rsidRDefault="00BF629D" w:rsidP="00BF629D">
      <w:pPr>
        <w:jc w:val="both"/>
        <w:rPr>
          <w:rFonts w:ascii="Arial" w:hAnsi="Arial" w:cs="Arial"/>
          <w:color w:val="000000" w:themeColor="text1"/>
          <w:sz w:val="20"/>
          <w:szCs w:val="20"/>
          <w:lang w:val="es-ES_tradnl"/>
        </w:rPr>
      </w:pPr>
      <w:r w:rsidRPr="00C03719">
        <w:rPr>
          <w:rFonts w:ascii="Arial" w:hAnsi="Arial" w:cs="Arial"/>
          <w:color w:val="000000" w:themeColor="text1"/>
          <w:sz w:val="20"/>
          <w:szCs w:val="20"/>
          <w:lang w:val="es-ES_tradnl"/>
        </w:rPr>
        <w:t>El artículo 2, numeral 2, literal a) de la Ley 1150 de 2007 establece que la adquisición de bienes y servicios de características técnicas uniformes y de común utilización por parte de las entidades estatales debe efectuarse a través de la modalidad de selección abreviada, siendo el acuerdo marco de precios uno de los instrumentos a los que pueden acudir dichas entidades para satisfacer tal necesidad. En ejercicio de la potestad reglamentaria, el Gobierno Nacional expidió el Decreto 1082 de 2015, que, en su artículo 2.2.1.2.1.2.7., establece que las entidades estatales del orden nacional están obligadas a adquirir sus bienes o servicios de características técnicas uniformes por el acuerdo marco de precios vigente, es decir que deben acudir a este instrumento de agregación de demanda y no a los otros mecanismos establecidos en la Ley 1150 de 2007 para obtener este tipo de bienes o servicios. De igual manera, el artículo 2.2.1.1.1.3.1. del mencionado Decreto define el acuerdo marco de precios como el «Contrato celebrado entre uno o más proveedores y Colombia Compra Eficiente, o quien haga sus veces, para la provisión a las Entidades Estatales de Bienes y Servicios de Características Técnicas Uniformes, en la forma, plazo y condiciones establecidas en este».</w:t>
      </w:r>
    </w:p>
    <w:p w14:paraId="18D2539A" w14:textId="77777777" w:rsidR="00BF629D" w:rsidRPr="00C03719" w:rsidRDefault="00BF629D" w:rsidP="00BF629D">
      <w:pPr>
        <w:jc w:val="both"/>
        <w:rPr>
          <w:rFonts w:ascii="Arial" w:hAnsi="Arial" w:cs="Arial"/>
          <w:color w:val="000000" w:themeColor="text1"/>
          <w:sz w:val="20"/>
          <w:szCs w:val="20"/>
          <w:lang w:val="es-ES_tradnl"/>
        </w:rPr>
      </w:pPr>
    </w:p>
    <w:p w14:paraId="57DDF085" w14:textId="02C7351F" w:rsidR="00BF629D" w:rsidRPr="00830E33" w:rsidRDefault="00BF629D" w:rsidP="00BF629D">
      <w:pPr>
        <w:jc w:val="both"/>
        <w:rPr>
          <w:rFonts w:ascii="Arial" w:eastAsia="Calibri" w:hAnsi="Arial" w:cs="Arial"/>
          <w:b/>
          <w:bCs/>
          <w:color w:val="000000" w:themeColor="text1"/>
          <w:sz w:val="22"/>
          <w:lang w:val="es-ES_tradnl"/>
        </w:rPr>
      </w:pPr>
      <w:r w:rsidRPr="00830E33">
        <w:rPr>
          <w:rFonts w:ascii="Arial" w:eastAsia="Calibri" w:hAnsi="Arial" w:cs="Arial"/>
          <w:b/>
          <w:bCs/>
          <w:color w:val="000000" w:themeColor="text1"/>
          <w:sz w:val="22"/>
          <w:lang w:val="es-ES_tradnl"/>
        </w:rPr>
        <w:t xml:space="preserve">CONCURRENCIA </w:t>
      </w:r>
      <w:r w:rsidR="002B139C">
        <w:rPr>
          <w:rFonts w:ascii="Arial" w:eastAsia="Calibri" w:hAnsi="Arial" w:cs="Arial"/>
          <w:b/>
          <w:bCs/>
          <w:color w:val="000000" w:themeColor="text1"/>
          <w:sz w:val="22"/>
          <w:lang w:val="es-ES_tradnl"/>
        </w:rPr>
        <w:t>– Suspensión provisional –</w:t>
      </w:r>
      <w:r w:rsidRPr="00830E33">
        <w:rPr>
          <w:rFonts w:ascii="Arial" w:eastAsia="Calibri" w:hAnsi="Arial" w:cs="Arial"/>
          <w:b/>
          <w:bCs/>
          <w:color w:val="000000" w:themeColor="text1"/>
          <w:sz w:val="22"/>
          <w:lang w:val="es-ES_tradnl"/>
        </w:rPr>
        <w:t xml:space="preserve"> Ley 1955 de 2019 </w:t>
      </w:r>
      <w:r w:rsidR="002B139C">
        <w:rPr>
          <w:rFonts w:ascii="Arial" w:eastAsia="Calibri" w:hAnsi="Arial" w:cs="Arial"/>
          <w:b/>
          <w:bCs/>
          <w:color w:val="000000" w:themeColor="text1"/>
          <w:sz w:val="22"/>
          <w:lang w:val="es-ES_tradnl"/>
        </w:rPr>
        <w:t>–</w:t>
      </w:r>
      <w:r w:rsidRPr="00830E33">
        <w:rPr>
          <w:rFonts w:ascii="Arial" w:eastAsia="Calibri" w:hAnsi="Arial" w:cs="Arial"/>
          <w:b/>
          <w:bCs/>
          <w:color w:val="000000" w:themeColor="text1"/>
          <w:sz w:val="22"/>
          <w:lang w:val="es-ES_tradnl"/>
        </w:rPr>
        <w:t xml:space="preserve"> Actualidad</w:t>
      </w:r>
    </w:p>
    <w:p w14:paraId="7860F348" w14:textId="77777777" w:rsidR="00BF629D" w:rsidRPr="00830E33" w:rsidRDefault="00BF629D" w:rsidP="00BF629D">
      <w:pPr>
        <w:jc w:val="both"/>
        <w:rPr>
          <w:rFonts w:ascii="Arial" w:hAnsi="Arial" w:cs="Arial"/>
          <w:color w:val="000000" w:themeColor="text1"/>
          <w:sz w:val="22"/>
          <w:lang w:val="es-ES_tradnl"/>
        </w:rPr>
      </w:pPr>
    </w:p>
    <w:p w14:paraId="3A62109C" w14:textId="77777777" w:rsidR="00BF629D" w:rsidRPr="00C03719" w:rsidRDefault="00BF629D" w:rsidP="00BF629D">
      <w:pPr>
        <w:jc w:val="both"/>
        <w:rPr>
          <w:rFonts w:ascii="Arial" w:hAnsi="Arial" w:cs="Arial"/>
          <w:color w:val="000000" w:themeColor="text1"/>
          <w:sz w:val="20"/>
          <w:szCs w:val="20"/>
          <w:lang w:val="es-ES_tradnl"/>
        </w:rPr>
      </w:pPr>
      <w:r w:rsidRPr="00C03719">
        <w:rPr>
          <w:rFonts w:ascii="Arial" w:hAnsi="Arial" w:cs="Arial"/>
          <w:color w:val="000000" w:themeColor="text1"/>
          <w:sz w:val="20"/>
          <w:szCs w:val="20"/>
          <w:lang w:val="es-ES_tradnl"/>
        </w:rPr>
        <w:lastRenderedPageBreak/>
        <w:t>La Sección Tercera del Consejo de Estado decretó la suspensión provisional del acápite VII del «Manual para la Operación Secundaria de los Acuerdos Marcos de Precios», considerando que no existe concurrencia entre la modalidad de selección de mínima cuantía y la compra por catálogo derivada de acuerdos marco de precios. En tal sentido, indicó: «No existe ninguna concurrencia entre la modalidad de selección abreviada y de mínima cuantía, pues siempre que i) exista un Acuerdo Marco de Precios para adquirir bienes o servicios de características técnicas uniformes y ii) el presupuesto del proceso de contratación sea equivalente a la mínima cuantía de la entidad, debe acudirse al procedimiento de selección de mínima cuantía independientemente del objeto a contratar». El artículo 42 de la Ley 1955 de 2019 establece que las entidades estatales obligadas tienen el deber de realizar la adquisición de bienes o servicios de características técnicas uniformes y de común utilización a través del acuerdo marco de precios que esté disponible, incluso en los procesos de contratación cuyo presupuesto no exceda el diez por ciento (10%) de la menor cuantía. Sin embargo, cuando el bien o servicio de características técnicas uniformes y de común utilización no esté disponible en un acuerdo marco de precios, y la cuantía sea menor al diez por ciento (10%) del presupuesto, prevalece la modalidad de mínima cuantía, tal como lo indicó el Consejo de Estado en el auto del 29 de marzo de 2017.</w:t>
      </w:r>
    </w:p>
    <w:p w14:paraId="5F240976" w14:textId="0F581587" w:rsidR="00BF629D" w:rsidRPr="008572A6" w:rsidRDefault="00BF629D" w:rsidP="00BF629D">
      <w:pPr>
        <w:spacing w:line="276" w:lineRule="auto"/>
        <w:jc w:val="both"/>
        <w:rPr>
          <w:rFonts w:ascii="Arial" w:hAnsi="Arial" w:cs="Arial"/>
          <w:color w:val="000000" w:themeColor="text1"/>
          <w:sz w:val="20"/>
          <w:szCs w:val="20"/>
          <w:lang w:val="es-ES_tradnl"/>
        </w:rPr>
      </w:pPr>
    </w:p>
    <w:p w14:paraId="413E8B8C" w14:textId="77777777" w:rsidR="002B139C" w:rsidRPr="008572A6" w:rsidRDefault="002B139C" w:rsidP="00BF629D">
      <w:pPr>
        <w:spacing w:line="276" w:lineRule="auto"/>
        <w:jc w:val="both"/>
        <w:rPr>
          <w:rFonts w:ascii="Arial" w:hAnsi="Arial" w:cs="Arial"/>
          <w:color w:val="000000" w:themeColor="text1"/>
          <w:sz w:val="20"/>
          <w:szCs w:val="20"/>
          <w:lang w:val="es-ES_tradnl"/>
        </w:rPr>
      </w:pPr>
    </w:p>
    <w:p w14:paraId="4059CBDB" w14:textId="6E2C584E" w:rsidR="00E76A0F" w:rsidRPr="00E76A0F" w:rsidRDefault="00E76A0F" w:rsidP="00E76A0F">
      <w:pPr>
        <w:pStyle w:val="Default"/>
        <w:rPr>
          <w:sz w:val="22"/>
          <w:szCs w:val="22"/>
        </w:rPr>
      </w:pPr>
      <w:r w:rsidRPr="00E76A0F">
        <w:rPr>
          <w:sz w:val="22"/>
          <w:szCs w:val="22"/>
        </w:rPr>
        <w:t xml:space="preserve">Bogotá D.C., </w:t>
      </w:r>
      <w:r w:rsidRPr="00E76A0F">
        <w:rPr>
          <w:b/>
          <w:bCs/>
          <w:sz w:val="22"/>
          <w:szCs w:val="22"/>
        </w:rPr>
        <w:t xml:space="preserve">03/03/2020 Hora 14:50:57s </w:t>
      </w:r>
    </w:p>
    <w:p w14:paraId="79E46551" w14:textId="3959D8E9" w:rsidR="00BF629D" w:rsidRDefault="00E76A0F" w:rsidP="00E76A0F">
      <w:pPr>
        <w:tabs>
          <w:tab w:val="left" w:pos="3374"/>
        </w:tabs>
        <w:spacing w:line="276" w:lineRule="auto"/>
        <w:jc w:val="right"/>
        <w:rPr>
          <w:rFonts w:ascii="Arial" w:eastAsia="Calibri" w:hAnsi="Arial" w:cs="Arial"/>
          <w:color w:val="000000" w:themeColor="text1"/>
          <w:sz w:val="22"/>
          <w:lang w:val="es-ES_tradnl"/>
        </w:rPr>
      </w:pPr>
      <w:r w:rsidRPr="00E76A0F">
        <w:rPr>
          <w:rFonts w:ascii="Arial" w:hAnsi="Arial" w:cs="Arial"/>
          <w:b/>
          <w:bCs/>
          <w:sz w:val="22"/>
        </w:rPr>
        <w:t>N° Radicado: 2202013000001565</w:t>
      </w:r>
      <w:r w:rsidR="00BF629D" w:rsidRPr="00C03719">
        <w:rPr>
          <w:rFonts w:ascii="Arial" w:eastAsia="Calibri" w:hAnsi="Arial" w:cs="Arial"/>
          <w:color w:val="000000" w:themeColor="text1"/>
          <w:sz w:val="22"/>
          <w:lang w:val="es-ES_tradnl"/>
        </w:rPr>
        <w:tab/>
      </w:r>
    </w:p>
    <w:p w14:paraId="46E33AC3" w14:textId="25773E9E" w:rsidR="00E76A0F" w:rsidRDefault="00E76A0F" w:rsidP="00E76A0F">
      <w:pPr>
        <w:tabs>
          <w:tab w:val="left" w:pos="3374"/>
        </w:tabs>
        <w:spacing w:line="276" w:lineRule="auto"/>
        <w:jc w:val="right"/>
        <w:rPr>
          <w:rFonts w:ascii="Arial" w:eastAsia="Calibri" w:hAnsi="Arial" w:cs="Arial"/>
          <w:color w:val="000000" w:themeColor="text1"/>
          <w:sz w:val="22"/>
          <w:lang w:val="es-ES_tradnl"/>
        </w:rPr>
      </w:pPr>
    </w:p>
    <w:p w14:paraId="6AA9E838" w14:textId="77777777" w:rsidR="008572A6" w:rsidRPr="00C03719" w:rsidRDefault="008572A6" w:rsidP="00E76A0F">
      <w:pPr>
        <w:tabs>
          <w:tab w:val="left" w:pos="3374"/>
        </w:tabs>
        <w:spacing w:line="276" w:lineRule="auto"/>
        <w:jc w:val="right"/>
        <w:rPr>
          <w:rFonts w:ascii="Arial" w:eastAsia="Calibri" w:hAnsi="Arial" w:cs="Arial"/>
          <w:color w:val="000000" w:themeColor="text1"/>
          <w:sz w:val="22"/>
          <w:lang w:val="es-ES_tradnl"/>
        </w:rPr>
      </w:pPr>
    </w:p>
    <w:p w14:paraId="4A0FD17B" w14:textId="77777777" w:rsidR="00BF629D" w:rsidRPr="00C03719" w:rsidRDefault="00BF629D" w:rsidP="00BF629D">
      <w:pPr>
        <w:spacing w:line="276" w:lineRule="auto"/>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Señora</w:t>
      </w:r>
    </w:p>
    <w:p w14:paraId="5BE43BAA" w14:textId="77777777" w:rsidR="00BF629D" w:rsidRPr="00C03719" w:rsidRDefault="00BF629D" w:rsidP="00BF629D">
      <w:pPr>
        <w:spacing w:line="276" w:lineRule="auto"/>
        <w:rPr>
          <w:rFonts w:ascii="Arial" w:eastAsia="Calibri" w:hAnsi="Arial" w:cs="Arial"/>
          <w:b/>
          <w:color w:val="000000" w:themeColor="text1"/>
          <w:sz w:val="22"/>
          <w:lang w:val="es-ES_tradnl"/>
        </w:rPr>
      </w:pPr>
      <w:r w:rsidRPr="00C03719">
        <w:rPr>
          <w:rFonts w:ascii="Arial" w:eastAsia="Calibri" w:hAnsi="Arial" w:cs="Arial"/>
          <w:b/>
          <w:color w:val="000000" w:themeColor="text1"/>
          <w:sz w:val="22"/>
          <w:lang w:val="es-ES_tradnl"/>
        </w:rPr>
        <w:t>Johanna Paola Restrepo Sierra</w:t>
      </w:r>
    </w:p>
    <w:p w14:paraId="5DD1DCBF" w14:textId="77777777" w:rsidR="00BF629D" w:rsidRPr="00C03719" w:rsidRDefault="00BF629D" w:rsidP="00BF629D">
      <w:pPr>
        <w:spacing w:line="276" w:lineRule="auto"/>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Superintendencia de Economía Solidaria</w:t>
      </w:r>
    </w:p>
    <w:p w14:paraId="570E6C1E" w14:textId="77777777" w:rsidR="00BF629D" w:rsidRPr="00C03719" w:rsidRDefault="00BF629D" w:rsidP="00BF629D">
      <w:pPr>
        <w:spacing w:line="276" w:lineRule="auto"/>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Ciudad</w:t>
      </w:r>
    </w:p>
    <w:p w14:paraId="3D42BE4C" w14:textId="77777777" w:rsidR="008572A6" w:rsidRDefault="008572A6" w:rsidP="00BF629D">
      <w:pPr>
        <w:spacing w:line="276" w:lineRule="auto"/>
        <w:jc w:val="center"/>
        <w:rPr>
          <w:rFonts w:ascii="Arial" w:eastAsia="Calibri" w:hAnsi="Arial" w:cs="Arial"/>
          <w:b/>
          <w:color w:val="000000" w:themeColor="text1"/>
          <w:sz w:val="22"/>
          <w:lang w:val="es-ES_tradnl"/>
        </w:rPr>
      </w:pPr>
    </w:p>
    <w:p w14:paraId="2C1D962B" w14:textId="77777777" w:rsidR="008572A6" w:rsidRDefault="008572A6" w:rsidP="00BF629D">
      <w:pPr>
        <w:spacing w:line="276" w:lineRule="auto"/>
        <w:jc w:val="center"/>
        <w:rPr>
          <w:rFonts w:ascii="Arial" w:eastAsia="Calibri" w:hAnsi="Arial" w:cs="Arial"/>
          <w:b/>
          <w:color w:val="000000" w:themeColor="text1"/>
          <w:sz w:val="22"/>
          <w:lang w:val="es-ES_tradnl"/>
        </w:rPr>
      </w:pPr>
    </w:p>
    <w:p w14:paraId="5F56A7D8" w14:textId="448B392F" w:rsidR="00BF629D" w:rsidRPr="00C03719" w:rsidRDefault="00BF629D" w:rsidP="00BF629D">
      <w:pPr>
        <w:spacing w:line="276" w:lineRule="auto"/>
        <w:jc w:val="center"/>
        <w:rPr>
          <w:rFonts w:ascii="Arial" w:eastAsia="Calibri" w:hAnsi="Arial" w:cs="Arial"/>
          <w:b/>
          <w:color w:val="000000" w:themeColor="text1"/>
          <w:sz w:val="22"/>
          <w:lang w:val="es-ES_tradnl"/>
        </w:rPr>
      </w:pPr>
      <w:r w:rsidRPr="00C03719">
        <w:rPr>
          <w:rFonts w:ascii="Arial" w:eastAsia="Calibri" w:hAnsi="Arial" w:cs="Arial"/>
          <w:b/>
          <w:color w:val="000000" w:themeColor="text1"/>
          <w:sz w:val="22"/>
          <w:lang w:val="es-ES_tradnl"/>
        </w:rPr>
        <w:t>Concepto C ─ 108 de 2020</w:t>
      </w:r>
    </w:p>
    <w:p w14:paraId="1A71E75B" w14:textId="4D3DC67B" w:rsidR="00BF629D" w:rsidRDefault="00BF629D" w:rsidP="00BF629D">
      <w:pPr>
        <w:spacing w:line="276" w:lineRule="auto"/>
        <w:rPr>
          <w:rFonts w:ascii="Arial" w:eastAsia="Calibri" w:hAnsi="Arial" w:cs="Arial"/>
          <w:color w:val="000000" w:themeColor="text1"/>
          <w:sz w:val="22"/>
          <w:lang w:val="es-ES_tradnl"/>
        </w:rPr>
      </w:pPr>
    </w:p>
    <w:p w14:paraId="55F42B95" w14:textId="77777777" w:rsidR="008572A6" w:rsidRPr="00C03719" w:rsidRDefault="008572A6" w:rsidP="00BF629D">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3719" w:rsidRPr="00C03719" w14:paraId="6911191E" w14:textId="77777777" w:rsidTr="000D08DB">
        <w:tc>
          <w:tcPr>
            <w:tcW w:w="2689" w:type="dxa"/>
            <w:hideMark/>
          </w:tcPr>
          <w:p w14:paraId="1EC55864" w14:textId="77777777" w:rsidR="00BF629D" w:rsidRPr="00C03719" w:rsidRDefault="00BF629D" w:rsidP="000D08DB">
            <w:pPr>
              <w:spacing w:line="276" w:lineRule="auto"/>
              <w:rPr>
                <w:rFonts w:ascii="Arial" w:eastAsia="Calibri" w:hAnsi="Arial" w:cs="Arial"/>
                <w:color w:val="000000" w:themeColor="text1"/>
                <w:sz w:val="22"/>
                <w:lang w:val="es-ES_tradnl"/>
              </w:rPr>
            </w:pPr>
            <w:r w:rsidRPr="00C03719">
              <w:rPr>
                <w:rFonts w:ascii="Arial" w:eastAsia="Calibri" w:hAnsi="Arial" w:cs="Arial"/>
                <w:b/>
                <w:color w:val="000000" w:themeColor="text1"/>
                <w:sz w:val="22"/>
                <w:lang w:val="es-ES_tradnl"/>
              </w:rPr>
              <w:t>Temas:</w:t>
            </w:r>
            <w:r w:rsidRPr="00C03719">
              <w:rPr>
                <w:rFonts w:ascii="Arial" w:eastAsia="Calibri" w:hAnsi="Arial" w:cs="Arial"/>
                <w:color w:val="000000" w:themeColor="text1"/>
                <w:sz w:val="22"/>
                <w:lang w:val="es-ES_tradnl"/>
              </w:rPr>
              <w:t xml:space="preserve">           </w:t>
            </w:r>
          </w:p>
          <w:p w14:paraId="13DCAF00" w14:textId="77777777" w:rsidR="00BF629D" w:rsidRPr="00C03719" w:rsidRDefault="00BF629D" w:rsidP="000D08DB">
            <w:pPr>
              <w:spacing w:line="276" w:lineRule="auto"/>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 xml:space="preserve">                           </w:t>
            </w:r>
          </w:p>
        </w:tc>
        <w:tc>
          <w:tcPr>
            <w:tcW w:w="6237" w:type="dxa"/>
            <w:hideMark/>
          </w:tcPr>
          <w:p w14:paraId="14324F18" w14:textId="77777777" w:rsidR="00BF629D" w:rsidRPr="00C03719" w:rsidRDefault="00BF629D" w:rsidP="000D08DB">
            <w:pPr>
              <w:spacing w:line="276" w:lineRule="auto"/>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MÍNIMA CUANTÍA ― Concepto ― Regulación ― Requisitos / ACUERDOS MARCO DE PRECIOS ― Concepto ― Regulación ― Agregación de demanda / CONCURRENCIA ― Suspensión provisional ― Ley 1955 de 2019 ― Actualidad</w:t>
            </w:r>
          </w:p>
        </w:tc>
      </w:tr>
      <w:tr w:rsidR="00BF629D" w:rsidRPr="00C03719" w14:paraId="4E3BADBC" w14:textId="77777777" w:rsidTr="000D08DB">
        <w:tc>
          <w:tcPr>
            <w:tcW w:w="2689" w:type="dxa"/>
          </w:tcPr>
          <w:p w14:paraId="4FFD8617" w14:textId="77777777" w:rsidR="00BF629D" w:rsidRPr="00C03719" w:rsidRDefault="00BF629D" w:rsidP="000D08DB">
            <w:pPr>
              <w:spacing w:line="276" w:lineRule="auto"/>
              <w:rPr>
                <w:rFonts w:ascii="Arial" w:eastAsia="Calibri" w:hAnsi="Arial" w:cs="Arial"/>
                <w:b/>
                <w:color w:val="000000" w:themeColor="text1"/>
                <w:sz w:val="22"/>
                <w:lang w:val="es-ES_tradnl"/>
              </w:rPr>
            </w:pPr>
            <w:r w:rsidRPr="00C03719">
              <w:rPr>
                <w:rFonts w:ascii="Arial" w:eastAsia="Calibri" w:hAnsi="Arial" w:cs="Arial"/>
                <w:b/>
                <w:color w:val="000000" w:themeColor="text1"/>
                <w:sz w:val="22"/>
                <w:lang w:val="es-ES_tradnl"/>
              </w:rPr>
              <w:t>Radicación:</w:t>
            </w:r>
            <w:r w:rsidRPr="00C03719">
              <w:rPr>
                <w:rFonts w:ascii="Arial" w:eastAsia="Calibri" w:hAnsi="Arial" w:cs="Arial"/>
                <w:color w:val="000000" w:themeColor="text1"/>
                <w:sz w:val="22"/>
                <w:lang w:val="es-ES_tradnl"/>
              </w:rPr>
              <w:t xml:space="preserve">                              </w:t>
            </w:r>
          </w:p>
        </w:tc>
        <w:tc>
          <w:tcPr>
            <w:tcW w:w="6237" w:type="dxa"/>
          </w:tcPr>
          <w:p w14:paraId="4C0DF34D" w14:textId="77777777" w:rsidR="00BF629D" w:rsidRPr="00C03719" w:rsidRDefault="00BF629D" w:rsidP="000D08DB">
            <w:pPr>
              <w:spacing w:line="276" w:lineRule="auto"/>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 xml:space="preserve">Respuesta a consulta # </w:t>
            </w:r>
            <w:r w:rsidRPr="00C03719">
              <w:rPr>
                <w:rFonts w:ascii="Arial" w:hAnsi="Arial" w:cs="Arial"/>
                <w:color w:val="000000" w:themeColor="text1"/>
                <w:sz w:val="22"/>
                <w:lang w:val="es-ES_tradnl"/>
              </w:rPr>
              <w:t>4202011000000874</w:t>
            </w:r>
          </w:p>
        </w:tc>
      </w:tr>
    </w:tbl>
    <w:p w14:paraId="6284DA30" w14:textId="77777777" w:rsidR="00BF629D" w:rsidRPr="00C03719" w:rsidRDefault="00BF629D" w:rsidP="00BF629D">
      <w:pPr>
        <w:spacing w:line="276" w:lineRule="auto"/>
        <w:jc w:val="both"/>
        <w:rPr>
          <w:rFonts w:ascii="Arial" w:eastAsia="Calibri" w:hAnsi="Arial" w:cs="Arial"/>
          <w:color w:val="000000" w:themeColor="text1"/>
          <w:sz w:val="22"/>
          <w:lang w:val="es-ES_tradnl"/>
        </w:rPr>
      </w:pPr>
    </w:p>
    <w:p w14:paraId="1DB35BED" w14:textId="77777777" w:rsidR="00BF629D" w:rsidRPr="00C03719" w:rsidRDefault="00BF629D" w:rsidP="00BF629D">
      <w:pPr>
        <w:spacing w:line="276" w:lineRule="auto"/>
        <w:rPr>
          <w:rFonts w:ascii="Arial" w:eastAsia="Calibri" w:hAnsi="Arial" w:cs="Arial"/>
          <w:color w:val="000000" w:themeColor="text1"/>
          <w:sz w:val="22"/>
          <w:lang w:val="es-ES_tradnl"/>
        </w:rPr>
      </w:pPr>
    </w:p>
    <w:p w14:paraId="04DA4993" w14:textId="77777777" w:rsidR="00BF629D" w:rsidRPr="00C03719" w:rsidRDefault="00BF629D" w:rsidP="00BF629D">
      <w:pPr>
        <w:spacing w:line="276" w:lineRule="auto"/>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Estimada señora Restrepo,</w:t>
      </w:r>
    </w:p>
    <w:p w14:paraId="454541E7" w14:textId="77777777" w:rsidR="00BF629D" w:rsidRPr="00C03719" w:rsidRDefault="00BF629D" w:rsidP="00BF629D">
      <w:pPr>
        <w:spacing w:line="276" w:lineRule="auto"/>
        <w:rPr>
          <w:rFonts w:ascii="Arial" w:eastAsia="Calibri" w:hAnsi="Arial" w:cs="Arial"/>
          <w:color w:val="000000" w:themeColor="text1"/>
          <w:sz w:val="22"/>
          <w:lang w:val="es-ES_tradnl"/>
        </w:rPr>
      </w:pPr>
    </w:p>
    <w:p w14:paraId="0CFE08EC" w14:textId="77777777" w:rsidR="00BF629D" w:rsidRPr="00C03719" w:rsidRDefault="00BF629D" w:rsidP="00BF629D">
      <w:pPr>
        <w:tabs>
          <w:tab w:val="left" w:pos="426"/>
        </w:tabs>
        <w:spacing w:line="276" w:lineRule="auto"/>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La Agencia Nacional de Contratación Pública ― Colombia Compra Eficiente responde su consulta del 6 de febrero de 2020, en ejercicio de la competencia otorgada por el numeral 8 del artículo 11 y el numeral 5 del artículo 3 del Decreto Ley 4170 de 2011.</w:t>
      </w:r>
    </w:p>
    <w:p w14:paraId="081862C8" w14:textId="77777777" w:rsidR="00BF629D" w:rsidRPr="00C03719" w:rsidRDefault="00BF629D" w:rsidP="00BF629D">
      <w:pPr>
        <w:tabs>
          <w:tab w:val="left" w:pos="426"/>
        </w:tabs>
        <w:spacing w:line="276" w:lineRule="auto"/>
        <w:jc w:val="both"/>
        <w:rPr>
          <w:rFonts w:ascii="Arial" w:eastAsia="Calibri" w:hAnsi="Arial" w:cs="Arial"/>
          <w:color w:val="000000" w:themeColor="text1"/>
          <w:sz w:val="22"/>
          <w:lang w:val="es-ES_tradnl"/>
        </w:rPr>
      </w:pPr>
    </w:p>
    <w:p w14:paraId="2A925964" w14:textId="133EAEB9" w:rsidR="00BF629D" w:rsidRDefault="00BF629D" w:rsidP="00BF629D">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C03719">
        <w:rPr>
          <w:rFonts w:ascii="Arial" w:eastAsia="Calibri" w:hAnsi="Arial" w:cs="Arial"/>
          <w:b/>
          <w:color w:val="000000" w:themeColor="text1"/>
          <w:sz w:val="22"/>
          <w:lang w:val="es-ES_tradnl"/>
        </w:rPr>
        <w:lastRenderedPageBreak/>
        <w:t xml:space="preserve">Problemas planteados </w:t>
      </w:r>
    </w:p>
    <w:p w14:paraId="66C1A4C7" w14:textId="77777777" w:rsidR="008572A6" w:rsidRPr="00C03719" w:rsidRDefault="008572A6" w:rsidP="008572A6">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72830578" w14:textId="77777777" w:rsidR="00BF629D" w:rsidRPr="00C03719" w:rsidRDefault="00BF629D" w:rsidP="00BF629D">
      <w:pPr>
        <w:tabs>
          <w:tab w:val="left" w:pos="426"/>
        </w:tabs>
        <w:spacing w:line="276" w:lineRule="auto"/>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Usted solicita a la Agencia que emita un concepto sobre «la aplicación de la Ley 1955 de 2019 (Plan Nacional de Desarrollo) para el caso de aquellos procesos de selección que por su cuantía no superen la mínima cuantía y a su vez cuenten con Acuerdo Marco de Precios»; lo anterior, teniendo en cuenta la suspensión que ha decretado el Consejo de Estado de la aplicación del acuerdo marco de precios cuando concurre con la mínima cuantía.</w:t>
      </w:r>
    </w:p>
    <w:p w14:paraId="2775AE61" w14:textId="77777777" w:rsidR="00BF629D" w:rsidRPr="00C03719" w:rsidRDefault="00BF629D" w:rsidP="00BF629D">
      <w:pPr>
        <w:tabs>
          <w:tab w:val="left" w:pos="426"/>
        </w:tabs>
        <w:spacing w:line="276" w:lineRule="auto"/>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 xml:space="preserve"> </w:t>
      </w:r>
    </w:p>
    <w:p w14:paraId="68AF745C" w14:textId="77777777" w:rsidR="00BF629D" w:rsidRPr="00C03719" w:rsidRDefault="00BF629D" w:rsidP="00BF629D">
      <w:pPr>
        <w:tabs>
          <w:tab w:val="left" w:pos="426"/>
        </w:tabs>
        <w:spacing w:line="276" w:lineRule="auto"/>
        <w:jc w:val="both"/>
        <w:rPr>
          <w:rFonts w:ascii="Arial" w:eastAsia="Calibri" w:hAnsi="Arial" w:cs="Arial"/>
          <w:b/>
          <w:color w:val="000000" w:themeColor="text1"/>
          <w:sz w:val="22"/>
          <w:lang w:val="es-ES_tradnl"/>
        </w:rPr>
      </w:pPr>
      <w:r w:rsidRPr="00C03719">
        <w:rPr>
          <w:rFonts w:ascii="Arial" w:eastAsia="Calibri" w:hAnsi="Arial" w:cs="Arial"/>
          <w:b/>
          <w:color w:val="000000" w:themeColor="text1"/>
          <w:sz w:val="22"/>
          <w:lang w:val="es-ES_tradnl"/>
        </w:rPr>
        <w:t>2. Consideraciones</w:t>
      </w:r>
    </w:p>
    <w:bookmarkEnd w:id="0"/>
    <w:bookmarkEnd w:id="1"/>
    <w:p w14:paraId="2E0FE54F" w14:textId="77777777" w:rsidR="00BF629D" w:rsidRPr="00C03719" w:rsidRDefault="00BF629D" w:rsidP="00BF629D">
      <w:pPr>
        <w:spacing w:line="276" w:lineRule="auto"/>
        <w:jc w:val="both"/>
        <w:rPr>
          <w:rFonts w:ascii="Arial" w:hAnsi="Arial" w:cs="Arial"/>
          <w:color w:val="000000" w:themeColor="text1"/>
          <w:sz w:val="22"/>
          <w:lang w:val="es-ES_tradnl"/>
        </w:rPr>
      </w:pPr>
    </w:p>
    <w:p w14:paraId="32DCD327" w14:textId="77777777" w:rsidR="00BF629D" w:rsidRPr="00C03719" w:rsidRDefault="00BF629D" w:rsidP="00BF629D">
      <w:pPr>
        <w:spacing w:line="276" w:lineRule="auto"/>
        <w:jc w:val="both"/>
        <w:rPr>
          <w:rFonts w:ascii="Arial" w:hAnsi="Arial" w:cs="Arial"/>
          <w:color w:val="000000" w:themeColor="text1"/>
          <w:sz w:val="22"/>
          <w:lang w:val="es-ES_tradnl"/>
        </w:rPr>
      </w:pPr>
      <w:r w:rsidRPr="00C03719">
        <w:rPr>
          <w:rFonts w:ascii="Arial" w:hAnsi="Arial" w:cs="Arial"/>
          <w:color w:val="000000" w:themeColor="text1"/>
          <w:sz w:val="22"/>
          <w:lang w:val="es-ES_tradnl"/>
        </w:rPr>
        <w:t xml:space="preserve">Para resolver esta consulta se hará un análisis de los siguientes temas: i) la regulación de la modalidad de selección de mínima cuantía, en cuanto a su conducencia y requisitos, hasta la entrada en vigencia de la Ley 1955 de 2019, ii) el acuerdo marco de precios, como instrumento de agregación de demanda, para la adquisición de bienes y servicios de características técnicas uniformes y de común utilización por parte de las entidades estatales y iii) la discusión en torno a la «concurrencia» de la mínima cuantía y el acuerdo marco de precios, a partir de la decisión del Consejo de Estado contenida en el auto del 29 de marzo de 2017 y la modificación introducida por la Ley 1955 de 2019. </w:t>
      </w:r>
    </w:p>
    <w:p w14:paraId="5C9D55A2" w14:textId="77777777" w:rsidR="00BF629D" w:rsidRPr="00C03719" w:rsidRDefault="00BF629D" w:rsidP="00BF629D">
      <w:pPr>
        <w:spacing w:line="276" w:lineRule="auto"/>
        <w:jc w:val="both"/>
        <w:rPr>
          <w:rFonts w:ascii="Arial" w:hAnsi="Arial" w:cs="Arial"/>
          <w:color w:val="000000" w:themeColor="text1"/>
          <w:sz w:val="22"/>
          <w:lang w:val="es-ES_tradnl"/>
        </w:rPr>
      </w:pPr>
    </w:p>
    <w:p w14:paraId="1AEB1938" w14:textId="77777777" w:rsidR="00BF629D" w:rsidRPr="00C03719" w:rsidRDefault="00BF629D" w:rsidP="00BF629D">
      <w:pPr>
        <w:tabs>
          <w:tab w:val="left" w:pos="426"/>
        </w:tabs>
        <w:spacing w:line="276" w:lineRule="auto"/>
        <w:jc w:val="both"/>
        <w:rPr>
          <w:rFonts w:ascii="Arial" w:eastAsia="Calibri" w:hAnsi="Arial" w:cs="Arial"/>
          <w:b/>
          <w:color w:val="000000" w:themeColor="text1"/>
          <w:sz w:val="22"/>
          <w:lang w:val="es-ES_tradnl"/>
        </w:rPr>
      </w:pPr>
      <w:r w:rsidRPr="00C03719">
        <w:rPr>
          <w:rFonts w:ascii="Arial" w:eastAsia="Calibri" w:hAnsi="Arial" w:cs="Arial"/>
          <w:b/>
          <w:color w:val="000000" w:themeColor="text1"/>
          <w:sz w:val="22"/>
          <w:lang w:val="es-ES_tradnl"/>
        </w:rPr>
        <w:t>2.1. Modalidad de selección de mínima cuantía. Regulación hasta la expedición de la Ley 1955 de 2019 y características del procedimiento</w:t>
      </w:r>
    </w:p>
    <w:p w14:paraId="48334C5D" w14:textId="77777777" w:rsidR="00BF629D" w:rsidRPr="00C03719" w:rsidRDefault="00BF629D" w:rsidP="00BF629D">
      <w:pPr>
        <w:spacing w:line="276" w:lineRule="auto"/>
        <w:jc w:val="both"/>
        <w:rPr>
          <w:rFonts w:ascii="Arial" w:eastAsia="Calibri" w:hAnsi="Arial" w:cs="Arial"/>
          <w:color w:val="000000" w:themeColor="text1"/>
          <w:sz w:val="22"/>
          <w:lang w:val="es-ES_tradnl"/>
        </w:rPr>
      </w:pPr>
    </w:p>
    <w:p w14:paraId="73056F83" w14:textId="77777777" w:rsidR="00BF629D" w:rsidRPr="00C03719" w:rsidRDefault="00BF629D" w:rsidP="00BF629D">
      <w:pPr>
        <w:spacing w:line="276" w:lineRule="auto"/>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La mínima cuantía es una modalidad de selección en virtud de la cual la entidad estatal realiza una convocatoria pública para recibir ofertas de bienes o servicios cuyo valor no excede el diez por ciento (10%) de la menor cuantía. Fue creada por el artículo 94 de la Ley 1474 de 2011</w:t>
      </w:r>
      <w:r w:rsidRPr="00C03719">
        <w:rPr>
          <w:rStyle w:val="Refdenotaalpie"/>
          <w:rFonts w:ascii="Arial" w:eastAsia="Calibri" w:hAnsi="Arial" w:cs="Arial"/>
          <w:color w:val="000000" w:themeColor="text1"/>
          <w:sz w:val="22"/>
          <w:lang w:val="es-ES_tradnl"/>
        </w:rPr>
        <w:footnoteReference w:id="1"/>
      </w:r>
      <w:r w:rsidRPr="00C03719">
        <w:rPr>
          <w:rFonts w:ascii="Arial" w:eastAsia="Calibri" w:hAnsi="Arial" w:cs="Arial"/>
          <w:color w:val="000000" w:themeColor="text1"/>
          <w:sz w:val="22"/>
          <w:lang w:val="es-ES_tradnl"/>
        </w:rPr>
        <w:t xml:space="preserve">– que adicionó el numeral 5º al artículo 2 de la Ley 1150 de 2007–, </w:t>
      </w:r>
      <w:r w:rsidRPr="00C03719">
        <w:rPr>
          <w:rFonts w:ascii="Arial" w:eastAsia="Calibri" w:hAnsi="Arial" w:cs="Arial"/>
          <w:color w:val="000000" w:themeColor="text1"/>
          <w:sz w:val="22"/>
          <w:lang w:val="es-ES_tradnl"/>
        </w:rPr>
        <w:lastRenderedPageBreak/>
        <w:t>estableciendo que el factor determinante para llevar a cabo tal procedimiento es la cuantía –calculada como presupuesto oficial a partir del estudio del sector–, «independientemente de su objeto»</w:t>
      </w:r>
      <w:r w:rsidRPr="00C03719">
        <w:rPr>
          <w:rStyle w:val="Refdenotaalpie"/>
          <w:rFonts w:ascii="Arial" w:eastAsia="Calibri" w:hAnsi="Arial" w:cs="Arial"/>
          <w:color w:val="000000" w:themeColor="text1"/>
          <w:sz w:val="22"/>
          <w:lang w:val="es-ES_tradnl"/>
        </w:rPr>
        <w:footnoteReference w:id="2"/>
      </w:r>
      <w:r w:rsidRPr="00C03719">
        <w:rPr>
          <w:rFonts w:ascii="Arial" w:eastAsia="Calibri" w:hAnsi="Arial" w:cs="Arial"/>
          <w:color w:val="000000" w:themeColor="text1"/>
          <w:sz w:val="22"/>
          <w:lang w:val="es-ES_tradnl"/>
        </w:rPr>
        <w:t xml:space="preserve">. </w:t>
      </w:r>
    </w:p>
    <w:p w14:paraId="3293EBBA" w14:textId="77777777" w:rsidR="00BF629D" w:rsidRPr="00C03719" w:rsidRDefault="00BF629D" w:rsidP="00BF629D">
      <w:pPr>
        <w:spacing w:line="276" w:lineRule="auto"/>
        <w:ind w:firstLine="709"/>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Dicho de otro modo, la mínima cuantía es un procedimiento de selección «exceptivo»</w:t>
      </w:r>
      <w:r w:rsidRPr="00C03719">
        <w:rPr>
          <w:rStyle w:val="Refdenotaalpie"/>
          <w:rFonts w:ascii="Arial" w:eastAsia="Calibri" w:hAnsi="Arial" w:cs="Arial"/>
          <w:color w:val="000000" w:themeColor="text1"/>
          <w:sz w:val="22"/>
          <w:lang w:val="es-ES_tradnl"/>
        </w:rPr>
        <w:footnoteReference w:id="3"/>
      </w:r>
      <w:r w:rsidRPr="00C03719">
        <w:rPr>
          <w:rFonts w:ascii="Arial" w:eastAsia="Calibri" w:hAnsi="Arial" w:cs="Arial"/>
          <w:color w:val="000000" w:themeColor="text1"/>
          <w:sz w:val="22"/>
          <w:lang w:val="es-ES_tradnl"/>
        </w:rPr>
        <w:t>,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Pr="00C03719">
        <w:rPr>
          <w:rStyle w:val="Refdenotaalpie"/>
          <w:rFonts w:ascii="Arial" w:eastAsia="Calibri" w:hAnsi="Arial" w:cs="Arial"/>
          <w:color w:val="000000" w:themeColor="text1"/>
          <w:sz w:val="22"/>
          <w:lang w:val="es-ES_tradnl"/>
        </w:rPr>
        <w:footnoteReference w:id="4"/>
      </w:r>
      <w:r w:rsidRPr="00C03719">
        <w:rPr>
          <w:rFonts w:ascii="Arial" w:eastAsia="Calibri" w:hAnsi="Arial" w:cs="Arial"/>
          <w:color w:val="000000" w:themeColor="text1"/>
          <w:sz w:val="22"/>
          <w:lang w:val="es-ES_tradnl"/>
        </w:rPr>
        <w:t>, y lo segundo, porque sus requisitos, etapas y términos son peculiares. En efecto, a partir de la mencionada norma legal que consagra la modalidad y prevé sus reglas, así como de los artículos 2.2.1.2.1.5.1. al 2.2.1.2.1.5.4. del Decreto 1082 de 2015, los requisitos de la mínima cuantía pueden sintetizarse así:</w:t>
      </w:r>
    </w:p>
    <w:p w14:paraId="6FC71137" w14:textId="77777777" w:rsidR="00BF629D" w:rsidRPr="00C03719" w:rsidRDefault="00BF629D" w:rsidP="00BF629D">
      <w:pPr>
        <w:spacing w:line="276" w:lineRule="auto"/>
        <w:ind w:firstLine="709"/>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42EC523B" w14:textId="77777777" w:rsidR="00BF629D" w:rsidRPr="00C03719" w:rsidRDefault="00BF629D" w:rsidP="00BF629D">
      <w:pPr>
        <w:spacing w:line="276" w:lineRule="auto"/>
        <w:ind w:firstLine="709"/>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 xml:space="preserve">ii) Luego de surtir los trámites previos, la entidad debe publicar en el SECOP una invitación, señalando el objeto, las condiciones técnicas y el valor estimado del contrato, expresando además las razones que justifican el cálculo de la cuantía. Asimismo, puede </w:t>
      </w:r>
      <w:r w:rsidRPr="00C03719">
        <w:rPr>
          <w:rFonts w:ascii="Arial" w:eastAsia="Calibri" w:hAnsi="Arial" w:cs="Arial"/>
          <w:color w:val="000000" w:themeColor="text1"/>
          <w:sz w:val="22"/>
          <w:lang w:val="es-ES_tradnl"/>
        </w:rPr>
        <w:lastRenderedPageBreak/>
        <w:t>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C03719">
        <w:rPr>
          <w:rStyle w:val="Refdenotaalpie"/>
          <w:rFonts w:ascii="Arial" w:eastAsia="Calibri" w:hAnsi="Arial" w:cs="Arial"/>
          <w:color w:val="000000" w:themeColor="text1"/>
          <w:sz w:val="22"/>
          <w:lang w:val="es-ES_tradnl"/>
        </w:rPr>
        <w:footnoteReference w:id="5"/>
      </w:r>
      <w:r w:rsidRPr="00C03719">
        <w:rPr>
          <w:rFonts w:ascii="Arial" w:eastAsia="Calibri" w:hAnsi="Arial" w:cs="Arial"/>
          <w:color w:val="000000" w:themeColor="text1"/>
          <w:sz w:val="22"/>
          <w:lang w:val="es-ES_tradnl"/>
        </w:rPr>
        <w:t>.</w:t>
      </w:r>
    </w:p>
    <w:p w14:paraId="7F1B86F5" w14:textId="77777777" w:rsidR="00BF629D" w:rsidRPr="00C03719" w:rsidRDefault="00BF629D" w:rsidP="00BF629D">
      <w:pPr>
        <w:spacing w:line="276" w:lineRule="auto"/>
        <w:ind w:firstLine="709"/>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iii) La invitación se debe hacer por un término no inferior a un (1) día hábil.</w:t>
      </w:r>
    </w:p>
    <w:p w14:paraId="5E1569ED" w14:textId="77777777" w:rsidR="00BF629D" w:rsidRPr="00C03719" w:rsidRDefault="00BF629D" w:rsidP="00BF629D">
      <w:pPr>
        <w:spacing w:line="276" w:lineRule="auto"/>
        <w:ind w:firstLine="709"/>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iv) Las observaciones que realicen los interesados deben responderse por la entidad estatal a más tardar antes del vencimiento del término para presentar las ofertas.</w:t>
      </w:r>
    </w:p>
    <w:p w14:paraId="768D8BED" w14:textId="77777777" w:rsidR="00BF629D" w:rsidRPr="00C03719" w:rsidRDefault="00BF629D" w:rsidP="00BF629D">
      <w:pPr>
        <w:spacing w:line="276" w:lineRule="auto"/>
        <w:ind w:firstLine="709"/>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v) Presentadas las propuestas, la entidad estatal debe revisar las ofertas económicas y verificar que la del menor precio cumpla con los requisitos de participación. Si no los satisface, debe revisar la oferta económica inmediatamente inferior y así sucesivamente. Esto significa que en la mínima cuantía el precio es el único factor de calificación o asignación de puntaje</w:t>
      </w:r>
      <w:r w:rsidRPr="00C03719">
        <w:rPr>
          <w:rStyle w:val="Refdenotaalpie"/>
          <w:rFonts w:ascii="Arial" w:eastAsia="Calibri" w:hAnsi="Arial" w:cs="Arial"/>
          <w:color w:val="000000" w:themeColor="text1"/>
          <w:sz w:val="22"/>
          <w:lang w:val="es-ES_tradnl"/>
        </w:rPr>
        <w:footnoteReference w:id="6"/>
      </w:r>
      <w:r w:rsidRPr="00C03719">
        <w:rPr>
          <w:rFonts w:ascii="Arial" w:eastAsia="Calibri" w:hAnsi="Arial" w:cs="Arial"/>
          <w:color w:val="000000" w:themeColor="text1"/>
          <w:sz w:val="22"/>
          <w:lang w:val="es-ES_tradnl"/>
        </w:rPr>
        <w:t>.</w:t>
      </w:r>
    </w:p>
    <w:p w14:paraId="2F3DF357" w14:textId="77777777" w:rsidR="00BF629D" w:rsidRPr="00C03719" w:rsidRDefault="00BF629D" w:rsidP="00BF629D">
      <w:pPr>
        <w:spacing w:line="276" w:lineRule="auto"/>
        <w:ind w:firstLine="709"/>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vi) El informe de evaluación se debe publicar por un (1) día hábil.</w:t>
      </w:r>
    </w:p>
    <w:p w14:paraId="76AD2E56" w14:textId="77777777" w:rsidR="00BF629D" w:rsidRPr="00C03719" w:rsidRDefault="00BF629D" w:rsidP="00BF629D">
      <w:pPr>
        <w:spacing w:line="276" w:lineRule="auto"/>
        <w:ind w:firstLine="709"/>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vii) El contrato se perfecciona con la comunicación de aceptación de la oferta que envía la entidad estatal al proponente que presentó la oferta económica de menor precio, no requiriéndose, entonces, de la suscripción de una minuta. En la comunicación de aceptación de la oferta la entidad estatal le debe informar al proponente ganador quién será el supervisor del contrato.</w:t>
      </w:r>
    </w:p>
    <w:p w14:paraId="6CD7A25C" w14:textId="77777777" w:rsidR="00BF629D" w:rsidRPr="00C03719" w:rsidRDefault="00BF629D" w:rsidP="00BF629D">
      <w:pPr>
        <w:spacing w:line="276" w:lineRule="auto"/>
        <w:ind w:firstLine="709"/>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viii) De existir empate, debe preferirse la oferta que se presentó primero en el tiempo</w:t>
      </w:r>
      <w:r w:rsidRPr="00C03719">
        <w:rPr>
          <w:rStyle w:val="Refdenotaalpie"/>
          <w:rFonts w:ascii="Arial" w:eastAsia="Calibri" w:hAnsi="Arial" w:cs="Arial"/>
          <w:color w:val="000000" w:themeColor="text1"/>
          <w:sz w:val="22"/>
          <w:lang w:val="es-ES_tradnl"/>
        </w:rPr>
        <w:footnoteReference w:id="7"/>
      </w:r>
      <w:r w:rsidRPr="00C03719">
        <w:rPr>
          <w:rFonts w:ascii="Arial" w:eastAsia="Calibri" w:hAnsi="Arial" w:cs="Arial"/>
          <w:color w:val="000000" w:themeColor="text1"/>
          <w:sz w:val="22"/>
          <w:lang w:val="es-ES_tradnl"/>
        </w:rPr>
        <w:t>.</w:t>
      </w:r>
    </w:p>
    <w:p w14:paraId="277C8CD9" w14:textId="77777777" w:rsidR="00BF629D" w:rsidRPr="00C03719" w:rsidRDefault="00BF629D" w:rsidP="00BF629D">
      <w:pPr>
        <w:spacing w:line="276" w:lineRule="auto"/>
        <w:jc w:val="both"/>
        <w:rPr>
          <w:rFonts w:ascii="Arial" w:hAnsi="Arial" w:cs="Arial"/>
          <w:b/>
          <w:color w:val="000000" w:themeColor="text1"/>
          <w:sz w:val="22"/>
          <w:lang w:val="es-ES_tradnl"/>
        </w:rPr>
      </w:pPr>
    </w:p>
    <w:p w14:paraId="70342A2F" w14:textId="77777777" w:rsidR="00BF629D" w:rsidRPr="00C03719" w:rsidRDefault="00BF629D" w:rsidP="00BF629D">
      <w:pPr>
        <w:spacing w:line="276" w:lineRule="auto"/>
        <w:jc w:val="both"/>
        <w:rPr>
          <w:rFonts w:ascii="Arial" w:eastAsia="Calibri" w:hAnsi="Arial" w:cs="Arial"/>
          <w:color w:val="000000" w:themeColor="text1"/>
          <w:sz w:val="22"/>
          <w:lang w:val="es-ES_tradnl"/>
        </w:rPr>
      </w:pPr>
      <w:r w:rsidRPr="00C03719">
        <w:rPr>
          <w:rFonts w:ascii="Arial" w:hAnsi="Arial" w:cs="Arial"/>
          <w:b/>
          <w:color w:val="000000" w:themeColor="text1"/>
          <w:sz w:val="22"/>
          <w:lang w:val="es-ES_tradnl"/>
        </w:rPr>
        <w:t xml:space="preserve">2.2. </w:t>
      </w:r>
      <w:r w:rsidRPr="00C03719">
        <w:rPr>
          <w:rFonts w:ascii="Arial" w:eastAsia="Calibri" w:hAnsi="Arial" w:cs="Arial"/>
          <w:b/>
          <w:color w:val="000000" w:themeColor="text1"/>
          <w:sz w:val="22"/>
          <w:lang w:val="es-ES_tradnl"/>
        </w:rPr>
        <w:t>Acuerdo marco de precios: instrumento para la adquisición de bienes y servicios de características técnicas uniformes y de común utilización por parte de las entidades estatales. Su regulación antes de la vigencia de la Ley 1955 de 2019</w:t>
      </w:r>
    </w:p>
    <w:p w14:paraId="1C43469C" w14:textId="77777777" w:rsidR="00BF629D" w:rsidRPr="00C03719" w:rsidRDefault="00BF629D" w:rsidP="00BF629D">
      <w:pPr>
        <w:spacing w:line="276" w:lineRule="auto"/>
        <w:jc w:val="both"/>
        <w:rPr>
          <w:rFonts w:ascii="Arial" w:hAnsi="Arial" w:cs="Arial"/>
          <w:b/>
          <w:color w:val="000000" w:themeColor="text1"/>
          <w:sz w:val="22"/>
          <w:lang w:val="es-ES_tradnl"/>
        </w:rPr>
      </w:pPr>
    </w:p>
    <w:p w14:paraId="5BF89A20" w14:textId="77777777" w:rsidR="00BF629D" w:rsidRPr="00C03719" w:rsidRDefault="00BF629D" w:rsidP="00BF629D">
      <w:pPr>
        <w:spacing w:line="276" w:lineRule="auto"/>
        <w:jc w:val="both"/>
        <w:rPr>
          <w:rFonts w:ascii="Arial" w:hAnsi="Arial" w:cs="Arial"/>
          <w:color w:val="000000" w:themeColor="text1"/>
          <w:sz w:val="22"/>
          <w:lang w:val="es-ES_tradnl"/>
        </w:rPr>
      </w:pPr>
      <w:r w:rsidRPr="00C03719">
        <w:rPr>
          <w:rFonts w:ascii="Arial" w:hAnsi="Arial" w:cs="Arial"/>
          <w:color w:val="000000" w:themeColor="text1"/>
          <w:sz w:val="22"/>
          <w:lang w:val="es-ES_tradnl"/>
        </w:rPr>
        <w:t>El artículo 2, numeral 2, literal a) de la Ley 1150 de 2007 establece que la adquisición de bienes y servicios de características técnicas uniformes y de común utilización por parte de las entidades estatales debe efectuarse a través de la modalidad de selección abreviada, siendo el acuerdo marco de precios uno de los instrumentos a los que pueden acudir dichas entidades para satisfacer tal necesidad</w:t>
      </w:r>
      <w:r w:rsidRPr="00C03719">
        <w:rPr>
          <w:rStyle w:val="Refdenotaalpie"/>
          <w:rFonts w:ascii="Arial" w:hAnsi="Arial" w:cs="Arial"/>
          <w:color w:val="000000" w:themeColor="text1"/>
          <w:sz w:val="22"/>
          <w:lang w:val="es-ES_tradnl"/>
        </w:rPr>
        <w:footnoteReference w:id="8"/>
      </w:r>
      <w:r w:rsidRPr="00C03719">
        <w:rPr>
          <w:rFonts w:ascii="Arial" w:hAnsi="Arial" w:cs="Arial"/>
          <w:color w:val="000000" w:themeColor="text1"/>
          <w:sz w:val="22"/>
          <w:lang w:val="es-ES_tradnl"/>
        </w:rPr>
        <w:t>.</w:t>
      </w:r>
    </w:p>
    <w:p w14:paraId="6B3D9417"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 xml:space="preserve">En ejercicio de la potestad reglamentaria, el Gobierno Nacional expidió el Decreto 1082 de 2015, que, en su artículo 2.2.1.2.1.2.7., establece que las entidades estatales del orden nacional están obligadas a adquirir sus bienes o servicios de características técnicas uniformes por el acuerdo marco de precios vigente, es decir que deben acudir a este instrumento de agregación de demanda y no a los otros mecanismos establecidos en la Ley 1150 de 2007 para obtener este tipo de bienes o servicios. </w:t>
      </w:r>
    </w:p>
    <w:p w14:paraId="346727B9"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De igual manera, el artículo 2.2.1.1.1.3.1. del mencionado Decreto define el acuerdo marco de precios como el «Contrato celebrado entre uno o más proveedores y Colombia Compra Eficiente, o quien haga sus veces, para la provisión a las Entidades Estatales de Bienes y Servicios de Características Técnicas Uniformes, en la forma, plazo y condiciones establecidas en este».</w:t>
      </w:r>
    </w:p>
    <w:p w14:paraId="746BB74D"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En la Guía para entender los acuerdos marcos de precio –G-EAMP-001–, la Agencia Nacional de Contratación Pública – Colombia Compra Eficiente definió dichos instrumentos de la siguiente manera:</w:t>
      </w:r>
    </w:p>
    <w:p w14:paraId="6363EFAB" w14:textId="77777777" w:rsidR="00BF629D" w:rsidRPr="00C03719" w:rsidRDefault="00BF629D" w:rsidP="00BF629D">
      <w:pPr>
        <w:ind w:left="709" w:right="709"/>
        <w:jc w:val="both"/>
        <w:rPr>
          <w:rFonts w:ascii="Arial" w:hAnsi="Arial" w:cs="Arial"/>
          <w:color w:val="000000" w:themeColor="text1"/>
          <w:sz w:val="21"/>
          <w:szCs w:val="21"/>
          <w:lang w:val="es-ES_tradnl"/>
        </w:rPr>
      </w:pPr>
    </w:p>
    <w:p w14:paraId="0BEE6624" w14:textId="77777777" w:rsidR="00BF629D" w:rsidRPr="00C03719" w:rsidRDefault="00BF629D" w:rsidP="00BF629D">
      <w:pPr>
        <w:ind w:left="709" w:right="709"/>
        <w:jc w:val="both"/>
        <w:rPr>
          <w:rFonts w:ascii="Arial" w:hAnsi="Arial" w:cs="Arial"/>
          <w:color w:val="000000" w:themeColor="text1"/>
          <w:sz w:val="21"/>
          <w:szCs w:val="21"/>
          <w:lang w:val="es-ES_tradnl"/>
        </w:rPr>
      </w:pPr>
      <w:r w:rsidRPr="00C03719">
        <w:rPr>
          <w:rFonts w:ascii="Arial" w:hAnsi="Arial" w:cs="Arial"/>
          <w:color w:val="000000" w:themeColor="text1"/>
          <w:sz w:val="21"/>
          <w:szCs w:val="21"/>
          <w:lang w:val="es-ES_tradnl"/>
        </w:rPr>
        <w:t>Los Acuerdos o convenio (sic) Marco de Precios son una herramienta para que el Estado agregue demanda y centralice decisiones de adquisición de bienes, obras o servicios para:</w:t>
      </w:r>
    </w:p>
    <w:p w14:paraId="53D11F96" w14:textId="77777777" w:rsidR="00BF629D" w:rsidRPr="00C03719" w:rsidRDefault="00BF629D" w:rsidP="00BF629D">
      <w:pPr>
        <w:ind w:left="709" w:right="709"/>
        <w:jc w:val="both"/>
        <w:rPr>
          <w:rFonts w:ascii="Arial" w:hAnsi="Arial" w:cs="Arial"/>
          <w:color w:val="000000" w:themeColor="text1"/>
          <w:sz w:val="21"/>
          <w:szCs w:val="21"/>
          <w:lang w:val="es-ES_tradnl"/>
        </w:rPr>
      </w:pPr>
    </w:p>
    <w:p w14:paraId="18B5934A" w14:textId="77777777" w:rsidR="00BF629D" w:rsidRPr="00C03719" w:rsidRDefault="00BF629D" w:rsidP="00BF629D">
      <w:pPr>
        <w:ind w:left="709" w:right="709"/>
        <w:jc w:val="both"/>
        <w:rPr>
          <w:rFonts w:ascii="Arial" w:hAnsi="Arial" w:cs="Arial"/>
          <w:color w:val="000000" w:themeColor="text1"/>
          <w:sz w:val="21"/>
          <w:szCs w:val="21"/>
          <w:lang w:val="es-ES_tradnl"/>
        </w:rPr>
      </w:pPr>
      <w:r w:rsidRPr="00C03719">
        <w:rPr>
          <w:rFonts w:ascii="Arial" w:hAnsi="Arial" w:cs="Arial"/>
          <w:color w:val="000000" w:themeColor="text1"/>
          <w:sz w:val="21"/>
          <w:szCs w:val="21"/>
          <w:lang w:val="es-ES_tradnl"/>
        </w:rPr>
        <w:t xml:space="preserve">(i) producir economías de escala; </w:t>
      </w:r>
    </w:p>
    <w:p w14:paraId="08E0308A" w14:textId="77777777" w:rsidR="00BF629D" w:rsidRPr="00C03719" w:rsidRDefault="00BF629D" w:rsidP="00BF629D">
      <w:pPr>
        <w:ind w:left="709" w:right="709"/>
        <w:jc w:val="both"/>
        <w:rPr>
          <w:rFonts w:ascii="Arial" w:hAnsi="Arial" w:cs="Arial"/>
          <w:color w:val="000000" w:themeColor="text1"/>
          <w:sz w:val="21"/>
          <w:szCs w:val="21"/>
          <w:lang w:val="es-ES_tradnl"/>
        </w:rPr>
      </w:pPr>
    </w:p>
    <w:p w14:paraId="1BB2C985" w14:textId="77777777" w:rsidR="00BF629D" w:rsidRPr="00C03719" w:rsidRDefault="00BF629D" w:rsidP="00BF629D">
      <w:pPr>
        <w:ind w:left="709" w:right="709"/>
        <w:jc w:val="both"/>
        <w:rPr>
          <w:rFonts w:ascii="Arial" w:hAnsi="Arial" w:cs="Arial"/>
          <w:color w:val="000000" w:themeColor="text1"/>
          <w:sz w:val="21"/>
          <w:szCs w:val="21"/>
          <w:lang w:val="es-ES_tradnl"/>
        </w:rPr>
      </w:pPr>
      <w:r w:rsidRPr="00C03719">
        <w:rPr>
          <w:rFonts w:ascii="Arial" w:hAnsi="Arial" w:cs="Arial"/>
          <w:color w:val="000000" w:themeColor="text1"/>
          <w:sz w:val="21"/>
          <w:szCs w:val="21"/>
          <w:lang w:val="es-ES_tradnl"/>
        </w:rPr>
        <w:t>(ii) incrementar el poder de negociación del Estado; y</w:t>
      </w:r>
    </w:p>
    <w:p w14:paraId="34E9AD50" w14:textId="77777777" w:rsidR="00BF629D" w:rsidRPr="00C03719" w:rsidRDefault="00BF629D" w:rsidP="00BF629D">
      <w:pPr>
        <w:ind w:left="709" w:right="709"/>
        <w:jc w:val="both"/>
        <w:rPr>
          <w:rFonts w:ascii="Arial" w:hAnsi="Arial" w:cs="Arial"/>
          <w:color w:val="000000" w:themeColor="text1"/>
          <w:sz w:val="21"/>
          <w:szCs w:val="21"/>
          <w:lang w:val="es-ES_tradnl"/>
        </w:rPr>
      </w:pPr>
    </w:p>
    <w:p w14:paraId="03AAA02C" w14:textId="77777777" w:rsidR="00BF629D" w:rsidRPr="00C03719" w:rsidRDefault="00BF629D" w:rsidP="00BF629D">
      <w:pPr>
        <w:ind w:left="709" w:right="709"/>
        <w:jc w:val="both"/>
        <w:rPr>
          <w:rFonts w:ascii="Arial" w:hAnsi="Arial" w:cs="Arial"/>
          <w:color w:val="000000" w:themeColor="text1"/>
          <w:sz w:val="21"/>
          <w:szCs w:val="21"/>
          <w:lang w:val="es-ES_tradnl"/>
        </w:rPr>
      </w:pPr>
      <w:r w:rsidRPr="00C03719">
        <w:rPr>
          <w:rFonts w:ascii="Arial" w:hAnsi="Arial" w:cs="Arial"/>
          <w:color w:val="000000" w:themeColor="text1"/>
          <w:sz w:val="21"/>
          <w:szCs w:val="21"/>
          <w:lang w:val="es-ES_tradnl"/>
        </w:rPr>
        <w:t>(iii) compartir costos y conocimiento entre las diferentes agencias o departamentos del Estado.</w:t>
      </w:r>
    </w:p>
    <w:p w14:paraId="43CF5DC0" w14:textId="77777777" w:rsidR="00BF629D" w:rsidRPr="00C03719" w:rsidRDefault="00BF629D" w:rsidP="00BF629D">
      <w:pPr>
        <w:ind w:left="709" w:right="709"/>
        <w:jc w:val="both"/>
        <w:rPr>
          <w:rFonts w:ascii="Arial" w:hAnsi="Arial" w:cs="Arial"/>
          <w:color w:val="000000" w:themeColor="text1"/>
          <w:sz w:val="21"/>
          <w:szCs w:val="21"/>
          <w:lang w:val="es-ES_tradnl"/>
        </w:rPr>
      </w:pPr>
    </w:p>
    <w:p w14:paraId="054C5736" w14:textId="77777777" w:rsidR="00BF629D" w:rsidRPr="00C03719" w:rsidRDefault="00BF629D" w:rsidP="00BF629D">
      <w:pPr>
        <w:ind w:left="709" w:right="709"/>
        <w:jc w:val="both"/>
        <w:rPr>
          <w:rFonts w:ascii="Arial" w:hAnsi="Arial" w:cs="Arial"/>
          <w:color w:val="000000" w:themeColor="text1"/>
          <w:sz w:val="21"/>
          <w:szCs w:val="21"/>
          <w:lang w:val="es-ES_tradnl"/>
        </w:rPr>
      </w:pPr>
      <w:r w:rsidRPr="00C03719">
        <w:rPr>
          <w:rFonts w:ascii="Arial" w:hAnsi="Arial" w:cs="Arial"/>
          <w:color w:val="000000" w:themeColor="text1"/>
          <w:sz w:val="21"/>
          <w:szCs w:val="21"/>
          <w:lang w:val="es-ES_tradnl"/>
        </w:rPr>
        <w:t>El Acuerdo Marco de Precios es un contrato entre un representante de los compradores y uno o varios proveedores, que contiene la identificación del bien o servicio, el precio máximo de adquisición, las garantías mínimas y el plazo mínimo de entrega, así como las condiciones a través de las cuales un comprador puede vincularse al acuerdo. Generalmente, los compradores se vinculan a un Acuerdo Marco de Precios mediante una manifestación de su compromiso de cumplir las condiciones del mismo y la colocación de una orden de compra para la adquisición de los bienes o servicios previstos en el acuerdo</w:t>
      </w:r>
      <w:r w:rsidRPr="00C03719">
        <w:rPr>
          <w:rStyle w:val="Refdenotaalpie"/>
          <w:rFonts w:ascii="Arial" w:hAnsi="Arial" w:cs="Arial"/>
          <w:color w:val="000000" w:themeColor="text1"/>
          <w:sz w:val="21"/>
          <w:szCs w:val="21"/>
          <w:lang w:val="es-ES_tradnl"/>
        </w:rPr>
        <w:footnoteReference w:id="9"/>
      </w:r>
      <w:r w:rsidRPr="00C03719">
        <w:rPr>
          <w:rFonts w:ascii="Arial" w:hAnsi="Arial" w:cs="Arial"/>
          <w:color w:val="000000" w:themeColor="text1"/>
          <w:sz w:val="21"/>
          <w:szCs w:val="21"/>
          <w:lang w:val="es-ES_tradnl"/>
        </w:rPr>
        <w:t>.</w:t>
      </w:r>
    </w:p>
    <w:p w14:paraId="5CBA5888"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p>
    <w:p w14:paraId="73E32FCC"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Los bienes o servicios de características técnicas uniformes y de común utilización disponibles en los catálogos derivados de la suscripción de los acuerdos marco de precios, pueden adquirirse por las entidades estatales en la tienda virtual del Estado colombiano</w:t>
      </w:r>
      <w:r w:rsidRPr="00C03719">
        <w:rPr>
          <w:rStyle w:val="Refdenotaalpie"/>
          <w:rFonts w:ascii="Arial" w:hAnsi="Arial" w:cs="Arial"/>
          <w:color w:val="000000" w:themeColor="text1"/>
          <w:sz w:val="22"/>
          <w:lang w:val="es-ES_tradnl"/>
        </w:rPr>
        <w:footnoteReference w:id="10"/>
      </w:r>
      <w:r w:rsidRPr="00C03719">
        <w:rPr>
          <w:rFonts w:ascii="Arial" w:hAnsi="Arial" w:cs="Arial"/>
          <w:color w:val="000000" w:themeColor="text1"/>
          <w:sz w:val="22"/>
          <w:lang w:val="es-ES_tradnl"/>
        </w:rPr>
        <w:t>.</w:t>
      </w:r>
    </w:p>
    <w:p w14:paraId="6DAD8F81"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 xml:space="preserve"> </w:t>
      </w:r>
    </w:p>
    <w:p w14:paraId="3667455E" w14:textId="77777777" w:rsidR="00BF629D" w:rsidRPr="00C03719" w:rsidRDefault="00BF629D" w:rsidP="00BF629D">
      <w:pPr>
        <w:spacing w:line="276" w:lineRule="auto"/>
        <w:jc w:val="both"/>
        <w:rPr>
          <w:rFonts w:ascii="Arial" w:hAnsi="Arial" w:cs="Arial"/>
          <w:b/>
          <w:color w:val="000000" w:themeColor="text1"/>
          <w:sz w:val="22"/>
          <w:lang w:val="es-ES_tradnl"/>
        </w:rPr>
      </w:pPr>
      <w:r w:rsidRPr="00C03719">
        <w:rPr>
          <w:rFonts w:ascii="Arial" w:hAnsi="Arial" w:cs="Arial"/>
          <w:b/>
          <w:color w:val="000000" w:themeColor="text1"/>
          <w:sz w:val="22"/>
          <w:lang w:val="es-ES_tradnl"/>
        </w:rPr>
        <w:t>2.3. «Concurrencia» de mínima cuantía y acuerdo marco de precios. Decisión del Consejo de Estado y modificación introducida por la Ley 1955 de 2019</w:t>
      </w:r>
    </w:p>
    <w:p w14:paraId="32DD0A94" w14:textId="77777777" w:rsidR="00BF629D" w:rsidRPr="00C03719" w:rsidRDefault="00BF629D" w:rsidP="00BF629D">
      <w:pPr>
        <w:spacing w:line="276" w:lineRule="auto"/>
        <w:jc w:val="both"/>
        <w:rPr>
          <w:rFonts w:ascii="Arial" w:hAnsi="Arial" w:cs="Arial"/>
          <w:bCs/>
          <w:color w:val="000000" w:themeColor="text1"/>
          <w:sz w:val="22"/>
          <w:lang w:val="es-ES_tradnl"/>
        </w:rPr>
      </w:pPr>
    </w:p>
    <w:p w14:paraId="64EBAB07" w14:textId="77777777" w:rsidR="00BF629D" w:rsidRPr="00C03719" w:rsidRDefault="00BF629D" w:rsidP="00BF629D">
      <w:pPr>
        <w:spacing w:line="276" w:lineRule="auto"/>
        <w:jc w:val="both"/>
        <w:rPr>
          <w:rFonts w:ascii="Arial" w:hAnsi="Arial" w:cs="Arial"/>
          <w:color w:val="000000" w:themeColor="text1"/>
          <w:sz w:val="22"/>
          <w:lang w:val="es-ES_tradnl"/>
        </w:rPr>
      </w:pPr>
      <w:r w:rsidRPr="00C03719">
        <w:rPr>
          <w:rFonts w:ascii="Arial" w:hAnsi="Arial" w:cs="Arial"/>
          <w:color w:val="000000" w:themeColor="text1"/>
          <w:sz w:val="22"/>
          <w:lang w:val="es-ES_tradnl"/>
        </w:rPr>
        <w:t>Según se indicó, la Ley 1150 de 2007, en su artículo 2, numeral 2, consagra la modalidad de selección abreviada, estableciendo como una de sus causales la adquisición de bienes y servicios de características técnicas uniformes y de común utilización por parte de las entidades estatales e indicando que el acuerdo marco de precios es una forma de adquirir tales bienes y servicios.</w:t>
      </w:r>
    </w:p>
    <w:p w14:paraId="400D0E86"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 xml:space="preserve">Ahora bien, antes de que comenzara a regir la Ley 1955 de 2019 –en particular su artículo 42–, que adiciona el parágrafo 3 del artículo 94 de la Ley 1474 de 2011, se </w:t>
      </w:r>
      <w:r w:rsidRPr="00C03719">
        <w:rPr>
          <w:rFonts w:ascii="Arial" w:hAnsi="Arial" w:cs="Arial"/>
          <w:color w:val="000000" w:themeColor="text1"/>
          <w:sz w:val="22"/>
          <w:lang w:val="es-ES_tradnl"/>
        </w:rPr>
        <w:lastRenderedPageBreak/>
        <w:t xml:space="preserve">interpretaba, como se explicó, que la modalidad de selección de mínima cuantía aplicaba en caso de que la contratación no excediera del diez por ciento (10%) de la menor cuantía de la entidad, </w:t>
      </w:r>
      <w:r w:rsidRPr="00C03719">
        <w:rPr>
          <w:rFonts w:ascii="Arial" w:hAnsi="Arial" w:cs="Arial"/>
          <w:i/>
          <w:iCs/>
          <w:color w:val="000000" w:themeColor="text1"/>
          <w:sz w:val="22"/>
          <w:lang w:val="es-ES_tradnl"/>
        </w:rPr>
        <w:t>independientemente de su objeto</w:t>
      </w:r>
      <w:r w:rsidRPr="00C03719">
        <w:rPr>
          <w:rFonts w:ascii="Arial" w:hAnsi="Arial" w:cs="Arial"/>
          <w:color w:val="000000" w:themeColor="text1"/>
          <w:sz w:val="22"/>
          <w:lang w:val="es-ES_tradnl"/>
        </w:rPr>
        <w:t xml:space="preserve">. Por tal razón, la Agencia Nacional de Contratación Pública – Colombia Compra Eficiente elaboró el «Manual para la Operación Secundaria de los Acuerdos Marcos de Precios», el cual fue demandado ante el Consejo de Estado, solicitándose a su vez su suspensión provisional, ya que en el acápite VII regulaba la «Concurrencia de la selección abreviada por Acuerdo Marco de Precios y Mínima Cuantía», contrariando, según el demandante, el artículo 94 de la Ley 1474 de 2011. Dicho Manual establecía al respecto: </w:t>
      </w:r>
    </w:p>
    <w:p w14:paraId="4FF3027F"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p>
    <w:p w14:paraId="38B3977B" w14:textId="77777777" w:rsidR="00BF629D" w:rsidRPr="00C03719" w:rsidRDefault="00BF629D" w:rsidP="00BF629D">
      <w:pPr>
        <w:ind w:left="709" w:right="709"/>
        <w:jc w:val="both"/>
        <w:rPr>
          <w:rFonts w:ascii="Arial" w:hAnsi="Arial" w:cs="Arial"/>
          <w:color w:val="000000" w:themeColor="text1"/>
          <w:sz w:val="21"/>
          <w:szCs w:val="21"/>
          <w:lang w:val="es-ES_tradnl"/>
        </w:rPr>
      </w:pPr>
      <w:r w:rsidRPr="00C03719">
        <w:rPr>
          <w:rFonts w:ascii="Arial" w:hAnsi="Arial" w:cs="Arial"/>
          <w:color w:val="000000" w:themeColor="text1"/>
          <w:sz w:val="21"/>
          <w:szCs w:val="21"/>
          <w:lang w:val="es-ES_tradnl"/>
        </w:rPr>
        <w:t>[…]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manera, la Entidad Estatal honra los principios de transparencia, economía y responsabilidad en los términos de los artículos 24, 25 y 26 de la Ley 80 de 1993.</w:t>
      </w:r>
    </w:p>
    <w:p w14:paraId="5CC71F40" w14:textId="77777777" w:rsidR="00BF629D" w:rsidRPr="00C03719" w:rsidRDefault="00BF629D" w:rsidP="00BF629D">
      <w:pPr>
        <w:spacing w:line="276" w:lineRule="auto"/>
        <w:ind w:left="709" w:right="709"/>
        <w:jc w:val="both"/>
        <w:rPr>
          <w:rFonts w:ascii="Arial" w:hAnsi="Arial" w:cs="Arial"/>
          <w:color w:val="000000" w:themeColor="text1"/>
          <w:sz w:val="22"/>
          <w:lang w:val="es-ES_tradnl"/>
        </w:rPr>
      </w:pPr>
    </w:p>
    <w:p w14:paraId="5E06C4B9"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 xml:space="preserve"> La Sección Tercera del Consejo de Estado decretó la suspensión provisional del acápite VII, considerando que no existe concurrencia entre la modalidad de selección de mínima cuantía y la compra por catálogo derivada de acuerdos marco de precios. En tal sentido, indica: «No existe ninguna concurrencia entre la modalidad de selección abreviada y de mínima cuantía, pues siempre que i) exista un Acuerdo Marco de Precios para adquirir bienes o servicios de características técnicas uniformes y ii) el presupuesto del proceso de contratación sea equivalente a la mínima cuantía de la entidad, debe acudirse al procedimiento de selección de mínima cuantía independientemente del objeto a contratar»</w:t>
      </w:r>
      <w:r w:rsidRPr="00C03719">
        <w:rPr>
          <w:rStyle w:val="Refdenotaalpie"/>
          <w:rFonts w:ascii="Arial" w:hAnsi="Arial" w:cs="Arial"/>
          <w:color w:val="000000" w:themeColor="text1"/>
          <w:sz w:val="22"/>
          <w:lang w:val="es-ES_tradnl"/>
        </w:rPr>
        <w:footnoteReference w:id="11"/>
      </w:r>
      <w:r w:rsidRPr="00C03719">
        <w:rPr>
          <w:rFonts w:ascii="Arial" w:hAnsi="Arial" w:cs="Arial"/>
          <w:color w:val="000000" w:themeColor="text1"/>
          <w:sz w:val="22"/>
          <w:lang w:val="es-ES_tradnl"/>
        </w:rPr>
        <w:t xml:space="preserve">. </w:t>
      </w:r>
    </w:p>
    <w:p w14:paraId="44B5CB51"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 xml:space="preserve">Por tanto, en cumplimiento de esta providencia, se empezó a interpretar que cuando el presupuesto del proceso de contratación de bienes y servicios de características técnicas uniformes no excedía la mínima cuantía de la entidad, debía acudirse al procedimiento de selección de mínima cuantía, sin importar que el bien o servicio se encontrara en algún instrumento de agregación de demanda. </w:t>
      </w:r>
    </w:p>
    <w:p w14:paraId="0D45C1AA"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 xml:space="preserve">No </w:t>
      </w:r>
      <w:proofErr w:type="gramStart"/>
      <w:r w:rsidRPr="00C03719">
        <w:rPr>
          <w:rFonts w:ascii="Arial" w:hAnsi="Arial" w:cs="Arial"/>
          <w:color w:val="000000" w:themeColor="text1"/>
          <w:sz w:val="22"/>
          <w:lang w:val="es-ES_tradnl"/>
        </w:rPr>
        <w:t>obstante</w:t>
      </w:r>
      <w:proofErr w:type="gramEnd"/>
      <w:r w:rsidRPr="00C03719">
        <w:rPr>
          <w:rFonts w:ascii="Arial" w:hAnsi="Arial" w:cs="Arial"/>
          <w:color w:val="000000" w:themeColor="text1"/>
          <w:sz w:val="22"/>
          <w:lang w:val="es-ES_tradnl"/>
        </w:rPr>
        <w:t xml:space="preserve"> lo anterior, la Ley 1955 de 2019, en su artículo 42, establece una nueva regla para estos casos, al expresar: </w:t>
      </w:r>
    </w:p>
    <w:p w14:paraId="48234510" w14:textId="77777777" w:rsidR="00BF629D" w:rsidRPr="00C03719" w:rsidRDefault="00BF629D" w:rsidP="00BF629D">
      <w:pPr>
        <w:spacing w:line="276" w:lineRule="auto"/>
        <w:jc w:val="both"/>
        <w:rPr>
          <w:rFonts w:ascii="Arial" w:hAnsi="Arial" w:cs="Arial"/>
          <w:color w:val="000000" w:themeColor="text1"/>
          <w:sz w:val="22"/>
          <w:lang w:val="es-ES_tradnl"/>
        </w:rPr>
      </w:pPr>
    </w:p>
    <w:p w14:paraId="0C1D5A65" w14:textId="77777777" w:rsidR="00BF629D" w:rsidRPr="00C03719" w:rsidRDefault="00BF629D" w:rsidP="00BF629D">
      <w:pPr>
        <w:ind w:left="709" w:right="709"/>
        <w:jc w:val="both"/>
        <w:rPr>
          <w:rFonts w:ascii="Arial" w:hAnsi="Arial" w:cs="Arial"/>
          <w:color w:val="000000" w:themeColor="text1"/>
          <w:sz w:val="21"/>
          <w:szCs w:val="21"/>
          <w:lang w:val="es-ES_tradnl"/>
        </w:rPr>
      </w:pPr>
      <w:r w:rsidRPr="00C03719">
        <w:rPr>
          <w:rFonts w:ascii="Arial" w:hAnsi="Arial" w:cs="Arial"/>
          <w:color w:val="000000" w:themeColor="text1"/>
          <w:sz w:val="21"/>
          <w:szCs w:val="21"/>
          <w:lang w:val="es-ES_tradnl"/>
        </w:rPr>
        <w:t xml:space="preserve">Adiciónese el parágrafo 3 al artículo 94 de la Ley 1474 de 2011, así: </w:t>
      </w:r>
    </w:p>
    <w:p w14:paraId="5D219787" w14:textId="77777777" w:rsidR="00BF629D" w:rsidRPr="00C03719" w:rsidRDefault="00BF629D" w:rsidP="00BF629D">
      <w:pPr>
        <w:ind w:left="709" w:right="709"/>
        <w:jc w:val="both"/>
        <w:rPr>
          <w:rFonts w:ascii="Arial" w:hAnsi="Arial" w:cs="Arial"/>
          <w:color w:val="000000" w:themeColor="text1"/>
          <w:sz w:val="21"/>
          <w:szCs w:val="21"/>
          <w:lang w:val="es-ES_tradnl"/>
        </w:rPr>
      </w:pPr>
    </w:p>
    <w:p w14:paraId="6CBEF0C7" w14:textId="77777777" w:rsidR="00BF629D" w:rsidRPr="00C03719" w:rsidRDefault="00BF629D" w:rsidP="00BF629D">
      <w:pPr>
        <w:ind w:left="709" w:right="709"/>
        <w:jc w:val="both"/>
        <w:rPr>
          <w:rFonts w:ascii="Arial" w:hAnsi="Arial" w:cs="Arial"/>
          <w:color w:val="000000" w:themeColor="text1"/>
          <w:sz w:val="21"/>
          <w:szCs w:val="21"/>
          <w:lang w:val="es-ES_tradnl"/>
        </w:rPr>
      </w:pPr>
      <w:r w:rsidRPr="00C03719">
        <w:rPr>
          <w:rFonts w:ascii="Arial" w:hAnsi="Arial" w:cs="Arial"/>
          <w:color w:val="000000" w:themeColor="text1"/>
          <w:sz w:val="21"/>
          <w:szCs w:val="21"/>
          <w:lang w:val="es-ES_tradnl"/>
        </w:rPr>
        <w:t xml:space="preserve">En aquellos eventos en que las entidades estatales deban contratar bienes o servicios de características técnicas uniformes que se encuentren en un </w:t>
      </w:r>
      <w:r w:rsidRPr="00C03719">
        <w:rPr>
          <w:rFonts w:ascii="Arial" w:hAnsi="Arial" w:cs="Arial"/>
          <w:color w:val="000000" w:themeColor="text1"/>
          <w:sz w:val="21"/>
          <w:szCs w:val="21"/>
          <w:lang w:val="es-ES_tradnl"/>
        </w:rPr>
        <w:lastRenderedPageBreak/>
        <w:t xml:space="preserve">acuerdo marco de precios y cuyo valor no exceda del diez por ciento (10%) de la menor cuantía, las entidades deberán realizar la adquisición a través de la Tienda Virtual del Estado Colombiano, siempre que el bien o servicio esté disponible por ese medio. </w:t>
      </w:r>
    </w:p>
    <w:p w14:paraId="74280138" w14:textId="77777777" w:rsidR="00BF629D" w:rsidRPr="00C03719" w:rsidRDefault="00BF629D" w:rsidP="00BF629D">
      <w:pPr>
        <w:ind w:left="709" w:right="709"/>
        <w:jc w:val="both"/>
        <w:rPr>
          <w:rFonts w:ascii="Arial" w:hAnsi="Arial" w:cs="Arial"/>
          <w:color w:val="000000" w:themeColor="text1"/>
          <w:sz w:val="21"/>
          <w:szCs w:val="21"/>
          <w:lang w:val="es-ES_tradnl"/>
        </w:rPr>
      </w:pPr>
    </w:p>
    <w:p w14:paraId="3DC3B628" w14:textId="77777777" w:rsidR="00BF629D" w:rsidRPr="00C03719" w:rsidRDefault="00BF629D" w:rsidP="00BF629D">
      <w:pPr>
        <w:ind w:left="709" w:right="709"/>
        <w:jc w:val="both"/>
        <w:rPr>
          <w:rFonts w:ascii="Arial" w:hAnsi="Arial" w:cs="Arial"/>
          <w:color w:val="000000" w:themeColor="text1"/>
          <w:sz w:val="21"/>
          <w:szCs w:val="21"/>
          <w:lang w:val="es-ES_tradnl"/>
        </w:rPr>
      </w:pPr>
      <w:r w:rsidRPr="00C03719">
        <w:rPr>
          <w:rFonts w:ascii="Arial" w:hAnsi="Arial" w:cs="Arial"/>
          <w:color w:val="000000" w:themeColor="text1"/>
          <w:sz w:val="21"/>
          <w:szCs w:val="21"/>
          <w:lang w:val="es-ES_tradnl"/>
        </w:rPr>
        <w:t xml:space="preserve">Las entidades que no se encuentren obligadas a hacer uso del acuerdo marco de precios igualmente podrán utilizar esta figura antes que la selección por mínima cuantía. </w:t>
      </w:r>
    </w:p>
    <w:p w14:paraId="182FFD44" w14:textId="77777777" w:rsidR="00BF629D" w:rsidRPr="00C03719" w:rsidRDefault="00BF629D" w:rsidP="00BF629D">
      <w:pPr>
        <w:spacing w:line="276" w:lineRule="auto"/>
        <w:jc w:val="both"/>
        <w:rPr>
          <w:rFonts w:ascii="Arial" w:hAnsi="Arial" w:cs="Arial"/>
          <w:color w:val="000000" w:themeColor="text1"/>
          <w:sz w:val="22"/>
          <w:lang w:val="es-ES_tradnl"/>
        </w:rPr>
      </w:pPr>
    </w:p>
    <w:p w14:paraId="0413E04A"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Esta norma afecta la decisión del Consejo de Estado, pues establece una nueva regla a aplicar en los casos de aparente concurrencia entre acuerdos marco de precios y mínima cuantía.</w:t>
      </w:r>
    </w:p>
    <w:p w14:paraId="09902E69"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 xml:space="preserve">A su vez, el artículo 42 de la Ley 1955 de 2019 se complementa con el inciso 4 del parágrafo 5 del artículo 2 de la Ley 1150 de 2007, modificado por el artículo 41 de la Ley 1955 de 2019, el cual establece que «El Gobierno nacional señalará la entidad o entidades que tendrán a su cargo el diseño, organización y celebración de los acuerdos marco de precios. El reglamento establecerá las condiciones bajo las cuales el uso de acuerdos marco de precios, se hará obligatorio para todas las entidades sometidas al Estatuto General de Contratación de la Administración Pública». </w:t>
      </w:r>
    </w:p>
    <w:p w14:paraId="7B51161B"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De esta forma, el artículo 42 de la Ley 1955 de 2019 establece que las entidades estatales obligadas tienen el deber de realizar la adquisición de bienes o servicios de características técnicas uniformes y de común utilización –siempre que esté disponible– a través de acuerdo marco de precios, incluso en los procesos de contratación cuyo presupuesto no exceda el diez por ciento (10%) de la menor cuantía</w:t>
      </w:r>
      <w:r w:rsidRPr="00C03719">
        <w:rPr>
          <w:rStyle w:val="Refdenotaalpie"/>
          <w:rFonts w:ascii="Arial" w:hAnsi="Arial" w:cs="Arial"/>
          <w:color w:val="000000" w:themeColor="text1"/>
          <w:sz w:val="22"/>
          <w:lang w:val="es-ES_tradnl"/>
        </w:rPr>
        <w:footnoteReference w:id="12"/>
      </w:r>
      <w:r w:rsidRPr="00C03719">
        <w:rPr>
          <w:rFonts w:ascii="Arial" w:hAnsi="Arial" w:cs="Arial"/>
          <w:color w:val="000000" w:themeColor="text1"/>
          <w:sz w:val="22"/>
          <w:lang w:val="es-ES_tradnl"/>
        </w:rPr>
        <w:t xml:space="preserve">. </w:t>
      </w:r>
    </w:p>
    <w:p w14:paraId="70CA1134"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 xml:space="preserve">Sin embargo, debe aclararse que hasta una nueva reglamentación del Gobierno nacional, las entidades estatales obligadas a aplicar lo dispuesto por el artículo 42 mencionado serán las que establece actualmente el Decreto 1082 de 2015, en su artículo </w:t>
      </w:r>
      <w:r w:rsidRPr="00C03719">
        <w:rPr>
          <w:rFonts w:ascii="Arial" w:hAnsi="Arial" w:cs="Arial"/>
          <w:color w:val="000000" w:themeColor="text1"/>
          <w:sz w:val="22"/>
          <w:lang w:val="es-ES_tradnl"/>
        </w:rPr>
        <w:lastRenderedPageBreak/>
        <w:t>2.2.1.2.1.2.7., es decir, las entidades estatales de la rama ejecutiva del poder público del orden nacional, obligadas a aplicar la Ley 80 de 1993 y la Ley 1150 de 2007, o las normas que las modifiquen, aclaren, adicionen o sustituyan.</w:t>
      </w:r>
    </w:p>
    <w:p w14:paraId="1302DA6D"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Ahora bien, en el caso de que el bien o servicio de características técnicas uniforme y de común utilización no esté disponible en un acuerdo marco de precios, y la cuantía sea menor al diez por ciento (10%) del presupuesto, las entidades estatales deben realizar la adquisición por la modalidad de mínima cuantía, ya que el Consejo de Estado determinó en el auto citado anteriormente que:</w:t>
      </w:r>
    </w:p>
    <w:p w14:paraId="6F8235AD" w14:textId="77777777" w:rsidR="00BF629D" w:rsidRPr="00C03719" w:rsidRDefault="00BF629D" w:rsidP="00BF629D">
      <w:pPr>
        <w:spacing w:line="276" w:lineRule="auto"/>
        <w:jc w:val="both"/>
        <w:rPr>
          <w:rFonts w:ascii="Arial" w:hAnsi="Arial" w:cs="Arial"/>
          <w:color w:val="000000" w:themeColor="text1"/>
          <w:sz w:val="22"/>
          <w:lang w:val="es-ES_tradnl"/>
        </w:rPr>
      </w:pPr>
    </w:p>
    <w:p w14:paraId="715222E2" w14:textId="77777777" w:rsidR="00BF629D" w:rsidRPr="00C03719" w:rsidRDefault="00BF629D" w:rsidP="00BF629D">
      <w:pPr>
        <w:ind w:left="709" w:right="709"/>
        <w:jc w:val="both"/>
        <w:rPr>
          <w:rFonts w:ascii="Arial" w:hAnsi="Arial" w:cs="Arial"/>
          <w:color w:val="000000" w:themeColor="text1"/>
          <w:sz w:val="21"/>
          <w:szCs w:val="21"/>
          <w:lang w:val="es-ES_tradnl"/>
        </w:rPr>
      </w:pPr>
      <w:r w:rsidRPr="00C03719">
        <w:rPr>
          <w:rFonts w:ascii="Arial" w:hAnsi="Arial" w:cs="Arial"/>
          <w:color w:val="000000" w:themeColor="text1"/>
          <w:sz w:val="21"/>
          <w:szCs w:val="21"/>
          <w:lang w:val="es-ES_tradnl"/>
        </w:rPr>
        <w:t xml:space="preserve">Así, pues,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 se insiste- del objeto a contratar. </w:t>
      </w:r>
    </w:p>
    <w:p w14:paraId="77112DD0" w14:textId="77777777" w:rsidR="00BF629D" w:rsidRPr="00C03719" w:rsidRDefault="00BF629D" w:rsidP="00BF629D">
      <w:pPr>
        <w:spacing w:line="276" w:lineRule="auto"/>
        <w:jc w:val="both"/>
        <w:rPr>
          <w:rFonts w:ascii="Arial" w:hAnsi="Arial" w:cs="Arial"/>
          <w:color w:val="000000" w:themeColor="text1"/>
          <w:sz w:val="22"/>
          <w:lang w:val="es-ES_tradnl"/>
        </w:rPr>
      </w:pPr>
    </w:p>
    <w:p w14:paraId="69176C30" w14:textId="77777777" w:rsidR="00BF629D" w:rsidRPr="00C03719" w:rsidRDefault="00BF629D" w:rsidP="00BF629D">
      <w:pPr>
        <w:spacing w:line="276" w:lineRule="auto"/>
        <w:ind w:firstLine="709"/>
        <w:jc w:val="both"/>
        <w:rPr>
          <w:rFonts w:ascii="Arial" w:hAnsi="Arial" w:cs="Arial"/>
          <w:color w:val="000000" w:themeColor="text1"/>
          <w:sz w:val="22"/>
          <w:lang w:val="es-ES_tradnl"/>
        </w:rPr>
      </w:pPr>
      <w:r w:rsidRPr="00C03719">
        <w:rPr>
          <w:rFonts w:ascii="Arial" w:hAnsi="Arial" w:cs="Arial"/>
          <w:color w:val="000000" w:themeColor="text1"/>
          <w:sz w:val="22"/>
          <w:lang w:val="es-ES_tradnl"/>
        </w:rPr>
        <w:t xml:space="preserve">En ese sentido, cuando el bien o servicio de características técnicas uniformes y de común utilización no esté disponible en un acuerdo marco de precios, y la cuantía sea menor al diez por ciento (10%) del presupuesto, prevalece la modalidad de mínima cuantía, sobre los demás procedimientos de selección abreviada como lo son la subasta inversa o la bolsa de productos, por tratarse de un procedimiento especial frente al objeto contractual y permitir mayor economía en el trámite del proceso de contratación. </w:t>
      </w:r>
    </w:p>
    <w:p w14:paraId="429E4F5E" w14:textId="77777777" w:rsidR="00BF629D" w:rsidRPr="00C03719" w:rsidRDefault="00BF629D" w:rsidP="00BF629D">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4E57B27F" w14:textId="77777777" w:rsidR="00BF629D" w:rsidRPr="00C03719" w:rsidRDefault="00BF629D" w:rsidP="00BF629D">
      <w:pPr>
        <w:pStyle w:val="Prrafodelista"/>
        <w:tabs>
          <w:tab w:val="left" w:pos="284"/>
        </w:tabs>
        <w:spacing w:line="276" w:lineRule="auto"/>
        <w:ind w:left="0"/>
        <w:jc w:val="both"/>
        <w:rPr>
          <w:rFonts w:ascii="Arial" w:eastAsia="Calibri" w:hAnsi="Arial" w:cs="Arial"/>
          <w:color w:val="000000" w:themeColor="text1"/>
          <w:sz w:val="22"/>
          <w:lang w:val="es-ES_tradnl"/>
        </w:rPr>
      </w:pPr>
      <w:r w:rsidRPr="00C03719">
        <w:rPr>
          <w:rFonts w:ascii="Arial" w:eastAsia="Calibri" w:hAnsi="Arial" w:cs="Arial"/>
          <w:b/>
          <w:color w:val="000000" w:themeColor="text1"/>
          <w:sz w:val="22"/>
          <w:lang w:val="es-ES_tradnl"/>
        </w:rPr>
        <w:t>3. Respuesta</w:t>
      </w:r>
    </w:p>
    <w:p w14:paraId="15679AD1" w14:textId="77777777" w:rsidR="00BF629D" w:rsidRPr="00C03719" w:rsidRDefault="00BF629D" w:rsidP="00BF629D">
      <w:pPr>
        <w:spacing w:line="276" w:lineRule="auto"/>
        <w:ind w:left="709" w:right="709"/>
        <w:jc w:val="both"/>
        <w:rPr>
          <w:rFonts w:ascii="Arial" w:eastAsia="Calibri" w:hAnsi="Arial" w:cs="Arial"/>
          <w:i/>
          <w:color w:val="000000" w:themeColor="text1"/>
          <w:sz w:val="22"/>
          <w:lang w:val="es-ES_tradnl"/>
        </w:rPr>
      </w:pPr>
    </w:p>
    <w:p w14:paraId="42AAEDE3" w14:textId="77777777" w:rsidR="00BF629D" w:rsidRPr="00C03719" w:rsidRDefault="00BF629D" w:rsidP="00BF629D">
      <w:pPr>
        <w:spacing w:line="276" w:lineRule="auto"/>
        <w:ind w:left="708" w:right="709"/>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¿Cuál es el alcance de la «[…] aplicación de la Ley 1955 de 2019 (Plan Nacional de Desarrollo) para el caso de aquellos procesos de selección que por su cuantía no superen la mínima cuantía y a su vez cuenten con Acuerdo Marco de Precios»?</w:t>
      </w:r>
    </w:p>
    <w:p w14:paraId="3274EC84" w14:textId="77777777" w:rsidR="00BF629D" w:rsidRPr="00C03719" w:rsidRDefault="00BF629D" w:rsidP="00BF629D">
      <w:pPr>
        <w:spacing w:line="276" w:lineRule="auto"/>
        <w:jc w:val="both"/>
        <w:rPr>
          <w:rFonts w:ascii="Arial" w:eastAsia="Calibri" w:hAnsi="Arial" w:cs="Arial"/>
          <w:color w:val="000000" w:themeColor="text1"/>
          <w:sz w:val="22"/>
          <w:lang w:val="es-ES_tradnl"/>
        </w:rPr>
      </w:pPr>
    </w:p>
    <w:p w14:paraId="4AA24FA1" w14:textId="77777777" w:rsidR="00BF629D" w:rsidRPr="00C03719" w:rsidRDefault="00BF629D" w:rsidP="00BF629D">
      <w:pPr>
        <w:spacing w:line="276" w:lineRule="auto"/>
        <w:jc w:val="both"/>
        <w:rPr>
          <w:rFonts w:ascii="Arial" w:hAnsi="Arial" w:cs="Arial"/>
          <w:bCs/>
          <w:color w:val="000000" w:themeColor="text1"/>
          <w:sz w:val="22"/>
          <w:lang w:val="es-ES_tradnl"/>
        </w:rPr>
      </w:pPr>
      <w:r w:rsidRPr="00C03719">
        <w:rPr>
          <w:rFonts w:ascii="Arial" w:eastAsia="Calibri" w:hAnsi="Arial" w:cs="Arial"/>
          <w:color w:val="000000" w:themeColor="text1"/>
          <w:sz w:val="22"/>
          <w:lang w:val="es-ES_tradnl"/>
        </w:rPr>
        <w:t xml:space="preserve">El artículo 42 de la Ley 1955 de 2019 establece que las entidades estatales obligadas tienen el deber de realizar la adquisición de bienes o servicios de características técnicas uniformes y de común utilización a través del acuerdo marco de precios que esté disponible, incluso en los procesos de contratación cuyo presupuesto no exceda el diez por ciento (10%) de la menor cuantía. Sin embargo, cuando el bien o servicio de características técnicas uniformes y de común utilización no esté disponible en un acuerdo marco de precios, y la cuantía sea menor al diez por ciento (10%) del presupuesto, prevalece la </w:t>
      </w:r>
      <w:r w:rsidRPr="00C03719">
        <w:rPr>
          <w:rFonts w:ascii="Arial" w:eastAsia="Calibri" w:hAnsi="Arial" w:cs="Arial"/>
          <w:color w:val="000000" w:themeColor="text1"/>
          <w:sz w:val="22"/>
          <w:lang w:val="es-ES_tradnl"/>
        </w:rPr>
        <w:lastRenderedPageBreak/>
        <w:t xml:space="preserve">modalidad de mínima cuantía, tal como lo indicó el Consejo de Estado en el auto del 29 de marzo de 2017. </w:t>
      </w:r>
    </w:p>
    <w:p w14:paraId="4FD5BEDC" w14:textId="77777777" w:rsidR="00BF629D" w:rsidRPr="00C03719" w:rsidRDefault="00BF629D" w:rsidP="00BF629D">
      <w:pPr>
        <w:spacing w:line="276" w:lineRule="auto"/>
        <w:jc w:val="both"/>
        <w:rPr>
          <w:rFonts w:ascii="Arial" w:eastAsia="Calibri" w:hAnsi="Arial" w:cs="Arial"/>
          <w:color w:val="000000" w:themeColor="text1"/>
          <w:sz w:val="22"/>
          <w:lang w:val="es-ES_tradnl"/>
        </w:rPr>
      </w:pPr>
    </w:p>
    <w:p w14:paraId="5607E2ED" w14:textId="77777777" w:rsidR="00BF629D" w:rsidRPr="00C03719" w:rsidRDefault="00BF629D" w:rsidP="00BF629D">
      <w:pPr>
        <w:spacing w:line="276" w:lineRule="auto"/>
        <w:jc w:val="both"/>
        <w:rPr>
          <w:rFonts w:ascii="Arial" w:eastAsia="Calibri" w:hAnsi="Arial" w:cs="Arial"/>
          <w:color w:val="000000" w:themeColor="text1"/>
          <w:sz w:val="22"/>
          <w:lang w:val="es-ES_tradnl"/>
        </w:rPr>
      </w:pPr>
      <w:r w:rsidRPr="00C03719">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0799723F" w14:textId="77777777" w:rsidR="00BF629D" w:rsidRPr="00C03719" w:rsidRDefault="00BF629D" w:rsidP="00BF629D">
      <w:pPr>
        <w:spacing w:line="276" w:lineRule="auto"/>
        <w:jc w:val="both"/>
        <w:rPr>
          <w:rFonts w:ascii="Arial" w:eastAsia="Calibri" w:hAnsi="Arial" w:cs="Arial"/>
          <w:color w:val="000000" w:themeColor="text1"/>
          <w:sz w:val="22"/>
          <w:lang w:val="es-ES_tradnl"/>
        </w:rPr>
      </w:pPr>
    </w:p>
    <w:p w14:paraId="24C08DB1" w14:textId="77777777" w:rsidR="00BF629D" w:rsidRPr="00C03719" w:rsidRDefault="00BF629D" w:rsidP="00BF629D">
      <w:pPr>
        <w:spacing w:line="276" w:lineRule="auto"/>
        <w:jc w:val="both"/>
        <w:rPr>
          <w:rFonts w:ascii="Arial" w:eastAsia="Calibri" w:hAnsi="Arial" w:cs="Arial"/>
          <w:color w:val="000000" w:themeColor="text1"/>
          <w:sz w:val="22"/>
          <w:lang w:val="es-ES_tradnl"/>
        </w:rPr>
      </w:pPr>
      <w:r w:rsidRPr="00C03719">
        <w:rPr>
          <w:noProof/>
          <w:color w:val="000000" w:themeColor="text1"/>
          <w:lang w:val="en-US"/>
        </w:rPr>
        <mc:AlternateContent>
          <mc:Choice Requires="wps">
            <w:drawing>
              <wp:anchor distT="0" distB="0" distL="114300" distR="114300" simplePos="0" relativeHeight="251658240" behindDoc="0" locked="0" layoutInCell="1" allowOverlap="1" wp14:anchorId="6D139D1C" wp14:editId="247F317D">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23FA716"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0A0878A0" w14:textId="77777777" w:rsidR="00BF629D" w:rsidRPr="00C03719" w:rsidRDefault="00BF629D" w:rsidP="00BF629D">
      <w:pPr>
        <w:spacing w:line="276" w:lineRule="auto"/>
        <w:rPr>
          <w:rFonts w:ascii="Arial" w:hAnsi="Arial" w:cs="Arial"/>
          <w:color w:val="000000" w:themeColor="text1"/>
          <w:sz w:val="22"/>
          <w:lang w:val="es-ES_tradnl" w:eastAsia="es-CO"/>
        </w:rPr>
      </w:pPr>
      <w:r w:rsidRPr="00C03719">
        <w:rPr>
          <w:rFonts w:ascii="Arial" w:hAnsi="Arial" w:cs="Arial"/>
          <w:color w:val="000000" w:themeColor="text1"/>
          <w:sz w:val="22"/>
          <w:lang w:val="es-ES_tradnl" w:eastAsia="es-CO"/>
        </w:rPr>
        <w:t>Atentamente,</w:t>
      </w:r>
    </w:p>
    <w:p w14:paraId="020843E2" w14:textId="4BA49683" w:rsidR="00BF629D" w:rsidRPr="00C03719" w:rsidRDefault="002B139C" w:rsidP="00BF629D">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042EF23D" wp14:editId="180FCF0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03719" w:rsidRPr="00C03719" w14:paraId="7855363B" w14:textId="77777777" w:rsidTr="000D08DB">
        <w:trPr>
          <w:trHeight w:val="315"/>
        </w:trPr>
        <w:tc>
          <w:tcPr>
            <w:tcW w:w="812" w:type="dxa"/>
            <w:vAlign w:val="center"/>
            <w:hideMark/>
          </w:tcPr>
          <w:p w14:paraId="1220D998" w14:textId="77777777" w:rsidR="00BF629D" w:rsidRPr="00C03719" w:rsidRDefault="00BF629D" w:rsidP="000D08DB">
            <w:pPr>
              <w:spacing w:line="276" w:lineRule="auto"/>
              <w:rPr>
                <w:rFonts w:ascii="Arial" w:hAnsi="Arial" w:cs="Arial"/>
                <w:color w:val="000000" w:themeColor="text1"/>
                <w:sz w:val="16"/>
                <w:szCs w:val="16"/>
                <w:lang w:val="es-ES_tradnl" w:eastAsia="es-ES"/>
              </w:rPr>
            </w:pPr>
            <w:r w:rsidRPr="00C03719">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148614F" w14:textId="77777777" w:rsidR="00BF629D" w:rsidRPr="00C03719" w:rsidRDefault="00BF629D" w:rsidP="000D08DB">
            <w:pPr>
              <w:spacing w:line="276" w:lineRule="auto"/>
              <w:rPr>
                <w:rFonts w:ascii="Arial" w:hAnsi="Arial" w:cs="Arial"/>
                <w:color w:val="000000" w:themeColor="text1"/>
                <w:sz w:val="16"/>
                <w:szCs w:val="16"/>
                <w:lang w:val="es-ES_tradnl" w:eastAsia="es-ES"/>
              </w:rPr>
            </w:pPr>
            <w:r w:rsidRPr="00C03719">
              <w:rPr>
                <w:rFonts w:ascii="Arial" w:hAnsi="Arial" w:cs="Arial"/>
                <w:color w:val="000000" w:themeColor="text1"/>
                <w:sz w:val="16"/>
                <w:szCs w:val="16"/>
                <w:lang w:val="es-ES_tradnl" w:eastAsia="es-ES"/>
              </w:rPr>
              <w:t>Cristian Andrés Díaz Díez</w:t>
            </w:r>
          </w:p>
          <w:p w14:paraId="20C9C9F3" w14:textId="77777777" w:rsidR="00BF629D" w:rsidRPr="00C03719" w:rsidRDefault="00BF629D" w:rsidP="000D08DB">
            <w:pPr>
              <w:spacing w:line="276" w:lineRule="auto"/>
              <w:rPr>
                <w:rFonts w:ascii="Arial" w:hAnsi="Arial" w:cs="Arial"/>
                <w:color w:val="000000" w:themeColor="text1"/>
                <w:sz w:val="16"/>
                <w:szCs w:val="16"/>
                <w:lang w:val="es-ES_tradnl" w:eastAsia="es-ES"/>
              </w:rPr>
            </w:pPr>
            <w:r w:rsidRPr="00C03719">
              <w:rPr>
                <w:rFonts w:ascii="Arial" w:hAnsi="Arial" w:cs="Arial"/>
                <w:color w:val="000000" w:themeColor="text1"/>
                <w:sz w:val="16"/>
                <w:szCs w:val="16"/>
                <w:lang w:val="es-ES_tradnl" w:eastAsia="es-ES"/>
              </w:rPr>
              <w:t>Contratista</w:t>
            </w:r>
          </w:p>
        </w:tc>
      </w:tr>
      <w:tr w:rsidR="00C03719" w:rsidRPr="00C03719" w14:paraId="075BC4DC" w14:textId="77777777" w:rsidTr="000D08DB">
        <w:trPr>
          <w:trHeight w:val="330"/>
        </w:trPr>
        <w:tc>
          <w:tcPr>
            <w:tcW w:w="812" w:type="dxa"/>
            <w:vAlign w:val="center"/>
            <w:hideMark/>
          </w:tcPr>
          <w:p w14:paraId="780E7628" w14:textId="77777777" w:rsidR="00BF629D" w:rsidRPr="00C03719" w:rsidRDefault="00BF629D" w:rsidP="000D08DB">
            <w:pPr>
              <w:spacing w:line="276" w:lineRule="auto"/>
              <w:rPr>
                <w:rFonts w:ascii="Arial" w:hAnsi="Arial" w:cs="Arial"/>
                <w:color w:val="000000" w:themeColor="text1"/>
                <w:sz w:val="16"/>
                <w:szCs w:val="16"/>
                <w:lang w:val="es-ES_tradnl" w:eastAsia="es-ES"/>
              </w:rPr>
            </w:pPr>
            <w:r w:rsidRPr="00C03719">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DD7DF21" w14:textId="77777777" w:rsidR="00BF629D" w:rsidRPr="00C03719" w:rsidRDefault="00BF629D" w:rsidP="000D08DB">
            <w:pPr>
              <w:spacing w:line="276" w:lineRule="auto"/>
              <w:rPr>
                <w:rFonts w:ascii="Arial" w:hAnsi="Arial" w:cs="Arial"/>
                <w:color w:val="000000" w:themeColor="text1"/>
                <w:sz w:val="16"/>
                <w:szCs w:val="16"/>
                <w:lang w:val="es-ES_tradnl" w:eastAsia="es-ES"/>
              </w:rPr>
            </w:pPr>
            <w:r w:rsidRPr="00C03719">
              <w:rPr>
                <w:rFonts w:ascii="Arial" w:hAnsi="Arial" w:cs="Arial"/>
                <w:color w:val="000000" w:themeColor="text1"/>
                <w:sz w:val="16"/>
                <w:szCs w:val="16"/>
                <w:lang w:val="es-ES_tradnl" w:eastAsia="es-ES"/>
              </w:rPr>
              <w:t>Fabián Gonzalo Marín Cortés</w:t>
            </w:r>
          </w:p>
          <w:p w14:paraId="3D97E5E8" w14:textId="77777777" w:rsidR="00BF629D" w:rsidRPr="00C03719" w:rsidRDefault="00BF629D" w:rsidP="000D08DB">
            <w:pPr>
              <w:spacing w:line="276" w:lineRule="auto"/>
              <w:rPr>
                <w:rFonts w:ascii="Arial" w:hAnsi="Arial" w:cs="Arial"/>
                <w:color w:val="000000" w:themeColor="text1"/>
                <w:sz w:val="16"/>
                <w:szCs w:val="16"/>
                <w:lang w:val="es-ES_tradnl" w:eastAsia="es-ES"/>
              </w:rPr>
            </w:pPr>
            <w:r w:rsidRPr="00C03719">
              <w:rPr>
                <w:rFonts w:ascii="Arial" w:hAnsi="Arial" w:cs="Arial"/>
                <w:color w:val="000000" w:themeColor="text1"/>
                <w:sz w:val="16"/>
                <w:szCs w:val="16"/>
                <w:lang w:val="es-ES_tradnl" w:eastAsia="es-ES"/>
              </w:rPr>
              <w:t>Subdirector de Gestión Contractual</w:t>
            </w:r>
          </w:p>
        </w:tc>
      </w:tr>
      <w:tr w:rsidR="00BF629D" w:rsidRPr="00C03719" w14:paraId="61EA9E74" w14:textId="77777777" w:rsidTr="000D08DB">
        <w:trPr>
          <w:trHeight w:val="300"/>
        </w:trPr>
        <w:tc>
          <w:tcPr>
            <w:tcW w:w="812" w:type="dxa"/>
            <w:vAlign w:val="center"/>
            <w:hideMark/>
          </w:tcPr>
          <w:p w14:paraId="669BDBA6" w14:textId="77777777" w:rsidR="00BF629D" w:rsidRPr="00C03719" w:rsidRDefault="00BF629D" w:rsidP="000D08DB">
            <w:pPr>
              <w:spacing w:line="276" w:lineRule="auto"/>
              <w:rPr>
                <w:rFonts w:ascii="Arial" w:hAnsi="Arial" w:cs="Arial"/>
                <w:color w:val="000000" w:themeColor="text1"/>
                <w:sz w:val="16"/>
                <w:szCs w:val="16"/>
                <w:lang w:val="es-ES_tradnl" w:eastAsia="es-ES"/>
              </w:rPr>
            </w:pPr>
            <w:r w:rsidRPr="00C03719">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4466432" w14:textId="77777777" w:rsidR="00BF629D" w:rsidRPr="00C03719" w:rsidRDefault="00BF629D" w:rsidP="000D08DB">
            <w:pPr>
              <w:spacing w:line="276" w:lineRule="auto"/>
              <w:rPr>
                <w:rFonts w:ascii="Arial" w:hAnsi="Arial" w:cs="Arial"/>
                <w:color w:val="000000" w:themeColor="text1"/>
                <w:sz w:val="16"/>
                <w:szCs w:val="16"/>
                <w:lang w:val="es-ES_tradnl" w:eastAsia="es-ES"/>
              </w:rPr>
            </w:pPr>
            <w:r w:rsidRPr="00C03719">
              <w:rPr>
                <w:rFonts w:ascii="Arial" w:hAnsi="Arial" w:cs="Arial"/>
                <w:color w:val="000000" w:themeColor="text1"/>
                <w:sz w:val="16"/>
                <w:szCs w:val="16"/>
                <w:lang w:val="es-ES_tradnl" w:eastAsia="es-ES"/>
              </w:rPr>
              <w:t>Fabián Gonzalo Marín Cortés</w:t>
            </w:r>
          </w:p>
          <w:p w14:paraId="1B7E936E" w14:textId="77777777" w:rsidR="00BF629D" w:rsidRPr="00C03719" w:rsidRDefault="00BF629D" w:rsidP="000D08DB">
            <w:pPr>
              <w:spacing w:line="276" w:lineRule="auto"/>
              <w:rPr>
                <w:rFonts w:ascii="Arial" w:hAnsi="Arial" w:cs="Arial"/>
                <w:color w:val="000000" w:themeColor="text1"/>
                <w:sz w:val="16"/>
                <w:szCs w:val="16"/>
                <w:lang w:val="es-ES_tradnl" w:eastAsia="es-ES"/>
              </w:rPr>
            </w:pPr>
            <w:r w:rsidRPr="00C03719">
              <w:rPr>
                <w:rFonts w:ascii="Arial" w:hAnsi="Arial" w:cs="Arial"/>
                <w:color w:val="000000" w:themeColor="text1"/>
                <w:sz w:val="16"/>
                <w:szCs w:val="16"/>
                <w:lang w:val="es-ES_tradnl" w:eastAsia="es-ES"/>
              </w:rPr>
              <w:t>Subdirector de Gestión Contractual</w:t>
            </w:r>
          </w:p>
        </w:tc>
      </w:tr>
    </w:tbl>
    <w:p w14:paraId="00CDAA87" w14:textId="77777777" w:rsidR="00BF629D" w:rsidRPr="00C03719" w:rsidRDefault="00BF629D" w:rsidP="00BF629D">
      <w:pPr>
        <w:spacing w:line="276" w:lineRule="auto"/>
        <w:rPr>
          <w:rFonts w:ascii="Arial" w:hAnsi="Arial" w:cs="Arial"/>
          <w:color w:val="000000" w:themeColor="text1"/>
          <w:sz w:val="16"/>
          <w:szCs w:val="16"/>
          <w:lang w:val="es-ES_tradnl" w:eastAsia="es-ES"/>
        </w:rPr>
      </w:pPr>
    </w:p>
    <w:bookmarkEnd w:id="2"/>
    <w:p w14:paraId="7EBF297E" w14:textId="77777777" w:rsidR="007B0854" w:rsidRPr="00C03719" w:rsidRDefault="007B0854" w:rsidP="00BF629D">
      <w:pPr>
        <w:rPr>
          <w:color w:val="000000" w:themeColor="text1"/>
          <w:lang w:val="es-ES_tradnl"/>
        </w:rPr>
      </w:pPr>
    </w:p>
    <w:sectPr w:rsidR="007B0854" w:rsidRPr="00C03719" w:rsidSect="004A34D2">
      <w:headerReference w:type="even" r:id="rId12"/>
      <w:headerReference w:type="default" r:id="rId13"/>
      <w:footerReference w:type="even" r:id="rId14"/>
      <w:footerReference w:type="default" r:id="rId15"/>
      <w:headerReference w:type="first" r:id="rId16"/>
      <w:footerReference w:type="first" r:id="rId17"/>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7DDFF6" w14:textId="77777777" w:rsidR="00C644E7" w:rsidRDefault="00C644E7">
      <w:r>
        <w:separator/>
      </w:r>
    </w:p>
  </w:endnote>
  <w:endnote w:type="continuationSeparator" w:id="0">
    <w:p w14:paraId="3E5539F8" w14:textId="77777777" w:rsidR="00C644E7" w:rsidRDefault="00C64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616E7" w14:textId="77777777" w:rsidR="008572A6" w:rsidRDefault="008572A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C6EF6" w14:textId="4CAFB023" w:rsidR="00E76A0F" w:rsidRDefault="00E76A0F" w:rsidP="007B0854">
    <w:pPr>
      <w:pStyle w:val="Sinespaciado"/>
      <w:jc w:val="center"/>
      <w:rPr>
        <w:rFonts w:ascii="Arial" w:hAnsi="Arial" w:cs="Arial"/>
        <w:sz w:val="22"/>
      </w:rPr>
    </w:pPr>
  </w:p>
  <w:p w14:paraId="0B051020" w14:textId="77777777" w:rsidR="008572A6" w:rsidRPr="008572A6" w:rsidRDefault="008572A6" w:rsidP="007B0854">
    <w:pPr>
      <w:pStyle w:val="Sinespaciado"/>
      <w:jc w:val="center"/>
      <w:rPr>
        <w:rFonts w:ascii="Arial" w:hAnsi="Arial" w:cs="Arial"/>
        <w:sz w:val="22"/>
      </w:rPr>
    </w:pPr>
  </w:p>
  <w:p w14:paraId="312C4A14" w14:textId="3C76165C"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2B139C">
      <w:rPr>
        <w:rFonts w:ascii="Arial" w:hAnsi="Arial" w:cs="Arial"/>
        <w:noProof/>
        <w:sz w:val="18"/>
        <w:szCs w:val="18"/>
      </w:rPr>
      <w:t>11</w:t>
    </w:r>
    <w:r w:rsidRPr="00D04413">
      <w:rPr>
        <w:rFonts w:ascii="Arial" w:hAnsi="Arial" w:cs="Arial"/>
        <w:sz w:val="18"/>
        <w:szCs w:val="18"/>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5DED2" w14:textId="77777777" w:rsidR="008572A6" w:rsidRDefault="008572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FDF2FA" w14:textId="77777777" w:rsidR="00C644E7" w:rsidRDefault="00C644E7">
      <w:r>
        <w:separator/>
      </w:r>
    </w:p>
  </w:footnote>
  <w:footnote w:type="continuationSeparator" w:id="0">
    <w:p w14:paraId="09F8A6FA" w14:textId="77777777" w:rsidR="00C644E7" w:rsidRDefault="00C644E7">
      <w:r>
        <w:continuationSeparator/>
      </w:r>
    </w:p>
  </w:footnote>
  <w:footnote w:id="1">
    <w:p w14:paraId="747526C3"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En efecto, este artículo dispuso, hasta que entró en vigencia la Ley 1955 de 2019 –que </w:t>
      </w:r>
      <w:proofErr w:type="spellStart"/>
      <w:r w:rsidRPr="00C03719">
        <w:rPr>
          <w:rFonts w:ascii="Arial" w:hAnsi="Arial" w:cs="Arial"/>
          <w:color w:val="000000" w:themeColor="text1"/>
          <w:sz w:val="19"/>
          <w:szCs w:val="19"/>
        </w:rPr>
        <w:t>adicinó</w:t>
      </w:r>
      <w:proofErr w:type="spellEnd"/>
      <w:r w:rsidRPr="00C03719">
        <w:rPr>
          <w:rFonts w:ascii="Arial" w:hAnsi="Arial" w:cs="Arial"/>
          <w:color w:val="000000" w:themeColor="text1"/>
          <w:sz w:val="19"/>
          <w:szCs w:val="19"/>
        </w:rPr>
        <w:t xml:space="preserve"> un tercer parágrafo que luego se explicará–: «Adiciónese al artículo 2o de la Ley 1150 de 2007 el siguiente numeral.</w:t>
      </w:r>
    </w:p>
    <w:p w14:paraId="4D5CEACB"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»La</w:t>
      </w:r>
      <w:proofErr w:type="gramEnd"/>
      <w:r w:rsidRPr="00C03719">
        <w:rPr>
          <w:rFonts w:ascii="Arial" w:hAnsi="Arial" w:cs="Arial"/>
          <w:color w:val="000000" w:themeColor="text1"/>
          <w:sz w:val="19"/>
          <w:szCs w:val="19"/>
        </w:rPr>
        <w:t xml:space="preserve"> contratación cuyo valor no excede del 10 por ciento de la menor cuantía de la entidad independientemente de su objeto, se efectuará de conformidad con las siguientes reglas:</w:t>
      </w:r>
    </w:p>
    <w:p w14:paraId="00A85394"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»a</w:t>
      </w:r>
      <w:proofErr w:type="gramEnd"/>
      <w:r w:rsidRPr="00C03719">
        <w:rPr>
          <w:rFonts w:ascii="Arial" w:hAnsi="Arial" w:cs="Arial"/>
          <w:color w:val="000000" w:themeColor="text1"/>
          <w:sz w:val="19"/>
          <w:szCs w:val="19"/>
        </w:rPr>
        <w:t>) Se publicará una invitación, por un término no inferior a un día hábil, en la cual se señalará el objeto a contratar, el presupuesto destinado para tal fin, así como las condiciones técnicas exigidas;</w:t>
      </w:r>
    </w:p>
    <w:p w14:paraId="549B0279"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»b</w:t>
      </w:r>
      <w:proofErr w:type="gramEnd"/>
      <w:r w:rsidRPr="00C03719">
        <w:rPr>
          <w:rFonts w:ascii="Arial" w:hAnsi="Arial" w:cs="Arial"/>
          <w:color w:val="000000" w:themeColor="text1"/>
          <w:sz w:val="19"/>
          <w:szCs w:val="19"/>
        </w:rPr>
        <w:t>) El término previsto en la invitación para presentar la oferta no podrá ser inferior a un día hábil;</w:t>
      </w:r>
    </w:p>
    <w:p w14:paraId="59BAAE27"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»c) La entidad seleccionará, mediante comunicación de aceptación de la oferta, la propuesta con el menor precio, siempre y cuando cumpla con las condiciones exigidas;</w:t>
      </w:r>
    </w:p>
    <w:p w14:paraId="69B7FD6F"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»d</w:t>
      </w:r>
      <w:proofErr w:type="gramEnd"/>
      <w:r w:rsidRPr="00C03719">
        <w:rPr>
          <w:rFonts w:ascii="Arial" w:hAnsi="Arial" w:cs="Arial"/>
          <w:color w:val="000000" w:themeColor="text1"/>
          <w:sz w:val="19"/>
          <w:szCs w:val="19"/>
        </w:rPr>
        <w:t>) La comunicación de aceptación junto con la oferta constituyen para todos los efectos el contrato celebrado, con base en lo cual se efectuará el respectivo registro presupuestal.</w:t>
      </w:r>
    </w:p>
    <w:p w14:paraId="52828169"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»PARÁGRAFO</w:t>
      </w:r>
      <w:proofErr w:type="gramEnd"/>
      <w:r w:rsidRPr="00C03719">
        <w:rPr>
          <w:rFonts w:ascii="Arial" w:hAnsi="Arial" w:cs="Arial"/>
          <w:color w:val="000000" w:themeColor="text1"/>
          <w:sz w:val="19"/>
          <w:szCs w:val="19"/>
        </w:rPr>
        <w:t xml:space="preserve">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73AB7D2C"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»PARÁGRAFO</w:t>
      </w:r>
      <w:proofErr w:type="gramEnd"/>
      <w:r w:rsidRPr="00C03719">
        <w:rPr>
          <w:rFonts w:ascii="Arial" w:hAnsi="Arial" w:cs="Arial"/>
          <w:color w:val="000000" w:themeColor="text1"/>
          <w:sz w:val="19"/>
          <w:szCs w:val="19"/>
        </w:rPr>
        <w:t xml:space="preserve"> 2o. La contratación a que se refiere el presente artículo se realizará exclusivamente con las reglas en él contempladas y en su reglamentación. En particular no se aplicará lo previsto en la Ley 816 de 2003, ni en el artículo 12 de la Ley 1150 de 2007».</w:t>
      </w:r>
    </w:p>
    <w:p w14:paraId="14EDEDA2" w14:textId="77777777" w:rsidR="00BF629D" w:rsidRPr="00C03719" w:rsidRDefault="00BF629D" w:rsidP="00BF629D">
      <w:pPr>
        <w:pStyle w:val="Textonotapie"/>
        <w:ind w:firstLine="709"/>
        <w:jc w:val="both"/>
        <w:rPr>
          <w:rFonts w:ascii="Arial" w:hAnsi="Arial" w:cs="Arial"/>
          <w:color w:val="000000" w:themeColor="text1"/>
          <w:sz w:val="19"/>
          <w:szCs w:val="19"/>
        </w:rPr>
      </w:pPr>
    </w:p>
  </w:footnote>
  <w:footnote w:id="2">
    <w:p w14:paraId="06C22204" w14:textId="77777777" w:rsidR="00BF629D" w:rsidRPr="00C03719" w:rsidRDefault="00BF629D" w:rsidP="00BF629D">
      <w:pPr>
        <w:pStyle w:val="Textonotapie"/>
        <w:ind w:firstLine="709"/>
        <w:jc w:val="both"/>
        <w:rPr>
          <w:rFonts w:ascii="Arial" w:hAnsi="Arial" w:cs="Arial"/>
          <w:color w:val="000000" w:themeColor="text1"/>
          <w:sz w:val="19"/>
          <w:szCs w:val="19"/>
          <w:lang w:val="es-ES"/>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w:t>
      </w:r>
      <w:r w:rsidRPr="00C03719">
        <w:rPr>
          <w:rFonts w:ascii="Arial" w:hAnsi="Arial" w:cs="Arial"/>
          <w:color w:val="000000" w:themeColor="text1"/>
          <w:sz w:val="19"/>
          <w:szCs w:val="19"/>
          <w:lang w:val="es-ES"/>
        </w:rPr>
        <w:t>Esto lo ratifica el artículo 2.2.1.2.1.5.2. del Decreto 1082 de 2015.</w:t>
      </w:r>
    </w:p>
    <w:p w14:paraId="609FB5D7" w14:textId="77777777" w:rsidR="00BF629D" w:rsidRPr="00C03719" w:rsidRDefault="00BF629D" w:rsidP="00BF629D">
      <w:pPr>
        <w:pStyle w:val="Textonotapie"/>
        <w:ind w:firstLine="709"/>
        <w:jc w:val="both"/>
        <w:rPr>
          <w:rFonts w:ascii="Arial" w:hAnsi="Arial" w:cs="Arial"/>
          <w:color w:val="000000" w:themeColor="text1"/>
          <w:sz w:val="19"/>
          <w:szCs w:val="19"/>
        </w:rPr>
      </w:pPr>
    </w:p>
  </w:footnote>
  <w:footnote w:id="3">
    <w:p w14:paraId="6A0FD065"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DÁVILA VINUEZA, Luis Guillermo. Régimen jurídico de la contratación estatal. 3ª ed. Bogotá: Legis, 2016. p. 463.</w:t>
      </w:r>
    </w:p>
    <w:p w14:paraId="7BBAA3FB" w14:textId="77777777" w:rsidR="00BF629D" w:rsidRPr="00C03719" w:rsidRDefault="00BF629D" w:rsidP="00BF629D">
      <w:pPr>
        <w:pStyle w:val="Textonotapie"/>
        <w:ind w:firstLine="709"/>
        <w:jc w:val="both"/>
        <w:rPr>
          <w:rFonts w:ascii="Arial" w:hAnsi="Arial" w:cs="Arial"/>
          <w:color w:val="000000" w:themeColor="text1"/>
          <w:sz w:val="19"/>
          <w:szCs w:val="19"/>
        </w:rPr>
      </w:pPr>
    </w:p>
  </w:footnote>
  <w:footnote w:id="4">
    <w:p w14:paraId="4231C699"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0A9CC383"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»Para</w:t>
      </w:r>
      <w:proofErr w:type="gramEnd"/>
      <w:r w:rsidRPr="00C03719">
        <w:rPr>
          <w:rFonts w:ascii="Arial" w:hAnsi="Arial" w:cs="Arial"/>
          <w:color w:val="000000" w:themeColor="text1"/>
          <w:sz w:val="19"/>
          <w:szCs w:val="19"/>
        </w:rPr>
        <w:t xml:space="preserve"> las entidades que tengan un presupuesto anual superior o igual a 1.200.000 salarios mínimos legales mensuales, la menor cuantía será hasta 1.000 salarios mínimos legales mensuales.</w:t>
      </w:r>
    </w:p>
    <w:p w14:paraId="3B052998"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»Las</w:t>
      </w:r>
      <w:proofErr w:type="gramEnd"/>
      <w:r w:rsidRPr="00C03719">
        <w:rPr>
          <w:rFonts w:ascii="Arial" w:hAnsi="Arial" w:cs="Arial"/>
          <w:color w:val="000000" w:themeColor="text1"/>
          <w:sz w:val="19"/>
          <w:szCs w:val="19"/>
        </w:rPr>
        <w:t xml:space="preserve"> que tengan un presupuesto anual superior o igual a 850.000 salarios mínimos legales mensuales e inferiores a 1.200.000 salarios mínimos legales mensuales, la menor cuantía será hasta 850 salarios mínimos legales mensuales.</w:t>
      </w:r>
    </w:p>
    <w:p w14:paraId="50197E1D"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»Las</w:t>
      </w:r>
      <w:proofErr w:type="gramEnd"/>
      <w:r w:rsidRPr="00C03719">
        <w:rPr>
          <w:rFonts w:ascii="Arial" w:hAnsi="Arial" w:cs="Arial"/>
          <w:color w:val="000000" w:themeColor="text1"/>
          <w:sz w:val="19"/>
          <w:szCs w:val="19"/>
        </w:rPr>
        <w:t xml:space="preserve"> que tengan un presupuesto anual superior o igual a 400.000 salarios mínimos legales mensuales e inferior a 850.000 salarios mínimos legales mensuales, la menor cuantía será hasta 650 salarios mínimos legales mensuales.</w:t>
      </w:r>
    </w:p>
    <w:p w14:paraId="7D080CD4"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»Las</w:t>
      </w:r>
      <w:proofErr w:type="gramEnd"/>
      <w:r w:rsidRPr="00C03719">
        <w:rPr>
          <w:rFonts w:ascii="Arial" w:hAnsi="Arial" w:cs="Arial"/>
          <w:color w:val="000000" w:themeColor="text1"/>
          <w:sz w:val="19"/>
          <w:szCs w:val="19"/>
        </w:rPr>
        <w:t xml:space="preserve"> que tengan un presupuesto anual superior o igual a 120.000 salarios mínimos legales mensuales e inferior a 400.000 salarios mínimos legales mensuales, la menor cuantía será hasta 450 salarios mínimos legales mensuales.</w:t>
      </w:r>
    </w:p>
    <w:p w14:paraId="38E1093E"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»Las</w:t>
      </w:r>
      <w:proofErr w:type="gramEnd"/>
      <w:r w:rsidRPr="00C03719">
        <w:rPr>
          <w:rFonts w:ascii="Arial" w:hAnsi="Arial" w:cs="Arial"/>
          <w:color w:val="000000" w:themeColor="text1"/>
          <w:sz w:val="19"/>
          <w:szCs w:val="19"/>
        </w:rPr>
        <w:t xml:space="preserve"> que tengan un presupuesto anual inferior a 120.000 salarios mínimos legales mensuales, la menor cuantía será hasta 280 salarios mínimos legales mensuales».</w:t>
      </w:r>
    </w:p>
    <w:p w14:paraId="2C2C5C7A" w14:textId="77777777" w:rsidR="00BF629D" w:rsidRPr="00C03719" w:rsidRDefault="00BF629D" w:rsidP="00BF629D">
      <w:pPr>
        <w:pStyle w:val="Textonotapie"/>
        <w:ind w:firstLine="709"/>
        <w:jc w:val="both"/>
        <w:rPr>
          <w:rFonts w:ascii="Arial" w:hAnsi="Arial" w:cs="Arial"/>
          <w:color w:val="000000" w:themeColor="text1"/>
          <w:sz w:val="19"/>
          <w:szCs w:val="19"/>
        </w:rPr>
      </w:pPr>
    </w:p>
  </w:footnote>
  <w:footnote w:id="5">
    <w:p w14:paraId="3CE47CB4"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Agencia Nacional de Contratación Pública – Colombia Compra Eficiente. Manual de la Modalidad de Selección de Mínima Cuantía M-MSMC-03. En: https://www.colombiacompra.gov.co/sites/cce_public/files/cce_documents/manual_de_la_modalidad_de_seleccion_de_minima_cuantia.pdf</w:t>
      </w:r>
    </w:p>
    <w:p w14:paraId="2490CAB4" w14:textId="77777777" w:rsidR="00BF629D" w:rsidRPr="00C03719" w:rsidRDefault="00BF629D" w:rsidP="00BF629D">
      <w:pPr>
        <w:pStyle w:val="Textonotapie"/>
        <w:ind w:firstLine="709"/>
        <w:jc w:val="both"/>
        <w:rPr>
          <w:rFonts w:ascii="Arial" w:hAnsi="Arial" w:cs="Arial"/>
          <w:color w:val="000000" w:themeColor="text1"/>
          <w:sz w:val="19"/>
          <w:szCs w:val="19"/>
        </w:rPr>
      </w:pPr>
    </w:p>
  </w:footnote>
  <w:footnote w:id="6">
    <w:p w14:paraId="61BD0F8A"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Como lo indica la doctrina, en la mínima cuantía «El precio es el factor de selección del proponente. Es decir, la </w:t>
      </w:r>
      <w:r w:rsidRPr="00C03719">
        <w:rPr>
          <w:rFonts w:ascii="Arial" w:hAnsi="Arial" w:cs="Arial"/>
          <w:i/>
          <w:iCs/>
          <w:color w:val="000000" w:themeColor="text1"/>
          <w:sz w:val="19"/>
          <w:szCs w:val="19"/>
        </w:rPr>
        <w:t>entidad estatal</w:t>
      </w:r>
      <w:r w:rsidRPr="00C03719">
        <w:rPr>
          <w:rFonts w:ascii="Arial" w:hAnsi="Arial" w:cs="Arial"/>
          <w:color w:val="000000" w:themeColor="text1"/>
          <w:sz w:val="19"/>
          <w:szCs w:val="19"/>
        </w:rPr>
        <w:t xml:space="preserve"> debe adjudicar el </w:t>
      </w:r>
      <w:r w:rsidRPr="00C03719">
        <w:rPr>
          <w:rFonts w:ascii="Arial" w:hAnsi="Arial" w:cs="Arial"/>
          <w:i/>
          <w:iCs/>
          <w:color w:val="000000" w:themeColor="text1"/>
          <w:sz w:val="19"/>
          <w:szCs w:val="19"/>
        </w:rPr>
        <w:t>proceso de contratación</w:t>
      </w:r>
      <w:r w:rsidRPr="00C03719">
        <w:rPr>
          <w:rFonts w:ascii="Arial" w:hAnsi="Arial" w:cs="Arial"/>
          <w:color w:val="000000" w:themeColor="text1"/>
          <w:sz w:val="19"/>
          <w:szCs w:val="19"/>
        </w:rPr>
        <w:t xml:space="preserve"> al oferente que cumpla con todas las condiciones exigidas por la </w:t>
      </w:r>
      <w:r w:rsidRPr="00C03719">
        <w:rPr>
          <w:rFonts w:ascii="Arial" w:hAnsi="Arial" w:cs="Arial"/>
          <w:i/>
          <w:iCs/>
          <w:color w:val="000000" w:themeColor="text1"/>
          <w:sz w:val="19"/>
          <w:szCs w:val="19"/>
        </w:rPr>
        <w:t>entidad estatal</w:t>
      </w:r>
      <w:r w:rsidRPr="00C03719">
        <w:rPr>
          <w:rFonts w:ascii="Arial" w:hAnsi="Arial" w:cs="Arial"/>
          <w:color w:val="000000" w:themeColor="text1"/>
          <w:sz w:val="19"/>
          <w:szCs w:val="19"/>
        </w:rPr>
        <w:t xml:space="preserve"> en los </w:t>
      </w:r>
      <w:r w:rsidRPr="00C03719">
        <w:rPr>
          <w:rFonts w:ascii="Arial" w:hAnsi="Arial" w:cs="Arial"/>
          <w:i/>
          <w:iCs/>
          <w:color w:val="000000" w:themeColor="text1"/>
          <w:sz w:val="19"/>
          <w:szCs w:val="19"/>
        </w:rPr>
        <w:t>documentos del proceso</w:t>
      </w:r>
      <w:r w:rsidRPr="00C03719">
        <w:rPr>
          <w:rFonts w:ascii="Arial" w:hAnsi="Arial" w:cs="Arial"/>
          <w:color w:val="000000" w:themeColor="text1"/>
          <w:sz w:val="19"/>
          <w:szCs w:val="19"/>
        </w:rPr>
        <w:t xml:space="preserve"> (estudios previos e invitación a participar), y que ofrezca el menor valor. No hay lugar a puntajes para evaluar las ofertas sobre las características del objeto a contratar, su calidad o condiciones» (DÁVILA, </w:t>
      </w:r>
      <w:proofErr w:type="spellStart"/>
      <w:r w:rsidRPr="00C03719">
        <w:rPr>
          <w:rFonts w:ascii="Arial" w:hAnsi="Arial" w:cs="Arial"/>
          <w:color w:val="000000" w:themeColor="text1"/>
          <w:sz w:val="19"/>
          <w:szCs w:val="19"/>
        </w:rPr>
        <w:t>Op.cit</w:t>
      </w:r>
      <w:proofErr w:type="spellEnd"/>
      <w:r w:rsidRPr="00C03719">
        <w:rPr>
          <w:rFonts w:ascii="Arial" w:hAnsi="Arial" w:cs="Arial"/>
          <w:color w:val="000000" w:themeColor="text1"/>
          <w:sz w:val="19"/>
          <w:szCs w:val="19"/>
        </w:rPr>
        <w:t>., p. 515).</w:t>
      </w:r>
    </w:p>
    <w:p w14:paraId="2D0A0B28" w14:textId="77777777" w:rsidR="00BF629D" w:rsidRPr="00C03719" w:rsidRDefault="00BF629D" w:rsidP="00BF629D">
      <w:pPr>
        <w:pStyle w:val="Textonotapie"/>
        <w:ind w:firstLine="709"/>
        <w:jc w:val="both"/>
        <w:rPr>
          <w:rFonts w:ascii="Arial" w:hAnsi="Arial" w:cs="Arial"/>
          <w:color w:val="000000" w:themeColor="text1"/>
          <w:sz w:val="19"/>
          <w:szCs w:val="19"/>
        </w:rPr>
      </w:pPr>
    </w:p>
  </w:footnote>
  <w:footnote w:id="7">
    <w:p w14:paraId="755AD831"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Por su parte, las reglas de la mínima cuantía para la adquisición en grandes superficies están contenidas en el artículo 2.2.1.2.1.5.3. del Decreto 1082 de 2015, así: «Las Entidades Estatales deben aplicar las siguientes reglas para adquirir bienes hasta por el monto de su mínima cuantía en Grandes Superficies:</w:t>
      </w:r>
    </w:p>
    <w:p w14:paraId="3924C7C3"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la cotización, y e) la disponibilidad presupuestal.</w:t>
      </w:r>
    </w:p>
    <w:p w14:paraId="53105656"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»2. La Entidad Estatal debe evaluar las cotizaciones presentadas y seleccionar a quien, con las condiciones requeridas, ofrezca el menor precio del mercado y aceptar la mejor oferta.</w:t>
      </w:r>
    </w:p>
    <w:p w14:paraId="34CCFA8F"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»3. En caso de empate, la Entidad Estatal aceptará la oferta que haya sido presentada primero en el tiempo.</w:t>
      </w:r>
    </w:p>
    <w:p w14:paraId="36B50735"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»4. La oferta y su aceptación constituyen el contrato».</w:t>
      </w:r>
    </w:p>
    <w:p w14:paraId="59E24C20" w14:textId="77777777" w:rsidR="00BF629D" w:rsidRPr="00C03719" w:rsidRDefault="00BF629D" w:rsidP="00BF629D">
      <w:pPr>
        <w:pStyle w:val="Textonotapie"/>
        <w:ind w:firstLine="709"/>
        <w:jc w:val="both"/>
        <w:rPr>
          <w:rFonts w:ascii="Arial" w:hAnsi="Arial" w:cs="Arial"/>
          <w:color w:val="000000" w:themeColor="text1"/>
          <w:sz w:val="19"/>
          <w:szCs w:val="19"/>
        </w:rPr>
      </w:pPr>
    </w:p>
  </w:footnote>
  <w:footnote w:id="8">
    <w:p w14:paraId="598F5997"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El contenido del enunciado normativo es el siguiente: «La escogencia del contratista se efectuará con arreglo a las modalidades de selección de licitación pública, selección abreviada, concurso de méritos y contratación directa, con base en las siguientes reglas:</w:t>
      </w:r>
    </w:p>
    <w:p w14:paraId="6B6CDA42"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w:t>
      </w:r>
    </w:p>
    <w:p w14:paraId="49FDFF1A"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 xml:space="preserve">»2. Selección abreviada. La Selección abreviada corresponde a la modalidad de selección objetiva prevista para aquellos casos en </w:t>
      </w:r>
      <w:proofErr w:type="gramStart"/>
      <w:r w:rsidRPr="00C03719">
        <w:rPr>
          <w:rFonts w:ascii="Arial" w:hAnsi="Arial" w:cs="Arial"/>
          <w:color w:val="000000" w:themeColor="text1"/>
          <w:sz w:val="19"/>
          <w:szCs w:val="19"/>
        </w:rPr>
        <w:t>que</w:t>
      </w:r>
      <w:proofErr w:type="gramEnd"/>
      <w:r w:rsidRPr="00C03719">
        <w:rPr>
          <w:rFonts w:ascii="Arial" w:hAnsi="Arial" w:cs="Arial"/>
          <w:color w:val="000000" w:themeColor="text1"/>
          <w:sz w:val="19"/>
          <w:szCs w:val="19"/>
        </w:rPr>
        <w:t xml:space="preserve"> por las características del objeto a contratar, las circunstancias de la contratación o la cuantía o destinación del bien, obra o servicio, puedan adelantarse procesos simplificados para garantizar la eficiencia de la gestión contractual.</w:t>
      </w:r>
    </w:p>
    <w:p w14:paraId="30305C4B"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w:t>
      </w:r>
    </w:p>
    <w:p w14:paraId="4A51668A"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»Serán</w:t>
      </w:r>
      <w:proofErr w:type="gramEnd"/>
      <w:r w:rsidRPr="00C03719">
        <w:rPr>
          <w:rFonts w:ascii="Arial" w:hAnsi="Arial" w:cs="Arial"/>
          <w:color w:val="000000" w:themeColor="text1"/>
          <w:sz w:val="19"/>
          <w:szCs w:val="19"/>
        </w:rPr>
        <w:t xml:space="preserve"> causales de selección abreviada las siguientes:</w:t>
      </w:r>
    </w:p>
    <w:p w14:paraId="2FD785F0"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»a</w:t>
      </w:r>
      <w:proofErr w:type="gramEnd"/>
      <w:r w:rsidRPr="00C03719">
        <w:rPr>
          <w:rFonts w:ascii="Arial" w:hAnsi="Arial" w:cs="Arial"/>
          <w:color w:val="000000" w:themeColor="text1"/>
          <w:sz w:val="19"/>
          <w:szCs w:val="19"/>
        </w:rPr>
        <w:t>)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7A3A1ECD" w14:textId="77777777" w:rsidR="00BF629D" w:rsidRPr="00C03719" w:rsidRDefault="00BF629D" w:rsidP="00BF629D">
      <w:pPr>
        <w:pStyle w:val="Textonotapie"/>
        <w:ind w:firstLine="709"/>
        <w:jc w:val="both"/>
        <w:rPr>
          <w:rFonts w:ascii="Arial" w:hAnsi="Arial" w:cs="Arial"/>
          <w:color w:val="000000" w:themeColor="text1"/>
          <w:sz w:val="19"/>
          <w:szCs w:val="19"/>
        </w:rPr>
      </w:pPr>
      <w:proofErr w:type="gramStart"/>
      <w:r w:rsidRPr="00C03719">
        <w:rPr>
          <w:rFonts w:ascii="Arial" w:hAnsi="Arial" w:cs="Arial"/>
          <w:color w:val="000000" w:themeColor="text1"/>
          <w:sz w:val="19"/>
          <w:szCs w:val="19"/>
        </w:rPr>
        <w:t>»Para</w:t>
      </w:r>
      <w:proofErr w:type="gramEnd"/>
      <w:r w:rsidRPr="00C03719">
        <w:rPr>
          <w:rFonts w:ascii="Arial" w:hAnsi="Arial" w:cs="Arial"/>
          <w:color w:val="000000" w:themeColor="text1"/>
          <w:sz w:val="19"/>
          <w:szCs w:val="19"/>
        </w:rPr>
        <w:t xml:space="preserve">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w:t>
      </w:r>
    </w:p>
    <w:p w14:paraId="22BC9DC7" w14:textId="77777777" w:rsidR="00BF629D" w:rsidRPr="00C03719" w:rsidRDefault="00BF629D" w:rsidP="00BF629D">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w:t>
      </w:r>
    </w:p>
    <w:p w14:paraId="38FDA626" w14:textId="77777777" w:rsidR="00BF629D" w:rsidRPr="00C03719" w:rsidRDefault="00BF629D" w:rsidP="00BF629D">
      <w:pPr>
        <w:pStyle w:val="Textonotapie"/>
        <w:ind w:firstLine="709"/>
        <w:jc w:val="both"/>
        <w:rPr>
          <w:rFonts w:ascii="Arial" w:hAnsi="Arial" w:cs="Arial"/>
          <w:color w:val="000000" w:themeColor="text1"/>
          <w:sz w:val="19"/>
          <w:szCs w:val="19"/>
        </w:rPr>
      </w:pPr>
    </w:p>
  </w:footnote>
  <w:footnote w:id="9">
    <w:p w14:paraId="75DBC4E3" w14:textId="77777777" w:rsidR="00BF629D" w:rsidRPr="00C03719" w:rsidRDefault="00BF629D" w:rsidP="00BF629D">
      <w:pPr>
        <w:pStyle w:val="Textonotapie"/>
        <w:ind w:firstLine="709"/>
        <w:jc w:val="both"/>
        <w:rPr>
          <w:rFonts w:ascii="Arial" w:hAnsi="Arial" w:cs="Arial"/>
          <w:color w:val="000000" w:themeColor="text1"/>
          <w:sz w:val="19"/>
          <w:szCs w:val="19"/>
          <w:lang w:val="es-ES_tradnl"/>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Agencia Nacional de Contratación Pública – Colombia Compra Eficiente. </w:t>
      </w:r>
      <w:r w:rsidRPr="00C03719">
        <w:rPr>
          <w:rFonts w:ascii="Arial" w:hAnsi="Arial" w:cs="Arial"/>
          <w:color w:val="000000" w:themeColor="text1"/>
          <w:sz w:val="19"/>
          <w:szCs w:val="19"/>
          <w:lang w:val="es-ES_tradnl"/>
        </w:rPr>
        <w:t xml:space="preserve">Guía para entender los acuerdos marcos de precio. G-EAMP-001. En: https://www.colombiacompra.gov.co/sites/cce_public/files/cce_documents/cce_guia_entender_acuerdos_marco.pdf </w:t>
      </w:r>
    </w:p>
    <w:p w14:paraId="0B1D2471" w14:textId="77777777" w:rsidR="00BF629D" w:rsidRPr="00C03719" w:rsidRDefault="00BF629D" w:rsidP="00BF629D">
      <w:pPr>
        <w:pStyle w:val="Textonotapie"/>
        <w:ind w:firstLine="709"/>
        <w:jc w:val="both"/>
        <w:rPr>
          <w:rFonts w:ascii="Arial" w:hAnsi="Arial" w:cs="Arial"/>
          <w:color w:val="000000" w:themeColor="text1"/>
          <w:sz w:val="19"/>
          <w:szCs w:val="19"/>
          <w:lang w:val="es-ES_tradnl"/>
        </w:rPr>
      </w:pPr>
    </w:p>
  </w:footnote>
  <w:footnote w:id="10">
    <w:p w14:paraId="780BACC8" w14:textId="77777777" w:rsidR="00BF629D" w:rsidRPr="00C03719" w:rsidRDefault="00BF629D" w:rsidP="00BF629D">
      <w:pPr>
        <w:pStyle w:val="Textonotapie"/>
        <w:ind w:firstLine="709"/>
        <w:jc w:val="both"/>
        <w:rPr>
          <w:rFonts w:ascii="Arial" w:hAnsi="Arial" w:cs="Arial"/>
          <w:color w:val="000000" w:themeColor="text1"/>
          <w:sz w:val="19"/>
          <w:szCs w:val="19"/>
          <w:lang w:val="es-ES"/>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w:t>
      </w:r>
      <w:r w:rsidRPr="00C03719">
        <w:rPr>
          <w:rFonts w:ascii="Arial" w:hAnsi="Arial" w:cs="Arial"/>
          <w:color w:val="000000" w:themeColor="text1"/>
          <w:sz w:val="19"/>
          <w:szCs w:val="19"/>
          <w:lang w:val="es-ES"/>
        </w:rPr>
        <w:t>Al respecto, puede consultarse la Guía General de los Acuerdos Marco G-GAM-01, que contiene el instructivo para la utilización de la tienda virtual del Estado colombiano por parte de las entidades estatales. En: https://www.colombiacompra.gov.co/sites/cce_public/files/cce_tvec/cce_guia_general_de_los_acuerdos_marco.pdf</w:t>
      </w:r>
    </w:p>
    <w:p w14:paraId="72F07B86" w14:textId="77777777" w:rsidR="00BF629D" w:rsidRPr="00C03719" w:rsidRDefault="00BF629D" w:rsidP="00BF629D">
      <w:pPr>
        <w:pStyle w:val="Textonotapie"/>
        <w:ind w:firstLine="709"/>
        <w:jc w:val="both"/>
        <w:rPr>
          <w:rFonts w:ascii="Arial" w:hAnsi="Arial" w:cs="Arial"/>
          <w:color w:val="000000" w:themeColor="text1"/>
          <w:sz w:val="19"/>
          <w:szCs w:val="19"/>
          <w:lang w:val="es-ES"/>
        </w:rPr>
      </w:pPr>
    </w:p>
  </w:footnote>
  <w:footnote w:id="11">
    <w:p w14:paraId="0EBFC216" w14:textId="77777777" w:rsidR="00BF629D" w:rsidRPr="00C03719" w:rsidRDefault="00BF629D" w:rsidP="00BF629D">
      <w:pPr>
        <w:pStyle w:val="Textonotapie"/>
        <w:ind w:firstLine="709"/>
        <w:jc w:val="both"/>
        <w:rPr>
          <w:rFonts w:ascii="Arial" w:hAnsi="Arial" w:cs="Arial"/>
          <w:color w:val="000000" w:themeColor="text1"/>
          <w:sz w:val="19"/>
          <w:szCs w:val="19"/>
          <w:lang w:val="es-ES"/>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w:t>
      </w:r>
      <w:r w:rsidRPr="00C03719">
        <w:rPr>
          <w:rFonts w:ascii="Arial" w:hAnsi="Arial" w:cs="Arial"/>
          <w:color w:val="000000" w:themeColor="text1"/>
          <w:sz w:val="19"/>
          <w:szCs w:val="19"/>
          <w:lang w:val="es-ES"/>
        </w:rPr>
        <w:t xml:space="preserve">Consejo de Estado. Sección Tercera. Subsección A. Auto del 29 de marzo de 2017. </w:t>
      </w:r>
      <w:proofErr w:type="spellStart"/>
      <w:r w:rsidRPr="00C03719">
        <w:rPr>
          <w:rFonts w:ascii="Arial" w:hAnsi="Arial" w:cs="Arial"/>
          <w:color w:val="000000" w:themeColor="text1"/>
          <w:sz w:val="19"/>
          <w:szCs w:val="19"/>
          <w:lang w:val="es-ES"/>
        </w:rPr>
        <w:t>Exp</w:t>
      </w:r>
      <w:proofErr w:type="spellEnd"/>
      <w:r w:rsidRPr="00C03719">
        <w:rPr>
          <w:rFonts w:ascii="Arial" w:hAnsi="Arial" w:cs="Arial"/>
          <w:color w:val="000000" w:themeColor="text1"/>
          <w:sz w:val="19"/>
          <w:szCs w:val="19"/>
          <w:lang w:val="es-ES"/>
        </w:rPr>
        <w:t>. 56307. Consejero: Carlos Alberto Zambrano Barrera.</w:t>
      </w:r>
    </w:p>
    <w:p w14:paraId="6D8589F3" w14:textId="77777777" w:rsidR="00BF629D" w:rsidRPr="00C03719" w:rsidRDefault="00BF629D" w:rsidP="00BF629D">
      <w:pPr>
        <w:pStyle w:val="Textonotapie"/>
        <w:ind w:firstLine="709"/>
        <w:jc w:val="both"/>
        <w:rPr>
          <w:rFonts w:ascii="Arial" w:hAnsi="Arial" w:cs="Arial"/>
          <w:color w:val="000000" w:themeColor="text1"/>
          <w:sz w:val="19"/>
          <w:szCs w:val="19"/>
          <w:lang w:val="es-ES"/>
        </w:rPr>
      </w:pPr>
    </w:p>
  </w:footnote>
  <w:footnote w:id="12">
    <w:p w14:paraId="370A25D1" w14:textId="77777777" w:rsidR="00BF629D" w:rsidRPr="00C03719" w:rsidRDefault="00BF629D" w:rsidP="00BF629D">
      <w:pPr>
        <w:pStyle w:val="Textonotapie"/>
        <w:ind w:firstLine="709"/>
        <w:jc w:val="both"/>
        <w:rPr>
          <w:rFonts w:ascii="Arial" w:hAnsi="Arial" w:cs="Arial"/>
          <w:color w:val="000000" w:themeColor="text1"/>
          <w:sz w:val="19"/>
          <w:szCs w:val="19"/>
          <w:lang w:val="es-ES"/>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w:t>
      </w:r>
      <w:r w:rsidRPr="00C03719">
        <w:rPr>
          <w:rFonts w:ascii="Arial" w:hAnsi="Arial" w:cs="Arial"/>
          <w:color w:val="000000" w:themeColor="text1"/>
          <w:sz w:val="19"/>
          <w:szCs w:val="19"/>
          <w:lang w:val="es-ES"/>
        </w:rPr>
        <w:t>Esta ha sido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1B598431" w14:textId="77777777" w:rsidR="00BF629D" w:rsidRPr="00C03719" w:rsidRDefault="00BF629D" w:rsidP="00BF629D">
      <w:pPr>
        <w:pStyle w:val="Textonotapie"/>
        <w:ind w:firstLine="709"/>
        <w:jc w:val="both"/>
        <w:rPr>
          <w:rFonts w:ascii="Arial" w:hAnsi="Arial" w:cs="Arial"/>
          <w:color w:val="000000" w:themeColor="text1"/>
          <w:sz w:val="19"/>
          <w:szCs w:val="19"/>
          <w:lang w:val="es-ES"/>
        </w:rPr>
      </w:pPr>
      <w:proofErr w:type="gramStart"/>
      <w:r w:rsidRPr="00C03719">
        <w:rPr>
          <w:rFonts w:ascii="Arial" w:hAnsi="Arial" w:cs="Arial"/>
          <w:color w:val="000000" w:themeColor="text1"/>
          <w:sz w:val="19"/>
          <w:szCs w:val="19"/>
          <w:lang w:val="es-ES"/>
        </w:rPr>
        <w:t>»Por</w:t>
      </w:r>
      <w:proofErr w:type="gramEnd"/>
      <w:r w:rsidRPr="00C03719">
        <w:rPr>
          <w:rFonts w:ascii="Arial" w:hAnsi="Arial" w:cs="Arial"/>
          <w:color w:val="000000" w:themeColor="text1"/>
          <w:sz w:val="19"/>
          <w:szCs w:val="19"/>
          <w:lang w:val="es-ES"/>
        </w:rPr>
        <w:t xml:space="preserve">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5431074B" w14:textId="77777777" w:rsidR="00BF629D" w:rsidRPr="00C03719" w:rsidRDefault="00BF629D" w:rsidP="00BF629D">
      <w:pPr>
        <w:pStyle w:val="Textonotapie"/>
        <w:ind w:firstLine="709"/>
        <w:jc w:val="both"/>
        <w:rPr>
          <w:rFonts w:ascii="Arial" w:hAnsi="Arial" w:cs="Arial"/>
          <w:color w:val="000000" w:themeColor="text1"/>
          <w:sz w:val="19"/>
          <w:szCs w:val="19"/>
          <w:lang w:val="es-ES"/>
        </w:rPr>
      </w:pPr>
      <w:r w:rsidRPr="00C03719">
        <w:rPr>
          <w:rFonts w:ascii="Arial" w:hAnsi="Arial" w:cs="Arial"/>
          <w:color w:val="000000" w:themeColor="text1"/>
          <w:sz w:val="19"/>
          <w:szCs w:val="19"/>
          <w:lang w:val="es-ES"/>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p w14:paraId="77F1AAA0" w14:textId="77777777" w:rsidR="00BF629D" w:rsidRPr="00C03719" w:rsidRDefault="00BF629D" w:rsidP="00BF629D">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D1037" w14:textId="77777777" w:rsidR="008572A6" w:rsidRDefault="008572A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A1FA8" w14:textId="77777777" w:rsidR="008572A6" w:rsidRDefault="008572A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9BAD89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942EB"/>
    <w:rsid w:val="000B103F"/>
    <w:rsid w:val="000F14E8"/>
    <w:rsid w:val="00103915"/>
    <w:rsid w:val="00122B23"/>
    <w:rsid w:val="00137FFA"/>
    <w:rsid w:val="00234B84"/>
    <w:rsid w:val="002B139C"/>
    <w:rsid w:val="003033BA"/>
    <w:rsid w:val="0034680A"/>
    <w:rsid w:val="00386456"/>
    <w:rsid w:val="003A581E"/>
    <w:rsid w:val="004422D6"/>
    <w:rsid w:val="004A34D2"/>
    <w:rsid w:val="0051074C"/>
    <w:rsid w:val="00513AF2"/>
    <w:rsid w:val="0054413A"/>
    <w:rsid w:val="005564CA"/>
    <w:rsid w:val="00655371"/>
    <w:rsid w:val="00697665"/>
    <w:rsid w:val="006A7FD0"/>
    <w:rsid w:val="006C6FF1"/>
    <w:rsid w:val="006D7687"/>
    <w:rsid w:val="006E0572"/>
    <w:rsid w:val="00705631"/>
    <w:rsid w:val="00742DD2"/>
    <w:rsid w:val="0075647A"/>
    <w:rsid w:val="007634AD"/>
    <w:rsid w:val="0078122E"/>
    <w:rsid w:val="007B0854"/>
    <w:rsid w:val="007F72CB"/>
    <w:rsid w:val="00830E33"/>
    <w:rsid w:val="0083119B"/>
    <w:rsid w:val="00836EAB"/>
    <w:rsid w:val="0085092D"/>
    <w:rsid w:val="008572A6"/>
    <w:rsid w:val="008E1C15"/>
    <w:rsid w:val="009047C5"/>
    <w:rsid w:val="00931731"/>
    <w:rsid w:val="0095385A"/>
    <w:rsid w:val="00A24560"/>
    <w:rsid w:val="00A34538"/>
    <w:rsid w:val="00AA442B"/>
    <w:rsid w:val="00B22E22"/>
    <w:rsid w:val="00B525CB"/>
    <w:rsid w:val="00B63CB2"/>
    <w:rsid w:val="00BB4894"/>
    <w:rsid w:val="00BC5AD2"/>
    <w:rsid w:val="00BD78FE"/>
    <w:rsid w:val="00BF629D"/>
    <w:rsid w:val="00C03719"/>
    <w:rsid w:val="00C644E7"/>
    <w:rsid w:val="00CC00CD"/>
    <w:rsid w:val="00D16E39"/>
    <w:rsid w:val="00D72E9D"/>
    <w:rsid w:val="00D82CE5"/>
    <w:rsid w:val="00DA5AB1"/>
    <w:rsid w:val="00DC62E5"/>
    <w:rsid w:val="00DD735D"/>
    <w:rsid w:val="00DE3119"/>
    <w:rsid w:val="00DF236B"/>
    <w:rsid w:val="00E13AB8"/>
    <w:rsid w:val="00E33B62"/>
    <w:rsid w:val="00E76A0F"/>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customStyle="1" w:styleId="Default">
    <w:name w:val="Default"/>
    <w:rsid w:val="00E76A0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6E89349-373B-4CB0-A8F5-80C3E0570CFC}">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2C574C1-F56E-4F70-8F3E-039686D4E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0941D1-DA8F-48B5-AC4B-1F7759F4E87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11</Pages>
  <Words>3465</Words>
  <Characters>19060</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8</cp:revision>
  <dcterms:created xsi:type="dcterms:W3CDTF">2020-03-03T19:52:00Z</dcterms:created>
  <dcterms:modified xsi:type="dcterms:W3CDTF">2020-08-03T20:53:00Z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