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A159D" w14:textId="0129CA18" w:rsidR="00C4268F" w:rsidRPr="00C4268F" w:rsidRDefault="00C4268F" w:rsidP="00106EF9">
      <w:pPr>
        <w:spacing w:after="0" w:line="240" w:lineRule="auto"/>
        <w:rPr>
          <w:rFonts w:ascii="Verdana" w:hAnsi="Verdana" w:cs="Arial"/>
          <w:b/>
          <w:bCs/>
          <w:lang w:val="es-ES" w:eastAsia="es-ES"/>
        </w:rPr>
      </w:pPr>
      <w:bookmarkStart w:id="0" w:name="_Hlk143780582"/>
      <w:r w:rsidRPr="00C4268F">
        <w:rPr>
          <w:rFonts w:ascii="Verdana" w:hAnsi="Verdana" w:cs="Arial"/>
          <w:b/>
          <w:bCs/>
          <w:lang w:val="es-ES" w:eastAsia="es-ES"/>
        </w:rPr>
        <w:t xml:space="preserve">LICITACIÓN PÚBLICA –Modalidad de selección –regla general  </w:t>
      </w:r>
    </w:p>
    <w:p w14:paraId="6FC88AC4" w14:textId="77777777" w:rsidR="00C4268F" w:rsidRDefault="00C4268F" w:rsidP="00106EF9">
      <w:pPr>
        <w:spacing w:after="0" w:line="240" w:lineRule="auto"/>
        <w:jc w:val="both"/>
        <w:rPr>
          <w:rFonts w:ascii="Verdana" w:eastAsia="Calibri" w:hAnsi="Verdana" w:cs="Arial"/>
          <w:bCs/>
          <w:sz w:val="20"/>
          <w:szCs w:val="20"/>
          <w:lang w:val="es-ES_tradnl" w:eastAsia="es-ES_tradnl"/>
        </w:rPr>
      </w:pPr>
    </w:p>
    <w:p w14:paraId="1C8A7F89" w14:textId="10BD593F" w:rsidR="009C2DD0" w:rsidRPr="003528DF" w:rsidRDefault="00C052F8" w:rsidP="00106EF9">
      <w:pPr>
        <w:spacing w:after="0" w:line="240" w:lineRule="auto"/>
        <w:jc w:val="both"/>
        <w:rPr>
          <w:rFonts w:ascii="Verdana" w:hAnsi="Verdana" w:cs="Arial"/>
          <w:sz w:val="20"/>
          <w:szCs w:val="20"/>
          <w:lang w:val="es-ES" w:eastAsia="es-ES"/>
        </w:rPr>
      </w:pPr>
      <w:r w:rsidRPr="00C052F8">
        <w:rPr>
          <w:rFonts w:ascii="Verdana" w:eastAsia="Calibri" w:hAnsi="Verdana" w:cs="Arial"/>
          <w:bCs/>
          <w:sz w:val="20"/>
          <w:szCs w:val="20"/>
          <w:lang w:val="es-ES_tradnl" w:eastAsia="es-ES_tradnl"/>
        </w:rPr>
        <w:t>P</w:t>
      </w:r>
      <w:r w:rsidRPr="00C052F8">
        <w:rPr>
          <w:rFonts w:ascii="Verdana" w:eastAsia="Calibri" w:hAnsi="Verdana" w:cs="Arial"/>
          <w:bCs/>
          <w:sz w:val="20"/>
          <w:szCs w:val="20"/>
          <w:lang w:val="es-ES" w:eastAsia="es-ES_tradnl"/>
        </w:rPr>
        <w:t xml:space="preserve">ara las entidades sometidas al Estatuto General de Contratación de la Administración Pública, los procesos de selección se rigen por </w:t>
      </w:r>
      <w:r w:rsidRPr="00C052F8">
        <w:rPr>
          <w:rFonts w:ascii="Verdana" w:eastAsia="Calibri" w:hAnsi="Verdana" w:cs="Arial"/>
          <w:bCs/>
          <w:sz w:val="20"/>
          <w:szCs w:val="20"/>
          <w:lang w:val="es-ES_tradnl" w:eastAsia="es-ES_tradnl"/>
        </w:rPr>
        <w:t>el artículo 2 de la Ley 1150 de 2007</w:t>
      </w:r>
      <w:r w:rsidRPr="00C052F8">
        <w:rPr>
          <w:rFonts w:ascii="Verdana" w:eastAsia="Calibri" w:hAnsi="Verdana" w:cs="Arial"/>
          <w:bCs/>
          <w:sz w:val="20"/>
          <w:szCs w:val="20"/>
          <w:lang w:val="es-ES" w:eastAsia="es-ES_tradnl"/>
        </w:rPr>
        <w:t xml:space="preserve">. El </w:t>
      </w:r>
      <w:r w:rsidRPr="00C052F8">
        <w:rPr>
          <w:rFonts w:ascii="Verdana" w:eastAsia="Calibri" w:hAnsi="Verdana" w:cs="Arial"/>
          <w:bCs/>
          <w:sz w:val="20"/>
          <w:szCs w:val="20"/>
          <w:lang w:val="es-MX" w:eastAsia="es-ES_tradnl"/>
        </w:rPr>
        <w:t>numeral uno, inciso primero, de la norma citada</w:t>
      </w:r>
      <w:r w:rsidRPr="00C052F8">
        <w:rPr>
          <w:rFonts w:ascii="Verdana" w:eastAsia="Calibri" w:hAnsi="Verdana" w:cs="Arial"/>
          <w:bCs/>
          <w:sz w:val="20"/>
          <w:szCs w:val="20"/>
          <w:lang w:val="es-ES_tradnl" w:eastAsia="es-ES_tradnl"/>
        </w:rPr>
        <w:t xml:space="preserve"> </w:t>
      </w:r>
      <w:r w:rsidRPr="00C052F8">
        <w:rPr>
          <w:rFonts w:ascii="Verdana" w:eastAsia="Calibri" w:hAnsi="Verdana" w:cs="Arial"/>
          <w:bCs/>
          <w:sz w:val="20"/>
          <w:szCs w:val="20"/>
          <w:lang w:val="es-MX" w:eastAsia="es-ES_tradnl"/>
        </w:rPr>
        <w:t xml:space="preserve">dispone que “La escogencia del contratista se efectuará por </w:t>
      </w:r>
      <w:r w:rsidRPr="00C052F8">
        <w:rPr>
          <w:rFonts w:ascii="Verdana" w:eastAsia="Calibri" w:hAnsi="Verdana" w:cs="Arial"/>
          <w:bCs/>
          <w:i/>
          <w:iCs/>
          <w:sz w:val="20"/>
          <w:szCs w:val="20"/>
          <w:lang w:val="es-MX" w:eastAsia="es-ES_tradnl"/>
        </w:rPr>
        <w:t>regla general</w:t>
      </w:r>
      <w:r w:rsidRPr="00C052F8">
        <w:rPr>
          <w:rFonts w:ascii="Verdana" w:eastAsia="Calibri" w:hAnsi="Verdana" w:cs="Arial"/>
          <w:bCs/>
          <w:sz w:val="20"/>
          <w:szCs w:val="20"/>
          <w:lang w:val="es-MX" w:eastAsia="es-ES_tradnl"/>
        </w:rPr>
        <w:t xml:space="preserve"> a través de licitación pública, con las </w:t>
      </w:r>
      <w:r w:rsidRPr="00C052F8">
        <w:rPr>
          <w:rFonts w:ascii="Verdana" w:eastAsia="Calibri" w:hAnsi="Verdana" w:cs="Arial"/>
          <w:bCs/>
          <w:i/>
          <w:iCs/>
          <w:sz w:val="20"/>
          <w:szCs w:val="20"/>
          <w:lang w:val="es-MX" w:eastAsia="es-ES_tradnl"/>
        </w:rPr>
        <w:t>excepciones</w:t>
      </w:r>
      <w:r w:rsidRPr="00C052F8">
        <w:rPr>
          <w:rFonts w:ascii="Verdana" w:eastAsia="Calibri" w:hAnsi="Verdana" w:cs="Arial"/>
          <w:bCs/>
          <w:sz w:val="20"/>
          <w:szCs w:val="20"/>
          <w:lang w:val="es-MX" w:eastAsia="es-ES_tradnl"/>
        </w:rPr>
        <w:t xml:space="preserve"> que se señalan en los numerales 2, 3 y 4 del presente artículo”, norma que sustituye el derogado numeral 1 del artículo 24 de la Ley 80 de 1993 sobre el principio de transparencia</w:t>
      </w:r>
      <w:r>
        <w:rPr>
          <w:rFonts w:ascii="Verdana" w:eastAsia="Calibri" w:hAnsi="Verdana" w:cs="Arial"/>
          <w:bCs/>
          <w:sz w:val="20"/>
          <w:szCs w:val="20"/>
          <w:lang w:val="es-MX" w:eastAsia="es-ES_tradnl"/>
        </w:rPr>
        <w:t>.</w:t>
      </w:r>
      <w:r>
        <w:rPr>
          <w:rFonts w:ascii="Verdana" w:eastAsia="Calibri" w:hAnsi="Verdana" w:cs="Arial"/>
          <w:bCs/>
          <w:sz w:val="20"/>
          <w:szCs w:val="20"/>
          <w:vertAlign w:val="superscript"/>
          <w:lang w:val="es-MX" w:eastAsia="es-ES_tradnl"/>
        </w:rPr>
        <w:t xml:space="preserve"> </w:t>
      </w:r>
    </w:p>
    <w:p w14:paraId="1B57D85C" w14:textId="77777777" w:rsidR="00C4268F" w:rsidRDefault="00C4268F" w:rsidP="00106EF9">
      <w:pPr>
        <w:spacing w:after="0" w:line="240" w:lineRule="auto"/>
        <w:rPr>
          <w:rFonts w:ascii="Verdana" w:hAnsi="Verdana" w:cs="Arial"/>
          <w:b/>
          <w:bCs/>
          <w:lang w:val="es-ES" w:eastAsia="es-ES"/>
        </w:rPr>
      </w:pPr>
    </w:p>
    <w:p w14:paraId="62D5B8B0" w14:textId="5C17E277" w:rsidR="009C2DD0" w:rsidRPr="002C379A" w:rsidRDefault="00C4268F" w:rsidP="00106EF9">
      <w:pPr>
        <w:spacing w:after="0" w:line="240" w:lineRule="auto"/>
        <w:rPr>
          <w:rFonts w:ascii="Verdana" w:hAnsi="Verdana" w:cs="Arial"/>
          <w:b/>
          <w:bCs/>
          <w:lang w:val="es-ES" w:eastAsia="es-ES"/>
        </w:rPr>
      </w:pPr>
      <w:r w:rsidRPr="00C4268F">
        <w:rPr>
          <w:rFonts w:ascii="Verdana" w:hAnsi="Verdana" w:cs="Arial"/>
          <w:b/>
          <w:bCs/>
          <w:lang w:val="es-ES" w:eastAsia="es-ES"/>
        </w:rPr>
        <w:t xml:space="preserve">BIENES Y SERVICIOS DE CARACTERÍSTICAS TÉCNICAS UNIFORMES – Definición- Formas de adquisición </w:t>
      </w:r>
    </w:p>
    <w:p w14:paraId="6CE8D2FD" w14:textId="77777777" w:rsidR="00C4268F" w:rsidRDefault="00C4268F" w:rsidP="00106EF9">
      <w:pPr>
        <w:spacing w:after="0" w:line="240" w:lineRule="auto"/>
        <w:jc w:val="both"/>
        <w:rPr>
          <w:rFonts w:ascii="Verdana" w:eastAsia="Calibri" w:hAnsi="Verdana" w:cs="Arial"/>
          <w:bCs/>
          <w:color w:val="000000" w:themeColor="text1"/>
          <w:sz w:val="20"/>
          <w:szCs w:val="20"/>
        </w:rPr>
      </w:pPr>
    </w:p>
    <w:p w14:paraId="6EB49100" w14:textId="77777777" w:rsidR="00C052F8" w:rsidRPr="00C052F8" w:rsidRDefault="00C052F8" w:rsidP="00106EF9">
      <w:pPr>
        <w:spacing w:after="0" w:line="240" w:lineRule="auto"/>
        <w:jc w:val="both"/>
        <w:rPr>
          <w:rFonts w:ascii="Verdana" w:eastAsia="Calibri" w:hAnsi="Verdana" w:cs="Arial"/>
          <w:bCs/>
          <w:color w:val="000000" w:themeColor="text1"/>
          <w:sz w:val="20"/>
          <w:szCs w:val="20"/>
        </w:rPr>
      </w:pPr>
      <w:r w:rsidRPr="00C052F8">
        <w:rPr>
          <w:rFonts w:ascii="Verdana" w:eastAsia="Calibri" w:hAnsi="Verdana" w:cs="Arial"/>
          <w:bCs/>
          <w:color w:val="000000" w:themeColor="text1"/>
          <w:sz w:val="20"/>
          <w:szCs w:val="20"/>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253CDFB7" w14:textId="77777777" w:rsidR="00C052F8" w:rsidRDefault="00C052F8" w:rsidP="00106EF9">
      <w:pPr>
        <w:spacing w:after="0" w:line="240" w:lineRule="auto"/>
        <w:jc w:val="both"/>
        <w:rPr>
          <w:rFonts w:ascii="Verdana" w:eastAsia="Calibri" w:hAnsi="Verdana" w:cs="Arial"/>
          <w:bCs/>
          <w:color w:val="000000" w:themeColor="text1"/>
          <w:sz w:val="20"/>
          <w:szCs w:val="20"/>
        </w:rPr>
      </w:pPr>
    </w:p>
    <w:p w14:paraId="0801B77C" w14:textId="060C69A0" w:rsidR="00A104A4" w:rsidRDefault="00C052F8" w:rsidP="00106EF9">
      <w:pPr>
        <w:spacing w:after="0" w:line="240" w:lineRule="auto"/>
        <w:jc w:val="both"/>
        <w:rPr>
          <w:rFonts w:ascii="Verdana" w:eastAsia="Calibri" w:hAnsi="Verdana" w:cs="Arial"/>
          <w:bCs/>
          <w:color w:val="000000" w:themeColor="text1"/>
          <w:sz w:val="20"/>
          <w:szCs w:val="20"/>
        </w:rPr>
      </w:pPr>
      <w:r w:rsidRPr="00C052F8">
        <w:rPr>
          <w:rFonts w:ascii="Verdana" w:eastAsia="Calibri" w:hAnsi="Verdana" w:cs="Arial"/>
          <w:bCs/>
          <w:color w:val="000000" w:themeColor="text1"/>
          <w:sz w:val="20"/>
          <w:szCs w:val="20"/>
        </w:rPr>
        <w:t xml:space="preserve">Para identificar los bienes y servicios que corresponden a este tipo, se destacan dos (2) aspectos importantes: la común utilización y la homogeneidad. Para la doctrina, la </w:t>
      </w:r>
      <w:r w:rsidRPr="00C052F8">
        <w:rPr>
          <w:rFonts w:ascii="Verdana" w:eastAsia="Calibri" w:hAnsi="Verdana" w:cs="Arial"/>
          <w:bCs/>
          <w:i/>
          <w:iCs/>
          <w:color w:val="000000" w:themeColor="text1"/>
          <w:sz w:val="20"/>
          <w:szCs w:val="20"/>
        </w:rPr>
        <w:t>común utilización</w:t>
      </w:r>
      <w:r w:rsidRPr="00C052F8">
        <w:rPr>
          <w:rFonts w:ascii="Verdana" w:eastAsia="Calibri" w:hAnsi="Verdana" w:cs="Arial"/>
          <w:bCs/>
          <w:color w:val="000000" w:themeColor="text1"/>
          <w:sz w:val="20"/>
          <w:szCs w:val="20"/>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w:t>
      </w:r>
      <w:r>
        <w:rPr>
          <w:rFonts w:ascii="Verdana" w:eastAsia="Calibri" w:hAnsi="Verdana" w:cs="Arial"/>
          <w:bCs/>
          <w:color w:val="000000" w:themeColor="text1"/>
          <w:sz w:val="20"/>
          <w:szCs w:val="20"/>
        </w:rPr>
        <w:t xml:space="preserve"> todo interesado en adquirirlos”</w:t>
      </w:r>
      <w:r w:rsidRPr="00C052F8">
        <w:rPr>
          <w:rFonts w:ascii="Verdana" w:eastAsia="Calibri" w:hAnsi="Verdana" w:cs="Arial"/>
          <w:bCs/>
          <w:color w:val="000000" w:themeColor="text1"/>
          <w:sz w:val="20"/>
          <w:szCs w:val="20"/>
        </w:rPr>
        <w:t xml:space="preserve">. Por su parte, la </w:t>
      </w:r>
      <w:r w:rsidRPr="00C052F8">
        <w:rPr>
          <w:rFonts w:ascii="Verdana" w:eastAsia="Calibri" w:hAnsi="Verdana" w:cs="Arial"/>
          <w:bCs/>
          <w:i/>
          <w:iCs/>
          <w:color w:val="000000" w:themeColor="text1"/>
          <w:sz w:val="20"/>
          <w:szCs w:val="20"/>
        </w:rPr>
        <w:t>homogeneidad</w:t>
      </w:r>
      <w:r w:rsidRPr="00C052F8">
        <w:rPr>
          <w:rFonts w:ascii="Verdana" w:eastAsia="Calibri" w:hAnsi="Verdana" w:cs="Arial"/>
          <w:bCs/>
          <w:color w:val="000000" w:themeColor="text1"/>
          <w:sz w:val="20"/>
          <w:szCs w:val="20"/>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017DB854" w14:textId="77777777" w:rsidR="00A104A4" w:rsidRDefault="00A104A4" w:rsidP="00106EF9">
      <w:pPr>
        <w:spacing w:after="0" w:line="240" w:lineRule="auto"/>
        <w:rPr>
          <w:rFonts w:ascii="Verdana" w:eastAsia="Calibri" w:hAnsi="Verdana" w:cs="Arial"/>
          <w:bCs/>
          <w:color w:val="000000" w:themeColor="text1"/>
          <w:sz w:val="20"/>
          <w:szCs w:val="20"/>
        </w:rPr>
      </w:pPr>
    </w:p>
    <w:p w14:paraId="11A27248" w14:textId="6F888929" w:rsidR="00A37BC4" w:rsidRPr="002C379A" w:rsidRDefault="00C052F8" w:rsidP="00106EF9">
      <w:pPr>
        <w:spacing w:after="0" w:line="240" w:lineRule="auto"/>
        <w:jc w:val="both"/>
        <w:rPr>
          <w:rFonts w:ascii="Verdana" w:hAnsi="Verdana" w:cs="Arial"/>
          <w:b/>
          <w:bCs/>
          <w:lang w:val="es-ES" w:eastAsia="es-ES"/>
        </w:rPr>
      </w:pPr>
      <w:r w:rsidRPr="00C052F8">
        <w:rPr>
          <w:rFonts w:ascii="Verdana" w:hAnsi="Verdana" w:cs="Arial"/>
          <w:b/>
          <w:bCs/>
          <w:lang w:val="es-ES" w:eastAsia="es-ES"/>
        </w:rPr>
        <w:t xml:space="preserve">ACUERDOS MARCO DE PRECIOS – Obligatoriedad –Bienes y servicios de características uniformes y común utilización –Bienes y servicios no uniformes de común utilización </w:t>
      </w:r>
    </w:p>
    <w:p w14:paraId="6397B74C" w14:textId="77777777" w:rsidR="00A104A4" w:rsidRDefault="00A104A4" w:rsidP="00106EF9">
      <w:pPr>
        <w:spacing w:after="0" w:line="240" w:lineRule="auto"/>
        <w:jc w:val="both"/>
        <w:rPr>
          <w:rFonts w:ascii="Verdana" w:eastAsia="Calibri" w:hAnsi="Verdana" w:cs="Arial"/>
          <w:bCs/>
          <w:color w:val="000000" w:themeColor="text1"/>
          <w:sz w:val="20"/>
          <w:szCs w:val="20"/>
        </w:rPr>
      </w:pPr>
    </w:p>
    <w:p w14:paraId="7A28D563" w14:textId="2539B1DD" w:rsidR="00C052F8" w:rsidRPr="00C052F8" w:rsidRDefault="00C052F8" w:rsidP="00106EF9">
      <w:pPr>
        <w:spacing w:after="0" w:line="240" w:lineRule="auto"/>
        <w:jc w:val="both"/>
        <w:rPr>
          <w:rFonts w:ascii="Verdana" w:eastAsia="Calibri" w:hAnsi="Verdana" w:cs="Arial"/>
          <w:bCs/>
          <w:color w:val="000000" w:themeColor="text1"/>
          <w:sz w:val="20"/>
          <w:szCs w:val="20"/>
        </w:rPr>
      </w:pPr>
      <w:r w:rsidRPr="00C052F8">
        <w:rPr>
          <w:rFonts w:ascii="Verdana" w:eastAsia="Calibri" w:hAnsi="Verdana" w:cs="Arial"/>
          <w:bCs/>
          <w:color w:val="000000" w:themeColor="text1"/>
          <w:sz w:val="20"/>
          <w:szCs w:val="20"/>
          <w:lang w:val="es-ES"/>
        </w:rPr>
        <w:t xml:space="preserve">Se precisa pues, que los Acuerdos Marco de Precios como instrumentos de agregación de demanda se aplican de forma obligatoria con la condición que esté un acuerdo marco vigente para la adquisición de bienes y servicios de características uniformes y servicios no uniformes de común utilización, de conformidad con lo dispuesto en el artículo </w:t>
      </w:r>
      <w:r w:rsidRPr="00C052F8">
        <w:rPr>
          <w:rFonts w:ascii="Verdana" w:eastAsia="Calibri" w:hAnsi="Verdana" w:cs="Arial"/>
          <w:bCs/>
          <w:color w:val="000000" w:themeColor="text1"/>
          <w:sz w:val="20"/>
          <w:szCs w:val="20"/>
        </w:rPr>
        <w:t xml:space="preserve">2.2.1.2.1.2.7. del Decreto 1082 de 2015. En tal sentido, el artículo 2.2.1.2.1.2.9. del </w:t>
      </w:r>
      <w:r w:rsidRPr="00C052F8">
        <w:rPr>
          <w:rFonts w:ascii="Verdana" w:eastAsia="Calibri" w:hAnsi="Verdana" w:cs="Arial"/>
          <w:bCs/>
          <w:color w:val="000000" w:themeColor="text1"/>
          <w:sz w:val="20"/>
          <w:szCs w:val="20"/>
        </w:rPr>
        <w:lastRenderedPageBreak/>
        <w:t>Decreto 1082 de 2015 dispone: “[…] Colombia Compra Eficiente debe publicar el Catálogo para Acuerdos Marco de Precios, y la Entidad Estatal en la etapa de planeación del Proceso de Contratación está obligada a verificar si existe un Acuerdo Marco de Precios vigente con el cual la Entidad Estatal pueda satisfacer la necesidad identificada […]”.</w:t>
      </w:r>
    </w:p>
    <w:p w14:paraId="61DA24AF" w14:textId="77777777" w:rsidR="00A104A4" w:rsidRDefault="00A104A4" w:rsidP="00106EF9">
      <w:pPr>
        <w:spacing w:after="0" w:line="240" w:lineRule="auto"/>
        <w:jc w:val="both"/>
        <w:rPr>
          <w:rFonts w:ascii="Verdana" w:eastAsia="Calibri" w:hAnsi="Verdana" w:cs="Arial"/>
          <w:bCs/>
          <w:color w:val="000000" w:themeColor="text1"/>
          <w:sz w:val="20"/>
          <w:szCs w:val="20"/>
          <w:lang w:val="es-ES"/>
        </w:rPr>
      </w:pPr>
    </w:p>
    <w:p w14:paraId="5DAB41A2" w14:textId="44B3E9F9" w:rsidR="00A104A4" w:rsidRPr="00A104A4" w:rsidRDefault="00A104A4" w:rsidP="00106EF9">
      <w:pPr>
        <w:spacing w:after="0" w:line="240" w:lineRule="auto"/>
        <w:jc w:val="both"/>
        <w:rPr>
          <w:rFonts w:ascii="Verdana" w:eastAsia="Calibri" w:hAnsi="Verdana" w:cs="Arial"/>
          <w:b/>
          <w:bCs/>
          <w:color w:val="000000" w:themeColor="text1"/>
          <w:lang w:val="es-ES"/>
        </w:rPr>
      </w:pPr>
      <w:r w:rsidRPr="00A104A4">
        <w:rPr>
          <w:rFonts w:ascii="Verdana" w:eastAsia="Calibri" w:hAnsi="Verdana" w:cs="Arial"/>
          <w:b/>
          <w:bCs/>
          <w:color w:val="000000" w:themeColor="text1"/>
          <w:lang w:val="es-ES"/>
        </w:rPr>
        <w:t>ACUERDOS MARCO DE PRECIOS – Vigencia – Aplicación de las demás modalidades de selecci</w:t>
      </w:r>
      <w:r>
        <w:rPr>
          <w:rFonts w:ascii="Verdana" w:eastAsia="Calibri" w:hAnsi="Verdana" w:cs="Arial"/>
          <w:b/>
          <w:bCs/>
          <w:color w:val="000000" w:themeColor="text1"/>
          <w:lang w:val="es-ES"/>
        </w:rPr>
        <w:t>ón</w:t>
      </w:r>
      <w:r w:rsidRPr="00A104A4">
        <w:rPr>
          <w:rFonts w:ascii="Verdana" w:eastAsia="Calibri" w:hAnsi="Verdana" w:cs="Arial"/>
          <w:b/>
          <w:bCs/>
          <w:color w:val="000000" w:themeColor="text1"/>
          <w:lang w:val="es-ES"/>
        </w:rPr>
        <w:t xml:space="preserve"> </w:t>
      </w:r>
    </w:p>
    <w:p w14:paraId="7E1D442D" w14:textId="77777777" w:rsidR="00A104A4" w:rsidRDefault="00A104A4" w:rsidP="00106EF9">
      <w:pPr>
        <w:spacing w:after="0" w:line="240" w:lineRule="auto"/>
        <w:jc w:val="both"/>
        <w:rPr>
          <w:rFonts w:ascii="Verdana" w:eastAsia="Calibri" w:hAnsi="Verdana" w:cs="Arial"/>
          <w:bCs/>
          <w:color w:val="000000" w:themeColor="text1"/>
          <w:sz w:val="20"/>
          <w:szCs w:val="20"/>
          <w:lang w:val="es-ES"/>
        </w:rPr>
      </w:pPr>
    </w:p>
    <w:p w14:paraId="5223B313" w14:textId="77777777" w:rsidR="00106EF9" w:rsidRPr="00106EF9" w:rsidRDefault="00106EF9" w:rsidP="00106EF9">
      <w:pPr>
        <w:spacing w:after="0" w:line="240" w:lineRule="auto"/>
        <w:jc w:val="both"/>
        <w:rPr>
          <w:rFonts w:ascii="Verdana" w:eastAsia="Calibri" w:hAnsi="Verdana" w:cs="Arial"/>
          <w:bCs/>
          <w:color w:val="000000" w:themeColor="text1"/>
          <w:sz w:val="20"/>
          <w:szCs w:val="20"/>
        </w:rPr>
      </w:pPr>
      <w:r w:rsidRPr="00106EF9">
        <w:rPr>
          <w:rFonts w:ascii="Verdana" w:eastAsia="Calibri" w:hAnsi="Verdana" w:cs="Arial"/>
          <w:bCs/>
          <w:color w:val="000000" w:themeColor="text1"/>
          <w:sz w:val="20"/>
          <w:szCs w:val="20"/>
          <w:lang w:val="es-ES"/>
        </w:rPr>
        <w:t xml:space="preserve">En los eventos que no exista un Acuerdo Marco de Precios vigente debe acudirse a la modalidad de selección abreviada mediante subasta inversa o de procedimientos de adquisición en bolsa de productos, de acuerdo a lo dispuesto por el Decreto 1082 de 2015, cuando sea para la adquisición de bienes y servicios de características uniformes y común utilización; y de licitación pública por regla general o en su defecto selección abreviada </w:t>
      </w:r>
      <w:r w:rsidRPr="00106EF9">
        <w:rPr>
          <w:rFonts w:ascii="Verdana" w:eastAsia="Calibri" w:hAnsi="Verdana" w:cs="Arial"/>
          <w:bCs/>
          <w:color w:val="000000" w:themeColor="text1"/>
          <w:sz w:val="20"/>
          <w:szCs w:val="20"/>
        </w:rPr>
        <w:t xml:space="preserve">de menor cuantía cuando se requiera contratar bienes o servicios no uniformes de común utilización por valores que se ubiquen dentro de la menor cuantía de la respectiva Entidad Estatal, teniendo en cuenta los rangos establecidos en el literal b) del numeral 2 del artículo 2 de la Ley 1150 de 2007. En la modalidad de selección abreviada de menor cuantía al igual que en la licitación, la oferta más favorable se determina de acuerdo con lo establecido en el numeral 2 del artículo 5 de la Ley 1150 de 2007, esto es, en atención a la mejor relación calidad-precio. </w:t>
      </w:r>
    </w:p>
    <w:p w14:paraId="689710B6" w14:textId="77777777" w:rsidR="00A104A4" w:rsidRDefault="00A104A4" w:rsidP="0008328D">
      <w:pPr>
        <w:spacing w:after="0" w:line="256" w:lineRule="auto"/>
        <w:rPr>
          <w:rFonts w:ascii="Verdana" w:eastAsia="Calibri" w:hAnsi="Verdana" w:cs="Times New Roman"/>
        </w:rPr>
      </w:pPr>
    </w:p>
    <w:p w14:paraId="3A4F831A" w14:textId="77777777" w:rsidR="00A104A4" w:rsidRDefault="00A104A4" w:rsidP="0008328D">
      <w:pPr>
        <w:spacing w:after="0" w:line="256" w:lineRule="auto"/>
        <w:rPr>
          <w:rFonts w:ascii="Verdana" w:eastAsia="Calibri" w:hAnsi="Verdana" w:cs="Times New Roman"/>
        </w:rPr>
      </w:pPr>
    </w:p>
    <w:p w14:paraId="55CD7B88" w14:textId="77777777" w:rsidR="00A104A4" w:rsidRDefault="00A104A4" w:rsidP="0008328D">
      <w:pPr>
        <w:spacing w:after="0" w:line="256" w:lineRule="auto"/>
        <w:rPr>
          <w:rFonts w:ascii="Verdana" w:eastAsia="Calibri" w:hAnsi="Verdana" w:cs="Times New Roman"/>
        </w:rPr>
      </w:pPr>
    </w:p>
    <w:p w14:paraId="0FE81B0A" w14:textId="77777777" w:rsidR="00A104A4" w:rsidRDefault="00A104A4" w:rsidP="0008328D">
      <w:pPr>
        <w:spacing w:after="0" w:line="256" w:lineRule="auto"/>
        <w:rPr>
          <w:rFonts w:ascii="Verdana" w:eastAsia="Calibri" w:hAnsi="Verdana" w:cs="Times New Roman"/>
        </w:rPr>
      </w:pPr>
    </w:p>
    <w:p w14:paraId="1E5F1A65" w14:textId="77777777" w:rsidR="00A104A4" w:rsidRDefault="00A104A4" w:rsidP="0008328D">
      <w:pPr>
        <w:spacing w:after="0" w:line="256" w:lineRule="auto"/>
        <w:rPr>
          <w:rFonts w:ascii="Verdana" w:eastAsia="Calibri" w:hAnsi="Verdana" w:cs="Times New Roman"/>
        </w:rPr>
      </w:pPr>
    </w:p>
    <w:p w14:paraId="39F6EADE" w14:textId="77777777" w:rsidR="00A104A4" w:rsidRDefault="00A104A4" w:rsidP="0008328D">
      <w:pPr>
        <w:spacing w:after="0" w:line="256" w:lineRule="auto"/>
        <w:rPr>
          <w:rFonts w:ascii="Verdana" w:eastAsia="Calibri" w:hAnsi="Verdana" w:cs="Times New Roman"/>
        </w:rPr>
      </w:pPr>
    </w:p>
    <w:p w14:paraId="6812B9C5" w14:textId="77777777" w:rsidR="00A104A4" w:rsidRDefault="00A104A4" w:rsidP="0008328D">
      <w:pPr>
        <w:spacing w:after="0" w:line="256" w:lineRule="auto"/>
        <w:rPr>
          <w:rFonts w:ascii="Verdana" w:eastAsia="Calibri" w:hAnsi="Verdana" w:cs="Times New Roman"/>
        </w:rPr>
      </w:pPr>
    </w:p>
    <w:p w14:paraId="526035AC" w14:textId="77777777" w:rsidR="00A104A4" w:rsidRDefault="00A104A4" w:rsidP="0008328D">
      <w:pPr>
        <w:spacing w:after="0" w:line="256" w:lineRule="auto"/>
        <w:rPr>
          <w:rFonts w:ascii="Verdana" w:eastAsia="Calibri" w:hAnsi="Verdana" w:cs="Times New Roman"/>
        </w:rPr>
      </w:pPr>
    </w:p>
    <w:p w14:paraId="67FE0915" w14:textId="77777777" w:rsidR="00A104A4" w:rsidRDefault="00A104A4" w:rsidP="0008328D">
      <w:pPr>
        <w:spacing w:after="0" w:line="256" w:lineRule="auto"/>
        <w:rPr>
          <w:rFonts w:ascii="Verdana" w:eastAsia="Calibri" w:hAnsi="Verdana" w:cs="Times New Roman"/>
        </w:rPr>
      </w:pPr>
    </w:p>
    <w:p w14:paraId="7541B647" w14:textId="77777777" w:rsidR="00A104A4" w:rsidRDefault="00A104A4" w:rsidP="0008328D">
      <w:pPr>
        <w:spacing w:after="0" w:line="256" w:lineRule="auto"/>
        <w:rPr>
          <w:rFonts w:ascii="Verdana" w:eastAsia="Calibri" w:hAnsi="Verdana" w:cs="Times New Roman"/>
        </w:rPr>
      </w:pPr>
    </w:p>
    <w:p w14:paraId="4DE6051F" w14:textId="77777777" w:rsidR="00A104A4" w:rsidRDefault="00A104A4" w:rsidP="0008328D">
      <w:pPr>
        <w:spacing w:after="0" w:line="256" w:lineRule="auto"/>
        <w:rPr>
          <w:rFonts w:ascii="Verdana" w:eastAsia="Calibri" w:hAnsi="Verdana" w:cs="Times New Roman"/>
        </w:rPr>
      </w:pPr>
    </w:p>
    <w:p w14:paraId="2BD600C1" w14:textId="77777777" w:rsidR="00A104A4" w:rsidRDefault="00A104A4" w:rsidP="0008328D">
      <w:pPr>
        <w:spacing w:after="0" w:line="256" w:lineRule="auto"/>
        <w:rPr>
          <w:rFonts w:ascii="Verdana" w:eastAsia="Calibri" w:hAnsi="Verdana" w:cs="Times New Roman"/>
        </w:rPr>
      </w:pPr>
    </w:p>
    <w:p w14:paraId="62D19566" w14:textId="77777777" w:rsidR="00A104A4" w:rsidRDefault="00A104A4" w:rsidP="0008328D">
      <w:pPr>
        <w:spacing w:after="0" w:line="256" w:lineRule="auto"/>
        <w:rPr>
          <w:rFonts w:ascii="Verdana" w:eastAsia="Calibri" w:hAnsi="Verdana" w:cs="Times New Roman"/>
        </w:rPr>
      </w:pPr>
    </w:p>
    <w:p w14:paraId="4C627135" w14:textId="77777777" w:rsidR="00A104A4" w:rsidRDefault="00A104A4" w:rsidP="0008328D">
      <w:pPr>
        <w:spacing w:after="0" w:line="256" w:lineRule="auto"/>
        <w:rPr>
          <w:rFonts w:ascii="Verdana" w:eastAsia="Calibri" w:hAnsi="Verdana" w:cs="Times New Roman"/>
        </w:rPr>
      </w:pPr>
    </w:p>
    <w:p w14:paraId="2655C355" w14:textId="77777777" w:rsidR="00A104A4" w:rsidRDefault="00A104A4" w:rsidP="0008328D">
      <w:pPr>
        <w:spacing w:after="0" w:line="256" w:lineRule="auto"/>
        <w:rPr>
          <w:rFonts w:ascii="Verdana" w:eastAsia="Calibri" w:hAnsi="Verdana" w:cs="Times New Roman"/>
        </w:rPr>
      </w:pPr>
    </w:p>
    <w:p w14:paraId="142185E0" w14:textId="77777777" w:rsidR="00A104A4" w:rsidRDefault="00A104A4" w:rsidP="0008328D">
      <w:pPr>
        <w:spacing w:after="0" w:line="256" w:lineRule="auto"/>
        <w:rPr>
          <w:rFonts w:ascii="Verdana" w:eastAsia="Calibri" w:hAnsi="Verdana" w:cs="Times New Roman"/>
        </w:rPr>
      </w:pPr>
    </w:p>
    <w:p w14:paraId="7CA107D6" w14:textId="77777777" w:rsidR="00A104A4" w:rsidRDefault="00A104A4" w:rsidP="0008328D">
      <w:pPr>
        <w:spacing w:after="0" w:line="256" w:lineRule="auto"/>
        <w:rPr>
          <w:rFonts w:ascii="Verdana" w:eastAsia="Calibri" w:hAnsi="Verdana" w:cs="Times New Roman"/>
        </w:rPr>
      </w:pPr>
    </w:p>
    <w:p w14:paraId="7F41357E" w14:textId="77777777" w:rsidR="00A104A4" w:rsidRDefault="00A104A4" w:rsidP="0008328D">
      <w:pPr>
        <w:spacing w:after="0" w:line="256" w:lineRule="auto"/>
        <w:rPr>
          <w:rFonts w:ascii="Verdana" w:eastAsia="Calibri" w:hAnsi="Verdana" w:cs="Times New Roman"/>
        </w:rPr>
      </w:pPr>
    </w:p>
    <w:p w14:paraId="58770E7B" w14:textId="77777777" w:rsidR="00A104A4" w:rsidRDefault="00A104A4" w:rsidP="0008328D">
      <w:pPr>
        <w:spacing w:after="0" w:line="256" w:lineRule="auto"/>
        <w:rPr>
          <w:rFonts w:ascii="Verdana" w:eastAsia="Calibri" w:hAnsi="Verdana" w:cs="Times New Roman"/>
        </w:rPr>
      </w:pPr>
    </w:p>
    <w:p w14:paraId="1390BDEB" w14:textId="77777777" w:rsidR="00A104A4" w:rsidRDefault="00A104A4" w:rsidP="0008328D">
      <w:pPr>
        <w:spacing w:after="0" w:line="256" w:lineRule="auto"/>
        <w:rPr>
          <w:rFonts w:ascii="Verdana" w:eastAsia="Calibri" w:hAnsi="Verdana" w:cs="Times New Roman"/>
        </w:rPr>
      </w:pPr>
    </w:p>
    <w:p w14:paraId="09D12D85" w14:textId="6BD276D5" w:rsidR="00A104A4" w:rsidRDefault="00A104A4" w:rsidP="0008328D">
      <w:pPr>
        <w:spacing w:after="0" w:line="256" w:lineRule="auto"/>
        <w:rPr>
          <w:rFonts w:ascii="Verdana" w:eastAsia="Calibri" w:hAnsi="Verdana" w:cs="Times New Roman"/>
        </w:rPr>
      </w:pPr>
    </w:p>
    <w:p w14:paraId="0425CD42" w14:textId="5971DB7B" w:rsidR="00106EF9" w:rsidRDefault="00106EF9" w:rsidP="0008328D">
      <w:pPr>
        <w:spacing w:after="0" w:line="256" w:lineRule="auto"/>
        <w:rPr>
          <w:rFonts w:ascii="Verdana" w:eastAsia="Calibri" w:hAnsi="Verdana" w:cs="Times New Roman"/>
        </w:rPr>
      </w:pPr>
    </w:p>
    <w:p w14:paraId="7FFDDD4A" w14:textId="77777777" w:rsidR="00106EF9" w:rsidRDefault="00106EF9" w:rsidP="0008328D">
      <w:pPr>
        <w:spacing w:after="0" w:line="256" w:lineRule="auto"/>
        <w:rPr>
          <w:rFonts w:ascii="Verdana" w:eastAsia="Calibri" w:hAnsi="Verdana" w:cs="Times New Roman"/>
        </w:rPr>
      </w:pPr>
    </w:p>
    <w:p w14:paraId="32A73A49" w14:textId="74D37BE5" w:rsidR="00FF6D94" w:rsidRPr="00185EE9" w:rsidRDefault="00FF6D94" w:rsidP="00FF6D94">
      <w:pPr>
        <w:spacing w:after="0" w:line="256" w:lineRule="auto"/>
        <w:rPr>
          <w:rFonts w:ascii="Verdana" w:eastAsia="Calibri" w:hAnsi="Verdana" w:cs="Times New Roman"/>
        </w:rPr>
      </w:pPr>
      <w:r w:rsidRPr="4E713B90">
        <w:rPr>
          <w:rFonts w:ascii="Verdana" w:eastAsia="Calibri" w:hAnsi="Verdana" w:cs="Times New Roman"/>
        </w:rPr>
        <w:lastRenderedPageBreak/>
        <w:t xml:space="preserve">Bogotá D.C., </w:t>
      </w:r>
      <w:r>
        <w:rPr>
          <w:rFonts w:ascii="Verdana" w:eastAsia="Calibri" w:hAnsi="Verdana" w:cs="Times New Roman"/>
        </w:rPr>
        <w:t>5 de marzo de 2025</w:t>
      </w:r>
    </w:p>
    <w:p w14:paraId="5473C415" w14:textId="12FB4E7F" w:rsidR="00FF6D94" w:rsidRDefault="00C052F8" w:rsidP="00FF6D94">
      <w:pPr>
        <w:spacing w:after="0" w:line="256" w:lineRule="auto"/>
        <w:jc w:val="right"/>
        <w:rPr>
          <w:rFonts w:ascii="Verdana" w:eastAsia="Calibri" w:hAnsi="Verdana" w:cs="Times New Roman"/>
        </w:rPr>
      </w:pPr>
      <w:r>
        <w:rPr>
          <w:noProof/>
          <w:lang w:val="en-US"/>
        </w:rPr>
        <w:drawing>
          <wp:anchor distT="0" distB="0" distL="114300" distR="114300" simplePos="0" relativeHeight="251658240" behindDoc="0" locked="0" layoutInCell="1" allowOverlap="1" wp14:anchorId="69C86566" wp14:editId="0708FE2E">
            <wp:simplePos x="0" y="0"/>
            <wp:positionH relativeFrom="column">
              <wp:posOffset>2834640</wp:posOffset>
            </wp:positionH>
            <wp:positionV relativeFrom="paragraph">
              <wp:posOffset>10795</wp:posOffset>
            </wp:positionV>
            <wp:extent cx="3038475" cy="80772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038475" cy="807720"/>
                    </a:xfrm>
                    <a:prstGeom prst="rect">
                      <a:avLst/>
                    </a:prstGeom>
                  </pic:spPr>
                </pic:pic>
              </a:graphicData>
            </a:graphic>
            <wp14:sizeRelH relativeFrom="margin">
              <wp14:pctWidth>0</wp14:pctWidth>
            </wp14:sizeRelH>
            <wp14:sizeRelV relativeFrom="margin">
              <wp14:pctHeight>0</wp14:pctHeight>
            </wp14:sizeRelV>
          </wp:anchor>
        </w:drawing>
      </w:r>
    </w:p>
    <w:p w14:paraId="52027888" w14:textId="497119E5" w:rsidR="00FF6D94" w:rsidRPr="00185EE9" w:rsidRDefault="00FF6D94" w:rsidP="00C052F8">
      <w:pPr>
        <w:spacing w:after="0" w:line="256" w:lineRule="auto"/>
        <w:jc w:val="right"/>
        <w:rPr>
          <w:rFonts w:ascii="Verdana" w:eastAsia="Calibri" w:hAnsi="Verdana" w:cs="Times New Roman"/>
        </w:rPr>
      </w:pPr>
    </w:p>
    <w:p w14:paraId="46A23F01" w14:textId="77777777" w:rsidR="00C052F8" w:rsidRDefault="00C052F8" w:rsidP="00FF6D94">
      <w:pPr>
        <w:spacing w:after="0" w:line="256" w:lineRule="auto"/>
        <w:rPr>
          <w:rFonts w:ascii="Verdana" w:eastAsia="Calibri" w:hAnsi="Verdana" w:cs="Times New Roman"/>
          <w:lang w:val="es-MX"/>
        </w:rPr>
      </w:pPr>
    </w:p>
    <w:p w14:paraId="6298C919" w14:textId="65AAA755" w:rsidR="00C052F8" w:rsidRDefault="00C052F8" w:rsidP="00FF6D94">
      <w:pPr>
        <w:spacing w:after="0" w:line="256" w:lineRule="auto"/>
        <w:rPr>
          <w:rFonts w:ascii="Verdana" w:eastAsia="Calibri" w:hAnsi="Verdana" w:cs="Times New Roman"/>
          <w:lang w:val="es-MX"/>
        </w:rPr>
      </w:pPr>
    </w:p>
    <w:p w14:paraId="5EE24F5A" w14:textId="77777777" w:rsidR="00E010DC" w:rsidRDefault="00E010DC" w:rsidP="00FF6D94">
      <w:pPr>
        <w:spacing w:after="0" w:line="256" w:lineRule="auto"/>
        <w:rPr>
          <w:rFonts w:ascii="Verdana" w:eastAsia="Calibri" w:hAnsi="Verdana" w:cs="Times New Roman"/>
          <w:lang w:val="es-MX"/>
        </w:rPr>
      </w:pPr>
    </w:p>
    <w:p w14:paraId="43D6E7C7" w14:textId="0FC70F0B" w:rsidR="00FF6D94" w:rsidRPr="00185EE9" w:rsidRDefault="00FF6D94" w:rsidP="00FF6D94">
      <w:pPr>
        <w:spacing w:after="0" w:line="256" w:lineRule="auto"/>
        <w:rPr>
          <w:rFonts w:ascii="Verdana" w:eastAsia="Calibri" w:hAnsi="Verdana" w:cs="Times New Roman"/>
          <w:lang w:val="es-MX"/>
        </w:rPr>
      </w:pPr>
      <w:r w:rsidRPr="00185EE9">
        <w:rPr>
          <w:rFonts w:ascii="Verdana" w:eastAsia="Calibri" w:hAnsi="Verdana" w:cs="Times New Roman"/>
          <w:lang w:val="es-MX"/>
        </w:rPr>
        <w:t>Señor</w:t>
      </w:r>
      <w:r>
        <w:rPr>
          <w:rFonts w:ascii="Verdana" w:eastAsia="Calibri" w:hAnsi="Verdana" w:cs="Times New Roman"/>
          <w:lang w:val="es-MX"/>
        </w:rPr>
        <w:t>a</w:t>
      </w:r>
    </w:p>
    <w:p w14:paraId="26868620" w14:textId="77777777" w:rsidR="00FF6D94" w:rsidRPr="00185EE9" w:rsidRDefault="00FF6D94" w:rsidP="00FF6D94">
      <w:pPr>
        <w:spacing w:after="0" w:line="256" w:lineRule="auto"/>
        <w:rPr>
          <w:rFonts w:ascii="Verdana" w:eastAsia="Calibri" w:hAnsi="Verdana" w:cs="Times New Roman"/>
          <w:b/>
        </w:rPr>
      </w:pPr>
      <w:r>
        <w:rPr>
          <w:rFonts w:ascii="Verdana" w:eastAsia="Calibri" w:hAnsi="Verdana" w:cs="Times New Roman"/>
          <w:b/>
        </w:rPr>
        <w:t xml:space="preserve">Natalia Andrea </w:t>
      </w:r>
      <w:proofErr w:type="spellStart"/>
      <w:r>
        <w:rPr>
          <w:rFonts w:ascii="Verdana" w:eastAsia="Calibri" w:hAnsi="Verdana" w:cs="Times New Roman"/>
          <w:b/>
        </w:rPr>
        <w:t>Cañon</w:t>
      </w:r>
      <w:proofErr w:type="spellEnd"/>
      <w:r>
        <w:rPr>
          <w:rFonts w:ascii="Verdana" w:eastAsia="Calibri" w:hAnsi="Verdana" w:cs="Times New Roman"/>
          <w:b/>
        </w:rPr>
        <w:t xml:space="preserve"> Pinilla</w:t>
      </w:r>
    </w:p>
    <w:p w14:paraId="11D44262" w14:textId="77777777" w:rsidR="00FF6D94" w:rsidRDefault="001827C3" w:rsidP="00FF6D94">
      <w:pPr>
        <w:spacing w:after="0" w:line="256" w:lineRule="auto"/>
        <w:rPr>
          <w:rFonts w:ascii="Verdana" w:hAnsi="Verdana"/>
        </w:rPr>
      </w:pPr>
      <w:hyperlink r:id="rId12" w:history="1">
        <w:r w:rsidR="00FF6D94" w:rsidRPr="00802DE8">
          <w:rPr>
            <w:rStyle w:val="Hipervnculo"/>
            <w:rFonts w:ascii="Verdana" w:hAnsi="Verdana"/>
          </w:rPr>
          <w:t>natacapi@hotmail.com</w:t>
        </w:r>
      </w:hyperlink>
    </w:p>
    <w:p w14:paraId="17036B64" w14:textId="77777777" w:rsidR="00FF6D94" w:rsidRPr="00185EE9" w:rsidRDefault="00FF6D94" w:rsidP="00FF6D94">
      <w:pPr>
        <w:spacing w:after="0" w:line="256" w:lineRule="auto"/>
        <w:rPr>
          <w:rFonts w:ascii="Verdana" w:eastAsia="Calibri" w:hAnsi="Verdana" w:cs="Times New Roman"/>
        </w:rPr>
      </w:pPr>
      <w:r w:rsidRPr="00185EE9">
        <w:rPr>
          <w:rFonts w:ascii="Verdana" w:eastAsia="Calibri" w:hAnsi="Verdana" w:cs="Times New Roman"/>
        </w:rPr>
        <w:t>Bogotá D.C.</w:t>
      </w:r>
    </w:p>
    <w:p w14:paraId="793BA13C" w14:textId="77777777" w:rsidR="00FF6D94" w:rsidRPr="00185EE9" w:rsidRDefault="00FF6D94" w:rsidP="00FF6D94">
      <w:pPr>
        <w:spacing w:after="0" w:line="256" w:lineRule="auto"/>
        <w:rPr>
          <w:rFonts w:ascii="Verdana" w:eastAsia="Calibri" w:hAnsi="Verdana" w:cs="Times New Roman"/>
        </w:rPr>
      </w:pPr>
    </w:p>
    <w:p w14:paraId="7FA566B1" w14:textId="77777777" w:rsidR="00FF6D94" w:rsidRPr="00185EE9" w:rsidRDefault="00FF6D94" w:rsidP="00FF6D94">
      <w:pPr>
        <w:spacing w:after="0" w:line="256" w:lineRule="auto"/>
        <w:rPr>
          <w:rFonts w:ascii="Verdana" w:eastAsia="Calibri" w:hAnsi="Verdana" w:cs="Times New Roman"/>
          <w:b/>
          <w:bCs/>
          <w:lang w:val="es-ES"/>
        </w:rPr>
      </w:pPr>
      <w:r w:rsidRPr="00185EE9">
        <w:rPr>
          <w:rFonts w:ascii="Verdana" w:eastAsia="Calibri" w:hAnsi="Verdana" w:cs="Times New Roman"/>
          <w:b/>
          <w:bCs/>
          <w:lang w:val="es-ES"/>
        </w:rPr>
        <w:t xml:space="preserve">                                    </w:t>
      </w:r>
      <w:r w:rsidRPr="00F611E3">
        <w:rPr>
          <w:rFonts w:ascii="Verdana" w:eastAsia="Calibri" w:hAnsi="Verdana" w:cs="Times New Roman"/>
          <w:b/>
          <w:bCs/>
          <w:lang w:val="es-ES"/>
        </w:rPr>
        <w:t>Concepto C–108 de 2025</w:t>
      </w:r>
    </w:p>
    <w:p w14:paraId="076183B9" w14:textId="77777777" w:rsidR="00FF6D94" w:rsidRPr="00185EE9" w:rsidRDefault="00FF6D94" w:rsidP="00FF6D94">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05"/>
        <w:gridCol w:w="5821"/>
        <w:gridCol w:w="6237"/>
      </w:tblGrid>
      <w:tr w:rsidR="00FF6D94" w:rsidRPr="00185EE9" w14:paraId="08EE50A4" w14:textId="77777777" w:rsidTr="00B7586E">
        <w:trPr>
          <w:trHeight w:val="300"/>
        </w:trPr>
        <w:tc>
          <w:tcPr>
            <w:tcW w:w="3105" w:type="dxa"/>
            <w:hideMark/>
          </w:tcPr>
          <w:p w14:paraId="43070794" w14:textId="77777777" w:rsidR="00FF6D94" w:rsidRPr="00185EE9" w:rsidRDefault="00FF6D94" w:rsidP="00E010DC">
            <w:pPr>
              <w:rPr>
                <w:rFonts w:ascii="Verdana" w:hAnsi="Verdana"/>
                <w:b/>
                <w:bCs/>
                <w:lang w:val="es-ES_tradnl"/>
              </w:rPr>
            </w:pPr>
            <w:r w:rsidRPr="00185EE9">
              <w:rPr>
                <w:rFonts w:ascii="Verdana" w:hAnsi="Verdana"/>
                <w:b/>
                <w:bCs/>
                <w:lang w:val="es-ES_tradnl"/>
              </w:rPr>
              <w:t xml:space="preserve">Temas:                   </w:t>
            </w:r>
          </w:p>
        </w:tc>
        <w:tc>
          <w:tcPr>
            <w:tcW w:w="5821" w:type="dxa"/>
            <w:hideMark/>
          </w:tcPr>
          <w:p w14:paraId="7FBA9B84" w14:textId="77777777" w:rsidR="00FF6D94" w:rsidRPr="00980E28" w:rsidRDefault="00FF6D94" w:rsidP="00E010DC">
            <w:pPr>
              <w:jc w:val="both"/>
              <w:rPr>
                <w:rFonts w:ascii="Verdana" w:hAnsi="Verdana" w:cs="Arial"/>
                <w:b/>
                <w:bCs/>
                <w:lang w:val="es-ES" w:eastAsia="es-ES"/>
              </w:rPr>
            </w:pPr>
            <w:r>
              <w:rPr>
                <w:rFonts w:ascii="Verdana" w:hAnsi="Verdana" w:cs="Arial"/>
                <w:lang w:val="es-ES" w:eastAsia="es-ES"/>
              </w:rPr>
              <w:t xml:space="preserve">LICITACIÓN PÚBLICA –Modalidad de selección –regla general </w:t>
            </w:r>
            <w:r w:rsidRPr="00185EE9">
              <w:rPr>
                <w:rFonts w:ascii="Verdana" w:hAnsi="Verdana" w:cs="Arial"/>
                <w:lang w:val="es-ES" w:eastAsia="es-ES"/>
              </w:rPr>
              <w:t>/ BIENES Y SERVICIOS DE CARACTERÍSTICAS TÉCNICAS UNIFORMES – Definición</w:t>
            </w:r>
            <w:r>
              <w:rPr>
                <w:rFonts w:ascii="Verdana" w:hAnsi="Verdana" w:cs="Arial"/>
                <w:lang w:val="es-ES" w:eastAsia="es-ES"/>
              </w:rPr>
              <w:t xml:space="preserve">- Formas de adquisición </w:t>
            </w:r>
            <w:r w:rsidRPr="00185EE9">
              <w:rPr>
                <w:rFonts w:ascii="Verdana" w:hAnsi="Verdana" w:cs="Arial"/>
                <w:lang w:val="es-ES" w:eastAsia="es-ES"/>
              </w:rPr>
              <w:t xml:space="preserve">/ </w:t>
            </w:r>
            <w:r>
              <w:rPr>
                <w:rFonts w:ascii="Verdana" w:hAnsi="Verdana" w:cs="Arial"/>
                <w:lang w:val="es-ES" w:eastAsia="es-ES"/>
              </w:rPr>
              <w:t xml:space="preserve">ACUERDOS MARCO DE PRECIOS – Obligatoriedad –Bienes y servicios de características uniformes y común utilización –Bienes y servicios no uniformes de común utilización/ </w:t>
            </w:r>
            <w:r w:rsidRPr="00A104A4">
              <w:rPr>
                <w:rFonts w:ascii="Verdana" w:hAnsi="Verdana" w:cs="Arial"/>
                <w:bCs/>
                <w:lang w:val="es-ES" w:eastAsia="es-ES"/>
              </w:rPr>
              <w:t xml:space="preserve">ACUERDOS MARCO DE PRECIOS – Vigencia – Aplicación de las demás modalidades de selección </w:t>
            </w:r>
          </w:p>
        </w:tc>
        <w:tc>
          <w:tcPr>
            <w:tcW w:w="6237" w:type="dxa"/>
          </w:tcPr>
          <w:p w14:paraId="34ED2697" w14:textId="77777777" w:rsidR="00FF6D94" w:rsidRPr="00A94D14" w:rsidRDefault="00FF6D94" w:rsidP="00B7586E">
            <w:pPr>
              <w:spacing w:line="256" w:lineRule="auto"/>
              <w:rPr>
                <w:rFonts w:ascii="Verdana" w:hAnsi="Verdana"/>
              </w:rPr>
            </w:pPr>
          </w:p>
        </w:tc>
      </w:tr>
      <w:tr w:rsidR="00FF6D94" w:rsidRPr="00185EE9" w14:paraId="0395D2F2" w14:textId="77777777" w:rsidTr="00B7586E">
        <w:trPr>
          <w:trHeight w:val="300"/>
        </w:trPr>
        <w:tc>
          <w:tcPr>
            <w:tcW w:w="3105" w:type="dxa"/>
          </w:tcPr>
          <w:p w14:paraId="399858A1" w14:textId="77777777" w:rsidR="00FF6D94" w:rsidRPr="00185EE9" w:rsidRDefault="00FF6D94" w:rsidP="00B7586E">
            <w:pPr>
              <w:spacing w:line="256" w:lineRule="auto"/>
              <w:rPr>
                <w:rFonts w:ascii="Verdana" w:hAnsi="Verdana"/>
                <w:lang w:val="es-ES_tradnl"/>
              </w:rPr>
            </w:pPr>
          </w:p>
          <w:p w14:paraId="248CE30B" w14:textId="77777777" w:rsidR="00FF6D94" w:rsidRPr="00185EE9" w:rsidRDefault="00FF6D94" w:rsidP="00B7586E">
            <w:pPr>
              <w:spacing w:line="256" w:lineRule="auto"/>
              <w:rPr>
                <w:rFonts w:ascii="Verdana" w:hAnsi="Verdana"/>
                <w:b/>
                <w:bCs/>
                <w:lang w:val="es-ES_tradnl"/>
              </w:rPr>
            </w:pPr>
            <w:r w:rsidRPr="00185EE9">
              <w:rPr>
                <w:rFonts w:ascii="Verdana" w:hAnsi="Verdana"/>
                <w:b/>
                <w:bCs/>
                <w:lang w:val="es-ES_tradnl"/>
              </w:rPr>
              <w:t xml:space="preserve">Radicación:               </w:t>
            </w:r>
          </w:p>
        </w:tc>
        <w:tc>
          <w:tcPr>
            <w:tcW w:w="5821" w:type="dxa"/>
          </w:tcPr>
          <w:p w14:paraId="4BEEEC92" w14:textId="77777777" w:rsidR="00FF6D94" w:rsidRPr="00185EE9" w:rsidRDefault="00FF6D94" w:rsidP="00B7586E">
            <w:pPr>
              <w:spacing w:line="257" w:lineRule="auto"/>
              <w:rPr>
                <w:rFonts w:ascii="Verdana" w:hAnsi="Verdana"/>
                <w:lang w:val="es-ES_tradnl"/>
              </w:rPr>
            </w:pPr>
          </w:p>
          <w:p w14:paraId="27F67322" w14:textId="77777777" w:rsidR="00FF6D94" w:rsidRPr="00F611E3" w:rsidDel="00F611E3" w:rsidRDefault="00FF6D94" w:rsidP="00B7586E">
            <w:pPr>
              <w:spacing w:line="257" w:lineRule="auto"/>
              <w:jc w:val="both"/>
              <w:rPr>
                <w:rFonts w:ascii="Verdana" w:hAnsi="Verdana"/>
                <w:highlight w:val="yellow"/>
              </w:rPr>
            </w:pPr>
            <w:r w:rsidRPr="00185EE9">
              <w:rPr>
                <w:rFonts w:ascii="Verdana" w:hAnsi="Verdana"/>
                <w:lang w:val="es-ES_tradnl"/>
              </w:rPr>
              <w:t xml:space="preserve">Respuesta a consulta con radicado No. </w:t>
            </w:r>
          </w:p>
          <w:p w14:paraId="34ABADE1" w14:textId="77777777" w:rsidR="00FF6D94" w:rsidRPr="00F611E3" w:rsidRDefault="00FF6D94" w:rsidP="00B7586E">
            <w:pPr>
              <w:spacing w:line="257" w:lineRule="auto"/>
              <w:jc w:val="both"/>
              <w:rPr>
                <w:rFonts w:ascii="Verdana" w:hAnsi="Verdana"/>
              </w:rPr>
            </w:pPr>
            <w:r w:rsidRPr="00F611E3">
              <w:rPr>
                <w:rFonts w:ascii="Verdana" w:hAnsi="Verdana"/>
              </w:rPr>
              <w:t>P20250130000856</w:t>
            </w:r>
          </w:p>
          <w:p w14:paraId="393A5200" w14:textId="77777777" w:rsidR="00FF6D94" w:rsidRPr="00185EE9" w:rsidRDefault="00FF6D94" w:rsidP="00B7586E">
            <w:pPr>
              <w:spacing w:line="257" w:lineRule="auto"/>
              <w:jc w:val="both"/>
              <w:rPr>
                <w:rFonts w:ascii="Verdana" w:hAnsi="Verdana"/>
              </w:rPr>
            </w:pPr>
          </w:p>
        </w:tc>
        <w:tc>
          <w:tcPr>
            <w:tcW w:w="6237" w:type="dxa"/>
          </w:tcPr>
          <w:p w14:paraId="0D68ABDC" w14:textId="77777777" w:rsidR="00FF6D94" w:rsidRPr="00185EE9" w:rsidRDefault="00FF6D94" w:rsidP="00B7586E">
            <w:pPr>
              <w:spacing w:line="256" w:lineRule="auto"/>
              <w:rPr>
                <w:rFonts w:ascii="Verdana" w:hAnsi="Verdana"/>
                <w:lang w:val="es-ES_tradnl"/>
              </w:rPr>
            </w:pPr>
          </w:p>
        </w:tc>
      </w:tr>
    </w:tbl>
    <w:p w14:paraId="25CA2DFC" w14:textId="77777777" w:rsidR="00FF6D94" w:rsidRPr="00185EE9" w:rsidRDefault="00FF6D94" w:rsidP="00FF6D94">
      <w:pPr>
        <w:spacing w:after="0" w:line="256" w:lineRule="auto"/>
        <w:rPr>
          <w:rFonts w:ascii="Verdana" w:eastAsia="Calibri" w:hAnsi="Verdana" w:cs="Times New Roman"/>
          <w:lang w:val="es-ES_tradnl"/>
        </w:rPr>
      </w:pPr>
    </w:p>
    <w:p w14:paraId="5852EC7F" w14:textId="77777777" w:rsidR="00FF6D94" w:rsidRPr="00185EE9" w:rsidRDefault="00FF6D94" w:rsidP="00FF6D94">
      <w:pPr>
        <w:spacing w:after="0" w:line="256" w:lineRule="auto"/>
        <w:rPr>
          <w:rFonts w:ascii="Verdana" w:eastAsia="Calibri" w:hAnsi="Verdana" w:cs="Times New Roman"/>
          <w:lang w:val="es-ES"/>
        </w:rPr>
      </w:pPr>
      <w:r w:rsidRPr="00185EE9">
        <w:rPr>
          <w:rFonts w:ascii="Verdana" w:eastAsia="Calibri" w:hAnsi="Verdana" w:cs="Times New Roman"/>
          <w:lang w:val="es-ES"/>
        </w:rPr>
        <w:t>Estimad</w:t>
      </w:r>
      <w:r>
        <w:rPr>
          <w:rFonts w:ascii="Verdana" w:eastAsia="Calibri" w:hAnsi="Verdana" w:cs="Times New Roman"/>
          <w:lang w:val="es-ES"/>
        </w:rPr>
        <w:t>a Señora Natalia</w:t>
      </w:r>
      <w:r w:rsidRPr="00185EE9">
        <w:rPr>
          <w:rFonts w:ascii="Verdana" w:eastAsia="Calibri" w:hAnsi="Verdana" w:cs="Times New Roman"/>
          <w:lang w:val="es-ES"/>
        </w:rPr>
        <w:t xml:space="preserve">: </w:t>
      </w:r>
    </w:p>
    <w:p w14:paraId="004796B6" w14:textId="77777777" w:rsidR="00FF6D94" w:rsidRPr="00185EE9" w:rsidRDefault="00FF6D94" w:rsidP="00FF6D94">
      <w:pPr>
        <w:spacing w:after="0" w:line="256" w:lineRule="auto"/>
        <w:rPr>
          <w:rFonts w:ascii="Verdana" w:eastAsia="Calibri" w:hAnsi="Verdana" w:cs="Times New Roman"/>
          <w:lang w:val="es-ES"/>
        </w:rPr>
      </w:pPr>
    </w:p>
    <w:p w14:paraId="556D7E09" w14:textId="77777777" w:rsidR="00FF6D94" w:rsidRPr="00185EE9" w:rsidRDefault="00FF6D94" w:rsidP="00FF6D94">
      <w:pPr>
        <w:spacing w:after="0" w:line="256" w:lineRule="auto"/>
        <w:jc w:val="both"/>
        <w:rPr>
          <w:rFonts w:ascii="Verdana" w:eastAsia="Calibri" w:hAnsi="Verdana" w:cs="Times New Roman"/>
          <w:lang w:val="es-ES"/>
        </w:rPr>
      </w:pPr>
      <w:r w:rsidRPr="00185EE9">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w:t>
      </w:r>
      <w:r>
        <w:rPr>
          <w:rFonts w:ascii="Verdana" w:eastAsia="Calibri" w:hAnsi="Verdana" w:cs="Times New Roman"/>
          <w:lang w:val="es-ES"/>
        </w:rPr>
        <w:t>nde la solicitud de consulta presentada el 30 de enero de 2025</w:t>
      </w:r>
      <w:r w:rsidRPr="00185EE9">
        <w:rPr>
          <w:rFonts w:ascii="Verdana" w:eastAsia="Calibri" w:hAnsi="Verdana" w:cs="Times New Roman"/>
          <w:lang w:val="es-ES"/>
        </w:rPr>
        <w:t>, en la cual manifiesta lo siguiente:</w:t>
      </w:r>
    </w:p>
    <w:p w14:paraId="648908C5" w14:textId="77777777" w:rsidR="00FF6D94" w:rsidRPr="00185EE9" w:rsidRDefault="00FF6D94" w:rsidP="00FF6D94">
      <w:pPr>
        <w:spacing w:after="0" w:line="256" w:lineRule="auto"/>
        <w:jc w:val="both"/>
        <w:rPr>
          <w:rFonts w:ascii="Verdana" w:eastAsia="Calibri" w:hAnsi="Verdana" w:cs="Times New Roman"/>
          <w:lang w:val="es-ES"/>
        </w:rPr>
      </w:pPr>
    </w:p>
    <w:p w14:paraId="78224C33" w14:textId="77777777" w:rsidR="00FF6D94" w:rsidRPr="00310DBE" w:rsidRDefault="00FF6D94" w:rsidP="00FF6D94">
      <w:pPr>
        <w:spacing w:after="0" w:line="256" w:lineRule="auto"/>
        <w:ind w:left="709" w:right="709"/>
        <w:jc w:val="both"/>
        <w:rPr>
          <w:rFonts w:ascii="Verdana" w:eastAsia="Calibri" w:hAnsi="Verdana" w:cs="Times New Roman"/>
          <w:sz w:val="20"/>
          <w:szCs w:val="20"/>
          <w:lang w:val="es-ES"/>
        </w:rPr>
      </w:pPr>
      <w:r w:rsidRPr="00185EE9">
        <w:rPr>
          <w:rFonts w:ascii="Verdana" w:eastAsia="Calibri" w:hAnsi="Verdana" w:cs="Times New Roman"/>
          <w:sz w:val="20"/>
          <w:szCs w:val="20"/>
          <w:lang w:val="es-ES"/>
        </w:rPr>
        <w:t>“</w:t>
      </w:r>
      <w:r>
        <w:rPr>
          <w:rFonts w:ascii="Verdana" w:eastAsia="Calibri" w:hAnsi="Verdana" w:cs="Times New Roman"/>
          <w:sz w:val="20"/>
          <w:szCs w:val="20"/>
          <w:lang w:val="es-ES"/>
        </w:rPr>
        <w:t xml:space="preserve">[…] </w:t>
      </w:r>
      <w:r w:rsidRPr="00310DBE">
        <w:rPr>
          <w:rFonts w:ascii="Verdana" w:eastAsia="Calibri" w:hAnsi="Verdana" w:cs="Times New Roman"/>
          <w:sz w:val="20"/>
          <w:szCs w:val="20"/>
          <w:lang w:val="es-ES"/>
        </w:rPr>
        <w:t xml:space="preserve">¿Me puedo apartar de una licitación pública como regla general para irme por acuerdo marco? Teniendo en cuenta que dentro de las modalidades de selección ley 1150 de 2007 establece en el artículo 2 como modalidades de selección: </w:t>
      </w:r>
    </w:p>
    <w:p w14:paraId="56D22A2D" w14:textId="77777777" w:rsidR="00FF6D94" w:rsidRPr="00310DBE" w:rsidRDefault="00FF6D94" w:rsidP="00FF6D94">
      <w:pPr>
        <w:spacing w:after="0" w:line="256" w:lineRule="auto"/>
        <w:ind w:left="709" w:right="709"/>
        <w:jc w:val="both"/>
        <w:rPr>
          <w:rFonts w:ascii="Verdana" w:eastAsia="Calibri" w:hAnsi="Verdana" w:cs="Times New Roman"/>
          <w:sz w:val="20"/>
          <w:szCs w:val="20"/>
          <w:lang w:val="es-ES"/>
        </w:rPr>
      </w:pPr>
      <w:r w:rsidRPr="00310DBE">
        <w:rPr>
          <w:rFonts w:ascii="Verdana" w:eastAsia="Calibri" w:hAnsi="Verdana" w:cs="Times New Roman"/>
          <w:sz w:val="20"/>
          <w:szCs w:val="20"/>
          <w:lang w:val="es-ES"/>
        </w:rPr>
        <w:t>1. Licitación pública. 2. Selección abreviada. 3. Concurso de méritos. 4. Contratación directa. 5. Contratación mínima cuantía</w:t>
      </w:r>
      <w:r>
        <w:rPr>
          <w:rFonts w:ascii="Verdana" w:eastAsia="Calibri" w:hAnsi="Verdana" w:cs="Times New Roman"/>
          <w:sz w:val="20"/>
          <w:szCs w:val="20"/>
          <w:lang w:val="es-ES"/>
        </w:rPr>
        <w:t>”</w:t>
      </w:r>
      <w:r w:rsidRPr="00310DBE">
        <w:rPr>
          <w:rFonts w:ascii="Verdana" w:eastAsia="Calibri" w:hAnsi="Verdana" w:cs="Times New Roman"/>
          <w:sz w:val="20"/>
          <w:szCs w:val="20"/>
          <w:lang w:val="es-ES"/>
        </w:rPr>
        <w:t xml:space="preserve">. </w:t>
      </w:r>
    </w:p>
    <w:p w14:paraId="57A8DEAE" w14:textId="77777777" w:rsidR="00FF6D94" w:rsidRPr="00185EE9" w:rsidRDefault="00FF6D94" w:rsidP="00FF6D94">
      <w:pPr>
        <w:spacing w:after="0" w:line="256" w:lineRule="auto"/>
        <w:rPr>
          <w:rFonts w:ascii="Verdana" w:eastAsia="Calibri" w:hAnsi="Verdana" w:cs="Times New Roman"/>
          <w:lang w:val="es-ES"/>
        </w:rPr>
      </w:pPr>
    </w:p>
    <w:p w14:paraId="0473AD5B" w14:textId="77777777" w:rsidR="00FF6D94" w:rsidRPr="00A94D14" w:rsidRDefault="00FF6D94" w:rsidP="00FF6D94">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4CE1E00" w14:textId="77777777" w:rsidR="00FF6D94" w:rsidRPr="00185EE9" w:rsidRDefault="00FF6D94" w:rsidP="00FF6D94">
      <w:pPr>
        <w:spacing w:after="0" w:line="276" w:lineRule="auto"/>
        <w:ind w:firstLine="708"/>
        <w:jc w:val="both"/>
        <w:rPr>
          <w:rFonts w:ascii="Verdana" w:eastAsia="Calibri" w:hAnsi="Verdana" w:cs="Times New Roman"/>
          <w:lang w:val="es-ES"/>
        </w:rPr>
      </w:pPr>
      <w:r w:rsidRPr="00A94D14">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261CAB4" w14:textId="77777777" w:rsidR="00FF6D94" w:rsidRPr="00185EE9" w:rsidRDefault="00FF6D94" w:rsidP="00FF6D94">
      <w:pPr>
        <w:spacing w:after="0" w:line="256" w:lineRule="auto"/>
        <w:rPr>
          <w:rFonts w:ascii="Verdana" w:eastAsia="Calibri" w:hAnsi="Verdana" w:cs="Times New Roman"/>
          <w:lang w:val="es-ES"/>
        </w:rPr>
      </w:pPr>
    </w:p>
    <w:p w14:paraId="0CAA3A07" w14:textId="77777777" w:rsidR="00FF6D94" w:rsidRPr="00185EE9" w:rsidRDefault="00FF6D94" w:rsidP="00FF6D94">
      <w:pPr>
        <w:pStyle w:val="Prrafodelista"/>
        <w:numPr>
          <w:ilvl w:val="0"/>
          <w:numId w:val="19"/>
        </w:numPr>
        <w:spacing w:after="0" w:line="256" w:lineRule="auto"/>
        <w:rPr>
          <w:rFonts w:ascii="Verdana" w:eastAsia="Calibri" w:hAnsi="Verdana" w:cs="Times New Roman"/>
          <w:b/>
          <w:bCs/>
        </w:rPr>
      </w:pPr>
      <w:r w:rsidRPr="00185EE9">
        <w:rPr>
          <w:rFonts w:ascii="Verdana" w:eastAsia="Calibri" w:hAnsi="Verdana" w:cs="Times New Roman"/>
          <w:b/>
          <w:bCs/>
        </w:rPr>
        <w:t>Problema planteado:</w:t>
      </w:r>
    </w:p>
    <w:p w14:paraId="7980E1D3" w14:textId="77777777" w:rsidR="00FF6D94" w:rsidRPr="00185EE9" w:rsidRDefault="00FF6D94" w:rsidP="00FF6D94">
      <w:pPr>
        <w:spacing w:after="0" w:line="256" w:lineRule="auto"/>
        <w:rPr>
          <w:rFonts w:ascii="Verdana" w:eastAsia="Calibri" w:hAnsi="Verdana" w:cs="Times New Roman"/>
        </w:rPr>
      </w:pPr>
    </w:p>
    <w:p w14:paraId="60646033" w14:textId="77777777" w:rsidR="00FF6D94" w:rsidRPr="00185EE9" w:rsidRDefault="00FF6D94" w:rsidP="00FF6D94">
      <w:pPr>
        <w:spacing w:after="0" w:line="276" w:lineRule="auto"/>
        <w:jc w:val="both"/>
        <w:rPr>
          <w:rFonts w:ascii="Verdana" w:eastAsia="Calibri" w:hAnsi="Verdana" w:cs="Times New Roman"/>
        </w:rPr>
      </w:pPr>
      <w:r w:rsidRPr="00185EE9">
        <w:rPr>
          <w:rFonts w:ascii="Verdana" w:eastAsia="Calibri" w:hAnsi="Verdana" w:cs="Times New Roman"/>
        </w:rPr>
        <w:t xml:space="preserve">De acuerdo con el contenido de su solicitud, esta Agencia procede a resolver el siguiente problema jurídico: </w:t>
      </w:r>
      <w:r>
        <w:rPr>
          <w:rFonts w:ascii="Verdana" w:eastAsia="Calibri" w:hAnsi="Verdana" w:cs="Times New Roman"/>
        </w:rPr>
        <w:t xml:space="preserve">¿Puede exceptuarse la aplicación de la modalidad de selección de licitación pública por la existencia de un acuerdo marco de precios vigente? </w:t>
      </w:r>
    </w:p>
    <w:p w14:paraId="46F7B487" w14:textId="77CD0F2A" w:rsidR="00FF6D94" w:rsidRPr="00185EE9" w:rsidRDefault="00FF6D94" w:rsidP="00FF6D94">
      <w:pPr>
        <w:spacing w:after="0" w:line="256" w:lineRule="auto"/>
        <w:rPr>
          <w:rFonts w:ascii="Verdana" w:eastAsia="Calibri" w:hAnsi="Verdana" w:cs="Times New Roman"/>
          <w:b/>
          <w:bCs/>
          <w:lang w:val="es-ES"/>
        </w:rPr>
      </w:pPr>
    </w:p>
    <w:p w14:paraId="27D58519" w14:textId="77777777" w:rsidR="00FF6D94" w:rsidRDefault="00FF6D94" w:rsidP="00FF6D94">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455FD2B1" w14:textId="77777777" w:rsidR="00FF6D94" w:rsidRPr="00A12CB6" w:rsidRDefault="00FF6D94" w:rsidP="00FF6D94">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F6D94" w:rsidRPr="001205D1" w14:paraId="6F49357E" w14:textId="77777777" w:rsidTr="00B7586E">
        <w:trPr>
          <w:trHeight w:val="870"/>
          <w:jc w:val="center"/>
        </w:trPr>
        <w:tc>
          <w:tcPr>
            <w:tcW w:w="8784" w:type="dxa"/>
          </w:tcPr>
          <w:p w14:paraId="0822BC80" w14:textId="77777777" w:rsidR="00FF6D94" w:rsidRPr="00185EE9" w:rsidRDefault="00FF6D94" w:rsidP="00B7586E">
            <w:pPr>
              <w:spacing w:line="256" w:lineRule="auto"/>
              <w:jc w:val="both"/>
              <w:rPr>
                <w:rFonts w:ascii="Verdana" w:eastAsia="Calibri" w:hAnsi="Verdana" w:cs="Times New Roman"/>
                <w:lang w:val="es-ES"/>
              </w:rPr>
            </w:pPr>
            <w:r>
              <w:rPr>
                <w:rFonts w:ascii="Verdana" w:eastAsia="Calibri" w:hAnsi="Verdana" w:cs="Times New Roman"/>
                <w:lang w:val="es-ES"/>
              </w:rPr>
              <w:t>Respecto al interrogante planteado</w:t>
            </w:r>
            <w:r w:rsidRPr="00185EE9">
              <w:rPr>
                <w:rFonts w:ascii="Verdana" w:eastAsia="Calibri" w:hAnsi="Verdana" w:cs="Times New Roman"/>
                <w:lang w:val="es-ES"/>
              </w:rPr>
              <w:t xml:space="preserve"> esta Subdirección manifiesta:</w:t>
            </w:r>
          </w:p>
          <w:p w14:paraId="37A63911" w14:textId="77777777" w:rsidR="00FF6D94" w:rsidRPr="00185EE9" w:rsidRDefault="00FF6D94" w:rsidP="00B7586E">
            <w:pPr>
              <w:spacing w:line="256" w:lineRule="auto"/>
              <w:rPr>
                <w:rFonts w:ascii="Verdana" w:eastAsia="Calibri" w:hAnsi="Verdana" w:cs="Times New Roman"/>
                <w:b/>
                <w:bCs/>
                <w:lang w:val="es-ES"/>
              </w:rPr>
            </w:pPr>
          </w:p>
          <w:p w14:paraId="7EE80E59" w14:textId="77777777" w:rsidR="00FF6D94" w:rsidRPr="00B14E03" w:rsidRDefault="00FF6D94" w:rsidP="00B7586E">
            <w:pPr>
              <w:tabs>
                <w:tab w:val="left" w:pos="567"/>
              </w:tabs>
              <w:spacing w:after="120" w:line="257" w:lineRule="auto"/>
              <w:jc w:val="both"/>
              <w:rPr>
                <w:rFonts w:ascii="Verdana" w:eastAsia="Calibri" w:hAnsi="Verdana" w:cs="Times New Roman"/>
              </w:rPr>
            </w:pPr>
            <w:r w:rsidRPr="4E713B90">
              <w:rPr>
                <w:rFonts w:ascii="Verdana" w:eastAsia="Calibri" w:hAnsi="Verdana" w:cs="Times New Roman"/>
                <w:lang w:val="es-ES"/>
              </w:rPr>
              <w:t xml:space="preserve">En </w:t>
            </w:r>
            <w:r w:rsidRPr="4E713B90">
              <w:rPr>
                <w:rFonts w:ascii="Verdana" w:eastAsia="Calibri" w:hAnsi="Verdana" w:cs="Times New Roman"/>
                <w:i/>
                <w:iCs/>
                <w:lang w:val="es-ES"/>
              </w:rPr>
              <w:t>primer lugar</w:t>
            </w:r>
            <w:r w:rsidRPr="4E713B90">
              <w:rPr>
                <w:rFonts w:ascii="Verdana" w:eastAsia="Calibri" w:hAnsi="Verdana" w:cs="Times New Roman"/>
                <w:lang w:val="es-ES"/>
              </w:rPr>
              <w:t xml:space="preserve">, se precisa que, la licitación es la modalidad de selección por regla general en los procesos de contratación pública para aquellas entidades sometidas al Estatuto General de Contratación de la Administración Pública –EGCAP-, salvo </w:t>
            </w:r>
            <w:r w:rsidRPr="4E713B90">
              <w:rPr>
                <w:rFonts w:ascii="Verdana" w:eastAsia="Calibri" w:hAnsi="Verdana" w:cs="Times New Roman"/>
              </w:rPr>
              <w:t xml:space="preserve">las excepciones que se señalan en el artículo 2 de la Ley 1150 de 2007, esto es, la selección abreviada, concurso de méritos, mínima cuantía y contratación directa. En otras palabras, en el evento que el proceso de contratación esté amparado por una de las modalidades de selección ya precitadas, debe aplicarse bajo un </w:t>
            </w:r>
            <w:r w:rsidRPr="4E713B90">
              <w:rPr>
                <w:rFonts w:ascii="Verdana" w:eastAsia="Calibri" w:hAnsi="Verdana" w:cs="Times New Roman"/>
                <w:i/>
                <w:iCs/>
              </w:rPr>
              <w:t>criterio de especialidad</w:t>
            </w:r>
            <w:r w:rsidRPr="4E713B90">
              <w:rPr>
                <w:rFonts w:ascii="Verdana" w:eastAsia="Calibri" w:hAnsi="Verdana" w:cs="Times New Roman"/>
              </w:rPr>
              <w:t xml:space="preserve">, como es el caso de </w:t>
            </w:r>
            <w:r w:rsidRPr="4E713B90">
              <w:rPr>
                <w:rFonts w:ascii="Verdana" w:eastAsia="Calibri" w:hAnsi="Verdana" w:cs="Times New Roman"/>
              </w:rPr>
              <w:lastRenderedPageBreak/>
              <w:t xml:space="preserve">la sujeción a un Acuerdo Marco de Precios vigente, que está regulado en la modalidad de selección abreviada. </w:t>
            </w:r>
          </w:p>
          <w:p w14:paraId="277B6FFC" w14:textId="77777777" w:rsidR="00FF6D94" w:rsidRPr="00B14E03" w:rsidRDefault="00FF6D94" w:rsidP="00B7586E">
            <w:pPr>
              <w:tabs>
                <w:tab w:val="left" w:pos="567"/>
              </w:tabs>
              <w:spacing w:after="120" w:line="257" w:lineRule="auto"/>
              <w:jc w:val="both"/>
              <w:rPr>
                <w:rFonts w:ascii="Verdana" w:eastAsia="Calibri" w:hAnsi="Verdana" w:cs="Times New Roman"/>
                <w:iCs/>
              </w:rPr>
            </w:pPr>
            <w:r w:rsidRPr="00B14E03">
              <w:rPr>
                <w:rFonts w:ascii="Verdana" w:eastAsia="Calibri" w:hAnsi="Verdana" w:cs="Times New Roman"/>
                <w:iCs/>
              </w:rPr>
              <w:tab/>
              <w:t xml:space="preserve">En </w:t>
            </w:r>
            <w:r w:rsidRPr="00A94D14">
              <w:rPr>
                <w:rFonts w:ascii="Verdana" w:eastAsia="Calibri" w:hAnsi="Verdana" w:cs="Times New Roman"/>
                <w:i/>
                <w:iCs/>
              </w:rPr>
              <w:t>segundo lugar</w:t>
            </w:r>
            <w:r w:rsidRPr="00B14E03">
              <w:rPr>
                <w:rFonts w:ascii="Verdana" w:eastAsia="Calibri" w:hAnsi="Verdana" w:cs="Times New Roman"/>
                <w:iCs/>
              </w:rPr>
              <w:t>, un Acuerdo Marco de Precios es un contrato con vigencia determinada, celebrado entre la Agencia Nacional de Contratación Pública -Colombia Compra Eficiente-, y uno o más proveedores, mediante el cual se seleccionan a los proveedores y se regulan los términos y condiciones para la adquisición de bienes o servicios de características técnicas uniformes o no uniformes de común</w:t>
            </w:r>
            <w:r>
              <w:rPr>
                <w:rFonts w:ascii="Verdana" w:eastAsia="Calibri" w:hAnsi="Verdana" w:cs="Times New Roman"/>
                <w:iCs/>
              </w:rPr>
              <w:t xml:space="preserve"> utilización, los cuales serán de obligatorio cumplimiento para las entidades sometidas al Estatuto General de Contratación de la Administración Pública –EGCAP- cuando exista un acuerdo marco vigente. </w:t>
            </w:r>
          </w:p>
          <w:p w14:paraId="4583CF91" w14:textId="77777777" w:rsidR="00FF6D94" w:rsidRPr="00851137" w:rsidRDefault="00FF6D94" w:rsidP="00B7586E">
            <w:pPr>
              <w:shd w:val="clear" w:color="auto" w:fill="FFFFFF" w:themeFill="background1"/>
              <w:spacing w:line="276" w:lineRule="auto"/>
              <w:ind w:firstLine="708"/>
              <w:jc w:val="both"/>
              <w:rPr>
                <w:rFonts w:ascii="Verdana" w:eastAsia="Calibri" w:hAnsi="Verdana" w:cs="Times New Roman"/>
              </w:rPr>
            </w:pPr>
            <w:r w:rsidRPr="4E713B90">
              <w:rPr>
                <w:rFonts w:ascii="Verdana" w:eastAsia="Calibri" w:hAnsi="Verdana" w:cs="Times New Roman"/>
                <w:lang w:val="es-ES"/>
              </w:rPr>
              <w:t xml:space="preserve">En </w:t>
            </w:r>
            <w:r w:rsidRPr="4E713B90">
              <w:rPr>
                <w:rFonts w:ascii="Verdana" w:eastAsia="Calibri" w:hAnsi="Verdana" w:cs="Times New Roman"/>
                <w:i/>
                <w:iCs/>
                <w:lang w:val="es-ES"/>
              </w:rPr>
              <w:t>tercer lugar</w:t>
            </w:r>
            <w:r w:rsidRPr="4E713B90">
              <w:rPr>
                <w:rFonts w:ascii="Verdana" w:eastAsia="Calibri" w:hAnsi="Verdana" w:cs="Times New Roman"/>
                <w:lang w:val="es-ES"/>
              </w:rPr>
              <w:t xml:space="preserve">, debe indicarse que, en los eventos que no exista un Acuerdo Marco de Precios vigente debe acudirse a la modalidad de selección abreviada mediante subasta inversa o de procedimientos de adquisición en bolsa de productos, de acuerdo con lo dispuesto por el Decreto 1082 de 2015, cuando sea para la adquisición de bienes y servicios de características uniformes y común utilización; y acudir a la modalidad de licitación pública por regla general o en su defecto selección abreviada </w:t>
            </w:r>
            <w:r w:rsidRPr="4E713B90">
              <w:rPr>
                <w:rFonts w:ascii="Verdana" w:eastAsia="Calibri" w:hAnsi="Verdana" w:cs="Times New Roman"/>
              </w:rPr>
              <w:t xml:space="preserve">de menor cuantía cuando se requiera contratar bienes o servicios no uniformes de común utilización por valores que se ubiquen dentro de la menor cuantía del presupuesto de la respectiva Entidad Estatal, teniendo en cuenta los rangos establecidos en el literal b) del numeral 2 del artículo 2 de la Ley 1150 de 2007. En la modalidad de selección abreviada de menor cuantía al igual que en la licitación, la oferta más favorable se determina de acuerdo con lo establecido en el numeral 2 del artículo 5 de la Ley 1150 de 2007, esto es, en atención a la mejor relación calidad-precio. </w:t>
            </w:r>
          </w:p>
          <w:p w14:paraId="6CBED047" w14:textId="77777777" w:rsidR="00FF6D94" w:rsidRPr="00E919FD" w:rsidRDefault="00FF6D94" w:rsidP="00B7586E">
            <w:pPr>
              <w:spacing w:after="120" w:line="276" w:lineRule="auto"/>
              <w:ind w:firstLine="708"/>
              <w:jc w:val="both"/>
              <w:rPr>
                <w:rFonts w:ascii="Verdana" w:hAnsi="Verdana" w:cs="Arial"/>
              </w:rPr>
            </w:pPr>
          </w:p>
        </w:tc>
      </w:tr>
    </w:tbl>
    <w:p w14:paraId="66960CCC" w14:textId="77777777" w:rsidR="00FF6D94" w:rsidRPr="00185EE9" w:rsidRDefault="00FF6D94" w:rsidP="00FF6D94">
      <w:pPr>
        <w:spacing w:after="0" w:line="276" w:lineRule="auto"/>
        <w:jc w:val="both"/>
        <w:rPr>
          <w:rFonts w:ascii="Verdana" w:eastAsia="Calibri" w:hAnsi="Verdana" w:cs="Arial"/>
          <w:bCs/>
          <w:color w:val="000000" w:themeColor="text1"/>
        </w:rPr>
      </w:pPr>
    </w:p>
    <w:p w14:paraId="2575C8D9" w14:textId="77777777" w:rsidR="00FF6D94" w:rsidRPr="00185EE9" w:rsidRDefault="00FF6D94" w:rsidP="00FF6D94">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Razones de la respuesta:</w:t>
      </w:r>
    </w:p>
    <w:p w14:paraId="32A70566" w14:textId="77777777" w:rsidR="00FF6D94" w:rsidRPr="00185EE9" w:rsidRDefault="00FF6D94" w:rsidP="00FF6D94">
      <w:pPr>
        <w:spacing w:after="0" w:line="256" w:lineRule="auto"/>
        <w:rPr>
          <w:rFonts w:ascii="Verdana" w:eastAsia="Calibri" w:hAnsi="Verdana" w:cs="Times New Roman"/>
          <w:b/>
          <w:bCs/>
          <w:lang w:val="es-ES"/>
        </w:rPr>
      </w:pPr>
    </w:p>
    <w:p w14:paraId="4C86E85B" w14:textId="77777777" w:rsidR="00FF6D94" w:rsidRPr="00185EE9" w:rsidRDefault="00FF6D94" w:rsidP="00FF6D94">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las siguientes consideraciones: </w:t>
      </w:r>
    </w:p>
    <w:p w14:paraId="6E8CBDC7" w14:textId="77777777" w:rsidR="00FF6D94" w:rsidRPr="00185EE9" w:rsidRDefault="00FF6D94" w:rsidP="00FF6D94">
      <w:pPr>
        <w:spacing w:after="0" w:line="276" w:lineRule="auto"/>
        <w:jc w:val="both"/>
        <w:rPr>
          <w:rFonts w:ascii="Verdana" w:eastAsia="Calibri" w:hAnsi="Verdana" w:cs="Arial"/>
          <w:color w:val="000000"/>
          <w:szCs w:val="24"/>
          <w:lang w:val="es-ES_tradnl" w:eastAsia="es-ES_tradnl"/>
        </w:rPr>
      </w:pPr>
    </w:p>
    <w:p w14:paraId="28596984" w14:textId="77777777" w:rsidR="00FF6D94" w:rsidRPr="00185EE9" w:rsidRDefault="00FF6D94" w:rsidP="00FF6D94">
      <w:pPr>
        <w:spacing w:after="120" w:line="276" w:lineRule="auto"/>
        <w:jc w:val="both"/>
        <w:rPr>
          <w:rFonts w:ascii="Verdana" w:eastAsia="Calibri" w:hAnsi="Verdana" w:cs="Arial"/>
          <w:bCs/>
          <w:lang w:val="es-MX" w:eastAsia="es-ES_tradnl"/>
        </w:rPr>
      </w:pPr>
      <w:r w:rsidRPr="00185EE9">
        <w:rPr>
          <w:rFonts w:ascii="Verdana" w:eastAsia="Calibri" w:hAnsi="Verdana" w:cs="Arial"/>
          <w:color w:val="000000"/>
          <w:szCs w:val="24"/>
          <w:lang w:val="es-ES_tradnl" w:eastAsia="es-ES_tradnl"/>
        </w:rPr>
        <w:t>P</w:t>
      </w:r>
      <w:r w:rsidRPr="00185EE9">
        <w:rPr>
          <w:rFonts w:ascii="Verdana" w:hAnsi="Verdana" w:cs="Arial"/>
          <w:lang w:val="es-ES"/>
        </w:rPr>
        <w:t xml:space="preserve">ara las entidades sometidas al Estatuto General de Contratación de la Administración Pública, los procesos de selección se rigen por </w:t>
      </w:r>
      <w:r w:rsidRPr="00185EE9">
        <w:rPr>
          <w:rFonts w:ascii="Verdana" w:hAnsi="Verdana" w:cs="Arial"/>
          <w:bCs/>
          <w:lang w:val="es-ES_tradnl"/>
        </w:rPr>
        <w:t>el artículo 2 de la Ley 1150 de 2007</w:t>
      </w:r>
      <w:r w:rsidRPr="00185EE9">
        <w:rPr>
          <w:rFonts w:ascii="Verdana" w:hAnsi="Verdana" w:cs="Arial"/>
          <w:lang w:val="es-ES"/>
        </w:rPr>
        <w:t xml:space="preserve">. El </w:t>
      </w:r>
      <w:r w:rsidRPr="00185EE9">
        <w:rPr>
          <w:rFonts w:ascii="Verdana" w:eastAsia="Calibri" w:hAnsi="Verdana" w:cs="Arial"/>
          <w:bCs/>
          <w:lang w:val="es-MX" w:eastAsia="es-ES_tradnl"/>
        </w:rPr>
        <w:t>numeral uno, inciso primero, de la norma citada</w:t>
      </w:r>
      <w:r w:rsidRPr="00185EE9">
        <w:rPr>
          <w:rFonts w:ascii="Verdana" w:hAnsi="Verdana" w:cs="Arial"/>
          <w:bCs/>
          <w:lang w:val="es-ES_tradnl"/>
        </w:rPr>
        <w:t xml:space="preserve"> </w:t>
      </w:r>
      <w:r w:rsidRPr="00185EE9">
        <w:rPr>
          <w:rFonts w:ascii="Verdana" w:eastAsia="Calibri" w:hAnsi="Verdana" w:cs="Arial"/>
          <w:bCs/>
          <w:lang w:val="es-MX" w:eastAsia="es-ES_tradnl"/>
        </w:rPr>
        <w:t xml:space="preserve">dispone que “La escogencia del contratista se efectuará por </w:t>
      </w:r>
      <w:r w:rsidRPr="00185EE9">
        <w:rPr>
          <w:rFonts w:ascii="Verdana" w:eastAsia="Calibri" w:hAnsi="Verdana" w:cs="Arial"/>
          <w:bCs/>
          <w:i/>
          <w:iCs/>
          <w:lang w:val="es-MX" w:eastAsia="es-ES_tradnl"/>
        </w:rPr>
        <w:t>regla general</w:t>
      </w:r>
      <w:r w:rsidRPr="00185EE9">
        <w:rPr>
          <w:rFonts w:ascii="Verdana" w:eastAsia="Calibri" w:hAnsi="Verdana" w:cs="Arial"/>
          <w:bCs/>
          <w:lang w:val="es-MX" w:eastAsia="es-ES_tradnl"/>
        </w:rPr>
        <w:t xml:space="preserve"> a través de licitación pública, con las </w:t>
      </w:r>
      <w:r w:rsidRPr="00185EE9">
        <w:rPr>
          <w:rFonts w:ascii="Verdana" w:eastAsia="Calibri" w:hAnsi="Verdana" w:cs="Arial"/>
          <w:bCs/>
          <w:i/>
          <w:iCs/>
          <w:lang w:val="es-MX" w:eastAsia="es-ES_tradnl"/>
        </w:rPr>
        <w:t>excepciones</w:t>
      </w:r>
      <w:r w:rsidRPr="00185EE9">
        <w:rPr>
          <w:rFonts w:ascii="Verdana" w:eastAsia="Calibri" w:hAnsi="Verdana" w:cs="Arial"/>
          <w:bCs/>
          <w:lang w:val="es-MX" w:eastAsia="es-ES_tradnl"/>
        </w:rPr>
        <w:t xml:space="preserve"> que se señalan en los numerales 2, 3 y 4 </w:t>
      </w:r>
      <w:r w:rsidRPr="00185EE9">
        <w:rPr>
          <w:rFonts w:ascii="Verdana" w:eastAsia="Calibri" w:hAnsi="Verdana" w:cs="Arial"/>
          <w:bCs/>
          <w:lang w:val="es-MX" w:eastAsia="es-ES_tradnl"/>
        </w:rPr>
        <w:lastRenderedPageBreak/>
        <w:t>del presente artículo”, norma que sustituye el derogado numeral 1 del artículo 24 de la Ley 80 de 1993 sobre el principio de transparencia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xml:space="preserve">. </w:t>
      </w:r>
    </w:p>
    <w:p w14:paraId="0931A7ED" w14:textId="77777777" w:rsidR="00FF6D94" w:rsidRPr="00185EE9" w:rsidRDefault="00FF6D94" w:rsidP="00FF6D94">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5103E0B3" w14:textId="77777777" w:rsidR="00FF6D94" w:rsidRPr="00185EE9" w:rsidRDefault="00FF6D94" w:rsidP="00FF6D94">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t xml:space="preserve">Respecto a la selección abreviada, </w:t>
      </w:r>
      <w:r w:rsidRPr="00185EE9">
        <w:rPr>
          <w:rFonts w:ascii="Verdana" w:eastAsia="Calibri" w:hAnsi="Verdana" w:cs="Arial"/>
        </w:rPr>
        <w:t>el numeral 2 del artículo 2 de la Ley 1150 de 2007 dispone</w:t>
      </w:r>
      <w:r>
        <w:rPr>
          <w:rFonts w:ascii="Verdana" w:eastAsia="Calibri" w:hAnsi="Verdana" w:cs="Arial"/>
        </w:rPr>
        <w:t>:</w:t>
      </w:r>
      <w:r w:rsidRPr="00185EE9">
        <w:rPr>
          <w:rFonts w:ascii="Verdana" w:eastAsia="Calibri" w:hAnsi="Verdana" w:cs="Arial"/>
        </w:rPr>
        <w:t xml:space="preserve"> “[…] corresponde a la modalidad de selección objetiva prevista para aquellos casos en que</w:t>
      </w:r>
      <w:r>
        <w:rPr>
          <w:rStyle w:val="Refdenotaalpie"/>
          <w:rFonts w:ascii="Verdana" w:eastAsia="Calibri" w:hAnsi="Verdana" w:cs="Arial"/>
        </w:rPr>
        <w:footnoteReference w:id="3"/>
      </w:r>
      <w:r w:rsidRPr="00185EE9">
        <w:rPr>
          <w:rFonts w:ascii="Verdana" w:eastAsia="Calibri" w:hAnsi="Verdana" w:cs="Arial"/>
        </w:rPr>
        <w:t xml:space="preserve"> por las características del objeto a </w:t>
      </w:r>
      <w:r w:rsidRPr="00185EE9">
        <w:rPr>
          <w:rFonts w:ascii="Verdana" w:eastAsia="Calibri" w:hAnsi="Verdana" w:cs="Arial"/>
        </w:rPr>
        <w:lastRenderedPageBreak/>
        <w:t xml:space="preserve">contratar, las circunstancias de la contratación o la cuantía o destinación del bien, obra o servicio puedan adelantarse procesos simplificados para garantizar la eficiencia de la gestión contractual”, regulando cada una de las causales. </w:t>
      </w:r>
    </w:p>
    <w:p w14:paraId="1CD0164F" w14:textId="77777777" w:rsidR="00FF6D94" w:rsidRPr="00185EE9" w:rsidRDefault="00FF6D94" w:rsidP="00FF6D94">
      <w:pPr>
        <w:spacing w:after="0" w:line="276" w:lineRule="auto"/>
        <w:ind w:firstLine="708"/>
        <w:jc w:val="both"/>
        <w:rPr>
          <w:rFonts w:ascii="Verdana" w:eastAsia="Calibri" w:hAnsi="Verdana" w:cs="Arial"/>
        </w:rPr>
      </w:pPr>
      <w:r w:rsidRPr="00185EE9">
        <w:rPr>
          <w:rFonts w:ascii="Verdana" w:eastAsia="Calibri" w:hAnsi="Verdana" w:cs="Arial"/>
        </w:rPr>
        <w:t>Se trata de un procedimiento que, conforme a la reglamentación que expida el Gobierno Nacional, agiliza la contratación estatal en los eventos en que no se justifica adelantar una licitación pública, pero tampoco limita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75F4A206" w14:textId="77777777" w:rsidR="00FF6D94" w:rsidRPr="00044A5B" w:rsidRDefault="00FF6D94" w:rsidP="00FF6D94">
      <w:pPr>
        <w:spacing w:after="0" w:line="240" w:lineRule="auto"/>
        <w:jc w:val="both"/>
        <w:rPr>
          <w:rFonts w:ascii="Verdana" w:eastAsia="Calibri" w:hAnsi="Verdana" w:cs="Arial"/>
          <w:sz w:val="20"/>
          <w:szCs w:val="20"/>
        </w:rPr>
      </w:pPr>
    </w:p>
    <w:p w14:paraId="44F8AB67" w14:textId="77777777" w:rsidR="00FF6D94" w:rsidRPr="00044A5B" w:rsidRDefault="00FF6D94" w:rsidP="00FF6D94">
      <w:pPr>
        <w:spacing w:after="120" w:line="240" w:lineRule="auto"/>
        <w:ind w:left="709" w:right="709"/>
        <w:jc w:val="both"/>
        <w:rPr>
          <w:rFonts w:ascii="Verdana" w:eastAsia="Calibri" w:hAnsi="Verdana" w:cs="Arial"/>
          <w:sz w:val="21"/>
          <w:szCs w:val="21"/>
        </w:rPr>
      </w:pPr>
      <w:r w:rsidRPr="00044A5B">
        <w:rPr>
          <w:rFonts w:ascii="Verdana" w:eastAsia="Calibri" w:hAnsi="Verdana"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2D46590" w14:textId="77777777" w:rsidR="00FF6D94" w:rsidRPr="00044A5B" w:rsidRDefault="00FF6D94" w:rsidP="00FF6D94">
      <w:pPr>
        <w:spacing w:after="0" w:line="240" w:lineRule="auto"/>
        <w:ind w:left="709" w:right="709"/>
        <w:jc w:val="both"/>
        <w:rPr>
          <w:rFonts w:ascii="Verdana" w:eastAsia="Calibri" w:hAnsi="Verdana" w:cs="Arial"/>
          <w:sz w:val="21"/>
          <w:szCs w:val="21"/>
        </w:rPr>
      </w:pPr>
      <w:r w:rsidRPr="00044A5B">
        <w:rPr>
          <w:rFonts w:ascii="Verdana" w:eastAsia="Calibri" w:hAnsi="Verdana" w:cs="Arial"/>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w:t>
      </w:r>
      <w:r w:rsidRPr="00044A5B">
        <w:rPr>
          <w:rStyle w:val="Refdenotaalpie"/>
          <w:rFonts w:ascii="Verdana" w:eastAsia="Calibri" w:hAnsi="Verdana" w:cs="Arial"/>
          <w:sz w:val="21"/>
          <w:szCs w:val="21"/>
        </w:rPr>
        <w:footnoteReference w:id="4"/>
      </w:r>
      <w:r w:rsidRPr="00044A5B">
        <w:rPr>
          <w:rFonts w:ascii="Verdana" w:eastAsia="Calibri" w:hAnsi="Verdana" w:cs="Arial"/>
          <w:sz w:val="21"/>
          <w:szCs w:val="21"/>
        </w:rPr>
        <w:t>.</w:t>
      </w:r>
    </w:p>
    <w:p w14:paraId="7949024D" w14:textId="77777777" w:rsidR="00FF6D94" w:rsidRPr="00EA0D11" w:rsidRDefault="00FF6D94" w:rsidP="00FF6D94">
      <w:pPr>
        <w:spacing w:after="0" w:line="240" w:lineRule="auto"/>
        <w:ind w:left="709" w:right="709"/>
        <w:jc w:val="both"/>
        <w:rPr>
          <w:rFonts w:ascii="Verdana" w:eastAsia="Calibri" w:hAnsi="Verdana" w:cs="Arial"/>
          <w:sz w:val="21"/>
          <w:szCs w:val="21"/>
        </w:rPr>
      </w:pPr>
    </w:p>
    <w:p w14:paraId="00EA3EA2" w14:textId="77777777" w:rsidR="00FF6D94" w:rsidRPr="00185EE9" w:rsidRDefault="00FF6D94" w:rsidP="00FF6D94">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5"/>
      </w:r>
      <w:r w:rsidRPr="00185EE9">
        <w:rPr>
          <w:rFonts w:ascii="Verdana" w:eastAsia="Calibri" w:hAnsi="Verdana" w:cs="Arial"/>
        </w:rPr>
        <w:t xml:space="preserve">. </w:t>
      </w:r>
    </w:p>
    <w:p w14:paraId="35718DAA" w14:textId="77777777" w:rsidR="00FF6D94" w:rsidRPr="00185EE9" w:rsidRDefault="00FF6D94" w:rsidP="00FF6D94">
      <w:pPr>
        <w:spacing w:after="120" w:line="276" w:lineRule="auto"/>
        <w:ind w:firstLine="709"/>
        <w:jc w:val="both"/>
        <w:rPr>
          <w:rFonts w:ascii="Verdana" w:eastAsia="Calibri" w:hAnsi="Verdana" w:cs="Arial"/>
          <w:color w:val="000000"/>
          <w:szCs w:val="24"/>
          <w:lang w:val="es-ES_tradnl" w:eastAsia="es-ES_tradnl"/>
        </w:rPr>
      </w:pPr>
      <w:r w:rsidRPr="00185EE9">
        <w:rPr>
          <w:rFonts w:ascii="Verdana" w:eastAsia="Calibri" w:hAnsi="Verdana" w:cs="Arial"/>
          <w:color w:val="000000"/>
          <w:szCs w:val="24"/>
          <w:lang w:val="es-ES_tradnl" w:eastAsia="es-ES_tradnl"/>
        </w:rPr>
        <w:lastRenderedPageBreak/>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85EE9">
        <w:rPr>
          <w:rFonts w:ascii="Verdana" w:eastAsia="Calibri" w:hAnsi="Verdana" w:cs="Arial"/>
          <w:bCs/>
          <w:color w:val="000000" w:themeColor="text1"/>
        </w:rPr>
        <w:t>el artículo 28 del Código Civil dispone</w:t>
      </w:r>
      <w:r>
        <w:rPr>
          <w:rFonts w:ascii="Verdana" w:eastAsia="Calibri" w:hAnsi="Verdana" w:cs="Arial"/>
          <w:bCs/>
          <w:color w:val="000000" w:themeColor="text1"/>
        </w:rPr>
        <w:t>:</w:t>
      </w:r>
      <w:r w:rsidRPr="00185EE9">
        <w:rPr>
          <w:rFonts w:ascii="Verdana" w:eastAsia="Calibri" w:hAnsi="Verdana" w:cs="Arial"/>
          <w:bCs/>
          <w:color w:val="000000" w:themeColor="text1"/>
        </w:rPr>
        <w:t xml:space="preserve"> “Las palabras de la ley se entenderán en su sentido natural y obvio, según el uso general de las mismas palabras; pero cuando el legislador las haya definido expresamente para ciertas materias, se les dará en éstas su significado legal”; igualmente, el artículo 29 </w:t>
      </w:r>
      <w:proofErr w:type="spellStart"/>
      <w:r w:rsidRPr="00185EE9">
        <w:rPr>
          <w:rFonts w:ascii="Verdana" w:eastAsia="Calibri" w:hAnsi="Verdana" w:cs="Arial"/>
          <w:bCs/>
          <w:i/>
          <w:iCs/>
          <w:color w:val="000000" w:themeColor="text1"/>
        </w:rPr>
        <w:t>ibidem</w:t>
      </w:r>
      <w:proofErr w:type="spellEnd"/>
      <w:r w:rsidRPr="00185EE9">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85EE9">
        <w:rPr>
          <w:rStyle w:val="Refdenotaalpie"/>
          <w:rFonts w:ascii="Verdana" w:eastAsia="Calibri" w:hAnsi="Verdana" w:cs="Arial"/>
          <w:bCs/>
          <w:color w:val="000000" w:themeColor="text1"/>
        </w:rPr>
        <w:footnoteReference w:id="6"/>
      </w:r>
      <w:r w:rsidRPr="00185EE9">
        <w:rPr>
          <w:rFonts w:ascii="Verdana" w:eastAsia="Calibri" w:hAnsi="Verdana" w:cs="Arial"/>
          <w:bCs/>
          <w:color w:val="000000" w:themeColor="text1"/>
        </w:rPr>
        <w:t xml:space="preserve">. </w:t>
      </w:r>
    </w:p>
    <w:p w14:paraId="6054912B" w14:textId="77777777" w:rsidR="00FF6D94" w:rsidRPr="00185EE9" w:rsidRDefault="00FF6D94" w:rsidP="00FF6D94">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2751FED5" w14:textId="77777777" w:rsidR="00FF6D94" w:rsidRPr="00185EE9" w:rsidRDefault="00FF6D94" w:rsidP="00FF6D94">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185EE9">
        <w:rPr>
          <w:rFonts w:ascii="Verdana" w:eastAsia="Calibri" w:hAnsi="Verdana" w:cs="Arial"/>
          <w:bCs/>
          <w:i/>
          <w:iCs/>
          <w:color w:val="000000" w:themeColor="text1"/>
        </w:rPr>
        <w:t>común utilización</w:t>
      </w:r>
      <w:r w:rsidRPr="00185EE9">
        <w:rPr>
          <w:rFonts w:ascii="Verdana" w:eastAsia="Calibri" w:hAnsi="Verdana" w:cs="Arial"/>
          <w:bCs/>
          <w:color w:val="000000" w:themeColor="text1"/>
        </w:rPr>
        <w:t xml:space="preserve"> “[…] busca que los bienes o servicios que se compren en esta categoría sean de los que se ofrecen en un mercado con un </w:t>
      </w:r>
      <w:r w:rsidRPr="00185EE9">
        <w:rPr>
          <w:rFonts w:ascii="Verdana" w:eastAsia="Calibri" w:hAnsi="Verdana" w:cs="Arial"/>
          <w:bCs/>
          <w:color w:val="000000" w:themeColor="text1"/>
        </w:rPr>
        <w:lastRenderedPageBreak/>
        <w:t>estándar para quienes los demandan, o lo que es igual, que la oferta de los mismos en el mercado ocurriese en condiciones equivalentes para todo interesado en adquirirlos”</w:t>
      </w:r>
      <w:r w:rsidRPr="00185EE9">
        <w:rPr>
          <w:rStyle w:val="Refdenotaalpie"/>
          <w:rFonts w:ascii="Verdana" w:eastAsia="Calibri" w:hAnsi="Verdana" w:cs="Arial"/>
          <w:bCs/>
          <w:color w:val="000000" w:themeColor="text1"/>
        </w:rPr>
        <w:footnoteReference w:id="7"/>
      </w:r>
      <w:r w:rsidRPr="00185EE9">
        <w:rPr>
          <w:rFonts w:ascii="Verdana" w:eastAsia="Calibri" w:hAnsi="Verdana" w:cs="Arial"/>
          <w:bCs/>
          <w:color w:val="000000" w:themeColor="text1"/>
        </w:rPr>
        <w:t xml:space="preserve">. Por su parte, la </w:t>
      </w:r>
      <w:r w:rsidRPr="00185EE9">
        <w:rPr>
          <w:rFonts w:ascii="Verdana" w:eastAsia="Calibri" w:hAnsi="Verdana" w:cs="Arial"/>
          <w:bCs/>
          <w:i/>
          <w:iCs/>
          <w:color w:val="000000" w:themeColor="text1"/>
        </w:rPr>
        <w:t>homogeneidad</w:t>
      </w:r>
      <w:r w:rsidRPr="00185EE9">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85EE9">
        <w:rPr>
          <w:rStyle w:val="Refdenotaalpie"/>
          <w:rFonts w:ascii="Verdana" w:eastAsia="Calibri" w:hAnsi="Verdana" w:cs="Arial"/>
          <w:bCs/>
          <w:color w:val="000000" w:themeColor="text1"/>
        </w:rPr>
        <w:footnoteReference w:id="8"/>
      </w:r>
      <w:r w:rsidRPr="00185EE9">
        <w:rPr>
          <w:rFonts w:ascii="Verdana" w:eastAsia="Calibri" w:hAnsi="Verdana" w:cs="Arial"/>
          <w:bCs/>
          <w:color w:val="000000" w:themeColor="text1"/>
        </w:rPr>
        <w:t>.</w:t>
      </w:r>
    </w:p>
    <w:p w14:paraId="0FA9ED8D" w14:textId="77777777" w:rsidR="00FF6D94" w:rsidRPr="00185EE9" w:rsidRDefault="00FF6D94" w:rsidP="00FF6D94">
      <w:pPr>
        <w:spacing w:after="0" w:line="276" w:lineRule="auto"/>
        <w:ind w:firstLine="708"/>
        <w:jc w:val="both"/>
        <w:rPr>
          <w:rFonts w:ascii="Verdana" w:eastAsia="Calibri" w:hAnsi="Verdana" w:cs="Arial"/>
        </w:rPr>
      </w:pPr>
      <w:r w:rsidRPr="00185EE9">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w:t>
      </w:r>
      <w:r>
        <w:rPr>
          <w:rFonts w:ascii="Verdana" w:eastAsia="Calibri" w:hAnsi="Verdana" w:cs="Arial"/>
          <w:bCs/>
          <w:color w:val="000000" w:themeColor="text1"/>
        </w:rPr>
        <w:t>tanto</w:t>
      </w:r>
      <w:r w:rsidRPr="00185EE9">
        <w:rPr>
          <w:rFonts w:ascii="Verdana" w:eastAsia="Calibri" w:hAnsi="Verdana" w:cs="Arial"/>
          <w:bCs/>
          <w:color w:val="000000" w:themeColor="text1"/>
        </w:rPr>
        <w:t xml:space="preserve">, es posible adquirirlos en el mercado en condiciones estandarizadas u homogéneas, con independencia de su diseño o de sus características descriptivas, pues no afectan su funcionalidad. La forma cómo se adquieren en el mercado determina si un bien o servicio encaja en esta categoría, de ahí que el Decreto 1082 de 2015 </w:t>
      </w:r>
      <w:r>
        <w:rPr>
          <w:rFonts w:ascii="Verdana" w:eastAsia="Calibri" w:hAnsi="Verdana" w:cs="Arial"/>
          <w:bCs/>
          <w:color w:val="000000" w:themeColor="text1"/>
        </w:rPr>
        <w:t>prescribe:</w:t>
      </w:r>
      <w:r w:rsidRPr="00185EE9">
        <w:rPr>
          <w:rFonts w:ascii="Verdana" w:eastAsia="Calibri" w:hAnsi="Verdana" w:cs="Arial"/>
          <w:bCs/>
          <w:color w:val="000000" w:themeColor="text1"/>
        </w:rPr>
        <w:t xml:space="preserve"> “[…] pueden ser agrupados como bienes y servicios homogéneos para su adquisición […]”, dado que cuentan con especificaciones técnicas y patrones de desempeño y calidad similares. Al respecto, la exposición de motivos de la Ley 1150 de 2007 explica que: </w:t>
      </w:r>
    </w:p>
    <w:p w14:paraId="050AE83C" w14:textId="77777777" w:rsidR="00FF6D94" w:rsidRPr="00185EE9" w:rsidRDefault="00FF6D94" w:rsidP="00FF6D94">
      <w:pPr>
        <w:spacing w:after="0" w:line="276" w:lineRule="auto"/>
        <w:jc w:val="both"/>
        <w:rPr>
          <w:rFonts w:ascii="Verdana" w:eastAsia="Calibri" w:hAnsi="Verdana" w:cs="Arial"/>
        </w:rPr>
      </w:pPr>
    </w:p>
    <w:p w14:paraId="0E7BE725" w14:textId="77777777" w:rsidR="00FF6D94" w:rsidRPr="00185EE9" w:rsidRDefault="00FF6D94" w:rsidP="00FF6D94">
      <w:pPr>
        <w:spacing w:after="0" w:line="240" w:lineRule="auto"/>
        <w:ind w:left="709" w:right="709"/>
        <w:jc w:val="both"/>
        <w:rPr>
          <w:rFonts w:ascii="Verdana" w:eastAsia="Calibri" w:hAnsi="Verdana" w:cs="Arial"/>
          <w:sz w:val="21"/>
          <w:szCs w:val="21"/>
        </w:rPr>
      </w:pPr>
      <w:r w:rsidRPr="00185EE9">
        <w:rPr>
          <w:rFonts w:ascii="Verdana" w:eastAsia="Calibri" w:hAnsi="Verdana" w:cs="Arial"/>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w:t>
      </w:r>
      <w:proofErr w:type="gramStart"/>
      <w:r w:rsidRPr="00185EE9">
        <w:rPr>
          <w:rFonts w:ascii="Verdana" w:eastAsia="Calibri" w:hAnsi="Verdana" w:cs="Arial"/>
          <w:sz w:val="21"/>
          <w:szCs w:val="21"/>
        </w:rPr>
        <w:t>que</w:t>
      </w:r>
      <w:proofErr w:type="gramEnd"/>
      <w:r w:rsidRPr="00185EE9">
        <w:rPr>
          <w:rFonts w:ascii="Verdana" w:eastAsia="Calibri" w:hAnsi="Verdana" w:cs="Arial"/>
          <w:sz w:val="21"/>
          <w:szCs w:val="21"/>
        </w:rPr>
        <w:t xml:space="preserve"> según cálculos del Departamento Nacional de Planeación, corresponden a más del 80% en número de contratos. </w:t>
      </w:r>
      <w:r w:rsidRPr="00185EE9">
        <w:rPr>
          <w:rFonts w:ascii="Verdana" w:eastAsia="Calibri" w:hAnsi="Verdana" w:cs="Arial"/>
          <w:i/>
          <w:iCs/>
          <w:sz w:val="21"/>
          <w:szCs w:val="21"/>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185EE9">
        <w:rPr>
          <w:rFonts w:ascii="Verdana" w:eastAsia="Calibri" w:hAnsi="Verdana" w:cs="Arial"/>
          <w:sz w:val="21"/>
          <w:szCs w:val="21"/>
        </w:rPr>
        <w:t xml:space="preserve"> […]”</w:t>
      </w:r>
      <w:r w:rsidRPr="00185EE9">
        <w:rPr>
          <w:rStyle w:val="Refdenotaalpie"/>
          <w:rFonts w:ascii="Verdana" w:eastAsia="Calibri" w:hAnsi="Verdana" w:cs="Arial"/>
          <w:sz w:val="21"/>
          <w:szCs w:val="21"/>
        </w:rPr>
        <w:footnoteReference w:id="9"/>
      </w:r>
      <w:r w:rsidRPr="00185EE9">
        <w:rPr>
          <w:rFonts w:ascii="Verdana" w:eastAsia="Calibri" w:hAnsi="Verdana" w:cs="Arial"/>
          <w:sz w:val="21"/>
          <w:szCs w:val="21"/>
        </w:rPr>
        <w:t>. (Énfasis fuera de texto)</w:t>
      </w:r>
    </w:p>
    <w:p w14:paraId="425F2366" w14:textId="77777777" w:rsidR="00FF6D94" w:rsidRPr="00185EE9" w:rsidRDefault="00FF6D94" w:rsidP="00FF6D94">
      <w:pPr>
        <w:spacing w:after="0" w:line="276" w:lineRule="auto"/>
        <w:jc w:val="both"/>
        <w:rPr>
          <w:rFonts w:ascii="Verdana" w:eastAsia="Calibri" w:hAnsi="Verdana" w:cs="Arial"/>
        </w:rPr>
      </w:pPr>
    </w:p>
    <w:p w14:paraId="56DDD94B" w14:textId="77777777" w:rsidR="00FF6D94" w:rsidRPr="00185EE9" w:rsidRDefault="00FF6D94" w:rsidP="00FF6D94">
      <w:pPr>
        <w:spacing w:after="120" w:line="276" w:lineRule="auto"/>
        <w:ind w:firstLine="709"/>
        <w:jc w:val="both"/>
        <w:rPr>
          <w:rFonts w:ascii="Verdana" w:eastAsia="Calibri" w:hAnsi="Verdana" w:cs="Arial"/>
        </w:rPr>
      </w:pPr>
      <w:r w:rsidRPr="00185EE9">
        <w:rPr>
          <w:rFonts w:ascii="Verdana" w:eastAsia="Calibri" w:hAnsi="Verdana" w:cs="Arial"/>
        </w:rPr>
        <w:lastRenderedPageBreak/>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w:t>
      </w:r>
      <w:r>
        <w:rPr>
          <w:rFonts w:ascii="Verdana" w:eastAsia="Calibri" w:hAnsi="Verdana" w:cs="Arial"/>
        </w:rPr>
        <w:t>ntre otros</w:t>
      </w:r>
      <w:r w:rsidRPr="00185EE9">
        <w:rPr>
          <w:rFonts w:ascii="Verdana" w:eastAsia="Calibri" w:hAnsi="Verdana" w:cs="Arial"/>
        </w:rPr>
        <w:t>.</w:t>
      </w:r>
      <w:r w:rsidRPr="00185EE9">
        <w:rPr>
          <w:rStyle w:val="Refdenotaalpie"/>
          <w:rFonts w:ascii="Verdana" w:eastAsia="Calibri" w:hAnsi="Verdana" w:cs="Arial"/>
        </w:rPr>
        <w:footnoteReference w:id="10"/>
      </w:r>
    </w:p>
    <w:p w14:paraId="17E5F8E7" w14:textId="77777777" w:rsidR="00FF6D94" w:rsidRDefault="00FF6D94" w:rsidP="00FF6D94">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w:t>
      </w:r>
      <w:r>
        <w:rPr>
          <w:rFonts w:ascii="Verdana" w:eastAsia="Calibri" w:hAnsi="Verdana" w:cs="Arial"/>
          <w:bCs/>
          <w:color w:val="000000" w:themeColor="text1"/>
        </w:rPr>
        <w:t xml:space="preserve">pone: </w:t>
      </w:r>
      <w:r w:rsidRPr="00185EE9">
        <w:rPr>
          <w:rFonts w:ascii="Verdana" w:eastAsia="Calibri" w:hAnsi="Verdana" w:cs="Arial"/>
          <w:bCs/>
          <w:color w:val="000000" w:themeColor="text1"/>
        </w:rPr>
        <w:t>“</w:t>
      </w:r>
      <w:r w:rsidRPr="00185EE9">
        <w:rPr>
          <w:rFonts w:ascii="Verdana" w:eastAsia="Calibri" w:hAnsi="Verdana" w:cs="Arial"/>
          <w:bCs/>
          <w:i/>
          <w:iCs/>
          <w:color w:val="000000" w:themeColor="text1"/>
        </w:rPr>
        <w:t>Para la adquisición de estos bienes y servicios las entidades deberán</w:t>
      </w:r>
      <w:r w:rsidRPr="00185EE9">
        <w:rPr>
          <w:rFonts w:ascii="Verdana" w:eastAsia="Calibri" w:hAnsi="Verdana" w:cs="Arial"/>
          <w:bCs/>
          <w:color w:val="000000" w:themeColor="text1"/>
        </w:rPr>
        <w:t xml:space="preserve">, siempre que el reglamento así lo señale, </w:t>
      </w:r>
      <w:r w:rsidRPr="00185EE9">
        <w:rPr>
          <w:rFonts w:ascii="Verdana" w:eastAsia="Calibri" w:hAnsi="Verdana" w:cs="Arial"/>
          <w:bCs/>
          <w:i/>
          <w:iCs/>
          <w:color w:val="000000" w:themeColor="text1"/>
        </w:rPr>
        <w:t>hacer uso</w:t>
      </w:r>
      <w:r w:rsidRPr="00185EE9">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185EE9">
        <w:rPr>
          <w:rFonts w:ascii="Verdana" w:eastAsia="Calibri" w:hAnsi="Verdana" w:cs="Arial"/>
          <w:bCs/>
          <w:i/>
          <w:iCs/>
          <w:color w:val="000000" w:themeColor="text1"/>
        </w:rPr>
        <w:t>de procedimientos de adquisición en bolsas de productos</w:t>
      </w:r>
      <w:r w:rsidRPr="00185EE9">
        <w:rPr>
          <w:rFonts w:ascii="Verdana" w:eastAsia="Calibri" w:hAnsi="Verdana" w:cs="Arial"/>
          <w:bCs/>
          <w:color w:val="000000" w:themeColor="text1"/>
        </w:rPr>
        <w:t>” (Énfasis fuera de texto). Estos mecanismos se aplicarán en la forma que disponga el Decreto 1082 de 2015 para para cada uno de ellos.</w:t>
      </w:r>
    </w:p>
    <w:p w14:paraId="6C8A638C" w14:textId="77777777" w:rsidR="00FF6D94" w:rsidRPr="00FA1110" w:rsidRDefault="00FF6D94" w:rsidP="00FF6D94">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rPr>
        <w:t xml:space="preserve">Por otro lado, </w:t>
      </w:r>
      <w:r>
        <w:rPr>
          <w:rFonts w:ascii="Verdana" w:eastAsia="Calibri" w:hAnsi="Verdana" w:cs="Arial"/>
          <w:bCs/>
          <w:color w:val="000000" w:themeColor="text1"/>
          <w:lang w:val="es-ES"/>
        </w:rPr>
        <w:t>e</w:t>
      </w:r>
      <w:r w:rsidRPr="00FA1110">
        <w:rPr>
          <w:rFonts w:ascii="Verdana" w:eastAsia="Calibri" w:hAnsi="Verdana" w:cs="Arial"/>
          <w:bCs/>
          <w:color w:val="000000" w:themeColor="text1"/>
          <w:lang w:val="es-ES_tradnl"/>
        </w:rPr>
        <w:t xml:space="preserve">l artículo 54 de la Ley 2195 de 2022 adiciona el literal j) al numeral 2 del artículo 2 de la Ley 1150 de 2007, creando una nueva casual de selección abreviada. De esta manera, establece que, para la contratación de bienes y servicios no uniformes de común utilización por parte de las entidades públicas, la Agencia Nacional de Contratación Pública –Colombia Compra Eficiente– podrá celebrar acuerdos marco de precios y demás instrumentos de agregación de demanda. En armonía con lo anterior, prescribe que estos acuerdos marco de precios serán de uso obligatorio para las entidades del Estado a las que se refiere el parágrafo 5 del artículo 2 de la </w:t>
      </w:r>
      <w:r>
        <w:rPr>
          <w:rFonts w:ascii="Verdana" w:eastAsia="Calibri" w:hAnsi="Verdana" w:cs="Arial"/>
          <w:bCs/>
          <w:color w:val="000000" w:themeColor="text1"/>
          <w:lang w:val="es-ES_tradnl"/>
        </w:rPr>
        <w:t>Ley 1150 de 2007, que fue modifi</w:t>
      </w:r>
      <w:r w:rsidRPr="00FA1110">
        <w:rPr>
          <w:rFonts w:ascii="Verdana" w:eastAsia="Calibri" w:hAnsi="Verdana" w:cs="Arial"/>
          <w:bCs/>
          <w:color w:val="000000" w:themeColor="text1"/>
          <w:lang w:val="es-ES_tradnl"/>
        </w:rPr>
        <w:t>cado por el artículo 41 de la Ley 1955 de 2019.</w:t>
      </w:r>
    </w:p>
    <w:p w14:paraId="1419E374" w14:textId="77777777" w:rsidR="00FF6D94" w:rsidRDefault="00FF6D94" w:rsidP="00FF6D94">
      <w:pPr>
        <w:spacing w:after="120" w:line="276" w:lineRule="auto"/>
        <w:ind w:firstLine="708"/>
        <w:jc w:val="both"/>
        <w:rPr>
          <w:rFonts w:ascii="Verdana" w:eastAsia="Calibri" w:hAnsi="Verdana" w:cs="Arial"/>
          <w:bCs/>
          <w:color w:val="000000" w:themeColor="text1"/>
          <w:lang w:val="es-ES"/>
        </w:rPr>
      </w:pPr>
      <w:r w:rsidRPr="00FA1110">
        <w:rPr>
          <w:rFonts w:ascii="Verdana" w:eastAsia="Calibri" w:hAnsi="Verdana" w:cs="Arial"/>
          <w:bCs/>
          <w:color w:val="000000" w:themeColor="text1"/>
          <w:lang w:val="es-ES"/>
        </w:rPr>
        <w:t xml:space="preserve">Esta justificación se origina porque en la actualidad, las entidades estatales adelantan procesos de contratación independientes para adquirir bienes o servicios de forma recurrente, lo cual genera una carga administrativa </w:t>
      </w:r>
      <w:r w:rsidRPr="00FA1110">
        <w:rPr>
          <w:rFonts w:ascii="Verdana" w:eastAsia="Calibri" w:hAnsi="Verdana" w:cs="Arial"/>
          <w:bCs/>
          <w:color w:val="000000" w:themeColor="text1"/>
          <w:lang w:val="es-ES"/>
        </w:rPr>
        <w:lastRenderedPageBreak/>
        <w:t>innecesaria y asimetrías en la compra pública en cuanto a los términos, condiciones y precios a los que se sujetan esos procesos de selección. Esto no p</w:t>
      </w:r>
      <w:r>
        <w:rPr>
          <w:rFonts w:ascii="Verdana" w:eastAsia="Calibri" w:hAnsi="Verdana" w:cs="Arial"/>
          <w:bCs/>
          <w:color w:val="000000" w:themeColor="text1"/>
          <w:lang w:val="es-ES"/>
        </w:rPr>
        <w:t>osibilita</w:t>
      </w:r>
      <w:r w:rsidRPr="00FA1110">
        <w:rPr>
          <w:rFonts w:ascii="Verdana" w:eastAsia="Calibri" w:hAnsi="Verdana" w:cs="Arial"/>
          <w:bCs/>
          <w:color w:val="000000" w:themeColor="text1"/>
          <w:lang w:val="es-ES"/>
        </w:rPr>
        <w:t xml:space="preserve"> que el Estado negocie como un solo comprador y crea condiciones contractuales distintas para la adquisición de los mismos bienes o servicios. Para hacer frente a esta imperfección del mercado de compra pública, los Acuerdos Marco de Precios </w:t>
      </w:r>
      <w:r>
        <w:rPr>
          <w:rFonts w:ascii="Verdana" w:eastAsia="Calibri" w:hAnsi="Verdana" w:cs="Arial"/>
          <w:bCs/>
          <w:color w:val="000000" w:themeColor="text1"/>
          <w:lang w:val="es-ES"/>
        </w:rPr>
        <w:t xml:space="preserve">son una especie de un instrumento de agregación de demanda, para la adquisición de bienes o servicios de características técnicas uniformes o bienes y servicios no uniformes de común utilización que </w:t>
      </w:r>
      <w:r w:rsidRPr="00FA1110">
        <w:rPr>
          <w:rFonts w:ascii="Verdana" w:eastAsia="Calibri" w:hAnsi="Verdana" w:cs="Arial"/>
          <w:bCs/>
          <w:color w:val="000000" w:themeColor="text1"/>
          <w:lang w:val="es-ES"/>
        </w:rPr>
        <w:t xml:space="preserve">han sido concebidos como una de las herramientas para que el Estado como comprador que es, agregue demanda y centralice las decisiones de adquisición de bienes, obras o servicios, </w:t>
      </w:r>
      <w:r>
        <w:rPr>
          <w:rFonts w:ascii="Verdana" w:eastAsia="Calibri" w:hAnsi="Verdana" w:cs="Arial"/>
          <w:bCs/>
          <w:color w:val="000000" w:themeColor="text1"/>
          <w:lang w:val="es-ES"/>
        </w:rPr>
        <w:t xml:space="preserve">con el fin de </w:t>
      </w:r>
      <w:r w:rsidRPr="00FA1110">
        <w:rPr>
          <w:rFonts w:ascii="Verdana" w:eastAsia="Calibri" w:hAnsi="Verdana" w:cs="Arial"/>
          <w:bCs/>
          <w:color w:val="000000" w:themeColor="text1"/>
          <w:lang w:val="es-ES"/>
        </w:rPr>
        <w:t>producir economías de escala</w:t>
      </w:r>
      <w:r>
        <w:rPr>
          <w:rFonts w:ascii="Verdana" w:eastAsia="Calibri" w:hAnsi="Verdana" w:cs="Arial"/>
          <w:bCs/>
          <w:color w:val="000000" w:themeColor="text1"/>
          <w:lang w:val="es-ES"/>
        </w:rPr>
        <w:t>,</w:t>
      </w:r>
      <w:r w:rsidRPr="00FA1110">
        <w:rPr>
          <w:rFonts w:ascii="Verdana" w:eastAsia="Calibri" w:hAnsi="Verdana" w:cs="Arial"/>
          <w:bCs/>
          <w:color w:val="000000" w:themeColor="text1"/>
          <w:lang w:val="es-ES"/>
        </w:rPr>
        <w:t xml:space="preserve"> incrementar el poder de negociación del Estado; y compartir costos y conocimiento entre las diferentes agencias y en general, todos los partícipes del sistema. </w:t>
      </w:r>
      <w:r>
        <w:rPr>
          <w:rFonts w:ascii="Verdana" w:eastAsia="Calibri" w:hAnsi="Verdana" w:cs="Arial"/>
          <w:bCs/>
          <w:color w:val="000000" w:themeColor="text1"/>
          <w:lang w:val="es-ES"/>
        </w:rPr>
        <w:t>Al respecto, Colombia Compra Eficiente en la “Guía para entender los instrumentos de agregación de demanda y acuerdos marco de precios”</w:t>
      </w:r>
      <w:r>
        <w:rPr>
          <w:rStyle w:val="Refdenotaalpie"/>
          <w:rFonts w:ascii="Verdana" w:eastAsia="Calibri" w:hAnsi="Verdana" w:cs="Arial"/>
          <w:bCs/>
          <w:color w:val="000000" w:themeColor="text1"/>
          <w:lang w:val="es-ES"/>
        </w:rPr>
        <w:footnoteReference w:id="11"/>
      </w:r>
      <w:r>
        <w:rPr>
          <w:rFonts w:ascii="Verdana" w:eastAsia="Calibri" w:hAnsi="Verdana" w:cs="Arial"/>
          <w:bCs/>
          <w:color w:val="000000" w:themeColor="text1"/>
          <w:lang w:val="es-ES"/>
        </w:rPr>
        <w:t xml:space="preserve">, establece los siguientes beneficios: </w:t>
      </w:r>
    </w:p>
    <w:p w14:paraId="40379AB4" w14:textId="77777777" w:rsidR="00FF6D94" w:rsidRDefault="00FF6D94" w:rsidP="00FF6D94">
      <w:pPr>
        <w:spacing w:after="120" w:line="276" w:lineRule="auto"/>
        <w:ind w:firstLine="708"/>
        <w:jc w:val="both"/>
        <w:rPr>
          <w:rFonts w:ascii="Verdana" w:eastAsia="Calibri" w:hAnsi="Verdana" w:cs="Arial"/>
          <w:bCs/>
          <w:color w:val="000000" w:themeColor="text1"/>
          <w:lang w:val="es-ES"/>
        </w:rPr>
      </w:pPr>
    </w:p>
    <w:p w14:paraId="3036C2C2" w14:textId="77777777" w:rsidR="00FF6D94" w:rsidRPr="00A94D14" w:rsidRDefault="00FF6D94" w:rsidP="00FF6D94">
      <w:pPr>
        <w:pStyle w:val="Prrafodelista"/>
        <w:numPr>
          <w:ilvl w:val="0"/>
          <w:numId w:val="21"/>
        </w:numPr>
        <w:spacing w:after="120" w:line="240" w:lineRule="auto"/>
        <w:ind w:left="1069" w:right="709"/>
        <w:jc w:val="both"/>
        <w:rPr>
          <w:rFonts w:ascii="Verdana" w:eastAsia="Calibri" w:hAnsi="Verdana" w:cs="Arial"/>
          <w:bCs/>
          <w:color w:val="000000" w:themeColor="text1"/>
          <w:sz w:val="21"/>
          <w:szCs w:val="21"/>
        </w:rPr>
      </w:pPr>
      <w:r w:rsidRPr="00A94D14">
        <w:rPr>
          <w:rFonts w:ascii="Verdana" w:eastAsia="Calibri" w:hAnsi="Verdana" w:cs="Arial"/>
          <w:bCs/>
          <w:color w:val="000000" w:themeColor="text1"/>
          <w:sz w:val="21"/>
          <w:szCs w:val="21"/>
        </w:rPr>
        <w:t xml:space="preserve">Reduce el número de procesos de contratación por parte de las Entidades compradoras. </w:t>
      </w:r>
    </w:p>
    <w:p w14:paraId="3FDA5E60" w14:textId="77777777" w:rsidR="00FF6D94" w:rsidRPr="00A94D14" w:rsidRDefault="00FF6D94" w:rsidP="00FF6D94">
      <w:pPr>
        <w:pStyle w:val="Prrafodelista"/>
        <w:numPr>
          <w:ilvl w:val="0"/>
          <w:numId w:val="21"/>
        </w:numPr>
        <w:spacing w:after="120" w:line="240" w:lineRule="auto"/>
        <w:ind w:left="1069" w:right="709"/>
        <w:jc w:val="both"/>
        <w:rPr>
          <w:rFonts w:ascii="Verdana" w:eastAsia="Calibri" w:hAnsi="Verdana" w:cs="Arial"/>
          <w:bCs/>
          <w:color w:val="000000" w:themeColor="text1"/>
          <w:sz w:val="21"/>
          <w:szCs w:val="21"/>
        </w:rPr>
      </w:pPr>
      <w:r w:rsidRPr="00A94D14">
        <w:rPr>
          <w:rFonts w:ascii="Verdana" w:eastAsia="Calibri" w:hAnsi="Verdana" w:cs="Arial"/>
          <w:bCs/>
          <w:color w:val="000000" w:themeColor="text1"/>
          <w:sz w:val="21"/>
          <w:szCs w:val="21"/>
        </w:rPr>
        <w:t>El Estado actúa como un único comprador unificando términos y condiciones para el suministro de bienes y servicios para el Estado.</w:t>
      </w:r>
    </w:p>
    <w:p w14:paraId="376350CF" w14:textId="77777777" w:rsidR="00FF6D94" w:rsidRPr="00A94D14" w:rsidRDefault="00FF6D94" w:rsidP="00FF6D94">
      <w:pPr>
        <w:pStyle w:val="Prrafodelista"/>
        <w:numPr>
          <w:ilvl w:val="0"/>
          <w:numId w:val="21"/>
        </w:numPr>
        <w:spacing w:after="120" w:line="240" w:lineRule="auto"/>
        <w:ind w:left="1069" w:right="709"/>
        <w:jc w:val="both"/>
        <w:rPr>
          <w:rFonts w:ascii="Verdana" w:eastAsia="Calibri" w:hAnsi="Verdana" w:cs="Arial"/>
          <w:bCs/>
          <w:color w:val="000000" w:themeColor="text1"/>
          <w:sz w:val="21"/>
          <w:szCs w:val="21"/>
        </w:rPr>
      </w:pPr>
      <w:r w:rsidRPr="00A94D14">
        <w:rPr>
          <w:rFonts w:ascii="Verdana" w:eastAsia="Calibri" w:hAnsi="Verdana" w:cs="Arial"/>
          <w:bCs/>
          <w:color w:val="000000" w:themeColor="text1"/>
          <w:sz w:val="21"/>
          <w:szCs w:val="21"/>
        </w:rPr>
        <w:t xml:space="preserve">Permite a la Entidad manejar inventarios con mayor flexibilidad. </w:t>
      </w:r>
    </w:p>
    <w:p w14:paraId="781FD70F" w14:textId="77777777" w:rsidR="00FF6D94" w:rsidRPr="00A94D14" w:rsidRDefault="00FF6D94" w:rsidP="00FF6D94">
      <w:pPr>
        <w:pStyle w:val="Prrafodelista"/>
        <w:numPr>
          <w:ilvl w:val="0"/>
          <w:numId w:val="21"/>
        </w:numPr>
        <w:spacing w:after="120" w:line="240" w:lineRule="auto"/>
        <w:ind w:left="1069" w:right="709"/>
        <w:jc w:val="both"/>
        <w:rPr>
          <w:rFonts w:ascii="Verdana" w:eastAsia="Calibri" w:hAnsi="Verdana" w:cs="Arial"/>
          <w:bCs/>
          <w:color w:val="000000" w:themeColor="text1"/>
          <w:sz w:val="21"/>
          <w:szCs w:val="21"/>
        </w:rPr>
      </w:pPr>
      <w:r w:rsidRPr="00A94D14">
        <w:rPr>
          <w:rFonts w:ascii="Verdana" w:eastAsia="Calibri" w:hAnsi="Verdana" w:cs="Arial"/>
          <w:bCs/>
          <w:color w:val="000000" w:themeColor="text1"/>
          <w:sz w:val="21"/>
          <w:szCs w:val="21"/>
        </w:rPr>
        <w:t xml:space="preserve">Libera tiempo del comprador público para destinar el cumplimiento de la misión de la entidad. </w:t>
      </w:r>
    </w:p>
    <w:p w14:paraId="788A4DB0" w14:textId="77777777" w:rsidR="00FF6D94" w:rsidRPr="00A94D14" w:rsidRDefault="00FF6D94" w:rsidP="00FF6D94">
      <w:pPr>
        <w:pStyle w:val="Prrafodelista"/>
        <w:numPr>
          <w:ilvl w:val="0"/>
          <w:numId w:val="21"/>
        </w:numPr>
        <w:spacing w:after="120" w:line="240" w:lineRule="auto"/>
        <w:ind w:left="1069" w:right="709"/>
        <w:jc w:val="both"/>
        <w:rPr>
          <w:rFonts w:ascii="Verdana" w:eastAsia="Calibri" w:hAnsi="Verdana" w:cs="Arial"/>
          <w:bCs/>
          <w:color w:val="000000" w:themeColor="text1"/>
          <w:sz w:val="21"/>
          <w:szCs w:val="21"/>
        </w:rPr>
      </w:pPr>
      <w:r w:rsidRPr="00A94D14">
        <w:rPr>
          <w:rFonts w:ascii="Verdana" w:eastAsia="Calibri" w:hAnsi="Verdana" w:cs="Arial"/>
          <w:bCs/>
          <w:color w:val="000000" w:themeColor="text1"/>
          <w:sz w:val="21"/>
          <w:szCs w:val="21"/>
        </w:rPr>
        <w:t xml:space="preserve">Ayuda a obtener mayor valor de los recursos públicos.  </w:t>
      </w:r>
    </w:p>
    <w:p w14:paraId="6CD340DC" w14:textId="77777777" w:rsidR="00FF6D94" w:rsidRPr="00D15E25" w:rsidRDefault="00FF6D94" w:rsidP="00FF6D94">
      <w:pPr>
        <w:spacing w:after="120" w:line="276" w:lineRule="auto"/>
        <w:ind w:firstLine="708"/>
        <w:jc w:val="both"/>
        <w:rPr>
          <w:rFonts w:ascii="Verdana" w:eastAsia="Calibri" w:hAnsi="Verdana" w:cs="Arial"/>
          <w:bCs/>
          <w:color w:val="000000" w:themeColor="text1"/>
          <w:lang w:val="es-ES"/>
        </w:rPr>
      </w:pPr>
    </w:p>
    <w:p w14:paraId="7F6C35B9" w14:textId="77777777" w:rsidR="00FF6D94" w:rsidRPr="00FA1110" w:rsidRDefault="00FF6D94" w:rsidP="00FF6D94">
      <w:pPr>
        <w:spacing w:after="120" w:line="276" w:lineRule="auto"/>
        <w:ind w:firstLine="709"/>
        <w:jc w:val="both"/>
        <w:rPr>
          <w:rFonts w:ascii="Verdana" w:eastAsia="Calibri" w:hAnsi="Verdana" w:cs="Arial"/>
          <w:bCs/>
          <w:color w:val="000000" w:themeColor="text1"/>
          <w:lang w:val="es-ES"/>
        </w:rPr>
      </w:pPr>
      <w:r w:rsidRPr="00FA1110">
        <w:rPr>
          <w:rFonts w:ascii="Verdana" w:eastAsia="Calibri" w:hAnsi="Verdana" w:cs="Arial"/>
          <w:bCs/>
          <w:color w:val="000000" w:themeColor="text1"/>
          <w:lang w:val="es-ES"/>
        </w:rPr>
        <w:t xml:space="preserve">En esta orientación, el Estado mediante Colombia Compra Eficiente negocia como un solo comprador y establece condiciones que reducen precios. De este modo, este proceso de contratación puede garantizar mayor nivel de eficiencia que la realización de los distintos procesos de selección, toda vez que posibilita el diseño y celebración de acuerdos marco de precios de aquellos bienes y servicios que son de común utilización, pero que no tienen la calidad de tener características técnicas y uniformes. </w:t>
      </w:r>
    </w:p>
    <w:p w14:paraId="7555F982" w14:textId="77777777" w:rsidR="00FF6D94" w:rsidRPr="00A94D14" w:rsidRDefault="00FF6D94" w:rsidP="00FF6D94">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lang w:val="es-ES"/>
        </w:rPr>
        <w:t xml:space="preserve">Se precisa pues, que los Acuerdos Marco de Precios como instrumentos de agregación de demanda se aplican de forma obligatoria con la condición que </w:t>
      </w:r>
      <w:r>
        <w:rPr>
          <w:rFonts w:ascii="Verdana" w:eastAsia="Calibri" w:hAnsi="Verdana" w:cs="Arial"/>
          <w:bCs/>
          <w:color w:val="000000" w:themeColor="text1"/>
          <w:lang w:val="es-ES"/>
        </w:rPr>
        <w:lastRenderedPageBreak/>
        <w:t xml:space="preserve">esté un acuerdo marco vigente para la adquisición de bienes y servicios de características uniformes y servicios no uniformes de común utilización, de conformidad con lo dispuesto en el artículo </w:t>
      </w:r>
      <w:r w:rsidRPr="00A94D14">
        <w:rPr>
          <w:rFonts w:ascii="Verdana" w:eastAsia="Calibri" w:hAnsi="Verdana" w:cs="Arial"/>
          <w:bCs/>
          <w:color w:val="000000" w:themeColor="text1"/>
        </w:rPr>
        <w:t>2.2.1.2.1.2.7. del Decreto 1082 de 2015</w:t>
      </w:r>
      <w:r>
        <w:rPr>
          <w:rStyle w:val="Refdenotaalpie"/>
          <w:rFonts w:ascii="Verdana" w:eastAsia="Calibri" w:hAnsi="Verdana" w:cs="Arial"/>
          <w:bCs/>
          <w:color w:val="000000" w:themeColor="text1"/>
        </w:rPr>
        <w:footnoteReference w:id="12"/>
      </w:r>
      <w:r w:rsidRPr="00A94D14">
        <w:rPr>
          <w:rFonts w:ascii="Verdana" w:eastAsia="Calibri" w:hAnsi="Verdana" w:cs="Arial"/>
          <w:bCs/>
          <w:color w:val="000000" w:themeColor="text1"/>
        </w:rPr>
        <w:t>.</w:t>
      </w:r>
      <w:r>
        <w:rPr>
          <w:rFonts w:ascii="Verdana" w:eastAsia="Calibri" w:hAnsi="Verdana" w:cs="Arial"/>
          <w:bCs/>
          <w:color w:val="000000" w:themeColor="text1"/>
        </w:rPr>
        <w:t xml:space="preserve"> En tal sentido, el artículo 2.2.1.2.1.2.9. del Decreto 1082 de 2015 dispone: “[…] </w:t>
      </w:r>
      <w:r w:rsidRPr="00A94D14">
        <w:rPr>
          <w:rFonts w:ascii="Verdana" w:eastAsia="Calibri" w:hAnsi="Verdana" w:cs="Arial"/>
          <w:bCs/>
          <w:color w:val="000000" w:themeColor="text1"/>
        </w:rPr>
        <w:t>Colombia Compra Eficiente debe publicar el Catálogo para Acuerdos Marco de Precios, y la Entidad Estatal en la etapa de planeación del Proceso de Contratación está obligada a verificar si existe un Acuerdo Marco de Precios vigente con el cual la Entidad Estatal pueda satisfacer la necesidad identificada</w:t>
      </w:r>
      <w:r>
        <w:rPr>
          <w:rFonts w:ascii="Verdana" w:eastAsia="Calibri" w:hAnsi="Verdana" w:cs="Arial"/>
          <w:bCs/>
          <w:color w:val="000000" w:themeColor="text1"/>
        </w:rPr>
        <w:t xml:space="preserve"> […]”</w:t>
      </w:r>
      <w:r w:rsidRPr="00A94D14">
        <w:rPr>
          <w:rFonts w:ascii="Verdana" w:eastAsia="Calibri" w:hAnsi="Verdana" w:cs="Arial"/>
          <w:bCs/>
          <w:color w:val="000000" w:themeColor="text1"/>
        </w:rPr>
        <w:t>.</w:t>
      </w:r>
    </w:p>
    <w:p w14:paraId="7E51E171" w14:textId="77777777" w:rsidR="00FF6D94" w:rsidRPr="00853978" w:rsidRDefault="00FF6D94" w:rsidP="00FF6D94">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lang w:val="es-ES"/>
        </w:rPr>
        <w:t xml:space="preserve">En los eventos que no exista un Acuerdo Marco de Precios vigente debe acudirse a la modalidad de selección abreviada mediante subasta inversa o de procedimientos de adquisición en bolsa de productos, de acuerdo a lo dispuesto por el Decreto 1082 de 2015, cuando sea para la adquisición de bienes y servicios de características uniformes y común utilización; y de licitación pública por regla general o en su defecto selección abreviada </w:t>
      </w:r>
      <w:r w:rsidRPr="00853978">
        <w:rPr>
          <w:rFonts w:ascii="Verdana" w:eastAsia="Calibri" w:hAnsi="Verdana" w:cs="Arial"/>
          <w:bCs/>
          <w:color w:val="000000" w:themeColor="text1"/>
        </w:rPr>
        <w:t xml:space="preserve">de menor cuantía cuando </w:t>
      </w:r>
      <w:r>
        <w:rPr>
          <w:rFonts w:ascii="Verdana" w:eastAsia="Calibri" w:hAnsi="Verdana" w:cs="Arial"/>
          <w:bCs/>
          <w:color w:val="000000" w:themeColor="text1"/>
        </w:rPr>
        <w:t xml:space="preserve">se requiera contratar bienes o servicios no uniformes de común utilización </w:t>
      </w:r>
      <w:r w:rsidRPr="00853978">
        <w:rPr>
          <w:rFonts w:ascii="Verdana" w:eastAsia="Calibri" w:hAnsi="Verdana" w:cs="Arial"/>
          <w:bCs/>
          <w:color w:val="000000" w:themeColor="text1"/>
        </w:rPr>
        <w:t xml:space="preserve">por valores que se ubiquen dentro de la menor cuantía de la respectiva Entidad Estatal, </w:t>
      </w:r>
      <w:r>
        <w:rPr>
          <w:rFonts w:ascii="Verdana" w:eastAsia="Calibri" w:hAnsi="Verdana" w:cs="Arial"/>
          <w:bCs/>
          <w:color w:val="000000" w:themeColor="text1"/>
        </w:rPr>
        <w:t xml:space="preserve">teniendo en cuenta </w:t>
      </w:r>
      <w:r w:rsidRPr="00853978">
        <w:rPr>
          <w:rFonts w:ascii="Verdana" w:eastAsia="Calibri" w:hAnsi="Verdana" w:cs="Arial"/>
          <w:bCs/>
          <w:color w:val="000000" w:themeColor="text1"/>
        </w:rPr>
        <w:t xml:space="preserve">los rangos establecidos en el literal b) del numeral 2 del artículo 2 de la Ley 1150 de 2007. En </w:t>
      </w:r>
      <w:r>
        <w:rPr>
          <w:rFonts w:ascii="Verdana" w:eastAsia="Calibri" w:hAnsi="Verdana" w:cs="Arial"/>
          <w:bCs/>
          <w:color w:val="000000" w:themeColor="text1"/>
        </w:rPr>
        <w:t xml:space="preserve">la modalidad de selección abreviada de menor cuantía </w:t>
      </w:r>
      <w:r w:rsidRPr="00853978">
        <w:rPr>
          <w:rFonts w:ascii="Verdana" w:eastAsia="Calibri" w:hAnsi="Verdana" w:cs="Arial"/>
          <w:bCs/>
          <w:color w:val="000000" w:themeColor="text1"/>
        </w:rPr>
        <w:t xml:space="preserve">al igual que en la licitación, la oferta más favorable se determina de acuerdo con lo establecido en el numeral 2 del artículo 5 de la Ley 1150 de 2007, esto es, en atención a la mejor relación calidad-precio. </w:t>
      </w:r>
    </w:p>
    <w:p w14:paraId="26429793" w14:textId="77777777" w:rsidR="00FF6D94" w:rsidRPr="00185EE9" w:rsidRDefault="00FF6D94" w:rsidP="00FF6D94">
      <w:pPr>
        <w:spacing w:after="120" w:line="240" w:lineRule="auto"/>
        <w:ind w:right="900"/>
        <w:jc w:val="both"/>
        <w:textAlignment w:val="baseline"/>
        <w:rPr>
          <w:rFonts w:ascii="Verdana" w:eastAsia="Arial" w:hAnsi="Verdana" w:cs="Arial"/>
          <w:sz w:val="20"/>
          <w:szCs w:val="20"/>
        </w:rPr>
      </w:pPr>
    </w:p>
    <w:p w14:paraId="63BDAF0D" w14:textId="77777777" w:rsidR="00FF6D94" w:rsidRPr="00185EE9" w:rsidRDefault="00FF6D94" w:rsidP="00FF6D94">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Referencias normativas, jurisprudenciales y otras fuentes:</w:t>
      </w:r>
    </w:p>
    <w:p w14:paraId="7EF17EF4" w14:textId="77777777" w:rsidR="00FF6D94" w:rsidRPr="009B3595" w:rsidRDefault="00FF6D94" w:rsidP="00FF6D94">
      <w:pPr>
        <w:spacing w:after="120" w:line="276" w:lineRule="auto"/>
        <w:jc w:val="both"/>
        <w:rPr>
          <w:rFonts w:ascii="Verdana" w:eastAsia="Calibri" w:hAnsi="Verdana" w:cs="Arial"/>
          <w:color w:val="000000"/>
          <w:szCs w:val="24"/>
          <w:lang w:eastAsia="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6D94" w:rsidRPr="001205D1" w14:paraId="3B48BDE8" w14:textId="77777777" w:rsidTr="00B7586E">
        <w:trPr>
          <w:trHeight w:val="870"/>
          <w:jc w:val="center"/>
        </w:trPr>
        <w:tc>
          <w:tcPr>
            <w:tcW w:w="8647" w:type="dxa"/>
          </w:tcPr>
          <w:p w14:paraId="11A052CD" w14:textId="77777777" w:rsidR="00FF6D94" w:rsidRDefault="00FF6D94" w:rsidP="00B7586E">
            <w:pPr>
              <w:pStyle w:val="Prrafodelista"/>
              <w:rPr>
                <w:rFonts w:ascii="Verdana" w:hAnsi="Verdana" w:cs="Arial"/>
              </w:rPr>
            </w:pPr>
          </w:p>
          <w:p w14:paraId="4E953533" w14:textId="77777777" w:rsidR="00FF6D94" w:rsidRDefault="00FF6D94" w:rsidP="00FF6D94">
            <w:pPr>
              <w:pStyle w:val="Prrafodelista"/>
              <w:widowControl w:val="0"/>
              <w:numPr>
                <w:ilvl w:val="0"/>
                <w:numId w:val="20"/>
              </w:numPr>
              <w:autoSpaceDE w:val="0"/>
              <w:autoSpaceDN w:val="0"/>
              <w:spacing w:after="120"/>
              <w:ind w:left="714" w:hanging="357"/>
              <w:contextualSpacing w:val="0"/>
              <w:jc w:val="both"/>
              <w:rPr>
                <w:rFonts w:ascii="Verdana" w:hAnsi="Verdana" w:cs="Arial"/>
              </w:rPr>
            </w:pPr>
            <w:r w:rsidRPr="00185EE9">
              <w:rPr>
                <w:rFonts w:ascii="Verdana" w:hAnsi="Verdana" w:cs="Arial"/>
              </w:rPr>
              <w:t xml:space="preserve">Ley 1150 de 2007, artículo 2. </w:t>
            </w:r>
          </w:p>
          <w:p w14:paraId="4D26BE3E" w14:textId="77777777" w:rsidR="00FF6D94" w:rsidRPr="00185EE9" w:rsidRDefault="00FF6D94" w:rsidP="00FF6D94">
            <w:pPr>
              <w:pStyle w:val="Prrafodelista"/>
              <w:widowControl w:val="0"/>
              <w:numPr>
                <w:ilvl w:val="0"/>
                <w:numId w:val="20"/>
              </w:numPr>
              <w:autoSpaceDE w:val="0"/>
              <w:autoSpaceDN w:val="0"/>
              <w:spacing w:after="120"/>
              <w:ind w:left="714" w:hanging="357"/>
              <w:contextualSpacing w:val="0"/>
              <w:jc w:val="both"/>
              <w:rPr>
                <w:rFonts w:ascii="Verdana" w:hAnsi="Verdana" w:cs="Arial"/>
              </w:rPr>
            </w:pPr>
            <w:r>
              <w:rPr>
                <w:rFonts w:ascii="Verdana" w:hAnsi="Verdana" w:cs="Arial"/>
              </w:rPr>
              <w:t xml:space="preserve">Ley 2195 de 2022, artículo 54. </w:t>
            </w:r>
          </w:p>
          <w:p w14:paraId="625D2CC2" w14:textId="77777777" w:rsidR="00FF6D94" w:rsidRPr="00185EE9" w:rsidRDefault="00FF6D94" w:rsidP="00FF6D94">
            <w:pPr>
              <w:pStyle w:val="Prrafodelista"/>
              <w:widowControl w:val="0"/>
              <w:numPr>
                <w:ilvl w:val="0"/>
                <w:numId w:val="20"/>
              </w:numPr>
              <w:autoSpaceDE w:val="0"/>
              <w:autoSpaceDN w:val="0"/>
              <w:spacing w:after="120"/>
              <w:ind w:left="714" w:hanging="357"/>
              <w:contextualSpacing w:val="0"/>
              <w:jc w:val="both"/>
              <w:rPr>
                <w:rFonts w:ascii="Verdana" w:hAnsi="Verdana" w:cs="Arial"/>
              </w:rPr>
            </w:pPr>
            <w:r w:rsidRPr="00185EE9">
              <w:rPr>
                <w:rFonts w:ascii="Verdana" w:hAnsi="Verdana" w:cs="Arial"/>
              </w:rPr>
              <w:lastRenderedPageBreak/>
              <w:t xml:space="preserve">Decreto 1082 de 2015, artículos 2.2.2.1.1.1.3.1, </w:t>
            </w:r>
            <w:r w:rsidRPr="00185EE9">
              <w:rPr>
                <w:rFonts w:ascii="Verdana" w:eastAsia="Calibri" w:hAnsi="Verdana" w:cs="Arial"/>
                <w:bCs/>
                <w:color w:val="000000" w:themeColor="text1"/>
              </w:rPr>
              <w:t xml:space="preserve">2.2.1.1.2.2.2, </w:t>
            </w:r>
            <w:r w:rsidRPr="00F85198">
              <w:rPr>
                <w:rFonts w:ascii="Verdana" w:eastAsia="Calibri" w:hAnsi="Verdana" w:cs="Arial"/>
                <w:bCs/>
                <w:color w:val="000000" w:themeColor="text1"/>
                <w:lang w:val="es-CO"/>
              </w:rPr>
              <w:t>2.2.1.2.1.2.7</w:t>
            </w:r>
            <w:r>
              <w:rPr>
                <w:rFonts w:ascii="Verdana" w:eastAsia="Calibri" w:hAnsi="Verdana" w:cs="Arial"/>
                <w:bCs/>
                <w:color w:val="000000" w:themeColor="text1"/>
                <w:lang w:val="es-CO"/>
              </w:rPr>
              <w:t xml:space="preserve">. 2.2.1.2.1.2.8., 2.2.1.2.1.2.9. </w:t>
            </w:r>
          </w:p>
          <w:p w14:paraId="2B8AFF52" w14:textId="77777777" w:rsidR="00FF6D94" w:rsidRPr="00185EE9" w:rsidRDefault="00FF6D94" w:rsidP="00FF6D94">
            <w:pPr>
              <w:pStyle w:val="Prrafodelista"/>
              <w:widowControl w:val="0"/>
              <w:numPr>
                <w:ilvl w:val="0"/>
                <w:numId w:val="20"/>
              </w:numPr>
              <w:autoSpaceDE w:val="0"/>
              <w:autoSpaceDN w:val="0"/>
              <w:spacing w:after="120"/>
              <w:ind w:left="714" w:hanging="357"/>
              <w:contextualSpacing w:val="0"/>
              <w:jc w:val="both"/>
              <w:rPr>
                <w:rFonts w:ascii="Verdana" w:hAnsi="Verdana" w:cs="Arial"/>
                <w:color w:val="000000" w:themeColor="text1"/>
                <w:lang w:val="es-ES_tradnl"/>
              </w:rPr>
            </w:pPr>
            <w:r w:rsidRPr="00185EE9">
              <w:rPr>
                <w:rFonts w:ascii="Verdana" w:hAnsi="Verdana" w:cs="Arial"/>
              </w:rPr>
              <w:t>Código Civil, artículos 28 y 29.</w:t>
            </w:r>
          </w:p>
          <w:p w14:paraId="0E71B566" w14:textId="77777777" w:rsidR="00FF6D94" w:rsidRPr="00E919FD" w:rsidRDefault="00FF6D94" w:rsidP="00B7586E">
            <w:pPr>
              <w:rPr>
                <w:rFonts w:ascii="Verdana" w:hAnsi="Verdana" w:cs="Arial"/>
                <w:lang w:val="es-ES_tradnl"/>
              </w:rPr>
            </w:pPr>
          </w:p>
        </w:tc>
      </w:tr>
    </w:tbl>
    <w:p w14:paraId="70AA3B6E" w14:textId="77777777" w:rsidR="00FF6D94" w:rsidRPr="00185EE9" w:rsidRDefault="00FF6D94" w:rsidP="00FF6D94">
      <w:pPr>
        <w:rPr>
          <w:color w:val="000000" w:themeColor="text1"/>
          <w:lang w:val="es-ES_tradnl"/>
        </w:rPr>
      </w:pPr>
    </w:p>
    <w:p w14:paraId="4DB6D61C" w14:textId="77777777" w:rsidR="00FF6D94" w:rsidRPr="00185EE9" w:rsidRDefault="00FF6D94" w:rsidP="00FF6D94">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Doctrina de la Agencia Nacional de Contratación Pública:</w:t>
      </w:r>
    </w:p>
    <w:p w14:paraId="7A40C06B" w14:textId="77777777" w:rsidR="00FF6D94" w:rsidRPr="00185EE9" w:rsidRDefault="00FF6D94" w:rsidP="00FF6D94">
      <w:pPr>
        <w:spacing w:after="0" w:line="256" w:lineRule="auto"/>
        <w:rPr>
          <w:rFonts w:ascii="Verdana" w:eastAsia="Calibri" w:hAnsi="Verdana" w:cs="Times New Roman"/>
          <w:lang w:val="es-ES"/>
        </w:rPr>
      </w:pPr>
    </w:p>
    <w:p w14:paraId="2122B751" w14:textId="77777777" w:rsidR="00FF6D94" w:rsidRPr="00185EE9" w:rsidRDefault="00FF6D94" w:rsidP="00FF6D94">
      <w:pPr>
        <w:widowControl w:val="0"/>
        <w:autoSpaceDE w:val="0"/>
        <w:autoSpaceDN w:val="0"/>
        <w:spacing w:after="0" w:line="276" w:lineRule="auto"/>
        <w:jc w:val="both"/>
        <w:rPr>
          <w:rFonts w:ascii="Verdana" w:eastAsia="Calibri" w:hAnsi="Verdana" w:cs="Times New Roman"/>
        </w:rPr>
      </w:pPr>
      <w:r w:rsidRPr="00185EE9">
        <w:rPr>
          <w:rStyle w:val="normaltextrun"/>
          <w:rFonts w:ascii="Verdana" w:hAnsi="Verdana" w:cs="Arial"/>
          <w:shd w:val="clear" w:color="auto" w:fill="FFFFFF"/>
          <w:lang w:val="es-ES"/>
        </w:rPr>
        <w:t xml:space="preserve">Esta Subdirección se ha pronunciado sobre varios de los temas objeto de la solicitud. </w:t>
      </w:r>
      <w:r w:rsidRPr="00185EE9">
        <w:rPr>
          <w:rFonts w:ascii="Verdana" w:eastAsia="Calibri" w:hAnsi="Verdana" w:cs="Times New Roman"/>
        </w:rPr>
        <w:t>Estos y otros conceptos</w:t>
      </w:r>
      <w:r>
        <w:rPr>
          <w:rFonts w:ascii="Verdana" w:eastAsia="Calibri" w:hAnsi="Verdana" w:cs="Times New Roman"/>
        </w:rPr>
        <w:t>, tales como el C-977 de 2024, C-597 de 2024, C-101 de 2023, entre otros,</w:t>
      </w:r>
      <w:r w:rsidRPr="00185EE9">
        <w:rPr>
          <w:rFonts w:ascii="Verdana" w:eastAsia="Calibri" w:hAnsi="Verdana" w:cs="Times New Roman"/>
        </w:rPr>
        <w:t xml:space="preserve">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BDF6E60" w14:textId="77777777" w:rsidR="00FF6D94" w:rsidRPr="00185EE9" w:rsidRDefault="001827C3" w:rsidP="00FF6D94">
      <w:pPr>
        <w:spacing w:after="0" w:line="256" w:lineRule="auto"/>
        <w:jc w:val="both"/>
        <w:rPr>
          <w:rFonts w:ascii="Verdana" w:eastAsia="Calibri" w:hAnsi="Verdana" w:cs="Times New Roman"/>
        </w:rPr>
      </w:pPr>
      <w:hyperlink r:id="rId13" w:history="1">
        <w:r w:rsidR="00FF6D94" w:rsidRPr="00185EE9">
          <w:rPr>
            <w:rFonts w:ascii="Verdana" w:eastAsia="Calibri" w:hAnsi="Verdana" w:cs="Times New Roman"/>
            <w:color w:val="0000FF"/>
            <w:u w:val="single"/>
            <w:lang w:val="es-ES"/>
          </w:rPr>
          <w:t>https://relatoria.colombiacompra.gov.co/busqueda/conceptos</w:t>
        </w:r>
      </w:hyperlink>
      <w:r w:rsidR="00FF6D94" w:rsidRPr="00185EE9">
        <w:rPr>
          <w:rFonts w:ascii="Verdana" w:eastAsia="Calibri" w:hAnsi="Verdana" w:cs="Times New Roman"/>
        </w:rPr>
        <w:t xml:space="preserve">. </w:t>
      </w:r>
    </w:p>
    <w:p w14:paraId="559A2B72" w14:textId="77777777" w:rsidR="00FF6D94" w:rsidRPr="00185EE9" w:rsidRDefault="00FF6D94" w:rsidP="00FF6D94">
      <w:pPr>
        <w:spacing w:after="0" w:line="256" w:lineRule="auto"/>
        <w:jc w:val="both"/>
        <w:rPr>
          <w:rFonts w:ascii="Verdana" w:eastAsia="Calibri" w:hAnsi="Verdana" w:cs="Times New Roman"/>
          <w:lang w:val="es-ES"/>
        </w:rPr>
      </w:pPr>
    </w:p>
    <w:p w14:paraId="168194B3" w14:textId="77777777" w:rsidR="00FF6D94" w:rsidRPr="00F611E3" w:rsidRDefault="00FF6D94" w:rsidP="00FF6D94">
      <w:pPr>
        <w:spacing w:after="0" w:line="256" w:lineRule="auto"/>
        <w:jc w:val="both"/>
        <w:rPr>
          <w:rFonts w:ascii="Verdana" w:eastAsia="Calibri" w:hAnsi="Verdana" w:cs="Times New Roman"/>
        </w:rPr>
      </w:pPr>
      <w:r w:rsidRPr="00F611E3">
        <w:rPr>
          <w:rFonts w:ascii="Verdana" w:eastAsia="Calibri" w:hAnsi="Verdana" w:cs="Times New Roman"/>
        </w:rPr>
        <w:t>Te informamos que ya se encuentra disponible la </w:t>
      </w:r>
      <w:r w:rsidRPr="00F611E3">
        <w:rPr>
          <w:rFonts w:ascii="Verdana" w:eastAsia="Calibri" w:hAnsi="Verdana" w:cs="Times New Roman"/>
          <w:b/>
          <w:bCs/>
        </w:rPr>
        <w:t>Cartilla para incentivar y fortalecer el acceso a las compras y contratación pública de los pueblos y comunidades étnicas en Colombia.</w:t>
      </w:r>
      <w:r w:rsidRPr="00F611E3">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F611E3">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04325A2B" w14:textId="77777777" w:rsidR="00FF6D94" w:rsidRPr="00F611E3" w:rsidRDefault="00FF6D94" w:rsidP="00FF6D94">
      <w:pPr>
        <w:spacing w:after="0" w:line="256" w:lineRule="auto"/>
        <w:jc w:val="both"/>
        <w:rPr>
          <w:rFonts w:ascii="Verdana" w:eastAsia="Calibri" w:hAnsi="Verdana" w:cs="Times New Roman"/>
        </w:rPr>
      </w:pPr>
    </w:p>
    <w:p w14:paraId="1AB9CD82" w14:textId="77777777" w:rsidR="00FF6D94" w:rsidRPr="00F611E3" w:rsidRDefault="00FF6D94" w:rsidP="00FF6D94">
      <w:pPr>
        <w:spacing w:after="0" w:line="256" w:lineRule="auto"/>
        <w:jc w:val="both"/>
        <w:rPr>
          <w:rFonts w:ascii="Verdana" w:eastAsia="Calibri" w:hAnsi="Verdana" w:cs="Times New Roman"/>
        </w:rPr>
      </w:pPr>
      <w:r w:rsidRPr="00F611E3">
        <w:rPr>
          <w:rFonts w:ascii="Verdana" w:eastAsia="Calibri" w:hAnsi="Verdana" w:cs="Times New Roman"/>
        </w:rPr>
        <w:t>De otra parte, te informamos que, con el objetivo de garantizar un conocimiento adecuado de las </w:t>
      </w:r>
      <w:r w:rsidRPr="00F611E3">
        <w:rPr>
          <w:rFonts w:ascii="Verdana" w:eastAsia="Calibri" w:hAnsi="Verdana" w:cs="Times New Roman"/>
          <w:b/>
          <w:bCs/>
        </w:rPr>
        <w:t>modificaciones y/o actualizaciones realizadas a los Documentos Tipo</w:t>
      </w:r>
      <w:r w:rsidRPr="00F611E3">
        <w:rPr>
          <w:rFonts w:ascii="Verdana" w:eastAsia="Calibri" w:hAnsi="Verdana" w:cs="Times New Roman"/>
        </w:rPr>
        <w:t>, hemos programado una serie de </w:t>
      </w:r>
      <w:r w:rsidRPr="00F611E3">
        <w:rPr>
          <w:rFonts w:ascii="Verdana" w:eastAsia="Calibri" w:hAnsi="Verdana" w:cs="Times New Roman"/>
          <w:b/>
          <w:bCs/>
        </w:rPr>
        <w:t>capacitaciones </w:t>
      </w:r>
      <w:r w:rsidRPr="00F611E3">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F611E3">
          <w:rPr>
            <w:rStyle w:val="Hipervnculo"/>
            <w:rFonts w:ascii="Verdana" w:eastAsia="Calibri" w:hAnsi="Verdana" w:cs="Times New Roman"/>
          </w:rPr>
          <w:t>Calendario | Colombia Compra Eficiente | Agencia Nacional de Contratación Pública</w:t>
        </w:r>
      </w:hyperlink>
    </w:p>
    <w:p w14:paraId="650DBC4E" w14:textId="77777777" w:rsidR="00FF6D94" w:rsidRPr="00F611E3" w:rsidRDefault="00FF6D94" w:rsidP="00FF6D94">
      <w:pPr>
        <w:spacing w:after="0" w:line="256" w:lineRule="auto"/>
        <w:jc w:val="both"/>
        <w:rPr>
          <w:rFonts w:ascii="Verdana" w:eastAsia="Calibri" w:hAnsi="Verdana" w:cs="Times New Roman"/>
        </w:rPr>
      </w:pPr>
    </w:p>
    <w:p w14:paraId="5AFDF27F" w14:textId="77777777" w:rsidR="00FF6D94" w:rsidRPr="00F611E3" w:rsidRDefault="00FF6D94" w:rsidP="00FF6D94">
      <w:pPr>
        <w:spacing w:after="0" w:line="256" w:lineRule="auto"/>
        <w:jc w:val="both"/>
        <w:rPr>
          <w:rFonts w:ascii="Verdana" w:eastAsia="Calibri" w:hAnsi="Verdana" w:cs="Times New Roman"/>
        </w:rPr>
      </w:pPr>
      <w:r w:rsidRPr="00F611E3">
        <w:rPr>
          <w:rFonts w:ascii="Verdana" w:eastAsia="Calibri" w:hAnsi="Verdana" w:cs="Times New Roman"/>
        </w:rPr>
        <w:t>También, te contamos que ya publicamos </w:t>
      </w:r>
      <w:r w:rsidRPr="00F611E3">
        <w:rPr>
          <w:rFonts w:ascii="Verdana" w:eastAsia="Calibri" w:hAnsi="Verdana" w:cs="Times New Roman"/>
          <w:b/>
          <w:bCs/>
        </w:rPr>
        <w:t>la nueva Guía de Contratación Pública Sostenible y Socialmente Responsable</w:t>
      </w:r>
      <w:r w:rsidRPr="00F611E3">
        <w:rPr>
          <w:rFonts w:ascii="Verdana" w:eastAsia="Calibri" w:hAnsi="Verdana" w:cs="Times New Roman"/>
        </w:rPr>
        <w:t xml:space="preserve">. Esta guía es un instrumento clave para integrar buenas prácticas en la contratación estatal, promoviendo los Objetivos de Desarrollo Sostenible (ODS) a través de criterios y obligaciones </w:t>
      </w:r>
      <w:r w:rsidRPr="00F611E3">
        <w:rPr>
          <w:rFonts w:ascii="Verdana" w:eastAsia="Calibri" w:hAnsi="Verdana" w:cs="Times New Roman"/>
        </w:rPr>
        <w:lastRenderedPageBreak/>
        <w:t>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F611E3">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5B4CDD22" w14:textId="77777777" w:rsidR="00FF6D94" w:rsidRPr="00F611E3" w:rsidRDefault="00FF6D94" w:rsidP="00FF6D94">
      <w:pPr>
        <w:spacing w:after="0" w:line="256" w:lineRule="auto"/>
        <w:jc w:val="both"/>
        <w:rPr>
          <w:rFonts w:ascii="Verdana" w:eastAsia="Calibri" w:hAnsi="Verdana" w:cs="Times New Roman"/>
        </w:rPr>
      </w:pPr>
    </w:p>
    <w:p w14:paraId="2ECC49E1" w14:textId="77777777" w:rsidR="00FF6D94" w:rsidRPr="00F611E3" w:rsidRDefault="00FF6D94" w:rsidP="00FF6D94">
      <w:pPr>
        <w:spacing w:after="0" w:line="256" w:lineRule="auto"/>
        <w:jc w:val="both"/>
        <w:rPr>
          <w:rFonts w:ascii="Verdana" w:eastAsia="Calibri" w:hAnsi="Verdana" w:cs="Times New Roman"/>
        </w:rPr>
      </w:pPr>
      <w:r w:rsidRPr="00F611E3">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7" w:tgtFrame="_blank" w:tooltip="Dirección URL original: https://www.colombiacompra.gov.co/content/borrador-de-documentos-tipo-de-consultoria-de-obra-publica-de-infraestructura-de-transporte. Haga clic o pulse si confía en este vínculo." w:history="1">
        <w:r w:rsidRPr="00F611E3">
          <w:rPr>
            <w:rStyle w:val="Hipervnculo"/>
            <w:rFonts w:ascii="Verdana" w:eastAsia="Calibri" w:hAnsi="Verdana" w:cs="Times New Roman"/>
          </w:rPr>
          <w:t>https://www.colombiacompra.gov.co/content/borrador-de-documentos-tipo-de-consultoria-de-obra-publica-de-infraestructura-de-transporte</w:t>
        </w:r>
      </w:hyperlink>
      <w:r w:rsidRPr="00F611E3">
        <w:rPr>
          <w:rFonts w:ascii="Verdana" w:eastAsia="Calibri" w:hAnsi="Verdana" w:cs="Times New Roman"/>
        </w:rPr>
        <w:t> y </w:t>
      </w:r>
      <w:hyperlink r:id="rId18" w:tgtFrame="_blank" w:tooltip="Dirección URL original: https://www.colombiacompra.gov.co/content/borrador-de-documentos-tipo-de-interventoria-de-obra-publica-de-infraestructura-de. Haga clic o pulse si confía en este vínculo." w:history="1">
        <w:r w:rsidRPr="00F611E3">
          <w:rPr>
            <w:rStyle w:val="Hipervnculo"/>
            <w:rFonts w:ascii="Verdana" w:eastAsia="Calibri" w:hAnsi="Verdana" w:cs="Times New Roman"/>
          </w:rPr>
          <w:t>https://www.colombiacompra.gov.co/content/borrador-de-documentos-tipo-de-interventoria-de-obra-publica-de-infraestructura-de</w:t>
        </w:r>
      </w:hyperlink>
      <w:r w:rsidRPr="00F611E3">
        <w:rPr>
          <w:rFonts w:ascii="Verdana" w:eastAsia="Calibri" w:hAnsi="Verdana" w:cs="Times New Roman"/>
        </w:rPr>
        <w:t> .</w:t>
      </w:r>
    </w:p>
    <w:p w14:paraId="6E3AFF1F" w14:textId="77777777" w:rsidR="00FF6D94" w:rsidRDefault="00FF6D94" w:rsidP="00FF6D94">
      <w:pPr>
        <w:spacing w:after="0" w:line="256" w:lineRule="auto"/>
        <w:rPr>
          <w:rFonts w:ascii="Verdana" w:eastAsia="Calibri" w:hAnsi="Verdana" w:cs="Times New Roman"/>
        </w:rPr>
      </w:pPr>
    </w:p>
    <w:p w14:paraId="685A45EA" w14:textId="77777777" w:rsidR="00FF6D94" w:rsidRPr="00185EE9" w:rsidRDefault="00FF6D94" w:rsidP="00FF6D94">
      <w:pPr>
        <w:spacing w:after="0" w:line="256" w:lineRule="auto"/>
        <w:rPr>
          <w:rFonts w:ascii="Verdana" w:eastAsia="Calibri" w:hAnsi="Verdana" w:cs="Times New Roman"/>
        </w:rPr>
      </w:pPr>
      <w:r w:rsidRPr="00185EE9">
        <w:rPr>
          <w:rFonts w:ascii="Verdana" w:eastAsia="Calibri" w:hAnsi="Verdana" w:cs="Times New Roman"/>
        </w:rPr>
        <w:t xml:space="preserve">Por último, lo invitamos a seguirnos en las redes sociales en las cuales se difunde información institucional: </w:t>
      </w:r>
    </w:p>
    <w:p w14:paraId="6A39135F" w14:textId="77777777" w:rsidR="00FF6D94" w:rsidRPr="00185EE9" w:rsidRDefault="00FF6D94" w:rsidP="00FF6D94">
      <w:pPr>
        <w:spacing w:after="0" w:line="256" w:lineRule="auto"/>
        <w:rPr>
          <w:rFonts w:ascii="Verdana" w:eastAsia="Calibri" w:hAnsi="Verdana" w:cs="Times New Roman"/>
        </w:rPr>
      </w:pPr>
    </w:p>
    <w:p w14:paraId="2AA91CE6" w14:textId="77777777" w:rsidR="00FF6D94" w:rsidRPr="00185EE9" w:rsidRDefault="00FF6D94" w:rsidP="00FF6D94">
      <w:pPr>
        <w:spacing w:after="0" w:line="256" w:lineRule="auto"/>
        <w:rPr>
          <w:rFonts w:ascii="Verdana" w:eastAsia="Calibri" w:hAnsi="Verdana" w:cs="Times New Roman"/>
        </w:rPr>
      </w:pPr>
      <w:r w:rsidRPr="00185EE9">
        <w:rPr>
          <w:rFonts w:ascii="Verdana" w:eastAsia="Calibri" w:hAnsi="Verdana" w:cs="Times New Roman"/>
        </w:rPr>
        <w:t xml:space="preserve">Twitter: </w:t>
      </w:r>
      <w:r w:rsidRPr="00185EE9">
        <w:rPr>
          <w:rFonts w:ascii="Verdana" w:eastAsia="Calibri" w:hAnsi="Verdana" w:cs="Times New Roman"/>
          <w:u w:val="single"/>
        </w:rPr>
        <w:t>@</w:t>
      </w:r>
      <w:proofErr w:type="spellStart"/>
      <w:r w:rsidRPr="00185EE9">
        <w:rPr>
          <w:rFonts w:ascii="Verdana" w:eastAsia="Calibri" w:hAnsi="Verdana" w:cs="Times New Roman"/>
          <w:u w:val="single"/>
        </w:rPr>
        <w:t>colombiacompra</w:t>
      </w:r>
      <w:proofErr w:type="spellEnd"/>
      <w:r w:rsidRPr="00185EE9">
        <w:rPr>
          <w:rFonts w:ascii="Verdana" w:eastAsia="Calibri" w:hAnsi="Verdana" w:cs="Times New Roman"/>
        </w:rPr>
        <w:t xml:space="preserve"> </w:t>
      </w:r>
    </w:p>
    <w:p w14:paraId="34C660EC" w14:textId="77777777" w:rsidR="00FF6D94" w:rsidRPr="00185EE9" w:rsidRDefault="00FF6D94" w:rsidP="00FF6D94">
      <w:pPr>
        <w:spacing w:after="0" w:line="256" w:lineRule="auto"/>
        <w:rPr>
          <w:rFonts w:ascii="Verdana" w:eastAsia="Calibri" w:hAnsi="Verdana" w:cs="Times New Roman"/>
        </w:rPr>
      </w:pPr>
      <w:r w:rsidRPr="00185EE9">
        <w:rPr>
          <w:rFonts w:ascii="Verdana" w:eastAsia="Calibri" w:hAnsi="Verdana" w:cs="Times New Roman"/>
        </w:rPr>
        <w:t xml:space="preserve">Facebook: </w:t>
      </w:r>
      <w:proofErr w:type="spellStart"/>
      <w:r w:rsidRPr="00185EE9">
        <w:rPr>
          <w:rFonts w:ascii="Verdana" w:eastAsia="Calibri" w:hAnsi="Verdana" w:cs="Times New Roman"/>
          <w:u w:val="single"/>
        </w:rPr>
        <w:t>ColombiaCompraEficiente</w:t>
      </w:r>
      <w:proofErr w:type="spellEnd"/>
    </w:p>
    <w:p w14:paraId="39810E82" w14:textId="77777777" w:rsidR="00FF6D94" w:rsidRPr="00185EE9" w:rsidRDefault="00FF6D94" w:rsidP="00FF6D94">
      <w:pPr>
        <w:spacing w:after="0" w:line="256" w:lineRule="auto"/>
        <w:rPr>
          <w:rFonts w:ascii="Verdana" w:eastAsia="Calibri" w:hAnsi="Verdana" w:cs="Times New Roman"/>
          <w:u w:val="single"/>
        </w:rPr>
      </w:pPr>
      <w:r w:rsidRPr="00185EE9">
        <w:rPr>
          <w:rFonts w:ascii="Verdana" w:eastAsia="Calibri" w:hAnsi="Verdana" w:cs="Times New Roman"/>
        </w:rPr>
        <w:t xml:space="preserve">LinkedIn: </w:t>
      </w:r>
      <w:r w:rsidRPr="00185EE9">
        <w:rPr>
          <w:rFonts w:ascii="Verdana" w:eastAsia="Calibri" w:hAnsi="Verdana" w:cs="Times New Roman"/>
          <w:u w:val="single"/>
        </w:rPr>
        <w:t>Agencia Nacional de Contratación Pública - Colombia Compra Eficiente</w:t>
      </w:r>
      <w:r w:rsidRPr="00185EE9">
        <w:rPr>
          <w:rFonts w:ascii="Verdana" w:eastAsia="Calibri" w:hAnsi="Verdana" w:cs="Times New Roman"/>
        </w:rPr>
        <w:t xml:space="preserve"> Instagram: </w:t>
      </w:r>
      <w:r w:rsidRPr="00185EE9">
        <w:rPr>
          <w:rFonts w:ascii="Verdana" w:eastAsia="Calibri" w:hAnsi="Verdana" w:cs="Times New Roman"/>
          <w:u w:val="single"/>
        </w:rPr>
        <w:t>@</w:t>
      </w:r>
      <w:proofErr w:type="spellStart"/>
      <w:r w:rsidRPr="00185EE9">
        <w:rPr>
          <w:rFonts w:ascii="Verdana" w:eastAsia="Calibri" w:hAnsi="Verdana" w:cs="Times New Roman"/>
          <w:u w:val="single"/>
        </w:rPr>
        <w:t>colombiacompraeficiente_cce</w:t>
      </w:r>
      <w:proofErr w:type="spellEnd"/>
    </w:p>
    <w:p w14:paraId="271663B9" w14:textId="77777777" w:rsidR="00FF6D94" w:rsidRPr="00185EE9" w:rsidRDefault="00FF6D94" w:rsidP="00FF6D94">
      <w:pPr>
        <w:spacing w:after="0" w:line="256" w:lineRule="auto"/>
        <w:rPr>
          <w:rFonts w:ascii="Verdana" w:eastAsia="Calibri" w:hAnsi="Verdana" w:cs="Times New Roman"/>
          <w:b/>
          <w:bCs/>
        </w:rPr>
      </w:pPr>
    </w:p>
    <w:p w14:paraId="20FC8986" w14:textId="77777777" w:rsidR="00FF6D94" w:rsidRPr="00185EE9" w:rsidRDefault="00FF6D94" w:rsidP="00FF6D94">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334A0F1" w14:textId="77777777" w:rsidR="00FF6D94" w:rsidRPr="00185EE9" w:rsidRDefault="00FF6D94" w:rsidP="00FF6D94">
      <w:pPr>
        <w:spacing w:after="0" w:line="256" w:lineRule="auto"/>
        <w:jc w:val="both"/>
        <w:rPr>
          <w:rFonts w:ascii="Verdana" w:eastAsia="Calibri" w:hAnsi="Verdana" w:cs="Times New Roman"/>
        </w:rPr>
      </w:pPr>
    </w:p>
    <w:p w14:paraId="650EE70F" w14:textId="77777777" w:rsidR="00FF6D94" w:rsidRPr="00185EE9" w:rsidRDefault="00FF6D94" w:rsidP="00FF6D94">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07C31C6B" w14:textId="77777777" w:rsidR="00FF6D94" w:rsidRPr="00185EE9" w:rsidRDefault="00FF6D94" w:rsidP="00FF6D94">
      <w:pPr>
        <w:spacing w:after="0" w:line="256" w:lineRule="auto"/>
        <w:rPr>
          <w:rFonts w:ascii="Verdana" w:eastAsia="Calibri" w:hAnsi="Verdana" w:cs="Times New Roman"/>
          <w:lang w:val="es-ES"/>
        </w:rPr>
      </w:pPr>
    </w:p>
    <w:p w14:paraId="6325F2E9" w14:textId="77777777" w:rsidR="00FF6D94" w:rsidRDefault="00FF6D94" w:rsidP="00FF6D94">
      <w:pPr>
        <w:spacing w:after="0" w:line="256" w:lineRule="auto"/>
        <w:jc w:val="center"/>
        <w:rPr>
          <w:rFonts w:ascii="Verdana" w:eastAsia="Calibri" w:hAnsi="Verdana" w:cs="Times New Roman"/>
          <w:lang w:val="es-ES"/>
        </w:rPr>
      </w:pPr>
      <w:r w:rsidRPr="002C3AD6">
        <w:rPr>
          <w:rFonts w:ascii="Century Gothic" w:hAnsi="Century Gothic"/>
          <w:noProof/>
          <w:lang w:val="en-US"/>
        </w:rPr>
        <w:drawing>
          <wp:inline distT="0" distB="0" distL="0" distR="0" wp14:anchorId="6A8BC967" wp14:editId="0FBA638A">
            <wp:extent cx="3772426" cy="1400370"/>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7F510255" w14:textId="5431C01B" w:rsidR="00FF6D94" w:rsidRPr="00185EE9" w:rsidRDefault="00FF6D94" w:rsidP="00FF6D94">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F6D94" w:rsidRPr="00185EE9" w14:paraId="0240489C" w14:textId="77777777" w:rsidTr="00B7586E">
        <w:trPr>
          <w:trHeight w:val="409"/>
        </w:trPr>
        <w:tc>
          <w:tcPr>
            <w:tcW w:w="817" w:type="dxa"/>
            <w:tcBorders>
              <w:top w:val="nil"/>
              <w:left w:val="nil"/>
              <w:bottom w:val="nil"/>
              <w:right w:val="nil"/>
            </w:tcBorders>
            <w:vAlign w:val="center"/>
            <w:hideMark/>
          </w:tcPr>
          <w:p w14:paraId="61D379ED" w14:textId="77777777" w:rsidR="00FF6D94" w:rsidRPr="00185EE9"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8F96D77" w14:textId="77777777" w:rsidR="00FF6D94" w:rsidRPr="00185EE9" w:rsidRDefault="00FF6D94" w:rsidP="00B7586E">
            <w:pPr>
              <w:spacing w:after="0" w:line="256" w:lineRule="auto"/>
              <w:rPr>
                <w:rFonts w:ascii="Verdana" w:eastAsia="Calibri" w:hAnsi="Verdana" w:cs="Times New Roman"/>
                <w:sz w:val="16"/>
                <w:szCs w:val="16"/>
              </w:rPr>
            </w:pPr>
            <w:r>
              <w:rPr>
                <w:rFonts w:ascii="Verdana" w:eastAsia="Calibri" w:hAnsi="Verdana" w:cs="Times New Roman"/>
                <w:sz w:val="16"/>
                <w:szCs w:val="16"/>
              </w:rPr>
              <w:t>José Luis Sánchez Cardona</w:t>
            </w:r>
          </w:p>
          <w:p w14:paraId="63E92513" w14:textId="77777777" w:rsidR="00FF6D94" w:rsidRPr="00185EE9"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Contratista de la Subdirección de Gestión Contractual</w:t>
            </w:r>
          </w:p>
        </w:tc>
      </w:tr>
      <w:tr w:rsidR="00FF6D94" w:rsidRPr="00185EE9" w14:paraId="2C6350A9" w14:textId="77777777" w:rsidTr="00B7586E">
        <w:trPr>
          <w:trHeight w:val="409"/>
        </w:trPr>
        <w:tc>
          <w:tcPr>
            <w:tcW w:w="817" w:type="dxa"/>
            <w:tcBorders>
              <w:top w:val="nil"/>
              <w:left w:val="nil"/>
              <w:bottom w:val="nil"/>
              <w:right w:val="nil"/>
            </w:tcBorders>
            <w:vAlign w:val="center"/>
            <w:hideMark/>
          </w:tcPr>
          <w:p w14:paraId="772E4210" w14:textId="77777777" w:rsidR="00FF6D94" w:rsidRPr="00185EE9"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4A96543" w14:textId="77777777" w:rsidR="00FF6D94" w:rsidRPr="00185EE9" w:rsidRDefault="00FF6D94" w:rsidP="00B7586E">
            <w:pPr>
              <w:spacing w:after="0" w:line="256" w:lineRule="auto"/>
              <w:rPr>
                <w:rFonts w:ascii="Verdana" w:eastAsia="Calibri" w:hAnsi="Verdana" w:cs="Times New Roman"/>
                <w:sz w:val="16"/>
                <w:szCs w:val="16"/>
              </w:rPr>
            </w:pPr>
            <w:r w:rsidRPr="4E713B90">
              <w:rPr>
                <w:rFonts w:ascii="Verdana" w:eastAsia="Calibri" w:hAnsi="Verdana" w:cs="Times New Roman"/>
                <w:sz w:val="16"/>
                <w:szCs w:val="16"/>
              </w:rPr>
              <w:t>Juan Carlos González Vásquez</w:t>
            </w:r>
          </w:p>
          <w:p w14:paraId="319E9914" w14:textId="77777777" w:rsidR="00FF6D94" w:rsidRPr="00185EE9" w:rsidRDefault="00FF6D94" w:rsidP="00B7586E">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de </w:t>
            </w:r>
            <w:r w:rsidRPr="00185EE9">
              <w:rPr>
                <w:rFonts w:ascii="Verdana" w:eastAsia="Calibri" w:hAnsi="Verdana" w:cs="Times New Roman"/>
                <w:sz w:val="16"/>
                <w:szCs w:val="16"/>
              </w:rPr>
              <w:t>la Subdirección de Gestión Contractual </w:t>
            </w:r>
          </w:p>
        </w:tc>
      </w:tr>
      <w:tr w:rsidR="00FF6D94" w:rsidRPr="00A445C0" w14:paraId="0AC36FCE" w14:textId="77777777" w:rsidTr="00B7586E">
        <w:trPr>
          <w:trHeight w:val="389"/>
        </w:trPr>
        <w:tc>
          <w:tcPr>
            <w:tcW w:w="817" w:type="dxa"/>
            <w:tcBorders>
              <w:top w:val="nil"/>
              <w:left w:val="nil"/>
              <w:bottom w:val="nil"/>
              <w:right w:val="nil"/>
            </w:tcBorders>
            <w:vAlign w:val="center"/>
            <w:hideMark/>
          </w:tcPr>
          <w:p w14:paraId="791A264D" w14:textId="77777777" w:rsidR="00FF6D94" w:rsidRPr="00185EE9"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B3C600A" w14:textId="77777777" w:rsidR="00FF6D94" w:rsidRPr="00185EE9"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 xml:space="preserve">Carolina Quintero </w:t>
            </w:r>
            <w:proofErr w:type="spellStart"/>
            <w:r w:rsidRPr="00185EE9">
              <w:rPr>
                <w:rFonts w:ascii="Verdana" w:eastAsia="Calibri" w:hAnsi="Verdana" w:cs="Times New Roman"/>
                <w:sz w:val="16"/>
                <w:szCs w:val="16"/>
              </w:rPr>
              <w:t>Gacharná</w:t>
            </w:r>
            <w:proofErr w:type="spellEnd"/>
          </w:p>
          <w:p w14:paraId="563D5A70" w14:textId="77777777" w:rsidR="00FF6D94" w:rsidRPr="00AE2631" w:rsidRDefault="00FF6D94" w:rsidP="00B7586E">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Subdirectora de Gestión Contractual ANCP – CCE</w:t>
            </w:r>
          </w:p>
        </w:tc>
      </w:tr>
    </w:tbl>
    <w:p w14:paraId="0F293BF4" w14:textId="5BFB13AD" w:rsidR="00127233" w:rsidRPr="00354BCA" w:rsidRDefault="00127233" w:rsidP="00E010DC">
      <w:pPr>
        <w:rPr>
          <w:rFonts w:ascii="Verdana" w:hAnsi="Verdana"/>
        </w:rPr>
      </w:pPr>
      <w:bookmarkStart w:id="1" w:name="_GoBack"/>
      <w:bookmarkEnd w:id="0"/>
      <w:bookmarkEnd w:id="1"/>
    </w:p>
    <w:sectPr w:rsidR="00127233" w:rsidRPr="00354BCA"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F9F0E" w14:textId="77777777" w:rsidR="001827C3" w:rsidRDefault="001827C3" w:rsidP="004A1847">
      <w:pPr>
        <w:spacing w:after="0" w:line="240" w:lineRule="auto"/>
      </w:pPr>
      <w:r>
        <w:separator/>
      </w:r>
    </w:p>
  </w:endnote>
  <w:endnote w:type="continuationSeparator" w:id="0">
    <w:p w14:paraId="00C49E89" w14:textId="77777777" w:rsidR="001827C3" w:rsidRDefault="001827C3" w:rsidP="004A1847">
      <w:pPr>
        <w:spacing w:after="0" w:line="240" w:lineRule="auto"/>
      </w:pPr>
      <w:r>
        <w:continuationSeparator/>
      </w:r>
    </w:p>
  </w:endnote>
  <w:endnote w:type="continuationNotice" w:id="1">
    <w:p w14:paraId="06AF2511" w14:textId="77777777" w:rsidR="001827C3" w:rsidRDefault="001827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75FE9245"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E010DC" w:rsidRPr="00E010DC">
      <w:rPr>
        <w:rFonts w:ascii="Verdana" w:eastAsiaTheme="minorEastAsia" w:hAnsi="Verdana"/>
        <w:b/>
        <w:bCs/>
        <w:noProof/>
        <w:sz w:val="16"/>
        <w:szCs w:val="16"/>
      </w:rPr>
      <w:t>13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6042A" w14:textId="77777777" w:rsidR="001827C3" w:rsidRDefault="001827C3" w:rsidP="004A1847">
      <w:pPr>
        <w:spacing w:after="0" w:line="240" w:lineRule="auto"/>
      </w:pPr>
      <w:r>
        <w:separator/>
      </w:r>
    </w:p>
  </w:footnote>
  <w:footnote w:type="continuationSeparator" w:id="0">
    <w:p w14:paraId="2C577BBE" w14:textId="77777777" w:rsidR="001827C3" w:rsidRDefault="001827C3" w:rsidP="004A1847">
      <w:pPr>
        <w:spacing w:after="0" w:line="240" w:lineRule="auto"/>
      </w:pPr>
      <w:r>
        <w:continuationSeparator/>
      </w:r>
    </w:p>
  </w:footnote>
  <w:footnote w:type="continuationNotice" w:id="1">
    <w:p w14:paraId="428B7E9E" w14:textId="77777777" w:rsidR="001827C3" w:rsidRDefault="001827C3">
      <w:pPr>
        <w:spacing w:after="0" w:line="240" w:lineRule="auto"/>
      </w:pPr>
    </w:p>
  </w:footnote>
  <w:footnote w:id="2">
    <w:p w14:paraId="7C8966EB" w14:textId="77777777" w:rsidR="00FF6D94" w:rsidRPr="006755D1" w:rsidRDefault="00FF6D94" w:rsidP="00FF6D94">
      <w:pPr>
        <w:pStyle w:val="Textonotapie"/>
        <w:ind w:firstLine="708"/>
        <w:jc w:val="both"/>
        <w:rPr>
          <w:rFonts w:ascii="Verdana" w:hAnsi="Verdana" w:cs="Arial"/>
          <w:sz w:val="16"/>
          <w:szCs w:val="16"/>
        </w:rPr>
      </w:pPr>
      <w:r w:rsidRPr="006755D1">
        <w:rPr>
          <w:rStyle w:val="Refdenotaalpie"/>
          <w:rFonts w:ascii="Verdana" w:hAnsi="Verdana" w:cs="Arial"/>
          <w:sz w:val="16"/>
          <w:szCs w:val="16"/>
        </w:rPr>
        <w:footnoteRef/>
      </w:r>
      <w:r w:rsidRPr="006755D1">
        <w:rPr>
          <w:rFonts w:ascii="Verdana" w:hAnsi="Verdana" w:cs="Arial"/>
          <w:sz w:val="16"/>
          <w:szCs w:val="16"/>
        </w:rPr>
        <w:t xml:space="preserve"> El inciso primero de norma disponía que, conforme al principio de transparencia, “</w:t>
      </w:r>
      <w:r w:rsidRPr="006755D1">
        <w:rPr>
          <w:rFonts w:ascii="Verdana" w:hAnsi="Verdana" w:cs="Arial"/>
          <w:i/>
          <w:iCs/>
          <w:sz w:val="16"/>
          <w:szCs w:val="16"/>
        </w:rPr>
        <w:t>La escogencia del contratista se efectuará siempre a través de licitación o concurso públicos</w:t>
      </w:r>
      <w:r w:rsidRPr="006755D1">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3E3E31A5" w14:textId="77777777" w:rsidR="00FF6D94" w:rsidRPr="006755D1" w:rsidRDefault="00FF6D94" w:rsidP="00FF6D94">
      <w:pPr>
        <w:pStyle w:val="Textonotapie"/>
        <w:ind w:firstLine="708"/>
        <w:jc w:val="both"/>
        <w:rPr>
          <w:rFonts w:ascii="Verdana" w:hAnsi="Verdana" w:cs="Arial"/>
          <w:sz w:val="16"/>
          <w:szCs w:val="16"/>
        </w:rPr>
      </w:pPr>
      <w:r w:rsidRPr="006755D1">
        <w:rPr>
          <w:rStyle w:val="Refdenotaalpie"/>
          <w:sz w:val="16"/>
          <w:szCs w:val="16"/>
        </w:rPr>
        <w:footnoteRef/>
      </w:r>
      <w:r w:rsidRPr="006755D1">
        <w:rPr>
          <w:sz w:val="16"/>
          <w:szCs w:val="16"/>
        </w:rPr>
        <w:t xml:space="preserve"> </w:t>
      </w:r>
      <w:r w:rsidRPr="006755D1">
        <w:rPr>
          <w:rFonts w:ascii="Verdana" w:hAnsi="Verdana" w:cs="Arial"/>
          <w:sz w:val="16"/>
          <w:szCs w:val="16"/>
        </w:rPr>
        <w:t xml:space="preserve">El numeral 2 del artículo 2 de la Ley 1150 de 2007 prescribe: </w:t>
      </w:r>
      <w:r w:rsidRPr="006755D1">
        <w:rPr>
          <w:rFonts w:ascii="Verdana" w:hAnsi="Verdana"/>
          <w:sz w:val="16"/>
          <w:szCs w:val="16"/>
        </w:rPr>
        <w:t xml:space="preserve">“[…] </w:t>
      </w:r>
      <w:r w:rsidRPr="006755D1">
        <w:rPr>
          <w:rFonts w:ascii="Verdana" w:hAnsi="Verdana" w:cs="Arial"/>
          <w:sz w:val="16"/>
          <w:szCs w:val="16"/>
        </w:rPr>
        <w:t>Serán causales de selección abreviada las siguientes:</w:t>
      </w:r>
    </w:p>
    <w:p w14:paraId="73034C8C"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09C8D3F"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70E3836C"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6335C8C2"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w:t>
      </w:r>
    </w:p>
    <w:p w14:paraId="2163A481"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6AA9D2B"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A5C25DA"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e) La enajenación de bienes del Estado, con excepción de aquellos a que se refiere la Ley 226 de 1995.</w:t>
      </w:r>
    </w:p>
    <w:p w14:paraId="1C2514FB"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 xml:space="preserve">[…]; </w:t>
      </w:r>
    </w:p>
    <w:p w14:paraId="55A2B387"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 xml:space="preserve">f) Productos de origen o destinación agropecuarios que se ofrezcan en las bolsas de productos legalmente constituidas; </w:t>
      </w:r>
    </w:p>
    <w:p w14:paraId="5DCE33C8"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4AA57585"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489A3E71"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i) La contratación de bienes y servicios que se requieran para la defensa y seguridad nacional.</w:t>
      </w:r>
    </w:p>
    <w:p w14:paraId="605A47B2" w14:textId="77777777" w:rsidR="00FF6D94" w:rsidRPr="006755D1" w:rsidRDefault="00FF6D94" w:rsidP="00FF6D94">
      <w:pPr>
        <w:pStyle w:val="Textonotapie"/>
        <w:ind w:firstLine="708"/>
        <w:jc w:val="both"/>
        <w:rPr>
          <w:rFonts w:ascii="Verdana" w:hAnsi="Verdana" w:cs="Arial"/>
          <w:sz w:val="16"/>
          <w:szCs w:val="16"/>
        </w:rPr>
      </w:pPr>
      <w:r w:rsidRPr="006755D1">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4">
    <w:p w14:paraId="027D5EEB" w14:textId="77777777" w:rsidR="00FF6D94" w:rsidRPr="006755D1" w:rsidRDefault="00FF6D94" w:rsidP="00FF6D94">
      <w:pPr>
        <w:pStyle w:val="Textonotapie"/>
        <w:ind w:firstLine="708"/>
        <w:jc w:val="both"/>
        <w:rPr>
          <w:rFonts w:ascii="Verdana" w:hAnsi="Verdana" w:cs="Arial"/>
          <w:sz w:val="16"/>
          <w:szCs w:val="16"/>
        </w:rPr>
      </w:pPr>
      <w:r w:rsidRPr="006755D1">
        <w:rPr>
          <w:rStyle w:val="Refdenotaalpie"/>
          <w:rFonts w:ascii="Verdana" w:hAnsi="Verdana"/>
          <w:sz w:val="16"/>
          <w:szCs w:val="16"/>
        </w:rPr>
        <w:footnoteRef/>
      </w:r>
      <w:r w:rsidRPr="006755D1">
        <w:rPr>
          <w:rFonts w:ascii="Verdana" w:hAnsi="Verdana"/>
          <w:sz w:val="16"/>
          <w:szCs w:val="16"/>
        </w:rPr>
        <w:t xml:space="preserve"> </w:t>
      </w:r>
      <w:r w:rsidRPr="006755D1">
        <w:rPr>
          <w:rFonts w:ascii="Verdana" w:hAnsi="Verdana" w:cs="Arial"/>
          <w:sz w:val="16"/>
          <w:szCs w:val="16"/>
        </w:rPr>
        <w:t xml:space="preserve">CONGRESO DE LA REPÚBLICA. Exposición de motivos de la Ley 1150 de 2007. Gaceta del Congreso No. 458 del 1º de agosto de 2005. p. 8. </w:t>
      </w:r>
    </w:p>
  </w:footnote>
  <w:footnote w:id="5">
    <w:p w14:paraId="1EAF1C63" w14:textId="77777777" w:rsidR="00FF6D94" w:rsidRPr="006755D1" w:rsidRDefault="00FF6D94" w:rsidP="00FF6D94">
      <w:pPr>
        <w:pStyle w:val="Textonotapie"/>
        <w:ind w:firstLine="708"/>
        <w:jc w:val="both"/>
        <w:rPr>
          <w:rFonts w:ascii="Verdana" w:hAnsi="Verdana" w:cs="Arial"/>
          <w:sz w:val="16"/>
          <w:szCs w:val="16"/>
        </w:rPr>
      </w:pPr>
      <w:r w:rsidRPr="006755D1">
        <w:rPr>
          <w:rStyle w:val="Refdenotaalpie"/>
          <w:rFonts w:ascii="Verdana" w:hAnsi="Verdana"/>
          <w:sz w:val="16"/>
          <w:szCs w:val="16"/>
        </w:rPr>
        <w:footnoteRef/>
      </w:r>
      <w:r w:rsidRPr="006755D1">
        <w:rPr>
          <w:rFonts w:ascii="Verdana" w:hAnsi="Verdana"/>
          <w:sz w:val="16"/>
          <w:szCs w:val="16"/>
        </w:rPr>
        <w:t xml:space="preserve"> </w:t>
      </w:r>
      <w:r w:rsidRPr="006755D1">
        <w:rPr>
          <w:rFonts w:ascii="Verdana" w:hAnsi="Verdana" w:cs="Arial"/>
          <w:sz w:val="16"/>
          <w:szCs w:val="16"/>
        </w:rPr>
        <w:t xml:space="preserve">CONSEJO DE ESTADO. Sección Tercera. Subsección A. Sentencia del 23 de julio de 2015. </w:t>
      </w:r>
      <w:proofErr w:type="spellStart"/>
      <w:r w:rsidRPr="006755D1">
        <w:rPr>
          <w:rFonts w:ascii="Verdana" w:hAnsi="Verdana" w:cs="Arial"/>
          <w:sz w:val="16"/>
          <w:szCs w:val="16"/>
        </w:rPr>
        <w:t>Exp</w:t>
      </w:r>
      <w:proofErr w:type="spellEnd"/>
      <w:r w:rsidRPr="006755D1">
        <w:rPr>
          <w:rFonts w:ascii="Verdana" w:hAnsi="Verdana" w:cs="Arial"/>
          <w:sz w:val="16"/>
          <w:szCs w:val="16"/>
        </w:rPr>
        <w:t xml:space="preserve">. 36.805. C. P. Hernán Andrade Rincón. </w:t>
      </w:r>
    </w:p>
  </w:footnote>
  <w:footnote w:id="6">
    <w:p w14:paraId="3EE0D297" w14:textId="77777777" w:rsidR="00FF6D94" w:rsidRPr="006755D1" w:rsidRDefault="00FF6D94" w:rsidP="00FF6D94">
      <w:pPr>
        <w:pStyle w:val="Textonotapie"/>
        <w:ind w:firstLine="708"/>
        <w:jc w:val="both"/>
        <w:rPr>
          <w:rFonts w:ascii="Verdana" w:hAnsi="Verdana"/>
          <w:sz w:val="16"/>
          <w:szCs w:val="16"/>
          <w:lang w:val="es-CO"/>
        </w:rPr>
      </w:pPr>
      <w:r w:rsidRPr="006755D1">
        <w:rPr>
          <w:rStyle w:val="Refdenotaalpie"/>
          <w:rFonts w:ascii="Verdana" w:hAnsi="Verdana"/>
          <w:sz w:val="16"/>
          <w:szCs w:val="16"/>
        </w:rPr>
        <w:footnoteRef/>
      </w:r>
      <w:r w:rsidRPr="006755D1">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6755D1">
        <w:rPr>
          <w:rFonts w:ascii="Verdana" w:hAnsi="Verdana"/>
          <w:i/>
          <w:iCs/>
          <w:sz w:val="16"/>
          <w:szCs w:val="16"/>
        </w:rPr>
        <w:t>las palabras de la ley se entenderán en su sentido natural y obvio, según el uso general de las mismas palabras</w:t>
      </w:r>
      <w:r w:rsidRPr="006755D1">
        <w:rPr>
          <w:rFonts w:ascii="Verdana" w:hAnsi="Verdana"/>
          <w:sz w:val="16"/>
          <w:szCs w:val="16"/>
        </w:rPr>
        <w:t>’, es decir, el uso de la gente educada. El Diccionario de la Lengua publicado por la Real Academia Española goza a este respecto de gran autoridad. ‘</w:t>
      </w:r>
      <w:r w:rsidRPr="006755D1">
        <w:rPr>
          <w:rFonts w:ascii="Verdana" w:hAnsi="Verdana"/>
          <w:i/>
          <w:iCs/>
          <w:sz w:val="16"/>
          <w:szCs w:val="16"/>
        </w:rPr>
        <w:t>Pero cuando el legislador</w:t>
      </w:r>
      <w:r w:rsidRPr="006755D1">
        <w:rPr>
          <w:rFonts w:ascii="Verdana" w:hAnsi="Verdana"/>
          <w:sz w:val="16"/>
          <w:szCs w:val="16"/>
        </w:rPr>
        <w:t xml:space="preserve">, agrega el artículo 20, </w:t>
      </w:r>
      <w:r w:rsidRPr="006755D1">
        <w:rPr>
          <w:rFonts w:ascii="Verdana" w:hAnsi="Verdana"/>
          <w:i/>
          <w:iCs/>
          <w:sz w:val="16"/>
          <w:szCs w:val="16"/>
        </w:rPr>
        <w:t>las haya definido expresamente para ciertas materias se les dará en éstas su significado legal</w:t>
      </w:r>
      <w:r w:rsidRPr="006755D1">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7">
    <w:p w14:paraId="51FBC66B" w14:textId="77777777" w:rsidR="00FF6D94" w:rsidRPr="006755D1" w:rsidRDefault="00FF6D94" w:rsidP="00FF6D94">
      <w:pPr>
        <w:pStyle w:val="Textonotapie"/>
        <w:ind w:firstLine="708"/>
        <w:jc w:val="both"/>
        <w:rPr>
          <w:rFonts w:ascii="Verdana" w:hAnsi="Verdana"/>
          <w:sz w:val="16"/>
          <w:szCs w:val="16"/>
        </w:rPr>
      </w:pPr>
      <w:r w:rsidRPr="006755D1">
        <w:rPr>
          <w:rStyle w:val="Refdenotaalpie"/>
          <w:rFonts w:ascii="Verdana" w:hAnsi="Verdana"/>
          <w:sz w:val="16"/>
          <w:szCs w:val="16"/>
        </w:rPr>
        <w:footnoteRef/>
      </w:r>
      <w:r w:rsidRPr="006755D1">
        <w:rPr>
          <w:rFonts w:ascii="Verdana" w:hAnsi="Verdana"/>
          <w:sz w:val="16"/>
          <w:szCs w:val="16"/>
        </w:rPr>
        <w:t xml:space="preserve"> SUÁREZ BELTRÁN, Gonzalo. Estudios de derecho contractual público. Colombia: Bogotá, 2014. p. 72.</w:t>
      </w:r>
    </w:p>
  </w:footnote>
  <w:footnote w:id="8">
    <w:p w14:paraId="42F7CF5D" w14:textId="77777777" w:rsidR="00FF6D94" w:rsidRPr="006755D1" w:rsidRDefault="00FF6D94" w:rsidP="00FF6D94">
      <w:pPr>
        <w:pStyle w:val="Textonotapie"/>
        <w:ind w:firstLine="708"/>
        <w:jc w:val="both"/>
        <w:rPr>
          <w:rFonts w:ascii="Verdana" w:hAnsi="Verdana"/>
          <w:sz w:val="16"/>
          <w:szCs w:val="16"/>
          <w:lang w:val="es-CO"/>
        </w:rPr>
      </w:pPr>
      <w:r w:rsidRPr="006755D1">
        <w:rPr>
          <w:rStyle w:val="Refdenotaalpie"/>
          <w:rFonts w:ascii="Verdana" w:hAnsi="Verdana"/>
          <w:sz w:val="16"/>
          <w:szCs w:val="16"/>
        </w:rPr>
        <w:footnoteRef/>
      </w:r>
      <w:r w:rsidRPr="006755D1">
        <w:rPr>
          <w:rFonts w:ascii="Verdana" w:hAnsi="Verdana"/>
          <w:sz w:val="16"/>
          <w:szCs w:val="16"/>
        </w:rPr>
        <w:t xml:space="preserve"> </w:t>
      </w:r>
      <w:proofErr w:type="spellStart"/>
      <w:r w:rsidRPr="006755D1">
        <w:rPr>
          <w:rFonts w:ascii="Verdana" w:hAnsi="Verdana"/>
          <w:i/>
          <w:iCs/>
          <w:sz w:val="16"/>
          <w:szCs w:val="16"/>
        </w:rPr>
        <w:t>Ibidem</w:t>
      </w:r>
      <w:proofErr w:type="spellEnd"/>
      <w:r w:rsidRPr="006755D1">
        <w:rPr>
          <w:rFonts w:ascii="Verdana" w:hAnsi="Verdana"/>
          <w:sz w:val="16"/>
          <w:szCs w:val="16"/>
        </w:rPr>
        <w:t>.</w:t>
      </w:r>
    </w:p>
  </w:footnote>
  <w:footnote w:id="9">
    <w:p w14:paraId="37DAEA1E" w14:textId="77777777" w:rsidR="00FF6D94" w:rsidRPr="006755D1" w:rsidRDefault="00FF6D94" w:rsidP="00FF6D94">
      <w:pPr>
        <w:pStyle w:val="Textonotapie"/>
        <w:ind w:firstLine="708"/>
        <w:jc w:val="both"/>
        <w:rPr>
          <w:rFonts w:ascii="Verdana" w:hAnsi="Verdana" w:cs="Arial"/>
          <w:sz w:val="16"/>
          <w:szCs w:val="16"/>
        </w:rPr>
      </w:pPr>
      <w:r w:rsidRPr="006755D1">
        <w:rPr>
          <w:rStyle w:val="Refdenotaalpie"/>
          <w:rFonts w:ascii="Verdana" w:hAnsi="Verdana"/>
          <w:sz w:val="16"/>
          <w:szCs w:val="16"/>
        </w:rPr>
        <w:footnoteRef/>
      </w:r>
      <w:r w:rsidRPr="006755D1">
        <w:rPr>
          <w:rFonts w:ascii="Verdana" w:hAnsi="Verdana"/>
          <w:sz w:val="16"/>
          <w:szCs w:val="16"/>
        </w:rPr>
        <w:t xml:space="preserve"> </w:t>
      </w:r>
      <w:r w:rsidRPr="006755D1">
        <w:rPr>
          <w:rFonts w:ascii="Verdana" w:hAnsi="Verdana" w:cs="Arial"/>
          <w:sz w:val="16"/>
          <w:szCs w:val="16"/>
        </w:rPr>
        <w:t xml:space="preserve">CONGRESO DE LA REPÚBLICA. Exposición de motivos de la Ley 1150 de 2007. Gaceta del Congreso No. 458 del 1º de agosto de 2005. p. 8. </w:t>
      </w:r>
    </w:p>
  </w:footnote>
  <w:footnote w:id="10">
    <w:p w14:paraId="645457BD" w14:textId="77777777" w:rsidR="00FF6D94" w:rsidRPr="006755D1" w:rsidRDefault="00FF6D94" w:rsidP="00FF6D94">
      <w:pPr>
        <w:pStyle w:val="Textonotapie"/>
        <w:ind w:firstLine="708"/>
        <w:jc w:val="both"/>
        <w:rPr>
          <w:rFonts w:ascii="Verdana" w:hAnsi="Verdana"/>
          <w:sz w:val="16"/>
          <w:szCs w:val="16"/>
          <w:lang w:val="es-CO"/>
        </w:rPr>
      </w:pPr>
      <w:r w:rsidRPr="006755D1">
        <w:rPr>
          <w:rStyle w:val="Refdenotaalpie"/>
          <w:rFonts w:ascii="Verdana" w:hAnsi="Verdana"/>
          <w:sz w:val="16"/>
          <w:szCs w:val="16"/>
        </w:rPr>
        <w:footnoteRef/>
      </w:r>
      <w:r w:rsidRPr="006755D1">
        <w:rPr>
          <w:rFonts w:ascii="Verdana" w:hAnsi="Verdana"/>
          <w:sz w:val="16"/>
          <w:szCs w:val="16"/>
        </w:rPr>
        <w:t xml:space="preserve"> DÁVILA VINUEZA, Luis Guillermo. Régimen jurídico de la contratación estatal. </w:t>
      </w:r>
      <w:r w:rsidRPr="006755D1">
        <w:rPr>
          <w:rFonts w:ascii="Verdana" w:hAnsi="Verdana" w:cs="Arial"/>
          <w:sz w:val="16"/>
          <w:szCs w:val="16"/>
          <w:lang w:val="es-CO"/>
        </w:rPr>
        <w:t>Tercera Edición</w:t>
      </w:r>
      <w:r w:rsidRPr="006755D1">
        <w:rPr>
          <w:rFonts w:ascii="Verdana" w:hAnsi="Verdana"/>
          <w:sz w:val="16"/>
          <w:szCs w:val="16"/>
          <w:lang w:val="es-CO"/>
        </w:rPr>
        <w:t xml:space="preserve">. Bogotá: </w:t>
      </w:r>
      <w:proofErr w:type="spellStart"/>
      <w:r w:rsidRPr="006755D1">
        <w:rPr>
          <w:rFonts w:ascii="Verdana" w:hAnsi="Verdana"/>
          <w:sz w:val="16"/>
          <w:szCs w:val="16"/>
          <w:lang w:val="es-CO"/>
        </w:rPr>
        <w:t>Legis</w:t>
      </w:r>
      <w:proofErr w:type="spellEnd"/>
      <w:r w:rsidRPr="006755D1">
        <w:rPr>
          <w:rFonts w:ascii="Verdana" w:hAnsi="Verdana"/>
          <w:sz w:val="16"/>
          <w:szCs w:val="16"/>
          <w:lang w:val="es-CO"/>
        </w:rPr>
        <w:t>, 2016. pp. 466-467.</w:t>
      </w:r>
    </w:p>
  </w:footnote>
  <w:footnote w:id="11">
    <w:p w14:paraId="12B6DB82" w14:textId="77777777" w:rsidR="00FF6D94" w:rsidRPr="006755D1" w:rsidRDefault="00FF6D94" w:rsidP="00FF6D94">
      <w:pPr>
        <w:pStyle w:val="Textonotapie"/>
        <w:ind w:firstLine="708"/>
        <w:rPr>
          <w:rFonts w:ascii="Verdana" w:hAnsi="Verdana"/>
          <w:sz w:val="16"/>
          <w:szCs w:val="16"/>
          <w:lang w:val="es-ES"/>
        </w:rPr>
      </w:pPr>
      <w:r w:rsidRPr="006755D1">
        <w:rPr>
          <w:rStyle w:val="Refdenotaalpie"/>
          <w:rFonts w:ascii="Verdana" w:hAnsi="Verdana"/>
          <w:sz w:val="16"/>
          <w:szCs w:val="16"/>
        </w:rPr>
        <w:footnoteRef/>
      </w:r>
      <w:r w:rsidRPr="006755D1">
        <w:rPr>
          <w:rFonts w:ascii="Verdana" w:hAnsi="Verdana"/>
          <w:sz w:val="16"/>
          <w:szCs w:val="16"/>
        </w:rPr>
        <w:t xml:space="preserve"> COLOMBIA COMPRA EFICIENTE. </w:t>
      </w:r>
      <w:r w:rsidRPr="006755D1">
        <w:rPr>
          <w:rFonts w:ascii="Verdana" w:hAnsi="Verdana"/>
          <w:bCs/>
          <w:sz w:val="16"/>
          <w:szCs w:val="16"/>
          <w:lang w:val="es-ES"/>
        </w:rPr>
        <w:t xml:space="preserve">Guía para entender los instrumentos de agregación de demanda y acuerdos marco de precios. 2021, p.8. </w:t>
      </w:r>
    </w:p>
  </w:footnote>
  <w:footnote w:id="12">
    <w:p w14:paraId="0C0FC8A5" w14:textId="77777777" w:rsidR="00FF6D94" w:rsidRPr="006755D1" w:rsidRDefault="00FF6D94" w:rsidP="00FF6D94">
      <w:pPr>
        <w:pStyle w:val="Textonotapie"/>
        <w:ind w:firstLine="708"/>
        <w:jc w:val="both"/>
        <w:rPr>
          <w:rFonts w:ascii="Verdana" w:hAnsi="Verdana"/>
          <w:sz w:val="16"/>
          <w:szCs w:val="16"/>
          <w:lang w:val="es-CO"/>
        </w:rPr>
      </w:pPr>
      <w:r w:rsidRPr="006755D1">
        <w:rPr>
          <w:rStyle w:val="Refdenotaalpie"/>
          <w:rFonts w:ascii="Verdana" w:hAnsi="Verdana"/>
          <w:sz w:val="16"/>
          <w:szCs w:val="16"/>
        </w:rPr>
        <w:footnoteRef/>
      </w:r>
      <w:r w:rsidRPr="006755D1">
        <w:rPr>
          <w:rFonts w:ascii="Verdana" w:hAnsi="Verdana"/>
          <w:sz w:val="16"/>
          <w:szCs w:val="16"/>
        </w:rPr>
        <w:t xml:space="preserve"> Decreto 1082 de 2015: “</w:t>
      </w:r>
      <w:r w:rsidRPr="006755D1">
        <w:rPr>
          <w:rFonts w:ascii="Verdana" w:hAnsi="Verdana"/>
          <w:bCs/>
          <w:sz w:val="16"/>
          <w:szCs w:val="16"/>
          <w:lang w:val="es-CO"/>
        </w:rPr>
        <w:t>Artículo 2.2.1.2.1.2.7. Procedencia del Acuerdo Marco de Precios.</w:t>
      </w:r>
      <w:r w:rsidRPr="006755D1">
        <w:rPr>
          <w:rFonts w:ascii="Verdana" w:hAnsi="Verdana"/>
          <w:sz w:val="16"/>
          <w:szCs w:val="16"/>
          <w:lang w:val="es-CO"/>
        </w:rPr>
        <w:t> Las entidades estatales sometidas al Estatuto General de Contratación de la administración pública están obligadas a adquirir Bienes y Servicios Uniformes y No Uniformes de Común Utilización, a través de los Acuerdos Marco de Precios previamente justificados, diseñados, organizados y celebrados por la Agencia Nacional de Contratación Pública -Colombia Compra Eficiente-. </w:t>
      </w:r>
    </w:p>
    <w:p w14:paraId="5491212E" w14:textId="77777777" w:rsidR="00FF6D94" w:rsidRPr="006755D1" w:rsidRDefault="00FF6D94" w:rsidP="00FF6D94">
      <w:pPr>
        <w:pStyle w:val="Textonotapie"/>
        <w:ind w:firstLine="708"/>
        <w:jc w:val="both"/>
        <w:rPr>
          <w:rFonts w:ascii="Verdana" w:hAnsi="Verdana"/>
          <w:sz w:val="16"/>
          <w:szCs w:val="16"/>
          <w:lang w:val="es-CO"/>
        </w:rPr>
      </w:pPr>
      <w:r w:rsidRPr="006755D1">
        <w:rPr>
          <w:rFonts w:ascii="Verdana" w:hAnsi="Verdana"/>
          <w:sz w:val="16"/>
          <w:szCs w:val="16"/>
          <w:lang w:val="es-CO"/>
        </w:rPr>
        <w:t xml:space="preserve">La implementación de nuevos Acuerdos Marco de Precios organizados y celebrados por la Agencia Nacional de Contratación Pública -Colombia Compra Eficiente- de uso obligatorio por parte de las entidades territoriales estará precedida de un estudio de agregación de demanda, en el que se tendrá en cuenta las particularidades propias de los mercados regionales, la necesidad de promover el desarrollo empresarial en las entidades territoriales a través de las </w:t>
      </w:r>
      <w:proofErr w:type="spellStart"/>
      <w:r w:rsidRPr="006755D1">
        <w:rPr>
          <w:rFonts w:ascii="Verdana" w:hAnsi="Verdana"/>
          <w:sz w:val="16"/>
          <w:szCs w:val="16"/>
          <w:lang w:val="es-CO"/>
        </w:rPr>
        <w:t>Mipymes</w:t>
      </w:r>
      <w:proofErr w:type="spellEnd"/>
      <w:r w:rsidRPr="006755D1">
        <w:rPr>
          <w:rFonts w:ascii="Verdana" w:hAnsi="Verdana"/>
          <w:sz w:val="16"/>
          <w:szCs w:val="16"/>
          <w:lang w:val="es-CO"/>
        </w:rPr>
        <w:t xml:space="preserve"> y evitar en lo posible, la concentración de proveedores en ciertas ciudades del país, salvo que exista la respectiva justificación técnica, económica y/o jurídica”.</w:t>
      </w:r>
    </w:p>
    <w:p w14:paraId="5EB2C73D" w14:textId="77777777" w:rsidR="00FF6D94" w:rsidRPr="006755D1" w:rsidRDefault="00FF6D94" w:rsidP="00FF6D94">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7"/>
  </w:num>
  <w:num w:numId="8">
    <w:abstractNumId w:val="15"/>
  </w:num>
  <w:num w:numId="9">
    <w:abstractNumId w:val="9"/>
  </w:num>
  <w:num w:numId="10">
    <w:abstractNumId w:val="14"/>
  </w:num>
  <w:num w:numId="11">
    <w:abstractNumId w:val="10"/>
  </w:num>
  <w:num w:numId="12">
    <w:abstractNumId w:val="1"/>
  </w:num>
  <w:num w:numId="13">
    <w:abstractNumId w:val="4"/>
  </w:num>
  <w:num w:numId="14">
    <w:abstractNumId w:val="17"/>
  </w:num>
  <w:num w:numId="15">
    <w:abstractNumId w:val="13"/>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2"/>
  </w:num>
  <w:num w:numId="19">
    <w:abstractNumId w:val="5"/>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4434A"/>
    <w:rsid w:val="0005281E"/>
    <w:rsid w:val="0005682C"/>
    <w:rsid w:val="00056D71"/>
    <w:rsid w:val="00061B2A"/>
    <w:rsid w:val="00062BAF"/>
    <w:rsid w:val="000630B9"/>
    <w:rsid w:val="000643B2"/>
    <w:rsid w:val="0007022C"/>
    <w:rsid w:val="00077439"/>
    <w:rsid w:val="000774B8"/>
    <w:rsid w:val="00082362"/>
    <w:rsid w:val="0008328D"/>
    <w:rsid w:val="0009387A"/>
    <w:rsid w:val="0009387B"/>
    <w:rsid w:val="000963C6"/>
    <w:rsid w:val="000A31B9"/>
    <w:rsid w:val="000A3D63"/>
    <w:rsid w:val="000A683A"/>
    <w:rsid w:val="000A683E"/>
    <w:rsid w:val="000B19B9"/>
    <w:rsid w:val="000D0152"/>
    <w:rsid w:val="000D0334"/>
    <w:rsid w:val="000D3B29"/>
    <w:rsid w:val="000E06F4"/>
    <w:rsid w:val="000E4CE4"/>
    <w:rsid w:val="000F6486"/>
    <w:rsid w:val="000F669F"/>
    <w:rsid w:val="001063B3"/>
    <w:rsid w:val="00106EF9"/>
    <w:rsid w:val="001114A9"/>
    <w:rsid w:val="00111979"/>
    <w:rsid w:val="00116537"/>
    <w:rsid w:val="00120766"/>
    <w:rsid w:val="001240BD"/>
    <w:rsid w:val="00125105"/>
    <w:rsid w:val="00127233"/>
    <w:rsid w:val="00143E81"/>
    <w:rsid w:val="00143FD9"/>
    <w:rsid w:val="00145047"/>
    <w:rsid w:val="00146C57"/>
    <w:rsid w:val="0016332F"/>
    <w:rsid w:val="001717E9"/>
    <w:rsid w:val="001827C3"/>
    <w:rsid w:val="00185EE9"/>
    <w:rsid w:val="00187F79"/>
    <w:rsid w:val="00197274"/>
    <w:rsid w:val="001A237A"/>
    <w:rsid w:val="001A26CF"/>
    <w:rsid w:val="001A2919"/>
    <w:rsid w:val="001B40AA"/>
    <w:rsid w:val="001C0477"/>
    <w:rsid w:val="001C222E"/>
    <w:rsid w:val="001C22F9"/>
    <w:rsid w:val="001D1C29"/>
    <w:rsid w:val="001E4177"/>
    <w:rsid w:val="001F4EFD"/>
    <w:rsid w:val="001F5E13"/>
    <w:rsid w:val="001F6D11"/>
    <w:rsid w:val="001F7DC6"/>
    <w:rsid w:val="00202886"/>
    <w:rsid w:val="00215CEF"/>
    <w:rsid w:val="00217A08"/>
    <w:rsid w:val="00220B77"/>
    <w:rsid w:val="00237233"/>
    <w:rsid w:val="002421BB"/>
    <w:rsid w:val="00246A81"/>
    <w:rsid w:val="00251A5F"/>
    <w:rsid w:val="0025796E"/>
    <w:rsid w:val="002603E5"/>
    <w:rsid w:val="002638B2"/>
    <w:rsid w:val="002660F2"/>
    <w:rsid w:val="002664BB"/>
    <w:rsid w:val="002707A2"/>
    <w:rsid w:val="002835A6"/>
    <w:rsid w:val="002844ED"/>
    <w:rsid w:val="002951A0"/>
    <w:rsid w:val="002962BC"/>
    <w:rsid w:val="002A093D"/>
    <w:rsid w:val="002A0DD0"/>
    <w:rsid w:val="002A49AC"/>
    <w:rsid w:val="002A64FD"/>
    <w:rsid w:val="002A6BBF"/>
    <w:rsid w:val="002B1E57"/>
    <w:rsid w:val="002C110E"/>
    <w:rsid w:val="002C379A"/>
    <w:rsid w:val="002C765E"/>
    <w:rsid w:val="002C7A84"/>
    <w:rsid w:val="002D13A1"/>
    <w:rsid w:val="002D3F0D"/>
    <w:rsid w:val="002E1D98"/>
    <w:rsid w:val="002E2C3F"/>
    <w:rsid w:val="002E4FD9"/>
    <w:rsid w:val="002E6F15"/>
    <w:rsid w:val="002F13FD"/>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BCA"/>
    <w:rsid w:val="0036594E"/>
    <w:rsid w:val="003665EE"/>
    <w:rsid w:val="0037010E"/>
    <w:rsid w:val="003734F4"/>
    <w:rsid w:val="00374F5E"/>
    <w:rsid w:val="00377E3E"/>
    <w:rsid w:val="003815E8"/>
    <w:rsid w:val="00392A49"/>
    <w:rsid w:val="003A26D1"/>
    <w:rsid w:val="003A3B30"/>
    <w:rsid w:val="003A779E"/>
    <w:rsid w:val="003B005A"/>
    <w:rsid w:val="003C3FA5"/>
    <w:rsid w:val="003D07A1"/>
    <w:rsid w:val="003D0F4D"/>
    <w:rsid w:val="003D5B0D"/>
    <w:rsid w:val="003E0499"/>
    <w:rsid w:val="003E40F2"/>
    <w:rsid w:val="003F3941"/>
    <w:rsid w:val="00400676"/>
    <w:rsid w:val="00406575"/>
    <w:rsid w:val="00410906"/>
    <w:rsid w:val="0041655A"/>
    <w:rsid w:val="0042722E"/>
    <w:rsid w:val="00427DA0"/>
    <w:rsid w:val="00440391"/>
    <w:rsid w:val="00442C7F"/>
    <w:rsid w:val="0044528D"/>
    <w:rsid w:val="00450920"/>
    <w:rsid w:val="00454D48"/>
    <w:rsid w:val="004554F9"/>
    <w:rsid w:val="0046004D"/>
    <w:rsid w:val="004633DE"/>
    <w:rsid w:val="00465E71"/>
    <w:rsid w:val="004734BD"/>
    <w:rsid w:val="00482608"/>
    <w:rsid w:val="00483749"/>
    <w:rsid w:val="00484809"/>
    <w:rsid w:val="004A0980"/>
    <w:rsid w:val="004A1847"/>
    <w:rsid w:val="004A305D"/>
    <w:rsid w:val="004A3312"/>
    <w:rsid w:val="004B740F"/>
    <w:rsid w:val="004C4B37"/>
    <w:rsid w:val="004D026D"/>
    <w:rsid w:val="004E221E"/>
    <w:rsid w:val="004E2892"/>
    <w:rsid w:val="004E4C0B"/>
    <w:rsid w:val="004E505B"/>
    <w:rsid w:val="004F21C4"/>
    <w:rsid w:val="004F3012"/>
    <w:rsid w:val="004F5559"/>
    <w:rsid w:val="004F685F"/>
    <w:rsid w:val="004F7EC9"/>
    <w:rsid w:val="00514598"/>
    <w:rsid w:val="005163B5"/>
    <w:rsid w:val="0052543A"/>
    <w:rsid w:val="0052785C"/>
    <w:rsid w:val="00540C2D"/>
    <w:rsid w:val="00552502"/>
    <w:rsid w:val="005566E8"/>
    <w:rsid w:val="00560CB5"/>
    <w:rsid w:val="00574122"/>
    <w:rsid w:val="00574867"/>
    <w:rsid w:val="00577D09"/>
    <w:rsid w:val="00591460"/>
    <w:rsid w:val="00592628"/>
    <w:rsid w:val="00597C75"/>
    <w:rsid w:val="005A0868"/>
    <w:rsid w:val="005A0CFB"/>
    <w:rsid w:val="005A282F"/>
    <w:rsid w:val="005A2AC9"/>
    <w:rsid w:val="005B2CCE"/>
    <w:rsid w:val="005B58C1"/>
    <w:rsid w:val="005B6033"/>
    <w:rsid w:val="005C3777"/>
    <w:rsid w:val="005C5CDC"/>
    <w:rsid w:val="005D2B2B"/>
    <w:rsid w:val="005D476C"/>
    <w:rsid w:val="005D5F91"/>
    <w:rsid w:val="005D7B25"/>
    <w:rsid w:val="005F7C43"/>
    <w:rsid w:val="00605A00"/>
    <w:rsid w:val="00610812"/>
    <w:rsid w:val="00612CE7"/>
    <w:rsid w:val="006219F8"/>
    <w:rsid w:val="0063165E"/>
    <w:rsid w:val="00632C08"/>
    <w:rsid w:val="00650FF7"/>
    <w:rsid w:val="00665D70"/>
    <w:rsid w:val="00671DAC"/>
    <w:rsid w:val="006747C7"/>
    <w:rsid w:val="006755D1"/>
    <w:rsid w:val="006827AC"/>
    <w:rsid w:val="006859A3"/>
    <w:rsid w:val="006900D9"/>
    <w:rsid w:val="006A0008"/>
    <w:rsid w:val="006A10DF"/>
    <w:rsid w:val="006A3147"/>
    <w:rsid w:val="006C0240"/>
    <w:rsid w:val="006C5595"/>
    <w:rsid w:val="006D12F8"/>
    <w:rsid w:val="006F2501"/>
    <w:rsid w:val="00704D9B"/>
    <w:rsid w:val="00705E5F"/>
    <w:rsid w:val="00706C16"/>
    <w:rsid w:val="00711C85"/>
    <w:rsid w:val="0071458F"/>
    <w:rsid w:val="00723A7F"/>
    <w:rsid w:val="00737C53"/>
    <w:rsid w:val="00737DFA"/>
    <w:rsid w:val="00756841"/>
    <w:rsid w:val="00762AA9"/>
    <w:rsid w:val="007649AB"/>
    <w:rsid w:val="00771D0C"/>
    <w:rsid w:val="007833AC"/>
    <w:rsid w:val="00784D58"/>
    <w:rsid w:val="00786FBF"/>
    <w:rsid w:val="00790AB7"/>
    <w:rsid w:val="00791769"/>
    <w:rsid w:val="00796340"/>
    <w:rsid w:val="007A23EA"/>
    <w:rsid w:val="007A5189"/>
    <w:rsid w:val="007B268C"/>
    <w:rsid w:val="007B7171"/>
    <w:rsid w:val="007B7D02"/>
    <w:rsid w:val="007C0C0F"/>
    <w:rsid w:val="007C3DC2"/>
    <w:rsid w:val="007D0457"/>
    <w:rsid w:val="007D43C9"/>
    <w:rsid w:val="007E5497"/>
    <w:rsid w:val="007F28CA"/>
    <w:rsid w:val="007F52A4"/>
    <w:rsid w:val="007F60FB"/>
    <w:rsid w:val="007F7B94"/>
    <w:rsid w:val="00804981"/>
    <w:rsid w:val="00806F5F"/>
    <w:rsid w:val="008163D7"/>
    <w:rsid w:val="00820278"/>
    <w:rsid w:val="008265B5"/>
    <w:rsid w:val="00834554"/>
    <w:rsid w:val="00834B31"/>
    <w:rsid w:val="00840ADC"/>
    <w:rsid w:val="00843BF7"/>
    <w:rsid w:val="008449B3"/>
    <w:rsid w:val="00846276"/>
    <w:rsid w:val="00850E23"/>
    <w:rsid w:val="00851137"/>
    <w:rsid w:val="00853978"/>
    <w:rsid w:val="0085432F"/>
    <w:rsid w:val="00864209"/>
    <w:rsid w:val="0087325B"/>
    <w:rsid w:val="00881ABA"/>
    <w:rsid w:val="008843B6"/>
    <w:rsid w:val="00886C89"/>
    <w:rsid w:val="00891928"/>
    <w:rsid w:val="00894B8B"/>
    <w:rsid w:val="008A00A4"/>
    <w:rsid w:val="008A446D"/>
    <w:rsid w:val="008A7F08"/>
    <w:rsid w:val="008B2F0E"/>
    <w:rsid w:val="008B5A2E"/>
    <w:rsid w:val="008C6451"/>
    <w:rsid w:val="008D180B"/>
    <w:rsid w:val="008D7227"/>
    <w:rsid w:val="008E1F92"/>
    <w:rsid w:val="008E7333"/>
    <w:rsid w:val="008E7B09"/>
    <w:rsid w:val="008F0EA7"/>
    <w:rsid w:val="008F7BB9"/>
    <w:rsid w:val="00904692"/>
    <w:rsid w:val="00910097"/>
    <w:rsid w:val="0091561E"/>
    <w:rsid w:val="00923EEF"/>
    <w:rsid w:val="009411F5"/>
    <w:rsid w:val="009419F9"/>
    <w:rsid w:val="00953AA4"/>
    <w:rsid w:val="00955305"/>
    <w:rsid w:val="0095685E"/>
    <w:rsid w:val="009572D9"/>
    <w:rsid w:val="00961409"/>
    <w:rsid w:val="00961B09"/>
    <w:rsid w:val="00962300"/>
    <w:rsid w:val="00965334"/>
    <w:rsid w:val="0097093E"/>
    <w:rsid w:val="00976025"/>
    <w:rsid w:val="009800BE"/>
    <w:rsid w:val="00982E41"/>
    <w:rsid w:val="00984649"/>
    <w:rsid w:val="009858BE"/>
    <w:rsid w:val="009A0DFA"/>
    <w:rsid w:val="009A3C2C"/>
    <w:rsid w:val="009A4A40"/>
    <w:rsid w:val="009B2D26"/>
    <w:rsid w:val="009B780F"/>
    <w:rsid w:val="009C2DD0"/>
    <w:rsid w:val="009C3AC7"/>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2465"/>
    <w:rsid w:val="00A03415"/>
    <w:rsid w:val="00A04A81"/>
    <w:rsid w:val="00A104A4"/>
    <w:rsid w:val="00A122D3"/>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3292"/>
    <w:rsid w:val="00A445C0"/>
    <w:rsid w:val="00A56FCA"/>
    <w:rsid w:val="00A6004A"/>
    <w:rsid w:val="00A613C2"/>
    <w:rsid w:val="00A74DE6"/>
    <w:rsid w:val="00A8086A"/>
    <w:rsid w:val="00A80F32"/>
    <w:rsid w:val="00A87F7D"/>
    <w:rsid w:val="00A9244C"/>
    <w:rsid w:val="00A94D14"/>
    <w:rsid w:val="00AB0ADB"/>
    <w:rsid w:val="00AB3FD1"/>
    <w:rsid w:val="00AC0EAB"/>
    <w:rsid w:val="00AC4701"/>
    <w:rsid w:val="00AC49A2"/>
    <w:rsid w:val="00AD73E2"/>
    <w:rsid w:val="00AE2631"/>
    <w:rsid w:val="00AF1BEC"/>
    <w:rsid w:val="00B009B8"/>
    <w:rsid w:val="00B01B1A"/>
    <w:rsid w:val="00B14E03"/>
    <w:rsid w:val="00B26B98"/>
    <w:rsid w:val="00B35ADC"/>
    <w:rsid w:val="00B37C24"/>
    <w:rsid w:val="00B40FBC"/>
    <w:rsid w:val="00B47FD7"/>
    <w:rsid w:val="00B51F75"/>
    <w:rsid w:val="00B53E27"/>
    <w:rsid w:val="00B558AF"/>
    <w:rsid w:val="00B615BA"/>
    <w:rsid w:val="00B62D8B"/>
    <w:rsid w:val="00B72CD3"/>
    <w:rsid w:val="00B72FFF"/>
    <w:rsid w:val="00B76CEB"/>
    <w:rsid w:val="00B8257D"/>
    <w:rsid w:val="00B82B8B"/>
    <w:rsid w:val="00B91186"/>
    <w:rsid w:val="00B93423"/>
    <w:rsid w:val="00BC0036"/>
    <w:rsid w:val="00BC05A6"/>
    <w:rsid w:val="00BC3D36"/>
    <w:rsid w:val="00BD7F72"/>
    <w:rsid w:val="00BE03BC"/>
    <w:rsid w:val="00BE0A18"/>
    <w:rsid w:val="00BF1201"/>
    <w:rsid w:val="00BF1D4A"/>
    <w:rsid w:val="00BF230F"/>
    <w:rsid w:val="00C002E3"/>
    <w:rsid w:val="00C012CC"/>
    <w:rsid w:val="00C04FB3"/>
    <w:rsid w:val="00C052F8"/>
    <w:rsid w:val="00C159C1"/>
    <w:rsid w:val="00C16346"/>
    <w:rsid w:val="00C21B15"/>
    <w:rsid w:val="00C32523"/>
    <w:rsid w:val="00C330EB"/>
    <w:rsid w:val="00C371C9"/>
    <w:rsid w:val="00C40E9F"/>
    <w:rsid w:val="00C41481"/>
    <w:rsid w:val="00C42469"/>
    <w:rsid w:val="00C4268F"/>
    <w:rsid w:val="00C47A07"/>
    <w:rsid w:val="00C57281"/>
    <w:rsid w:val="00C65D65"/>
    <w:rsid w:val="00C67703"/>
    <w:rsid w:val="00C7173F"/>
    <w:rsid w:val="00C730B6"/>
    <w:rsid w:val="00C754BE"/>
    <w:rsid w:val="00C76466"/>
    <w:rsid w:val="00C76B1C"/>
    <w:rsid w:val="00C915DD"/>
    <w:rsid w:val="00CA6A9D"/>
    <w:rsid w:val="00CA7F6B"/>
    <w:rsid w:val="00CB6357"/>
    <w:rsid w:val="00CC0FA3"/>
    <w:rsid w:val="00CC1B26"/>
    <w:rsid w:val="00CC49F7"/>
    <w:rsid w:val="00CC54DB"/>
    <w:rsid w:val="00CD087D"/>
    <w:rsid w:val="00CD41CB"/>
    <w:rsid w:val="00CE5414"/>
    <w:rsid w:val="00CF7826"/>
    <w:rsid w:val="00D0157A"/>
    <w:rsid w:val="00D036D8"/>
    <w:rsid w:val="00D038ED"/>
    <w:rsid w:val="00D06D26"/>
    <w:rsid w:val="00D10B75"/>
    <w:rsid w:val="00D13351"/>
    <w:rsid w:val="00D15E25"/>
    <w:rsid w:val="00D20368"/>
    <w:rsid w:val="00D22361"/>
    <w:rsid w:val="00D22598"/>
    <w:rsid w:val="00D26924"/>
    <w:rsid w:val="00D33443"/>
    <w:rsid w:val="00D413F6"/>
    <w:rsid w:val="00D4231B"/>
    <w:rsid w:val="00D423A2"/>
    <w:rsid w:val="00D520D8"/>
    <w:rsid w:val="00D52961"/>
    <w:rsid w:val="00D55048"/>
    <w:rsid w:val="00D57FA4"/>
    <w:rsid w:val="00D62DE7"/>
    <w:rsid w:val="00D63AC2"/>
    <w:rsid w:val="00D7383B"/>
    <w:rsid w:val="00D7609E"/>
    <w:rsid w:val="00D81A63"/>
    <w:rsid w:val="00D81D25"/>
    <w:rsid w:val="00D94C40"/>
    <w:rsid w:val="00DA231B"/>
    <w:rsid w:val="00DA23A0"/>
    <w:rsid w:val="00DA7F66"/>
    <w:rsid w:val="00DB186F"/>
    <w:rsid w:val="00DC39FC"/>
    <w:rsid w:val="00DC4385"/>
    <w:rsid w:val="00DC484F"/>
    <w:rsid w:val="00DC4C27"/>
    <w:rsid w:val="00DC51BC"/>
    <w:rsid w:val="00DC793F"/>
    <w:rsid w:val="00DF1179"/>
    <w:rsid w:val="00DF5254"/>
    <w:rsid w:val="00E010DC"/>
    <w:rsid w:val="00E12426"/>
    <w:rsid w:val="00E16408"/>
    <w:rsid w:val="00E20894"/>
    <w:rsid w:val="00E245AB"/>
    <w:rsid w:val="00E26239"/>
    <w:rsid w:val="00E2764C"/>
    <w:rsid w:val="00E27F2E"/>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A0E3D"/>
    <w:rsid w:val="00EA1CD8"/>
    <w:rsid w:val="00EA393B"/>
    <w:rsid w:val="00EA39A5"/>
    <w:rsid w:val="00EB2C4B"/>
    <w:rsid w:val="00EB7E00"/>
    <w:rsid w:val="00EC1A2C"/>
    <w:rsid w:val="00EC1FE1"/>
    <w:rsid w:val="00EC38A7"/>
    <w:rsid w:val="00ED042A"/>
    <w:rsid w:val="00ED0D4A"/>
    <w:rsid w:val="00EE1AA8"/>
    <w:rsid w:val="00EF26C3"/>
    <w:rsid w:val="00EF489F"/>
    <w:rsid w:val="00F11213"/>
    <w:rsid w:val="00F11BAA"/>
    <w:rsid w:val="00F238F2"/>
    <w:rsid w:val="00F25C35"/>
    <w:rsid w:val="00F260AA"/>
    <w:rsid w:val="00F27B26"/>
    <w:rsid w:val="00F31EDC"/>
    <w:rsid w:val="00F34D02"/>
    <w:rsid w:val="00F34E84"/>
    <w:rsid w:val="00F40BAD"/>
    <w:rsid w:val="00F462B3"/>
    <w:rsid w:val="00F5184B"/>
    <w:rsid w:val="00F55081"/>
    <w:rsid w:val="00F55168"/>
    <w:rsid w:val="00F5664F"/>
    <w:rsid w:val="00F611E3"/>
    <w:rsid w:val="00F626C4"/>
    <w:rsid w:val="00F64D9E"/>
    <w:rsid w:val="00F666C4"/>
    <w:rsid w:val="00F7684C"/>
    <w:rsid w:val="00F76AFC"/>
    <w:rsid w:val="00F80CBE"/>
    <w:rsid w:val="00F85198"/>
    <w:rsid w:val="00F939CB"/>
    <w:rsid w:val="00F9479C"/>
    <w:rsid w:val="00F965EE"/>
    <w:rsid w:val="00F97949"/>
    <w:rsid w:val="00FA1110"/>
    <w:rsid w:val="00FA358D"/>
    <w:rsid w:val="00FA47C0"/>
    <w:rsid w:val="00FB4425"/>
    <w:rsid w:val="00FB5615"/>
    <w:rsid w:val="00FB5DD1"/>
    <w:rsid w:val="00FC07B5"/>
    <w:rsid w:val="00FC2B5D"/>
    <w:rsid w:val="00FD00E9"/>
    <w:rsid w:val="00FE122A"/>
    <w:rsid w:val="00FE20E6"/>
    <w:rsid w:val="00FF1187"/>
    <w:rsid w:val="00FF1449"/>
    <w:rsid w:val="00FF6D94"/>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6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99321848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natacapi@hotmail.com"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887F827-F91C-47BE-BC09-CA07D1D8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4772</Words>
  <Characters>27204</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6</cp:revision>
  <cp:lastPrinted>2023-01-10T21:18:00Z</cp:lastPrinted>
  <dcterms:created xsi:type="dcterms:W3CDTF">2025-03-05T14:09:00Z</dcterms:created>
  <dcterms:modified xsi:type="dcterms:W3CDTF">2025-03-05T16:20:00Z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