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D5BA8" w14:textId="77777777" w:rsidR="005D3BFD" w:rsidRPr="005D3BFD" w:rsidRDefault="005D3BFD" w:rsidP="005D3BFD">
      <w:pPr>
        <w:spacing w:after="0" w:line="240" w:lineRule="auto"/>
        <w:contextualSpacing/>
        <w:jc w:val="both"/>
        <w:rPr>
          <w:rFonts w:ascii="Verdana" w:eastAsia="Calibri" w:hAnsi="Verdana" w:cs="Arial"/>
          <w:b/>
          <w:bCs/>
          <w:lang w:val="es-ES" w:eastAsia="es-ES_tradnl"/>
        </w:rPr>
      </w:pPr>
      <w:bookmarkStart w:id="0" w:name="_Hlk143780582"/>
      <w:r w:rsidRPr="005D3BFD">
        <w:rPr>
          <w:rFonts w:ascii="Verdana" w:eastAsia="Calibri" w:hAnsi="Verdana" w:cs="Arial"/>
          <w:b/>
          <w:bCs/>
          <w:lang w:val="es-ES" w:eastAsia="es-ES_tradnl"/>
        </w:rPr>
        <w:t>REQUISITOS HABILITANTES – Noción</w:t>
      </w:r>
    </w:p>
    <w:p w14:paraId="7221EE4E" w14:textId="77777777" w:rsidR="005D3BFD" w:rsidRPr="005D3BFD" w:rsidRDefault="005D3BFD" w:rsidP="005D3BFD">
      <w:pPr>
        <w:spacing w:after="0" w:line="240" w:lineRule="auto"/>
        <w:contextualSpacing/>
        <w:jc w:val="both"/>
        <w:rPr>
          <w:rFonts w:ascii="Verdana" w:eastAsia="Calibri" w:hAnsi="Verdana" w:cs="Arial"/>
          <w:color w:val="000000" w:themeColor="text1"/>
          <w:lang w:val="es-ES"/>
        </w:rPr>
      </w:pPr>
    </w:p>
    <w:p w14:paraId="1AC021F8" w14:textId="77777777" w:rsidR="005D3BFD" w:rsidRPr="00874757" w:rsidRDefault="005D3BFD" w:rsidP="005D3BFD">
      <w:pPr>
        <w:spacing w:after="0" w:line="240" w:lineRule="auto"/>
        <w:contextualSpacing/>
        <w:jc w:val="both"/>
        <w:rPr>
          <w:rFonts w:ascii="Verdana" w:eastAsia="Calibri" w:hAnsi="Verdana" w:cs="Arial"/>
          <w:color w:val="000000" w:themeColor="text1"/>
          <w:sz w:val="20"/>
          <w:szCs w:val="20"/>
          <w:lang w:val="es-ES"/>
        </w:rPr>
      </w:pPr>
      <w:r w:rsidRPr="00874757">
        <w:rPr>
          <w:rFonts w:ascii="Verdana" w:eastAsia="Calibri" w:hAnsi="Verdana" w:cs="Arial"/>
          <w:color w:val="000000" w:themeColor="text1"/>
          <w:sz w:val="20"/>
          <w:szCs w:val="20"/>
          <w:lang w:val="es-ES"/>
        </w:rPr>
        <w:t xml:space="preserve">Los </w:t>
      </w:r>
      <w:r w:rsidRPr="00874757">
        <w:rPr>
          <w:rFonts w:ascii="Verdana" w:eastAsia="Calibri" w:hAnsi="Verdana" w:cs="Arial"/>
          <w:i/>
          <w:iCs/>
          <w:color w:val="000000" w:themeColor="text1"/>
          <w:sz w:val="20"/>
          <w:szCs w:val="20"/>
          <w:lang w:val="es-ES"/>
        </w:rPr>
        <w:t>requisitos habilitantes</w:t>
      </w:r>
      <w:r w:rsidRPr="00874757">
        <w:rPr>
          <w:rFonts w:ascii="Verdana" w:eastAsia="Calibri" w:hAnsi="Verdana" w:cs="Arial"/>
          <w:color w:val="000000" w:themeColor="text1"/>
          <w:sz w:val="20"/>
          <w:szCs w:val="20"/>
          <w:lang w:val="es-ES"/>
        </w:rPr>
        <w:t xml:space="preserve"> son exigencias para la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874757">
        <w:rPr>
          <w:rFonts w:ascii="Verdana" w:eastAsia="Calibri" w:hAnsi="Verdana" w:cs="Arial"/>
          <w:i/>
          <w:iCs/>
          <w:color w:val="000000" w:themeColor="text1"/>
          <w:sz w:val="20"/>
          <w:szCs w:val="20"/>
          <w:lang w:val="es-ES"/>
        </w:rPr>
        <w:t>criterios de evaluación</w:t>
      </w:r>
      <w:r w:rsidRPr="00874757">
        <w:rPr>
          <w:rFonts w:ascii="Verdana" w:eastAsia="Calibri" w:hAnsi="Verdana" w:cs="Arial"/>
          <w:color w:val="000000" w:themeColor="text1"/>
          <w:sz w:val="20"/>
          <w:szCs w:val="20"/>
          <w:lang w:val="es-ES"/>
        </w:rPr>
        <w:t xml:space="preserve"> –también conocidos como </w:t>
      </w:r>
      <w:r w:rsidRPr="00874757">
        <w:rPr>
          <w:rFonts w:ascii="Verdana" w:eastAsia="Calibri" w:hAnsi="Verdana" w:cs="Arial"/>
          <w:i/>
          <w:iCs/>
          <w:color w:val="000000" w:themeColor="text1"/>
          <w:sz w:val="20"/>
          <w:szCs w:val="20"/>
          <w:lang w:val="es-ES"/>
        </w:rPr>
        <w:t>criterios de calificación</w:t>
      </w:r>
      <w:r w:rsidRPr="00874757">
        <w:rPr>
          <w:rFonts w:ascii="Verdana" w:eastAsia="Calibri" w:hAnsi="Verdana" w:cs="Arial"/>
          <w:color w:val="000000" w:themeColor="text1"/>
          <w:sz w:val="20"/>
          <w:szCs w:val="20"/>
          <w:lang w:val="es-ES"/>
        </w:rPr>
        <w:t xml:space="preserve">– en que la Entidad Estatal define estos factores para la asignación de puntaje en la comparación de las ofertas con el fin de establecer el orden de elegibilidad y la propuesta ganadora. </w:t>
      </w:r>
    </w:p>
    <w:p w14:paraId="57E3F5D8" w14:textId="77777777" w:rsidR="005D3BFD" w:rsidRPr="00874757" w:rsidRDefault="005D3BFD" w:rsidP="005D3BFD">
      <w:pPr>
        <w:spacing w:after="0" w:line="240" w:lineRule="auto"/>
        <w:contextualSpacing/>
        <w:jc w:val="both"/>
        <w:rPr>
          <w:rFonts w:ascii="Verdana" w:eastAsia="Calibri" w:hAnsi="Verdana" w:cs="Arial"/>
          <w:color w:val="000000" w:themeColor="text1"/>
          <w:sz w:val="20"/>
          <w:szCs w:val="20"/>
          <w:lang w:val="es-ES"/>
        </w:rPr>
      </w:pPr>
    </w:p>
    <w:p w14:paraId="5F5B35A2" w14:textId="77777777" w:rsidR="005D3BFD" w:rsidRPr="00874757" w:rsidRDefault="005D3BFD" w:rsidP="005D3BFD">
      <w:pPr>
        <w:spacing w:after="0" w:line="240" w:lineRule="auto"/>
        <w:contextualSpacing/>
        <w:jc w:val="both"/>
        <w:rPr>
          <w:rFonts w:ascii="Verdana" w:eastAsia="Calibri" w:hAnsi="Verdana" w:cs="Arial"/>
          <w:color w:val="000000" w:themeColor="text1"/>
          <w:sz w:val="20"/>
          <w:szCs w:val="20"/>
          <w:lang w:val="es-ES"/>
        </w:rPr>
      </w:pPr>
      <w:r w:rsidRPr="00874757">
        <w:rPr>
          <w:rFonts w:ascii="Verdana" w:eastAsia="Calibri" w:hAnsi="Verdana" w:cs="Arial"/>
          <w:color w:val="000000" w:themeColor="text1"/>
          <w:sz w:val="20"/>
          <w:szCs w:val="20"/>
          <w:lang w:val="es-ES"/>
        </w:rPr>
        <w:t>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492583B5" w14:textId="77777777" w:rsidR="005D3BFD" w:rsidRPr="005D3BFD" w:rsidRDefault="005D3BFD" w:rsidP="005D3BFD">
      <w:pPr>
        <w:spacing w:after="0" w:line="240" w:lineRule="auto"/>
        <w:contextualSpacing/>
        <w:jc w:val="both"/>
        <w:rPr>
          <w:rFonts w:ascii="Verdana" w:eastAsia="Calibri" w:hAnsi="Verdana" w:cs="Arial"/>
          <w:b/>
          <w:bCs/>
          <w:lang w:val="es-ES" w:eastAsia="es-ES_tradnl"/>
        </w:rPr>
      </w:pPr>
    </w:p>
    <w:p w14:paraId="3F3A9A42" w14:textId="77777777" w:rsidR="005D3BFD" w:rsidRPr="005D3BFD" w:rsidRDefault="005D3BFD" w:rsidP="005D3BFD">
      <w:pPr>
        <w:spacing w:after="0" w:line="240" w:lineRule="auto"/>
        <w:contextualSpacing/>
        <w:jc w:val="both"/>
        <w:rPr>
          <w:rFonts w:ascii="Verdana" w:eastAsia="Calibri" w:hAnsi="Verdana" w:cs="Arial"/>
          <w:b/>
          <w:bCs/>
          <w:lang w:val="es-ES" w:eastAsia="es-ES_tradnl"/>
        </w:rPr>
      </w:pPr>
      <w:r w:rsidRPr="005D3BFD">
        <w:rPr>
          <w:rFonts w:ascii="Verdana" w:eastAsia="Calibri" w:hAnsi="Verdana" w:cs="Arial"/>
          <w:b/>
          <w:bCs/>
          <w:lang w:val="es-ES" w:eastAsia="es-ES_tradnl"/>
        </w:rPr>
        <w:t>REQUISITOS HABILITANTES – Autonomía</w:t>
      </w:r>
    </w:p>
    <w:p w14:paraId="463CB835" w14:textId="77777777" w:rsidR="005D3BFD" w:rsidRPr="005D3BFD" w:rsidRDefault="005D3BFD" w:rsidP="005D3BFD">
      <w:pPr>
        <w:widowControl w:val="0"/>
        <w:autoSpaceDE w:val="0"/>
        <w:autoSpaceDN w:val="0"/>
        <w:spacing w:after="0" w:line="240" w:lineRule="auto"/>
        <w:contextualSpacing/>
        <w:jc w:val="both"/>
        <w:rPr>
          <w:rFonts w:ascii="Verdana" w:eastAsia="Calibri" w:hAnsi="Verdana" w:cs="Arial"/>
          <w:color w:val="000000" w:themeColor="text1"/>
          <w:lang w:val="es-ES"/>
        </w:rPr>
      </w:pPr>
    </w:p>
    <w:p w14:paraId="2273A81E" w14:textId="77777777" w:rsidR="005D3BFD" w:rsidRPr="00874757" w:rsidRDefault="005D3BFD" w:rsidP="005D3BFD">
      <w:pPr>
        <w:widowControl w:val="0"/>
        <w:autoSpaceDE w:val="0"/>
        <w:autoSpaceDN w:val="0"/>
        <w:spacing w:after="0" w:line="240" w:lineRule="auto"/>
        <w:contextualSpacing/>
        <w:jc w:val="both"/>
        <w:rPr>
          <w:rFonts w:ascii="Verdana" w:eastAsia="Calibri" w:hAnsi="Verdana" w:cs="Arial"/>
          <w:color w:val="000000" w:themeColor="text1"/>
          <w:sz w:val="20"/>
          <w:szCs w:val="20"/>
          <w:lang w:val="es-ES"/>
        </w:rPr>
      </w:pPr>
      <w:r w:rsidRPr="00874757">
        <w:rPr>
          <w:rFonts w:ascii="Verdana" w:eastAsia="Calibri" w:hAnsi="Verdana" w:cs="Arial"/>
          <w:color w:val="000000" w:themeColor="text1"/>
          <w:sz w:val="20"/>
          <w:szCs w:val="20"/>
          <w:lang w:val="es-ES"/>
        </w:rPr>
        <w:t xml:space="preserve">En consecuencia, corresponde a las Entidades Estatales, durante la etapa de planeación del contrato, estudiar y determinar los requisitos habilitantes que establecerán en los pliegos de condiciones, los cuales deben fijarse de forma adecuada y proporcional. Según el artículo 2.2.1.1.1.6.2 del Decreto 1082 de 2015, las entidades deben hacer lo anterior de acuerdo con la naturaleza, el valor del contrato, la forma de pago, los riesgos asociados, el plazo y la complejidad de ejecución del objeto. Esta facultad, además implica que las entidades deben establecer la forma en que los proponentes acreditarán estos requisitos y la manera en que la entidad verificará su cumplimiento. </w:t>
      </w:r>
    </w:p>
    <w:p w14:paraId="4A0538BA" w14:textId="77777777" w:rsidR="005D3BFD" w:rsidRPr="005D3BFD" w:rsidRDefault="005D3BFD" w:rsidP="005D3BFD">
      <w:pPr>
        <w:spacing w:after="0" w:line="240" w:lineRule="auto"/>
        <w:contextualSpacing/>
        <w:jc w:val="both"/>
        <w:rPr>
          <w:rFonts w:ascii="Verdana" w:eastAsia="Calibri" w:hAnsi="Verdana" w:cs="Arial"/>
          <w:b/>
          <w:bCs/>
          <w:lang w:val="es-ES" w:eastAsia="es-ES_tradnl"/>
        </w:rPr>
      </w:pPr>
    </w:p>
    <w:p w14:paraId="455E0964" w14:textId="77777777" w:rsidR="005D3BFD" w:rsidRPr="005D3BFD" w:rsidRDefault="005D3BFD" w:rsidP="005D3BFD">
      <w:pPr>
        <w:spacing w:after="0" w:line="240" w:lineRule="auto"/>
        <w:contextualSpacing/>
        <w:jc w:val="both"/>
        <w:rPr>
          <w:rFonts w:ascii="Verdana" w:eastAsia="Calibri" w:hAnsi="Verdana" w:cs="Arial"/>
          <w:b/>
          <w:bCs/>
          <w:lang w:val="es-ES" w:eastAsia="es-ES_tradnl"/>
        </w:rPr>
      </w:pPr>
      <w:r w:rsidRPr="005D3BFD">
        <w:rPr>
          <w:rFonts w:ascii="Verdana" w:eastAsia="Calibri" w:hAnsi="Verdana" w:cs="Arial"/>
          <w:b/>
          <w:bCs/>
          <w:lang w:val="es-ES" w:eastAsia="es-ES_tradnl"/>
        </w:rPr>
        <w:t>CAPACIDAD FINANCIERA – Definición</w:t>
      </w:r>
    </w:p>
    <w:p w14:paraId="439B28A8" w14:textId="77777777" w:rsidR="005D3BFD" w:rsidRPr="005D3BFD" w:rsidRDefault="005D3BFD" w:rsidP="005D3BFD">
      <w:pPr>
        <w:spacing w:after="0" w:line="240" w:lineRule="auto"/>
        <w:contextualSpacing/>
        <w:jc w:val="both"/>
        <w:rPr>
          <w:rFonts w:ascii="Verdana" w:eastAsia="Calibri" w:hAnsi="Verdana" w:cs="Arial"/>
          <w:b/>
          <w:bCs/>
          <w:lang w:val="es-ES" w:eastAsia="es-ES_tradnl"/>
        </w:rPr>
      </w:pPr>
    </w:p>
    <w:p w14:paraId="32737B04" w14:textId="77777777" w:rsidR="005D3BFD" w:rsidRPr="00874757" w:rsidRDefault="005D3BFD" w:rsidP="005D3BFD">
      <w:pPr>
        <w:spacing w:after="0" w:line="240" w:lineRule="auto"/>
        <w:contextualSpacing/>
        <w:jc w:val="both"/>
        <w:rPr>
          <w:rFonts w:ascii="Verdana" w:eastAsia="Calibri" w:hAnsi="Verdana" w:cs="Arial"/>
          <w:sz w:val="20"/>
          <w:szCs w:val="20"/>
          <w:lang w:val="es-ES"/>
        </w:rPr>
      </w:pPr>
      <w:r w:rsidRPr="00874757">
        <w:rPr>
          <w:rFonts w:ascii="Verdana" w:eastAsia="Calibri" w:hAnsi="Verdana" w:cs="Arial"/>
          <w:color w:val="000000"/>
          <w:sz w:val="20"/>
          <w:szCs w:val="20"/>
          <w:lang w:val="es-ES" w:eastAsia="es-ES_tradnl"/>
        </w:rPr>
        <w:t xml:space="preserve">Ahora bien, dentro de los requisitos habilitantes se destaca la capacidad financiera, la cual </w:t>
      </w:r>
      <w:r w:rsidRPr="00874757">
        <w:rPr>
          <w:rFonts w:ascii="Verdana" w:eastAsia="Calibri" w:hAnsi="Verdana" w:cs="Arial"/>
          <w:sz w:val="20"/>
          <w:szCs w:val="20"/>
          <w:lang w:val="es-ES"/>
        </w:rPr>
        <w:t xml:space="preserve">se deriva del comportamiento contable de la empresa, su liquidez y endeudamiento, para determinar que sus recursos y solidez le permiten cumplir los compromisos que adquiera. Como explica esta Agencia en el </w:t>
      </w:r>
      <w:r w:rsidRPr="00874757">
        <w:rPr>
          <w:rFonts w:ascii="Verdana" w:eastAsia="Calibri" w:hAnsi="Verdana" w:cs="Arial"/>
          <w:i/>
          <w:iCs/>
          <w:sz w:val="20"/>
          <w:szCs w:val="20"/>
          <w:lang w:val="es-ES"/>
        </w:rPr>
        <w:t>Manual para determinar y verificar los requisitos habilitantes en los procesos de contratación</w:t>
      </w:r>
      <w:r w:rsidRPr="00874757">
        <w:rPr>
          <w:rFonts w:ascii="Verdana" w:eastAsia="Calibri" w:hAnsi="Verdana" w:cs="Arial"/>
          <w:sz w:val="20"/>
          <w:szCs w:val="20"/>
          <w:lang w:val="es-ES"/>
        </w:rPr>
        <w:t>: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p>
    <w:p w14:paraId="134314F5" w14:textId="77777777" w:rsidR="005D3BFD" w:rsidRPr="005D3BFD" w:rsidRDefault="005D3BFD" w:rsidP="005D3BFD">
      <w:pPr>
        <w:spacing w:after="0" w:line="240" w:lineRule="auto"/>
        <w:contextualSpacing/>
        <w:jc w:val="both"/>
        <w:rPr>
          <w:rFonts w:ascii="Verdana" w:eastAsia="Calibri" w:hAnsi="Verdana" w:cs="Arial"/>
          <w:b/>
          <w:bCs/>
          <w:lang w:val="es-ES" w:eastAsia="es-ES_tradnl"/>
        </w:rPr>
      </w:pPr>
    </w:p>
    <w:p w14:paraId="0F87BFF1" w14:textId="77777777" w:rsidR="005D3BFD" w:rsidRPr="005D3BFD" w:rsidRDefault="005D3BFD" w:rsidP="005D3BFD">
      <w:pPr>
        <w:spacing w:after="0" w:line="240" w:lineRule="auto"/>
        <w:contextualSpacing/>
        <w:jc w:val="both"/>
        <w:rPr>
          <w:rFonts w:ascii="Verdana" w:eastAsia="Calibri" w:hAnsi="Verdana" w:cs="Arial"/>
          <w:b/>
          <w:bCs/>
          <w:lang w:val="es-ES" w:eastAsia="es-ES_tradnl"/>
        </w:rPr>
      </w:pPr>
      <w:r w:rsidRPr="005D3BFD">
        <w:rPr>
          <w:rFonts w:ascii="Verdana" w:eastAsia="Calibri" w:hAnsi="Verdana" w:cs="Arial"/>
          <w:b/>
          <w:bCs/>
          <w:lang w:val="es-ES" w:eastAsia="es-ES_tradnl"/>
        </w:rPr>
        <w:t>CAPACIDAD FINANCIERA – Verificación</w:t>
      </w:r>
    </w:p>
    <w:p w14:paraId="65DB3838"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2608BAF9" w14:textId="77777777" w:rsidR="005D3BFD" w:rsidRPr="00874757" w:rsidRDefault="005D3BFD" w:rsidP="005D3BFD">
      <w:pPr>
        <w:spacing w:after="0" w:line="240" w:lineRule="auto"/>
        <w:contextualSpacing/>
        <w:jc w:val="both"/>
        <w:rPr>
          <w:rFonts w:ascii="Verdana" w:eastAsia="Calibri" w:hAnsi="Verdana" w:cs="Arial"/>
          <w:sz w:val="20"/>
          <w:szCs w:val="20"/>
          <w:lang w:val="es-ES"/>
        </w:rPr>
      </w:pPr>
      <w:r w:rsidRPr="00874757">
        <w:rPr>
          <w:rFonts w:ascii="Verdana" w:eastAsia="Calibri" w:hAnsi="Verdana" w:cs="Arial"/>
          <w:sz w:val="20"/>
          <w:szCs w:val="20"/>
          <w:lang w:val="es-ES"/>
        </w:rPr>
        <w:t xml:space="preserve">Por otra parte, los requisitos habilitantes como la capacidad financiera deben ser evaluados de acuerdo con lo registrado en el RUP, salvo los procesos exceptuados de este registro. Según el artículo 2.2.1.1.1.5.2. del Decreto 1082 de 2015, para la </w:t>
      </w:r>
      <w:r w:rsidRPr="00874757">
        <w:rPr>
          <w:rFonts w:ascii="Verdana" w:eastAsia="Calibri" w:hAnsi="Verdana" w:cs="Arial"/>
          <w:sz w:val="20"/>
          <w:szCs w:val="20"/>
          <w:lang w:val="es-ES"/>
        </w:rPr>
        <w:lastRenderedPageBreak/>
        <w:t>inscripción en el RUP el proponente aporta, entre otros, “Estados financieros de la sociedad (…)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I. Principales cuentas detalladas del balance general. II. Principales cuentas del estado de pérdidas y ganancias. III. Cuentas contingentes deudoras y acreedoras (…)”.</w:t>
      </w:r>
    </w:p>
    <w:p w14:paraId="37F9BB3F" w14:textId="77777777" w:rsidR="005D3BFD" w:rsidRPr="00874757" w:rsidRDefault="005D3BFD" w:rsidP="005D3BFD">
      <w:pPr>
        <w:spacing w:after="0" w:line="240" w:lineRule="auto"/>
        <w:contextualSpacing/>
        <w:jc w:val="both"/>
        <w:rPr>
          <w:rFonts w:ascii="Verdana" w:eastAsia="Calibri" w:hAnsi="Verdana" w:cs="Arial"/>
          <w:sz w:val="20"/>
          <w:szCs w:val="20"/>
          <w:lang w:val="es-ES"/>
        </w:rPr>
      </w:pPr>
    </w:p>
    <w:p w14:paraId="02914319" w14:textId="77777777" w:rsidR="005D3BFD" w:rsidRPr="00874757" w:rsidRDefault="005D3BFD" w:rsidP="005D3BFD">
      <w:pPr>
        <w:spacing w:after="0" w:line="240" w:lineRule="auto"/>
        <w:contextualSpacing/>
        <w:jc w:val="both"/>
        <w:rPr>
          <w:rFonts w:ascii="Verdana" w:eastAsia="Calibri" w:hAnsi="Verdana" w:cs="Arial"/>
          <w:sz w:val="20"/>
          <w:szCs w:val="20"/>
          <w:lang w:val="es-ES"/>
        </w:rPr>
      </w:pPr>
      <w:r w:rsidRPr="00874757">
        <w:rPr>
          <w:rFonts w:ascii="Verdana" w:eastAsia="Calibri" w:hAnsi="Verdana" w:cs="Arial"/>
          <w:sz w:val="20"/>
          <w:szCs w:val="20"/>
          <w:lang w:val="es-ES"/>
        </w:rPr>
        <w:t xml:space="preserve">Así pues, el artículo 6 de la Ley 1150 de 2007 señala que el RUP es plena prueba de las circunstancias que constan en él, como la capacidad financiera, y “las entidades estatales en los procesos de contratación no podrán exigir, ni los proponentes aportar documentación que deba utilizarse para efectuar la inscripción en el registro”. Por lo </w:t>
      </w:r>
      <w:proofErr w:type="gramStart"/>
      <w:r w:rsidRPr="00874757">
        <w:rPr>
          <w:rFonts w:ascii="Verdana" w:eastAsia="Calibri" w:hAnsi="Verdana" w:cs="Arial"/>
          <w:sz w:val="20"/>
          <w:szCs w:val="20"/>
          <w:lang w:val="es-ES"/>
        </w:rPr>
        <w:t>que</w:t>
      </w:r>
      <w:proofErr w:type="gramEnd"/>
      <w:r w:rsidRPr="00874757">
        <w:rPr>
          <w:rFonts w:ascii="Verdana" w:eastAsia="Calibri" w:hAnsi="Verdana" w:cs="Arial"/>
          <w:sz w:val="20"/>
          <w:szCs w:val="20"/>
          <w:lang w:val="es-ES"/>
        </w:rPr>
        <w:t xml:space="preserve"> para resolver su consulta, debido a que los estados financieros y sus notas son documentos que se utilizan para la inscripción en el RUP, las entidades no los pueden exigir ni verificar ya que la capacidad financiera se debe evaluar exclusivamente con el RUP. Sin embargo, para los procesos exceptuados del RUP, “corresponderá a las entidades contratantes cumplir con la labor de verificación de las condiciones de los proponentes” y en esa medida, son autónomas para determinar si la documentación aportada por el proponente para verificar la capacidad financiera cumple o no cumple con lo exigido en el pliego de condiciones.</w:t>
      </w:r>
    </w:p>
    <w:p w14:paraId="19C7B614"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1DA0E640"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40ADEC95"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6B59E6F8"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72FEA5F0"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2E30CD1E"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2139C527"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404D270F"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6AE045A2"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38DC5A3A"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787E3F01"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1E4404B3"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3274F9E8"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4CA3F992"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49AA2A09"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201B6680"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5637FE10"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3D1A832E"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3D274D9C" w14:textId="77777777" w:rsidR="005D3BFD" w:rsidRPr="005D3BFD" w:rsidRDefault="005D3BFD" w:rsidP="005D3BFD">
      <w:pPr>
        <w:spacing w:after="0" w:line="240" w:lineRule="auto"/>
        <w:contextualSpacing/>
        <w:jc w:val="both"/>
        <w:rPr>
          <w:rFonts w:ascii="Verdana" w:eastAsia="Calibri" w:hAnsi="Verdana" w:cs="Arial"/>
          <w:b/>
          <w:bCs/>
          <w:sz w:val="21"/>
          <w:szCs w:val="21"/>
          <w:lang w:val="es-ES" w:eastAsia="es-ES_tradnl"/>
        </w:rPr>
      </w:pPr>
    </w:p>
    <w:p w14:paraId="7DF3E5E5" w14:textId="77777777" w:rsidR="00874757" w:rsidRDefault="00874757" w:rsidP="005D3BFD">
      <w:pPr>
        <w:spacing w:after="0"/>
        <w:rPr>
          <w:rFonts w:ascii="Verdana" w:hAnsi="Verdana"/>
        </w:rPr>
      </w:pPr>
    </w:p>
    <w:p w14:paraId="5016178B" w14:textId="77777777" w:rsidR="00874757" w:rsidRDefault="00874757" w:rsidP="005D3BFD">
      <w:pPr>
        <w:spacing w:after="0"/>
        <w:rPr>
          <w:rFonts w:ascii="Verdana" w:hAnsi="Verdana"/>
        </w:rPr>
      </w:pPr>
    </w:p>
    <w:p w14:paraId="5306712D" w14:textId="77777777" w:rsidR="00874757" w:rsidRDefault="00874757" w:rsidP="005D3BFD">
      <w:pPr>
        <w:spacing w:after="0"/>
        <w:rPr>
          <w:rFonts w:ascii="Verdana" w:hAnsi="Verdana"/>
        </w:rPr>
      </w:pPr>
    </w:p>
    <w:p w14:paraId="1B1E2A06" w14:textId="77777777" w:rsidR="00874757" w:rsidRDefault="00874757" w:rsidP="005D3BFD">
      <w:pPr>
        <w:spacing w:after="0"/>
        <w:rPr>
          <w:rFonts w:ascii="Verdana" w:hAnsi="Verdana"/>
        </w:rPr>
      </w:pPr>
    </w:p>
    <w:p w14:paraId="5CFE655A" w14:textId="77777777" w:rsidR="00874757" w:rsidRDefault="00874757" w:rsidP="005D3BFD">
      <w:pPr>
        <w:spacing w:after="0"/>
        <w:rPr>
          <w:rFonts w:ascii="Verdana" w:hAnsi="Verdana"/>
        </w:rPr>
      </w:pPr>
    </w:p>
    <w:p w14:paraId="0E8244E4" w14:textId="77777777" w:rsidR="00874757" w:rsidRDefault="00874757" w:rsidP="005D3BFD">
      <w:pPr>
        <w:spacing w:after="0"/>
        <w:rPr>
          <w:rFonts w:ascii="Verdana" w:hAnsi="Verdana"/>
        </w:rPr>
      </w:pPr>
    </w:p>
    <w:p w14:paraId="27D9219B" w14:textId="268319D2" w:rsidR="005D3BFD" w:rsidRPr="00EF2068" w:rsidRDefault="005D3BFD" w:rsidP="005D3BFD">
      <w:pPr>
        <w:spacing w:after="0"/>
        <w:rPr>
          <w:rFonts w:ascii="Verdana" w:hAnsi="Verdana"/>
        </w:rPr>
      </w:pPr>
      <w:r w:rsidRPr="00EF2068">
        <w:rPr>
          <w:rFonts w:ascii="Verdana" w:hAnsi="Verdana"/>
        </w:rPr>
        <w:lastRenderedPageBreak/>
        <w:t>Bogotá D.C., </w:t>
      </w:r>
      <w:r w:rsidR="00C933C2">
        <w:rPr>
          <w:rFonts w:ascii="Verdana" w:hAnsi="Verdana"/>
        </w:rPr>
        <w:t>15 de septiembre de 2025</w:t>
      </w:r>
    </w:p>
    <w:p w14:paraId="4FEAF92B" w14:textId="7D77F8E7" w:rsidR="005D3BFD" w:rsidRPr="00EF2068" w:rsidRDefault="005D3BFD" w:rsidP="005D3BFD">
      <w:pPr>
        <w:spacing w:after="0"/>
        <w:rPr>
          <w:rFonts w:ascii="Verdana" w:eastAsia="Calibri" w:hAnsi="Verdana" w:cs="Arial"/>
          <w:noProof/>
          <w:color w:val="000000" w:themeColor="text1"/>
          <w:lang w:eastAsia="es-ES"/>
        </w:rPr>
      </w:pPr>
    </w:p>
    <w:p w14:paraId="0465D9DD" w14:textId="7E94C434" w:rsidR="005D3BFD" w:rsidRPr="00EF2068" w:rsidRDefault="00874757" w:rsidP="00C933C2">
      <w:pPr>
        <w:spacing w:after="0"/>
        <w:jc w:val="right"/>
        <w:rPr>
          <w:rFonts w:ascii="Verdana" w:hAnsi="Verdana"/>
          <w:lang w:val="es-ES"/>
        </w:rPr>
      </w:pPr>
      <w:r w:rsidRPr="00C933C2">
        <w:rPr>
          <w:rFonts w:ascii="Verdana" w:hAnsi="Verdana"/>
          <w:noProof/>
          <w:lang w:val="es-ES"/>
        </w:rPr>
        <w:drawing>
          <wp:anchor distT="0" distB="0" distL="114300" distR="114300" simplePos="0" relativeHeight="251659264" behindDoc="0" locked="0" layoutInCell="1" allowOverlap="1" wp14:anchorId="5D0871D9" wp14:editId="110A6E56">
            <wp:simplePos x="0" y="0"/>
            <wp:positionH relativeFrom="margin">
              <wp:posOffset>2781935</wp:posOffset>
            </wp:positionH>
            <wp:positionV relativeFrom="paragraph">
              <wp:posOffset>10160</wp:posOffset>
            </wp:positionV>
            <wp:extent cx="2821305" cy="846455"/>
            <wp:effectExtent l="0" t="0" r="0" b="0"/>
            <wp:wrapSquare wrapText="bothSides"/>
            <wp:docPr id="10560139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0139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821305" cy="846455"/>
                    </a:xfrm>
                    <a:prstGeom prst="rect">
                      <a:avLst/>
                    </a:prstGeom>
                  </pic:spPr>
                </pic:pic>
              </a:graphicData>
            </a:graphic>
            <wp14:sizeRelH relativeFrom="margin">
              <wp14:pctWidth>0</wp14:pctWidth>
            </wp14:sizeRelH>
            <wp14:sizeRelV relativeFrom="margin">
              <wp14:pctHeight>0</wp14:pctHeight>
            </wp14:sizeRelV>
          </wp:anchor>
        </w:drawing>
      </w:r>
    </w:p>
    <w:p w14:paraId="5263B4B2" w14:textId="77777777" w:rsidR="005D3BFD" w:rsidRPr="00EF2068" w:rsidRDefault="005D3BFD" w:rsidP="005D3BFD">
      <w:pPr>
        <w:spacing w:after="0" w:line="240" w:lineRule="auto"/>
        <w:jc w:val="both"/>
        <w:rPr>
          <w:rFonts w:ascii="Verdana" w:eastAsia="Calibri" w:hAnsi="Verdana" w:cs="Arial"/>
          <w:color w:val="000000" w:themeColor="text1"/>
          <w:lang w:val="es-ES" w:eastAsia="es-ES"/>
        </w:rPr>
      </w:pPr>
      <w:r w:rsidRPr="00EF2068">
        <w:rPr>
          <w:rFonts w:ascii="Verdana" w:eastAsia="Calibri" w:hAnsi="Verdana" w:cs="Arial"/>
          <w:color w:val="000000" w:themeColor="text1"/>
          <w:lang w:val="es-ES" w:eastAsia="es-ES"/>
        </w:rPr>
        <w:t>Señor</w:t>
      </w:r>
    </w:p>
    <w:p w14:paraId="56180075" w14:textId="77777777" w:rsidR="005D3BFD" w:rsidRPr="00EF2068" w:rsidRDefault="005D3BFD" w:rsidP="005D3BFD">
      <w:pPr>
        <w:spacing w:after="0" w:line="240" w:lineRule="auto"/>
        <w:jc w:val="both"/>
        <w:rPr>
          <w:rFonts w:ascii="Verdana" w:eastAsia="Calibri" w:hAnsi="Verdana" w:cs="Arial"/>
          <w:b/>
          <w:bCs/>
          <w:color w:val="000000" w:themeColor="text1"/>
          <w:lang w:val="es-ES" w:eastAsia="es-ES"/>
        </w:rPr>
      </w:pPr>
      <w:r w:rsidRPr="00EF2068">
        <w:rPr>
          <w:rFonts w:ascii="Verdana" w:eastAsia="Calibri" w:hAnsi="Verdana" w:cs="Arial"/>
          <w:b/>
          <w:bCs/>
          <w:color w:val="000000" w:themeColor="text1"/>
          <w:lang w:val="es-ES" w:eastAsia="es-ES"/>
        </w:rPr>
        <w:t>Rubén Gerardo Burbano</w:t>
      </w:r>
    </w:p>
    <w:p w14:paraId="71D662A4" w14:textId="77777777" w:rsidR="005D3BFD" w:rsidRPr="00EF2068" w:rsidRDefault="005D3BFD" w:rsidP="005D3BFD">
      <w:pPr>
        <w:spacing w:after="0" w:line="240" w:lineRule="auto"/>
        <w:rPr>
          <w:rFonts w:ascii="Verdana" w:hAnsi="Verdana"/>
        </w:rPr>
      </w:pPr>
      <w:hyperlink r:id="rId11" w:history="1">
        <w:r w:rsidRPr="00EF2068">
          <w:rPr>
            <w:rFonts w:ascii="Verdana" w:hAnsi="Verdana"/>
            <w:color w:val="0000FF"/>
            <w:u w:val="single"/>
          </w:rPr>
          <w:t>rubenlassoburban@gmail.com</w:t>
        </w:r>
      </w:hyperlink>
    </w:p>
    <w:p w14:paraId="48931B20" w14:textId="77777777" w:rsidR="005D3BFD" w:rsidRPr="00EF2068" w:rsidRDefault="005D3BFD" w:rsidP="005D3BFD">
      <w:pPr>
        <w:spacing w:after="0" w:line="240" w:lineRule="auto"/>
        <w:rPr>
          <w:rFonts w:ascii="Verdana" w:eastAsia="Calibri" w:hAnsi="Verdana" w:cs="Arial"/>
          <w:color w:val="000000" w:themeColor="text1"/>
          <w:lang w:val="es-ES" w:eastAsia="es-ES_tradnl"/>
        </w:rPr>
      </w:pPr>
      <w:r w:rsidRPr="00EF2068">
        <w:rPr>
          <w:rFonts w:ascii="Verdana" w:eastAsia="Calibri" w:hAnsi="Verdana" w:cs="Arial"/>
          <w:color w:val="000000" w:themeColor="text1"/>
          <w:lang w:val="es-ES" w:eastAsia="es-ES_tradnl"/>
        </w:rPr>
        <w:t>Ciudad</w:t>
      </w:r>
    </w:p>
    <w:p w14:paraId="4E8463AE" w14:textId="77777777" w:rsidR="005D3BFD" w:rsidRPr="00EF2068" w:rsidRDefault="005D3BFD" w:rsidP="005D3BFD">
      <w:pPr>
        <w:spacing w:after="0" w:line="240" w:lineRule="auto"/>
        <w:rPr>
          <w:rFonts w:ascii="Verdana" w:eastAsia="Calibri" w:hAnsi="Verdana" w:cs="Arial"/>
          <w:color w:val="000000" w:themeColor="text1"/>
          <w:lang w:val="es-E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D3BFD" w:rsidRPr="00EF2068" w14:paraId="59EAA021" w14:textId="77777777" w:rsidTr="00D1674B">
        <w:trPr>
          <w:trHeight w:val="304"/>
        </w:trPr>
        <w:tc>
          <w:tcPr>
            <w:tcW w:w="2689" w:type="dxa"/>
          </w:tcPr>
          <w:p w14:paraId="47F0E7DF" w14:textId="77777777" w:rsidR="005D3BFD" w:rsidRPr="00EF2068" w:rsidRDefault="005D3BFD" w:rsidP="005D3BFD">
            <w:pPr>
              <w:jc w:val="both"/>
              <w:rPr>
                <w:rFonts w:ascii="Verdana" w:eastAsia="Calibri" w:hAnsi="Verdana" w:cs="Arial"/>
                <w:b/>
                <w:bCs/>
                <w:color w:val="000000" w:themeColor="text1"/>
                <w:lang w:val="es-ES" w:eastAsia="es-ES_tradnl"/>
              </w:rPr>
            </w:pPr>
          </w:p>
        </w:tc>
        <w:tc>
          <w:tcPr>
            <w:tcW w:w="6100" w:type="dxa"/>
          </w:tcPr>
          <w:p w14:paraId="090F4C82" w14:textId="77777777" w:rsidR="005D3BFD" w:rsidRPr="00EF2068" w:rsidRDefault="005D3BFD" w:rsidP="005D3BFD">
            <w:pPr>
              <w:jc w:val="both"/>
              <w:rPr>
                <w:rFonts w:ascii="Verdana" w:eastAsia="Calibri" w:hAnsi="Verdana" w:cs="Arial"/>
                <w:b/>
                <w:bCs/>
                <w:color w:val="000000" w:themeColor="text1"/>
                <w:lang w:val="es-ES" w:eastAsia="es-ES"/>
              </w:rPr>
            </w:pPr>
            <w:r w:rsidRPr="00EF2068">
              <w:rPr>
                <w:rFonts w:ascii="Verdana" w:eastAsia="Calibri" w:hAnsi="Verdana" w:cs="Arial"/>
                <w:b/>
                <w:bCs/>
                <w:color w:val="000000" w:themeColor="text1"/>
                <w:lang w:val="es-ES" w:eastAsia="es-ES"/>
              </w:rPr>
              <w:t>Concepto C-1084 de 2025</w:t>
            </w:r>
          </w:p>
          <w:p w14:paraId="2AF6D232" w14:textId="77777777" w:rsidR="005D3BFD" w:rsidRPr="00EF2068" w:rsidRDefault="005D3BFD" w:rsidP="005D3BFD">
            <w:pPr>
              <w:jc w:val="both"/>
              <w:rPr>
                <w:rFonts w:ascii="Verdana" w:eastAsia="Calibri" w:hAnsi="Verdana" w:cs="Arial"/>
                <w:b/>
                <w:bCs/>
                <w:color w:val="000000" w:themeColor="text1"/>
                <w:lang w:val="es-ES" w:eastAsia="es-ES"/>
              </w:rPr>
            </w:pPr>
          </w:p>
        </w:tc>
      </w:tr>
      <w:tr w:rsidR="005D3BFD" w:rsidRPr="00EF2068" w14:paraId="22FBF04B" w14:textId="77777777" w:rsidTr="00D1674B">
        <w:trPr>
          <w:trHeight w:val="884"/>
        </w:trPr>
        <w:tc>
          <w:tcPr>
            <w:tcW w:w="2689" w:type="dxa"/>
          </w:tcPr>
          <w:p w14:paraId="190DF545" w14:textId="77777777" w:rsidR="005D3BFD" w:rsidRPr="00EF2068" w:rsidRDefault="005D3BFD" w:rsidP="005D3BFD">
            <w:pPr>
              <w:jc w:val="both"/>
              <w:rPr>
                <w:rFonts w:ascii="Verdana" w:eastAsia="Calibri" w:hAnsi="Verdana" w:cs="Arial"/>
                <w:color w:val="000000" w:themeColor="text1"/>
                <w:lang w:val="es-ES" w:eastAsia="es-ES_tradnl"/>
              </w:rPr>
            </w:pPr>
            <w:r w:rsidRPr="00EF2068">
              <w:rPr>
                <w:rFonts w:ascii="Verdana" w:eastAsia="Calibri" w:hAnsi="Verdana" w:cs="Arial"/>
                <w:b/>
                <w:color w:val="000000" w:themeColor="text1"/>
                <w:lang w:val="es-ES" w:eastAsia="es-ES_tradnl"/>
              </w:rPr>
              <w:t>Temas:</w:t>
            </w:r>
            <w:r w:rsidRPr="00EF2068">
              <w:rPr>
                <w:rFonts w:ascii="Verdana" w:eastAsia="Calibri" w:hAnsi="Verdana" w:cs="Arial"/>
                <w:color w:val="000000" w:themeColor="text1"/>
                <w:lang w:val="es-ES" w:eastAsia="es-ES_tradnl"/>
              </w:rPr>
              <w:t xml:space="preserve">                   </w:t>
            </w:r>
          </w:p>
        </w:tc>
        <w:tc>
          <w:tcPr>
            <w:tcW w:w="6100" w:type="dxa"/>
          </w:tcPr>
          <w:p w14:paraId="47872564" w14:textId="77777777" w:rsidR="005D3BFD" w:rsidRPr="00EF2068" w:rsidRDefault="005D3BFD" w:rsidP="005D3BFD">
            <w:pPr>
              <w:jc w:val="both"/>
              <w:rPr>
                <w:rFonts w:ascii="Verdana" w:eastAsia="Century Gothic" w:hAnsi="Verdana" w:cs="Century Gothic"/>
                <w:b/>
                <w:bCs/>
                <w:lang w:val="es-ES"/>
              </w:rPr>
            </w:pPr>
            <w:r w:rsidRPr="00EF2068">
              <w:rPr>
                <w:rFonts w:ascii="Verdana" w:eastAsia="Calibri" w:hAnsi="Verdana" w:cs="Arial"/>
                <w:lang w:val="es-ES" w:eastAsia="es-ES_tradnl"/>
              </w:rPr>
              <w:t xml:space="preserve">REQUISITOS HABILITANTES – Noción / REQUISITOS HABILITANTES – Autonomía / CAPACIDAD FINANCIERA– Definición </w:t>
            </w:r>
            <w:r w:rsidRPr="00EF2068">
              <w:rPr>
                <w:rFonts w:ascii="Verdana" w:eastAsia="Calibri" w:hAnsi="Verdana" w:cs="Arial"/>
                <w:bCs/>
                <w:lang w:val="es-ES" w:eastAsia="es-ES_tradnl"/>
              </w:rPr>
              <w:t>/ CAPACIDAD FINANCIERA – Verificación</w:t>
            </w:r>
          </w:p>
          <w:p w14:paraId="26B2588D" w14:textId="77777777" w:rsidR="005D3BFD" w:rsidRPr="00EF2068" w:rsidRDefault="005D3BFD" w:rsidP="005D3BFD">
            <w:pPr>
              <w:spacing w:line="276" w:lineRule="auto"/>
              <w:jc w:val="both"/>
              <w:rPr>
                <w:rFonts w:ascii="Verdana" w:eastAsia="Calibri" w:hAnsi="Verdana" w:cs="Arial"/>
                <w:color w:val="000000" w:themeColor="text1"/>
                <w:lang w:val="es-ES" w:eastAsia="es-ES"/>
              </w:rPr>
            </w:pPr>
          </w:p>
        </w:tc>
      </w:tr>
      <w:tr w:rsidR="005D3BFD" w:rsidRPr="00EF2068" w14:paraId="7725E368" w14:textId="77777777" w:rsidTr="00D1674B">
        <w:tc>
          <w:tcPr>
            <w:tcW w:w="2689" w:type="dxa"/>
          </w:tcPr>
          <w:p w14:paraId="363E2345" w14:textId="77777777" w:rsidR="005D3BFD" w:rsidRPr="00EF2068" w:rsidRDefault="005D3BFD" w:rsidP="005D3BFD">
            <w:pPr>
              <w:jc w:val="both"/>
              <w:rPr>
                <w:rFonts w:ascii="Verdana" w:eastAsia="Calibri" w:hAnsi="Verdana" w:cs="Arial"/>
                <w:b/>
                <w:color w:val="000000" w:themeColor="text1"/>
                <w:lang w:val="es-ES" w:eastAsia="es-ES_tradnl"/>
              </w:rPr>
            </w:pPr>
            <w:r w:rsidRPr="00EF2068">
              <w:rPr>
                <w:rFonts w:ascii="Verdana" w:eastAsia="Calibri" w:hAnsi="Verdana" w:cs="Arial"/>
                <w:b/>
                <w:color w:val="000000" w:themeColor="text1"/>
                <w:lang w:val="es-ES" w:eastAsia="es-ES_tradnl"/>
              </w:rPr>
              <w:t>Radicación:</w:t>
            </w:r>
            <w:r w:rsidRPr="00EF2068">
              <w:rPr>
                <w:rFonts w:ascii="Verdana" w:eastAsia="Calibri" w:hAnsi="Verdana" w:cs="Arial"/>
                <w:color w:val="000000" w:themeColor="text1"/>
                <w:lang w:val="es-ES" w:eastAsia="es-ES_tradnl"/>
              </w:rPr>
              <w:t xml:space="preserve">               </w:t>
            </w:r>
          </w:p>
        </w:tc>
        <w:tc>
          <w:tcPr>
            <w:tcW w:w="6100" w:type="dxa"/>
          </w:tcPr>
          <w:p w14:paraId="08DBE67C" w14:textId="77777777" w:rsidR="005D3BFD" w:rsidRPr="00EF2068" w:rsidRDefault="005D3BFD" w:rsidP="005D3BFD">
            <w:pPr>
              <w:jc w:val="both"/>
              <w:rPr>
                <w:rFonts w:ascii="Verdana" w:eastAsia="Calibri" w:hAnsi="Verdana" w:cs="Arial"/>
                <w:color w:val="000000" w:themeColor="text1"/>
                <w:lang w:val="es-ES" w:eastAsia="es-ES_tradnl"/>
              </w:rPr>
            </w:pPr>
            <w:r w:rsidRPr="00EF2068">
              <w:rPr>
                <w:rFonts w:ascii="Verdana" w:eastAsia="Calibri" w:hAnsi="Verdana" w:cs="Arial"/>
                <w:color w:val="000000" w:themeColor="text1"/>
                <w:lang w:val="es-ES" w:eastAsia="es-ES_tradnl"/>
              </w:rPr>
              <w:t>Respuesta a consulta con radicado No. 1_2025_08_05_008127</w:t>
            </w:r>
          </w:p>
        </w:tc>
      </w:tr>
    </w:tbl>
    <w:p w14:paraId="03920E1D" w14:textId="77777777" w:rsidR="005D3BFD" w:rsidRPr="005D3BFD" w:rsidRDefault="005D3BFD" w:rsidP="005D3BFD">
      <w:pPr>
        <w:spacing w:after="0" w:line="276" w:lineRule="auto"/>
        <w:jc w:val="both"/>
        <w:rPr>
          <w:rFonts w:ascii="Verdana" w:eastAsia="Calibri" w:hAnsi="Verdana" w:cs="Arial"/>
          <w:color w:val="000000" w:themeColor="text1"/>
          <w:lang w:val="es-ES" w:eastAsia="es-ES_tradnl"/>
        </w:rPr>
      </w:pPr>
    </w:p>
    <w:p w14:paraId="15340F6E" w14:textId="77777777" w:rsidR="005D3BFD" w:rsidRPr="005D3BFD" w:rsidRDefault="005D3BFD" w:rsidP="005D3BFD">
      <w:pPr>
        <w:spacing w:after="0" w:line="276" w:lineRule="auto"/>
        <w:jc w:val="both"/>
        <w:rPr>
          <w:rFonts w:ascii="Verdana" w:eastAsia="Calibri" w:hAnsi="Verdana" w:cs="Arial"/>
          <w:color w:val="000000" w:themeColor="text1"/>
          <w:lang w:val="es-ES" w:eastAsia="es-ES_tradnl"/>
        </w:rPr>
      </w:pPr>
    </w:p>
    <w:p w14:paraId="0940BED7" w14:textId="77777777" w:rsidR="005D3BFD" w:rsidRPr="005D3BFD" w:rsidRDefault="005D3BFD" w:rsidP="005D3BFD">
      <w:pPr>
        <w:spacing w:after="0" w:line="276" w:lineRule="auto"/>
        <w:jc w:val="both"/>
        <w:rPr>
          <w:rFonts w:ascii="Verdana" w:eastAsia="Calibri" w:hAnsi="Verdana" w:cs="Arial"/>
          <w:color w:val="000000" w:themeColor="text1"/>
          <w:lang w:val="es-ES" w:eastAsia="es-ES"/>
        </w:rPr>
      </w:pPr>
      <w:r w:rsidRPr="005D3BFD">
        <w:rPr>
          <w:rFonts w:ascii="Verdana" w:eastAsia="Calibri" w:hAnsi="Verdana" w:cs="Arial"/>
          <w:color w:val="000000" w:themeColor="text1"/>
          <w:lang w:val="es-ES" w:eastAsia="es-ES"/>
        </w:rPr>
        <w:t xml:space="preserve">Estimado señor Burbano: </w:t>
      </w:r>
    </w:p>
    <w:p w14:paraId="13E5E359" w14:textId="77777777" w:rsidR="005D3BFD" w:rsidRPr="005D3BFD" w:rsidRDefault="005D3BFD" w:rsidP="005D3BFD">
      <w:pPr>
        <w:tabs>
          <w:tab w:val="left" w:pos="3768"/>
        </w:tabs>
        <w:spacing w:after="0" w:line="276" w:lineRule="auto"/>
        <w:jc w:val="both"/>
        <w:rPr>
          <w:rFonts w:ascii="Verdana" w:eastAsia="Calibri" w:hAnsi="Verdana" w:cs="Arial"/>
          <w:color w:val="000000" w:themeColor="text1"/>
          <w:lang w:val="es-ES" w:eastAsia="es-ES"/>
        </w:rPr>
      </w:pPr>
      <w:r w:rsidRPr="005D3BFD">
        <w:rPr>
          <w:rFonts w:ascii="Verdana" w:eastAsia="Calibri" w:hAnsi="Verdana" w:cs="Arial"/>
          <w:color w:val="000000" w:themeColor="text1"/>
          <w:lang w:val="es-ES" w:eastAsia="es-ES"/>
        </w:rPr>
        <w:tab/>
      </w:r>
    </w:p>
    <w:p w14:paraId="754F8B5F" w14:textId="5AD76373" w:rsidR="005D3BFD" w:rsidRPr="005D3BFD" w:rsidRDefault="005D3BFD" w:rsidP="005D3BFD">
      <w:pPr>
        <w:spacing w:after="0" w:line="276" w:lineRule="auto"/>
        <w:jc w:val="both"/>
        <w:rPr>
          <w:rFonts w:ascii="Verdana" w:eastAsia="Calibri" w:hAnsi="Verdana" w:cs="Arial"/>
          <w:color w:val="000000" w:themeColor="text1"/>
          <w:lang w:val="es-ES" w:eastAsia="es-ES"/>
        </w:rPr>
      </w:pPr>
      <w:r w:rsidRPr="005D3BFD">
        <w:rPr>
          <w:rFonts w:ascii="Verdana" w:eastAsia="Calibri" w:hAnsi="Verdana" w:cs="Arial"/>
          <w:color w:val="000000" w:themeColor="text1"/>
          <w:lang w:val="es-ES" w:eastAsia="es-ES"/>
        </w:rPr>
        <w:t>En ejercicio de la competencia otorgada por los artículos 3, numeral 5º, y 11, numeral 8º, del Decreto Ley 4170 de 2011,</w:t>
      </w:r>
      <w:r w:rsidRPr="005D3BFD">
        <w:rPr>
          <w:rFonts w:ascii="Verdana" w:eastAsia="Arial MT" w:hAnsi="Verdana" w:cs="Arial MT"/>
          <w:color w:val="000000" w:themeColor="text1"/>
          <w:lang w:val="es-ES" w:eastAsia="es-ES"/>
        </w:rPr>
        <w:t xml:space="preserve"> </w:t>
      </w:r>
      <w:r w:rsidRPr="005D3BFD">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 solicitud de consulta</w:t>
      </w:r>
      <w:r w:rsidR="00BF1F75">
        <w:rPr>
          <w:rFonts w:ascii="Verdana" w:hAnsi="Verdana" w:cs="Arial"/>
          <w:color w:val="000000" w:themeColor="text1"/>
          <w:lang w:val="es-ES"/>
        </w:rPr>
        <w:t>,</w:t>
      </w:r>
      <w:r w:rsidRPr="005D3BFD">
        <w:rPr>
          <w:rFonts w:ascii="Verdana" w:hAnsi="Verdana" w:cs="Arial"/>
          <w:color w:val="000000" w:themeColor="text1"/>
          <w:lang w:val="es-ES"/>
        </w:rPr>
        <w:t xml:space="preserve"> remitida a esta entidad el 5 de agosto de 2025 por la Contaduría General de la Nación mediante oficio remisorio No. 20251030028591, en la cual manifiesta lo siguiente:</w:t>
      </w:r>
      <w:r w:rsidRPr="005D3BFD">
        <w:rPr>
          <w:rFonts w:ascii="Verdana" w:eastAsia="Calibri" w:hAnsi="Verdana" w:cs="Arial"/>
          <w:color w:val="000000" w:themeColor="text1"/>
          <w:lang w:val="es-ES" w:eastAsia="es-ES"/>
        </w:rPr>
        <w:t xml:space="preserve"> </w:t>
      </w:r>
    </w:p>
    <w:p w14:paraId="07A2A4A4" w14:textId="77777777" w:rsidR="005D3BFD" w:rsidRPr="005D3BFD" w:rsidRDefault="005D3BFD" w:rsidP="005D3BFD">
      <w:pPr>
        <w:spacing w:after="0" w:line="276" w:lineRule="auto"/>
        <w:jc w:val="both"/>
        <w:rPr>
          <w:rFonts w:ascii="Verdana" w:eastAsia="Calibri" w:hAnsi="Verdana" w:cs="Arial"/>
          <w:color w:val="000000" w:themeColor="text1"/>
          <w:lang w:val="es-ES" w:eastAsia="es-ES"/>
        </w:rPr>
      </w:pPr>
    </w:p>
    <w:p w14:paraId="0592D510" w14:textId="77777777" w:rsidR="005D3BFD" w:rsidRPr="005D3BFD" w:rsidRDefault="005D3BFD" w:rsidP="005D3BFD">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5D3BFD">
        <w:rPr>
          <w:rFonts w:ascii="Verdana" w:eastAsia="Century Gothic" w:hAnsi="Verdana" w:cs="Century Gothic"/>
          <w:color w:val="000000" w:themeColor="text1"/>
          <w:sz w:val="20"/>
          <w:szCs w:val="20"/>
          <w:lang w:val="es-ES"/>
        </w:rPr>
        <w:t>“</w:t>
      </w:r>
      <w:bookmarkEnd w:id="1"/>
      <w:r w:rsidRPr="005D3BFD">
        <w:rPr>
          <w:rFonts w:ascii="Verdana" w:eastAsia="Century Gothic" w:hAnsi="Verdana" w:cs="Century Gothic"/>
          <w:color w:val="000000" w:themeColor="text1"/>
          <w:sz w:val="20"/>
          <w:szCs w:val="20"/>
          <w:lang w:val="es-ES"/>
        </w:rPr>
        <w:t>¿Una entidad pública como las alcaldías municipales tienen la facultad legal de concluir si un balance general y un están de resultados de un proponente están bien elaborados o mal elaborados, O de concluir que las notas a los estados financieros de un proponente están completas o incompletas?”</w:t>
      </w:r>
    </w:p>
    <w:p w14:paraId="6D04841A" w14:textId="77777777" w:rsidR="005D3BFD" w:rsidRPr="005D3BFD" w:rsidRDefault="005D3BFD" w:rsidP="005D3BFD">
      <w:pPr>
        <w:spacing w:after="0" w:line="240" w:lineRule="auto"/>
        <w:ind w:right="709"/>
        <w:jc w:val="both"/>
        <w:rPr>
          <w:rFonts w:ascii="Verdana" w:eastAsia="Century Gothic" w:hAnsi="Verdana" w:cs="Century Gothic"/>
          <w:color w:val="000000" w:themeColor="text1"/>
          <w:sz w:val="20"/>
          <w:szCs w:val="20"/>
          <w:lang w:val="es-ES"/>
        </w:rPr>
      </w:pPr>
    </w:p>
    <w:p w14:paraId="614CC99C" w14:textId="51D424EC" w:rsidR="005D3BFD" w:rsidRPr="005D3BFD" w:rsidRDefault="005D3BFD" w:rsidP="00181D62">
      <w:pPr>
        <w:spacing w:after="120" w:line="276" w:lineRule="auto"/>
        <w:ind w:firstLine="709"/>
        <w:jc w:val="both"/>
        <w:rPr>
          <w:rFonts w:ascii="Verdana" w:eastAsia="Calibri" w:hAnsi="Verdana" w:cs="Arial"/>
          <w:color w:val="000000" w:themeColor="text1"/>
          <w:szCs w:val="24"/>
          <w:lang w:val="es-ES" w:eastAsia="es-ES_tradnl"/>
        </w:rPr>
      </w:pPr>
      <w:r w:rsidRPr="005D3BF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BF1F75">
        <w:rPr>
          <w:rFonts w:ascii="Verdana" w:eastAsia="Calibri" w:hAnsi="Verdana" w:cs="Arial"/>
          <w:color w:val="000000" w:themeColor="text1"/>
          <w:lang w:val="es-ES" w:eastAsia="es-ES"/>
        </w:rPr>
        <w:t xml:space="preserve">la Agencia Nacional de Contratación Pública – </w:t>
      </w:r>
      <w:r w:rsidRPr="005D3BFD">
        <w:rPr>
          <w:rFonts w:ascii="Verdana" w:eastAsia="Calibri" w:hAnsi="Verdana" w:cs="Arial"/>
          <w:color w:val="000000" w:themeColor="text1"/>
          <w:lang w:val="es-ES" w:eastAsia="es-ES"/>
        </w:rPr>
        <w:lastRenderedPageBreak/>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D3BFD">
        <w:rPr>
          <w:rFonts w:ascii="Verdana" w:eastAsia="Calibri" w:hAnsi="Verdana" w:cs="Arial"/>
          <w:color w:val="000000" w:themeColor="text1"/>
          <w:szCs w:val="24"/>
          <w:lang w:val="es-ES" w:eastAsia="es-ES_tradnl"/>
        </w:rPr>
        <w:tab/>
      </w:r>
    </w:p>
    <w:p w14:paraId="59DF62BA" w14:textId="32E1F624" w:rsidR="005D3BFD" w:rsidRPr="005D3BFD" w:rsidRDefault="005D3BFD" w:rsidP="00181D62">
      <w:pPr>
        <w:spacing w:after="0" w:line="276" w:lineRule="auto"/>
        <w:ind w:firstLine="709"/>
        <w:jc w:val="both"/>
        <w:rPr>
          <w:rFonts w:ascii="Verdana" w:eastAsia="Calibri" w:hAnsi="Verdana" w:cs="Arial"/>
          <w:color w:val="000000" w:themeColor="text1"/>
          <w:lang w:val="es-ES" w:eastAsia="es-ES"/>
        </w:rPr>
      </w:pPr>
      <w:r w:rsidRPr="005D3BF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B26DB5">
        <w:rPr>
          <w:rFonts w:ascii="Verdana" w:eastAsia="Calibri" w:hAnsi="Verdana" w:cs="Arial"/>
          <w:color w:val="000000" w:themeColor="text1"/>
          <w:lang w:val="es-ES" w:eastAsia="es-ES"/>
        </w:rPr>
        <w:t>señaland</w:t>
      </w:r>
      <w:r w:rsidR="00B26DB5" w:rsidRPr="005D3BFD">
        <w:rPr>
          <w:rFonts w:ascii="Verdana" w:eastAsia="Calibri" w:hAnsi="Verdana" w:cs="Arial"/>
          <w:color w:val="000000" w:themeColor="text1"/>
          <w:lang w:val="es-ES" w:eastAsia="es-ES"/>
        </w:rPr>
        <w:t xml:space="preserve">o </w:t>
      </w:r>
      <w:r w:rsidR="00B26DB5">
        <w:rPr>
          <w:rFonts w:ascii="Verdana" w:eastAsia="Calibri" w:hAnsi="Verdana" w:cs="Arial"/>
          <w:color w:val="000000" w:themeColor="text1"/>
          <w:lang w:val="es-ES" w:eastAsia="es-ES"/>
        </w:rPr>
        <w:t>alg</w:t>
      </w:r>
      <w:r w:rsidRPr="005D3BFD">
        <w:rPr>
          <w:rFonts w:ascii="Verdana" w:eastAsia="Calibri" w:hAnsi="Verdana" w:cs="Arial"/>
          <w:color w:val="000000" w:themeColor="text1"/>
          <w:lang w:val="es-ES" w:eastAsia="es-ES"/>
        </w:rPr>
        <w:t xml:space="preserve">unas consideraciones sobre las normas generales relacionadas con el problema jurídico de su consulta. </w:t>
      </w:r>
    </w:p>
    <w:p w14:paraId="69DB597A" w14:textId="77777777" w:rsidR="005D3BFD" w:rsidRPr="005D3BFD" w:rsidRDefault="005D3BFD" w:rsidP="00B26DB5">
      <w:pPr>
        <w:spacing w:after="0" w:line="276" w:lineRule="auto"/>
        <w:jc w:val="both"/>
        <w:rPr>
          <w:rFonts w:ascii="Verdana" w:eastAsia="Calibri" w:hAnsi="Verdana" w:cs="Arial"/>
          <w:color w:val="000000" w:themeColor="text1"/>
          <w:lang w:val="es-ES" w:eastAsia="es-ES"/>
        </w:rPr>
      </w:pPr>
    </w:p>
    <w:p w14:paraId="1F048A58" w14:textId="77777777" w:rsidR="005D3BFD" w:rsidRPr="005D3BFD" w:rsidRDefault="005D3BFD" w:rsidP="00181D62">
      <w:pPr>
        <w:numPr>
          <w:ilvl w:val="0"/>
          <w:numId w:val="16"/>
        </w:numPr>
        <w:tabs>
          <w:tab w:val="left" w:pos="142"/>
          <w:tab w:val="left" w:pos="284"/>
        </w:tabs>
        <w:spacing w:after="0" w:line="276" w:lineRule="auto"/>
        <w:ind w:left="360"/>
        <w:contextualSpacing/>
        <w:jc w:val="both"/>
        <w:rPr>
          <w:rFonts w:ascii="Verdana" w:eastAsia="Century Gothic" w:hAnsi="Verdana" w:cs="Century Gothic"/>
          <w:b/>
          <w:bCs/>
          <w:color w:val="000000" w:themeColor="text1"/>
          <w:lang w:val="es-ES"/>
        </w:rPr>
      </w:pPr>
      <w:r w:rsidRPr="005D3BFD">
        <w:rPr>
          <w:rFonts w:ascii="Verdana" w:eastAsia="Century Gothic" w:hAnsi="Verdana" w:cs="Century Gothic"/>
          <w:b/>
          <w:bCs/>
          <w:color w:val="000000" w:themeColor="text1"/>
          <w:lang w:val="es-ES"/>
        </w:rPr>
        <w:t>Problema planteado:</w:t>
      </w:r>
    </w:p>
    <w:p w14:paraId="0C3C1076" w14:textId="77777777" w:rsidR="005D3BFD" w:rsidRPr="005D3BFD" w:rsidRDefault="005D3BFD" w:rsidP="00B26DB5">
      <w:pPr>
        <w:tabs>
          <w:tab w:val="left" w:pos="426"/>
        </w:tabs>
        <w:spacing w:after="0" w:line="276" w:lineRule="auto"/>
        <w:jc w:val="both"/>
        <w:rPr>
          <w:rFonts w:ascii="Verdana" w:eastAsia="Century Gothic" w:hAnsi="Verdana" w:cs="Century Gothic"/>
          <w:color w:val="000000" w:themeColor="text1"/>
          <w:lang w:val="es-ES"/>
        </w:rPr>
      </w:pPr>
    </w:p>
    <w:p w14:paraId="77504512" w14:textId="77777777" w:rsidR="005D3BFD" w:rsidRDefault="005D3BFD" w:rsidP="00B26DB5">
      <w:pPr>
        <w:spacing w:after="0" w:line="276" w:lineRule="auto"/>
        <w:jc w:val="both"/>
        <w:rPr>
          <w:rFonts w:ascii="Verdana" w:eastAsia="Century Gothic" w:hAnsi="Verdana" w:cs="Century Gothic"/>
          <w:color w:val="000000" w:themeColor="text1"/>
          <w:lang w:val="es-ES"/>
        </w:rPr>
      </w:pPr>
      <w:r w:rsidRPr="005D3BFD">
        <w:rPr>
          <w:rFonts w:ascii="Verdana" w:eastAsia="Century Gothic" w:hAnsi="Verdana" w:cs="Century Gothic"/>
          <w:color w:val="000000" w:themeColor="text1"/>
          <w:lang w:val="es-ES"/>
        </w:rPr>
        <w:t>De acuerdo con el contenido de su solicitud, esta Agencia resolverá el siguiente problema jurídico: ¿Cuál es el marco jurídico para la verificación de la capacidad financiera de los proponentes?</w:t>
      </w:r>
    </w:p>
    <w:p w14:paraId="4ED3FAA8" w14:textId="77777777" w:rsidR="00B26DB5" w:rsidRPr="005D3BFD" w:rsidRDefault="00B26DB5" w:rsidP="00181D62">
      <w:pPr>
        <w:spacing w:after="0" w:line="276" w:lineRule="auto"/>
        <w:jc w:val="both"/>
        <w:rPr>
          <w:rFonts w:ascii="Verdana" w:eastAsia="Century Gothic" w:hAnsi="Verdana" w:cs="Century Gothic"/>
          <w:color w:val="000000" w:themeColor="text1"/>
          <w:lang w:val="es-ES"/>
        </w:rPr>
      </w:pPr>
    </w:p>
    <w:p w14:paraId="5D76CB4F" w14:textId="77777777" w:rsidR="005D3BFD" w:rsidRPr="005D3BFD" w:rsidRDefault="005D3BFD" w:rsidP="00181D62">
      <w:pPr>
        <w:numPr>
          <w:ilvl w:val="0"/>
          <w:numId w:val="16"/>
        </w:numPr>
        <w:tabs>
          <w:tab w:val="left" w:pos="142"/>
          <w:tab w:val="left" w:pos="284"/>
        </w:tabs>
        <w:spacing w:after="0" w:line="276" w:lineRule="auto"/>
        <w:ind w:left="360"/>
        <w:contextualSpacing/>
        <w:jc w:val="both"/>
        <w:rPr>
          <w:rFonts w:ascii="Verdana" w:eastAsia="Century Gothic" w:hAnsi="Verdana" w:cs="Century Gothic"/>
          <w:b/>
          <w:bCs/>
          <w:color w:val="000000" w:themeColor="text1"/>
          <w:lang w:val="es-ES"/>
        </w:rPr>
      </w:pPr>
      <w:r w:rsidRPr="005D3BFD">
        <w:rPr>
          <w:rFonts w:ascii="Verdana" w:eastAsia="Century Gothic" w:hAnsi="Verdana" w:cs="Century Gothic"/>
          <w:b/>
          <w:bCs/>
          <w:color w:val="000000" w:themeColor="text1"/>
          <w:lang w:val="es-ES"/>
        </w:rPr>
        <w:t>Respuesta:</w:t>
      </w:r>
    </w:p>
    <w:p w14:paraId="316274A2" w14:textId="77777777" w:rsidR="005D3BFD" w:rsidRPr="005D3BFD" w:rsidRDefault="005D3BFD" w:rsidP="00B26DB5">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D3BFD" w:rsidRPr="005D3BFD" w14:paraId="745C5579" w14:textId="77777777" w:rsidTr="00D1674B">
        <w:tc>
          <w:tcPr>
            <w:tcW w:w="8828" w:type="dxa"/>
          </w:tcPr>
          <w:p w14:paraId="29214A03" w14:textId="7A9434D1" w:rsidR="005D3BFD" w:rsidRPr="005D3BFD" w:rsidRDefault="005D3BFD" w:rsidP="00181D62">
            <w:pPr>
              <w:spacing w:after="120" w:line="276" w:lineRule="auto"/>
              <w:jc w:val="both"/>
              <w:rPr>
                <w:rFonts w:ascii="Verdana" w:eastAsia="Calibri" w:hAnsi="Verdana" w:cs="Arial"/>
                <w:color w:val="000000"/>
                <w:lang w:val="es-ES" w:eastAsia="es-ES_tradnl"/>
              </w:rPr>
            </w:pPr>
            <w:r w:rsidRPr="005D3BFD">
              <w:rPr>
                <w:rFonts w:ascii="Verdana" w:eastAsia="Calibri" w:hAnsi="Verdana" w:cs="Arial"/>
                <w:color w:val="000000"/>
                <w:lang w:val="es-ES" w:eastAsia="es-ES_tradnl"/>
              </w:rPr>
              <w:t>La Entidad Estatal, como responsable de la estructuración de su procedimiento de selección, es autónoma para determinar la capacidad financiera requerida de acuerdo con el objeto contractual que pretende satisfacer. No obstante, en atención a lo dispuesto en el artículo 2.2.1.1.1.6.2 del Decreto 1082 de 2015, debe establecerla con sustento en el estudio del sector y sus componentes, como la identificación de riesgos, el mercado y precio del bien, obra o servicio a contratar.</w:t>
            </w:r>
          </w:p>
          <w:p w14:paraId="7D2122C9" w14:textId="77777777" w:rsidR="005D3BFD" w:rsidRPr="005D3BFD" w:rsidRDefault="005D3BFD" w:rsidP="005D3BFD">
            <w:pPr>
              <w:spacing w:before="120" w:after="120" w:line="276" w:lineRule="auto"/>
              <w:ind w:firstLine="708"/>
              <w:jc w:val="both"/>
              <w:rPr>
                <w:rFonts w:ascii="Verdana" w:hAnsi="Verdana"/>
                <w:color w:val="000000" w:themeColor="text1"/>
                <w:lang w:val="es-ES"/>
              </w:rPr>
            </w:pPr>
            <w:r w:rsidRPr="005D3BFD">
              <w:rPr>
                <w:rFonts w:ascii="Verdana" w:eastAsia="Calibri" w:hAnsi="Verdana" w:cs="Arial"/>
                <w:lang w:val="es-ES"/>
              </w:rPr>
              <w:t>Por otra parte, los</w:t>
            </w:r>
            <w:r w:rsidRPr="005D3BFD">
              <w:rPr>
                <w:rFonts w:ascii="Verdana" w:hAnsi="Verdana"/>
                <w:color w:val="000000" w:themeColor="text1"/>
                <w:lang w:val="es-ES"/>
              </w:rPr>
              <w:t xml:space="preserve"> requisitos habilitantes como la capacidad financiera deben ser evaluados de acuerdo con lo registrado en el RUP, salvo los procesos exceptuados de este registro</w:t>
            </w:r>
            <w:r w:rsidRPr="005D3BFD">
              <w:rPr>
                <w:rFonts w:ascii="Verdana" w:hAnsi="Verdana"/>
                <w:color w:val="000000" w:themeColor="text1"/>
                <w:vertAlign w:val="superscript"/>
                <w:lang w:val="es-ES"/>
              </w:rPr>
              <w:footnoteReference w:id="1"/>
            </w:r>
            <w:r w:rsidRPr="005D3BFD">
              <w:rPr>
                <w:rFonts w:ascii="Verdana" w:hAnsi="Verdana"/>
                <w:color w:val="000000" w:themeColor="text1"/>
                <w:lang w:val="es-ES"/>
              </w:rPr>
              <w:t xml:space="preserve">. Según el artículo 2.2.1.1.1.5.2. del Decreto </w:t>
            </w:r>
            <w:r w:rsidRPr="005D3BFD">
              <w:rPr>
                <w:rFonts w:ascii="Verdana" w:hAnsi="Verdana"/>
                <w:color w:val="000000" w:themeColor="text1"/>
                <w:lang w:val="es-ES"/>
              </w:rPr>
              <w:lastRenderedPageBreak/>
              <w:t>1082 de 2015, para la inscripción en el RUP el proponente aporta, entre otros, “</w:t>
            </w:r>
            <w:r w:rsidRPr="005D3BFD">
              <w:rPr>
                <w:rFonts w:ascii="Verdana" w:hAnsi="Verdana"/>
                <w:i/>
                <w:iCs/>
                <w:color w:val="000000" w:themeColor="text1"/>
                <w:lang w:val="es-ES"/>
              </w:rPr>
              <w:t>Estados financieros de la sociedad (…)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I. Principales cuentas detalladas del balance general. II. Principales cuentas del estado de pérdidas y ganancias. III. Cuentas contingentes deudoras y acreedoras (…)</w:t>
            </w:r>
            <w:r w:rsidRPr="005D3BFD">
              <w:rPr>
                <w:rFonts w:ascii="Verdana" w:hAnsi="Verdana"/>
                <w:color w:val="000000" w:themeColor="text1"/>
                <w:lang w:val="es-ES"/>
              </w:rPr>
              <w:t>”.</w:t>
            </w:r>
          </w:p>
          <w:p w14:paraId="7B408715" w14:textId="4D6DF6F2" w:rsidR="005D3BFD" w:rsidRPr="005D3BFD" w:rsidRDefault="005D3BFD" w:rsidP="005D3BFD">
            <w:pPr>
              <w:spacing w:before="120" w:after="120" w:line="276" w:lineRule="auto"/>
              <w:ind w:firstLine="708"/>
              <w:jc w:val="both"/>
              <w:rPr>
                <w:rFonts w:ascii="Verdana" w:hAnsi="Verdana"/>
                <w:color w:val="000000" w:themeColor="text1"/>
                <w:lang w:val="es-ES"/>
              </w:rPr>
            </w:pPr>
            <w:r w:rsidRPr="005D3BFD">
              <w:rPr>
                <w:rFonts w:ascii="Verdana" w:hAnsi="Verdana"/>
                <w:color w:val="000000" w:themeColor="text1"/>
                <w:lang w:val="es-ES"/>
              </w:rPr>
              <w:t>Así pues, el artículo 6 de la Ley 1150 de 2007 señala que el RUP es plena prueba de las circunstancias que constan en él, como la capacidad financiera, y “</w:t>
            </w:r>
            <w:r w:rsidRPr="005D3BFD">
              <w:rPr>
                <w:rFonts w:ascii="Verdana" w:hAnsi="Verdana"/>
                <w:i/>
                <w:iCs/>
                <w:color w:val="000000" w:themeColor="text1"/>
                <w:lang w:val="es-ES"/>
              </w:rPr>
              <w:t>las entidades estatales en los procesos de contratación no podrán exigir, ni los proponentes aportar documentación que deba utilizarse para efectuar la inscripción en el registro</w:t>
            </w:r>
            <w:r w:rsidRPr="005D3BFD">
              <w:rPr>
                <w:rFonts w:ascii="Verdana" w:hAnsi="Verdana"/>
                <w:color w:val="000000" w:themeColor="text1"/>
                <w:lang w:val="es-ES"/>
              </w:rPr>
              <w:t>”. Por lo que</w:t>
            </w:r>
            <w:r w:rsidR="00785096">
              <w:rPr>
                <w:rFonts w:ascii="Verdana" w:hAnsi="Verdana"/>
                <w:color w:val="000000" w:themeColor="text1"/>
                <w:lang w:val="es-ES"/>
              </w:rPr>
              <w:t>,</w:t>
            </w:r>
            <w:r w:rsidRPr="005D3BFD">
              <w:rPr>
                <w:rFonts w:ascii="Verdana" w:hAnsi="Verdana"/>
                <w:color w:val="000000" w:themeColor="text1"/>
                <w:lang w:val="es-ES"/>
              </w:rPr>
              <w:t xml:space="preserve"> para resolver su consulta, debido a que los estados financieros y sus notas son documentos que se utilizan para la inscripción en el RUP, las entidades no los pueden exigir ni verificar ya que la capacidad financiera se debe evaluar exclusivamente con el RUP. Sin embargo, para los procesos exceptuados del RUP, “</w:t>
            </w:r>
            <w:r w:rsidRPr="005D3BFD">
              <w:rPr>
                <w:rFonts w:ascii="Verdana" w:hAnsi="Verdana"/>
                <w:i/>
                <w:iCs/>
                <w:color w:val="000000" w:themeColor="text1"/>
                <w:lang w:val="es-ES"/>
              </w:rPr>
              <w:t>corresponderá a las entidades contratantes cumplir con la labor de verificación de las condiciones de los proponentes</w:t>
            </w:r>
            <w:r w:rsidRPr="005D3BFD">
              <w:rPr>
                <w:rFonts w:ascii="Verdana" w:hAnsi="Verdana"/>
                <w:color w:val="000000" w:themeColor="text1"/>
                <w:lang w:val="es-ES"/>
              </w:rPr>
              <w:t>”</w:t>
            </w:r>
            <w:r w:rsidRPr="005D3BFD">
              <w:rPr>
                <w:rFonts w:ascii="Verdana" w:hAnsi="Verdana"/>
                <w:color w:val="000000" w:themeColor="text1"/>
                <w:vertAlign w:val="superscript"/>
                <w:lang w:val="es-ES"/>
              </w:rPr>
              <w:footnoteReference w:id="2"/>
            </w:r>
            <w:r w:rsidRPr="005D3BFD">
              <w:rPr>
                <w:rFonts w:ascii="Verdana" w:hAnsi="Verdana"/>
                <w:color w:val="000000" w:themeColor="text1"/>
                <w:lang w:val="es-ES"/>
              </w:rPr>
              <w:t xml:space="preserve"> y en esa medida, son autónomas para determinar si la documentación aportada por el proponente para verificar la capacidad financiera cumple o no cumple con lo exigido en el pliego de condiciones</w:t>
            </w:r>
            <w:r w:rsidR="00785096">
              <w:rPr>
                <w:rFonts w:ascii="Verdana" w:hAnsi="Verdana"/>
                <w:color w:val="000000" w:themeColor="text1"/>
                <w:lang w:val="es-ES"/>
              </w:rPr>
              <w:t xml:space="preserve"> o sus documentos equivalentes</w:t>
            </w:r>
            <w:r w:rsidRPr="005D3BFD">
              <w:rPr>
                <w:rFonts w:ascii="Verdana" w:hAnsi="Verdana"/>
                <w:color w:val="000000" w:themeColor="text1"/>
                <w:lang w:val="es-ES"/>
              </w:rPr>
              <w:t>.</w:t>
            </w:r>
          </w:p>
          <w:p w14:paraId="758B1973" w14:textId="77777777" w:rsidR="005D3BFD" w:rsidRPr="005D3BFD" w:rsidRDefault="005D3BFD" w:rsidP="005D3BFD">
            <w:pPr>
              <w:spacing w:before="120" w:after="120" w:line="276" w:lineRule="auto"/>
              <w:ind w:firstLine="708"/>
              <w:jc w:val="both"/>
              <w:rPr>
                <w:rFonts w:ascii="Verdana" w:eastAsia="Calibri" w:hAnsi="Verdana" w:cs="Arial"/>
                <w:color w:val="000000" w:themeColor="text1"/>
                <w:lang w:val="es-ES"/>
              </w:rPr>
            </w:pPr>
            <w:r w:rsidRPr="005D3BFD">
              <w:rPr>
                <w:rFonts w:ascii="Verdana" w:eastAsia="Calibri" w:hAnsi="Verdana" w:cs="Arial"/>
                <w:color w:val="000000" w:themeColor="text1"/>
                <w:lang w:val="es-ES"/>
              </w:rPr>
              <w:t xml:space="preserve">De cualquier modo, la Entidad Estatal debe determinar y justificar en los Documentos del Proceso los indicadores de capacidad financiera. En este aspecto, </w:t>
            </w:r>
            <w:r w:rsidRPr="005D3BFD">
              <w:rPr>
                <w:rFonts w:ascii="Verdana" w:eastAsia="Calibri" w:hAnsi="Verdana" w:cs="Arial"/>
                <w:lang w:val="es-ES"/>
              </w:rPr>
              <w:t>las Entidades Estatales gozan de total autonomía para fijar las condiciones habilitantes y las reglas, cuidando en todo caso que no se limiten los principios de participación, libre competencia y concurrencia. Sin embargo, el uso de esta potestad debe quedar reflejada en los pliegos de condiciones o documentos equivalentes, en los cuales deben manifestar con claridad los indicadores y la metodología para verificarlos.</w:t>
            </w:r>
          </w:p>
        </w:tc>
      </w:tr>
    </w:tbl>
    <w:p w14:paraId="1547F72C" w14:textId="77777777" w:rsidR="005D3BFD" w:rsidRPr="005D3BFD" w:rsidRDefault="005D3BFD" w:rsidP="005F208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4E22256" w14:textId="77777777" w:rsidR="005D3BFD" w:rsidRPr="005D3BFD" w:rsidRDefault="005D3BFD" w:rsidP="00181D62">
      <w:pPr>
        <w:numPr>
          <w:ilvl w:val="0"/>
          <w:numId w:val="16"/>
        </w:numPr>
        <w:tabs>
          <w:tab w:val="left" w:pos="142"/>
          <w:tab w:val="left" w:pos="284"/>
        </w:tabs>
        <w:spacing w:after="0" w:line="276" w:lineRule="auto"/>
        <w:ind w:left="360"/>
        <w:jc w:val="both"/>
        <w:rPr>
          <w:rFonts w:ascii="Verdana" w:eastAsia="Century Gothic" w:hAnsi="Verdana" w:cs="Century Gothic"/>
          <w:b/>
          <w:bCs/>
          <w:color w:val="000000" w:themeColor="text1"/>
          <w:lang w:val="es-ES"/>
        </w:rPr>
      </w:pPr>
      <w:r w:rsidRPr="005D3BFD">
        <w:rPr>
          <w:rFonts w:ascii="Verdana" w:eastAsia="Century Gothic" w:hAnsi="Verdana" w:cs="Century Gothic"/>
          <w:b/>
          <w:bCs/>
          <w:color w:val="000000" w:themeColor="text1"/>
          <w:lang w:val="es-ES"/>
        </w:rPr>
        <w:t>Razones de la respuesta:</w:t>
      </w:r>
    </w:p>
    <w:p w14:paraId="724BFE6D" w14:textId="77777777" w:rsidR="005D3BFD" w:rsidRPr="005D3BFD" w:rsidRDefault="005D3BFD" w:rsidP="005F2083">
      <w:pPr>
        <w:spacing w:after="0" w:line="276" w:lineRule="auto"/>
        <w:jc w:val="both"/>
        <w:rPr>
          <w:rFonts w:ascii="Verdana" w:eastAsia="Calibri" w:hAnsi="Verdana" w:cs="Arial"/>
          <w:color w:val="000000" w:themeColor="text1"/>
          <w:lang w:val="es-ES"/>
        </w:rPr>
      </w:pPr>
    </w:p>
    <w:p w14:paraId="686C9CD9" w14:textId="77777777" w:rsidR="005D3BFD" w:rsidRPr="005D3BFD" w:rsidRDefault="005D3BFD" w:rsidP="005F2083">
      <w:pPr>
        <w:spacing w:after="0" w:line="276" w:lineRule="auto"/>
        <w:jc w:val="both"/>
        <w:rPr>
          <w:rFonts w:ascii="Verdana" w:eastAsia="Calibri" w:hAnsi="Verdana" w:cs="Arial"/>
          <w:color w:val="000000" w:themeColor="text1"/>
          <w:lang w:val="es-ES"/>
        </w:rPr>
      </w:pPr>
      <w:r w:rsidRPr="005D3BFD">
        <w:rPr>
          <w:rFonts w:ascii="Verdana" w:eastAsia="Calibri" w:hAnsi="Verdana" w:cs="Arial"/>
          <w:color w:val="000000" w:themeColor="text1"/>
          <w:lang w:val="es-ES"/>
        </w:rPr>
        <w:t>Lo anterior se sustenta en las siguientes consideraciones:</w:t>
      </w:r>
    </w:p>
    <w:p w14:paraId="2FB200C2" w14:textId="77777777" w:rsidR="005F2083" w:rsidRDefault="005F2083" w:rsidP="00181D62">
      <w:pPr>
        <w:spacing w:after="0" w:line="276" w:lineRule="auto"/>
        <w:jc w:val="both"/>
        <w:rPr>
          <w:rFonts w:ascii="Verdana" w:eastAsia="Calibri" w:hAnsi="Verdana" w:cs="Arial"/>
          <w:color w:val="000000" w:themeColor="text1"/>
          <w:lang w:val="es-ES"/>
        </w:rPr>
      </w:pPr>
    </w:p>
    <w:p w14:paraId="29CA1769" w14:textId="62DF6852" w:rsidR="005D3BFD" w:rsidRPr="005D3BFD" w:rsidRDefault="005D3BFD" w:rsidP="00181D62">
      <w:pPr>
        <w:spacing w:after="120" w:line="276" w:lineRule="auto"/>
        <w:jc w:val="both"/>
        <w:rPr>
          <w:rFonts w:ascii="Verdana" w:eastAsia="Calibri" w:hAnsi="Verdana" w:cs="Arial"/>
          <w:color w:val="000000" w:themeColor="text1"/>
          <w:lang w:val="es-ES"/>
        </w:rPr>
      </w:pPr>
      <w:r w:rsidRPr="005D3BFD">
        <w:rPr>
          <w:rFonts w:ascii="Verdana" w:eastAsia="Calibri" w:hAnsi="Verdana" w:cs="Arial"/>
          <w:color w:val="000000" w:themeColor="text1"/>
          <w:lang w:val="es-ES"/>
        </w:rPr>
        <w:t xml:space="preserve">(i) Los </w:t>
      </w:r>
      <w:r w:rsidRPr="005D3BFD">
        <w:rPr>
          <w:rFonts w:ascii="Verdana" w:eastAsia="Calibri" w:hAnsi="Verdana" w:cs="Arial"/>
          <w:i/>
          <w:iCs/>
          <w:color w:val="000000" w:themeColor="text1"/>
          <w:lang w:val="es-ES"/>
        </w:rPr>
        <w:t>requisitos habilitantes</w:t>
      </w:r>
      <w:r w:rsidRPr="005D3BFD">
        <w:rPr>
          <w:rFonts w:ascii="Verdana" w:eastAsia="Calibri" w:hAnsi="Verdana" w:cs="Arial"/>
          <w:color w:val="000000" w:themeColor="text1"/>
          <w:lang w:val="es-ES"/>
        </w:rPr>
        <w:t xml:space="preserve"> son exigencias para la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5D3BFD">
        <w:rPr>
          <w:rFonts w:ascii="Verdana" w:eastAsia="Calibri" w:hAnsi="Verdana" w:cs="Arial"/>
          <w:i/>
          <w:iCs/>
          <w:color w:val="000000" w:themeColor="text1"/>
          <w:lang w:val="es-ES"/>
        </w:rPr>
        <w:t>criterios de evaluación</w:t>
      </w:r>
      <w:r w:rsidRPr="005D3BFD">
        <w:rPr>
          <w:rFonts w:ascii="Verdana" w:eastAsia="Calibri" w:hAnsi="Verdana" w:cs="Arial"/>
          <w:color w:val="000000" w:themeColor="text1"/>
          <w:lang w:val="es-ES"/>
        </w:rPr>
        <w:t xml:space="preserve"> –también conocidos como </w:t>
      </w:r>
      <w:r w:rsidRPr="005D3BFD">
        <w:rPr>
          <w:rFonts w:ascii="Verdana" w:eastAsia="Calibri" w:hAnsi="Verdana" w:cs="Arial"/>
          <w:i/>
          <w:iCs/>
          <w:color w:val="000000" w:themeColor="text1"/>
          <w:lang w:val="es-ES"/>
        </w:rPr>
        <w:t>criterios de calificación</w:t>
      </w:r>
      <w:r w:rsidRPr="005D3BFD">
        <w:rPr>
          <w:rFonts w:ascii="Verdana" w:eastAsia="Calibri" w:hAnsi="Verdana" w:cs="Arial"/>
          <w:color w:val="000000" w:themeColor="text1"/>
          <w:lang w:val="es-ES"/>
        </w:rPr>
        <w:t xml:space="preserve">– en que la Entidad Estatal define estos factores para la asignación de puntaje en la comparación de las ofertas con el fin de establecer el orden de elegibilidad y la propuesta ganadora. </w:t>
      </w:r>
    </w:p>
    <w:p w14:paraId="48F0E42C" w14:textId="22BB293E" w:rsidR="005D3BFD" w:rsidRPr="005D3BFD" w:rsidRDefault="005D3BFD" w:rsidP="00181D62">
      <w:pPr>
        <w:spacing w:after="120" w:line="276" w:lineRule="auto"/>
        <w:ind w:firstLine="708"/>
        <w:jc w:val="both"/>
        <w:rPr>
          <w:rFonts w:ascii="Verdana" w:eastAsia="Calibri" w:hAnsi="Verdana" w:cs="Arial"/>
          <w:color w:val="000000" w:themeColor="text1"/>
          <w:lang w:val="es-ES"/>
        </w:rPr>
      </w:pPr>
      <w:r w:rsidRPr="005D3BFD">
        <w:rPr>
          <w:rFonts w:ascii="Verdana" w:eastAsia="Calibri" w:hAnsi="Verdana" w:cs="Arial"/>
          <w:color w:val="000000" w:themeColor="text1"/>
          <w:lang w:val="es-ES"/>
        </w:rPr>
        <w:t xml:space="preserve">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w:t>
      </w:r>
      <w:r w:rsidR="00255683">
        <w:rPr>
          <w:rFonts w:ascii="Verdana" w:eastAsia="Calibri" w:hAnsi="Verdana" w:cs="Arial"/>
          <w:color w:val="000000" w:themeColor="text1"/>
          <w:lang w:val="es-ES"/>
        </w:rPr>
        <w:t>ese sentido</w:t>
      </w:r>
      <w:r w:rsidRPr="005D3BFD">
        <w:rPr>
          <w:rFonts w:ascii="Verdana" w:eastAsia="Calibri" w:hAnsi="Verdana" w:cs="Arial"/>
          <w:color w:val="000000" w:themeColor="text1"/>
          <w:lang w:val="es-ES"/>
        </w:rPr>
        <w:t>,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5C6E3B55" w14:textId="77777777" w:rsidR="005D3BFD" w:rsidRPr="005D3BFD" w:rsidRDefault="005D3BFD" w:rsidP="00181D62">
      <w:pPr>
        <w:spacing w:after="120" w:line="276" w:lineRule="auto"/>
        <w:ind w:firstLine="709"/>
        <w:jc w:val="both"/>
        <w:rPr>
          <w:rFonts w:ascii="Verdana" w:eastAsia="Calibri" w:hAnsi="Verdana" w:cs="Arial"/>
          <w:color w:val="000000" w:themeColor="text1"/>
          <w:lang w:val="es-ES"/>
        </w:rPr>
      </w:pPr>
      <w:r w:rsidRPr="005D3BFD">
        <w:rPr>
          <w:rFonts w:ascii="Verdana" w:eastAsia="Calibri" w:hAnsi="Verdana" w:cs="Arial"/>
          <w:lang w:val="es-ES"/>
        </w:rPr>
        <w:t xml:space="preserve">Al respecto, el inciso primero del artículo 5 de la Ley 1150 de 2007 dispone los factores de escogencia y calificación que deben indicarse en los pliegos de condiciones. Además, </w:t>
      </w:r>
      <w:r w:rsidRPr="005D3BFD">
        <w:rPr>
          <w:rFonts w:ascii="Verdana" w:eastAsia="Calibri" w:hAnsi="Verdana" w:cs="Arial"/>
          <w:color w:val="000000" w:themeColor="text1"/>
          <w:lang w:val="es-ES"/>
        </w:rPr>
        <w:t xml:space="preserve">el mencionado artículo señala que es </w:t>
      </w:r>
      <w:r w:rsidRPr="005D3BFD">
        <w:rPr>
          <w:rFonts w:ascii="Verdana" w:eastAsia="Calibri" w:hAnsi="Verdana" w:cs="Arial"/>
          <w:i/>
          <w:iCs/>
          <w:color w:val="000000" w:themeColor="text1"/>
          <w:lang w:val="es-ES"/>
        </w:rPr>
        <w:t>“</w:t>
      </w:r>
      <w:r w:rsidRPr="005D3BFD">
        <w:rPr>
          <w:rFonts w:ascii="Verdana" w:eastAsia="Calibri" w:hAnsi="Verdana" w:cs="Arial"/>
          <w:color w:val="000000" w:themeColor="text1"/>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005D3BFD">
        <w:rPr>
          <w:rFonts w:ascii="Verdana" w:eastAsia="Calibri" w:hAnsi="Verdana" w:cs="Arial"/>
          <w:i/>
          <w:iCs/>
          <w:color w:val="000000" w:themeColor="text1"/>
          <w:lang w:val="es-ES"/>
        </w:rPr>
        <w:t>”</w:t>
      </w:r>
      <w:r w:rsidRPr="005D3BFD">
        <w:rPr>
          <w:rFonts w:ascii="Verdana" w:eastAsia="Calibri" w:hAnsi="Verdana" w:cs="Arial"/>
          <w:color w:val="000000" w:themeColor="text1"/>
          <w:lang w:val="es-ES"/>
        </w:rPr>
        <w:t xml:space="preserve">. De este modo, los factores de que establezcan las entidades en los pliegos de condiciones o sus documentos equivalentes deberán tener en cuenta, entre otras cuestiones, lo establecido en esta norma. </w:t>
      </w:r>
    </w:p>
    <w:p w14:paraId="0BE7136F" w14:textId="77777777" w:rsidR="005D3BFD" w:rsidRDefault="005D3BFD" w:rsidP="00504B87">
      <w:pPr>
        <w:spacing w:before="120" w:after="0" w:line="276" w:lineRule="auto"/>
        <w:ind w:firstLine="709"/>
        <w:jc w:val="both"/>
        <w:rPr>
          <w:rFonts w:ascii="Verdana" w:eastAsia="Calibri" w:hAnsi="Verdana" w:cs="Arial"/>
          <w:color w:val="000000" w:themeColor="text1"/>
          <w:lang w:val="es-ES"/>
        </w:rPr>
      </w:pPr>
      <w:r w:rsidRPr="005D3BFD">
        <w:rPr>
          <w:rFonts w:ascii="Verdana" w:eastAsia="Calibri" w:hAnsi="Verdana" w:cs="Arial"/>
          <w:color w:val="000000" w:themeColor="text1"/>
          <w:lang w:val="es-ES"/>
        </w:rPr>
        <w:t xml:space="preserve">Específicamente, el numeral 1º del artículo referido establece que en los procesos de selección de contratistas serán objeto de verificación, como requisitos habilitantes, </w:t>
      </w:r>
      <w:r w:rsidRPr="005D3BFD">
        <w:rPr>
          <w:rFonts w:ascii="Verdana" w:eastAsia="Calibri" w:hAnsi="Verdana" w:cs="Arial"/>
          <w:i/>
          <w:iCs/>
          <w:color w:val="000000" w:themeColor="text1"/>
          <w:lang w:val="es-ES"/>
        </w:rPr>
        <w:t>entre otros</w:t>
      </w:r>
      <w:r w:rsidRPr="005D3BFD">
        <w:rPr>
          <w:rFonts w:ascii="Verdana" w:eastAsia="Calibri" w:hAnsi="Verdana" w:cs="Arial"/>
          <w:color w:val="000000" w:themeColor="text1"/>
          <w:lang w:val="es-ES"/>
        </w:rPr>
        <w:t>, los siguientes: (i) la capacidad jurídica, (</w:t>
      </w:r>
      <w:proofErr w:type="spellStart"/>
      <w:r w:rsidRPr="005D3BFD">
        <w:rPr>
          <w:rFonts w:ascii="Verdana" w:eastAsia="Calibri" w:hAnsi="Verdana" w:cs="Arial"/>
          <w:color w:val="000000" w:themeColor="text1"/>
          <w:lang w:val="es-ES"/>
        </w:rPr>
        <w:t>ii</w:t>
      </w:r>
      <w:proofErr w:type="spellEnd"/>
      <w:r w:rsidRPr="005D3BFD">
        <w:rPr>
          <w:rFonts w:ascii="Verdana" w:eastAsia="Calibri" w:hAnsi="Verdana" w:cs="Arial"/>
          <w:color w:val="000000" w:themeColor="text1"/>
          <w:lang w:val="es-ES"/>
        </w:rPr>
        <w:t>) la experiencia, (</w:t>
      </w:r>
      <w:proofErr w:type="spellStart"/>
      <w:r w:rsidRPr="005D3BFD">
        <w:rPr>
          <w:rFonts w:ascii="Verdana" w:eastAsia="Calibri" w:hAnsi="Verdana" w:cs="Arial"/>
          <w:color w:val="000000" w:themeColor="text1"/>
          <w:lang w:val="es-ES"/>
        </w:rPr>
        <w:t>iii</w:t>
      </w:r>
      <w:proofErr w:type="spellEnd"/>
      <w:r w:rsidRPr="005D3BFD">
        <w:rPr>
          <w:rFonts w:ascii="Verdana" w:eastAsia="Calibri" w:hAnsi="Verdana" w:cs="Arial"/>
          <w:color w:val="000000" w:themeColor="text1"/>
          <w:lang w:val="es-ES"/>
        </w:rPr>
        <w:t xml:space="preserve">) la </w:t>
      </w:r>
      <w:r w:rsidRPr="00181D62">
        <w:rPr>
          <w:rFonts w:ascii="Verdana" w:eastAsia="Calibri" w:hAnsi="Verdana" w:cs="Arial"/>
          <w:i/>
          <w:iCs/>
          <w:color w:val="000000" w:themeColor="text1"/>
          <w:lang w:val="es-ES"/>
        </w:rPr>
        <w:t xml:space="preserve">capacidad financiera </w:t>
      </w:r>
      <w:r w:rsidRPr="005D3BFD">
        <w:rPr>
          <w:rFonts w:ascii="Verdana" w:eastAsia="Calibri" w:hAnsi="Verdana" w:cs="Arial"/>
          <w:color w:val="000000" w:themeColor="text1"/>
          <w:lang w:val="es-ES"/>
        </w:rPr>
        <w:t>y (</w:t>
      </w:r>
      <w:proofErr w:type="spellStart"/>
      <w:r w:rsidRPr="005D3BFD">
        <w:rPr>
          <w:rFonts w:ascii="Verdana" w:eastAsia="Calibri" w:hAnsi="Verdana" w:cs="Arial"/>
          <w:color w:val="000000" w:themeColor="text1"/>
          <w:lang w:val="es-ES"/>
        </w:rPr>
        <w:t>iv</w:t>
      </w:r>
      <w:proofErr w:type="spellEnd"/>
      <w:r w:rsidRPr="005D3BFD">
        <w:rPr>
          <w:rFonts w:ascii="Verdana" w:eastAsia="Calibri" w:hAnsi="Verdana" w:cs="Arial"/>
          <w:color w:val="000000" w:themeColor="text1"/>
          <w:lang w:val="es-ES"/>
        </w:rPr>
        <w:t xml:space="preserve">) la capacidad de organización. Al respecto, la norma citada dispone: </w:t>
      </w:r>
    </w:p>
    <w:p w14:paraId="6452D405" w14:textId="77777777" w:rsidR="00504B87" w:rsidRPr="005D3BFD" w:rsidRDefault="00504B87" w:rsidP="00181D62">
      <w:pPr>
        <w:spacing w:after="0" w:line="276" w:lineRule="auto"/>
        <w:ind w:firstLine="709"/>
        <w:jc w:val="both"/>
        <w:rPr>
          <w:rFonts w:ascii="Verdana" w:eastAsia="Calibri" w:hAnsi="Verdana" w:cs="Arial"/>
          <w:color w:val="000000" w:themeColor="text1"/>
          <w:lang w:val="es-ES"/>
        </w:rPr>
      </w:pPr>
    </w:p>
    <w:p w14:paraId="3AE13DD9" w14:textId="77777777" w:rsidR="005D3BFD" w:rsidRPr="00181D62" w:rsidRDefault="005D3BFD" w:rsidP="00181D62">
      <w:pPr>
        <w:spacing w:after="0" w:line="240" w:lineRule="auto"/>
        <w:ind w:left="709" w:right="709"/>
        <w:jc w:val="both"/>
        <w:rPr>
          <w:rFonts w:ascii="Verdana" w:eastAsia="Calibri" w:hAnsi="Verdana" w:cs="Arial"/>
          <w:color w:val="000000" w:themeColor="text1"/>
          <w:sz w:val="20"/>
          <w:szCs w:val="20"/>
          <w:lang w:val="es-ES"/>
        </w:rPr>
      </w:pPr>
      <w:r w:rsidRPr="00181D62">
        <w:rPr>
          <w:rFonts w:ascii="Verdana" w:eastAsia="Calibri" w:hAnsi="Verdana" w:cs="Arial"/>
          <w:color w:val="000000" w:themeColor="text1"/>
          <w:sz w:val="20"/>
          <w:szCs w:val="20"/>
          <w:lang w:val="es-ES"/>
        </w:rPr>
        <w:t xml:space="preserve">“Artículo 5. De la Selección Objetiva. </w:t>
      </w:r>
    </w:p>
    <w:p w14:paraId="6E0E9455" w14:textId="77777777" w:rsidR="005D3BFD" w:rsidRPr="00181D62" w:rsidRDefault="005D3BFD" w:rsidP="00181D62">
      <w:pPr>
        <w:spacing w:after="0" w:line="240" w:lineRule="auto"/>
        <w:ind w:left="709" w:right="709"/>
        <w:jc w:val="both"/>
        <w:rPr>
          <w:rFonts w:ascii="Verdana" w:eastAsia="Calibri" w:hAnsi="Verdana" w:cs="Arial"/>
          <w:color w:val="000000" w:themeColor="text1"/>
          <w:sz w:val="20"/>
          <w:szCs w:val="20"/>
          <w:lang w:val="es-ES"/>
        </w:rPr>
      </w:pPr>
      <w:r w:rsidRPr="00181D62">
        <w:rPr>
          <w:rFonts w:ascii="Verdana" w:eastAsia="Calibri" w:hAnsi="Verdana" w:cs="Arial"/>
          <w:color w:val="000000" w:themeColor="text1"/>
          <w:sz w:val="20"/>
          <w:szCs w:val="20"/>
          <w:lang w:val="es-ES"/>
        </w:rPr>
        <w:lastRenderedPageBreak/>
        <w:t>[…]</w:t>
      </w:r>
    </w:p>
    <w:p w14:paraId="405D6D4D" w14:textId="77777777" w:rsidR="005D3BFD" w:rsidRPr="00181D62" w:rsidRDefault="005D3BFD" w:rsidP="00181D62">
      <w:pPr>
        <w:spacing w:after="0" w:line="240" w:lineRule="auto"/>
        <w:ind w:left="709" w:right="709"/>
        <w:jc w:val="both"/>
        <w:rPr>
          <w:rFonts w:ascii="Verdana" w:eastAsia="Calibri" w:hAnsi="Verdana" w:cs="Arial"/>
          <w:color w:val="000000" w:themeColor="text1"/>
          <w:sz w:val="20"/>
          <w:szCs w:val="20"/>
          <w:lang w:val="es-ES"/>
        </w:rPr>
      </w:pPr>
      <w:r w:rsidRPr="00181D62">
        <w:rPr>
          <w:rFonts w:ascii="Verdana" w:eastAsia="Calibri" w:hAnsi="Verdana" w:cs="Arial"/>
          <w:color w:val="000000" w:themeColor="text1"/>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13A3E7EC" w14:textId="77777777" w:rsidR="00504B87" w:rsidRDefault="00504B87" w:rsidP="00181D62">
      <w:pPr>
        <w:spacing w:after="0" w:line="276" w:lineRule="auto"/>
        <w:ind w:firstLine="709"/>
        <w:jc w:val="both"/>
        <w:rPr>
          <w:rFonts w:ascii="Verdana" w:eastAsia="Calibri" w:hAnsi="Verdana" w:cs="Arial"/>
          <w:color w:val="000000" w:themeColor="text1"/>
          <w:lang w:val="es-ES"/>
        </w:rPr>
      </w:pPr>
    </w:p>
    <w:p w14:paraId="5B36F684" w14:textId="26529943" w:rsidR="005D3BFD" w:rsidRPr="005D3BFD" w:rsidRDefault="005D3BFD" w:rsidP="00181D62">
      <w:pPr>
        <w:spacing w:after="120" w:line="276" w:lineRule="auto"/>
        <w:ind w:firstLine="708"/>
        <w:jc w:val="both"/>
        <w:rPr>
          <w:rFonts w:ascii="Verdana" w:eastAsia="Calibri" w:hAnsi="Verdana" w:cs="Arial"/>
          <w:color w:val="000000" w:themeColor="text1"/>
          <w:lang w:val="es-ES"/>
        </w:rPr>
      </w:pPr>
      <w:r w:rsidRPr="005D3BFD">
        <w:rPr>
          <w:rFonts w:ascii="Verdana" w:eastAsia="Calibri" w:hAnsi="Verdana" w:cs="Arial"/>
          <w:color w:val="000000" w:themeColor="text1"/>
          <w:lang w:val="es-ES"/>
        </w:rPr>
        <w:t xml:space="preserve">Conforme lo ha sostenido esta Agencia en distintos conceptos, los requisitos habilitantes establecidos en el artículo 5, numeral 1, de la Ley 1150 de 2007 son de carácter </w:t>
      </w:r>
      <w:r w:rsidRPr="005D3BFD">
        <w:rPr>
          <w:rFonts w:ascii="Verdana" w:eastAsia="Calibri" w:hAnsi="Verdana" w:cs="Arial"/>
          <w:i/>
          <w:iCs/>
          <w:color w:val="000000" w:themeColor="text1"/>
          <w:lang w:val="es-ES"/>
        </w:rPr>
        <w:t xml:space="preserve">enunciativo </w:t>
      </w:r>
      <w:r w:rsidRPr="005D3BFD">
        <w:rPr>
          <w:rFonts w:ascii="Verdana" w:eastAsia="Calibri" w:hAnsi="Verdana" w:cs="Arial"/>
          <w:color w:val="000000" w:themeColor="text1"/>
          <w:lang w:val="es-ES"/>
        </w:rPr>
        <w:t>y no taxativo. Esta interpretación legal se resume en los siguientes argumentos</w:t>
      </w:r>
      <w:r w:rsidR="00EA6C8B">
        <w:rPr>
          <w:rFonts w:ascii="Verdana" w:eastAsia="Calibri" w:hAnsi="Verdana" w:cs="Arial"/>
          <w:color w:val="000000" w:themeColor="text1"/>
          <w:lang w:val="es-ES"/>
        </w:rPr>
        <w:t>. P</w:t>
      </w:r>
      <w:r w:rsidRPr="005D3BFD">
        <w:rPr>
          <w:rFonts w:ascii="Verdana" w:eastAsia="Calibri" w:hAnsi="Verdana" w:cs="Arial"/>
          <w:color w:val="000000" w:themeColor="text1"/>
          <w:lang w:val="es-ES"/>
        </w:rPr>
        <w:t>or un lado, esta norma no contiene una expresión como “únicamente” o “solo” al referirse a los requisitos habilitantes, sino que señala de forma taxativa que el listado puede comprender los requisitos enunciados “entre otros”</w:t>
      </w:r>
      <w:r w:rsidR="00EA6C8B">
        <w:rPr>
          <w:rFonts w:ascii="Verdana" w:eastAsia="Calibri" w:hAnsi="Verdana" w:cs="Arial"/>
          <w:color w:val="000000" w:themeColor="text1"/>
          <w:lang w:val="es-ES"/>
        </w:rPr>
        <w:t>.</w:t>
      </w:r>
      <w:r w:rsidR="00132296">
        <w:rPr>
          <w:rFonts w:ascii="Verdana" w:eastAsia="Calibri" w:hAnsi="Verdana" w:cs="Arial"/>
          <w:color w:val="000000" w:themeColor="text1"/>
          <w:lang w:val="es-ES"/>
        </w:rPr>
        <w:t xml:space="preserve"> </w:t>
      </w:r>
      <w:r w:rsidR="00EA6C8B" w:rsidRPr="005D3BFD">
        <w:rPr>
          <w:rFonts w:ascii="Verdana" w:eastAsia="Calibri" w:hAnsi="Verdana" w:cs="Arial"/>
          <w:color w:val="000000" w:themeColor="text1"/>
          <w:lang w:val="es-ES"/>
        </w:rPr>
        <w:t xml:space="preserve">Por </w:t>
      </w:r>
      <w:r w:rsidRPr="005D3BFD">
        <w:rPr>
          <w:rFonts w:ascii="Verdana" w:eastAsia="Calibri" w:hAnsi="Verdana" w:cs="Arial"/>
          <w:color w:val="000000" w:themeColor="text1"/>
          <w:lang w:val="es-ES"/>
        </w:rPr>
        <w:t>otra parte, una lectura integral de las normas que regulan la contratación estatal permite concluir que existen otras condiciones que los proponentes deben cumplir para la contratación con una Entidad Estatal, como es el caso de la capacidad residual a la que se refiere el artículo 6º de la Ley 1150 de 2007</w:t>
      </w:r>
      <w:r w:rsidRPr="005D3BFD">
        <w:rPr>
          <w:rFonts w:ascii="Verdana" w:eastAsia="Calibri" w:hAnsi="Verdana" w:cs="Arial"/>
          <w:color w:val="000000" w:themeColor="text1"/>
          <w:vertAlign w:val="superscript"/>
          <w:lang w:val="es-ES"/>
        </w:rPr>
        <w:footnoteReference w:id="3"/>
      </w:r>
      <w:r w:rsidRPr="005D3BFD">
        <w:rPr>
          <w:rFonts w:ascii="Verdana" w:eastAsia="Calibri" w:hAnsi="Verdana" w:cs="Arial"/>
          <w:color w:val="000000" w:themeColor="text1"/>
          <w:lang w:val="es-ES"/>
        </w:rPr>
        <w:t>.</w:t>
      </w:r>
    </w:p>
    <w:p w14:paraId="669C1418" w14:textId="77777777" w:rsidR="005D3BFD" w:rsidRPr="005D3BFD" w:rsidRDefault="005D3BFD" w:rsidP="005D3BFD">
      <w:pPr>
        <w:widowControl w:val="0"/>
        <w:autoSpaceDE w:val="0"/>
        <w:autoSpaceDN w:val="0"/>
        <w:spacing w:before="120" w:after="120" w:line="276" w:lineRule="auto"/>
        <w:ind w:firstLine="709"/>
        <w:jc w:val="both"/>
        <w:rPr>
          <w:rFonts w:ascii="Verdana" w:eastAsia="Calibri" w:hAnsi="Verdana" w:cs="Arial"/>
          <w:color w:val="000000" w:themeColor="text1"/>
          <w:lang w:val="es-ES"/>
        </w:rPr>
      </w:pPr>
      <w:r w:rsidRPr="005D3BFD">
        <w:rPr>
          <w:rFonts w:ascii="Verdana" w:eastAsia="Calibri" w:hAnsi="Verdana" w:cs="Arial"/>
          <w:color w:val="000000" w:themeColor="text1"/>
          <w:lang w:val="es-ES"/>
        </w:rPr>
        <w:t xml:space="preserve">En consecuencia, corresponde a las Entidades Estatales, durante la etapa de planeación del contrato, estudiar y determinar los requisitos habilitantes que establecerán en los pliegos de condiciones, los cuales deben fijarse de forma adecuada y proporcional. Según el artículo 2.2.1.1.1.6.2 del Decreto 1082 de 2015, las entidades deben hacer lo anterior de acuerdo </w:t>
      </w:r>
      <w:bookmarkStart w:id="2" w:name="_Hlk182863897"/>
      <w:r w:rsidRPr="005D3BFD">
        <w:rPr>
          <w:rFonts w:ascii="Verdana" w:eastAsia="Calibri" w:hAnsi="Verdana" w:cs="Arial"/>
          <w:color w:val="000000" w:themeColor="text1"/>
          <w:lang w:val="es-ES"/>
        </w:rPr>
        <w:t>con la naturaleza, el valor del contrato, la forma de pago, los riesgos asociados, el plazo y la complejidad de ejecución del objeto</w:t>
      </w:r>
      <w:r w:rsidRPr="005D3BFD">
        <w:rPr>
          <w:rFonts w:ascii="Verdana" w:eastAsia="Calibri" w:hAnsi="Verdana" w:cs="Arial"/>
          <w:color w:val="000000" w:themeColor="text1"/>
          <w:vertAlign w:val="superscript"/>
          <w:lang w:val="es-ES"/>
        </w:rPr>
        <w:footnoteReference w:id="4"/>
      </w:r>
      <w:r w:rsidRPr="005D3BFD">
        <w:rPr>
          <w:rFonts w:ascii="Verdana" w:eastAsia="Calibri" w:hAnsi="Verdana" w:cs="Arial"/>
          <w:color w:val="000000" w:themeColor="text1"/>
          <w:lang w:val="es-ES"/>
        </w:rPr>
        <w:t>.</w:t>
      </w:r>
      <w:bookmarkEnd w:id="2"/>
      <w:r w:rsidRPr="005D3BFD">
        <w:rPr>
          <w:rFonts w:ascii="Verdana" w:eastAsia="Calibri" w:hAnsi="Verdana" w:cs="Arial"/>
          <w:color w:val="000000" w:themeColor="text1"/>
          <w:lang w:val="es-ES"/>
        </w:rPr>
        <w:t xml:space="preserve"> Esta facultad, además implica que las </w:t>
      </w:r>
      <w:r w:rsidRPr="005D3BFD">
        <w:rPr>
          <w:rFonts w:ascii="Verdana" w:eastAsia="Calibri" w:hAnsi="Verdana" w:cs="Arial"/>
          <w:color w:val="000000" w:themeColor="text1"/>
          <w:lang w:val="es-ES"/>
        </w:rPr>
        <w:lastRenderedPageBreak/>
        <w:t xml:space="preserve">entidades deben establecer la forma en que los proponentes acreditarán estos requisitos y la manera en que la entidad verificará su cumplimiento. </w:t>
      </w:r>
    </w:p>
    <w:p w14:paraId="0CBBDD60" w14:textId="77777777" w:rsidR="005D3BFD" w:rsidRPr="005D3BFD" w:rsidRDefault="005D3BFD" w:rsidP="005D3BFD">
      <w:pPr>
        <w:spacing w:before="120" w:after="120" w:line="276" w:lineRule="auto"/>
        <w:ind w:firstLine="709"/>
        <w:jc w:val="both"/>
        <w:rPr>
          <w:rFonts w:ascii="Verdana" w:eastAsia="Calibri" w:hAnsi="Verdana" w:cs="Arial"/>
          <w:color w:val="000000"/>
          <w:lang w:val="es-ES" w:eastAsia="es-ES_tradnl"/>
        </w:rPr>
      </w:pPr>
      <w:r w:rsidRPr="005D3BFD">
        <w:rPr>
          <w:rFonts w:ascii="Verdana" w:eastAsia="Calibri" w:hAnsi="Verdana" w:cs="Arial"/>
          <w:color w:val="000000"/>
          <w:lang w:val="es-ES" w:eastAsia="es-ES_tradnl"/>
        </w:rPr>
        <w:t xml:space="preserve">Ahora bien, dentro de los requisitos habilitantes se destaca la capacidad financiera, la cual </w:t>
      </w:r>
      <w:r w:rsidRPr="005D3BFD">
        <w:rPr>
          <w:rFonts w:ascii="Verdana" w:eastAsia="Calibri" w:hAnsi="Verdana" w:cs="Arial"/>
          <w:lang w:val="es-ES"/>
        </w:rPr>
        <w:t xml:space="preserve">se deriva del comportamiento contable de la empresa, su liquidez y endeudamiento, para determinar que sus recursos y solidez le permiten cumplir los compromisos que adquiera. Como explica esta Agencia en el </w:t>
      </w:r>
      <w:r w:rsidRPr="005D3BFD">
        <w:rPr>
          <w:rFonts w:ascii="Verdana" w:eastAsia="Calibri" w:hAnsi="Verdana" w:cs="Arial"/>
          <w:i/>
          <w:iCs/>
          <w:lang w:val="es-ES"/>
        </w:rPr>
        <w:t>Manual para determinar y verificar los requisitos habilitantes en los procesos de contratación</w:t>
      </w:r>
      <w:r w:rsidRPr="005D3BFD">
        <w:rPr>
          <w:rFonts w:ascii="Verdana" w:eastAsia="Calibri" w:hAnsi="Verdana" w:cs="Arial"/>
          <w:lang w:val="es-ES"/>
        </w:rPr>
        <w:t>: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5D3BFD">
        <w:rPr>
          <w:rFonts w:ascii="Verdana" w:hAnsi="Verdana" w:cs="Arial"/>
          <w:color w:val="000000"/>
          <w:vertAlign w:val="superscript"/>
          <w:lang w:val="es-ES" w:eastAsia="es-ES_tradnl"/>
        </w:rPr>
        <w:footnoteReference w:id="5"/>
      </w:r>
      <w:r w:rsidRPr="005D3BFD">
        <w:rPr>
          <w:rFonts w:ascii="Verdana" w:eastAsia="Calibri" w:hAnsi="Verdana" w:cs="Arial"/>
          <w:color w:val="000000"/>
          <w:lang w:val="es-ES" w:eastAsia="es-ES_tradnl"/>
        </w:rPr>
        <w:t xml:space="preserve">. </w:t>
      </w:r>
    </w:p>
    <w:p w14:paraId="1E285AA2" w14:textId="77777777" w:rsidR="005D3BFD" w:rsidRPr="005D3BFD" w:rsidRDefault="005D3BFD" w:rsidP="005D3BFD">
      <w:pPr>
        <w:spacing w:before="120" w:after="120" w:line="276" w:lineRule="auto"/>
        <w:ind w:firstLine="709"/>
        <w:jc w:val="both"/>
        <w:rPr>
          <w:rFonts w:ascii="Verdana" w:eastAsia="Calibri" w:hAnsi="Verdana" w:cs="Arial"/>
          <w:color w:val="000000"/>
          <w:lang w:val="es-ES" w:eastAsia="es-ES_tradnl"/>
        </w:rPr>
      </w:pPr>
      <w:r w:rsidRPr="005D3BFD">
        <w:rPr>
          <w:rFonts w:ascii="Verdana" w:eastAsia="Calibri" w:hAnsi="Verdana" w:cs="Arial"/>
          <w:color w:val="000000"/>
          <w:lang w:val="es-ES" w:eastAsia="es-ES_tradnl"/>
        </w:rPr>
        <w:t>Para este fin, la Entidad Estatal, como responsable de la estructuración de su procedimiento de selección, es autónoma para determinar la capacidad financiera requerida de acuerdo con el objeto contractual que pretende satisfacer. No obstante, en atención a lo dispuesto en el artículo 2.2.1.1.1.6.2 del Decreto 1082 de 2015, debe establecerla con sustento en el estudio del sector</w:t>
      </w:r>
      <w:r w:rsidRPr="005D3BFD">
        <w:rPr>
          <w:rFonts w:ascii="Verdana" w:hAnsi="Verdana" w:cs="Arial"/>
          <w:color w:val="000000"/>
          <w:vertAlign w:val="superscript"/>
          <w:lang w:val="es-ES" w:eastAsia="es-ES_tradnl"/>
        </w:rPr>
        <w:footnoteReference w:id="6"/>
      </w:r>
      <w:r w:rsidRPr="005D3BFD">
        <w:rPr>
          <w:rFonts w:ascii="Verdana" w:eastAsia="Calibri" w:hAnsi="Verdana" w:cs="Arial"/>
          <w:color w:val="000000"/>
          <w:lang w:val="es-ES" w:eastAsia="es-ES_tradnl"/>
        </w:rPr>
        <w:t xml:space="preserve"> y sus componentes, como la identificación de riesgos, el mercado y precio del bien, obra o servicio a contratar</w:t>
      </w:r>
      <w:r w:rsidRPr="005D3BFD">
        <w:rPr>
          <w:rFonts w:ascii="Verdana" w:hAnsi="Verdana" w:cs="Arial"/>
          <w:color w:val="000000"/>
          <w:vertAlign w:val="superscript"/>
          <w:lang w:val="es-ES" w:eastAsia="es-ES_tradnl"/>
        </w:rPr>
        <w:footnoteReference w:id="7"/>
      </w:r>
      <w:r w:rsidRPr="005D3BFD">
        <w:rPr>
          <w:rFonts w:ascii="Verdana" w:eastAsia="Calibri" w:hAnsi="Verdana" w:cs="Arial"/>
          <w:color w:val="000000"/>
          <w:lang w:val="es-ES" w:eastAsia="es-ES_tradnl"/>
        </w:rPr>
        <w:t>.</w:t>
      </w:r>
    </w:p>
    <w:p w14:paraId="03B6A52E" w14:textId="77777777" w:rsidR="005E5446" w:rsidRDefault="005D3BFD" w:rsidP="005D3BFD">
      <w:pPr>
        <w:spacing w:before="120" w:after="120" w:line="276" w:lineRule="auto"/>
        <w:ind w:firstLine="709"/>
        <w:jc w:val="both"/>
        <w:rPr>
          <w:rFonts w:ascii="Verdana" w:eastAsia="Calibri" w:hAnsi="Verdana" w:cs="Arial"/>
          <w:color w:val="000000"/>
          <w:lang w:val="es-ES" w:eastAsia="es-ES_tradnl"/>
        </w:rPr>
      </w:pPr>
      <w:r w:rsidRPr="005D3BFD">
        <w:rPr>
          <w:rFonts w:ascii="Verdana" w:eastAsia="Calibri" w:hAnsi="Verdana" w:cs="Arial"/>
          <w:color w:val="000000"/>
          <w:lang w:val="es-ES" w:eastAsia="es-ES_tradnl"/>
        </w:rPr>
        <w:t>Por otra parte, la entidad puede medir l</w:t>
      </w:r>
      <w:r w:rsidRPr="005D3BFD">
        <w:rPr>
          <w:rFonts w:ascii="Verdana" w:hAnsi="Verdana"/>
          <w:color w:val="000000" w:themeColor="text1"/>
          <w:lang w:val="es-ES"/>
        </w:rPr>
        <w:t>a capacidad financiera con diferentes indicadores</w:t>
      </w:r>
      <w:r w:rsidRPr="005D3BFD">
        <w:rPr>
          <w:rFonts w:ascii="Verdana" w:hAnsi="Verdana"/>
          <w:color w:val="000000" w:themeColor="text1"/>
          <w:vertAlign w:val="superscript"/>
          <w:lang w:val="es-ES"/>
        </w:rPr>
        <w:footnoteReference w:id="8"/>
      </w:r>
      <w:r w:rsidRPr="005D3BFD">
        <w:rPr>
          <w:rFonts w:ascii="Verdana" w:hAnsi="Verdana"/>
          <w:color w:val="000000" w:themeColor="text1"/>
          <w:lang w:val="es-ES"/>
        </w:rPr>
        <w:t xml:space="preserve"> que se verifican con el Registro Único de Proponentes </w:t>
      </w:r>
      <w:r w:rsidRPr="005D3BFD">
        <w:rPr>
          <w:rFonts w:ascii="Verdana" w:hAnsi="Verdana"/>
          <w:color w:val="000000" w:themeColor="text1"/>
          <w:lang w:val="es-ES"/>
        </w:rPr>
        <w:lastRenderedPageBreak/>
        <w:t>(RUP), cuando este certificado sea exigible de acuerdo con la Ley, que es su plena prueba, sin que le sea posible a la entidad o al proponente solicitar o aportar otra documentación</w:t>
      </w:r>
      <w:r w:rsidRPr="005D3BFD">
        <w:rPr>
          <w:rFonts w:ascii="Verdana" w:hAnsi="Verdana"/>
          <w:color w:val="000000" w:themeColor="text1"/>
          <w:vertAlign w:val="superscript"/>
          <w:lang w:val="es-ES"/>
        </w:rPr>
        <w:footnoteReference w:id="9"/>
      </w:r>
      <w:r w:rsidRPr="005D3BFD">
        <w:rPr>
          <w:rFonts w:ascii="Verdana" w:hAnsi="Verdana"/>
          <w:color w:val="000000" w:themeColor="text1"/>
          <w:lang w:val="es-ES"/>
        </w:rPr>
        <w:t>.</w:t>
      </w:r>
      <w:r w:rsidRPr="005D3BFD">
        <w:rPr>
          <w:rFonts w:ascii="Verdana" w:eastAsia="Calibri" w:hAnsi="Verdana" w:cs="Arial"/>
          <w:color w:val="000000"/>
          <w:lang w:val="es-ES" w:eastAsia="es-ES_tradnl"/>
        </w:rPr>
        <w:t xml:space="preserve"> En atención a esto, para los trámites de inscripción, renovación y actualización, el numeral 2.3 del artículo 2.2.1.1.1.5.2 del Decreto 1082 de 2015 exige la presentación de los </w:t>
      </w:r>
      <w:r w:rsidRPr="005D3BFD">
        <w:rPr>
          <w:rFonts w:ascii="Verdana" w:eastAsia="Calibri" w:hAnsi="Verdana" w:cs="Arial"/>
          <w:i/>
          <w:iCs/>
          <w:color w:val="000000"/>
          <w:lang w:val="es-ES" w:eastAsia="es-ES_tradnl"/>
        </w:rPr>
        <w:t>“</w:t>
      </w:r>
      <w:r w:rsidRPr="005D3BFD">
        <w:rPr>
          <w:rFonts w:ascii="Verdana" w:hAnsi="Verdana" w:cs="Arial"/>
          <w:i/>
          <w:iCs/>
          <w:color w:val="000000"/>
          <w:lang w:val="es-ES"/>
        </w:rPr>
        <w:t>Estados financieros de la sociedad y los estados financieros consolidados del grupo empresarial, cuando la norma aplicable lo exige, auditados con sus notas […]”</w:t>
      </w:r>
      <w:r w:rsidRPr="005D3BFD">
        <w:rPr>
          <w:rFonts w:ascii="Verdana" w:eastAsia="Calibri" w:hAnsi="Verdana" w:cs="Arial"/>
          <w:color w:val="000000"/>
          <w:lang w:val="es-ES" w:eastAsia="es-ES_tradnl"/>
        </w:rPr>
        <w:t>, además de unos anexos dirigidos a servir de medio de verificación de la salud financiera de los proponentes</w:t>
      </w:r>
      <w:r w:rsidRPr="005D3BFD">
        <w:rPr>
          <w:rFonts w:ascii="Verdana" w:eastAsia="Calibri" w:hAnsi="Verdana" w:cs="Arial"/>
          <w:color w:val="000000"/>
          <w:vertAlign w:val="superscript"/>
          <w:lang w:val="es-ES" w:eastAsia="es-ES_tradnl"/>
        </w:rPr>
        <w:footnoteReference w:id="10"/>
      </w:r>
      <w:r w:rsidRPr="005D3BFD">
        <w:rPr>
          <w:rFonts w:ascii="Verdana" w:eastAsia="Calibri" w:hAnsi="Verdana" w:cs="Arial"/>
          <w:color w:val="000000"/>
          <w:lang w:val="es-ES" w:eastAsia="es-ES_tradnl"/>
        </w:rPr>
        <w:t xml:space="preserve">.  </w:t>
      </w:r>
    </w:p>
    <w:p w14:paraId="0D29B985" w14:textId="4F36C880" w:rsidR="005D3BFD" w:rsidRPr="005D3BFD" w:rsidRDefault="005D3BFD" w:rsidP="005D3BFD">
      <w:pPr>
        <w:spacing w:before="120" w:after="120" w:line="276" w:lineRule="auto"/>
        <w:ind w:firstLine="709"/>
        <w:jc w:val="both"/>
        <w:rPr>
          <w:rFonts w:ascii="Verdana" w:eastAsia="Calibri" w:hAnsi="Verdana" w:cs="Arial"/>
          <w:color w:val="000000"/>
          <w:lang w:val="es-ES" w:eastAsia="es-ES_tradnl"/>
        </w:rPr>
      </w:pPr>
      <w:r w:rsidRPr="005D3BFD">
        <w:rPr>
          <w:rFonts w:ascii="Verdana" w:eastAsia="Calibri" w:hAnsi="Verdana" w:cs="Arial"/>
          <w:color w:val="000000"/>
          <w:lang w:val="es-ES" w:eastAsia="es-ES_tradnl"/>
        </w:rPr>
        <w:t xml:space="preserve">De este modo, lo que se verifica con el registro es que el proponente cumpla con los indicadores financieros solicitados por la entidad para medir la capacidad financiera requerida para el procedimiento de selección. </w:t>
      </w:r>
    </w:p>
    <w:p w14:paraId="14BECD6E" w14:textId="77777777" w:rsidR="005D3BFD" w:rsidRPr="005D3BFD" w:rsidRDefault="005D3BFD" w:rsidP="005D3BFD">
      <w:pPr>
        <w:spacing w:before="120" w:after="120" w:line="276" w:lineRule="auto"/>
        <w:ind w:firstLine="709"/>
        <w:jc w:val="both"/>
        <w:rPr>
          <w:rFonts w:ascii="Verdana" w:eastAsia="Calibri" w:hAnsi="Verdana" w:cs="Arial"/>
          <w:color w:val="000000"/>
          <w:lang w:val="es-ES" w:eastAsia="es-ES_tradnl"/>
        </w:rPr>
      </w:pPr>
      <w:r w:rsidRPr="005D3BFD">
        <w:rPr>
          <w:rFonts w:ascii="Verdana" w:eastAsia="Calibri" w:hAnsi="Verdana" w:cs="Arial"/>
          <w:color w:val="000000"/>
          <w:lang w:val="es-ES" w:eastAsia="es-ES"/>
        </w:rPr>
        <w:lastRenderedPageBreak/>
        <w:t xml:space="preserve">Ahora bien, el artículo 2.2.1.1.1.5.3. del Decreto 1082 de 2015 establece como indicadores de capacidad financiera los siguientes: (i) el </w:t>
      </w:r>
      <w:r w:rsidRPr="005D3BFD">
        <w:rPr>
          <w:rFonts w:ascii="Verdana" w:eastAsia="Calibri" w:hAnsi="Verdana" w:cs="Arial"/>
          <w:i/>
          <w:iCs/>
          <w:color w:val="000000"/>
          <w:lang w:val="es-ES" w:eastAsia="es-ES"/>
        </w:rPr>
        <w:t>índice de liquidez</w:t>
      </w:r>
      <w:r w:rsidRPr="005D3BFD">
        <w:rPr>
          <w:rFonts w:ascii="Verdana" w:eastAsia="Calibri" w:hAnsi="Verdana" w:cs="Arial"/>
          <w:color w:val="000000"/>
          <w:lang w:val="es-ES" w:eastAsia="es-ES"/>
        </w:rPr>
        <w:t>, que corresponde a la división entre el activo corriente y el pasivo corriente, y que determina la capacidad que tiene el proponente para cumplir con sus obligaciones de corto plazo; (</w:t>
      </w:r>
      <w:proofErr w:type="spellStart"/>
      <w:r w:rsidRPr="005D3BFD">
        <w:rPr>
          <w:rFonts w:ascii="Verdana" w:eastAsia="Calibri" w:hAnsi="Verdana" w:cs="Arial"/>
          <w:color w:val="000000"/>
          <w:lang w:val="es-ES" w:eastAsia="es-ES"/>
        </w:rPr>
        <w:t>ii</w:t>
      </w:r>
      <w:proofErr w:type="spellEnd"/>
      <w:r w:rsidRPr="005D3BFD">
        <w:rPr>
          <w:rFonts w:ascii="Verdana" w:eastAsia="Calibri" w:hAnsi="Verdana" w:cs="Arial"/>
          <w:color w:val="000000"/>
          <w:lang w:val="es-ES" w:eastAsia="es-ES"/>
        </w:rPr>
        <w:t xml:space="preserve">) el </w:t>
      </w:r>
      <w:r w:rsidRPr="005D3BFD">
        <w:rPr>
          <w:rFonts w:ascii="Verdana" w:eastAsia="Calibri" w:hAnsi="Verdana" w:cs="Arial"/>
          <w:i/>
          <w:iCs/>
          <w:color w:val="000000"/>
          <w:lang w:val="es-ES" w:eastAsia="es-ES"/>
        </w:rPr>
        <w:t>índice de endeudamiento</w:t>
      </w:r>
      <w:r w:rsidRPr="005D3BFD">
        <w:rPr>
          <w:rFonts w:ascii="Verdana" w:eastAsia="Calibri" w:hAnsi="Verdana" w:cs="Arial"/>
          <w:color w:val="000000"/>
          <w:lang w:val="es-ES" w:eastAsia="es-ES"/>
        </w:rPr>
        <w:t>, que se calcula dividiendo el pasivo total por el activo total, el cual determina el grado de endeudamiento en la estructura de financiación del proponente; y (</w:t>
      </w:r>
      <w:proofErr w:type="spellStart"/>
      <w:r w:rsidRPr="005D3BFD">
        <w:rPr>
          <w:rFonts w:ascii="Verdana" w:eastAsia="Calibri" w:hAnsi="Verdana" w:cs="Arial"/>
          <w:color w:val="000000"/>
          <w:lang w:val="es-ES" w:eastAsia="es-ES"/>
        </w:rPr>
        <w:t>iii</w:t>
      </w:r>
      <w:proofErr w:type="spellEnd"/>
      <w:r w:rsidRPr="005D3BFD">
        <w:rPr>
          <w:rFonts w:ascii="Verdana" w:eastAsia="Calibri" w:hAnsi="Verdana" w:cs="Arial"/>
          <w:color w:val="000000"/>
          <w:lang w:val="es-ES" w:eastAsia="es-ES"/>
        </w:rPr>
        <w:t xml:space="preserve">) la </w:t>
      </w:r>
      <w:r w:rsidRPr="005D3BFD">
        <w:rPr>
          <w:rFonts w:ascii="Verdana" w:eastAsia="Calibri" w:hAnsi="Verdana" w:cs="Arial"/>
          <w:i/>
          <w:iCs/>
          <w:color w:val="000000"/>
          <w:lang w:val="es-ES" w:eastAsia="es-ES"/>
        </w:rPr>
        <w:t>razón de cobertura de intereses</w:t>
      </w:r>
      <w:r w:rsidRPr="005D3BFD">
        <w:rPr>
          <w:rFonts w:ascii="Verdana" w:eastAsia="Calibri" w:hAnsi="Verdana" w:cs="Arial"/>
          <w:color w:val="000000"/>
          <w:lang w:val="es-ES" w:eastAsia="es-ES"/>
        </w:rPr>
        <w:t xml:space="preserve">, que es igual a la utilidad operacional, sobre los gastos de intereses, y que refleja la capacidad del proponente para cumplir con sus obligaciones financieras. Adicionalmente, esta Agencia recomienda a las entidades valorar otro tipo de indicadores como el </w:t>
      </w:r>
      <w:r w:rsidRPr="005D3BFD">
        <w:rPr>
          <w:rFonts w:ascii="Verdana" w:eastAsia="Calibri" w:hAnsi="Verdana" w:cs="Arial"/>
          <w:i/>
          <w:iCs/>
          <w:color w:val="000000"/>
          <w:lang w:val="es-ES" w:eastAsia="es-ES"/>
        </w:rPr>
        <w:t>capital de trabajo</w:t>
      </w:r>
      <w:r w:rsidRPr="005D3BFD">
        <w:rPr>
          <w:rFonts w:ascii="Verdana" w:eastAsia="Calibri" w:hAnsi="Verdana" w:cs="Arial"/>
          <w:color w:val="000000"/>
          <w:lang w:val="es-ES" w:eastAsia="es-ES"/>
        </w:rPr>
        <w:t xml:space="preserve">, la </w:t>
      </w:r>
      <w:r w:rsidRPr="005D3BFD">
        <w:rPr>
          <w:rFonts w:ascii="Verdana" w:eastAsia="Calibri" w:hAnsi="Verdana" w:cs="Arial"/>
          <w:i/>
          <w:iCs/>
          <w:color w:val="000000"/>
          <w:lang w:val="es-ES" w:eastAsia="es-ES"/>
        </w:rPr>
        <w:t>razón de efectivo</w:t>
      </w:r>
      <w:r w:rsidRPr="005D3BFD">
        <w:rPr>
          <w:rFonts w:ascii="Verdana" w:eastAsia="Calibri" w:hAnsi="Verdana" w:cs="Arial"/>
          <w:color w:val="000000"/>
          <w:lang w:val="es-ES" w:eastAsia="es-ES"/>
        </w:rPr>
        <w:t xml:space="preserve">, la denominada </w:t>
      </w:r>
      <w:r w:rsidRPr="005D3BFD">
        <w:rPr>
          <w:rFonts w:ascii="Verdana" w:eastAsia="Calibri" w:hAnsi="Verdana" w:cs="Arial"/>
          <w:i/>
          <w:iCs/>
          <w:color w:val="000000"/>
          <w:lang w:val="es-ES" w:eastAsia="es-ES"/>
        </w:rPr>
        <w:t>prueba ácida</w:t>
      </w:r>
      <w:r w:rsidRPr="005D3BFD">
        <w:rPr>
          <w:rFonts w:ascii="Verdana" w:hAnsi="Verdana" w:cs="Arial"/>
          <w:vertAlign w:val="superscript"/>
          <w:lang w:val="es-ES" w:eastAsia="es-ES"/>
        </w:rPr>
        <w:footnoteReference w:id="11"/>
      </w:r>
      <w:r w:rsidRPr="005D3BFD">
        <w:rPr>
          <w:rFonts w:ascii="Verdana" w:eastAsia="Calibri" w:hAnsi="Verdana" w:cs="Arial"/>
          <w:color w:val="000000"/>
          <w:lang w:val="es-ES" w:eastAsia="es-ES"/>
        </w:rPr>
        <w:t xml:space="preserve">, la </w:t>
      </w:r>
      <w:r w:rsidRPr="005D3BFD">
        <w:rPr>
          <w:rFonts w:ascii="Verdana" w:eastAsia="Calibri" w:hAnsi="Verdana" w:cs="Arial"/>
          <w:i/>
          <w:iCs/>
          <w:color w:val="000000"/>
          <w:lang w:val="es-ES" w:eastAsia="es-ES"/>
        </w:rPr>
        <w:t xml:space="preserve">concentración de endeudamiento a corto </w:t>
      </w:r>
      <w:r w:rsidRPr="005D3BFD">
        <w:rPr>
          <w:rFonts w:ascii="Verdana" w:eastAsia="Calibri" w:hAnsi="Verdana" w:cs="Arial"/>
          <w:color w:val="000000"/>
          <w:lang w:val="es-ES" w:eastAsia="es-ES"/>
        </w:rPr>
        <w:t>y</w:t>
      </w:r>
      <w:r w:rsidRPr="005D3BFD">
        <w:rPr>
          <w:rFonts w:ascii="Verdana" w:eastAsia="Calibri" w:hAnsi="Verdana" w:cs="Arial"/>
          <w:i/>
          <w:iCs/>
          <w:color w:val="000000"/>
          <w:lang w:val="es-ES" w:eastAsia="es-ES"/>
        </w:rPr>
        <w:t xml:space="preserve"> a largo plazo</w:t>
      </w:r>
      <w:r w:rsidRPr="005D3BFD">
        <w:rPr>
          <w:rFonts w:ascii="Verdana" w:eastAsia="Calibri" w:hAnsi="Verdana" w:cs="Arial"/>
          <w:color w:val="000000"/>
          <w:lang w:val="es-ES" w:eastAsia="es-ES"/>
        </w:rPr>
        <w:t xml:space="preserve"> y el </w:t>
      </w:r>
      <w:r w:rsidRPr="005D3BFD">
        <w:rPr>
          <w:rFonts w:ascii="Verdana" w:eastAsia="Calibri" w:hAnsi="Verdana" w:cs="Arial"/>
          <w:i/>
          <w:iCs/>
          <w:color w:val="000000"/>
          <w:lang w:val="es-ES" w:eastAsia="es-ES"/>
        </w:rPr>
        <w:t>patrimonio</w:t>
      </w:r>
      <w:r w:rsidRPr="005D3BFD">
        <w:rPr>
          <w:rFonts w:ascii="Verdana" w:hAnsi="Verdana" w:cs="Arial"/>
          <w:i/>
          <w:iCs/>
          <w:vertAlign w:val="superscript"/>
          <w:lang w:val="es-ES" w:eastAsia="es-ES"/>
        </w:rPr>
        <w:footnoteReference w:id="12"/>
      </w:r>
      <w:r w:rsidRPr="005D3BFD">
        <w:rPr>
          <w:rFonts w:ascii="Verdana" w:eastAsia="Calibri" w:hAnsi="Verdana" w:cs="Arial"/>
          <w:color w:val="000000"/>
          <w:lang w:val="es-ES" w:eastAsia="es-ES"/>
        </w:rPr>
        <w:t>. De cualquier modo, los indicadores deben ser adecuados y proporcionales según el objeto del proceso.</w:t>
      </w:r>
    </w:p>
    <w:p w14:paraId="76DBAB95" w14:textId="77777777" w:rsidR="005D3BFD" w:rsidRPr="005D3BFD" w:rsidRDefault="005D3BFD" w:rsidP="005D3BFD">
      <w:pPr>
        <w:spacing w:before="120" w:after="120" w:line="276" w:lineRule="auto"/>
        <w:ind w:firstLine="709"/>
        <w:jc w:val="both"/>
        <w:rPr>
          <w:rFonts w:ascii="Verdana" w:eastAsia="Calibri" w:hAnsi="Verdana" w:cs="Arial"/>
          <w:color w:val="000000" w:themeColor="text1"/>
          <w:lang w:val="es-ES" w:eastAsia="es-ES_tradnl"/>
        </w:rPr>
      </w:pPr>
      <w:r w:rsidRPr="005D3BFD">
        <w:rPr>
          <w:rFonts w:ascii="Verdana" w:eastAsia="Calibri" w:hAnsi="Verdana" w:cs="Arial"/>
          <w:color w:val="000000" w:themeColor="text1"/>
          <w:lang w:val="es-ES" w:eastAsia="es-ES_tradnl"/>
        </w:rPr>
        <w:t>De esta forma, es importante tener en cuenta que el numeral 3 del artículo 2.2.1.1.1.5.3. del Decreto 1082 de 2015 se refiere a los aspectos de la capacidad financiera que deben verificar las cámaras de comercio al momento de la inscripción, renovación o actualización del Registro Único de Proponentes.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contratante en el pliego de condiciones o la invitación, según corresponda.</w:t>
      </w:r>
    </w:p>
    <w:p w14:paraId="64525CED" w14:textId="77777777" w:rsidR="005D3BFD" w:rsidRPr="005D3BFD" w:rsidRDefault="005D3BFD" w:rsidP="005D3BFD">
      <w:pPr>
        <w:spacing w:before="120" w:after="120" w:line="276" w:lineRule="auto"/>
        <w:ind w:firstLine="708"/>
        <w:jc w:val="both"/>
        <w:rPr>
          <w:rFonts w:ascii="Verdana" w:hAnsi="Verdana"/>
          <w:color w:val="000000" w:themeColor="text1"/>
          <w:lang w:val="es-ES"/>
        </w:rPr>
      </w:pPr>
      <w:r w:rsidRPr="005D3BFD">
        <w:rPr>
          <w:rFonts w:ascii="Verdana" w:hAnsi="Verdana"/>
          <w:color w:val="000000" w:themeColor="text1"/>
          <w:lang w:val="es-ES"/>
        </w:rPr>
        <w:t xml:space="preserve">En ese sentido, la entidad como responsable de la estructuración de su proceso de contratación, es autónoma para requerir los indicadores de capacidad financiera necesarios para el objeto contractual que se pretende satisfacer con el proceso, para lo cual, de acuerdo con el artículo 2.2.1.1.1.6.2. del Decreto </w:t>
      </w:r>
      <w:r w:rsidRPr="005D3BFD">
        <w:rPr>
          <w:rFonts w:ascii="Verdana" w:hAnsi="Verdana"/>
          <w:color w:val="000000" w:themeColor="text1"/>
          <w:lang w:val="es-ES"/>
        </w:rPr>
        <w:lastRenderedPageBreak/>
        <w:t>1082 de 2015, debe tener en cuenta el estudio del sector y sus componentes como la identificación de riesgos y el mercado y precio del bien, obra o servicio a</w:t>
      </w:r>
      <w:r w:rsidRPr="005D3BFD">
        <w:rPr>
          <w:rFonts w:ascii="Verdana" w:hAnsi="Verdana"/>
          <w:color w:val="000000" w:themeColor="text1"/>
          <w:spacing w:val="-6"/>
          <w:lang w:val="es-ES"/>
        </w:rPr>
        <w:t xml:space="preserve"> </w:t>
      </w:r>
      <w:r w:rsidRPr="005D3BFD">
        <w:rPr>
          <w:rFonts w:ascii="Verdana" w:hAnsi="Verdana"/>
          <w:color w:val="000000" w:themeColor="text1"/>
          <w:lang w:val="es-ES"/>
        </w:rPr>
        <w:t>contratar</w:t>
      </w:r>
      <w:r w:rsidRPr="005D3BFD">
        <w:rPr>
          <w:rFonts w:ascii="Verdana" w:hAnsi="Verdana"/>
          <w:color w:val="000000" w:themeColor="text1"/>
          <w:vertAlign w:val="superscript"/>
          <w:lang w:val="es-ES"/>
        </w:rPr>
        <w:footnoteReference w:id="13"/>
      </w:r>
      <w:r w:rsidRPr="005D3BFD">
        <w:rPr>
          <w:rFonts w:ascii="Verdana" w:hAnsi="Verdana"/>
          <w:color w:val="000000" w:themeColor="text1"/>
          <w:lang w:val="es-ES"/>
        </w:rPr>
        <w:t>.</w:t>
      </w:r>
    </w:p>
    <w:p w14:paraId="1F8415BB" w14:textId="797A7F75" w:rsidR="005F0A61" w:rsidRDefault="005F0A61" w:rsidP="00181D62">
      <w:pPr>
        <w:spacing w:before="120" w:after="0" w:line="276" w:lineRule="auto"/>
        <w:ind w:firstLine="709"/>
        <w:jc w:val="both"/>
        <w:rPr>
          <w:rFonts w:ascii="Verdana" w:hAnsi="Verdana"/>
          <w:color w:val="000000" w:themeColor="text1"/>
          <w:lang w:val="es-ES"/>
        </w:rPr>
      </w:pPr>
      <w:r>
        <w:rPr>
          <w:rFonts w:ascii="Verdana" w:hAnsi="Verdana"/>
          <w:color w:val="000000" w:themeColor="text1"/>
          <w:lang w:val="es-ES"/>
        </w:rPr>
        <w:t xml:space="preserve">Frente al problema jurídico planteado, se concluye que </w:t>
      </w:r>
      <w:r w:rsidRPr="005D3BFD">
        <w:rPr>
          <w:rFonts w:ascii="Verdana" w:hAnsi="Verdana"/>
          <w:color w:val="000000" w:themeColor="text1"/>
          <w:lang w:val="es-ES"/>
        </w:rPr>
        <w:t>el artículo 6 de la Ley 1150 de 2007 señala que el RUP es plena prueba de las circunstancias que constan en él, como la capacidad financiera, y “</w:t>
      </w:r>
      <w:r w:rsidRPr="005D3BFD">
        <w:rPr>
          <w:rFonts w:ascii="Verdana" w:hAnsi="Verdana"/>
          <w:i/>
          <w:iCs/>
          <w:color w:val="000000" w:themeColor="text1"/>
          <w:lang w:val="es-ES"/>
        </w:rPr>
        <w:t>las entidades estatales en los procesos de contratación no podrán exigir, ni los proponentes aportar documentación que deba utilizarse para efectuar la inscripción en el registro</w:t>
      </w:r>
      <w:r w:rsidRPr="005D3BFD">
        <w:rPr>
          <w:rFonts w:ascii="Verdana" w:hAnsi="Verdana"/>
          <w:color w:val="000000" w:themeColor="text1"/>
          <w:lang w:val="es-ES"/>
        </w:rPr>
        <w:t>”. Por lo que</w:t>
      </w:r>
      <w:r>
        <w:rPr>
          <w:rFonts w:ascii="Verdana" w:hAnsi="Verdana"/>
          <w:color w:val="000000" w:themeColor="text1"/>
          <w:lang w:val="es-ES"/>
        </w:rPr>
        <w:t>,</w:t>
      </w:r>
      <w:r w:rsidRPr="005D3BFD">
        <w:rPr>
          <w:rFonts w:ascii="Verdana" w:hAnsi="Verdana"/>
          <w:color w:val="000000" w:themeColor="text1"/>
          <w:lang w:val="es-ES"/>
        </w:rPr>
        <w:t xml:space="preserve"> para resolver su consulta, debido a que los estados financieros y sus notas son documentos que se utilizan para la inscripción en el RUP, las entidades no los pueden exigir ni verificar ya que la capacidad financiera se debe evaluar exclusivamente con el RUP. Sin embargo, para los procesos exceptuados del RUP, “</w:t>
      </w:r>
      <w:r w:rsidRPr="005D3BFD">
        <w:rPr>
          <w:rFonts w:ascii="Verdana" w:hAnsi="Verdana"/>
          <w:i/>
          <w:iCs/>
          <w:color w:val="000000" w:themeColor="text1"/>
          <w:lang w:val="es-ES"/>
        </w:rPr>
        <w:t>corresponderá a las entidades contratantes cumplir con la labor de verificación de las condiciones de los proponentes</w:t>
      </w:r>
      <w:r w:rsidRPr="005D3BFD">
        <w:rPr>
          <w:rFonts w:ascii="Verdana" w:hAnsi="Verdana"/>
          <w:color w:val="000000" w:themeColor="text1"/>
          <w:lang w:val="es-ES"/>
        </w:rPr>
        <w:t>”</w:t>
      </w:r>
      <w:r w:rsidRPr="005D3BFD">
        <w:rPr>
          <w:rFonts w:ascii="Verdana" w:hAnsi="Verdana"/>
          <w:color w:val="000000" w:themeColor="text1"/>
          <w:vertAlign w:val="superscript"/>
          <w:lang w:val="es-ES"/>
        </w:rPr>
        <w:footnoteReference w:id="14"/>
      </w:r>
      <w:r w:rsidRPr="005D3BFD">
        <w:rPr>
          <w:rFonts w:ascii="Verdana" w:hAnsi="Verdana"/>
          <w:color w:val="000000" w:themeColor="text1"/>
          <w:lang w:val="es-ES"/>
        </w:rPr>
        <w:t xml:space="preserve"> y en esa medida, son autónomas para determinar si la documentación aportada por el proponente para verificar la capacidad financiera cumple o no cumple con lo exigido en el pliego de condiciones</w:t>
      </w:r>
      <w:r>
        <w:rPr>
          <w:rFonts w:ascii="Verdana" w:hAnsi="Verdana"/>
          <w:color w:val="000000" w:themeColor="text1"/>
          <w:lang w:val="es-ES"/>
        </w:rPr>
        <w:t xml:space="preserve"> o documento equivalente</w:t>
      </w:r>
      <w:r w:rsidRPr="005D3BFD">
        <w:rPr>
          <w:rFonts w:ascii="Verdana" w:hAnsi="Verdana"/>
          <w:color w:val="000000" w:themeColor="text1"/>
          <w:lang w:val="es-ES"/>
        </w:rPr>
        <w:t>.</w:t>
      </w:r>
    </w:p>
    <w:p w14:paraId="79752B3B" w14:textId="77777777" w:rsidR="005F0A61" w:rsidRPr="005F0A61" w:rsidRDefault="005F0A61" w:rsidP="00181D62">
      <w:pPr>
        <w:spacing w:after="0" w:line="276" w:lineRule="auto"/>
        <w:ind w:firstLine="709"/>
        <w:jc w:val="both"/>
        <w:rPr>
          <w:rFonts w:ascii="Verdana" w:hAnsi="Verdana"/>
          <w:color w:val="000000" w:themeColor="text1"/>
          <w:lang w:val="es-ES"/>
        </w:rPr>
      </w:pPr>
    </w:p>
    <w:p w14:paraId="62E42E4D" w14:textId="77777777" w:rsidR="005D3BFD" w:rsidRPr="005F0A61" w:rsidRDefault="005D3BFD" w:rsidP="00181D62">
      <w:pPr>
        <w:numPr>
          <w:ilvl w:val="0"/>
          <w:numId w:val="16"/>
        </w:numPr>
        <w:tabs>
          <w:tab w:val="left" w:pos="142"/>
          <w:tab w:val="left" w:pos="284"/>
        </w:tabs>
        <w:spacing w:after="0" w:line="276" w:lineRule="auto"/>
        <w:ind w:left="360"/>
        <w:jc w:val="both"/>
        <w:rPr>
          <w:rFonts w:ascii="Verdana" w:eastAsia="Century Gothic" w:hAnsi="Verdana" w:cs="Century Gothic"/>
          <w:b/>
          <w:bCs/>
          <w:color w:val="000000" w:themeColor="text1"/>
          <w:lang w:val="es-ES"/>
        </w:rPr>
      </w:pPr>
      <w:r w:rsidRPr="005F0A61">
        <w:rPr>
          <w:rFonts w:ascii="Verdana" w:eastAsia="Century Gothic" w:hAnsi="Verdana" w:cs="Century Gothic"/>
          <w:b/>
          <w:bCs/>
          <w:color w:val="000000" w:themeColor="text1"/>
          <w:lang w:val="es-ES"/>
        </w:rPr>
        <w:t>Referencias normativas, jurisprudenciales y otras fuentes:</w:t>
      </w:r>
    </w:p>
    <w:p w14:paraId="66D137A2" w14:textId="77777777" w:rsidR="005D3BFD" w:rsidRPr="005F0A61" w:rsidRDefault="005D3BFD" w:rsidP="005F0A61">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D3BFD" w:rsidRPr="005F0A61" w14:paraId="5B81ED5D" w14:textId="77777777" w:rsidTr="00D1674B">
        <w:trPr>
          <w:trHeight w:val="335"/>
        </w:trPr>
        <w:tc>
          <w:tcPr>
            <w:tcW w:w="8647" w:type="dxa"/>
          </w:tcPr>
          <w:p w14:paraId="03501EC4" w14:textId="77777777" w:rsidR="005D3BFD" w:rsidRPr="00762B49" w:rsidRDefault="005D3BFD" w:rsidP="00181D62">
            <w:pPr>
              <w:widowControl w:val="0"/>
              <w:numPr>
                <w:ilvl w:val="0"/>
                <w:numId w:val="17"/>
              </w:numPr>
              <w:tabs>
                <w:tab w:val="left" w:pos="8419"/>
              </w:tabs>
              <w:autoSpaceDE w:val="0"/>
              <w:autoSpaceDN w:val="0"/>
              <w:spacing w:after="120" w:line="276" w:lineRule="auto"/>
              <w:ind w:left="357" w:hanging="357"/>
              <w:jc w:val="both"/>
              <w:rPr>
                <w:rFonts w:ascii="Verdana" w:eastAsia="Calibri" w:hAnsi="Verdana" w:cs="Arial"/>
                <w:color w:val="000000"/>
                <w:lang w:val="es-ES"/>
              </w:rPr>
            </w:pPr>
            <w:r w:rsidRPr="00762B49">
              <w:rPr>
                <w:rFonts w:ascii="Verdana" w:eastAsia="Calibri" w:hAnsi="Verdana" w:cs="Arial"/>
                <w:color w:val="000000"/>
                <w:lang w:val="es-ES"/>
              </w:rPr>
              <w:t>Ley 1150 de 2007, artículo 5 y 6.</w:t>
            </w:r>
          </w:p>
          <w:p w14:paraId="5E65DE76" w14:textId="77777777" w:rsidR="005D3BFD" w:rsidRPr="00181D62" w:rsidRDefault="005D3BFD" w:rsidP="00181D62">
            <w:pPr>
              <w:widowControl w:val="0"/>
              <w:numPr>
                <w:ilvl w:val="0"/>
                <w:numId w:val="17"/>
              </w:numPr>
              <w:tabs>
                <w:tab w:val="left" w:pos="8419"/>
              </w:tabs>
              <w:autoSpaceDE w:val="0"/>
              <w:autoSpaceDN w:val="0"/>
              <w:spacing w:after="120" w:line="276" w:lineRule="auto"/>
              <w:ind w:left="357" w:hanging="357"/>
              <w:jc w:val="both"/>
              <w:rPr>
                <w:rFonts w:ascii="Verdana" w:eastAsia="Calibri" w:hAnsi="Verdana" w:cs="Arial"/>
                <w:color w:val="000000"/>
                <w:lang w:val="es-ES"/>
              </w:rPr>
            </w:pPr>
            <w:r w:rsidRPr="00762B49">
              <w:rPr>
                <w:rFonts w:ascii="Verdana" w:eastAsia="Calibri" w:hAnsi="Verdana" w:cs="Arial"/>
                <w:color w:val="000000"/>
                <w:lang w:val="es-ES"/>
              </w:rPr>
              <w:t xml:space="preserve">Decreto 1082 de 2015, artículos 2.2.1.1.1.5.2, 2.2.1.1.1.5.3, </w:t>
            </w:r>
            <w:r w:rsidRPr="00762B49">
              <w:rPr>
                <w:rFonts w:ascii="Verdana" w:eastAsia="Calibri" w:hAnsi="Verdana" w:cs="Arial"/>
                <w:color w:val="000000" w:themeColor="text1"/>
                <w:lang w:val="es-ES"/>
              </w:rPr>
              <w:t>2.2.1.1.1.6.2.</w:t>
            </w:r>
          </w:p>
          <w:p w14:paraId="33B901AC" w14:textId="16CB3144" w:rsidR="00762B49" w:rsidRPr="005F0A61" w:rsidRDefault="00762B49" w:rsidP="00181D62">
            <w:pPr>
              <w:widowControl w:val="0"/>
              <w:numPr>
                <w:ilvl w:val="0"/>
                <w:numId w:val="17"/>
              </w:numPr>
              <w:tabs>
                <w:tab w:val="left" w:pos="8419"/>
              </w:tabs>
              <w:autoSpaceDE w:val="0"/>
              <w:autoSpaceDN w:val="0"/>
              <w:spacing w:after="120" w:line="276" w:lineRule="auto"/>
              <w:ind w:left="357" w:hanging="357"/>
              <w:jc w:val="both"/>
              <w:rPr>
                <w:rFonts w:ascii="Verdana" w:eastAsia="Calibri" w:hAnsi="Verdana" w:cs="Arial"/>
                <w:color w:val="000000"/>
                <w:lang w:val="es-ES"/>
              </w:rPr>
            </w:pPr>
            <w:r w:rsidRPr="00181D62">
              <w:rPr>
                <w:rFonts w:ascii="Verdana" w:eastAsia="Calibri" w:hAnsi="Verdana" w:cs="Arial"/>
                <w:color w:val="000000"/>
                <w:lang w:val="es-ES_tradnl" w:eastAsia="es-ES_tradnl"/>
              </w:rPr>
              <w:t>Agencia Nacional de Contratación Pública – Colombia Compra Eficiente, “Manual para determinar y verificar los requisitos habilitantes en los Procesos de Contratación”.</w:t>
            </w:r>
          </w:p>
        </w:tc>
      </w:tr>
    </w:tbl>
    <w:p w14:paraId="227BFD60" w14:textId="77777777" w:rsidR="005D3BFD" w:rsidRPr="005F0A61" w:rsidRDefault="005D3BFD" w:rsidP="005F0A61">
      <w:pPr>
        <w:widowControl w:val="0"/>
        <w:autoSpaceDE w:val="0"/>
        <w:autoSpaceDN w:val="0"/>
        <w:spacing w:after="0" w:line="276" w:lineRule="auto"/>
        <w:jc w:val="both"/>
        <w:rPr>
          <w:rFonts w:ascii="Verdana" w:hAnsi="Verdana" w:cs="Arial"/>
          <w:color w:val="000000" w:themeColor="text1"/>
          <w:lang w:val="es-ES"/>
        </w:rPr>
      </w:pPr>
    </w:p>
    <w:p w14:paraId="09B417A2" w14:textId="77777777" w:rsidR="005D3BFD" w:rsidRPr="005F0A61" w:rsidRDefault="005D3BFD" w:rsidP="00181D62">
      <w:pPr>
        <w:numPr>
          <w:ilvl w:val="0"/>
          <w:numId w:val="16"/>
        </w:numPr>
        <w:tabs>
          <w:tab w:val="left" w:pos="142"/>
          <w:tab w:val="left" w:pos="284"/>
        </w:tabs>
        <w:spacing w:after="0" w:line="276" w:lineRule="auto"/>
        <w:ind w:left="360"/>
        <w:jc w:val="both"/>
        <w:rPr>
          <w:rFonts w:ascii="Verdana" w:eastAsia="Century Gothic" w:hAnsi="Verdana" w:cs="Century Gothic"/>
          <w:b/>
          <w:bCs/>
          <w:color w:val="000000" w:themeColor="text1"/>
          <w:lang w:val="es-ES"/>
        </w:rPr>
      </w:pPr>
      <w:r w:rsidRPr="005F0A61">
        <w:rPr>
          <w:rFonts w:ascii="Verdana" w:eastAsia="Century Gothic" w:hAnsi="Verdana" w:cs="Century Gothic"/>
          <w:b/>
          <w:bCs/>
          <w:color w:val="000000" w:themeColor="text1"/>
          <w:lang w:val="es-ES"/>
        </w:rPr>
        <w:t>Doctrina de la Agencia Nacional de Contratación Pública:</w:t>
      </w:r>
    </w:p>
    <w:p w14:paraId="5CFB4777" w14:textId="77777777" w:rsidR="005D3BFD" w:rsidRPr="005F0A61" w:rsidRDefault="005D3BFD" w:rsidP="005F0A61">
      <w:pPr>
        <w:widowControl w:val="0"/>
        <w:autoSpaceDE w:val="0"/>
        <w:autoSpaceDN w:val="0"/>
        <w:spacing w:after="0" w:line="276" w:lineRule="auto"/>
        <w:jc w:val="both"/>
        <w:rPr>
          <w:rFonts w:ascii="Verdana" w:hAnsi="Verdana" w:cs="Arial"/>
          <w:color w:val="000000" w:themeColor="text1"/>
          <w:lang w:val="es-ES"/>
        </w:rPr>
      </w:pPr>
    </w:p>
    <w:p w14:paraId="2EF1811D" w14:textId="77777777" w:rsidR="005D3BFD" w:rsidRPr="005F0A61" w:rsidRDefault="005D3BFD" w:rsidP="005F0A61">
      <w:pPr>
        <w:spacing w:after="0" w:line="276" w:lineRule="auto"/>
        <w:contextualSpacing/>
        <w:jc w:val="both"/>
        <w:rPr>
          <w:rFonts w:ascii="Verdana" w:hAnsi="Verdana"/>
          <w:color w:val="0000FF"/>
          <w:u w:val="single"/>
        </w:rPr>
      </w:pPr>
      <w:r w:rsidRPr="005F0A61">
        <w:rPr>
          <w:rFonts w:ascii="Verdana" w:hAnsi="Verdana" w:cs="Arial"/>
          <w:color w:val="000000" w:themeColor="text1"/>
          <w:shd w:val="clear" w:color="auto" w:fill="FFFFFF"/>
          <w:lang w:val="es-ES"/>
        </w:rPr>
        <w:lastRenderedPageBreak/>
        <w:t>La Agencia Nacional de Contratación Pública – Colombia Compra Eficiente se ha referido a la acreditación de requisitos habilitantes y la capacidad financiera en los conceptos con radicado No. 2201913000007980 del 24 de octubre de 2019,</w:t>
      </w:r>
      <w:r w:rsidRPr="005F0A61">
        <w:rPr>
          <w:rFonts w:ascii="Verdana" w:hAnsi="Verdana"/>
          <w:lang w:val="es-ES"/>
        </w:rPr>
        <w:t xml:space="preserve"> C-868 del 19 de diciembre de 2022, C-877 del 26 de diciembre de 2022, </w:t>
      </w:r>
      <w:r w:rsidRPr="005F0A61">
        <w:rPr>
          <w:rFonts w:ascii="Verdana" w:hAnsi="Verdana" w:cs="Arial"/>
          <w:color w:val="000000" w:themeColor="text1"/>
          <w:shd w:val="clear" w:color="auto" w:fill="FFFFFF"/>
          <w:lang w:val="es-ES"/>
        </w:rPr>
        <w:t xml:space="preserve"> </w:t>
      </w:r>
      <w:r w:rsidRPr="005F0A61">
        <w:rPr>
          <w:rFonts w:ascii="Verdana" w:hAnsi="Verdana"/>
          <w:lang w:val="es-ES"/>
        </w:rPr>
        <w:t xml:space="preserve">C-417 del 27 de septiembre de 2023 ,C-432 del 23 de octubre de 2023, C-174 del 23 de julio de 2024, </w:t>
      </w:r>
      <w:r w:rsidRPr="005F0A61">
        <w:rPr>
          <w:rFonts w:ascii="Verdana" w:eastAsia="Calibri" w:hAnsi="Verdana" w:cs="Arial"/>
          <w:lang w:val="es-ES" w:eastAsia="es-ES_tradnl"/>
        </w:rPr>
        <w:t xml:space="preserve">C- 530 del 4 de octubre de 2024, C-595 del 24 de octubre 2024, </w:t>
      </w:r>
      <w:r w:rsidRPr="005F0A61">
        <w:rPr>
          <w:rFonts w:ascii="Verdana" w:eastAsia="Calibri" w:hAnsi="Verdana" w:cs="Arial"/>
          <w:lang w:val="es-ES" w:eastAsia="es-ES"/>
        </w:rPr>
        <w:t xml:space="preserve">C-648 del 6 de noviembre 2024, C-615 del 10 de junio de 2025, entre otros. </w:t>
      </w:r>
      <w:r w:rsidRPr="005F0A61">
        <w:rPr>
          <w:rFonts w:ascii="Verdana" w:hAnsi="Verdana" w:cs="Arial"/>
          <w:color w:val="000000" w:themeColor="text1"/>
          <w:shd w:val="clear" w:color="auto" w:fill="FFFFFF"/>
          <w:lang w:val="es-ES"/>
        </w:rPr>
        <w:t xml:space="preserve">Estos se encuentran disponibles para consulta en el Sistema de relatoría de la Agencia, al cual puede accederse a través del siguiente enlace: </w:t>
      </w:r>
      <w:hyperlink r:id="rId12" w:history="1">
        <w:r w:rsidRPr="005F0A61">
          <w:rPr>
            <w:rFonts w:ascii="Verdana" w:hAnsi="Verdana" w:cs="Arial"/>
            <w:color w:val="0000FF"/>
            <w:u w:val="single"/>
            <w:shd w:val="clear" w:color="auto" w:fill="FFFFFF"/>
            <w:lang w:val="es-ES"/>
          </w:rPr>
          <w:t>https://relatoria.colombiacompra.gov.co/busqueda/conceptos</w:t>
        </w:r>
      </w:hyperlink>
      <w:r w:rsidRPr="005F0A61">
        <w:rPr>
          <w:rFonts w:ascii="Verdana" w:hAnsi="Verdana"/>
          <w:color w:val="0000FF"/>
          <w:u w:val="single"/>
        </w:rPr>
        <w:t xml:space="preserve"> </w:t>
      </w:r>
    </w:p>
    <w:p w14:paraId="01F30A0F" w14:textId="77777777" w:rsidR="005D3BFD" w:rsidRPr="005F0A61" w:rsidRDefault="005D3BFD" w:rsidP="005F0A61">
      <w:pPr>
        <w:spacing w:after="0" w:line="276" w:lineRule="auto"/>
        <w:contextualSpacing/>
        <w:jc w:val="both"/>
        <w:rPr>
          <w:rFonts w:ascii="Verdana" w:eastAsia="Calibri" w:hAnsi="Verdana" w:cs="Arial"/>
          <w:b/>
          <w:bCs/>
          <w:lang w:val="es-ES" w:eastAsia="es-ES"/>
        </w:rPr>
      </w:pPr>
      <w:r w:rsidRPr="005F0A61">
        <w:rPr>
          <w:rFonts w:ascii="Verdana" w:hAnsi="Verdana" w:cs="Arial"/>
          <w:color w:val="000000" w:themeColor="text1"/>
          <w:shd w:val="clear" w:color="auto" w:fill="FFFFFF"/>
          <w:lang w:val="es-ES"/>
        </w:rPr>
        <w:t xml:space="preserve"> </w:t>
      </w:r>
    </w:p>
    <w:p w14:paraId="63D590BA" w14:textId="77777777" w:rsidR="005D3BFD" w:rsidRPr="005F0A61" w:rsidRDefault="005D3BFD" w:rsidP="005F0A61">
      <w:pPr>
        <w:spacing w:after="0" w:line="276" w:lineRule="auto"/>
        <w:contextualSpacing/>
        <w:jc w:val="both"/>
        <w:rPr>
          <w:rFonts w:ascii="Verdana" w:hAnsi="Verdana"/>
          <w:lang w:val="es-ES"/>
        </w:rPr>
      </w:pPr>
      <w:r w:rsidRPr="005F0A61">
        <w:rPr>
          <w:rFonts w:ascii="Verdana" w:hAnsi="Verdana"/>
          <w:lang w:val="es-ES"/>
        </w:rPr>
        <w:t>También le contamos que ya se encuentra disponible la </w:t>
      </w:r>
      <w:r w:rsidRPr="005F0A61">
        <w:rPr>
          <w:rFonts w:ascii="Verdana" w:hAnsi="Verdana"/>
          <w:b/>
          <w:bCs/>
          <w:lang w:val="es-ES"/>
        </w:rPr>
        <w:t>Guía de lineamientos de transparencia y selección objetiva para el departamento de La Guajira – Objetivo sexto constitucional de la Sentencia T-302 del 2017. </w:t>
      </w:r>
      <w:r w:rsidRPr="005F0A61">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F0A61">
        <w:rPr>
          <w:rFonts w:ascii="Verdana" w:hAnsi="Verdana"/>
          <w:lang w:val="es-ES"/>
        </w:rPr>
        <w:t>Wayúu</w:t>
      </w:r>
      <w:proofErr w:type="spellEnd"/>
      <w:r w:rsidRPr="005F0A61">
        <w:rPr>
          <w:rFonts w:ascii="Verdana" w:hAnsi="Verdana"/>
          <w:lang w:val="es-ES"/>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5F0A61">
          <w:rPr>
            <w:rFonts w:ascii="Verdana" w:hAnsi="Verdana"/>
            <w:color w:val="0000FF"/>
            <w:u w:val="single"/>
            <w:lang w:val="es-ES"/>
          </w:rPr>
          <w:t>Guía de lineamientos de transparencia y selección objetiva para el departamento de La Guajira – Objetivo sexto constitucional de la Sentencia T-302 del 2017</w:t>
        </w:r>
      </w:hyperlink>
      <w:r w:rsidRPr="005F0A61">
        <w:rPr>
          <w:rFonts w:ascii="Verdana" w:hAnsi="Verdana"/>
          <w:u w:val="single"/>
          <w:lang w:val="es-ES"/>
        </w:rPr>
        <w:t>"</w:t>
      </w:r>
    </w:p>
    <w:p w14:paraId="131E2104" w14:textId="77777777" w:rsidR="005D3BFD" w:rsidRPr="005F0A61" w:rsidRDefault="005D3BFD" w:rsidP="005F0A61">
      <w:pPr>
        <w:spacing w:after="0" w:line="276" w:lineRule="auto"/>
        <w:contextualSpacing/>
        <w:jc w:val="both"/>
        <w:rPr>
          <w:rFonts w:ascii="Verdana" w:hAnsi="Verdana"/>
          <w:lang w:val="es-ES"/>
        </w:rPr>
      </w:pPr>
    </w:p>
    <w:p w14:paraId="05E56116" w14:textId="77777777" w:rsidR="005D3BFD" w:rsidRPr="005F0A61" w:rsidRDefault="005D3BFD" w:rsidP="005F0A61">
      <w:pPr>
        <w:spacing w:after="0" w:line="276" w:lineRule="auto"/>
        <w:contextualSpacing/>
        <w:jc w:val="both"/>
        <w:rPr>
          <w:rFonts w:ascii="Verdana" w:hAnsi="Verdana"/>
          <w:lang w:val="es-ES"/>
        </w:rPr>
      </w:pPr>
      <w:r w:rsidRPr="005F0A61">
        <w:rPr>
          <w:rFonts w:ascii="Verdana" w:hAnsi="Verdana"/>
          <w:lang w:val="es-ES"/>
        </w:rPr>
        <w:t xml:space="preserve">Por último, lo invitamos a seguirnos en las redes sociales en las cuales se difunde información institucional: </w:t>
      </w:r>
    </w:p>
    <w:p w14:paraId="4BCA392C" w14:textId="77777777" w:rsidR="005D3BFD" w:rsidRPr="005F0A61" w:rsidRDefault="005D3BFD" w:rsidP="005F0A61">
      <w:pPr>
        <w:spacing w:after="0" w:line="276" w:lineRule="auto"/>
        <w:contextualSpacing/>
        <w:jc w:val="both"/>
        <w:rPr>
          <w:rFonts w:ascii="Verdana" w:hAnsi="Verdana"/>
          <w:lang w:val="es-ES"/>
        </w:rPr>
      </w:pPr>
    </w:p>
    <w:p w14:paraId="28001EF5" w14:textId="77777777" w:rsidR="005D3BFD" w:rsidRPr="005F0A61" w:rsidRDefault="005D3BFD" w:rsidP="005F0A61">
      <w:pPr>
        <w:spacing w:after="0" w:line="276" w:lineRule="auto"/>
        <w:contextualSpacing/>
        <w:jc w:val="both"/>
        <w:rPr>
          <w:rFonts w:ascii="Verdana" w:hAnsi="Verdana"/>
          <w:lang w:val="es-ES"/>
        </w:rPr>
      </w:pPr>
      <w:r w:rsidRPr="005F0A61">
        <w:rPr>
          <w:rFonts w:ascii="Verdana" w:hAnsi="Verdana"/>
          <w:lang w:val="es-ES"/>
        </w:rPr>
        <w:t xml:space="preserve">Twitter: </w:t>
      </w:r>
      <w:r w:rsidRPr="005F0A61">
        <w:rPr>
          <w:rFonts w:ascii="Verdana" w:hAnsi="Verdana" w:cs="Arial"/>
          <w:color w:val="0000FF"/>
          <w:u w:val="single"/>
          <w:shd w:val="clear" w:color="auto" w:fill="FFFFFF"/>
          <w:lang w:val="es-ES"/>
        </w:rPr>
        <w:t>@colombiacompra</w:t>
      </w:r>
      <w:r w:rsidRPr="005F0A61">
        <w:rPr>
          <w:rFonts w:ascii="Verdana" w:hAnsi="Verdana"/>
          <w:color w:val="4472C4" w:themeColor="accent1"/>
          <w:lang w:val="es-ES"/>
        </w:rPr>
        <w:t xml:space="preserve"> </w:t>
      </w:r>
    </w:p>
    <w:p w14:paraId="27B06BE8" w14:textId="77777777" w:rsidR="005D3BFD" w:rsidRPr="005F0A61" w:rsidRDefault="005D3BFD" w:rsidP="005F0A61">
      <w:pPr>
        <w:spacing w:after="0" w:line="276" w:lineRule="auto"/>
        <w:contextualSpacing/>
        <w:jc w:val="both"/>
        <w:rPr>
          <w:rFonts w:ascii="Verdana" w:hAnsi="Verdana"/>
          <w:lang w:val="es-ES"/>
        </w:rPr>
      </w:pPr>
      <w:r w:rsidRPr="005F0A61">
        <w:rPr>
          <w:rFonts w:ascii="Verdana" w:hAnsi="Verdana"/>
          <w:lang w:val="es-ES"/>
        </w:rPr>
        <w:t xml:space="preserve">Facebook: </w:t>
      </w:r>
      <w:proofErr w:type="spellStart"/>
      <w:r w:rsidRPr="005F0A61">
        <w:rPr>
          <w:rFonts w:ascii="Verdana" w:hAnsi="Verdana" w:cs="Arial"/>
          <w:color w:val="0000FF"/>
          <w:u w:val="single"/>
          <w:shd w:val="clear" w:color="auto" w:fill="FFFFFF"/>
          <w:lang w:val="es-ES"/>
        </w:rPr>
        <w:t>ColombiaCompraEficiente</w:t>
      </w:r>
      <w:proofErr w:type="spellEnd"/>
    </w:p>
    <w:p w14:paraId="36286106" w14:textId="77777777" w:rsidR="005D3BFD" w:rsidRPr="005F0A61" w:rsidRDefault="005D3BFD" w:rsidP="005F0A61">
      <w:pPr>
        <w:spacing w:after="0" w:line="276" w:lineRule="auto"/>
        <w:contextualSpacing/>
        <w:jc w:val="both"/>
        <w:rPr>
          <w:rFonts w:ascii="Verdana" w:hAnsi="Verdana"/>
          <w:lang w:val="es-ES"/>
        </w:rPr>
      </w:pPr>
      <w:r w:rsidRPr="005F0A61">
        <w:rPr>
          <w:rFonts w:ascii="Verdana" w:hAnsi="Verdana"/>
          <w:lang w:val="es-ES"/>
        </w:rPr>
        <w:t xml:space="preserve">LinkedIn: </w:t>
      </w:r>
      <w:r w:rsidRPr="005F0A61">
        <w:rPr>
          <w:rFonts w:ascii="Verdana" w:hAnsi="Verdana" w:cs="Arial"/>
          <w:color w:val="0000FF"/>
          <w:u w:val="single"/>
          <w:shd w:val="clear" w:color="auto" w:fill="FFFFFF"/>
          <w:lang w:val="es-ES"/>
        </w:rPr>
        <w:t xml:space="preserve">Agencia Nacional de Contratación Pública - Colombia Compra Eficiente </w:t>
      </w:r>
      <w:r w:rsidRPr="005F0A61">
        <w:rPr>
          <w:rFonts w:ascii="Verdana" w:hAnsi="Verdana"/>
          <w:lang w:val="es-ES"/>
        </w:rPr>
        <w:t xml:space="preserve">Instagram: </w:t>
      </w:r>
      <w:r w:rsidRPr="005F0A61">
        <w:rPr>
          <w:rFonts w:ascii="Verdana" w:hAnsi="Verdana" w:cs="Arial"/>
          <w:color w:val="0000FF"/>
          <w:u w:val="single"/>
          <w:shd w:val="clear" w:color="auto" w:fill="FFFFFF"/>
          <w:lang w:val="es-ES"/>
        </w:rPr>
        <w:t>@colombiacompraeficiente_cce</w:t>
      </w:r>
    </w:p>
    <w:p w14:paraId="461EF06E" w14:textId="77777777" w:rsidR="005D3BFD" w:rsidRPr="005F0A61" w:rsidRDefault="005D3BFD" w:rsidP="005F0A61">
      <w:pPr>
        <w:widowControl w:val="0"/>
        <w:autoSpaceDE w:val="0"/>
        <w:autoSpaceDN w:val="0"/>
        <w:spacing w:after="0" w:line="276" w:lineRule="auto"/>
        <w:contextualSpacing/>
        <w:jc w:val="both"/>
        <w:rPr>
          <w:rFonts w:ascii="Verdana" w:hAnsi="Verdana" w:cs="Arial"/>
          <w:color w:val="000000" w:themeColor="text1"/>
          <w:lang w:val="es-ES"/>
        </w:rPr>
      </w:pPr>
    </w:p>
    <w:p w14:paraId="2BFA9037" w14:textId="77777777" w:rsidR="005D3BFD" w:rsidRDefault="005D3BFD" w:rsidP="005F0A61">
      <w:pPr>
        <w:widowControl w:val="0"/>
        <w:autoSpaceDE w:val="0"/>
        <w:autoSpaceDN w:val="0"/>
        <w:spacing w:after="0" w:line="276" w:lineRule="auto"/>
        <w:contextualSpacing/>
        <w:jc w:val="both"/>
        <w:rPr>
          <w:rFonts w:ascii="Verdana" w:hAnsi="Verdana" w:cs="Arial"/>
          <w:color w:val="000000" w:themeColor="text1"/>
          <w:lang w:val="es-ES"/>
        </w:rPr>
      </w:pPr>
      <w:r w:rsidRPr="005F0A61">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E0AFE94" w14:textId="77777777" w:rsidR="005F0A61" w:rsidRPr="005F0A61" w:rsidRDefault="005F0A61" w:rsidP="005F0A61">
      <w:pPr>
        <w:widowControl w:val="0"/>
        <w:autoSpaceDE w:val="0"/>
        <w:autoSpaceDN w:val="0"/>
        <w:spacing w:after="0" w:line="276" w:lineRule="auto"/>
        <w:contextualSpacing/>
        <w:jc w:val="both"/>
        <w:rPr>
          <w:rFonts w:ascii="Verdana" w:hAnsi="Verdana" w:cs="Arial"/>
          <w:color w:val="000000" w:themeColor="text1"/>
          <w:lang w:val="es-ES"/>
        </w:rPr>
      </w:pPr>
    </w:p>
    <w:p w14:paraId="467B692B" w14:textId="77777777" w:rsidR="005D3BFD" w:rsidRPr="005F0A61" w:rsidRDefault="005D3BFD" w:rsidP="00181D62">
      <w:pPr>
        <w:spacing w:after="0" w:line="276" w:lineRule="auto"/>
        <w:rPr>
          <w:rFonts w:ascii="Verdana" w:hAnsi="Verdana" w:cs="Arial"/>
          <w:color w:val="000000" w:themeColor="text1"/>
          <w:lang w:val="es-ES" w:eastAsia="es-CO"/>
        </w:rPr>
      </w:pPr>
      <w:r w:rsidRPr="005F0A61">
        <w:rPr>
          <w:rFonts w:ascii="Verdana" w:eastAsia="Times New Roman" w:hAnsi="Verdana" w:cs="Arial"/>
          <w:color w:val="000000" w:themeColor="text1"/>
          <w:lang w:val="es-ES" w:eastAsia="es-CO"/>
        </w:rPr>
        <w:t>Atentamente,</w:t>
      </w:r>
      <w:r w:rsidRPr="005F0A61">
        <w:rPr>
          <w:rFonts w:ascii="Verdana" w:hAnsi="Verdana" w:cs="Arial"/>
          <w:color w:val="000000" w:themeColor="text1"/>
          <w:lang w:val="es-ES" w:eastAsia="es-CO"/>
        </w:rPr>
        <w:t xml:space="preserve"> </w:t>
      </w:r>
    </w:p>
    <w:p w14:paraId="077E72A3" w14:textId="68214B55" w:rsidR="005D3BFD" w:rsidRPr="005D3BFD" w:rsidRDefault="00C933C2" w:rsidP="005D3BFD">
      <w:pPr>
        <w:spacing w:line="276" w:lineRule="auto"/>
        <w:jc w:val="center"/>
        <w:rPr>
          <w:rFonts w:ascii="Verdana" w:hAnsi="Verdana" w:cs="Arial"/>
          <w:color w:val="000000" w:themeColor="text1"/>
          <w:lang w:val="es-ES" w:eastAsia="es-CO"/>
        </w:rPr>
      </w:pPr>
      <w:r>
        <w:rPr>
          <w:noProof/>
        </w:rPr>
        <w:lastRenderedPageBreak/>
        <w:drawing>
          <wp:inline distT="0" distB="0" distL="0" distR="0" wp14:anchorId="6053EA19" wp14:editId="0E48A258">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D3BFD" w:rsidRPr="005D3BFD" w14:paraId="37C5FEBC" w14:textId="77777777" w:rsidTr="00D1674B">
        <w:trPr>
          <w:trHeight w:val="315"/>
        </w:trPr>
        <w:tc>
          <w:tcPr>
            <w:tcW w:w="893" w:type="dxa"/>
            <w:vAlign w:val="center"/>
            <w:hideMark/>
          </w:tcPr>
          <w:p w14:paraId="19008CCB" w14:textId="77777777" w:rsidR="005D3BFD" w:rsidRPr="005D3BFD" w:rsidRDefault="005D3BFD" w:rsidP="005D3BFD">
            <w:pPr>
              <w:contextualSpacing/>
              <w:rPr>
                <w:rFonts w:ascii="Verdana" w:hAnsi="Verdana" w:cs="Arial"/>
                <w:sz w:val="16"/>
                <w:szCs w:val="16"/>
                <w:lang w:val="es-ES" w:eastAsia="es-ES"/>
              </w:rPr>
            </w:pPr>
            <w:r w:rsidRPr="005D3BF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525F65A" w14:textId="77777777" w:rsidR="005D3BFD" w:rsidRPr="005D3BFD" w:rsidRDefault="005D3BFD" w:rsidP="005D3BFD">
            <w:pPr>
              <w:contextualSpacing/>
              <w:rPr>
                <w:rFonts w:ascii="Verdana" w:eastAsia="Arial" w:hAnsi="Verdana" w:cs="Arial"/>
                <w:color w:val="000000" w:themeColor="text1"/>
                <w:sz w:val="16"/>
                <w:szCs w:val="16"/>
                <w:lang w:val="es-ES"/>
              </w:rPr>
            </w:pPr>
            <w:r w:rsidRPr="005D3BFD">
              <w:rPr>
                <w:rFonts w:ascii="Verdana" w:eastAsia="Arial" w:hAnsi="Verdana" w:cs="Arial"/>
                <w:color w:val="000000" w:themeColor="text1"/>
                <w:sz w:val="16"/>
                <w:szCs w:val="16"/>
                <w:lang w:val="es-ES"/>
              </w:rPr>
              <w:t>Ximena Ríos López</w:t>
            </w:r>
          </w:p>
          <w:p w14:paraId="5C68B3C9" w14:textId="77777777" w:rsidR="005D3BFD" w:rsidRPr="005D3BFD" w:rsidRDefault="005D3BFD" w:rsidP="005D3BFD">
            <w:pPr>
              <w:contextualSpacing/>
              <w:rPr>
                <w:rFonts w:ascii="Verdana" w:eastAsia="Arial" w:hAnsi="Verdana" w:cs="Arial"/>
                <w:sz w:val="16"/>
                <w:szCs w:val="16"/>
                <w:lang w:val="es-ES"/>
              </w:rPr>
            </w:pPr>
            <w:r w:rsidRPr="005D3BFD">
              <w:rPr>
                <w:rFonts w:ascii="Verdana" w:hAnsi="Verdana" w:cs="Arial"/>
                <w:sz w:val="16"/>
                <w:szCs w:val="16"/>
                <w:lang w:val="es-ES"/>
              </w:rPr>
              <w:t>Gestor T1 – 11</w:t>
            </w:r>
            <w:r w:rsidRPr="005D3BFD">
              <w:rPr>
                <w:rFonts w:ascii="Verdana" w:eastAsia="Arial" w:hAnsi="Verdana" w:cs="Arial"/>
                <w:color w:val="000000" w:themeColor="text1"/>
                <w:sz w:val="16"/>
                <w:szCs w:val="16"/>
                <w:lang w:val="es-ES"/>
              </w:rPr>
              <w:t xml:space="preserve"> de la Subdirección </w:t>
            </w:r>
            <w:r w:rsidRPr="005D3BFD">
              <w:rPr>
                <w:rFonts w:ascii="Verdana" w:eastAsia="Arial" w:hAnsi="Verdana" w:cs="Arial"/>
                <w:sz w:val="16"/>
                <w:szCs w:val="16"/>
                <w:lang w:val="es-ES"/>
              </w:rPr>
              <w:t>de Gestión Contractual</w:t>
            </w:r>
          </w:p>
        </w:tc>
      </w:tr>
      <w:tr w:rsidR="005D3BFD" w:rsidRPr="005D3BFD" w14:paraId="78FF16C5" w14:textId="77777777" w:rsidTr="00D1674B">
        <w:trPr>
          <w:trHeight w:val="330"/>
        </w:trPr>
        <w:tc>
          <w:tcPr>
            <w:tcW w:w="893" w:type="dxa"/>
            <w:vAlign w:val="center"/>
            <w:hideMark/>
          </w:tcPr>
          <w:p w14:paraId="41CA4E89" w14:textId="77777777" w:rsidR="005D3BFD" w:rsidRPr="005D3BFD" w:rsidRDefault="005D3BFD" w:rsidP="005D3BFD">
            <w:pPr>
              <w:contextualSpacing/>
              <w:rPr>
                <w:rFonts w:ascii="Verdana" w:hAnsi="Verdana" w:cs="Arial"/>
                <w:sz w:val="16"/>
                <w:szCs w:val="16"/>
                <w:lang w:val="es-ES" w:eastAsia="es-ES"/>
              </w:rPr>
            </w:pPr>
            <w:r w:rsidRPr="005D3BF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33A840" w14:textId="4C8AF493" w:rsidR="005D3BFD" w:rsidRPr="005D3BFD" w:rsidRDefault="005D3BFD" w:rsidP="005D3BFD">
            <w:pPr>
              <w:contextualSpacing/>
              <w:textAlignment w:val="baseline"/>
              <w:rPr>
                <w:rFonts w:ascii="Verdana" w:eastAsia="Times New Roman" w:hAnsi="Verdana" w:cs="Arial"/>
                <w:sz w:val="16"/>
                <w:szCs w:val="16"/>
                <w:lang w:val="es-ES" w:eastAsia="es-ES_tradnl"/>
              </w:rPr>
            </w:pPr>
            <w:r w:rsidRPr="005D3BFD">
              <w:rPr>
                <w:rFonts w:ascii="Verdana" w:eastAsia="Times New Roman" w:hAnsi="Verdana" w:cs="Arial"/>
                <w:sz w:val="16"/>
                <w:szCs w:val="16"/>
                <w:lang w:val="es-ES" w:eastAsia="es-ES_tradnl"/>
              </w:rPr>
              <w:t xml:space="preserve">Diana </w:t>
            </w:r>
            <w:r w:rsidR="005F0A61">
              <w:rPr>
                <w:rFonts w:ascii="Verdana" w:eastAsia="Times New Roman" w:hAnsi="Verdana" w:cs="Arial"/>
                <w:sz w:val="16"/>
                <w:szCs w:val="16"/>
                <w:lang w:val="es-ES" w:eastAsia="es-ES_tradnl"/>
              </w:rPr>
              <w:t xml:space="preserve">Lucia </w:t>
            </w:r>
            <w:r w:rsidRPr="005D3BFD">
              <w:rPr>
                <w:rFonts w:ascii="Verdana" w:eastAsia="Times New Roman" w:hAnsi="Verdana" w:cs="Arial"/>
                <w:sz w:val="16"/>
                <w:szCs w:val="16"/>
                <w:lang w:val="es-ES" w:eastAsia="es-ES_tradnl"/>
              </w:rPr>
              <w:t>Saavedra</w:t>
            </w:r>
            <w:r w:rsidR="005F0A61">
              <w:rPr>
                <w:rFonts w:ascii="Verdana" w:eastAsia="Times New Roman" w:hAnsi="Verdana" w:cs="Arial"/>
                <w:sz w:val="16"/>
                <w:szCs w:val="16"/>
                <w:lang w:val="es-ES" w:eastAsia="es-ES_tradnl"/>
              </w:rPr>
              <w:t xml:space="preserve"> Castañeda</w:t>
            </w:r>
          </w:p>
          <w:p w14:paraId="1DCA67DC" w14:textId="77777777" w:rsidR="005D3BFD" w:rsidRPr="005D3BFD" w:rsidRDefault="005D3BFD" w:rsidP="005D3BFD">
            <w:pPr>
              <w:contextualSpacing/>
              <w:textAlignment w:val="baseline"/>
              <w:rPr>
                <w:rFonts w:ascii="Verdana" w:eastAsia="Times New Roman" w:hAnsi="Verdana" w:cs="Segoe UI"/>
                <w:sz w:val="16"/>
                <w:szCs w:val="16"/>
                <w:lang w:val="es-ES" w:eastAsia="es-CO"/>
              </w:rPr>
            </w:pPr>
            <w:r w:rsidRPr="005D3BFD">
              <w:rPr>
                <w:rFonts w:ascii="Verdana" w:eastAsia="Times New Roman" w:hAnsi="Verdana" w:cs="Arial"/>
                <w:sz w:val="16"/>
                <w:szCs w:val="16"/>
                <w:lang w:val="es-ES" w:eastAsia="es-CO"/>
              </w:rPr>
              <w:t>Contratista de la Subdirección de Gestión Contractual </w:t>
            </w:r>
          </w:p>
        </w:tc>
      </w:tr>
      <w:tr w:rsidR="005D3BFD" w:rsidRPr="005D3BFD" w14:paraId="29C62094" w14:textId="77777777" w:rsidTr="00D1674B">
        <w:trPr>
          <w:trHeight w:val="300"/>
        </w:trPr>
        <w:tc>
          <w:tcPr>
            <w:tcW w:w="893" w:type="dxa"/>
            <w:vAlign w:val="center"/>
          </w:tcPr>
          <w:p w14:paraId="6D197814" w14:textId="77777777" w:rsidR="005D3BFD" w:rsidRPr="005D3BFD" w:rsidRDefault="005D3BFD" w:rsidP="005D3BFD">
            <w:pPr>
              <w:contextualSpacing/>
              <w:rPr>
                <w:rFonts w:ascii="Verdana" w:hAnsi="Verdana" w:cs="Arial"/>
                <w:sz w:val="16"/>
                <w:szCs w:val="16"/>
                <w:lang w:val="es-ES" w:eastAsia="es-ES"/>
              </w:rPr>
            </w:pPr>
            <w:r w:rsidRPr="005D3BF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20827E" w14:textId="77777777" w:rsidR="005D3BFD" w:rsidRPr="005D3BFD" w:rsidRDefault="005D3BFD" w:rsidP="005D3BFD">
            <w:pPr>
              <w:contextualSpacing/>
              <w:rPr>
                <w:rFonts w:ascii="Verdana" w:eastAsia="Calibri" w:hAnsi="Verdana" w:cs="Arial"/>
                <w:sz w:val="16"/>
                <w:szCs w:val="16"/>
                <w:lang w:val="es-ES" w:eastAsia="es-ES"/>
              </w:rPr>
            </w:pPr>
            <w:r w:rsidRPr="005D3BFD">
              <w:rPr>
                <w:rFonts w:ascii="Verdana" w:eastAsia="Calibri" w:hAnsi="Verdana" w:cs="Arial"/>
                <w:sz w:val="16"/>
                <w:szCs w:val="16"/>
                <w:lang w:val="es-ES" w:eastAsia="es-ES"/>
              </w:rPr>
              <w:t xml:space="preserve">Carolina Quintero </w:t>
            </w:r>
            <w:proofErr w:type="spellStart"/>
            <w:r w:rsidRPr="005D3BFD">
              <w:rPr>
                <w:rFonts w:ascii="Verdana" w:eastAsia="Calibri" w:hAnsi="Verdana" w:cs="Arial"/>
                <w:sz w:val="16"/>
                <w:szCs w:val="16"/>
                <w:lang w:val="es-ES" w:eastAsia="es-ES"/>
              </w:rPr>
              <w:t>Gacharná</w:t>
            </w:r>
            <w:proofErr w:type="spellEnd"/>
          </w:p>
          <w:p w14:paraId="4B3ACC8D" w14:textId="77777777" w:rsidR="005D3BFD" w:rsidRPr="005D3BFD" w:rsidRDefault="005D3BFD" w:rsidP="005D3BFD">
            <w:pPr>
              <w:contextualSpacing/>
              <w:rPr>
                <w:rFonts w:ascii="Verdana" w:eastAsia="Calibri" w:hAnsi="Verdana" w:cs="Arial"/>
                <w:sz w:val="16"/>
                <w:szCs w:val="16"/>
                <w:lang w:val="es-ES" w:eastAsia="es-ES"/>
              </w:rPr>
            </w:pPr>
            <w:r w:rsidRPr="005D3BFD">
              <w:rPr>
                <w:rFonts w:ascii="Verdana" w:eastAsia="Calibri" w:hAnsi="Verdana" w:cs="Arial"/>
                <w:sz w:val="16"/>
                <w:szCs w:val="16"/>
                <w:lang w:val="es-ES" w:eastAsia="es-ES"/>
              </w:rPr>
              <w:t>Subdirectora de Gestión Contractual ANCP – CCE</w:t>
            </w:r>
          </w:p>
        </w:tc>
      </w:tr>
      <w:bookmarkEnd w:id="0"/>
    </w:tbl>
    <w:p w14:paraId="30DCA210" w14:textId="77777777" w:rsidR="005D3BFD" w:rsidRPr="005D3BFD" w:rsidRDefault="005D3BFD" w:rsidP="005D3BFD">
      <w:pPr>
        <w:spacing w:after="0"/>
        <w:rPr>
          <w:rFonts w:ascii="Verdana" w:hAnsi="Verdana"/>
          <w:lang w:val="es-ES"/>
        </w:rPr>
      </w:pPr>
    </w:p>
    <w:p w14:paraId="1B42008E" w14:textId="77777777" w:rsidR="005D3BFD" w:rsidRPr="005D3BFD" w:rsidRDefault="005D3BFD" w:rsidP="005D3BFD">
      <w:pPr>
        <w:rPr>
          <w:lang w:val="es-ES"/>
        </w:rPr>
      </w:pPr>
    </w:p>
    <w:p w14:paraId="3900974D" w14:textId="77777777" w:rsidR="003D5B0D" w:rsidRPr="005D3BFD" w:rsidRDefault="003D5B0D" w:rsidP="005D3BFD">
      <w:pPr>
        <w:rPr>
          <w:lang w:val="es-ES"/>
        </w:rPr>
      </w:pPr>
    </w:p>
    <w:sectPr w:rsidR="003D5B0D" w:rsidRPr="005D3BF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DF0F2" w14:textId="77777777" w:rsidR="00C447F2" w:rsidRDefault="00C447F2" w:rsidP="004A1847">
      <w:pPr>
        <w:spacing w:after="0" w:line="240" w:lineRule="auto"/>
      </w:pPr>
      <w:r>
        <w:separator/>
      </w:r>
    </w:p>
  </w:endnote>
  <w:endnote w:type="continuationSeparator" w:id="0">
    <w:p w14:paraId="58C7E769" w14:textId="77777777" w:rsidR="00C447F2" w:rsidRDefault="00C447F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6B2CE" w14:textId="77777777" w:rsidR="00C447F2" w:rsidRDefault="00C447F2" w:rsidP="004A1847">
      <w:pPr>
        <w:spacing w:after="0" w:line="240" w:lineRule="auto"/>
      </w:pPr>
      <w:r>
        <w:separator/>
      </w:r>
    </w:p>
  </w:footnote>
  <w:footnote w:type="continuationSeparator" w:id="0">
    <w:p w14:paraId="03D3C571" w14:textId="77777777" w:rsidR="00C447F2" w:rsidRDefault="00C447F2" w:rsidP="004A1847">
      <w:pPr>
        <w:spacing w:after="0" w:line="240" w:lineRule="auto"/>
      </w:pPr>
      <w:r>
        <w:continuationSeparator/>
      </w:r>
    </w:p>
  </w:footnote>
  <w:footnote w:id="1">
    <w:p w14:paraId="554667BC" w14:textId="77777777" w:rsidR="005D3BFD" w:rsidRPr="00AD2AF2" w:rsidRDefault="005D3BFD" w:rsidP="00181D62">
      <w:pPr>
        <w:pStyle w:val="Textonotapie"/>
        <w:ind w:firstLine="709"/>
        <w:jc w:val="both"/>
        <w:rPr>
          <w:rFonts w:ascii="Verdana" w:hAnsi="Verdana"/>
          <w:sz w:val="16"/>
          <w:szCs w:val="16"/>
        </w:rPr>
      </w:pPr>
      <w:r w:rsidRPr="00AD2AF2">
        <w:rPr>
          <w:rStyle w:val="Refdenotaalpie"/>
          <w:rFonts w:ascii="Verdana" w:hAnsi="Verdana"/>
          <w:sz w:val="16"/>
          <w:szCs w:val="16"/>
        </w:rPr>
        <w:footnoteRef/>
      </w:r>
      <w:r w:rsidRPr="00AD2AF2">
        <w:rPr>
          <w:rFonts w:ascii="Verdana" w:hAnsi="Verdana"/>
          <w:sz w:val="16"/>
          <w:szCs w:val="16"/>
        </w:rPr>
        <w:t xml:space="preserve"> Ley 1150 de 2007, artículo 6: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9068213" w14:textId="77777777" w:rsidR="005D3BFD" w:rsidRPr="00AD2AF2" w:rsidRDefault="005D3BFD" w:rsidP="00181D62">
      <w:pPr>
        <w:pStyle w:val="Textonotapie"/>
        <w:ind w:firstLine="709"/>
        <w:jc w:val="both"/>
        <w:rPr>
          <w:rFonts w:ascii="Verdana" w:hAnsi="Verdana"/>
          <w:sz w:val="16"/>
          <w:szCs w:val="16"/>
        </w:rPr>
      </w:pPr>
    </w:p>
  </w:footnote>
  <w:footnote w:id="2">
    <w:p w14:paraId="59B8C028" w14:textId="77777777" w:rsidR="005D3BFD" w:rsidRPr="00AD2AF2" w:rsidRDefault="005D3BFD" w:rsidP="00181D62">
      <w:pPr>
        <w:pStyle w:val="Textonotapie"/>
        <w:ind w:firstLine="709"/>
        <w:jc w:val="both"/>
        <w:rPr>
          <w:rFonts w:ascii="Verdana" w:hAnsi="Verdana"/>
          <w:sz w:val="16"/>
          <w:szCs w:val="16"/>
        </w:rPr>
      </w:pPr>
      <w:r w:rsidRPr="00AD2AF2">
        <w:rPr>
          <w:rStyle w:val="Refdenotaalpie"/>
          <w:rFonts w:ascii="Verdana" w:hAnsi="Verdana"/>
          <w:sz w:val="16"/>
          <w:szCs w:val="16"/>
        </w:rPr>
        <w:footnoteRef/>
      </w:r>
      <w:r w:rsidRPr="00AD2AF2">
        <w:rPr>
          <w:rFonts w:ascii="Verdana" w:hAnsi="Verdana"/>
          <w:sz w:val="16"/>
          <w:szCs w:val="16"/>
        </w:rPr>
        <w:t xml:space="preserve"> Ibidem.</w:t>
      </w:r>
    </w:p>
  </w:footnote>
  <w:footnote w:id="3">
    <w:p w14:paraId="1FB0B3A5" w14:textId="77777777" w:rsidR="005D3BFD" w:rsidRPr="00AD2AF2" w:rsidRDefault="005D3BFD" w:rsidP="00181D62">
      <w:pPr>
        <w:pStyle w:val="Textonotapie"/>
        <w:ind w:firstLine="709"/>
        <w:jc w:val="both"/>
        <w:rPr>
          <w:rFonts w:ascii="Verdana" w:hAnsi="Verdana"/>
          <w:sz w:val="16"/>
          <w:szCs w:val="16"/>
          <w:lang w:val="es-CO"/>
        </w:rPr>
      </w:pPr>
      <w:r w:rsidRPr="00AD2AF2">
        <w:rPr>
          <w:rStyle w:val="Refdenotaalpie"/>
          <w:rFonts w:ascii="Verdana" w:hAnsi="Verdana"/>
          <w:sz w:val="16"/>
          <w:szCs w:val="16"/>
        </w:rPr>
        <w:footnoteRef/>
      </w:r>
      <w:r w:rsidRPr="00AD2AF2">
        <w:rPr>
          <w:rFonts w:ascii="Verdana" w:hAnsi="Verdana"/>
          <w:sz w:val="16"/>
          <w:szCs w:val="16"/>
        </w:rPr>
        <w:t xml:space="preserve"> </w:t>
      </w:r>
      <w:r w:rsidRPr="00AD2AF2">
        <w:rPr>
          <w:rFonts w:ascii="Verdana" w:hAnsi="Verdana"/>
          <w:sz w:val="16"/>
          <w:szCs w:val="16"/>
          <w:lang w:val="es-ES"/>
        </w:rPr>
        <w:t>“</w:t>
      </w:r>
      <w:r w:rsidRPr="00AD2AF2">
        <w:rPr>
          <w:rFonts w:ascii="Verdana" w:hAnsi="Verdana"/>
          <w:sz w:val="16"/>
          <w:szCs w:val="16"/>
          <w:lang w:val="es-CO"/>
        </w:rPr>
        <w:t>Para poder participar en los procesos de selección de los contratos de obra, la capacidad residual del proponente o K de contratación deberá ser igual o superior al que la entidad haya establecido para el efecto en los pliegos de condiciones</w:t>
      </w:r>
    </w:p>
    <w:p w14:paraId="58E8971C" w14:textId="77777777" w:rsidR="005D3BFD" w:rsidRPr="00AD2AF2" w:rsidRDefault="005D3BFD" w:rsidP="00181D62">
      <w:pPr>
        <w:pStyle w:val="Textonotapie"/>
        <w:ind w:firstLine="709"/>
        <w:jc w:val="both"/>
        <w:rPr>
          <w:rFonts w:ascii="Verdana" w:hAnsi="Verdana"/>
          <w:sz w:val="16"/>
          <w:szCs w:val="16"/>
          <w:lang w:val="es-CO"/>
        </w:rPr>
      </w:pPr>
      <w:r w:rsidRPr="00AD2AF2">
        <w:rPr>
          <w:rFonts w:ascii="Verdana" w:hAnsi="Verdana"/>
          <w:sz w:val="16"/>
          <w:szCs w:val="16"/>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DF9E2AA" w14:textId="77777777" w:rsidR="005D3BFD" w:rsidRPr="00AD2AF2" w:rsidRDefault="005D3BFD" w:rsidP="00181D62">
      <w:pPr>
        <w:pStyle w:val="Textonotapie"/>
        <w:ind w:firstLine="709"/>
        <w:jc w:val="both"/>
        <w:rPr>
          <w:rFonts w:ascii="Verdana" w:hAnsi="Verdana"/>
          <w:sz w:val="16"/>
          <w:szCs w:val="16"/>
          <w:lang w:val="es-CO"/>
        </w:rPr>
      </w:pPr>
    </w:p>
  </w:footnote>
  <w:footnote w:id="4">
    <w:p w14:paraId="26797744" w14:textId="77777777" w:rsidR="005D3BFD" w:rsidRPr="00AD2AF2" w:rsidRDefault="005D3BFD" w:rsidP="00181D62">
      <w:pPr>
        <w:pStyle w:val="Textonotapie"/>
        <w:ind w:firstLine="709"/>
        <w:jc w:val="both"/>
        <w:rPr>
          <w:rFonts w:ascii="Verdana" w:hAnsi="Verdana"/>
          <w:sz w:val="16"/>
          <w:szCs w:val="16"/>
        </w:rPr>
      </w:pPr>
      <w:r w:rsidRPr="00AD2AF2">
        <w:rPr>
          <w:rStyle w:val="Refdenotaalpie"/>
          <w:rFonts w:ascii="Verdana" w:hAnsi="Verdana"/>
          <w:sz w:val="16"/>
          <w:szCs w:val="16"/>
        </w:rPr>
        <w:footnoteRef/>
      </w:r>
      <w:r w:rsidRPr="00AD2AF2">
        <w:rPr>
          <w:rFonts w:ascii="Verdana" w:hAnsi="Verdana"/>
          <w:sz w:val="16"/>
          <w:szCs w:val="16"/>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1CE12793" w14:textId="77777777" w:rsidR="005D3BFD" w:rsidRPr="00AD2AF2" w:rsidRDefault="005D3BFD" w:rsidP="00181D62">
      <w:pPr>
        <w:pStyle w:val="Textonotapie"/>
        <w:ind w:firstLine="709"/>
        <w:jc w:val="both"/>
        <w:rPr>
          <w:rFonts w:ascii="Verdana" w:hAnsi="Verdana"/>
          <w:sz w:val="16"/>
          <w:szCs w:val="16"/>
          <w:lang w:val="es-CO"/>
        </w:rPr>
      </w:pPr>
    </w:p>
  </w:footnote>
  <w:footnote w:id="5">
    <w:p w14:paraId="04B7EAE7"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AD2AF2">
        <w:rPr>
          <w:rStyle w:val="Refdenotaalpie"/>
          <w:rFonts w:ascii="Verdana" w:hAnsi="Verdana" w:cs="Arial"/>
          <w:sz w:val="16"/>
          <w:szCs w:val="16"/>
        </w:rPr>
        <w:footnoteRef/>
      </w:r>
      <w:r w:rsidRPr="00AD2AF2">
        <w:rPr>
          <w:rFonts w:ascii="Verdana" w:hAnsi="Verdana" w:cs="Arial"/>
          <w:sz w:val="16"/>
          <w:szCs w:val="16"/>
        </w:rPr>
        <w:t xml:space="preserve"> </w:t>
      </w:r>
      <w:proofErr w:type="spellStart"/>
      <w:r w:rsidRPr="00AD2AF2">
        <w:rPr>
          <w:rFonts w:ascii="Verdana" w:eastAsia="Calibri" w:hAnsi="Verdana" w:cs="Arial"/>
          <w:color w:val="000000"/>
          <w:sz w:val="16"/>
          <w:szCs w:val="16"/>
          <w:lang w:val="es-ES_tradnl" w:eastAsia="es-ES_tradnl"/>
        </w:rPr>
        <w:t>Ibídem</w:t>
      </w:r>
      <w:proofErr w:type="spellEnd"/>
      <w:r w:rsidRPr="00AD2AF2">
        <w:rPr>
          <w:rFonts w:ascii="Verdana" w:eastAsia="Calibri" w:hAnsi="Verdana" w:cs="Arial"/>
          <w:color w:val="000000"/>
          <w:sz w:val="16"/>
          <w:szCs w:val="16"/>
          <w:lang w:val="es-ES_tradnl" w:eastAsia="es-ES_tradnl"/>
        </w:rPr>
        <w:t>.</w:t>
      </w:r>
    </w:p>
    <w:p w14:paraId="1EBB51BF" w14:textId="77777777" w:rsidR="005D3BFD" w:rsidRPr="00AD2AF2" w:rsidRDefault="005D3BFD" w:rsidP="00181D62">
      <w:pPr>
        <w:pStyle w:val="Textonotapie"/>
        <w:ind w:firstLine="709"/>
        <w:jc w:val="both"/>
        <w:rPr>
          <w:rFonts w:ascii="Verdana" w:hAnsi="Verdana" w:cs="Arial"/>
          <w:sz w:val="16"/>
          <w:szCs w:val="16"/>
          <w:lang w:val="es-ES"/>
        </w:rPr>
      </w:pPr>
    </w:p>
  </w:footnote>
  <w:footnote w:id="6">
    <w:p w14:paraId="133BDE36"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181D62">
        <w:rPr>
          <w:rFonts w:ascii="Verdana" w:eastAsia="Calibri" w:hAnsi="Verdana" w:cs="Arial"/>
          <w:color w:val="000000"/>
          <w:sz w:val="16"/>
          <w:szCs w:val="16"/>
          <w:vertAlign w:val="superscript"/>
          <w:lang w:val="es-ES_tradnl" w:eastAsia="es-ES_tradnl"/>
        </w:rPr>
        <w:footnoteRef/>
      </w:r>
      <w:r w:rsidRPr="00AD2AF2">
        <w:rPr>
          <w:rFonts w:ascii="Verdana" w:eastAsia="Calibri" w:hAnsi="Verdana" w:cs="Arial"/>
          <w:color w:val="000000"/>
          <w:sz w:val="16"/>
          <w:szCs w:val="16"/>
          <w:lang w:val="es-ES_tradnl" w:eastAsia="es-ES_tradnl"/>
        </w:rPr>
        <w:t xml:space="preserve"> Para la realización de los respectivos análisis del sector de los Procesos de Contratación, esta Agencia recomienda tener en cuenta la última modificación de la “Guía de Elaboración de Estudios del Sector”, que puede ser consultada en el siguiente enlace:</w:t>
      </w:r>
      <w:r w:rsidRPr="00AD2AF2">
        <w:rPr>
          <w:rFonts w:ascii="Verdana" w:hAnsi="Verdana"/>
          <w:sz w:val="16"/>
          <w:szCs w:val="16"/>
        </w:rPr>
        <w:t xml:space="preserve"> </w:t>
      </w:r>
      <w:hyperlink r:id="rId1" w:history="1">
        <w:r w:rsidRPr="00AD2AF2">
          <w:rPr>
            <w:rStyle w:val="Hipervnculo"/>
            <w:rFonts w:ascii="Verdana" w:eastAsia="Calibri" w:hAnsi="Verdana" w:cs="Arial"/>
            <w:sz w:val="16"/>
            <w:szCs w:val="16"/>
            <w:lang w:val="es-ES_tradnl" w:eastAsia="es-ES_tradnl"/>
          </w:rPr>
          <w:t>https://www.colombiacompra.gov.co/manuales-guias-y-pliegos-tipo/manuales-y-guias</w:t>
        </w:r>
      </w:hyperlink>
    </w:p>
    <w:p w14:paraId="7AC87E94"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p>
  </w:footnote>
  <w:footnote w:id="7">
    <w:p w14:paraId="78ACE01C"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181D62">
        <w:rPr>
          <w:rFonts w:ascii="Verdana" w:eastAsia="Calibri" w:hAnsi="Verdana" w:cs="Arial"/>
          <w:color w:val="000000"/>
          <w:sz w:val="16"/>
          <w:szCs w:val="16"/>
          <w:vertAlign w:val="superscript"/>
          <w:lang w:val="es-ES_tradnl" w:eastAsia="es-ES_tradnl"/>
        </w:rPr>
        <w:footnoteRef/>
      </w:r>
      <w:r w:rsidRPr="00AD2AF2">
        <w:rPr>
          <w:rFonts w:ascii="Verdana" w:eastAsia="Calibri" w:hAnsi="Verdana" w:cs="Arial"/>
          <w:color w:val="000000"/>
          <w:sz w:val="16"/>
          <w:szCs w:val="16"/>
          <w:lang w:val="es-ES_tradnl" w:eastAsia="es-ES_tradnl"/>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1B1E8530"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p>
  </w:footnote>
  <w:footnote w:id="8">
    <w:p w14:paraId="7CE85561"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r w:rsidRPr="00AD2AF2">
        <w:rPr>
          <w:rStyle w:val="Refdenotaalpie"/>
          <w:rFonts w:ascii="Verdana" w:hAnsi="Verdana"/>
          <w:sz w:val="16"/>
          <w:szCs w:val="16"/>
        </w:rPr>
        <w:footnoteRef/>
      </w:r>
      <w:r w:rsidRPr="00AD2AF2">
        <w:rPr>
          <w:rFonts w:ascii="Verdana" w:hAnsi="Verdana"/>
          <w:sz w:val="16"/>
          <w:szCs w:val="16"/>
        </w:rPr>
        <w:t xml:space="preserve"> </w:t>
      </w:r>
      <w:r w:rsidRPr="00AD2AF2">
        <w:rPr>
          <w:rFonts w:ascii="Verdana" w:hAnsi="Verdana"/>
          <w:color w:val="000000" w:themeColor="text1"/>
          <w:sz w:val="16"/>
          <w:szCs w:val="16"/>
        </w:rPr>
        <w:t>Decreto 1082 de 2015: “Artículo 2.2.1.1.1.5.3. Requisitos habilitantes contenidos en el RUP. Las cámaras de comercio, con base en la información a la que hace referencia el artículo anterior, deben verificar y certificar los siguientes requisitos habilitantes:</w:t>
      </w:r>
    </w:p>
    <w:p w14:paraId="78206D5C"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r w:rsidRPr="00AD2AF2">
        <w:rPr>
          <w:rFonts w:ascii="Verdana" w:hAnsi="Verdana"/>
          <w:color w:val="000000" w:themeColor="text1"/>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0F105DD5"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r w:rsidRPr="00AD2AF2">
        <w:rPr>
          <w:rFonts w:ascii="Verdana" w:hAnsi="Verdana"/>
          <w:color w:val="000000" w:themeColor="text1"/>
          <w:sz w:val="16"/>
          <w:szCs w:val="16"/>
        </w:rPr>
        <w:t>[...]</w:t>
      </w:r>
    </w:p>
    <w:p w14:paraId="01EC6E27"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r w:rsidRPr="00AD2AF2">
        <w:rPr>
          <w:rFonts w:ascii="Verdana" w:hAnsi="Verdana"/>
          <w:color w:val="000000" w:themeColor="text1"/>
          <w:sz w:val="16"/>
          <w:szCs w:val="16"/>
        </w:rPr>
        <w:t>3. Capacidad Financiera – los siguientes indicadores miden la fortaleza financiera del interesado: 3.1. Índice de liquidez: activo corriente dividido por el pasivo corriente.</w:t>
      </w:r>
    </w:p>
    <w:p w14:paraId="664A835D"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r w:rsidRPr="00AD2AF2">
        <w:rPr>
          <w:rFonts w:ascii="Verdana" w:hAnsi="Verdana"/>
          <w:color w:val="000000" w:themeColor="text1"/>
          <w:sz w:val="16"/>
          <w:szCs w:val="16"/>
        </w:rPr>
        <w:t>3.2. Índice de endeudamiento: pasivo total dividido por el activo total.</w:t>
      </w:r>
    </w:p>
    <w:p w14:paraId="539E85A4"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r w:rsidRPr="00AD2AF2">
        <w:rPr>
          <w:rFonts w:ascii="Verdana" w:hAnsi="Verdana"/>
          <w:color w:val="000000" w:themeColor="text1"/>
          <w:sz w:val="16"/>
          <w:szCs w:val="16"/>
        </w:rPr>
        <w:t>3.3. Razón de cobertura de intereses: utilidad operacional dividida por los gastos de intereses”.</w:t>
      </w:r>
    </w:p>
    <w:p w14:paraId="0379C2EB"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p>
  </w:footnote>
  <w:footnote w:id="9">
    <w:p w14:paraId="713758C8"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r w:rsidRPr="00AD2AF2">
        <w:rPr>
          <w:rStyle w:val="Refdenotaalpie"/>
          <w:rFonts w:ascii="Verdana" w:hAnsi="Verdana"/>
          <w:sz w:val="16"/>
          <w:szCs w:val="16"/>
        </w:rPr>
        <w:footnoteRef/>
      </w:r>
      <w:r w:rsidRPr="00AD2AF2">
        <w:rPr>
          <w:rFonts w:ascii="Verdana" w:hAnsi="Verdana"/>
          <w:sz w:val="16"/>
          <w:szCs w:val="16"/>
        </w:rPr>
        <w:t xml:space="preserve"> </w:t>
      </w:r>
      <w:r w:rsidRPr="00AD2AF2">
        <w:rPr>
          <w:rFonts w:ascii="Verdana" w:hAnsi="Verdana"/>
          <w:color w:val="000000" w:themeColor="text1"/>
          <w:sz w:val="16"/>
          <w:szCs w:val="16"/>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355DF53"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AD2AF2">
        <w:rPr>
          <w:rFonts w:ascii="Verdana" w:eastAsia="Calibri" w:hAnsi="Verdana" w:cs="Arial"/>
          <w:color w:val="000000"/>
          <w:sz w:val="16"/>
          <w:szCs w:val="16"/>
          <w:lang w:val="es-ES_tradnl" w:eastAsia="es-ES_tradnl"/>
        </w:rPr>
        <w:t>[…]</w:t>
      </w:r>
    </w:p>
    <w:p w14:paraId="406557EE"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r w:rsidRPr="00AD2AF2">
        <w:rPr>
          <w:rFonts w:ascii="Verdana" w:hAnsi="Verdana"/>
          <w:color w:val="000000" w:themeColor="text1"/>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AEB2B24"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r w:rsidRPr="00AD2AF2">
        <w:rPr>
          <w:rFonts w:ascii="Verdana" w:hAnsi="Verdana"/>
          <w:color w:val="000000" w:themeColor="text1"/>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AE2CA35" w14:textId="77777777" w:rsidR="005D3BFD" w:rsidRPr="00AD2AF2" w:rsidRDefault="005D3BFD" w:rsidP="00181D62">
      <w:pPr>
        <w:pStyle w:val="Textoindependiente"/>
        <w:spacing w:after="0" w:line="240" w:lineRule="auto"/>
        <w:ind w:firstLine="709"/>
        <w:jc w:val="both"/>
        <w:rPr>
          <w:rFonts w:ascii="Verdana" w:hAnsi="Verdana"/>
          <w:color w:val="000000" w:themeColor="text1"/>
          <w:sz w:val="16"/>
          <w:szCs w:val="16"/>
        </w:rPr>
      </w:pPr>
    </w:p>
  </w:footnote>
  <w:footnote w:id="10">
    <w:p w14:paraId="6974540E" w14:textId="36AC3116"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AD2AF2">
        <w:rPr>
          <w:rFonts w:ascii="Verdana" w:eastAsia="Calibri" w:hAnsi="Verdana" w:cs="Arial"/>
          <w:color w:val="000000"/>
          <w:sz w:val="16"/>
          <w:szCs w:val="16"/>
          <w:vertAlign w:val="superscript"/>
          <w:lang w:val="es-ES_tradnl" w:eastAsia="es-ES_tradnl"/>
        </w:rPr>
        <w:footnoteRef/>
      </w:r>
      <w:r w:rsidR="005F0A61">
        <w:rPr>
          <w:rFonts w:ascii="Verdana" w:eastAsia="Calibri" w:hAnsi="Verdana" w:cs="Arial"/>
          <w:color w:val="000000"/>
          <w:sz w:val="16"/>
          <w:szCs w:val="16"/>
          <w:lang w:val="es-ES_tradnl" w:eastAsia="es-ES_tradnl"/>
        </w:rPr>
        <w:t xml:space="preserve"> </w:t>
      </w:r>
      <w:r w:rsidRPr="00AD2AF2">
        <w:rPr>
          <w:rFonts w:ascii="Verdana" w:eastAsia="Calibri" w:hAnsi="Verdana" w:cs="Arial"/>
          <w:color w:val="000000"/>
          <w:sz w:val="16"/>
          <w:szCs w:val="16"/>
          <w:lang w:val="es-ES_tradnl" w:eastAsia="es-ES_tradnl"/>
        </w:rPr>
        <w:t>Decreto 1082 de 2015: “</w:t>
      </w:r>
      <w:r w:rsidRPr="00AD2AF2">
        <w:rPr>
          <w:rFonts w:ascii="Verdana" w:eastAsia="Calibri" w:hAnsi="Verdana" w:cs="Arial"/>
          <w:sz w:val="16"/>
          <w:szCs w:val="16"/>
          <w:lang w:val="es-ES_tradnl" w:eastAsia="es-ES_tradnl"/>
        </w:rPr>
        <w:t>Artículo 2.2.1.1.1.5.2.</w:t>
      </w:r>
      <w:r w:rsidRPr="00AD2AF2">
        <w:rPr>
          <w:rFonts w:ascii="Verdana" w:eastAsia="Calibri" w:hAnsi="Verdana" w:cs="Arial"/>
          <w:b/>
          <w:bCs/>
          <w:sz w:val="16"/>
          <w:szCs w:val="16"/>
          <w:lang w:val="es-ES_tradnl" w:eastAsia="es-ES_tradnl"/>
        </w:rPr>
        <w:t> </w:t>
      </w:r>
      <w:r w:rsidRPr="00AD2AF2">
        <w:rPr>
          <w:rFonts w:ascii="Verdana" w:eastAsia="Calibri" w:hAnsi="Verdana" w:cs="Arial"/>
          <w:i/>
          <w:iCs/>
          <w:sz w:val="16"/>
          <w:szCs w:val="16"/>
          <w:lang w:val="es-ES_tradnl" w:eastAsia="es-ES_tradnl"/>
        </w:rPr>
        <w:t>Información para inscripción, renovación o actualización. </w:t>
      </w:r>
      <w:r w:rsidRPr="00AD2AF2">
        <w:rPr>
          <w:rFonts w:ascii="Verdana" w:eastAsia="Calibri" w:hAnsi="Verdana" w:cs="Arial"/>
          <w:color w:val="000000"/>
          <w:sz w:val="16"/>
          <w:szCs w:val="16"/>
          <w:lang w:val="es-ES_tradnl" w:eastAsia="es-ES_tradnl"/>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2EC98038"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AD2AF2">
        <w:rPr>
          <w:rFonts w:ascii="Verdana" w:eastAsia="Calibri" w:hAnsi="Verdana" w:cs="Arial"/>
          <w:color w:val="000000"/>
          <w:sz w:val="16"/>
          <w:szCs w:val="16"/>
          <w:lang w:val="es-ES_tradnl" w:eastAsia="es-ES_tradnl"/>
        </w:rPr>
        <w:t>[…]</w:t>
      </w:r>
    </w:p>
    <w:p w14:paraId="0348A3BD"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AD2AF2">
        <w:rPr>
          <w:rFonts w:ascii="Verdana" w:eastAsia="Calibri" w:hAnsi="Verdana" w:cs="Arial"/>
          <w:color w:val="000000"/>
          <w:sz w:val="16"/>
          <w:szCs w:val="16"/>
          <w:lang w:val="es-ES_tradnl" w:eastAsia="es-ES_tradnl"/>
        </w:rPr>
        <w:t xml:space="preserve">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14BE3067"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AD2AF2">
        <w:rPr>
          <w:rFonts w:ascii="Verdana" w:eastAsia="Calibri" w:hAnsi="Verdana" w:cs="Arial"/>
          <w:color w:val="000000"/>
          <w:sz w:val="16"/>
          <w:szCs w:val="16"/>
          <w:lang w:val="es-ES_tradnl" w:eastAsia="es-ES_tradnl"/>
        </w:rPr>
        <w:t xml:space="preserve">I. Principales cuentas detalladas del balance general. </w:t>
      </w:r>
    </w:p>
    <w:p w14:paraId="5F538F5F"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AD2AF2">
        <w:rPr>
          <w:rFonts w:ascii="Verdana" w:eastAsia="Calibri" w:hAnsi="Verdana" w:cs="Arial"/>
          <w:color w:val="000000"/>
          <w:sz w:val="16"/>
          <w:szCs w:val="16"/>
          <w:lang w:val="es-ES_tradnl" w:eastAsia="es-ES_tradnl"/>
        </w:rPr>
        <w:t xml:space="preserve">II. Principales cuentas del estado de pérdidas y ganancias. </w:t>
      </w:r>
    </w:p>
    <w:p w14:paraId="23B029F2"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AD2AF2">
        <w:rPr>
          <w:rFonts w:ascii="Verdana" w:eastAsia="Calibri" w:hAnsi="Verdana" w:cs="Arial"/>
          <w:color w:val="000000"/>
          <w:sz w:val="16"/>
          <w:szCs w:val="16"/>
          <w:lang w:val="es-ES_tradnl" w:eastAsia="es-ES_tradnl"/>
        </w:rPr>
        <w:t xml:space="preserve">III. Cuentas contingentes deudoras y acreedoras. </w:t>
      </w:r>
    </w:p>
    <w:p w14:paraId="3845FB1C" w14:textId="77777777" w:rsidR="005D3BFD" w:rsidRPr="00AD2AF2" w:rsidRDefault="005D3BFD" w:rsidP="00181D62">
      <w:pPr>
        <w:pStyle w:val="Textonotapie"/>
        <w:ind w:firstLine="709"/>
        <w:jc w:val="both"/>
        <w:rPr>
          <w:rFonts w:ascii="Verdana" w:hAnsi="Verdana" w:cs="Arial"/>
          <w:sz w:val="16"/>
          <w:szCs w:val="16"/>
        </w:rPr>
      </w:pPr>
      <w:r w:rsidRPr="00AD2AF2">
        <w:rPr>
          <w:rFonts w:ascii="Verdana" w:eastAsia="Calibri" w:hAnsi="Verdana" w:cs="Arial"/>
          <w:color w:val="000000"/>
          <w:sz w:val="16"/>
          <w:szCs w:val="16"/>
          <w:lang w:val="es-ES_tradnl" w:eastAsia="es-ES_tradnl"/>
        </w:rPr>
        <w:t>Si el interesado no tiene antigüedad suficiente para tener estados financieros auditados a 31 de diciembre, debe inscribirse con estados financieros de corte trimestral, suscritos por el representante legal y el auditor o contador o estados financieros de apertura [...]”</w:t>
      </w:r>
      <w:r w:rsidRPr="00AD2AF2">
        <w:rPr>
          <w:rFonts w:ascii="Verdana" w:hAnsi="Verdana" w:cs="Arial"/>
          <w:sz w:val="16"/>
          <w:szCs w:val="16"/>
        </w:rPr>
        <w:t xml:space="preserve">  </w:t>
      </w:r>
    </w:p>
  </w:footnote>
  <w:footnote w:id="11">
    <w:p w14:paraId="131C2E64" w14:textId="77777777" w:rsidR="005F0A61" w:rsidRDefault="005F0A61" w:rsidP="005F0A61">
      <w:pPr>
        <w:pStyle w:val="Textonotapie"/>
        <w:ind w:firstLine="709"/>
        <w:jc w:val="both"/>
        <w:rPr>
          <w:rFonts w:ascii="Verdana" w:hAnsi="Verdana" w:cs="Arial"/>
          <w:sz w:val="16"/>
          <w:szCs w:val="16"/>
        </w:rPr>
      </w:pPr>
    </w:p>
    <w:p w14:paraId="6FBF44F9" w14:textId="3244C3E6"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AD2AF2">
        <w:rPr>
          <w:rStyle w:val="Refdenotaalpie"/>
          <w:rFonts w:ascii="Verdana" w:hAnsi="Verdana" w:cs="Arial"/>
          <w:sz w:val="16"/>
          <w:szCs w:val="16"/>
        </w:rPr>
        <w:footnoteRef/>
      </w:r>
      <w:r w:rsidRPr="00AD2AF2">
        <w:rPr>
          <w:rFonts w:ascii="Verdana" w:hAnsi="Verdana" w:cs="Arial"/>
          <w:sz w:val="16"/>
          <w:szCs w:val="16"/>
        </w:rPr>
        <w:t xml:space="preserve"> </w:t>
      </w:r>
      <w:r w:rsidRPr="00AD2AF2">
        <w:rPr>
          <w:rFonts w:ascii="Verdana" w:eastAsia="Calibri" w:hAnsi="Verdana" w:cs="Arial"/>
          <w:color w:val="000000"/>
          <w:sz w:val="16"/>
          <w:szCs w:val="16"/>
          <w:lang w:val="es-ES_tradnl" w:eastAsia="es-ES_tradnl"/>
        </w:rPr>
        <w:t>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17C60290"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p>
  </w:footnote>
  <w:footnote w:id="12">
    <w:p w14:paraId="225D1CC4" w14:textId="77777777" w:rsidR="005D3BFD" w:rsidRPr="00AD2AF2" w:rsidRDefault="005D3BFD" w:rsidP="00181D62">
      <w:pPr>
        <w:pStyle w:val="Textonotapie"/>
        <w:ind w:firstLine="709"/>
        <w:jc w:val="both"/>
        <w:rPr>
          <w:rFonts w:ascii="Verdana" w:eastAsia="Calibri" w:hAnsi="Verdana" w:cs="Arial"/>
          <w:color w:val="000000"/>
          <w:sz w:val="16"/>
          <w:szCs w:val="16"/>
          <w:lang w:val="es-ES_tradnl" w:eastAsia="es-ES_tradnl"/>
        </w:rPr>
      </w:pPr>
      <w:r w:rsidRPr="00AD2AF2">
        <w:rPr>
          <w:rFonts w:ascii="Verdana" w:eastAsia="Calibri" w:hAnsi="Verdana" w:cs="Arial"/>
          <w:color w:val="000000"/>
          <w:sz w:val="16"/>
          <w:szCs w:val="16"/>
          <w:vertAlign w:val="superscript"/>
          <w:lang w:val="es-ES_tradnl" w:eastAsia="es-ES_tradnl"/>
        </w:rPr>
        <w:footnoteRef/>
      </w:r>
      <w:r w:rsidRPr="00AD2AF2">
        <w:rPr>
          <w:rFonts w:ascii="Verdana" w:eastAsia="Calibri" w:hAnsi="Verdana" w:cs="Arial"/>
          <w:color w:val="000000"/>
          <w:sz w:val="16"/>
          <w:szCs w:val="16"/>
          <w:vertAlign w:val="superscript"/>
          <w:lang w:val="es-ES_tradnl" w:eastAsia="es-ES_tradnl"/>
        </w:rPr>
        <w:t xml:space="preserve"> </w:t>
      </w:r>
      <w:r w:rsidRPr="00AD2AF2">
        <w:rPr>
          <w:rFonts w:ascii="Verdana" w:eastAsia="Calibri" w:hAnsi="Verdana" w:cs="Arial"/>
          <w:color w:val="000000"/>
          <w:sz w:val="16"/>
          <w:szCs w:val="16"/>
          <w:lang w:val="es-ES_tradnl" w:eastAsia="es-ES_tradnl"/>
        </w:rPr>
        <w:t>Agencia Nacional de Contratación Pública – Colombia Compra Eficiente, “Manual para determinar y verificar los requisitos habilitantes en los Procesos de Contratación”.</w:t>
      </w:r>
    </w:p>
  </w:footnote>
  <w:footnote w:id="13">
    <w:p w14:paraId="6925457F" w14:textId="77777777" w:rsidR="005D3BFD" w:rsidRDefault="005D3BFD" w:rsidP="005F0A61">
      <w:pPr>
        <w:pStyle w:val="Textoindependiente"/>
        <w:spacing w:after="0" w:line="240" w:lineRule="auto"/>
        <w:ind w:firstLine="709"/>
        <w:jc w:val="both"/>
        <w:rPr>
          <w:rFonts w:ascii="Verdana" w:hAnsi="Verdana"/>
          <w:color w:val="000000" w:themeColor="text1"/>
          <w:sz w:val="16"/>
          <w:szCs w:val="16"/>
        </w:rPr>
      </w:pPr>
      <w:r w:rsidRPr="00AD2AF2">
        <w:rPr>
          <w:rStyle w:val="Refdenotaalpie"/>
          <w:rFonts w:ascii="Verdana" w:hAnsi="Verdana"/>
          <w:sz w:val="16"/>
          <w:szCs w:val="16"/>
        </w:rPr>
        <w:footnoteRef/>
      </w:r>
      <w:r w:rsidRPr="00AD2AF2">
        <w:rPr>
          <w:rFonts w:ascii="Verdana" w:hAnsi="Verdana"/>
          <w:sz w:val="16"/>
          <w:szCs w:val="16"/>
        </w:rPr>
        <w:t xml:space="preserve"> </w:t>
      </w:r>
      <w:r w:rsidRPr="00AD2AF2">
        <w:rPr>
          <w:rFonts w:ascii="Verdana" w:hAnsi="Verdana"/>
          <w:color w:val="000000" w:themeColor="text1"/>
          <w:sz w:val="16"/>
          <w:szCs w:val="16"/>
        </w:rPr>
        <w:t>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BD2CADD" w14:textId="77777777" w:rsidR="005F0A61" w:rsidRPr="00AD2AF2" w:rsidRDefault="005F0A61" w:rsidP="00181D62">
      <w:pPr>
        <w:pStyle w:val="Textoindependiente"/>
        <w:spacing w:after="0" w:line="240" w:lineRule="auto"/>
        <w:ind w:firstLine="709"/>
        <w:jc w:val="both"/>
        <w:rPr>
          <w:rFonts w:ascii="Verdana" w:hAnsi="Verdana"/>
          <w:color w:val="000000" w:themeColor="text1"/>
          <w:sz w:val="16"/>
          <w:szCs w:val="16"/>
        </w:rPr>
      </w:pPr>
    </w:p>
  </w:footnote>
  <w:footnote w:id="14">
    <w:p w14:paraId="2942577D" w14:textId="77777777" w:rsidR="005F0A61" w:rsidRPr="00AD2AF2" w:rsidRDefault="005F0A61" w:rsidP="005F0A61">
      <w:pPr>
        <w:pStyle w:val="Textonotapie"/>
        <w:ind w:firstLine="426"/>
        <w:jc w:val="both"/>
        <w:rPr>
          <w:rFonts w:ascii="Verdana" w:hAnsi="Verdana"/>
          <w:sz w:val="16"/>
          <w:szCs w:val="16"/>
        </w:rPr>
      </w:pPr>
      <w:r w:rsidRPr="00AD2AF2">
        <w:rPr>
          <w:rStyle w:val="Refdenotaalpie"/>
          <w:rFonts w:ascii="Verdana" w:hAnsi="Verdana"/>
          <w:sz w:val="16"/>
          <w:szCs w:val="16"/>
        </w:rPr>
        <w:footnoteRef/>
      </w:r>
      <w:r w:rsidRPr="00AD2AF2">
        <w:rPr>
          <w:rFonts w:ascii="Verdana" w:hAnsi="Verdana"/>
          <w:sz w:val="16"/>
          <w:szCs w:val="16"/>
        </w:rPr>
        <w:t xml:space="preserve"> Ibidem.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32296"/>
    <w:rsid w:val="001511A0"/>
    <w:rsid w:val="00181D62"/>
    <w:rsid w:val="001C519A"/>
    <w:rsid w:val="001E4177"/>
    <w:rsid w:val="001F7DC6"/>
    <w:rsid w:val="002421BB"/>
    <w:rsid w:val="00246579"/>
    <w:rsid w:val="00255683"/>
    <w:rsid w:val="0025796E"/>
    <w:rsid w:val="002707A2"/>
    <w:rsid w:val="002739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04B87"/>
    <w:rsid w:val="005566E8"/>
    <w:rsid w:val="00574867"/>
    <w:rsid w:val="00591460"/>
    <w:rsid w:val="00595E53"/>
    <w:rsid w:val="005A3DE0"/>
    <w:rsid w:val="005B3816"/>
    <w:rsid w:val="005C3777"/>
    <w:rsid w:val="005C5CDC"/>
    <w:rsid w:val="005D3BFD"/>
    <w:rsid w:val="005D476C"/>
    <w:rsid w:val="005E5446"/>
    <w:rsid w:val="005F0A61"/>
    <w:rsid w:val="005F2083"/>
    <w:rsid w:val="006219F8"/>
    <w:rsid w:val="00665D70"/>
    <w:rsid w:val="006900D9"/>
    <w:rsid w:val="006B15CB"/>
    <w:rsid w:val="00706C16"/>
    <w:rsid w:val="00756841"/>
    <w:rsid w:val="00762B49"/>
    <w:rsid w:val="007649AB"/>
    <w:rsid w:val="00771D0C"/>
    <w:rsid w:val="007833AC"/>
    <w:rsid w:val="00785096"/>
    <w:rsid w:val="007B268C"/>
    <w:rsid w:val="007B7171"/>
    <w:rsid w:val="007C0C0F"/>
    <w:rsid w:val="007C3DC2"/>
    <w:rsid w:val="007E5497"/>
    <w:rsid w:val="00806F5F"/>
    <w:rsid w:val="00820278"/>
    <w:rsid w:val="00867F95"/>
    <w:rsid w:val="00874757"/>
    <w:rsid w:val="00883444"/>
    <w:rsid w:val="008843B6"/>
    <w:rsid w:val="00891928"/>
    <w:rsid w:val="008A446D"/>
    <w:rsid w:val="008D180B"/>
    <w:rsid w:val="008F0EA7"/>
    <w:rsid w:val="00923EEF"/>
    <w:rsid w:val="009419F9"/>
    <w:rsid w:val="0095685E"/>
    <w:rsid w:val="00961B09"/>
    <w:rsid w:val="00965334"/>
    <w:rsid w:val="0097093E"/>
    <w:rsid w:val="00975876"/>
    <w:rsid w:val="00986AC5"/>
    <w:rsid w:val="009A0DFA"/>
    <w:rsid w:val="009B2D26"/>
    <w:rsid w:val="009C71FA"/>
    <w:rsid w:val="009C72E7"/>
    <w:rsid w:val="009D3058"/>
    <w:rsid w:val="009F3A13"/>
    <w:rsid w:val="00A122D3"/>
    <w:rsid w:val="00A17F13"/>
    <w:rsid w:val="00A20739"/>
    <w:rsid w:val="00A33C78"/>
    <w:rsid w:val="00AB0ADB"/>
    <w:rsid w:val="00AD2AF2"/>
    <w:rsid w:val="00B01B1A"/>
    <w:rsid w:val="00B26DB5"/>
    <w:rsid w:val="00B66319"/>
    <w:rsid w:val="00B72CD3"/>
    <w:rsid w:val="00B72FFF"/>
    <w:rsid w:val="00BA174E"/>
    <w:rsid w:val="00BC3D36"/>
    <w:rsid w:val="00BD7F72"/>
    <w:rsid w:val="00BE19F0"/>
    <w:rsid w:val="00BF1F75"/>
    <w:rsid w:val="00C04FB3"/>
    <w:rsid w:val="00C330EB"/>
    <w:rsid w:val="00C41061"/>
    <w:rsid w:val="00C447F2"/>
    <w:rsid w:val="00C754BE"/>
    <w:rsid w:val="00C76B1C"/>
    <w:rsid w:val="00C933C2"/>
    <w:rsid w:val="00CB6357"/>
    <w:rsid w:val="00CC1B26"/>
    <w:rsid w:val="00D423A2"/>
    <w:rsid w:val="00D520D8"/>
    <w:rsid w:val="00D63AC2"/>
    <w:rsid w:val="00D7383B"/>
    <w:rsid w:val="00DA231B"/>
    <w:rsid w:val="00DC39FC"/>
    <w:rsid w:val="00DC3D55"/>
    <w:rsid w:val="00DF5254"/>
    <w:rsid w:val="00E16408"/>
    <w:rsid w:val="00E20894"/>
    <w:rsid w:val="00E245AB"/>
    <w:rsid w:val="00E2764C"/>
    <w:rsid w:val="00E27F2E"/>
    <w:rsid w:val="00E50AFE"/>
    <w:rsid w:val="00E75C92"/>
    <w:rsid w:val="00E771DC"/>
    <w:rsid w:val="00E8772A"/>
    <w:rsid w:val="00E90F6B"/>
    <w:rsid w:val="00E92C27"/>
    <w:rsid w:val="00EA0E3D"/>
    <w:rsid w:val="00EA6C8B"/>
    <w:rsid w:val="00EC38A7"/>
    <w:rsid w:val="00ED7384"/>
    <w:rsid w:val="00EE1AA8"/>
    <w:rsid w:val="00EF2068"/>
    <w:rsid w:val="00F31EDC"/>
    <w:rsid w:val="00F462B3"/>
    <w:rsid w:val="00F5664F"/>
    <w:rsid w:val="00F603D7"/>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semiHidden/>
    <w:unhideWhenUsed/>
    <w:rsid w:val="005D3BFD"/>
    <w:pPr>
      <w:spacing w:after="120"/>
    </w:pPr>
  </w:style>
  <w:style w:type="character" w:customStyle="1" w:styleId="TextoindependienteCar">
    <w:name w:val="Texto independiente Car"/>
    <w:basedOn w:val="Fuentedeprrafopredeter"/>
    <w:link w:val="Textoindependiente"/>
    <w:uiPriority w:val="99"/>
    <w:semiHidden/>
    <w:rsid w:val="005D3BFD"/>
  </w:style>
  <w:style w:type="paragraph" w:customStyle="1" w:styleId="Appelnotedebasde">
    <w:name w:val="Appel note de bas de..."/>
    <w:basedOn w:val="Normal"/>
    <w:link w:val="Refdenotaalpie"/>
    <w:uiPriority w:val="99"/>
    <w:rsid w:val="005D3BF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ubenlassoburban@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7E670-86F1-452B-A65D-3AFA97A84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http://schemas.openxmlformats.org/package/2006/metadata/core-properti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3739</Words>
  <Characters>20565</Characters>
  <Application>Microsoft Office Word</Application>
  <DocSecurity>0</DocSecurity>
  <Lines>171</Lines>
  <Paragraphs>48</Paragraphs>
  <ScaleCrop>false</ScaleCrop>
  <Company/>
  <LinksUpToDate>false</LinksUpToDate>
  <CharactersWithSpaces>24256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2025-09-15T23:05:00Z</dcterms:created>
  <dcterms:modified xsi:type="dcterms:W3CDTF">2025-09-15T23:05:00Z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