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1B00" w14:textId="77777777" w:rsidR="004D0112" w:rsidRPr="000E52E5" w:rsidRDefault="004D0112" w:rsidP="004D0112">
      <w:pPr>
        <w:spacing w:after="0" w:line="240" w:lineRule="auto"/>
        <w:jc w:val="both"/>
        <w:rPr>
          <w:rFonts w:ascii="Verdana" w:eastAsia="Geomanist Light" w:hAnsi="Verdana" w:cs="Arial"/>
          <w:b/>
          <w:bCs/>
          <w:color w:val="000000" w:themeColor="text1"/>
          <w:sz w:val="20"/>
          <w:szCs w:val="20"/>
          <w:lang w:val="es-MX"/>
        </w:rPr>
      </w:pPr>
    </w:p>
    <w:p w14:paraId="7ECAAB75" w14:textId="77777777" w:rsidR="004D0112" w:rsidRPr="000E52E5" w:rsidRDefault="004D0112" w:rsidP="004D0112">
      <w:pPr>
        <w:spacing w:after="0" w:line="240" w:lineRule="auto"/>
        <w:jc w:val="both"/>
        <w:rPr>
          <w:rFonts w:ascii="Verdana" w:eastAsia="Calibri" w:hAnsi="Verdana" w:cs="Arial"/>
          <w:bCs/>
          <w:lang w:val="es-ES_tradnl"/>
        </w:rPr>
      </w:pPr>
      <w:r w:rsidRPr="000E52E5">
        <w:rPr>
          <w:rFonts w:ascii="Verdana" w:eastAsia="Calibri" w:hAnsi="Verdana" w:cs="Arial"/>
          <w:b/>
          <w:lang w:val="es-ES_tradnl"/>
        </w:rPr>
        <w:t>CONCEPTOS DE COLOMBIA COMPRA EFICIENTE – Obligatoriedad</w:t>
      </w:r>
    </w:p>
    <w:p w14:paraId="4020AD40" w14:textId="77777777" w:rsidR="004D0112" w:rsidRPr="000E52E5" w:rsidRDefault="004D0112" w:rsidP="004D0112">
      <w:pPr>
        <w:spacing w:after="0" w:line="240" w:lineRule="auto"/>
        <w:jc w:val="both"/>
        <w:rPr>
          <w:rFonts w:ascii="Verdana" w:hAnsi="Verdana" w:cs="Arial"/>
          <w:sz w:val="20"/>
          <w:szCs w:val="20"/>
          <w:highlight w:val="yellow"/>
          <w:lang w:val="es-ES_tradnl"/>
        </w:rPr>
      </w:pPr>
    </w:p>
    <w:p w14:paraId="40A352EE" w14:textId="77777777" w:rsidR="004D0112" w:rsidRPr="000E52E5" w:rsidRDefault="004D0112" w:rsidP="004D0112">
      <w:pPr>
        <w:pStyle w:val="Prrafodelista"/>
        <w:spacing w:after="0" w:line="240" w:lineRule="auto"/>
        <w:ind w:left="0"/>
        <w:jc w:val="both"/>
        <w:rPr>
          <w:rFonts w:ascii="Verdana" w:eastAsia="Calibri" w:hAnsi="Verdana" w:cs="Arial"/>
          <w:sz w:val="20"/>
          <w:szCs w:val="20"/>
          <w:highlight w:val="yellow"/>
          <w:lang w:val="es-ES_tradnl"/>
        </w:rPr>
      </w:pPr>
      <w:r w:rsidRPr="000E52E5">
        <w:rPr>
          <w:rFonts w:ascii="Verdana" w:eastAsia="Calibri" w:hAnsi="Verdana" w:cs="Arial"/>
          <w:sz w:val="20"/>
          <w:szCs w:val="20"/>
          <w:lang w:val="es-ES_tradnl"/>
        </w:rPr>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54B156C4" w14:textId="77777777" w:rsidR="004D0112" w:rsidRPr="000E52E5" w:rsidRDefault="004D0112" w:rsidP="004D0112">
      <w:pPr>
        <w:spacing w:after="0" w:line="240" w:lineRule="auto"/>
        <w:jc w:val="both"/>
        <w:rPr>
          <w:rFonts w:ascii="Verdana" w:eastAsia="Calibri" w:hAnsi="Verdana" w:cs="Arial"/>
          <w:b/>
          <w:sz w:val="20"/>
          <w:szCs w:val="20"/>
          <w:highlight w:val="yellow"/>
          <w:lang w:val="es-ES_tradnl"/>
        </w:rPr>
      </w:pPr>
    </w:p>
    <w:p w14:paraId="325A8308" w14:textId="77777777" w:rsidR="004D0112" w:rsidRPr="000E52E5" w:rsidRDefault="004D0112" w:rsidP="004D0112">
      <w:pPr>
        <w:spacing w:after="0" w:line="240" w:lineRule="auto"/>
        <w:jc w:val="both"/>
        <w:rPr>
          <w:rFonts w:ascii="Verdana" w:eastAsia="Calibri" w:hAnsi="Verdana" w:cs="Arial"/>
          <w:bCs/>
          <w:lang w:val="es-ES_tradnl"/>
        </w:rPr>
      </w:pPr>
      <w:r w:rsidRPr="000E52E5">
        <w:rPr>
          <w:rFonts w:ascii="Verdana" w:eastAsia="Calibri" w:hAnsi="Verdana" w:cs="Arial"/>
          <w:b/>
          <w:lang w:val="es-ES_tradnl"/>
        </w:rPr>
        <w:t>FUNCIÓN CONSULTIVA – Alcance</w:t>
      </w:r>
    </w:p>
    <w:p w14:paraId="55619DFA" w14:textId="77777777" w:rsidR="004D0112" w:rsidRPr="000E52E5" w:rsidRDefault="004D0112" w:rsidP="004D0112">
      <w:pPr>
        <w:spacing w:after="0" w:line="240" w:lineRule="auto"/>
        <w:jc w:val="both"/>
        <w:rPr>
          <w:rFonts w:ascii="Verdana" w:hAnsi="Verdana" w:cs="Arial"/>
          <w:sz w:val="20"/>
          <w:szCs w:val="20"/>
          <w:highlight w:val="yellow"/>
          <w:lang w:val="es-ES_tradnl"/>
        </w:rPr>
      </w:pPr>
    </w:p>
    <w:p w14:paraId="1CF65205" w14:textId="77777777" w:rsidR="004D0112" w:rsidRPr="000E52E5" w:rsidRDefault="004D0112" w:rsidP="004D0112">
      <w:pPr>
        <w:pStyle w:val="Prrafodelista"/>
        <w:spacing w:after="0" w:line="240" w:lineRule="auto"/>
        <w:ind w:left="0"/>
        <w:jc w:val="both"/>
        <w:rPr>
          <w:rFonts w:ascii="Verdana" w:eastAsia="Calibri" w:hAnsi="Verdana" w:cs="Arial"/>
          <w:sz w:val="20"/>
          <w:szCs w:val="20"/>
          <w:lang w:val="es-ES_tradnl"/>
        </w:rPr>
      </w:pPr>
      <w:r w:rsidRPr="000E52E5">
        <w:rPr>
          <w:rFonts w:ascii="Verdana" w:eastAsia="Calibri" w:hAnsi="Verdana" w:cs="Arial"/>
          <w:sz w:val="20"/>
          <w:szCs w:val="20"/>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14:paraId="30B54742" w14:textId="77777777" w:rsidR="004D0112" w:rsidRPr="000E52E5" w:rsidRDefault="004D0112" w:rsidP="004D0112">
      <w:pPr>
        <w:pStyle w:val="Prrafodelista"/>
        <w:spacing w:after="0" w:line="240" w:lineRule="auto"/>
        <w:ind w:left="0"/>
        <w:jc w:val="both"/>
        <w:rPr>
          <w:rFonts w:ascii="Verdana" w:eastAsia="Calibri" w:hAnsi="Verdana" w:cs="Arial"/>
          <w:sz w:val="20"/>
          <w:szCs w:val="20"/>
          <w:highlight w:val="yellow"/>
          <w:lang w:val="es-ES_tradnl"/>
        </w:rPr>
      </w:pPr>
    </w:p>
    <w:p w14:paraId="357B86B8" w14:textId="77777777" w:rsidR="004D0112" w:rsidRPr="000E52E5" w:rsidRDefault="004D0112" w:rsidP="004D0112">
      <w:pPr>
        <w:spacing w:after="0" w:line="240" w:lineRule="auto"/>
        <w:jc w:val="both"/>
        <w:rPr>
          <w:rFonts w:ascii="Verdana" w:eastAsia="Calibri" w:hAnsi="Verdana" w:cs="Arial"/>
          <w:lang w:val="es-ES_tradnl"/>
        </w:rPr>
      </w:pPr>
      <w:r w:rsidRPr="000E52E5">
        <w:rPr>
          <w:rFonts w:ascii="Verdana" w:eastAsia="Calibri" w:hAnsi="Verdana" w:cs="Arial"/>
          <w:b/>
          <w:bCs/>
          <w:lang w:val="es-ES_tradnl"/>
        </w:rPr>
        <w:t xml:space="preserve">CONCEPTOS DE COLOMBIA COMPRA EFICIENTE – Revocación directa </w:t>
      </w:r>
      <w:r w:rsidRPr="000E52E5">
        <w:rPr>
          <w:rFonts w:ascii="Verdana" w:eastAsia="Arial" w:hAnsi="Verdana" w:cs="Arial"/>
          <w:b/>
          <w:bCs/>
          <w:lang w:val="es-ES_tradnl"/>
        </w:rPr>
        <w:t>– Improcedencia</w:t>
      </w:r>
    </w:p>
    <w:p w14:paraId="5EEC0F38" w14:textId="77777777" w:rsidR="004D0112" w:rsidRPr="000E52E5" w:rsidRDefault="004D0112" w:rsidP="004D0112">
      <w:pPr>
        <w:spacing w:after="0" w:line="240" w:lineRule="auto"/>
        <w:jc w:val="both"/>
        <w:rPr>
          <w:rFonts w:ascii="Verdana" w:hAnsi="Verdana" w:cs="Arial"/>
          <w:sz w:val="20"/>
          <w:szCs w:val="20"/>
          <w:highlight w:val="yellow"/>
          <w:lang w:val="es-ES_tradnl"/>
        </w:rPr>
      </w:pPr>
    </w:p>
    <w:p w14:paraId="2110B109" w14:textId="77777777" w:rsidR="004D0112" w:rsidRPr="000E52E5" w:rsidRDefault="004D0112" w:rsidP="004D0112">
      <w:pPr>
        <w:tabs>
          <w:tab w:val="left" w:pos="709"/>
        </w:tabs>
        <w:spacing w:after="0" w:line="240" w:lineRule="auto"/>
        <w:jc w:val="both"/>
        <w:rPr>
          <w:rFonts w:ascii="Verdana" w:eastAsia="Calibri" w:hAnsi="Verdana" w:cs="Arial"/>
          <w:bCs/>
          <w:sz w:val="20"/>
          <w:szCs w:val="20"/>
          <w:lang w:val="es-ES_tradnl"/>
        </w:rPr>
      </w:pPr>
      <w:r w:rsidRPr="000E52E5">
        <w:rPr>
          <w:rFonts w:ascii="Verdana" w:eastAsia="Calibri" w:hAnsi="Verdana" w:cs="Arial"/>
          <w:bCs/>
          <w:sz w:val="20"/>
          <w:szCs w:val="20"/>
          <w:lang w:val="es-ES_tradnl"/>
        </w:rPr>
        <w:t xml:space="preserve">Así las cosas, Colombia Compra Eficiente considera que no hay lugar a acceder, por ejemplo, a solicitudes de </w:t>
      </w:r>
      <w:r w:rsidRPr="000E52E5">
        <w:rPr>
          <w:rFonts w:ascii="Verdana" w:eastAsia="Calibri" w:hAnsi="Verdana" w:cs="Arial"/>
          <w:bCs/>
          <w:i/>
          <w:iCs/>
          <w:sz w:val="20"/>
          <w:szCs w:val="20"/>
          <w:lang w:val="es-ES_tradnl"/>
        </w:rPr>
        <w:t>revocación directa</w:t>
      </w:r>
      <w:r w:rsidRPr="000E52E5">
        <w:rPr>
          <w:rFonts w:ascii="Verdana" w:eastAsia="Calibri" w:hAnsi="Verdana" w:cs="Arial"/>
          <w:bCs/>
          <w:sz w:val="20"/>
          <w:szCs w:val="20"/>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Pr="000E52E5">
        <w:rPr>
          <w:rFonts w:ascii="Verdana" w:eastAsia="Calibri" w:hAnsi="Verdana" w:cs="Arial"/>
          <w:bCs/>
          <w:i/>
          <w:iCs/>
          <w:sz w:val="20"/>
          <w:szCs w:val="20"/>
          <w:lang w:val="es-ES_tradnl"/>
        </w:rPr>
        <w:t>única</w:t>
      </w:r>
      <w:r w:rsidRPr="000E52E5">
        <w:rPr>
          <w:rFonts w:ascii="Verdana" w:eastAsia="Calibri" w:hAnsi="Verdana" w:cs="Arial"/>
          <w:bCs/>
          <w:sz w:val="20"/>
          <w:szCs w:val="20"/>
          <w:lang w:val="es-ES_tradnl"/>
        </w:rPr>
        <w:t xml:space="preserve"> interpretación válida del ordenamiento jurídico. 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18646A02" w14:textId="77777777" w:rsidR="004D0112" w:rsidRPr="000E52E5" w:rsidRDefault="004D0112" w:rsidP="004D0112">
      <w:pPr>
        <w:spacing w:after="0" w:line="240" w:lineRule="auto"/>
        <w:jc w:val="both"/>
        <w:rPr>
          <w:rFonts w:ascii="Verdana" w:eastAsia="Calibri" w:hAnsi="Verdana" w:cs="Arial"/>
          <w:sz w:val="20"/>
          <w:szCs w:val="20"/>
          <w:highlight w:val="yellow"/>
          <w:lang w:val="es-ES_tradnl"/>
        </w:rPr>
      </w:pPr>
    </w:p>
    <w:p w14:paraId="5F4389FE" w14:textId="77777777" w:rsidR="004D0112" w:rsidRPr="000E52E5" w:rsidRDefault="004D0112" w:rsidP="004D0112">
      <w:pPr>
        <w:spacing w:after="0" w:line="240" w:lineRule="auto"/>
        <w:jc w:val="both"/>
        <w:rPr>
          <w:rFonts w:ascii="Verdana" w:eastAsia="Calibri" w:hAnsi="Verdana" w:cs="Arial"/>
          <w:bCs/>
          <w:lang w:val="es-ES_tradnl"/>
        </w:rPr>
      </w:pPr>
      <w:r w:rsidRPr="000E52E5">
        <w:rPr>
          <w:rFonts w:ascii="Verdana" w:eastAsia="Calibri" w:hAnsi="Verdana" w:cs="Arial"/>
          <w:b/>
          <w:lang w:val="es-ES_tradnl"/>
        </w:rPr>
        <w:lastRenderedPageBreak/>
        <w:t>FUNCIÓN CONSULTIVA – Objeto</w:t>
      </w:r>
    </w:p>
    <w:p w14:paraId="3D11C91D" w14:textId="77777777" w:rsidR="004D0112" w:rsidRPr="000E52E5" w:rsidRDefault="004D0112" w:rsidP="004D0112">
      <w:pPr>
        <w:spacing w:after="0" w:line="240" w:lineRule="auto"/>
        <w:jc w:val="both"/>
        <w:rPr>
          <w:rFonts w:ascii="Verdana" w:hAnsi="Verdana" w:cs="Arial"/>
          <w:sz w:val="20"/>
          <w:szCs w:val="20"/>
          <w:highlight w:val="yellow"/>
          <w:lang w:val="es-ES_tradnl"/>
        </w:rPr>
      </w:pPr>
    </w:p>
    <w:p w14:paraId="6E5D3054" w14:textId="77777777" w:rsidR="004D0112" w:rsidRPr="000E52E5" w:rsidRDefault="004D0112" w:rsidP="004D0112">
      <w:pPr>
        <w:tabs>
          <w:tab w:val="left" w:pos="0"/>
        </w:tabs>
        <w:spacing w:after="0" w:line="240" w:lineRule="auto"/>
        <w:jc w:val="both"/>
        <w:rPr>
          <w:rFonts w:ascii="Verdana" w:eastAsia="Calibri" w:hAnsi="Verdana" w:cs="Arial"/>
          <w:color w:val="000000" w:themeColor="text1"/>
          <w:sz w:val="20"/>
          <w:szCs w:val="20"/>
          <w:lang w:val="es-ES_tradnl"/>
        </w:rPr>
      </w:pPr>
      <w:r w:rsidRPr="000E52E5">
        <w:rPr>
          <w:rFonts w:ascii="Verdana" w:eastAsia="Calibri" w:hAnsi="Verdana" w:cs="Arial"/>
          <w:color w:val="000000" w:themeColor="text1"/>
          <w:sz w:val="20"/>
          <w:szCs w:val="20"/>
          <w:lang w:val="es-ES_tradnl"/>
        </w:rPr>
        <w:t>Los conceptos emitidos por la Agencia Nacional de Contratación Pública – Colombia Compra Eficiente contienen la interpretación de normas de carácter general en materia de compras y contratación pública. El fundamento para su expedición se encuentra en el numeral 8 del artículo 11 y el numeral 5 del artículo 3 del Decreto Ley 4170 de 2011. Tales conceptos no son actos administrativos, es decir, no son decisiones vinculantes u obligatorias, sino que están revestidos de la naturaleza que les confiere el artículo 230 de la Constitución Política y el artículo 28 de la Ley 1437 de 2011. En otras palabras, constituyen doctrina, y por lo tanto son criterios auxiliares para la interpretación y aplicación del derecho. De ahí que no sean obligatorios.</w:t>
      </w:r>
    </w:p>
    <w:p w14:paraId="0813FBB5" w14:textId="77777777" w:rsidR="004D0112" w:rsidRPr="000E52E5" w:rsidRDefault="004D0112" w:rsidP="004D0112">
      <w:pPr>
        <w:tabs>
          <w:tab w:val="left" w:pos="0"/>
        </w:tabs>
        <w:spacing w:after="0" w:line="240" w:lineRule="auto"/>
        <w:jc w:val="both"/>
        <w:rPr>
          <w:rFonts w:ascii="Verdana" w:eastAsia="Calibri" w:hAnsi="Verdana" w:cs="Arial"/>
          <w:color w:val="000000" w:themeColor="text1"/>
          <w:sz w:val="20"/>
          <w:szCs w:val="20"/>
          <w:lang w:val="es-ES_tradnl"/>
        </w:rPr>
      </w:pPr>
    </w:p>
    <w:p w14:paraId="01AC0588" w14:textId="77777777" w:rsidR="004D0112" w:rsidRPr="000E52E5" w:rsidRDefault="004D0112" w:rsidP="004D0112">
      <w:pPr>
        <w:tabs>
          <w:tab w:val="left" w:pos="0"/>
        </w:tabs>
        <w:spacing w:after="0" w:line="240" w:lineRule="auto"/>
        <w:jc w:val="both"/>
        <w:rPr>
          <w:rFonts w:ascii="Verdana" w:eastAsia="Calibri" w:hAnsi="Verdana" w:cs="Arial"/>
          <w:color w:val="000000" w:themeColor="text1"/>
          <w:sz w:val="20"/>
          <w:szCs w:val="20"/>
          <w:lang w:val="es-ES_tradnl"/>
        </w:rPr>
      </w:pPr>
      <w:r w:rsidRPr="000E52E5">
        <w:rPr>
          <w:rFonts w:ascii="Verdana" w:eastAsia="Calibri" w:hAnsi="Verdana" w:cs="Arial"/>
          <w:color w:val="000000" w:themeColor="text1"/>
          <w:sz w:val="20"/>
          <w:szCs w:val="20"/>
          <w:lang w:val="es-ES_tradnl"/>
        </w:rPr>
        <w:t xml:space="preserve">Por lo demás, la actividad hermenéutica que lleva a cabo la Agencia Nacional de Contratación Pública – Colombia Compra Eficiente considera las fuentes normativas de la contratación estatal para asignarles un sentido razonable. Cuando las disposiciones normativas han sido objeto de desarrollo reglamentario o de pronunciamiento judicial, la Agencia tiene en cuenta en los conceptos tales elementos, para construir su interpretación de las normas. Pero, cuando se trata de la definición o comprensión de palabras que no gozan de una delimitación conceptual efectuada por vía reglamentaria o jurisdiccional, Colombia Compra Eficiente deduce el significado que considera más adecuado y armónico con las demás normas que conforman el sistema jurídico de compras y contratación pública. Esto último es lo que sucede con la expresión «mayor proporción», contenida en el numeral 4 del artículo 35 de la Ley 2069 de 2020. Al ser una Ley recientemente expedida y no existir reglamentación, ni jurisprudencia, que haya acotado tal concepto, la Agencia realiza su interpretación </w:t>
      </w:r>
      <w:r w:rsidRPr="000E52E5">
        <w:rPr>
          <w:rFonts w:ascii="Verdana" w:eastAsia="Calibri" w:hAnsi="Verdana" w:cs="Arial"/>
          <w:i/>
          <w:iCs/>
          <w:color w:val="000000" w:themeColor="text1"/>
          <w:sz w:val="20"/>
          <w:szCs w:val="20"/>
          <w:lang w:val="es-ES_tradnl"/>
        </w:rPr>
        <w:t>prima facie</w:t>
      </w:r>
      <w:r w:rsidRPr="000E52E5">
        <w:rPr>
          <w:rFonts w:ascii="Verdana" w:eastAsia="Calibri" w:hAnsi="Verdana" w:cs="Arial"/>
          <w:color w:val="000000" w:themeColor="text1"/>
          <w:sz w:val="20"/>
          <w:szCs w:val="20"/>
          <w:lang w:val="es-ES_tradnl"/>
        </w:rPr>
        <w:t>. Sin embargo, se reitera, dicha interpretación no es vinculante, ni niega que pueda haber otras interpretaciones.</w:t>
      </w:r>
    </w:p>
    <w:p w14:paraId="3F5CDD6A" w14:textId="77777777" w:rsidR="004D0112" w:rsidRPr="000E52E5" w:rsidRDefault="004D0112" w:rsidP="004D0112">
      <w:pPr>
        <w:pStyle w:val="Textoindependiente"/>
        <w:spacing w:after="0" w:line="240" w:lineRule="auto"/>
        <w:ind w:right="102"/>
        <w:jc w:val="both"/>
        <w:rPr>
          <w:rFonts w:ascii="Verdana" w:hAnsi="Verdana" w:cs="Arial"/>
          <w:b/>
          <w:color w:val="000000" w:themeColor="text1"/>
          <w:sz w:val="20"/>
          <w:szCs w:val="20"/>
          <w:lang w:val="es-ES_tradnl"/>
        </w:rPr>
      </w:pPr>
    </w:p>
    <w:p w14:paraId="68A70F63" w14:textId="77777777" w:rsidR="004D0112" w:rsidRPr="00396DBB" w:rsidRDefault="004D0112" w:rsidP="004D0112">
      <w:pPr>
        <w:pStyle w:val="Textoindependiente"/>
        <w:spacing w:after="0" w:line="240" w:lineRule="auto"/>
        <w:ind w:right="102"/>
        <w:jc w:val="both"/>
        <w:rPr>
          <w:rFonts w:ascii="Verdana" w:hAnsi="Verdana" w:cs="Arial"/>
          <w:b/>
          <w:color w:val="000000" w:themeColor="text1"/>
          <w:lang w:val="es-ES_tradnl"/>
        </w:rPr>
      </w:pPr>
      <w:r>
        <w:rPr>
          <w:rFonts w:ascii="Verdana" w:hAnsi="Verdana" w:cs="Arial"/>
          <w:b/>
          <w:color w:val="000000" w:themeColor="text1"/>
          <w:lang w:val="es-ES_tradnl"/>
        </w:rPr>
        <w:t>SELECCIÓN ABREVIADA</w:t>
      </w:r>
      <w:r w:rsidRPr="00396DBB">
        <w:rPr>
          <w:rFonts w:ascii="Verdana" w:hAnsi="Verdana" w:cs="Arial"/>
          <w:b/>
          <w:color w:val="000000" w:themeColor="text1"/>
          <w:lang w:val="es-ES_tradnl"/>
        </w:rPr>
        <w:t xml:space="preserve"> – </w:t>
      </w:r>
      <w:r>
        <w:rPr>
          <w:rFonts w:ascii="Verdana" w:hAnsi="Verdana" w:cs="Arial"/>
          <w:b/>
          <w:color w:val="000000" w:themeColor="text1"/>
          <w:lang w:val="es-ES_tradnl"/>
        </w:rPr>
        <w:t>Marco normativo</w:t>
      </w:r>
      <w:r w:rsidRPr="00396DBB">
        <w:rPr>
          <w:rFonts w:ascii="Verdana" w:hAnsi="Verdana" w:cs="Arial"/>
          <w:b/>
          <w:color w:val="000000" w:themeColor="text1"/>
          <w:lang w:val="es-ES_tradnl"/>
        </w:rPr>
        <w:t xml:space="preserve"> </w:t>
      </w:r>
    </w:p>
    <w:p w14:paraId="6C063EAD" w14:textId="77777777" w:rsidR="004D0112" w:rsidRPr="00396DBB" w:rsidRDefault="004D0112" w:rsidP="004D0112">
      <w:pPr>
        <w:pStyle w:val="Textoindependiente"/>
        <w:spacing w:after="0" w:line="240" w:lineRule="auto"/>
        <w:ind w:right="102"/>
        <w:jc w:val="both"/>
        <w:rPr>
          <w:rFonts w:ascii="Verdana" w:hAnsi="Verdana" w:cs="Arial"/>
          <w:color w:val="000000" w:themeColor="text1"/>
          <w:sz w:val="20"/>
          <w:szCs w:val="20"/>
          <w:lang w:val="es-ES_tradnl"/>
        </w:rPr>
      </w:pPr>
    </w:p>
    <w:p w14:paraId="469F5A66" w14:textId="77777777" w:rsidR="004D0112" w:rsidRDefault="004D0112" w:rsidP="004D011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bCs/>
          <w:color w:val="000000" w:themeColor="text1"/>
          <w:sz w:val="20"/>
          <w:szCs w:val="20"/>
          <w:lang w:val="es-MX"/>
        </w:rPr>
        <w:t xml:space="preserve">Respecto a la selección abreviada, </w:t>
      </w:r>
      <w:r w:rsidRPr="00C371AB">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6A5BD5F1" w14:textId="77777777" w:rsidR="004D0112" w:rsidRPr="00C371AB" w:rsidRDefault="004D0112" w:rsidP="004D0112">
      <w:pPr>
        <w:spacing w:after="0" w:line="240" w:lineRule="auto"/>
        <w:jc w:val="both"/>
        <w:rPr>
          <w:rFonts w:ascii="Verdana" w:eastAsia="Arial" w:hAnsi="Verdana" w:cs="Arial"/>
          <w:color w:val="000000" w:themeColor="text1"/>
          <w:sz w:val="20"/>
          <w:szCs w:val="20"/>
        </w:rPr>
      </w:pPr>
    </w:p>
    <w:p w14:paraId="602B650D" w14:textId="77777777" w:rsidR="004D0112" w:rsidRDefault="004D0112" w:rsidP="004D011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r>
        <w:rPr>
          <w:rFonts w:ascii="Verdana" w:eastAsia="Arial" w:hAnsi="Verdana" w:cs="Arial"/>
          <w:color w:val="000000" w:themeColor="text1"/>
          <w:sz w:val="20"/>
          <w:szCs w:val="20"/>
        </w:rPr>
        <w:t>.</w:t>
      </w:r>
    </w:p>
    <w:p w14:paraId="7BD09024" w14:textId="77777777" w:rsidR="004D0112" w:rsidRDefault="004D0112" w:rsidP="004D0112">
      <w:pPr>
        <w:spacing w:after="0" w:line="240" w:lineRule="auto"/>
        <w:jc w:val="both"/>
        <w:rPr>
          <w:rFonts w:ascii="Verdana" w:eastAsia="Arial" w:hAnsi="Verdana" w:cs="Arial"/>
          <w:color w:val="000000" w:themeColor="text1"/>
          <w:sz w:val="20"/>
          <w:szCs w:val="20"/>
        </w:rPr>
      </w:pPr>
    </w:p>
    <w:p w14:paraId="0B36AEEA" w14:textId="77777777" w:rsidR="004D0112" w:rsidRPr="00FB1576" w:rsidRDefault="004D0112" w:rsidP="004D011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 xml:space="preserve">La selección abreviada se caracteriza por tener etapas un poco sencillas y términos relativamente más cortos que los de la licitación pública, lo cual se justifica por las circunstancias, la naturaleza y los objetos que se contratan a través de esta modalidad, </w:t>
      </w:r>
      <w:r w:rsidRPr="00C371AB">
        <w:rPr>
          <w:rFonts w:ascii="Verdana" w:eastAsia="Arial" w:hAnsi="Verdana" w:cs="Arial"/>
          <w:color w:val="000000" w:themeColor="text1"/>
          <w:sz w:val="20"/>
          <w:szCs w:val="20"/>
        </w:rPr>
        <w:lastRenderedPageBreak/>
        <w:t>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Arial" w:hAnsi="Verdana" w:cs="Arial"/>
          <w:color w:val="000000" w:themeColor="text1"/>
          <w:sz w:val="20"/>
          <w:szCs w:val="20"/>
        </w:rPr>
        <w:t>.</w:t>
      </w:r>
      <w:r w:rsidRPr="00FB1576">
        <w:rPr>
          <w:rFonts w:ascii="Verdana" w:eastAsia="Arial" w:hAnsi="Verdana" w:cs="Arial"/>
          <w:color w:val="000000" w:themeColor="text1"/>
          <w:sz w:val="20"/>
          <w:szCs w:val="20"/>
        </w:rPr>
        <w:t xml:space="preserve"> </w:t>
      </w:r>
    </w:p>
    <w:p w14:paraId="4BE107D2" w14:textId="77777777" w:rsidR="004D0112" w:rsidRPr="00396DBB" w:rsidRDefault="004D0112" w:rsidP="004D0112">
      <w:pPr>
        <w:spacing w:after="0" w:line="240" w:lineRule="auto"/>
        <w:jc w:val="both"/>
        <w:rPr>
          <w:rFonts w:ascii="Verdana" w:eastAsia="Calibri" w:hAnsi="Verdana" w:cs="Arial"/>
          <w:b/>
          <w:color w:val="000000" w:themeColor="text1"/>
          <w:lang w:val="es-ES_tradnl"/>
        </w:rPr>
      </w:pPr>
    </w:p>
    <w:p w14:paraId="12F5E1B4" w14:textId="77777777" w:rsidR="004D0112" w:rsidRPr="00396DBB" w:rsidRDefault="004D0112" w:rsidP="004D0112">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Definición </w:t>
      </w:r>
      <w:r w:rsidRPr="00396DBB">
        <w:rPr>
          <w:rFonts w:ascii="Verdana" w:eastAsia="Calibri" w:hAnsi="Verdana" w:cs="Arial"/>
          <w:b/>
          <w:color w:val="000000" w:themeColor="text1"/>
          <w:lang w:val="es-ES_tradnl"/>
        </w:rPr>
        <w:t xml:space="preserve"> </w:t>
      </w:r>
    </w:p>
    <w:p w14:paraId="7DE064C5" w14:textId="77777777" w:rsidR="004D0112" w:rsidRPr="00396DBB" w:rsidRDefault="004D0112" w:rsidP="004D0112">
      <w:pPr>
        <w:spacing w:after="0" w:line="240" w:lineRule="auto"/>
        <w:jc w:val="both"/>
        <w:rPr>
          <w:rFonts w:ascii="Verdana" w:eastAsia="Calibri" w:hAnsi="Verdana" w:cs="Arial"/>
          <w:bCs/>
          <w:color w:val="000000" w:themeColor="text1"/>
          <w:sz w:val="20"/>
          <w:szCs w:val="20"/>
          <w:lang w:val="es-ES_tradnl"/>
        </w:rPr>
      </w:pPr>
    </w:p>
    <w:p w14:paraId="2486C41E" w14:textId="77777777" w:rsidR="004D0112" w:rsidRDefault="004D0112" w:rsidP="004D0112">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S</w:t>
      </w:r>
      <w:r w:rsidRPr="00C371AB">
        <w:rPr>
          <w:rFonts w:ascii="Verdana" w:hAnsi="Verdana" w:cs="Arial"/>
          <w:color w:val="000000" w:themeColor="text1"/>
          <w:sz w:val="20"/>
          <w:szCs w:val="20"/>
        </w:rPr>
        <w:t>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r w:rsidRPr="00782519">
        <w:rPr>
          <w:rFonts w:ascii="Verdana" w:hAnsi="Verdana" w:cs="Arial"/>
          <w:color w:val="000000" w:themeColor="text1"/>
          <w:sz w:val="20"/>
          <w:szCs w:val="20"/>
        </w:rPr>
        <w:t>.</w:t>
      </w:r>
    </w:p>
    <w:p w14:paraId="611E719D" w14:textId="77777777" w:rsidR="004D0112" w:rsidRPr="00396DBB" w:rsidRDefault="004D0112" w:rsidP="004D0112">
      <w:pPr>
        <w:spacing w:after="0" w:line="240" w:lineRule="auto"/>
        <w:jc w:val="both"/>
        <w:rPr>
          <w:rFonts w:ascii="Verdana" w:hAnsi="Verdana" w:cs="Arial"/>
          <w:color w:val="000000" w:themeColor="text1"/>
          <w:sz w:val="21"/>
          <w:szCs w:val="21"/>
          <w:lang w:val="es-ES_tradnl"/>
        </w:rPr>
      </w:pPr>
    </w:p>
    <w:p w14:paraId="67F96F25" w14:textId="77777777" w:rsidR="004D0112" w:rsidRPr="00396DBB" w:rsidRDefault="004D0112" w:rsidP="004D0112">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Características – Formas de adquisición </w:t>
      </w:r>
    </w:p>
    <w:p w14:paraId="6729D9D9" w14:textId="77777777" w:rsidR="004D0112" w:rsidRPr="00782519" w:rsidRDefault="004D0112" w:rsidP="004D0112">
      <w:pPr>
        <w:tabs>
          <w:tab w:val="left" w:pos="426"/>
        </w:tabs>
        <w:spacing w:after="0" w:line="240" w:lineRule="auto"/>
        <w:contextualSpacing/>
        <w:jc w:val="both"/>
        <w:rPr>
          <w:rFonts w:ascii="Verdana" w:eastAsia="Calibri" w:hAnsi="Verdana" w:cs="Arial"/>
          <w:b/>
          <w:bCs/>
          <w:sz w:val="20"/>
          <w:szCs w:val="20"/>
          <w:lang w:val="es-MX"/>
        </w:rPr>
      </w:pPr>
    </w:p>
    <w:p w14:paraId="4B9739E4" w14:textId="77777777" w:rsidR="004D0112"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 xml:space="preserve">Para identificar los bienes y servicios que corresponden a este tipo, se destacan dos (2) aspectos importantes: la común utilización y la homogeneidad. Para la doctrina, la </w:t>
      </w:r>
      <w:r w:rsidRPr="00C371AB">
        <w:rPr>
          <w:rFonts w:ascii="Verdana" w:eastAsia="Calibri" w:hAnsi="Verdana" w:cs="Arial"/>
          <w:i/>
          <w:iCs/>
          <w:noProof/>
          <w:sz w:val="20"/>
          <w:szCs w:val="20"/>
          <w:lang w:val="es-ES_tradnl"/>
        </w:rPr>
        <w:t>común utilización</w:t>
      </w:r>
      <w:r w:rsidRPr="00C371AB">
        <w:rPr>
          <w:rFonts w:ascii="Verdana" w:eastAsia="Calibri" w:hAnsi="Verdana" w:cs="Arial"/>
          <w:noProof/>
          <w:sz w:val="20"/>
          <w:szCs w:val="20"/>
          <w:lang w:val="es-ES_tradnl"/>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 Por su parte, la </w:t>
      </w:r>
      <w:r w:rsidRPr="00C371AB">
        <w:rPr>
          <w:rFonts w:ascii="Verdana" w:eastAsia="Calibri" w:hAnsi="Verdana" w:cs="Arial"/>
          <w:i/>
          <w:iCs/>
          <w:noProof/>
          <w:sz w:val="20"/>
          <w:szCs w:val="20"/>
          <w:lang w:val="es-ES_tradnl"/>
        </w:rPr>
        <w:t>homogeneidad</w:t>
      </w:r>
      <w:r w:rsidRPr="00C371AB">
        <w:rPr>
          <w:rFonts w:ascii="Verdana" w:eastAsia="Calibri" w:hAnsi="Verdana" w:cs="Arial"/>
          <w:noProof/>
          <w:sz w:val="20"/>
          <w:szCs w:val="20"/>
          <w:lang w:val="es-ES_tradnl"/>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0394B46D" w14:textId="77777777" w:rsidR="004D0112" w:rsidRPr="00C371AB"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p>
    <w:p w14:paraId="7ADA6FD8" w14:textId="77777777" w:rsidR="004D0112"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w:t>
      </w:r>
      <w:r w:rsidRPr="00782519">
        <w:rPr>
          <w:rFonts w:ascii="Verdana" w:eastAsia="Calibri" w:hAnsi="Verdana" w:cs="Arial"/>
          <w:noProof/>
          <w:sz w:val="20"/>
          <w:szCs w:val="20"/>
          <w:lang w:val="es-ES_tradnl"/>
        </w:rPr>
        <w:t xml:space="preserve">. </w:t>
      </w:r>
    </w:p>
    <w:p w14:paraId="29019ECA" w14:textId="77777777" w:rsidR="004D0112" w:rsidRPr="00396DBB" w:rsidRDefault="004D0112" w:rsidP="004D0112">
      <w:pPr>
        <w:spacing w:after="0" w:line="240" w:lineRule="auto"/>
        <w:jc w:val="both"/>
        <w:rPr>
          <w:rFonts w:ascii="Verdana" w:hAnsi="Verdana" w:cs="Arial"/>
          <w:color w:val="000000" w:themeColor="text1"/>
          <w:sz w:val="21"/>
          <w:szCs w:val="21"/>
          <w:lang w:val="es-ES_tradnl"/>
        </w:rPr>
      </w:pPr>
    </w:p>
    <w:p w14:paraId="3E3585D2" w14:textId="77777777" w:rsidR="004D0112" w:rsidRPr="00396DBB" w:rsidRDefault="004D0112" w:rsidP="004D0112">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lastRenderedPageBreak/>
        <w:t xml:space="preserve">SERVICIOS DE VIGILANCIA PRIVADA – </w:t>
      </w:r>
      <w:r w:rsidRPr="00CC1214">
        <w:rPr>
          <w:rFonts w:ascii="Verdana" w:eastAsia="Calibri" w:hAnsi="Verdana" w:cs="Arial"/>
          <w:b/>
          <w:color w:val="000000" w:themeColor="text1"/>
          <w:lang w:val="es-ES_tradnl"/>
        </w:rPr>
        <w:t>Licitación pública – Menor cuantía – Contratación</w:t>
      </w:r>
      <w:r>
        <w:rPr>
          <w:rFonts w:ascii="Verdana" w:eastAsia="Calibri" w:hAnsi="Verdana" w:cs="Arial"/>
          <w:b/>
          <w:color w:val="000000" w:themeColor="text1"/>
          <w:lang w:val="es-ES_tradnl"/>
        </w:rPr>
        <w:t xml:space="preserve">  </w:t>
      </w:r>
    </w:p>
    <w:p w14:paraId="265BAC59" w14:textId="77777777" w:rsidR="004D0112" w:rsidRPr="00782519" w:rsidRDefault="004D0112" w:rsidP="004D0112">
      <w:pPr>
        <w:tabs>
          <w:tab w:val="left" w:pos="426"/>
        </w:tabs>
        <w:spacing w:after="0" w:line="240" w:lineRule="auto"/>
        <w:contextualSpacing/>
        <w:jc w:val="both"/>
        <w:rPr>
          <w:rFonts w:ascii="Verdana" w:eastAsia="Calibri" w:hAnsi="Verdana" w:cs="Arial"/>
          <w:b/>
          <w:bCs/>
          <w:sz w:val="20"/>
          <w:szCs w:val="20"/>
          <w:lang w:val="es-MX"/>
        </w:rPr>
      </w:pPr>
    </w:p>
    <w:p w14:paraId="25EF8AC1" w14:textId="77777777" w:rsidR="004D0112"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Respecto a los servicios de vigilancia y seguridad privada regulados por el Decreto Ley 356 de 1994, si bien nada se opone a que sean considerados como de características técnicas uniformes, la contratación de éstos a través de las modalidades antes indicadas no es funcional para garantizar la selección objetiva. Esto comoquiera que las tarifas mínimas establecidas para estos servicios en la Circular Externa de la Superintendencia de Vigilancia y Seguridad Privada </w:t>
      </w:r>
      <w:r w:rsidRPr="006C6FFD">
        <w:rPr>
          <w:rFonts w:ascii="Verdana" w:eastAsia="Calibri" w:hAnsi="Verdana" w:cs="Arial"/>
          <w:bCs/>
          <w:noProof/>
          <w:sz w:val="20"/>
          <w:szCs w:val="20"/>
        </w:rPr>
        <w:t>20241300000445 del 30 de diciembre de 2024</w:t>
      </w:r>
      <w:r w:rsidRPr="00CC1214">
        <w:rPr>
          <w:rFonts w:ascii="Verdana" w:eastAsia="Calibri" w:hAnsi="Verdana" w:cs="Arial"/>
          <w:noProof/>
          <w:sz w:val="20"/>
          <w:szCs w:val="20"/>
          <w:lang w:val="es-ES_tradnl"/>
        </w:rPr>
        <w:t xml:space="preserve"> representan una medida regulatoria que hace que los ofrecimientos para la prestación de este tipo de servicios tiendan al valor mínimo permitido por regulación tarifaria, lo que hace que las Entidades Estatales no puedan elegir la oferta más favorable con base en el menor precio ofertado, como bien podría suceder con otros bienes o servicios que no tienen un precio mínimo regulado. </w:t>
      </w:r>
    </w:p>
    <w:p w14:paraId="71AADF55" w14:textId="77777777" w:rsidR="004D0112" w:rsidRPr="00CC1214"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  </w:t>
      </w:r>
    </w:p>
    <w:p w14:paraId="4346BC2F" w14:textId="77777777" w:rsidR="004D0112"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En atención a esto, la modalidad de selección más adecuada para la contratación de servicios de vigilancia y seguridad privada es la licitación pública prevista en el numeral 1 del artículo 2 de la Ley 1150 de 2007 como la regla general para objetos no sujetos a alguna modalidad en específico. Esto además debido a que la licitación pública es la modalidad 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Esto además resulta coherente con lo dispuesto en el artículo 6 de la Ley 1920 de 2018, que se refiere de manera expresa a la licitación pública como una modalidad de selección aplicable para contratar los servicios servicios de vigilancia y seguridad privada, previendo además la aplicación de factores de evaluación distintos del precio. </w:t>
      </w:r>
    </w:p>
    <w:p w14:paraId="0BAE3E1B" w14:textId="77777777" w:rsidR="004D0112" w:rsidRPr="00CC1214"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p>
    <w:p w14:paraId="36913BEB" w14:textId="77777777" w:rsidR="004D0112" w:rsidRPr="00782519" w:rsidRDefault="004D0112" w:rsidP="004D0112">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r w:rsidRPr="009673B4">
        <w:rPr>
          <w:rFonts w:ascii="Verdana" w:eastAsia="Calibri" w:hAnsi="Verdana" w:cs="Arial"/>
          <w:noProof/>
          <w:sz w:val="20"/>
          <w:szCs w:val="20"/>
          <w:lang w:val="es-ES_tradnl"/>
        </w:rPr>
        <w:t xml:space="preserve">  </w:t>
      </w:r>
      <w:r w:rsidRPr="00782519">
        <w:rPr>
          <w:rFonts w:ascii="Verdana" w:eastAsia="Calibri" w:hAnsi="Verdana" w:cs="Arial"/>
          <w:noProof/>
          <w:sz w:val="20"/>
          <w:szCs w:val="20"/>
          <w:lang w:val="es-ES_tradnl"/>
        </w:rPr>
        <w:t xml:space="preserve"> </w:t>
      </w:r>
    </w:p>
    <w:p w14:paraId="7CB4835B" w14:textId="77777777" w:rsidR="004D0112" w:rsidRPr="005145C2" w:rsidRDefault="004D0112" w:rsidP="004D0112">
      <w:pPr>
        <w:spacing w:after="0" w:line="240" w:lineRule="auto"/>
        <w:rPr>
          <w:rFonts w:ascii="Verdana" w:eastAsia="Geomanist Light" w:hAnsi="Verdana" w:cs="Arial"/>
          <w:color w:val="000000" w:themeColor="text1"/>
          <w:lang w:val="es-ES_tradnl"/>
        </w:rPr>
      </w:pPr>
    </w:p>
    <w:p w14:paraId="342023DC" w14:textId="77777777" w:rsidR="004D0112" w:rsidRDefault="004D0112" w:rsidP="004D0112">
      <w:pPr>
        <w:spacing w:after="0" w:line="240" w:lineRule="auto"/>
        <w:rPr>
          <w:rFonts w:ascii="Verdana" w:eastAsia="Geomanist Light" w:hAnsi="Verdana" w:cs="Arial"/>
          <w:color w:val="000000" w:themeColor="text1"/>
          <w:lang w:val="es-MX"/>
        </w:rPr>
      </w:pPr>
    </w:p>
    <w:p w14:paraId="500C74AE" w14:textId="77777777" w:rsidR="004D0112" w:rsidRDefault="004D0112" w:rsidP="004D0112">
      <w:pPr>
        <w:spacing w:after="0" w:line="240" w:lineRule="auto"/>
        <w:rPr>
          <w:rFonts w:ascii="Verdana" w:eastAsia="Geomanist Light" w:hAnsi="Verdana" w:cs="Arial"/>
          <w:color w:val="000000" w:themeColor="text1"/>
          <w:lang w:val="es-MX"/>
        </w:rPr>
      </w:pPr>
    </w:p>
    <w:p w14:paraId="08E5152D" w14:textId="77777777" w:rsidR="004D0112" w:rsidRDefault="004D0112" w:rsidP="004D0112">
      <w:pPr>
        <w:spacing w:after="0" w:line="240" w:lineRule="auto"/>
        <w:rPr>
          <w:rFonts w:ascii="Verdana" w:eastAsia="Geomanist Light" w:hAnsi="Verdana" w:cs="Arial"/>
          <w:color w:val="000000" w:themeColor="text1"/>
          <w:lang w:val="es-MX"/>
        </w:rPr>
      </w:pPr>
    </w:p>
    <w:p w14:paraId="576A0A48" w14:textId="77777777" w:rsidR="004D0112" w:rsidRDefault="004D0112" w:rsidP="004D0112">
      <w:pPr>
        <w:spacing w:after="0" w:line="240" w:lineRule="auto"/>
        <w:rPr>
          <w:rFonts w:ascii="Verdana" w:eastAsia="Geomanist Light" w:hAnsi="Verdana" w:cs="Arial"/>
          <w:color w:val="000000" w:themeColor="text1"/>
          <w:lang w:val="es-MX"/>
        </w:rPr>
      </w:pPr>
    </w:p>
    <w:p w14:paraId="1A194912" w14:textId="77777777" w:rsidR="004D0112" w:rsidRDefault="004D0112" w:rsidP="004D0112">
      <w:pPr>
        <w:spacing w:after="0" w:line="240" w:lineRule="auto"/>
        <w:rPr>
          <w:rFonts w:ascii="Verdana" w:eastAsia="Geomanist Light" w:hAnsi="Verdana" w:cs="Arial"/>
          <w:color w:val="000000" w:themeColor="text1"/>
          <w:lang w:val="es-MX"/>
        </w:rPr>
      </w:pPr>
    </w:p>
    <w:p w14:paraId="5714F401" w14:textId="77777777" w:rsidR="004D0112" w:rsidRDefault="004D0112" w:rsidP="004D0112">
      <w:pPr>
        <w:spacing w:after="0" w:line="240" w:lineRule="auto"/>
        <w:rPr>
          <w:rFonts w:ascii="Verdana" w:eastAsia="Geomanist Light" w:hAnsi="Verdana" w:cs="Arial"/>
          <w:color w:val="000000" w:themeColor="text1"/>
          <w:lang w:val="es-MX"/>
        </w:rPr>
      </w:pPr>
    </w:p>
    <w:p w14:paraId="6947E3B3" w14:textId="77777777" w:rsidR="004D0112" w:rsidRDefault="004D0112" w:rsidP="002E4E68">
      <w:pPr>
        <w:spacing w:after="0" w:line="240" w:lineRule="auto"/>
        <w:rPr>
          <w:rFonts w:ascii="Verdana" w:eastAsia="Geomanist Light" w:hAnsi="Verdana" w:cs="Arial"/>
          <w:color w:val="000000" w:themeColor="text1"/>
          <w:lang w:val="es-MX"/>
        </w:rPr>
      </w:pPr>
    </w:p>
    <w:p w14:paraId="31ACEE6B" w14:textId="701ED114" w:rsidR="0092434F" w:rsidRPr="002E4E68" w:rsidRDefault="0092434F" w:rsidP="002E4E68">
      <w:pPr>
        <w:spacing w:after="0" w:line="240" w:lineRule="auto"/>
        <w:rPr>
          <w:rFonts w:ascii="Verdana" w:eastAsia="Geomanist Light" w:hAnsi="Verdana" w:cs="Arial"/>
          <w:color w:val="201F1E"/>
          <w:lang w:val="es-MX"/>
        </w:rPr>
      </w:pPr>
      <w:r w:rsidRPr="002E4E68">
        <w:rPr>
          <w:rFonts w:ascii="Verdana" w:eastAsia="Geomanist Light" w:hAnsi="Verdana" w:cs="Arial"/>
          <w:color w:val="000000" w:themeColor="text1"/>
          <w:lang w:val="es-MX"/>
        </w:rPr>
        <w:lastRenderedPageBreak/>
        <w:t>Bogotá D.C., </w:t>
      </w:r>
      <w:r w:rsidR="00A555BD" w:rsidRPr="00A555BD">
        <w:rPr>
          <w:rFonts w:ascii="Verdana" w:eastAsia="Geomanist Light" w:hAnsi="Verdana" w:cs="Arial"/>
          <w:color w:val="000000" w:themeColor="text1"/>
          <w:lang w:val="es-MX"/>
        </w:rPr>
        <w:t>17 de Septiembre de 2025</w:t>
      </w:r>
    </w:p>
    <w:p w14:paraId="52435FFA" w14:textId="77777777" w:rsidR="0092434F" w:rsidRPr="002E4E68" w:rsidRDefault="0092434F" w:rsidP="002E4E68">
      <w:pPr>
        <w:spacing w:after="0" w:line="240" w:lineRule="auto"/>
        <w:jc w:val="both"/>
        <w:rPr>
          <w:rFonts w:ascii="Verdana" w:eastAsia="Calibri" w:hAnsi="Verdana" w:cs="Arial"/>
          <w:color w:val="000000"/>
          <w:lang w:val="es-ES"/>
        </w:rPr>
      </w:pPr>
    </w:p>
    <w:p w14:paraId="7DC5E33E" w14:textId="25083B23" w:rsidR="0092434F" w:rsidRDefault="00A555BD" w:rsidP="00A555BD">
      <w:pPr>
        <w:spacing w:after="0" w:line="240" w:lineRule="auto"/>
        <w:jc w:val="right"/>
        <w:rPr>
          <w:rFonts w:ascii="Verdana" w:eastAsia="Calibri" w:hAnsi="Verdana" w:cs="Arial"/>
          <w:color w:val="000000"/>
          <w:lang w:val="es-ES"/>
        </w:rPr>
      </w:pPr>
      <w:r w:rsidRPr="00A555BD">
        <w:rPr>
          <w:rFonts w:ascii="Verdana" w:eastAsia="Calibri" w:hAnsi="Verdana" w:cs="Arial"/>
          <w:color w:val="000000"/>
          <w:lang w:val="es-ES"/>
        </w:rPr>
        <w:drawing>
          <wp:inline distT="0" distB="0" distL="0" distR="0" wp14:anchorId="47D18036" wp14:editId="4B3070EE">
            <wp:extent cx="2400300" cy="622300"/>
            <wp:effectExtent l="0" t="0" r="0" b="0"/>
            <wp:docPr id="699072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72913" name=""/>
                    <pic:cNvPicPr/>
                  </pic:nvPicPr>
                  <pic:blipFill>
                    <a:blip r:embed="rId10"/>
                    <a:stretch>
                      <a:fillRect/>
                    </a:stretch>
                  </pic:blipFill>
                  <pic:spPr>
                    <a:xfrm>
                      <a:off x="0" y="0"/>
                      <a:ext cx="2400300" cy="622300"/>
                    </a:xfrm>
                    <a:prstGeom prst="rect">
                      <a:avLst/>
                    </a:prstGeom>
                  </pic:spPr>
                </pic:pic>
              </a:graphicData>
            </a:graphic>
          </wp:inline>
        </w:drawing>
      </w:r>
    </w:p>
    <w:p w14:paraId="0F47482A" w14:textId="77777777" w:rsidR="00A555BD" w:rsidRPr="002E4E68" w:rsidRDefault="00A555BD" w:rsidP="002E4E68">
      <w:pPr>
        <w:spacing w:after="0" w:line="240" w:lineRule="auto"/>
        <w:jc w:val="both"/>
        <w:rPr>
          <w:rFonts w:ascii="Verdana" w:eastAsia="Calibri" w:hAnsi="Verdana" w:cs="Arial"/>
          <w:color w:val="000000"/>
          <w:lang w:val="es-ES"/>
        </w:rPr>
      </w:pPr>
    </w:p>
    <w:p w14:paraId="2BABB12B" w14:textId="77777777" w:rsidR="0092434F" w:rsidRPr="002E4E68" w:rsidRDefault="0092434F" w:rsidP="002E4E68">
      <w:pPr>
        <w:spacing w:after="0" w:line="240" w:lineRule="auto"/>
        <w:jc w:val="both"/>
        <w:rPr>
          <w:rFonts w:ascii="Verdana" w:eastAsia="Calibri" w:hAnsi="Verdana" w:cs="Arial"/>
          <w:lang w:val="es-ES" w:eastAsia="es-ES"/>
        </w:rPr>
      </w:pPr>
      <w:r w:rsidRPr="002E4E68">
        <w:rPr>
          <w:rFonts w:ascii="Verdana" w:eastAsia="Calibri" w:hAnsi="Verdana" w:cs="Arial"/>
          <w:lang w:val="es-ES" w:eastAsia="es-ES"/>
        </w:rPr>
        <w:t>Señor</w:t>
      </w:r>
    </w:p>
    <w:p w14:paraId="74B88AD2" w14:textId="77777777" w:rsidR="0092434F" w:rsidRPr="002E4E68" w:rsidRDefault="0092434F" w:rsidP="3FF88B49">
      <w:pPr>
        <w:spacing w:after="0" w:line="240" w:lineRule="auto"/>
        <w:rPr>
          <w:rFonts w:ascii="Verdana" w:eastAsia="Calibri" w:hAnsi="Verdana" w:cs="Arial"/>
          <w:b/>
          <w:bCs/>
          <w:lang w:val="es-ES" w:eastAsia="es-ES"/>
        </w:rPr>
      </w:pPr>
      <w:proofErr w:type="spellStart"/>
      <w:r w:rsidRPr="3FF88B49">
        <w:rPr>
          <w:rFonts w:ascii="Verdana" w:eastAsia="Calibri" w:hAnsi="Verdana" w:cs="Arial"/>
          <w:b/>
          <w:bCs/>
          <w:lang w:val="es-ES" w:eastAsia="es-ES"/>
        </w:rPr>
        <w:t>Helmer</w:t>
      </w:r>
      <w:proofErr w:type="spellEnd"/>
      <w:r w:rsidRPr="3FF88B49">
        <w:rPr>
          <w:rFonts w:ascii="Verdana" w:eastAsia="Calibri" w:hAnsi="Verdana" w:cs="Arial"/>
          <w:b/>
          <w:bCs/>
          <w:lang w:val="es-ES" w:eastAsia="es-ES"/>
        </w:rPr>
        <w:t xml:space="preserve"> Andrés Balaguera Valiente </w:t>
      </w:r>
    </w:p>
    <w:p w14:paraId="66B29013" w14:textId="77777777" w:rsidR="0092434F" w:rsidRPr="002E4E68" w:rsidRDefault="0092434F" w:rsidP="002E4E68">
      <w:pPr>
        <w:spacing w:after="0" w:line="240" w:lineRule="auto"/>
        <w:rPr>
          <w:rFonts w:ascii="Verdana" w:eastAsia="Calibri" w:hAnsi="Verdana" w:cs="Arial"/>
          <w:lang w:val="es-ES" w:eastAsia="es-ES"/>
        </w:rPr>
      </w:pPr>
      <w:hyperlink r:id="rId11" w:history="1">
        <w:r w:rsidRPr="002E4E68">
          <w:rPr>
            <w:rStyle w:val="Hipervnculo"/>
            <w:rFonts w:ascii="Verdana" w:hAnsi="Verdana"/>
          </w:rPr>
          <w:t>balagueravaliente@gmail.com</w:t>
        </w:r>
      </w:hyperlink>
      <w:r w:rsidRPr="002E4E68">
        <w:rPr>
          <w:rFonts w:ascii="Verdana" w:hAnsi="Verdana"/>
        </w:rPr>
        <w:t xml:space="preserve">        </w:t>
      </w:r>
      <w:r w:rsidRPr="002E4E68">
        <w:rPr>
          <w:rFonts w:ascii="Verdana" w:eastAsia="Calibri" w:hAnsi="Verdana" w:cs="Arial"/>
          <w:lang w:val="es-ES" w:eastAsia="es-ES"/>
        </w:rPr>
        <w:t xml:space="preserve">    </w:t>
      </w:r>
    </w:p>
    <w:p w14:paraId="6B4E176B" w14:textId="77777777" w:rsidR="0092434F" w:rsidRPr="002E4E68" w:rsidRDefault="0092434F" w:rsidP="002E4E68">
      <w:pPr>
        <w:spacing w:after="0" w:line="240" w:lineRule="auto"/>
        <w:rPr>
          <w:rFonts w:ascii="Verdana" w:eastAsia="Calibri" w:hAnsi="Verdana" w:cs="Arial"/>
          <w:lang w:val="es-ES" w:eastAsia="es-ES"/>
        </w:rPr>
      </w:pPr>
      <w:r w:rsidRPr="002E4E68">
        <w:rPr>
          <w:rFonts w:ascii="Verdana" w:eastAsia="Calibri" w:hAnsi="Verdana" w:cs="Arial"/>
          <w:lang w:val="es-ES" w:eastAsia="es-ES"/>
        </w:rPr>
        <w:t xml:space="preserve">Bogotá D.C. </w:t>
      </w:r>
    </w:p>
    <w:p w14:paraId="2DE56101" w14:textId="77777777" w:rsidR="0092434F" w:rsidRPr="002E4E68" w:rsidRDefault="0092434F" w:rsidP="002E4E68">
      <w:pPr>
        <w:spacing w:after="0" w:line="240" w:lineRule="auto"/>
        <w:rPr>
          <w:rFonts w:ascii="Verdana" w:eastAsia="Calibri" w:hAnsi="Verdana" w:cs="Arial"/>
          <w:b/>
          <w:bCs/>
          <w:color w:val="000000"/>
          <w:lang w:val="es-ES_tradnl" w:eastAsia="es-ES_tradnl"/>
        </w:rPr>
      </w:pPr>
    </w:p>
    <w:p w14:paraId="53C723E0" w14:textId="77777777" w:rsidR="0092434F" w:rsidRPr="002E4E68" w:rsidRDefault="0092434F" w:rsidP="002E4E6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2434F" w:rsidRPr="002E4E68" w14:paraId="27FC2915" w14:textId="77777777" w:rsidTr="00ED121F">
        <w:trPr>
          <w:trHeight w:val="222"/>
        </w:trPr>
        <w:tc>
          <w:tcPr>
            <w:tcW w:w="2689" w:type="dxa"/>
          </w:tcPr>
          <w:p w14:paraId="19B83147" w14:textId="77777777" w:rsidR="0092434F" w:rsidRPr="002E4E68" w:rsidRDefault="0092434F" w:rsidP="002E4E68">
            <w:pPr>
              <w:jc w:val="both"/>
              <w:rPr>
                <w:rFonts w:ascii="Verdana" w:eastAsia="Calibri" w:hAnsi="Verdana" w:cs="Arial"/>
                <w:b/>
                <w:bCs/>
                <w:color w:val="7030A0"/>
                <w:lang w:val="es-ES_tradnl" w:eastAsia="es-ES_tradnl"/>
              </w:rPr>
            </w:pPr>
          </w:p>
        </w:tc>
        <w:tc>
          <w:tcPr>
            <w:tcW w:w="6100" w:type="dxa"/>
          </w:tcPr>
          <w:p w14:paraId="4CD71409" w14:textId="2E91A56D" w:rsidR="0092434F" w:rsidRPr="00663A44" w:rsidRDefault="0092434F" w:rsidP="002E4E68">
            <w:pPr>
              <w:jc w:val="both"/>
              <w:rPr>
                <w:rFonts w:ascii="Verdana" w:eastAsia="Calibri" w:hAnsi="Verdana" w:cs="Arial"/>
                <w:b/>
                <w:bCs/>
                <w:lang w:val="es-ES" w:eastAsia="es-ES"/>
              </w:rPr>
            </w:pPr>
            <w:r w:rsidRPr="0020273C">
              <w:rPr>
                <w:rFonts w:ascii="Verdana" w:eastAsia="Calibri" w:hAnsi="Verdana" w:cs="Arial"/>
                <w:b/>
                <w:bCs/>
                <w:lang w:val="es-ES" w:eastAsia="es-ES"/>
              </w:rPr>
              <w:t xml:space="preserve">Concepto C – </w:t>
            </w:r>
            <w:r w:rsidR="00F62C03" w:rsidRPr="00C615EC">
              <w:rPr>
                <w:rFonts w:ascii="Verdana" w:eastAsia="Calibri" w:hAnsi="Verdana" w:cs="Arial"/>
                <w:b/>
                <w:bCs/>
                <w:lang w:val="es-ES" w:eastAsia="es-ES"/>
              </w:rPr>
              <w:t>1089</w:t>
            </w:r>
            <w:r w:rsidR="00F62C03" w:rsidRPr="0020273C">
              <w:rPr>
                <w:rFonts w:ascii="Verdana" w:eastAsia="Calibri" w:hAnsi="Verdana" w:cs="Arial"/>
                <w:b/>
                <w:bCs/>
                <w:lang w:val="es-ES" w:eastAsia="es-ES"/>
              </w:rPr>
              <w:t xml:space="preserve"> </w:t>
            </w:r>
            <w:r w:rsidRPr="0020273C">
              <w:rPr>
                <w:rFonts w:ascii="Verdana" w:eastAsia="Calibri" w:hAnsi="Verdana" w:cs="Arial"/>
                <w:b/>
                <w:bCs/>
                <w:lang w:val="es-ES" w:eastAsia="es-ES"/>
              </w:rPr>
              <w:t>de 2025</w:t>
            </w:r>
          </w:p>
          <w:p w14:paraId="4A472FA8" w14:textId="77777777" w:rsidR="002E4E68" w:rsidRPr="0020273C" w:rsidRDefault="002E4E68" w:rsidP="002E4E68">
            <w:pPr>
              <w:jc w:val="both"/>
              <w:rPr>
                <w:rFonts w:ascii="Verdana" w:eastAsia="Calibri" w:hAnsi="Verdana" w:cs="Arial"/>
                <w:b/>
                <w:bCs/>
                <w:color w:val="7030A0"/>
                <w:lang w:val="es-ES" w:eastAsia="es-ES"/>
              </w:rPr>
            </w:pPr>
          </w:p>
        </w:tc>
      </w:tr>
      <w:tr w:rsidR="0092434F" w:rsidRPr="002E4E68" w14:paraId="0878EEBE" w14:textId="77777777" w:rsidTr="00441EAC">
        <w:trPr>
          <w:trHeight w:val="884"/>
        </w:trPr>
        <w:tc>
          <w:tcPr>
            <w:tcW w:w="2689" w:type="dxa"/>
          </w:tcPr>
          <w:p w14:paraId="0FC0D76F" w14:textId="77777777" w:rsidR="0092434F" w:rsidRPr="002E4E68" w:rsidRDefault="0092434F" w:rsidP="002E4E68">
            <w:pPr>
              <w:jc w:val="both"/>
              <w:rPr>
                <w:rFonts w:ascii="Verdana" w:eastAsia="Calibri" w:hAnsi="Verdana" w:cs="Arial"/>
                <w:color w:val="000000"/>
                <w:lang w:val="es-ES_tradnl" w:eastAsia="es-ES_tradnl"/>
              </w:rPr>
            </w:pPr>
            <w:r w:rsidRPr="002E4E68">
              <w:rPr>
                <w:rFonts w:ascii="Verdana" w:eastAsia="Calibri" w:hAnsi="Verdana" w:cs="Arial"/>
                <w:b/>
                <w:color w:val="000000"/>
                <w:lang w:val="es-ES_tradnl" w:eastAsia="es-ES_tradnl"/>
              </w:rPr>
              <w:t>Temas:</w:t>
            </w:r>
            <w:r w:rsidRPr="002E4E68">
              <w:rPr>
                <w:rFonts w:ascii="Verdana" w:eastAsia="Calibri" w:hAnsi="Verdana" w:cs="Arial"/>
                <w:color w:val="000000"/>
                <w:lang w:val="es-ES_tradnl" w:eastAsia="es-ES_tradnl"/>
              </w:rPr>
              <w:t xml:space="preserve">                   </w:t>
            </w:r>
          </w:p>
        </w:tc>
        <w:tc>
          <w:tcPr>
            <w:tcW w:w="6100" w:type="dxa"/>
          </w:tcPr>
          <w:p w14:paraId="741577C4" w14:textId="77777777" w:rsidR="0092434F" w:rsidRPr="0020273C" w:rsidRDefault="0092434F" w:rsidP="005A3914">
            <w:pPr>
              <w:jc w:val="both"/>
              <w:rPr>
                <w:rFonts w:ascii="Verdana" w:eastAsia="Calibri" w:hAnsi="Verdana" w:cs="Arial"/>
                <w:lang w:val="es-ES" w:eastAsia="es-ES"/>
              </w:rPr>
            </w:pPr>
            <w:r w:rsidRPr="0020273C">
              <w:rPr>
                <w:rFonts w:ascii="Verdana" w:eastAsia="Calibri" w:hAnsi="Verdana" w:cs="Arial"/>
                <w:lang w:val="es-ES" w:eastAsia="es-ES"/>
              </w:rPr>
              <w:t xml:space="preserve">CONCEPTOS DE COLOMBIA COMPRA EFICIENTE – Obligatoriedad / FUNCIÓN CONSULTIVA – Alcance / CONCEPTOS DE COLOMBIA COMPRA EFICIENTE – Revocación directa – Improcedencia / FUNCIÓN CONSULTIVA – Objeto / SELECCIÓN ABREVIADA – Marco normativo / BIENES Y SERVICIOS DE CARACTERÍSTICAS TÉCNICAS UNIFORMES – Definición / BIENES Y SERVICIOS DE CARACTERÍSTICAS TÉCNICAS UNIFORMES ‒ Características – Formas de adquisición / SERVICIOS DE VIGILANCIA PRIVADA – Licitación pública – Menor cuantía – Contratación                     </w:t>
            </w:r>
          </w:p>
          <w:p w14:paraId="76A08E1D" w14:textId="77777777" w:rsidR="0092434F" w:rsidRPr="0020273C" w:rsidRDefault="0092434F" w:rsidP="005A3914">
            <w:pPr>
              <w:jc w:val="both"/>
              <w:rPr>
                <w:rFonts w:ascii="Verdana" w:eastAsia="Calibri" w:hAnsi="Verdana" w:cs="Arial"/>
                <w:lang w:val="es-ES" w:eastAsia="es-ES"/>
              </w:rPr>
            </w:pPr>
            <w:r w:rsidRPr="0020273C">
              <w:rPr>
                <w:rFonts w:ascii="Verdana" w:eastAsia="Calibri" w:hAnsi="Verdana" w:cs="Arial"/>
                <w:lang w:val="es-ES" w:eastAsia="es-ES"/>
              </w:rPr>
              <w:t xml:space="preserve">  </w:t>
            </w:r>
          </w:p>
        </w:tc>
      </w:tr>
      <w:tr w:rsidR="0092434F" w:rsidRPr="002E4E68" w14:paraId="0B1AF730" w14:textId="77777777" w:rsidTr="00441EAC">
        <w:tc>
          <w:tcPr>
            <w:tcW w:w="2689" w:type="dxa"/>
          </w:tcPr>
          <w:p w14:paraId="226B9A69" w14:textId="77777777" w:rsidR="0092434F" w:rsidRPr="002E4E68" w:rsidRDefault="0092434F" w:rsidP="002E4E68">
            <w:pPr>
              <w:jc w:val="both"/>
              <w:rPr>
                <w:rFonts w:ascii="Verdana" w:eastAsia="Calibri" w:hAnsi="Verdana" w:cs="Arial"/>
                <w:b/>
                <w:lang w:val="es-ES_tradnl" w:eastAsia="es-ES_tradnl"/>
              </w:rPr>
            </w:pPr>
            <w:r w:rsidRPr="002E4E68">
              <w:rPr>
                <w:rFonts w:ascii="Verdana" w:eastAsia="Calibri" w:hAnsi="Verdana" w:cs="Arial"/>
                <w:b/>
                <w:lang w:val="es-ES_tradnl" w:eastAsia="es-ES_tradnl"/>
              </w:rPr>
              <w:t>Radicación:</w:t>
            </w:r>
            <w:r w:rsidRPr="002E4E68">
              <w:rPr>
                <w:rFonts w:ascii="Verdana" w:eastAsia="Calibri" w:hAnsi="Verdana" w:cs="Arial"/>
                <w:lang w:val="es-ES_tradnl" w:eastAsia="es-ES_tradnl"/>
              </w:rPr>
              <w:t xml:space="preserve">               </w:t>
            </w:r>
          </w:p>
        </w:tc>
        <w:tc>
          <w:tcPr>
            <w:tcW w:w="6100" w:type="dxa"/>
          </w:tcPr>
          <w:p w14:paraId="150F6824" w14:textId="77777777" w:rsidR="0092434F" w:rsidRPr="0020273C" w:rsidRDefault="0092434F" w:rsidP="005A3914">
            <w:pPr>
              <w:jc w:val="both"/>
              <w:rPr>
                <w:rFonts w:ascii="Verdana" w:eastAsia="Calibri" w:hAnsi="Verdana" w:cs="Arial"/>
                <w:lang w:eastAsia="es-ES_tradnl"/>
              </w:rPr>
            </w:pPr>
            <w:r w:rsidRPr="0020273C">
              <w:rPr>
                <w:rFonts w:ascii="Verdana" w:eastAsia="Calibri" w:hAnsi="Verdana" w:cs="Arial"/>
                <w:lang w:val="es-ES_tradnl" w:eastAsia="es-ES_tradnl"/>
              </w:rPr>
              <w:t xml:space="preserve">Respuesta a la consulta con radicado No. 1_2025_08_06_008209                                     </w:t>
            </w:r>
          </w:p>
        </w:tc>
      </w:tr>
    </w:tbl>
    <w:p w14:paraId="24899234" w14:textId="77777777" w:rsidR="0092434F" w:rsidRPr="002E4E68" w:rsidRDefault="0092434F" w:rsidP="002E4E68">
      <w:pPr>
        <w:spacing w:after="0" w:line="240" w:lineRule="auto"/>
        <w:jc w:val="both"/>
        <w:rPr>
          <w:rFonts w:ascii="Verdana" w:eastAsia="Calibri" w:hAnsi="Verdana" w:cs="Arial"/>
          <w:color w:val="000000"/>
          <w:lang w:val="es-ES_tradnl" w:eastAsia="es-ES_tradnl"/>
        </w:rPr>
      </w:pPr>
    </w:p>
    <w:p w14:paraId="4CBA9D59" w14:textId="77777777" w:rsidR="0092434F" w:rsidRPr="002E4E68" w:rsidRDefault="0092434F" w:rsidP="002E4E68">
      <w:pPr>
        <w:spacing w:after="0" w:line="240" w:lineRule="auto"/>
        <w:jc w:val="both"/>
        <w:rPr>
          <w:rFonts w:ascii="Verdana" w:eastAsia="Calibri" w:hAnsi="Verdana" w:cs="Arial"/>
          <w:color w:val="000000"/>
          <w:lang w:val="es-ES_tradnl" w:eastAsia="es-ES_tradnl"/>
        </w:rPr>
      </w:pPr>
    </w:p>
    <w:p w14:paraId="2E332B9C" w14:textId="77777777" w:rsidR="0092434F" w:rsidRPr="008E6AD9" w:rsidRDefault="0092434F" w:rsidP="0092434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B828F6">
        <w:rPr>
          <w:rFonts w:ascii="Verdana" w:eastAsia="Calibri" w:hAnsi="Verdana" w:cs="Arial"/>
          <w:lang w:val="es-ES" w:eastAsia="es-ES"/>
        </w:rPr>
        <w:t>Balaguera Valiente</w:t>
      </w:r>
      <w:r w:rsidRPr="008E6AD9">
        <w:rPr>
          <w:rFonts w:ascii="Verdana" w:eastAsia="Calibri" w:hAnsi="Verdana" w:cs="Arial"/>
          <w:lang w:val="es-ES" w:eastAsia="es-ES"/>
        </w:rPr>
        <w:t xml:space="preserve">: </w:t>
      </w:r>
    </w:p>
    <w:p w14:paraId="7C1CD610" w14:textId="77777777" w:rsidR="0092434F" w:rsidRDefault="0092434F" w:rsidP="0092434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94D0E35" w14:textId="77777777" w:rsidR="0092434F" w:rsidRPr="00593A5F" w:rsidRDefault="0092434F" w:rsidP="0092434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de agosto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w:t>
      </w:r>
      <w:r w:rsidRPr="008E6AD9">
        <w:rPr>
          <w:rFonts w:ascii="Verdana" w:eastAsia="Calibri" w:hAnsi="Verdana" w:cs="Arial"/>
          <w:lang w:val="es-ES" w:eastAsia="es-ES"/>
        </w:rPr>
        <w:t xml:space="preserve">: </w:t>
      </w:r>
    </w:p>
    <w:p w14:paraId="1C2704C3" w14:textId="77777777" w:rsidR="0092434F" w:rsidRPr="00272A7B" w:rsidRDefault="0092434F" w:rsidP="0092434F">
      <w:pPr>
        <w:pStyle w:val="Prrafodelista"/>
        <w:tabs>
          <w:tab w:val="left" w:pos="142"/>
          <w:tab w:val="left" w:pos="284"/>
        </w:tabs>
        <w:spacing w:after="0" w:line="276" w:lineRule="auto"/>
        <w:ind w:left="0"/>
        <w:jc w:val="both"/>
        <w:rPr>
          <w:rFonts w:ascii="Verdana" w:eastAsia="Century Gothic" w:hAnsi="Verdana" w:cs="Century Gothic"/>
          <w:b/>
          <w:bCs/>
        </w:rPr>
      </w:pPr>
    </w:p>
    <w:p w14:paraId="1FEE69E9" w14:textId="77777777" w:rsidR="0092434F" w:rsidRPr="005A3914" w:rsidRDefault="0092434F" w:rsidP="0092434F">
      <w:pPr>
        <w:spacing w:after="0" w:line="240" w:lineRule="auto"/>
        <w:ind w:left="709" w:right="709"/>
        <w:jc w:val="both"/>
        <w:rPr>
          <w:rFonts w:ascii="Verdana" w:eastAsia="Century Gothic" w:hAnsi="Verdana" w:cs="Century Gothic"/>
          <w:sz w:val="20"/>
          <w:szCs w:val="20"/>
          <w:lang w:val="es-ES"/>
        </w:rPr>
      </w:pPr>
      <w:bookmarkStart w:id="0" w:name="_Hlk95313578"/>
      <w:r w:rsidRPr="005A3914">
        <w:rPr>
          <w:rFonts w:ascii="Verdana" w:eastAsia="Century Gothic" w:hAnsi="Verdana" w:cs="Century Gothic"/>
          <w:sz w:val="20"/>
          <w:szCs w:val="20"/>
          <w:lang w:val="es-ES"/>
        </w:rPr>
        <w:t>“</w:t>
      </w:r>
      <w:bookmarkEnd w:id="0"/>
      <w:r w:rsidRPr="005A3914">
        <w:rPr>
          <w:rFonts w:ascii="Verdana" w:eastAsia="Century Gothic" w:hAnsi="Verdana" w:cs="Century Gothic"/>
          <w:sz w:val="20"/>
          <w:szCs w:val="20"/>
          <w:lang w:val="es-ES"/>
        </w:rPr>
        <w:t xml:space="preserve">[…] se solicita a la Agencia module y modifique la posición expresada en el concepto C-231 de 2025, en virtud a lo establecido en el numeral 2 del artículo 2.2.1.2.1.2.1 del Decreto 1082 de 2015, por cuanto las entidades </w:t>
      </w:r>
      <w:r w:rsidRPr="005A3914">
        <w:rPr>
          <w:rFonts w:ascii="Verdana" w:eastAsia="Century Gothic" w:hAnsi="Verdana" w:cs="Century Gothic"/>
          <w:sz w:val="20"/>
          <w:szCs w:val="20"/>
          <w:lang w:val="es-ES"/>
        </w:rPr>
        <w:lastRenderedPageBreak/>
        <w:t>pueden acudir a la selección abreviada, para contratar bienes y servicios de características técnicas uniformes y de común utilización y cuyo bien o servicio sea regulado como es el caso de la prestación de servicios de vigilancia privada y con esto acudir a los tres mecanismos para desarrollar el proceso, ya que sea por (i) acuerdo marco de precios o (</w:t>
      </w:r>
      <w:proofErr w:type="spellStart"/>
      <w:r w:rsidRPr="005A3914">
        <w:rPr>
          <w:rFonts w:ascii="Verdana" w:eastAsia="Century Gothic" w:hAnsi="Verdana" w:cs="Century Gothic"/>
          <w:sz w:val="20"/>
          <w:szCs w:val="20"/>
          <w:lang w:val="es-ES"/>
        </w:rPr>
        <w:t>ii</w:t>
      </w:r>
      <w:proofErr w:type="spellEnd"/>
      <w:r w:rsidRPr="005A3914">
        <w:rPr>
          <w:rFonts w:ascii="Verdana" w:eastAsia="Century Gothic" w:hAnsi="Verdana" w:cs="Century Gothic"/>
          <w:sz w:val="20"/>
          <w:szCs w:val="20"/>
          <w:lang w:val="es-ES"/>
        </w:rPr>
        <w:t>) bolsa de productos o (</w:t>
      </w:r>
      <w:proofErr w:type="spellStart"/>
      <w:r w:rsidRPr="005A3914">
        <w:rPr>
          <w:rFonts w:ascii="Verdana" w:eastAsia="Century Gothic" w:hAnsi="Verdana" w:cs="Century Gothic"/>
          <w:sz w:val="20"/>
          <w:szCs w:val="20"/>
          <w:lang w:val="es-ES"/>
        </w:rPr>
        <w:t>iii</w:t>
      </w:r>
      <w:proofErr w:type="spellEnd"/>
      <w:r w:rsidRPr="005A3914">
        <w:rPr>
          <w:rFonts w:ascii="Verdana" w:eastAsia="Century Gothic" w:hAnsi="Verdana" w:cs="Century Gothic"/>
          <w:sz w:val="20"/>
          <w:szCs w:val="20"/>
          <w:lang w:val="es-ES"/>
        </w:rPr>
        <w:t>) subasta inversa, cada uno desarrollado en el Decreto Reglamentario 1082 de 2015 a partir del Artículo 2.2.1.2.1.2.1”.</w:t>
      </w:r>
      <w:r w:rsidRPr="00B851AE">
        <w:rPr>
          <w:rFonts w:ascii="Verdana" w:eastAsia="Century Gothic" w:hAnsi="Verdana" w:cs="Century Gothic"/>
          <w:sz w:val="20"/>
          <w:szCs w:val="20"/>
          <w:lang w:val="es-ES"/>
        </w:rPr>
        <w:t xml:space="preserve"> </w:t>
      </w:r>
    </w:p>
    <w:p w14:paraId="1861C48C" w14:textId="77777777" w:rsidR="0092434F" w:rsidRPr="008E6AD9" w:rsidRDefault="0092434F" w:rsidP="0092434F">
      <w:pPr>
        <w:pStyle w:val="Prrafodelista"/>
        <w:tabs>
          <w:tab w:val="left" w:pos="142"/>
          <w:tab w:val="left" w:pos="284"/>
        </w:tabs>
        <w:spacing w:after="0" w:line="276" w:lineRule="auto"/>
        <w:ind w:left="0"/>
        <w:jc w:val="both"/>
        <w:rPr>
          <w:rFonts w:ascii="Verdana" w:eastAsia="Century Gothic" w:hAnsi="Verdana" w:cs="Century Gothic"/>
          <w:b/>
          <w:bCs/>
        </w:rPr>
      </w:pPr>
    </w:p>
    <w:p w14:paraId="79BDEB79" w14:textId="77777777" w:rsidR="0092434F" w:rsidRPr="00A652FF" w:rsidRDefault="0092434F" w:rsidP="0092434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5FF7F24" w14:textId="24840DA2" w:rsidR="0092434F" w:rsidRDefault="0092434F" w:rsidP="0092434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sidR="00254CAB">
        <w:rPr>
          <w:rFonts w:ascii="Verdana" w:eastAsia="Calibri" w:hAnsi="Verdana" w:cs="Arial"/>
          <w:color w:val="000000"/>
          <w:lang w:val="es-ES" w:eastAsia="es-ES"/>
        </w:rPr>
        <w:t>señalando</w:t>
      </w:r>
      <w:r w:rsidR="00254CAB" w:rsidRPr="00593A5F">
        <w:rPr>
          <w:rFonts w:ascii="Verdana" w:eastAsia="Calibri" w:hAnsi="Verdana" w:cs="Arial"/>
          <w:color w:val="000000"/>
          <w:lang w:val="es-ES" w:eastAsia="es-ES"/>
        </w:rPr>
        <w:t xml:space="preserve"> </w:t>
      </w:r>
      <w:r w:rsidR="00254CAB">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5BD370F" w14:textId="77777777" w:rsidR="0092434F" w:rsidRPr="00593A5F" w:rsidRDefault="0092434F" w:rsidP="0092434F">
      <w:pPr>
        <w:spacing w:after="0" w:line="276" w:lineRule="auto"/>
        <w:ind w:firstLine="709"/>
        <w:jc w:val="both"/>
        <w:rPr>
          <w:rFonts w:ascii="Verdana" w:eastAsia="Calibri" w:hAnsi="Verdana" w:cs="Arial"/>
          <w:color w:val="000000"/>
          <w:lang w:val="es-ES" w:eastAsia="es-ES"/>
        </w:rPr>
      </w:pPr>
    </w:p>
    <w:p w14:paraId="36F61005" w14:textId="77777777" w:rsidR="0092434F" w:rsidRPr="00593A5F" w:rsidRDefault="0092434F" w:rsidP="0092434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8D153EE" w14:textId="77777777" w:rsidR="0092434F" w:rsidRPr="00593A5F" w:rsidRDefault="0092434F" w:rsidP="0092434F">
      <w:pPr>
        <w:tabs>
          <w:tab w:val="left" w:pos="426"/>
        </w:tabs>
        <w:spacing w:after="0" w:line="276" w:lineRule="auto"/>
        <w:jc w:val="both"/>
        <w:rPr>
          <w:rFonts w:ascii="Verdana" w:eastAsia="Century Gothic" w:hAnsi="Verdana" w:cs="Century Gothic"/>
          <w:lang w:val="es-ES"/>
        </w:rPr>
      </w:pPr>
    </w:p>
    <w:p w14:paraId="318D8935" w14:textId="790BBAD1" w:rsidR="0092434F" w:rsidRPr="00593A5F" w:rsidRDefault="0092434F" w:rsidP="0092434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 </w:t>
      </w:r>
      <w:r>
        <w:rPr>
          <w:rFonts w:ascii="Verdana" w:eastAsia="Century Gothic" w:hAnsi="Verdana" w:cs="Century Gothic"/>
        </w:rPr>
        <w:t xml:space="preserve">¿teniendo en cuenta el numeral 2 del artículo </w:t>
      </w:r>
      <w:r w:rsidRPr="00B828F6">
        <w:rPr>
          <w:rFonts w:ascii="Verdana" w:eastAsia="Century Gothic" w:hAnsi="Verdana" w:cs="Century Gothic"/>
        </w:rPr>
        <w:t>2.2.1.2.1.2.1 del Decreto 1082 de 2015</w:t>
      </w:r>
      <w:r>
        <w:rPr>
          <w:rFonts w:ascii="Verdana" w:eastAsia="Century Gothic" w:hAnsi="Verdana" w:cs="Century Gothic"/>
        </w:rPr>
        <w:t xml:space="preserve">, hay lugar a </w:t>
      </w:r>
      <w:r w:rsidR="00C34BC3">
        <w:rPr>
          <w:rFonts w:ascii="Verdana" w:eastAsia="Century Gothic" w:hAnsi="Verdana" w:cs="Century Gothic"/>
        </w:rPr>
        <w:t>modificar</w:t>
      </w:r>
      <w:r>
        <w:rPr>
          <w:rFonts w:ascii="Verdana" w:eastAsia="Century Gothic" w:hAnsi="Verdana" w:cs="Century Gothic"/>
        </w:rPr>
        <w:t xml:space="preserve"> la postura del Concepto C-231 del 1˚ de abril de 2025?</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DD5957D" w14:textId="77777777" w:rsidR="0092434F" w:rsidRPr="004B140F" w:rsidRDefault="0092434F" w:rsidP="0092434F">
      <w:pPr>
        <w:spacing w:after="0" w:line="276" w:lineRule="auto"/>
        <w:jc w:val="both"/>
        <w:rPr>
          <w:rFonts w:ascii="Verdana" w:eastAsia="Calibri" w:hAnsi="Verdana" w:cs="Arial"/>
          <w:color w:val="7030A0"/>
        </w:rPr>
      </w:pPr>
    </w:p>
    <w:p w14:paraId="25D4B115" w14:textId="77777777" w:rsidR="0092434F" w:rsidRPr="00593A5F" w:rsidRDefault="0092434F" w:rsidP="009243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B9A2FD8" w14:textId="77777777" w:rsidR="0092434F" w:rsidRPr="00593A5F" w:rsidRDefault="0092434F" w:rsidP="009243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2434F" w:rsidRPr="00593A5F" w14:paraId="0DB33520" w14:textId="77777777" w:rsidTr="00441EAC">
        <w:trPr>
          <w:jc w:val="center"/>
        </w:trPr>
        <w:tc>
          <w:tcPr>
            <w:tcW w:w="8828" w:type="dxa"/>
          </w:tcPr>
          <w:p w14:paraId="152A5AAC" w14:textId="520AE241" w:rsidR="0092434F" w:rsidRPr="00185EE9" w:rsidRDefault="0092434F" w:rsidP="00441EAC">
            <w:pPr>
              <w:spacing w:after="120" w:line="276" w:lineRule="auto"/>
              <w:jc w:val="both"/>
              <w:rPr>
                <w:rFonts w:ascii="Verdana" w:eastAsia="Calibri" w:hAnsi="Verdana" w:cs="Arial"/>
                <w:bCs/>
                <w:color w:val="000000" w:themeColor="text1"/>
              </w:rPr>
            </w:pPr>
            <w:bookmarkStart w:id="1" w:name="_Hlk171694685"/>
            <w:r>
              <w:rPr>
                <w:rFonts w:ascii="Verdana" w:eastAsia="Calibri" w:hAnsi="Verdana" w:cs="Times New Roman"/>
                <w:iCs/>
                <w:lang w:val="es-ES"/>
              </w:rPr>
              <w:t>Conforme a la interpretación general de las normas del sistema de compras</w:t>
            </w:r>
            <w:r w:rsidR="00BE0A63">
              <w:rPr>
                <w:rFonts w:ascii="Verdana" w:eastAsia="Calibri" w:hAnsi="Verdana" w:cs="Times New Roman"/>
                <w:iCs/>
                <w:lang w:val="es-ES"/>
              </w:rPr>
              <w:t xml:space="preserve"> y contratación</w:t>
            </w:r>
            <w:r>
              <w:rPr>
                <w:rFonts w:ascii="Verdana" w:eastAsia="Calibri" w:hAnsi="Verdana" w:cs="Times New Roman"/>
                <w:iCs/>
                <w:lang w:val="es-ES"/>
              </w:rPr>
              <w:t xml:space="preserve"> pública,</w:t>
            </w:r>
            <w:r w:rsidRPr="00185EE9">
              <w:rPr>
                <w:rFonts w:ascii="Verdana" w:eastAsia="Calibri" w:hAnsi="Verdana" w:cs="Times New Roman"/>
                <w:iCs/>
                <w:lang w:val="es-ES"/>
              </w:rPr>
              <w:t xml:space="preserve"> debe indicarse que, </w:t>
            </w:r>
            <w:r w:rsidRPr="00185EE9">
              <w:rPr>
                <w:rFonts w:ascii="Verdana" w:eastAsia="Calibri" w:hAnsi="Verdana" w:cs="Times New Roman"/>
                <w:i/>
                <w:lang w:val="es-ES"/>
              </w:rPr>
              <w:t xml:space="preserve">en principio, </w:t>
            </w:r>
            <w:r w:rsidRPr="00185EE9">
              <w:rPr>
                <w:rFonts w:ascii="Verdana" w:eastAsia="Calibri" w:hAnsi="Verdana" w:cs="Times New Roman"/>
                <w:iCs/>
                <w:lang w:val="es-ES"/>
              </w:rPr>
              <w:t>la modalidad de selección aplicable</w:t>
            </w:r>
            <w:r w:rsidRPr="00185EE9">
              <w:rPr>
                <w:rFonts w:ascii="Verdana" w:eastAsia="Calibri" w:hAnsi="Verdana" w:cs="Arial"/>
                <w:bCs/>
                <w:color w:val="000000" w:themeColor="text1"/>
              </w:rPr>
              <w:t xml:space="preserve"> para la adquisición de</w:t>
            </w:r>
            <w:r w:rsidRPr="00185EE9">
              <w:rPr>
                <w:rFonts w:ascii="Verdana" w:eastAsia="Calibri" w:hAnsi="Verdana" w:cs="Arial"/>
                <w:bCs/>
                <w:i/>
                <w:iCs/>
                <w:color w:val="000000" w:themeColor="text1"/>
              </w:rPr>
              <w:t xml:space="preserve"> </w:t>
            </w:r>
            <w:r w:rsidRPr="00185EE9">
              <w:rPr>
                <w:rFonts w:ascii="Verdana" w:eastAsia="Calibri" w:hAnsi="Verdana" w:cs="Arial"/>
                <w:bCs/>
                <w:color w:val="000000" w:themeColor="text1"/>
              </w:rPr>
              <w:t xml:space="preserve">bienes y servicios de características </w:t>
            </w:r>
            <w:r w:rsidRPr="00185EE9">
              <w:rPr>
                <w:rFonts w:ascii="Verdana" w:eastAsia="Calibri" w:hAnsi="Verdana" w:cs="Arial"/>
                <w:bCs/>
                <w:color w:val="000000" w:themeColor="text1"/>
              </w:rPr>
              <w:lastRenderedPageBreak/>
              <w:t>técnicas uniformes y común utilización es la selección abreviada a la que hace referencia el</w:t>
            </w:r>
            <w:r w:rsidRPr="00185EE9">
              <w:rPr>
                <w:rFonts w:ascii="Verdana" w:eastAsia="Calibri" w:hAnsi="Verdana" w:cs="Arial"/>
                <w:bCs/>
                <w:i/>
                <w:iCs/>
                <w:color w:val="000000" w:themeColor="text1"/>
              </w:rPr>
              <w:t xml:space="preserve"> </w:t>
            </w:r>
            <w:r w:rsidRPr="00185EE9">
              <w:rPr>
                <w:rFonts w:ascii="Verdana" w:eastAsia="Calibri" w:hAnsi="Verdana" w:cs="Arial"/>
                <w:bCs/>
                <w:color w:val="000000" w:themeColor="text1"/>
              </w:rPr>
              <w:t>literal a) del numeral 2 del 2 artículo de la Ley 1150 de 2007. Esto supone que, para la adquisición de estos bienes o servicios, las Entidades Estatales deban escoger a los proponentes habilitados que presenten ofertas de menor valor, en el marco de la aplicación del mecanismo de subasta inversa o de instrumentos de compra por catálogo derivados de la celebración de acuerdos marco de precios o de procedimientos de adquisición en bolsas de productos.</w:t>
            </w:r>
            <w:r>
              <w:rPr>
                <w:rFonts w:ascii="Verdana" w:eastAsia="Calibri" w:hAnsi="Verdana" w:cs="Arial"/>
                <w:bCs/>
                <w:color w:val="000000" w:themeColor="text1"/>
              </w:rPr>
              <w:t xml:space="preserve"> Como las propuestas se evalúan en función del aspecto económico, las fórmulas de </w:t>
            </w:r>
            <w:r w:rsidRPr="0087562C">
              <w:rPr>
                <w:rFonts w:ascii="Verdana" w:eastAsia="Calibri" w:hAnsi="Verdana" w:cs="Arial"/>
                <w:bCs/>
                <w:color w:val="000000" w:themeColor="text1"/>
              </w:rPr>
              <w:t xml:space="preserve">media aritmética </w:t>
            </w:r>
            <w:r>
              <w:rPr>
                <w:rFonts w:ascii="Verdana" w:eastAsia="Calibri" w:hAnsi="Verdana" w:cs="Arial"/>
                <w:bCs/>
                <w:color w:val="000000" w:themeColor="text1"/>
              </w:rPr>
              <w:t xml:space="preserve">o </w:t>
            </w:r>
            <w:r w:rsidRPr="0087562C">
              <w:rPr>
                <w:rFonts w:ascii="Verdana" w:eastAsia="Calibri" w:hAnsi="Verdana" w:cs="Arial"/>
                <w:bCs/>
                <w:color w:val="000000" w:themeColor="text1"/>
              </w:rPr>
              <w:t>geométrica</w:t>
            </w:r>
            <w:r>
              <w:rPr>
                <w:rFonts w:ascii="Verdana" w:eastAsia="Calibri" w:hAnsi="Verdana" w:cs="Arial"/>
                <w:bCs/>
                <w:color w:val="000000" w:themeColor="text1"/>
              </w:rPr>
              <w:t xml:space="preserve"> son inaplicables por sustracción de materia. </w:t>
            </w:r>
            <w:r w:rsidRPr="00185EE9">
              <w:rPr>
                <w:rFonts w:ascii="Verdana" w:eastAsia="Calibri" w:hAnsi="Verdana" w:cs="Arial"/>
                <w:bCs/>
                <w:color w:val="000000" w:themeColor="text1"/>
              </w:rPr>
              <w:t xml:space="preserve"> </w:t>
            </w:r>
          </w:p>
          <w:p w14:paraId="14E52CDD" w14:textId="43A5FA25" w:rsidR="0092434F" w:rsidRPr="00185EE9" w:rsidRDefault="0092434F" w:rsidP="00441EAC">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Sin embargo, si bien nada se opone a que los servicios de vigilancia y seguridad privada</w:t>
            </w:r>
            <w:r w:rsidR="00D36E66">
              <w:rPr>
                <w:rFonts w:ascii="Verdana" w:eastAsia="Calibri" w:hAnsi="Verdana" w:cs="Arial"/>
                <w:bCs/>
                <w:color w:val="000000" w:themeColor="text1"/>
              </w:rPr>
              <w:t>,</w:t>
            </w:r>
            <w:r w:rsidRPr="00185EE9">
              <w:rPr>
                <w:rFonts w:ascii="Verdana" w:eastAsia="Calibri" w:hAnsi="Verdana" w:cs="Arial"/>
                <w:bCs/>
                <w:color w:val="000000" w:themeColor="text1"/>
              </w:rPr>
              <w:t xml:space="preserve"> regulados por el Decreto Ley 356 de 1994</w:t>
            </w:r>
            <w:r w:rsidR="00D36E66">
              <w:rPr>
                <w:rFonts w:ascii="Verdana" w:eastAsia="Calibri" w:hAnsi="Verdana" w:cs="Arial"/>
                <w:bCs/>
                <w:color w:val="000000" w:themeColor="text1"/>
              </w:rPr>
              <w:t>,</w:t>
            </w:r>
            <w:r w:rsidRPr="00185EE9">
              <w:rPr>
                <w:rFonts w:ascii="Verdana" w:eastAsia="Calibri" w:hAnsi="Verdana" w:cs="Arial"/>
                <w:bCs/>
                <w:color w:val="000000" w:themeColor="text1"/>
              </w:rPr>
              <w:t xml:space="preserve"> sean considerados como de características técnicas uniformes, la contratación de estos a través de las modalidades antes indicadas no es funcional para garantizar la selección objetiva. Esto comoquiera que las tarifas mínimas establecidas para estos servicios en la Circular Externa de la Superintendencia de Vigilancia y Seguridad Privada </w:t>
            </w:r>
            <w:r w:rsidRPr="009161D9">
              <w:rPr>
                <w:rFonts w:ascii="Verdana" w:eastAsia="Calibri" w:hAnsi="Verdana" w:cs="Arial"/>
                <w:bCs/>
                <w:color w:val="000000" w:themeColor="text1"/>
              </w:rPr>
              <w:t>20241300000445</w:t>
            </w:r>
            <w:r w:rsidRPr="00185EE9">
              <w:rPr>
                <w:rFonts w:ascii="Verdana" w:eastAsia="Calibri" w:hAnsi="Verdana" w:cs="Arial"/>
                <w:bCs/>
                <w:color w:val="000000" w:themeColor="text1"/>
              </w:rPr>
              <w:t xml:space="preserve"> del 30 de diciembre de 202</w:t>
            </w:r>
            <w:r>
              <w:rPr>
                <w:rFonts w:ascii="Verdana" w:eastAsia="Calibri" w:hAnsi="Verdana" w:cs="Arial"/>
                <w:bCs/>
                <w:color w:val="000000" w:themeColor="text1"/>
              </w:rPr>
              <w:t>4</w:t>
            </w:r>
            <w:r w:rsidRPr="00185EE9">
              <w:rPr>
                <w:rFonts w:ascii="Verdana" w:eastAsia="Calibri" w:hAnsi="Verdana" w:cs="Arial"/>
                <w:bCs/>
                <w:color w:val="000000" w:themeColor="text1"/>
              </w:rPr>
              <w:t xml:space="preserve"> representan una medida regulatoria que hace que los ofrecimientos para la prestación de este tipo de servicios tiendan al valor mínimo permitido por regulación tarifaria, lo que hace que las Entidades Estatales no puedan elegir la oferta más favorable con base en el menor precio ofertado, como bien podría suceder con otros bienes o servicios que no tienen un precio mínimo regulado.   </w:t>
            </w:r>
          </w:p>
          <w:p w14:paraId="36F6CC7D" w14:textId="0696BAE6" w:rsidR="0092434F" w:rsidRDefault="0092434F" w:rsidP="00441EAC">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En atención a esto, la modalidad de selección más adecuada para la contratación de servicios de vigilancia y seguridad privada es la licitación pública prevista en el numeral 1 del artículo 2 de la Ley 1150 de 2007</w:t>
            </w:r>
            <w:r w:rsidR="00954D0E">
              <w:rPr>
                <w:rFonts w:ascii="Verdana" w:eastAsia="Calibri" w:hAnsi="Verdana" w:cs="Arial"/>
                <w:bCs/>
                <w:color w:val="000000" w:themeColor="text1"/>
              </w:rPr>
              <w:t>,</w:t>
            </w:r>
            <w:r w:rsidR="00743827">
              <w:rPr>
                <w:rFonts w:ascii="Verdana" w:eastAsia="Calibri" w:hAnsi="Verdana" w:cs="Arial"/>
                <w:bCs/>
                <w:color w:val="000000" w:themeColor="text1"/>
              </w:rPr>
              <w:t xml:space="preserve"> la cual aplica</w:t>
            </w:r>
            <w:r w:rsidRPr="00185EE9">
              <w:rPr>
                <w:rFonts w:ascii="Verdana" w:eastAsia="Calibri" w:hAnsi="Verdana" w:cs="Arial"/>
                <w:bCs/>
                <w:color w:val="000000" w:themeColor="text1"/>
              </w:rPr>
              <w:t xml:space="preserve"> como la regla general para objetos no sujetos a alguna modalidad en específico. Esto además debido a que la licitación pública es la modalidad 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w:t>
            </w:r>
            <w:r w:rsidR="00651AB9">
              <w:rPr>
                <w:rFonts w:ascii="Verdana" w:eastAsia="Calibri" w:hAnsi="Verdana" w:cs="Arial"/>
                <w:bCs/>
                <w:color w:val="000000" w:themeColor="text1"/>
              </w:rPr>
              <w:t>Lo expuesto,</w:t>
            </w:r>
            <w:r w:rsidRPr="00185EE9">
              <w:rPr>
                <w:rFonts w:ascii="Verdana" w:eastAsia="Calibri" w:hAnsi="Verdana" w:cs="Arial"/>
                <w:bCs/>
                <w:color w:val="000000" w:themeColor="text1"/>
              </w:rPr>
              <w:t xml:space="preserve"> resulta coherente con lo dispuesto en el</w:t>
            </w:r>
            <w:r w:rsidRPr="00185EE9">
              <w:rPr>
                <w:rFonts w:ascii="Verdana" w:eastAsia="Calibri" w:hAnsi="Verdana" w:cs="Arial"/>
                <w:color w:val="000000"/>
                <w:lang w:val="es-ES_tradnl"/>
              </w:rPr>
              <w:t xml:space="preserve"> artículo 6 de la Ley 1920 de 2018, que </w:t>
            </w:r>
            <w:r w:rsidRPr="00185EE9">
              <w:rPr>
                <w:rFonts w:ascii="Verdana" w:eastAsia="Calibri" w:hAnsi="Verdana" w:cs="Arial"/>
                <w:bCs/>
                <w:color w:val="000000"/>
                <w:lang w:val="es-ES_tradnl"/>
              </w:rPr>
              <w:t xml:space="preserve">se refiere de manera expresa a la </w:t>
            </w:r>
            <w:r w:rsidRPr="00185EE9">
              <w:rPr>
                <w:rFonts w:ascii="Verdana" w:eastAsia="Calibri" w:hAnsi="Verdana" w:cs="Arial"/>
                <w:bCs/>
                <w:color w:val="000000"/>
                <w:lang w:val="es-ES_tradnl"/>
              </w:rPr>
              <w:lastRenderedPageBreak/>
              <w:t xml:space="preserve">licitación pública como una modalidad de selección aplicable para contratar los servicios </w:t>
            </w:r>
            <w:r w:rsidRPr="00185EE9">
              <w:rPr>
                <w:rFonts w:ascii="Verdana" w:eastAsia="Calibri" w:hAnsi="Verdana" w:cs="Arial"/>
                <w:bCs/>
                <w:color w:val="000000" w:themeColor="text1"/>
              </w:rPr>
              <w:t xml:space="preserve">servicios de vigilancia y seguridad privada, previendo además la aplicación de factores de evaluación distintos del precio. </w:t>
            </w:r>
          </w:p>
          <w:p w14:paraId="350FA5B6" w14:textId="77777777" w:rsidR="0092434F" w:rsidRDefault="0092434F" w:rsidP="00441EAC">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p>
          <w:p w14:paraId="62EB5A3E" w14:textId="77777777" w:rsidR="00CB6F8F" w:rsidRDefault="0092434F" w:rsidP="00441EAC">
            <w:pPr>
              <w:spacing w:after="120" w:line="276" w:lineRule="auto"/>
              <w:ind w:firstLine="709"/>
              <w:jc w:val="both"/>
              <w:rPr>
                <w:rFonts w:ascii="Verdana" w:eastAsia="Century Gothic" w:hAnsi="Verdana" w:cs="Century Gothic"/>
              </w:rPr>
            </w:pPr>
            <w:r>
              <w:rPr>
                <w:rFonts w:ascii="Verdana" w:eastAsia="Calibri" w:hAnsi="Verdana" w:cs="Arial"/>
                <w:bCs/>
                <w:color w:val="000000" w:themeColor="text1"/>
              </w:rPr>
              <w:t xml:space="preserve">Aunque </w:t>
            </w:r>
            <w:r>
              <w:rPr>
                <w:rFonts w:ascii="Verdana" w:eastAsia="Century Gothic" w:hAnsi="Verdana" w:cs="Century Gothic"/>
              </w:rPr>
              <w:t xml:space="preserve">el numeral 2 del artículo </w:t>
            </w:r>
            <w:r w:rsidRPr="00B828F6">
              <w:rPr>
                <w:rFonts w:ascii="Verdana" w:eastAsia="Century Gothic" w:hAnsi="Verdana" w:cs="Century Gothic"/>
              </w:rPr>
              <w:t>2.2.1.2.1.2.1</w:t>
            </w:r>
            <w:r>
              <w:rPr>
                <w:rFonts w:ascii="Verdana" w:eastAsia="Century Gothic" w:hAnsi="Verdana" w:cs="Century Gothic"/>
              </w:rPr>
              <w:t xml:space="preserve"> del Decreto 1082 de 2015 dispone que los pliegos de condiciones </w:t>
            </w:r>
            <w:r w:rsidRPr="008E3F3E">
              <w:rPr>
                <w:rFonts w:ascii="Verdana" w:eastAsia="Century Gothic" w:hAnsi="Verdana" w:cs="Century Gothic"/>
              </w:rPr>
              <w:t>para contratar bienes y servicios de características técnicas uniformes, la entidad estatal debe indicar</w:t>
            </w:r>
            <w:r>
              <w:rPr>
                <w:rFonts w:ascii="Verdana" w:eastAsia="Century Gothic" w:hAnsi="Verdana" w:cs="Century Gothic"/>
              </w:rPr>
              <w:t xml:space="preserve"> “</w:t>
            </w:r>
            <w:r w:rsidRPr="008E3F3E">
              <w:rPr>
                <w:rFonts w:ascii="Verdana" w:eastAsia="Century Gothic" w:hAnsi="Verdana" w:cs="Century Gothic"/>
              </w:rPr>
              <w:t>Si el precio del bien o servicio es regulado, la variable sobre la cual se hace la evaluación de las ofertas</w:t>
            </w:r>
            <w:r>
              <w:rPr>
                <w:rFonts w:ascii="Verdana" w:eastAsia="Century Gothic" w:hAnsi="Verdana" w:cs="Century Gothic"/>
              </w:rPr>
              <w:t>”, el contenido de esta norma no cambia la conclusión del párrafo precedente</w:t>
            </w:r>
            <w:r w:rsidRPr="008E3F3E">
              <w:rPr>
                <w:rFonts w:ascii="Verdana" w:eastAsia="Century Gothic" w:hAnsi="Verdana" w:cs="Century Gothic"/>
              </w:rPr>
              <w:t>.</w:t>
            </w:r>
            <w:r>
              <w:rPr>
                <w:rFonts w:ascii="Verdana" w:eastAsia="Century Gothic" w:hAnsi="Verdana" w:cs="Century Gothic"/>
              </w:rPr>
              <w:t xml:space="preserve"> </w:t>
            </w:r>
          </w:p>
          <w:p w14:paraId="345509D7" w14:textId="232F26AC" w:rsidR="0092434F" w:rsidRDefault="0092434F" w:rsidP="00441EAC">
            <w:pPr>
              <w:spacing w:after="120" w:line="276" w:lineRule="auto"/>
              <w:ind w:firstLine="709"/>
              <w:jc w:val="both"/>
              <w:rPr>
                <w:rFonts w:ascii="Verdana" w:eastAsia="Calibri" w:hAnsi="Verdana" w:cs="Arial"/>
                <w:bCs/>
                <w:color w:val="000000" w:themeColor="text1"/>
              </w:rPr>
            </w:pPr>
            <w:r>
              <w:rPr>
                <w:rFonts w:ascii="Verdana" w:eastAsia="Century Gothic" w:hAnsi="Verdana" w:cs="Century Gothic"/>
              </w:rPr>
              <w:t xml:space="preserve">Para estos efectos, no puede perderse de vista que –conforme al artículo 5.3 de la Ley 1150 de 2007– “[…] </w:t>
            </w:r>
            <w:r w:rsidRPr="00120EB3">
              <w:rPr>
                <w:rFonts w:ascii="Verdana" w:eastAsia="Century Gothic" w:hAnsi="Verdana" w:cs="Century Gothic"/>
              </w:rPr>
              <w:t>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Pr>
                <w:rFonts w:ascii="Verdana" w:eastAsia="Century Gothic" w:hAnsi="Verdana" w:cs="Century Gothic"/>
              </w:rPr>
              <w:t>”; razón por la cual, no hay lugar a la ponderación de elementos adicionales en la subasta inversa, los acuerdos marco de precios o las bolsas de productos. Como en la licitación pública o en la selección abreviada de menor cuantía los demás elementos diferentes al precio son ponderables, la Agencia reitera la tesis del Concepto C-231 del 1˚ de abril de 2025.</w:t>
            </w:r>
          </w:p>
          <w:p w14:paraId="3D6744F6" w14:textId="77777777" w:rsidR="0092434F" w:rsidRDefault="0092434F" w:rsidP="00441EAC">
            <w:pPr>
              <w:spacing w:after="120" w:line="276" w:lineRule="auto"/>
              <w:ind w:firstLine="709"/>
              <w:jc w:val="both"/>
              <w:rPr>
                <w:rStyle w:val="s15"/>
                <w:rFonts w:ascii="Verdana" w:hAnsi="Verdana"/>
                <w:color w:val="000000"/>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disciplinarias. Así, cada entidad definirá la forma de adelantar su gestión </w:t>
            </w:r>
            <w:r w:rsidRPr="001941FD">
              <w:rPr>
                <w:rStyle w:val="s15"/>
                <w:rFonts w:ascii="Verdana" w:hAnsi="Verdana"/>
                <w:color w:val="000000"/>
              </w:rPr>
              <w:lastRenderedPageBreak/>
              <w:t>contractual, sin que sea atribución de Colombia Compra Eficiente validar sus actuaciones.</w:t>
            </w:r>
          </w:p>
          <w:p w14:paraId="3DCD72A0" w14:textId="77777777" w:rsidR="0092434F" w:rsidRPr="001941FD" w:rsidRDefault="0092434F" w:rsidP="00441EAC">
            <w:pPr>
              <w:spacing w:line="276" w:lineRule="auto"/>
              <w:ind w:firstLine="709"/>
              <w:jc w:val="both"/>
              <w:rPr>
                <w:rFonts w:ascii="Verdana" w:eastAsia="Calibri" w:hAnsi="Verdana" w:cs="Arial"/>
                <w:bCs/>
                <w:color w:val="000000" w:themeColor="text1"/>
              </w:rPr>
            </w:pPr>
            <w:r w:rsidRPr="000E52E5">
              <w:rPr>
                <w:rFonts w:ascii="Verdana" w:eastAsia="Calibri" w:hAnsi="Verdana" w:cs="Arial"/>
                <w:bCs/>
                <w:color w:val="000000" w:themeColor="text1"/>
              </w:rPr>
              <w:t>Conforme al artículo 28 de la Ley 1437 de 2011, se informa al peticionario que “Salvo disposición legal en contrario, los conceptos emitidos por las autoridades como respuestas a peticiones realizadas en ejercicio del derecho a formular consultas no serán de obligatorio cumplimiento o ejecución”.</w:t>
            </w:r>
            <w:r>
              <w:rPr>
                <w:rFonts w:ascii="Verdana" w:eastAsia="Calibri" w:hAnsi="Verdana" w:cs="Arial"/>
                <w:bCs/>
                <w:color w:val="000000" w:themeColor="text1"/>
              </w:rPr>
              <w:t xml:space="preserve"> </w:t>
            </w:r>
            <w:r w:rsidRPr="000E52E5">
              <w:rPr>
                <w:rFonts w:ascii="Verdana" w:eastAsia="Calibri" w:hAnsi="Verdana" w:cs="Arial"/>
                <w:bCs/>
                <w:color w:val="000000" w:themeColor="text1"/>
                <w:lang w:val="es-ES_tradnl"/>
              </w:rPr>
              <w:t xml:space="preserve">Así las cosas, Colombia Compra Eficiente considera que no hay lugar a acceder, por ejemplo, a solicitudes de </w:t>
            </w:r>
            <w:r w:rsidRPr="000E52E5">
              <w:rPr>
                <w:rFonts w:ascii="Verdana" w:eastAsia="Calibri" w:hAnsi="Verdana" w:cs="Arial"/>
                <w:bCs/>
                <w:i/>
                <w:iCs/>
                <w:color w:val="000000" w:themeColor="text1"/>
                <w:lang w:val="es-ES_tradnl"/>
              </w:rPr>
              <w:t>revocación directa</w:t>
            </w:r>
            <w:r w:rsidRPr="000E52E5">
              <w:rPr>
                <w:rFonts w:ascii="Verdana" w:eastAsia="Calibri" w:hAnsi="Verdana" w:cs="Arial"/>
                <w:bCs/>
                <w:color w:val="000000" w:themeColor="text1"/>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Pr="000E52E5">
              <w:rPr>
                <w:rFonts w:ascii="Verdana" w:eastAsia="Calibri" w:hAnsi="Verdana" w:cs="Arial"/>
                <w:bCs/>
                <w:i/>
                <w:iCs/>
                <w:color w:val="000000" w:themeColor="text1"/>
                <w:lang w:val="es-ES_tradnl"/>
              </w:rPr>
              <w:t>única</w:t>
            </w:r>
            <w:r w:rsidRPr="000E52E5">
              <w:rPr>
                <w:rFonts w:ascii="Verdana" w:eastAsia="Calibri" w:hAnsi="Verdana" w:cs="Arial"/>
                <w:bCs/>
                <w:color w:val="000000" w:themeColor="text1"/>
                <w:lang w:val="es-ES_tradnl"/>
              </w:rPr>
              <w:t xml:space="preserve"> interpretación válida del ordenamiento jurídico.</w:t>
            </w:r>
          </w:p>
        </w:tc>
      </w:tr>
    </w:tbl>
    <w:p w14:paraId="2F09CDAA" w14:textId="77777777" w:rsidR="0092434F" w:rsidRPr="00593A5F" w:rsidRDefault="0092434F" w:rsidP="0092434F">
      <w:pPr>
        <w:tabs>
          <w:tab w:val="left" w:pos="142"/>
          <w:tab w:val="left" w:pos="284"/>
        </w:tabs>
        <w:spacing w:after="0" w:line="276" w:lineRule="auto"/>
        <w:jc w:val="both"/>
        <w:rPr>
          <w:rFonts w:ascii="Verdana" w:eastAsia="Century Gothic" w:hAnsi="Verdana" w:cs="Century Gothic"/>
          <w:b/>
          <w:bCs/>
          <w:lang w:val="es-ES"/>
        </w:rPr>
      </w:pPr>
    </w:p>
    <w:bookmarkEnd w:id="1"/>
    <w:p w14:paraId="2623BFB6" w14:textId="77777777" w:rsidR="0092434F" w:rsidRPr="00593A5F" w:rsidRDefault="0092434F" w:rsidP="009243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47E717F" w14:textId="77777777" w:rsidR="0092434F" w:rsidRPr="00593A5F" w:rsidRDefault="0092434F" w:rsidP="0092434F">
      <w:pPr>
        <w:spacing w:after="0" w:line="276" w:lineRule="auto"/>
        <w:jc w:val="both"/>
        <w:rPr>
          <w:rFonts w:ascii="Verdana" w:eastAsia="Calibri" w:hAnsi="Verdana" w:cs="Arial"/>
          <w:color w:val="7030A0"/>
          <w:lang w:val="es-ES"/>
        </w:rPr>
      </w:pPr>
    </w:p>
    <w:p w14:paraId="41D500CF" w14:textId="77777777" w:rsidR="0092434F" w:rsidRDefault="0092434F" w:rsidP="0092434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38CDFB7" w14:textId="77777777" w:rsidR="0092434F" w:rsidRPr="00415608" w:rsidRDefault="0092434F" w:rsidP="0092434F">
      <w:pPr>
        <w:spacing w:after="0" w:line="276" w:lineRule="auto"/>
        <w:jc w:val="both"/>
        <w:rPr>
          <w:rFonts w:ascii="Verdana" w:eastAsia="Calibri" w:hAnsi="Verdana" w:cs="Arial"/>
          <w:lang w:val="es-ES"/>
        </w:rPr>
      </w:pPr>
    </w:p>
    <w:p w14:paraId="6E6F3323" w14:textId="77777777" w:rsidR="0092434F" w:rsidRPr="00856F20" w:rsidRDefault="0092434F" w:rsidP="186C6763">
      <w:pPr>
        <w:tabs>
          <w:tab w:val="left" w:pos="426"/>
        </w:tabs>
        <w:spacing w:after="0" w:line="276" w:lineRule="auto"/>
        <w:jc w:val="both"/>
        <w:rPr>
          <w:rFonts w:ascii="Verdana" w:eastAsia="Calibri" w:hAnsi="Verdana" w:cs="Arial"/>
          <w:lang w:val="es-ES"/>
        </w:rPr>
      </w:pPr>
      <w:r w:rsidRPr="186C6763">
        <w:rPr>
          <w:rFonts w:ascii="Verdana" w:eastAsia="Calibri" w:hAnsi="Verdana" w:cs="Arial"/>
          <w:color w:val="000000" w:themeColor="text1"/>
          <w:lang w:val="es-ES" w:eastAsia="es-ES"/>
        </w:rPr>
        <w:t xml:space="preserve">i. </w:t>
      </w:r>
      <w:r w:rsidRPr="186C6763">
        <w:rPr>
          <w:rFonts w:ascii="Verdana" w:eastAsia="Calibri" w:hAnsi="Verdana" w:cs="Arial"/>
          <w:lang w:val="es-ES"/>
        </w:rPr>
        <w:t>En ejercicio de las competencias consagradas en los artículos 3, numeral 5, 11, numeral 8, 12, numeral 6, y 13, numeral 4, del Decreto 4170 de 2011, la Agencia Nacional de Contratación Pública – Colombia Compra Eficiente resuelve consultas sobre los asuntos de su competencia, esto es, sobre las normas que conforman el sistema de compras y contratación pública. Esta competencia consultiva se relaciona con el artículo 28 de la Ley 1437 de 2011, sustituido por el artículo 1 de la Ley 1755, que dispone lo siguiente:</w:t>
      </w:r>
    </w:p>
    <w:p w14:paraId="3B09C6BE" w14:textId="77777777" w:rsidR="0092434F" w:rsidRPr="00856F20" w:rsidRDefault="0092434F" w:rsidP="0092434F">
      <w:pPr>
        <w:tabs>
          <w:tab w:val="left" w:pos="426"/>
        </w:tabs>
        <w:spacing w:after="0" w:line="276" w:lineRule="auto"/>
        <w:jc w:val="both"/>
        <w:rPr>
          <w:rFonts w:ascii="Verdana" w:eastAsia="Calibri" w:hAnsi="Verdana" w:cs="Arial"/>
          <w:bCs/>
          <w:lang w:val="es-ES_tradnl"/>
        </w:rPr>
      </w:pPr>
    </w:p>
    <w:p w14:paraId="011A38A0" w14:textId="77777777" w:rsidR="0092434F" w:rsidRPr="005A3914" w:rsidRDefault="0092434F" w:rsidP="0092434F">
      <w:pPr>
        <w:tabs>
          <w:tab w:val="left" w:pos="426"/>
        </w:tabs>
        <w:spacing w:after="0" w:line="240" w:lineRule="auto"/>
        <w:ind w:left="709" w:right="709"/>
        <w:jc w:val="both"/>
        <w:rPr>
          <w:rFonts w:ascii="Verdana" w:eastAsia="Calibri" w:hAnsi="Verdana" w:cs="Arial"/>
          <w:bCs/>
          <w:sz w:val="20"/>
          <w:szCs w:val="20"/>
          <w:lang w:val="es-ES_tradnl"/>
        </w:rPr>
      </w:pPr>
      <w:r w:rsidRPr="005A3914">
        <w:rPr>
          <w:rFonts w:ascii="Verdana" w:eastAsia="Calibri" w:hAnsi="Verdana" w:cs="Arial"/>
          <w:bCs/>
          <w:sz w:val="20"/>
          <w:szCs w:val="20"/>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65FAFE2E" w14:textId="77777777" w:rsidR="0092434F" w:rsidRPr="00856F20" w:rsidRDefault="0092434F" w:rsidP="0092434F">
      <w:pPr>
        <w:tabs>
          <w:tab w:val="left" w:pos="426"/>
        </w:tabs>
        <w:spacing w:after="0" w:line="276" w:lineRule="auto"/>
        <w:jc w:val="both"/>
        <w:rPr>
          <w:rFonts w:ascii="Verdana" w:eastAsia="Calibri" w:hAnsi="Verdana" w:cs="Arial"/>
          <w:bCs/>
          <w:lang w:val="es-ES_tradnl"/>
        </w:rPr>
      </w:pPr>
    </w:p>
    <w:p w14:paraId="68F6236B" w14:textId="77777777" w:rsidR="0092434F" w:rsidRPr="00856F20" w:rsidRDefault="0092434F" w:rsidP="0092434F">
      <w:pPr>
        <w:tabs>
          <w:tab w:val="left" w:pos="709"/>
        </w:tabs>
        <w:spacing w:line="276" w:lineRule="auto"/>
        <w:jc w:val="both"/>
        <w:rPr>
          <w:rFonts w:ascii="Verdana" w:eastAsia="Calibri" w:hAnsi="Verdana" w:cs="Arial"/>
          <w:bCs/>
          <w:lang w:val="es-ES_tradnl"/>
        </w:rPr>
      </w:pPr>
      <w:r w:rsidRPr="00856F20">
        <w:rPr>
          <w:rFonts w:ascii="Verdana" w:eastAsia="Calibri" w:hAnsi="Verdana" w:cs="Arial"/>
          <w:bCs/>
          <w:lang w:val="es-ES_tradnl"/>
        </w:rPr>
        <w:tab/>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asesorías puntuales a los partícipes de la contratación estatal.</w:t>
      </w:r>
    </w:p>
    <w:p w14:paraId="45B9BD14" w14:textId="77777777" w:rsidR="0092434F" w:rsidRPr="00856F20" w:rsidRDefault="0092434F" w:rsidP="0092434F">
      <w:pPr>
        <w:tabs>
          <w:tab w:val="left" w:pos="709"/>
        </w:tabs>
        <w:spacing w:before="120" w:line="276" w:lineRule="auto"/>
        <w:jc w:val="both"/>
        <w:rPr>
          <w:rFonts w:ascii="Verdana" w:eastAsia="Calibri" w:hAnsi="Verdana" w:cs="Arial"/>
          <w:bCs/>
          <w:sz w:val="21"/>
          <w:szCs w:val="21"/>
          <w:lang w:val="es-ES_tradnl"/>
        </w:rPr>
      </w:pPr>
      <w:r w:rsidRPr="00856F20">
        <w:rPr>
          <w:rFonts w:ascii="Verdana" w:eastAsia="Calibri" w:hAnsi="Verdana" w:cs="Arial"/>
          <w:bCs/>
          <w:lang w:val="es-ES_tradnl"/>
        </w:rPr>
        <w:lastRenderedPageBreak/>
        <w:tab/>
        <w:t xml:space="preserve">Esta posición es compartida por varias entidades públicas que ejercen la misma función. Por ejemplo, la Procuraduría General de la Nación aclaró que el concepto </w:t>
      </w:r>
      <w:r>
        <w:rPr>
          <w:rFonts w:ascii="Verdana" w:eastAsia="Calibri" w:hAnsi="Verdana" w:cs="Arial"/>
          <w:bCs/>
          <w:lang w:val="es-ES_tradnl"/>
        </w:rPr>
        <w:t>“</w:t>
      </w:r>
      <w:r w:rsidRPr="00856F20">
        <w:rPr>
          <w:rFonts w:ascii="Verdana" w:eastAsia="Calibri" w:hAnsi="Verdana" w:cs="Arial"/>
          <w:bCs/>
          <w:lang w:val="es-ES_tradnl"/>
        </w:rPr>
        <w:t>sólo constituye un criterio auxiliar de interpretación y que no tiene carácter vinculante de acuerdo con lo dispuesto en los artículos 230 de la Constitución Política, 5° de la Ley 153 de 1887 y 28 de la ley 1437 de 2011</w:t>
      </w:r>
      <w:r>
        <w:rPr>
          <w:rFonts w:ascii="Verdana" w:eastAsia="Calibri" w:hAnsi="Verdana" w:cs="Arial"/>
          <w:bCs/>
          <w:lang w:val="es-ES_tradnl"/>
        </w:rPr>
        <w:t>”</w:t>
      </w:r>
      <w:r w:rsidRPr="00856F20">
        <w:rPr>
          <w:rStyle w:val="Refdenotaalpie"/>
          <w:rFonts w:ascii="Verdana" w:eastAsia="Calibri" w:hAnsi="Verdana" w:cs="Arial"/>
          <w:bCs/>
          <w:lang w:val="es-ES_tradnl"/>
        </w:rPr>
        <w:footnoteReference w:id="2"/>
      </w:r>
      <w:r w:rsidRPr="00856F20">
        <w:rPr>
          <w:rFonts w:ascii="Verdana" w:eastAsia="Calibri" w:hAnsi="Verdana" w:cs="Arial"/>
          <w:bCs/>
          <w:lang w:val="es-ES_tradnl"/>
        </w:rPr>
        <w:t>. Igualmente, en concepto del año 2017</w:t>
      </w:r>
      <w:r w:rsidRPr="00856F20">
        <w:rPr>
          <w:rStyle w:val="Refdenotaalpie"/>
          <w:rFonts w:ascii="Verdana" w:eastAsia="Calibri" w:hAnsi="Verdana" w:cs="Arial"/>
          <w:bCs/>
          <w:lang w:val="es-ES_tradnl"/>
        </w:rPr>
        <w:footnoteReference w:id="3"/>
      </w:r>
      <w:r w:rsidRPr="00856F20">
        <w:rPr>
          <w:rFonts w:ascii="Verdana" w:eastAsia="Calibri" w:hAnsi="Verdana" w:cs="Arial"/>
          <w:bCs/>
          <w:lang w:val="es-ES_tradnl"/>
        </w:rPr>
        <w:t xml:space="preserve">, la Contraloría General de la República precisó que los </w:t>
      </w:r>
      <w:r>
        <w:rPr>
          <w:rFonts w:ascii="Verdana" w:eastAsia="Calibri" w:hAnsi="Verdana" w:cs="Arial"/>
          <w:bCs/>
          <w:lang w:val="es-ES_tradnl"/>
        </w:rPr>
        <w:t>“</w:t>
      </w:r>
      <w:r w:rsidRPr="00856F20">
        <w:rPr>
          <w:rFonts w:ascii="Verdana" w:eastAsia="Calibri" w:hAnsi="Verdana" w:cs="Arial"/>
          <w:bCs/>
          <w:lang w:val="es-ES_tradnl"/>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Pr>
          <w:rFonts w:ascii="Verdana" w:eastAsia="Calibri" w:hAnsi="Verdana" w:cs="Arial"/>
          <w:bCs/>
          <w:lang w:val="es-ES_tradnl"/>
        </w:rPr>
        <w:t>”</w:t>
      </w:r>
      <w:r w:rsidRPr="00856F20">
        <w:rPr>
          <w:rFonts w:ascii="Verdana" w:eastAsia="Calibri" w:hAnsi="Verdana" w:cs="Arial"/>
          <w:bCs/>
          <w:lang w:val="es-ES_tradnl"/>
        </w:rPr>
        <w:t>.</w:t>
      </w:r>
    </w:p>
    <w:p w14:paraId="01976FC0" w14:textId="77777777" w:rsidR="0092434F" w:rsidRPr="00856F20" w:rsidRDefault="0092434F" w:rsidP="0092434F">
      <w:pPr>
        <w:tabs>
          <w:tab w:val="left" w:pos="709"/>
        </w:tabs>
        <w:spacing w:before="120" w:line="276" w:lineRule="auto"/>
        <w:jc w:val="both"/>
        <w:rPr>
          <w:rFonts w:ascii="Verdana" w:eastAsia="Calibri" w:hAnsi="Verdana" w:cs="Arial"/>
          <w:bCs/>
          <w:lang w:val="es-ES_tradnl"/>
        </w:rPr>
      </w:pPr>
      <w:r w:rsidRPr="00856F20">
        <w:rPr>
          <w:rFonts w:ascii="Verdana" w:eastAsia="Calibri" w:hAnsi="Verdana" w:cs="Arial"/>
          <w:bCs/>
          <w:lang w:val="es-ES_tradnl"/>
        </w:rPr>
        <w:tab/>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856F20">
        <w:rPr>
          <w:rFonts w:ascii="Verdana" w:eastAsia="Calibri" w:hAnsi="Verdana" w:cs="Arial"/>
          <w:bCs/>
          <w:i/>
          <w:iCs/>
          <w:lang w:val="es-ES_tradnl"/>
        </w:rPr>
        <w:t>única</w:t>
      </w:r>
      <w:r w:rsidRPr="00856F20">
        <w:rPr>
          <w:rFonts w:ascii="Verdana" w:eastAsia="Calibri" w:hAnsi="Verdana" w:cs="Arial"/>
          <w:bCs/>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856F20">
        <w:rPr>
          <w:rStyle w:val="Refdenotaalpie"/>
          <w:rFonts w:ascii="Verdana" w:eastAsia="Calibri" w:hAnsi="Verdana" w:cs="Arial"/>
          <w:bCs/>
          <w:lang w:val="es-ES_tradnl"/>
        </w:rPr>
        <w:footnoteReference w:id="4"/>
      </w:r>
      <w:r w:rsidRPr="00856F20">
        <w:rPr>
          <w:rFonts w:ascii="Verdana" w:eastAsia="Calibri" w:hAnsi="Verdana" w:cs="Arial"/>
          <w:bCs/>
          <w:lang w:val="es-ES_tradnl"/>
        </w:rPr>
        <w:t>.</w:t>
      </w:r>
    </w:p>
    <w:p w14:paraId="126E9185" w14:textId="77777777" w:rsidR="00B1040C" w:rsidRDefault="0092434F" w:rsidP="186C6763">
      <w:pPr>
        <w:tabs>
          <w:tab w:val="left" w:pos="709"/>
        </w:tabs>
        <w:spacing w:before="120" w:line="276" w:lineRule="auto"/>
        <w:ind w:firstLine="709"/>
        <w:jc w:val="both"/>
        <w:rPr>
          <w:rFonts w:ascii="Verdana" w:eastAsia="Calibri" w:hAnsi="Verdana" w:cs="Arial"/>
          <w:lang w:val="es-ES"/>
        </w:rPr>
      </w:pPr>
      <w:r w:rsidRPr="186C6763">
        <w:rPr>
          <w:rFonts w:ascii="Verdana" w:eastAsia="Calibri" w:hAnsi="Verdana" w:cs="Arial"/>
          <w:lang w:val="es-ES"/>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29A6D72B" w14:textId="24C583BE" w:rsidR="0092434F" w:rsidRPr="00856F20" w:rsidRDefault="0092434F" w:rsidP="0092434F">
      <w:pPr>
        <w:tabs>
          <w:tab w:val="left" w:pos="709"/>
        </w:tabs>
        <w:spacing w:before="120" w:line="276" w:lineRule="auto"/>
        <w:ind w:firstLine="709"/>
        <w:jc w:val="both"/>
        <w:rPr>
          <w:rFonts w:ascii="Verdana" w:eastAsia="Calibri" w:hAnsi="Verdana" w:cs="Arial"/>
          <w:bCs/>
          <w:lang w:val="es-ES_tradnl"/>
        </w:rPr>
      </w:pPr>
      <w:r w:rsidRPr="00856F20">
        <w:rPr>
          <w:rFonts w:ascii="Verdana" w:eastAsia="Calibri" w:hAnsi="Verdana" w:cs="Arial"/>
          <w:bCs/>
          <w:lang w:val="es-ES_tradnl"/>
        </w:rPr>
        <w:t xml:space="preserve">De todos modos, </w:t>
      </w:r>
      <w:r w:rsidR="00B1040C">
        <w:rPr>
          <w:rFonts w:ascii="Verdana" w:eastAsia="Calibri" w:hAnsi="Verdana" w:cs="Arial"/>
          <w:bCs/>
          <w:lang w:val="es-ES_tradnl"/>
        </w:rPr>
        <w:t>lo anterior</w:t>
      </w:r>
      <w:r w:rsidR="00B1040C" w:rsidRPr="00856F20">
        <w:rPr>
          <w:rFonts w:ascii="Verdana" w:eastAsia="Calibri" w:hAnsi="Verdana" w:cs="Arial"/>
          <w:bCs/>
          <w:lang w:val="es-ES_tradnl"/>
        </w:rPr>
        <w:t xml:space="preserve"> </w:t>
      </w:r>
      <w:r w:rsidRPr="00856F20">
        <w:rPr>
          <w:rFonts w:ascii="Verdana" w:eastAsia="Calibri" w:hAnsi="Verdana" w:cs="Arial"/>
          <w:bCs/>
          <w:lang w:val="es-ES_tradnl"/>
        </w:rPr>
        <w:t xml:space="preserve">no significa que el criterio de una u otra tenga validez o prevalencia sobre la otra, ya que se trata de opiniones emitidas a título </w:t>
      </w:r>
      <w:r w:rsidRPr="00856F20">
        <w:rPr>
          <w:rFonts w:ascii="Verdana" w:eastAsia="Calibri" w:hAnsi="Verdana" w:cs="Arial"/>
          <w:bCs/>
          <w:lang w:val="es-ES_tradnl"/>
        </w:rPr>
        <w:lastRenderedPageBreak/>
        <w:t xml:space="preserve">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w:t>
      </w:r>
      <w:r>
        <w:rPr>
          <w:rFonts w:ascii="Verdana" w:eastAsia="Calibri" w:hAnsi="Verdana" w:cs="Arial"/>
          <w:bCs/>
          <w:lang w:val="es-ES_tradnl"/>
        </w:rPr>
        <w:t>“</w:t>
      </w:r>
      <w:r w:rsidRPr="00856F20">
        <w:rPr>
          <w:rFonts w:ascii="Verdana" w:eastAsia="Calibri" w:hAnsi="Verdana" w:cs="Arial"/>
          <w:bCs/>
          <w:lang w:val="es-ES_tradnl"/>
        </w:rPr>
        <w:t>no serán de obligatorio cumplimiento o ejecución</w:t>
      </w:r>
      <w:r>
        <w:rPr>
          <w:rFonts w:ascii="Verdana" w:eastAsia="Calibri" w:hAnsi="Verdana" w:cs="Arial"/>
          <w:bCs/>
          <w:lang w:val="es-ES_tradnl"/>
        </w:rPr>
        <w:t>”</w:t>
      </w:r>
      <w:r w:rsidRPr="00856F20">
        <w:rPr>
          <w:rFonts w:ascii="Verdana" w:eastAsia="Calibri" w:hAnsi="Verdana" w:cs="Arial"/>
          <w:bCs/>
          <w:lang w:val="es-ES_tradnl"/>
        </w:rPr>
        <w:t xml:space="preserve">. </w:t>
      </w:r>
    </w:p>
    <w:p w14:paraId="00994BDE" w14:textId="77777777" w:rsidR="0092434F" w:rsidRPr="00856F20" w:rsidRDefault="0092434F" w:rsidP="0092434F">
      <w:pPr>
        <w:tabs>
          <w:tab w:val="left" w:pos="709"/>
        </w:tabs>
        <w:spacing w:before="120" w:after="0" w:line="276" w:lineRule="auto"/>
        <w:jc w:val="both"/>
        <w:rPr>
          <w:rFonts w:ascii="Verdana" w:eastAsia="Calibri" w:hAnsi="Verdana" w:cs="Arial"/>
          <w:bCs/>
          <w:lang w:val="es-ES_tradnl"/>
        </w:rPr>
      </w:pPr>
      <w:r w:rsidRPr="00856F20">
        <w:rPr>
          <w:rFonts w:ascii="Verdana" w:eastAsia="Calibri" w:hAnsi="Verdana" w:cs="Arial"/>
          <w:bCs/>
          <w:lang w:val="es-ES_tradnl"/>
        </w:rPr>
        <w:tab/>
        <w:t xml:space="preserve">En similares términos, el artículo 112 de la Ley 1437 de 2011 establece, en relación con la Sala de Consulta y Servicio Civil, que </w:t>
      </w:r>
      <w:r>
        <w:rPr>
          <w:rFonts w:ascii="Verdana" w:eastAsia="Calibri" w:hAnsi="Verdana" w:cs="Arial"/>
          <w:bCs/>
          <w:lang w:val="es-ES_tradnl"/>
        </w:rPr>
        <w:t>“</w:t>
      </w:r>
      <w:r w:rsidRPr="00856F20">
        <w:rPr>
          <w:rFonts w:ascii="Verdana" w:eastAsia="Calibri" w:hAnsi="Verdana" w:cs="Arial"/>
          <w:bCs/>
          <w:lang w:val="es-ES_tradnl"/>
        </w:rPr>
        <w:t>los conceptos de la Sala no serán vinculantes, salvo que la ley disponga lo contrario</w:t>
      </w:r>
      <w:r>
        <w:rPr>
          <w:rFonts w:ascii="Verdana" w:eastAsia="Calibri" w:hAnsi="Verdana" w:cs="Arial"/>
          <w:bCs/>
          <w:lang w:val="es-ES_tradnl"/>
        </w:rPr>
        <w:t>”</w:t>
      </w:r>
      <w:r w:rsidRPr="00856F20">
        <w:rPr>
          <w:rStyle w:val="Refdenotaalpie"/>
          <w:rFonts w:ascii="Verdana" w:eastAsia="Calibri" w:hAnsi="Verdana" w:cs="Arial"/>
          <w:bCs/>
          <w:lang w:val="es-ES_tradnl"/>
        </w:rPr>
        <w:footnoteReference w:id="5"/>
      </w:r>
      <w:r w:rsidRPr="00856F20">
        <w:rPr>
          <w:rFonts w:ascii="Verdana" w:eastAsia="Calibri" w:hAnsi="Verdana" w:cs="Arial"/>
          <w:bCs/>
          <w:lang w:val="es-ES_tradnl"/>
        </w:rPr>
        <w:t xml:space="preserve">. Se trata, </w:t>
      </w:r>
      <w:r w:rsidRPr="00856F20">
        <w:rPr>
          <w:rFonts w:ascii="Verdana" w:eastAsia="Calibri" w:hAnsi="Verdana" w:cs="Arial"/>
          <w:bCs/>
          <w:i/>
          <w:iCs/>
          <w:lang w:val="es-ES_tradnl"/>
        </w:rPr>
        <w:t>mutatis mutandis</w:t>
      </w:r>
      <w:r w:rsidRPr="00856F20">
        <w:rPr>
          <w:rFonts w:ascii="Verdana" w:eastAsia="Calibri" w:hAnsi="Verdana" w:cs="Arial"/>
          <w:bCs/>
          <w:lang w:val="es-ES_tradnl"/>
        </w:rPr>
        <w:t>,</w:t>
      </w:r>
      <w:r w:rsidRPr="00856F20">
        <w:rPr>
          <w:rFonts w:ascii="Verdana" w:eastAsia="Calibri" w:hAnsi="Verdana" w:cs="Arial"/>
          <w:bCs/>
          <w:i/>
          <w:iCs/>
          <w:lang w:val="es-ES_tradnl"/>
        </w:rPr>
        <w:t xml:space="preserve"> </w:t>
      </w:r>
      <w:r w:rsidRPr="00856F20">
        <w:rPr>
          <w:rFonts w:ascii="Verdana" w:eastAsia="Calibri" w:hAnsi="Verdana" w:cs="Arial"/>
          <w:bCs/>
          <w:lang w:val="es-ES_tradnl"/>
        </w:rPr>
        <w:t>del ejercicio de una función consultiva, cuyos efectos, por ende, serán los mismos: no vinculantes ni de obligatorio cumplimiento. En relación con el tema, la Sala de Consulta y Servicio Civil del Consejo de Estado, se pronunció en los siguientes términos:</w:t>
      </w:r>
    </w:p>
    <w:p w14:paraId="140027F4" w14:textId="77777777" w:rsidR="0092434F" w:rsidRPr="00856F20" w:rsidRDefault="0092434F" w:rsidP="0092434F">
      <w:pPr>
        <w:tabs>
          <w:tab w:val="left" w:pos="426"/>
        </w:tabs>
        <w:spacing w:after="0" w:line="276" w:lineRule="auto"/>
        <w:jc w:val="both"/>
        <w:rPr>
          <w:rFonts w:ascii="Verdana" w:eastAsia="Calibri" w:hAnsi="Verdana" w:cs="Arial"/>
          <w:bCs/>
          <w:lang w:val="es-ES_tradnl"/>
        </w:rPr>
      </w:pPr>
    </w:p>
    <w:p w14:paraId="6509827C" w14:textId="77777777" w:rsidR="0092434F" w:rsidRDefault="0092434F" w:rsidP="186C6763">
      <w:pPr>
        <w:tabs>
          <w:tab w:val="left" w:pos="426"/>
        </w:tabs>
        <w:spacing w:after="0" w:line="240" w:lineRule="auto"/>
        <w:ind w:left="709" w:right="709"/>
        <w:jc w:val="both"/>
        <w:rPr>
          <w:rFonts w:ascii="Verdana" w:eastAsia="Calibri" w:hAnsi="Verdana" w:cs="Arial"/>
          <w:sz w:val="20"/>
          <w:szCs w:val="20"/>
          <w:lang w:val="es-ES"/>
        </w:rPr>
      </w:pPr>
      <w:r w:rsidRPr="005A3914">
        <w:rPr>
          <w:rFonts w:ascii="Verdana" w:eastAsia="Calibri" w:hAnsi="Verdana" w:cs="Arial"/>
          <w:sz w:val="20"/>
          <w:szCs w:val="20"/>
          <w:lang w:val="es-ES"/>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3615472C" w14:textId="77777777" w:rsidR="00245AD2" w:rsidRPr="005A3914" w:rsidRDefault="00245AD2" w:rsidP="005A3914">
      <w:pPr>
        <w:tabs>
          <w:tab w:val="left" w:pos="426"/>
        </w:tabs>
        <w:spacing w:after="0" w:line="240" w:lineRule="auto"/>
        <w:ind w:left="709" w:right="709"/>
        <w:jc w:val="both"/>
        <w:rPr>
          <w:rFonts w:ascii="Verdana" w:eastAsia="Calibri" w:hAnsi="Verdana" w:cs="Arial"/>
          <w:bCs/>
          <w:sz w:val="20"/>
          <w:szCs w:val="20"/>
          <w:lang w:val="es-ES_tradnl"/>
        </w:rPr>
      </w:pPr>
    </w:p>
    <w:p w14:paraId="38DFBDA4" w14:textId="77777777" w:rsidR="0092434F" w:rsidRPr="005A3914" w:rsidRDefault="0092434F" w:rsidP="00245AD2">
      <w:pPr>
        <w:tabs>
          <w:tab w:val="left" w:pos="426"/>
        </w:tabs>
        <w:spacing w:after="0" w:line="240" w:lineRule="auto"/>
        <w:ind w:left="709" w:right="709"/>
        <w:jc w:val="both"/>
        <w:rPr>
          <w:rFonts w:ascii="Verdana" w:eastAsia="Calibri" w:hAnsi="Verdana" w:cs="Arial"/>
          <w:bCs/>
          <w:sz w:val="20"/>
          <w:szCs w:val="20"/>
          <w:lang w:val="es-ES_tradnl"/>
        </w:rPr>
      </w:pPr>
      <w:r w:rsidRPr="005A3914">
        <w:rPr>
          <w:rFonts w:ascii="Verdana" w:eastAsia="Calibri" w:hAnsi="Verdana" w:cs="Arial"/>
          <w:bCs/>
          <w:sz w:val="20"/>
          <w:szCs w:val="20"/>
          <w:lang w:val="es-ES_tradnl"/>
        </w:rPr>
        <w:t>No se trata entonces de dar la razón a una u otra posición en temas controvertibles, sino de rendir un concepto jurídico que sirva a la Administración en la búsqueda del cumplimiento de las finalidades esenciales del Estado”</w:t>
      </w:r>
      <w:r w:rsidRPr="005A3914">
        <w:rPr>
          <w:rStyle w:val="Refdenotaalpie"/>
          <w:rFonts w:ascii="Verdana" w:eastAsia="Calibri" w:hAnsi="Verdana" w:cs="Arial"/>
          <w:bCs/>
          <w:sz w:val="20"/>
          <w:szCs w:val="20"/>
          <w:lang w:val="es-ES_tradnl"/>
        </w:rPr>
        <w:footnoteReference w:id="6"/>
      </w:r>
      <w:r w:rsidRPr="005A3914">
        <w:rPr>
          <w:rFonts w:ascii="Verdana" w:eastAsia="Calibri" w:hAnsi="Verdana" w:cs="Arial"/>
          <w:bCs/>
          <w:sz w:val="20"/>
          <w:szCs w:val="20"/>
          <w:lang w:val="es-ES_tradnl"/>
        </w:rPr>
        <w:t>.</w:t>
      </w:r>
    </w:p>
    <w:p w14:paraId="7A7B1A4F" w14:textId="77777777" w:rsidR="0092434F" w:rsidRPr="00856F20" w:rsidRDefault="0092434F" w:rsidP="0092434F">
      <w:pPr>
        <w:tabs>
          <w:tab w:val="left" w:pos="426"/>
        </w:tabs>
        <w:spacing w:after="0" w:line="276" w:lineRule="auto"/>
        <w:jc w:val="both"/>
        <w:rPr>
          <w:rFonts w:ascii="Verdana" w:eastAsia="Calibri" w:hAnsi="Verdana" w:cs="Arial"/>
          <w:bCs/>
          <w:lang w:val="es-ES_tradnl"/>
        </w:rPr>
      </w:pPr>
    </w:p>
    <w:p w14:paraId="5FAD51D1" w14:textId="77777777" w:rsidR="0092434F" w:rsidRPr="00856F20" w:rsidRDefault="0092434F" w:rsidP="0092434F">
      <w:pPr>
        <w:tabs>
          <w:tab w:val="left" w:pos="709"/>
        </w:tabs>
        <w:spacing w:line="276" w:lineRule="auto"/>
        <w:jc w:val="both"/>
        <w:rPr>
          <w:rFonts w:ascii="Verdana" w:eastAsia="Calibri" w:hAnsi="Verdana" w:cs="Arial"/>
          <w:bCs/>
          <w:lang w:val="es-ES_tradnl"/>
        </w:rPr>
      </w:pPr>
      <w:r w:rsidRPr="00856F20">
        <w:rPr>
          <w:rFonts w:ascii="Verdana" w:eastAsia="Calibri" w:hAnsi="Verdana" w:cs="Arial"/>
          <w:bCs/>
          <w:lang w:val="es-ES_tradnl"/>
        </w:rPr>
        <w:tab/>
        <w:t xml:space="preserve">El ejercicio de la función consultiva del artículo 28 de la Ley 1437 de 2011 descarta la resolución de controversias en curso o de problemas cuyos efectos </w:t>
      </w:r>
      <w:r w:rsidRPr="00856F20">
        <w:rPr>
          <w:rFonts w:ascii="Verdana" w:eastAsia="Calibri" w:hAnsi="Verdana" w:cs="Arial"/>
          <w:bCs/>
          <w:lang w:val="es-ES_tradnl"/>
        </w:rPr>
        <w:lastRenderedPageBreak/>
        <w:t>se concreten. Lo primero, debe manejarlo la propia entidad 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w:t>
      </w:r>
    </w:p>
    <w:p w14:paraId="1728A834" w14:textId="77777777" w:rsidR="0092434F" w:rsidRPr="00856F20" w:rsidRDefault="0092434F" w:rsidP="0092434F">
      <w:pPr>
        <w:tabs>
          <w:tab w:val="left" w:pos="709"/>
        </w:tabs>
        <w:spacing w:before="120" w:after="120" w:line="276" w:lineRule="auto"/>
        <w:jc w:val="both"/>
        <w:rPr>
          <w:rFonts w:ascii="Verdana" w:eastAsia="Calibri" w:hAnsi="Verdana" w:cs="Arial"/>
          <w:bCs/>
          <w:lang w:val="es-ES_tradnl"/>
        </w:rPr>
      </w:pPr>
      <w:r w:rsidRPr="00856F20">
        <w:rPr>
          <w:rFonts w:ascii="Verdana" w:eastAsia="Calibri" w:hAnsi="Verdana" w:cs="Arial"/>
          <w:bCs/>
          <w:lang w:val="es-ES_tradnl"/>
        </w:rPr>
        <w:tab/>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0DC98E3D" w14:textId="77777777" w:rsidR="0092434F" w:rsidRDefault="0092434F" w:rsidP="005A3914">
      <w:pPr>
        <w:spacing w:after="120" w:line="276" w:lineRule="auto"/>
        <w:jc w:val="both"/>
        <w:rPr>
          <w:rFonts w:ascii="Verdana" w:eastAsia="Calibri" w:hAnsi="Verdana" w:cs="Arial"/>
          <w:color w:val="000000"/>
          <w:lang w:val="es-ES" w:eastAsia="es-ES"/>
        </w:rPr>
      </w:pPr>
      <w:r w:rsidRPr="00856F20">
        <w:rPr>
          <w:rFonts w:ascii="Verdana" w:eastAsia="Calibri" w:hAnsi="Verdana" w:cs="Arial"/>
          <w:bCs/>
          <w:lang w:val="es-ES_tradnl"/>
        </w:rPr>
        <w:tab/>
      </w:r>
      <w:bookmarkStart w:id="2" w:name="_Hlk42100007"/>
      <w:r w:rsidRPr="186C6763">
        <w:rPr>
          <w:rFonts w:ascii="Verdana" w:eastAsia="Calibri" w:hAnsi="Verdana" w:cs="Arial"/>
          <w:lang w:val="es-ES"/>
        </w:rPr>
        <w:t xml:space="preserve">Así las cosas, Colombia Compra Eficiente considera que no hay lugar a acceder, por ejemplo, a solicitudes de </w:t>
      </w:r>
      <w:r w:rsidRPr="186C6763">
        <w:rPr>
          <w:rFonts w:ascii="Verdana" w:eastAsia="Calibri" w:hAnsi="Verdana" w:cs="Arial"/>
          <w:i/>
          <w:iCs/>
          <w:lang w:val="es-ES"/>
        </w:rPr>
        <w:t>revocación directa</w:t>
      </w:r>
      <w:r w:rsidRPr="186C6763">
        <w:rPr>
          <w:rFonts w:ascii="Verdana" w:eastAsia="Calibri" w:hAnsi="Verdana" w:cs="Arial"/>
          <w:lang w:val="es-ES"/>
        </w:rPr>
        <w:t xml:space="preserve"> de los conceptos, pues no son actos administrativos, no tienen efectos vinculantes en relación con una situación jurídica particular y concreta, y exponen un criterio que, aunque jurídicamente fundamentado, no representan necesariamente la </w:t>
      </w:r>
      <w:r w:rsidRPr="186C6763">
        <w:rPr>
          <w:rFonts w:ascii="Verdana" w:eastAsia="Calibri" w:hAnsi="Verdana" w:cs="Arial"/>
          <w:i/>
          <w:iCs/>
          <w:lang w:val="es-ES"/>
        </w:rPr>
        <w:t>única</w:t>
      </w:r>
      <w:r w:rsidRPr="186C6763">
        <w:rPr>
          <w:rFonts w:ascii="Verdana" w:eastAsia="Calibri" w:hAnsi="Verdana" w:cs="Arial"/>
          <w:lang w:val="es-ES"/>
        </w:rPr>
        <w:t xml:space="preserve"> interpretación válida del ordenamiento jurídico.</w:t>
      </w:r>
      <w:bookmarkEnd w:id="2"/>
      <w:r w:rsidRPr="186C6763">
        <w:rPr>
          <w:rFonts w:ascii="Verdana" w:eastAsia="Calibri" w:hAnsi="Verdana" w:cs="Arial"/>
          <w:lang w:val="es-ES"/>
        </w:rPr>
        <w:t xml:space="preserve"> Lo anterior no implica que la Agencia Nacional de Contratación Pública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r w:rsidRPr="186C6763">
        <w:rPr>
          <w:rFonts w:ascii="Verdana" w:eastAsia="Calibri" w:hAnsi="Verdana" w:cs="Arial"/>
          <w:color w:val="000000"/>
          <w:lang w:val="es-ES" w:eastAsia="es-ES"/>
        </w:rPr>
        <w:t xml:space="preserve"> </w:t>
      </w:r>
    </w:p>
    <w:p w14:paraId="2BC1E9FB" w14:textId="5ECAE12A" w:rsidR="001916FA" w:rsidRPr="00856F20" w:rsidRDefault="001916FA" w:rsidP="186C6763">
      <w:pPr>
        <w:spacing w:after="0" w:line="276" w:lineRule="auto"/>
        <w:jc w:val="both"/>
        <w:rPr>
          <w:rFonts w:ascii="Verdana" w:eastAsia="Calibri" w:hAnsi="Verdana" w:cs="Arial"/>
          <w:color w:val="000000"/>
          <w:lang w:val="es-ES" w:eastAsia="es-ES"/>
        </w:rPr>
      </w:pPr>
      <w:r>
        <w:rPr>
          <w:rFonts w:ascii="Verdana" w:eastAsia="Calibri" w:hAnsi="Verdana" w:cs="Arial"/>
          <w:color w:val="000000"/>
          <w:szCs w:val="24"/>
          <w:lang w:val="es-ES_tradnl" w:eastAsia="es-ES_tradnl"/>
        </w:rPr>
        <w:tab/>
      </w:r>
      <w:r w:rsidR="007755F2" w:rsidRPr="186C6763">
        <w:rPr>
          <w:rFonts w:ascii="Verdana" w:eastAsia="Calibri" w:hAnsi="Verdana" w:cs="Arial"/>
          <w:color w:val="000000" w:themeColor="text1"/>
          <w:lang w:val="es-ES" w:eastAsia="es-ES"/>
        </w:rPr>
        <w:t xml:space="preserve">Precisamente, atendiendo al objeto de su consulta, a </w:t>
      </w:r>
      <w:proofErr w:type="gramStart"/>
      <w:r w:rsidR="007755F2" w:rsidRPr="186C6763">
        <w:rPr>
          <w:rFonts w:ascii="Verdana" w:eastAsia="Calibri" w:hAnsi="Verdana" w:cs="Arial"/>
          <w:color w:val="000000" w:themeColor="text1"/>
          <w:lang w:val="es-ES" w:eastAsia="es-ES"/>
        </w:rPr>
        <w:t>continuación</w:t>
      </w:r>
      <w:proofErr w:type="gramEnd"/>
      <w:r w:rsidR="007755F2" w:rsidRPr="186C6763">
        <w:rPr>
          <w:rFonts w:ascii="Verdana" w:eastAsia="Calibri" w:hAnsi="Verdana" w:cs="Arial"/>
          <w:color w:val="000000" w:themeColor="text1"/>
          <w:lang w:val="es-ES" w:eastAsia="es-ES"/>
        </w:rPr>
        <w:t xml:space="preserve"> se estudiara la procedencia o no de </w:t>
      </w:r>
      <w:r w:rsidR="006319F7" w:rsidRPr="186C6763">
        <w:rPr>
          <w:rFonts w:ascii="Verdana" w:eastAsia="Calibri" w:hAnsi="Verdana" w:cs="Arial"/>
          <w:color w:val="000000" w:themeColor="text1"/>
          <w:lang w:val="es-ES" w:eastAsia="es-ES"/>
        </w:rPr>
        <w:t>modificar la postura hermenéutica de esta Agencia frente a la</w:t>
      </w:r>
      <w:r w:rsidR="00BF0FBB" w:rsidRPr="186C6763">
        <w:rPr>
          <w:rFonts w:ascii="Verdana" w:eastAsia="Calibri" w:hAnsi="Verdana" w:cs="Arial"/>
          <w:color w:val="000000" w:themeColor="text1"/>
          <w:lang w:val="es-ES" w:eastAsia="es-ES"/>
        </w:rPr>
        <w:t xml:space="preserve">s modalidades de selección que proceden para la contratación de servicios de vigilancia. </w:t>
      </w:r>
      <w:r w:rsidR="007755F2" w:rsidRPr="186C6763">
        <w:rPr>
          <w:rFonts w:ascii="Verdana" w:eastAsia="Calibri" w:hAnsi="Verdana" w:cs="Arial"/>
          <w:color w:val="000000" w:themeColor="text1"/>
          <w:lang w:val="es-ES" w:eastAsia="es-ES"/>
        </w:rPr>
        <w:t xml:space="preserve"> </w:t>
      </w:r>
    </w:p>
    <w:p w14:paraId="0862683F" w14:textId="77777777" w:rsidR="0092434F" w:rsidRDefault="0092434F" w:rsidP="0092434F">
      <w:pPr>
        <w:spacing w:after="0" w:line="276" w:lineRule="auto"/>
        <w:jc w:val="both"/>
        <w:rPr>
          <w:rFonts w:ascii="Verdana" w:eastAsia="Calibri" w:hAnsi="Verdana" w:cs="Arial"/>
          <w:color w:val="000000"/>
          <w:szCs w:val="24"/>
          <w:lang w:val="es-ES_tradnl" w:eastAsia="es-ES_tradnl"/>
        </w:rPr>
      </w:pPr>
    </w:p>
    <w:p w14:paraId="4245E133" w14:textId="77777777" w:rsidR="0092434F" w:rsidRPr="00B46EAD" w:rsidRDefault="0092434F" w:rsidP="0092434F">
      <w:pPr>
        <w:spacing w:after="120" w:line="276" w:lineRule="auto"/>
        <w:jc w:val="both"/>
        <w:rPr>
          <w:rFonts w:ascii="Verdana" w:eastAsia="Calibri" w:hAnsi="Verdana" w:cs="Arial"/>
          <w:color w:val="000000"/>
          <w:szCs w:val="24"/>
          <w:lang w:val="es-ES_tradnl" w:eastAsia="es-ES_tradnl"/>
        </w:rPr>
      </w:pPr>
      <w:proofErr w:type="spellStart"/>
      <w:r>
        <w:rPr>
          <w:rFonts w:ascii="Verdana" w:eastAsia="Calibri" w:hAnsi="Verdana" w:cs="Arial"/>
          <w:color w:val="000000"/>
          <w:szCs w:val="24"/>
          <w:lang w:val="es-ES_tradnl" w:eastAsia="es-ES_tradnl"/>
        </w:rPr>
        <w:lastRenderedPageBreak/>
        <w:t>ii</w:t>
      </w:r>
      <w:proofErr w:type="spellEnd"/>
      <w:r>
        <w:rPr>
          <w:rFonts w:ascii="Verdana" w:eastAsia="Calibri" w:hAnsi="Verdana" w:cs="Arial"/>
          <w:color w:val="000000"/>
          <w:szCs w:val="24"/>
          <w:lang w:val="es-ES_tradnl" w:eastAsia="es-ES_tradnl"/>
        </w:rPr>
        <w:t xml:space="preserve">. </w:t>
      </w:r>
      <w:r w:rsidRPr="0086479C">
        <w:rPr>
          <w:rFonts w:ascii="Verdana" w:eastAsia="Calibri" w:hAnsi="Verdana" w:cs="Arial"/>
          <w:color w:val="000000"/>
          <w:szCs w:val="24"/>
          <w:lang w:val="es-ES_tradnl" w:eastAsia="es-ES_tradnl"/>
        </w:rPr>
        <w:t>P</w:t>
      </w:r>
      <w:r w:rsidRPr="0086479C">
        <w:rPr>
          <w:rFonts w:ascii="Verdana" w:hAnsi="Verdana" w:cs="Arial"/>
          <w:lang w:val="es-ES"/>
        </w:rPr>
        <w:t xml:space="preserve">ara las entidades sometidas al Estatuto General de Contratación de la Administración Pública, los procesos de selección se rigen por </w:t>
      </w:r>
      <w:r w:rsidRPr="0086479C">
        <w:rPr>
          <w:rFonts w:ascii="Verdana" w:hAnsi="Verdana" w:cs="Arial"/>
          <w:bCs/>
          <w:lang w:val="es-ES_tradnl"/>
        </w:rPr>
        <w:t>el artículo 2 de la Ley 1150 de 2007</w:t>
      </w:r>
      <w:r w:rsidRPr="0086479C">
        <w:rPr>
          <w:rFonts w:ascii="Verdana" w:hAnsi="Verdana" w:cs="Arial"/>
          <w:lang w:val="es-ES"/>
        </w:rPr>
        <w:t xml:space="preserve">. El </w:t>
      </w:r>
      <w:r w:rsidRPr="0086479C">
        <w:rPr>
          <w:rFonts w:ascii="Verdana" w:eastAsia="Calibri" w:hAnsi="Verdana" w:cs="Arial"/>
          <w:bCs/>
          <w:lang w:val="es-MX" w:eastAsia="es-ES_tradnl"/>
        </w:rPr>
        <w:t>numeral uno, inciso primero, de la norma citada</w:t>
      </w:r>
      <w:r w:rsidRPr="0086479C">
        <w:rPr>
          <w:rFonts w:ascii="Verdana" w:hAnsi="Verdana" w:cs="Arial"/>
          <w:bCs/>
          <w:lang w:val="es-ES_tradnl"/>
        </w:rPr>
        <w:t xml:space="preserve"> </w:t>
      </w:r>
      <w:r w:rsidRPr="0086479C">
        <w:rPr>
          <w:rFonts w:ascii="Verdana" w:eastAsia="Calibri" w:hAnsi="Verdana" w:cs="Arial"/>
          <w:bCs/>
          <w:lang w:val="es-MX" w:eastAsia="es-ES_tradnl"/>
        </w:rPr>
        <w:t xml:space="preserve">dispone que “La escogencia del contratista se efectuará por </w:t>
      </w:r>
      <w:r w:rsidRPr="0086479C">
        <w:rPr>
          <w:rFonts w:ascii="Verdana" w:eastAsia="Calibri" w:hAnsi="Verdana" w:cs="Arial"/>
          <w:bCs/>
          <w:i/>
          <w:iCs/>
          <w:lang w:val="es-MX" w:eastAsia="es-ES_tradnl"/>
        </w:rPr>
        <w:t>regla general</w:t>
      </w:r>
      <w:r w:rsidRPr="0086479C">
        <w:rPr>
          <w:rFonts w:ascii="Verdana" w:eastAsia="Calibri" w:hAnsi="Verdana" w:cs="Arial"/>
          <w:bCs/>
          <w:lang w:val="es-MX" w:eastAsia="es-ES_tradnl"/>
        </w:rPr>
        <w:t xml:space="preserve"> a través de licitación pública, con las </w:t>
      </w:r>
      <w:r w:rsidRPr="0086479C">
        <w:rPr>
          <w:rFonts w:ascii="Verdana" w:eastAsia="Calibri" w:hAnsi="Verdana" w:cs="Arial"/>
          <w:bCs/>
          <w:i/>
          <w:iCs/>
          <w:lang w:val="es-MX" w:eastAsia="es-ES_tradnl"/>
        </w:rPr>
        <w:t>excepciones</w:t>
      </w:r>
      <w:r w:rsidRPr="0086479C">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86479C">
        <w:rPr>
          <w:rStyle w:val="Refdenotaalpie"/>
          <w:rFonts w:ascii="Verdana" w:eastAsia="Calibri" w:hAnsi="Verdana" w:cs="Arial"/>
          <w:bCs/>
          <w:lang w:val="es-MX" w:eastAsia="es-ES_tradnl"/>
        </w:rPr>
        <w:footnoteReference w:id="7"/>
      </w:r>
      <w:r w:rsidRPr="0086479C">
        <w:rPr>
          <w:rFonts w:ascii="Verdana" w:eastAsia="Calibri" w:hAnsi="Verdana" w:cs="Arial"/>
          <w:bCs/>
          <w:lang w:val="es-MX" w:eastAsia="es-ES_tradnl"/>
        </w:rPr>
        <w:t xml:space="preserve">. </w:t>
      </w:r>
    </w:p>
    <w:p w14:paraId="0DDD30BB" w14:textId="77777777" w:rsidR="0092434F" w:rsidRPr="00185EE9" w:rsidRDefault="0092434F" w:rsidP="0092434F">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Salvo norma especial que ordene la celebración del negocio jurídico por otra modalidad de selección, debe aplicarse la regla general de licitación pública</w:t>
      </w:r>
      <w:r w:rsidRPr="00185EE9">
        <w:rPr>
          <w:rStyle w:val="Refdenotaalpie"/>
          <w:rFonts w:ascii="Verdana" w:eastAsia="Calibri" w:hAnsi="Verdana" w:cs="Arial"/>
          <w:bCs/>
          <w:lang w:val="es-MX" w:eastAsia="es-ES_tradnl"/>
        </w:rPr>
        <w:footnoteReference w:id="8"/>
      </w:r>
      <w:r w:rsidRPr="00185EE9">
        <w:rPr>
          <w:rFonts w:ascii="Verdana" w:eastAsia="Calibri" w:hAnsi="Verdana" w:cs="Arial"/>
          <w:bCs/>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79A3292E" w14:textId="77777777" w:rsidR="0092434F" w:rsidRPr="00185EE9" w:rsidRDefault="0092434F" w:rsidP="0092434F">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t xml:space="preserve">Respecto a la selección abreviada, </w:t>
      </w:r>
      <w:r w:rsidRPr="00185EE9">
        <w:rPr>
          <w:rFonts w:ascii="Verdana" w:eastAsia="Calibri" w:hAnsi="Verdana" w:cs="Arial"/>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w:t>
      </w:r>
      <w:r w:rsidRPr="00185EE9">
        <w:rPr>
          <w:rFonts w:ascii="Verdana" w:eastAsia="Calibri" w:hAnsi="Verdana" w:cs="Arial"/>
        </w:rPr>
        <w:lastRenderedPageBreak/>
        <w:t>servicio puedan adelantarse procesos simplificados para garantizar la eficiencia de la gestión contractual”, regulando cada una de las causales</w:t>
      </w:r>
      <w:r w:rsidRPr="00185EE9">
        <w:rPr>
          <w:rStyle w:val="Refdenotaalpie"/>
          <w:rFonts w:ascii="Verdana" w:eastAsia="Calibri" w:hAnsi="Verdana" w:cs="Arial"/>
        </w:rPr>
        <w:footnoteReference w:id="9"/>
      </w:r>
      <w:r w:rsidRPr="00185EE9">
        <w:rPr>
          <w:rFonts w:ascii="Verdana" w:eastAsia="Calibri" w:hAnsi="Verdana" w:cs="Arial"/>
        </w:rPr>
        <w:t xml:space="preserve">. </w:t>
      </w:r>
    </w:p>
    <w:p w14:paraId="036FD335" w14:textId="77777777" w:rsidR="0092434F" w:rsidRPr="00185EE9" w:rsidRDefault="0092434F" w:rsidP="0092434F">
      <w:pPr>
        <w:spacing w:after="0" w:line="276" w:lineRule="auto"/>
        <w:ind w:firstLine="708"/>
        <w:jc w:val="both"/>
        <w:rPr>
          <w:rFonts w:ascii="Verdana" w:eastAsia="Calibri" w:hAnsi="Verdana" w:cs="Arial"/>
        </w:rPr>
      </w:pPr>
      <w:r w:rsidRPr="00185EE9">
        <w:rPr>
          <w:rFonts w:ascii="Verdana" w:eastAsia="Calibri" w:hAnsi="Verdana" w:cs="Aria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740657B7" w14:textId="77777777" w:rsidR="0092434F" w:rsidRPr="00185EE9" w:rsidRDefault="0092434F" w:rsidP="0092434F">
      <w:pPr>
        <w:spacing w:after="0" w:line="276" w:lineRule="auto"/>
        <w:jc w:val="both"/>
        <w:rPr>
          <w:rFonts w:ascii="Verdana" w:eastAsia="Calibri" w:hAnsi="Verdana" w:cs="Arial"/>
        </w:rPr>
      </w:pPr>
    </w:p>
    <w:p w14:paraId="326001EA" w14:textId="77777777" w:rsidR="0092434F" w:rsidRPr="005A3914" w:rsidRDefault="0092434F" w:rsidP="005A3914">
      <w:pPr>
        <w:spacing w:after="0" w:line="240" w:lineRule="auto"/>
        <w:ind w:left="709" w:right="709"/>
        <w:jc w:val="both"/>
        <w:rPr>
          <w:rFonts w:ascii="Verdana" w:eastAsia="Calibri" w:hAnsi="Verdana" w:cs="Arial"/>
          <w:sz w:val="20"/>
          <w:szCs w:val="20"/>
        </w:rPr>
      </w:pPr>
      <w:r w:rsidRPr="005A3914">
        <w:rPr>
          <w:rFonts w:ascii="Verdana" w:eastAsia="Calibri" w:hAnsi="Verdana" w:cs="Arial"/>
          <w:sz w:val="20"/>
          <w:szCs w:val="20"/>
        </w:rPr>
        <w:lastRenderedPageBreak/>
        <w:t>“– Si bien la Licitación Pública sigue siendo la regla general, la misma pasa a reservarse para los procesos en los que la complejidad del objeto a contratar amerita la larga y cuidadosa ponderación de factores técnicos y económicos de las propuestas […].</w:t>
      </w:r>
    </w:p>
    <w:p w14:paraId="28364035" w14:textId="77777777" w:rsidR="0092434F" w:rsidRPr="005A3914" w:rsidRDefault="0092434F" w:rsidP="00806B0E">
      <w:pPr>
        <w:spacing w:after="0" w:line="240" w:lineRule="auto"/>
        <w:ind w:left="709" w:right="709"/>
        <w:jc w:val="both"/>
        <w:rPr>
          <w:rFonts w:ascii="Verdana" w:eastAsia="Calibri" w:hAnsi="Verdana" w:cs="Arial"/>
          <w:sz w:val="20"/>
          <w:szCs w:val="20"/>
        </w:rPr>
      </w:pPr>
      <w:r w:rsidRPr="005A3914">
        <w:rPr>
          <w:rFonts w:ascii="Verdana" w:eastAsia="Calibri" w:hAnsi="Verdana" w:cs="Arial"/>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w:t>
      </w:r>
      <w:r w:rsidRPr="005A3914">
        <w:rPr>
          <w:rStyle w:val="Refdenotaalpie"/>
          <w:rFonts w:ascii="Verdana" w:eastAsia="Calibri" w:hAnsi="Verdana" w:cs="Arial"/>
          <w:sz w:val="20"/>
          <w:szCs w:val="20"/>
        </w:rPr>
        <w:footnoteReference w:id="10"/>
      </w:r>
      <w:r w:rsidRPr="005A3914">
        <w:rPr>
          <w:rFonts w:ascii="Verdana" w:eastAsia="Calibri" w:hAnsi="Verdana" w:cs="Arial"/>
          <w:sz w:val="20"/>
          <w:szCs w:val="20"/>
        </w:rPr>
        <w:t>.</w:t>
      </w:r>
    </w:p>
    <w:p w14:paraId="4449EEB2" w14:textId="77777777" w:rsidR="0092434F" w:rsidRPr="00185EE9" w:rsidRDefault="0092434F" w:rsidP="0092434F">
      <w:pPr>
        <w:spacing w:after="0" w:line="276" w:lineRule="auto"/>
        <w:jc w:val="both"/>
        <w:rPr>
          <w:rFonts w:ascii="Verdana" w:eastAsia="Calibri" w:hAnsi="Verdana" w:cs="Arial"/>
        </w:rPr>
      </w:pPr>
    </w:p>
    <w:p w14:paraId="6356FA67" w14:textId="77777777" w:rsidR="0092434F" w:rsidRPr="00185EE9" w:rsidRDefault="0092434F" w:rsidP="0092434F">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11"/>
      </w:r>
      <w:r w:rsidRPr="00185EE9">
        <w:rPr>
          <w:rFonts w:ascii="Verdana" w:eastAsia="Calibri" w:hAnsi="Verdana" w:cs="Arial"/>
        </w:rPr>
        <w:t xml:space="preserve">. </w:t>
      </w:r>
    </w:p>
    <w:p w14:paraId="1AD13629" w14:textId="77777777" w:rsidR="0092434F" w:rsidRPr="00185EE9" w:rsidRDefault="0092434F" w:rsidP="0092434F">
      <w:pPr>
        <w:spacing w:after="120" w:line="276" w:lineRule="auto"/>
        <w:ind w:firstLine="709"/>
        <w:jc w:val="both"/>
        <w:rPr>
          <w:rFonts w:ascii="Verdana" w:eastAsia="Calibri" w:hAnsi="Verdana" w:cs="Arial"/>
          <w:color w:val="000000"/>
          <w:szCs w:val="24"/>
          <w:lang w:val="es-ES_tradnl" w:eastAsia="es-ES_tradnl"/>
        </w:rPr>
      </w:pPr>
      <w:r w:rsidRPr="00185EE9">
        <w:rPr>
          <w:rFonts w:ascii="Verdana" w:eastAsia="Calibri" w:hAnsi="Verdana" w:cs="Arial"/>
          <w:color w:val="000000"/>
          <w:szCs w:val="24"/>
          <w:lang w:val="es-ES_tradnl" w:eastAsia="es-ES_tradnl"/>
        </w:rPr>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85EE9">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185EE9">
        <w:rPr>
          <w:rFonts w:ascii="Verdana" w:eastAsia="Calibri" w:hAnsi="Verdana" w:cs="Arial"/>
          <w:bCs/>
          <w:i/>
          <w:iCs/>
          <w:color w:val="000000" w:themeColor="text1"/>
        </w:rPr>
        <w:t>ibidem</w:t>
      </w:r>
      <w:r w:rsidRPr="00185EE9">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85EE9">
        <w:rPr>
          <w:rStyle w:val="Refdenotaalpie"/>
          <w:rFonts w:ascii="Verdana" w:eastAsia="Calibri" w:hAnsi="Verdana" w:cs="Arial"/>
          <w:bCs/>
          <w:color w:val="000000" w:themeColor="text1"/>
        </w:rPr>
        <w:footnoteReference w:id="12"/>
      </w:r>
      <w:r w:rsidRPr="00185EE9">
        <w:rPr>
          <w:rFonts w:ascii="Verdana" w:eastAsia="Calibri" w:hAnsi="Verdana" w:cs="Arial"/>
          <w:bCs/>
          <w:color w:val="000000" w:themeColor="text1"/>
        </w:rPr>
        <w:t xml:space="preserve">. </w:t>
      </w:r>
    </w:p>
    <w:p w14:paraId="67177638" w14:textId="77777777"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lastRenderedPageBreak/>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0A1F2C72" w14:textId="77777777"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185EE9">
        <w:rPr>
          <w:rFonts w:ascii="Verdana" w:eastAsia="Calibri" w:hAnsi="Verdana" w:cs="Arial"/>
          <w:bCs/>
          <w:i/>
          <w:iCs/>
          <w:color w:val="000000" w:themeColor="text1"/>
        </w:rPr>
        <w:t>común utilización</w:t>
      </w:r>
      <w:r w:rsidRPr="00185EE9">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185EE9">
        <w:rPr>
          <w:rStyle w:val="Refdenotaalpie"/>
          <w:rFonts w:ascii="Verdana" w:eastAsia="Calibri" w:hAnsi="Verdana" w:cs="Arial"/>
          <w:bCs/>
          <w:color w:val="000000" w:themeColor="text1"/>
        </w:rPr>
        <w:footnoteReference w:id="13"/>
      </w:r>
      <w:r w:rsidRPr="00185EE9">
        <w:rPr>
          <w:rFonts w:ascii="Verdana" w:eastAsia="Calibri" w:hAnsi="Verdana" w:cs="Arial"/>
          <w:bCs/>
          <w:color w:val="000000" w:themeColor="text1"/>
        </w:rPr>
        <w:t xml:space="preserve">. Por su parte, la </w:t>
      </w:r>
      <w:r w:rsidRPr="00185EE9">
        <w:rPr>
          <w:rFonts w:ascii="Verdana" w:eastAsia="Calibri" w:hAnsi="Verdana" w:cs="Arial"/>
          <w:bCs/>
          <w:i/>
          <w:iCs/>
          <w:color w:val="000000" w:themeColor="text1"/>
        </w:rPr>
        <w:t>homogeneidad</w:t>
      </w:r>
      <w:r w:rsidRPr="00185EE9">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85EE9">
        <w:rPr>
          <w:rStyle w:val="Refdenotaalpie"/>
          <w:rFonts w:ascii="Verdana" w:eastAsia="Calibri" w:hAnsi="Verdana" w:cs="Arial"/>
          <w:bCs/>
          <w:color w:val="000000" w:themeColor="text1"/>
        </w:rPr>
        <w:footnoteReference w:id="14"/>
      </w:r>
      <w:r w:rsidRPr="00185EE9">
        <w:rPr>
          <w:rFonts w:ascii="Verdana" w:eastAsia="Calibri" w:hAnsi="Verdana" w:cs="Arial"/>
          <w:bCs/>
          <w:color w:val="000000" w:themeColor="text1"/>
        </w:rPr>
        <w:t>.</w:t>
      </w:r>
    </w:p>
    <w:p w14:paraId="68F8CCAE" w14:textId="77777777" w:rsidR="0092434F" w:rsidRPr="00185EE9" w:rsidRDefault="0092434F" w:rsidP="0092434F">
      <w:pPr>
        <w:spacing w:after="0" w:line="276" w:lineRule="auto"/>
        <w:ind w:firstLine="708"/>
        <w:jc w:val="both"/>
        <w:rPr>
          <w:rFonts w:ascii="Verdana" w:eastAsia="Calibri" w:hAnsi="Verdana" w:cs="Arial"/>
        </w:rPr>
      </w:pPr>
      <w:r w:rsidRPr="00185EE9">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w:t>
      </w:r>
      <w:r w:rsidRPr="00185EE9">
        <w:rPr>
          <w:rFonts w:ascii="Verdana" w:eastAsia="Calibri" w:hAnsi="Verdana" w:cs="Arial"/>
          <w:bCs/>
          <w:color w:val="000000" w:themeColor="text1"/>
        </w:rPr>
        <w:lastRenderedPageBreak/>
        <w:t xml:space="preserve">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Al respecto, la exposición de motivos de la Ley 1150 de 2007 explica que: </w:t>
      </w:r>
    </w:p>
    <w:p w14:paraId="2BD1230D" w14:textId="77777777" w:rsidR="0092434F" w:rsidRPr="00185EE9" w:rsidRDefault="0092434F" w:rsidP="0092434F">
      <w:pPr>
        <w:spacing w:after="0" w:line="276" w:lineRule="auto"/>
        <w:jc w:val="both"/>
        <w:rPr>
          <w:rFonts w:ascii="Verdana" w:eastAsia="Calibri" w:hAnsi="Verdana" w:cs="Arial"/>
        </w:rPr>
      </w:pPr>
    </w:p>
    <w:p w14:paraId="113A7C86" w14:textId="77777777" w:rsidR="0092434F" w:rsidRPr="005A3914" w:rsidRDefault="0092434F" w:rsidP="0092434F">
      <w:pPr>
        <w:spacing w:after="0" w:line="240" w:lineRule="auto"/>
        <w:ind w:left="709" w:right="709"/>
        <w:jc w:val="both"/>
        <w:rPr>
          <w:rFonts w:ascii="Verdana" w:eastAsia="Calibri" w:hAnsi="Verdana" w:cs="Arial"/>
          <w:sz w:val="20"/>
          <w:szCs w:val="20"/>
        </w:rPr>
      </w:pPr>
      <w:r w:rsidRPr="005A3914">
        <w:rPr>
          <w:rFonts w:ascii="Verdana" w:eastAsia="Calibri" w:hAnsi="Verdana" w:cs="Arial"/>
          <w:sz w:val="20"/>
          <w:szCs w:val="20"/>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5A3914">
        <w:rPr>
          <w:rFonts w:ascii="Verdana" w:eastAsia="Calibri" w:hAnsi="Verdana" w:cs="Arial"/>
          <w:i/>
          <w:iCs/>
          <w:sz w:val="20"/>
          <w:szCs w:val="20"/>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5A3914">
        <w:rPr>
          <w:rFonts w:ascii="Verdana" w:eastAsia="Calibri" w:hAnsi="Verdana" w:cs="Arial"/>
          <w:sz w:val="20"/>
          <w:szCs w:val="20"/>
        </w:rPr>
        <w:t xml:space="preserve"> […]”</w:t>
      </w:r>
      <w:r w:rsidRPr="005A3914">
        <w:rPr>
          <w:rStyle w:val="Refdenotaalpie"/>
          <w:rFonts w:ascii="Verdana" w:eastAsia="Calibri" w:hAnsi="Verdana" w:cs="Arial"/>
          <w:sz w:val="20"/>
          <w:szCs w:val="20"/>
        </w:rPr>
        <w:footnoteReference w:id="15"/>
      </w:r>
      <w:r w:rsidRPr="005A3914">
        <w:rPr>
          <w:rFonts w:ascii="Verdana" w:eastAsia="Calibri" w:hAnsi="Verdana" w:cs="Arial"/>
          <w:sz w:val="20"/>
          <w:szCs w:val="20"/>
        </w:rPr>
        <w:t>. (Énfasis fuera de texto)</w:t>
      </w:r>
    </w:p>
    <w:p w14:paraId="0BC7C925" w14:textId="77777777" w:rsidR="0092434F" w:rsidRPr="00185EE9" w:rsidRDefault="0092434F" w:rsidP="0092434F">
      <w:pPr>
        <w:spacing w:after="0" w:line="276" w:lineRule="auto"/>
        <w:jc w:val="both"/>
        <w:rPr>
          <w:rFonts w:ascii="Verdana" w:eastAsia="Calibri" w:hAnsi="Verdana" w:cs="Arial"/>
        </w:rPr>
      </w:pPr>
    </w:p>
    <w:p w14:paraId="0A7C4738" w14:textId="77777777" w:rsidR="0092434F" w:rsidRPr="00185EE9" w:rsidRDefault="0092434F" w:rsidP="0092434F">
      <w:pPr>
        <w:spacing w:after="120" w:line="276" w:lineRule="auto"/>
        <w:ind w:firstLine="709"/>
        <w:jc w:val="both"/>
        <w:rPr>
          <w:rFonts w:ascii="Verdana" w:eastAsia="Calibri" w:hAnsi="Verdana" w:cs="Arial"/>
        </w:rPr>
      </w:pPr>
      <w:r w:rsidRPr="00185EE9">
        <w:rPr>
          <w:rFonts w:ascii="Verdana" w:eastAsia="Calibri" w:hAnsi="Verdana" w:cs="Arial"/>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185EE9">
        <w:rPr>
          <w:rStyle w:val="Refdenotaalpie"/>
          <w:rFonts w:ascii="Verdana" w:eastAsia="Calibri" w:hAnsi="Verdana" w:cs="Arial"/>
        </w:rPr>
        <w:footnoteReference w:id="16"/>
      </w:r>
    </w:p>
    <w:p w14:paraId="5CC4DA5A" w14:textId="77777777" w:rsidR="0092434F" w:rsidRDefault="0092434F" w:rsidP="0092434F">
      <w:pPr>
        <w:spacing w:after="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sidRPr="00185EE9">
        <w:rPr>
          <w:rFonts w:ascii="Verdana" w:eastAsia="Calibri" w:hAnsi="Verdana" w:cs="Arial"/>
          <w:bCs/>
          <w:i/>
          <w:iCs/>
          <w:color w:val="000000" w:themeColor="text1"/>
        </w:rPr>
        <w:t>Para la adquisición de estos bienes y servicios las entidades deberán</w:t>
      </w:r>
      <w:r w:rsidRPr="00185EE9">
        <w:rPr>
          <w:rFonts w:ascii="Verdana" w:eastAsia="Calibri" w:hAnsi="Verdana" w:cs="Arial"/>
          <w:bCs/>
          <w:color w:val="000000" w:themeColor="text1"/>
        </w:rPr>
        <w:t xml:space="preserve">, siempre que el reglamento así lo señale, </w:t>
      </w:r>
      <w:r w:rsidRPr="00185EE9">
        <w:rPr>
          <w:rFonts w:ascii="Verdana" w:eastAsia="Calibri" w:hAnsi="Verdana" w:cs="Arial"/>
          <w:bCs/>
          <w:i/>
          <w:iCs/>
          <w:color w:val="000000" w:themeColor="text1"/>
        </w:rPr>
        <w:t xml:space="preserve">hacer </w:t>
      </w:r>
      <w:r w:rsidRPr="00185EE9">
        <w:rPr>
          <w:rFonts w:ascii="Verdana" w:eastAsia="Calibri" w:hAnsi="Verdana" w:cs="Arial"/>
          <w:bCs/>
          <w:i/>
          <w:iCs/>
          <w:color w:val="000000" w:themeColor="text1"/>
        </w:rPr>
        <w:lastRenderedPageBreak/>
        <w:t>uso</w:t>
      </w:r>
      <w:r w:rsidRPr="00185EE9">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185EE9">
        <w:rPr>
          <w:rFonts w:ascii="Verdana" w:eastAsia="Calibri" w:hAnsi="Verdana" w:cs="Arial"/>
          <w:bCs/>
          <w:i/>
          <w:iCs/>
          <w:color w:val="000000" w:themeColor="text1"/>
        </w:rPr>
        <w:t>de procedimientos de adquisición en bolsas de productos</w:t>
      </w:r>
      <w:r w:rsidRPr="00185EE9">
        <w:rPr>
          <w:rFonts w:ascii="Verdana" w:eastAsia="Calibri" w:hAnsi="Verdana" w:cs="Arial"/>
          <w:bCs/>
          <w:color w:val="000000" w:themeColor="text1"/>
        </w:rPr>
        <w:t>” (Énfasis fuera de texto). Estos mecanismos se aplicarán en la forma que disponga el Decreto 1082 de 2015 para para cada uno de ellos.</w:t>
      </w:r>
    </w:p>
    <w:p w14:paraId="06F99294" w14:textId="77777777" w:rsidR="0092434F" w:rsidRPr="00185EE9" w:rsidRDefault="0092434F" w:rsidP="0092434F">
      <w:pPr>
        <w:spacing w:after="0" w:line="276" w:lineRule="auto"/>
        <w:ind w:firstLine="709"/>
        <w:jc w:val="both"/>
        <w:rPr>
          <w:rFonts w:ascii="Verdana" w:eastAsia="Calibri" w:hAnsi="Verdana" w:cs="Arial"/>
          <w:bCs/>
          <w:color w:val="000000" w:themeColor="text1"/>
        </w:rPr>
      </w:pPr>
    </w:p>
    <w:p w14:paraId="2F78F01D" w14:textId="77777777" w:rsidR="0092434F" w:rsidRPr="00185EE9" w:rsidRDefault="0092434F" w:rsidP="0092434F">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Respecto a los servicios de vigilancia privada, nada se opone a que puedan considerarse como de características técnicas uniformes. Esto en la medida en que –de acuerdo con el artículo 2 del Decreto Ley 356 de 1994– corresponden a “[…] las actividades que en forma remunerada o en beneficio de una organización pública o privada, desarrollan las personas naturales o jurídicas, tendientes a prevenir o detener perturbaciones a la seguridad y tranquilidad individual en lo relacionado con la vida y los bienes propios o de terceros y la fabricación, instalación, comercialización y utilización de equipos para vigilancia y seguridad privada, blindajes y transportes con este mismo fin”. </w:t>
      </w:r>
    </w:p>
    <w:p w14:paraId="4DA052CA" w14:textId="77777777"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Su prestación se encuentra estandarizada desde el punto de vista normativo, pues los artículos 5 y 6 </w:t>
      </w:r>
      <w:r w:rsidRPr="00185EE9">
        <w:rPr>
          <w:rFonts w:ascii="Verdana" w:eastAsia="Calibri" w:hAnsi="Verdana" w:cs="Arial"/>
          <w:bCs/>
          <w:i/>
          <w:iCs/>
          <w:color w:val="000000" w:themeColor="text1"/>
        </w:rPr>
        <w:t>ibidem</w:t>
      </w:r>
      <w:r w:rsidRPr="00185EE9">
        <w:rPr>
          <w:rFonts w:ascii="Verdana" w:eastAsia="Calibri" w:hAnsi="Verdana" w:cs="Arial"/>
          <w:bCs/>
          <w:color w:val="000000" w:themeColor="text1"/>
        </w:rPr>
        <w:t xml:space="preserve"> autorizan la vigilancia fija, la vigilancia móvil, el servicio de escolta y el transporte de valores, y permite la utilización de armas de fuego, recursos humanos, animales, tecnológicos o materiales, vehículos e instalaciones físicas, y cualquier otro medio autorizado por la Superintendencia de Vigilancia y Seguridad Privada. Asimismo, el decreto ley fija condiciones para el servicio cuando las actividades se ejecutan con o sin armas, imponiéndoles tanto una serie de principios, deberes y obligaciones como de disposiciones comunes.</w:t>
      </w:r>
    </w:p>
    <w:p w14:paraId="1A94E973" w14:textId="05508131"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Estos servicios además se encuentran sujetos a las tarifas mínimas establecidas en la Circular Externa de la Superintendencia de Vigilancia y Seguridad Privada </w:t>
      </w:r>
      <w:r w:rsidRPr="00BA6BE6">
        <w:rPr>
          <w:rFonts w:ascii="Verdana" w:eastAsia="Calibri" w:hAnsi="Verdana" w:cs="Arial"/>
          <w:bCs/>
          <w:color w:val="000000" w:themeColor="text1"/>
        </w:rPr>
        <w:t>20241300000445</w:t>
      </w:r>
      <w:r w:rsidRPr="00185EE9">
        <w:rPr>
          <w:rFonts w:ascii="Verdana" w:eastAsia="Calibri" w:hAnsi="Verdana" w:cs="Arial"/>
          <w:bCs/>
          <w:color w:val="000000" w:themeColor="text1"/>
        </w:rPr>
        <w:t xml:space="preserve"> del 30 de diciembre de 202</w:t>
      </w:r>
      <w:r>
        <w:rPr>
          <w:rFonts w:ascii="Verdana" w:eastAsia="Calibri" w:hAnsi="Verdana" w:cs="Arial"/>
          <w:bCs/>
          <w:color w:val="000000" w:themeColor="text1"/>
        </w:rPr>
        <w:t>4</w:t>
      </w:r>
      <w:r w:rsidRPr="00185EE9">
        <w:rPr>
          <w:rFonts w:ascii="Verdana" w:eastAsia="Calibri" w:hAnsi="Verdana" w:cs="Arial"/>
          <w:bCs/>
          <w:color w:val="000000" w:themeColor="text1"/>
        </w:rPr>
        <w:t>. No obstante, este elemento normativo no hace parte de las definiciones del literal a) del numeral</w:t>
      </w:r>
      <w:r w:rsidR="00CE6D4A">
        <w:rPr>
          <w:rFonts w:ascii="Verdana" w:eastAsia="Calibri" w:hAnsi="Verdana" w:cs="Arial"/>
          <w:bCs/>
          <w:color w:val="000000" w:themeColor="text1"/>
        </w:rPr>
        <w:t xml:space="preserve"> </w:t>
      </w:r>
      <w:r w:rsidR="00CE6D4A" w:rsidRPr="00185EE9">
        <w:rPr>
          <w:rFonts w:ascii="Verdana" w:eastAsia="Calibri" w:hAnsi="Verdana" w:cs="Arial"/>
          <w:bCs/>
          <w:color w:val="000000" w:themeColor="text1"/>
        </w:rPr>
        <w:t>2</w:t>
      </w:r>
      <w:r w:rsidRPr="00185EE9">
        <w:rPr>
          <w:rFonts w:ascii="Verdana" w:eastAsia="Calibri" w:hAnsi="Verdana" w:cs="Arial"/>
          <w:bCs/>
          <w:color w:val="000000" w:themeColor="text1"/>
        </w:rPr>
        <w:t xml:space="preserve"> </w:t>
      </w:r>
      <w:r w:rsidR="00CE6D4A">
        <w:rPr>
          <w:rFonts w:ascii="Verdana" w:eastAsia="Calibri" w:hAnsi="Verdana" w:cs="Arial"/>
          <w:bCs/>
          <w:color w:val="000000" w:themeColor="text1"/>
        </w:rPr>
        <w:t xml:space="preserve">del </w:t>
      </w:r>
      <w:r w:rsidR="00CE6D4A" w:rsidRPr="00185EE9">
        <w:rPr>
          <w:rFonts w:ascii="Verdana" w:eastAsia="Calibri" w:hAnsi="Verdana" w:cs="Arial"/>
          <w:bCs/>
          <w:color w:val="000000" w:themeColor="text1"/>
        </w:rPr>
        <w:t>artículo 2</w:t>
      </w:r>
      <w:r w:rsidRPr="00185EE9">
        <w:rPr>
          <w:rFonts w:ascii="Verdana" w:eastAsia="Calibri" w:hAnsi="Verdana" w:cs="Arial"/>
          <w:bCs/>
          <w:color w:val="000000" w:themeColor="text1"/>
        </w:rPr>
        <w:t xml:space="preserve"> de la Ley 1150 de 2007</w:t>
      </w:r>
      <w:r w:rsidR="00BD763A">
        <w:rPr>
          <w:rFonts w:ascii="Verdana" w:eastAsia="Calibri" w:hAnsi="Verdana" w:cs="Arial"/>
          <w:bCs/>
          <w:color w:val="000000" w:themeColor="text1"/>
        </w:rPr>
        <w:t>,</w:t>
      </w:r>
      <w:r w:rsidRPr="00185EE9">
        <w:rPr>
          <w:rFonts w:ascii="Verdana" w:eastAsia="Calibri" w:hAnsi="Verdana" w:cs="Arial"/>
          <w:bCs/>
          <w:color w:val="000000" w:themeColor="text1"/>
        </w:rPr>
        <w:t xml:space="preserve"> ni del artículo 2.2.1.1.1.3.1 del Decreto 1082 de 2015. Es decir, mientras que su prestación comparta patrones de desempeño y calidad similares para la satisfacción de la necesidad a la que atienden, éstos son de características técnicas uniformes, con independencia de que el precio se encuentre o no regulado. </w:t>
      </w:r>
    </w:p>
    <w:p w14:paraId="5DCCA0FD" w14:textId="35B66EEE"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Sin embargo, las tarifas mínimas establecidas para este tipo de servicios representan una medida regulatoria que hace que l</w:t>
      </w:r>
      <w:r w:rsidR="0034676B">
        <w:rPr>
          <w:rFonts w:ascii="Verdana" w:eastAsia="Calibri" w:hAnsi="Verdana" w:cs="Arial"/>
          <w:bCs/>
          <w:color w:val="000000" w:themeColor="text1"/>
        </w:rPr>
        <w:t>a</w:t>
      </w:r>
      <w:r w:rsidRPr="00185EE9">
        <w:rPr>
          <w:rFonts w:ascii="Verdana" w:eastAsia="Calibri" w:hAnsi="Verdana" w:cs="Arial"/>
          <w:bCs/>
          <w:color w:val="000000" w:themeColor="text1"/>
        </w:rPr>
        <w:t xml:space="preserve">s ofertas para la prestación de este tipo de servicios tiendan al valor mínimo permitido por la regulación </w:t>
      </w:r>
      <w:r w:rsidRPr="00185EE9">
        <w:rPr>
          <w:rFonts w:ascii="Verdana" w:eastAsia="Calibri" w:hAnsi="Verdana" w:cs="Arial"/>
          <w:bCs/>
          <w:color w:val="000000" w:themeColor="text1"/>
        </w:rPr>
        <w:lastRenderedPageBreak/>
        <w:t xml:space="preserve">tarifaria, lo que dificulta que las Entidades Estatales puedan determinar la oferta más favorable con base en el menor precio, como bien podría suceder con bienes o servicios que no tienen un precio mínimo regulado, de acuerdo con lo previsto en el numeral 3 del artículo 5 de la Ley 1150 de 2007. Es por esto por lo que, la aplicación de mecanismos de subasta, catálogos derivados de acuerdos de precios y bolsa de productos, no resultan funcionales para garantizar la selección objetiva, al no permitir la aplicación de factores de evaluación distintos del precio.      </w:t>
      </w:r>
    </w:p>
    <w:p w14:paraId="0E48FD4E" w14:textId="77777777" w:rsidR="0092434F" w:rsidRDefault="0092434F" w:rsidP="0092434F">
      <w:pPr>
        <w:shd w:val="clear" w:color="auto" w:fill="FFFFFF"/>
        <w:spacing w:after="0" w:line="276" w:lineRule="auto"/>
        <w:ind w:right="51" w:firstLine="709"/>
        <w:jc w:val="both"/>
        <w:rPr>
          <w:rFonts w:ascii="Verdana" w:eastAsia="Calibri" w:hAnsi="Verdana" w:cs="Arial"/>
          <w:color w:val="000000"/>
          <w:lang w:val="es-ES_tradnl"/>
        </w:rPr>
      </w:pPr>
      <w:r w:rsidRPr="00185EE9">
        <w:rPr>
          <w:rFonts w:ascii="Verdana" w:eastAsia="Calibri" w:hAnsi="Verdana" w:cs="Arial"/>
          <w:color w:val="000000"/>
          <w:lang w:val="es-ES_tradnl"/>
        </w:rPr>
        <w:t xml:space="preserve">Sobre el particular, resulta pertinente traer a colación lo manifestado en el salvamento de voto de la sentencia de 17 de junio de 2024, expedida por la Sección Tercera del Consejo de Estado, en el marco del cual, el consejero Martín Bermúdez Muñoz, realizó las siguientes consideraciones sobre la modalidad de selección aplicable para la contratación de servicios de vigilancia y seguridad privada:  </w:t>
      </w:r>
    </w:p>
    <w:p w14:paraId="212A4253" w14:textId="77777777" w:rsidR="0092434F" w:rsidRPr="00185EE9" w:rsidRDefault="0092434F" w:rsidP="0092434F">
      <w:pPr>
        <w:shd w:val="clear" w:color="auto" w:fill="FFFFFF"/>
        <w:spacing w:after="0" w:line="276" w:lineRule="auto"/>
        <w:ind w:right="51" w:firstLine="709"/>
        <w:jc w:val="both"/>
        <w:rPr>
          <w:rFonts w:ascii="Verdana" w:eastAsia="Calibri" w:hAnsi="Verdana" w:cs="Arial"/>
          <w:color w:val="000000"/>
          <w:lang w:val="es-ES_tradnl"/>
        </w:rPr>
      </w:pPr>
      <w:r w:rsidRPr="00185EE9">
        <w:rPr>
          <w:rFonts w:ascii="Verdana" w:eastAsia="Calibri" w:hAnsi="Verdana" w:cs="Arial"/>
          <w:color w:val="000000"/>
          <w:lang w:val="es-ES_tradnl"/>
        </w:rPr>
        <w:t xml:space="preserve"> </w:t>
      </w:r>
    </w:p>
    <w:p w14:paraId="6D3F2B56" w14:textId="77777777" w:rsidR="0092434F" w:rsidRPr="00185EE9" w:rsidRDefault="0092434F" w:rsidP="0092434F">
      <w:pPr>
        <w:spacing w:after="0" w:line="240" w:lineRule="auto"/>
        <w:ind w:left="709" w:right="709"/>
        <w:jc w:val="both"/>
        <w:textAlignment w:val="baseline"/>
        <w:rPr>
          <w:rFonts w:ascii="Verdana" w:eastAsia="Arial" w:hAnsi="Verdana" w:cs="Arial"/>
          <w:sz w:val="20"/>
          <w:szCs w:val="20"/>
        </w:rPr>
      </w:pPr>
      <w:r w:rsidRPr="00185EE9">
        <w:rPr>
          <w:rFonts w:ascii="Verdana" w:eastAsia="Arial" w:hAnsi="Verdana" w:cs="Arial"/>
          <w:sz w:val="20"/>
          <w:szCs w:val="20"/>
        </w:rPr>
        <w:t>“Apartándose de la posición mayoritaria de la Sala, que estima que la consideración anterior es suficiente, el ponente consideraba importante incluir una reflexión acerca de si la subasta inversa para adjudicar un contrato de vigilancia en el que la tarifa se encuentra regulada por la ley era el método de selección apropiado y si a través del mismo podía escogerse el contratista que ofreciera el mejor servicio para la entidad, que es lo que debe perseguir cualquier proceso de selección. Adjudicar por un proceso de subasta inversa en el que resulta admisible que la puja sea de un peso ($1) a ($0.1) para celebrar un contrato en el que es evidente que este valor no tiene ningún tipo de incidencia, implica preguntarse si –en serio– este es el proceso que garantiza los propósitos de la contratación pública y evita prácticas colusorias en este tipo de contratos. El hecho de que la tarifa de un servicio esté regulada indica que la selección por subasta inversa no es apropiada porque esa regulación impide competir ofreciendo el precio más bajo; esta constatación conlleva la necesidad de estudiar oportunamente la opción de escoger un proceso de selección que permita considerar y medir objetivamente otros criterios de adjudicación en los cuales ella dependa de factores distintos que privilegien, entre otras cosas, la calidad del servicio”.</w:t>
      </w:r>
      <w:r w:rsidRPr="00185EE9">
        <w:rPr>
          <w:rStyle w:val="Refdenotaalpie"/>
          <w:rFonts w:ascii="Verdana" w:eastAsia="Arial" w:hAnsi="Verdana" w:cs="Arial"/>
          <w:sz w:val="20"/>
          <w:szCs w:val="20"/>
        </w:rPr>
        <w:footnoteReference w:id="17"/>
      </w:r>
      <w:r w:rsidRPr="00185EE9">
        <w:rPr>
          <w:rFonts w:ascii="Verdana" w:eastAsia="Arial" w:hAnsi="Verdana" w:cs="Arial"/>
          <w:sz w:val="20"/>
          <w:szCs w:val="20"/>
        </w:rPr>
        <w:t xml:space="preserve"> </w:t>
      </w:r>
    </w:p>
    <w:p w14:paraId="2B6E837F" w14:textId="77777777" w:rsidR="0092434F" w:rsidRPr="00185EE9" w:rsidRDefault="0092434F" w:rsidP="0092434F">
      <w:pPr>
        <w:spacing w:after="0" w:line="240" w:lineRule="auto"/>
        <w:ind w:left="709" w:right="709"/>
        <w:jc w:val="both"/>
        <w:textAlignment w:val="baseline"/>
        <w:rPr>
          <w:rFonts w:ascii="Verdana" w:eastAsia="Arial" w:hAnsi="Verdana" w:cs="Arial"/>
          <w:sz w:val="20"/>
          <w:szCs w:val="20"/>
        </w:rPr>
      </w:pPr>
    </w:p>
    <w:p w14:paraId="49B75F5A" w14:textId="77777777" w:rsidR="0092434F" w:rsidRPr="00185EE9" w:rsidRDefault="0092434F" w:rsidP="0092434F">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185EE9">
        <w:rPr>
          <w:rFonts w:ascii="Verdana" w:eastAsia="Calibri" w:hAnsi="Verdana" w:cs="Arial"/>
          <w:color w:val="000000" w:themeColor="text1"/>
          <w:lang w:val="es-ES"/>
        </w:rPr>
        <w:t>Las consideraciones transcritas de este salvamento de voto, si bien no constituyen un criterio jurisprudencial unificado de la Sección Tercera del Consejo de Estado que tengan un efecto directo procesos de contratación en específico, s</w:t>
      </w:r>
      <w:r>
        <w:rPr>
          <w:rFonts w:ascii="Verdana" w:eastAsia="Calibri" w:hAnsi="Verdana" w:cs="Arial"/>
          <w:color w:val="000000" w:themeColor="text1"/>
          <w:lang w:val="es-ES"/>
        </w:rPr>
        <w:t>í</w:t>
      </w:r>
      <w:r w:rsidRPr="00185EE9">
        <w:rPr>
          <w:rFonts w:ascii="Verdana" w:eastAsia="Calibri" w:hAnsi="Verdana" w:cs="Arial"/>
          <w:color w:val="000000" w:themeColor="text1"/>
          <w:lang w:val="es-ES"/>
        </w:rPr>
        <w:t xml:space="preserve"> llaman la atención sobre la necesidad de que la selección objetiva </w:t>
      </w:r>
      <w:r w:rsidRPr="00185EE9">
        <w:rPr>
          <w:rFonts w:ascii="Verdana" w:eastAsia="Calibri" w:hAnsi="Verdana" w:cs="Arial"/>
          <w:color w:val="000000" w:themeColor="text1"/>
          <w:lang w:val="es-ES"/>
        </w:rPr>
        <w:lastRenderedPageBreak/>
        <w:t xml:space="preserve">de contratistas para la prestación de servicios de vigilancia y seguridad privada se haga a través de procedimiento que permitan comparar las ofertas a partir de factores distintos del precio. </w:t>
      </w:r>
    </w:p>
    <w:p w14:paraId="1AD1CCB9" w14:textId="77777777" w:rsidR="0092434F" w:rsidRPr="00185EE9"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En atención a lo anterior, esta Subdirección estima que, la modalidad de selección más adecuada para la contratación de servicios de vigilancia y seguridad privada es la licitación pública, no s</w:t>
      </w:r>
      <w:r>
        <w:rPr>
          <w:rFonts w:ascii="Verdana" w:eastAsia="Calibri" w:hAnsi="Verdana" w:cs="Arial"/>
          <w:bCs/>
          <w:color w:val="000000" w:themeColor="text1"/>
        </w:rPr>
        <w:t>ó</w:t>
      </w:r>
      <w:r w:rsidRPr="00185EE9">
        <w:rPr>
          <w:rFonts w:ascii="Verdana" w:eastAsia="Calibri" w:hAnsi="Verdana" w:cs="Arial"/>
          <w:bCs/>
          <w:color w:val="000000" w:themeColor="text1"/>
        </w:rPr>
        <w:t>lo porque de acuerdo con el artículo 2, numeral 1 de la Ley 1150 de 2007 es la regla general para objetos no sujetos a alguna modalidad en específico, sino también por ser el procedimiento donde se cuentan con más elementos para garantizar la selección objetiva a partir de factores distintos del precio. De acuerdo con lo establecido en el numeral 2 del artículo 5 de la Ley 1150 de 2007, reglamentado en el artículo 2.2.1.1.2.2.2 del Decreto 1082 de 2015, en est</w:t>
      </w:r>
      <w:r>
        <w:rPr>
          <w:rFonts w:ascii="Verdana" w:eastAsia="Calibri" w:hAnsi="Verdana" w:cs="Arial"/>
          <w:bCs/>
          <w:color w:val="000000" w:themeColor="text1"/>
        </w:rPr>
        <w:t>a</w:t>
      </w:r>
      <w:r w:rsidRPr="00185EE9">
        <w:rPr>
          <w:rFonts w:ascii="Verdana" w:eastAsia="Calibri" w:hAnsi="Verdana" w:cs="Arial"/>
          <w:bCs/>
          <w:color w:val="000000" w:themeColor="text1"/>
        </w:rPr>
        <w:t xml:space="preserve"> modalidad de selección la oferta más favorable es que represente la mejor relación calidad-precio, la cual se debe determinar ponderando el valor de la oferta económica con factores de calidad, criterios sociales y ambientales, sin perjuicio de la aplicación de puntajes adicionales dispuestos por la normativa de contratación pública –</w:t>
      </w:r>
      <w:r w:rsidRPr="00185EE9">
        <w:rPr>
          <w:rFonts w:ascii="Verdana" w:eastAsia="Calibri" w:hAnsi="Verdana" w:cs="Arial"/>
          <w:bCs/>
          <w:i/>
          <w:iCs/>
          <w:color w:val="000000" w:themeColor="text1"/>
        </w:rPr>
        <w:t>v.g.</w:t>
      </w:r>
      <w:r w:rsidRPr="00185EE9">
        <w:rPr>
          <w:rFonts w:ascii="Verdana" w:eastAsia="Calibri" w:hAnsi="Verdana" w:cs="Arial"/>
          <w:bCs/>
          <w:color w:val="000000" w:themeColor="text1"/>
        </w:rPr>
        <w:t xml:space="preserve"> Ley 816 de 2003, Ley 1920 de 2018, Ley 2069 de 2020, etc.–. </w:t>
      </w:r>
    </w:p>
    <w:p w14:paraId="7DA7A48D" w14:textId="77777777" w:rsidR="0092434F" w:rsidRPr="00185EE9" w:rsidRDefault="0092434F" w:rsidP="0092434F">
      <w:pPr>
        <w:spacing w:after="120" w:line="276" w:lineRule="auto"/>
        <w:ind w:firstLine="709"/>
        <w:jc w:val="both"/>
        <w:rPr>
          <w:rFonts w:ascii="Verdana" w:eastAsia="Calibri" w:hAnsi="Verdana" w:cs="Arial"/>
          <w:color w:val="000000"/>
          <w:lang w:val="es-ES_tradnl"/>
        </w:rPr>
      </w:pPr>
      <w:r w:rsidRPr="00185EE9">
        <w:rPr>
          <w:rFonts w:ascii="Verdana" w:eastAsia="Calibri" w:hAnsi="Verdana" w:cs="Arial"/>
          <w:bCs/>
          <w:color w:val="000000" w:themeColor="text1"/>
        </w:rPr>
        <w:t>Esto además resulta coherente con lo dispuesto en el</w:t>
      </w:r>
      <w:r w:rsidRPr="00185EE9">
        <w:rPr>
          <w:rFonts w:ascii="Verdana" w:eastAsia="Calibri" w:hAnsi="Verdana" w:cs="Arial"/>
          <w:color w:val="000000"/>
          <w:lang w:val="es-ES_tradnl"/>
        </w:rPr>
        <w:t xml:space="preserve"> artículo 6 de la Ley 1920 de 2018, que </w:t>
      </w:r>
      <w:r w:rsidRPr="00185EE9">
        <w:rPr>
          <w:rFonts w:ascii="Verdana" w:eastAsia="Calibri" w:hAnsi="Verdana" w:cs="Arial"/>
          <w:bCs/>
          <w:color w:val="000000"/>
          <w:lang w:val="es-ES_tradnl"/>
        </w:rPr>
        <w:t xml:space="preserve">se refiere de manera expresa a la licitación pública como una modalidad de selección aplicable para contratar los servicios </w:t>
      </w:r>
      <w:r w:rsidRPr="00185EE9">
        <w:rPr>
          <w:rFonts w:ascii="Verdana" w:eastAsia="Calibri" w:hAnsi="Verdana" w:cs="Arial"/>
          <w:bCs/>
          <w:color w:val="000000" w:themeColor="text1"/>
        </w:rPr>
        <w:t>de vigilancia y seguridad privada. E</w:t>
      </w:r>
      <w:r w:rsidRPr="00185EE9">
        <w:rPr>
          <w:rFonts w:ascii="Verdana" w:eastAsia="Calibri" w:hAnsi="Verdana" w:cs="Arial"/>
          <w:color w:val="000000"/>
          <w:lang w:val="es-ES_tradnl"/>
        </w:rPr>
        <w:t>l inciso primero del artículo 6 dispone que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2360C324" w14:textId="77777777" w:rsidR="0092434F" w:rsidRPr="00185EE9" w:rsidRDefault="0092434F" w:rsidP="0092434F">
      <w:pPr>
        <w:tabs>
          <w:tab w:val="left" w:pos="426"/>
        </w:tabs>
        <w:spacing w:after="120" w:line="276" w:lineRule="auto"/>
        <w:jc w:val="both"/>
        <w:rPr>
          <w:rFonts w:ascii="Verdana" w:eastAsia="Calibri" w:hAnsi="Verdana" w:cs="Arial"/>
          <w:color w:val="000000"/>
          <w:lang w:val="es-ES"/>
        </w:rPr>
      </w:pPr>
      <w:r w:rsidRPr="00185EE9">
        <w:rPr>
          <w:rFonts w:ascii="Verdana" w:eastAsia="Calibri" w:hAnsi="Verdana" w:cs="Arial"/>
          <w:color w:val="000000"/>
          <w:sz w:val="21"/>
          <w:szCs w:val="21"/>
          <w:lang w:val="es-ES_tradnl"/>
        </w:rPr>
        <w:tab/>
      </w:r>
      <w:r w:rsidRPr="00185EE9">
        <w:rPr>
          <w:rFonts w:ascii="Verdana" w:eastAsia="Calibri" w:hAnsi="Verdana" w:cs="Arial"/>
          <w:color w:val="000000"/>
          <w:sz w:val="21"/>
          <w:szCs w:val="21"/>
          <w:lang w:val="es-ES_tradnl"/>
        </w:rPr>
        <w:tab/>
      </w:r>
      <w:r w:rsidRPr="00185EE9">
        <w:rPr>
          <w:rFonts w:ascii="Verdana" w:eastAsia="Calibri" w:hAnsi="Verdana" w:cs="Arial"/>
          <w:color w:val="000000"/>
          <w:lang w:val="es-ES_tradnl"/>
        </w:rPr>
        <w:t xml:space="preserve">Este incentivo </w:t>
      </w:r>
      <w:r w:rsidRPr="00185EE9">
        <w:rPr>
          <w:rFonts w:ascii="Verdana" w:eastAsia="Calibri" w:hAnsi="Verdana" w:cs="Arial"/>
          <w:bCs/>
          <w:color w:val="000000"/>
          <w:lang w:val="es-ES_tradnl"/>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En este sentido, la </w:t>
      </w:r>
      <w:r w:rsidRPr="00185EE9">
        <w:rPr>
          <w:rFonts w:ascii="Verdana" w:eastAsia="Calibri" w:hAnsi="Verdana" w:cs="Arial"/>
          <w:color w:val="000000"/>
          <w:lang w:val="es-ES"/>
        </w:rPr>
        <w:t xml:space="preserve">contratación pública puede utilizarse como un mecanismo para promover condiciones de trabajo equitativas, el desarrollo económico, oportunidades económicas para los sectores de la </w:t>
      </w:r>
      <w:r w:rsidRPr="00185EE9">
        <w:rPr>
          <w:rFonts w:ascii="Verdana" w:eastAsia="Calibri" w:hAnsi="Verdana" w:cs="Arial"/>
          <w:color w:val="000000"/>
          <w:lang w:val="es-ES"/>
        </w:rPr>
        <w:lastRenderedPageBreak/>
        <w:t>población o las regiones más vulnerables dentro del territorio nacional, y para promover la adquisición de acuerdo con criterios de sostenibilidad ambiental</w:t>
      </w:r>
      <w:r w:rsidRPr="00185EE9">
        <w:rPr>
          <w:rFonts w:ascii="Verdana" w:eastAsia="Calibri" w:hAnsi="Verdana" w:cs="Arial"/>
          <w:color w:val="000000"/>
          <w:vertAlign w:val="superscript"/>
          <w:lang w:val="es-ES"/>
        </w:rPr>
        <w:footnoteReference w:id="18"/>
      </w:r>
      <w:r w:rsidRPr="00185EE9">
        <w:rPr>
          <w:rFonts w:ascii="Verdana" w:eastAsia="Calibri" w:hAnsi="Verdana" w:cs="Arial"/>
          <w:color w:val="000000"/>
          <w:lang w:val="es-ES"/>
        </w:rPr>
        <w:t>.</w:t>
      </w:r>
    </w:p>
    <w:p w14:paraId="522AF09A" w14:textId="77777777" w:rsidR="0092434F" w:rsidRPr="00185EE9" w:rsidRDefault="0092434F" w:rsidP="0092434F">
      <w:pPr>
        <w:tabs>
          <w:tab w:val="left" w:pos="426"/>
        </w:tabs>
        <w:spacing w:after="120" w:line="276" w:lineRule="auto"/>
        <w:jc w:val="both"/>
        <w:rPr>
          <w:rFonts w:ascii="Verdana" w:eastAsia="Calibri" w:hAnsi="Verdana" w:cs="Arial"/>
          <w:color w:val="000000"/>
          <w:lang w:val="es-ES"/>
        </w:rPr>
      </w:pPr>
      <w:r w:rsidRPr="00185EE9">
        <w:rPr>
          <w:rFonts w:ascii="Verdana" w:eastAsia="Calibri" w:hAnsi="Verdana" w:cs="Arial"/>
          <w:bCs/>
          <w:color w:val="000000"/>
          <w:lang w:val="es-ES_tradnl"/>
        </w:rPr>
        <w:tab/>
      </w:r>
      <w:r w:rsidRPr="00185EE9">
        <w:rPr>
          <w:rFonts w:ascii="Verdana" w:eastAsia="Calibri" w:hAnsi="Verdana" w:cs="Arial"/>
          <w:bCs/>
          <w:color w:val="000000"/>
          <w:lang w:val="es-ES_tradnl"/>
        </w:rPr>
        <w:tab/>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Aunque el decreto fue suspendido provisionalmente mediante el Auto del 27 de septiembre de 2023 por la Subsección C de la Sección Tercera del Consejo de Estado, posibilitaba que las entidades estatales sometidas al Estatuto General de Contratación de la Administración Pública establecieran puntajes adicionales en los procesos de licitación pública que se iniciaran para la contratación de los servicios que prestan las empresas y cooperativas de vigilancia y seguridad privada, cuando éstos proveedores acreditaran que dentro de su personal operativo contaban con mujeres, personas con discapacidad y personas mayores de 45 años vinculadas con todas las garantías que establece la ley.</w:t>
      </w:r>
    </w:p>
    <w:p w14:paraId="545D2A72" w14:textId="77777777" w:rsidR="0092434F" w:rsidRPr="00185EE9" w:rsidRDefault="0092434F" w:rsidP="0092434F">
      <w:pPr>
        <w:shd w:val="clear" w:color="auto" w:fill="FFFFFF" w:themeFill="background1"/>
        <w:spacing w:after="120" w:line="276" w:lineRule="auto"/>
        <w:ind w:right="51" w:firstLine="709"/>
        <w:jc w:val="both"/>
        <w:rPr>
          <w:rFonts w:ascii="Verdana" w:eastAsia="Calibri" w:hAnsi="Verdana" w:cs="Arial"/>
          <w:color w:val="000000"/>
          <w:lang w:val="es-ES"/>
        </w:rPr>
      </w:pPr>
      <w:r w:rsidRPr="2832C13D">
        <w:rPr>
          <w:rFonts w:ascii="Verdana" w:eastAsia="Calibri" w:hAnsi="Verdana" w:cs="Arial"/>
          <w:color w:val="000000"/>
          <w:lang w:val="es-ES"/>
        </w:rPr>
        <w:t>Pese a que 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r w:rsidRPr="2832C13D">
        <w:rPr>
          <w:rFonts w:ascii="Verdana" w:eastAsia="Calibri" w:hAnsi="Verdana" w:cs="Arial"/>
          <w:color w:val="000000"/>
          <w:vertAlign w:val="superscript"/>
          <w:lang w:val="es-ES"/>
        </w:rPr>
        <w:footnoteReference w:id="19"/>
      </w:r>
      <w:r w:rsidRPr="2832C13D">
        <w:rPr>
          <w:rFonts w:ascii="Verdana" w:eastAsia="Calibri" w:hAnsi="Verdana" w:cs="Arial"/>
          <w:color w:val="000000"/>
          <w:lang w:val="es-ES"/>
        </w:rPr>
        <w:t xml:space="preserve">.  </w:t>
      </w:r>
    </w:p>
    <w:p w14:paraId="153243D7" w14:textId="77777777" w:rsidR="0092434F" w:rsidRPr="00185EE9" w:rsidRDefault="0092434F" w:rsidP="0092434F">
      <w:pPr>
        <w:shd w:val="clear" w:color="auto" w:fill="FFFFFF"/>
        <w:spacing w:after="120" w:line="276" w:lineRule="auto"/>
        <w:ind w:right="51" w:firstLine="709"/>
        <w:jc w:val="both"/>
        <w:rPr>
          <w:rFonts w:ascii="Verdana" w:eastAsia="Calibri" w:hAnsi="Verdana" w:cs="Arial"/>
          <w:color w:val="000000"/>
          <w:lang w:val="es-ES_tradnl"/>
        </w:rPr>
      </w:pPr>
      <w:r w:rsidRPr="00185EE9">
        <w:rPr>
          <w:rFonts w:ascii="Verdana" w:eastAsia="Calibri" w:hAnsi="Verdana" w:cs="Arial"/>
          <w:color w:val="000000"/>
          <w:lang w:val="es-ES_tradnl"/>
        </w:rPr>
        <w:t xml:space="preserve">Aunque el </w:t>
      </w:r>
      <w:r w:rsidRPr="00185EE9">
        <w:rPr>
          <w:rFonts w:ascii="Verdana" w:eastAsia="Calibri" w:hAnsi="Verdana" w:cs="Arial"/>
          <w:bCs/>
          <w:color w:val="000000"/>
          <w:lang w:val="es-ES_tradnl"/>
        </w:rPr>
        <w:t>Decreto 1279 de 2021 es actualmente inaplicable en virtud de la medida cautelar, de</w:t>
      </w:r>
      <w:r w:rsidRPr="00185EE9">
        <w:rPr>
          <w:rFonts w:ascii="Verdana" w:eastAsia="Calibri" w:hAnsi="Verdana" w:cs="Arial"/>
          <w:color w:val="000000"/>
          <w:lang w:val="es-ES_tradnl"/>
        </w:rPr>
        <w:t>l artículo 6 de la Ley 1920 de 2018</w:t>
      </w:r>
      <w:r w:rsidRPr="00185EE9">
        <w:rPr>
          <w:rFonts w:ascii="Verdana" w:eastAsia="Calibri" w:hAnsi="Verdana" w:cs="Arial"/>
          <w:bCs/>
          <w:color w:val="000000"/>
          <w:lang w:val="es-ES_tradnl"/>
        </w:rPr>
        <w:t xml:space="preserve"> se infiere que la licitación pública –al igual que la causal de selección abreviada del literal a) del artículo 2.2 de la Ley 1150 de 2007– también es un proceso de selección adecuado para contratar los servicios </w:t>
      </w:r>
      <w:r w:rsidRPr="00185EE9">
        <w:rPr>
          <w:rFonts w:ascii="Verdana" w:eastAsia="Calibri" w:hAnsi="Verdana" w:cs="Arial"/>
          <w:bCs/>
          <w:color w:val="000000" w:themeColor="text1"/>
        </w:rPr>
        <w:t xml:space="preserve">servicios de vigilancia privada. En este caso, los puntajes previstos en los artículos 2.2.1.2.4.2.10, 2.2.1.2.4.2.11, </w:t>
      </w:r>
      <w:r w:rsidRPr="00185EE9">
        <w:rPr>
          <w:rFonts w:ascii="Verdana" w:eastAsia="Calibri" w:hAnsi="Verdana" w:cs="Arial"/>
          <w:bCs/>
          <w:color w:val="000000" w:themeColor="text1"/>
        </w:rPr>
        <w:lastRenderedPageBreak/>
        <w:t>2.2.1.2.4.2.12 y 2.2.1.2.4.2.13 del Decreto 1082 de 2015, eventualmente, regirán nuevamente cuando el Consejo de Estado levante la suspensión provisional.</w:t>
      </w:r>
      <w:r w:rsidRPr="00185EE9">
        <w:rPr>
          <w:rFonts w:ascii="Verdana" w:eastAsia="Calibri" w:hAnsi="Verdana" w:cs="Arial"/>
          <w:bCs/>
          <w:color w:val="000000"/>
          <w:lang w:val="es-ES_tradnl"/>
        </w:rPr>
        <w:t xml:space="preserve"> </w:t>
      </w:r>
      <w:r w:rsidRPr="00185EE9">
        <w:rPr>
          <w:rFonts w:ascii="Verdana" w:eastAsia="Calibri" w:hAnsi="Verdana" w:cs="Arial"/>
          <w:color w:val="000000"/>
          <w:lang w:val="es-ES_tradnl"/>
        </w:rPr>
        <w:t xml:space="preserve"> </w:t>
      </w:r>
    </w:p>
    <w:p w14:paraId="44613C36" w14:textId="77777777" w:rsidR="0092434F" w:rsidRDefault="0092434F" w:rsidP="0092434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w:t>
      </w:r>
    </w:p>
    <w:p w14:paraId="614FCACB" w14:textId="77777777" w:rsidR="0092434F" w:rsidRDefault="0092434F" w:rsidP="0092434F">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Aunque </w:t>
      </w:r>
      <w:r>
        <w:rPr>
          <w:rFonts w:ascii="Verdana" w:eastAsia="Century Gothic" w:hAnsi="Verdana" w:cs="Century Gothic"/>
        </w:rPr>
        <w:t xml:space="preserve">el numeral 2 del artículo </w:t>
      </w:r>
      <w:r w:rsidRPr="00B828F6">
        <w:rPr>
          <w:rFonts w:ascii="Verdana" w:eastAsia="Century Gothic" w:hAnsi="Verdana" w:cs="Century Gothic"/>
        </w:rPr>
        <w:t>2.2.1.2.1.2.1</w:t>
      </w:r>
      <w:r>
        <w:rPr>
          <w:rFonts w:ascii="Verdana" w:eastAsia="Century Gothic" w:hAnsi="Verdana" w:cs="Century Gothic"/>
        </w:rPr>
        <w:t xml:space="preserve"> del Decreto 1082 de 2015 dispone que los pliegos de condiciones </w:t>
      </w:r>
      <w:r w:rsidRPr="008E3F3E">
        <w:rPr>
          <w:rFonts w:ascii="Verdana" w:eastAsia="Century Gothic" w:hAnsi="Verdana" w:cs="Century Gothic"/>
        </w:rPr>
        <w:t>para contratar bienes y servicios de características técnicas uniformes, la entidad estatal debe indicar</w:t>
      </w:r>
      <w:r>
        <w:rPr>
          <w:rFonts w:ascii="Verdana" w:eastAsia="Century Gothic" w:hAnsi="Verdana" w:cs="Century Gothic"/>
        </w:rPr>
        <w:t xml:space="preserve"> “</w:t>
      </w:r>
      <w:r w:rsidRPr="008E3F3E">
        <w:rPr>
          <w:rFonts w:ascii="Verdana" w:eastAsia="Century Gothic" w:hAnsi="Verdana" w:cs="Century Gothic"/>
        </w:rPr>
        <w:t>Si el precio del bien o servicio es regulado, la variable sobre la cual se hace la evaluación de las ofertas</w:t>
      </w:r>
      <w:r>
        <w:rPr>
          <w:rFonts w:ascii="Verdana" w:eastAsia="Century Gothic" w:hAnsi="Verdana" w:cs="Century Gothic"/>
        </w:rPr>
        <w:t>”, el contenido de esta norma no cambia la conclusión del párrafo precedente</w:t>
      </w:r>
      <w:r w:rsidRPr="008E3F3E">
        <w:rPr>
          <w:rFonts w:ascii="Verdana" w:eastAsia="Century Gothic" w:hAnsi="Verdana" w:cs="Century Gothic"/>
        </w:rPr>
        <w:t>.</w:t>
      </w:r>
      <w:r>
        <w:rPr>
          <w:rFonts w:ascii="Verdana" w:eastAsia="Century Gothic" w:hAnsi="Verdana" w:cs="Century Gothic"/>
        </w:rPr>
        <w:t xml:space="preserve"> Para estos efectos, no puede perderse de vista que –conforme al artículo 5.3 de la Ley 1150 de 2007– “[…] </w:t>
      </w:r>
      <w:r w:rsidRPr="00120EB3">
        <w:rPr>
          <w:rFonts w:ascii="Verdana" w:eastAsia="Century Gothic" w:hAnsi="Verdana" w:cs="Century Gothic"/>
        </w:rPr>
        <w:t>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Pr>
          <w:rFonts w:ascii="Verdana" w:eastAsia="Century Gothic" w:hAnsi="Verdana" w:cs="Century Gothic"/>
        </w:rPr>
        <w:t>”; razón por la cual, no hay lugar a la ponderación de elementos adicionales en la subasta inversa, los acuerdos marco de precios o las bolsas de productos. Como en la licitación pública o en la selección abreviada de menor cuantía los demás elementos diferentes al precio son ponderables, la Agencia reitera la tesis del Concepto C-231 del 1˚ de abril de 2025.</w:t>
      </w:r>
    </w:p>
    <w:p w14:paraId="4D23AC28" w14:textId="77777777" w:rsidR="0092434F" w:rsidRDefault="0092434F" w:rsidP="0092434F">
      <w:pPr>
        <w:spacing w:after="0" w:line="276" w:lineRule="auto"/>
        <w:jc w:val="both"/>
        <w:rPr>
          <w:rFonts w:ascii="Verdana" w:eastAsia="Calibri" w:hAnsi="Verdana" w:cs="Arial"/>
          <w:bCs/>
          <w:color w:val="000000" w:themeColor="text1"/>
        </w:rPr>
      </w:pPr>
    </w:p>
    <w:p w14:paraId="6C904F46" w14:textId="77777777" w:rsidR="0092434F" w:rsidRDefault="0092434F" w:rsidP="0092434F">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E853DE">
        <w:rPr>
          <w:rFonts w:ascii="Verdana" w:eastAsia="Calibri" w:hAnsi="Verdana" w:cs="Arial"/>
          <w:bCs/>
          <w:color w:val="000000" w:themeColor="text1"/>
        </w:rPr>
        <w:lastRenderedPageBreak/>
        <w:t>correspondiente y, en caso de conflicto, a las autoridades judiciales, fiscales y disciplinarias.</w:t>
      </w:r>
    </w:p>
    <w:p w14:paraId="773E1AFA" w14:textId="77777777" w:rsidR="0092434F" w:rsidRPr="00185EE9" w:rsidRDefault="0092434F" w:rsidP="0092434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49DCDE7" w14:textId="77777777" w:rsidR="0092434F" w:rsidRPr="00724A38" w:rsidRDefault="0092434F" w:rsidP="00724A38">
      <w:pPr>
        <w:tabs>
          <w:tab w:val="left" w:pos="709"/>
        </w:tabs>
        <w:spacing w:after="0" w:line="276" w:lineRule="auto"/>
        <w:jc w:val="both"/>
        <w:rPr>
          <w:rFonts w:ascii="Verdana" w:eastAsia="Calibri" w:hAnsi="Verdana" w:cs="Arial"/>
          <w:color w:val="000000" w:themeColor="text1"/>
        </w:rPr>
      </w:pPr>
    </w:p>
    <w:p w14:paraId="54F0CBBE" w14:textId="77777777" w:rsidR="0092434F" w:rsidRPr="00724A38" w:rsidRDefault="0092434F" w:rsidP="00724A3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4A38">
        <w:rPr>
          <w:rFonts w:ascii="Verdana" w:eastAsia="Century Gothic" w:hAnsi="Verdana" w:cs="Century Gothic"/>
          <w:b/>
          <w:bCs/>
        </w:rPr>
        <w:t>Referencias normativas:</w:t>
      </w:r>
    </w:p>
    <w:p w14:paraId="34C51409" w14:textId="77777777" w:rsidR="0092434F" w:rsidRPr="00724A38" w:rsidRDefault="0092434F" w:rsidP="00724A3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2434F" w:rsidRPr="00724A38" w14:paraId="46C01B4F" w14:textId="77777777" w:rsidTr="00441EAC">
        <w:trPr>
          <w:trHeight w:val="870"/>
          <w:jc w:val="center"/>
        </w:trPr>
        <w:tc>
          <w:tcPr>
            <w:tcW w:w="8647" w:type="dxa"/>
          </w:tcPr>
          <w:p w14:paraId="079E7936" w14:textId="77777777" w:rsidR="0092434F" w:rsidRPr="00724A38" w:rsidRDefault="0092434F" w:rsidP="00724A3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Decreto Ley 354 de 1994, artículos 2, 5 y 6.</w:t>
            </w:r>
          </w:p>
          <w:p w14:paraId="659CBB38" w14:textId="77777777" w:rsidR="0092434F" w:rsidRPr="00724A38" w:rsidRDefault="0092434F" w:rsidP="00724A3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 xml:space="preserve">Ley 1150 de 2007, artículos 2 y 5. </w:t>
            </w:r>
          </w:p>
          <w:p w14:paraId="48C752CC" w14:textId="77777777" w:rsidR="0092434F" w:rsidRPr="00724A38" w:rsidRDefault="0092434F" w:rsidP="00724A3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Ley 1920 de 2018, artículo 6.</w:t>
            </w:r>
          </w:p>
          <w:p w14:paraId="21C034D4" w14:textId="77777777" w:rsidR="0092434F" w:rsidRPr="00724A38" w:rsidRDefault="0092434F" w:rsidP="00724A3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 xml:space="preserve">Decreto 1082 de 2015, artículos 2.2.2.1.1.1.3.1, </w:t>
            </w:r>
            <w:r w:rsidRPr="00724A38">
              <w:rPr>
                <w:rFonts w:ascii="Verdana" w:eastAsia="Calibri" w:hAnsi="Verdana" w:cs="Arial"/>
                <w:bCs/>
                <w:color w:val="000000" w:themeColor="text1"/>
              </w:rPr>
              <w:t>2.2.1.1.2.2.2</w:t>
            </w:r>
            <w:r w:rsidRPr="00724A38">
              <w:rPr>
                <w:rFonts w:ascii="Verdana" w:hAnsi="Verdana" w:cs="Arial"/>
              </w:rPr>
              <w:t xml:space="preserve"> </w:t>
            </w:r>
            <w:r w:rsidRPr="00724A38">
              <w:rPr>
                <w:rFonts w:ascii="Verdana" w:eastAsia="Calibri" w:hAnsi="Verdana" w:cs="Arial"/>
                <w:bCs/>
                <w:color w:val="000000" w:themeColor="text1"/>
              </w:rPr>
              <w:t>2.2.1.2.4.2.10, 2.2.1.2.4.2.11, 2.2.1.2.4.2.12 y 2.2.1.2.4.2.13.</w:t>
            </w:r>
          </w:p>
          <w:p w14:paraId="65B75EE3" w14:textId="77777777" w:rsidR="0092434F" w:rsidRPr="00724A38" w:rsidRDefault="0092434F" w:rsidP="00724A38">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724A38">
              <w:rPr>
                <w:rFonts w:ascii="Verdana" w:hAnsi="Verdana" w:cs="Arial"/>
              </w:rPr>
              <w:t>Código Civil, artículos 28 y 29.</w:t>
            </w:r>
          </w:p>
        </w:tc>
      </w:tr>
    </w:tbl>
    <w:p w14:paraId="52E46E4E" w14:textId="77777777" w:rsidR="0092434F" w:rsidRPr="00724A38" w:rsidRDefault="0092434F" w:rsidP="00724A38">
      <w:pPr>
        <w:widowControl w:val="0"/>
        <w:autoSpaceDE w:val="0"/>
        <w:autoSpaceDN w:val="0"/>
        <w:spacing w:after="0" w:line="276" w:lineRule="auto"/>
        <w:jc w:val="both"/>
        <w:rPr>
          <w:rFonts w:ascii="Verdana" w:hAnsi="Verdana" w:cs="Arial"/>
        </w:rPr>
      </w:pPr>
    </w:p>
    <w:p w14:paraId="2068808D" w14:textId="77777777" w:rsidR="0092434F" w:rsidRPr="00724A38" w:rsidRDefault="0092434F" w:rsidP="00724A3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24A38">
        <w:rPr>
          <w:rFonts w:ascii="Verdana" w:eastAsia="Century Gothic" w:hAnsi="Verdana" w:cs="Century Gothic"/>
          <w:b/>
          <w:bCs/>
        </w:rPr>
        <w:t>Doctrina de la Agencia Nacional de Contratación Pública:</w:t>
      </w:r>
    </w:p>
    <w:p w14:paraId="64186F5F" w14:textId="77777777" w:rsidR="0092434F" w:rsidRPr="00724A38" w:rsidRDefault="0092434F" w:rsidP="00724A38">
      <w:pPr>
        <w:widowControl w:val="0"/>
        <w:autoSpaceDE w:val="0"/>
        <w:autoSpaceDN w:val="0"/>
        <w:spacing w:after="0" w:line="276" w:lineRule="auto"/>
        <w:jc w:val="both"/>
        <w:rPr>
          <w:rFonts w:ascii="Verdana" w:hAnsi="Verdana" w:cs="Arial"/>
        </w:rPr>
      </w:pPr>
    </w:p>
    <w:p w14:paraId="18757AA9" w14:textId="77777777" w:rsidR="0092434F" w:rsidRPr="00724A38" w:rsidRDefault="0092434F" w:rsidP="00724A38">
      <w:pPr>
        <w:widowControl w:val="0"/>
        <w:autoSpaceDE w:val="0"/>
        <w:autoSpaceDN w:val="0"/>
        <w:spacing w:after="0" w:line="276" w:lineRule="auto"/>
        <w:jc w:val="both"/>
        <w:rPr>
          <w:rStyle w:val="normaltextrun"/>
          <w:rFonts w:ascii="Verdana" w:hAnsi="Verdana" w:cs="Arial"/>
          <w:shd w:val="clear" w:color="auto" w:fill="FFFFFF"/>
        </w:rPr>
      </w:pPr>
      <w:r w:rsidRPr="00724A38">
        <w:rPr>
          <w:rFonts w:ascii="Verdana" w:hAnsi="Verdana" w:cs="Arial"/>
          <w:shd w:val="clear" w:color="auto" w:fill="FFFFFF"/>
        </w:rPr>
        <w:t>Esta Subdirección se ha pronunciado sobre la definición de los bienes y servicios de características técnicas uniformes en los Conceptos C-678 del 24 de noviembre de 2020, C-024 del 24 de febrero de 2021, C-123 del 5 de abril de 2021, C-565 del 12 de septiembre de 2022, C-669 del 18 de octubre de 2022, C-850 del 16 de diciembre de 2022, C-905 del 28 de diciembre de 2022, C-456 del 27 de octubre de 2023, C-597 del 8 de noviembre de 2024, C-749 del 12 de noviembre de 2024 y C-787 del 19 de noviembre de 2024</w:t>
      </w:r>
      <w:r w:rsidRPr="00724A38">
        <w:rPr>
          <w:rFonts w:ascii="Verdana" w:hAnsi="Verdana"/>
        </w:rPr>
        <w:t>.</w:t>
      </w:r>
      <w:r w:rsidRPr="00724A38">
        <w:rPr>
          <w:rFonts w:ascii="Verdana" w:hAnsi="Verdana" w:cs="Arial"/>
          <w:shd w:val="clear" w:color="auto" w:fill="FFFFFF"/>
        </w:rPr>
        <w:t xml:space="preserve"> Estos y otros </w:t>
      </w:r>
      <w:r w:rsidRPr="00724A38">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724A38">
          <w:rPr>
            <w:rStyle w:val="Hipervnculo"/>
            <w:rFonts w:ascii="Verdana" w:hAnsi="Verdana" w:cs="Arial"/>
            <w:shd w:val="clear" w:color="auto" w:fill="FFFFFF"/>
          </w:rPr>
          <w:t>https://relatoria.colombiacompra.gov.co/busqueda/conceptos</w:t>
        </w:r>
      </w:hyperlink>
      <w:r w:rsidRPr="00724A38">
        <w:rPr>
          <w:rStyle w:val="normaltextrun"/>
          <w:rFonts w:ascii="Verdana" w:hAnsi="Verdana" w:cs="Arial"/>
          <w:shd w:val="clear" w:color="auto" w:fill="FFFFFF"/>
        </w:rPr>
        <w:t xml:space="preserve">. </w:t>
      </w:r>
      <w:r w:rsidRPr="00724A38">
        <w:rPr>
          <w:rStyle w:val="normaltextrun"/>
          <w:rFonts w:ascii="Verdana" w:hAnsi="Verdana" w:cs="Arial"/>
          <w:color w:val="FF0000"/>
          <w:shd w:val="clear" w:color="auto" w:fill="FFFFFF"/>
          <w:lang w:val="es-ES"/>
        </w:rPr>
        <w:t xml:space="preserve"> </w:t>
      </w:r>
    </w:p>
    <w:p w14:paraId="6DEF757E" w14:textId="77777777" w:rsidR="0092434F" w:rsidRPr="00724A38" w:rsidRDefault="0092434F" w:rsidP="00724A38">
      <w:pPr>
        <w:widowControl w:val="0"/>
        <w:autoSpaceDE w:val="0"/>
        <w:autoSpaceDN w:val="0"/>
        <w:spacing w:after="0" w:line="276" w:lineRule="auto"/>
        <w:jc w:val="both"/>
        <w:rPr>
          <w:rFonts w:ascii="Verdana" w:hAnsi="Verdana" w:cs="Arial"/>
          <w:color w:val="000000" w:themeColor="text1"/>
          <w:shd w:val="clear" w:color="auto" w:fill="FFFFFF"/>
        </w:rPr>
      </w:pPr>
    </w:p>
    <w:p w14:paraId="167B4349" w14:textId="77777777" w:rsidR="0092434F" w:rsidRPr="00724A38" w:rsidRDefault="0092434F" w:rsidP="00724A38">
      <w:pPr>
        <w:shd w:val="clear" w:color="auto" w:fill="FFFFFF"/>
        <w:spacing w:after="0" w:line="276" w:lineRule="auto"/>
        <w:jc w:val="both"/>
        <w:rPr>
          <w:rFonts w:ascii="Verdana" w:hAnsi="Verdana"/>
          <w:color w:val="467886"/>
          <w:u w:val="single"/>
        </w:rPr>
      </w:pPr>
      <w:r w:rsidRPr="00724A38">
        <w:rPr>
          <w:rFonts w:ascii="Verdana" w:hAnsi="Verdana"/>
          <w:color w:val="000000"/>
        </w:rPr>
        <w:lastRenderedPageBreak/>
        <w:t>Te informamos que ya se encuentra disponible la </w:t>
      </w:r>
      <w:r w:rsidRPr="00724A38">
        <w:rPr>
          <w:rFonts w:ascii="Verdana" w:hAnsi="Verdana"/>
          <w:b/>
          <w:bCs/>
          <w:color w:val="000000"/>
        </w:rPr>
        <w:t>Guía de lineamientos de transparencia y selección objetiva para el departamento de La Guajira – Objetivo sexto constitucional de la Sentencia T-302 del 2017. </w:t>
      </w:r>
      <w:r w:rsidRPr="00724A38">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24A38">
        <w:rPr>
          <w:rFonts w:ascii="Verdana" w:hAnsi="Verdana"/>
          <w:color w:val="000000"/>
        </w:rPr>
        <w:t>Wayúu</w:t>
      </w:r>
      <w:proofErr w:type="spellEnd"/>
      <w:r w:rsidRPr="00724A38">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724A38">
          <w:rPr>
            <w:rStyle w:val="Hipervnculo"/>
            <w:rFonts w:ascii="Verdana" w:hAnsi="Verdana"/>
          </w:rPr>
          <w:t>Guía de lineamientos de transparencia y selección objetiva para el departamento de La Guajira – Objetivo sexto constitucional de la Sentencia T-302 del 2017</w:t>
        </w:r>
      </w:hyperlink>
      <w:r w:rsidRPr="00724A38">
        <w:rPr>
          <w:rFonts w:ascii="Verdana" w:hAnsi="Verdana"/>
          <w:color w:val="000000"/>
          <w:u w:val="single"/>
        </w:rPr>
        <w:t>.</w:t>
      </w:r>
    </w:p>
    <w:p w14:paraId="11D0F933" w14:textId="77777777" w:rsidR="0092434F" w:rsidRPr="00724A38" w:rsidRDefault="0092434F" w:rsidP="00724A38">
      <w:pPr>
        <w:widowControl w:val="0"/>
        <w:autoSpaceDE w:val="0"/>
        <w:autoSpaceDN w:val="0"/>
        <w:spacing w:after="0" w:line="276" w:lineRule="auto"/>
        <w:jc w:val="both"/>
        <w:rPr>
          <w:rFonts w:ascii="Verdana" w:hAnsi="Verdana" w:cs="Arial"/>
          <w:color w:val="FF0000"/>
          <w:shd w:val="clear" w:color="auto" w:fill="FFFFFF"/>
          <w:lang w:val="es-ES_tradnl"/>
        </w:rPr>
      </w:pPr>
      <w:r w:rsidRPr="00724A38">
        <w:rPr>
          <w:rFonts w:ascii="Verdana" w:hAnsi="Verdana" w:cs="Arial"/>
          <w:color w:val="000000" w:themeColor="text1"/>
          <w:shd w:val="clear" w:color="auto" w:fill="FFFFFF"/>
          <w:lang w:val="es-ES_tradnl"/>
        </w:rPr>
        <w:t xml:space="preserve"> </w:t>
      </w:r>
      <w:r w:rsidRPr="00724A38">
        <w:rPr>
          <w:rStyle w:val="normaltextrun"/>
          <w:rFonts w:ascii="Verdana" w:hAnsi="Verdana" w:cs="Arial"/>
          <w:color w:val="FF0000"/>
          <w:shd w:val="clear" w:color="auto" w:fill="FFFFFF"/>
          <w:lang w:val="es-ES_tradnl"/>
        </w:rPr>
        <w:t xml:space="preserve">        </w:t>
      </w:r>
    </w:p>
    <w:p w14:paraId="18F4DD6A" w14:textId="77777777" w:rsidR="0092434F" w:rsidRPr="00724A38" w:rsidRDefault="0092434F" w:rsidP="00724A38">
      <w:pPr>
        <w:widowControl w:val="0"/>
        <w:autoSpaceDE w:val="0"/>
        <w:autoSpaceDN w:val="0"/>
        <w:spacing w:after="0" w:line="276" w:lineRule="auto"/>
        <w:jc w:val="both"/>
        <w:rPr>
          <w:rFonts w:ascii="Verdana" w:hAnsi="Verdana" w:cs="Arial"/>
          <w:lang w:val="es-ES_tradnl"/>
        </w:rPr>
      </w:pPr>
      <w:r w:rsidRPr="00724A38">
        <w:rPr>
          <w:rFonts w:ascii="Verdana" w:hAnsi="Verdana" w:cs="Arial"/>
        </w:rPr>
        <w:t xml:space="preserve">Este concepto tiene el alcance previsto en el artículo 28 del Código de Procedimiento Administrativo y de lo Contencioso Administrativo </w:t>
      </w:r>
      <w:r w:rsidRPr="00724A38">
        <w:rPr>
          <w:rFonts w:ascii="Verdana" w:hAnsi="Verdana" w:cs="Arial"/>
          <w:lang w:val="es-ES_tradnl"/>
        </w:rPr>
        <w:t>y las expresiones aquí utilizadas con mayúscula inicial deben ser entendidas con el significado que les otorga el artículo 2.2.1.1.1.3.1. del Decreto 1082 de 2015.</w:t>
      </w:r>
    </w:p>
    <w:p w14:paraId="04DEF4B7" w14:textId="77777777" w:rsidR="0092434F" w:rsidRPr="00724A38" w:rsidRDefault="0092434F" w:rsidP="00724A38">
      <w:pPr>
        <w:widowControl w:val="0"/>
        <w:autoSpaceDE w:val="0"/>
        <w:autoSpaceDN w:val="0"/>
        <w:spacing w:after="0" w:line="276" w:lineRule="auto"/>
        <w:jc w:val="both"/>
        <w:rPr>
          <w:rFonts w:ascii="Verdana" w:hAnsi="Verdana" w:cs="Arial"/>
        </w:rPr>
      </w:pPr>
    </w:p>
    <w:p w14:paraId="785ED5B6" w14:textId="77777777" w:rsidR="0092434F" w:rsidRPr="00724A38" w:rsidRDefault="0092434F" w:rsidP="005A3914">
      <w:pPr>
        <w:spacing w:after="0" w:line="276" w:lineRule="auto"/>
        <w:rPr>
          <w:rFonts w:ascii="Verdana" w:hAnsi="Verdana" w:cs="Arial"/>
          <w:lang w:eastAsia="es-CO"/>
        </w:rPr>
      </w:pPr>
      <w:r w:rsidRPr="00724A38">
        <w:rPr>
          <w:rFonts w:ascii="Verdana" w:eastAsia="Times New Roman" w:hAnsi="Verdana" w:cs="Arial"/>
          <w:lang w:eastAsia="es-CO"/>
        </w:rPr>
        <w:t>Atentamente,</w:t>
      </w:r>
      <w:r w:rsidRPr="00724A38">
        <w:rPr>
          <w:rFonts w:ascii="Verdana" w:hAnsi="Verdana" w:cs="Arial"/>
          <w:lang w:eastAsia="es-CO"/>
        </w:rPr>
        <w:t xml:space="preserve"> </w:t>
      </w:r>
    </w:p>
    <w:p w14:paraId="6939A106" w14:textId="47AB49E3" w:rsidR="0092434F" w:rsidRPr="00593A5F" w:rsidRDefault="000E32CE" w:rsidP="0092434F">
      <w:pPr>
        <w:spacing w:line="276" w:lineRule="auto"/>
        <w:jc w:val="center"/>
        <w:rPr>
          <w:rFonts w:ascii="Verdana" w:hAnsi="Verdana" w:cs="Arial"/>
          <w:color w:val="000000"/>
          <w:lang w:val="es-ES_tradnl" w:eastAsia="es-CO"/>
        </w:rPr>
      </w:pPr>
      <w:r>
        <w:rPr>
          <w:noProof/>
        </w:rPr>
        <w:drawing>
          <wp:inline distT="0" distB="0" distL="0" distR="0" wp14:anchorId="113E6C39" wp14:editId="22CA899F">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2434F" w:rsidRPr="00593A5F" w14:paraId="547D8BD9" w14:textId="77777777" w:rsidTr="6E76510E">
        <w:trPr>
          <w:trHeight w:val="315"/>
        </w:trPr>
        <w:tc>
          <w:tcPr>
            <w:tcW w:w="893" w:type="dxa"/>
            <w:vAlign w:val="center"/>
            <w:hideMark/>
          </w:tcPr>
          <w:p w14:paraId="62E35166" w14:textId="77777777" w:rsidR="0092434F" w:rsidRPr="003751C7" w:rsidRDefault="0092434F" w:rsidP="00441EAC">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B69750" w14:textId="77777777" w:rsidR="0092434F" w:rsidRPr="00254A7A" w:rsidRDefault="0092434F" w:rsidP="00441EAC">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8D7A910" w14:textId="77777777" w:rsidR="0092434F" w:rsidRPr="00254A7A" w:rsidRDefault="0092434F" w:rsidP="00441EAC">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2434F" w:rsidRPr="00593A5F" w14:paraId="269074FA" w14:textId="77777777" w:rsidTr="6E76510E">
        <w:trPr>
          <w:trHeight w:val="330"/>
        </w:trPr>
        <w:tc>
          <w:tcPr>
            <w:tcW w:w="893" w:type="dxa"/>
            <w:vAlign w:val="center"/>
            <w:hideMark/>
          </w:tcPr>
          <w:p w14:paraId="6F6AF725" w14:textId="77777777" w:rsidR="0092434F" w:rsidRPr="003751C7" w:rsidRDefault="0092434F" w:rsidP="00441EAC">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98352F" w14:textId="77777777" w:rsidR="0092434F" w:rsidRPr="004A73EC" w:rsidRDefault="0092434F" w:rsidP="00441EAC">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Diana Lucia Saavedra Castañeda</w:t>
            </w:r>
          </w:p>
          <w:p w14:paraId="6B3D37BE" w14:textId="77777777" w:rsidR="0092434F" w:rsidRPr="00254A7A" w:rsidRDefault="0092434F" w:rsidP="00441EAC">
            <w:pPr>
              <w:pStyle w:val="paragraph"/>
              <w:spacing w:before="0" w:beforeAutospacing="0" w:after="0" w:afterAutospacing="0"/>
              <w:contextualSpacing/>
              <w:textAlignment w:val="baseline"/>
              <w:rPr>
                <w:rFonts w:ascii="Verdana" w:hAnsi="Verdana" w:cs="Segoe UI"/>
                <w:sz w:val="16"/>
                <w:szCs w:val="16"/>
              </w:rPr>
            </w:pPr>
            <w:r w:rsidRPr="002306E5">
              <w:rPr>
                <w:rStyle w:val="normaltextrun"/>
                <w:rFonts w:ascii="Verdana" w:hAnsi="Verdana" w:cs="Arial"/>
                <w:sz w:val="16"/>
                <w:szCs w:val="16"/>
                <w:lang w:val="es-ES_tradnl"/>
              </w:rPr>
              <w:t>Contratista de la Subdirección de Gestión Contractual</w:t>
            </w:r>
          </w:p>
        </w:tc>
      </w:tr>
      <w:tr w:rsidR="0092434F" w:rsidRPr="00593A5F" w14:paraId="14DB4205" w14:textId="77777777" w:rsidTr="6E76510E">
        <w:trPr>
          <w:trHeight w:val="300"/>
        </w:trPr>
        <w:tc>
          <w:tcPr>
            <w:tcW w:w="893" w:type="dxa"/>
            <w:vAlign w:val="center"/>
          </w:tcPr>
          <w:p w14:paraId="0EE46587" w14:textId="77777777" w:rsidR="0092434F" w:rsidRPr="003751C7" w:rsidRDefault="0092434F" w:rsidP="00441EAC">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B17A330" w14:textId="77777777" w:rsidR="0092434F" w:rsidRPr="00731523" w:rsidRDefault="0092434F" w:rsidP="6E76510E">
            <w:pPr>
              <w:contextualSpacing/>
              <w:rPr>
                <w:rFonts w:ascii="Verdana" w:eastAsia="Calibri" w:hAnsi="Verdana" w:cs="Arial"/>
                <w:sz w:val="16"/>
                <w:szCs w:val="16"/>
                <w:lang w:val="es-ES" w:eastAsia="es-ES"/>
              </w:rPr>
            </w:pPr>
            <w:r w:rsidRPr="6E76510E">
              <w:rPr>
                <w:rFonts w:ascii="Verdana" w:eastAsia="Calibri" w:hAnsi="Verdana" w:cs="Arial"/>
                <w:sz w:val="16"/>
                <w:szCs w:val="16"/>
                <w:lang w:val="es-ES" w:eastAsia="es-ES"/>
              </w:rPr>
              <w:t xml:space="preserve">Carolina Quintero </w:t>
            </w:r>
            <w:proofErr w:type="spellStart"/>
            <w:r w:rsidRPr="6E76510E">
              <w:rPr>
                <w:rFonts w:ascii="Verdana" w:eastAsia="Calibri" w:hAnsi="Verdana" w:cs="Arial"/>
                <w:sz w:val="16"/>
                <w:szCs w:val="16"/>
                <w:lang w:val="es-ES" w:eastAsia="es-ES"/>
              </w:rPr>
              <w:t>Gacharná</w:t>
            </w:r>
            <w:proofErr w:type="spellEnd"/>
          </w:p>
          <w:p w14:paraId="04DC5CA8" w14:textId="77777777" w:rsidR="0092434F" w:rsidRPr="003751C7" w:rsidRDefault="0092434F" w:rsidP="00441EAC">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3A807B01" w14:textId="77777777" w:rsidR="0092434F" w:rsidRPr="00543BFE" w:rsidRDefault="0092434F" w:rsidP="0092434F"/>
    <w:p w14:paraId="3900974D" w14:textId="77777777" w:rsidR="003D5B0D" w:rsidRPr="008676DE" w:rsidRDefault="003D5B0D" w:rsidP="008676DE"/>
    <w:sectPr w:rsidR="003D5B0D" w:rsidRPr="008676D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EFF0" w14:textId="77777777" w:rsidR="00B32FF3" w:rsidRDefault="00B32FF3" w:rsidP="004A1847">
      <w:pPr>
        <w:spacing w:after="0" w:line="240" w:lineRule="auto"/>
      </w:pPr>
      <w:r>
        <w:separator/>
      </w:r>
    </w:p>
  </w:endnote>
  <w:endnote w:type="continuationSeparator" w:id="0">
    <w:p w14:paraId="5CA9D06B" w14:textId="77777777" w:rsidR="00B32FF3" w:rsidRDefault="00B32FF3" w:rsidP="004A1847">
      <w:pPr>
        <w:spacing w:after="0" w:line="240" w:lineRule="auto"/>
      </w:pPr>
      <w:r>
        <w:continuationSeparator/>
      </w:r>
    </w:p>
  </w:endnote>
  <w:endnote w:type="continuationNotice" w:id="1">
    <w:p w14:paraId="11DF3636" w14:textId="77777777" w:rsidR="00B32FF3" w:rsidRDefault="00B32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389C" w14:textId="77777777" w:rsidR="00B32FF3" w:rsidRDefault="00B32FF3" w:rsidP="004A1847">
      <w:pPr>
        <w:spacing w:after="0" w:line="240" w:lineRule="auto"/>
      </w:pPr>
      <w:r>
        <w:separator/>
      </w:r>
    </w:p>
  </w:footnote>
  <w:footnote w:type="continuationSeparator" w:id="0">
    <w:p w14:paraId="65241DDA" w14:textId="77777777" w:rsidR="00B32FF3" w:rsidRDefault="00B32FF3" w:rsidP="004A1847">
      <w:pPr>
        <w:spacing w:after="0" w:line="240" w:lineRule="auto"/>
      </w:pPr>
      <w:r>
        <w:continuationSeparator/>
      </w:r>
    </w:p>
  </w:footnote>
  <w:footnote w:type="continuationNotice" w:id="1">
    <w:p w14:paraId="726F7D0F" w14:textId="77777777" w:rsidR="00B32FF3" w:rsidRDefault="00B32FF3">
      <w:pPr>
        <w:spacing w:after="0" w:line="240" w:lineRule="auto"/>
      </w:pPr>
    </w:p>
  </w:footnote>
  <w:footnote w:id="2">
    <w:p w14:paraId="44704B2C" w14:textId="77777777" w:rsidR="0092434F" w:rsidRPr="00856F20" w:rsidRDefault="0092434F" w:rsidP="0092434F">
      <w:pPr>
        <w:pStyle w:val="Textonotapie"/>
        <w:ind w:firstLine="709"/>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Procuraduría General de la Nación. Concepto del 15 de octubre de 2014. Procuraduría Delegada para Asuntos Disciplinarios. Radicado PAD C-114-2014.</w:t>
      </w:r>
    </w:p>
  </w:footnote>
  <w:footnote w:id="3">
    <w:p w14:paraId="2300AA88" w14:textId="77777777" w:rsidR="0092434F" w:rsidRPr="00856F20" w:rsidRDefault="0092434F" w:rsidP="0092434F">
      <w:pPr>
        <w:pStyle w:val="Textonotapie"/>
        <w:ind w:firstLine="708"/>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Contraloría General de la República. Oficina Jurídica. Concepto 80112-OJ-008 2017.</w:t>
      </w:r>
    </w:p>
  </w:footnote>
  <w:footnote w:id="4">
    <w:p w14:paraId="6B9AEB2F"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5">
    <w:p w14:paraId="313D6ABA" w14:textId="77777777" w:rsidR="0092434F" w:rsidRPr="00856F20" w:rsidRDefault="0092434F" w:rsidP="0092434F">
      <w:pPr>
        <w:pStyle w:val="Textonotapie"/>
        <w:ind w:firstLine="709"/>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w:t>
      </w:r>
      <w:r w:rsidRPr="00856F20">
        <w:rPr>
          <w:rFonts w:ascii="Verdana" w:hAnsi="Verdana" w:cs="Arial"/>
          <w:sz w:val="16"/>
          <w:szCs w:val="16"/>
        </w:rPr>
        <w:t xml:space="preserve">hipervínculo: </w:t>
      </w:r>
      <w:r>
        <w:fldChar w:fldCharType="begin"/>
      </w:r>
      <w:r>
        <w:instrText>HYPERLINK "about:blank"</w:instrText>
      </w:r>
      <w:r>
        <w:fldChar w:fldCharType="separate"/>
      </w:r>
      <w:r w:rsidRPr="00856F20">
        <w:rPr>
          <w:rStyle w:val="Hipervnculo"/>
          <w:rFonts w:ascii="Verdana" w:hAnsi="Verdana" w:cs="Arial"/>
          <w:sz w:val="16"/>
          <w:szCs w:val="16"/>
        </w:rPr>
        <w:t>https://issuu.com/estudiolegalhernandez/docs/ahb._funci__n_consultiva_y_consejo_</w:t>
      </w:r>
      <w:r>
        <w:fldChar w:fldCharType="end"/>
      </w:r>
      <w:r w:rsidRPr="00856F20">
        <w:rPr>
          <w:rFonts w:ascii="Verdana" w:hAnsi="Verdana" w:cs="Arial"/>
          <w:sz w:val="16"/>
          <w:szCs w:val="16"/>
        </w:rPr>
        <w:t>.</w:t>
      </w:r>
    </w:p>
  </w:footnote>
  <w:footnote w:id="6">
    <w:p w14:paraId="1C3436C4"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w:t>
      </w:r>
      <w:r w:rsidRPr="00856F20">
        <w:rPr>
          <w:rFonts w:ascii="Verdana" w:hAnsi="Verdana" w:cs="Arial"/>
          <w:sz w:val="16"/>
          <w:szCs w:val="16"/>
        </w:rPr>
        <w:t>Consejo de Estado. Sala de Consulta y Servicio Civil. Concepto del 5 de octubre de 2009. Expediente 11001-03-06-000-2009-00049-00(1966). C.P. William Zambrano Cetina.</w:t>
      </w:r>
    </w:p>
  </w:footnote>
  <w:footnote w:id="7">
    <w:p w14:paraId="1A25C4D6"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w:t>
      </w:r>
      <w:r w:rsidRPr="00856F20">
        <w:rPr>
          <w:rFonts w:ascii="Verdana" w:hAnsi="Verdana" w:cs="Arial"/>
          <w:sz w:val="16"/>
          <w:szCs w:val="16"/>
        </w:rPr>
        <w:t>El inciso primero de norma disponía que, conforme al principio de transparencia, “</w:t>
      </w:r>
      <w:r w:rsidRPr="00856F20">
        <w:rPr>
          <w:rFonts w:ascii="Verdana" w:hAnsi="Verdana" w:cs="Arial"/>
          <w:i/>
          <w:iCs/>
          <w:sz w:val="16"/>
          <w:szCs w:val="16"/>
        </w:rPr>
        <w:t>La escogencia del contratista se efectuará siempre a través de licitación o concurso públicos</w:t>
      </w:r>
      <w:r w:rsidRPr="00856F20">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8">
    <w:p w14:paraId="35FD1218"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w:t>
      </w:r>
      <w:r w:rsidRPr="00856F20">
        <w:rPr>
          <w:rFonts w:ascii="Verdana" w:hAnsi="Verdana" w:cs="Arial"/>
          <w:sz w:val="16"/>
          <w:szCs w:val="16"/>
        </w:rPr>
        <w:t>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856F20">
        <w:rPr>
          <w:rFonts w:ascii="Verdana" w:hAnsi="Verdana" w:cs="Arial"/>
          <w:i/>
          <w:iCs/>
          <w:sz w:val="16"/>
          <w:szCs w:val="16"/>
        </w:rPr>
        <w:t>Presentación de la oferta de manera dinámica</w:t>
      </w:r>
      <w:r w:rsidRPr="00856F20">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9">
    <w:p w14:paraId="48AC0014"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Fonts w:ascii="Verdana" w:hAnsi="Verdana" w:cs="Arial"/>
          <w:sz w:val="16"/>
          <w:szCs w:val="16"/>
        </w:rPr>
        <w:t xml:space="preserve">El numeral 2 del artículo 2 de la Ley 1150 de 2007 prescribe: </w:t>
      </w:r>
      <w:r w:rsidRPr="00856F20">
        <w:rPr>
          <w:rFonts w:ascii="Verdana" w:hAnsi="Verdana"/>
          <w:sz w:val="16"/>
          <w:szCs w:val="16"/>
        </w:rPr>
        <w:t xml:space="preserve">“[…] </w:t>
      </w:r>
      <w:r w:rsidRPr="00856F20">
        <w:rPr>
          <w:rFonts w:ascii="Verdana" w:hAnsi="Verdana" w:cs="Arial"/>
          <w:sz w:val="16"/>
          <w:szCs w:val="16"/>
        </w:rPr>
        <w:t>Serán causales de selección abreviada las siguientes:</w:t>
      </w:r>
    </w:p>
    <w:p w14:paraId="098BE58C"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6F1DD03"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7B89BED"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204292CA"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w:t>
      </w:r>
    </w:p>
    <w:p w14:paraId="350611FF"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44ED2978"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95CC585"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e) La enajenación de bienes del Estado, con excepción de aquellos a que se refiere la Ley 226 de 1995.</w:t>
      </w:r>
    </w:p>
    <w:p w14:paraId="571272DB"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 xml:space="preserve">[…]; </w:t>
      </w:r>
    </w:p>
    <w:p w14:paraId="79CD18D7"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 xml:space="preserve">f) Productos de origen o destinación agropecuarios que se ofrezcan en las bolsas de productos legalmente constituidas; </w:t>
      </w:r>
    </w:p>
    <w:p w14:paraId="4C3EF5C7"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2667AEEF"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72AEBFEB"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i) La contratación de bienes y servicios que se requieran para la defensa y seguridad nacional.</w:t>
      </w:r>
    </w:p>
    <w:p w14:paraId="350583F2" w14:textId="77777777" w:rsidR="0092434F" w:rsidRPr="00856F20" w:rsidRDefault="0092434F" w:rsidP="0092434F">
      <w:pPr>
        <w:pStyle w:val="Textonotapie"/>
        <w:ind w:firstLine="708"/>
        <w:jc w:val="both"/>
        <w:rPr>
          <w:rFonts w:ascii="Verdana" w:hAnsi="Verdana" w:cs="Arial"/>
          <w:sz w:val="16"/>
          <w:szCs w:val="16"/>
        </w:rPr>
      </w:pPr>
      <w:r w:rsidRPr="00856F20">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10">
    <w:p w14:paraId="2FA3B235"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Fonts w:ascii="Verdana" w:hAnsi="Verdana" w:cs="Arial"/>
          <w:sz w:val="16"/>
          <w:szCs w:val="16"/>
        </w:rPr>
        <w:t xml:space="preserve">CONGRESO DE LA REPÚBLICA. Exposición de motivos de la Ley 1150 de 2007. Gaceta del Congreso No. 458 del 1º de agosto de 2005. p. 8. </w:t>
      </w:r>
    </w:p>
  </w:footnote>
  <w:footnote w:id="11">
    <w:p w14:paraId="35F8662F"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Fonts w:ascii="Verdana" w:hAnsi="Verdana" w:cs="Arial"/>
          <w:sz w:val="16"/>
          <w:szCs w:val="16"/>
        </w:rPr>
        <w:t xml:space="preserve">CONSEJO DE ESTADO. Sección Tercera. Subsección A. Sentencia del 23 de julio de 2015. Exp. 36.805. C. P. Hernán Andrade Rincón. </w:t>
      </w:r>
    </w:p>
  </w:footnote>
  <w:footnote w:id="12">
    <w:p w14:paraId="1574E521" w14:textId="77777777" w:rsidR="0092434F" w:rsidRPr="00856F20" w:rsidRDefault="0092434F" w:rsidP="0092434F">
      <w:pPr>
        <w:pStyle w:val="Textonotapie"/>
        <w:ind w:firstLine="708"/>
        <w:jc w:val="both"/>
        <w:rPr>
          <w:rFonts w:ascii="Verdana" w:hAnsi="Verdana"/>
          <w:sz w:val="16"/>
          <w:szCs w:val="16"/>
          <w:lang w:val="es-CO"/>
        </w:rPr>
      </w:pPr>
      <w:r w:rsidRPr="00856F20">
        <w:rPr>
          <w:rStyle w:val="Refdenotaalpie"/>
          <w:rFonts w:ascii="Verdana" w:hAnsi="Verdana"/>
          <w:sz w:val="16"/>
          <w:szCs w:val="16"/>
        </w:rPr>
        <w:footnoteRef/>
      </w:r>
      <w:r w:rsidRPr="00856F20">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856F20">
        <w:rPr>
          <w:rFonts w:ascii="Verdana" w:hAnsi="Verdana"/>
          <w:i/>
          <w:iCs/>
          <w:sz w:val="16"/>
          <w:szCs w:val="16"/>
        </w:rPr>
        <w:t>las palabras de la ley se entenderán en su sentido natural y obvio, según el uso general de las mismas palabras</w:t>
      </w:r>
      <w:r w:rsidRPr="00856F20">
        <w:rPr>
          <w:rFonts w:ascii="Verdana" w:hAnsi="Verdana"/>
          <w:sz w:val="16"/>
          <w:szCs w:val="16"/>
        </w:rPr>
        <w:t>’, es decir, el uso de la gente educada. El Diccionario de la Lengua publicado por la Real Academia Española goza a este respecto de gran autoridad. ‘</w:t>
      </w:r>
      <w:r w:rsidRPr="00856F20">
        <w:rPr>
          <w:rFonts w:ascii="Verdana" w:hAnsi="Verdana"/>
          <w:i/>
          <w:iCs/>
          <w:sz w:val="16"/>
          <w:szCs w:val="16"/>
        </w:rPr>
        <w:t>Pero cuando el legislador</w:t>
      </w:r>
      <w:r w:rsidRPr="00856F20">
        <w:rPr>
          <w:rFonts w:ascii="Verdana" w:hAnsi="Verdana"/>
          <w:sz w:val="16"/>
          <w:szCs w:val="16"/>
        </w:rPr>
        <w:t xml:space="preserve">, agrega el artículo 20, </w:t>
      </w:r>
      <w:r w:rsidRPr="00856F20">
        <w:rPr>
          <w:rFonts w:ascii="Verdana" w:hAnsi="Verdana"/>
          <w:i/>
          <w:iCs/>
          <w:sz w:val="16"/>
          <w:szCs w:val="16"/>
        </w:rPr>
        <w:t>las haya definido expresamente para ciertas materias se les dará en éstas su significado legal</w:t>
      </w:r>
      <w:r w:rsidRPr="00856F20">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13">
    <w:p w14:paraId="4086E47A" w14:textId="77777777" w:rsidR="0092434F" w:rsidRPr="00856F20" w:rsidRDefault="0092434F" w:rsidP="0092434F">
      <w:pPr>
        <w:pStyle w:val="Textonotapie"/>
        <w:ind w:firstLine="708"/>
        <w:jc w:val="both"/>
        <w:rPr>
          <w:rFonts w:ascii="Verdana" w:hAnsi="Verdana"/>
          <w:sz w:val="16"/>
          <w:szCs w:val="16"/>
        </w:rPr>
      </w:pPr>
      <w:r w:rsidRPr="00856F20">
        <w:rPr>
          <w:rStyle w:val="Refdenotaalpie"/>
          <w:rFonts w:ascii="Verdana" w:hAnsi="Verdana"/>
          <w:sz w:val="16"/>
          <w:szCs w:val="16"/>
        </w:rPr>
        <w:footnoteRef/>
      </w:r>
      <w:r w:rsidRPr="00856F20">
        <w:rPr>
          <w:rFonts w:ascii="Verdana" w:hAnsi="Verdana"/>
          <w:sz w:val="16"/>
          <w:szCs w:val="16"/>
        </w:rPr>
        <w:t xml:space="preserve"> SUÁREZ BELTRÁN, Gonzalo. Estudios de derecho contractual público. Colombia: Bogotá, 2014. p. 72.</w:t>
      </w:r>
    </w:p>
  </w:footnote>
  <w:footnote w:id="14">
    <w:p w14:paraId="11F7ECB9" w14:textId="77777777" w:rsidR="0092434F" w:rsidRPr="00856F20" w:rsidRDefault="0092434F" w:rsidP="0092434F">
      <w:pPr>
        <w:pStyle w:val="Textonotapie"/>
        <w:ind w:firstLine="708"/>
        <w:jc w:val="both"/>
        <w:rPr>
          <w:rFonts w:ascii="Verdana" w:hAnsi="Verdana"/>
          <w:sz w:val="16"/>
          <w:szCs w:val="16"/>
          <w:lang w:val="es-CO"/>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Fonts w:ascii="Verdana" w:hAnsi="Verdana"/>
          <w:i/>
          <w:iCs/>
          <w:sz w:val="16"/>
          <w:szCs w:val="16"/>
        </w:rPr>
        <w:t>Ibidem</w:t>
      </w:r>
      <w:r w:rsidRPr="00856F20">
        <w:rPr>
          <w:rFonts w:ascii="Verdana" w:hAnsi="Verdana"/>
          <w:sz w:val="16"/>
          <w:szCs w:val="16"/>
        </w:rPr>
        <w:t>.</w:t>
      </w:r>
    </w:p>
  </w:footnote>
  <w:footnote w:id="15">
    <w:p w14:paraId="6F4124DC"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Fonts w:ascii="Verdana" w:hAnsi="Verdana" w:cs="Arial"/>
          <w:sz w:val="16"/>
          <w:szCs w:val="16"/>
        </w:rPr>
        <w:t xml:space="preserve">CONGRESO DE LA REPÚBLICA. Exposición de motivos de la Ley 1150 de 2007. Gaceta del Congreso No. 458 del 1º de agosto de 2005. p. 8. </w:t>
      </w:r>
    </w:p>
  </w:footnote>
  <w:footnote w:id="16">
    <w:p w14:paraId="312FF9D8" w14:textId="77777777" w:rsidR="0092434F" w:rsidRPr="00856F20" w:rsidRDefault="0092434F" w:rsidP="0092434F">
      <w:pPr>
        <w:pStyle w:val="Textonotapie"/>
        <w:ind w:firstLine="708"/>
        <w:jc w:val="both"/>
        <w:rPr>
          <w:rFonts w:ascii="Verdana" w:hAnsi="Verdana"/>
          <w:sz w:val="16"/>
          <w:szCs w:val="16"/>
          <w:lang w:val="es-CO"/>
        </w:rPr>
      </w:pPr>
      <w:r w:rsidRPr="00856F20">
        <w:rPr>
          <w:rStyle w:val="Refdenotaalpie"/>
          <w:rFonts w:ascii="Verdana" w:hAnsi="Verdana"/>
          <w:sz w:val="16"/>
          <w:szCs w:val="16"/>
        </w:rPr>
        <w:footnoteRef/>
      </w:r>
      <w:r w:rsidRPr="00856F20">
        <w:rPr>
          <w:rFonts w:ascii="Verdana" w:hAnsi="Verdana"/>
          <w:sz w:val="16"/>
          <w:szCs w:val="16"/>
        </w:rPr>
        <w:t xml:space="preserve"> DÁVILA VINUEZA, Luis Guillermo. Régimen jurídico de la contratación estatal. </w:t>
      </w:r>
      <w:r w:rsidRPr="00856F20">
        <w:rPr>
          <w:rFonts w:ascii="Verdana" w:hAnsi="Verdana" w:cs="Arial"/>
          <w:sz w:val="16"/>
          <w:szCs w:val="16"/>
          <w:lang w:val="es-CO"/>
        </w:rPr>
        <w:t>Tercera Edición</w:t>
      </w:r>
      <w:r w:rsidRPr="00856F20">
        <w:rPr>
          <w:rFonts w:ascii="Verdana" w:hAnsi="Verdana"/>
          <w:sz w:val="16"/>
          <w:szCs w:val="16"/>
          <w:lang w:val="es-CO"/>
        </w:rPr>
        <w:t>. Bogotá: Legis, 2016. pp. 466-467.</w:t>
      </w:r>
    </w:p>
  </w:footnote>
  <w:footnote w:id="17">
    <w:p w14:paraId="189098EE" w14:textId="77777777" w:rsidR="0092434F" w:rsidRPr="00856F20" w:rsidRDefault="0092434F" w:rsidP="0092434F">
      <w:pPr>
        <w:pStyle w:val="Textonotapie"/>
        <w:ind w:firstLine="705"/>
        <w:rPr>
          <w:rFonts w:ascii="Verdana" w:hAnsi="Verdana"/>
          <w:sz w:val="16"/>
          <w:szCs w:val="16"/>
        </w:rPr>
      </w:pPr>
      <w:r w:rsidRPr="00856F20">
        <w:rPr>
          <w:rStyle w:val="Refdenotaalpie"/>
          <w:rFonts w:ascii="Verdana" w:hAnsi="Verdana"/>
          <w:sz w:val="16"/>
          <w:szCs w:val="16"/>
        </w:rPr>
        <w:footnoteRef/>
      </w:r>
      <w:r w:rsidRPr="00856F20">
        <w:rPr>
          <w:rFonts w:ascii="Verdana" w:hAnsi="Verdana"/>
          <w:sz w:val="16"/>
          <w:szCs w:val="16"/>
        </w:rPr>
        <w:t xml:space="preserve"> </w:t>
      </w:r>
      <w:r w:rsidRPr="00856F20">
        <w:rPr>
          <w:rStyle w:val="normaltextrun"/>
          <w:rFonts w:ascii="Verdana" w:hAnsi="Verdana" w:cs="Arial"/>
          <w:color w:val="000000"/>
          <w:sz w:val="16"/>
          <w:szCs w:val="16"/>
          <w:shd w:val="clear" w:color="auto" w:fill="FFFFFF"/>
        </w:rPr>
        <w:t xml:space="preserve">CONSEJO DE ESTADO. Sección Tercera. Subsección C. Sentencia del 17 de junio de 2024. Rad. 69575. C.P. </w:t>
      </w:r>
      <w:r w:rsidRPr="00856F20">
        <w:rPr>
          <w:rFonts w:ascii="Verdana" w:hAnsi="Verdana" w:cs="Arial"/>
          <w:color w:val="000000"/>
          <w:sz w:val="16"/>
          <w:szCs w:val="16"/>
          <w:shd w:val="clear" w:color="auto" w:fill="FFFFFF"/>
          <w:lang w:val="es-CO"/>
        </w:rPr>
        <w:t>Martín Bermúdez Muñoz</w:t>
      </w:r>
      <w:r w:rsidRPr="00856F20">
        <w:rPr>
          <w:rStyle w:val="normaltextrun"/>
          <w:rFonts w:ascii="Verdana" w:hAnsi="Verdana" w:cs="Arial"/>
          <w:color w:val="000000"/>
          <w:sz w:val="16"/>
          <w:szCs w:val="16"/>
          <w:shd w:val="clear" w:color="auto" w:fill="FFFFFF"/>
        </w:rPr>
        <w:t xml:space="preserve">. Nota al pie No. 7. </w:t>
      </w:r>
      <w:r w:rsidRPr="00856F20">
        <w:rPr>
          <w:rStyle w:val="eop"/>
          <w:rFonts w:ascii="Verdana" w:hAnsi="Verdana" w:cs="Arial"/>
          <w:color w:val="000000"/>
          <w:sz w:val="16"/>
          <w:szCs w:val="16"/>
          <w:shd w:val="clear" w:color="auto" w:fill="FFFFFF"/>
        </w:rPr>
        <w:t> </w:t>
      </w:r>
    </w:p>
  </w:footnote>
  <w:footnote w:id="18">
    <w:p w14:paraId="7E47A48B" w14:textId="77777777" w:rsidR="0092434F" w:rsidRPr="00856F20" w:rsidRDefault="0092434F" w:rsidP="0092434F">
      <w:pPr>
        <w:pStyle w:val="Textonotapie"/>
        <w:ind w:firstLine="708"/>
        <w:jc w:val="both"/>
        <w:rPr>
          <w:rFonts w:ascii="Verdana" w:hAnsi="Verdana" w:cs="Arial"/>
          <w:color w:val="000000"/>
          <w:sz w:val="16"/>
          <w:szCs w:val="16"/>
          <w:lang w:val="en-US"/>
        </w:rPr>
      </w:pPr>
      <w:r w:rsidRPr="00856F20">
        <w:rPr>
          <w:rStyle w:val="Refdenotaalpie"/>
          <w:rFonts w:ascii="Verdana" w:hAnsi="Verdana" w:cs="Arial"/>
          <w:color w:val="000000"/>
          <w:sz w:val="16"/>
          <w:szCs w:val="16"/>
        </w:rPr>
        <w:footnoteRef/>
      </w:r>
      <w:r w:rsidRPr="00856F20">
        <w:rPr>
          <w:rFonts w:ascii="Verdana" w:hAnsi="Verdana" w:cs="Arial"/>
          <w:color w:val="000000"/>
          <w:sz w:val="16"/>
          <w:szCs w:val="16"/>
          <w:lang w:val="en-US"/>
        </w:rPr>
        <w:t xml:space="preserve"> EUROPEAN COMMISSION. Buying Green – A handbook on green procurement, 2016, disponible </w:t>
      </w:r>
      <w:proofErr w:type="spellStart"/>
      <w:r w:rsidRPr="00856F20">
        <w:rPr>
          <w:rFonts w:ascii="Verdana" w:hAnsi="Verdana" w:cs="Arial"/>
          <w:color w:val="000000"/>
          <w:sz w:val="16"/>
          <w:szCs w:val="16"/>
          <w:lang w:val="en-US"/>
        </w:rPr>
        <w:t>en</w:t>
      </w:r>
      <w:proofErr w:type="spellEnd"/>
      <w:r w:rsidRPr="00856F20">
        <w:rPr>
          <w:rFonts w:ascii="Verdana" w:hAnsi="Verdana" w:cs="Arial"/>
          <w:color w:val="000000"/>
          <w:sz w:val="16"/>
          <w:szCs w:val="16"/>
          <w:lang w:val="en-US"/>
        </w:rPr>
        <w:t xml:space="preserve">: </w:t>
      </w:r>
      <w:r>
        <w:fldChar w:fldCharType="begin"/>
      </w:r>
      <w:r w:rsidRPr="00A555BD">
        <w:rPr>
          <w:lang w:val="en-US"/>
        </w:rPr>
        <w:instrText>HYPERLINK "https://ec.europa.eu/environment/gpp/pdf/Buying-Green-Handbook-3rd-Edition.pdf"</w:instrText>
      </w:r>
      <w:r>
        <w:fldChar w:fldCharType="separate"/>
      </w:r>
      <w:r w:rsidRPr="00856F20">
        <w:rPr>
          <w:rStyle w:val="Hipervnculo"/>
          <w:rFonts w:ascii="Verdana" w:hAnsi="Verdana" w:cs="Arial"/>
          <w:sz w:val="16"/>
          <w:szCs w:val="16"/>
          <w:lang w:val="en-US"/>
        </w:rPr>
        <w:t>https://ec.europa.eu/environment/gpp/pdf/Buying-Green-Handbook-3rd-Edition.pdf</w:t>
      </w:r>
      <w:r>
        <w:fldChar w:fldCharType="end"/>
      </w:r>
      <w:r w:rsidRPr="00856F20">
        <w:rPr>
          <w:rFonts w:ascii="Verdana" w:hAnsi="Verdana" w:cs="Arial"/>
          <w:color w:val="000000"/>
          <w:sz w:val="16"/>
          <w:szCs w:val="16"/>
          <w:lang w:val="en-US"/>
        </w:rPr>
        <w:t>.</w:t>
      </w:r>
    </w:p>
  </w:footnote>
  <w:footnote w:id="19">
    <w:p w14:paraId="1D8070A5" w14:textId="77777777" w:rsidR="0092434F" w:rsidRPr="00856F20" w:rsidRDefault="0092434F" w:rsidP="0092434F">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Cfr. </w:t>
      </w:r>
      <w:hyperlink r:id="rId1" w:history="1">
        <w:r w:rsidRPr="00856F20">
          <w:rPr>
            <w:rStyle w:val="Hipervnculo"/>
            <w:rFonts w:ascii="Verdana" w:hAnsi="Verdana" w:cs="Arial"/>
            <w:sz w:val="16"/>
            <w:szCs w:val="16"/>
          </w:rPr>
          <w:t>https://colaboracion.dnp.gov.co/CDT/DNP/Soporte%20t%c3%a9cnico%20Ley%20del%20Vigilante.pdf</w:t>
        </w:r>
      </w:hyperlink>
      <w:r w:rsidRPr="00856F20">
        <w:rPr>
          <w:rFonts w:ascii="Verdana" w:hAnsi="Verdana" w:cs="Arial"/>
          <w:sz w:val="16"/>
          <w:szCs w:val="16"/>
        </w:rPr>
        <w:t>. Consultado el 5 de noviembre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32CE"/>
    <w:rsid w:val="000F4158"/>
    <w:rsid w:val="000F6486"/>
    <w:rsid w:val="00125105"/>
    <w:rsid w:val="00127233"/>
    <w:rsid w:val="00147F8D"/>
    <w:rsid w:val="001511A0"/>
    <w:rsid w:val="001916FA"/>
    <w:rsid w:val="001E4177"/>
    <w:rsid w:val="001F7DC6"/>
    <w:rsid w:val="0020273C"/>
    <w:rsid w:val="00215CA4"/>
    <w:rsid w:val="002421BB"/>
    <w:rsid w:val="00243DE1"/>
    <w:rsid w:val="00245AD2"/>
    <w:rsid w:val="002529E5"/>
    <w:rsid w:val="00254CAB"/>
    <w:rsid w:val="0025796E"/>
    <w:rsid w:val="002707A2"/>
    <w:rsid w:val="002951A0"/>
    <w:rsid w:val="002962BC"/>
    <w:rsid w:val="002A093D"/>
    <w:rsid w:val="002A0DD0"/>
    <w:rsid w:val="002A49AC"/>
    <w:rsid w:val="002A64FD"/>
    <w:rsid w:val="002C7A84"/>
    <w:rsid w:val="002E4683"/>
    <w:rsid w:val="002E4E68"/>
    <w:rsid w:val="002E4FD9"/>
    <w:rsid w:val="00322A85"/>
    <w:rsid w:val="00324168"/>
    <w:rsid w:val="003448F4"/>
    <w:rsid w:val="0034676B"/>
    <w:rsid w:val="00374F5E"/>
    <w:rsid w:val="00377E3E"/>
    <w:rsid w:val="003A779E"/>
    <w:rsid w:val="003D0F4D"/>
    <w:rsid w:val="003D5B0D"/>
    <w:rsid w:val="003E0499"/>
    <w:rsid w:val="003F3941"/>
    <w:rsid w:val="00406575"/>
    <w:rsid w:val="00414C74"/>
    <w:rsid w:val="0042722E"/>
    <w:rsid w:val="0044528D"/>
    <w:rsid w:val="004A1847"/>
    <w:rsid w:val="004A305D"/>
    <w:rsid w:val="004D0112"/>
    <w:rsid w:val="004F21C4"/>
    <w:rsid w:val="004F685F"/>
    <w:rsid w:val="00510DD9"/>
    <w:rsid w:val="005261A6"/>
    <w:rsid w:val="00553BEC"/>
    <w:rsid w:val="005566E8"/>
    <w:rsid w:val="00574867"/>
    <w:rsid w:val="00591460"/>
    <w:rsid w:val="005A3914"/>
    <w:rsid w:val="005B3816"/>
    <w:rsid w:val="005C3777"/>
    <w:rsid w:val="005C5CDC"/>
    <w:rsid w:val="005D476C"/>
    <w:rsid w:val="005D6F03"/>
    <w:rsid w:val="006219F8"/>
    <w:rsid w:val="006319F7"/>
    <w:rsid w:val="006475DB"/>
    <w:rsid w:val="00651AB9"/>
    <w:rsid w:val="00665D70"/>
    <w:rsid w:val="006900D9"/>
    <w:rsid w:val="006D68FF"/>
    <w:rsid w:val="00704845"/>
    <w:rsid w:val="00706C16"/>
    <w:rsid w:val="00724A38"/>
    <w:rsid w:val="00743827"/>
    <w:rsid w:val="00756841"/>
    <w:rsid w:val="007649AB"/>
    <w:rsid w:val="00771D0C"/>
    <w:rsid w:val="007755F2"/>
    <w:rsid w:val="007833AC"/>
    <w:rsid w:val="00785CEE"/>
    <w:rsid w:val="007B268C"/>
    <w:rsid w:val="007B7171"/>
    <w:rsid w:val="007C0C0F"/>
    <w:rsid w:val="007C3DC2"/>
    <w:rsid w:val="007C5591"/>
    <w:rsid w:val="007E5497"/>
    <w:rsid w:val="00804113"/>
    <w:rsid w:val="00806B0E"/>
    <w:rsid w:val="00806F5F"/>
    <w:rsid w:val="00820278"/>
    <w:rsid w:val="008676DE"/>
    <w:rsid w:val="00867F95"/>
    <w:rsid w:val="008827D4"/>
    <w:rsid w:val="008843B6"/>
    <w:rsid w:val="00891928"/>
    <w:rsid w:val="008A446D"/>
    <w:rsid w:val="008C2364"/>
    <w:rsid w:val="008C603B"/>
    <w:rsid w:val="008D180B"/>
    <w:rsid w:val="008F0EA7"/>
    <w:rsid w:val="00923EEF"/>
    <w:rsid w:val="0092434F"/>
    <w:rsid w:val="00927082"/>
    <w:rsid w:val="009419F9"/>
    <w:rsid w:val="00954D0E"/>
    <w:rsid w:val="0095685E"/>
    <w:rsid w:val="00961B09"/>
    <w:rsid w:val="00965334"/>
    <w:rsid w:val="0097093E"/>
    <w:rsid w:val="00986AC5"/>
    <w:rsid w:val="009A0AAD"/>
    <w:rsid w:val="009A0DFA"/>
    <w:rsid w:val="009B2D26"/>
    <w:rsid w:val="009C71FA"/>
    <w:rsid w:val="009C72E7"/>
    <w:rsid w:val="009D3058"/>
    <w:rsid w:val="009F3A13"/>
    <w:rsid w:val="00A122D3"/>
    <w:rsid w:val="00A17F13"/>
    <w:rsid w:val="00A20739"/>
    <w:rsid w:val="00A220A4"/>
    <w:rsid w:val="00A22846"/>
    <w:rsid w:val="00A33C78"/>
    <w:rsid w:val="00A555BD"/>
    <w:rsid w:val="00A821F9"/>
    <w:rsid w:val="00AB0ADB"/>
    <w:rsid w:val="00AC01F0"/>
    <w:rsid w:val="00B01B1A"/>
    <w:rsid w:val="00B1040C"/>
    <w:rsid w:val="00B32FF3"/>
    <w:rsid w:val="00B66319"/>
    <w:rsid w:val="00B72CD3"/>
    <w:rsid w:val="00B72FFF"/>
    <w:rsid w:val="00B851AE"/>
    <w:rsid w:val="00BC3D36"/>
    <w:rsid w:val="00BD763A"/>
    <w:rsid w:val="00BD7F72"/>
    <w:rsid w:val="00BE0A63"/>
    <w:rsid w:val="00BF0FBB"/>
    <w:rsid w:val="00C04FB3"/>
    <w:rsid w:val="00C330EB"/>
    <w:rsid w:val="00C34BC3"/>
    <w:rsid w:val="00C41061"/>
    <w:rsid w:val="00C467A3"/>
    <w:rsid w:val="00C615EC"/>
    <w:rsid w:val="00C754BE"/>
    <w:rsid w:val="00C76B1C"/>
    <w:rsid w:val="00C87097"/>
    <w:rsid w:val="00CB6357"/>
    <w:rsid w:val="00CB6F8F"/>
    <w:rsid w:val="00CC1B26"/>
    <w:rsid w:val="00CE6D4A"/>
    <w:rsid w:val="00D36E66"/>
    <w:rsid w:val="00D423A2"/>
    <w:rsid w:val="00D520D8"/>
    <w:rsid w:val="00D63AC2"/>
    <w:rsid w:val="00D7383B"/>
    <w:rsid w:val="00D82702"/>
    <w:rsid w:val="00DA231B"/>
    <w:rsid w:val="00DC39FC"/>
    <w:rsid w:val="00DF5254"/>
    <w:rsid w:val="00E16408"/>
    <w:rsid w:val="00E20894"/>
    <w:rsid w:val="00E245AB"/>
    <w:rsid w:val="00E2764C"/>
    <w:rsid w:val="00E27F2E"/>
    <w:rsid w:val="00E342F6"/>
    <w:rsid w:val="00E50AFE"/>
    <w:rsid w:val="00E75C92"/>
    <w:rsid w:val="00E771DC"/>
    <w:rsid w:val="00E8772A"/>
    <w:rsid w:val="00E90F6B"/>
    <w:rsid w:val="00E92C27"/>
    <w:rsid w:val="00EA0E3D"/>
    <w:rsid w:val="00EB7B2D"/>
    <w:rsid w:val="00EC38A7"/>
    <w:rsid w:val="00ED121F"/>
    <w:rsid w:val="00ED7384"/>
    <w:rsid w:val="00EE1AA8"/>
    <w:rsid w:val="00EE6FD3"/>
    <w:rsid w:val="00F26B91"/>
    <w:rsid w:val="00F31EDC"/>
    <w:rsid w:val="00F462B3"/>
    <w:rsid w:val="00F5664F"/>
    <w:rsid w:val="00F62C03"/>
    <w:rsid w:val="00F666C4"/>
    <w:rsid w:val="00F76AFC"/>
    <w:rsid w:val="00F920EC"/>
    <w:rsid w:val="00FA47C0"/>
    <w:rsid w:val="00FB5DD1"/>
    <w:rsid w:val="00FC2B5D"/>
    <w:rsid w:val="00FF1449"/>
    <w:rsid w:val="165E9519"/>
    <w:rsid w:val="186C6763"/>
    <w:rsid w:val="382536D9"/>
    <w:rsid w:val="3FF88B49"/>
    <w:rsid w:val="6E76510E"/>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2434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434F"/>
    <w:rPr>
      <w:rFonts w:ascii="Geomanist Light" w:hAnsi="Geomanist Light"/>
      <w:lang w:val="es-ES"/>
    </w:rPr>
  </w:style>
  <w:style w:type="paragraph" w:styleId="Textoindependiente">
    <w:name w:val="Body Text"/>
    <w:basedOn w:val="Normal"/>
    <w:link w:val="TextoindependienteCar"/>
    <w:uiPriority w:val="99"/>
    <w:unhideWhenUsed/>
    <w:rsid w:val="0092434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92434F"/>
    <w:rPr>
      <w:rFonts w:eastAsiaTheme="minorEastAsia"/>
      <w:lang w:eastAsia="es-CO"/>
    </w:rPr>
  </w:style>
  <w:style w:type="character" w:customStyle="1" w:styleId="s15">
    <w:name w:val="s15"/>
    <w:basedOn w:val="Fuentedeprrafopredeter"/>
    <w:rsid w:val="0092434F"/>
  </w:style>
  <w:style w:type="character" w:customStyle="1" w:styleId="apple-converted-space">
    <w:name w:val="apple-converted-space"/>
    <w:basedOn w:val="Fuentedeprrafopredeter"/>
    <w:rsid w:val="0092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lagueravaliente@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DNP/Soporte%20t%c3%a9cnico%20Ley%20del%20Vigilant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7DE56D0-3D3C-4B67-9A5E-B8BF98105A8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8622</Words>
  <Characters>47425</Characters>
  <Application>Microsoft Office Word</Application>
  <DocSecurity>0</DocSecurity>
  <Lines>395</Lines>
  <Paragraphs>111</Paragraphs>
  <ScaleCrop>false</ScaleCrop>
  <Company/>
  <LinksUpToDate>false</LinksUpToDate>
  <CharactersWithSpaces>55936</CharactersWithSpaces>
  <SharedDoc>false</SharedDoc>
  <HLinks>
    <vt:vector size="36"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6815811</vt:i4>
      </vt:variant>
      <vt:variant>
        <vt:i4>0</vt:i4>
      </vt:variant>
      <vt:variant>
        <vt:i4>0</vt:i4>
      </vt:variant>
      <vt:variant>
        <vt:i4>5</vt:i4>
      </vt:variant>
      <vt:variant>
        <vt:lpwstr>mailto:balagueravaliente@gmail.com</vt:lpwstr>
      </vt:variant>
      <vt:variant>
        <vt:lpwstr/>
      </vt:variant>
      <vt:variant>
        <vt:i4>7209085</vt:i4>
      </vt:variant>
      <vt:variant>
        <vt:i4>6</vt:i4>
      </vt:variant>
      <vt:variant>
        <vt:i4>0</vt:i4>
      </vt:variant>
      <vt:variant>
        <vt:i4>5</vt:i4>
      </vt:variant>
      <vt:variant>
        <vt:lpwstr>https://colaboracion.dnp.gov.co/CDT/DNP/Soporte t%c3%a9cnico Ley del Vigilante.pdf</vt:lpwstr>
      </vt:variant>
      <vt:variant>
        <vt:lpwstr/>
      </vt:variant>
      <vt:variant>
        <vt:i4>7864369</vt:i4>
      </vt:variant>
      <vt:variant>
        <vt:i4>3</vt:i4>
      </vt:variant>
      <vt:variant>
        <vt:i4>0</vt:i4>
      </vt:variant>
      <vt:variant>
        <vt:i4>5</vt:i4>
      </vt:variant>
      <vt:variant>
        <vt:lpwstr>https://ec.europa.eu/environment/gpp/pdf/Buying-Green-Handbook-3rd-Edition.pdf</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2025-09-17T14:00:00Z</dcterms:created>
  <dcterms:modified xsi:type="dcterms:W3CDTF">2025-09-17T14:21:00Z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